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package/2006/relationships/metadata/core-properties" Target="docProps/core.xml" Id="rId3" /><Relationship Type="http://schemas.openxmlformats.org/package/2006/relationships/metadata/thumbnail" Target="docProps/thumbnail.emf" Id="rId2" /><Relationship Type="http://schemas.openxmlformats.org/officeDocument/2006/relationships/officeDocument" Target="word/document.xml" Id="rId1" /><Relationship Type="http://schemas.openxmlformats.org/officeDocument/2006/relationships/extended-properties" Target="docProps/app.xml"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60421" w:rsidP="006F51AE" w:rsidRDefault="00F575EF" w14:paraId="72C1A5E6" w14:textId="5916E1B1">
      <w:pPr>
        <w:spacing w:line="240" w:lineRule="auto"/>
        <w:ind w:right="-90" w:firstLine="0"/>
      </w:pPr>
      <w:r>
        <w:t>COM/GSH/jnf</w:t>
      </w:r>
      <w:r>
        <w:tab/>
      </w:r>
      <w:r w:rsidR="006F51AE">
        <w:tab/>
      </w:r>
      <w:r w:rsidR="006F51AE">
        <w:tab/>
      </w:r>
      <w:r w:rsidR="006F51AE">
        <w:tab/>
      </w:r>
      <w:r w:rsidR="006F51AE">
        <w:tab/>
      </w:r>
      <w:r w:rsidR="006F51AE">
        <w:tab/>
        <w:t xml:space="preserve">          </w:t>
      </w:r>
      <w:r w:rsidR="006F51AE">
        <w:rPr>
          <w:b/>
          <w:bCs/>
        </w:rPr>
        <w:t>Date of Issuance 5/6/2022</w:t>
      </w:r>
    </w:p>
    <w:p w:rsidRPr="00EE4315" w:rsidR="004E7781" w:rsidP="00632207" w:rsidRDefault="004E7781" w14:paraId="6D90D441" w14:textId="5EAE184F">
      <w:pPr>
        <w:spacing w:line="240" w:lineRule="auto"/>
        <w:jc w:val="right"/>
        <w:rPr>
          <w:b/>
        </w:rPr>
      </w:pPr>
    </w:p>
    <w:p w:rsidR="00DA7B5D" w:rsidP="008F0116" w:rsidRDefault="00DA7B5D" w14:paraId="311C012D" w14:textId="77777777">
      <w:pPr>
        <w:ind w:firstLine="0"/>
      </w:pPr>
    </w:p>
    <w:p w:rsidRPr="00EE3060" w:rsidR="00DA7B5D" w:rsidP="00F575EF" w:rsidRDefault="00DA7B5D" w14:paraId="1A65E4C8" w14:textId="02BEE5A4">
      <w:pPr>
        <w:spacing w:line="240" w:lineRule="auto"/>
        <w:ind w:left="1080" w:hanging="1080"/>
      </w:pPr>
      <w:r>
        <w:t>Decision</w:t>
      </w:r>
      <w:r w:rsidR="006F51AE">
        <w:t> 22</w:t>
      </w:r>
      <w:r w:rsidR="006F51AE">
        <w:noBreakHyphen/>
        <w:t>05</w:t>
      </w:r>
      <w:r w:rsidR="006F51AE">
        <w:noBreakHyphen/>
        <w:t>003  May 5, 2022.</w:t>
      </w:r>
    </w:p>
    <w:p w:rsidR="00DA7B5D" w:rsidP="00BB0243" w:rsidRDefault="00DA7B5D" w14:paraId="5206806E" w14:textId="707C805E">
      <w:pPr>
        <w:spacing w:line="240" w:lineRule="auto"/>
        <w:jc w:val="center"/>
        <w:rPr>
          <w:u w:val="single"/>
        </w:rPr>
      </w:pPr>
    </w:p>
    <w:p w:rsidR="006F51AE" w:rsidP="00BB0243" w:rsidRDefault="006F51AE" w14:paraId="73559467" w14:textId="77777777">
      <w:pPr>
        <w:spacing w:line="240" w:lineRule="auto"/>
        <w:jc w:val="center"/>
        <w:rPr>
          <w:u w:val="single"/>
        </w:rPr>
      </w:pPr>
    </w:p>
    <w:p w:rsidR="00DA7B5D" w:rsidP="00BB0243" w:rsidRDefault="00DA7B5D" w14:paraId="5E79E981" w14:textId="77777777">
      <w:pPr>
        <w:spacing w:line="240" w:lineRule="auto"/>
        <w:ind w:firstLine="0"/>
        <w:jc w:val="center"/>
        <w:rPr>
          <w:rFonts w:ascii="Arial" w:hAnsi="Arial" w:cs="Arial"/>
          <w:sz w:val="24"/>
          <w:szCs w:val="24"/>
        </w:rPr>
      </w:pPr>
      <w:r w:rsidRPr="00DA7B5D">
        <w:rPr>
          <w:rFonts w:ascii="Arial" w:hAnsi="Arial" w:cs="Arial"/>
          <w:b/>
          <w:sz w:val="24"/>
          <w:szCs w:val="24"/>
        </w:rPr>
        <w:t>BEFORE THE PUBLIC UTILITIES COMMISSION OF THE STATE OF CALIFORNIA</w:t>
      </w:r>
    </w:p>
    <w:p w:rsidR="00DA7B5D" w:rsidP="008F0116" w:rsidRDefault="00DA7B5D" w14:paraId="05FFE923" w14:textId="77777777">
      <w:pPr>
        <w:spacing w:line="240" w:lineRule="auto"/>
        <w:ind w:firstLine="0"/>
        <w:rPr>
          <w:rFonts w:ascii="Arial" w:hAnsi="Arial" w:cs="Arial"/>
          <w:sz w:val="24"/>
          <w:szCs w:val="24"/>
        </w:rPr>
      </w:pPr>
    </w:p>
    <w:tbl>
      <w:tblPr>
        <w:tblStyle w:val="TableGrid"/>
        <w:tblW w:w="9360" w:type="dxa"/>
        <w:jc w:val="center"/>
        <w:tblLayout w:type="fixed"/>
        <w:tblLook w:val="04A0" w:firstRow="1" w:lastRow="0" w:firstColumn="1" w:lastColumn="0" w:noHBand="0" w:noVBand="1"/>
      </w:tblPr>
      <w:tblGrid>
        <w:gridCol w:w="4680"/>
        <w:gridCol w:w="4680"/>
      </w:tblGrid>
      <w:tr w:rsidR="00DA7B5D" w:rsidTr="00204691" w14:paraId="6E2E981B" w14:textId="77777777">
        <w:trPr>
          <w:jc w:val="center"/>
        </w:trPr>
        <w:tc>
          <w:tcPr>
            <w:tcW w:w="4680" w:type="dxa"/>
            <w:tcBorders>
              <w:top w:val="nil"/>
              <w:left w:val="nil"/>
              <w:bottom w:val="single" w:color="auto" w:sz="4" w:space="0"/>
              <w:right w:val="single" w:color="auto" w:sz="4" w:space="0"/>
            </w:tcBorders>
          </w:tcPr>
          <w:p w:rsidRPr="00DA7B5D" w:rsidR="00DA7B5D" w:rsidP="00C10B5F" w:rsidRDefault="00F575EF" w14:paraId="459F8D13" w14:textId="52F16256">
            <w:pPr>
              <w:spacing w:line="240" w:lineRule="auto"/>
              <w:ind w:firstLine="0"/>
              <w:rPr>
                <w:rFonts w:cs="Arial"/>
                <w:szCs w:val="26"/>
              </w:rPr>
            </w:pPr>
            <w:r w:rsidRPr="00F575EF">
              <w:rPr>
                <w:rFonts w:cs="Arial"/>
                <w:szCs w:val="26"/>
              </w:rPr>
              <w:t>Order Instituting Rulemaking on Regulations Relating to Passenger Carriers, Ridesharing, and New Online-Enabled Transportation Services.</w:t>
            </w:r>
            <w:r w:rsidRPr="00DA7B5D" w:rsidR="00DA7B5D">
              <w:rPr>
                <w:rFonts w:cs="Arial"/>
                <w:szCs w:val="26"/>
              </w:rPr>
              <w:br/>
            </w:r>
          </w:p>
        </w:tc>
        <w:tc>
          <w:tcPr>
            <w:tcW w:w="4680" w:type="dxa"/>
            <w:tcBorders>
              <w:top w:val="nil"/>
              <w:left w:val="single" w:color="auto" w:sz="4" w:space="0"/>
              <w:bottom w:val="nil"/>
              <w:right w:val="nil"/>
            </w:tcBorders>
            <w:vAlign w:val="center"/>
          </w:tcPr>
          <w:p w:rsidRPr="00DA7B5D" w:rsidR="001C59B4" w:rsidP="00412C83" w:rsidRDefault="001C59B4" w14:paraId="14F3F5EF" w14:textId="0C934135">
            <w:pPr>
              <w:spacing w:line="240" w:lineRule="auto"/>
              <w:ind w:firstLine="0"/>
              <w:jc w:val="center"/>
              <w:rPr>
                <w:rFonts w:cs="Arial"/>
                <w:szCs w:val="26"/>
              </w:rPr>
            </w:pPr>
            <w:r>
              <w:rPr>
                <w:rFonts w:cs="Arial"/>
                <w:szCs w:val="26"/>
              </w:rPr>
              <w:t>Rulemaking 12-12-011</w:t>
            </w:r>
          </w:p>
        </w:tc>
      </w:tr>
    </w:tbl>
    <w:p w:rsidR="00DA7B5D" w:rsidP="008F0116" w:rsidRDefault="00DA7B5D" w14:paraId="0C8E2C30" w14:textId="77777777">
      <w:pPr>
        <w:spacing w:line="240" w:lineRule="auto"/>
        <w:ind w:firstLine="0"/>
        <w:rPr>
          <w:rFonts w:ascii="Arial" w:hAnsi="Arial" w:cs="Arial"/>
          <w:sz w:val="24"/>
          <w:szCs w:val="24"/>
        </w:rPr>
      </w:pPr>
    </w:p>
    <w:p w:rsidR="00DA7B5D" w:rsidP="008F0116" w:rsidRDefault="00DA7B5D" w14:paraId="4541E1F6" w14:textId="77777777">
      <w:pPr>
        <w:spacing w:line="240" w:lineRule="auto"/>
        <w:ind w:firstLine="0"/>
        <w:rPr>
          <w:rFonts w:ascii="Arial" w:hAnsi="Arial" w:cs="Arial"/>
          <w:sz w:val="24"/>
          <w:szCs w:val="24"/>
        </w:rPr>
      </w:pPr>
    </w:p>
    <w:p w:rsidR="00F92385" w:rsidP="00B3087D" w:rsidRDefault="001C59B4" w14:paraId="2B266459" w14:textId="35A3C07B">
      <w:pPr>
        <w:pStyle w:val="Dummy"/>
        <w:jc w:val="center"/>
      </w:pPr>
      <w:bookmarkStart w:name="_Toc82193562" w:id="0"/>
      <w:bookmarkStart w:name="_Toc94682525" w:id="1"/>
      <w:bookmarkStart w:name="_Toc102479654" w:id="2"/>
      <w:r>
        <w:t>DECISION DENYING APPEAL OF LYFT, INC.</w:t>
      </w:r>
      <w:r w:rsidR="00806618">
        <w:t xml:space="preserve"> </w:t>
      </w:r>
      <w:r>
        <w:t>RE: R</w:t>
      </w:r>
      <w:r w:rsidR="007E5811">
        <w:t>UL</w:t>
      </w:r>
      <w:r>
        <w:t xml:space="preserve">ING DENYING, IN PART, MOTIONS </w:t>
      </w:r>
      <w:r w:rsidR="003835E5">
        <w:t>B</w:t>
      </w:r>
      <w:r>
        <w:t>Y UBER TECHNOLOGIES, INC. AND LYFT INC. FOR CONFIDENTIAL TREATMENT OF CERTAIN INFORMATION IN</w:t>
      </w:r>
      <w:r w:rsidR="00F575EF">
        <w:br/>
      </w:r>
      <w:r>
        <w:t>THEIR</w:t>
      </w:r>
      <w:r w:rsidR="00F575EF">
        <w:t xml:space="preserve"> </w:t>
      </w:r>
      <w:r>
        <w:t>2020 ANNUAL REPORTS</w:t>
      </w:r>
      <w:bookmarkEnd w:id="0"/>
      <w:bookmarkEnd w:id="1"/>
      <w:bookmarkEnd w:id="2"/>
    </w:p>
    <w:p w:rsidR="00F575EF" w:rsidP="00F575EF" w:rsidRDefault="00F575EF" w14:paraId="272BD1A6" w14:textId="77777777"/>
    <w:p w:rsidRPr="00F575EF" w:rsidR="00F575EF" w:rsidP="00F575EF" w:rsidRDefault="00F575EF" w14:paraId="0B8680DF" w14:textId="7AE4660C">
      <w:pPr>
        <w:sectPr w:rsidRPr="00F575EF" w:rsidR="00F575EF" w:rsidSect="004E7781">
          <w:footerReference w:type="first" r:id="rId11"/>
          <w:pgSz w:w="12240" w:h="15840"/>
          <w:pgMar w:top="1728" w:right="1440" w:bottom="1440" w:left="1440" w:header="720" w:footer="720" w:gutter="0"/>
          <w:pgNumType w:start="1"/>
          <w:cols w:space="720"/>
          <w:titlePg/>
          <w:docGrid w:linePitch="360"/>
        </w:sectPr>
      </w:pPr>
    </w:p>
    <w:p w:rsidRPr="00450E03" w:rsidR="00450E03" w:rsidP="00450E03" w:rsidRDefault="00450E03" w14:paraId="3A5DC0E0" w14:textId="77777777">
      <w:pPr>
        <w:spacing w:line="240" w:lineRule="auto"/>
        <w:ind w:firstLine="0"/>
        <w:jc w:val="center"/>
        <w:rPr>
          <w:rFonts w:eastAsiaTheme="majorEastAsia" w:cstheme="majorBidi"/>
          <w:b/>
          <w:caps/>
          <w:szCs w:val="56"/>
        </w:rPr>
      </w:pPr>
      <w:r w:rsidRPr="00450E03">
        <w:rPr>
          <w:rFonts w:eastAsiaTheme="majorEastAsia" w:cstheme="majorBidi"/>
          <w:b/>
          <w:caps/>
          <w:szCs w:val="56"/>
        </w:rPr>
        <w:lastRenderedPageBreak/>
        <w:t>TABLE OF CONTENTS</w:t>
      </w:r>
    </w:p>
    <w:p w:rsidRPr="00450E03" w:rsidR="00450E03" w:rsidP="00450E03" w:rsidRDefault="00450E03" w14:paraId="39BD261F" w14:textId="77777777">
      <w:pPr>
        <w:tabs>
          <w:tab w:val="right" w:pos="9360"/>
        </w:tabs>
        <w:ind w:firstLine="0"/>
      </w:pPr>
      <w:r w:rsidRPr="00450E03">
        <w:rPr>
          <w:b/>
        </w:rPr>
        <w:t>Title</w:t>
      </w:r>
      <w:r w:rsidRPr="00450E03">
        <w:tab/>
      </w:r>
      <w:r w:rsidRPr="00450E03">
        <w:rPr>
          <w:b/>
        </w:rPr>
        <w:t>Page</w:t>
      </w:r>
    </w:p>
    <w:sdt>
      <w:sdtPr>
        <w:rPr>
          <w:rFonts w:eastAsiaTheme="minorHAnsi" w:cstheme="minorBidi"/>
        </w:rPr>
        <w:id w:val="-1224440197"/>
        <w:docPartObj>
          <w:docPartGallery w:val="Table of Contents"/>
          <w:docPartUnique/>
        </w:docPartObj>
      </w:sdtPr>
      <w:sdtEndPr>
        <w:rPr>
          <w:b/>
          <w:bCs/>
          <w:noProof/>
        </w:rPr>
      </w:sdtEndPr>
      <w:sdtContent>
        <w:p w:rsidR="005A043F" w:rsidP="005A043F" w:rsidRDefault="00450E03" w14:paraId="39F9B151" w14:textId="42B9659B">
          <w:pPr>
            <w:pStyle w:val="TOC1"/>
            <w:tabs>
              <w:tab w:val="right" w:leader="dot" w:pos="9350"/>
            </w:tabs>
            <w:ind w:left="0" w:firstLine="0"/>
            <w:rPr>
              <w:rFonts w:asciiTheme="minorHAnsi" w:hAnsiTheme="minorHAnsi" w:cstheme="minorBidi"/>
              <w:noProof/>
              <w:sz w:val="22"/>
            </w:rPr>
          </w:pPr>
          <w:r w:rsidRPr="00450E03">
            <w:rPr>
              <w:rFonts w:asciiTheme="minorHAnsi" w:hAnsiTheme="minorHAnsi"/>
              <w:sz w:val="22"/>
            </w:rPr>
            <w:fldChar w:fldCharType="begin"/>
          </w:r>
          <w:r w:rsidRPr="00450E03">
            <w:rPr>
              <w:rFonts w:asciiTheme="minorHAnsi" w:hAnsiTheme="minorHAnsi"/>
              <w:sz w:val="22"/>
            </w:rPr>
            <w:instrText xml:space="preserve"> TOC \o "1-6" \h \z \u </w:instrText>
          </w:r>
          <w:r w:rsidRPr="00450E03">
            <w:rPr>
              <w:rFonts w:asciiTheme="minorHAnsi" w:hAnsiTheme="minorHAnsi"/>
              <w:sz w:val="22"/>
            </w:rPr>
            <w:fldChar w:fldCharType="separate"/>
          </w:r>
          <w:hyperlink w:history="1" w:anchor="_Toc102479654"/>
          <w:hyperlink w:history="1" w:anchor="_Toc102479655">
            <w:r w:rsidRPr="006414BB" w:rsidR="005A043F">
              <w:rPr>
                <w:rStyle w:val="Hyperlink"/>
                <w:noProof/>
              </w:rPr>
              <w:t>DECISION DENYING APPEAL OF LYFT, INC.RE: RULING DENYING, IN PART, MOTIONS BY UBER TECHNOLOGIES, INC. AND LYFT INC. FOR CONFIDENTIAL TREATMENT OF CERTAIN INFORMATION IN THEIR</w:t>
            </w:r>
            <w:r w:rsidR="005A043F">
              <w:rPr>
                <w:rStyle w:val="Hyperlink"/>
                <w:noProof/>
              </w:rPr>
              <w:br/>
            </w:r>
            <w:r w:rsidRPr="006414BB" w:rsidR="005A043F">
              <w:rPr>
                <w:rStyle w:val="Hyperlink"/>
                <w:noProof/>
              </w:rPr>
              <w:t>2020 ANNUAL REPORTS</w:t>
            </w:r>
            <w:r w:rsidR="005A043F">
              <w:rPr>
                <w:noProof/>
                <w:webHidden/>
              </w:rPr>
              <w:tab/>
            </w:r>
            <w:r w:rsidR="005A043F">
              <w:rPr>
                <w:noProof/>
                <w:webHidden/>
              </w:rPr>
              <w:fldChar w:fldCharType="begin"/>
            </w:r>
            <w:r w:rsidR="005A043F">
              <w:rPr>
                <w:noProof/>
                <w:webHidden/>
              </w:rPr>
              <w:instrText xml:space="preserve"> PAGEREF _Toc102479655 \h </w:instrText>
            </w:r>
            <w:r w:rsidR="005A043F">
              <w:rPr>
                <w:noProof/>
                <w:webHidden/>
              </w:rPr>
            </w:r>
            <w:r w:rsidR="005A043F">
              <w:rPr>
                <w:noProof/>
                <w:webHidden/>
              </w:rPr>
              <w:fldChar w:fldCharType="separate"/>
            </w:r>
            <w:r w:rsidR="005A043F">
              <w:rPr>
                <w:noProof/>
                <w:webHidden/>
              </w:rPr>
              <w:t>2</w:t>
            </w:r>
            <w:r w:rsidR="005A043F">
              <w:rPr>
                <w:noProof/>
                <w:webHidden/>
              </w:rPr>
              <w:fldChar w:fldCharType="end"/>
            </w:r>
          </w:hyperlink>
        </w:p>
        <w:p w:rsidR="005A043F" w:rsidRDefault="00F4002C" w14:paraId="3B14409A" w14:textId="5091D98A">
          <w:pPr>
            <w:pStyle w:val="TOC1"/>
            <w:tabs>
              <w:tab w:val="right" w:leader="dot" w:pos="9350"/>
            </w:tabs>
            <w:rPr>
              <w:rFonts w:asciiTheme="minorHAnsi" w:hAnsiTheme="minorHAnsi" w:cstheme="minorBidi"/>
              <w:noProof/>
              <w:sz w:val="22"/>
            </w:rPr>
          </w:pPr>
          <w:hyperlink w:history="1" w:anchor="_Toc102479656">
            <w:r w:rsidRPr="006414BB" w:rsidR="005A043F">
              <w:rPr>
                <w:rStyle w:val="Hyperlink"/>
                <w:noProof/>
              </w:rPr>
              <w:t>Summary</w:t>
            </w:r>
            <w:r w:rsidR="005A043F">
              <w:rPr>
                <w:noProof/>
                <w:webHidden/>
              </w:rPr>
              <w:tab/>
            </w:r>
            <w:r w:rsidR="005A043F">
              <w:rPr>
                <w:noProof/>
                <w:webHidden/>
              </w:rPr>
              <w:fldChar w:fldCharType="begin"/>
            </w:r>
            <w:r w:rsidR="005A043F">
              <w:rPr>
                <w:noProof/>
                <w:webHidden/>
              </w:rPr>
              <w:instrText xml:space="preserve"> PAGEREF _Toc102479656 \h </w:instrText>
            </w:r>
            <w:r w:rsidR="005A043F">
              <w:rPr>
                <w:noProof/>
                <w:webHidden/>
              </w:rPr>
            </w:r>
            <w:r w:rsidR="005A043F">
              <w:rPr>
                <w:noProof/>
                <w:webHidden/>
              </w:rPr>
              <w:fldChar w:fldCharType="separate"/>
            </w:r>
            <w:r w:rsidR="005A043F">
              <w:rPr>
                <w:noProof/>
                <w:webHidden/>
              </w:rPr>
              <w:t>2</w:t>
            </w:r>
            <w:r w:rsidR="005A043F">
              <w:rPr>
                <w:noProof/>
                <w:webHidden/>
              </w:rPr>
              <w:fldChar w:fldCharType="end"/>
            </w:r>
          </w:hyperlink>
        </w:p>
        <w:p w:rsidR="005A043F" w:rsidRDefault="00F4002C" w14:paraId="12FF1510" w14:textId="6B9F9DD1">
          <w:pPr>
            <w:pStyle w:val="TOC1"/>
            <w:tabs>
              <w:tab w:val="right" w:leader="dot" w:pos="9350"/>
            </w:tabs>
            <w:rPr>
              <w:rFonts w:asciiTheme="minorHAnsi" w:hAnsiTheme="minorHAnsi" w:cstheme="minorBidi"/>
              <w:noProof/>
              <w:sz w:val="22"/>
            </w:rPr>
          </w:pPr>
          <w:hyperlink w:history="1" w:anchor="_Toc102479657">
            <w:r w:rsidRPr="006414BB" w:rsidR="005A043F">
              <w:rPr>
                <w:rStyle w:val="Hyperlink"/>
                <w:noProof/>
              </w:rPr>
              <w:t>1.</w:t>
            </w:r>
            <w:r w:rsidR="005A043F">
              <w:rPr>
                <w:rFonts w:asciiTheme="minorHAnsi" w:hAnsiTheme="minorHAnsi" w:cstheme="minorBidi"/>
                <w:noProof/>
                <w:sz w:val="22"/>
              </w:rPr>
              <w:tab/>
            </w:r>
            <w:r w:rsidRPr="006414BB" w:rsidR="005A043F">
              <w:rPr>
                <w:rStyle w:val="Hyperlink"/>
                <w:noProof/>
              </w:rPr>
              <w:t>Background</w:t>
            </w:r>
            <w:r w:rsidR="005A043F">
              <w:rPr>
                <w:noProof/>
                <w:webHidden/>
              </w:rPr>
              <w:tab/>
            </w:r>
            <w:r w:rsidR="005A043F">
              <w:rPr>
                <w:noProof/>
                <w:webHidden/>
              </w:rPr>
              <w:fldChar w:fldCharType="begin"/>
            </w:r>
            <w:r w:rsidR="005A043F">
              <w:rPr>
                <w:noProof/>
                <w:webHidden/>
              </w:rPr>
              <w:instrText xml:space="preserve"> PAGEREF _Toc102479657 \h </w:instrText>
            </w:r>
            <w:r w:rsidR="005A043F">
              <w:rPr>
                <w:noProof/>
                <w:webHidden/>
              </w:rPr>
            </w:r>
            <w:r w:rsidR="005A043F">
              <w:rPr>
                <w:noProof/>
                <w:webHidden/>
              </w:rPr>
              <w:fldChar w:fldCharType="separate"/>
            </w:r>
            <w:r w:rsidR="005A043F">
              <w:rPr>
                <w:noProof/>
                <w:webHidden/>
              </w:rPr>
              <w:t>2</w:t>
            </w:r>
            <w:r w:rsidR="005A043F">
              <w:rPr>
                <w:noProof/>
                <w:webHidden/>
              </w:rPr>
              <w:fldChar w:fldCharType="end"/>
            </w:r>
          </w:hyperlink>
        </w:p>
        <w:p w:rsidR="005A043F" w:rsidRDefault="00F4002C" w14:paraId="5ED7B45E" w14:textId="78746399">
          <w:pPr>
            <w:pStyle w:val="TOC2"/>
            <w:tabs>
              <w:tab w:val="right" w:leader="dot" w:pos="9350"/>
            </w:tabs>
            <w:rPr>
              <w:rFonts w:asciiTheme="minorHAnsi" w:hAnsiTheme="minorHAnsi" w:cstheme="minorBidi"/>
              <w:noProof/>
              <w:sz w:val="22"/>
            </w:rPr>
          </w:pPr>
          <w:hyperlink w:history="1" w:anchor="_Toc102479658">
            <w:r w:rsidRPr="006414BB" w:rsidR="005A043F">
              <w:rPr>
                <w:rStyle w:val="Hyperlink"/>
                <w:noProof/>
              </w:rPr>
              <w:t>1.1.</w:t>
            </w:r>
            <w:r w:rsidR="005A043F">
              <w:rPr>
                <w:rFonts w:asciiTheme="minorHAnsi" w:hAnsiTheme="minorHAnsi" w:cstheme="minorBidi"/>
                <w:noProof/>
                <w:sz w:val="22"/>
              </w:rPr>
              <w:tab/>
            </w:r>
            <w:r w:rsidRPr="006414BB" w:rsidR="005A043F">
              <w:rPr>
                <w:rStyle w:val="Hyperlink"/>
                <w:noProof/>
              </w:rPr>
              <w:t>Factual Background</w:t>
            </w:r>
            <w:r w:rsidR="005A043F">
              <w:rPr>
                <w:noProof/>
                <w:webHidden/>
              </w:rPr>
              <w:tab/>
            </w:r>
            <w:r w:rsidR="005A043F">
              <w:rPr>
                <w:noProof/>
                <w:webHidden/>
              </w:rPr>
              <w:fldChar w:fldCharType="begin"/>
            </w:r>
            <w:r w:rsidR="005A043F">
              <w:rPr>
                <w:noProof/>
                <w:webHidden/>
              </w:rPr>
              <w:instrText xml:space="preserve"> PAGEREF _Toc102479658 \h </w:instrText>
            </w:r>
            <w:r w:rsidR="005A043F">
              <w:rPr>
                <w:noProof/>
                <w:webHidden/>
              </w:rPr>
            </w:r>
            <w:r w:rsidR="005A043F">
              <w:rPr>
                <w:noProof/>
                <w:webHidden/>
              </w:rPr>
              <w:fldChar w:fldCharType="separate"/>
            </w:r>
            <w:r w:rsidR="005A043F">
              <w:rPr>
                <w:noProof/>
                <w:webHidden/>
              </w:rPr>
              <w:t>3</w:t>
            </w:r>
            <w:r w:rsidR="005A043F">
              <w:rPr>
                <w:noProof/>
                <w:webHidden/>
              </w:rPr>
              <w:fldChar w:fldCharType="end"/>
            </w:r>
          </w:hyperlink>
        </w:p>
        <w:p w:rsidR="005A043F" w:rsidRDefault="00F4002C" w14:paraId="142F64C6" w14:textId="3F6E7B17">
          <w:pPr>
            <w:pStyle w:val="TOC2"/>
            <w:tabs>
              <w:tab w:val="right" w:leader="dot" w:pos="9350"/>
            </w:tabs>
            <w:rPr>
              <w:rFonts w:asciiTheme="minorHAnsi" w:hAnsiTheme="minorHAnsi" w:cstheme="minorBidi"/>
              <w:noProof/>
              <w:sz w:val="22"/>
            </w:rPr>
          </w:pPr>
          <w:hyperlink w:history="1" w:anchor="_Toc102479659">
            <w:r w:rsidRPr="006414BB" w:rsidR="005A043F">
              <w:rPr>
                <w:rStyle w:val="Hyperlink"/>
                <w:noProof/>
              </w:rPr>
              <w:t>1.2.</w:t>
            </w:r>
            <w:r w:rsidR="005A043F">
              <w:rPr>
                <w:rFonts w:asciiTheme="minorHAnsi" w:hAnsiTheme="minorHAnsi" w:cstheme="minorBidi"/>
                <w:noProof/>
                <w:sz w:val="22"/>
              </w:rPr>
              <w:tab/>
            </w:r>
            <w:r w:rsidRPr="006414BB" w:rsidR="005A043F">
              <w:rPr>
                <w:rStyle w:val="Hyperlink"/>
                <w:noProof/>
              </w:rPr>
              <w:t>Procedural Background</w:t>
            </w:r>
            <w:r w:rsidR="005A043F">
              <w:rPr>
                <w:noProof/>
                <w:webHidden/>
              </w:rPr>
              <w:tab/>
            </w:r>
            <w:r w:rsidR="005A043F">
              <w:rPr>
                <w:noProof/>
                <w:webHidden/>
              </w:rPr>
              <w:fldChar w:fldCharType="begin"/>
            </w:r>
            <w:r w:rsidR="005A043F">
              <w:rPr>
                <w:noProof/>
                <w:webHidden/>
              </w:rPr>
              <w:instrText xml:space="preserve"> PAGEREF _Toc102479659 \h </w:instrText>
            </w:r>
            <w:r w:rsidR="005A043F">
              <w:rPr>
                <w:noProof/>
                <w:webHidden/>
              </w:rPr>
            </w:r>
            <w:r w:rsidR="005A043F">
              <w:rPr>
                <w:noProof/>
                <w:webHidden/>
              </w:rPr>
              <w:fldChar w:fldCharType="separate"/>
            </w:r>
            <w:r w:rsidR="005A043F">
              <w:rPr>
                <w:noProof/>
                <w:webHidden/>
              </w:rPr>
              <w:t>4</w:t>
            </w:r>
            <w:r w:rsidR="005A043F">
              <w:rPr>
                <w:noProof/>
                <w:webHidden/>
              </w:rPr>
              <w:fldChar w:fldCharType="end"/>
            </w:r>
          </w:hyperlink>
        </w:p>
        <w:p w:rsidR="005A043F" w:rsidRDefault="00F4002C" w14:paraId="7939C59C" w14:textId="5BB378D1">
          <w:pPr>
            <w:pStyle w:val="TOC2"/>
            <w:tabs>
              <w:tab w:val="right" w:leader="dot" w:pos="9350"/>
            </w:tabs>
            <w:rPr>
              <w:rFonts w:asciiTheme="minorHAnsi" w:hAnsiTheme="minorHAnsi" w:cstheme="minorBidi"/>
              <w:noProof/>
              <w:sz w:val="22"/>
            </w:rPr>
          </w:pPr>
          <w:hyperlink w:history="1" w:anchor="_Toc102479660">
            <w:r w:rsidRPr="006414BB" w:rsidR="005A043F">
              <w:rPr>
                <w:rStyle w:val="Hyperlink"/>
                <w:noProof/>
              </w:rPr>
              <w:t>1.3.</w:t>
            </w:r>
            <w:r w:rsidR="005A043F">
              <w:rPr>
                <w:rFonts w:asciiTheme="minorHAnsi" w:hAnsiTheme="minorHAnsi" w:cstheme="minorBidi"/>
                <w:noProof/>
                <w:sz w:val="22"/>
              </w:rPr>
              <w:tab/>
            </w:r>
            <w:r w:rsidRPr="006414BB" w:rsidR="005A043F">
              <w:rPr>
                <w:rStyle w:val="Hyperlink"/>
                <w:noProof/>
              </w:rPr>
              <w:t>The Administrative Law Judge’s (ALJ) Ruling</w:t>
            </w:r>
            <w:r w:rsidR="005A043F">
              <w:rPr>
                <w:noProof/>
                <w:webHidden/>
              </w:rPr>
              <w:tab/>
            </w:r>
            <w:r w:rsidR="005A043F">
              <w:rPr>
                <w:noProof/>
                <w:webHidden/>
              </w:rPr>
              <w:fldChar w:fldCharType="begin"/>
            </w:r>
            <w:r w:rsidR="005A043F">
              <w:rPr>
                <w:noProof/>
                <w:webHidden/>
              </w:rPr>
              <w:instrText xml:space="preserve"> PAGEREF _Toc102479660 \h </w:instrText>
            </w:r>
            <w:r w:rsidR="005A043F">
              <w:rPr>
                <w:noProof/>
                <w:webHidden/>
              </w:rPr>
            </w:r>
            <w:r w:rsidR="005A043F">
              <w:rPr>
                <w:noProof/>
                <w:webHidden/>
              </w:rPr>
              <w:fldChar w:fldCharType="separate"/>
            </w:r>
            <w:r w:rsidR="005A043F">
              <w:rPr>
                <w:noProof/>
                <w:webHidden/>
              </w:rPr>
              <w:t>6</w:t>
            </w:r>
            <w:r w:rsidR="005A043F">
              <w:rPr>
                <w:noProof/>
                <w:webHidden/>
              </w:rPr>
              <w:fldChar w:fldCharType="end"/>
            </w:r>
          </w:hyperlink>
        </w:p>
        <w:p w:rsidR="005A043F" w:rsidRDefault="00F4002C" w14:paraId="385EEF07" w14:textId="28EF3033">
          <w:pPr>
            <w:pStyle w:val="TOC2"/>
            <w:tabs>
              <w:tab w:val="right" w:leader="dot" w:pos="9350"/>
            </w:tabs>
            <w:rPr>
              <w:rFonts w:asciiTheme="minorHAnsi" w:hAnsiTheme="minorHAnsi" w:cstheme="minorBidi"/>
              <w:noProof/>
              <w:sz w:val="22"/>
            </w:rPr>
          </w:pPr>
          <w:hyperlink w:history="1" w:anchor="_Toc102479661">
            <w:r w:rsidRPr="006414BB" w:rsidR="005A043F">
              <w:rPr>
                <w:rStyle w:val="Hyperlink"/>
                <w:noProof/>
              </w:rPr>
              <w:t>1.4.</w:t>
            </w:r>
            <w:r w:rsidR="005A043F">
              <w:rPr>
                <w:rFonts w:asciiTheme="minorHAnsi" w:hAnsiTheme="minorHAnsi" w:cstheme="minorBidi"/>
                <w:noProof/>
                <w:sz w:val="22"/>
              </w:rPr>
              <w:tab/>
            </w:r>
            <w:r w:rsidRPr="006414BB" w:rsidR="005A043F">
              <w:rPr>
                <w:rStyle w:val="Hyperlink"/>
                <w:noProof/>
              </w:rPr>
              <w:t>Lyft’s Appeal</w:t>
            </w:r>
            <w:r w:rsidR="005A043F">
              <w:rPr>
                <w:noProof/>
                <w:webHidden/>
              </w:rPr>
              <w:tab/>
            </w:r>
            <w:r w:rsidR="005A043F">
              <w:rPr>
                <w:noProof/>
                <w:webHidden/>
              </w:rPr>
              <w:fldChar w:fldCharType="begin"/>
            </w:r>
            <w:r w:rsidR="005A043F">
              <w:rPr>
                <w:noProof/>
                <w:webHidden/>
              </w:rPr>
              <w:instrText xml:space="preserve"> PAGEREF _Toc102479661 \h </w:instrText>
            </w:r>
            <w:r w:rsidR="005A043F">
              <w:rPr>
                <w:noProof/>
                <w:webHidden/>
              </w:rPr>
            </w:r>
            <w:r w:rsidR="005A043F">
              <w:rPr>
                <w:noProof/>
                <w:webHidden/>
              </w:rPr>
              <w:fldChar w:fldCharType="separate"/>
            </w:r>
            <w:r w:rsidR="005A043F">
              <w:rPr>
                <w:noProof/>
                <w:webHidden/>
              </w:rPr>
              <w:t>11</w:t>
            </w:r>
            <w:r w:rsidR="005A043F">
              <w:rPr>
                <w:noProof/>
                <w:webHidden/>
              </w:rPr>
              <w:fldChar w:fldCharType="end"/>
            </w:r>
          </w:hyperlink>
        </w:p>
        <w:p w:rsidR="005A043F" w:rsidRDefault="00F4002C" w14:paraId="2D04B50A" w14:textId="7101EC11">
          <w:pPr>
            <w:pStyle w:val="TOC1"/>
            <w:tabs>
              <w:tab w:val="right" w:leader="dot" w:pos="9350"/>
            </w:tabs>
            <w:rPr>
              <w:rFonts w:asciiTheme="minorHAnsi" w:hAnsiTheme="minorHAnsi" w:cstheme="minorBidi"/>
              <w:noProof/>
              <w:sz w:val="22"/>
            </w:rPr>
          </w:pPr>
          <w:hyperlink w:history="1" w:anchor="_Toc102479662">
            <w:r w:rsidRPr="006414BB" w:rsidR="005A043F">
              <w:rPr>
                <w:rStyle w:val="Hyperlink"/>
                <w:noProof/>
              </w:rPr>
              <w:t>2.</w:t>
            </w:r>
            <w:r w:rsidR="005A043F">
              <w:rPr>
                <w:rFonts w:asciiTheme="minorHAnsi" w:hAnsiTheme="minorHAnsi" w:cstheme="minorBidi"/>
                <w:noProof/>
                <w:sz w:val="22"/>
              </w:rPr>
              <w:tab/>
            </w:r>
            <w:r w:rsidRPr="006414BB" w:rsidR="005A043F">
              <w:rPr>
                <w:rStyle w:val="Hyperlink"/>
                <w:noProof/>
              </w:rPr>
              <w:t>California Policy Favors the Disclosure of  Information in</w:t>
            </w:r>
            <w:r w:rsidR="005A043F">
              <w:rPr>
                <w:rStyle w:val="Hyperlink"/>
                <w:noProof/>
              </w:rPr>
              <w:br/>
            </w:r>
            <w:r w:rsidRPr="006414BB" w:rsidR="005A043F">
              <w:rPr>
                <w:rStyle w:val="Hyperlink"/>
                <w:noProof/>
              </w:rPr>
              <w:t>the Government’s Possession</w:t>
            </w:r>
            <w:r w:rsidR="005A043F">
              <w:rPr>
                <w:noProof/>
                <w:webHidden/>
              </w:rPr>
              <w:tab/>
            </w:r>
            <w:r w:rsidR="005A043F">
              <w:rPr>
                <w:noProof/>
                <w:webHidden/>
              </w:rPr>
              <w:fldChar w:fldCharType="begin"/>
            </w:r>
            <w:r w:rsidR="005A043F">
              <w:rPr>
                <w:noProof/>
                <w:webHidden/>
              </w:rPr>
              <w:instrText xml:space="preserve"> PAGEREF _Toc102479662 \h </w:instrText>
            </w:r>
            <w:r w:rsidR="005A043F">
              <w:rPr>
                <w:noProof/>
                <w:webHidden/>
              </w:rPr>
            </w:r>
            <w:r w:rsidR="005A043F">
              <w:rPr>
                <w:noProof/>
                <w:webHidden/>
              </w:rPr>
              <w:fldChar w:fldCharType="separate"/>
            </w:r>
            <w:r w:rsidR="005A043F">
              <w:rPr>
                <w:noProof/>
                <w:webHidden/>
              </w:rPr>
              <w:t>11</w:t>
            </w:r>
            <w:r w:rsidR="005A043F">
              <w:rPr>
                <w:noProof/>
                <w:webHidden/>
              </w:rPr>
              <w:fldChar w:fldCharType="end"/>
            </w:r>
          </w:hyperlink>
        </w:p>
        <w:p w:rsidR="005A043F" w:rsidRDefault="00F4002C" w14:paraId="28A1FDC7" w14:textId="4596BCEF">
          <w:pPr>
            <w:pStyle w:val="TOC2"/>
            <w:tabs>
              <w:tab w:val="right" w:leader="dot" w:pos="9350"/>
            </w:tabs>
            <w:rPr>
              <w:rFonts w:asciiTheme="minorHAnsi" w:hAnsiTheme="minorHAnsi" w:cstheme="minorBidi"/>
              <w:noProof/>
              <w:sz w:val="22"/>
            </w:rPr>
          </w:pPr>
          <w:hyperlink w:history="1" w:anchor="_Toc102479663">
            <w:r w:rsidRPr="006414BB" w:rsidR="005A043F">
              <w:rPr>
                <w:rStyle w:val="Hyperlink"/>
                <w:noProof/>
              </w:rPr>
              <w:t>2.1.</w:t>
            </w:r>
            <w:r w:rsidR="005A043F">
              <w:rPr>
                <w:rFonts w:asciiTheme="minorHAnsi" w:hAnsiTheme="minorHAnsi" w:cstheme="minorBidi"/>
                <w:noProof/>
                <w:sz w:val="22"/>
              </w:rPr>
              <w:tab/>
            </w:r>
            <w:r w:rsidRPr="006414BB" w:rsidR="005A043F">
              <w:rPr>
                <w:rStyle w:val="Hyperlink"/>
                <w:noProof/>
              </w:rPr>
              <w:t>The Commission’s Regulatory Power to Require Disclosure of</w:t>
            </w:r>
            <w:r w:rsidR="005A043F">
              <w:rPr>
                <w:rStyle w:val="Hyperlink"/>
                <w:noProof/>
              </w:rPr>
              <w:br/>
            </w:r>
            <w:r w:rsidRPr="006414BB" w:rsidR="005A043F">
              <w:rPr>
                <w:rStyle w:val="Hyperlink"/>
                <w:noProof/>
              </w:rPr>
              <w:t>Non-Private Trip Data Does Not Amount to An Unreasonable Search</w:t>
            </w:r>
            <w:r w:rsidR="005A043F">
              <w:rPr>
                <w:rStyle w:val="Hyperlink"/>
                <w:noProof/>
              </w:rPr>
              <w:br/>
            </w:r>
            <w:r w:rsidRPr="006414BB" w:rsidR="005A043F">
              <w:rPr>
                <w:rStyle w:val="Hyperlink"/>
                <w:noProof/>
              </w:rPr>
              <w:t>and Seizure Under the Fourth Amendment</w:t>
            </w:r>
            <w:r w:rsidR="005A043F">
              <w:rPr>
                <w:noProof/>
                <w:webHidden/>
              </w:rPr>
              <w:tab/>
            </w:r>
            <w:r w:rsidR="005A043F">
              <w:rPr>
                <w:noProof/>
                <w:webHidden/>
              </w:rPr>
              <w:fldChar w:fldCharType="begin"/>
            </w:r>
            <w:r w:rsidR="005A043F">
              <w:rPr>
                <w:noProof/>
                <w:webHidden/>
              </w:rPr>
              <w:instrText xml:space="preserve"> PAGEREF _Toc102479663 \h </w:instrText>
            </w:r>
            <w:r w:rsidR="005A043F">
              <w:rPr>
                <w:noProof/>
                <w:webHidden/>
              </w:rPr>
            </w:r>
            <w:r w:rsidR="005A043F">
              <w:rPr>
                <w:noProof/>
                <w:webHidden/>
              </w:rPr>
              <w:fldChar w:fldCharType="separate"/>
            </w:r>
            <w:r w:rsidR="005A043F">
              <w:rPr>
                <w:noProof/>
                <w:webHidden/>
              </w:rPr>
              <w:t>16</w:t>
            </w:r>
            <w:r w:rsidR="005A043F">
              <w:rPr>
                <w:noProof/>
                <w:webHidden/>
              </w:rPr>
              <w:fldChar w:fldCharType="end"/>
            </w:r>
          </w:hyperlink>
        </w:p>
        <w:p w:rsidR="005A043F" w:rsidRDefault="00F4002C" w14:paraId="69917729" w14:textId="501435AC">
          <w:pPr>
            <w:pStyle w:val="TOC2"/>
            <w:tabs>
              <w:tab w:val="right" w:leader="dot" w:pos="9350"/>
            </w:tabs>
            <w:rPr>
              <w:rFonts w:asciiTheme="minorHAnsi" w:hAnsiTheme="minorHAnsi" w:cstheme="minorBidi"/>
              <w:noProof/>
              <w:sz w:val="22"/>
            </w:rPr>
          </w:pPr>
          <w:hyperlink w:history="1" w:anchor="_Toc102479664">
            <w:r w:rsidRPr="006414BB" w:rsidR="005A043F">
              <w:rPr>
                <w:rStyle w:val="Hyperlink"/>
                <w:noProof/>
              </w:rPr>
              <w:t>2.2.</w:t>
            </w:r>
            <w:r w:rsidR="005A043F">
              <w:rPr>
                <w:rFonts w:asciiTheme="minorHAnsi" w:hAnsiTheme="minorHAnsi" w:cstheme="minorBidi"/>
                <w:noProof/>
                <w:sz w:val="22"/>
              </w:rPr>
              <w:tab/>
            </w:r>
            <w:r w:rsidRPr="006414BB" w:rsidR="005A043F">
              <w:rPr>
                <w:rStyle w:val="Hyperlink"/>
                <w:noProof/>
              </w:rPr>
              <w:t>Since the Commission is Not Requiring the Public Disclosure of</w:t>
            </w:r>
            <w:r w:rsidR="005A043F">
              <w:rPr>
                <w:rStyle w:val="Hyperlink"/>
                <w:noProof/>
              </w:rPr>
              <w:br/>
            </w:r>
            <w:r w:rsidRPr="006414BB" w:rsidR="005A043F">
              <w:rPr>
                <w:rStyle w:val="Hyperlink"/>
                <w:noProof/>
              </w:rPr>
              <w:t>Protected Trip Data, Lyft Fails to Establish an Unlawful</w:t>
            </w:r>
            <w:r w:rsidR="005A043F">
              <w:rPr>
                <w:rStyle w:val="Hyperlink"/>
                <w:noProof/>
              </w:rPr>
              <w:br/>
            </w:r>
            <w:r w:rsidRPr="006414BB" w:rsidR="005A043F">
              <w:rPr>
                <w:rStyle w:val="Hyperlink"/>
                <w:noProof/>
              </w:rPr>
              <w:t>Misappropriation to Trigger a Fifth Amendment</w:t>
            </w:r>
            <w:r w:rsidR="005A043F">
              <w:rPr>
                <w:rStyle w:val="Hyperlink"/>
                <w:noProof/>
              </w:rPr>
              <w:br/>
            </w:r>
            <w:r w:rsidRPr="006414BB" w:rsidR="005A043F">
              <w:rPr>
                <w:rStyle w:val="Hyperlink"/>
                <w:noProof/>
              </w:rPr>
              <w:t>Regulatory Takings Argument</w:t>
            </w:r>
            <w:r w:rsidR="005A043F">
              <w:rPr>
                <w:noProof/>
                <w:webHidden/>
              </w:rPr>
              <w:tab/>
            </w:r>
            <w:r w:rsidR="005A043F">
              <w:rPr>
                <w:noProof/>
                <w:webHidden/>
              </w:rPr>
              <w:fldChar w:fldCharType="begin"/>
            </w:r>
            <w:r w:rsidR="005A043F">
              <w:rPr>
                <w:noProof/>
                <w:webHidden/>
              </w:rPr>
              <w:instrText xml:space="preserve"> PAGEREF _Toc102479664 \h </w:instrText>
            </w:r>
            <w:r w:rsidR="005A043F">
              <w:rPr>
                <w:noProof/>
                <w:webHidden/>
              </w:rPr>
            </w:r>
            <w:r w:rsidR="005A043F">
              <w:rPr>
                <w:noProof/>
                <w:webHidden/>
              </w:rPr>
              <w:fldChar w:fldCharType="separate"/>
            </w:r>
            <w:r w:rsidR="005A043F">
              <w:rPr>
                <w:noProof/>
                <w:webHidden/>
              </w:rPr>
              <w:t>22</w:t>
            </w:r>
            <w:r w:rsidR="005A043F">
              <w:rPr>
                <w:noProof/>
                <w:webHidden/>
              </w:rPr>
              <w:fldChar w:fldCharType="end"/>
            </w:r>
          </w:hyperlink>
        </w:p>
        <w:p w:rsidR="005A043F" w:rsidRDefault="00F4002C" w14:paraId="0C953EC2" w14:textId="7C1E5C5B">
          <w:pPr>
            <w:pStyle w:val="TOC1"/>
            <w:tabs>
              <w:tab w:val="right" w:leader="dot" w:pos="9350"/>
            </w:tabs>
            <w:rPr>
              <w:rFonts w:asciiTheme="minorHAnsi" w:hAnsiTheme="minorHAnsi" w:cstheme="minorBidi"/>
              <w:noProof/>
              <w:sz w:val="22"/>
            </w:rPr>
          </w:pPr>
          <w:hyperlink w:history="1" w:anchor="_Toc102479665">
            <w:r w:rsidRPr="006414BB" w:rsidR="005A043F">
              <w:rPr>
                <w:rStyle w:val="Hyperlink"/>
                <w:noProof/>
              </w:rPr>
              <w:t>3.</w:t>
            </w:r>
            <w:r w:rsidR="005A043F">
              <w:rPr>
                <w:rFonts w:asciiTheme="minorHAnsi" w:hAnsiTheme="minorHAnsi" w:cstheme="minorBidi"/>
                <w:noProof/>
                <w:sz w:val="22"/>
              </w:rPr>
              <w:tab/>
            </w:r>
            <w:r w:rsidRPr="006414BB" w:rsidR="005A043F">
              <w:rPr>
                <w:rStyle w:val="Hyperlink"/>
                <w:noProof/>
              </w:rPr>
              <w:t>Standard of Review</w:t>
            </w:r>
            <w:r w:rsidR="005A043F">
              <w:rPr>
                <w:noProof/>
                <w:webHidden/>
              </w:rPr>
              <w:tab/>
            </w:r>
            <w:r w:rsidR="005A043F">
              <w:rPr>
                <w:noProof/>
                <w:webHidden/>
              </w:rPr>
              <w:fldChar w:fldCharType="begin"/>
            </w:r>
            <w:r w:rsidR="005A043F">
              <w:rPr>
                <w:noProof/>
                <w:webHidden/>
              </w:rPr>
              <w:instrText xml:space="preserve"> PAGEREF _Toc102479665 \h </w:instrText>
            </w:r>
            <w:r w:rsidR="005A043F">
              <w:rPr>
                <w:noProof/>
                <w:webHidden/>
              </w:rPr>
            </w:r>
            <w:r w:rsidR="005A043F">
              <w:rPr>
                <w:noProof/>
                <w:webHidden/>
              </w:rPr>
              <w:fldChar w:fldCharType="separate"/>
            </w:r>
            <w:r w:rsidR="005A043F">
              <w:rPr>
                <w:noProof/>
                <w:webHidden/>
              </w:rPr>
              <w:t>28</w:t>
            </w:r>
            <w:r w:rsidR="005A043F">
              <w:rPr>
                <w:noProof/>
                <w:webHidden/>
              </w:rPr>
              <w:fldChar w:fldCharType="end"/>
            </w:r>
          </w:hyperlink>
        </w:p>
        <w:p w:rsidR="005A043F" w:rsidRDefault="00F4002C" w14:paraId="54954A4E" w14:textId="6ACFB55F">
          <w:pPr>
            <w:pStyle w:val="TOC1"/>
            <w:tabs>
              <w:tab w:val="right" w:leader="dot" w:pos="9350"/>
            </w:tabs>
            <w:rPr>
              <w:rFonts w:asciiTheme="minorHAnsi" w:hAnsiTheme="minorHAnsi" w:cstheme="minorBidi"/>
              <w:noProof/>
              <w:sz w:val="22"/>
            </w:rPr>
          </w:pPr>
          <w:hyperlink w:history="1" w:anchor="_Toc102479666">
            <w:r w:rsidRPr="006414BB" w:rsidR="005A043F">
              <w:rPr>
                <w:rStyle w:val="Hyperlink"/>
                <w:noProof/>
              </w:rPr>
              <w:t>4.</w:t>
            </w:r>
            <w:r w:rsidR="005A043F">
              <w:rPr>
                <w:rFonts w:asciiTheme="minorHAnsi" w:hAnsiTheme="minorHAnsi" w:cstheme="minorBidi"/>
                <w:noProof/>
                <w:sz w:val="22"/>
              </w:rPr>
              <w:tab/>
            </w:r>
            <w:r w:rsidRPr="006414BB" w:rsidR="005A043F">
              <w:rPr>
                <w:rStyle w:val="Hyperlink"/>
                <w:noProof/>
              </w:rPr>
              <w:t>Lyft Failed to Meet its Burden of Proving that the Trip Data in</w:t>
            </w:r>
            <w:r w:rsidR="005A043F">
              <w:rPr>
                <w:rStyle w:val="Hyperlink"/>
                <w:noProof/>
              </w:rPr>
              <w:br/>
            </w:r>
            <w:r w:rsidRPr="006414BB" w:rsidR="005A043F">
              <w:rPr>
                <w:rStyle w:val="Hyperlink"/>
                <w:noProof/>
              </w:rPr>
              <w:t>Dispute is Protected from Public Disclosure by the</w:t>
            </w:r>
            <w:r w:rsidR="005A043F">
              <w:rPr>
                <w:rStyle w:val="Hyperlink"/>
                <w:noProof/>
              </w:rPr>
              <w:br/>
            </w:r>
            <w:r w:rsidRPr="006414BB" w:rsidR="005A043F">
              <w:rPr>
                <w:rStyle w:val="Hyperlink"/>
                <w:noProof/>
              </w:rPr>
              <w:t>Trade Secret Privilege</w:t>
            </w:r>
            <w:r w:rsidR="005A043F">
              <w:rPr>
                <w:noProof/>
                <w:webHidden/>
              </w:rPr>
              <w:tab/>
            </w:r>
            <w:r w:rsidR="005A043F">
              <w:rPr>
                <w:noProof/>
                <w:webHidden/>
              </w:rPr>
              <w:fldChar w:fldCharType="begin"/>
            </w:r>
            <w:r w:rsidR="005A043F">
              <w:rPr>
                <w:noProof/>
                <w:webHidden/>
              </w:rPr>
              <w:instrText xml:space="preserve"> PAGEREF _Toc102479666 \h </w:instrText>
            </w:r>
            <w:r w:rsidR="005A043F">
              <w:rPr>
                <w:noProof/>
                <w:webHidden/>
              </w:rPr>
            </w:r>
            <w:r w:rsidR="005A043F">
              <w:rPr>
                <w:noProof/>
                <w:webHidden/>
              </w:rPr>
              <w:fldChar w:fldCharType="separate"/>
            </w:r>
            <w:r w:rsidR="005A043F">
              <w:rPr>
                <w:noProof/>
                <w:webHidden/>
              </w:rPr>
              <w:t>32</w:t>
            </w:r>
            <w:r w:rsidR="005A043F">
              <w:rPr>
                <w:noProof/>
                <w:webHidden/>
              </w:rPr>
              <w:fldChar w:fldCharType="end"/>
            </w:r>
          </w:hyperlink>
        </w:p>
        <w:p w:rsidR="005A043F" w:rsidRDefault="00F4002C" w14:paraId="7E506427" w14:textId="3D46E2D9">
          <w:pPr>
            <w:pStyle w:val="TOC2"/>
            <w:tabs>
              <w:tab w:val="right" w:leader="dot" w:pos="9350"/>
            </w:tabs>
            <w:rPr>
              <w:rFonts w:asciiTheme="minorHAnsi" w:hAnsiTheme="minorHAnsi" w:cstheme="minorBidi"/>
              <w:noProof/>
              <w:sz w:val="22"/>
            </w:rPr>
          </w:pPr>
          <w:hyperlink w:history="1" w:anchor="_Toc102479667">
            <w:r w:rsidRPr="006414BB" w:rsidR="005A043F">
              <w:rPr>
                <w:rStyle w:val="Hyperlink"/>
                <w:noProof/>
              </w:rPr>
              <w:t>4.1.</w:t>
            </w:r>
            <w:r w:rsidR="005A043F">
              <w:rPr>
                <w:rFonts w:asciiTheme="minorHAnsi" w:hAnsiTheme="minorHAnsi" w:cstheme="minorBidi"/>
                <w:noProof/>
                <w:sz w:val="22"/>
              </w:rPr>
              <w:tab/>
            </w:r>
            <w:r w:rsidRPr="006414BB" w:rsidR="005A043F">
              <w:rPr>
                <w:rStyle w:val="Hyperlink"/>
                <w:noProof/>
              </w:rPr>
              <w:t>The Trip Data in the Lyft’s Annual Report  is not a</w:t>
            </w:r>
            <w:r w:rsidR="005A043F">
              <w:rPr>
                <w:rStyle w:val="Hyperlink"/>
                <w:noProof/>
              </w:rPr>
              <w:br/>
            </w:r>
            <w:r w:rsidRPr="006414BB" w:rsidR="005A043F">
              <w:rPr>
                <w:rStyle w:val="Hyperlink"/>
                <w:noProof/>
              </w:rPr>
              <w:t>Protected Unique or  Novel Compilation of Information</w:t>
            </w:r>
            <w:r w:rsidR="005A043F">
              <w:rPr>
                <w:noProof/>
                <w:webHidden/>
              </w:rPr>
              <w:tab/>
            </w:r>
            <w:r w:rsidR="005A043F">
              <w:rPr>
                <w:noProof/>
                <w:webHidden/>
              </w:rPr>
              <w:fldChar w:fldCharType="begin"/>
            </w:r>
            <w:r w:rsidR="005A043F">
              <w:rPr>
                <w:noProof/>
                <w:webHidden/>
              </w:rPr>
              <w:instrText xml:space="preserve"> PAGEREF _Toc102479667 \h </w:instrText>
            </w:r>
            <w:r w:rsidR="005A043F">
              <w:rPr>
                <w:noProof/>
                <w:webHidden/>
              </w:rPr>
            </w:r>
            <w:r w:rsidR="005A043F">
              <w:rPr>
                <w:noProof/>
                <w:webHidden/>
              </w:rPr>
              <w:fldChar w:fldCharType="separate"/>
            </w:r>
            <w:r w:rsidR="005A043F">
              <w:rPr>
                <w:noProof/>
                <w:webHidden/>
              </w:rPr>
              <w:t>35</w:t>
            </w:r>
            <w:r w:rsidR="005A043F">
              <w:rPr>
                <w:noProof/>
                <w:webHidden/>
              </w:rPr>
              <w:fldChar w:fldCharType="end"/>
            </w:r>
          </w:hyperlink>
        </w:p>
        <w:p w:rsidR="005A043F" w:rsidRDefault="00F4002C" w14:paraId="6D1F39DB" w14:textId="5938EE95">
          <w:pPr>
            <w:pStyle w:val="TOC3"/>
            <w:tabs>
              <w:tab w:val="left" w:pos="1296"/>
              <w:tab w:val="right" w:leader="dot" w:pos="9350"/>
            </w:tabs>
            <w:rPr>
              <w:rFonts w:asciiTheme="minorHAnsi" w:hAnsiTheme="minorHAnsi" w:cstheme="minorBidi"/>
              <w:noProof/>
              <w:sz w:val="22"/>
            </w:rPr>
          </w:pPr>
          <w:hyperlink w:history="1" w:anchor="_Toc102479668">
            <w:r w:rsidRPr="006414BB" w:rsidR="005A043F">
              <w:rPr>
                <w:rStyle w:val="Hyperlink"/>
                <w:noProof/>
              </w:rPr>
              <w:t>4.1.1.</w:t>
            </w:r>
            <w:r w:rsidR="005A043F">
              <w:rPr>
                <w:rFonts w:asciiTheme="minorHAnsi" w:hAnsiTheme="minorHAnsi" w:cstheme="minorBidi"/>
                <w:noProof/>
                <w:sz w:val="22"/>
              </w:rPr>
              <w:tab/>
            </w:r>
            <w:r w:rsidRPr="006414BB" w:rsidR="005A043F">
              <w:rPr>
                <w:rStyle w:val="Hyperlink"/>
                <w:noProof/>
              </w:rPr>
              <w:t>Compilation as Unique or Novel</w:t>
            </w:r>
            <w:r w:rsidR="005A043F">
              <w:rPr>
                <w:noProof/>
                <w:webHidden/>
              </w:rPr>
              <w:tab/>
            </w:r>
            <w:r w:rsidR="005A043F">
              <w:rPr>
                <w:noProof/>
                <w:webHidden/>
              </w:rPr>
              <w:fldChar w:fldCharType="begin"/>
            </w:r>
            <w:r w:rsidR="005A043F">
              <w:rPr>
                <w:noProof/>
                <w:webHidden/>
              </w:rPr>
              <w:instrText xml:space="preserve"> PAGEREF _Toc102479668 \h </w:instrText>
            </w:r>
            <w:r w:rsidR="005A043F">
              <w:rPr>
                <w:noProof/>
                <w:webHidden/>
              </w:rPr>
            </w:r>
            <w:r w:rsidR="005A043F">
              <w:rPr>
                <w:noProof/>
                <w:webHidden/>
              </w:rPr>
              <w:fldChar w:fldCharType="separate"/>
            </w:r>
            <w:r w:rsidR="005A043F">
              <w:rPr>
                <w:noProof/>
                <w:webHidden/>
              </w:rPr>
              <w:t>36</w:t>
            </w:r>
            <w:r w:rsidR="005A043F">
              <w:rPr>
                <w:noProof/>
                <w:webHidden/>
              </w:rPr>
              <w:fldChar w:fldCharType="end"/>
            </w:r>
          </w:hyperlink>
        </w:p>
        <w:p w:rsidR="005A043F" w:rsidRDefault="00F4002C" w14:paraId="61FB72FA" w14:textId="0147423E">
          <w:pPr>
            <w:pStyle w:val="TOC3"/>
            <w:tabs>
              <w:tab w:val="left" w:pos="1296"/>
              <w:tab w:val="right" w:leader="dot" w:pos="9350"/>
            </w:tabs>
            <w:rPr>
              <w:rFonts w:asciiTheme="minorHAnsi" w:hAnsiTheme="minorHAnsi" w:cstheme="minorBidi"/>
              <w:noProof/>
              <w:sz w:val="22"/>
            </w:rPr>
          </w:pPr>
          <w:hyperlink w:history="1" w:anchor="_Toc102479669">
            <w:r w:rsidRPr="006414BB" w:rsidR="005A043F">
              <w:rPr>
                <w:rStyle w:val="Hyperlink"/>
                <w:noProof/>
              </w:rPr>
              <w:t>4.1.2.</w:t>
            </w:r>
            <w:r w:rsidR="005A043F">
              <w:rPr>
                <w:rFonts w:asciiTheme="minorHAnsi" w:hAnsiTheme="minorHAnsi" w:cstheme="minorBidi"/>
                <w:noProof/>
                <w:sz w:val="22"/>
              </w:rPr>
              <w:tab/>
            </w:r>
            <w:r w:rsidRPr="006414BB" w:rsidR="005A043F">
              <w:rPr>
                <w:rStyle w:val="Hyperlink"/>
                <w:noProof/>
              </w:rPr>
              <w:t>Compiled for Regulatory Purpose</w:t>
            </w:r>
            <w:r w:rsidR="005A043F">
              <w:rPr>
                <w:noProof/>
                <w:webHidden/>
              </w:rPr>
              <w:tab/>
            </w:r>
            <w:r w:rsidR="005A043F">
              <w:rPr>
                <w:noProof/>
                <w:webHidden/>
              </w:rPr>
              <w:fldChar w:fldCharType="begin"/>
            </w:r>
            <w:r w:rsidR="005A043F">
              <w:rPr>
                <w:noProof/>
                <w:webHidden/>
              </w:rPr>
              <w:instrText xml:space="preserve"> PAGEREF _Toc102479669 \h </w:instrText>
            </w:r>
            <w:r w:rsidR="005A043F">
              <w:rPr>
                <w:noProof/>
                <w:webHidden/>
              </w:rPr>
            </w:r>
            <w:r w:rsidR="005A043F">
              <w:rPr>
                <w:noProof/>
                <w:webHidden/>
              </w:rPr>
              <w:fldChar w:fldCharType="separate"/>
            </w:r>
            <w:r w:rsidR="005A043F">
              <w:rPr>
                <w:noProof/>
                <w:webHidden/>
              </w:rPr>
              <w:t>43</w:t>
            </w:r>
            <w:r w:rsidR="005A043F">
              <w:rPr>
                <w:noProof/>
                <w:webHidden/>
              </w:rPr>
              <w:fldChar w:fldCharType="end"/>
            </w:r>
          </w:hyperlink>
        </w:p>
        <w:p w:rsidR="005A043F" w:rsidRDefault="00F4002C" w14:paraId="0676DABC" w14:textId="1D2AEF36">
          <w:pPr>
            <w:pStyle w:val="TOC3"/>
            <w:tabs>
              <w:tab w:val="left" w:pos="1296"/>
              <w:tab w:val="right" w:leader="dot" w:pos="9350"/>
            </w:tabs>
            <w:rPr>
              <w:rFonts w:asciiTheme="minorHAnsi" w:hAnsiTheme="minorHAnsi" w:cstheme="minorBidi"/>
              <w:noProof/>
              <w:sz w:val="22"/>
            </w:rPr>
          </w:pPr>
          <w:hyperlink w:history="1" w:anchor="_Toc102479670">
            <w:r w:rsidRPr="006414BB" w:rsidR="005A043F">
              <w:rPr>
                <w:rStyle w:val="Hyperlink"/>
                <w:noProof/>
              </w:rPr>
              <w:t>4.1.3.</w:t>
            </w:r>
            <w:r w:rsidR="005A043F">
              <w:rPr>
                <w:rFonts w:asciiTheme="minorHAnsi" w:hAnsiTheme="minorHAnsi" w:cstheme="minorBidi"/>
                <w:noProof/>
                <w:sz w:val="22"/>
              </w:rPr>
              <w:tab/>
            </w:r>
            <w:r w:rsidRPr="006414BB" w:rsidR="005A043F">
              <w:rPr>
                <w:rStyle w:val="Hyperlink"/>
                <w:noProof/>
              </w:rPr>
              <w:t>Overbreadth of Lyft’s Uniqueness Claim</w:t>
            </w:r>
            <w:r w:rsidR="005A043F">
              <w:rPr>
                <w:noProof/>
                <w:webHidden/>
              </w:rPr>
              <w:tab/>
            </w:r>
            <w:r w:rsidR="005A043F">
              <w:rPr>
                <w:noProof/>
                <w:webHidden/>
              </w:rPr>
              <w:fldChar w:fldCharType="begin"/>
            </w:r>
            <w:r w:rsidR="005A043F">
              <w:rPr>
                <w:noProof/>
                <w:webHidden/>
              </w:rPr>
              <w:instrText xml:space="preserve"> PAGEREF _Toc102479670 \h </w:instrText>
            </w:r>
            <w:r w:rsidR="005A043F">
              <w:rPr>
                <w:noProof/>
                <w:webHidden/>
              </w:rPr>
            </w:r>
            <w:r w:rsidR="005A043F">
              <w:rPr>
                <w:noProof/>
                <w:webHidden/>
              </w:rPr>
              <w:fldChar w:fldCharType="separate"/>
            </w:r>
            <w:r w:rsidR="005A043F">
              <w:rPr>
                <w:noProof/>
                <w:webHidden/>
              </w:rPr>
              <w:t>48</w:t>
            </w:r>
            <w:r w:rsidR="005A043F">
              <w:rPr>
                <w:noProof/>
                <w:webHidden/>
              </w:rPr>
              <w:fldChar w:fldCharType="end"/>
            </w:r>
          </w:hyperlink>
        </w:p>
        <w:p w:rsidR="005A043F" w:rsidRDefault="00F4002C" w14:paraId="18B1FFB8" w14:textId="476D40C4">
          <w:pPr>
            <w:pStyle w:val="TOC2"/>
            <w:tabs>
              <w:tab w:val="right" w:leader="dot" w:pos="9350"/>
            </w:tabs>
            <w:rPr>
              <w:rFonts w:asciiTheme="minorHAnsi" w:hAnsiTheme="minorHAnsi" w:cstheme="minorBidi"/>
              <w:noProof/>
              <w:sz w:val="22"/>
            </w:rPr>
          </w:pPr>
          <w:hyperlink w:history="1" w:anchor="_Toc102479671">
            <w:r w:rsidRPr="006414BB" w:rsidR="005A043F">
              <w:rPr>
                <w:rStyle w:val="Hyperlink"/>
                <w:noProof/>
              </w:rPr>
              <w:t>4.2.</w:t>
            </w:r>
            <w:r w:rsidR="005A043F">
              <w:rPr>
                <w:rFonts w:asciiTheme="minorHAnsi" w:hAnsiTheme="minorHAnsi" w:cstheme="minorBidi"/>
                <w:noProof/>
                <w:sz w:val="22"/>
              </w:rPr>
              <w:tab/>
            </w:r>
            <w:r w:rsidRPr="006414BB" w:rsidR="005A043F">
              <w:rPr>
                <w:rStyle w:val="Hyperlink"/>
                <w:noProof/>
              </w:rPr>
              <w:t>Lyft Fails to Establish that Trip Data has Independent Value</w:t>
            </w:r>
            <w:r w:rsidR="005A043F">
              <w:rPr>
                <w:rStyle w:val="Hyperlink"/>
                <w:noProof/>
              </w:rPr>
              <w:br/>
            </w:r>
            <w:r w:rsidRPr="006414BB" w:rsidR="005A043F">
              <w:rPr>
                <w:rStyle w:val="Hyperlink"/>
                <w:noProof/>
              </w:rPr>
              <w:t>Because of its Alleged Secrecy</w:t>
            </w:r>
            <w:r w:rsidR="005A043F">
              <w:rPr>
                <w:noProof/>
                <w:webHidden/>
              </w:rPr>
              <w:tab/>
            </w:r>
            <w:r w:rsidR="005A043F">
              <w:rPr>
                <w:noProof/>
                <w:webHidden/>
              </w:rPr>
              <w:fldChar w:fldCharType="begin"/>
            </w:r>
            <w:r w:rsidR="005A043F">
              <w:rPr>
                <w:noProof/>
                <w:webHidden/>
              </w:rPr>
              <w:instrText xml:space="preserve"> PAGEREF _Toc102479671 \h </w:instrText>
            </w:r>
            <w:r w:rsidR="005A043F">
              <w:rPr>
                <w:noProof/>
                <w:webHidden/>
              </w:rPr>
            </w:r>
            <w:r w:rsidR="005A043F">
              <w:rPr>
                <w:noProof/>
                <w:webHidden/>
              </w:rPr>
              <w:fldChar w:fldCharType="separate"/>
            </w:r>
            <w:r w:rsidR="005A043F">
              <w:rPr>
                <w:noProof/>
                <w:webHidden/>
              </w:rPr>
              <w:t>57</w:t>
            </w:r>
            <w:r w:rsidR="005A043F">
              <w:rPr>
                <w:noProof/>
                <w:webHidden/>
              </w:rPr>
              <w:fldChar w:fldCharType="end"/>
            </w:r>
          </w:hyperlink>
        </w:p>
        <w:p w:rsidR="005A043F" w:rsidRDefault="00F4002C" w14:paraId="7FABE9C4" w14:textId="3C103F17">
          <w:pPr>
            <w:pStyle w:val="TOC2"/>
            <w:tabs>
              <w:tab w:val="right" w:leader="dot" w:pos="9350"/>
            </w:tabs>
            <w:rPr>
              <w:rFonts w:asciiTheme="minorHAnsi" w:hAnsiTheme="minorHAnsi" w:cstheme="minorBidi"/>
              <w:noProof/>
              <w:sz w:val="22"/>
            </w:rPr>
          </w:pPr>
          <w:hyperlink w:history="1" w:anchor="_Toc102479672">
            <w:r w:rsidRPr="006414BB" w:rsidR="005A043F">
              <w:rPr>
                <w:rStyle w:val="Hyperlink"/>
                <w:noProof/>
              </w:rPr>
              <w:t>4.3.</w:t>
            </w:r>
            <w:r w:rsidR="005A043F">
              <w:rPr>
                <w:rFonts w:asciiTheme="minorHAnsi" w:hAnsiTheme="minorHAnsi" w:cstheme="minorBidi"/>
                <w:noProof/>
                <w:sz w:val="22"/>
              </w:rPr>
              <w:tab/>
            </w:r>
            <w:r w:rsidRPr="006414BB" w:rsidR="005A043F">
              <w:rPr>
                <w:rStyle w:val="Hyperlink"/>
                <w:noProof/>
              </w:rPr>
              <w:t>Lyft Fails to Establish that it has Taken Reasonable Efforts to</w:t>
            </w:r>
            <w:r w:rsidR="005A043F">
              <w:rPr>
                <w:rStyle w:val="Hyperlink"/>
                <w:noProof/>
              </w:rPr>
              <w:br/>
            </w:r>
            <w:r w:rsidRPr="006414BB" w:rsidR="005A043F">
              <w:rPr>
                <w:rStyle w:val="Hyperlink"/>
                <w:noProof/>
              </w:rPr>
              <w:t>Maintain the  Secrecy of its Trip Data</w:t>
            </w:r>
            <w:r w:rsidR="005A043F">
              <w:rPr>
                <w:noProof/>
                <w:webHidden/>
              </w:rPr>
              <w:tab/>
            </w:r>
            <w:r w:rsidR="005A043F">
              <w:rPr>
                <w:noProof/>
                <w:webHidden/>
              </w:rPr>
              <w:fldChar w:fldCharType="begin"/>
            </w:r>
            <w:r w:rsidR="005A043F">
              <w:rPr>
                <w:noProof/>
                <w:webHidden/>
              </w:rPr>
              <w:instrText xml:space="preserve"> PAGEREF _Toc102479672 \h </w:instrText>
            </w:r>
            <w:r w:rsidR="005A043F">
              <w:rPr>
                <w:noProof/>
                <w:webHidden/>
              </w:rPr>
            </w:r>
            <w:r w:rsidR="005A043F">
              <w:rPr>
                <w:noProof/>
                <w:webHidden/>
              </w:rPr>
              <w:fldChar w:fldCharType="separate"/>
            </w:r>
            <w:r w:rsidR="005A043F">
              <w:rPr>
                <w:noProof/>
                <w:webHidden/>
              </w:rPr>
              <w:t>66</w:t>
            </w:r>
            <w:r w:rsidR="005A043F">
              <w:rPr>
                <w:noProof/>
                <w:webHidden/>
              </w:rPr>
              <w:fldChar w:fldCharType="end"/>
            </w:r>
          </w:hyperlink>
        </w:p>
        <w:p w:rsidR="005A043F" w:rsidRDefault="00F4002C" w14:paraId="0133FFB0" w14:textId="01E0161C">
          <w:pPr>
            <w:pStyle w:val="TOC2"/>
            <w:tabs>
              <w:tab w:val="right" w:leader="dot" w:pos="9350"/>
            </w:tabs>
            <w:rPr>
              <w:rFonts w:asciiTheme="minorHAnsi" w:hAnsiTheme="minorHAnsi" w:cstheme="minorBidi"/>
              <w:noProof/>
              <w:sz w:val="22"/>
            </w:rPr>
          </w:pPr>
          <w:hyperlink w:history="1" w:anchor="_Toc102479673">
            <w:r w:rsidRPr="006414BB" w:rsidR="005A043F">
              <w:rPr>
                <w:rStyle w:val="Hyperlink"/>
                <w:noProof/>
              </w:rPr>
              <w:t>4.4.</w:t>
            </w:r>
            <w:r w:rsidR="005A043F">
              <w:rPr>
                <w:rFonts w:asciiTheme="minorHAnsi" w:hAnsiTheme="minorHAnsi" w:cstheme="minorBidi"/>
                <w:noProof/>
                <w:sz w:val="22"/>
              </w:rPr>
              <w:tab/>
            </w:r>
            <w:r w:rsidRPr="006414BB" w:rsidR="005A043F">
              <w:rPr>
                <w:rStyle w:val="Hyperlink"/>
                <w:noProof/>
              </w:rPr>
              <w:t>Balancing Test Considerations Weigh  in Favor of</w:t>
            </w:r>
            <w:r w:rsidR="005A043F">
              <w:rPr>
                <w:rStyle w:val="Hyperlink"/>
                <w:noProof/>
              </w:rPr>
              <w:br/>
            </w:r>
            <w:r w:rsidRPr="006414BB" w:rsidR="005A043F">
              <w:rPr>
                <w:rStyle w:val="Hyperlink"/>
                <w:noProof/>
              </w:rPr>
              <w:t>Disclosing Alleged  Trade Secret Information</w:t>
            </w:r>
            <w:r w:rsidR="005A043F">
              <w:rPr>
                <w:noProof/>
                <w:webHidden/>
              </w:rPr>
              <w:tab/>
            </w:r>
            <w:r w:rsidR="005A043F">
              <w:rPr>
                <w:noProof/>
                <w:webHidden/>
              </w:rPr>
              <w:fldChar w:fldCharType="begin"/>
            </w:r>
            <w:r w:rsidR="005A043F">
              <w:rPr>
                <w:noProof/>
                <w:webHidden/>
              </w:rPr>
              <w:instrText xml:space="preserve"> PAGEREF _Toc102479673 \h </w:instrText>
            </w:r>
            <w:r w:rsidR="005A043F">
              <w:rPr>
                <w:noProof/>
                <w:webHidden/>
              </w:rPr>
            </w:r>
            <w:r w:rsidR="005A043F">
              <w:rPr>
                <w:noProof/>
                <w:webHidden/>
              </w:rPr>
              <w:fldChar w:fldCharType="separate"/>
            </w:r>
            <w:r w:rsidR="005A043F">
              <w:rPr>
                <w:noProof/>
                <w:webHidden/>
              </w:rPr>
              <w:t>71</w:t>
            </w:r>
            <w:r w:rsidR="005A043F">
              <w:rPr>
                <w:noProof/>
                <w:webHidden/>
              </w:rPr>
              <w:fldChar w:fldCharType="end"/>
            </w:r>
          </w:hyperlink>
        </w:p>
        <w:p w:rsidR="005A043F" w:rsidRDefault="00F4002C" w14:paraId="42E4C39A" w14:textId="0B168986">
          <w:pPr>
            <w:pStyle w:val="TOC3"/>
            <w:tabs>
              <w:tab w:val="left" w:pos="1296"/>
              <w:tab w:val="right" w:leader="dot" w:pos="9350"/>
            </w:tabs>
            <w:rPr>
              <w:rFonts w:asciiTheme="minorHAnsi" w:hAnsiTheme="minorHAnsi" w:cstheme="minorBidi"/>
              <w:noProof/>
              <w:sz w:val="22"/>
            </w:rPr>
          </w:pPr>
          <w:hyperlink w:history="1" w:anchor="_Toc102479674">
            <w:r w:rsidRPr="006414BB" w:rsidR="005A043F">
              <w:rPr>
                <w:rStyle w:val="Hyperlink"/>
                <w:noProof/>
              </w:rPr>
              <w:t>4.4.1.</w:t>
            </w:r>
            <w:r w:rsidR="005A043F">
              <w:rPr>
                <w:rFonts w:asciiTheme="minorHAnsi" w:hAnsiTheme="minorHAnsi" w:cstheme="minorBidi"/>
                <w:noProof/>
                <w:sz w:val="22"/>
              </w:rPr>
              <w:tab/>
            </w:r>
            <w:r w:rsidRPr="006414BB" w:rsidR="005A043F">
              <w:rPr>
                <w:rStyle w:val="Hyperlink"/>
                <w:noProof/>
              </w:rPr>
              <w:t>Evidence Code § 1060 and the Interplay with Government</w:t>
            </w:r>
            <w:r w:rsidR="005A043F">
              <w:rPr>
                <w:rStyle w:val="Hyperlink"/>
                <w:noProof/>
              </w:rPr>
              <w:br/>
            </w:r>
            <w:r w:rsidRPr="006414BB" w:rsidR="005A043F">
              <w:rPr>
                <w:rStyle w:val="Hyperlink"/>
                <w:noProof/>
              </w:rPr>
              <w:t>Code §</w:t>
            </w:r>
            <w:r w:rsidR="005A043F">
              <w:rPr>
                <w:rStyle w:val="Hyperlink"/>
                <w:noProof/>
              </w:rPr>
              <w:t> </w:t>
            </w:r>
            <w:r w:rsidRPr="006414BB" w:rsidR="005A043F">
              <w:rPr>
                <w:rStyle w:val="Hyperlink"/>
                <w:noProof/>
              </w:rPr>
              <w:t>6254(k)</w:t>
            </w:r>
            <w:r w:rsidR="005A043F">
              <w:rPr>
                <w:noProof/>
                <w:webHidden/>
              </w:rPr>
              <w:tab/>
            </w:r>
            <w:r w:rsidR="005A043F">
              <w:rPr>
                <w:noProof/>
                <w:webHidden/>
              </w:rPr>
              <w:fldChar w:fldCharType="begin"/>
            </w:r>
            <w:r w:rsidR="005A043F">
              <w:rPr>
                <w:noProof/>
                <w:webHidden/>
              </w:rPr>
              <w:instrText xml:space="preserve"> PAGEREF _Toc102479674 \h </w:instrText>
            </w:r>
            <w:r w:rsidR="005A043F">
              <w:rPr>
                <w:noProof/>
                <w:webHidden/>
              </w:rPr>
            </w:r>
            <w:r w:rsidR="005A043F">
              <w:rPr>
                <w:noProof/>
                <w:webHidden/>
              </w:rPr>
              <w:fldChar w:fldCharType="separate"/>
            </w:r>
            <w:r w:rsidR="005A043F">
              <w:rPr>
                <w:noProof/>
                <w:webHidden/>
              </w:rPr>
              <w:t>71</w:t>
            </w:r>
            <w:r w:rsidR="005A043F">
              <w:rPr>
                <w:noProof/>
                <w:webHidden/>
              </w:rPr>
              <w:fldChar w:fldCharType="end"/>
            </w:r>
          </w:hyperlink>
        </w:p>
        <w:p w:rsidR="005A043F" w:rsidRDefault="00F4002C" w14:paraId="5D30BB6B" w14:textId="17F71FC8">
          <w:pPr>
            <w:pStyle w:val="TOC3"/>
            <w:tabs>
              <w:tab w:val="left" w:pos="1296"/>
              <w:tab w:val="right" w:leader="dot" w:pos="9350"/>
            </w:tabs>
            <w:rPr>
              <w:rFonts w:asciiTheme="minorHAnsi" w:hAnsiTheme="minorHAnsi" w:cstheme="minorBidi"/>
              <w:noProof/>
              <w:sz w:val="22"/>
            </w:rPr>
          </w:pPr>
          <w:hyperlink w:history="1" w:anchor="_Toc102479675">
            <w:r w:rsidRPr="006414BB" w:rsidR="005A043F">
              <w:rPr>
                <w:rStyle w:val="Hyperlink"/>
                <w:noProof/>
              </w:rPr>
              <w:t>4.4.2.</w:t>
            </w:r>
            <w:r w:rsidR="005A043F">
              <w:rPr>
                <w:rFonts w:asciiTheme="minorHAnsi" w:hAnsiTheme="minorHAnsi" w:cstheme="minorBidi"/>
                <w:noProof/>
                <w:sz w:val="22"/>
              </w:rPr>
              <w:tab/>
            </w:r>
            <w:r w:rsidRPr="006414BB" w:rsidR="005A043F">
              <w:rPr>
                <w:rStyle w:val="Hyperlink"/>
                <w:noProof/>
              </w:rPr>
              <w:t xml:space="preserve">Government Code </w:t>
            </w:r>
            <w:r w:rsidRPr="006414BB" w:rsidR="005A043F">
              <w:rPr>
                <w:rStyle w:val="Hyperlink"/>
                <w:rFonts w:cs="Arial"/>
                <w:noProof/>
              </w:rPr>
              <w:t>§ </w:t>
            </w:r>
            <w:r w:rsidRPr="006414BB" w:rsidR="005A043F">
              <w:rPr>
                <w:rStyle w:val="Hyperlink"/>
                <w:noProof/>
              </w:rPr>
              <w:t>6255 Public Interest Balancing Test</w:t>
            </w:r>
            <w:r w:rsidR="005A043F">
              <w:rPr>
                <w:noProof/>
                <w:webHidden/>
              </w:rPr>
              <w:tab/>
            </w:r>
            <w:r w:rsidR="005A043F">
              <w:rPr>
                <w:noProof/>
                <w:webHidden/>
              </w:rPr>
              <w:fldChar w:fldCharType="begin"/>
            </w:r>
            <w:r w:rsidR="005A043F">
              <w:rPr>
                <w:noProof/>
                <w:webHidden/>
              </w:rPr>
              <w:instrText xml:space="preserve"> PAGEREF _Toc102479675 \h </w:instrText>
            </w:r>
            <w:r w:rsidR="005A043F">
              <w:rPr>
                <w:noProof/>
                <w:webHidden/>
              </w:rPr>
            </w:r>
            <w:r w:rsidR="005A043F">
              <w:rPr>
                <w:noProof/>
                <w:webHidden/>
              </w:rPr>
              <w:fldChar w:fldCharType="separate"/>
            </w:r>
            <w:r w:rsidR="005A043F">
              <w:rPr>
                <w:noProof/>
                <w:webHidden/>
              </w:rPr>
              <w:t>78</w:t>
            </w:r>
            <w:r w:rsidR="005A043F">
              <w:rPr>
                <w:noProof/>
                <w:webHidden/>
              </w:rPr>
              <w:fldChar w:fldCharType="end"/>
            </w:r>
          </w:hyperlink>
        </w:p>
        <w:p w:rsidR="005A043F" w:rsidRDefault="00F4002C" w14:paraId="3192E053" w14:textId="61CA117A">
          <w:pPr>
            <w:pStyle w:val="TOC4"/>
            <w:tabs>
              <w:tab w:val="left" w:pos="1728"/>
              <w:tab w:val="right" w:leader="dot" w:pos="9350"/>
            </w:tabs>
            <w:rPr>
              <w:rFonts w:asciiTheme="minorHAnsi" w:hAnsiTheme="minorHAnsi" w:eastAsiaTheme="minorEastAsia"/>
              <w:noProof/>
              <w:sz w:val="22"/>
            </w:rPr>
          </w:pPr>
          <w:hyperlink w:history="1" w:anchor="_Toc102479676">
            <w:r w:rsidRPr="006414BB" w:rsidR="005A043F">
              <w:rPr>
                <w:rStyle w:val="Hyperlink"/>
                <w:noProof/>
              </w:rPr>
              <w:t>4.4.2.1.</w:t>
            </w:r>
            <w:r w:rsidR="005A043F">
              <w:rPr>
                <w:rFonts w:asciiTheme="minorHAnsi" w:hAnsiTheme="minorHAnsi" w:eastAsiaTheme="minorEastAsia"/>
                <w:noProof/>
                <w:sz w:val="22"/>
              </w:rPr>
              <w:tab/>
            </w:r>
            <w:r w:rsidRPr="006414BB" w:rsidR="005A043F">
              <w:rPr>
                <w:rStyle w:val="Hyperlink"/>
                <w:noProof/>
              </w:rPr>
              <w:t>Does the Public interest in Nondisclosure</w:t>
            </w:r>
            <w:r w:rsidR="005A043F">
              <w:rPr>
                <w:rStyle w:val="Hyperlink"/>
                <w:noProof/>
              </w:rPr>
              <w:br/>
            </w:r>
            <w:r w:rsidRPr="006414BB" w:rsidR="005A043F">
              <w:rPr>
                <w:rStyle w:val="Hyperlink"/>
                <w:noProof/>
              </w:rPr>
              <w:t>Clearly Outweigh Disclsoure?</w:t>
            </w:r>
            <w:r w:rsidR="005A043F">
              <w:rPr>
                <w:noProof/>
                <w:webHidden/>
              </w:rPr>
              <w:tab/>
            </w:r>
            <w:r w:rsidR="005A043F">
              <w:rPr>
                <w:noProof/>
                <w:webHidden/>
              </w:rPr>
              <w:fldChar w:fldCharType="begin"/>
            </w:r>
            <w:r w:rsidR="005A043F">
              <w:rPr>
                <w:noProof/>
                <w:webHidden/>
              </w:rPr>
              <w:instrText xml:space="preserve"> PAGEREF _Toc102479676 \h </w:instrText>
            </w:r>
            <w:r w:rsidR="005A043F">
              <w:rPr>
                <w:noProof/>
                <w:webHidden/>
              </w:rPr>
            </w:r>
            <w:r w:rsidR="005A043F">
              <w:rPr>
                <w:noProof/>
                <w:webHidden/>
              </w:rPr>
              <w:fldChar w:fldCharType="separate"/>
            </w:r>
            <w:r w:rsidR="005A043F">
              <w:rPr>
                <w:noProof/>
                <w:webHidden/>
              </w:rPr>
              <w:t>79</w:t>
            </w:r>
            <w:r w:rsidR="005A043F">
              <w:rPr>
                <w:noProof/>
                <w:webHidden/>
              </w:rPr>
              <w:fldChar w:fldCharType="end"/>
            </w:r>
          </w:hyperlink>
        </w:p>
        <w:p w:rsidR="005A043F" w:rsidRDefault="00F4002C" w14:paraId="6AB48B91" w14:textId="3E9EF025">
          <w:pPr>
            <w:pStyle w:val="TOC4"/>
            <w:tabs>
              <w:tab w:val="left" w:pos="1728"/>
              <w:tab w:val="right" w:leader="dot" w:pos="9350"/>
            </w:tabs>
            <w:rPr>
              <w:rFonts w:asciiTheme="minorHAnsi" w:hAnsiTheme="minorHAnsi" w:eastAsiaTheme="minorEastAsia"/>
              <w:noProof/>
              <w:sz w:val="22"/>
            </w:rPr>
          </w:pPr>
          <w:hyperlink w:history="1" w:anchor="_Toc102479677">
            <w:r w:rsidRPr="006414BB" w:rsidR="005A043F">
              <w:rPr>
                <w:rStyle w:val="Hyperlink"/>
                <w:noProof/>
              </w:rPr>
              <w:t>4.4.2.2.</w:t>
            </w:r>
            <w:r w:rsidR="005A043F">
              <w:rPr>
                <w:rFonts w:asciiTheme="minorHAnsi" w:hAnsiTheme="minorHAnsi" w:eastAsiaTheme="minorEastAsia"/>
                <w:noProof/>
                <w:sz w:val="22"/>
              </w:rPr>
              <w:tab/>
            </w:r>
            <w:r w:rsidRPr="006414BB" w:rsidR="005A043F">
              <w:rPr>
                <w:rStyle w:val="Hyperlink"/>
                <w:noProof/>
              </w:rPr>
              <w:t>The Public’s Interest in Disclosure of Lyft’s Trip Data</w:t>
            </w:r>
            <w:r w:rsidR="005A043F">
              <w:rPr>
                <w:rStyle w:val="Hyperlink"/>
                <w:noProof/>
              </w:rPr>
              <w:br/>
            </w:r>
            <w:r w:rsidRPr="006414BB" w:rsidR="005A043F">
              <w:rPr>
                <w:rStyle w:val="Hyperlink"/>
                <w:noProof/>
              </w:rPr>
              <w:t>Greatly Outweighs Nondisclosure.</w:t>
            </w:r>
            <w:r w:rsidR="005A043F">
              <w:rPr>
                <w:noProof/>
                <w:webHidden/>
              </w:rPr>
              <w:tab/>
            </w:r>
            <w:r w:rsidR="005A043F">
              <w:rPr>
                <w:noProof/>
                <w:webHidden/>
              </w:rPr>
              <w:fldChar w:fldCharType="begin"/>
            </w:r>
            <w:r w:rsidR="005A043F">
              <w:rPr>
                <w:noProof/>
                <w:webHidden/>
              </w:rPr>
              <w:instrText xml:space="preserve"> PAGEREF _Toc102479677 \h </w:instrText>
            </w:r>
            <w:r w:rsidR="005A043F">
              <w:rPr>
                <w:noProof/>
                <w:webHidden/>
              </w:rPr>
            </w:r>
            <w:r w:rsidR="005A043F">
              <w:rPr>
                <w:noProof/>
                <w:webHidden/>
              </w:rPr>
              <w:fldChar w:fldCharType="separate"/>
            </w:r>
            <w:r w:rsidR="005A043F">
              <w:rPr>
                <w:noProof/>
                <w:webHidden/>
              </w:rPr>
              <w:t>84</w:t>
            </w:r>
            <w:r w:rsidR="005A043F">
              <w:rPr>
                <w:noProof/>
                <w:webHidden/>
              </w:rPr>
              <w:fldChar w:fldCharType="end"/>
            </w:r>
          </w:hyperlink>
        </w:p>
        <w:p w:rsidR="005A043F" w:rsidRDefault="00F4002C" w14:paraId="2B5B3B74" w14:textId="3F6DE96E">
          <w:pPr>
            <w:pStyle w:val="TOC1"/>
            <w:tabs>
              <w:tab w:val="right" w:leader="dot" w:pos="9350"/>
            </w:tabs>
            <w:rPr>
              <w:rFonts w:asciiTheme="minorHAnsi" w:hAnsiTheme="minorHAnsi" w:cstheme="minorBidi"/>
              <w:noProof/>
              <w:sz w:val="22"/>
            </w:rPr>
          </w:pPr>
          <w:hyperlink w:history="1" w:anchor="_Toc102479678">
            <w:r w:rsidRPr="006414BB" w:rsidR="005A043F">
              <w:rPr>
                <w:rStyle w:val="Hyperlink"/>
                <w:noProof/>
              </w:rPr>
              <w:t>5.</w:t>
            </w:r>
            <w:r w:rsidR="005A043F">
              <w:rPr>
                <w:rFonts w:asciiTheme="minorHAnsi" w:hAnsiTheme="minorHAnsi" w:cstheme="minorBidi"/>
                <w:noProof/>
                <w:sz w:val="22"/>
              </w:rPr>
              <w:tab/>
            </w:r>
            <w:r w:rsidRPr="006414BB" w:rsidR="005A043F">
              <w:rPr>
                <w:rStyle w:val="Hyperlink"/>
                <w:noProof/>
              </w:rPr>
              <w:t>Lyft Failed to Meet its Burden of Proving that the Trip Data in</w:t>
            </w:r>
            <w:r w:rsidR="005A043F">
              <w:rPr>
                <w:rStyle w:val="Hyperlink"/>
                <w:noProof/>
              </w:rPr>
              <w:br/>
            </w:r>
            <w:r w:rsidRPr="006414BB" w:rsidR="005A043F">
              <w:rPr>
                <w:rStyle w:val="Hyperlink"/>
                <w:noProof/>
              </w:rPr>
              <w:t>Dispute is Protected from Public Disclosure on Privacy Grounds</w:t>
            </w:r>
            <w:r w:rsidR="005A043F">
              <w:rPr>
                <w:noProof/>
                <w:webHidden/>
              </w:rPr>
              <w:tab/>
            </w:r>
            <w:r w:rsidR="005A043F">
              <w:rPr>
                <w:noProof/>
                <w:webHidden/>
              </w:rPr>
              <w:fldChar w:fldCharType="begin"/>
            </w:r>
            <w:r w:rsidR="005A043F">
              <w:rPr>
                <w:noProof/>
                <w:webHidden/>
              </w:rPr>
              <w:instrText xml:space="preserve"> PAGEREF _Toc102479678 \h </w:instrText>
            </w:r>
            <w:r w:rsidR="005A043F">
              <w:rPr>
                <w:noProof/>
                <w:webHidden/>
              </w:rPr>
            </w:r>
            <w:r w:rsidR="005A043F">
              <w:rPr>
                <w:noProof/>
                <w:webHidden/>
              </w:rPr>
              <w:fldChar w:fldCharType="separate"/>
            </w:r>
            <w:r w:rsidR="005A043F">
              <w:rPr>
                <w:noProof/>
                <w:webHidden/>
              </w:rPr>
              <w:t>92</w:t>
            </w:r>
            <w:r w:rsidR="005A043F">
              <w:rPr>
                <w:noProof/>
                <w:webHidden/>
              </w:rPr>
              <w:fldChar w:fldCharType="end"/>
            </w:r>
          </w:hyperlink>
        </w:p>
        <w:p w:rsidR="005A043F" w:rsidRDefault="00F4002C" w14:paraId="66049BB1" w14:textId="4FD9710A">
          <w:pPr>
            <w:pStyle w:val="TOC1"/>
            <w:tabs>
              <w:tab w:val="right" w:leader="dot" w:pos="9350"/>
            </w:tabs>
            <w:rPr>
              <w:rFonts w:asciiTheme="minorHAnsi" w:hAnsiTheme="minorHAnsi" w:cstheme="minorBidi"/>
              <w:noProof/>
              <w:sz w:val="22"/>
            </w:rPr>
          </w:pPr>
          <w:hyperlink w:history="1" w:anchor="_Toc102479679">
            <w:r w:rsidRPr="006414BB" w:rsidR="005A043F">
              <w:rPr>
                <w:rStyle w:val="Hyperlink"/>
                <w:noProof/>
              </w:rPr>
              <w:t>6.</w:t>
            </w:r>
            <w:r w:rsidR="005A043F">
              <w:rPr>
                <w:rFonts w:asciiTheme="minorHAnsi" w:hAnsiTheme="minorHAnsi" w:cstheme="minorBidi"/>
                <w:noProof/>
                <w:sz w:val="22"/>
              </w:rPr>
              <w:tab/>
            </w:r>
            <w:r w:rsidRPr="006414BB" w:rsidR="005A043F">
              <w:rPr>
                <w:rStyle w:val="Hyperlink"/>
                <w:noProof/>
              </w:rPr>
              <w:t>Conclusion</w:t>
            </w:r>
            <w:r w:rsidR="005A043F">
              <w:rPr>
                <w:noProof/>
                <w:webHidden/>
              </w:rPr>
              <w:tab/>
            </w:r>
            <w:r w:rsidR="005A043F">
              <w:rPr>
                <w:noProof/>
                <w:webHidden/>
              </w:rPr>
              <w:fldChar w:fldCharType="begin"/>
            </w:r>
            <w:r w:rsidR="005A043F">
              <w:rPr>
                <w:noProof/>
                <w:webHidden/>
              </w:rPr>
              <w:instrText xml:space="preserve"> PAGEREF _Toc102479679 \h </w:instrText>
            </w:r>
            <w:r w:rsidR="005A043F">
              <w:rPr>
                <w:noProof/>
                <w:webHidden/>
              </w:rPr>
            </w:r>
            <w:r w:rsidR="005A043F">
              <w:rPr>
                <w:noProof/>
                <w:webHidden/>
              </w:rPr>
              <w:fldChar w:fldCharType="separate"/>
            </w:r>
            <w:r w:rsidR="005A043F">
              <w:rPr>
                <w:noProof/>
                <w:webHidden/>
              </w:rPr>
              <w:t>100</w:t>
            </w:r>
            <w:r w:rsidR="005A043F">
              <w:rPr>
                <w:noProof/>
                <w:webHidden/>
              </w:rPr>
              <w:fldChar w:fldCharType="end"/>
            </w:r>
          </w:hyperlink>
        </w:p>
        <w:p w:rsidR="005A043F" w:rsidRDefault="00F4002C" w14:paraId="59D5CB3D" w14:textId="280B46E5">
          <w:pPr>
            <w:pStyle w:val="TOC1"/>
            <w:tabs>
              <w:tab w:val="right" w:leader="dot" w:pos="9350"/>
            </w:tabs>
            <w:rPr>
              <w:rFonts w:asciiTheme="minorHAnsi" w:hAnsiTheme="minorHAnsi" w:cstheme="minorBidi"/>
              <w:noProof/>
              <w:sz w:val="22"/>
            </w:rPr>
          </w:pPr>
          <w:hyperlink w:history="1" w:anchor="_Toc102479680">
            <w:r w:rsidRPr="006414BB" w:rsidR="005A043F">
              <w:rPr>
                <w:rStyle w:val="Hyperlink"/>
                <w:noProof/>
              </w:rPr>
              <w:t>7.</w:t>
            </w:r>
            <w:r w:rsidR="005A043F">
              <w:rPr>
                <w:rFonts w:asciiTheme="minorHAnsi" w:hAnsiTheme="minorHAnsi" w:cstheme="minorBidi"/>
                <w:noProof/>
                <w:sz w:val="22"/>
              </w:rPr>
              <w:tab/>
            </w:r>
            <w:r w:rsidRPr="006414BB" w:rsidR="005A043F">
              <w:rPr>
                <w:rStyle w:val="Hyperlink"/>
                <w:noProof/>
              </w:rPr>
              <w:t>Comments on Proposed Decision</w:t>
            </w:r>
            <w:r w:rsidR="005A043F">
              <w:rPr>
                <w:noProof/>
                <w:webHidden/>
              </w:rPr>
              <w:tab/>
            </w:r>
            <w:r w:rsidR="005A043F">
              <w:rPr>
                <w:noProof/>
                <w:webHidden/>
              </w:rPr>
              <w:fldChar w:fldCharType="begin"/>
            </w:r>
            <w:r w:rsidR="005A043F">
              <w:rPr>
                <w:noProof/>
                <w:webHidden/>
              </w:rPr>
              <w:instrText xml:space="preserve"> PAGEREF _Toc102479680 \h </w:instrText>
            </w:r>
            <w:r w:rsidR="005A043F">
              <w:rPr>
                <w:noProof/>
                <w:webHidden/>
              </w:rPr>
            </w:r>
            <w:r w:rsidR="005A043F">
              <w:rPr>
                <w:noProof/>
                <w:webHidden/>
              </w:rPr>
              <w:fldChar w:fldCharType="separate"/>
            </w:r>
            <w:r w:rsidR="005A043F">
              <w:rPr>
                <w:noProof/>
                <w:webHidden/>
              </w:rPr>
              <w:t>101</w:t>
            </w:r>
            <w:r w:rsidR="005A043F">
              <w:rPr>
                <w:noProof/>
                <w:webHidden/>
              </w:rPr>
              <w:fldChar w:fldCharType="end"/>
            </w:r>
          </w:hyperlink>
        </w:p>
        <w:p w:rsidR="005A043F" w:rsidRDefault="00F4002C" w14:paraId="79E2B940" w14:textId="7D33F039">
          <w:pPr>
            <w:pStyle w:val="TOC1"/>
            <w:tabs>
              <w:tab w:val="right" w:leader="dot" w:pos="9350"/>
            </w:tabs>
            <w:rPr>
              <w:rFonts w:asciiTheme="minorHAnsi" w:hAnsiTheme="minorHAnsi" w:cstheme="minorBidi"/>
              <w:noProof/>
              <w:sz w:val="22"/>
            </w:rPr>
          </w:pPr>
          <w:hyperlink w:history="1" w:anchor="_Toc102479681">
            <w:r w:rsidRPr="006414BB" w:rsidR="005A043F">
              <w:rPr>
                <w:rStyle w:val="Hyperlink"/>
                <w:noProof/>
              </w:rPr>
              <w:t>8.</w:t>
            </w:r>
            <w:r w:rsidR="005A043F">
              <w:rPr>
                <w:rFonts w:asciiTheme="minorHAnsi" w:hAnsiTheme="minorHAnsi" w:cstheme="minorBidi"/>
                <w:noProof/>
                <w:sz w:val="22"/>
              </w:rPr>
              <w:tab/>
            </w:r>
            <w:r w:rsidRPr="006414BB" w:rsidR="005A043F">
              <w:rPr>
                <w:rStyle w:val="Hyperlink"/>
                <w:noProof/>
              </w:rPr>
              <w:t>Assignment of Proceeding</w:t>
            </w:r>
            <w:r w:rsidR="005A043F">
              <w:rPr>
                <w:noProof/>
                <w:webHidden/>
              </w:rPr>
              <w:tab/>
            </w:r>
            <w:r w:rsidR="005A043F">
              <w:rPr>
                <w:noProof/>
                <w:webHidden/>
              </w:rPr>
              <w:fldChar w:fldCharType="begin"/>
            </w:r>
            <w:r w:rsidR="005A043F">
              <w:rPr>
                <w:noProof/>
                <w:webHidden/>
              </w:rPr>
              <w:instrText xml:space="preserve"> PAGEREF _Toc102479681 \h </w:instrText>
            </w:r>
            <w:r w:rsidR="005A043F">
              <w:rPr>
                <w:noProof/>
                <w:webHidden/>
              </w:rPr>
            </w:r>
            <w:r w:rsidR="005A043F">
              <w:rPr>
                <w:noProof/>
                <w:webHidden/>
              </w:rPr>
              <w:fldChar w:fldCharType="separate"/>
            </w:r>
            <w:r w:rsidR="005A043F">
              <w:rPr>
                <w:noProof/>
                <w:webHidden/>
              </w:rPr>
              <w:t>121</w:t>
            </w:r>
            <w:r w:rsidR="005A043F">
              <w:rPr>
                <w:noProof/>
                <w:webHidden/>
              </w:rPr>
              <w:fldChar w:fldCharType="end"/>
            </w:r>
          </w:hyperlink>
        </w:p>
        <w:p w:rsidR="005A043F" w:rsidRDefault="00F4002C" w14:paraId="09E9C124" w14:textId="6D9A54E7">
          <w:pPr>
            <w:pStyle w:val="TOC1"/>
            <w:tabs>
              <w:tab w:val="right" w:leader="dot" w:pos="9350"/>
            </w:tabs>
            <w:rPr>
              <w:rFonts w:asciiTheme="minorHAnsi" w:hAnsiTheme="minorHAnsi" w:cstheme="minorBidi"/>
              <w:noProof/>
              <w:sz w:val="22"/>
            </w:rPr>
          </w:pPr>
          <w:hyperlink w:history="1" w:anchor="_Toc102479682">
            <w:r w:rsidRPr="006414BB" w:rsidR="005A043F">
              <w:rPr>
                <w:rStyle w:val="Hyperlink"/>
                <w:noProof/>
              </w:rPr>
              <w:t>Findings of Fact</w:t>
            </w:r>
            <w:r w:rsidR="005A043F">
              <w:rPr>
                <w:noProof/>
                <w:webHidden/>
              </w:rPr>
              <w:tab/>
            </w:r>
            <w:r w:rsidR="005A043F">
              <w:rPr>
                <w:noProof/>
                <w:webHidden/>
              </w:rPr>
              <w:fldChar w:fldCharType="begin"/>
            </w:r>
            <w:r w:rsidR="005A043F">
              <w:rPr>
                <w:noProof/>
                <w:webHidden/>
              </w:rPr>
              <w:instrText xml:space="preserve"> PAGEREF _Toc102479682 \h </w:instrText>
            </w:r>
            <w:r w:rsidR="005A043F">
              <w:rPr>
                <w:noProof/>
                <w:webHidden/>
              </w:rPr>
            </w:r>
            <w:r w:rsidR="005A043F">
              <w:rPr>
                <w:noProof/>
                <w:webHidden/>
              </w:rPr>
              <w:fldChar w:fldCharType="separate"/>
            </w:r>
            <w:r w:rsidR="005A043F">
              <w:rPr>
                <w:noProof/>
                <w:webHidden/>
              </w:rPr>
              <w:t>121</w:t>
            </w:r>
            <w:r w:rsidR="005A043F">
              <w:rPr>
                <w:noProof/>
                <w:webHidden/>
              </w:rPr>
              <w:fldChar w:fldCharType="end"/>
            </w:r>
          </w:hyperlink>
        </w:p>
        <w:p w:rsidR="005A043F" w:rsidRDefault="00F4002C" w14:paraId="67A34357" w14:textId="7F192B8C">
          <w:pPr>
            <w:pStyle w:val="TOC1"/>
            <w:tabs>
              <w:tab w:val="right" w:leader="dot" w:pos="9350"/>
            </w:tabs>
            <w:rPr>
              <w:rFonts w:asciiTheme="minorHAnsi" w:hAnsiTheme="minorHAnsi" w:cstheme="minorBidi"/>
              <w:noProof/>
              <w:sz w:val="22"/>
            </w:rPr>
          </w:pPr>
          <w:hyperlink w:history="1" w:anchor="_Toc102479683">
            <w:r w:rsidRPr="006414BB" w:rsidR="005A043F">
              <w:rPr>
                <w:rStyle w:val="Hyperlink"/>
                <w:noProof/>
              </w:rPr>
              <w:t>Conclusions of Law</w:t>
            </w:r>
            <w:r w:rsidR="005A043F">
              <w:rPr>
                <w:noProof/>
                <w:webHidden/>
              </w:rPr>
              <w:tab/>
            </w:r>
            <w:r w:rsidR="005A043F">
              <w:rPr>
                <w:noProof/>
                <w:webHidden/>
              </w:rPr>
              <w:fldChar w:fldCharType="begin"/>
            </w:r>
            <w:r w:rsidR="005A043F">
              <w:rPr>
                <w:noProof/>
                <w:webHidden/>
              </w:rPr>
              <w:instrText xml:space="preserve"> PAGEREF _Toc102479683 \h </w:instrText>
            </w:r>
            <w:r w:rsidR="005A043F">
              <w:rPr>
                <w:noProof/>
                <w:webHidden/>
              </w:rPr>
            </w:r>
            <w:r w:rsidR="005A043F">
              <w:rPr>
                <w:noProof/>
                <w:webHidden/>
              </w:rPr>
              <w:fldChar w:fldCharType="separate"/>
            </w:r>
            <w:r w:rsidR="005A043F">
              <w:rPr>
                <w:noProof/>
                <w:webHidden/>
              </w:rPr>
              <w:t>122</w:t>
            </w:r>
            <w:r w:rsidR="005A043F">
              <w:rPr>
                <w:noProof/>
                <w:webHidden/>
              </w:rPr>
              <w:fldChar w:fldCharType="end"/>
            </w:r>
          </w:hyperlink>
        </w:p>
        <w:p w:rsidR="005A043F" w:rsidRDefault="00F4002C" w14:paraId="7D5B4275" w14:textId="555988FF">
          <w:pPr>
            <w:pStyle w:val="TOC1"/>
            <w:tabs>
              <w:tab w:val="right" w:leader="dot" w:pos="9350"/>
            </w:tabs>
            <w:rPr>
              <w:rFonts w:asciiTheme="minorHAnsi" w:hAnsiTheme="minorHAnsi" w:cstheme="minorBidi"/>
              <w:noProof/>
              <w:sz w:val="22"/>
            </w:rPr>
          </w:pPr>
          <w:hyperlink w:history="1" w:anchor="_Toc102479684">
            <w:r w:rsidRPr="006414BB" w:rsidR="005A043F">
              <w:rPr>
                <w:rStyle w:val="Hyperlink"/>
                <w:noProof/>
              </w:rPr>
              <w:t>ORDER</w:t>
            </w:r>
            <w:r w:rsidR="005A043F">
              <w:rPr>
                <w:noProof/>
                <w:webHidden/>
              </w:rPr>
              <w:tab/>
            </w:r>
            <w:r w:rsidR="005A043F">
              <w:rPr>
                <w:noProof/>
                <w:webHidden/>
              </w:rPr>
              <w:fldChar w:fldCharType="begin"/>
            </w:r>
            <w:r w:rsidR="005A043F">
              <w:rPr>
                <w:noProof/>
                <w:webHidden/>
              </w:rPr>
              <w:instrText xml:space="preserve"> PAGEREF _Toc102479684 \h </w:instrText>
            </w:r>
            <w:r w:rsidR="005A043F">
              <w:rPr>
                <w:noProof/>
                <w:webHidden/>
              </w:rPr>
            </w:r>
            <w:r w:rsidR="005A043F">
              <w:rPr>
                <w:noProof/>
                <w:webHidden/>
              </w:rPr>
              <w:fldChar w:fldCharType="separate"/>
            </w:r>
            <w:r w:rsidR="005A043F">
              <w:rPr>
                <w:noProof/>
                <w:webHidden/>
              </w:rPr>
              <w:t>124</w:t>
            </w:r>
            <w:r w:rsidR="005A043F">
              <w:rPr>
                <w:noProof/>
                <w:webHidden/>
              </w:rPr>
              <w:fldChar w:fldCharType="end"/>
            </w:r>
          </w:hyperlink>
        </w:p>
        <w:p w:rsidR="009F05EA" w:rsidP="00450E03" w:rsidRDefault="00450E03" w14:paraId="32385705" w14:textId="31118B40">
          <w:pPr>
            <w:tabs>
              <w:tab w:val="right" w:pos="9360"/>
            </w:tabs>
            <w:ind w:firstLine="0"/>
            <w:rPr>
              <w:b/>
            </w:rPr>
          </w:pPr>
          <w:r w:rsidRPr="00450E03">
            <w:rPr>
              <w:rFonts w:asciiTheme="minorHAnsi" w:hAnsiTheme="minorHAnsi"/>
              <w:sz w:val="22"/>
            </w:rPr>
            <w:fldChar w:fldCharType="end"/>
          </w:r>
        </w:p>
      </w:sdtContent>
    </w:sdt>
    <w:p w:rsidR="00F76650" w:rsidP="00D44DB6" w:rsidRDefault="00F76650" w14:paraId="234CBD2F" w14:textId="46B6FA86">
      <w:pPr>
        <w:spacing w:line="240" w:lineRule="auto"/>
        <w:ind w:firstLine="0"/>
        <w:rPr>
          <w:rFonts w:cs="Arial"/>
          <w:szCs w:val="26"/>
        </w:rPr>
      </w:pPr>
    </w:p>
    <w:p w:rsidRPr="00D44DB6" w:rsidR="00D44DB6" w:rsidP="00D44DB6" w:rsidRDefault="00D44DB6" w14:paraId="42D0DC5F" w14:textId="43722A56">
      <w:pPr>
        <w:spacing w:line="240" w:lineRule="auto"/>
        <w:ind w:firstLine="0"/>
        <w:rPr>
          <w:rFonts w:cs="Arial"/>
          <w:i/>
          <w:szCs w:val="26"/>
        </w:rPr>
        <w:sectPr w:rsidRPr="00D44DB6" w:rsidR="00D44DB6" w:rsidSect="00D44DB6">
          <w:headerReference w:type="default" r:id="rId12"/>
          <w:footerReference w:type="default" r:id="rId13"/>
          <w:pgSz w:w="12240" w:h="15840"/>
          <w:pgMar w:top="1728" w:right="1440" w:bottom="1440" w:left="1440" w:header="720" w:footer="720" w:gutter="0"/>
          <w:pgNumType w:fmt="lowerRoman" w:start="1"/>
          <w:cols w:space="720"/>
          <w:docGrid w:linePitch="360"/>
        </w:sectPr>
      </w:pPr>
      <w:r w:rsidRPr="00D44DB6">
        <w:rPr>
          <w:rFonts w:cs="Arial"/>
          <w:i/>
          <w:szCs w:val="26"/>
        </w:rPr>
        <w:t>.</w:t>
      </w:r>
    </w:p>
    <w:p w:rsidR="0098655A" w:rsidP="00182031" w:rsidRDefault="00182031" w14:paraId="61A2FFBA" w14:textId="0A3A484D">
      <w:pPr>
        <w:pStyle w:val="Dummy"/>
        <w:jc w:val="center"/>
      </w:pPr>
      <w:bookmarkStart w:name="_Toc82095103" w:id="3"/>
      <w:bookmarkStart w:name="_Toc82193563" w:id="4"/>
      <w:bookmarkStart w:name="_Toc94682526" w:id="5"/>
      <w:bookmarkStart w:name="_Toc102479655" w:id="6"/>
      <w:bookmarkStart w:name="_Hlk99698829" w:id="7"/>
      <w:r>
        <w:lastRenderedPageBreak/>
        <w:t>DECISION DENYING APPEAL OF LYFT, INC.RE: RULING DENYING, IN PART, MOTIONS BY UBER TECHNOLOGIES, INC. AND LYFT INC. FOR CONFIDENTIAL TREATMENT OF CERTAIN INFORMATION IN</w:t>
      </w:r>
      <w:r>
        <w:br/>
        <w:t>THEIR 2020 ANNUAL REPORTS</w:t>
      </w:r>
      <w:bookmarkEnd w:id="3"/>
      <w:bookmarkEnd w:id="4"/>
      <w:bookmarkEnd w:id="5"/>
      <w:bookmarkEnd w:id="6"/>
    </w:p>
    <w:p w:rsidR="005A148C" w:rsidP="005A148C" w:rsidRDefault="005A148C" w14:paraId="45396CE5" w14:textId="77777777">
      <w:pPr>
        <w:pStyle w:val="Dummy"/>
      </w:pPr>
      <w:bookmarkStart w:name="_Toc8123714" w:id="8"/>
      <w:bookmarkStart w:name="_Toc82193564" w:id="9"/>
      <w:bookmarkStart w:name="_Toc94682527" w:id="10"/>
      <w:bookmarkStart w:name="_Toc102479656" w:id="11"/>
      <w:bookmarkEnd w:id="7"/>
      <w:r>
        <w:t>Summary</w:t>
      </w:r>
      <w:bookmarkEnd w:id="8"/>
      <w:bookmarkEnd w:id="9"/>
      <w:bookmarkEnd w:id="10"/>
      <w:bookmarkEnd w:id="11"/>
    </w:p>
    <w:p w:rsidR="001C59B4" w:rsidP="006E6574" w:rsidRDefault="001C59B4" w14:paraId="400E582D" w14:textId="6416AD16">
      <w:pPr>
        <w:pStyle w:val="Standard"/>
      </w:pPr>
      <w:r>
        <w:t>This decision denies the</w:t>
      </w:r>
      <w:r w:rsidR="00742CFF">
        <w:t xml:space="preserve"> </w:t>
      </w:r>
      <w:r w:rsidRPr="008A1DE9" w:rsidR="008A1DE9">
        <w:rPr>
          <w:i/>
          <w:iCs/>
        </w:rPr>
        <w:t>A</w:t>
      </w:r>
      <w:r w:rsidRPr="008A1DE9">
        <w:rPr>
          <w:i/>
          <w:iCs/>
        </w:rPr>
        <w:t>ppeal</w:t>
      </w:r>
      <w:r>
        <w:t xml:space="preserve"> of Lyft, Inc. (Lyft) which seek</w:t>
      </w:r>
      <w:r w:rsidR="00742CFF">
        <w:t>s</w:t>
      </w:r>
      <w:r>
        <w:t xml:space="preserve"> to overturn the</w:t>
      </w:r>
      <w:r w:rsidR="00742CFF">
        <w:t xml:space="preserve"> assigned Administrative Law Judge’s</w:t>
      </w:r>
      <w:r>
        <w:t xml:space="preserve"> </w:t>
      </w:r>
      <w:r w:rsidRPr="001C59B4">
        <w:rPr>
          <w:i/>
          <w:iCs/>
        </w:rPr>
        <w:t>Ruling</w:t>
      </w:r>
      <w:r w:rsidR="00F17E96">
        <w:rPr>
          <w:i/>
          <w:iCs/>
        </w:rPr>
        <w:t xml:space="preserve"> on</w:t>
      </w:r>
      <w:r w:rsidRPr="001C59B4">
        <w:rPr>
          <w:i/>
          <w:iCs/>
        </w:rPr>
        <w:t xml:space="preserve"> Uber Technologies, Inc.</w:t>
      </w:r>
      <w:r w:rsidR="00F17E96">
        <w:rPr>
          <w:i/>
          <w:iCs/>
        </w:rPr>
        <w:t>’s</w:t>
      </w:r>
      <w:r w:rsidRPr="001C59B4">
        <w:rPr>
          <w:i/>
          <w:iCs/>
        </w:rPr>
        <w:t xml:space="preserve"> and Lyft</w:t>
      </w:r>
      <w:r w:rsidR="00F17E96">
        <w:rPr>
          <w:i/>
          <w:iCs/>
        </w:rPr>
        <w:t>’s Motion</w:t>
      </w:r>
      <w:r w:rsidRPr="001C59B4">
        <w:rPr>
          <w:i/>
          <w:iCs/>
        </w:rPr>
        <w:t xml:space="preserve"> for Confidential Treatment of Certain Information in Their 2020 Annual Reports</w:t>
      </w:r>
      <w:r w:rsidR="00134E0E">
        <w:t xml:space="preserve"> (</w:t>
      </w:r>
      <w:r w:rsidRPr="00134E0E" w:rsidR="00134E0E">
        <w:rPr>
          <w:i/>
          <w:iCs/>
        </w:rPr>
        <w:t>Ruling</w:t>
      </w:r>
      <w:r w:rsidR="00134E0E">
        <w:t>).</w:t>
      </w:r>
      <w:r>
        <w:t xml:space="preserve"> </w:t>
      </w:r>
      <w:r w:rsidR="008D1262">
        <w:t xml:space="preserve"> </w:t>
      </w:r>
      <w:r w:rsidR="003C3FEE">
        <w:t xml:space="preserve">We deny </w:t>
      </w:r>
      <w:r>
        <w:t xml:space="preserve">Lyft’s </w:t>
      </w:r>
      <w:r w:rsidR="008A1DE9">
        <w:rPr>
          <w:i/>
          <w:iCs/>
        </w:rPr>
        <w:t>A</w:t>
      </w:r>
      <w:r w:rsidRPr="008A1DE9">
        <w:rPr>
          <w:i/>
          <w:iCs/>
        </w:rPr>
        <w:t>ppeal</w:t>
      </w:r>
      <w:r>
        <w:t xml:space="preserve"> on the grounds that Lyft </w:t>
      </w:r>
      <w:r w:rsidR="00BC5637">
        <w:t xml:space="preserve">has </w:t>
      </w:r>
      <w:r>
        <w:t xml:space="preserve">failed to demonstrate, by a preponderance of the evidence, that the </w:t>
      </w:r>
      <w:r w:rsidR="00A73946">
        <w:t xml:space="preserve">trip </w:t>
      </w:r>
      <w:r>
        <w:t>data</w:t>
      </w:r>
      <w:r w:rsidR="007E5811">
        <w:t xml:space="preserve"> at issue that</w:t>
      </w:r>
      <w:r>
        <w:t xml:space="preserve"> Lyft want</w:t>
      </w:r>
      <w:r w:rsidR="00BC5637">
        <w:t>s</w:t>
      </w:r>
      <w:r>
        <w:t xml:space="preserve"> to redact from the public version of </w:t>
      </w:r>
      <w:r w:rsidR="003C3FEE">
        <w:t xml:space="preserve">its </w:t>
      </w:r>
      <w:r>
        <w:t>2020</w:t>
      </w:r>
      <w:r w:rsidR="00B90929">
        <w:t> </w:t>
      </w:r>
      <w:r>
        <w:t xml:space="preserve">Annual Report </w:t>
      </w:r>
      <w:r w:rsidR="00BC5637">
        <w:t>is</w:t>
      </w:r>
      <w:r>
        <w:t xml:space="preserve"> protected from disclosure </w:t>
      </w:r>
      <w:r w:rsidR="00BC5637">
        <w:t>on either</w:t>
      </w:r>
      <w:r w:rsidR="00CF1C04">
        <w:t xml:space="preserve"> </w:t>
      </w:r>
      <w:r w:rsidR="00CA202E">
        <w:t>trade secret or privacy grounds.</w:t>
      </w:r>
      <w:r w:rsidR="00BC5637">
        <w:t xml:space="preserve"> </w:t>
      </w:r>
      <w:r w:rsidR="008D1262">
        <w:t xml:space="preserve"> </w:t>
      </w:r>
      <w:r w:rsidR="00134E0E">
        <w:t xml:space="preserve">After reviewing the evidentiary record, the Commission concludes that the </w:t>
      </w:r>
      <w:r w:rsidRPr="00134E0E" w:rsidR="00134E0E">
        <w:rPr>
          <w:i/>
          <w:iCs/>
        </w:rPr>
        <w:t>Ruling</w:t>
      </w:r>
      <w:r w:rsidR="00134E0E">
        <w:t xml:space="preserve"> is supported by substantial evidence.</w:t>
      </w:r>
    </w:p>
    <w:p w:rsidR="00BC5637" w:rsidP="006E6574" w:rsidRDefault="00BC5637" w14:paraId="457D6A54" w14:textId="77777777">
      <w:pPr>
        <w:pStyle w:val="Standard"/>
      </w:pPr>
      <w:r>
        <w:t>This proceeding remains open.</w:t>
      </w:r>
    </w:p>
    <w:p w:rsidRPr="00121089" w:rsidR="005A148C" w:rsidP="00A55ACD" w:rsidRDefault="002C7FE9" w14:paraId="0430149A" w14:textId="77777777">
      <w:pPr>
        <w:pStyle w:val="Heading1"/>
        <w:numPr>
          <w:ilvl w:val="0"/>
          <w:numId w:val="1"/>
        </w:numPr>
      </w:pPr>
      <w:bookmarkStart w:name="_Toc8123715" w:id="12"/>
      <w:bookmarkStart w:name="_Toc82193565" w:id="13"/>
      <w:bookmarkStart w:name="_Toc94682528" w:id="14"/>
      <w:bookmarkStart w:name="_Toc102479657" w:id="15"/>
      <w:r w:rsidRPr="00121089">
        <w:t>Background</w:t>
      </w:r>
      <w:bookmarkEnd w:id="12"/>
      <w:bookmarkEnd w:id="13"/>
      <w:bookmarkEnd w:id="14"/>
      <w:bookmarkEnd w:id="15"/>
    </w:p>
    <w:p w:rsidRPr="00182031" w:rsidR="002C7FE9" w:rsidP="00182031" w:rsidRDefault="00587E35" w14:paraId="43931DB4" w14:textId="7A033581">
      <w:pPr>
        <w:pStyle w:val="Standard"/>
      </w:pPr>
      <w:r>
        <w:t>In this decision,</w:t>
      </w:r>
      <w:r w:rsidRPr="00587E35">
        <w:t xml:space="preserve"> </w:t>
      </w:r>
      <w:r>
        <w:t xml:space="preserve">the </w:t>
      </w:r>
      <w:r w:rsidR="008D1262">
        <w:t xml:space="preserve">California Public Utilities </w:t>
      </w:r>
      <w:r>
        <w:t xml:space="preserve">Commission </w:t>
      </w:r>
      <w:r w:rsidR="008D1262">
        <w:t xml:space="preserve">(Commission) </w:t>
      </w:r>
      <w:r>
        <w:t>must address what</w:t>
      </w:r>
      <w:r w:rsidR="00A73946">
        <w:t xml:space="preserve"> trip data</w:t>
      </w:r>
      <w:r>
        <w:t xml:space="preserve"> information a Transportation Network Company (TNC) may redact from the public version of its Annual Reports. </w:t>
      </w:r>
      <w:r w:rsidR="008D1262">
        <w:t xml:space="preserve"> </w:t>
      </w:r>
      <w:r>
        <w:t xml:space="preserve">While this issue is being addressed in the context of Lyft’s </w:t>
      </w:r>
      <w:r w:rsidRPr="00CA202E" w:rsidR="00CA202E">
        <w:rPr>
          <w:i/>
          <w:iCs/>
        </w:rPr>
        <w:t>Appeal</w:t>
      </w:r>
      <w:r>
        <w:t xml:space="preserve">, many TNCs have raised the same arguments in their respective </w:t>
      </w:r>
      <w:r w:rsidRPr="00CA202E">
        <w:rPr>
          <w:i/>
          <w:iCs/>
        </w:rPr>
        <w:t>Motions for Confidential Treatment</w:t>
      </w:r>
      <w:r>
        <w:t>.</w:t>
      </w:r>
      <w:r>
        <w:rPr>
          <w:rStyle w:val="FootnoteReference"/>
          <w:szCs w:val="26"/>
        </w:rPr>
        <w:footnoteReference w:id="2"/>
      </w:r>
      <w:r>
        <w:t xml:space="preserve"> </w:t>
      </w:r>
      <w:r w:rsidR="008D1262">
        <w:t xml:space="preserve"> </w:t>
      </w:r>
      <w:r>
        <w:t xml:space="preserve">Thus, the Commission </w:t>
      </w:r>
      <w:r w:rsidR="00CA202E">
        <w:t>intends</w:t>
      </w:r>
      <w:r>
        <w:t xml:space="preserve"> that the determinations made in this decision will be a</w:t>
      </w:r>
      <w:r w:rsidR="00CA202E">
        <w:t>n instructive</w:t>
      </w:r>
      <w:r>
        <w:t xml:space="preserve"> guide for other TNCs going forward and will obviate the need </w:t>
      </w:r>
      <w:r w:rsidR="00CA202E">
        <w:t xml:space="preserve">for the Commission, the assigned Commissioner, and the assigned Administrative Law </w:t>
      </w:r>
      <w:r w:rsidR="00CA202E">
        <w:lastRenderedPageBreak/>
        <w:t xml:space="preserve">Judge </w:t>
      </w:r>
      <w:r w:rsidR="008D1262">
        <w:t xml:space="preserve">(ALJ) </w:t>
      </w:r>
      <w:r>
        <w:t>to continually evaluate the same claims for confidential treatment</w:t>
      </w:r>
      <w:r w:rsidR="00CF1C04">
        <w:t xml:space="preserve"> based on the same predicate facts</w:t>
      </w:r>
      <w:r w:rsidR="00F83C94">
        <w:t xml:space="preserve"> and arguments</w:t>
      </w:r>
      <w:r>
        <w:t>.</w:t>
      </w:r>
    </w:p>
    <w:p w:rsidR="0063491C" w:rsidP="0063491C" w:rsidRDefault="0063491C" w14:paraId="7DE76059" w14:textId="77777777">
      <w:pPr>
        <w:pStyle w:val="Heading2"/>
      </w:pPr>
      <w:bookmarkStart w:name="_Toc8123716" w:id="16"/>
      <w:bookmarkStart w:name="_Toc82193566" w:id="17"/>
      <w:bookmarkStart w:name="_Toc94682529" w:id="18"/>
      <w:bookmarkStart w:name="_Toc102479658" w:id="19"/>
      <w:r>
        <w:t>Factual Background</w:t>
      </w:r>
      <w:bookmarkEnd w:id="16"/>
      <w:bookmarkEnd w:id="17"/>
      <w:bookmarkEnd w:id="18"/>
      <w:bookmarkEnd w:id="19"/>
    </w:p>
    <w:p w:rsidRPr="00182031" w:rsidR="00E01BC4" w:rsidP="00182031" w:rsidRDefault="00585050" w14:paraId="14BDB568" w14:textId="7F6CBC18">
      <w:pPr>
        <w:pStyle w:val="Standard"/>
      </w:pPr>
      <w:r>
        <w:t>Decision (D.) 13-09-045</w:t>
      </w:r>
      <w:r w:rsidR="00134E0E">
        <w:rPr>
          <w:rStyle w:val="FootnoteReference"/>
          <w:szCs w:val="26"/>
        </w:rPr>
        <w:footnoteReference w:id="3"/>
      </w:r>
      <w:r>
        <w:t xml:space="preserve"> authorized the operation in California of a new category of transportation charter party carriers called Transportation Network Companies (TNC). </w:t>
      </w:r>
      <w:r w:rsidR="008D1262">
        <w:t xml:space="preserve"> </w:t>
      </w:r>
      <w:r>
        <w:t>As a condition to be permitted to operate, D.13-09-045 set forth various requirements that TNC must comply with, one of which was the obligat</w:t>
      </w:r>
      <w:r w:rsidR="00A73946">
        <w:t>ion</w:t>
      </w:r>
      <w:r>
        <w:t xml:space="preserve"> to submit</w:t>
      </w:r>
      <w:r w:rsidR="00974912">
        <w:t xml:space="preserve"> verified</w:t>
      </w:r>
      <w:r>
        <w:t xml:space="preserve"> Annual TNC Reports to the Commission that include information (later </w:t>
      </w:r>
      <w:r w:rsidR="00974912">
        <w:t xml:space="preserve">collectively </w:t>
      </w:r>
      <w:r>
        <w:t xml:space="preserve">referred to </w:t>
      </w:r>
      <w:r w:rsidR="00134E0E">
        <w:t xml:space="preserve">in this decision </w:t>
      </w:r>
      <w:r>
        <w:t>as trip data or geolocational data) about each trip provided by a TNC driver for the 11 months prior to Annual TNC Report’s due date</w:t>
      </w:r>
      <w:r w:rsidR="00134E0E">
        <w:t xml:space="preserve">. </w:t>
      </w:r>
      <w:r w:rsidR="008D1262">
        <w:t xml:space="preserve"> </w:t>
      </w:r>
      <w:r w:rsidR="000145CE">
        <w:t>T</w:t>
      </w:r>
      <w:r w:rsidR="00134E0E">
        <w:t xml:space="preserve">he Commission will discuss in greater detail, </w:t>
      </w:r>
      <w:r w:rsidRPr="000145CE" w:rsidR="00134E0E">
        <w:rPr>
          <w:i/>
          <w:iCs/>
        </w:rPr>
        <w:t>infra</w:t>
      </w:r>
      <w:r w:rsidR="00134E0E">
        <w:t>, in Section 4.1 of this decision</w:t>
      </w:r>
      <w:r w:rsidR="000145CE">
        <w:t xml:space="preserve">, the degree of control the Commission exercised in dictating how the TNCs were to comply with this reporting requirement since it bears directly on Lyft, Inc.’s (Lyft) claim </w:t>
      </w:r>
      <w:r w:rsidR="00C03787">
        <w:t xml:space="preserve">that </w:t>
      </w:r>
      <w:r w:rsidR="000145CE">
        <w:t>trip data is exempted from public disclosure by trade secret protection.</w:t>
      </w:r>
    </w:p>
    <w:p w:rsidR="00DD5702" w:rsidP="00182031" w:rsidRDefault="00D04390" w14:paraId="75BD2885" w14:textId="3721136E">
      <w:pPr>
        <w:pStyle w:val="Standard"/>
      </w:pPr>
      <w:r>
        <w:t>Prior to 2020, the Commission decided in D</w:t>
      </w:r>
      <w:r w:rsidR="000145CE">
        <w:t>.</w:t>
      </w:r>
      <w:r>
        <w:t xml:space="preserve"> 13-09-045,</w:t>
      </w:r>
      <w:r w:rsidR="009D563C">
        <w:t xml:space="preserve"> </w:t>
      </w:r>
      <w:r>
        <w:t>via footnote 42,</w:t>
      </w:r>
      <w:r>
        <w:rPr>
          <w:rStyle w:val="FootnoteReference"/>
          <w:szCs w:val="26"/>
        </w:rPr>
        <w:footnoteReference w:id="4"/>
      </w:r>
      <w:r>
        <w:t xml:space="preserve"> that a TNC’s </w:t>
      </w:r>
      <w:r w:rsidR="00DD5702">
        <w:t>A</w:t>
      </w:r>
      <w:r>
        <w:t xml:space="preserve">nnual </w:t>
      </w:r>
      <w:r w:rsidR="00DD5702">
        <w:t>R</w:t>
      </w:r>
      <w:r>
        <w:t xml:space="preserve">eport could be submitted confidentially to Commission staff. </w:t>
      </w:r>
      <w:r w:rsidR="008D1262">
        <w:t xml:space="preserve"> </w:t>
      </w:r>
      <w:r>
        <w:t>Seven years later, the Commission revisited that earlier confidentiality determination in D</w:t>
      </w:r>
      <w:r w:rsidR="008D1262">
        <w:t>.</w:t>
      </w:r>
      <w:r>
        <w:t>20</w:t>
      </w:r>
      <w:r w:rsidR="008D1262">
        <w:noBreakHyphen/>
      </w:r>
      <w:r>
        <w:t>03</w:t>
      </w:r>
      <w:r w:rsidR="008D1262">
        <w:noBreakHyphen/>
      </w:r>
      <w:r>
        <w:t>014</w:t>
      </w:r>
      <w:r>
        <w:rPr>
          <w:rStyle w:val="FootnoteReference"/>
          <w:szCs w:val="26"/>
        </w:rPr>
        <w:footnoteReference w:id="5"/>
      </w:r>
      <w:r>
        <w:t xml:space="preserve"> and found that</w:t>
      </w:r>
      <w:r w:rsidR="008A33C4">
        <w:t>, prospectively,</w:t>
      </w:r>
      <w:r>
        <w:t xml:space="preserve"> </w:t>
      </w:r>
      <w:r w:rsidR="00DD5702">
        <w:t>A</w:t>
      </w:r>
      <w:r>
        <w:t xml:space="preserve">nnual </w:t>
      </w:r>
      <w:r w:rsidR="00DD5702">
        <w:t>R</w:t>
      </w:r>
      <w:r>
        <w:t xml:space="preserve">eports were </w:t>
      </w:r>
      <w:r w:rsidR="00113832">
        <w:t xml:space="preserve">no </w:t>
      </w:r>
      <w:r>
        <w:t xml:space="preserve">longer entitled to a presumption of confidentiality. </w:t>
      </w:r>
      <w:r w:rsidR="008D1262">
        <w:t xml:space="preserve"> </w:t>
      </w:r>
      <w:r>
        <w:t>Instead, D.20</w:t>
      </w:r>
      <w:r w:rsidR="00182031">
        <w:noBreakHyphen/>
      </w:r>
      <w:r>
        <w:t>03</w:t>
      </w:r>
      <w:r w:rsidR="00182031">
        <w:noBreakHyphen/>
      </w:r>
      <w:r>
        <w:t xml:space="preserve">014 </w:t>
      </w:r>
      <w:r w:rsidR="00DD5702">
        <w:t>mandated</w:t>
      </w:r>
      <w:r>
        <w:t xml:space="preserve"> that any claim for confidential treatment of information required to be included in a TNC’s </w:t>
      </w:r>
      <w:r w:rsidR="00DD5702">
        <w:t>A</w:t>
      </w:r>
      <w:r>
        <w:t xml:space="preserve">nnual </w:t>
      </w:r>
      <w:r w:rsidR="00DD5702">
        <w:t>R</w:t>
      </w:r>
      <w:r>
        <w:t>eport</w:t>
      </w:r>
      <w:r w:rsidR="00DD5702">
        <w:t xml:space="preserve"> must be filed 90 days before the deadline for </w:t>
      </w:r>
      <w:r w:rsidR="00DD5702">
        <w:lastRenderedPageBreak/>
        <w:t xml:space="preserve">submitted the Annual Report to Commission staff, and </w:t>
      </w:r>
      <w:r>
        <w:t>be justified with particularized references to the type of information sought to be shielded from public</w:t>
      </w:r>
      <w:r w:rsidR="00DD5702">
        <w:t xml:space="preserve"> disclosure, the law that supports the claim of confidentiality, and a declaration under penalty of perjury that sets forth the factual justification with the requisite granularity.</w:t>
      </w:r>
      <w:r w:rsidR="00DD5702">
        <w:rPr>
          <w:rStyle w:val="FootnoteReference"/>
          <w:szCs w:val="26"/>
        </w:rPr>
        <w:footnoteReference w:id="6"/>
      </w:r>
      <w:r w:rsidR="00DD5702">
        <w:t xml:space="preserve"> </w:t>
      </w:r>
    </w:p>
    <w:p w:rsidR="0063491C" w:rsidP="0063491C" w:rsidRDefault="0063491C" w14:paraId="27B94643" w14:textId="77777777">
      <w:pPr>
        <w:pStyle w:val="Heading2"/>
      </w:pPr>
      <w:bookmarkStart w:name="_Toc8123717" w:id="20"/>
      <w:bookmarkStart w:name="_Toc82193567" w:id="21"/>
      <w:bookmarkStart w:name="_Toc94682530" w:id="22"/>
      <w:bookmarkStart w:name="_Toc102479659" w:id="23"/>
      <w:r>
        <w:t>Procedural Background</w:t>
      </w:r>
      <w:bookmarkEnd w:id="20"/>
      <w:bookmarkEnd w:id="21"/>
      <w:bookmarkEnd w:id="22"/>
      <w:bookmarkEnd w:id="23"/>
    </w:p>
    <w:p w:rsidR="009123B9" w:rsidP="00DD5702" w:rsidRDefault="00DD5702" w14:paraId="337ED5E4" w14:textId="42D27A44">
      <w:pPr>
        <w:rPr>
          <w:szCs w:val="26"/>
        </w:rPr>
      </w:pPr>
      <w:r w:rsidRPr="00A97445">
        <w:rPr>
          <w:szCs w:val="26"/>
        </w:rPr>
        <w:t xml:space="preserve">In accordance with D. 20-03-014, </w:t>
      </w:r>
      <w:r w:rsidR="0066013C">
        <w:rPr>
          <w:szCs w:val="26"/>
        </w:rPr>
        <w:t xml:space="preserve">on June 22, 2020, </w:t>
      </w:r>
      <w:r w:rsidRPr="00A97445">
        <w:rPr>
          <w:szCs w:val="26"/>
        </w:rPr>
        <w:t>Uber</w:t>
      </w:r>
      <w:r>
        <w:rPr>
          <w:szCs w:val="26"/>
        </w:rPr>
        <w:t xml:space="preserve"> Technologies, Inc.</w:t>
      </w:r>
      <w:r w:rsidRPr="00A97445">
        <w:rPr>
          <w:szCs w:val="26"/>
        </w:rPr>
        <w:t xml:space="preserve"> </w:t>
      </w:r>
      <w:r w:rsidR="005A1981">
        <w:rPr>
          <w:szCs w:val="26"/>
        </w:rPr>
        <w:t xml:space="preserve">(Uber) </w:t>
      </w:r>
      <w:r w:rsidRPr="00A97445">
        <w:rPr>
          <w:szCs w:val="26"/>
        </w:rPr>
        <w:t>and Lyft</w:t>
      </w:r>
      <w:r>
        <w:rPr>
          <w:szCs w:val="26"/>
        </w:rPr>
        <w:t xml:space="preserve"> </w:t>
      </w:r>
      <w:r w:rsidRPr="00A97445">
        <w:rPr>
          <w:szCs w:val="26"/>
        </w:rPr>
        <w:t>filed their respective motions for confidential treatment of certain information in their 2020 Annual Reports</w:t>
      </w:r>
      <w:r w:rsidR="005A1981">
        <w:rPr>
          <w:szCs w:val="26"/>
        </w:rPr>
        <w:t xml:space="preserve"> (</w:t>
      </w:r>
      <w:r w:rsidRPr="005A1981" w:rsidR="005A1981">
        <w:rPr>
          <w:i/>
          <w:iCs/>
          <w:szCs w:val="26"/>
        </w:rPr>
        <w:t>Motion</w:t>
      </w:r>
      <w:r w:rsidR="005A1981">
        <w:rPr>
          <w:szCs w:val="26"/>
        </w:rPr>
        <w:t xml:space="preserve"> or </w:t>
      </w:r>
      <w:r w:rsidRPr="005A1981" w:rsidR="005A1981">
        <w:rPr>
          <w:i/>
          <w:iCs/>
          <w:szCs w:val="26"/>
        </w:rPr>
        <w:t>Motions</w:t>
      </w:r>
      <w:r w:rsidR="005A1981">
        <w:rPr>
          <w:szCs w:val="26"/>
        </w:rPr>
        <w:t>)</w:t>
      </w:r>
      <w:r w:rsidRPr="00A97445">
        <w:rPr>
          <w:szCs w:val="26"/>
        </w:rPr>
        <w:t>.</w:t>
      </w:r>
      <w:r w:rsidRPr="00A97445">
        <w:rPr>
          <w:szCs w:val="26"/>
          <w:vertAlign w:val="superscript"/>
        </w:rPr>
        <w:footnoteReference w:id="7"/>
      </w:r>
      <w:r w:rsidRPr="00A97445">
        <w:rPr>
          <w:szCs w:val="26"/>
        </w:rPr>
        <w:t xml:space="preserve"> </w:t>
      </w:r>
      <w:r w:rsidR="008D1262">
        <w:rPr>
          <w:szCs w:val="26"/>
        </w:rPr>
        <w:t xml:space="preserve"> </w:t>
      </w:r>
      <w:r w:rsidRPr="00A97445" w:rsidR="002B0CFC">
        <w:rPr>
          <w:szCs w:val="26"/>
        </w:rPr>
        <w:t xml:space="preserve">While </w:t>
      </w:r>
      <w:r w:rsidR="002B0CFC">
        <w:rPr>
          <w:szCs w:val="26"/>
        </w:rPr>
        <w:t>Lyft acknowledged</w:t>
      </w:r>
      <w:r w:rsidRPr="00A97445" w:rsidR="002B0CFC">
        <w:rPr>
          <w:szCs w:val="26"/>
        </w:rPr>
        <w:t xml:space="preserve"> the Commission’s </w:t>
      </w:r>
      <w:r w:rsidR="002B0CFC">
        <w:rPr>
          <w:szCs w:val="26"/>
        </w:rPr>
        <w:t>duty to promote</w:t>
      </w:r>
      <w:r w:rsidRPr="00A97445" w:rsidR="002B0CFC">
        <w:rPr>
          <w:szCs w:val="26"/>
        </w:rPr>
        <w:t xml:space="preserve"> transparency in its regulation of entities subject to the Commission’s jurisdiction, </w:t>
      </w:r>
      <w:r w:rsidR="00533B17">
        <w:rPr>
          <w:szCs w:val="26"/>
        </w:rPr>
        <w:t xml:space="preserve">it </w:t>
      </w:r>
      <w:r w:rsidR="002B0CFC">
        <w:rPr>
          <w:szCs w:val="26"/>
        </w:rPr>
        <w:t xml:space="preserve"> asserted</w:t>
      </w:r>
      <w:r w:rsidRPr="00A97445" w:rsidR="002B0CFC">
        <w:rPr>
          <w:szCs w:val="26"/>
        </w:rPr>
        <w:t xml:space="preserve"> that there </w:t>
      </w:r>
      <w:r w:rsidR="003F0FBC">
        <w:rPr>
          <w:szCs w:val="26"/>
        </w:rPr>
        <w:t>were</w:t>
      </w:r>
      <w:r w:rsidRPr="00A97445" w:rsidR="002B0CFC">
        <w:rPr>
          <w:szCs w:val="26"/>
        </w:rPr>
        <w:t xml:space="preserve"> laws in place designed to protect the granular detailed information </w:t>
      </w:r>
      <w:r w:rsidR="003F0FBC">
        <w:rPr>
          <w:szCs w:val="26"/>
        </w:rPr>
        <w:t>required in the</w:t>
      </w:r>
      <w:r w:rsidRPr="00A97445" w:rsidR="002B0CFC">
        <w:rPr>
          <w:szCs w:val="26"/>
        </w:rPr>
        <w:t xml:space="preserve"> Annual Report from public disclosure.</w:t>
      </w:r>
      <w:r w:rsidRPr="00A97445" w:rsidR="002B0CFC">
        <w:rPr>
          <w:szCs w:val="26"/>
          <w:vertAlign w:val="superscript"/>
        </w:rPr>
        <w:footnoteReference w:id="8"/>
      </w:r>
      <w:r w:rsidR="002B0CFC">
        <w:rPr>
          <w:szCs w:val="26"/>
        </w:rPr>
        <w:t xml:space="preserve"> </w:t>
      </w:r>
      <w:r w:rsidR="008D1262">
        <w:rPr>
          <w:szCs w:val="26"/>
        </w:rPr>
        <w:t xml:space="preserve"> </w:t>
      </w:r>
      <w:r w:rsidR="002B0CFC">
        <w:rPr>
          <w:szCs w:val="26"/>
        </w:rPr>
        <w:t>Lyft proceeded to identify</w:t>
      </w:r>
      <w:r w:rsidR="009123B9">
        <w:rPr>
          <w:szCs w:val="26"/>
        </w:rPr>
        <w:t xml:space="preserve"> the following categories of information that </w:t>
      </w:r>
      <w:r w:rsidR="00727433">
        <w:rPr>
          <w:szCs w:val="26"/>
        </w:rPr>
        <w:t>it</w:t>
      </w:r>
      <w:r w:rsidR="009123B9">
        <w:rPr>
          <w:szCs w:val="26"/>
        </w:rPr>
        <w:t xml:space="preserve"> claimed was protected from public disclosure on either </w:t>
      </w:r>
      <w:r w:rsidR="008A1DE9">
        <w:rPr>
          <w:szCs w:val="26"/>
        </w:rPr>
        <w:t>privacy</w:t>
      </w:r>
      <w:r w:rsidR="00575BB2">
        <w:rPr>
          <w:szCs w:val="26"/>
        </w:rPr>
        <w:t>,</w:t>
      </w:r>
      <w:r w:rsidR="009123B9">
        <w:rPr>
          <w:szCs w:val="26"/>
        </w:rPr>
        <w:t xml:space="preserve"> trade secret</w:t>
      </w:r>
      <w:r w:rsidR="00575BB2">
        <w:rPr>
          <w:szCs w:val="26"/>
        </w:rPr>
        <w:t>, or other</w:t>
      </w:r>
      <w:r w:rsidR="009123B9">
        <w:rPr>
          <w:szCs w:val="26"/>
        </w:rPr>
        <w:t xml:space="preserve"> grounds:</w:t>
      </w:r>
    </w:p>
    <w:p w:rsidRPr="009D52AC" w:rsidR="009123B9" w:rsidP="00DB0DFE" w:rsidRDefault="0017223C" w14:paraId="6E8D1220" w14:textId="20D5E463">
      <w:pPr>
        <w:pStyle w:val="ListParagraph"/>
        <w:numPr>
          <w:ilvl w:val="0"/>
          <w:numId w:val="9"/>
        </w:numPr>
        <w:spacing w:after="120" w:line="240" w:lineRule="auto"/>
        <w:ind w:left="1080" w:right="1440"/>
        <w:contextualSpacing w:val="0"/>
        <w:rPr>
          <w:szCs w:val="26"/>
        </w:rPr>
      </w:pPr>
      <w:r w:rsidRPr="009D52AC">
        <w:rPr>
          <w:szCs w:val="26"/>
        </w:rPr>
        <w:lastRenderedPageBreak/>
        <w:t>D</w:t>
      </w:r>
      <w:r w:rsidRPr="009D52AC" w:rsidR="009123B9">
        <w:rPr>
          <w:szCs w:val="26"/>
        </w:rPr>
        <w:t>river names and identifications</w:t>
      </w:r>
      <w:r w:rsidRPr="009D52AC" w:rsidR="00A06347">
        <w:rPr>
          <w:szCs w:val="26"/>
        </w:rPr>
        <w:t xml:space="preserve"> (privacy </w:t>
      </w:r>
      <w:r w:rsidRPr="009D52AC" w:rsidR="00C4505C">
        <w:rPr>
          <w:szCs w:val="26"/>
        </w:rPr>
        <w:t xml:space="preserve">protected </w:t>
      </w:r>
      <w:r w:rsidRPr="009D52AC" w:rsidR="00A06347">
        <w:rPr>
          <w:szCs w:val="26"/>
        </w:rPr>
        <w:t>pursuant to Govt. Code § 6254(c</w:t>
      </w:r>
      <w:r w:rsidRPr="009D52AC" w:rsidR="007A2A79">
        <w:rPr>
          <w:szCs w:val="26"/>
        </w:rPr>
        <w:t>)</w:t>
      </w:r>
      <w:r w:rsidRPr="009D52AC" w:rsidR="00A06347">
        <w:rPr>
          <w:szCs w:val="26"/>
        </w:rPr>
        <w:t xml:space="preserve"> and 6254(k), and trade secret protected pursuant to Govt. Code § 6254(k) and Evidence Code § 1060)</w:t>
      </w:r>
      <w:r w:rsidRPr="009D52AC" w:rsidR="00C4505C">
        <w:rPr>
          <w:szCs w:val="26"/>
        </w:rPr>
        <w:t>.</w:t>
      </w:r>
      <w:r w:rsidRPr="009D52AC" w:rsidR="009123B9">
        <w:rPr>
          <w:szCs w:val="26"/>
        </w:rPr>
        <w:t xml:space="preserve"> </w:t>
      </w:r>
    </w:p>
    <w:p w:rsidRPr="009D52AC" w:rsidR="009123B9" w:rsidP="00DB0DFE" w:rsidRDefault="0017223C" w14:paraId="71D325CD" w14:textId="457CE586">
      <w:pPr>
        <w:pStyle w:val="ListParagraph"/>
        <w:numPr>
          <w:ilvl w:val="0"/>
          <w:numId w:val="9"/>
        </w:numPr>
        <w:spacing w:after="120" w:line="240" w:lineRule="auto"/>
        <w:ind w:left="1080" w:right="1440"/>
        <w:contextualSpacing w:val="0"/>
        <w:rPr>
          <w:szCs w:val="26"/>
        </w:rPr>
      </w:pPr>
      <w:r w:rsidRPr="009D52AC">
        <w:rPr>
          <w:szCs w:val="26"/>
        </w:rPr>
        <w:t>A</w:t>
      </w:r>
      <w:r w:rsidRPr="009D52AC" w:rsidR="009123B9">
        <w:rPr>
          <w:szCs w:val="26"/>
        </w:rPr>
        <w:t>ccessibility reports</w:t>
      </w:r>
      <w:r w:rsidRPr="009D52AC" w:rsidR="00A06347">
        <w:rPr>
          <w:szCs w:val="26"/>
        </w:rPr>
        <w:t xml:space="preserve"> (trade secret protected </w:t>
      </w:r>
      <w:r w:rsidRPr="009D52AC" w:rsidR="007A2A79">
        <w:rPr>
          <w:szCs w:val="26"/>
        </w:rPr>
        <w:t>pursuant</w:t>
      </w:r>
      <w:r w:rsidRPr="009D52AC" w:rsidR="00A06347">
        <w:rPr>
          <w:szCs w:val="26"/>
        </w:rPr>
        <w:t xml:space="preserve"> to Civil Code § 3246.1 and therefore protected from disclosure by Govt. Code § 6254(k) and Evidence Code §</w:t>
      </w:r>
      <w:r w:rsidR="00806618">
        <w:rPr>
          <w:szCs w:val="26"/>
        </w:rPr>
        <w:t> </w:t>
      </w:r>
      <w:r w:rsidRPr="009D52AC" w:rsidR="00A06347">
        <w:rPr>
          <w:szCs w:val="26"/>
        </w:rPr>
        <w:t>1060)</w:t>
      </w:r>
      <w:r w:rsidRPr="009D52AC" w:rsidR="00C4505C">
        <w:rPr>
          <w:szCs w:val="26"/>
        </w:rPr>
        <w:t>.</w:t>
      </w:r>
      <w:r w:rsidRPr="009D52AC" w:rsidR="009123B9">
        <w:rPr>
          <w:szCs w:val="26"/>
        </w:rPr>
        <w:t xml:space="preserve"> </w:t>
      </w:r>
    </w:p>
    <w:p w:rsidRPr="009D52AC" w:rsidR="007A2A79" w:rsidP="00DB0DFE" w:rsidRDefault="0017223C" w14:paraId="424A5DCD" w14:textId="637E1C72">
      <w:pPr>
        <w:pStyle w:val="ListParagraph"/>
        <w:numPr>
          <w:ilvl w:val="0"/>
          <w:numId w:val="9"/>
        </w:numPr>
        <w:spacing w:after="120" w:line="240" w:lineRule="auto"/>
        <w:ind w:left="1080" w:right="1440"/>
        <w:contextualSpacing w:val="0"/>
        <w:rPr>
          <w:szCs w:val="26"/>
        </w:rPr>
      </w:pPr>
      <w:r w:rsidRPr="009D52AC">
        <w:rPr>
          <w:szCs w:val="26"/>
        </w:rPr>
        <w:t>R</w:t>
      </w:r>
      <w:r w:rsidRPr="009D52AC" w:rsidR="009123B9">
        <w:rPr>
          <w:szCs w:val="26"/>
        </w:rPr>
        <w:t xml:space="preserve">eports of TNC investigations </w:t>
      </w:r>
      <w:r w:rsidRPr="009D52AC" w:rsidR="00A06347">
        <w:rPr>
          <w:szCs w:val="26"/>
        </w:rPr>
        <w:t>(</w:t>
      </w:r>
      <w:r w:rsidRPr="009D52AC" w:rsidR="007A2A79">
        <w:rPr>
          <w:szCs w:val="26"/>
        </w:rPr>
        <w:t>investigatory or security files compiled for licensing purposes making them exempt pursuant to Govt. Code § 6254(f);  privacy protected pursuant to Govt. Code § 6254(c); trade secret information protected from disclosure by Govt. Code § 6254(k) and Evidence Code § 1060; official information protected by Govt. Code § 6254(k) and Evidence Code § 1040(b)(2)</w:t>
      </w:r>
      <w:r w:rsidRPr="009D52AC" w:rsidR="007219B6">
        <w:rPr>
          <w:szCs w:val="26"/>
        </w:rPr>
        <w:t>; and protected by the public interest balancing test pursuant to Govt. Code §6255(a)</w:t>
      </w:r>
      <w:r w:rsidRPr="009D52AC" w:rsidR="00C4505C">
        <w:rPr>
          <w:szCs w:val="26"/>
        </w:rPr>
        <w:t>.</w:t>
      </w:r>
      <w:r w:rsidRPr="009D52AC" w:rsidR="007219B6">
        <w:rPr>
          <w:szCs w:val="26"/>
        </w:rPr>
        <w:t>)</w:t>
      </w:r>
    </w:p>
    <w:p w:rsidRPr="009D52AC" w:rsidR="007219B6" w:rsidP="00DB0DFE" w:rsidRDefault="0017223C" w14:paraId="0BBEC7C6" w14:textId="051487C9">
      <w:pPr>
        <w:pStyle w:val="ListParagraph"/>
        <w:numPr>
          <w:ilvl w:val="0"/>
          <w:numId w:val="9"/>
        </w:numPr>
        <w:spacing w:after="120" w:line="240" w:lineRule="auto"/>
        <w:ind w:left="1080" w:right="1440"/>
        <w:contextualSpacing w:val="0"/>
        <w:rPr>
          <w:szCs w:val="26"/>
        </w:rPr>
      </w:pPr>
      <w:r w:rsidRPr="009D52AC">
        <w:rPr>
          <w:szCs w:val="26"/>
        </w:rPr>
        <w:t>N</w:t>
      </w:r>
      <w:r w:rsidRPr="009D52AC" w:rsidR="00412C28">
        <w:rPr>
          <w:szCs w:val="26"/>
        </w:rPr>
        <w:t>umber of hours</w:t>
      </w:r>
      <w:r w:rsidRPr="009D52AC" w:rsidR="005016FD">
        <w:rPr>
          <w:szCs w:val="26"/>
        </w:rPr>
        <w:t>,</w:t>
      </w:r>
      <w:r w:rsidRPr="009D52AC" w:rsidR="00412C28">
        <w:rPr>
          <w:szCs w:val="26"/>
        </w:rPr>
        <w:t xml:space="preserve"> number of miles</w:t>
      </w:r>
      <w:r w:rsidRPr="009D52AC" w:rsidR="005016FD">
        <w:rPr>
          <w:szCs w:val="26"/>
        </w:rPr>
        <w:t>,</w:t>
      </w:r>
      <w:r w:rsidRPr="009D52AC" w:rsidR="00412C28">
        <w:rPr>
          <w:szCs w:val="26"/>
        </w:rPr>
        <w:t xml:space="preserve"> and driver training</w:t>
      </w:r>
      <w:r w:rsidRPr="009D52AC" w:rsidR="005016FD">
        <w:rPr>
          <w:szCs w:val="26"/>
        </w:rPr>
        <w:t xml:space="preserve"> (</w:t>
      </w:r>
      <w:r w:rsidRPr="009D52AC">
        <w:rPr>
          <w:szCs w:val="26"/>
        </w:rPr>
        <w:t xml:space="preserve">privacy </w:t>
      </w:r>
      <w:r w:rsidRPr="009D52AC" w:rsidR="005016FD">
        <w:rPr>
          <w:szCs w:val="26"/>
        </w:rPr>
        <w:t xml:space="preserve">protected by Govt. Code § 6254(c) </w:t>
      </w:r>
      <w:r w:rsidRPr="009D52AC">
        <w:rPr>
          <w:szCs w:val="26"/>
        </w:rPr>
        <w:t>and the Right of Privacy in the California Constitution;  trade secret information protected from disclosure by Govt. Code §</w:t>
      </w:r>
      <w:r w:rsidR="00806618">
        <w:rPr>
          <w:szCs w:val="26"/>
        </w:rPr>
        <w:t> </w:t>
      </w:r>
      <w:r w:rsidRPr="009D52AC">
        <w:rPr>
          <w:szCs w:val="26"/>
        </w:rPr>
        <w:t xml:space="preserve">6254(k) and Evidence Code § 1060; protected by the public interest balancing test pursuant to Govt. Code §6255(a); and protected </w:t>
      </w:r>
      <w:r w:rsidRPr="009D52AC" w:rsidR="007219B6">
        <w:rPr>
          <w:szCs w:val="26"/>
        </w:rPr>
        <w:t>from disclosure as official information pursuant to Govt. Code § 6254(k) and Evidence Code § 1040(b)(2).)</w:t>
      </w:r>
    </w:p>
    <w:p w:rsidRPr="009D52AC" w:rsidR="00DD5702" w:rsidP="00DB0DFE" w:rsidRDefault="00412C28" w14:paraId="028F6BA0" w14:textId="34580F27">
      <w:pPr>
        <w:pStyle w:val="ListParagraph"/>
        <w:numPr>
          <w:ilvl w:val="0"/>
          <w:numId w:val="9"/>
        </w:numPr>
        <w:spacing w:after="120" w:line="240" w:lineRule="auto"/>
        <w:ind w:left="1080" w:right="1440"/>
        <w:contextualSpacing w:val="0"/>
        <w:rPr>
          <w:szCs w:val="26"/>
        </w:rPr>
      </w:pPr>
      <w:r w:rsidRPr="009D52AC">
        <w:rPr>
          <w:szCs w:val="26"/>
        </w:rPr>
        <w:t>TNC data regarding trips during the reporting period</w:t>
      </w:r>
      <w:r w:rsidRPr="009D52AC" w:rsidR="007219B6">
        <w:rPr>
          <w:szCs w:val="26"/>
        </w:rPr>
        <w:t xml:space="preserve"> (privacy protected by Govt. Code § 6254(c) and the Right of Privacy in the California Constitution</w:t>
      </w:r>
      <w:r w:rsidR="00974912">
        <w:rPr>
          <w:szCs w:val="26"/>
        </w:rPr>
        <w:t>)</w:t>
      </w:r>
      <w:r w:rsidRPr="009D52AC" w:rsidR="007219B6">
        <w:rPr>
          <w:szCs w:val="26"/>
        </w:rPr>
        <w:t>; trade secret information protected from disclosure by Govt. Code §</w:t>
      </w:r>
      <w:r w:rsidR="00806618">
        <w:rPr>
          <w:szCs w:val="26"/>
        </w:rPr>
        <w:t> </w:t>
      </w:r>
      <w:r w:rsidRPr="009D52AC" w:rsidR="007219B6">
        <w:rPr>
          <w:szCs w:val="26"/>
        </w:rPr>
        <w:t xml:space="preserve">6254(k) and Evidence Code § 1060; protected by the public interest balancing test pursuant to Govt. Code §6255(a); </w:t>
      </w:r>
      <w:r w:rsidRPr="009D52AC" w:rsidR="009123B9">
        <w:rPr>
          <w:szCs w:val="26"/>
        </w:rPr>
        <w:t xml:space="preserve"> </w:t>
      </w:r>
      <w:r w:rsidRPr="009D52AC" w:rsidR="007219B6">
        <w:rPr>
          <w:szCs w:val="26"/>
        </w:rPr>
        <w:t xml:space="preserve">and protected from disclosure as official information pursuant to Govt. Code § 6254(k) and Evidence Code § 1040(b)(2).) </w:t>
      </w:r>
    </w:p>
    <w:p w:rsidR="009D52AC" w:rsidP="00256431" w:rsidRDefault="009D52AC" w14:paraId="3E568BD7" w14:textId="0AB1507D">
      <w:pPr>
        <w:ind w:firstLine="0"/>
        <w:rPr>
          <w:szCs w:val="26"/>
        </w:rPr>
      </w:pPr>
      <w:r>
        <w:rPr>
          <w:szCs w:val="26"/>
        </w:rPr>
        <w:lastRenderedPageBreak/>
        <w:t xml:space="preserve">Along with its </w:t>
      </w:r>
      <w:r w:rsidRPr="009D52AC">
        <w:rPr>
          <w:i/>
          <w:iCs/>
          <w:szCs w:val="26"/>
        </w:rPr>
        <w:t>Motion</w:t>
      </w:r>
      <w:r>
        <w:rPr>
          <w:szCs w:val="26"/>
        </w:rPr>
        <w:t xml:space="preserve">, Lyft included the Declaration of Brett Collins, Lyft’s Director of Regulatory Compliance, </w:t>
      </w:r>
      <w:r w:rsidR="00CF1C04">
        <w:rPr>
          <w:szCs w:val="26"/>
        </w:rPr>
        <w:t>t</w:t>
      </w:r>
      <w:r>
        <w:rPr>
          <w:szCs w:val="26"/>
        </w:rPr>
        <w:t>o provide factual support for its arguments.</w:t>
      </w:r>
    </w:p>
    <w:p w:rsidRPr="00A97445" w:rsidR="00DD5702" w:rsidP="00182031" w:rsidRDefault="009D52AC" w14:paraId="532088B4" w14:textId="2FA8894F">
      <w:pPr>
        <w:pStyle w:val="Standard"/>
      </w:pPr>
      <w:r>
        <w:t xml:space="preserve"> </w:t>
      </w:r>
      <w:r w:rsidRPr="00A97445" w:rsidR="00DD5702">
        <w:t>On July 2, 2020, The San Francisco Municipal Transportation Agency, San</w:t>
      </w:r>
      <w:r w:rsidR="008D1262">
        <w:t> </w:t>
      </w:r>
      <w:r w:rsidRPr="00A97445" w:rsidR="00DD5702">
        <w:t xml:space="preserve">Francisco County Transportation Authority, San Francisco City Attorney’s Office, and the San Francisco International Airport filed a </w:t>
      </w:r>
      <w:r w:rsidRPr="005D33C1" w:rsidR="00DD5702">
        <w:rPr>
          <w:i/>
          <w:iCs/>
        </w:rPr>
        <w:t>Response</w:t>
      </w:r>
      <w:r w:rsidRPr="00A97445" w:rsidR="00DD5702">
        <w:t xml:space="preserve"> opposing </w:t>
      </w:r>
      <w:r w:rsidR="00F17E96">
        <w:t>the request for confidential treatment.</w:t>
      </w:r>
    </w:p>
    <w:p w:rsidR="00F17E96" w:rsidP="00DD5702" w:rsidRDefault="00DD5702" w14:paraId="2E6339F8" w14:textId="7C2402D0">
      <w:pPr>
        <w:rPr>
          <w:szCs w:val="26"/>
        </w:rPr>
      </w:pPr>
      <w:r w:rsidRPr="00A97445">
        <w:rPr>
          <w:szCs w:val="26"/>
        </w:rPr>
        <w:t xml:space="preserve">On July 17, 2020, </w:t>
      </w:r>
      <w:r w:rsidR="00F17E96">
        <w:rPr>
          <w:szCs w:val="26"/>
        </w:rPr>
        <w:t>Lyft</w:t>
      </w:r>
      <w:r w:rsidRPr="00A97445">
        <w:rPr>
          <w:szCs w:val="26"/>
        </w:rPr>
        <w:t xml:space="preserve"> filed </w:t>
      </w:r>
      <w:r w:rsidR="00F17E96">
        <w:rPr>
          <w:szCs w:val="26"/>
        </w:rPr>
        <w:t>its</w:t>
      </w:r>
      <w:r w:rsidRPr="00A97445">
        <w:rPr>
          <w:szCs w:val="26"/>
        </w:rPr>
        <w:t xml:space="preserve"> </w:t>
      </w:r>
      <w:r w:rsidRPr="005D33C1">
        <w:rPr>
          <w:i/>
          <w:iCs/>
          <w:szCs w:val="26"/>
        </w:rPr>
        <w:t>Repl</w:t>
      </w:r>
      <w:r w:rsidRPr="005D33C1" w:rsidR="00F17E96">
        <w:rPr>
          <w:i/>
          <w:iCs/>
          <w:szCs w:val="26"/>
        </w:rPr>
        <w:t>y</w:t>
      </w:r>
      <w:r w:rsidRPr="00A97445">
        <w:rPr>
          <w:szCs w:val="26"/>
        </w:rPr>
        <w:t>.</w:t>
      </w:r>
    </w:p>
    <w:p w:rsidR="00EE34AB" w:rsidP="00EE34AB" w:rsidRDefault="00EE34AB" w14:paraId="0C8CD330" w14:textId="3775F573">
      <w:pPr>
        <w:pStyle w:val="Heading2"/>
      </w:pPr>
      <w:bookmarkStart w:name="_Toc82193568" w:id="24"/>
      <w:bookmarkStart w:name="_Toc94682531" w:id="25"/>
      <w:bookmarkStart w:name="_Toc102479660" w:id="26"/>
      <w:r>
        <w:t>The A</w:t>
      </w:r>
      <w:r w:rsidR="00806618">
        <w:t xml:space="preserve">dministrative </w:t>
      </w:r>
      <w:r>
        <w:t>L</w:t>
      </w:r>
      <w:r w:rsidR="00806618">
        <w:t xml:space="preserve">aw </w:t>
      </w:r>
      <w:r>
        <w:t>J</w:t>
      </w:r>
      <w:r w:rsidR="00806618">
        <w:t>udge</w:t>
      </w:r>
      <w:r>
        <w:t>’s</w:t>
      </w:r>
      <w:r w:rsidR="00806618">
        <w:t xml:space="preserve"> (ALJ)</w:t>
      </w:r>
      <w:r>
        <w:t xml:space="preserve"> Ruling</w:t>
      </w:r>
      <w:bookmarkEnd w:id="24"/>
      <w:bookmarkEnd w:id="25"/>
      <w:bookmarkEnd w:id="26"/>
    </w:p>
    <w:p w:rsidR="00742CFF" w:rsidP="00806618" w:rsidRDefault="00F17E96" w14:paraId="379F13BF" w14:textId="6FA86055">
      <w:pPr>
        <w:pStyle w:val="Standard"/>
      </w:pPr>
      <w:r>
        <w:t xml:space="preserve">On December 21, 2020, the assigned ALJ issued his </w:t>
      </w:r>
      <w:r w:rsidRPr="001C59B4" w:rsidR="00742CFF">
        <w:rPr>
          <w:i/>
          <w:iCs/>
        </w:rPr>
        <w:t>Ruling</w:t>
      </w:r>
      <w:r w:rsidR="00742CFF">
        <w:rPr>
          <w:i/>
          <w:iCs/>
        </w:rPr>
        <w:t xml:space="preserve"> on</w:t>
      </w:r>
      <w:r w:rsidRPr="001C59B4" w:rsidR="00742CFF">
        <w:rPr>
          <w:i/>
          <w:iCs/>
        </w:rPr>
        <w:t xml:space="preserve"> Uber Technologies, Inc.</w:t>
      </w:r>
      <w:r w:rsidR="00742CFF">
        <w:rPr>
          <w:i/>
          <w:iCs/>
        </w:rPr>
        <w:t>’s</w:t>
      </w:r>
      <w:r w:rsidRPr="001C59B4" w:rsidR="00742CFF">
        <w:rPr>
          <w:i/>
          <w:iCs/>
        </w:rPr>
        <w:t xml:space="preserve"> and Lyft</w:t>
      </w:r>
      <w:r w:rsidR="00742CFF">
        <w:rPr>
          <w:i/>
          <w:iCs/>
        </w:rPr>
        <w:t>’s Motion</w:t>
      </w:r>
      <w:r w:rsidRPr="001C59B4" w:rsidR="00742CFF">
        <w:rPr>
          <w:i/>
          <w:iCs/>
        </w:rPr>
        <w:t>. for Confidential Treatment of Certain Information in Their 2020 Annual Reports</w:t>
      </w:r>
      <w:r w:rsidR="00742CFF">
        <w:t xml:space="preserve"> (</w:t>
      </w:r>
      <w:r w:rsidRPr="00742CFF" w:rsidR="00742CFF">
        <w:rPr>
          <w:i/>
          <w:iCs/>
        </w:rPr>
        <w:t>Ruling</w:t>
      </w:r>
      <w:r w:rsidR="00742CFF">
        <w:t>) in which he made the following determinations</w:t>
      </w:r>
      <w:r w:rsidR="004A73BB">
        <w:t xml:space="preserve"> </w:t>
      </w:r>
      <w:r w:rsidR="001D571E">
        <w:t>th</w:t>
      </w:r>
      <w:r w:rsidR="00974912">
        <w:t>at</w:t>
      </w:r>
      <w:r w:rsidR="001D571E">
        <w:t xml:space="preserve"> fell into two broad categories: </w:t>
      </w:r>
      <w:r w:rsidR="008D1262">
        <w:t xml:space="preserve"> </w:t>
      </w:r>
      <w:r w:rsidR="004A73BB">
        <w:t>data confidentiality/privacy</w:t>
      </w:r>
      <w:r w:rsidR="001D571E">
        <w:t>, and trade secret protection.</w:t>
      </w:r>
    </w:p>
    <w:p w:rsidR="00587E35" w:rsidP="00182031" w:rsidRDefault="00D7642B" w14:paraId="2DEFB75B" w14:textId="01CFEFC7">
      <w:pPr>
        <w:pStyle w:val="Standard"/>
      </w:pPr>
      <w:r>
        <w:t>First, the</w:t>
      </w:r>
      <w:r w:rsidR="00587E35">
        <w:t xml:space="preserve"> </w:t>
      </w:r>
      <w:r w:rsidRPr="00D7642B" w:rsidR="00587E35">
        <w:rPr>
          <w:i/>
          <w:iCs/>
        </w:rPr>
        <w:t>Ruling</w:t>
      </w:r>
      <w:r w:rsidR="00587E35">
        <w:t xml:space="preserve"> agreed that </w:t>
      </w:r>
      <w:r w:rsidRPr="00A6208D">
        <w:t>driver names and identifications</w:t>
      </w:r>
      <w:r>
        <w:t xml:space="preserve"> were</w:t>
      </w:r>
      <w:r w:rsidR="00587E35">
        <w:t xml:space="preserve"> private and could be redacted from the public version of Lyft’s </w:t>
      </w:r>
      <w:r w:rsidR="005A1981">
        <w:t xml:space="preserve">2020 </w:t>
      </w:r>
      <w:r w:rsidR="00587E35">
        <w:t>Annual Report.</w:t>
      </w:r>
      <w:r w:rsidR="00CF1C04">
        <w:t xml:space="preserve"> Since making this finding, the </w:t>
      </w:r>
      <w:r w:rsidRPr="00CF1C04" w:rsidR="00CF1C04">
        <w:rPr>
          <w:i/>
          <w:iCs/>
        </w:rPr>
        <w:t>Ruling</w:t>
      </w:r>
      <w:r w:rsidR="00CF1C04">
        <w:t xml:space="preserve"> stated that it was not necessary to </w:t>
      </w:r>
      <w:r w:rsidR="00974912">
        <w:t xml:space="preserve">also </w:t>
      </w:r>
      <w:r w:rsidR="00CF1C04">
        <w:t>address the trade secret claim as it related to driver names and identifications.</w:t>
      </w:r>
    </w:p>
    <w:p w:rsidRPr="00A97445" w:rsidR="00D7642B" w:rsidP="00182031" w:rsidRDefault="00D7642B" w14:paraId="19345C5F" w14:textId="72290E61">
      <w:pPr>
        <w:pStyle w:val="Standard"/>
      </w:pPr>
      <w:r>
        <w:t xml:space="preserve">Second, the </w:t>
      </w:r>
      <w:r w:rsidRPr="001D571E">
        <w:rPr>
          <w:i/>
          <w:iCs/>
        </w:rPr>
        <w:t>Ruling</w:t>
      </w:r>
      <w:r>
        <w:t xml:space="preserve"> rejected the claims that </w:t>
      </w:r>
      <w:r w:rsidRPr="00A6208D" w:rsidR="00FD5F71">
        <w:t>A</w:t>
      </w:r>
      <w:r w:rsidRPr="00A6208D">
        <w:t xml:space="preserve">ccessibility </w:t>
      </w:r>
      <w:r w:rsidRPr="00A6208D" w:rsidR="00FD5F71">
        <w:t>R</w:t>
      </w:r>
      <w:r w:rsidRPr="00A6208D">
        <w:t>eport</w:t>
      </w:r>
      <w:r w:rsidRPr="00A6208D" w:rsidR="00FD5F71">
        <w:t>s</w:t>
      </w:r>
      <w:r>
        <w:t xml:space="preserve"> should be treated as confidential, and that the public dissemination of this information would place Lyft at a competitive disadvantage.</w:t>
      </w:r>
      <w:r>
        <w:rPr>
          <w:rStyle w:val="FootnoteReference"/>
          <w:szCs w:val="26"/>
        </w:rPr>
        <w:footnoteReference w:id="9"/>
      </w:r>
      <w:r w:rsidRPr="001D571E">
        <w:t xml:space="preserve"> </w:t>
      </w:r>
      <w:r w:rsidR="008D1262">
        <w:t xml:space="preserve"> </w:t>
      </w:r>
      <w:r w:rsidRPr="00A97445">
        <w:t>Th</w:t>
      </w:r>
      <w:r>
        <w:t>e</w:t>
      </w:r>
      <w:r w:rsidRPr="00A97445">
        <w:t xml:space="preserve"> </w:t>
      </w:r>
      <w:r w:rsidRPr="00A97445">
        <w:rPr>
          <w:i/>
          <w:iCs/>
        </w:rPr>
        <w:t>Ruling</w:t>
      </w:r>
      <w:r w:rsidRPr="00A97445">
        <w:t xml:space="preserve"> reviewed the arguments and f</w:t>
      </w:r>
      <w:r>
        <w:t>ound that Lyft</w:t>
      </w:r>
      <w:r w:rsidRPr="00A97445">
        <w:t xml:space="preserve"> raised similar arguments that the Commission </w:t>
      </w:r>
      <w:r>
        <w:t xml:space="preserve">previously </w:t>
      </w:r>
      <w:r w:rsidRPr="00A97445">
        <w:t>rejected on November 5, 2020</w:t>
      </w:r>
      <w:r w:rsidR="008D1262">
        <w:t>,</w:t>
      </w:r>
      <w:r w:rsidRPr="00A97445">
        <w:t xml:space="preserve"> in </w:t>
      </w:r>
      <w:r w:rsidRPr="00DD0D3A">
        <w:rPr>
          <w:i/>
          <w:iCs/>
        </w:rPr>
        <w:t>Resolution</w:t>
      </w:r>
      <w:r w:rsidRPr="00A97445">
        <w:t xml:space="preserve"> ALJ-388-</w:t>
      </w:r>
      <w:r w:rsidRPr="00A97445">
        <w:rPr>
          <w:i/>
          <w:iCs/>
        </w:rPr>
        <w:t xml:space="preserve">Resolution Denying the Appeals by Uber Technologies, Inc. and Lyft, Inc. of the Consumer Protection and Enforcement Division’s Confidentiality Determination in Advice </w:t>
      </w:r>
      <w:r w:rsidRPr="00A97445">
        <w:rPr>
          <w:i/>
          <w:iCs/>
        </w:rPr>
        <w:lastRenderedPageBreak/>
        <w:t>Letters</w:t>
      </w:r>
      <w:r w:rsidR="008D1262">
        <w:rPr>
          <w:i/>
          <w:iCs/>
        </w:rPr>
        <w:t> </w:t>
      </w:r>
      <w:r w:rsidRPr="00A97445">
        <w:rPr>
          <w:i/>
          <w:iCs/>
        </w:rPr>
        <w:t>1, 2, and 3.</w:t>
      </w:r>
      <w:r>
        <w:rPr>
          <w:i/>
          <w:iCs/>
        </w:rPr>
        <w:t xml:space="preserve"> </w:t>
      </w:r>
      <w:r w:rsidR="008D1262">
        <w:rPr>
          <w:i/>
          <w:iCs/>
        </w:rPr>
        <w:t xml:space="preserve"> </w:t>
      </w:r>
      <w:r w:rsidRPr="00DD0D3A">
        <w:t>The</w:t>
      </w:r>
      <w:r w:rsidRPr="00A97445">
        <w:rPr>
          <w:i/>
          <w:iCs/>
        </w:rPr>
        <w:t xml:space="preserve"> </w:t>
      </w:r>
      <w:r w:rsidRPr="001D571E">
        <w:rPr>
          <w:i/>
          <w:iCs/>
        </w:rPr>
        <w:t>Resolutio</w:t>
      </w:r>
      <w:r w:rsidRPr="00A97445">
        <w:t>n found that Lyft failed to meet the burden of demonstrating that information regarding wheelchair accessibility was either trade secret or protected from disclosure on any confidentiality grounds.</w:t>
      </w:r>
      <w:r w:rsidRPr="00A97445">
        <w:rPr>
          <w:vertAlign w:val="superscript"/>
        </w:rPr>
        <w:footnoteReference w:id="10"/>
      </w:r>
      <w:r w:rsidRPr="00A97445">
        <w:t xml:space="preserve"> </w:t>
      </w:r>
      <w:r w:rsidR="008D1262">
        <w:t xml:space="preserve"> </w:t>
      </w:r>
      <w:r w:rsidRPr="00A97445">
        <w:t>Th</w:t>
      </w:r>
      <w:r>
        <w:t>e</w:t>
      </w:r>
      <w:r w:rsidRPr="00A97445">
        <w:t xml:space="preserve"> </w:t>
      </w:r>
      <w:r w:rsidRPr="00A97445">
        <w:rPr>
          <w:i/>
          <w:iCs/>
        </w:rPr>
        <w:t>Ruling</w:t>
      </w:r>
      <w:r w:rsidRPr="00A97445">
        <w:t xml:space="preserve"> incorporate</w:t>
      </w:r>
      <w:r>
        <w:t>d</w:t>
      </w:r>
      <w:r w:rsidRPr="00A97445">
        <w:t xml:space="preserve"> by reference the conclusions and determination made in</w:t>
      </w:r>
      <w:r>
        <w:t xml:space="preserve"> the</w:t>
      </w:r>
      <w:r w:rsidRPr="00A97445">
        <w:t xml:space="preserve"> </w:t>
      </w:r>
      <w:r w:rsidRPr="001D571E">
        <w:rPr>
          <w:i/>
          <w:iCs/>
        </w:rPr>
        <w:t xml:space="preserve">Resolution </w:t>
      </w:r>
      <w:r w:rsidRPr="00A97445">
        <w:t>and applie</w:t>
      </w:r>
      <w:r>
        <w:t>d</w:t>
      </w:r>
      <w:r w:rsidRPr="00A97445">
        <w:t xml:space="preserve"> them herein to reject </w:t>
      </w:r>
      <w:r>
        <w:t>Lyft’s</w:t>
      </w:r>
      <w:r w:rsidRPr="00A97445">
        <w:t xml:space="preserve"> claims that the wheelchair accessibility information required by the </w:t>
      </w:r>
      <w:r w:rsidR="005A1981">
        <w:t xml:space="preserve">2020 </w:t>
      </w:r>
      <w:r w:rsidRPr="00A97445">
        <w:t>Annual Report should be redacted</w:t>
      </w:r>
      <w:r>
        <w:t xml:space="preserve"> from the public version</w:t>
      </w:r>
      <w:r w:rsidRPr="00A97445">
        <w:t>.</w:t>
      </w:r>
    </w:p>
    <w:p w:rsidRPr="00A97445" w:rsidR="00FD5F71" w:rsidP="00182031" w:rsidRDefault="00D7642B" w14:paraId="17A76BB8" w14:textId="0684F293">
      <w:pPr>
        <w:pStyle w:val="Standard"/>
        <w:rPr>
          <w:szCs w:val="26"/>
        </w:rPr>
      </w:pPr>
      <w:r>
        <w:t>Thir</w:t>
      </w:r>
      <w:r w:rsidR="00C6771F">
        <w:t xml:space="preserve">d, the </w:t>
      </w:r>
      <w:r w:rsidRPr="00C6771F" w:rsidR="00C6771F">
        <w:rPr>
          <w:i/>
          <w:iCs/>
        </w:rPr>
        <w:t>Ruling</w:t>
      </w:r>
      <w:r w:rsidR="00C6771F">
        <w:t xml:space="preserve"> </w:t>
      </w:r>
      <w:r w:rsidR="005A1981">
        <w:t>granted</w:t>
      </w:r>
      <w:r w:rsidR="00C6771F">
        <w:t xml:space="preserve">, in part, the privacy claims regarding reports of </w:t>
      </w:r>
      <w:r w:rsidRPr="00A6208D" w:rsidR="00C6771F">
        <w:t>TNC investigations</w:t>
      </w:r>
      <w:r w:rsidRPr="00177B9D" w:rsidR="00177B9D">
        <w:t xml:space="preserve"> (</w:t>
      </w:r>
      <w:r w:rsidRPr="00177B9D" w:rsidR="00177B9D">
        <w:rPr>
          <w:i/>
          <w:iCs/>
        </w:rPr>
        <w:t>i.e</w:t>
      </w:r>
      <w:r w:rsidRPr="00177B9D" w:rsidR="00177B9D">
        <w:t>., accidents and incidents, assaults and harassments, accessibility complaints, law enforcement citations, off-platform solicitation, suspended drivers, and zero tolerance)</w:t>
      </w:r>
      <w:r w:rsidR="00C6771F">
        <w:t>.</w:t>
      </w:r>
      <w:r w:rsidR="00DE5244">
        <w:t xml:space="preserve"> </w:t>
      </w:r>
      <w:r w:rsidR="008D1262">
        <w:t xml:space="preserve"> </w:t>
      </w:r>
      <w:r w:rsidR="00466A3D">
        <w:t xml:space="preserve">(1) </w:t>
      </w:r>
      <w:r w:rsidR="00C6771F">
        <w:t>T</w:t>
      </w:r>
      <w:r w:rsidR="00C6771F">
        <w:rPr>
          <w:szCs w:val="26"/>
        </w:rPr>
        <w:t>he</w:t>
      </w:r>
      <w:r w:rsidRPr="00A97445" w:rsidR="00C6771F">
        <w:rPr>
          <w:szCs w:val="26"/>
        </w:rPr>
        <w:t xml:space="preserve"> </w:t>
      </w:r>
      <w:r w:rsidRPr="00A97445" w:rsidR="00C6771F">
        <w:rPr>
          <w:i/>
          <w:iCs/>
          <w:szCs w:val="26"/>
        </w:rPr>
        <w:t>Ruling</w:t>
      </w:r>
      <w:r w:rsidRPr="00A97445" w:rsidR="00C6771F">
        <w:rPr>
          <w:szCs w:val="26"/>
        </w:rPr>
        <w:t xml:space="preserve"> agree</w:t>
      </w:r>
      <w:r w:rsidR="00C6771F">
        <w:rPr>
          <w:szCs w:val="26"/>
        </w:rPr>
        <w:t>d</w:t>
      </w:r>
      <w:r w:rsidRPr="00A97445" w:rsidR="00C6771F">
        <w:rPr>
          <w:szCs w:val="26"/>
        </w:rPr>
        <w:t xml:space="preserve"> that the amounts paid by any party involved in an accident and any amount paid by the driver’s or the TNC’s insurance </w:t>
      </w:r>
      <w:r w:rsidR="00C6771F">
        <w:rPr>
          <w:szCs w:val="26"/>
        </w:rPr>
        <w:t>could b</w:t>
      </w:r>
      <w:r w:rsidRPr="00A97445" w:rsidR="00C6771F">
        <w:rPr>
          <w:szCs w:val="26"/>
        </w:rPr>
        <w:t xml:space="preserve">e treated as confidential. </w:t>
      </w:r>
      <w:r w:rsidR="008D1262">
        <w:rPr>
          <w:szCs w:val="26"/>
        </w:rPr>
        <w:t xml:space="preserve"> </w:t>
      </w:r>
      <w:r w:rsidR="00C6771F">
        <w:rPr>
          <w:szCs w:val="26"/>
        </w:rPr>
        <w:t xml:space="preserve">The </w:t>
      </w:r>
      <w:r w:rsidRPr="004A73BB" w:rsidR="00C6771F">
        <w:rPr>
          <w:i/>
          <w:iCs/>
          <w:szCs w:val="26"/>
        </w:rPr>
        <w:t>Ruling</w:t>
      </w:r>
      <w:r w:rsidR="00C6771F">
        <w:rPr>
          <w:szCs w:val="26"/>
        </w:rPr>
        <w:t xml:space="preserve"> agreed with Lyft’s assessment that</w:t>
      </w:r>
      <w:r w:rsidRPr="00A97445" w:rsidR="00C6771F">
        <w:rPr>
          <w:szCs w:val="26"/>
        </w:rPr>
        <w:t xml:space="preserve"> incidents m</w:t>
      </w:r>
      <w:r w:rsidR="00C6771F">
        <w:rPr>
          <w:szCs w:val="26"/>
        </w:rPr>
        <w:t>ight</w:t>
      </w:r>
      <w:r w:rsidRPr="00A97445" w:rsidR="00C6771F">
        <w:rPr>
          <w:szCs w:val="26"/>
        </w:rPr>
        <w:t xml:space="preserve"> be resolved by entering into a settlement agreement without admitting liability, and the sums paid m</w:t>
      </w:r>
      <w:r w:rsidR="00C6771F">
        <w:rPr>
          <w:szCs w:val="26"/>
        </w:rPr>
        <w:t>ight</w:t>
      </w:r>
      <w:r w:rsidRPr="00A97445" w:rsidR="00C6771F">
        <w:rPr>
          <w:szCs w:val="26"/>
        </w:rPr>
        <w:t xml:space="preserve"> be confidential to facilitate a resolution that avoids the cost of litigation. </w:t>
      </w:r>
      <w:r w:rsidR="008D1262">
        <w:rPr>
          <w:szCs w:val="26"/>
        </w:rPr>
        <w:t xml:space="preserve"> </w:t>
      </w:r>
      <w:r w:rsidRPr="00A97445" w:rsidR="00C6771F">
        <w:rPr>
          <w:szCs w:val="26"/>
        </w:rPr>
        <w:t xml:space="preserve">Also, if the details regarding the resolution of a complaint </w:t>
      </w:r>
      <w:r w:rsidR="00C6771F">
        <w:rPr>
          <w:szCs w:val="26"/>
        </w:rPr>
        <w:t>were</w:t>
      </w:r>
      <w:r w:rsidRPr="00A97445" w:rsidR="00C6771F">
        <w:rPr>
          <w:szCs w:val="26"/>
        </w:rPr>
        <w:t xml:space="preserve"> part of a confidential settlement agreement, </w:t>
      </w:r>
      <w:r w:rsidR="00C6771F">
        <w:rPr>
          <w:szCs w:val="26"/>
        </w:rPr>
        <w:t xml:space="preserve">the </w:t>
      </w:r>
      <w:r w:rsidRPr="004A73BB" w:rsidR="00C6771F">
        <w:rPr>
          <w:i/>
          <w:iCs/>
          <w:szCs w:val="26"/>
        </w:rPr>
        <w:t>Ruling</w:t>
      </w:r>
      <w:r w:rsidR="00C6771F">
        <w:rPr>
          <w:szCs w:val="26"/>
        </w:rPr>
        <w:t xml:space="preserve"> determined </w:t>
      </w:r>
      <w:r w:rsidRPr="00A97445" w:rsidR="00C6771F">
        <w:rPr>
          <w:szCs w:val="26"/>
        </w:rPr>
        <w:t xml:space="preserve">they </w:t>
      </w:r>
      <w:r w:rsidR="00C6771F">
        <w:rPr>
          <w:szCs w:val="26"/>
        </w:rPr>
        <w:t>could</w:t>
      </w:r>
      <w:r w:rsidRPr="00A97445" w:rsidR="00C6771F">
        <w:rPr>
          <w:szCs w:val="26"/>
        </w:rPr>
        <w:t xml:space="preserve"> also be treated as confidential.</w:t>
      </w:r>
      <w:r w:rsidR="00466A3D">
        <w:rPr>
          <w:szCs w:val="26"/>
        </w:rPr>
        <w:t xml:space="preserve"> (2)</w:t>
      </w:r>
      <w:r w:rsidR="008D1262">
        <w:rPr>
          <w:szCs w:val="26"/>
        </w:rPr>
        <w:t> </w:t>
      </w:r>
      <w:r w:rsidR="00DE5244">
        <w:rPr>
          <w:szCs w:val="26"/>
        </w:rPr>
        <w:t xml:space="preserve">The </w:t>
      </w:r>
      <w:r w:rsidRPr="00DE5244" w:rsidR="00DE5244">
        <w:rPr>
          <w:i/>
          <w:iCs/>
          <w:szCs w:val="26"/>
        </w:rPr>
        <w:t>Ruling</w:t>
      </w:r>
      <w:r w:rsidR="00DE5244">
        <w:rPr>
          <w:szCs w:val="26"/>
        </w:rPr>
        <w:t xml:space="preserve"> also agreed </w:t>
      </w:r>
      <w:r w:rsidRPr="00A97445" w:rsidR="00DE5244">
        <w:rPr>
          <w:szCs w:val="26"/>
        </w:rPr>
        <w:t>that</w:t>
      </w:r>
      <w:r w:rsidR="00E955C7">
        <w:rPr>
          <w:szCs w:val="26"/>
        </w:rPr>
        <w:t xml:space="preserve"> certain </w:t>
      </w:r>
      <w:r w:rsidR="00F05F5C">
        <w:rPr>
          <w:szCs w:val="26"/>
        </w:rPr>
        <w:t xml:space="preserve">trip or </w:t>
      </w:r>
      <w:r w:rsidR="00E955C7">
        <w:rPr>
          <w:szCs w:val="26"/>
        </w:rPr>
        <w:t xml:space="preserve">geolocational TNC report investigation information (latitude and longitude information) </w:t>
      </w:r>
      <w:r w:rsidRPr="00A97445" w:rsidR="00DE5244">
        <w:rPr>
          <w:szCs w:val="26"/>
        </w:rPr>
        <w:t>regarding assaults and harassment</w:t>
      </w:r>
      <w:r w:rsidR="00E955C7">
        <w:rPr>
          <w:szCs w:val="26"/>
        </w:rPr>
        <w:t>, as well as the descript</w:t>
      </w:r>
      <w:r w:rsidR="00727433">
        <w:rPr>
          <w:szCs w:val="26"/>
        </w:rPr>
        <w:t>ions</w:t>
      </w:r>
      <w:r w:rsidR="00E955C7">
        <w:rPr>
          <w:szCs w:val="26"/>
        </w:rPr>
        <w:t xml:space="preserve"> of alleged sexual assaults or sexual harassment,</w:t>
      </w:r>
      <w:r w:rsidRPr="00A97445" w:rsidR="00DE5244">
        <w:rPr>
          <w:szCs w:val="26"/>
        </w:rPr>
        <w:t xml:space="preserve"> should be treated as confidential.</w:t>
      </w:r>
      <w:r w:rsidRPr="00A97445" w:rsidR="00DE5244">
        <w:rPr>
          <w:szCs w:val="26"/>
          <w:vertAlign w:val="superscript"/>
        </w:rPr>
        <w:footnoteReference w:id="11"/>
      </w:r>
      <w:r w:rsidRPr="00A97445" w:rsidR="00DE5244">
        <w:rPr>
          <w:szCs w:val="26"/>
        </w:rPr>
        <w:t xml:space="preserve">  </w:t>
      </w:r>
      <w:r w:rsidR="00466A3D">
        <w:rPr>
          <w:szCs w:val="26"/>
        </w:rPr>
        <w:t>(3)</w:t>
      </w:r>
      <w:r w:rsidR="005D62A3">
        <w:rPr>
          <w:szCs w:val="26"/>
        </w:rPr>
        <w:t> </w:t>
      </w:r>
      <w:r w:rsidR="00466A3D">
        <w:rPr>
          <w:szCs w:val="26"/>
        </w:rPr>
        <w:t>T</w:t>
      </w:r>
      <w:r w:rsidRPr="00A97445" w:rsidR="00DE5244">
        <w:rPr>
          <w:szCs w:val="26"/>
        </w:rPr>
        <w:t>h</w:t>
      </w:r>
      <w:r w:rsidR="00E955C7">
        <w:rPr>
          <w:szCs w:val="26"/>
        </w:rPr>
        <w:t>e</w:t>
      </w:r>
      <w:r w:rsidRPr="00A97445" w:rsidR="00DE5244">
        <w:rPr>
          <w:szCs w:val="26"/>
        </w:rPr>
        <w:t xml:space="preserve"> </w:t>
      </w:r>
      <w:r w:rsidRPr="00A97445" w:rsidR="00DE5244">
        <w:rPr>
          <w:i/>
          <w:iCs/>
          <w:szCs w:val="26"/>
        </w:rPr>
        <w:t>Ruling</w:t>
      </w:r>
      <w:r w:rsidRPr="00A97445" w:rsidR="00DE5244">
        <w:rPr>
          <w:szCs w:val="26"/>
        </w:rPr>
        <w:t xml:space="preserve"> reject</w:t>
      </w:r>
      <w:r w:rsidR="00DE5244">
        <w:rPr>
          <w:szCs w:val="26"/>
        </w:rPr>
        <w:t>ed</w:t>
      </w:r>
      <w:r w:rsidRPr="00A97445" w:rsidR="00DE5244">
        <w:rPr>
          <w:szCs w:val="26"/>
        </w:rPr>
        <w:t xml:space="preserve"> the </w:t>
      </w:r>
      <w:r w:rsidRPr="00A97445" w:rsidR="00DE5244">
        <w:rPr>
          <w:szCs w:val="26"/>
        </w:rPr>
        <w:lastRenderedPageBreak/>
        <w:t>request that the balance of the</w:t>
      </w:r>
      <w:r w:rsidR="00E955C7">
        <w:rPr>
          <w:szCs w:val="26"/>
        </w:rPr>
        <w:t xml:space="preserve"> geo</w:t>
      </w:r>
      <w:r w:rsidR="00727433">
        <w:rPr>
          <w:szCs w:val="26"/>
        </w:rPr>
        <w:t>-</w:t>
      </w:r>
      <w:r w:rsidR="00E955C7">
        <w:rPr>
          <w:szCs w:val="26"/>
        </w:rPr>
        <w:t>locational TNC report investigation</w:t>
      </w:r>
      <w:r w:rsidRPr="00A97445" w:rsidR="00DE5244">
        <w:rPr>
          <w:szCs w:val="26"/>
        </w:rPr>
        <w:t xml:space="preserve"> information </w:t>
      </w:r>
      <w:r w:rsidR="00853FB4">
        <w:rPr>
          <w:szCs w:val="26"/>
        </w:rPr>
        <w:t>s</w:t>
      </w:r>
      <w:r w:rsidRPr="00A97445" w:rsidR="00DE5244">
        <w:rPr>
          <w:szCs w:val="26"/>
        </w:rPr>
        <w:t xml:space="preserve">hould be treated as confidential because </w:t>
      </w:r>
      <w:r w:rsidR="00DE5244">
        <w:rPr>
          <w:szCs w:val="26"/>
        </w:rPr>
        <w:t>Lyft failed</w:t>
      </w:r>
      <w:r w:rsidRPr="00A97445" w:rsidR="00DE5244">
        <w:rPr>
          <w:szCs w:val="26"/>
        </w:rPr>
        <w:t xml:space="preserve"> to establish that the public dissemination of this information would constitute an unwarranted invasion of personal privacy.</w:t>
      </w:r>
      <w:r w:rsidR="00E43C1C">
        <w:rPr>
          <w:szCs w:val="26"/>
        </w:rPr>
        <w:t xml:space="preserve"> </w:t>
      </w:r>
      <w:r w:rsidR="008D1262">
        <w:rPr>
          <w:szCs w:val="26"/>
        </w:rPr>
        <w:t xml:space="preserve"> </w:t>
      </w:r>
      <w:r w:rsidR="00E43C1C">
        <w:rPr>
          <w:szCs w:val="26"/>
        </w:rPr>
        <w:t xml:space="preserve">(4) </w:t>
      </w:r>
      <w:r w:rsidR="00CF1C04">
        <w:rPr>
          <w:szCs w:val="26"/>
        </w:rPr>
        <w:t>The</w:t>
      </w:r>
      <w:r w:rsidRPr="00A97445" w:rsidR="00FD5F71">
        <w:rPr>
          <w:szCs w:val="26"/>
        </w:rPr>
        <w:t xml:space="preserve"> </w:t>
      </w:r>
      <w:r w:rsidRPr="00A97445" w:rsidR="00FD5F71">
        <w:rPr>
          <w:i/>
          <w:iCs/>
          <w:szCs w:val="26"/>
        </w:rPr>
        <w:t xml:space="preserve">Ruling </w:t>
      </w:r>
      <w:r w:rsidRPr="00CF1C04" w:rsidR="00CF1C04">
        <w:rPr>
          <w:szCs w:val="26"/>
        </w:rPr>
        <w:t>also</w:t>
      </w:r>
      <w:r w:rsidR="00CF1C04">
        <w:rPr>
          <w:i/>
          <w:iCs/>
          <w:szCs w:val="26"/>
        </w:rPr>
        <w:t xml:space="preserve"> </w:t>
      </w:r>
      <w:r w:rsidRPr="00A97445" w:rsidR="00FD5F71">
        <w:rPr>
          <w:szCs w:val="26"/>
        </w:rPr>
        <w:t>reject</w:t>
      </w:r>
      <w:r w:rsidR="00FD5F71">
        <w:rPr>
          <w:szCs w:val="26"/>
        </w:rPr>
        <w:t>ed Lyft’s</w:t>
      </w:r>
      <w:r w:rsidRPr="00A97445" w:rsidR="00FD5F71">
        <w:rPr>
          <w:szCs w:val="26"/>
        </w:rPr>
        <w:t xml:space="preserve"> argument that the </w:t>
      </w:r>
      <w:r w:rsidR="00FD5F71">
        <w:rPr>
          <w:szCs w:val="26"/>
        </w:rPr>
        <w:t xml:space="preserve">outcome of the investigation of a TNC incident was automatically confidential. </w:t>
      </w:r>
      <w:r w:rsidR="008D1262">
        <w:rPr>
          <w:szCs w:val="26"/>
        </w:rPr>
        <w:t xml:space="preserve"> </w:t>
      </w:r>
      <w:r w:rsidR="00FD5F71">
        <w:rPr>
          <w:szCs w:val="26"/>
        </w:rPr>
        <w:t xml:space="preserve">The </w:t>
      </w:r>
      <w:r w:rsidRPr="009C65CC" w:rsidR="00FD5F71">
        <w:rPr>
          <w:i/>
          <w:iCs/>
          <w:szCs w:val="26"/>
        </w:rPr>
        <w:t xml:space="preserve">Ruling </w:t>
      </w:r>
      <w:r w:rsidR="00FD5F71">
        <w:rPr>
          <w:szCs w:val="26"/>
        </w:rPr>
        <w:t>noted, f</w:t>
      </w:r>
      <w:r w:rsidRPr="00A97445" w:rsidR="00FD5F71">
        <w:rPr>
          <w:szCs w:val="26"/>
        </w:rPr>
        <w:t xml:space="preserve">or example, </w:t>
      </w:r>
      <w:r w:rsidR="00FD5F71">
        <w:rPr>
          <w:szCs w:val="26"/>
        </w:rPr>
        <w:t xml:space="preserve">that </w:t>
      </w:r>
      <w:r w:rsidRPr="00A97445" w:rsidR="00FD5F71">
        <w:rPr>
          <w:szCs w:val="26"/>
        </w:rPr>
        <w:t xml:space="preserve">a finding of criminal or civil liability in court is a matter of public record, and the court pleadings filed in a particular proceeding would include the date and time of the incident, the type of incident, parties involved in the incident, details regarding the resolution (assuming it was not resolved confidentially), and who was cited or ticketed. There </w:t>
      </w:r>
      <w:r w:rsidR="00FD5F71">
        <w:rPr>
          <w:szCs w:val="26"/>
        </w:rPr>
        <w:t>was</w:t>
      </w:r>
      <w:r w:rsidRPr="00A97445" w:rsidR="00FD5F71">
        <w:rPr>
          <w:szCs w:val="26"/>
        </w:rPr>
        <w:t xml:space="preserve"> no credible justification for treating this information as confidential, save for the limited instance in which the court order</w:t>
      </w:r>
      <w:r w:rsidR="00FD5F71">
        <w:rPr>
          <w:szCs w:val="26"/>
        </w:rPr>
        <w:t>ed</w:t>
      </w:r>
      <w:r w:rsidRPr="00A97445" w:rsidR="00FD5F71">
        <w:rPr>
          <w:szCs w:val="26"/>
        </w:rPr>
        <w:t xml:space="preserve"> the record sealed.</w:t>
      </w:r>
      <w:r w:rsidR="00E43C1C">
        <w:rPr>
          <w:szCs w:val="26"/>
        </w:rPr>
        <w:t xml:space="preserve"> (5)</w:t>
      </w:r>
      <w:r w:rsidR="008D1262">
        <w:rPr>
          <w:szCs w:val="26"/>
        </w:rPr>
        <w:t> </w:t>
      </w:r>
      <w:r w:rsidR="00FD5F71">
        <w:rPr>
          <w:szCs w:val="26"/>
        </w:rPr>
        <w:t>With respect to problems with drivers, the</w:t>
      </w:r>
      <w:r w:rsidRPr="00A97445" w:rsidR="00FD5F71">
        <w:rPr>
          <w:szCs w:val="26"/>
        </w:rPr>
        <w:t xml:space="preserve"> </w:t>
      </w:r>
      <w:r w:rsidRPr="00A97445" w:rsidR="00FD5F71">
        <w:rPr>
          <w:i/>
          <w:iCs/>
          <w:szCs w:val="26"/>
        </w:rPr>
        <w:t>Ruling</w:t>
      </w:r>
      <w:r w:rsidRPr="00A97445" w:rsidR="00FD5F71">
        <w:rPr>
          <w:szCs w:val="26"/>
        </w:rPr>
        <w:t xml:space="preserve"> reject</w:t>
      </w:r>
      <w:r w:rsidR="00FD5F71">
        <w:rPr>
          <w:szCs w:val="26"/>
        </w:rPr>
        <w:t>ed</w:t>
      </w:r>
      <w:r w:rsidRPr="00A97445" w:rsidR="00FD5F71">
        <w:rPr>
          <w:szCs w:val="26"/>
        </w:rPr>
        <w:t xml:space="preserve"> Lyft’s argument that reports of problems with drivers should be treated as confidential and protected from disclosure pursuant to </w:t>
      </w:r>
      <w:r w:rsidR="00FD5F71">
        <w:rPr>
          <w:szCs w:val="26"/>
        </w:rPr>
        <w:t>Government</w:t>
      </w:r>
      <w:r w:rsidRPr="00A97445" w:rsidR="00FD5F71">
        <w:rPr>
          <w:szCs w:val="26"/>
        </w:rPr>
        <w:t xml:space="preserve"> Code §§ 6254(c) (similar files, the disclosure of which would constitute an unwarranted invasion of personal privacy) and</w:t>
      </w:r>
      <w:r w:rsidR="00FD5F71">
        <w:rPr>
          <w:szCs w:val="26"/>
        </w:rPr>
        <w:t xml:space="preserve"> </w:t>
      </w:r>
      <w:r w:rsidRPr="00A97445" w:rsidR="00FD5F71">
        <w:rPr>
          <w:szCs w:val="26"/>
        </w:rPr>
        <w:t>6254(f) (investigatory or security files com plied by the Commission for licensing purposes).</w:t>
      </w:r>
      <w:r w:rsidRPr="00A97445" w:rsidR="00FD5F71">
        <w:rPr>
          <w:szCs w:val="26"/>
          <w:vertAlign w:val="superscript"/>
        </w:rPr>
        <w:footnoteReference w:id="12"/>
      </w:r>
      <w:r w:rsidRPr="00A97445" w:rsidR="00FD5F71">
        <w:rPr>
          <w:szCs w:val="26"/>
        </w:rPr>
        <w:t xml:space="preserve"> </w:t>
      </w:r>
      <w:r w:rsidR="008D1262">
        <w:rPr>
          <w:szCs w:val="26"/>
        </w:rPr>
        <w:t xml:space="preserve"> </w:t>
      </w:r>
      <w:r w:rsidRPr="00A97445" w:rsidR="00FD5F71">
        <w:rPr>
          <w:szCs w:val="26"/>
        </w:rPr>
        <w:t xml:space="preserve">The </w:t>
      </w:r>
      <w:r w:rsidRPr="00293EC0" w:rsidR="00FD5F71">
        <w:rPr>
          <w:i/>
          <w:iCs/>
          <w:szCs w:val="26"/>
        </w:rPr>
        <w:t>Ruling</w:t>
      </w:r>
      <w:r w:rsidR="00FD5F71">
        <w:rPr>
          <w:szCs w:val="26"/>
        </w:rPr>
        <w:t xml:space="preserve"> determined that the </w:t>
      </w:r>
      <w:r w:rsidRPr="00A97445" w:rsidR="00FD5F71">
        <w:rPr>
          <w:szCs w:val="26"/>
        </w:rPr>
        <w:t>information responsive to this category c</w:t>
      </w:r>
      <w:r w:rsidR="00FD5F71">
        <w:rPr>
          <w:szCs w:val="26"/>
        </w:rPr>
        <w:t>ould be</w:t>
      </w:r>
      <w:r w:rsidRPr="00A97445" w:rsidR="00FD5F71">
        <w:rPr>
          <w:szCs w:val="26"/>
        </w:rPr>
        <w:t xml:space="preserve"> provided without providing the driver’s unique identification or vehicle identification number. </w:t>
      </w:r>
      <w:r w:rsidR="008D1262">
        <w:rPr>
          <w:szCs w:val="26"/>
        </w:rPr>
        <w:t xml:space="preserve"> </w:t>
      </w:r>
      <w:r w:rsidRPr="00A97445" w:rsidR="00FD5F71">
        <w:rPr>
          <w:szCs w:val="26"/>
        </w:rPr>
        <w:t>The remaining geo</w:t>
      </w:r>
      <w:r w:rsidR="00727433">
        <w:rPr>
          <w:szCs w:val="26"/>
        </w:rPr>
        <w:t>-</w:t>
      </w:r>
      <w:r w:rsidRPr="00A97445" w:rsidR="00FD5F71">
        <w:rPr>
          <w:szCs w:val="26"/>
        </w:rPr>
        <w:t>locational information c</w:t>
      </w:r>
      <w:r w:rsidR="00FD5F71">
        <w:rPr>
          <w:szCs w:val="26"/>
        </w:rPr>
        <w:t>ould</w:t>
      </w:r>
      <w:r w:rsidRPr="00A97445" w:rsidR="00FD5F71">
        <w:rPr>
          <w:szCs w:val="26"/>
        </w:rPr>
        <w:t xml:space="preserve"> </w:t>
      </w:r>
      <w:r w:rsidR="008519CD">
        <w:rPr>
          <w:szCs w:val="26"/>
        </w:rPr>
        <w:t xml:space="preserve">also </w:t>
      </w:r>
      <w:r w:rsidRPr="00A97445" w:rsidR="00FD5F71">
        <w:rPr>
          <w:szCs w:val="26"/>
        </w:rPr>
        <w:t xml:space="preserve">be provided </w:t>
      </w:r>
      <w:r w:rsidR="008519CD">
        <w:rPr>
          <w:szCs w:val="26"/>
        </w:rPr>
        <w:t xml:space="preserve">without infringing on any privacy concerns </w:t>
      </w:r>
      <w:r w:rsidRPr="00A97445" w:rsidR="00FD5F71">
        <w:rPr>
          <w:szCs w:val="26"/>
        </w:rPr>
        <w:t xml:space="preserve">because </w:t>
      </w:r>
      <w:r w:rsidR="008519CD">
        <w:rPr>
          <w:szCs w:val="26"/>
        </w:rPr>
        <w:t>the information did not ask for the</w:t>
      </w:r>
      <w:r w:rsidRPr="00A97445" w:rsidR="00FD5F71">
        <w:rPr>
          <w:szCs w:val="26"/>
        </w:rPr>
        <w:t xml:space="preserve"> </w:t>
      </w:r>
      <w:r w:rsidRPr="00A97445" w:rsidR="00727433">
        <w:rPr>
          <w:szCs w:val="26"/>
        </w:rPr>
        <w:t>identi</w:t>
      </w:r>
      <w:r w:rsidR="00727433">
        <w:rPr>
          <w:szCs w:val="26"/>
        </w:rPr>
        <w:t>ty of a</w:t>
      </w:r>
      <w:r w:rsidRPr="00A97445" w:rsidR="00FD5F71">
        <w:rPr>
          <w:szCs w:val="26"/>
        </w:rPr>
        <w:t xml:space="preserve"> specific driver by name. Thus, the </w:t>
      </w:r>
      <w:r w:rsidRPr="00293EC0" w:rsidR="00FD5F71">
        <w:rPr>
          <w:i/>
          <w:iCs/>
          <w:szCs w:val="26"/>
        </w:rPr>
        <w:t>Ruling</w:t>
      </w:r>
      <w:r w:rsidR="00FD5F71">
        <w:rPr>
          <w:szCs w:val="26"/>
        </w:rPr>
        <w:t xml:space="preserve"> concluded that the </w:t>
      </w:r>
      <w:r w:rsidRPr="00A97445" w:rsidR="00FD5F71">
        <w:rPr>
          <w:szCs w:val="26"/>
        </w:rPr>
        <w:t xml:space="preserve">privacy concerns contemplated by </w:t>
      </w:r>
      <w:r w:rsidR="00FD5F71">
        <w:rPr>
          <w:szCs w:val="26"/>
        </w:rPr>
        <w:t>Government</w:t>
      </w:r>
      <w:r w:rsidRPr="00A97445" w:rsidR="00FD5F71">
        <w:rPr>
          <w:szCs w:val="26"/>
        </w:rPr>
        <w:t xml:space="preserve"> Code §§ 6254(c) and (f) </w:t>
      </w:r>
      <w:r w:rsidR="00FD5F71">
        <w:rPr>
          <w:szCs w:val="26"/>
        </w:rPr>
        <w:t>were</w:t>
      </w:r>
      <w:r w:rsidRPr="00A97445" w:rsidR="00FD5F71">
        <w:rPr>
          <w:szCs w:val="26"/>
        </w:rPr>
        <w:t xml:space="preserve"> not implicated.</w:t>
      </w:r>
    </w:p>
    <w:p w:rsidR="00314CFD" w:rsidP="00314CFD" w:rsidRDefault="00314CFD" w14:paraId="7DCC1529" w14:textId="721CF3A1">
      <w:pPr>
        <w:pStyle w:val="Standard"/>
        <w:rPr>
          <w:szCs w:val="26"/>
        </w:rPr>
      </w:pPr>
      <w:r>
        <w:rPr>
          <w:szCs w:val="26"/>
        </w:rPr>
        <w:lastRenderedPageBreak/>
        <w:t xml:space="preserve">Fourth, the </w:t>
      </w:r>
      <w:r w:rsidRPr="0068567E">
        <w:rPr>
          <w:i/>
          <w:iCs/>
          <w:szCs w:val="26"/>
        </w:rPr>
        <w:t xml:space="preserve">Ruling </w:t>
      </w:r>
      <w:r>
        <w:rPr>
          <w:szCs w:val="26"/>
        </w:rPr>
        <w:t xml:space="preserve">rejected Lyft’s request to treat </w:t>
      </w:r>
      <w:r w:rsidRPr="00A6208D">
        <w:rPr>
          <w:szCs w:val="26"/>
        </w:rPr>
        <w:t>driver user data</w:t>
      </w:r>
      <w:r>
        <w:rPr>
          <w:szCs w:val="26"/>
        </w:rPr>
        <w:t xml:space="preserve"> (</w:t>
      </w:r>
      <w:r w:rsidRPr="0068567E" w:rsidR="00951B30">
        <w:rPr>
          <w:i/>
          <w:iCs/>
          <w:szCs w:val="26"/>
        </w:rPr>
        <w:t>i.e</w:t>
      </w:r>
      <w:r w:rsidR="00951B30">
        <w:rPr>
          <w:szCs w:val="26"/>
        </w:rPr>
        <w:t>.,</w:t>
      </w:r>
      <w:r w:rsidR="00316F92">
        <w:rPr>
          <w:szCs w:val="26"/>
        </w:rPr>
        <w:t xml:space="preserve"> </w:t>
      </w:r>
      <w:r w:rsidRPr="00A97445" w:rsidR="00316F92">
        <w:rPr>
          <w:szCs w:val="26"/>
        </w:rPr>
        <w:t>the days a particular driver has used the App, the day, month and year a driver’s hours were reported on trips referred through the App, the number of hou</w:t>
      </w:r>
      <w:r w:rsidR="00717867">
        <w:rPr>
          <w:szCs w:val="26"/>
        </w:rPr>
        <w:t>r</w:t>
      </w:r>
      <w:r w:rsidRPr="00A97445" w:rsidR="00316F92">
        <w:rPr>
          <w:szCs w:val="26"/>
        </w:rPr>
        <w:t xml:space="preserve">s a driver </w:t>
      </w:r>
      <w:r w:rsidR="00717867">
        <w:rPr>
          <w:szCs w:val="26"/>
        </w:rPr>
        <w:t xml:space="preserve">is </w:t>
      </w:r>
      <w:r w:rsidRPr="00A97445" w:rsidR="00316F92">
        <w:rPr>
          <w:szCs w:val="26"/>
        </w:rPr>
        <w:t>logged onto the App for the day in using the App, mean and median hours and miles a driver logged on trips referred through the App, total hours and miles a driver logged on or drove for the month using the App, and total miles drive</w:t>
      </w:r>
      <w:r w:rsidR="00717867">
        <w:rPr>
          <w:szCs w:val="26"/>
        </w:rPr>
        <w:t>n</w:t>
      </w:r>
      <w:r w:rsidRPr="00A97445" w:rsidR="00316F92">
        <w:rPr>
          <w:szCs w:val="26"/>
        </w:rPr>
        <w:t xml:space="preserve"> on trips referred through the App) </w:t>
      </w:r>
      <w:r>
        <w:rPr>
          <w:szCs w:val="26"/>
        </w:rPr>
        <w:t>as confidential because the supporting declaration contained no credible facts to support the contention that the driver user data could be used, individually or in combination with other data, to re-identify a rider or driver.</w:t>
      </w:r>
    </w:p>
    <w:p w:rsidR="0068567E" w:rsidP="0068567E" w:rsidRDefault="00314CFD" w14:paraId="039FBEB5" w14:textId="355AB7FC">
      <w:pPr>
        <w:pStyle w:val="Standard"/>
        <w:rPr>
          <w:szCs w:val="26"/>
        </w:rPr>
      </w:pPr>
      <w:r>
        <w:rPr>
          <w:szCs w:val="26"/>
        </w:rPr>
        <w:t>Fifth</w:t>
      </w:r>
      <w:r w:rsidR="0068567E">
        <w:rPr>
          <w:szCs w:val="26"/>
        </w:rPr>
        <w:t xml:space="preserve">, with respect to </w:t>
      </w:r>
      <w:r w:rsidRPr="00A6208D" w:rsidR="0068567E">
        <w:rPr>
          <w:szCs w:val="26"/>
        </w:rPr>
        <w:t>TNC trip or geo</w:t>
      </w:r>
      <w:r w:rsidR="00F91BBB">
        <w:rPr>
          <w:szCs w:val="26"/>
        </w:rPr>
        <w:t>-</w:t>
      </w:r>
      <w:r w:rsidRPr="00A6208D" w:rsidR="0068567E">
        <w:rPr>
          <w:szCs w:val="26"/>
        </w:rPr>
        <w:t>locational data</w:t>
      </w:r>
      <w:r w:rsidRPr="00951B30" w:rsidR="008A1DE9">
        <w:rPr>
          <w:szCs w:val="26"/>
        </w:rPr>
        <w:t xml:space="preserve"> </w:t>
      </w:r>
      <w:r w:rsidR="006748E4">
        <w:rPr>
          <w:szCs w:val="26"/>
        </w:rPr>
        <w:t>(</w:t>
      </w:r>
      <w:r w:rsidRPr="006748E4" w:rsidR="006748E4">
        <w:rPr>
          <w:i/>
          <w:iCs/>
          <w:szCs w:val="26"/>
        </w:rPr>
        <w:t>i.e</w:t>
      </w:r>
      <w:r w:rsidR="006748E4">
        <w:rPr>
          <w:szCs w:val="26"/>
        </w:rPr>
        <w:t xml:space="preserve">. </w:t>
      </w:r>
      <w:r w:rsidRPr="006748E4" w:rsidR="006748E4">
        <w:rPr>
          <w:szCs w:val="26"/>
        </w:rPr>
        <w:t>Unique Driver ID, Vehicle Identification Number, Vehicle Make, Vehicle Mode</w:t>
      </w:r>
      <w:r w:rsidR="00520926">
        <w:rPr>
          <w:szCs w:val="26"/>
        </w:rPr>
        <w:t>l</w:t>
      </w:r>
      <w:r w:rsidRPr="006748E4" w:rsidR="006748E4">
        <w:rPr>
          <w:szCs w:val="26"/>
        </w:rPr>
        <w:t>, Vehicle Year, Latitude of Passenger Drop Off, Longitude of Passenger Drop Off, Zip Code of Passenger Drop Off, Census Block of Passenger Drop Off, Trip Requester Latitude, Trip Requester Longitude, Trip Requester Zip Code, Trip Requester Census Block, Driver Latitude, Driver Longitude, Driver Zip Code, Driver Census Block, Trip Request Date/Time (to the second), Miles Traveled (P1), Request Accepted Date/Time (to the second), Request Accepted Latitude, Request Accepted Longitude, Request Accepted Zip Code, Request Accepted Census Block, Passenger Pick Date/Time (to the second), Miles Traveled (P2), Passenger Pick Up Latitude, Passenger Pick Up Longitude, Passenger Pick Up Zip Code, Passenger Pick Up Census Block, Passenger Drop Off Date/Time (to the second), Passenger Drop Off Latitude, Passenger Drop Off Longitude, Passenger Drop Off Zip Code, Passenger Drop Off Census Block, Miles Traveled (P3), and Total Amount Paid</w:t>
      </w:r>
      <w:r w:rsidR="006748E4">
        <w:rPr>
          <w:szCs w:val="26"/>
        </w:rPr>
        <w:t>),</w:t>
      </w:r>
      <w:r w:rsidRPr="0068567E" w:rsidR="0068567E">
        <w:rPr>
          <w:szCs w:val="26"/>
        </w:rPr>
        <w:t xml:space="preserve"> </w:t>
      </w:r>
      <w:r w:rsidR="0068567E">
        <w:rPr>
          <w:szCs w:val="26"/>
        </w:rPr>
        <w:t xml:space="preserve">the </w:t>
      </w:r>
      <w:r w:rsidRPr="00742CFF" w:rsidR="0068567E">
        <w:rPr>
          <w:i/>
          <w:iCs/>
          <w:szCs w:val="26"/>
        </w:rPr>
        <w:t>Ruling</w:t>
      </w:r>
      <w:r w:rsidR="0068567E">
        <w:rPr>
          <w:i/>
          <w:iCs/>
          <w:szCs w:val="26"/>
        </w:rPr>
        <w:t xml:space="preserve"> </w:t>
      </w:r>
      <w:r w:rsidR="0068567E">
        <w:rPr>
          <w:szCs w:val="26"/>
        </w:rPr>
        <w:t xml:space="preserve">agreed that latitude and longitude information of both the driver and rider of a particular TNC trip should be kept </w:t>
      </w:r>
      <w:r w:rsidR="0068567E">
        <w:rPr>
          <w:szCs w:val="26"/>
        </w:rPr>
        <w:lastRenderedPageBreak/>
        <w:t xml:space="preserve">confidential on privacy grounds since </w:t>
      </w:r>
      <w:r w:rsidR="00101101">
        <w:rPr>
          <w:szCs w:val="26"/>
        </w:rPr>
        <w:t>that information</w:t>
      </w:r>
      <w:r w:rsidR="0068567E">
        <w:rPr>
          <w:szCs w:val="26"/>
        </w:rPr>
        <w:t xml:space="preserve"> might be engineered to identify the exact starting and ending addresses of a trip, which could then be combined with other information to identify a driver and/or passenger. </w:t>
      </w:r>
      <w:r w:rsidR="00C12135">
        <w:rPr>
          <w:szCs w:val="26"/>
        </w:rPr>
        <w:t xml:space="preserve"> </w:t>
      </w:r>
      <w:r w:rsidR="0096483A">
        <w:rPr>
          <w:szCs w:val="26"/>
        </w:rPr>
        <w:t xml:space="preserve">The </w:t>
      </w:r>
      <w:r w:rsidRPr="00A6208D" w:rsidR="0096483A">
        <w:rPr>
          <w:i/>
          <w:iCs/>
          <w:szCs w:val="26"/>
        </w:rPr>
        <w:t>Ruling</w:t>
      </w:r>
      <w:r w:rsidR="0096483A">
        <w:rPr>
          <w:szCs w:val="26"/>
        </w:rPr>
        <w:t xml:space="preserve"> also agreed that driver information (</w:t>
      </w:r>
      <w:r w:rsidRPr="00A6208D" w:rsidR="0096483A">
        <w:rPr>
          <w:i/>
          <w:iCs/>
          <w:szCs w:val="26"/>
        </w:rPr>
        <w:t>i.e.</w:t>
      </w:r>
      <w:r w:rsidR="003A4DFD">
        <w:rPr>
          <w:i/>
          <w:iCs/>
          <w:szCs w:val="26"/>
        </w:rPr>
        <w:t>,</w:t>
      </w:r>
      <w:r w:rsidR="0096483A">
        <w:rPr>
          <w:szCs w:val="26"/>
        </w:rPr>
        <w:t xml:space="preserve"> </w:t>
      </w:r>
      <w:r w:rsidRPr="006748E4" w:rsidR="0096483A">
        <w:rPr>
          <w:szCs w:val="26"/>
        </w:rPr>
        <w:t>Unique Driver ID, Vehicle Identification Number, Vehicle Make, Vehicle Mode</w:t>
      </w:r>
      <w:r w:rsidR="0096483A">
        <w:rPr>
          <w:szCs w:val="26"/>
        </w:rPr>
        <w:t>l</w:t>
      </w:r>
      <w:r w:rsidRPr="006748E4" w:rsidR="0096483A">
        <w:rPr>
          <w:szCs w:val="26"/>
        </w:rPr>
        <w:t xml:space="preserve">, </w:t>
      </w:r>
      <w:r w:rsidR="0096483A">
        <w:rPr>
          <w:szCs w:val="26"/>
        </w:rPr>
        <w:t xml:space="preserve">and </w:t>
      </w:r>
      <w:r w:rsidRPr="006748E4" w:rsidR="0096483A">
        <w:rPr>
          <w:szCs w:val="26"/>
        </w:rPr>
        <w:t>Vehicle Year</w:t>
      </w:r>
      <w:r w:rsidR="0096483A">
        <w:rPr>
          <w:szCs w:val="26"/>
        </w:rPr>
        <w:t xml:space="preserve">) could be withheld on privacy grounds. </w:t>
      </w:r>
      <w:r w:rsidR="005D62A3">
        <w:rPr>
          <w:szCs w:val="26"/>
        </w:rPr>
        <w:t xml:space="preserve"> </w:t>
      </w:r>
      <w:r w:rsidR="0068567E">
        <w:rPr>
          <w:szCs w:val="26"/>
        </w:rPr>
        <w:t xml:space="preserve">But with respect to the balance of the </w:t>
      </w:r>
      <w:r w:rsidR="00861DF5">
        <w:rPr>
          <w:szCs w:val="26"/>
        </w:rPr>
        <w:t>trip</w:t>
      </w:r>
      <w:r w:rsidR="0068567E">
        <w:rPr>
          <w:szCs w:val="26"/>
        </w:rPr>
        <w:t xml:space="preserve"> data</w:t>
      </w:r>
      <w:r w:rsidR="00E43C1C">
        <w:rPr>
          <w:szCs w:val="26"/>
        </w:rPr>
        <w:t xml:space="preserve"> at issue</w:t>
      </w:r>
      <w:r w:rsidR="0068567E">
        <w:rPr>
          <w:szCs w:val="26"/>
        </w:rPr>
        <w:t xml:space="preserve">, the </w:t>
      </w:r>
      <w:r w:rsidRPr="005D33C1" w:rsidR="0068567E">
        <w:rPr>
          <w:i/>
          <w:iCs/>
          <w:szCs w:val="26"/>
        </w:rPr>
        <w:t>Ruling</w:t>
      </w:r>
      <w:r w:rsidR="0068567E">
        <w:rPr>
          <w:szCs w:val="26"/>
        </w:rPr>
        <w:t xml:space="preserve"> rejected the privacy claims because Lyft failed to make the necessary granular showing how this data, either individually or in combination, could lead to the discovery of the identification of a particular driver or customer.</w:t>
      </w:r>
    </w:p>
    <w:p w:rsidR="009B5335" w:rsidP="00182031" w:rsidRDefault="00177B9D" w14:paraId="474E0C63" w14:textId="193374B0">
      <w:pPr>
        <w:pStyle w:val="Standard"/>
      </w:pPr>
      <w:r>
        <w:t xml:space="preserve">The </w:t>
      </w:r>
      <w:r w:rsidRPr="00177B9D">
        <w:rPr>
          <w:i/>
          <w:iCs/>
        </w:rPr>
        <w:t>Ruling</w:t>
      </w:r>
      <w:r>
        <w:t xml:space="preserve"> also </w:t>
      </w:r>
      <w:r w:rsidR="00EE34AB">
        <w:t>addressed the claim that</w:t>
      </w:r>
      <w:r>
        <w:t xml:space="preserve"> trip data was </w:t>
      </w:r>
      <w:r w:rsidR="00861DF5">
        <w:t xml:space="preserve">trade secret </w:t>
      </w:r>
      <w:r>
        <w:t>protected from public disclosure</w:t>
      </w:r>
      <w:r w:rsidR="00861DF5">
        <w:t xml:space="preserve">. </w:t>
      </w:r>
      <w:r w:rsidR="00C12135">
        <w:t xml:space="preserve"> </w:t>
      </w:r>
      <w:r w:rsidR="00861DF5">
        <w:t>After setting forth the definition of what constitutes a trade secret, t</w:t>
      </w:r>
      <w:r w:rsidRPr="00A97445">
        <w:t>he</w:t>
      </w:r>
      <w:r>
        <w:t xml:space="preserve"> </w:t>
      </w:r>
      <w:r w:rsidRPr="00177B9D">
        <w:rPr>
          <w:i/>
          <w:iCs/>
        </w:rPr>
        <w:t>Ruling</w:t>
      </w:r>
      <w:r>
        <w:t xml:space="preserve"> found that </w:t>
      </w:r>
      <w:r w:rsidR="005C69FA">
        <w:t xml:space="preserve">Uber and Lyft had failed to establish that trip data was entitled to trade secret protection. </w:t>
      </w:r>
      <w:r w:rsidR="002104A7">
        <w:t xml:space="preserve"> </w:t>
      </w:r>
      <w:r w:rsidR="005C69FA">
        <w:t xml:space="preserve">The </w:t>
      </w:r>
      <w:r w:rsidRPr="009B5335" w:rsidR="005C69FA">
        <w:rPr>
          <w:i/>
          <w:iCs/>
        </w:rPr>
        <w:t xml:space="preserve">Ruling </w:t>
      </w:r>
      <w:r w:rsidR="005C69FA">
        <w:t xml:space="preserve">reasoned that the trip data provided generalized location, driving, and time </w:t>
      </w:r>
      <w:r w:rsidR="009B5335">
        <w:t>information</w:t>
      </w:r>
      <w:r w:rsidR="005C69FA">
        <w:t xml:space="preserve"> </w:t>
      </w:r>
      <w:r w:rsidR="00691C03">
        <w:t xml:space="preserve">that was neither novel nor unique, and </w:t>
      </w:r>
      <w:r w:rsidR="005C69FA">
        <w:t xml:space="preserve">could already be ascertained with computer modeling. </w:t>
      </w:r>
      <w:r w:rsidR="00C12135">
        <w:t xml:space="preserve"> </w:t>
      </w:r>
      <w:r w:rsidR="009B5335">
        <w:t xml:space="preserve">The </w:t>
      </w:r>
      <w:r w:rsidRPr="009B5335" w:rsidR="009B5335">
        <w:rPr>
          <w:i/>
          <w:iCs/>
        </w:rPr>
        <w:t>Ruling</w:t>
      </w:r>
      <w:r w:rsidR="009B5335">
        <w:t xml:space="preserve"> also found that making trip data public would not compromise the competitive advantages each company tries to maintain since the Annual Reports did not require the TNCs to disclose new products and features for riders and drivers, or their internal business strategies. </w:t>
      </w:r>
      <w:r w:rsidR="00C12135">
        <w:t xml:space="preserve"> </w:t>
      </w:r>
      <w:r w:rsidR="009B5335">
        <w:t>E</w:t>
      </w:r>
      <w:r w:rsidRPr="00A97445">
        <w:t>ach competitive TNC must perform its own analysis and develop its own strategies to market its business to the riding public</w:t>
      </w:r>
      <w:r w:rsidR="009B5335">
        <w:t>, something that would not be aided by the disclosure of trip data</w:t>
      </w:r>
      <w:r w:rsidRPr="00A97445">
        <w:t xml:space="preserve">. </w:t>
      </w:r>
    </w:p>
    <w:p w:rsidR="00177B9D" w:rsidP="00182031" w:rsidRDefault="00951B30" w14:paraId="4F0ACF03" w14:textId="41142554">
      <w:pPr>
        <w:pStyle w:val="Standard"/>
      </w:pPr>
      <w:r>
        <w:t xml:space="preserve">In contrast to Lyft’s </w:t>
      </w:r>
      <w:r w:rsidR="006F5647">
        <w:t>failure</w:t>
      </w:r>
      <w:r>
        <w:t xml:space="preserve"> to demonstrate that the disclosure of trip data would disclose trade secrets, the </w:t>
      </w:r>
      <w:r w:rsidRPr="00951B30">
        <w:rPr>
          <w:i/>
          <w:iCs/>
        </w:rPr>
        <w:t>Ruling</w:t>
      </w:r>
      <w:r>
        <w:t xml:space="preserve"> found that there was a legitimate</w:t>
      </w:r>
      <w:r w:rsidRPr="00A97445">
        <w:t xml:space="preserve"> public interest in </w:t>
      </w:r>
      <w:r>
        <w:t xml:space="preserve">making trip data public. </w:t>
      </w:r>
      <w:r w:rsidR="00C12135">
        <w:t xml:space="preserve"> </w:t>
      </w:r>
      <w:r>
        <w:t xml:space="preserve">For example, </w:t>
      </w:r>
      <w:r w:rsidR="006748E4">
        <w:t xml:space="preserve">the </w:t>
      </w:r>
      <w:r w:rsidRPr="006748E4" w:rsidR="006748E4">
        <w:rPr>
          <w:i/>
          <w:iCs/>
        </w:rPr>
        <w:t>Ruling</w:t>
      </w:r>
      <w:r w:rsidR="006748E4">
        <w:t xml:space="preserve"> explained that </w:t>
      </w:r>
      <w:r>
        <w:lastRenderedPageBreak/>
        <w:t xml:space="preserve">municipalities and their transportation regulatory agencies have an interest in </w:t>
      </w:r>
      <w:r w:rsidRPr="00A97445">
        <w:t xml:space="preserve">learning when riders are in operation and when trips are accepted or rejected. Public entities have an interest in knowing how many drivers are in operation on their </w:t>
      </w:r>
      <w:r>
        <w:t>roads</w:t>
      </w:r>
      <w:r w:rsidRPr="00A97445">
        <w:t xml:space="preserve"> for </w:t>
      </w:r>
      <w:r>
        <w:t>transportation</w:t>
      </w:r>
      <w:r w:rsidRPr="00A97445">
        <w:t xml:space="preserve"> planning purposes</w:t>
      </w:r>
      <w:r>
        <w:t xml:space="preserve"> and</w:t>
      </w:r>
      <w:r w:rsidRPr="00A97445">
        <w:t xml:space="preserve"> would also want to know the number of times and when rides are accepted or rejected to determine if the TNC ride service </w:t>
      </w:r>
      <w:r>
        <w:t>was</w:t>
      </w:r>
      <w:r w:rsidRPr="00A97445">
        <w:t xml:space="preserve"> being provided to all neighborhoods in a nondiscriminatory manner.</w:t>
      </w:r>
      <w:r>
        <w:t xml:space="preserve"> </w:t>
      </w:r>
      <w:r w:rsidR="00C12135">
        <w:t xml:space="preserve"> </w:t>
      </w:r>
      <w:r>
        <w:t xml:space="preserve">The </w:t>
      </w:r>
      <w:r w:rsidRPr="00951B30">
        <w:rPr>
          <w:i/>
          <w:iCs/>
        </w:rPr>
        <w:t>Ruling</w:t>
      </w:r>
      <w:r>
        <w:t xml:space="preserve"> concluded that application of the public interest balancing test weighed in favor of requiring the public disclosure of trip data.</w:t>
      </w:r>
    </w:p>
    <w:p w:rsidR="00FD5F71" w:rsidP="00182031" w:rsidRDefault="0068567E" w14:paraId="29FC6E26" w14:textId="3CE8D571">
      <w:pPr>
        <w:pStyle w:val="Standard"/>
      </w:pPr>
      <w:r>
        <w:t xml:space="preserve">Finally, </w:t>
      </w:r>
      <w:r w:rsidRPr="006F5647" w:rsidR="006F5647">
        <w:t xml:space="preserve">attached Exhibits A and B </w:t>
      </w:r>
      <w:r w:rsidR="006F5647">
        <w:t xml:space="preserve">to </w:t>
      </w:r>
      <w:r>
        <w:t xml:space="preserve">the </w:t>
      </w:r>
      <w:r w:rsidRPr="0068567E">
        <w:rPr>
          <w:i/>
          <w:iCs/>
        </w:rPr>
        <w:t>Ruling</w:t>
      </w:r>
      <w:r>
        <w:t xml:space="preserve"> explained, on a category-by-category basis, what information categories could, and could not, be redacted from the public versions of Uber and Lyft’s 2020 Annual Reports.</w:t>
      </w:r>
    </w:p>
    <w:p w:rsidR="00EE34AB" w:rsidP="00EE34AB" w:rsidRDefault="00EE34AB" w14:paraId="5ED46CA4" w14:textId="19D0B5EF">
      <w:pPr>
        <w:pStyle w:val="Heading2"/>
      </w:pPr>
      <w:bookmarkStart w:name="_Toc82193569" w:id="27"/>
      <w:bookmarkStart w:name="_Toc94682532" w:id="28"/>
      <w:bookmarkStart w:name="_Toc102479661" w:id="29"/>
      <w:r>
        <w:t>Lyft’s Appeal</w:t>
      </w:r>
      <w:bookmarkEnd w:id="27"/>
      <w:bookmarkEnd w:id="28"/>
      <w:bookmarkEnd w:id="29"/>
    </w:p>
    <w:p w:rsidRPr="008A1DE9" w:rsidR="0068567E" w:rsidP="00182031" w:rsidRDefault="0068567E" w14:paraId="7A47C730" w14:textId="280821A4">
      <w:pPr>
        <w:pStyle w:val="Standard"/>
      </w:pPr>
      <w:r>
        <w:t xml:space="preserve">On May 28, 2021, Lyft filed its </w:t>
      </w:r>
      <w:r w:rsidRPr="008A1DE9" w:rsidR="008A1DE9">
        <w:rPr>
          <w:i/>
          <w:iCs/>
        </w:rPr>
        <w:t>Appeal</w:t>
      </w:r>
      <w:r w:rsidR="008A1DE9">
        <w:t xml:space="preserve"> of the </w:t>
      </w:r>
      <w:r w:rsidRPr="008A1DE9" w:rsidR="008A1DE9">
        <w:rPr>
          <w:i/>
          <w:iCs/>
        </w:rPr>
        <w:t>Ruling</w:t>
      </w:r>
      <w:r w:rsidR="008A1DE9">
        <w:rPr>
          <w:i/>
          <w:iCs/>
        </w:rPr>
        <w:t xml:space="preserve"> </w:t>
      </w:r>
      <w:r w:rsidR="008A1DE9">
        <w:t xml:space="preserve">and challenged the </w:t>
      </w:r>
      <w:r w:rsidRPr="008A1DE9" w:rsidR="008A1DE9">
        <w:rPr>
          <w:i/>
          <w:iCs/>
        </w:rPr>
        <w:t>Rulings</w:t>
      </w:r>
      <w:r w:rsidR="008A1DE9">
        <w:t xml:space="preserve"> findings insofar as the </w:t>
      </w:r>
      <w:r w:rsidRPr="008A1DE9" w:rsidR="008A1DE9">
        <w:rPr>
          <w:i/>
          <w:iCs/>
        </w:rPr>
        <w:t>Ruling</w:t>
      </w:r>
      <w:r w:rsidR="008A1DE9">
        <w:t xml:space="preserve"> rejected Lyft’s claims of trade secret protection and privacy of Lyft</w:t>
      </w:r>
      <w:r w:rsidR="006748E4">
        <w:t xml:space="preserve">’s trip data. </w:t>
      </w:r>
      <w:r w:rsidR="00C12135">
        <w:t xml:space="preserve"> </w:t>
      </w:r>
      <w:r w:rsidR="006748E4">
        <w:t xml:space="preserve">By filing the </w:t>
      </w:r>
      <w:r w:rsidRPr="00903C69" w:rsidR="006748E4">
        <w:rPr>
          <w:i/>
          <w:iCs/>
        </w:rPr>
        <w:t>Appeal,</w:t>
      </w:r>
      <w:r w:rsidR="006748E4">
        <w:t xml:space="preserve"> Lyft has sought </w:t>
      </w:r>
      <w:r w:rsidR="002B29DE">
        <w:t xml:space="preserve">what it characterizes as </w:t>
      </w:r>
      <w:r w:rsidR="006748E4">
        <w:t xml:space="preserve">interlocutory review of the </w:t>
      </w:r>
      <w:r w:rsidRPr="002B29DE" w:rsidR="006748E4">
        <w:rPr>
          <w:i/>
          <w:iCs/>
        </w:rPr>
        <w:t>Ruling</w:t>
      </w:r>
      <w:r w:rsidR="006748E4">
        <w:t xml:space="preserve"> pursuant to the right the Commission recognized in D</w:t>
      </w:r>
      <w:r w:rsidR="00C12135">
        <w:t>.</w:t>
      </w:r>
      <w:r w:rsidR="006748E4">
        <w:t>16</w:t>
      </w:r>
      <w:r w:rsidR="00C12135">
        <w:noBreakHyphen/>
      </w:r>
      <w:r w:rsidR="006748E4">
        <w:t>10</w:t>
      </w:r>
      <w:r w:rsidR="00C12135">
        <w:noBreakHyphen/>
      </w:r>
      <w:r w:rsidR="006748E4">
        <w:t xml:space="preserve">043 for the review of interim ALJ </w:t>
      </w:r>
      <w:r w:rsidR="00903C69">
        <w:t xml:space="preserve">evidentiary </w:t>
      </w:r>
      <w:r w:rsidR="006748E4">
        <w:t xml:space="preserve">rulings that </w:t>
      </w:r>
      <w:r w:rsidR="00903C69">
        <w:t xml:space="preserve">potentially </w:t>
      </w:r>
      <w:r w:rsidR="006748E4">
        <w:t>implicate privacy or constitutional rights</w:t>
      </w:r>
      <w:r w:rsidR="00903C69">
        <w:t>.</w:t>
      </w:r>
      <w:r w:rsidR="00903C69">
        <w:rPr>
          <w:rStyle w:val="FootnoteReference"/>
          <w:szCs w:val="26"/>
        </w:rPr>
        <w:footnoteReference w:id="13"/>
      </w:r>
      <w:r w:rsidR="006748E4">
        <w:t xml:space="preserve"> </w:t>
      </w:r>
    </w:p>
    <w:p w:rsidR="005A148C" w:rsidP="00121089" w:rsidRDefault="00316F92" w14:paraId="0807070E" w14:textId="34B4241A">
      <w:pPr>
        <w:pStyle w:val="Heading1"/>
      </w:pPr>
      <w:bookmarkStart w:name="_Toc8123718" w:id="30"/>
      <w:bookmarkStart w:name="_Toc82193570" w:id="31"/>
      <w:bookmarkStart w:name="_Toc94682533" w:id="32"/>
      <w:bookmarkStart w:name="_Toc102479662" w:id="33"/>
      <w:r>
        <w:t xml:space="preserve">California Policy Favors </w:t>
      </w:r>
      <w:r w:rsidR="00D15965">
        <w:t>t</w:t>
      </w:r>
      <w:r>
        <w:t>he Disclosure of  Information</w:t>
      </w:r>
      <w:bookmarkEnd w:id="30"/>
      <w:r w:rsidR="00D15965">
        <w:t xml:space="preserve"> in the Government’s Possession</w:t>
      </w:r>
      <w:bookmarkEnd w:id="31"/>
      <w:bookmarkEnd w:id="32"/>
      <w:bookmarkEnd w:id="33"/>
    </w:p>
    <w:p w:rsidRPr="00A97445" w:rsidR="00316F92" w:rsidP="00182031" w:rsidRDefault="00316F92" w14:paraId="47FF478E" w14:textId="13A667BF">
      <w:pPr>
        <w:pStyle w:val="Standard"/>
      </w:pPr>
      <w:r w:rsidRPr="00A97445">
        <w:t>D.20-03-014’s strict evidentiary showing</w:t>
      </w:r>
      <w:r>
        <w:t xml:space="preserve"> for a TNC</w:t>
      </w:r>
      <w:r w:rsidRPr="00A97445">
        <w:t xml:space="preserve"> to substantiate a claim of confidentiality is derived from and reflects California’s strong public policy </w:t>
      </w:r>
      <w:r w:rsidRPr="00A97445">
        <w:lastRenderedPageBreak/>
        <w:t xml:space="preserve">favoring access to government records. </w:t>
      </w:r>
      <w:r w:rsidRPr="00A97445" w:rsidR="00D761C9">
        <w:t xml:space="preserve"> Cal. Const. Article I, §</w:t>
      </w:r>
      <w:r w:rsidR="00BD649B">
        <w:t> </w:t>
      </w:r>
      <w:r w:rsidRPr="00A97445" w:rsidR="00D761C9">
        <w:t xml:space="preserve">3(b)(1) </w:t>
      </w:r>
      <w:r w:rsidRPr="00A97445">
        <w:t xml:space="preserve"> provides that the public has the right to access most Commission records</w:t>
      </w:r>
      <w:r w:rsidR="00D761C9">
        <w:t>:</w:t>
      </w:r>
      <w:r w:rsidRPr="00A97445">
        <w:t xml:space="preserve"> </w:t>
      </w:r>
    </w:p>
    <w:p w:rsidRPr="00A97445" w:rsidR="00316F92" w:rsidP="00806618" w:rsidRDefault="00316F92" w14:paraId="01148E53" w14:textId="5D814073">
      <w:pPr>
        <w:spacing w:after="120" w:line="240" w:lineRule="auto"/>
        <w:ind w:left="720" w:right="1440" w:firstLine="0"/>
        <w:rPr>
          <w:szCs w:val="26"/>
        </w:rPr>
      </w:pPr>
      <w:r w:rsidRPr="00A97445">
        <w:rPr>
          <w:szCs w:val="26"/>
        </w:rPr>
        <w:t>The people have the right of access to information concerning the conduct of the people's business, and, therefore, the meetings of public bodies and the writings of public officials and agencies shall be open to public scrutiny.</w:t>
      </w:r>
      <w:r w:rsidRPr="00A97445">
        <w:rPr>
          <w:bCs/>
          <w:szCs w:val="26"/>
          <w:vertAlign w:val="superscript"/>
        </w:rPr>
        <w:footnoteReference w:id="14"/>
      </w:r>
      <w:r w:rsidRPr="00A97445">
        <w:rPr>
          <w:szCs w:val="26"/>
        </w:rPr>
        <w:t xml:space="preserve">  </w:t>
      </w:r>
    </w:p>
    <w:p w:rsidRPr="00A97445" w:rsidR="00316F92" w:rsidP="00316F92" w:rsidRDefault="00316F92" w14:paraId="0CA4A9BF" w14:textId="71E6C9C6">
      <w:pPr>
        <w:ind w:firstLine="0"/>
        <w:rPr>
          <w:szCs w:val="26"/>
        </w:rPr>
      </w:pPr>
      <w:r w:rsidRPr="00A97445">
        <w:rPr>
          <w:szCs w:val="26"/>
        </w:rPr>
        <w:t>The California Public Records Act (CPRA)</w:t>
      </w:r>
      <w:r w:rsidR="004E20B4">
        <w:rPr>
          <w:szCs w:val="26"/>
        </w:rPr>
        <w:t xml:space="preserve"> was modeled after the federal Freedom of Information Act</w:t>
      </w:r>
      <w:r w:rsidR="004E20B4">
        <w:rPr>
          <w:rStyle w:val="FootnoteReference"/>
          <w:szCs w:val="26"/>
        </w:rPr>
        <w:footnoteReference w:id="15"/>
      </w:r>
      <w:r w:rsidRPr="00A97445">
        <w:rPr>
          <w:szCs w:val="26"/>
        </w:rPr>
        <w:t xml:space="preserve"> </w:t>
      </w:r>
      <w:r w:rsidR="004E20B4">
        <w:rPr>
          <w:szCs w:val="26"/>
        </w:rPr>
        <w:t xml:space="preserve">and the statutes share this common purpose—“to increase freedom of information by providing public access to information in the possession of public agencies.” </w:t>
      </w:r>
      <w:r w:rsidR="00C12135">
        <w:rPr>
          <w:szCs w:val="26"/>
        </w:rPr>
        <w:t xml:space="preserve"> </w:t>
      </w:r>
      <w:r w:rsidR="004E20B4">
        <w:rPr>
          <w:szCs w:val="26"/>
        </w:rPr>
        <w:t>(</w:t>
      </w:r>
      <w:r w:rsidRPr="00B766F1" w:rsidR="004E20B4">
        <w:rPr>
          <w:i/>
          <w:iCs/>
          <w:szCs w:val="26"/>
        </w:rPr>
        <w:t>National Conference of Black Mayors v. Chico Comm. Publ’g, Inc.</w:t>
      </w:r>
      <w:r w:rsidR="004E20B4">
        <w:rPr>
          <w:szCs w:val="26"/>
        </w:rPr>
        <w:t xml:space="preserve"> (2018) 25 Cal.App.5</w:t>
      </w:r>
      <w:r w:rsidRPr="004E20B4" w:rsidR="004E20B4">
        <w:rPr>
          <w:szCs w:val="26"/>
          <w:vertAlign w:val="superscript"/>
        </w:rPr>
        <w:t>th</w:t>
      </w:r>
      <w:r w:rsidR="004E20B4">
        <w:rPr>
          <w:szCs w:val="26"/>
        </w:rPr>
        <w:t xml:space="preserve"> 570, 578.)</w:t>
      </w:r>
      <w:r w:rsidR="00B766F1">
        <w:rPr>
          <w:szCs w:val="26"/>
        </w:rPr>
        <w:t xml:space="preserve"> </w:t>
      </w:r>
      <w:r w:rsidR="00C12135">
        <w:rPr>
          <w:szCs w:val="26"/>
        </w:rPr>
        <w:t xml:space="preserve"> </w:t>
      </w:r>
      <w:r w:rsidR="00B766F1">
        <w:rPr>
          <w:szCs w:val="26"/>
        </w:rPr>
        <w:t xml:space="preserve">The need for freedom of information </w:t>
      </w:r>
      <w:r w:rsidRPr="00A97445">
        <w:rPr>
          <w:szCs w:val="26"/>
        </w:rPr>
        <w:t>requires that public agency records be open to public inspection unless they are exempt from disclosure under the provisions of the CPRA.</w:t>
      </w:r>
      <w:r w:rsidRPr="00A97445">
        <w:rPr>
          <w:bCs/>
          <w:szCs w:val="26"/>
          <w:vertAlign w:val="superscript"/>
        </w:rPr>
        <w:footnoteReference w:id="16"/>
      </w:r>
      <w:r w:rsidRPr="00A97445">
        <w:rPr>
          <w:szCs w:val="26"/>
        </w:rPr>
        <w:t xml:space="preserve">  The Legislature has declared that “access to information concerning the conduct of the people’s business is a fundamental and necessary right of every person in this state.”</w:t>
      </w:r>
      <w:r w:rsidR="00C12135">
        <w:rPr>
          <w:szCs w:val="26"/>
        </w:rPr>
        <w:t xml:space="preserve">  </w:t>
      </w:r>
      <w:r w:rsidR="00FA770C">
        <w:rPr>
          <w:szCs w:val="26"/>
        </w:rPr>
        <w:t>(</w:t>
      </w:r>
      <w:r w:rsidRPr="00FA770C" w:rsidR="00FA770C">
        <w:rPr>
          <w:i/>
          <w:iCs/>
          <w:szCs w:val="26"/>
        </w:rPr>
        <w:t>National Lawyers Guild v. City of Hayward</w:t>
      </w:r>
      <w:r w:rsidR="00FA770C">
        <w:rPr>
          <w:szCs w:val="26"/>
        </w:rPr>
        <w:t xml:space="preserve"> (2020) 5 Cal.5</w:t>
      </w:r>
      <w:r w:rsidRPr="00FA770C" w:rsidR="00FA770C">
        <w:rPr>
          <w:szCs w:val="26"/>
          <w:vertAlign w:val="superscript"/>
        </w:rPr>
        <w:t>th</w:t>
      </w:r>
      <w:r w:rsidR="00FA770C">
        <w:rPr>
          <w:szCs w:val="26"/>
        </w:rPr>
        <w:t xml:space="preserve"> 488, 492.)</w:t>
      </w:r>
      <w:r w:rsidRPr="00A97445">
        <w:rPr>
          <w:bCs/>
          <w:szCs w:val="26"/>
          <w:vertAlign w:val="superscript"/>
        </w:rPr>
        <w:footnoteReference w:id="17"/>
      </w:r>
      <w:r w:rsidRPr="00A97445">
        <w:rPr>
          <w:szCs w:val="26"/>
        </w:rPr>
        <w:t xml:space="preserve"> </w:t>
      </w:r>
      <w:r w:rsidR="00B07A04">
        <w:rPr>
          <w:szCs w:val="26"/>
        </w:rPr>
        <w:t xml:space="preserve">When interpreting and applying the CPRA, </w:t>
      </w:r>
      <w:r w:rsidR="00BD53D6">
        <w:rPr>
          <w:szCs w:val="26"/>
        </w:rPr>
        <w:t>the</w:t>
      </w:r>
      <w:r w:rsidR="00B07A04">
        <w:rPr>
          <w:szCs w:val="26"/>
        </w:rPr>
        <w:t xml:space="preserve"> California Supreme Court in </w:t>
      </w:r>
      <w:r w:rsidRPr="00B07A04" w:rsidR="00B07A04">
        <w:rPr>
          <w:i/>
          <w:iCs/>
          <w:szCs w:val="26"/>
        </w:rPr>
        <w:t>City</w:t>
      </w:r>
      <w:r w:rsidR="00C12135">
        <w:rPr>
          <w:i/>
          <w:iCs/>
          <w:szCs w:val="26"/>
        </w:rPr>
        <w:t> </w:t>
      </w:r>
      <w:r w:rsidRPr="00B07A04" w:rsidR="00B07A04">
        <w:rPr>
          <w:i/>
          <w:iCs/>
          <w:szCs w:val="26"/>
        </w:rPr>
        <w:t>of San Jose v. Superior Court</w:t>
      </w:r>
      <w:r w:rsidR="00B07A04">
        <w:rPr>
          <w:szCs w:val="26"/>
        </w:rPr>
        <w:t xml:space="preserve"> (2017) 2 Cal.5</w:t>
      </w:r>
      <w:r w:rsidRPr="00B07A04" w:rsidR="00B07A04">
        <w:rPr>
          <w:szCs w:val="26"/>
          <w:vertAlign w:val="superscript"/>
        </w:rPr>
        <w:t>th</w:t>
      </w:r>
      <w:r w:rsidR="00B07A04">
        <w:rPr>
          <w:szCs w:val="26"/>
        </w:rPr>
        <w:t xml:space="preserve"> 608, 617</w:t>
      </w:r>
      <w:r w:rsidR="00296CC0">
        <w:rPr>
          <w:szCs w:val="26"/>
        </w:rPr>
        <w:t>,</w:t>
      </w:r>
      <w:r w:rsidR="00B07A04">
        <w:rPr>
          <w:szCs w:val="26"/>
        </w:rPr>
        <w:t xml:space="preserve"> </w:t>
      </w:r>
      <w:r w:rsidR="0072269F">
        <w:rPr>
          <w:szCs w:val="26"/>
        </w:rPr>
        <w:t>found that</w:t>
      </w:r>
      <w:r w:rsidR="00B07A04">
        <w:rPr>
          <w:szCs w:val="26"/>
        </w:rPr>
        <w:t xml:space="preserve">: </w:t>
      </w:r>
      <w:r w:rsidR="00BD649B">
        <w:rPr>
          <w:szCs w:val="26"/>
        </w:rPr>
        <w:t xml:space="preserve"> </w:t>
      </w:r>
      <w:r w:rsidR="00296CC0">
        <w:rPr>
          <w:szCs w:val="26"/>
        </w:rPr>
        <w:t xml:space="preserve">a </w:t>
      </w:r>
      <w:r w:rsidR="00B07A04">
        <w:rPr>
          <w:szCs w:val="26"/>
        </w:rPr>
        <w:t xml:space="preserve">statute </w:t>
      </w:r>
      <w:r w:rsidRPr="00B07A04" w:rsidR="00B07A04">
        <w:rPr>
          <w:szCs w:val="26"/>
        </w:rPr>
        <w:t>shall be </w:t>
      </w:r>
      <w:r w:rsidRPr="00B07A04" w:rsidR="00B07A04">
        <w:rPr>
          <w:i/>
          <w:iCs/>
          <w:szCs w:val="26"/>
        </w:rPr>
        <w:t>broadly</w:t>
      </w:r>
      <w:r w:rsidRPr="00B07A04" w:rsidR="00B07A04">
        <w:rPr>
          <w:szCs w:val="26"/>
        </w:rPr>
        <w:t> construed if it furthers the people's right of access, and </w:t>
      </w:r>
      <w:r w:rsidRPr="00B07A04" w:rsidR="00B07A04">
        <w:rPr>
          <w:i/>
          <w:iCs/>
          <w:szCs w:val="26"/>
        </w:rPr>
        <w:t>narrowly</w:t>
      </w:r>
      <w:r w:rsidRPr="00B07A04" w:rsidR="00B07A04">
        <w:rPr>
          <w:szCs w:val="26"/>
        </w:rPr>
        <w:t> construed if it limits the right of access. (Cal. Const., art. I, §</w:t>
      </w:r>
      <w:r w:rsidR="009C76EC">
        <w:rPr>
          <w:szCs w:val="26"/>
        </w:rPr>
        <w:t> </w:t>
      </w:r>
      <w:r w:rsidRPr="00B07A04" w:rsidR="00B07A04">
        <w:rPr>
          <w:szCs w:val="26"/>
        </w:rPr>
        <w:t>3, subd. (b)(2)</w:t>
      </w:r>
      <w:r w:rsidR="00B07A04">
        <w:rPr>
          <w:szCs w:val="26"/>
        </w:rPr>
        <w:t>[.])”</w:t>
      </w:r>
    </w:p>
    <w:p w:rsidRPr="00A97445" w:rsidR="00316F92" w:rsidP="009C76EC" w:rsidRDefault="00316F92" w14:paraId="2410C295" w14:textId="211C4983">
      <w:pPr>
        <w:pStyle w:val="Standard"/>
      </w:pPr>
      <w:r w:rsidRPr="00A97445">
        <w:lastRenderedPageBreak/>
        <w:t>The CPRA requires the Commission to adopt written guidelines for access to agency records, and requires that such regulations and guidelines be consistent with the CPRA and reflect the intention of the Legislature to make agency records accessible to the public.</w:t>
      </w:r>
      <w:r w:rsidRPr="00A97445">
        <w:rPr>
          <w:bCs/>
          <w:vertAlign w:val="superscript"/>
        </w:rPr>
        <w:footnoteReference w:id="18"/>
      </w:r>
      <w:r w:rsidRPr="00A97445">
        <w:t xml:space="preserve">  G</w:t>
      </w:r>
      <w:r w:rsidR="00C12135">
        <w:t>eneral Order (G</w:t>
      </w:r>
      <w:r w:rsidRPr="00A97445">
        <w:t>O</w:t>
      </w:r>
      <w:r w:rsidR="00C12135">
        <w:t>) </w:t>
      </w:r>
      <w:r w:rsidRPr="00A97445">
        <w:t>66-D, effective January</w:t>
      </w:r>
      <w:r w:rsidR="00DB7065">
        <w:t> </w:t>
      </w:r>
      <w:r w:rsidRPr="00A97445">
        <w:t>1,</w:t>
      </w:r>
      <w:r w:rsidR="00DB7065">
        <w:t> </w:t>
      </w:r>
      <w:r w:rsidRPr="00A97445">
        <w:t>2018, constitutes the Commission’s current guidelines for access to its records, and reflects the intention to make Commission records more accessible.</w:t>
      </w:r>
      <w:r w:rsidRPr="00A97445">
        <w:rPr>
          <w:vertAlign w:val="superscript"/>
        </w:rPr>
        <w:footnoteReference w:id="19"/>
      </w:r>
      <w:r w:rsidRPr="00A97445">
        <w:t xml:space="preserve">  GO 66-D also sets forth the requirements that a person must comply with in requesting confidential treatment of information submitted to the Commission.  D.20-03-014 made clear that a </w:t>
      </w:r>
      <w:r>
        <w:t xml:space="preserve">TNC </w:t>
      </w:r>
      <w:r w:rsidRPr="00A97445">
        <w:t>submitting information to the Commission must satisfy the requirements of GO 66-D to substantiate a claim for confidentiality treatment of</w:t>
      </w:r>
      <w:r>
        <w:t xml:space="preserve"> the</w:t>
      </w:r>
      <w:r w:rsidRPr="00A97445">
        <w:t xml:space="preserve"> information.</w:t>
      </w:r>
      <w:r w:rsidRPr="00A97445">
        <w:rPr>
          <w:vertAlign w:val="superscript"/>
        </w:rPr>
        <w:footnoteReference w:id="20"/>
      </w:r>
      <w:r w:rsidRPr="00A97445">
        <w:t xml:space="preserve">  </w:t>
      </w:r>
    </w:p>
    <w:p w:rsidR="00316F92" w:rsidP="009C76EC" w:rsidRDefault="00316F92" w14:paraId="48F7081E" w14:textId="3DD7A465">
      <w:pPr>
        <w:pStyle w:val="Standard"/>
      </w:pPr>
      <w:r>
        <w:t xml:space="preserve">Placing the </w:t>
      </w:r>
      <w:r w:rsidRPr="009C76EC">
        <w:t>burden</w:t>
      </w:r>
      <w:r>
        <w:t xml:space="preserve"> on the TNC to substantiate its claim of confidentiality is </w:t>
      </w:r>
      <w:r w:rsidR="00D761C9">
        <w:t xml:space="preserve">also </w:t>
      </w:r>
      <w:r>
        <w:t xml:space="preserve">consistent with the general rule </w:t>
      </w:r>
      <w:r w:rsidR="00D761C9">
        <w:t xml:space="preserve">for </w:t>
      </w:r>
      <w:r w:rsidR="003E0B99">
        <w:t>allocating</w:t>
      </w:r>
      <w:r>
        <w:t xml:space="preserve"> the burden of proof. Pursuant to Evidence Code § 500, “except as </w:t>
      </w:r>
      <w:r w:rsidR="00935A23">
        <w:t xml:space="preserve">otherwise provided by law, a party has the burden of proof as to each fact essential to its claim or defense.” </w:t>
      </w:r>
      <w:r w:rsidR="00C12135">
        <w:t xml:space="preserve"> </w:t>
      </w:r>
      <w:r w:rsidR="00935A23">
        <w:t>(</w:t>
      </w:r>
      <w:r w:rsidRPr="00935A23" w:rsidR="00935A23">
        <w:rPr>
          <w:i/>
          <w:iCs/>
        </w:rPr>
        <w:t>See also Aguilar v. Atlantic Richfield Co</w:t>
      </w:r>
      <w:r w:rsidR="00935A23">
        <w:t xml:space="preserve"> (2001) 25 Cal.4</w:t>
      </w:r>
      <w:r w:rsidRPr="00935A23" w:rsidR="00935A23">
        <w:rPr>
          <w:vertAlign w:val="superscript"/>
        </w:rPr>
        <w:t>th</w:t>
      </w:r>
      <w:r w:rsidR="00935A23">
        <w:t xml:space="preserve"> 826, 861; </w:t>
      </w:r>
      <w:r w:rsidRPr="00935A23" w:rsidR="00935A23">
        <w:rPr>
          <w:i/>
          <w:iCs/>
        </w:rPr>
        <w:t>Samuels v. Mix</w:t>
      </w:r>
      <w:r w:rsidR="00935A23">
        <w:t xml:space="preserve"> (1999) 22 Cal.4</w:t>
      </w:r>
      <w:r w:rsidRPr="00935A23" w:rsidR="00935A23">
        <w:rPr>
          <w:vertAlign w:val="superscript"/>
        </w:rPr>
        <w:t>th</w:t>
      </w:r>
      <w:r w:rsidR="00935A23">
        <w:t xml:space="preserve"> 1, 10-11; and </w:t>
      </w:r>
      <w:r w:rsidRPr="00935A23" w:rsidR="00935A23">
        <w:rPr>
          <w:i/>
          <w:iCs/>
        </w:rPr>
        <w:t>Bridgestone/Firestone, Inc. v. Superior Court</w:t>
      </w:r>
      <w:r w:rsidR="00935A23">
        <w:t xml:space="preserve"> (1992) 7 Cal.App.4</w:t>
      </w:r>
      <w:r w:rsidRPr="00935A23" w:rsidR="00935A23">
        <w:rPr>
          <w:vertAlign w:val="superscript"/>
        </w:rPr>
        <w:t>th</w:t>
      </w:r>
      <w:r w:rsidR="00935A23">
        <w:t xml:space="preserve"> 1384</w:t>
      </w:r>
      <w:r w:rsidR="00C340E0">
        <w:t>,</w:t>
      </w:r>
      <w:r w:rsidR="00935A23">
        <w:t xml:space="preserve"> 1393 [party claiming privilege has burden of proving that information qualifies as a protected trade secret].)</w:t>
      </w:r>
      <w:r w:rsidR="003E0B99">
        <w:t xml:space="preserve"> </w:t>
      </w:r>
      <w:r w:rsidR="00C12135">
        <w:t xml:space="preserve"> </w:t>
      </w:r>
      <w:r w:rsidR="003B56EF">
        <w:t>T</w:t>
      </w:r>
      <w:r w:rsidR="003E0B99">
        <w:t xml:space="preserve">he Commission has followed that same allocation </w:t>
      </w:r>
      <w:r w:rsidR="005E10D9">
        <w:t xml:space="preserve">as to persons claiming confidentiality of information </w:t>
      </w:r>
      <w:r w:rsidR="005E10D9">
        <w:lastRenderedPageBreak/>
        <w:t>submitted informally</w:t>
      </w:r>
      <w:r w:rsidR="00430D6F">
        <w:rPr>
          <w:rStyle w:val="FootnoteReference"/>
        </w:rPr>
        <w:footnoteReference w:id="21"/>
      </w:r>
      <w:r w:rsidR="00430D6F">
        <w:t xml:space="preserve"> and in formal proceedings,</w:t>
      </w:r>
      <w:r w:rsidR="00430D6F">
        <w:rPr>
          <w:rStyle w:val="FootnoteReference"/>
        </w:rPr>
        <w:footnoteReference w:id="22"/>
      </w:r>
      <w:r w:rsidR="00430D6F">
        <w:t xml:space="preserve"> as well as </w:t>
      </w:r>
      <w:r w:rsidR="00D75B03">
        <w:t xml:space="preserve">to </w:t>
      </w:r>
      <w:r w:rsidR="00430D6F">
        <w:t>any person instituting a proceeding at the Commission</w:t>
      </w:r>
      <w:r w:rsidR="003E0B99">
        <w:t>.</w:t>
      </w:r>
      <w:r w:rsidR="00F27C13">
        <w:rPr>
          <w:rStyle w:val="FootnoteReference"/>
        </w:rPr>
        <w:footnoteReference w:id="23"/>
      </w:r>
      <w:r w:rsidR="003E0B99">
        <w:t xml:space="preserve"> </w:t>
      </w:r>
    </w:p>
    <w:p w:rsidR="00F34218" w:rsidP="006E6574" w:rsidRDefault="00F34218" w14:paraId="1C16E207" w14:textId="67D34534">
      <w:pPr>
        <w:pStyle w:val="Standard"/>
      </w:pPr>
      <w:r>
        <w:t>Lyft’s burden of proof is not lessened by its</w:t>
      </w:r>
      <w:r w:rsidR="00C340E0">
        <w:t xml:space="preserve"> reliance on language from the California Constitution regarding the right of privacy. </w:t>
      </w:r>
      <w:r w:rsidR="00C12135">
        <w:t xml:space="preserve"> </w:t>
      </w:r>
      <w:r w:rsidR="00C340E0">
        <w:t>While Lyft acknowledges that Article I, Section 3, of the California Constitution direct</w:t>
      </w:r>
      <w:r w:rsidR="00D75B03">
        <w:t>s</w:t>
      </w:r>
      <w:r w:rsidR="00C340E0">
        <w:t xml:space="preserve"> that “the meetings of public bodies and the writings of public officials and agencies shall be open to public scrutiny,” Lyft then goes to quote later language in that same Section which provides the right to public access does not supersede or modify the right of privacy guaranteed by our Constitution.</w:t>
      </w:r>
      <w:r w:rsidR="00C340E0">
        <w:rPr>
          <w:rStyle w:val="FootnoteReference"/>
        </w:rPr>
        <w:footnoteReference w:id="24"/>
      </w:r>
      <w:r w:rsidR="00C340E0">
        <w:t xml:space="preserve"> </w:t>
      </w:r>
      <w:r w:rsidR="00C12135">
        <w:t xml:space="preserve"> </w:t>
      </w:r>
      <w:r w:rsidR="00C340E0">
        <w:t>Lyft is, in effect, relying on the balancing test where a government agency must reconcile the right to open access to government records and the constitutional right of privacy.</w:t>
      </w:r>
    </w:p>
    <w:p w:rsidR="00C340E0" w:rsidP="006E6574" w:rsidRDefault="00C340E0" w14:paraId="35C61255" w14:textId="1FA96A08">
      <w:pPr>
        <w:pStyle w:val="Standard"/>
      </w:pPr>
      <w:r>
        <w:t>Lyft has improperly invoked the balancing test because it has failed to establish, and the Commission finds that Lyft cannot establish, that any of the trip data at issue enjoys a constitutional right of privacy.</w:t>
      </w:r>
      <w:r w:rsidR="00101101">
        <w:t xml:space="preserve"> </w:t>
      </w:r>
      <w:r w:rsidR="00C12135">
        <w:t xml:space="preserve"> </w:t>
      </w:r>
      <w:r w:rsidR="00101101">
        <w:t xml:space="preserve">For the reasons set forth, </w:t>
      </w:r>
      <w:r w:rsidRPr="00101101" w:rsidR="00101101">
        <w:rPr>
          <w:i/>
          <w:iCs/>
        </w:rPr>
        <w:t>infra</w:t>
      </w:r>
      <w:r w:rsidR="00101101">
        <w:t xml:space="preserve">, the Commission agrees with the </w:t>
      </w:r>
      <w:r w:rsidRPr="00B41AFA" w:rsidR="00101101">
        <w:rPr>
          <w:i/>
          <w:iCs/>
        </w:rPr>
        <w:t>Ruling</w:t>
      </w:r>
      <w:r w:rsidR="00101101">
        <w:t xml:space="preserve"> that Lyft failed to carry its </w:t>
      </w:r>
      <w:r w:rsidR="00101101">
        <w:lastRenderedPageBreak/>
        <w:t xml:space="preserve">burden of proving that any of the trip data at issue is constitutionally protected from public disclosure. </w:t>
      </w:r>
      <w:r w:rsidR="00C12135">
        <w:t xml:space="preserve"> </w:t>
      </w:r>
      <w:r w:rsidR="00101101">
        <w:t>Furthermore, in conducting our independent review of the trip data categories at issue, the Commission finds that none are protected from public disclosure on either trade secret or privacy grounds.</w:t>
      </w:r>
      <w:r w:rsidR="00B41AFA">
        <w:t xml:space="preserve"> </w:t>
      </w:r>
      <w:r w:rsidR="00C12135">
        <w:t xml:space="preserve"> </w:t>
      </w:r>
      <w:r w:rsidR="00B41AFA">
        <w:t>As such, Lyft’s reliance on generalized statements from D.20-12-021</w:t>
      </w:r>
      <w:r w:rsidR="00D75B03">
        <w:t>,</w:t>
      </w:r>
      <w:r w:rsidR="00B41AFA">
        <w:t xml:space="preserve"> where the Commission acknowledged that there are times </w:t>
      </w:r>
      <w:r w:rsidR="00D75B03">
        <w:t xml:space="preserve">when the Commission should </w:t>
      </w:r>
      <w:r w:rsidR="00B41AFA">
        <w:t xml:space="preserve"> be concerned about full public disclosure of proprietary data, </w:t>
      </w:r>
      <w:r w:rsidR="00D75B03">
        <w:t xml:space="preserve">is misplaced. </w:t>
      </w:r>
      <w:r w:rsidR="00BD649B">
        <w:t xml:space="preserve"> </w:t>
      </w:r>
      <w:r w:rsidR="00D75B03">
        <w:t>T</w:t>
      </w:r>
      <w:r w:rsidR="00B41AFA">
        <w:t xml:space="preserve">he Commission did not find that the trip data at issue </w:t>
      </w:r>
      <w:r w:rsidR="00D75B03">
        <w:t>was proprietary</w:t>
      </w:r>
      <w:r w:rsidR="00B41AFA">
        <w:t xml:space="preserve"> but, instead, set forth the relevant law regarding what a party needed to establish to carry its burden of proving a trade secret claim.</w:t>
      </w:r>
      <w:r w:rsidR="00B41AFA">
        <w:rPr>
          <w:rStyle w:val="FootnoteReference"/>
        </w:rPr>
        <w:footnoteReference w:id="25"/>
      </w:r>
    </w:p>
    <w:p w:rsidR="00101101" w:rsidP="006E6574" w:rsidRDefault="00101101" w14:paraId="56B6551D" w14:textId="2B4AB931">
      <w:pPr>
        <w:pStyle w:val="Standard"/>
      </w:pPr>
      <w:r>
        <w:t>Finally, the Commission questions the relevancy of Lyft’s reliance on Government Code § 6252, which provides that only records that shed light on the public agency’s performance of its regulatory duties are deemed public records under the law.</w:t>
      </w:r>
      <w:r>
        <w:rPr>
          <w:rStyle w:val="FootnoteReference"/>
        </w:rPr>
        <w:footnoteReference w:id="26"/>
      </w:r>
      <w:r w:rsidR="00C12135">
        <w:t xml:space="preserve"> </w:t>
      </w:r>
      <w:r w:rsidR="00B41AFA">
        <w:t xml:space="preserve"> Government Code § 6252(e) deals with documents written by a public employee:</w:t>
      </w:r>
    </w:p>
    <w:p w:rsidR="00F776E1" w:rsidP="00806618" w:rsidRDefault="00B41AFA" w14:paraId="5C2429A4" w14:textId="392AE6C0">
      <w:pPr>
        <w:pStyle w:val="Standard"/>
        <w:spacing w:after="120" w:line="240" w:lineRule="auto"/>
        <w:ind w:left="720" w:right="1440" w:firstLine="0"/>
      </w:pPr>
      <w:r w:rsidRPr="00B41AFA">
        <w:t>(e) “Public records” includes any writing containing information relating to the conduct of the public’s business prepared, owned, used, or retained by any state or local agency regardless of physical form or characteristics. “Public records” in the custody of, or maintained by, the Governor’s office means any writing prepared on or after January 6, 1975.</w:t>
      </w:r>
    </w:p>
    <w:p w:rsidR="00A478EF" w:rsidP="00B93EFE" w:rsidRDefault="00A478EF" w14:paraId="58A006BF" w14:textId="57B49AB7">
      <w:pPr>
        <w:pStyle w:val="Standard"/>
        <w:spacing w:before="120"/>
        <w:ind w:firstLine="0"/>
      </w:pPr>
      <w:r>
        <w:t>(</w:t>
      </w:r>
      <w:r w:rsidRPr="009C76EC">
        <w:rPr>
          <w:i/>
          <w:iCs/>
        </w:rPr>
        <w:t>See</w:t>
      </w:r>
      <w:r>
        <w:t xml:space="preserve"> also </w:t>
      </w:r>
      <w:r w:rsidRPr="00A478EF">
        <w:t>Cal. Const., art. I, § 3, subd. (b)(1)</w:t>
      </w:r>
      <w:r>
        <w:t>, which provides that “</w:t>
      </w:r>
      <w:r w:rsidRPr="00A478EF">
        <w:t>the writings of public officials and agencies shall be open to public scrutiny."</w:t>
      </w:r>
      <w:r>
        <w:t>)</w:t>
      </w:r>
      <w:r w:rsidRPr="00A478EF">
        <w:t xml:space="preserve"> </w:t>
      </w:r>
    </w:p>
    <w:p w:rsidR="00101101" w:rsidP="00A478EF" w:rsidRDefault="00912BDA" w14:paraId="7CAD1F3F" w14:textId="2B683D29">
      <w:pPr>
        <w:pStyle w:val="Standard"/>
      </w:pPr>
      <w:r>
        <w:t xml:space="preserve">The Commission’s interpretation of “writing” </w:t>
      </w:r>
      <w:r w:rsidR="001A1E98">
        <w:t xml:space="preserve">being limited to writings prepared by government employees </w:t>
      </w:r>
      <w:r>
        <w:t xml:space="preserve">finds support from </w:t>
      </w:r>
      <w:r w:rsidRPr="001A1E98">
        <w:rPr>
          <w:i/>
          <w:iCs/>
        </w:rPr>
        <w:t xml:space="preserve">City of San Jose v. </w:t>
      </w:r>
      <w:r w:rsidRPr="001A1E98">
        <w:rPr>
          <w:i/>
          <w:iCs/>
        </w:rPr>
        <w:lastRenderedPageBreak/>
        <w:t>Superior Court</w:t>
      </w:r>
      <w:r>
        <w:t xml:space="preserve"> (2017) 2 Cal.5</w:t>
      </w:r>
      <w:r w:rsidRPr="00912BDA">
        <w:rPr>
          <w:vertAlign w:val="superscript"/>
        </w:rPr>
        <w:t>th</w:t>
      </w:r>
      <w:r>
        <w:t xml:space="preserve"> 608, 619, </w:t>
      </w:r>
      <w:r w:rsidR="001A1E98">
        <w:t xml:space="preserve">wherein </w:t>
      </w:r>
      <w:r>
        <w:t>in a dispute over whether e mails sent and/or received</w:t>
      </w:r>
      <w:r w:rsidR="001A1E98">
        <w:t xml:space="preserve"> by City of San Jose employees working on a redevelopment project, the California Supreme Court stated that “a writing is commonly understood to have been prepared by the person who wrote it.” </w:t>
      </w:r>
      <w:r w:rsidR="009C76EC">
        <w:t xml:space="preserve"> </w:t>
      </w:r>
      <w:r w:rsidR="001A1E98">
        <w:t xml:space="preserve">And only then must the </w:t>
      </w:r>
      <w:r w:rsidR="00821E98">
        <w:t xml:space="preserve">government generated </w:t>
      </w:r>
      <w:r w:rsidR="001A1E98">
        <w:t>writing shed light on an agency’s performance of its duties or otherwise let citizens know what their government is up to.</w:t>
      </w:r>
      <w:r w:rsidR="001A1E98">
        <w:rPr>
          <w:rStyle w:val="FootnoteReference"/>
        </w:rPr>
        <w:footnoteReference w:id="27"/>
      </w:r>
      <w:r w:rsidR="001A1E98">
        <w:t xml:space="preserve"> </w:t>
      </w:r>
      <w:r w:rsidR="00C12135">
        <w:t xml:space="preserve"> </w:t>
      </w:r>
      <w:r w:rsidR="00B41AFA">
        <w:t xml:space="preserve">As the trip data in the Annual Reports is prepared by each TNC rather than a Commission employee, it does not appear </w:t>
      </w:r>
      <w:r>
        <w:t xml:space="preserve">that Government Code § 6252(e) provides Lyft with any legal support for its claim of trip data confidentiality. </w:t>
      </w:r>
    </w:p>
    <w:p w:rsidRPr="002B29DE" w:rsidR="002B29DE" w:rsidP="002B29DE" w:rsidRDefault="002B29DE" w14:paraId="71037421" w14:textId="3B995A91">
      <w:pPr>
        <w:pStyle w:val="Heading2"/>
      </w:pPr>
      <w:bookmarkStart w:name="_Toc82193571" w:id="34"/>
      <w:bookmarkStart w:name="_Toc94682534" w:id="35"/>
      <w:bookmarkStart w:name="_Toc102479663" w:id="36"/>
      <w:r w:rsidRPr="002B29DE">
        <w:t xml:space="preserve">The </w:t>
      </w:r>
      <w:r w:rsidR="007B158E">
        <w:t xml:space="preserve">Commission’s Regulatory Power to Require </w:t>
      </w:r>
      <w:r w:rsidRPr="002B29DE">
        <w:t>Disclos</w:t>
      </w:r>
      <w:r w:rsidR="007B158E">
        <w:t>ure</w:t>
      </w:r>
      <w:r w:rsidRPr="002B29DE">
        <w:t xml:space="preserve"> </w:t>
      </w:r>
      <w:r w:rsidR="00D15965">
        <w:t xml:space="preserve">of </w:t>
      </w:r>
      <w:r w:rsidR="009212F1">
        <w:t>Non-Private</w:t>
      </w:r>
      <w:r w:rsidR="00093307">
        <w:t xml:space="preserve"> </w:t>
      </w:r>
      <w:r w:rsidRPr="002B29DE">
        <w:t xml:space="preserve">Trip Data Does Not </w:t>
      </w:r>
      <w:r w:rsidR="007B158E">
        <w:t>Amount to An</w:t>
      </w:r>
      <w:r w:rsidRPr="002B29DE">
        <w:t xml:space="preserve"> Unreasonable Search and Seizure</w:t>
      </w:r>
      <w:r w:rsidR="007B158E">
        <w:t xml:space="preserve"> Under the Fourth Amendment</w:t>
      </w:r>
      <w:bookmarkEnd w:id="34"/>
      <w:bookmarkEnd w:id="35"/>
      <w:bookmarkEnd w:id="36"/>
    </w:p>
    <w:p w:rsidR="002B29DE" w:rsidP="006E6574" w:rsidRDefault="00935A23" w14:paraId="18520AEA" w14:textId="626568AF">
      <w:pPr>
        <w:pStyle w:val="Standard"/>
      </w:pPr>
      <w:r>
        <w:t xml:space="preserve">We set forth </w:t>
      </w:r>
      <w:r w:rsidR="00D827BD">
        <w:t xml:space="preserve">both </w:t>
      </w:r>
      <w:r>
        <w:t>the foregoing policy favoring public disclosure</w:t>
      </w:r>
      <w:r w:rsidR="004A69E8">
        <w:t>,</w:t>
      </w:r>
      <w:r>
        <w:t xml:space="preserve"> </w:t>
      </w:r>
      <w:r w:rsidR="008356DE">
        <w:t>as well as</w:t>
      </w:r>
      <w:r>
        <w:t xml:space="preserve"> the high burden that a party must demonstrate to prevent such a disclosure</w:t>
      </w:r>
      <w:r w:rsidR="004A69E8">
        <w:t>,</w:t>
      </w:r>
      <w:r>
        <w:t xml:space="preserve">  in order to place Lyft’s argument regarding the right to protect</w:t>
      </w:r>
      <w:r w:rsidR="00D827BD">
        <w:t xml:space="preserve"> TNC</w:t>
      </w:r>
      <w:r>
        <w:t xml:space="preserve"> data</w:t>
      </w:r>
      <w:r w:rsidR="0040238D">
        <w:t xml:space="preserve"> against unreasonable searches and seizures</w:t>
      </w:r>
      <w:r>
        <w:t xml:space="preserve"> in the proper legal context.  </w:t>
      </w:r>
      <w:r w:rsidR="00D827BD">
        <w:t xml:space="preserve">Lyft cites </w:t>
      </w:r>
      <w:r w:rsidRPr="00D827BD" w:rsidR="00D827BD">
        <w:rPr>
          <w:i/>
          <w:iCs/>
        </w:rPr>
        <w:t>Patel v. City of Los Angeles</w:t>
      </w:r>
      <w:r w:rsidR="00D827BD">
        <w:t>, (9</w:t>
      </w:r>
      <w:r w:rsidRPr="00D827BD" w:rsidR="00D827BD">
        <w:rPr>
          <w:vertAlign w:val="superscript"/>
        </w:rPr>
        <w:t>th</w:t>
      </w:r>
      <w:r w:rsidR="00D827BD">
        <w:t xml:space="preserve"> Cir. 2013) 738 F.3d 1058, 1061-1062, and 1064, </w:t>
      </w:r>
      <w:r w:rsidRPr="00D827BD" w:rsidR="00D827BD">
        <w:rPr>
          <w:i/>
          <w:iCs/>
        </w:rPr>
        <w:t xml:space="preserve">aff’d sub nom. City of Los Angeles, Calif. </w:t>
      </w:r>
      <w:r w:rsidR="00D827BD">
        <w:rPr>
          <w:i/>
          <w:iCs/>
        </w:rPr>
        <w:t>v</w:t>
      </w:r>
      <w:r w:rsidRPr="00D827BD" w:rsidR="00D827BD">
        <w:rPr>
          <w:i/>
          <w:iCs/>
        </w:rPr>
        <w:t>. Pate</w:t>
      </w:r>
      <w:r w:rsidR="00D827BD">
        <w:rPr>
          <w:i/>
          <w:iCs/>
        </w:rPr>
        <w:t>l</w:t>
      </w:r>
      <w:r w:rsidR="00D827BD">
        <w:t xml:space="preserve"> (2015) 135 S.Ct. 2443 (2015), for the proposition that </w:t>
      </w:r>
      <w:r w:rsidR="00FA4078">
        <w:t xml:space="preserve">the </w:t>
      </w:r>
      <w:r w:rsidR="00D827BD">
        <w:t xml:space="preserve">government may require businesses to maintain records </w:t>
      </w:r>
      <w:r w:rsidR="00EE2743">
        <w:t>containing private information covered by the</w:t>
      </w:r>
      <w:r w:rsidR="00784BF3">
        <w:t xml:space="preserve"> Fourth </w:t>
      </w:r>
      <w:r w:rsidR="00EE2743">
        <w:t xml:space="preserve">Amendment to the U.S. Constitution </w:t>
      </w:r>
      <w:r w:rsidR="00D827BD">
        <w:t>and to make th</w:t>
      </w:r>
      <w:r w:rsidR="00EE2743">
        <w:t>at information</w:t>
      </w:r>
      <w:r w:rsidR="00D827BD">
        <w:t xml:space="preserve"> available for routine inspection when necessary to further a legitimate regulatory interest.</w:t>
      </w:r>
      <w:r w:rsidR="00D827BD">
        <w:rPr>
          <w:rStyle w:val="FootnoteReference"/>
        </w:rPr>
        <w:footnoteReference w:id="28"/>
      </w:r>
      <w:r w:rsidR="00D827BD">
        <w:t xml:space="preserve"> </w:t>
      </w:r>
      <w:r w:rsidR="00AD2B90">
        <w:t xml:space="preserve"> </w:t>
      </w:r>
      <w:r w:rsidR="00D827BD">
        <w:t xml:space="preserve">The Commission has no quarrel with that </w:t>
      </w:r>
      <w:r w:rsidR="007240F6">
        <w:t xml:space="preserve">legal </w:t>
      </w:r>
      <w:r w:rsidR="00D827BD">
        <w:t>proposition</w:t>
      </w:r>
      <w:r w:rsidR="00EE2743">
        <w:t xml:space="preserve"> but notes two important distinctions</w:t>
      </w:r>
      <w:r w:rsidR="00784BF3">
        <w:t xml:space="preserve"> that make it </w:t>
      </w:r>
      <w:r w:rsidR="00784BF3">
        <w:lastRenderedPageBreak/>
        <w:t>inapplicable</w:t>
      </w:r>
      <w:r w:rsidR="00FA4078">
        <w:t xml:space="preserve"> to Lyft’s </w:t>
      </w:r>
      <w:r w:rsidRPr="00A6208D" w:rsidR="00FA4078">
        <w:rPr>
          <w:i/>
          <w:iCs/>
        </w:rPr>
        <w:t>Appeal</w:t>
      </w:r>
      <w:r w:rsidR="00EE2743">
        <w:t xml:space="preserve">: </w:t>
      </w:r>
      <w:r w:rsidR="00AD2B90">
        <w:t xml:space="preserve"> </w:t>
      </w:r>
      <w:r w:rsidR="00EE2743">
        <w:t xml:space="preserve">first, the parties </w:t>
      </w:r>
      <w:r w:rsidR="008356DE">
        <w:t xml:space="preserve">in </w:t>
      </w:r>
      <w:r w:rsidRPr="008356DE" w:rsidR="008356DE">
        <w:rPr>
          <w:i/>
          <w:iCs/>
        </w:rPr>
        <w:t>Patel</w:t>
      </w:r>
      <w:r w:rsidR="008356DE">
        <w:t xml:space="preserve"> </w:t>
      </w:r>
      <w:r w:rsidR="00EE2743">
        <w:t xml:space="preserve">did not dispute whether the information at issue was private. </w:t>
      </w:r>
      <w:r w:rsidR="00BD649B">
        <w:t xml:space="preserve"> </w:t>
      </w:r>
      <w:r w:rsidR="00EE2743">
        <w:t xml:space="preserve">In contrast, the trip data information in dispute has no presumption of privacy and, as the Commission will demonstrate, is not private. </w:t>
      </w:r>
      <w:r w:rsidR="00AD2B90">
        <w:t xml:space="preserve"> </w:t>
      </w:r>
      <w:r w:rsidR="008356DE">
        <w:t xml:space="preserve">Second, </w:t>
      </w:r>
      <w:r w:rsidRPr="002F1B16" w:rsidR="008356DE">
        <w:rPr>
          <w:i/>
          <w:iCs/>
        </w:rPr>
        <w:t xml:space="preserve">Patel </w:t>
      </w:r>
      <w:r w:rsidR="008356DE">
        <w:t xml:space="preserve">dealt with the government’s ability to collect seemingly private data. </w:t>
      </w:r>
      <w:r w:rsidR="00AD2B90">
        <w:t xml:space="preserve"> </w:t>
      </w:r>
      <w:r w:rsidR="008356DE">
        <w:t xml:space="preserve">In contrast, Lyft is not contesting the Commission’s ability to require Lyft to collect and report data that Lyft claims is private. </w:t>
      </w:r>
      <w:r w:rsidR="00AD2B90">
        <w:t xml:space="preserve"> </w:t>
      </w:r>
      <w:r w:rsidR="008356DE">
        <w:t xml:space="preserve">Instead, the question </w:t>
      </w:r>
      <w:r w:rsidR="002F1B16">
        <w:t xml:space="preserve">the Commission must resolve </w:t>
      </w:r>
      <w:r w:rsidR="008356DE">
        <w:t xml:space="preserve">is whether the trip data that Lyft has provided to the Commission in the Annual Reports may be disclosed to the public. </w:t>
      </w:r>
    </w:p>
    <w:p w:rsidR="00DE4D35" w:rsidP="006E6574" w:rsidRDefault="00034C1D" w14:paraId="095B27FD" w14:textId="1B675996">
      <w:pPr>
        <w:pStyle w:val="Standard"/>
      </w:pPr>
      <w:r>
        <w:t xml:space="preserve">Lyft’s argument that having to publicly disclose trip data implicates Fourth Amendment considerations is not supported by its reliance on two recent decisions involving Airbnb. </w:t>
      </w:r>
      <w:r w:rsidR="00AD2B90">
        <w:t xml:space="preserve"> </w:t>
      </w:r>
      <w:r>
        <w:t xml:space="preserve">Lyft cites </w:t>
      </w:r>
      <w:r w:rsidRPr="00875E21">
        <w:rPr>
          <w:i/>
          <w:iCs/>
        </w:rPr>
        <w:t>Airbnb, Inc. v. City of New York</w:t>
      </w:r>
      <w:r w:rsidR="00DE4D35">
        <w:rPr>
          <w:i/>
          <w:iCs/>
        </w:rPr>
        <w:t xml:space="preserve"> </w:t>
      </w:r>
      <w:r w:rsidRPr="00DE4D35" w:rsidR="00DE4D35">
        <w:t>(</w:t>
      </w:r>
      <w:r w:rsidR="00DE4D35">
        <w:rPr>
          <w:i/>
          <w:iCs/>
        </w:rPr>
        <w:t>Airbnb New</w:t>
      </w:r>
      <w:r w:rsidR="00AD2B90">
        <w:rPr>
          <w:i/>
          <w:iCs/>
        </w:rPr>
        <w:t> </w:t>
      </w:r>
      <w:r w:rsidR="00DE4D35">
        <w:rPr>
          <w:i/>
          <w:iCs/>
        </w:rPr>
        <w:t>Yor</w:t>
      </w:r>
      <w:r w:rsidRPr="00DE4D35" w:rsidR="00DE4D35">
        <w:rPr>
          <w:i/>
          <w:iCs/>
        </w:rPr>
        <w:t>k</w:t>
      </w:r>
      <w:r w:rsidR="00DE4D35">
        <w:rPr>
          <w:i/>
          <w:iCs/>
        </w:rPr>
        <w:t>)</w:t>
      </w:r>
      <w:r>
        <w:rPr>
          <w:rStyle w:val="FootnoteReference"/>
        </w:rPr>
        <w:footnoteReference w:id="29"/>
      </w:r>
      <w:r>
        <w:t xml:space="preserve"> and </w:t>
      </w:r>
      <w:r w:rsidRPr="00875E21">
        <w:rPr>
          <w:i/>
          <w:iCs/>
        </w:rPr>
        <w:t>Airbnb, Inc. v. City of Bosto</w:t>
      </w:r>
      <w:r w:rsidR="00DE4D35">
        <w:rPr>
          <w:i/>
          <w:iCs/>
        </w:rPr>
        <w:t>n (Airbnb Boston)</w:t>
      </w:r>
      <w:r>
        <w:rPr>
          <w:rStyle w:val="FootnoteReference"/>
        </w:rPr>
        <w:footnoteReference w:id="30"/>
      </w:r>
      <w:r>
        <w:t xml:space="preserve"> </w:t>
      </w:r>
      <w:r w:rsidR="00DE4D35">
        <w:t>a</w:t>
      </w:r>
      <w:r>
        <w:t>s proof that administrative demands for data of private companies likely violated Airbnb’s Fourth Amendment rights.</w:t>
      </w:r>
      <w:r>
        <w:rPr>
          <w:rStyle w:val="FootnoteReference"/>
        </w:rPr>
        <w:footnoteReference w:id="31"/>
      </w:r>
      <w:r w:rsidR="00DE4D35">
        <w:t xml:space="preserve"> </w:t>
      </w:r>
      <w:r w:rsidR="00AD2B90">
        <w:t xml:space="preserve"> </w:t>
      </w:r>
      <w:r w:rsidR="00DE4D35">
        <w:t xml:space="preserve">Lyft quotes the following two passages from </w:t>
      </w:r>
      <w:r w:rsidRPr="00DE4D35" w:rsidR="00DE4D35">
        <w:rPr>
          <w:i/>
          <w:iCs/>
        </w:rPr>
        <w:t>Airbnb New York</w:t>
      </w:r>
      <w:r w:rsidR="00DE4D35">
        <w:t>:</w:t>
      </w:r>
    </w:p>
    <w:p w:rsidR="00DE4D35" w:rsidP="00806618" w:rsidRDefault="00DE4D35" w14:paraId="373F4E11" w14:textId="1752066A">
      <w:pPr>
        <w:pStyle w:val="Standard"/>
        <w:spacing w:after="120" w:line="240" w:lineRule="auto"/>
        <w:ind w:left="720" w:right="1440" w:firstLine="0"/>
      </w:pPr>
      <w:r w:rsidRPr="00DE4D35">
        <w:t xml:space="preserve">[A]s the Ninth Circuit observed in </w:t>
      </w:r>
      <w:r w:rsidRPr="00DE4D35">
        <w:rPr>
          <w:i/>
        </w:rPr>
        <w:t>Patel</w:t>
      </w:r>
      <w:r w:rsidRPr="00DE4D35">
        <w:t xml:space="preserve">, customer-facing businesses, including in hospitality industries, “do not ordinarily disclose, and are not expected to disclose ... commercially sensitive information” such as “customer lists,” other customer-specific data, and “pricing practices.” [citation] (“The businessman, like the occupant of a residence, has a constitutional right to go about his business free from unreasonable official entries upon his private commercial property.”); [citation] As in </w:t>
      </w:r>
      <w:r w:rsidRPr="00DE4D35">
        <w:rPr>
          <w:i/>
        </w:rPr>
        <w:t>Patel</w:t>
      </w:r>
      <w:r w:rsidRPr="00DE4D35">
        <w:t xml:space="preserve">, where the hotels were held to have a Fourth Amendment interest in the records of their </w:t>
      </w:r>
      <w:r w:rsidRPr="00DE4D35">
        <w:lastRenderedPageBreak/>
        <w:t>guests, this Court holds that platforms have privacy interests in their user-related records that “are more than sufficient to trigger Fourth Amendment protection</w:t>
      </w:r>
      <w:r>
        <w:t>.</w:t>
      </w:r>
    </w:p>
    <w:p w:rsidR="007B158E" w:rsidP="00B93EFE" w:rsidRDefault="007B158E" w14:paraId="40CCC781" w14:textId="36E8BDE8">
      <w:pPr>
        <w:pStyle w:val="Standard"/>
        <w:ind w:left="720" w:firstLine="0"/>
      </w:pPr>
      <w:r w:rsidRPr="00860F53">
        <w:t>…</w:t>
      </w:r>
    </w:p>
    <w:p w:rsidR="00DE4D35" w:rsidP="00806618" w:rsidRDefault="00DE4D35" w14:paraId="52ECB6EF" w14:textId="59D4D168">
      <w:pPr>
        <w:pStyle w:val="Standard"/>
        <w:spacing w:after="120" w:line="240" w:lineRule="auto"/>
        <w:ind w:left="720" w:right="1440" w:firstLine="0"/>
      </w:pPr>
      <w:r>
        <w:t>Like a hotel, a home-sharing platform has at least two very good</w:t>
      </w:r>
      <w:r>
        <w:rPr>
          <w:spacing w:val="1"/>
        </w:rPr>
        <w:t xml:space="preserve"> </w:t>
      </w:r>
      <w:r>
        <w:t>reasons to keep host and guest information private, whether as to</w:t>
      </w:r>
      <w:r>
        <w:rPr>
          <w:spacing w:val="1"/>
        </w:rPr>
        <w:t xml:space="preserve"> </w:t>
      </w:r>
      <w:r>
        <w:t>these users' identities, contact information, usage patterns, and</w:t>
      </w:r>
      <w:r>
        <w:rPr>
          <w:spacing w:val="1"/>
        </w:rPr>
        <w:t xml:space="preserve"> </w:t>
      </w:r>
      <w:r>
        <w:t xml:space="preserve">payment practices. </w:t>
      </w:r>
      <w:r w:rsidR="00806618">
        <w:t xml:space="preserve"> </w:t>
      </w:r>
      <w:r>
        <w:t>One is competitive: Keeping such data</w:t>
      </w:r>
      <w:r>
        <w:rPr>
          <w:spacing w:val="1"/>
        </w:rPr>
        <w:t xml:space="preserve"> </w:t>
      </w:r>
      <w:r>
        <w:t>confidential</w:t>
      </w:r>
      <w:r>
        <w:rPr>
          <w:spacing w:val="-3"/>
        </w:rPr>
        <w:t xml:space="preserve"> </w:t>
      </w:r>
      <w:r>
        <w:t>keeps</w:t>
      </w:r>
      <w:r>
        <w:rPr>
          <w:spacing w:val="-2"/>
        </w:rPr>
        <w:t xml:space="preserve"> </w:t>
      </w:r>
      <w:r>
        <w:t>such</w:t>
      </w:r>
      <w:r>
        <w:rPr>
          <w:spacing w:val="-2"/>
        </w:rPr>
        <w:t xml:space="preserve"> </w:t>
      </w:r>
      <w:r>
        <w:t>information</w:t>
      </w:r>
      <w:r>
        <w:rPr>
          <w:spacing w:val="-2"/>
        </w:rPr>
        <w:t xml:space="preserve"> </w:t>
      </w:r>
      <w:r>
        <w:t>from</w:t>
      </w:r>
      <w:r>
        <w:rPr>
          <w:spacing w:val="-2"/>
        </w:rPr>
        <w:t xml:space="preserve"> </w:t>
      </w:r>
      <w:r>
        <w:t>rivals</w:t>
      </w:r>
      <w:r>
        <w:rPr>
          <w:spacing w:val="-3"/>
        </w:rPr>
        <w:t xml:space="preserve"> </w:t>
      </w:r>
      <w:r>
        <w:t>(whether</w:t>
      </w:r>
      <w:r>
        <w:rPr>
          <w:spacing w:val="-3"/>
        </w:rPr>
        <w:t xml:space="preserve"> </w:t>
      </w:r>
      <w:r>
        <w:t>competing</w:t>
      </w:r>
      <w:r>
        <w:rPr>
          <w:spacing w:val="-57"/>
        </w:rPr>
        <w:t xml:space="preserve"> </w:t>
      </w:r>
      <w:r>
        <w:t xml:space="preserve">platforms or hotels) who might exploit it. </w:t>
      </w:r>
      <w:r w:rsidR="00806618">
        <w:t xml:space="preserve"> </w:t>
      </w:r>
      <w:r>
        <w:t>The other involves</w:t>
      </w:r>
      <w:r>
        <w:rPr>
          <w:spacing w:val="1"/>
        </w:rPr>
        <w:t xml:space="preserve"> </w:t>
      </w:r>
      <w:r>
        <w:t xml:space="preserve">customer relations: </w:t>
      </w:r>
      <w:r w:rsidR="00806618">
        <w:t xml:space="preserve"> </w:t>
      </w:r>
      <w:r>
        <w:t>Keeping such data private assuredly promotes</w:t>
      </w:r>
      <w:r>
        <w:rPr>
          <w:spacing w:val="1"/>
        </w:rPr>
        <w:t xml:space="preserve"> </w:t>
      </w:r>
      <w:r>
        <w:t>better</w:t>
      </w:r>
      <w:r>
        <w:rPr>
          <w:spacing w:val="-2"/>
        </w:rPr>
        <w:t xml:space="preserve"> </w:t>
      </w:r>
      <w:r>
        <w:t>relations</w:t>
      </w:r>
      <w:r>
        <w:rPr>
          <w:spacing w:val="-1"/>
        </w:rPr>
        <w:t xml:space="preserve"> </w:t>
      </w:r>
      <w:r>
        <w:t>with, and</w:t>
      </w:r>
      <w:r>
        <w:rPr>
          <w:spacing w:val="-1"/>
        </w:rPr>
        <w:t xml:space="preserve"> </w:t>
      </w:r>
      <w:r>
        <w:t>retention of,</w:t>
      </w:r>
      <w:r>
        <w:rPr>
          <w:spacing w:val="-1"/>
        </w:rPr>
        <w:t xml:space="preserve"> </w:t>
      </w:r>
      <w:r>
        <w:t>a</w:t>
      </w:r>
      <w:r>
        <w:rPr>
          <w:spacing w:val="-1"/>
        </w:rPr>
        <w:t xml:space="preserve"> </w:t>
      </w:r>
      <w:r>
        <w:t>platform's</w:t>
      </w:r>
      <w:r>
        <w:rPr>
          <w:spacing w:val="-1"/>
        </w:rPr>
        <w:t xml:space="preserve"> </w:t>
      </w:r>
      <w:r>
        <w:t>users.</w:t>
      </w:r>
      <w:r>
        <w:rPr>
          <w:rStyle w:val="FootnoteReference"/>
        </w:rPr>
        <w:footnoteReference w:id="32"/>
      </w:r>
    </w:p>
    <w:p w:rsidR="00376C4A" w:rsidP="00DE4D35" w:rsidRDefault="00DE4D35" w14:paraId="694C5D2D" w14:textId="5F333269">
      <w:pPr>
        <w:pStyle w:val="Standard"/>
        <w:ind w:firstLine="0"/>
      </w:pPr>
      <w:r>
        <w:t xml:space="preserve">But to understand </w:t>
      </w:r>
      <w:r w:rsidR="00A478EF">
        <w:t xml:space="preserve">the impetus </w:t>
      </w:r>
      <w:r w:rsidR="009E7E06">
        <w:t xml:space="preserve">why the Court was concerned about the </w:t>
      </w:r>
      <w:r w:rsidR="00FA4078">
        <w:t xml:space="preserve">potential breach of </w:t>
      </w:r>
      <w:r w:rsidR="009E7E06">
        <w:t>privacy rights</w:t>
      </w:r>
      <w:r w:rsidR="00FA4078">
        <w:t>,</w:t>
      </w:r>
      <w:r>
        <w:t xml:space="preserve"> it will be helpful to examine the ordinance </w:t>
      </w:r>
      <w:r w:rsidR="00EA7A12">
        <w:t xml:space="preserve">that Airbnb </w:t>
      </w:r>
      <w:r w:rsidRPr="004C2C85" w:rsidR="00EA7A12">
        <w:t xml:space="preserve">challenged. </w:t>
      </w:r>
      <w:r w:rsidRPr="004C2C85" w:rsidR="00DC144F">
        <w:t xml:space="preserve"> </w:t>
      </w:r>
      <w:r w:rsidRPr="004C2C85" w:rsidR="00EA7A12">
        <w:t>In an effort to crack down on short-term rentals that violated New</w:t>
      </w:r>
      <w:r w:rsidR="00BD649B">
        <w:t> </w:t>
      </w:r>
      <w:r w:rsidRPr="004C2C85" w:rsidR="00EA7A12">
        <w:t xml:space="preserve">York’s Multiple Dwelling Laws, the </w:t>
      </w:r>
      <w:r w:rsidR="00FA4078">
        <w:t xml:space="preserve">New York </w:t>
      </w:r>
      <w:r w:rsidRPr="004C2C85" w:rsidR="00EA7A12">
        <w:t xml:space="preserve">City Council approved an ordinance that applied to booking services offered by online, computer, or application-based platforms. </w:t>
      </w:r>
      <w:r w:rsidRPr="004C2C85" w:rsidR="00AD2B90">
        <w:t xml:space="preserve"> </w:t>
      </w:r>
      <w:r w:rsidRPr="004C2C85" w:rsidR="00EA7A12">
        <w:t>Each booking service was required to submit a monthly transaction report that must include for every short-term rental listed on the platform:</w:t>
      </w:r>
      <w:r w:rsidRPr="004C2C85" w:rsidR="00DC144F">
        <w:t xml:space="preserve"> </w:t>
      </w:r>
      <w:r w:rsidRPr="004C2C85" w:rsidR="00EA7A12">
        <w:t xml:space="preserve"> the physical address of the short-term rental associated with each transaction, including</w:t>
      </w:r>
      <w:r w:rsidR="00EA7A12">
        <w:t xml:space="preserve"> the street name, street number, apartment or unit number, borough or county, and zip code; the full legal name, physical address, phone number and email address of the host</w:t>
      </w:r>
      <w:r w:rsidR="009E7E06">
        <w:t xml:space="preserve"> of such short term rental; the individualized name and number and the URL of such advertisement or listing; the number of days the unit was on the platform; and the fees received.</w:t>
      </w:r>
      <w:r w:rsidR="00376C4A">
        <w:rPr>
          <w:rStyle w:val="FootnoteReference"/>
        </w:rPr>
        <w:footnoteReference w:id="33"/>
      </w:r>
      <w:r w:rsidR="009E7E06">
        <w:t xml:space="preserve"> </w:t>
      </w:r>
      <w:r w:rsidR="00AD2B90">
        <w:t xml:space="preserve"> </w:t>
      </w:r>
      <w:r w:rsidR="009E7E06">
        <w:t xml:space="preserve">Asking </w:t>
      </w:r>
      <w:r w:rsidR="009E7E06">
        <w:lastRenderedPageBreak/>
        <w:t>for actual names and addresses of the rental property and the host is similar to the type of information that the United States Supreme Court has recognized as private and that the infringement by the government into that area of privacy c</w:t>
      </w:r>
      <w:r w:rsidR="00FA4078">
        <w:t xml:space="preserve">an </w:t>
      </w:r>
      <w:r w:rsidR="009E7E06">
        <w:t xml:space="preserve">trigger Fourth Amendment concerns. </w:t>
      </w:r>
      <w:r w:rsidR="00AD2B90">
        <w:t xml:space="preserve"> </w:t>
      </w:r>
      <w:r w:rsidR="009E7E06">
        <w:t>(</w:t>
      </w:r>
      <w:r w:rsidRPr="00376C4A" w:rsidR="009E7E06">
        <w:rPr>
          <w:i/>
          <w:iCs/>
        </w:rPr>
        <w:t xml:space="preserve">See </w:t>
      </w:r>
      <w:r w:rsidRPr="00376C4A" w:rsidR="00376C4A">
        <w:rPr>
          <w:i/>
          <w:iCs/>
        </w:rPr>
        <w:t>Katz v. United</w:t>
      </w:r>
      <w:r w:rsidR="00AD2B90">
        <w:rPr>
          <w:i/>
          <w:iCs/>
        </w:rPr>
        <w:t> </w:t>
      </w:r>
      <w:r w:rsidRPr="00376C4A" w:rsidR="00376C4A">
        <w:rPr>
          <w:i/>
          <w:iCs/>
        </w:rPr>
        <w:t xml:space="preserve">States </w:t>
      </w:r>
      <w:r w:rsidR="00376C4A">
        <w:t xml:space="preserve">(1967) 389 U.S. 347, 360-361; </w:t>
      </w:r>
      <w:r w:rsidRPr="00376C4A" w:rsidR="00376C4A">
        <w:rPr>
          <w:i/>
          <w:iCs/>
        </w:rPr>
        <w:t>Oklahoma</w:t>
      </w:r>
      <w:r w:rsidRPr="00376C4A" w:rsidR="009E7E06">
        <w:rPr>
          <w:i/>
          <w:iCs/>
        </w:rPr>
        <w:t xml:space="preserve"> Press Pub. Co. v. Walling</w:t>
      </w:r>
      <w:r w:rsidR="009E7E06">
        <w:t xml:space="preserve"> (1946) 327 U.S. 186, </w:t>
      </w:r>
      <w:r w:rsidR="00376C4A">
        <w:t xml:space="preserve">202 [Court held that the Fourth Amendment applied to administrative subpoenas </w:t>
      </w:r>
      <w:r w:rsidRPr="00376C4A" w:rsidR="00376C4A">
        <w:rPr>
          <w:i/>
          <w:iCs/>
        </w:rPr>
        <w:t>duces tecum</w:t>
      </w:r>
      <w:r w:rsidR="00376C4A">
        <w:t xml:space="preserve"> issued in an investigation into violations of the Fair Labor Standards Act].)</w:t>
      </w:r>
    </w:p>
    <w:p w:rsidR="00E16E3D" w:rsidP="00376C4A" w:rsidRDefault="00376C4A" w14:paraId="3925CB4B" w14:textId="404CABC0">
      <w:pPr>
        <w:pStyle w:val="Standard"/>
      </w:pPr>
      <w:r>
        <w:t xml:space="preserve">In contrast with </w:t>
      </w:r>
      <w:r w:rsidR="00C87A6D">
        <w:t xml:space="preserve">the private information that New York and Boston were requiring </w:t>
      </w:r>
      <w:r w:rsidR="00EA7A12">
        <w:t xml:space="preserve">the </w:t>
      </w:r>
      <w:r w:rsidR="00C87A6D">
        <w:t xml:space="preserve">rental platform companies to provide, Lyft is under no similar danger that such private information will be publicly </w:t>
      </w:r>
      <w:r w:rsidRPr="004C2C85" w:rsidR="00C87A6D">
        <w:t xml:space="preserve">disclosed. </w:t>
      </w:r>
      <w:r w:rsidRPr="004C2C85" w:rsidR="00DC144F">
        <w:t xml:space="preserve"> </w:t>
      </w:r>
      <w:r w:rsidRPr="004C2C85" w:rsidR="00C87A6D">
        <w:t>California</w:t>
      </w:r>
      <w:r w:rsidR="00C87A6D">
        <w:t xml:space="preserve"> law recognized that personally identifiable information that is obtained by a government agency like the Commission </w:t>
      </w:r>
      <w:r w:rsidR="00F307F3">
        <w:t>is generally</w:t>
      </w:r>
      <w:r w:rsidR="00C87A6D">
        <w:t xml:space="preserve"> protected against public disclosure.</w:t>
      </w:r>
      <w:r w:rsidR="00F307F3">
        <w:rPr>
          <w:rStyle w:val="FootnoteReference"/>
        </w:rPr>
        <w:footnoteReference w:id="34"/>
      </w:r>
      <w:r w:rsidR="00C87A6D">
        <w:t xml:space="preserve"> </w:t>
      </w:r>
      <w:r w:rsidR="00AD2B90">
        <w:t xml:space="preserve"> </w:t>
      </w:r>
      <w:r w:rsidR="00C87A6D">
        <w:t xml:space="preserve">The </w:t>
      </w:r>
      <w:r w:rsidRPr="00C87A6D" w:rsidR="00C87A6D">
        <w:rPr>
          <w:i/>
          <w:iCs/>
        </w:rPr>
        <w:t>Ruling</w:t>
      </w:r>
      <w:r w:rsidR="00C87A6D">
        <w:t xml:space="preserve"> agreed with Uber and Lyft that such personally identifiable information could be redacted from the public version of the </w:t>
      </w:r>
      <w:r w:rsidR="00E16E3D">
        <w:t xml:space="preserve">TNC </w:t>
      </w:r>
      <w:r w:rsidR="00C87A6D">
        <w:t>Annual Reports.</w:t>
      </w:r>
      <w:r w:rsidR="00C87A6D">
        <w:rPr>
          <w:rStyle w:val="FootnoteReference"/>
        </w:rPr>
        <w:footnoteReference w:id="35"/>
      </w:r>
      <w:r w:rsidR="00E16E3D">
        <w:t xml:space="preserve"> </w:t>
      </w:r>
      <w:r w:rsidR="00AD2B90">
        <w:t xml:space="preserve"> </w:t>
      </w:r>
      <w:r w:rsidR="00E16E3D">
        <w:t xml:space="preserve">The </w:t>
      </w:r>
      <w:r w:rsidRPr="00E16E3D" w:rsidR="00E16E3D">
        <w:rPr>
          <w:i/>
          <w:iCs/>
        </w:rPr>
        <w:t>Ruling</w:t>
      </w:r>
      <w:r w:rsidR="00E16E3D">
        <w:t xml:space="preserve"> also agreed that latitude and longitude information could also be redacted from the public version of the TNC Annual </w:t>
      </w:r>
      <w:r w:rsidR="00E16E3D">
        <w:lastRenderedPageBreak/>
        <w:t>Reports since this information could be used to deduce an actual starting and ending address for a TNC passenger trip.</w:t>
      </w:r>
    </w:p>
    <w:p w:rsidR="0040238D" w:rsidP="006E6574" w:rsidRDefault="00E16E3D" w14:paraId="123B1337" w14:textId="0125C919">
      <w:pPr>
        <w:pStyle w:val="Standard"/>
      </w:pPr>
      <w:r>
        <w:t xml:space="preserve">But the balance of the trip data does not implicate such constitutionally </w:t>
      </w:r>
      <w:r w:rsidR="00C87A6D">
        <w:t xml:space="preserve">recognized </w:t>
      </w:r>
      <w:r>
        <w:t xml:space="preserve">privacy protections so the right to be protected from actions that violate the Fourth Amendment is not </w:t>
      </w:r>
      <w:r w:rsidR="00CD5B20">
        <w:t>implicated</w:t>
      </w:r>
      <w:r>
        <w:t xml:space="preserve">. </w:t>
      </w:r>
      <w:r w:rsidR="00AD2B90">
        <w:t xml:space="preserve"> </w:t>
      </w:r>
      <w:r w:rsidR="008356DE">
        <w:t xml:space="preserve">The Commission addressed </w:t>
      </w:r>
      <w:r w:rsidR="002F1B16">
        <w:t>its regulatory</w:t>
      </w:r>
      <w:r w:rsidR="008356DE">
        <w:t xml:space="preserve"> power to compel TNCs to provide trip data in the Annual Reports in D</w:t>
      </w:r>
      <w:r w:rsidR="00AD2B90">
        <w:t>.</w:t>
      </w:r>
      <w:r w:rsidR="008356DE">
        <w:t>16</w:t>
      </w:r>
      <w:r w:rsidR="00AD2B90">
        <w:noBreakHyphen/>
      </w:r>
      <w:r w:rsidR="008356DE">
        <w:t>01</w:t>
      </w:r>
      <w:r w:rsidR="00AD2B90">
        <w:noBreakHyphen/>
      </w:r>
      <w:r w:rsidR="008356DE">
        <w:t>014</w:t>
      </w:r>
      <w:r w:rsidR="002F1B16">
        <w:t xml:space="preserve">. Rasier-Ca, LLC, Uber’s wholly owned subsidiary, challenged, on Fourth Amendment privacy grounds, the Commission authority to require TNCs to submit Annual Reports. </w:t>
      </w:r>
      <w:r w:rsidR="00AD2B90">
        <w:t xml:space="preserve"> </w:t>
      </w:r>
      <w:r w:rsidR="002F1B16">
        <w:t xml:space="preserve">The Commission’s reasoning is instructive </w:t>
      </w:r>
      <w:r w:rsidR="00C83135">
        <w:t>so we incorporate it herein by this reference.</w:t>
      </w:r>
      <w:r w:rsidR="00EE2743">
        <w:t xml:space="preserve"> </w:t>
      </w:r>
    </w:p>
    <w:p w:rsidRPr="004659C7" w:rsidR="0040238D" w:rsidP="00AF42DD" w:rsidRDefault="0040238D" w14:paraId="07F9E22B" w14:textId="1F9098A0">
      <w:pPr>
        <w:pStyle w:val="Standard"/>
        <w:rPr>
          <w:lang w:val="en"/>
        </w:rPr>
      </w:pPr>
      <w:r w:rsidRPr="004659C7">
        <w:rPr>
          <w:lang w:val="en"/>
        </w:rPr>
        <w:t xml:space="preserve">We note that </w:t>
      </w:r>
      <w:r>
        <w:rPr>
          <w:lang w:val="en"/>
        </w:rPr>
        <w:t>TNCs</w:t>
      </w:r>
      <w:r w:rsidRPr="004659C7">
        <w:rPr>
          <w:lang w:val="en"/>
        </w:rPr>
        <w:t xml:space="preserve"> have had their Fourth Amendment challenges rejected in other jurisdictions and have been required to produce trip data.  In </w:t>
      </w:r>
      <w:r w:rsidRPr="0040238D">
        <w:rPr>
          <w:i/>
        </w:rPr>
        <w:t>Carniol v. New York City Taxi &amp; Limousine Comm’n</w:t>
      </w:r>
      <w:r w:rsidRPr="0040238D">
        <w:t xml:space="preserve"> (Sup. Ct. 2013) 975 N.Y.S.2d 842</w:t>
      </w:r>
      <w:r>
        <w:t>, the Court rejected</w:t>
      </w:r>
      <w:r w:rsidRPr="004659C7">
        <w:rPr>
          <w:lang w:val="en"/>
        </w:rPr>
        <w:t xml:space="preserve"> Uber’s challenges to providing trip data </w:t>
      </w:r>
      <w:r>
        <w:rPr>
          <w:lang w:val="en"/>
        </w:rPr>
        <w:t xml:space="preserve">because the expectation of privacy was not present. </w:t>
      </w:r>
      <w:r w:rsidR="00AD2B90">
        <w:rPr>
          <w:lang w:val="en"/>
        </w:rPr>
        <w:t xml:space="preserve"> </w:t>
      </w:r>
      <w:r>
        <w:rPr>
          <w:lang w:val="en"/>
        </w:rPr>
        <w:t xml:space="preserve">In reaching its decision, the </w:t>
      </w:r>
      <w:r w:rsidRPr="004659C7">
        <w:rPr>
          <w:lang w:val="en"/>
        </w:rPr>
        <w:t xml:space="preserve">Court cited to </w:t>
      </w:r>
      <w:r w:rsidRPr="004659C7">
        <w:rPr>
          <w:i/>
          <w:lang w:val="en"/>
        </w:rPr>
        <w:t>Minnesota v. Carter</w:t>
      </w:r>
      <w:r w:rsidRPr="004659C7">
        <w:rPr>
          <w:lang w:val="en"/>
        </w:rPr>
        <w:t xml:space="preserve"> (1998) 525 U.S. 83, 88 </w:t>
      </w:r>
      <w:r>
        <w:rPr>
          <w:lang w:val="en"/>
        </w:rPr>
        <w:t>in which the United States Supreme Court stated</w:t>
      </w:r>
      <w:r w:rsidRPr="004659C7">
        <w:rPr>
          <w:lang w:val="en"/>
        </w:rPr>
        <w:t xml:space="preserve"> that a party may not prevail on a Fourth Amendment claim unless </w:t>
      </w:r>
      <w:r>
        <w:rPr>
          <w:lang w:val="en"/>
        </w:rPr>
        <w:t>t</w:t>
      </w:r>
      <w:r w:rsidRPr="004659C7">
        <w:rPr>
          <w:lang w:val="en"/>
        </w:rPr>
        <w:t>he</w:t>
      </w:r>
      <w:r>
        <w:rPr>
          <w:lang w:val="en"/>
        </w:rPr>
        <w:t xml:space="preserve"> party</w:t>
      </w:r>
      <w:r w:rsidRPr="004659C7">
        <w:rPr>
          <w:lang w:val="en"/>
        </w:rPr>
        <w:t xml:space="preserve"> can show that the search and seizure by the state infringed on a legitimate expectation of privacy.  Where a government entity is vested with broad authority to promulgate and implement a regulatory program for the regulated transportation industry, those participating “have a diminished expectation of privacy, particularly in information related to the goals of the industry regulation.”  (</w:t>
      </w:r>
      <w:r w:rsidRPr="004659C7">
        <w:rPr>
          <w:i/>
          <w:lang w:val="en"/>
        </w:rPr>
        <w:t xml:space="preserve">Buliga v. New York City Taxi Limousine Comm’n </w:t>
      </w:r>
      <w:r w:rsidRPr="004659C7">
        <w:rPr>
          <w:lang w:val="en"/>
        </w:rPr>
        <w:t xml:space="preserve">(2007) WL 4547738 *2, </w:t>
      </w:r>
      <w:r w:rsidRPr="004659C7">
        <w:rPr>
          <w:i/>
          <w:lang w:val="en"/>
        </w:rPr>
        <w:t xml:space="preserve">affd sub nom. Buliga v. New York City Taxi &amp; Limousine Comm’n </w:t>
      </w:r>
      <w:r w:rsidRPr="004659C7">
        <w:rPr>
          <w:lang w:val="en"/>
        </w:rPr>
        <w:t>324 Fed Appx</w:t>
      </w:r>
      <w:r w:rsidR="00AD2B90">
        <w:rPr>
          <w:lang w:val="en"/>
        </w:rPr>
        <w:t> </w:t>
      </w:r>
      <w:r w:rsidRPr="004659C7">
        <w:rPr>
          <w:lang w:val="en"/>
        </w:rPr>
        <w:t xml:space="preserve">82 (2d Cir.  2009); and </w:t>
      </w:r>
      <w:r w:rsidRPr="004659C7">
        <w:rPr>
          <w:i/>
          <w:lang w:val="en"/>
        </w:rPr>
        <w:t xml:space="preserve">Statharos v. New York City Taxi &amp; Limousine Comm’n </w:t>
      </w:r>
      <w:r w:rsidRPr="004659C7">
        <w:rPr>
          <w:lang w:val="en"/>
        </w:rPr>
        <w:t xml:space="preserve">(2d Cir. 1999) 198 F.3d 317, 325.)  This is true even beyond the transportation </w:t>
      </w:r>
      <w:r w:rsidRPr="004659C7">
        <w:rPr>
          <w:lang w:val="en"/>
        </w:rPr>
        <w:lastRenderedPageBreak/>
        <w:t>industry since the key is whether the industry is closely regulated.  The United States Supreme Court recognized that the greater the regulation the more those subject to the regulation can expect intrusions upon their privacy as it pertains to their work.  (</w:t>
      </w:r>
      <w:r w:rsidRPr="004659C7">
        <w:rPr>
          <w:i/>
          <w:lang w:val="en"/>
        </w:rPr>
        <w:t>Vernonia Sch. Dist. 47J v. Acton</w:t>
      </w:r>
      <w:r w:rsidRPr="004659C7">
        <w:rPr>
          <w:lang w:val="en"/>
        </w:rPr>
        <w:t xml:space="preserve"> (1995) 515 U.S. 646, 657.)</w:t>
      </w:r>
    </w:p>
    <w:p w:rsidRPr="004659C7" w:rsidR="0040238D" w:rsidP="009C76EC" w:rsidRDefault="004A69E8" w14:paraId="18662DF1" w14:textId="237F217B">
      <w:pPr>
        <w:pStyle w:val="Standard"/>
        <w:rPr>
          <w:lang w:val="en"/>
        </w:rPr>
      </w:pPr>
      <w:r>
        <w:rPr>
          <w:lang w:val="en"/>
        </w:rPr>
        <w:t xml:space="preserve">TNCs in California also have a </w:t>
      </w:r>
      <w:r w:rsidR="00832042">
        <w:rPr>
          <w:lang w:val="en"/>
        </w:rPr>
        <w:t>diminished</w:t>
      </w:r>
      <w:r>
        <w:rPr>
          <w:lang w:val="en"/>
        </w:rPr>
        <w:t xml:space="preserve"> expectation of privacy with respect to providing </w:t>
      </w:r>
      <w:r w:rsidR="00E0011D">
        <w:rPr>
          <w:lang w:val="en"/>
        </w:rPr>
        <w:t>t</w:t>
      </w:r>
      <w:r>
        <w:rPr>
          <w:lang w:val="en"/>
        </w:rPr>
        <w:t xml:space="preserve">rip </w:t>
      </w:r>
      <w:r w:rsidR="00E0011D">
        <w:rPr>
          <w:lang w:val="en"/>
        </w:rPr>
        <w:t>d</w:t>
      </w:r>
      <w:r>
        <w:rPr>
          <w:lang w:val="en"/>
        </w:rPr>
        <w:t xml:space="preserve">ata in their Annual Reports in light of the </w:t>
      </w:r>
      <w:r w:rsidRPr="004659C7" w:rsidR="0040238D">
        <w:rPr>
          <w:lang w:val="en"/>
        </w:rPr>
        <w:t xml:space="preserve"> Commission’s</w:t>
      </w:r>
      <w:r>
        <w:rPr>
          <w:lang w:val="en"/>
        </w:rPr>
        <w:t xml:space="preserve"> extensive</w:t>
      </w:r>
      <w:r w:rsidRPr="004659C7" w:rsidR="0040238D">
        <w:rPr>
          <w:lang w:val="en"/>
        </w:rPr>
        <w:t xml:space="preserve"> jurisdiction over </w:t>
      </w:r>
      <w:r>
        <w:rPr>
          <w:lang w:val="en"/>
        </w:rPr>
        <w:t>TNCs</w:t>
      </w:r>
      <w:r w:rsidRPr="004659C7" w:rsidR="0040238D">
        <w:rPr>
          <w:lang w:val="en"/>
        </w:rPr>
        <w:t>.  As provided in Article XII of the California Constitution and the Charter-party Carriers’ Act (Pub. Util. Code §</w:t>
      </w:r>
      <w:r w:rsidR="00AD2B90">
        <w:rPr>
          <w:lang w:val="en"/>
        </w:rPr>
        <w:t> </w:t>
      </w:r>
      <w:r w:rsidRPr="004659C7" w:rsidR="0040238D">
        <w:rPr>
          <w:lang w:val="en"/>
        </w:rPr>
        <w:t xml:space="preserve">5351 </w:t>
      </w:r>
      <w:r w:rsidRPr="004659C7" w:rsidR="0040238D">
        <w:rPr>
          <w:i/>
          <w:lang w:val="en"/>
        </w:rPr>
        <w:t>et seq.</w:t>
      </w:r>
      <w:r w:rsidRPr="004659C7" w:rsidR="0040238D">
        <w:rPr>
          <w:lang w:val="en"/>
        </w:rPr>
        <w:t>), the Commission has for decades been vested with a broad grant of authority to regulate TCPs.  For example, Pub. Util. Code § 5381 states:</w:t>
      </w:r>
    </w:p>
    <w:p w:rsidRPr="00AF42DD" w:rsidR="0040238D" w:rsidP="00806618" w:rsidRDefault="0040238D" w14:paraId="22FD315F" w14:textId="77777777">
      <w:pPr>
        <w:pStyle w:val="standard0"/>
        <w:spacing w:after="120" w:line="240" w:lineRule="auto"/>
        <w:ind w:left="720" w:right="1440" w:firstLine="0"/>
        <w:rPr>
          <w:rFonts w:ascii="Book Antiqua" w:hAnsi="Book Antiqua"/>
        </w:rPr>
      </w:pPr>
      <w:r w:rsidRPr="00AF42DD">
        <w:rPr>
          <w:rFonts w:ascii="Book Antiqua" w:hAnsi="Book Antiqua"/>
        </w:rPr>
        <w:t>To the extent that such is not inconsistent with the provisions of this chapter, the commission may supervise and regulate every charter-party carrier of passengers in the State and may do all things, whether specifically designated in this part, or in addition thereto, which are necessary and convenient in the exercise of such power and jurisdiction.</w:t>
      </w:r>
    </w:p>
    <w:p w:rsidRPr="00AF42DD" w:rsidR="0040238D" w:rsidP="0040238D" w:rsidRDefault="0040238D" w14:paraId="1D52AE6A" w14:textId="5F341E72">
      <w:pPr>
        <w:pStyle w:val="standard0"/>
        <w:ind w:firstLine="0"/>
        <w:rPr>
          <w:rFonts w:ascii="Book Antiqua" w:hAnsi="Book Antiqua"/>
          <w:szCs w:val="26"/>
        </w:rPr>
      </w:pPr>
      <w:r w:rsidRPr="00AF42DD">
        <w:rPr>
          <w:rFonts w:ascii="Book Antiqua" w:hAnsi="Book Antiqua"/>
          <w:szCs w:val="26"/>
        </w:rPr>
        <w:t>This Commission found in D.13-09-045 that TNCs were TCPs subject to the Commission’s existing jurisdiction.</w:t>
      </w:r>
      <w:r w:rsidRPr="00AF42DD">
        <w:rPr>
          <w:rStyle w:val="FootnoteReference"/>
          <w:rFonts w:ascii="Book Antiqua" w:hAnsi="Book Antiqua" w:eastAsiaTheme="majorEastAsia"/>
          <w:szCs w:val="26"/>
        </w:rPr>
        <w:footnoteReference w:id="36"/>
      </w:r>
      <w:r w:rsidRPr="00AF42DD">
        <w:rPr>
          <w:rFonts w:ascii="Book Antiqua" w:hAnsi="Book Antiqua"/>
          <w:szCs w:val="26"/>
        </w:rPr>
        <w:t xml:space="preserve">  Pursuant to General Order 157-D, Section</w:t>
      </w:r>
      <w:r w:rsidR="00B93EFE">
        <w:rPr>
          <w:rFonts w:ascii="Book Antiqua" w:hAnsi="Book Antiqua"/>
          <w:szCs w:val="26"/>
        </w:rPr>
        <w:t> </w:t>
      </w:r>
      <w:r w:rsidRPr="00AF42DD">
        <w:rPr>
          <w:rFonts w:ascii="Book Antiqua" w:hAnsi="Book Antiqua"/>
          <w:szCs w:val="26"/>
        </w:rPr>
        <w:t xml:space="preserve">3.01, providers of prearranged transportation are required to maintain waybills which must include, at a minimum, points of origination and destination.  Pursuant to General Order 157-D, Section 6.01, every TCP is required to maintain a set of records which reflect information as to the services performed, including the waybills described in Section 3.01.  The Commission also found that it would expand on its regulations regarding TCPs and utilize its broad powers under Pub. Util. Code § 701 to develop new categories of </w:t>
      </w:r>
      <w:r w:rsidRPr="00AF42DD">
        <w:rPr>
          <w:rFonts w:ascii="Book Antiqua" w:hAnsi="Book Antiqua"/>
          <w:szCs w:val="26"/>
        </w:rPr>
        <w:lastRenderedPageBreak/>
        <w:t>regulation when a new technology is introduced into an existing industry.</w:t>
      </w:r>
      <w:r w:rsidRPr="00AF42DD">
        <w:rPr>
          <w:rStyle w:val="FootnoteReference"/>
          <w:rFonts w:ascii="Book Antiqua" w:hAnsi="Book Antiqua" w:eastAsiaTheme="majorEastAsia"/>
          <w:szCs w:val="26"/>
        </w:rPr>
        <w:footnoteReference w:id="37"/>
      </w:r>
      <w:r w:rsidRPr="00AF42DD">
        <w:rPr>
          <w:rFonts w:ascii="Book Antiqua" w:hAnsi="Book Antiqua"/>
          <w:szCs w:val="26"/>
        </w:rPr>
        <w:t xml:space="preserve">  Given this expansive authority, TNCs would certainly have reason to expect intrusions upon their privacy as it relates to the provision of TNC services. Accordingly, Lyft’s Fourth Amendment claims are </w:t>
      </w:r>
      <w:r w:rsidR="00A74BF1">
        <w:rPr>
          <w:rFonts w:ascii="Book Antiqua" w:hAnsi="Book Antiqua"/>
          <w:szCs w:val="26"/>
        </w:rPr>
        <w:t xml:space="preserve">inapplicable. </w:t>
      </w:r>
      <w:r w:rsidRPr="00AF42DD">
        <w:rPr>
          <w:rFonts w:ascii="Book Antiqua" w:hAnsi="Book Antiqua"/>
          <w:szCs w:val="26"/>
        </w:rPr>
        <w:t xml:space="preserve"> </w:t>
      </w:r>
    </w:p>
    <w:p w:rsidR="00935A23" w:rsidP="006E6574" w:rsidRDefault="00EE2743" w14:paraId="56AFD6B2" w14:textId="4A21D7CF">
      <w:pPr>
        <w:pStyle w:val="Standard"/>
      </w:pPr>
      <w:r>
        <w:t xml:space="preserve">Second, even if the </w:t>
      </w:r>
      <w:r w:rsidR="00784BF3">
        <w:t>Fourth</w:t>
      </w:r>
      <w:r>
        <w:t xml:space="preserve"> Amendment was implicated,</w:t>
      </w:r>
      <w:r w:rsidR="00D827BD">
        <w:t xml:space="preserve"> </w:t>
      </w:r>
      <w:r w:rsidR="00C874DD">
        <w:t>the Commission</w:t>
      </w:r>
      <w:r w:rsidR="00D827BD">
        <w:t xml:space="preserve"> established in D.13-09-045 its legitimate regulatory interest in requiring every regulated TNC to submit an Annual Report that is populated with the information required by the Commission’s template.</w:t>
      </w:r>
      <w:r>
        <w:t xml:space="preserve"> </w:t>
      </w:r>
      <w:r w:rsidR="00AD2B90">
        <w:t xml:space="preserve"> </w:t>
      </w:r>
      <w:r w:rsidR="00A74BF1">
        <w:t>W</w:t>
      </w:r>
      <w:r w:rsidR="00D827BD">
        <w:t xml:space="preserve">hat </w:t>
      </w:r>
      <w:r w:rsidRPr="007240F6" w:rsidR="00D827BD">
        <w:rPr>
          <w:i/>
          <w:iCs/>
        </w:rPr>
        <w:t>Patel</w:t>
      </w:r>
      <w:r w:rsidR="00D827BD">
        <w:t xml:space="preserve"> did not address, and what the Commission is addressing in this decision</w:t>
      </w:r>
      <w:r w:rsidR="007240F6">
        <w:t>,</w:t>
      </w:r>
      <w:r w:rsidR="00D827BD">
        <w:t xml:space="preserve"> is whether a party has met its burden of proving that certain information that must be submitted as part of the Annual Report is exempt from public disclosure</w:t>
      </w:r>
      <w:r w:rsidR="007240F6">
        <w:t>.</w:t>
      </w:r>
      <w:r w:rsidR="00875E21">
        <w:t xml:space="preserve"> </w:t>
      </w:r>
      <w:r w:rsidR="00AD2B90">
        <w:t xml:space="preserve"> </w:t>
      </w:r>
      <w:r w:rsidR="00875E21">
        <w:t>As such, the facts and issue before the Commission</w:t>
      </w:r>
      <w:r w:rsidR="00D827BD">
        <w:t xml:space="preserve"> </w:t>
      </w:r>
      <w:r w:rsidR="00875E21">
        <w:t xml:space="preserve">are distinguishable from </w:t>
      </w:r>
      <w:r w:rsidRPr="00C874DD" w:rsidR="00C874DD">
        <w:rPr>
          <w:i/>
          <w:iCs/>
        </w:rPr>
        <w:t>Patel</w:t>
      </w:r>
      <w:r w:rsidR="00E16E3D">
        <w:t xml:space="preserve">, </w:t>
      </w:r>
      <w:r w:rsidRPr="00E16E3D" w:rsidR="00E16E3D">
        <w:rPr>
          <w:i/>
          <w:iCs/>
        </w:rPr>
        <w:t>Airbnb New York</w:t>
      </w:r>
      <w:r w:rsidR="00E16E3D">
        <w:t xml:space="preserve">, and </w:t>
      </w:r>
      <w:r w:rsidRPr="00E16E3D" w:rsidR="00E16E3D">
        <w:rPr>
          <w:i/>
          <w:iCs/>
        </w:rPr>
        <w:t>Airbnb Boston</w:t>
      </w:r>
      <w:r w:rsidR="00E16E3D">
        <w:t>.</w:t>
      </w:r>
      <w:r w:rsidR="00875E21">
        <w:t xml:space="preserve"> </w:t>
      </w:r>
      <w:r w:rsidR="00AD2B90">
        <w:t xml:space="preserve"> </w:t>
      </w:r>
      <w:r w:rsidR="00C874DD">
        <w:t>U</w:t>
      </w:r>
      <w:r w:rsidR="00875E21">
        <w:t xml:space="preserve">nlike the positions New York and Boston advocated in those two decisions, the Commission is not stating that Lyft or any other TNC lacks the right to assert an expectation of privacy regarding TNC data collected and reported at the Commission’s behest. </w:t>
      </w:r>
      <w:r w:rsidR="00AD2B90">
        <w:t xml:space="preserve"> </w:t>
      </w:r>
      <w:r w:rsidR="009A697A">
        <w:t>Instead, what the Commission held since it ended the presumption of confidentiality for TNC Annual Reports is that the TNC asserting a claim of confidentiality or other privilege must establish that claim with the requisite granularity.</w:t>
      </w:r>
    </w:p>
    <w:p w:rsidR="00EE13D0" w:rsidP="00093307" w:rsidRDefault="00EE13D0" w14:paraId="6CE195E4" w14:textId="0FF9DE44">
      <w:pPr>
        <w:pStyle w:val="Heading2"/>
      </w:pPr>
      <w:bookmarkStart w:name="_Toc82193572" w:id="37"/>
      <w:bookmarkStart w:name="_Toc94682535" w:id="38"/>
      <w:bookmarkStart w:name="_Toc102479664" w:id="39"/>
      <w:r w:rsidRPr="00093307">
        <w:t>Since the Commission is Not Requiring the Public Disclosure of Pr</w:t>
      </w:r>
      <w:r w:rsidR="007B158E">
        <w:t>otected</w:t>
      </w:r>
      <w:r w:rsidRPr="00093307">
        <w:t xml:space="preserve"> Trip Data, Lyft</w:t>
      </w:r>
      <w:r w:rsidR="001119D6">
        <w:t xml:space="preserve"> Fails to Establish an Unlawful Misappropriation to Trigger a</w:t>
      </w:r>
      <w:r w:rsidRPr="00093307">
        <w:t xml:space="preserve"> Fifth </w:t>
      </w:r>
      <w:r w:rsidRPr="00093307" w:rsidR="00093307">
        <w:t>Amendment</w:t>
      </w:r>
      <w:r w:rsidRPr="00093307">
        <w:t xml:space="preserve"> Regulatory Takings Argument</w:t>
      </w:r>
      <w:bookmarkEnd w:id="37"/>
      <w:bookmarkEnd w:id="38"/>
      <w:bookmarkEnd w:id="39"/>
    </w:p>
    <w:p w:rsidR="00CC35D6" w:rsidP="00093307" w:rsidRDefault="00093307" w14:paraId="01AAF4D7" w14:textId="27A591C2">
      <w:pPr>
        <w:pStyle w:val="Standard"/>
      </w:pPr>
      <w:r>
        <w:t>Lyft asserts that the law protects the trade secrets of private companies from forcible disclosure by regulatory agencies</w:t>
      </w:r>
      <w:r w:rsidR="00661C6E">
        <w:t xml:space="preserve">, and cites </w:t>
      </w:r>
      <w:r w:rsidRPr="00661C6E" w:rsidR="00661C6E">
        <w:rPr>
          <w:i/>
          <w:iCs/>
        </w:rPr>
        <w:t xml:space="preserve">Bridgestone/Firestone, </w:t>
      </w:r>
      <w:r w:rsidRPr="00661C6E" w:rsidR="00661C6E">
        <w:rPr>
          <w:i/>
          <w:iCs/>
        </w:rPr>
        <w:lastRenderedPageBreak/>
        <w:t>Inc. v. Superior Court</w:t>
      </w:r>
      <w:r w:rsidR="00661C6E">
        <w:t xml:space="preserve"> (1992) 7 Cal.App.4</w:t>
      </w:r>
      <w:r w:rsidRPr="00661C6E" w:rsidR="00661C6E">
        <w:rPr>
          <w:vertAlign w:val="superscript"/>
        </w:rPr>
        <w:t>th</w:t>
      </w:r>
      <w:r w:rsidR="00661C6E">
        <w:t xml:space="preserve"> 1384, 1391, </w:t>
      </w:r>
      <w:r w:rsidRPr="00661C6E" w:rsidR="00661C6E">
        <w:rPr>
          <w:i/>
          <w:iCs/>
        </w:rPr>
        <w:t>rehearing denied and opinion modified</w:t>
      </w:r>
      <w:r w:rsidR="00661C6E">
        <w:t xml:space="preserve"> (July 23, 1992) </w:t>
      </w:r>
      <w:r w:rsidR="007B158E">
        <w:t xml:space="preserve">for the rule </w:t>
      </w:r>
      <w:r w:rsidR="00661C6E">
        <w:t>that disclosure may be compelled where to do otherwise would tend to conceal fraud or work a serious injustice.</w:t>
      </w:r>
      <w:r w:rsidR="00661C6E">
        <w:rPr>
          <w:rStyle w:val="FootnoteReference"/>
        </w:rPr>
        <w:footnoteReference w:id="38"/>
      </w:r>
      <w:r w:rsidR="00661C6E">
        <w:t xml:space="preserve"> </w:t>
      </w:r>
      <w:r w:rsidR="00AD2B90">
        <w:t xml:space="preserve"> </w:t>
      </w:r>
      <w:r w:rsidR="00661C6E">
        <w:t xml:space="preserve">Lyft goes further and claims that a government agency’s use of private, investment-backed </w:t>
      </w:r>
      <w:r w:rsidR="005866E4">
        <w:t xml:space="preserve">trip </w:t>
      </w:r>
      <w:r w:rsidR="00661C6E">
        <w:t>data submitted by a regulated entity may constitute an unlawful</w:t>
      </w:r>
      <w:r w:rsidR="00CC35D6">
        <w:t xml:space="preserve"> misappropriation or taking in violation of the</w:t>
      </w:r>
      <w:r w:rsidR="00661C6E">
        <w:t xml:space="preserve"> Fifth Amendment to the Constitution.</w:t>
      </w:r>
      <w:r w:rsidR="005866E4">
        <w:rPr>
          <w:rStyle w:val="FootnoteReference"/>
        </w:rPr>
        <w:footnoteReference w:id="39"/>
      </w:r>
      <w:r w:rsidR="00CC35D6">
        <w:t xml:space="preserve"> </w:t>
      </w:r>
    </w:p>
    <w:p w:rsidR="00A669F0" w:rsidP="00093307" w:rsidRDefault="001042ED" w14:paraId="3422935B" w14:textId="25CC3799">
      <w:pPr>
        <w:pStyle w:val="Standard"/>
      </w:pPr>
      <w:r>
        <w:t xml:space="preserve">We </w:t>
      </w:r>
      <w:r w:rsidR="00D6578B">
        <w:t>question Lyft</w:t>
      </w:r>
      <w:r w:rsidR="00533B17">
        <w:t>’s</w:t>
      </w:r>
      <w:r w:rsidR="00D6578B">
        <w:t xml:space="preserve"> regulatory takings argument. </w:t>
      </w:r>
      <w:r w:rsidR="00AD2B90">
        <w:t xml:space="preserve"> </w:t>
      </w:r>
      <w:r w:rsidR="00D6578B">
        <w:t xml:space="preserve">First, the Commission </w:t>
      </w:r>
      <w:r w:rsidR="00CC35D6">
        <w:t>notes that Lyft use</w:t>
      </w:r>
      <w:r w:rsidR="00D6578B">
        <w:t>s</w:t>
      </w:r>
      <w:r w:rsidR="00CC35D6">
        <w:t xml:space="preserve"> the word</w:t>
      </w:r>
      <w:r w:rsidR="00D6578B">
        <w:t>s</w:t>
      </w:r>
      <w:r w:rsidR="00CC35D6">
        <w:t xml:space="preserve"> “may</w:t>
      </w:r>
      <w:r w:rsidR="00D6578B">
        <w:t xml:space="preserve"> constitute an unlawful Taking under the Fifth Amendment[,]” rather than an unlawful taking has or will occurred. </w:t>
      </w:r>
      <w:r w:rsidR="00AD2B90">
        <w:t xml:space="preserve"> </w:t>
      </w:r>
      <w:r w:rsidR="00D6578B">
        <w:t xml:space="preserve">Second, Lyft uses the phrase “may constitute unlawful misappropriation” without setting forth the elements of a misappropriation claim. </w:t>
      </w:r>
      <w:r w:rsidR="00A669F0">
        <w:t xml:space="preserve">In </w:t>
      </w:r>
      <w:r w:rsidRPr="00A669F0" w:rsidR="00A669F0">
        <w:rPr>
          <w:i/>
          <w:iCs/>
        </w:rPr>
        <w:t>Syngenta Crop Protection, Inc. v. Helliker</w:t>
      </w:r>
      <w:r w:rsidR="00A669F0">
        <w:t xml:space="preserve"> (2006) 138</w:t>
      </w:r>
      <w:r w:rsidR="00AD2B90">
        <w:t> </w:t>
      </w:r>
      <w:r w:rsidR="00A669F0">
        <w:t>Cal.App.4</w:t>
      </w:r>
      <w:r w:rsidRPr="00A669F0" w:rsidR="00A669F0">
        <w:rPr>
          <w:vertAlign w:val="superscript"/>
        </w:rPr>
        <w:t>th</w:t>
      </w:r>
      <w:r w:rsidR="00A669F0">
        <w:t xml:space="preserve"> 1135, 1172, a case which Lyft cites in its </w:t>
      </w:r>
      <w:r w:rsidRPr="00A669F0" w:rsidR="00A669F0">
        <w:rPr>
          <w:i/>
          <w:iCs/>
        </w:rPr>
        <w:t>Appeal</w:t>
      </w:r>
      <w:r w:rsidR="00A669F0">
        <w:t>, the Court set forth the elements for a misappropriation cause of action:</w:t>
      </w:r>
    </w:p>
    <w:p w:rsidR="00A669F0" w:rsidP="009C76EC" w:rsidRDefault="00A669F0" w14:paraId="035EB1B1" w14:textId="0238A33D">
      <w:pPr>
        <w:pStyle w:val="Standard"/>
        <w:spacing w:after="120" w:line="240" w:lineRule="auto"/>
        <w:ind w:left="720" w:right="1440" w:firstLine="0"/>
      </w:pPr>
      <w:r w:rsidRPr="00A669F0">
        <w:t>"Misappropriation" is defined to include "use of a trade secret of another without express or implied consent by a person who: [¶] . . . [¶] [a]t the time of . . . use, knew or had reason to know that his or her knowledge of the trade secret was: [¶] . . . [¶] [a]cquired under circumstances giving rise to a duty to maintain its secrecy or limit its use." </w:t>
      </w:r>
      <w:hyperlink w:history="1" r:id="rId14">
        <w:r w:rsidRPr="00A669F0">
          <w:rPr>
            <w:rStyle w:val="Hyperlink"/>
          </w:rPr>
          <w:t>(Civ. Code, § 3426.1, subd. (b)</w:t>
        </w:r>
      </w:hyperlink>
      <w:r w:rsidRPr="00A669F0">
        <w:t>.)</w:t>
      </w:r>
    </w:p>
    <w:p w:rsidR="006C4D63" w:rsidP="006C4D63" w:rsidRDefault="006C4D63" w14:paraId="13629818" w14:textId="7E539BC3">
      <w:pPr>
        <w:pStyle w:val="Standard"/>
        <w:ind w:firstLine="0"/>
      </w:pPr>
      <w:r>
        <w:t xml:space="preserve">Absent from Lyft’s </w:t>
      </w:r>
      <w:r w:rsidRPr="006C4D63">
        <w:rPr>
          <w:i/>
          <w:iCs/>
        </w:rPr>
        <w:t>Appeal</w:t>
      </w:r>
      <w:r>
        <w:t xml:space="preserve"> is any suggestion that the Commission was under a duty to maintain the alleged secrecy of the trip data or limit its use. </w:t>
      </w:r>
      <w:r w:rsidR="00AD2B90">
        <w:t xml:space="preserve"> </w:t>
      </w:r>
      <w:r w:rsidR="00556691">
        <w:t xml:space="preserve">In </w:t>
      </w:r>
      <w:r w:rsidRPr="00556691" w:rsidR="00556691">
        <w:rPr>
          <w:i/>
          <w:iCs/>
        </w:rPr>
        <w:t>Ruckelshaus v. Monsanto Co</w:t>
      </w:r>
      <w:r w:rsidR="00556691">
        <w:t xml:space="preserve">. (1984) 467 U.S. 986, 1008, which Lyft also relies upon </w:t>
      </w:r>
      <w:r w:rsidR="00556691">
        <w:lastRenderedPageBreak/>
        <w:t xml:space="preserve">in its </w:t>
      </w:r>
      <w:r w:rsidRPr="00556691" w:rsidR="00556691">
        <w:rPr>
          <w:i/>
          <w:iCs/>
        </w:rPr>
        <w:t>Appeal</w:t>
      </w:r>
      <w:r w:rsidR="00556691">
        <w:t xml:space="preserve">, the Supreme Court explained that the duty to maintain the secrecy of trade secret information could be established by demonstrating that the government entity receiving the information provided a “guarantee of confidentiality or an express promise.” </w:t>
      </w:r>
      <w:r w:rsidR="00AD2B90">
        <w:t xml:space="preserve"> </w:t>
      </w:r>
      <w:r w:rsidR="00556691">
        <w:t xml:space="preserve">The Supreme Court’s discussion on this point is instructive as it underscores </w:t>
      </w:r>
      <w:r w:rsidR="00EF34D5">
        <w:t xml:space="preserve">Lyft’s </w:t>
      </w:r>
      <w:r w:rsidR="00556691">
        <w:t>failure to  develop its regulatory takings claim:</w:t>
      </w:r>
    </w:p>
    <w:p w:rsidRPr="004C2C85" w:rsidR="0066013C" w:rsidP="00DC144F" w:rsidRDefault="00556691" w14:paraId="6BC080BE" w14:textId="7F6CADC4">
      <w:pPr>
        <w:pStyle w:val="Standard"/>
        <w:spacing w:after="120" w:line="240" w:lineRule="auto"/>
        <w:ind w:left="720" w:right="1440" w:firstLine="0"/>
      </w:pPr>
      <w:r w:rsidRPr="004C2C85">
        <w:t xml:space="preserve">But the Trade Secrets Act is not a guarantee of confidentiality to submitters of data, and, absent an express promise, Monsanto had no reasonable, investment-backed expectation that its information would remain inviolate in the hands of EPA. </w:t>
      </w:r>
      <w:r w:rsidRPr="004C2C85" w:rsidR="00AD2B90">
        <w:t xml:space="preserve"> </w:t>
      </w:r>
      <w:r w:rsidRPr="004C2C85">
        <w:t xml:space="preserve">In an industry that long has been the focus of great public concern and significant government regulation, the possibility was substantial that the Federal Government, which had thus far taken no position on disclosure of health, safety, and environmental data concerning pesticides, upon focusing on the issue, would  find disclosure to be in the public interest. </w:t>
      </w:r>
      <w:r w:rsidRPr="004C2C85" w:rsidR="00AD2B90">
        <w:t xml:space="preserve"> </w:t>
      </w:r>
      <w:r w:rsidRPr="004C2C85">
        <w:t>Thus, with respect to data submitted to EPA in connection with an application for registration prior to October</w:t>
      </w:r>
      <w:r w:rsidRPr="004C2C85" w:rsidR="00B93EFE">
        <w:t> </w:t>
      </w:r>
      <w:r w:rsidRPr="004C2C85">
        <w:t>22,</w:t>
      </w:r>
      <w:r w:rsidRPr="004C2C85" w:rsidR="00B93EFE">
        <w:t> </w:t>
      </w:r>
      <w:r w:rsidRPr="004C2C85">
        <w:t>1972, the Trade Secrets Act provided no basis for a reasonable investment-backed expectation that data submitted to EPA would remain confidential.</w:t>
      </w:r>
    </w:p>
    <w:p w:rsidR="0031736D" w:rsidP="00AF42DD" w:rsidRDefault="0031736D" w14:paraId="7D7BC5C2" w14:textId="6EED9572">
      <w:pPr>
        <w:pStyle w:val="Standard"/>
        <w:spacing w:before="240"/>
        <w:ind w:firstLine="0"/>
      </w:pPr>
      <w:r w:rsidRPr="004C2C85">
        <w:t>Similarly, Lyft fails to point to any guarantee of confidentiality or an express promise that trip data would be exempted from public disclosure on privacy (</w:t>
      </w:r>
      <w:r w:rsidRPr="004C2C85" w:rsidR="00832042">
        <w:rPr>
          <w:i/>
          <w:iCs/>
        </w:rPr>
        <w:t>i.e.,</w:t>
      </w:r>
      <w:r w:rsidRPr="004C2C85">
        <w:t xml:space="preserve"> trade secrets) grounds.</w:t>
      </w:r>
      <w:r w:rsidRPr="004C2C85" w:rsidR="00AD2B90">
        <w:t xml:space="preserve">  </w:t>
      </w:r>
      <w:r w:rsidRPr="004C2C85">
        <w:t xml:space="preserve">In fact, with the elimination of the presumption of confidentiality in 2020 </w:t>
      </w:r>
      <w:r w:rsidR="00A74BF1">
        <w:t xml:space="preserve">by </w:t>
      </w:r>
      <w:r w:rsidRPr="004C2C85">
        <w:t>the adoption of</w:t>
      </w:r>
      <w:r>
        <w:t xml:space="preserve"> D.</w:t>
      </w:r>
      <w:r w:rsidR="00832042">
        <w:t>20-03-014</w:t>
      </w:r>
      <w:r>
        <w:t xml:space="preserve">, Lyft knew that the only way it could prevent the public disclosure of any part of its 2020 Annual Report was to file a motion complete with a declaration that detailed each claim for confidentiality, which it did and which the </w:t>
      </w:r>
      <w:r w:rsidR="00533B17">
        <w:t xml:space="preserve">assigned </w:t>
      </w:r>
      <w:r>
        <w:t xml:space="preserve">ALJ rejected, in part, in his </w:t>
      </w:r>
      <w:r w:rsidRPr="0031736D">
        <w:rPr>
          <w:i/>
          <w:iCs/>
        </w:rPr>
        <w:t>Ruling</w:t>
      </w:r>
      <w:r>
        <w:t xml:space="preserve"> as being factually insufficient. </w:t>
      </w:r>
    </w:p>
    <w:p w:rsidR="00EB7D80" w:rsidP="00093307" w:rsidRDefault="0031736D" w14:paraId="5ED6E94E" w14:textId="2A0D1629">
      <w:pPr>
        <w:pStyle w:val="Standard"/>
      </w:pPr>
      <w:r>
        <w:lastRenderedPageBreak/>
        <w:t xml:space="preserve">Nor can Lyft hope </w:t>
      </w:r>
      <w:r w:rsidR="00792825">
        <w:t xml:space="preserve">to establish a guarantee of confidentiality or an express promise by its reference to Pub. Util. Code § 583. </w:t>
      </w:r>
      <w:r w:rsidR="00AD2B90">
        <w:t xml:space="preserve"> </w:t>
      </w:r>
      <w:r w:rsidR="00792825">
        <w:t xml:space="preserve">In D.20-03-014, the Commission rejected such an argument, making it clear to all TNCs that they may not rely on Pub. Util. Code § 583 for the proposition that information required by the Commission to be submitted </w:t>
      </w:r>
      <w:r w:rsidR="00EB7D80">
        <w:t>is presumptively confidential:</w:t>
      </w:r>
    </w:p>
    <w:p w:rsidRPr="004C2C85" w:rsidR="00EB7D80" w:rsidP="00DC144F" w:rsidRDefault="00EB7D80" w14:paraId="7FA5ADE6" w14:textId="5F8D7F57">
      <w:pPr>
        <w:spacing w:after="120" w:line="240" w:lineRule="auto"/>
        <w:ind w:left="720" w:right="1980" w:firstLine="0"/>
        <w:rPr>
          <w:szCs w:val="26"/>
        </w:rPr>
      </w:pPr>
      <w:r w:rsidRPr="004C2C85">
        <w:rPr>
          <w:szCs w:val="26"/>
        </w:rPr>
        <w:t>But Pub. Util. Code § 583 “neither creates a privilege of nondisclosure for a utility, nor designates any specific types of documents as confidential.”  (</w:t>
      </w:r>
      <w:r w:rsidRPr="004C2C85">
        <w:rPr>
          <w:i/>
          <w:szCs w:val="26"/>
        </w:rPr>
        <w:t xml:space="preserve">Re Southern California Edison Company </w:t>
      </w:r>
      <w:r w:rsidRPr="004C2C85">
        <w:rPr>
          <w:iCs/>
          <w:szCs w:val="26"/>
        </w:rPr>
        <w:t>(1991)</w:t>
      </w:r>
      <w:r w:rsidRPr="004C2C85">
        <w:rPr>
          <w:i/>
          <w:szCs w:val="26"/>
        </w:rPr>
        <w:t xml:space="preserve"> </w:t>
      </w:r>
      <w:r w:rsidRPr="004C2C85">
        <w:rPr>
          <w:iCs/>
          <w:szCs w:val="26"/>
        </w:rPr>
        <w:t>42 CPUC2d 298, 301</w:t>
      </w:r>
      <w:r w:rsidRPr="004C2C85">
        <w:rPr>
          <w:i/>
          <w:szCs w:val="26"/>
        </w:rPr>
        <w:t xml:space="preserve">; Southern California Edison Company v. Westinghouse Electric Corporation </w:t>
      </w:r>
      <w:r w:rsidRPr="004C2C85">
        <w:rPr>
          <w:iCs/>
          <w:szCs w:val="26"/>
        </w:rPr>
        <w:t>(1989</w:t>
      </w:r>
      <w:r w:rsidRPr="004C2C85">
        <w:rPr>
          <w:i/>
          <w:szCs w:val="26"/>
        </w:rPr>
        <w:t xml:space="preserve">) </w:t>
      </w:r>
      <w:r w:rsidRPr="004C2C85">
        <w:rPr>
          <w:szCs w:val="26"/>
        </w:rPr>
        <w:t>892 F.2d 778, 783  [“On its face, Section</w:t>
      </w:r>
      <w:r w:rsidRPr="004C2C85" w:rsidR="00DC144F">
        <w:rPr>
          <w:szCs w:val="26"/>
        </w:rPr>
        <w:t> </w:t>
      </w:r>
      <w:r w:rsidRPr="004C2C85">
        <w:rPr>
          <w:szCs w:val="26"/>
        </w:rPr>
        <w:t>583 does not forbid the disclosure of any information furnished to the CPUC by utilities.”]; and Decision 06</w:t>
      </w:r>
      <w:r w:rsidRPr="004C2C85">
        <w:rPr>
          <w:szCs w:val="26"/>
        </w:rPr>
        <w:noBreakHyphen/>
        <w:t>06</w:t>
      </w:r>
      <w:r w:rsidRPr="004C2C85">
        <w:rPr>
          <w:szCs w:val="26"/>
        </w:rPr>
        <w:noBreakHyphen/>
        <w:t>066,</w:t>
      </w:r>
      <w:r w:rsidRPr="004C2C85">
        <w:rPr>
          <w:szCs w:val="26"/>
          <w:vertAlign w:val="superscript"/>
        </w:rPr>
        <w:footnoteReference w:id="40"/>
      </w:r>
      <w:r w:rsidRPr="004C2C85">
        <w:rPr>
          <w:szCs w:val="26"/>
        </w:rPr>
        <w:t xml:space="preserve"> as modified by Decision 07</w:t>
      </w:r>
      <w:r w:rsidRPr="004C2C85">
        <w:rPr>
          <w:szCs w:val="26"/>
        </w:rPr>
        <w:noBreakHyphen/>
        <w:t>05</w:t>
      </w:r>
      <w:r w:rsidRPr="004C2C85">
        <w:rPr>
          <w:szCs w:val="26"/>
        </w:rPr>
        <w:noBreakHyphen/>
        <w:t xml:space="preserve">032 </w:t>
      </w:r>
      <w:r w:rsidRPr="004C2C85" w:rsidR="00DC144F">
        <w:rPr>
          <w:szCs w:val="26"/>
        </w:rPr>
        <w:t>a</w:t>
      </w:r>
      <w:r w:rsidRPr="004C2C85">
        <w:rPr>
          <w:szCs w:val="26"/>
        </w:rPr>
        <w:t>t</w:t>
      </w:r>
      <w:r w:rsidRPr="004C2C85" w:rsidR="00DC144F">
        <w:rPr>
          <w:szCs w:val="26"/>
        </w:rPr>
        <w:t> </w:t>
      </w:r>
      <w:r w:rsidRPr="004C2C85">
        <w:rPr>
          <w:szCs w:val="26"/>
        </w:rPr>
        <w:t>27 [583 does not require the Commission to afford confidential treatment to data that does not satisfy substantive requirements for such treatment created by other statutes and rules.].)  In fact, Pub. Util. Code § 583 vests the Commission with broad discretion to disclose information that a party deems confidential.  (D.99</w:t>
      </w:r>
      <w:r w:rsidRPr="004C2C85">
        <w:rPr>
          <w:szCs w:val="26"/>
        </w:rPr>
        <w:noBreakHyphen/>
        <w:t>10</w:t>
      </w:r>
      <w:r w:rsidRPr="004C2C85">
        <w:rPr>
          <w:szCs w:val="26"/>
        </w:rPr>
        <w:noBreakHyphen/>
        <w:t>027</w:t>
      </w:r>
      <w:r w:rsidRPr="004C2C85">
        <w:rPr>
          <w:szCs w:val="26"/>
          <w:vertAlign w:val="superscript"/>
        </w:rPr>
        <w:footnoteReference w:id="41"/>
      </w:r>
      <w:r w:rsidRPr="004C2C85">
        <w:rPr>
          <w:szCs w:val="26"/>
        </w:rPr>
        <w:t xml:space="preserve"> (1999) Ca. PUC LEXIS 748 at *2 [Pub. Util. Code § 583 gives the Commission broad discretion to order confidential information provided by a utility made public.].)  As such, a party may not rely on Pub. Util. Code § 583 for the proposition that information required by the Commission to be submitted is confidential.</w:t>
      </w:r>
    </w:p>
    <w:p w:rsidR="00A30279" w:rsidP="00AF42DD" w:rsidRDefault="00604A74" w14:paraId="369EC17C" w14:textId="688B8950">
      <w:pPr>
        <w:pStyle w:val="Standard"/>
        <w:spacing w:before="120"/>
      </w:pPr>
      <w:r w:rsidRPr="004C2C85">
        <w:t>Equally unpersuasive is Lyft’s generalized claim that</w:t>
      </w:r>
      <w:r>
        <w:t xml:space="preserve"> the “Legislature has long recognized that information submitted to the Commission by regulated </w:t>
      </w:r>
      <w:r>
        <w:lastRenderedPageBreak/>
        <w:t>entities may include sensitive information that should be publicly disclosed.”</w:t>
      </w:r>
      <w:r>
        <w:rPr>
          <w:rStyle w:val="FootnoteReference"/>
        </w:rPr>
        <w:footnoteReference w:id="42"/>
      </w:r>
      <w:r>
        <w:t xml:space="preserve"> </w:t>
      </w:r>
      <w:r w:rsidR="00A30279">
        <w:t xml:space="preserve">As we will explain, none of the cited authorities deal with the Commission’s right </w:t>
      </w:r>
      <w:r w:rsidR="00256431">
        <w:t xml:space="preserve">and duty </w:t>
      </w:r>
      <w:r w:rsidR="00A30279">
        <w:t>to publicly disclose TNC trip data from a TNC’s Annual Report. Lyft first cites Pub. Util. Code § 5412.5 which states:</w:t>
      </w:r>
    </w:p>
    <w:p w:rsidR="00A30279" w:rsidP="004E0C9F" w:rsidRDefault="00A30279" w14:paraId="3601F5C9" w14:textId="56A713BD">
      <w:pPr>
        <w:pStyle w:val="Standard"/>
        <w:spacing w:after="120" w:line="240" w:lineRule="auto"/>
        <w:ind w:left="720" w:right="1440" w:firstLine="0"/>
      </w:pPr>
      <w:r>
        <w:t>E</w:t>
      </w:r>
      <w:r w:rsidRPr="00A30279">
        <w:t>very officer or person employed by the commission who, except as authorized by the commission or a court, discloses any fact or information from an inspection of the accounts, books, papers, or documents of a charter-party carrier of passengers is guilty of a misdemeanor and is punishable by a fine of not more than one thousand dollars ($1,000), by imprisonment in the county jail for not more than three</w:t>
      </w:r>
      <w:r w:rsidR="00AD2B90">
        <w:t> </w:t>
      </w:r>
      <w:r w:rsidRPr="00A30279">
        <w:t>months, or by both.</w:t>
      </w:r>
    </w:p>
    <w:p w:rsidR="007167B7" w:rsidP="00A30279" w:rsidRDefault="00A30279" w14:paraId="4DD6D4B4" w14:textId="2E7F2757">
      <w:pPr>
        <w:pStyle w:val="Standard"/>
        <w:ind w:firstLine="0"/>
      </w:pPr>
      <w:r>
        <w:t>Section 5412.5 is concerned with the punishment for officer</w:t>
      </w:r>
      <w:r w:rsidR="00A74BF1">
        <w:t>s</w:t>
      </w:r>
      <w:r>
        <w:t xml:space="preserve"> or persons employed by the Commission who disclose TCP data without Commission or court authorization. </w:t>
      </w:r>
      <w:r w:rsidR="00AD2B90">
        <w:t xml:space="preserve"> </w:t>
      </w:r>
      <w:r>
        <w:t xml:space="preserve">But Section 5412.5 was adopted long </w:t>
      </w:r>
      <w:r w:rsidR="00A74BF1">
        <w:t xml:space="preserve">before </w:t>
      </w:r>
      <w:r>
        <w:t xml:space="preserve">TNCs were in existence and before the Commission </w:t>
      </w:r>
      <w:r w:rsidR="006E16FE">
        <w:t xml:space="preserve">asserted its regulatory authority. </w:t>
      </w:r>
      <w:r w:rsidR="00AD2B90">
        <w:t xml:space="preserve"> </w:t>
      </w:r>
      <w:r w:rsidR="006E16FE">
        <w:t>In addition, Section</w:t>
      </w:r>
      <w:r w:rsidR="00AD2B90">
        <w:t> </w:t>
      </w:r>
      <w:r w:rsidR="006E16FE">
        <w:t xml:space="preserve">5412.5 says nothing about Annual Reports that the Commission </w:t>
      </w:r>
      <w:r>
        <w:t>ordered</w:t>
      </w:r>
      <w:r w:rsidR="006E16FE">
        <w:t xml:space="preserve"> each TNC </w:t>
      </w:r>
      <w:r w:rsidR="007167B7">
        <w:t xml:space="preserve">to submit. </w:t>
      </w:r>
      <w:r w:rsidR="00AD2B90">
        <w:t xml:space="preserve"> </w:t>
      </w:r>
      <w:r w:rsidR="007167B7">
        <w:t xml:space="preserve">And as this Commission has found, with limited exceptions, that trip data is not exempt from public disclosure, officers or persons employed by the Commission would not be punished for disclosing trip data, especially in response to requests for such information made pursuant to the Public Records Act. </w:t>
      </w:r>
    </w:p>
    <w:p w:rsidR="006113D8" w:rsidP="007167B7" w:rsidRDefault="00165066" w14:paraId="50F02279" w14:textId="4C527C00">
      <w:pPr>
        <w:pStyle w:val="Standard"/>
      </w:pPr>
      <w:r>
        <w:t xml:space="preserve">Lyft’s other authorities are even more attenuated as they do not address the right </w:t>
      </w:r>
      <w:r w:rsidR="00832042">
        <w:t xml:space="preserve">and duty </w:t>
      </w:r>
      <w:r>
        <w:t>to publicly disclose TCP or TNC information.</w:t>
      </w:r>
      <w:r w:rsidR="00A30279">
        <w:t xml:space="preserve"> </w:t>
      </w:r>
      <w:r w:rsidR="00AD2B90">
        <w:t xml:space="preserve"> </w:t>
      </w:r>
      <w:r>
        <w:t xml:space="preserve">At best, the authorities cited on pages 14 and 15 of Lyft’s </w:t>
      </w:r>
      <w:r w:rsidRPr="006113D8">
        <w:rPr>
          <w:i/>
          <w:iCs/>
        </w:rPr>
        <w:t>Appeal</w:t>
      </w:r>
      <w:r>
        <w:rPr>
          <w:rStyle w:val="FootnoteReference"/>
        </w:rPr>
        <w:footnoteReference w:id="43"/>
      </w:r>
      <w:r>
        <w:t xml:space="preserve"> </w:t>
      </w:r>
      <w:r w:rsidR="006113D8">
        <w:t xml:space="preserve">deal with categories of </w:t>
      </w:r>
      <w:r w:rsidR="006113D8">
        <w:lastRenderedPageBreak/>
        <w:t>information that the Commission has recognized as confidential</w:t>
      </w:r>
      <w:r w:rsidR="00F34218">
        <w:t xml:space="preserve"> following a sufficient factual or legal showing</w:t>
      </w:r>
      <w:r w:rsidR="006113D8">
        <w:t>.</w:t>
      </w:r>
      <w:r w:rsidR="006113D8">
        <w:rPr>
          <w:rStyle w:val="FootnoteReference"/>
        </w:rPr>
        <w:footnoteReference w:id="44"/>
      </w:r>
      <w:r w:rsidR="006113D8">
        <w:t xml:space="preserve"> </w:t>
      </w:r>
      <w:r w:rsidR="00AD2B90">
        <w:t xml:space="preserve"> </w:t>
      </w:r>
      <w:r w:rsidR="006113D8">
        <w:t xml:space="preserve">But in none of these decisions did the Commission say that its determinations of confidentiality or recognition of </w:t>
      </w:r>
      <w:r w:rsidR="00F34218">
        <w:t xml:space="preserve">certain </w:t>
      </w:r>
      <w:r w:rsidR="006113D8">
        <w:t xml:space="preserve">market sensitive data would have the universal application that Lyft seems to suggest. </w:t>
      </w:r>
      <w:r w:rsidR="00AD2B90">
        <w:t xml:space="preserve"> </w:t>
      </w:r>
      <w:r w:rsidR="006113D8">
        <w:t xml:space="preserve">Such is certainly not the case with Lyft’s trip data where the Commission is being asked to opine if the </w:t>
      </w:r>
      <w:r w:rsidR="005343D7">
        <w:t xml:space="preserve">assigned </w:t>
      </w:r>
      <w:r w:rsidR="006113D8">
        <w:t xml:space="preserve">ALJ was correct in his determination that the trip data was not trade secret protected. </w:t>
      </w:r>
      <w:r w:rsidR="00AD2B90">
        <w:t xml:space="preserve"> </w:t>
      </w:r>
      <w:r w:rsidR="006113D8">
        <w:t>Lyft cannot point to any body of Commission law that, since 2020, has granted such blanket protection to TNC trip data.</w:t>
      </w:r>
    </w:p>
    <w:p w:rsidR="00EF34D5" w:rsidP="007167B7" w:rsidRDefault="00EF34D5" w14:paraId="6D8FD272" w14:textId="2FE6DD8D">
      <w:pPr>
        <w:pStyle w:val="Standard"/>
      </w:pPr>
      <w:r>
        <w:lastRenderedPageBreak/>
        <w:t>In sum, Lyft has failed to establish the factual basis for asserting a</w:t>
      </w:r>
      <w:r w:rsidR="0030286F">
        <w:t xml:space="preserve"> </w:t>
      </w:r>
      <w:r>
        <w:t>regulatory takings claim under the Fifth Amendment.</w:t>
      </w:r>
      <w:r>
        <w:rPr>
          <w:rStyle w:val="FootnoteReference"/>
        </w:rPr>
        <w:footnoteReference w:id="45"/>
      </w:r>
    </w:p>
    <w:p w:rsidR="005A148C" w:rsidP="005939A5" w:rsidRDefault="00EE2743" w14:paraId="591819DF" w14:textId="0865218E">
      <w:pPr>
        <w:pStyle w:val="Heading1"/>
      </w:pPr>
      <w:bookmarkStart w:name="_Toc82193573" w:id="40"/>
      <w:bookmarkStart w:name="_Toc94682536" w:id="41"/>
      <w:bookmarkStart w:name="_Toc102479665" w:id="42"/>
      <w:r>
        <w:t>Standard of Review</w:t>
      </w:r>
      <w:bookmarkEnd w:id="40"/>
      <w:bookmarkEnd w:id="41"/>
      <w:bookmarkEnd w:id="42"/>
    </w:p>
    <w:p w:rsidR="00106B97" w:rsidP="00A44E8D" w:rsidRDefault="003B7509" w14:paraId="3DE5D13A" w14:textId="0112BE7E">
      <w:pPr>
        <w:pStyle w:val="Standard"/>
      </w:pPr>
      <w:r>
        <w:t xml:space="preserve">In addition to determining whether the </w:t>
      </w:r>
      <w:r w:rsidRPr="003B7509">
        <w:rPr>
          <w:i/>
          <w:iCs/>
        </w:rPr>
        <w:t>Ruling</w:t>
      </w:r>
      <w:r>
        <w:t xml:space="preserve"> correctly </w:t>
      </w:r>
      <w:r w:rsidR="00280C82">
        <w:t>concluded</w:t>
      </w:r>
      <w:r>
        <w:t xml:space="preserve"> that Lyft failed to carry its burden of proving that the trip data at issue was protected from public disclosure on trade secret and</w:t>
      </w:r>
      <w:r w:rsidR="00E43C1C">
        <w:t>/or</w:t>
      </w:r>
      <w:r>
        <w:t xml:space="preserve"> privacy grounds, this Commission, in its capacity as a reviewing tribunal, must also determine if in its </w:t>
      </w:r>
      <w:r w:rsidRPr="003B7509">
        <w:rPr>
          <w:i/>
          <w:iCs/>
        </w:rPr>
        <w:t>Appeal</w:t>
      </w:r>
      <w:r>
        <w:t xml:space="preserve"> Lyft carried</w:t>
      </w:r>
      <w:r w:rsidR="00AB08B3">
        <w:t xml:space="preserve"> its burden of demonstrating that the </w:t>
      </w:r>
      <w:r w:rsidRPr="00AB08B3" w:rsidR="00AB08B3">
        <w:rPr>
          <w:i/>
          <w:iCs/>
        </w:rPr>
        <w:t>Ruling</w:t>
      </w:r>
      <w:r w:rsidR="00AB08B3">
        <w:t xml:space="preserve"> should be reversed</w:t>
      </w:r>
      <w:r w:rsidR="001A58A9">
        <w:t xml:space="preserve"> for lack of substantial evidence</w:t>
      </w:r>
      <w:r w:rsidR="00AB08B3">
        <w:t xml:space="preserve">. </w:t>
      </w:r>
      <w:r w:rsidR="00AF6371">
        <w:t xml:space="preserve"> </w:t>
      </w:r>
      <w:r w:rsidR="00EE2E62">
        <w:t>Because Lyft has filed an appeal</w:t>
      </w:r>
      <w:r w:rsidR="00280C82">
        <w:t xml:space="preserve"> from the </w:t>
      </w:r>
      <w:r w:rsidR="00DC23EC">
        <w:t xml:space="preserve">assigned </w:t>
      </w:r>
      <w:r w:rsidR="00280C82">
        <w:t xml:space="preserve">ALJ’s </w:t>
      </w:r>
      <w:r w:rsidRPr="00280C82" w:rsidR="00280C82">
        <w:rPr>
          <w:i/>
          <w:iCs/>
        </w:rPr>
        <w:t>Ruling</w:t>
      </w:r>
      <w:r w:rsidR="00EE2E62">
        <w:t xml:space="preserve">,  the Commission’s role is synonymous </w:t>
      </w:r>
      <w:r w:rsidR="00280C82">
        <w:t>with</w:t>
      </w:r>
      <w:r w:rsidR="00EE2E62">
        <w:t xml:space="preserve"> that of a reviewing court and</w:t>
      </w:r>
      <w:r w:rsidR="001F50A3">
        <w:t>, therefore, it</w:t>
      </w:r>
      <w:r w:rsidR="00EE2E62">
        <w:t xml:space="preserve"> must apply the standards that a reviewing court would apply in reviewing a Commission decision. </w:t>
      </w:r>
    </w:p>
    <w:p w:rsidR="00D4632A" w:rsidP="00A44E8D" w:rsidRDefault="00106B97" w14:paraId="73C6BDFF" w14:textId="66A51B66">
      <w:pPr>
        <w:pStyle w:val="Standard"/>
      </w:pPr>
      <w:r>
        <w:t xml:space="preserve">The question we must first answer is what the standard is to apply in the Commission’s determination if the </w:t>
      </w:r>
      <w:r w:rsidRPr="00106B97">
        <w:rPr>
          <w:i/>
          <w:iCs/>
        </w:rPr>
        <w:t xml:space="preserve">Ruling </w:t>
      </w:r>
      <w:r>
        <w:t>is supported by substantial evidence. The</w:t>
      </w:r>
      <w:r w:rsidR="00AB08B3">
        <w:t xml:space="preserve"> Commission takes guidance from Pub. Util. Code § 1757 which sets forth the standards that a reviewing court employs to determine if a Commission decision or order should be reversed</w:t>
      </w:r>
      <w:r w:rsidR="00D4632A">
        <w:t>:</w:t>
      </w:r>
    </w:p>
    <w:p w:rsidRPr="00D4632A" w:rsidR="00D4632A" w:rsidP="00AF6371" w:rsidRDefault="00AE1DC9" w14:paraId="1F4B2143" w14:textId="73291F83">
      <w:pPr>
        <w:pStyle w:val="Standard"/>
        <w:numPr>
          <w:ilvl w:val="0"/>
          <w:numId w:val="16"/>
        </w:numPr>
        <w:spacing w:after="120" w:line="240" w:lineRule="auto"/>
        <w:ind w:left="1170" w:right="1440" w:hanging="450"/>
      </w:pPr>
      <w:r w:rsidRPr="00AE1DC9">
        <w:t>No new or additional evidence shall be introduced upon review by the court</w:t>
      </w:r>
      <w:r>
        <w:t xml:space="preserve">. </w:t>
      </w:r>
      <w:r w:rsidR="00AF6371">
        <w:t xml:space="preserve"> </w:t>
      </w:r>
      <w:r w:rsidRPr="00D4632A" w:rsidR="00D4632A">
        <w:t>In a complaint or enforcement proceeding, or in a ratemaking or licensing decision of specific application that is addressed to particular parties, the review by the court shall not extend further than to determine, on the basis of the entire record which shall be certified by the commission, whether any of the following occurred:</w:t>
      </w:r>
    </w:p>
    <w:p w:rsidR="004E0C9F" w:rsidP="00AF6371" w:rsidRDefault="00D4632A" w14:paraId="419AEE89" w14:textId="77777777">
      <w:pPr>
        <w:pStyle w:val="Standard"/>
        <w:numPr>
          <w:ilvl w:val="0"/>
          <w:numId w:val="17"/>
        </w:numPr>
        <w:spacing w:after="120" w:line="240" w:lineRule="auto"/>
        <w:ind w:left="1530" w:right="1440" w:hanging="450"/>
      </w:pPr>
      <w:r w:rsidRPr="00D4632A">
        <w:lastRenderedPageBreak/>
        <w:t>The commission acted without, or in excess of, its powers or jurisdiction.</w:t>
      </w:r>
    </w:p>
    <w:p w:rsidR="004E0C9F" w:rsidP="00AF6371" w:rsidRDefault="00D4632A" w14:paraId="4EA36F09" w14:textId="77777777">
      <w:pPr>
        <w:pStyle w:val="Standard"/>
        <w:numPr>
          <w:ilvl w:val="0"/>
          <w:numId w:val="17"/>
        </w:numPr>
        <w:spacing w:after="120" w:line="240" w:lineRule="auto"/>
        <w:ind w:left="1530" w:right="1440" w:hanging="450"/>
      </w:pPr>
      <w:r w:rsidRPr="00D4632A">
        <w:t>The commission has not proceeded in the manner required by law.</w:t>
      </w:r>
    </w:p>
    <w:p w:rsidR="004E0C9F" w:rsidP="00AF6371" w:rsidRDefault="00D4632A" w14:paraId="4E1F7592" w14:textId="77777777">
      <w:pPr>
        <w:pStyle w:val="Standard"/>
        <w:numPr>
          <w:ilvl w:val="0"/>
          <w:numId w:val="17"/>
        </w:numPr>
        <w:spacing w:after="120" w:line="240" w:lineRule="auto"/>
        <w:ind w:left="1530" w:right="1440" w:hanging="450"/>
      </w:pPr>
      <w:r w:rsidRPr="00D4632A">
        <w:t>The decision of the commission is not supported by the findings.</w:t>
      </w:r>
    </w:p>
    <w:p w:rsidR="004E0C9F" w:rsidP="00AF6371" w:rsidRDefault="00D4632A" w14:paraId="7FF3AF8F" w14:textId="77777777">
      <w:pPr>
        <w:pStyle w:val="Standard"/>
        <w:numPr>
          <w:ilvl w:val="0"/>
          <w:numId w:val="17"/>
        </w:numPr>
        <w:spacing w:after="120" w:line="240" w:lineRule="auto"/>
        <w:ind w:left="1530" w:right="1440" w:hanging="450"/>
      </w:pPr>
      <w:r w:rsidRPr="00D4632A">
        <w:t>The findings in the decision of the commission are not supported by substantial evidence in light of the whole record.</w:t>
      </w:r>
    </w:p>
    <w:p w:rsidR="004E0C9F" w:rsidP="00AF6371" w:rsidRDefault="00D4632A" w14:paraId="1010D27F" w14:textId="77777777">
      <w:pPr>
        <w:pStyle w:val="Standard"/>
        <w:numPr>
          <w:ilvl w:val="0"/>
          <w:numId w:val="17"/>
        </w:numPr>
        <w:spacing w:after="120" w:line="240" w:lineRule="auto"/>
        <w:ind w:left="1530" w:right="1440" w:hanging="450"/>
      </w:pPr>
      <w:r w:rsidRPr="00D4632A">
        <w:t>The order or decision of the commission was procured by fraud or was an abuse of discretion.</w:t>
      </w:r>
    </w:p>
    <w:p w:rsidRPr="00D4632A" w:rsidR="00D4632A" w:rsidP="00AF6371" w:rsidRDefault="00D4632A" w14:paraId="3920183E" w14:textId="728C6BCF">
      <w:pPr>
        <w:pStyle w:val="Standard"/>
        <w:numPr>
          <w:ilvl w:val="0"/>
          <w:numId w:val="17"/>
        </w:numPr>
        <w:spacing w:after="120" w:line="240" w:lineRule="auto"/>
        <w:ind w:left="1530" w:right="1440" w:hanging="450"/>
      </w:pPr>
      <w:r w:rsidRPr="00D4632A">
        <w:t>The order or decision of the commission violates any right of the petitioner under the Constitution of the United States or the California Constitution.</w:t>
      </w:r>
    </w:p>
    <w:p w:rsidR="00233F46" w:rsidP="00364B4C" w:rsidRDefault="00233F46" w14:paraId="098EC057" w14:textId="06E3E541">
      <w:pPr>
        <w:pStyle w:val="Standard"/>
        <w:spacing w:before="120"/>
        <w:ind w:firstLine="0"/>
      </w:pPr>
      <w:r>
        <w:t>Although Pub. Util. Code § 1757 applies to complaint, enforcement, and ratesetting proceedings and the instant proceeding is quasi legislative, Section</w:t>
      </w:r>
      <w:r w:rsidR="00AF6371">
        <w:t> </w:t>
      </w:r>
      <w:r>
        <w:t xml:space="preserve">1757, and the case law that has interpreted Section 1757, provide a helpful guide for determining if a ruling in a quasi-legislative proceeding should be reversed. </w:t>
      </w:r>
      <w:r w:rsidR="00AF6371">
        <w:t xml:space="preserve"> </w:t>
      </w:r>
      <w:r>
        <w:t xml:space="preserve">In fact, Lyft references some of these reviewing standards in challenging the </w:t>
      </w:r>
      <w:r w:rsidRPr="00233F46">
        <w:rPr>
          <w:i/>
          <w:iCs/>
        </w:rPr>
        <w:t>Ruling</w:t>
      </w:r>
      <w:r>
        <w:t xml:space="preserve"> in this </w:t>
      </w:r>
      <w:r w:rsidRPr="00233F46">
        <w:rPr>
          <w:i/>
          <w:iCs/>
        </w:rPr>
        <w:t>Appeal</w:t>
      </w:r>
      <w:r>
        <w:t xml:space="preserve">, presumably because Lyft </w:t>
      </w:r>
      <w:r w:rsidR="001F50A3">
        <w:t xml:space="preserve">also </w:t>
      </w:r>
      <w:r>
        <w:t>a</w:t>
      </w:r>
      <w:r w:rsidR="00050899">
        <w:t>pparently</w:t>
      </w:r>
      <w:r>
        <w:t xml:space="preserve"> believes Pub. Util. Code § 1757 is the appropriate standard of review.</w:t>
      </w:r>
      <w:r w:rsidR="00AE1DC9">
        <w:t xml:space="preserve"> </w:t>
      </w:r>
      <w:r w:rsidR="00AF6371">
        <w:t xml:space="preserve"> </w:t>
      </w:r>
      <w:r w:rsidR="00AE1DC9">
        <w:t xml:space="preserve">For example, </w:t>
      </w:r>
      <w:r w:rsidR="00D85AC4">
        <w:t xml:space="preserve">in its </w:t>
      </w:r>
      <w:r w:rsidRPr="00D85AC4" w:rsidR="00D85AC4">
        <w:rPr>
          <w:i/>
          <w:iCs/>
        </w:rPr>
        <w:t>Appeal</w:t>
      </w:r>
      <w:r w:rsidR="00D85AC4">
        <w:t xml:space="preserve">, </w:t>
      </w:r>
      <w:r w:rsidR="00AE1DC9">
        <w:t>Lyft invokes</w:t>
      </w:r>
      <w:r w:rsidR="00050899">
        <w:t xml:space="preserve">, by inference, </w:t>
      </w:r>
      <w:r w:rsidR="00AE1DC9">
        <w:t xml:space="preserve">Pub. Util. Code § 1757(a)(3) and (4) when </w:t>
      </w:r>
      <w:r w:rsidR="00050899">
        <w:t>Lyft</w:t>
      </w:r>
      <w:r w:rsidR="00AE1DC9">
        <w:t xml:space="preserve"> claim</w:t>
      </w:r>
      <w:r w:rsidR="00D85AC4">
        <w:t>s</w:t>
      </w:r>
      <w:r w:rsidR="00AE1DC9">
        <w:t xml:space="preserve"> the </w:t>
      </w:r>
      <w:r w:rsidR="0028390F">
        <w:t xml:space="preserve">assigned </w:t>
      </w:r>
      <w:r w:rsidR="00AE1DC9">
        <w:t xml:space="preserve">ALJ committed reversible error by failing to consider evidence </w:t>
      </w:r>
      <w:r w:rsidR="00FD44CF">
        <w:t xml:space="preserve">that Lyft contends </w:t>
      </w:r>
      <w:r w:rsidR="00AE1DC9">
        <w:t>establish</w:t>
      </w:r>
      <w:r w:rsidR="00FD44CF">
        <w:t>ed</w:t>
      </w:r>
      <w:r w:rsidR="00050899">
        <w:t xml:space="preserve"> that Lyft’s trip</w:t>
      </w:r>
      <w:r w:rsidR="00FD44CF">
        <w:t xml:space="preserve"> data</w:t>
      </w:r>
      <w:r w:rsidR="00A73946">
        <w:t xml:space="preserve"> </w:t>
      </w:r>
      <w:r w:rsidR="00050899">
        <w:t>qualifies as a trade secret;</w:t>
      </w:r>
      <w:r w:rsidR="00050899">
        <w:rPr>
          <w:rStyle w:val="FootnoteReference"/>
        </w:rPr>
        <w:footnoteReference w:id="46"/>
      </w:r>
      <w:r w:rsidR="00050899">
        <w:t xml:space="preserve"> when Lyft claim</w:t>
      </w:r>
      <w:r w:rsidR="00D85AC4">
        <w:t>s</w:t>
      </w:r>
      <w:r w:rsidR="00050899">
        <w:t xml:space="preserve"> that the </w:t>
      </w:r>
      <w:r w:rsidR="00991389">
        <w:t xml:space="preserve">assigned </w:t>
      </w:r>
      <w:r w:rsidR="00050899">
        <w:t>ALJ erroneously questioned if the trade secret privileges even applied to portion of the content of the Annual Reports;</w:t>
      </w:r>
      <w:r w:rsidR="00050899">
        <w:rPr>
          <w:rStyle w:val="FootnoteReference"/>
        </w:rPr>
        <w:footnoteReference w:id="47"/>
      </w:r>
      <w:r w:rsidR="00050899">
        <w:t xml:space="preserve"> when Lyft claim</w:t>
      </w:r>
      <w:r w:rsidR="00D85AC4">
        <w:t>s</w:t>
      </w:r>
      <w:r w:rsidR="00050899">
        <w:t xml:space="preserve"> the ALJ erred in concluding that Lyft’s </w:t>
      </w:r>
      <w:r w:rsidR="00050899">
        <w:lastRenderedPageBreak/>
        <w:t>alleged trade secret data should be disclosed because it does not itself reveal Lyft’s business strategies;</w:t>
      </w:r>
      <w:r w:rsidR="00050899">
        <w:rPr>
          <w:rStyle w:val="FootnoteReference"/>
        </w:rPr>
        <w:footnoteReference w:id="48"/>
      </w:r>
      <w:r w:rsidR="00050899">
        <w:t xml:space="preserve"> and when Lyft claim</w:t>
      </w:r>
      <w:r w:rsidR="00D85AC4">
        <w:t>s</w:t>
      </w:r>
      <w:r w:rsidR="00050899">
        <w:t xml:space="preserve"> that the ALJ erred in failing to adequately consider the alleged privacy implication</w:t>
      </w:r>
      <w:r w:rsidR="00D85AC4">
        <w:t>s by ordering the public disclosure of trip data.</w:t>
      </w:r>
      <w:r w:rsidR="00D85AC4">
        <w:rPr>
          <w:rStyle w:val="FootnoteReference"/>
        </w:rPr>
        <w:footnoteReference w:id="49"/>
      </w:r>
      <w:r w:rsidR="00D85AC4">
        <w:t xml:space="preserve"> </w:t>
      </w:r>
      <w:r w:rsidR="00AF6371">
        <w:t xml:space="preserve"> </w:t>
      </w:r>
      <w:r w:rsidR="00D85AC4">
        <w:t xml:space="preserve">As such, it will be necessary for the Commission to </w:t>
      </w:r>
      <w:r w:rsidR="00A73946">
        <w:t>summarize</w:t>
      </w:r>
      <w:r w:rsidR="00D85AC4">
        <w:t xml:space="preserve"> the guidelines that the California Supreme Court and Court of Appeal </w:t>
      </w:r>
      <w:r w:rsidR="00A73946">
        <w:t>have developed to help determine if a Commission decision, order, or ALJ ruling has run afoul of Pub. Util. Code §</w:t>
      </w:r>
      <w:r w:rsidR="00067C89">
        <w:t> </w:t>
      </w:r>
      <w:r w:rsidR="00A73946">
        <w:t>1757.</w:t>
      </w:r>
    </w:p>
    <w:p w:rsidR="00C92A4C" w:rsidP="00233F46" w:rsidRDefault="00D4632A" w14:paraId="12420220" w14:textId="0A1B33DB">
      <w:pPr>
        <w:pStyle w:val="Standard"/>
      </w:pPr>
      <w:r>
        <w:t xml:space="preserve">In </w:t>
      </w:r>
      <w:r w:rsidRPr="00D4632A">
        <w:rPr>
          <w:i/>
          <w:iCs/>
        </w:rPr>
        <w:t>Pacific Gas and Electric Co. v. Public Utilities Commission</w:t>
      </w:r>
      <w:r>
        <w:t xml:space="preserve"> (2015) 237 Cal.App.4</w:t>
      </w:r>
      <w:r w:rsidRPr="00D4632A">
        <w:rPr>
          <w:vertAlign w:val="superscript"/>
        </w:rPr>
        <w:t>th</w:t>
      </w:r>
      <w:r>
        <w:t xml:space="preserve"> 812, 838, the Court provided the following guidance for applying the foregoing review standards</w:t>
      </w:r>
      <w:r w:rsidR="00050899">
        <w:t xml:space="preserve"> when a claim of reversible error is made pursuant to Pub. Util. Code § 1757</w:t>
      </w:r>
      <w:r>
        <w:t xml:space="preserve">: </w:t>
      </w:r>
      <w:r w:rsidR="00780201">
        <w:t xml:space="preserve"> </w:t>
      </w:r>
      <w:r>
        <w:t>first, where “the validity of any order or decision is challenged on the ground that it violates any right of petitioner under the United</w:t>
      </w:r>
      <w:r w:rsidR="00780201">
        <w:t> </w:t>
      </w:r>
      <w:r>
        <w:t xml:space="preserve">States Constitution or the California Constitution, the Supreme Court or court of appeal shall exercise independent judgment on the law and the facts, and the findings or conclusions of the commission material to the determination of the constitutional question shall not be final.” </w:t>
      </w:r>
    </w:p>
    <w:p w:rsidR="00D4632A" w:rsidP="00233F46" w:rsidRDefault="00D4632A" w14:paraId="39DDBE23" w14:textId="0ADCF5F7">
      <w:pPr>
        <w:pStyle w:val="Standard"/>
      </w:pPr>
      <w:r>
        <w:t xml:space="preserve">Second, where no constitutional issue is presented, a Commission decision “has the same standing as a judgement of the superior court: </w:t>
      </w:r>
      <w:r w:rsidR="00780201">
        <w:t xml:space="preserve"> </w:t>
      </w:r>
      <w:r>
        <w:t>it is presumed correct, and any party challenging the decision has the burden of proving that it suffers from prejudicial error.”</w:t>
      </w:r>
      <w:r>
        <w:rPr>
          <w:rStyle w:val="FootnoteReference"/>
        </w:rPr>
        <w:footnoteReference w:id="50"/>
      </w:r>
      <w:r w:rsidR="001A58A9">
        <w:t xml:space="preserve"> </w:t>
      </w:r>
      <w:r w:rsidR="00780201">
        <w:t xml:space="preserve"> </w:t>
      </w:r>
      <w:r w:rsidR="001A58A9">
        <w:t xml:space="preserve">In </w:t>
      </w:r>
      <w:r w:rsidRPr="001A58A9" w:rsidR="001A58A9">
        <w:rPr>
          <w:i/>
          <w:iCs/>
        </w:rPr>
        <w:t>Greyhound Lines, Inc. v. Public Utilities Commission</w:t>
      </w:r>
      <w:r w:rsidR="001A58A9">
        <w:t xml:space="preserve"> (1968) 68 Cal.2d 406, 410, the California Supreme Court </w:t>
      </w:r>
      <w:r w:rsidR="001A58A9">
        <w:lastRenderedPageBreak/>
        <w:t>acknowledged that “there is a strong presumption of validity of the commission’s decisions</w:t>
      </w:r>
      <w:r w:rsidR="001F50A3">
        <w:t>.</w:t>
      </w:r>
      <w:r w:rsidR="001A58A9">
        <w:t xml:space="preserve">” </w:t>
      </w:r>
      <w:r w:rsidR="001F50A3">
        <w:t>A</w:t>
      </w:r>
      <w:r w:rsidR="001A58A9">
        <w:t xml:space="preserve">nd in </w:t>
      </w:r>
      <w:r w:rsidRPr="001A58A9" w:rsidR="001A58A9">
        <w:rPr>
          <w:i/>
          <w:iCs/>
        </w:rPr>
        <w:t>Pacific Tel. &amp; Tel. Co v. Public Utilities Commission</w:t>
      </w:r>
      <w:r w:rsidR="001A58A9">
        <w:t xml:space="preserve"> (1965) 62 Cal.2d 634, 647, the California Supreme Court emphasized the “strong presumption of the correctness of the findings…of the commission, which may choose its own criteria or method of arriving at its decision.”</w:t>
      </w:r>
      <w:r w:rsidR="00233F46">
        <w:t xml:space="preserve"> </w:t>
      </w:r>
      <w:r w:rsidR="00780201">
        <w:t xml:space="preserve"> </w:t>
      </w:r>
      <w:r w:rsidR="00233F46">
        <w:t xml:space="preserve">Because of this presumption, judicial reweighing of evidence and testimony is ordinarily not permitted. </w:t>
      </w:r>
      <w:r w:rsidR="00780201">
        <w:t xml:space="preserve"> </w:t>
      </w:r>
      <w:r w:rsidR="00233F46">
        <w:t>(</w:t>
      </w:r>
      <w:r w:rsidRPr="00D4632A" w:rsidR="00C92A4C">
        <w:rPr>
          <w:i/>
          <w:iCs/>
        </w:rPr>
        <w:t>Pacific Gas and Electric Co. v. Public Utilities Commission</w:t>
      </w:r>
      <w:r w:rsidR="00C92A4C">
        <w:rPr>
          <w:i/>
          <w:iCs/>
        </w:rPr>
        <w:t>, supra,</w:t>
      </w:r>
      <w:r w:rsidR="00C92A4C">
        <w:t xml:space="preserve"> </w:t>
      </w:r>
      <w:r w:rsidR="00233F46">
        <w:t>237 Cal.App.4</w:t>
      </w:r>
      <w:r w:rsidRPr="00233F46" w:rsidR="00233F46">
        <w:rPr>
          <w:vertAlign w:val="superscript"/>
        </w:rPr>
        <w:t>th</w:t>
      </w:r>
      <w:r w:rsidR="00233F46">
        <w:t>, at 838</w:t>
      </w:r>
      <w:r w:rsidR="00C92A4C">
        <w:t xml:space="preserve">.) </w:t>
      </w:r>
      <w:r w:rsidR="00780201">
        <w:t xml:space="preserve"> </w:t>
      </w:r>
      <w:r w:rsidR="00C92A4C">
        <w:t>Instead, “when conflicting evidence is presented from which conflicting inferences can be drawn, the commission’s findings are final.” (</w:t>
      </w:r>
      <w:r w:rsidRPr="00C92A4C" w:rsidR="00C92A4C">
        <w:rPr>
          <w:i/>
          <w:iCs/>
        </w:rPr>
        <w:t>Toward Utility Rate Normalization v. Public Utilities Commission</w:t>
      </w:r>
      <w:r w:rsidR="00C92A4C">
        <w:t xml:space="preserve">, </w:t>
      </w:r>
      <w:r w:rsidRPr="00C92A4C" w:rsidR="00C92A4C">
        <w:rPr>
          <w:i/>
          <w:iCs/>
        </w:rPr>
        <w:t>supra</w:t>
      </w:r>
      <w:r w:rsidR="00C92A4C">
        <w:t xml:space="preserve">, 22 Cal.3d </w:t>
      </w:r>
      <w:r w:rsidRPr="004C2C85" w:rsidR="00367BCD">
        <w:t>at</w:t>
      </w:r>
      <w:r w:rsidRPr="004C2C85" w:rsidR="00364B4C">
        <w:t> </w:t>
      </w:r>
      <w:r w:rsidRPr="004C2C85" w:rsidR="00C92A4C">
        <w:t>538.)</w:t>
      </w:r>
      <w:r w:rsidR="00C92A4C">
        <w:t xml:space="preserve"> </w:t>
      </w:r>
      <w:r w:rsidR="00780201">
        <w:t xml:space="preserve"> </w:t>
      </w:r>
      <w:r w:rsidR="00C92A4C">
        <w:t>To overturn a Commission finding for allegedly lacking the support of substantial evidence, “the challenging party must demonstrate that based on the evidence before the Commission, a reasonable person could not reach the same conclusion.”</w:t>
      </w:r>
      <w:r w:rsidRPr="00C92A4C" w:rsidR="00C92A4C">
        <w:t xml:space="preserve"> </w:t>
      </w:r>
      <w:r w:rsidR="00780201">
        <w:t xml:space="preserve"> </w:t>
      </w:r>
      <w:r w:rsidR="00C92A4C">
        <w:t>(</w:t>
      </w:r>
      <w:r w:rsidRPr="00D4632A" w:rsidR="00C92A4C">
        <w:rPr>
          <w:i/>
          <w:iCs/>
        </w:rPr>
        <w:t>Pacific Gas and Electric Co. v. Public Utilities Commission</w:t>
      </w:r>
      <w:r w:rsidR="00C92A4C">
        <w:rPr>
          <w:i/>
          <w:iCs/>
        </w:rPr>
        <w:t>, supra,</w:t>
      </w:r>
      <w:r w:rsidR="00C92A4C">
        <w:t xml:space="preserve"> 237 Cal.App.4</w:t>
      </w:r>
      <w:r w:rsidRPr="00233F46" w:rsidR="00C92A4C">
        <w:rPr>
          <w:vertAlign w:val="superscript"/>
        </w:rPr>
        <w:t>th</w:t>
      </w:r>
      <w:r w:rsidR="00C92A4C">
        <w:t>, at 839.)</w:t>
      </w:r>
      <w:r w:rsidR="00411AFB">
        <w:t xml:space="preserve"> </w:t>
      </w:r>
      <w:r w:rsidR="001F50A3">
        <w:t>I</w:t>
      </w:r>
      <w:r w:rsidR="00411AFB">
        <w:t xml:space="preserve">n other words, factual findings “are not open to attack for insufficiency if they are supported by any reasonable construction of the evidence.” </w:t>
      </w:r>
      <w:r w:rsidR="00780201">
        <w:t xml:space="preserve"> </w:t>
      </w:r>
      <w:r w:rsidR="00411AFB">
        <w:t>(</w:t>
      </w:r>
      <w:r w:rsidRPr="00C92A4C" w:rsidR="00411AFB">
        <w:rPr>
          <w:i/>
          <w:iCs/>
        </w:rPr>
        <w:t>Toward Utility Rate Normalization v. Public Utilities Commission</w:t>
      </w:r>
      <w:r w:rsidR="00411AFB">
        <w:t xml:space="preserve">, </w:t>
      </w:r>
      <w:r w:rsidRPr="00C92A4C" w:rsidR="00411AFB">
        <w:rPr>
          <w:i/>
          <w:iCs/>
        </w:rPr>
        <w:t>supra</w:t>
      </w:r>
      <w:r w:rsidR="00411AFB">
        <w:t xml:space="preserve">, 22 Cal.3d </w:t>
      </w:r>
      <w:r w:rsidR="00367BCD">
        <w:t>at</w:t>
      </w:r>
      <w:r w:rsidR="00411AFB">
        <w:t xml:space="preserve"> 537</w:t>
      </w:r>
      <w:r w:rsidR="00367BCD">
        <w:t>.</w:t>
      </w:r>
      <w:r w:rsidR="00411AFB">
        <w:t>)</w:t>
      </w:r>
    </w:p>
    <w:p w:rsidR="005939A5" w:rsidP="00A44E8D" w:rsidRDefault="00C92A4C" w14:paraId="0CA55CED" w14:textId="6F446C9B">
      <w:pPr>
        <w:pStyle w:val="Standard"/>
      </w:pPr>
      <w:r>
        <w:t xml:space="preserve">Third, </w:t>
      </w:r>
      <w:r w:rsidR="002C27F5">
        <w:t xml:space="preserve">a reviewing court accords the Commission special respect as a constitutional entity tasked with interpreting and applying the Public Utilities Code and its own regulations. </w:t>
      </w:r>
      <w:r w:rsidR="00780201">
        <w:t xml:space="preserve"> </w:t>
      </w:r>
      <w:r w:rsidR="002C27F5">
        <w:t>(</w:t>
      </w:r>
      <w:r w:rsidRPr="00D4632A" w:rsidR="002C27F5">
        <w:rPr>
          <w:i/>
          <w:iCs/>
        </w:rPr>
        <w:t>Pacific Gas and Electric Co. v. Public Utilities Commission</w:t>
      </w:r>
      <w:r w:rsidR="002C27F5">
        <w:rPr>
          <w:i/>
          <w:iCs/>
        </w:rPr>
        <w:t>, supra,</w:t>
      </w:r>
      <w:r w:rsidR="002C27F5">
        <w:t xml:space="preserve"> 237 Cal.App.4</w:t>
      </w:r>
      <w:r w:rsidRPr="00233F46" w:rsidR="002C27F5">
        <w:rPr>
          <w:vertAlign w:val="superscript"/>
        </w:rPr>
        <w:t>th</w:t>
      </w:r>
      <w:r w:rsidR="002C27F5">
        <w:t xml:space="preserve">, at 839.) </w:t>
      </w:r>
      <w:r w:rsidR="00780201">
        <w:t xml:space="preserve"> </w:t>
      </w:r>
      <w:r w:rsidR="002C27F5">
        <w:t>“The deference may, if anything</w:t>
      </w:r>
      <w:r w:rsidR="001F50A3">
        <w:t>,</w:t>
      </w:r>
      <w:r w:rsidR="002C27F5">
        <w:t xml:space="preserve"> be even greater with regulations promulgated by the agency. </w:t>
      </w:r>
      <w:r w:rsidR="00780201">
        <w:t xml:space="preserve"> </w:t>
      </w:r>
      <w:r w:rsidR="002C27F5">
        <w:t xml:space="preserve">The Commission’s interpretation of </w:t>
      </w:r>
      <w:r w:rsidR="005D3BFA">
        <w:t>its</w:t>
      </w:r>
      <w:r w:rsidR="002C27F5">
        <w:t xml:space="preserve"> own regulations and decisions is entitled to consideration and respect by the courts.” </w:t>
      </w:r>
      <w:r w:rsidR="00780201">
        <w:t xml:space="preserve"> </w:t>
      </w:r>
      <w:r w:rsidR="002C27F5">
        <w:t>(</w:t>
      </w:r>
      <w:r w:rsidRPr="002C27F5" w:rsidR="002C27F5">
        <w:rPr>
          <w:i/>
          <w:iCs/>
        </w:rPr>
        <w:t>Id. See also The Utility Reform Network v. Public Utilities Commission</w:t>
      </w:r>
      <w:r w:rsidR="00106B97">
        <w:rPr>
          <w:i/>
          <w:iCs/>
        </w:rPr>
        <w:t xml:space="preserve"> </w:t>
      </w:r>
      <w:r w:rsidR="00106B97">
        <w:t xml:space="preserve">(2014) </w:t>
      </w:r>
      <w:r w:rsidR="002C27F5">
        <w:t>223 Cal.App.4</w:t>
      </w:r>
      <w:r w:rsidRPr="002C27F5" w:rsidR="002C27F5">
        <w:rPr>
          <w:vertAlign w:val="superscript"/>
        </w:rPr>
        <w:t>th</w:t>
      </w:r>
      <w:r w:rsidR="002C27F5">
        <w:t xml:space="preserve"> 945, 958 [“The Commission’s </w:t>
      </w:r>
      <w:r w:rsidR="002C27F5">
        <w:lastRenderedPageBreak/>
        <w:t xml:space="preserve">interpretation of its own rules and regulations is entitled to consideration and respect by the courts.”].) </w:t>
      </w:r>
      <w:r w:rsidR="00780201">
        <w:t xml:space="preserve"> </w:t>
      </w:r>
      <w:r w:rsidR="002C27F5">
        <w:t xml:space="preserve">As the </w:t>
      </w:r>
      <w:r w:rsidRPr="005E7D41" w:rsidR="002C27F5">
        <w:rPr>
          <w:i/>
          <w:iCs/>
        </w:rPr>
        <w:t>Ruling</w:t>
      </w:r>
      <w:r w:rsidR="002C27F5">
        <w:t xml:space="preserve"> Lyft is challenging has interpreted and applied the rules</w:t>
      </w:r>
      <w:r w:rsidR="005E7D41">
        <w:t xml:space="preserve"> the Commission adopted in D.20-03-014 and D.16-01-014 for TNCs such as Lyft to satisfy to carry their burden of proving a claim of privilege, confidentiality, or trade secret protection, the </w:t>
      </w:r>
      <w:r w:rsidRPr="005E7D41" w:rsidR="005E7D41">
        <w:rPr>
          <w:i/>
          <w:iCs/>
        </w:rPr>
        <w:t>Ruling</w:t>
      </w:r>
      <w:r w:rsidR="005E7D41">
        <w:t xml:space="preserve"> is entitled to special respect and deference equal to that accorded to a Commission decision or order.</w:t>
      </w:r>
    </w:p>
    <w:p w:rsidR="005939A5" w:rsidP="005939A5" w:rsidRDefault="00EE2743" w14:paraId="3EEAAC91" w14:textId="767D6F62">
      <w:pPr>
        <w:pStyle w:val="Heading1"/>
      </w:pPr>
      <w:bookmarkStart w:name="_Toc8123720" w:id="43"/>
      <w:bookmarkStart w:name="_Toc82193574" w:id="44"/>
      <w:bookmarkStart w:name="_Toc94682537" w:id="45"/>
      <w:bookmarkStart w:name="_Toc102479666" w:id="46"/>
      <w:r>
        <w:t>Lyft Failed to Meet its Burden of Proving that the Trip Data in Dispute is Protected from Public Disclosure by the Trade Secret Privilege</w:t>
      </w:r>
      <w:bookmarkEnd w:id="43"/>
      <w:bookmarkEnd w:id="44"/>
      <w:bookmarkEnd w:id="45"/>
      <w:bookmarkEnd w:id="46"/>
      <w:r w:rsidR="00E75BF8">
        <w:t xml:space="preserve"> </w:t>
      </w:r>
    </w:p>
    <w:p w:rsidRPr="00817D41" w:rsidR="008F35E2" w:rsidP="008F35E2" w:rsidRDefault="008F35E2" w14:paraId="44927B8F" w14:textId="77777777">
      <w:pPr>
        <w:pStyle w:val="standard0"/>
        <w:rPr>
          <w:rFonts w:ascii="Book Antiqua" w:hAnsi="Book Antiqua"/>
        </w:rPr>
      </w:pPr>
      <w:r w:rsidRPr="00817D41">
        <w:rPr>
          <w:rFonts w:ascii="Book Antiqua" w:hAnsi="Book Antiqua"/>
        </w:rPr>
        <w:t xml:space="preserve">In 1984, California adopted, without significant change, the Uniform Trade Secrets ACT (UTSA).  (Civil Code §§ 3426 through 3426.11.  </w:t>
      </w:r>
      <w:r w:rsidRPr="00817D41">
        <w:rPr>
          <w:rFonts w:ascii="Book Antiqua" w:hAnsi="Book Antiqua"/>
          <w:i/>
        </w:rPr>
        <w:t>DVD Copy Control Assn., Inc. v. Bunner (2003 ) 31 Cal. 4</w:t>
      </w:r>
      <w:r w:rsidRPr="00817D41">
        <w:rPr>
          <w:rFonts w:ascii="Book Antiqua" w:hAnsi="Book Antiqua"/>
          <w:i/>
          <w:vertAlign w:val="superscript"/>
        </w:rPr>
        <w:t>th</w:t>
      </w:r>
      <w:r w:rsidRPr="00817D41">
        <w:rPr>
          <w:rFonts w:ascii="Book Antiqua" w:hAnsi="Book Antiqua"/>
          <w:i/>
        </w:rPr>
        <w:t xml:space="preserve"> 864, 874</w:t>
      </w:r>
      <w:r w:rsidRPr="00817D41">
        <w:rPr>
          <w:rFonts w:ascii="Book Antiqua" w:hAnsi="Book Antiqua"/>
        </w:rPr>
        <w:t xml:space="preserve">; </w:t>
      </w:r>
      <w:r w:rsidRPr="00817D41">
        <w:rPr>
          <w:rFonts w:ascii="Book Antiqua" w:hAnsi="Book Antiqua"/>
          <w:i/>
        </w:rPr>
        <w:t>Cadence Design Systems, Inc. v. Avant! Corp</w:t>
      </w:r>
      <w:r w:rsidRPr="00817D41">
        <w:rPr>
          <w:rFonts w:ascii="Book Antiqua" w:hAnsi="Book Antiqua"/>
        </w:rPr>
        <w:t>. (2002) 29 Cal.4</w:t>
      </w:r>
      <w:r w:rsidRPr="00817D41">
        <w:rPr>
          <w:rFonts w:ascii="Book Antiqua" w:hAnsi="Book Antiqua"/>
          <w:vertAlign w:val="superscript"/>
        </w:rPr>
        <w:t>th</w:t>
      </w:r>
      <w:r w:rsidRPr="00817D41">
        <w:rPr>
          <w:rFonts w:ascii="Book Antiqua" w:hAnsi="Book Antiqua"/>
        </w:rPr>
        <w:t xml:space="preserve"> 215, 221.)  A trade secret has three basic elements:</w:t>
      </w:r>
    </w:p>
    <w:p w:rsidRPr="00780201" w:rsidR="008F35E2" w:rsidP="00DB0DFE" w:rsidRDefault="008F35E2" w14:paraId="429AE555" w14:textId="77777777">
      <w:pPr>
        <w:pStyle w:val="ListParagraph"/>
        <w:numPr>
          <w:ilvl w:val="0"/>
          <w:numId w:val="10"/>
        </w:numPr>
        <w:spacing w:after="120" w:line="240" w:lineRule="auto"/>
        <w:ind w:left="1080" w:right="1440"/>
        <w:contextualSpacing w:val="0"/>
        <w:rPr>
          <w:rFonts w:eastAsia="Times New Roman"/>
          <w:szCs w:val="20"/>
        </w:rPr>
      </w:pPr>
      <w:r w:rsidRPr="00780201">
        <w:rPr>
          <w:rFonts w:eastAsia="Times New Roman"/>
          <w:szCs w:val="20"/>
        </w:rPr>
        <w:t>Information such as a formula, pattern, compilation, program, device, method, technique, or process;</w:t>
      </w:r>
    </w:p>
    <w:p w:rsidRPr="00780201" w:rsidR="008F35E2" w:rsidP="00DB0DFE" w:rsidRDefault="008F35E2" w14:paraId="4B5CB330" w14:textId="77777777">
      <w:pPr>
        <w:pStyle w:val="ListParagraph"/>
        <w:numPr>
          <w:ilvl w:val="0"/>
          <w:numId w:val="10"/>
        </w:numPr>
        <w:spacing w:after="120" w:line="240" w:lineRule="auto"/>
        <w:ind w:left="1080" w:right="1440"/>
        <w:contextualSpacing w:val="0"/>
        <w:rPr>
          <w:rFonts w:eastAsia="Times New Roman"/>
          <w:szCs w:val="20"/>
        </w:rPr>
      </w:pPr>
      <w:r w:rsidRPr="00780201">
        <w:rPr>
          <w:rFonts w:eastAsia="Times New Roman"/>
          <w:szCs w:val="20"/>
        </w:rPr>
        <w:t>That derives independent economic value (actual or potential) from not being generally known to the public or to other persons who can obtain economic value; and</w:t>
      </w:r>
    </w:p>
    <w:p w:rsidRPr="00780201" w:rsidR="00B008B0" w:rsidP="00DB0DFE" w:rsidRDefault="008F35E2" w14:paraId="5FD3324F" w14:textId="354BDE17">
      <w:pPr>
        <w:pStyle w:val="ListParagraph"/>
        <w:numPr>
          <w:ilvl w:val="0"/>
          <w:numId w:val="10"/>
        </w:numPr>
        <w:spacing w:after="120" w:line="240" w:lineRule="auto"/>
        <w:ind w:left="1080" w:right="1440"/>
        <w:contextualSpacing w:val="0"/>
        <w:rPr>
          <w:rFonts w:eastAsia="Times New Roman"/>
          <w:szCs w:val="20"/>
        </w:rPr>
      </w:pPr>
      <w:r w:rsidRPr="00780201">
        <w:rPr>
          <w:rFonts w:eastAsia="Times New Roman"/>
          <w:szCs w:val="20"/>
        </w:rPr>
        <w:t>Is the subject of efforts that are reasonable under the circumstances to maintain its secrecy.</w:t>
      </w:r>
    </w:p>
    <w:p w:rsidRPr="00B008B0" w:rsidR="00B008B0" w:rsidP="00067C89" w:rsidRDefault="00B008B0" w14:paraId="18EF1884" w14:textId="0496B346">
      <w:pPr>
        <w:ind w:right="720" w:firstLine="0"/>
        <w:rPr>
          <w:rFonts w:eastAsia="Times New Roman"/>
          <w:szCs w:val="20"/>
        </w:rPr>
      </w:pPr>
      <w:r w:rsidRPr="00B008B0">
        <w:rPr>
          <w:rFonts w:eastAsia="Times New Roman"/>
          <w:szCs w:val="20"/>
        </w:rPr>
        <w:t xml:space="preserve">In </w:t>
      </w:r>
      <w:r w:rsidRPr="00106B97">
        <w:rPr>
          <w:rFonts w:eastAsia="Times New Roman"/>
          <w:i/>
          <w:iCs/>
          <w:szCs w:val="20"/>
        </w:rPr>
        <w:t>KC Multimedia, Inc. v. Bank of America Technology &amp; Operations, Inc</w:t>
      </w:r>
      <w:r w:rsidRPr="00B008B0">
        <w:rPr>
          <w:rFonts w:eastAsia="Times New Roman"/>
          <w:szCs w:val="20"/>
        </w:rPr>
        <w:t>. (2009) 171 Cal.App.4</w:t>
      </w:r>
      <w:r w:rsidRPr="00B008B0">
        <w:rPr>
          <w:rFonts w:eastAsia="Times New Roman"/>
          <w:szCs w:val="20"/>
          <w:vertAlign w:val="superscript"/>
        </w:rPr>
        <w:t>th</w:t>
      </w:r>
      <w:r w:rsidRPr="00B008B0">
        <w:rPr>
          <w:rFonts w:eastAsia="Times New Roman"/>
          <w:szCs w:val="20"/>
        </w:rPr>
        <w:t xml:space="preserve"> 939, 955, the Court explained that the C</w:t>
      </w:r>
      <w:r w:rsidR="001F50A3">
        <w:rPr>
          <w:rFonts w:eastAsia="Times New Roman"/>
          <w:szCs w:val="20"/>
        </w:rPr>
        <w:t xml:space="preserve">alifornia </w:t>
      </w:r>
      <w:r w:rsidRPr="00B008B0">
        <w:rPr>
          <w:rFonts w:eastAsia="Times New Roman"/>
          <w:szCs w:val="20"/>
        </w:rPr>
        <w:t xml:space="preserve">UTSA </w:t>
      </w:r>
      <w:r w:rsidR="001F50A3">
        <w:rPr>
          <w:rFonts w:eastAsia="Times New Roman"/>
          <w:szCs w:val="20"/>
        </w:rPr>
        <w:t xml:space="preserve">(CUTSA) </w:t>
      </w:r>
      <w:r w:rsidRPr="00B008B0">
        <w:rPr>
          <w:rFonts w:eastAsia="Times New Roman"/>
          <w:szCs w:val="20"/>
        </w:rPr>
        <w:t>provides the exclusive remedy for a claimant seeking redress for a trade secret violation:</w:t>
      </w:r>
    </w:p>
    <w:p w:rsidRPr="004C2C85" w:rsidR="00B008B0" w:rsidP="00817D41" w:rsidRDefault="00B008B0" w14:paraId="6FDDBADB" w14:textId="3BA9A2C3">
      <w:pPr>
        <w:spacing w:after="120" w:line="240" w:lineRule="auto"/>
        <w:ind w:left="720" w:right="1440" w:firstLine="0"/>
        <w:rPr>
          <w:rFonts w:eastAsia="Times New Roman"/>
          <w:szCs w:val="20"/>
        </w:rPr>
      </w:pPr>
      <w:r w:rsidRPr="00B008B0">
        <w:rPr>
          <w:rFonts w:eastAsia="Times New Roman"/>
          <w:szCs w:val="20"/>
        </w:rPr>
        <w:t>CUTSA has been characterized as having a "comprehensive structure and breadth . . . ." (</w:t>
      </w:r>
      <w:r w:rsidRPr="00B008B0">
        <w:rPr>
          <w:rFonts w:eastAsia="Times New Roman"/>
          <w:i/>
          <w:iCs/>
          <w:szCs w:val="20"/>
        </w:rPr>
        <w:t>AccuImage Diagnostics Corp. v. Terarecon, Inc.</w:t>
      </w:r>
      <w:r w:rsidRPr="00B008B0">
        <w:rPr>
          <w:rFonts w:eastAsia="Times New Roman"/>
          <w:szCs w:val="20"/>
        </w:rPr>
        <w:t> (N.D.Cal. 2003) </w:t>
      </w:r>
      <w:hyperlink w:history="1" r:id="rId15">
        <w:r w:rsidRPr="00B008B0">
          <w:rPr>
            <w:rStyle w:val="Hyperlink"/>
            <w:rFonts w:eastAsia="Times New Roman"/>
            <w:szCs w:val="20"/>
          </w:rPr>
          <w:t>260 F.Supp.2d 941</w:t>
        </w:r>
      </w:hyperlink>
      <w:r w:rsidRPr="00B008B0">
        <w:rPr>
          <w:rFonts w:eastAsia="Times New Roman"/>
          <w:szCs w:val="20"/>
        </w:rPr>
        <w:t xml:space="preserve">, 953.)  Here, the eleven provisions of the UTSA set forth: the definition of `misappropriation' and `trade secret,' injunctive relief for actual or threatened misappropriation, damages, attorney </w:t>
      </w:r>
      <w:r w:rsidRPr="00B008B0">
        <w:rPr>
          <w:rFonts w:eastAsia="Times New Roman"/>
          <w:szCs w:val="20"/>
        </w:rPr>
        <w:lastRenderedPageBreak/>
        <w:t xml:space="preserve">fees, methods for preserving the secrecy of trade secrets, the limitations period, the effect of the title on other statutes or remedies, statutory construction, severability, the application of title to acts occurring prior to the statutory date, and the application of official proceedings privilege to disclosure of trade secret information." </w:t>
      </w:r>
      <w:r w:rsidR="00817D41">
        <w:rPr>
          <w:rFonts w:eastAsia="Times New Roman"/>
          <w:szCs w:val="20"/>
        </w:rPr>
        <w:t xml:space="preserve"> </w:t>
      </w:r>
      <w:r w:rsidRPr="00B008B0">
        <w:rPr>
          <w:rFonts w:eastAsia="Times New Roman"/>
          <w:szCs w:val="20"/>
        </w:rPr>
        <w:t>(</w:t>
      </w:r>
      <w:r w:rsidRPr="00B008B0">
        <w:rPr>
          <w:rFonts w:eastAsia="Times New Roman"/>
          <w:i/>
          <w:iCs/>
          <w:szCs w:val="20"/>
        </w:rPr>
        <w:t>Ibid.</w:t>
      </w:r>
      <w:r w:rsidRPr="00B008B0">
        <w:rPr>
          <w:rFonts w:eastAsia="Times New Roman"/>
          <w:szCs w:val="20"/>
        </w:rPr>
        <w:t xml:space="preserve">) </w:t>
      </w:r>
      <w:r w:rsidR="00817D41">
        <w:rPr>
          <w:rFonts w:eastAsia="Times New Roman"/>
          <w:szCs w:val="20"/>
        </w:rPr>
        <w:t xml:space="preserve"> </w:t>
      </w:r>
      <w:r w:rsidRPr="00B008B0">
        <w:rPr>
          <w:rFonts w:eastAsia="Times New Roman"/>
          <w:szCs w:val="20"/>
        </w:rPr>
        <w:t xml:space="preserve">That breadth suggests a legislative intent to preempt the common law. </w:t>
      </w:r>
      <w:r w:rsidR="00817D41">
        <w:rPr>
          <w:rFonts w:eastAsia="Times New Roman"/>
          <w:szCs w:val="20"/>
        </w:rPr>
        <w:t xml:space="preserve"> </w:t>
      </w:r>
      <w:r w:rsidRPr="00B008B0">
        <w:rPr>
          <w:rFonts w:eastAsia="Times New Roman"/>
          <w:szCs w:val="20"/>
        </w:rPr>
        <w:t>(</w:t>
      </w:r>
      <w:r w:rsidRPr="00B008B0">
        <w:rPr>
          <w:rFonts w:eastAsia="Times New Roman"/>
          <w:i/>
          <w:iCs/>
          <w:szCs w:val="20"/>
        </w:rPr>
        <w:t>Ibid.</w:t>
      </w:r>
      <w:r w:rsidRPr="00B008B0">
        <w:rPr>
          <w:rFonts w:eastAsia="Times New Roman"/>
          <w:szCs w:val="20"/>
        </w:rPr>
        <w:t>; </w:t>
      </w:r>
      <w:r w:rsidRPr="00B008B0">
        <w:rPr>
          <w:rFonts w:eastAsia="Times New Roman"/>
          <w:i/>
          <w:iCs/>
          <w:szCs w:val="20"/>
        </w:rPr>
        <w:t>I. E. Associates v. Safeco Title Ins. Co., supra,</w:t>
      </w:r>
      <w:r w:rsidRPr="00B008B0">
        <w:rPr>
          <w:rFonts w:eastAsia="Times New Roman"/>
          <w:szCs w:val="20"/>
        </w:rPr>
        <w:t xml:space="preserve"> 39 Cal.3d at p. 285.) </w:t>
      </w:r>
      <w:r w:rsidR="00817D41">
        <w:rPr>
          <w:rFonts w:eastAsia="Times New Roman"/>
          <w:szCs w:val="20"/>
        </w:rPr>
        <w:t xml:space="preserve"> </w:t>
      </w:r>
      <w:r w:rsidRPr="00B008B0">
        <w:rPr>
          <w:rFonts w:eastAsia="Times New Roman"/>
          <w:szCs w:val="20"/>
        </w:rPr>
        <w:t xml:space="preserve">At least as to common law trade secret misappropriation claims, "UTSA occupies the field in </w:t>
      </w:r>
      <w:r w:rsidRPr="004C2C85">
        <w:rPr>
          <w:rFonts w:eastAsia="Times New Roman"/>
          <w:szCs w:val="20"/>
        </w:rPr>
        <w:t xml:space="preserve">California." </w:t>
      </w:r>
      <w:r w:rsidRPr="004C2C85" w:rsidR="00780201">
        <w:rPr>
          <w:rFonts w:eastAsia="Times New Roman"/>
          <w:szCs w:val="20"/>
        </w:rPr>
        <w:t xml:space="preserve"> </w:t>
      </w:r>
      <w:r w:rsidRPr="004C2C85">
        <w:rPr>
          <w:rFonts w:eastAsia="Times New Roman"/>
          <w:szCs w:val="20"/>
        </w:rPr>
        <w:t>(</w:t>
      </w:r>
      <w:r w:rsidRPr="004C2C85">
        <w:rPr>
          <w:rFonts w:eastAsia="Times New Roman"/>
          <w:i/>
          <w:iCs/>
          <w:szCs w:val="20"/>
        </w:rPr>
        <w:t>AccuImage Diagnostics Corp. v. Terarecon, Inc.,</w:t>
      </w:r>
      <w:r w:rsidRPr="004C2C85">
        <w:rPr>
          <w:rFonts w:eastAsia="Times New Roman"/>
          <w:szCs w:val="20"/>
        </w:rPr>
        <w:t> at 954.)</w:t>
      </w:r>
    </w:p>
    <w:p w:rsidRPr="004C2C85" w:rsidR="00B008B0" w:rsidP="00067C89" w:rsidRDefault="00B008B0" w14:paraId="5880DEA9" w14:textId="0EB49237">
      <w:pPr>
        <w:ind w:firstLine="0"/>
        <w:rPr>
          <w:rFonts w:eastAsia="Times New Roman"/>
          <w:szCs w:val="20"/>
        </w:rPr>
      </w:pPr>
      <w:r w:rsidRPr="004C2C85">
        <w:rPr>
          <w:rFonts w:eastAsia="Times New Roman"/>
          <w:szCs w:val="20"/>
        </w:rPr>
        <w:t>Thus, if a claimant fails to establish the elements of a trade secret claim under the CTUSA, claimants have no other legal avenues for trade secret redress in common law.</w:t>
      </w:r>
    </w:p>
    <w:p w:rsidRPr="004C2C85" w:rsidR="0047082B" w:rsidP="00067C89" w:rsidRDefault="0047082B" w14:paraId="1220F0D9" w14:textId="36DA824E">
      <w:pPr>
        <w:pStyle w:val="Standard"/>
      </w:pPr>
      <w:r w:rsidRPr="004C2C85">
        <w:t xml:space="preserve">In creating a trade secret protection, courts have distinguished between trade secret information versus other information connected to a business’ operations. </w:t>
      </w:r>
      <w:r w:rsidRPr="004C2C85" w:rsidR="00780201">
        <w:t xml:space="preserve"> </w:t>
      </w:r>
      <w:r w:rsidRPr="004C2C85">
        <w:t xml:space="preserve">In </w:t>
      </w:r>
      <w:r w:rsidRPr="004C2C85">
        <w:rPr>
          <w:i/>
          <w:iCs/>
        </w:rPr>
        <w:t>Cal Francisco Investment Corp. v. Vrionis</w:t>
      </w:r>
      <w:r w:rsidRPr="004C2C85">
        <w:t xml:space="preserve"> (1971) 14 Cal.App.3f 318, 322, the Court explains that distinction:</w:t>
      </w:r>
    </w:p>
    <w:p w:rsidRPr="004C2C85" w:rsidR="0047082B" w:rsidP="00817D41" w:rsidRDefault="0047082B" w14:paraId="06750BCB" w14:textId="33556477">
      <w:pPr>
        <w:spacing w:after="120" w:line="240" w:lineRule="auto"/>
        <w:ind w:left="720" w:right="1440" w:firstLine="0"/>
        <w:rPr>
          <w:rFonts w:eastAsia="Times New Roman"/>
          <w:szCs w:val="20"/>
        </w:rPr>
      </w:pPr>
      <w:r w:rsidRPr="004C2C85">
        <w:rPr>
          <w:rFonts w:eastAsia="Times New Roman"/>
          <w:szCs w:val="20"/>
        </w:rPr>
        <w:t>It [trade secret] differs from other secret information in a business…in that it is not simply information as to single or ephemeral events in the conduct of the business, as, for example, the amount or other terms of a secret bid for a contract or the salary of certain employees, or the security investments made or contemplated, or the date fixed for the announcement of a new policy or for bringing out a new policy or for bringing ou</w:t>
      </w:r>
      <w:r w:rsidR="00D15AA3">
        <w:rPr>
          <w:rFonts w:eastAsia="Times New Roman"/>
          <w:szCs w:val="20"/>
        </w:rPr>
        <w:t>t</w:t>
      </w:r>
      <w:r w:rsidRPr="004C2C85">
        <w:rPr>
          <w:rFonts w:eastAsia="Times New Roman"/>
          <w:szCs w:val="20"/>
        </w:rPr>
        <w:t xml:space="preserve"> a new model or the like. </w:t>
      </w:r>
      <w:r w:rsidRPr="004C2C85" w:rsidR="00364B4C">
        <w:rPr>
          <w:rFonts w:eastAsia="Times New Roman"/>
          <w:szCs w:val="20"/>
        </w:rPr>
        <w:t xml:space="preserve"> </w:t>
      </w:r>
      <w:r w:rsidRPr="004C2C85">
        <w:rPr>
          <w:rFonts w:eastAsia="Times New Roman"/>
          <w:szCs w:val="20"/>
        </w:rPr>
        <w:t xml:space="preserve">A trade secret is a process or device for continuous use in the operation of the business. </w:t>
      </w:r>
    </w:p>
    <w:p w:rsidRPr="00992B0D" w:rsidR="00BC628C" w:rsidP="00B008B0" w:rsidRDefault="00BC628C" w14:paraId="3BCDC140" w14:textId="7A8D924C">
      <w:pPr>
        <w:pStyle w:val="Standard"/>
        <w:ind w:firstLine="0"/>
      </w:pPr>
      <w:r w:rsidRPr="004C2C85">
        <w:t>This distinction is important since trade secrets are generally the products</w:t>
      </w:r>
      <w:r w:rsidRPr="00992B0D">
        <w:t xml:space="preserve"> of the creativity and hard work of the trade secret holder’s efforts to further a business or otherwise reap economic rewards.</w:t>
      </w:r>
      <w:r>
        <w:rPr>
          <w:szCs w:val="26"/>
        </w:rPr>
        <w:t xml:space="preserve"> </w:t>
      </w:r>
      <w:r w:rsidR="00780201">
        <w:rPr>
          <w:szCs w:val="26"/>
        </w:rPr>
        <w:t xml:space="preserve"> </w:t>
      </w:r>
      <w:r>
        <w:rPr>
          <w:szCs w:val="26"/>
        </w:rPr>
        <w:t>(</w:t>
      </w:r>
      <w:r w:rsidRPr="00BC628C">
        <w:rPr>
          <w:i/>
          <w:iCs/>
          <w:szCs w:val="26"/>
        </w:rPr>
        <w:t>Courtesy Temporary Service, Inc. v. Camacho</w:t>
      </w:r>
      <w:r w:rsidRPr="00BC628C">
        <w:rPr>
          <w:szCs w:val="26"/>
        </w:rPr>
        <w:t xml:space="preserve"> (1990) 222 Cal.App.3d 1278, 1287; </w:t>
      </w:r>
      <w:r w:rsidRPr="00BC628C">
        <w:rPr>
          <w:i/>
          <w:iCs/>
          <w:szCs w:val="26"/>
        </w:rPr>
        <w:t xml:space="preserve">American Paper &amp; Packaging Products, Inc. v. </w:t>
      </w:r>
      <w:r w:rsidRPr="00BC628C">
        <w:rPr>
          <w:i/>
          <w:iCs/>
          <w:szCs w:val="26"/>
        </w:rPr>
        <w:lastRenderedPageBreak/>
        <w:t>Kirgan</w:t>
      </w:r>
      <w:r w:rsidRPr="00BC628C">
        <w:rPr>
          <w:szCs w:val="26"/>
        </w:rPr>
        <w:t xml:space="preserve"> (1986) 183 Cal.App.3d 1318, 1326</w:t>
      </w:r>
      <w:r>
        <w:rPr>
          <w:szCs w:val="26"/>
        </w:rPr>
        <w:t>.)</w:t>
      </w:r>
      <w:r w:rsidRPr="00BC628C">
        <w:t xml:space="preserve"> </w:t>
      </w:r>
      <w:r w:rsidR="00780201">
        <w:t xml:space="preserve"> </w:t>
      </w:r>
      <w:r w:rsidRPr="00992B0D">
        <w:t>The idea behind the trade secret privilege is that those who devote time and energy to creating something of value should be protected against the use of such hard won, and economically valuable, information by others who contribute nothing to the creation of the trade secret.</w:t>
      </w:r>
      <w:r w:rsidRPr="00992B0D">
        <w:rPr>
          <w:vertAlign w:val="superscript"/>
        </w:rPr>
        <w:footnoteReference w:id="51"/>
      </w:r>
      <w:bookmarkStart w:name="_Hlk57631603" w:id="47"/>
    </w:p>
    <w:bookmarkEnd w:id="47"/>
    <w:p w:rsidR="00A00873" w:rsidP="00067C89" w:rsidRDefault="00FD44CF" w14:paraId="0F94361C" w14:textId="4A5157C8">
      <w:pPr>
        <w:pStyle w:val="Standard"/>
      </w:pPr>
      <w:r w:rsidRPr="00FD44CF">
        <w:t xml:space="preserve">After setting forth the definition of what constitutes a trade secret, the </w:t>
      </w:r>
      <w:r w:rsidRPr="00FD44CF">
        <w:rPr>
          <w:i/>
          <w:iCs/>
        </w:rPr>
        <w:t>Ruling</w:t>
      </w:r>
      <w:r w:rsidRPr="00FD44CF">
        <w:t xml:space="preserve"> </w:t>
      </w:r>
      <w:r w:rsidR="00A00873">
        <w:t>made the following determination</w:t>
      </w:r>
      <w:r w:rsidR="00E81F03">
        <w:t>s</w:t>
      </w:r>
      <w:r w:rsidR="00A00873">
        <w:t>:</w:t>
      </w:r>
    </w:p>
    <w:p w:rsidR="00FD44CF" w:rsidP="00067C89" w:rsidRDefault="00A00873" w14:paraId="65A109DD" w14:textId="59D4A925">
      <w:pPr>
        <w:pStyle w:val="Standard"/>
      </w:pPr>
      <w:r>
        <w:t xml:space="preserve">First, </w:t>
      </w:r>
      <w:r w:rsidRPr="00FD44CF" w:rsidR="00FD44CF">
        <w:t xml:space="preserve">Uber and Lyft  failed to establish that trip data was entitled to trade secret protection. </w:t>
      </w:r>
      <w:r w:rsidR="00780201">
        <w:t xml:space="preserve"> </w:t>
      </w:r>
      <w:r w:rsidR="00FD44CF">
        <w:t xml:space="preserve">The </w:t>
      </w:r>
      <w:r w:rsidRPr="0036457D" w:rsidR="00FD44CF">
        <w:rPr>
          <w:i/>
          <w:iCs/>
        </w:rPr>
        <w:t>Ruling</w:t>
      </w:r>
      <w:r w:rsidR="00FD44CF">
        <w:t xml:space="preserve"> </w:t>
      </w:r>
      <w:r w:rsidRPr="00FD44CF" w:rsidR="00FD44CF">
        <w:t xml:space="preserve">reasoned that the trip data provided </w:t>
      </w:r>
      <w:r w:rsidR="001F50A3">
        <w:t xml:space="preserve">was not a novel compilation but, instead, constituted </w:t>
      </w:r>
      <w:r w:rsidRPr="00FD44CF" w:rsidR="00FD44CF">
        <w:t xml:space="preserve">generalized location, driving, and time information could already be ascertained with computer modeling. </w:t>
      </w:r>
    </w:p>
    <w:p w:rsidRPr="00FD44CF" w:rsidR="00FD44CF" w:rsidP="00067C89" w:rsidRDefault="00FD44CF" w14:paraId="7EB6734A" w14:textId="3ACE6A9E">
      <w:pPr>
        <w:pStyle w:val="Standard"/>
      </w:pPr>
      <w:r>
        <w:t>Second</w:t>
      </w:r>
      <w:r w:rsidR="00A00873">
        <w:t>,</w:t>
      </w:r>
      <w:r>
        <w:t xml:space="preserve"> </w:t>
      </w:r>
      <w:r w:rsidR="001F50A3">
        <w:t xml:space="preserve">the </w:t>
      </w:r>
      <w:r w:rsidRPr="00A6208D" w:rsidR="001F50A3">
        <w:rPr>
          <w:i/>
          <w:iCs/>
        </w:rPr>
        <w:t>Ruling</w:t>
      </w:r>
      <w:r w:rsidR="001F50A3">
        <w:t xml:space="preserve"> found that </w:t>
      </w:r>
      <w:r w:rsidRPr="00FD44CF">
        <w:t xml:space="preserve">making trip data public would not compromise the competitive advantages each company tries to maintain since the Annual Reports did not require the TNCs to disclose new products and features for riders and drivers, or their internal business </w:t>
      </w:r>
      <w:r w:rsidRPr="00500BCC">
        <w:t xml:space="preserve">strategies. </w:t>
      </w:r>
      <w:r w:rsidRPr="00500BCC" w:rsidR="00364B4C">
        <w:t xml:space="preserve"> </w:t>
      </w:r>
      <w:r w:rsidRPr="00500BCC">
        <w:t>Each</w:t>
      </w:r>
      <w:r w:rsidRPr="00FD44CF">
        <w:t xml:space="preserve"> competitive TNC must perform its own analysis and develop its own strategies to market its business to the riding public, something that would not be aided by the disclosure of trip data. </w:t>
      </w:r>
    </w:p>
    <w:p w:rsidRPr="00FD44CF" w:rsidR="00FD44CF" w:rsidP="00067C89" w:rsidRDefault="00FD44CF" w14:paraId="3871E415" w14:textId="399C6C99">
      <w:pPr>
        <w:pStyle w:val="Standard"/>
      </w:pPr>
      <w:r>
        <w:t>Third, even if trip data enjoyed some trade secret class</w:t>
      </w:r>
      <w:r w:rsidR="00A00873">
        <w:t>ification</w:t>
      </w:r>
      <w:r>
        <w:t>,</w:t>
      </w:r>
      <w:r w:rsidRPr="00FD44CF">
        <w:t xml:space="preserve"> there was a legitimate public interest in making trip data public. </w:t>
      </w:r>
      <w:r w:rsidR="00780201">
        <w:t xml:space="preserve"> </w:t>
      </w:r>
      <w:r w:rsidR="001A138E">
        <w:t>The</w:t>
      </w:r>
      <w:r w:rsidRPr="00FD44CF">
        <w:t xml:space="preserve"> </w:t>
      </w:r>
      <w:r w:rsidRPr="00FD44CF">
        <w:rPr>
          <w:i/>
          <w:iCs/>
        </w:rPr>
        <w:t>Ruling</w:t>
      </w:r>
      <w:r w:rsidRPr="00FD44CF">
        <w:t xml:space="preserve"> explained that municipalities and their transportation regulatory agencies have an interest in learning when riders are in operation and when trips are accepted or rejected. </w:t>
      </w:r>
      <w:r w:rsidRPr="00FD44CF">
        <w:lastRenderedPageBreak/>
        <w:t xml:space="preserve">Public entities have an interest in knowing how many drivers are in operation on their roads for transportation planning purposes and would also want to know the number of times and when rides are accepted or rejected to determine if the TNC ride service was being provided to all neighborhoods in a nondiscriminatory manner. </w:t>
      </w:r>
      <w:r w:rsidR="00780201">
        <w:t xml:space="preserve"> </w:t>
      </w:r>
      <w:r w:rsidRPr="00FD44CF">
        <w:t xml:space="preserve">The </w:t>
      </w:r>
      <w:r w:rsidRPr="00FD44CF">
        <w:rPr>
          <w:i/>
          <w:iCs/>
        </w:rPr>
        <w:t>Ruling</w:t>
      </w:r>
      <w:r w:rsidRPr="00FD44CF">
        <w:t xml:space="preserve"> concluded that application of the public interest balancing test weighed in favor of requiring the public disclosure of trip data.</w:t>
      </w:r>
    </w:p>
    <w:p w:rsidR="0036457D" w:rsidP="00067C89" w:rsidRDefault="00FD44CF" w14:paraId="79351237" w14:textId="71F2EBCC">
      <w:pPr>
        <w:pStyle w:val="Standard"/>
      </w:pPr>
      <w:r>
        <w:t xml:space="preserve">Lyft challenges each of the </w:t>
      </w:r>
      <w:r w:rsidRPr="00F71C61" w:rsidR="00F71C61">
        <w:rPr>
          <w:i/>
          <w:iCs/>
        </w:rPr>
        <w:t>Ruling’s</w:t>
      </w:r>
      <w:r>
        <w:t xml:space="preserve"> findings in its </w:t>
      </w:r>
      <w:r w:rsidRPr="001A138E">
        <w:rPr>
          <w:i/>
          <w:iCs/>
        </w:rPr>
        <w:t>Appeal</w:t>
      </w:r>
      <w:r w:rsidR="00A60388">
        <w:t xml:space="preserve"> by claiming that </w:t>
      </w:r>
      <w:r w:rsidR="001A138E">
        <w:t xml:space="preserve">(1) </w:t>
      </w:r>
      <w:r w:rsidR="00A60388">
        <w:t xml:space="preserve">the </w:t>
      </w:r>
      <w:r w:rsidRPr="0036457D" w:rsidR="00A60388">
        <w:rPr>
          <w:i/>
          <w:iCs/>
        </w:rPr>
        <w:t>Ruling</w:t>
      </w:r>
      <w:r w:rsidR="00A60388">
        <w:t xml:space="preserve"> </w:t>
      </w:r>
      <w:r w:rsidR="0036457D">
        <w:t>failed to consider evidence establishing that Lyft’s trip data was a trade secret</w:t>
      </w:r>
      <w:r w:rsidR="00E81F03">
        <w:t xml:space="preserve"> and, instead, only focused on Uber’s evidentiary showing</w:t>
      </w:r>
      <w:r w:rsidR="0036457D">
        <w:t xml:space="preserve">; </w:t>
      </w:r>
      <w:r w:rsidR="001A138E">
        <w:t xml:space="preserve">(2) </w:t>
      </w:r>
      <w:r w:rsidR="0036457D">
        <w:t xml:space="preserve">the </w:t>
      </w:r>
      <w:r w:rsidRPr="0036457D" w:rsidR="0036457D">
        <w:rPr>
          <w:i/>
          <w:iCs/>
        </w:rPr>
        <w:t xml:space="preserve">Ruling </w:t>
      </w:r>
      <w:r w:rsidR="0036457D">
        <w:t xml:space="preserve">erroneously determined that data required to be submitted did not meet the requirements for trade secret protection; </w:t>
      </w:r>
      <w:r w:rsidR="001A138E">
        <w:t xml:space="preserve">(3) </w:t>
      </w:r>
      <w:r w:rsidR="0036457D">
        <w:t xml:space="preserve">the </w:t>
      </w:r>
      <w:r w:rsidRPr="001A138E" w:rsidR="0036457D">
        <w:rPr>
          <w:i/>
          <w:iCs/>
        </w:rPr>
        <w:t>Ruling</w:t>
      </w:r>
      <w:r w:rsidR="0036457D">
        <w:t xml:space="preserve"> erred in concluding that trip data should be disclosed because other</w:t>
      </w:r>
      <w:r w:rsidR="001A138E">
        <w:t>s</w:t>
      </w:r>
      <w:r w:rsidR="0036457D">
        <w:t xml:space="preserve"> might find the information useful; and </w:t>
      </w:r>
      <w:r w:rsidR="001A138E">
        <w:t xml:space="preserve">(4) </w:t>
      </w:r>
      <w:r w:rsidR="0036457D">
        <w:t xml:space="preserve">the </w:t>
      </w:r>
      <w:r w:rsidRPr="0036457D" w:rsidR="0036457D">
        <w:rPr>
          <w:i/>
          <w:iCs/>
        </w:rPr>
        <w:t>Ruling</w:t>
      </w:r>
      <w:r w:rsidR="0036457D">
        <w:t xml:space="preserve"> erred in concluding that trip data c</w:t>
      </w:r>
      <w:r w:rsidR="001A138E">
        <w:t>ould not</w:t>
      </w:r>
      <w:r w:rsidR="0036457D">
        <w:t xml:space="preserve"> be a trade secret because it does not reve</w:t>
      </w:r>
      <w:r w:rsidR="001A138E">
        <w:t>a</w:t>
      </w:r>
      <w:r w:rsidR="0036457D">
        <w:t xml:space="preserve">l Lyft’s business strategies. </w:t>
      </w:r>
      <w:r w:rsidR="00780201">
        <w:t xml:space="preserve"> </w:t>
      </w:r>
      <w:r>
        <w:t xml:space="preserve">To explain </w:t>
      </w:r>
      <w:r w:rsidR="00F71C61">
        <w:t xml:space="preserve">why  Lyft’s attacks </w:t>
      </w:r>
      <w:r w:rsidR="001D09BA">
        <w:t xml:space="preserve">are </w:t>
      </w:r>
      <w:r w:rsidR="00F71C61">
        <w:t xml:space="preserve"> legally erroneous, it will be necessary to set forth and discuss the elements of a trade secret claim </w:t>
      </w:r>
      <w:r w:rsidR="0036457D">
        <w:t xml:space="preserve">and apply them to the </w:t>
      </w:r>
      <w:r w:rsidRPr="001A138E" w:rsidR="0036457D">
        <w:rPr>
          <w:i/>
          <w:iCs/>
        </w:rPr>
        <w:t>Ruling</w:t>
      </w:r>
      <w:r w:rsidR="001A138E">
        <w:rPr>
          <w:i/>
          <w:iCs/>
        </w:rPr>
        <w:t>’</w:t>
      </w:r>
      <w:r w:rsidRPr="001A138E" w:rsidR="0036457D">
        <w:rPr>
          <w:i/>
          <w:iCs/>
        </w:rPr>
        <w:t>s</w:t>
      </w:r>
      <w:r w:rsidR="0036457D">
        <w:t xml:space="preserve"> findings and Lyft’s objections.</w:t>
      </w:r>
      <w:r w:rsidR="00A00873">
        <w:t xml:space="preserve"> </w:t>
      </w:r>
      <w:r w:rsidR="00780201">
        <w:t xml:space="preserve"> </w:t>
      </w:r>
      <w:r w:rsidR="00A00873">
        <w:t xml:space="preserve">In doing so, we must also apply the first rule of statutory interpretation, which is to examine the actual language of that statute, giving words their ordinary everyday meaning. </w:t>
      </w:r>
      <w:r w:rsidR="00780201">
        <w:t xml:space="preserve"> </w:t>
      </w:r>
      <w:r w:rsidR="00A00873">
        <w:t xml:space="preserve">If the meaning is without ambiguity, doubt, or uncertainty, the language controls. </w:t>
      </w:r>
      <w:r w:rsidR="00780201">
        <w:t xml:space="preserve"> </w:t>
      </w:r>
      <w:r w:rsidR="00A00873">
        <w:t>(</w:t>
      </w:r>
      <w:r w:rsidRPr="00A00873" w:rsidR="00A00873">
        <w:rPr>
          <w:i/>
          <w:iCs/>
        </w:rPr>
        <w:t>Kavanaugh v. W. Sonoma County Union High School District</w:t>
      </w:r>
      <w:r w:rsidR="00A00873">
        <w:t xml:space="preserve"> (2003) 29 Cal.4</w:t>
      </w:r>
      <w:r w:rsidRPr="00A00873" w:rsidR="00A00873">
        <w:rPr>
          <w:vertAlign w:val="superscript"/>
        </w:rPr>
        <w:t>th</w:t>
      </w:r>
      <w:r w:rsidR="00A00873">
        <w:t xml:space="preserve"> 911, 919.)</w:t>
      </w:r>
    </w:p>
    <w:p w:rsidRPr="00500BCC" w:rsidR="00EA36C6" w:rsidP="00D2041C" w:rsidRDefault="008F35E2" w14:paraId="1181252D" w14:textId="74B5831B">
      <w:pPr>
        <w:pStyle w:val="Heading2"/>
      </w:pPr>
      <w:bookmarkStart w:name="_Toc82193575" w:id="48"/>
      <w:bookmarkStart w:name="_Toc94682538" w:id="49"/>
      <w:bookmarkStart w:name="_Toc102479667" w:id="50"/>
      <w:r w:rsidRPr="00500BCC">
        <w:t xml:space="preserve">The Trip Data in the Lyft’s Annual Report </w:t>
      </w:r>
      <w:r w:rsidRPr="00500BCC" w:rsidR="00364B4C">
        <w:br/>
      </w:r>
      <w:r w:rsidRPr="00500BCC">
        <w:t xml:space="preserve">is not a Protected </w:t>
      </w:r>
      <w:r w:rsidRPr="00500BCC" w:rsidR="00D6363A">
        <w:t>Unique</w:t>
      </w:r>
      <w:r w:rsidRPr="00500BCC" w:rsidR="00106B97">
        <w:t xml:space="preserve"> or </w:t>
      </w:r>
      <w:r w:rsidRPr="00500BCC" w:rsidR="00364B4C">
        <w:br/>
      </w:r>
      <w:r w:rsidRPr="00500BCC" w:rsidR="00106B97">
        <w:t>Novel</w:t>
      </w:r>
      <w:r w:rsidRPr="00500BCC" w:rsidR="00D6363A">
        <w:t xml:space="preserve"> </w:t>
      </w:r>
      <w:r w:rsidRPr="00500BCC">
        <w:t xml:space="preserve">Compilation of </w:t>
      </w:r>
      <w:r w:rsidRPr="00500BCC" w:rsidR="001071A3">
        <w:t>Information</w:t>
      </w:r>
      <w:bookmarkEnd w:id="48"/>
      <w:bookmarkEnd w:id="49"/>
      <w:bookmarkEnd w:id="50"/>
    </w:p>
    <w:p w:rsidR="001071A3" w:rsidP="00067C89" w:rsidRDefault="001071A3" w14:paraId="319302DF" w14:textId="732F8B9E">
      <w:pPr>
        <w:pStyle w:val="Standard"/>
      </w:pPr>
      <w:r w:rsidRPr="00540AC2">
        <w:t>Civil Code § 3426.1</w:t>
      </w:r>
      <w:r w:rsidR="00C07842">
        <w:t>(d)</w:t>
      </w:r>
      <w:r w:rsidRPr="00540AC2">
        <w:t xml:space="preserve"> refers to information and includes, as examples, formulas, patterns, compilations, programs, devices, methods, techniques, or </w:t>
      </w:r>
      <w:r w:rsidRPr="00540AC2">
        <w:lastRenderedPageBreak/>
        <w:t xml:space="preserve">processes.  While it is true that the word </w:t>
      </w:r>
      <w:r>
        <w:t>“</w:t>
      </w:r>
      <w:r w:rsidRPr="00540AC2">
        <w:t>information</w:t>
      </w:r>
      <w:r>
        <w:t>”</w:t>
      </w:r>
      <w:r w:rsidRPr="00540AC2">
        <w:t xml:space="preserve"> has a broad meaning,</w:t>
      </w:r>
      <w:r w:rsidRPr="00540AC2">
        <w:rPr>
          <w:rStyle w:val="FootnoteReference"/>
          <w:rFonts w:eastAsiaTheme="majorEastAsia"/>
        </w:rPr>
        <w:footnoteReference w:id="52"/>
      </w:r>
      <w:r w:rsidRPr="00540AC2">
        <w:t xml:space="preserve"> trade secrets usually fall within one of the following two broader classifications:  first, technical information (such as plans, designs, patterns, processes and formulas, techniques for manufacturing, negative information, and computer software); and second, business information (such as financial information, cost and pricing, manufacturing information, internal market analysis, customer lists, marketing and advertising plans, and personnel information).  The common thread going through these varying types of information is that it is something that the party claiming a trade secret has created, on its own, to further its business interests.</w:t>
      </w:r>
    </w:p>
    <w:p w:rsidRPr="00D6363A" w:rsidR="00D6363A" w:rsidP="00E43C1C" w:rsidRDefault="00D6363A" w14:paraId="65B129F6" w14:textId="5D327763">
      <w:pPr>
        <w:pStyle w:val="Heading3"/>
      </w:pPr>
      <w:bookmarkStart w:name="_Toc82193576" w:id="51"/>
      <w:bookmarkStart w:name="_Toc94682539" w:id="52"/>
      <w:bookmarkStart w:name="_Toc102479668" w:id="53"/>
      <w:r w:rsidRPr="00D6363A">
        <w:t xml:space="preserve">Compilation as </w:t>
      </w:r>
      <w:r w:rsidR="00E43C1C">
        <w:t>U</w:t>
      </w:r>
      <w:r w:rsidRPr="00D6363A">
        <w:t>nique</w:t>
      </w:r>
      <w:r w:rsidR="00E43C1C">
        <w:t xml:space="preserve"> or Novel</w:t>
      </w:r>
      <w:bookmarkEnd w:id="51"/>
      <w:bookmarkEnd w:id="52"/>
      <w:bookmarkEnd w:id="53"/>
    </w:p>
    <w:p w:rsidR="001A138E" w:rsidP="00067C89" w:rsidRDefault="001A138E" w14:paraId="458EE7AF" w14:textId="183D9574">
      <w:pPr>
        <w:pStyle w:val="Standard"/>
      </w:pPr>
      <w:r>
        <w:t xml:space="preserve">We focus on the word “compilation” from </w:t>
      </w:r>
      <w:r w:rsidRPr="00540AC2">
        <w:t>Civil Code § 3426.1</w:t>
      </w:r>
      <w:r>
        <w:t xml:space="preserve"> because it appears to be the most on point characterization of the trip data that Lyft asserts is a trade secret. </w:t>
      </w:r>
      <w:r w:rsidR="00780201">
        <w:t xml:space="preserve"> </w:t>
      </w:r>
      <w:r>
        <w:t xml:space="preserve">Lyft does not claim that trip data is either a </w:t>
      </w:r>
      <w:r w:rsidRPr="00540AC2">
        <w:t xml:space="preserve">formula, pattern, program, device, method, </w:t>
      </w:r>
      <w:r w:rsidR="003C66CD">
        <w:t xml:space="preserve">or </w:t>
      </w:r>
      <w:r w:rsidRPr="00540AC2">
        <w:t>technique</w:t>
      </w:r>
      <w:r>
        <w:t xml:space="preserve">. </w:t>
      </w:r>
      <w:r w:rsidR="00780201">
        <w:t xml:space="preserve"> </w:t>
      </w:r>
      <w:r>
        <w:t>Instead</w:t>
      </w:r>
      <w:r w:rsidR="00C46B45">
        <w:t>,</w:t>
      </w:r>
      <w:r>
        <w:t xml:space="preserve"> Lyft’s supporting </w:t>
      </w:r>
      <w:r w:rsidR="00D6363A">
        <w:t>D</w:t>
      </w:r>
      <w:r>
        <w:t xml:space="preserve">eclaration from Brett Collins </w:t>
      </w:r>
      <w:r w:rsidR="003F0CEF">
        <w:t>states that</w:t>
      </w:r>
      <w:r>
        <w:t xml:space="preserve"> the trip data is </w:t>
      </w:r>
      <w:r w:rsidR="003C66CD">
        <w:t>“</w:t>
      </w:r>
      <w:r>
        <w:t>co</w:t>
      </w:r>
      <w:r w:rsidR="003C66CD">
        <w:t>llected” and</w:t>
      </w:r>
      <w:r>
        <w:t xml:space="preserve"> “captured using data collection, analysis and reporting processes</w:t>
      </w:r>
      <w:r w:rsidR="00C46B45">
        <w:t>,</w:t>
      </w:r>
      <w:r>
        <w:t>”</w:t>
      </w:r>
      <w:r w:rsidR="00C46B45">
        <w:t xml:space="preserve"> and that trip data is “continually collected, compiled and analyzed.”</w:t>
      </w:r>
      <w:r>
        <w:rPr>
          <w:rStyle w:val="FootnoteReference"/>
        </w:rPr>
        <w:footnoteReference w:id="53"/>
      </w:r>
      <w:r w:rsidR="00C46B45">
        <w:t xml:space="preserve"> </w:t>
      </w:r>
      <w:r w:rsidR="00780201">
        <w:t xml:space="preserve"> </w:t>
      </w:r>
      <w:r w:rsidR="00C46B45">
        <w:t>As the plain meaning of compilation is “</w:t>
      </w:r>
      <w:r w:rsidRPr="00C46B45" w:rsidR="00C46B45">
        <w:t>the action or process of producing something, especially a list, book, or report, by assembling information collected from other sources</w:t>
      </w:r>
      <w:r w:rsidR="003C66CD">
        <w:t>,</w:t>
      </w:r>
      <w:r w:rsidR="00C46B45">
        <w:t xml:space="preserve">” the trip data that the Commission has ordered each TNC to submit as part of its Annual Report is a compilation as that word is used in </w:t>
      </w:r>
      <w:r w:rsidRPr="00540AC2" w:rsidR="00C46B45">
        <w:t>Civil Code § 3426.1</w:t>
      </w:r>
      <w:r w:rsidR="00C46B45">
        <w:t>.</w:t>
      </w:r>
    </w:p>
    <w:p w:rsidRPr="007C5166" w:rsidR="007C5166" w:rsidP="00067C89" w:rsidRDefault="00C46B45" w14:paraId="54D8D287" w14:textId="553CDD10">
      <w:pPr>
        <w:pStyle w:val="Standard"/>
      </w:pPr>
      <w:r w:rsidRPr="007C5166">
        <w:lastRenderedPageBreak/>
        <w:t xml:space="preserve">But finding that trip data constitutes a compilation does not end the Commission’s inquiry into whether a compilation is entitled to trade secret protection. </w:t>
      </w:r>
      <w:r w:rsidR="00780201">
        <w:t xml:space="preserve"> </w:t>
      </w:r>
      <w:r w:rsidRPr="007C5166">
        <w:t>In addition to defining compilation,</w:t>
      </w:r>
      <w:r w:rsidRPr="007C5166" w:rsidR="00882135">
        <w:t xml:space="preserve"> the </w:t>
      </w:r>
      <w:r w:rsidRPr="007C5166" w:rsidR="00882135">
        <w:rPr>
          <w:i/>
          <w:iCs/>
        </w:rPr>
        <w:t>Ruling</w:t>
      </w:r>
      <w:r w:rsidRPr="007C5166">
        <w:t xml:space="preserve"> </w:t>
      </w:r>
      <w:r w:rsidRPr="007C5166" w:rsidR="00882135">
        <w:t xml:space="preserve">stated </w:t>
      </w:r>
      <w:r w:rsidRPr="007C5166" w:rsidR="00E81F03">
        <w:t xml:space="preserve">for a compilation to be a trade secret the information had to be grouped in a </w:t>
      </w:r>
      <w:r w:rsidR="00182B04">
        <w:t>“</w:t>
      </w:r>
      <w:r w:rsidRPr="007C5166" w:rsidR="00E81F03">
        <w:t>unique valuable way, even though the discrete elements that make up the compilation would not qualify as a separate trade secret.</w:t>
      </w:r>
      <w:r w:rsidR="00182B04">
        <w:t>”</w:t>
      </w:r>
      <w:r w:rsidRPr="007C5166" w:rsidR="00E81F03">
        <w:rPr>
          <w:rStyle w:val="FootnoteReference"/>
        </w:rPr>
        <w:footnoteReference w:id="54"/>
      </w:r>
      <w:r w:rsidRPr="007C5166" w:rsidR="00E81F03">
        <w:t xml:space="preserve"> </w:t>
      </w:r>
      <w:r w:rsidR="00780201">
        <w:t xml:space="preserve"> </w:t>
      </w:r>
      <w:r w:rsidRPr="007C5166" w:rsidR="007C5166">
        <w:t xml:space="preserve">Otherwise, any compilation </w:t>
      </w:r>
      <w:r w:rsidR="00182B04">
        <w:t xml:space="preserve">of information </w:t>
      </w:r>
      <w:r w:rsidRPr="007C5166" w:rsidR="007C5166">
        <w:t>could</w:t>
      </w:r>
      <w:r w:rsidR="00D6363A">
        <w:t xml:space="preserve"> arguably</w:t>
      </w:r>
      <w:r w:rsidRPr="007C5166" w:rsidR="007C5166">
        <w:t xml:space="preserve"> be considered a trade secret.</w:t>
      </w:r>
    </w:p>
    <w:p w:rsidR="006355DF" w:rsidP="00067C89" w:rsidRDefault="00E81F03" w14:paraId="454D64E6" w14:textId="452847BE">
      <w:pPr>
        <w:pStyle w:val="Standard"/>
      </w:pPr>
      <w:r>
        <w:t xml:space="preserve">The </w:t>
      </w:r>
      <w:r w:rsidRPr="007C5166">
        <w:rPr>
          <w:i/>
          <w:iCs/>
        </w:rPr>
        <w:t>Ruling’s</w:t>
      </w:r>
      <w:r>
        <w:t xml:space="preserve"> requirement that </w:t>
      </w:r>
      <w:r w:rsidR="00392419">
        <w:t>Lyft must demonstrate that the compilation of trip data is novel or unique</w:t>
      </w:r>
      <w:r>
        <w:t xml:space="preserve"> finds support in California law</w:t>
      </w:r>
      <w:r w:rsidR="00392419">
        <w:t xml:space="preserve">. </w:t>
      </w:r>
      <w:r w:rsidR="00780201">
        <w:t xml:space="preserve"> </w:t>
      </w:r>
      <w:r>
        <w:t>(</w:t>
      </w:r>
      <w:r w:rsidRPr="008349CD">
        <w:rPr>
          <w:i/>
          <w:iCs/>
        </w:rPr>
        <w:t xml:space="preserve">See </w:t>
      </w:r>
      <w:r w:rsidRPr="008349CD" w:rsidR="008349CD">
        <w:rPr>
          <w:i/>
          <w:iCs/>
        </w:rPr>
        <w:t>Morlife, Inc. v. Perry</w:t>
      </w:r>
      <w:r w:rsidR="008349CD">
        <w:t xml:space="preserve"> (1997) 56 Cal.App.4</w:t>
      </w:r>
      <w:r w:rsidRPr="008349CD" w:rsidR="008349CD">
        <w:rPr>
          <w:vertAlign w:val="superscript"/>
        </w:rPr>
        <w:t>th</w:t>
      </w:r>
      <w:r w:rsidR="008349CD">
        <w:t xml:space="preserve"> 1514, 1523 </w:t>
      </w:r>
      <w:r w:rsidR="00392419">
        <w:t>[</w:t>
      </w:r>
      <w:r w:rsidR="008349CD">
        <w:t>C</w:t>
      </w:r>
      <w:r w:rsidRPr="008349CD" w:rsidR="008349CD">
        <w:t>ustomer list was a</w:t>
      </w:r>
      <w:r w:rsidR="008349CD">
        <w:t xml:space="preserve"> unique</w:t>
      </w:r>
      <w:r w:rsidRPr="008349CD" w:rsidR="008349CD">
        <w:t xml:space="preserve"> </w:t>
      </w:r>
      <w:r w:rsidR="008349CD">
        <w:t>“</w:t>
      </w:r>
      <w:r w:rsidRPr="008349CD" w:rsidR="008349CD">
        <w:t>compilation, developed over a period of years, of names, addresses, and contact persons, containing pricing information and knowledge about particular roofs and roofing needs of customers using its services</w:t>
      </w:r>
      <w:r w:rsidR="00CC2AC8">
        <w:t>”</w:t>
      </w:r>
      <w:r w:rsidR="00106B97">
        <w:t>]</w:t>
      </w:r>
      <w:r w:rsidR="00392419">
        <w:t>.</w:t>
      </w:r>
      <w:r w:rsidR="00D6363A">
        <w:t>)</w:t>
      </w:r>
      <w:r w:rsidR="00392419">
        <w:t xml:space="preserve"> </w:t>
      </w:r>
      <w:r w:rsidR="00780201">
        <w:t xml:space="preserve"> </w:t>
      </w:r>
      <w:r w:rsidR="00002BFC">
        <w:t xml:space="preserve">Other jurisdictions considering this issue have also found that the party claiming that a compilation of information is a trade secret must demonstrate the novel or unique nature of the compilation. </w:t>
      </w:r>
      <w:r w:rsidR="00780201">
        <w:t xml:space="preserve"> </w:t>
      </w:r>
      <w:r w:rsidR="00002BFC">
        <w:t>(</w:t>
      </w:r>
      <w:r w:rsidRPr="00002BFC" w:rsidR="00002BFC">
        <w:rPr>
          <w:i/>
          <w:iCs/>
        </w:rPr>
        <w:t>See, e.g. United States v. Nosal</w:t>
      </w:r>
      <w:r w:rsidR="00002BFC">
        <w:t xml:space="preserve"> (9</w:t>
      </w:r>
      <w:r w:rsidRPr="00002BFC" w:rsidR="00002BFC">
        <w:rPr>
          <w:vertAlign w:val="superscript"/>
        </w:rPr>
        <w:t>th</w:t>
      </w:r>
      <w:r w:rsidR="00002BFC">
        <w:t xml:space="preserve"> Cir. 2016) 844 F.3d 1024, 1043 [“the nature of the trade secret and its value stemmed from the unique integration, compilation, and sorting of” the information contained in the source lists.]; </w:t>
      </w:r>
      <w:r w:rsidRPr="00002BFC" w:rsidR="00002BFC">
        <w:rPr>
          <w:i/>
          <w:iCs/>
        </w:rPr>
        <w:t>Woo v. Fireman’s Fund Insurance Co</w:t>
      </w:r>
      <w:r w:rsidR="00002BFC">
        <w:t xml:space="preserve"> (2007) 134 W</w:t>
      </w:r>
      <w:r w:rsidR="00AE3CF2">
        <w:t>ashingto</w:t>
      </w:r>
      <w:r w:rsidR="00002BFC">
        <w:t>n App. 480, 488</w:t>
      </w:r>
      <w:r w:rsidR="00780201">
        <w:noBreakHyphen/>
      </w:r>
      <w:r w:rsidR="00002BFC">
        <w:t xml:space="preserve">489 [same]; </w:t>
      </w:r>
      <w:r w:rsidRPr="00002BFC" w:rsidR="00002BFC">
        <w:rPr>
          <w:i/>
          <w:iCs/>
        </w:rPr>
        <w:t>OTR Wheel Engineering, Inc. v. West Worldwide Services, Inc</w:t>
      </w:r>
      <w:r w:rsidR="00002BFC">
        <w:t xml:space="preserve">. (2015) WL 11117430, [*46] at *1 (E.D. Wash. Nov. 30, 2015) [“The use of commonly available material in an innovative way can qualify as a trade  secret [but] to </w:t>
      </w:r>
      <w:r w:rsidR="00002BFC">
        <w:lastRenderedPageBreak/>
        <w:t>qualify for protection as a trade secret, however, the combination must still be shown to have novelty and uniqueness.”]</w:t>
      </w:r>
      <w:r w:rsidR="00AE3CF2">
        <w:t>.</w:t>
      </w:r>
      <w:r w:rsidR="00002BFC">
        <w:t>)</w:t>
      </w:r>
      <w:r w:rsidR="00A84B27">
        <w:rPr>
          <w:rStyle w:val="FootnoteReference"/>
        </w:rPr>
        <w:footnoteReference w:id="55"/>
      </w:r>
      <w:r w:rsidR="003B137E">
        <w:t xml:space="preserve"> </w:t>
      </w:r>
      <w:bookmarkStart w:name="_Hlk80273135" w:id="54"/>
    </w:p>
    <w:bookmarkEnd w:id="54"/>
    <w:p w:rsidR="004E750F" w:rsidP="00067C89" w:rsidRDefault="00986A81" w14:paraId="56DFFC81" w14:textId="39587081">
      <w:pPr>
        <w:pStyle w:val="Standard"/>
      </w:pPr>
      <w:r>
        <w:t>The Commission finds that t</w:t>
      </w:r>
      <w:r w:rsidR="006355DF">
        <w:t xml:space="preserve">he Collins Declaration does not establish that trip data as a whole, or any subcomponent </w:t>
      </w:r>
      <w:r w:rsidR="000643E5">
        <w:t>thereof,</w:t>
      </w:r>
      <w:r w:rsidR="006355DF">
        <w:t xml:space="preserve"> is </w:t>
      </w:r>
      <w:r w:rsidRPr="00E63546" w:rsidR="006355DF">
        <w:t>either novel or unique</w:t>
      </w:r>
      <w:r>
        <w:t>.</w:t>
      </w:r>
      <w:r w:rsidRPr="00E63546" w:rsidR="006355DF">
        <w:t xml:space="preserve"> </w:t>
      </w:r>
      <w:r w:rsidR="008B057E">
        <w:t xml:space="preserve">Absent from the Collins Declaration is any explanation of the uniqueness of </w:t>
      </w:r>
      <w:r w:rsidR="00EE165B">
        <w:t xml:space="preserve">the disclosure of data that reveals </w:t>
      </w:r>
      <w:r w:rsidR="008B057E">
        <w:t>a TNC trip that originates in zip code</w:t>
      </w:r>
      <w:r w:rsidR="000643E5">
        <w:t xml:space="preserve"> or census block</w:t>
      </w:r>
      <w:r w:rsidR="008B057E">
        <w:t xml:space="preserve"> x and terminates in zip code </w:t>
      </w:r>
      <w:r w:rsidR="000643E5">
        <w:t xml:space="preserve">or census block </w:t>
      </w:r>
      <w:r w:rsidR="008B057E">
        <w:t xml:space="preserve">y on </w:t>
      </w:r>
      <w:r w:rsidR="000643E5">
        <w:t>date and time</w:t>
      </w:r>
      <w:r w:rsidR="00EE165B">
        <w:t xml:space="preserve"> z</w:t>
      </w:r>
      <w:r w:rsidR="000643E5">
        <w:t xml:space="preserve">. </w:t>
      </w:r>
      <w:r w:rsidR="00780201">
        <w:t xml:space="preserve"> </w:t>
      </w:r>
      <w:r w:rsidR="000643E5">
        <w:t xml:space="preserve">Lyft has not created the zip codes or census blocks. </w:t>
      </w:r>
      <w:r w:rsidR="00EF6CD1">
        <w:t>Zip codes  were created on July</w:t>
      </w:r>
      <w:r w:rsidR="00780201">
        <w:t> </w:t>
      </w:r>
      <w:r w:rsidR="00EF6CD1">
        <w:t>1,</w:t>
      </w:r>
      <w:r w:rsidR="00780201">
        <w:t> </w:t>
      </w:r>
      <w:r w:rsidR="00EF6CD1">
        <w:t>1963</w:t>
      </w:r>
      <w:r w:rsidR="00780201">
        <w:t>,</w:t>
      </w:r>
      <w:r w:rsidR="00EF6CD1">
        <w:t xml:space="preserve"> by the United States Postal Service.</w:t>
      </w:r>
      <w:r w:rsidR="00E85509">
        <w:rPr>
          <w:rStyle w:val="FootnoteReference"/>
        </w:rPr>
        <w:footnoteReference w:id="56"/>
      </w:r>
      <w:r w:rsidR="00EF6CD1">
        <w:t xml:space="preserve"> </w:t>
      </w:r>
      <w:r w:rsidR="00780201">
        <w:t xml:space="preserve"> </w:t>
      </w:r>
      <w:r w:rsidR="00EF6CD1">
        <w:t>The U.S. Census Burea</w:t>
      </w:r>
      <w:r w:rsidR="00E85509">
        <w:t>u c</w:t>
      </w:r>
      <w:r w:rsidR="00EF6CD1">
        <w:t>reated census blocks</w:t>
      </w:r>
      <w:r w:rsidR="00E85509">
        <w:t>, which are statistical areas bounded by visible features such as roads, streams, railroad tracks, and other nonvisible property boundaries that are delineated by the U.S. Census Bureau every ten years.</w:t>
      </w:r>
      <w:r w:rsidR="00E85509">
        <w:rPr>
          <w:rStyle w:val="FootnoteReference"/>
        </w:rPr>
        <w:footnoteReference w:id="57"/>
      </w:r>
      <w:r w:rsidR="00E85509">
        <w:t xml:space="preserve"> </w:t>
      </w:r>
      <w:r w:rsidR="00780201">
        <w:t xml:space="preserve"> </w:t>
      </w:r>
      <w:r w:rsidR="00E85509">
        <w:t>As t</w:t>
      </w:r>
      <w:r w:rsidR="000643E5">
        <w:t>hese are matter</w:t>
      </w:r>
      <w:r w:rsidR="00E85509">
        <w:t xml:space="preserve">s beyond the control or creation of Lyft or any other TNC, there can be nothing unique or novel about trip data identifying how many trips began and ended in particular zip codes </w:t>
      </w:r>
      <w:r w:rsidR="00EE165B">
        <w:t>and</w:t>
      </w:r>
      <w:r w:rsidR="00E85509">
        <w:t xml:space="preserve"> census blocks</w:t>
      </w:r>
      <w:r w:rsidR="00EE165B">
        <w:t>, or on particular dates and times</w:t>
      </w:r>
      <w:r w:rsidR="00E85509">
        <w:t>.</w:t>
      </w:r>
      <w:r w:rsidR="004E750F">
        <w:t xml:space="preserve"> </w:t>
      </w:r>
      <w:r w:rsidR="00CA2CD4">
        <w:lastRenderedPageBreak/>
        <w:t>Because of the public availability of zip codes and census block information,</w:t>
      </w:r>
      <w:r w:rsidR="002A472E">
        <w:t xml:space="preserve"> the </w:t>
      </w:r>
      <w:r w:rsidRPr="002A472E" w:rsidR="002A472E">
        <w:rPr>
          <w:i/>
          <w:iCs/>
        </w:rPr>
        <w:t>Ruling</w:t>
      </w:r>
      <w:r w:rsidR="002A472E">
        <w:t xml:space="preserve"> correctly found that trip data was not trade secret protected because trip “data provides generalized locational, driving and time information that can already be ascertained with computer modeling.”</w:t>
      </w:r>
      <w:r w:rsidR="002A472E">
        <w:rPr>
          <w:rStyle w:val="FootnoteReference"/>
        </w:rPr>
        <w:footnoteReference w:id="58"/>
      </w:r>
      <w:r w:rsidR="002A472E">
        <w:t xml:space="preserve"> </w:t>
      </w:r>
    </w:p>
    <w:p w:rsidR="00E85509" w:rsidP="00067C89" w:rsidRDefault="002A472E" w14:paraId="6E6F5967" w14:textId="0F4CE1E2">
      <w:pPr>
        <w:pStyle w:val="Standard"/>
      </w:pPr>
      <w:r>
        <w:t xml:space="preserve">Lyft, however, faults the </w:t>
      </w:r>
      <w:r w:rsidR="003D6BD9">
        <w:t xml:space="preserve">assigned </w:t>
      </w:r>
      <w:r>
        <w:t>ALJ for not explaining what he means by this statement and for not citing to any record evidence in support of the assertion.</w:t>
      </w:r>
      <w:r>
        <w:rPr>
          <w:rStyle w:val="FootnoteReference"/>
        </w:rPr>
        <w:footnoteReference w:id="59"/>
      </w:r>
      <w:r>
        <w:t xml:space="preserve"> As the Commission will explain, the ALJ was referring to matters of such common knowledge that a further explanation should not be necessary. </w:t>
      </w:r>
      <w:r w:rsidR="00780201">
        <w:t xml:space="preserve"> </w:t>
      </w:r>
      <w:r>
        <w:t xml:space="preserve">Zip codes and census blocks are matters of public knowledge. </w:t>
      </w:r>
      <w:r w:rsidR="00780201">
        <w:t xml:space="preserve"> </w:t>
      </w:r>
      <w:r>
        <w:t>The same ca</w:t>
      </w:r>
      <w:r w:rsidR="004E750F">
        <w:t>n</w:t>
      </w:r>
      <w:r>
        <w:t xml:space="preserve"> be said for information regarding what neighborhoods are more popular than others due to the presence of dining establishments and entertainment venues. </w:t>
      </w:r>
      <w:r w:rsidR="00780201">
        <w:t xml:space="preserve"> </w:t>
      </w:r>
      <w:r>
        <w:t xml:space="preserve">A computer model can take this information and determine what would be the optimal times for directing TNC drivers to a particular zip code on a particular time of the day. If there is a special </w:t>
      </w:r>
      <w:r w:rsidR="00CA2CD4">
        <w:t>occasion</w:t>
      </w:r>
      <w:r>
        <w:t xml:space="preserve"> such as a sporting</w:t>
      </w:r>
      <w:r w:rsidR="00CA2CD4">
        <w:t xml:space="preserve"> event or concert, computer modeling can be utilized to direct TNC drivers to that event, which would include providing the TNC driver with date, time, and zip code information. </w:t>
      </w:r>
      <w:r w:rsidR="00780201">
        <w:t xml:space="preserve"> </w:t>
      </w:r>
      <w:r w:rsidR="00CA2CD4">
        <w:t xml:space="preserve">. </w:t>
      </w:r>
    </w:p>
    <w:p w:rsidR="00DB4059" w:rsidP="00067C89" w:rsidRDefault="00CA2CD4" w14:paraId="5455601D" w14:textId="117A0BB7">
      <w:pPr>
        <w:pStyle w:val="Standard"/>
      </w:pPr>
      <w:r>
        <w:t xml:space="preserve">Nor does the Collins Declaration add any factual specificity to support Lyft’s uniqueness argument. </w:t>
      </w:r>
      <w:r w:rsidR="00780201">
        <w:t xml:space="preserve"> </w:t>
      </w:r>
      <w:r w:rsidRPr="00E63546" w:rsidR="006355DF">
        <w:t xml:space="preserve">At best, Ms. Collins explains how the </w:t>
      </w:r>
      <w:r w:rsidR="00986A81">
        <w:t xml:space="preserve">trip </w:t>
      </w:r>
      <w:r w:rsidRPr="00E63546" w:rsidR="006355DF">
        <w:t>dat</w:t>
      </w:r>
      <w:r w:rsidR="00986A81">
        <w:t>a</w:t>
      </w:r>
      <w:r w:rsidRPr="00E63546" w:rsidR="006355DF">
        <w:t xml:space="preserve"> is captured</w:t>
      </w:r>
      <w:r w:rsidR="00EE165B">
        <w:t xml:space="preserve"> internally</w:t>
      </w:r>
      <w:r w:rsidRPr="00E63546" w:rsidR="006355DF">
        <w:t xml:space="preserve"> (by “using data collection, analysis and reporting processes developed by Lyft”)</w:t>
      </w:r>
      <w:r w:rsidRPr="00E63546" w:rsidR="006355DF">
        <w:rPr>
          <w:rStyle w:val="FootnoteReference"/>
        </w:rPr>
        <w:footnoteReference w:id="60"/>
      </w:r>
      <w:r w:rsidRPr="00E63546" w:rsidR="00392411">
        <w:t xml:space="preserve"> </w:t>
      </w:r>
      <w:r w:rsidRPr="00E63546" w:rsidR="00E63546">
        <w:t>and later stored in what Ms. Collins characterizes as “Lyft’s proprietary databases.”</w:t>
      </w:r>
      <w:r w:rsidRPr="00E63546" w:rsidR="00E63546">
        <w:rPr>
          <w:rStyle w:val="FootnoteReference"/>
        </w:rPr>
        <w:footnoteReference w:id="61"/>
      </w:r>
      <w:r w:rsidR="00780201">
        <w:t xml:space="preserve"> </w:t>
      </w:r>
      <w:r w:rsidRPr="00E63546" w:rsidR="00E63546">
        <w:t xml:space="preserve"> </w:t>
      </w:r>
      <w:r w:rsidR="00780201">
        <w:t xml:space="preserve"> </w:t>
      </w:r>
      <w:r w:rsidRPr="00E63546" w:rsidR="00E63546">
        <w:t xml:space="preserve">But </w:t>
      </w:r>
      <w:r w:rsidR="00146EB2">
        <w:t xml:space="preserve">the Commission has not ordered Lyft to </w:t>
      </w:r>
      <w:r w:rsidR="00146EB2">
        <w:lastRenderedPageBreak/>
        <w:t xml:space="preserve">turn over what it conclusively terms its “proprietary databases—just the actual trip data itself. Even if the Commission had, Ms. Collins does not explain in the necessary detail why the databases themselves are unique or that a competitor would in fact want access to them. </w:t>
      </w:r>
    </w:p>
    <w:p w:rsidR="006F24E1" w:rsidP="001071A3" w:rsidRDefault="00146EB2" w14:paraId="7AC91889" w14:textId="1220166B">
      <w:pPr>
        <w:pStyle w:val="standard0"/>
        <w:rPr>
          <w:rFonts w:ascii="Book Antiqua" w:hAnsi="Book Antiqua"/>
        </w:rPr>
      </w:pPr>
      <w:r>
        <w:rPr>
          <w:rFonts w:ascii="Book Antiqua" w:hAnsi="Book Antiqua"/>
        </w:rPr>
        <w:t xml:space="preserve">Similar </w:t>
      </w:r>
      <w:r w:rsidR="006F24E1">
        <w:rPr>
          <w:rFonts w:ascii="Book Antiqua" w:hAnsi="Book Antiqua"/>
        </w:rPr>
        <w:t>broad-based</w:t>
      </w:r>
      <w:r>
        <w:rPr>
          <w:rFonts w:ascii="Book Antiqua" w:hAnsi="Book Antiqua"/>
        </w:rPr>
        <w:t xml:space="preserve"> claims have been rejected as insufficient to satisfy the uniqueness standard. </w:t>
      </w:r>
      <w:r w:rsidR="00780201">
        <w:rPr>
          <w:rFonts w:ascii="Book Antiqua" w:hAnsi="Book Antiqua"/>
        </w:rPr>
        <w:t xml:space="preserve"> </w:t>
      </w:r>
      <w:r>
        <w:rPr>
          <w:rFonts w:ascii="Book Antiqua" w:hAnsi="Book Antiqua"/>
        </w:rPr>
        <w:t xml:space="preserve">For example, in </w:t>
      </w:r>
      <w:r w:rsidRPr="006F24E1">
        <w:rPr>
          <w:rFonts w:ascii="Book Antiqua" w:hAnsi="Book Antiqua"/>
          <w:i/>
          <w:iCs/>
        </w:rPr>
        <w:t>Woo v. Fireman’s Fund Insurance Co</w:t>
      </w:r>
      <w:r>
        <w:rPr>
          <w:rFonts w:ascii="Book Antiqua" w:hAnsi="Book Antiqua"/>
        </w:rPr>
        <w:t xml:space="preserve"> (2007) 137 Wn. App. 480, </w:t>
      </w:r>
      <w:r w:rsidR="006F24E1">
        <w:rPr>
          <w:rFonts w:ascii="Book Antiqua" w:hAnsi="Book Antiqua"/>
        </w:rPr>
        <w:t>488-</w:t>
      </w:r>
      <w:r>
        <w:rPr>
          <w:rFonts w:ascii="Book Antiqua" w:hAnsi="Book Antiqua"/>
        </w:rPr>
        <w:t>489, the Court rejected the assertion that an insurance claims manual was trade secret protected because</w:t>
      </w:r>
      <w:r w:rsidR="006F24E1">
        <w:rPr>
          <w:rFonts w:ascii="Book Antiqua" w:hAnsi="Book Antiqua"/>
        </w:rPr>
        <w:t xml:space="preserve"> of the unique manner in which it was assembled </w:t>
      </w:r>
      <w:r w:rsidR="00DB4059">
        <w:rPr>
          <w:rFonts w:ascii="Book Antiqua" w:hAnsi="Book Antiqua"/>
        </w:rPr>
        <w:t xml:space="preserve">and utilized </w:t>
      </w:r>
      <w:r w:rsidR="006F24E1">
        <w:rPr>
          <w:rFonts w:ascii="Book Antiqua" w:hAnsi="Book Antiqua"/>
        </w:rPr>
        <w:t>since the supporting declarations were too general:</w:t>
      </w:r>
    </w:p>
    <w:p w:rsidRPr="00067C89" w:rsidR="006F24E1" w:rsidP="00AA50A8" w:rsidRDefault="006F24E1" w14:paraId="71E061F7" w14:textId="7408BD6B">
      <w:pPr>
        <w:pStyle w:val="standard0"/>
        <w:spacing w:after="120" w:line="240" w:lineRule="auto"/>
        <w:ind w:left="720" w:right="1440" w:firstLine="0"/>
        <w:rPr>
          <w:rFonts w:ascii="Book Antiqua" w:hAnsi="Book Antiqua"/>
        </w:rPr>
      </w:pPr>
      <w:r w:rsidRPr="00067C89">
        <w:rPr>
          <w:rFonts w:ascii="Book Antiqua" w:hAnsi="Book Antiqua"/>
        </w:rPr>
        <w:t>It is true that the use of commonly available materials in an innovative way can qualify as a trade secret, and the proponent of a trade secret "need not prove that every element of an information compilation is unavailable elsewhere." </w:t>
      </w:r>
      <w:r w:rsidRPr="00067C89">
        <w:rPr>
          <w:rFonts w:ascii="Book Antiqua" w:hAnsi="Book Antiqua"/>
          <w:i/>
          <w:iCs/>
        </w:rPr>
        <w:t>Boeing Co. v. Sierracin Corp.</w:t>
      </w:r>
      <w:r w:rsidRPr="00067C89">
        <w:rPr>
          <w:rFonts w:ascii="Book Antiqua" w:hAnsi="Book Antiqua"/>
        </w:rPr>
        <w:t>, </w:t>
      </w:r>
      <w:hyperlink w:history="1" w:anchor="p50" r:id="rId16">
        <w:r w:rsidRPr="00067C89">
          <w:rPr>
            <w:rStyle w:val="Hyperlink"/>
            <w:rFonts w:ascii="Book Antiqua" w:hAnsi="Book Antiqua"/>
          </w:rPr>
          <w:t>108 Wn.2d 38, 50</w:t>
        </w:r>
      </w:hyperlink>
      <w:r w:rsidRPr="00067C89">
        <w:rPr>
          <w:rFonts w:ascii="Book Antiqua" w:hAnsi="Book Antiqua"/>
        </w:rPr>
        <w:t>, </w:t>
      </w:r>
      <w:hyperlink w:history="1" r:id="rId17">
        <w:r w:rsidRPr="00067C89">
          <w:rPr>
            <w:rStyle w:val="Hyperlink"/>
            <w:rFonts w:ascii="Book Antiqua" w:hAnsi="Book Antiqua"/>
          </w:rPr>
          <w:t>738 P.2d 665</w:t>
        </w:r>
      </w:hyperlink>
      <w:r w:rsidRPr="00067C89">
        <w:rPr>
          <w:rFonts w:ascii="Book Antiqua" w:hAnsi="Book Antiqua"/>
        </w:rPr>
        <w:t xml:space="preserve"> (1987). </w:t>
      </w:r>
      <w:r w:rsidR="00780201">
        <w:rPr>
          <w:rFonts w:ascii="Book Antiqua" w:hAnsi="Book Antiqua"/>
        </w:rPr>
        <w:t xml:space="preserve"> </w:t>
      </w:r>
      <w:r w:rsidRPr="00067C89">
        <w:rPr>
          <w:rFonts w:ascii="Book Antiqua" w:hAnsi="Book Antiqua"/>
        </w:rPr>
        <w:t>But to qualify for protection as a trade secret, the combination must still be  shown to have "novelty and uniqueness." </w:t>
      </w:r>
      <w:r w:rsidRPr="00067C89">
        <w:rPr>
          <w:rFonts w:ascii="Book Antiqua" w:hAnsi="Book Antiqua"/>
          <w:i/>
          <w:iCs/>
        </w:rPr>
        <w:t>Machen, Inc. v. Aircraft Design, Inc.</w:t>
      </w:r>
      <w:r w:rsidRPr="00067C89">
        <w:rPr>
          <w:rFonts w:ascii="Book Antiqua" w:hAnsi="Book Antiqua"/>
        </w:rPr>
        <w:t>, </w:t>
      </w:r>
      <w:hyperlink w:history="1" w:anchor="p327" r:id="rId18">
        <w:r w:rsidRPr="00067C89">
          <w:rPr>
            <w:rStyle w:val="Hyperlink"/>
            <w:rFonts w:ascii="Book Antiqua" w:hAnsi="Book Antiqua"/>
          </w:rPr>
          <w:t>65 Wn. App. 319, 327</w:t>
        </w:r>
      </w:hyperlink>
      <w:r w:rsidRPr="00067C89">
        <w:rPr>
          <w:rFonts w:ascii="Book Antiqua" w:hAnsi="Book Antiqua"/>
        </w:rPr>
        <w:t>, </w:t>
      </w:r>
      <w:hyperlink w:history="1" r:id="rId19">
        <w:r w:rsidRPr="00067C89">
          <w:rPr>
            <w:rStyle w:val="Hyperlink"/>
            <w:rFonts w:ascii="Book Antiqua" w:hAnsi="Book Antiqua"/>
          </w:rPr>
          <w:t>828 P.2d 73</w:t>
        </w:r>
      </w:hyperlink>
      <w:r w:rsidRPr="00067C89">
        <w:rPr>
          <w:rFonts w:ascii="Book Antiqua" w:hAnsi="Book Antiqua"/>
        </w:rPr>
        <w:t> (1992), </w:t>
      </w:r>
      <w:r w:rsidRPr="00067C89">
        <w:rPr>
          <w:rFonts w:ascii="Book Antiqua" w:hAnsi="Book Antiqua"/>
          <w:i/>
          <w:iCs/>
        </w:rPr>
        <w:t>overruled on other grounds by Waterjet Tech., Inc. v. Flow Int'l Corp.</w:t>
      </w:r>
      <w:r w:rsidRPr="00067C89">
        <w:rPr>
          <w:rFonts w:ascii="Book Antiqua" w:hAnsi="Book Antiqua"/>
        </w:rPr>
        <w:t>, </w:t>
      </w:r>
      <w:hyperlink w:history="1" w:anchor="p323" r:id="rId20">
        <w:r w:rsidRPr="00067C89">
          <w:rPr>
            <w:rStyle w:val="Hyperlink"/>
            <w:rFonts w:ascii="Book Antiqua" w:hAnsi="Book Antiqua"/>
          </w:rPr>
          <w:t>140 Wn.2d 313, 323</w:t>
        </w:r>
      </w:hyperlink>
      <w:r w:rsidRPr="00067C89">
        <w:rPr>
          <w:rFonts w:ascii="Book Antiqua" w:hAnsi="Book Antiqua"/>
        </w:rPr>
        <w:t>, </w:t>
      </w:r>
      <w:hyperlink w:history="1" r:id="rId21">
        <w:r w:rsidRPr="00067C89">
          <w:rPr>
            <w:rStyle w:val="Hyperlink"/>
            <w:rFonts w:ascii="Book Antiqua" w:hAnsi="Book Antiqua"/>
          </w:rPr>
          <w:t>996 P.2d 598</w:t>
        </w:r>
      </w:hyperlink>
      <w:r w:rsidRPr="00067C89">
        <w:rPr>
          <w:rFonts w:ascii="Book Antiqua" w:hAnsi="Book Antiqua"/>
        </w:rPr>
        <w:t> (2000).</w:t>
      </w:r>
    </w:p>
    <w:p w:rsidRPr="00067C89" w:rsidR="006F24E1" w:rsidP="00AA50A8" w:rsidRDefault="006F24E1" w14:paraId="481B432E" w14:textId="1382443E">
      <w:pPr>
        <w:pStyle w:val="standard0"/>
        <w:spacing w:after="120" w:line="240" w:lineRule="auto"/>
        <w:ind w:left="720" w:right="1440" w:firstLine="0"/>
        <w:rPr>
          <w:rFonts w:ascii="Book Antiqua" w:hAnsi="Book Antiqua"/>
        </w:rPr>
      </w:pPr>
      <w:r w:rsidRPr="00067C89">
        <w:rPr>
          <w:rFonts w:ascii="Book Antiqua" w:hAnsi="Book Antiqua"/>
        </w:rPr>
        <w:t xml:space="preserve"> The declarations of the claims managers are too conclusory to prove that the claims manuals compile information in an innovative way</w:t>
      </w:r>
      <w:r w:rsidRPr="00500BCC">
        <w:rPr>
          <w:rFonts w:ascii="Book Antiqua" w:hAnsi="Book Antiqua"/>
        </w:rPr>
        <w:t>.</w:t>
      </w:r>
      <w:r w:rsidRPr="00500BCC" w:rsidR="00364B4C">
        <w:rPr>
          <w:rFonts w:ascii="Book Antiqua" w:hAnsi="Book Antiqua"/>
        </w:rPr>
        <w:t xml:space="preserve"> </w:t>
      </w:r>
      <w:r w:rsidRPr="00500BCC">
        <w:rPr>
          <w:rFonts w:ascii="Book Antiqua" w:hAnsi="Book Antiqua"/>
        </w:rPr>
        <w:t xml:space="preserve"> The declarations</w:t>
      </w:r>
      <w:r w:rsidRPr="00067C89">
        <w:rPr>
          <w:rFonts w:ascii="Book Antiqua" w:hAnsi="Book Antiqua"/>
        </w:rPr>
        <w:t xml:space="preserve"> do not supply any concrete examples to illustrate how the strategies or philosophies of Fireman's Fund claims handling procedures differ materially from the strategies or philosophies of other insurers.</w:t>
      </w:r>
    </w:p>
    <w:p w:rsidRPr="00500BCC" w:rsidR="00344C3F" w:rsidP="00067C89" w:rsidRDefault="00344C3F" w14:paraId="30CAF2E4" w14:textId="57EE4B19">
      <w:pPr>
        <w:pStyle w:val="standard0"/>
        <w:spacing w:before="240"/>
        <w:ind w:firstLine="0"/>
        <w:rPr>
          <w:rFonts w:ascii="Book Antiqua" w:hAnsi="Book Antiqua"/>
        </w:rPr>
      </w:pPr>
      <w:r>
        <w:rPr>
          <w:rFonts w:ascii="Book Antiqua" w:hAnsi="Book Antiqua"/>
        </w:rPr>
        <w:t xml:space="preserve">As the declarations in the </w:t>
      </w:r>
      <w:r w:rsidRPr="00344C3F">
        <w:rPr>
          <w:rFonts w:ascii="Book Antiqua" w:hAnsi="Book Antiqua"/>
          <w:i/>
          <w:iCs/>
        </w:rPr>
        <w:t>Woo</w:t>
      </w:r>
      <w:r>
        <w:rPr>
          <w:rFonts w:ascii="Book Antiqua" w:hAnsi="Book Antiqua"/>
        </w:rPr>
        <w:t xml:space="preserve"> decision failed to do, the Collins Declaration also fails to provide any concrete examples of how Lyft’s business strategies or marketing philosophies differ from the other </w:t>
      </w:r>
      <w:r w:rsidRPr="00500BCC">
        <w:rPr>
          <w:rFonts w:ascii="Book Antiqua" w:hAnsi="Book Antiqua"/>
        </w:rPr>
        <w:t>TNCs.</w:t>
      </w:r>
      <w:r w:rsidRPr="00500BCC" w:rsidR="00780201">
        <w:rPr>
          <w:rFonts w:ascii="Book Antiqua" w:hAnsi="Book Antiqua"/>
        </w:rPr>
        <w:t xml:space="preserve">  </w:t>
      </w:r>
      <w:r w:rsidRPr="00500BCC">
        <w:rPr>
          <w:rFonts w:ascii="Book Antiqua" w:hAnsi="Book Antiqua"/>
        </w:rPr>
        <w:t xml:space="preserve">For example, Ms. Collins alleges that </w:t>
      </w:r>
    </w:p>
    <w:p w:rsidRPr="00500BCC" w:rsidR="00344C3F" w:rsidP="00AA50A8" w:rsidRDefault="00344C3F" w14:paraId="0AF31719" w14:textId="0F74DCC5">
      <w:pPr>
        <w:pStyle w:val="standard0"/>
        <w:spacing w:after="120" w:line="240" w:lineRule="auto"/>
        <w:ind w:left="720" w:right="1440" w:firstLine="0"/>
      </w:pPr>
      <w:r w:rsidRPr="00500BCC">
        <w:rPr>
          <w:rFonts w:ascii="Book Antiqua" w:hAnsi="Book Antiqua"/>
        </w:rPr>
        <w:lastRenderedPageBreak/>
        <w:t xml:space="preserve">Lyft can gauge the effectiveness of those incentives in </w:t>
      </w:r>
      <w:r w:rsidRPr="00500BCC" w:rsidR="00D00AD4">
        <w:rPr>
          <w:rFonts w:ascii="Book Antiqua" w:hAnsi="Book Antiqua"/>
        </w:rPr>
        <w:t>in</w:t>
      </w:r>
      <w:r w:rsidRPr="00500BCC">
        <w:rPr>
          <w:rFonts w:ascii="Book Antiqua" w:hAnsi="Book Antiqua"/>
        </w:rPr>
        <w:t xml:space="preserve">creasing the </w:t>
      </w:r>
      <w:r w:rsidRPr="00500BCC" w:rsidR="00D00AD4">
        <w:rPr>
          <w:rFonts w:ascii="Book Antiqua" w:hAnsi="Book Antiqua"/>
        </w:rPr>
        <w:t>supply</w:t>
      </w:r>
      <w:r w:rsidRPr="00500BCC">
        <w:rPr>
          <w:rFonts w:ascii="Book Antiqua" w:hAnsi="Book Antiqua"/>
        </w:rPr>
        <w:t xml:space="preserve"> of drivers and can adjust its incentive programs going forward. </w:t>
      </w:r>
      <w:r w:rsidRPr="00500BCC" w:rsidR="00780201">
        <w:rPr>
          <w:rFonts w:ascii="Book Antiqua" w:hAnsi="Book Antiqua"/>
        </w:rPr>
        <w:t xml:space="preserve"> </w:t>
      </w:r>
      <w:r w:rsidRPr="00500BCC">
        <w:rPr>
          <w:rFonts w:ascii="Book Antiqua" w:hAnsi="Book Antiqua"/>
        </w:rPr>
        <w:t>Similarly, by cross-referencing its ride numbers agains</w:t>
      </w:r>
      <w:r w:rsidRPr="00500BCC" w:rsidR="00D00AD4">
        <w:rPr>
          <w:rFonts w:ascii="Book Antiqua" w:hAnsi="Book Antiqua"/>
        </w:rPr>
        <w:t>t</w:t>
      </w:r>
      <w:r w:rsidRPr="00500BCC">
        <w:rPr>
          <w:rFonts w:ascii="Book Antiqua" w:hAnsi="Book Antiqua"/>
        </w:rPr>
        <w:t xml:space="preserve"> the </w:t>
      </w:r>
      <w:r w:rsidRPr="00500BCC" w:rsidR="00D00AD4">
        <w:rPr>
          <w:rFonts w:ascii="Book Antiqua" w:hAnsi="Book Antiqua"/>
        </w:rPr>
        <w:t>particular</w:t>
      </w:r>
      <w:r w:rsidRPr="00500BCC">
        <w:rPr>
          <w:rFonts w:ascii="Book Antiqua" w:hAnsi="Book Antiqua"/>
        </w:rPr>
        <w:t xml:space="preserve"> passenger promotions run at that time, Lyft can track, assess, and understand the efficacy of its passenger-directed promotions, and can adjust them accordingly.</w:t>
      </w:r>
      <w:r w:rsidRPr="00500BCC" w:rsidR="00D00AD4">
        <w:rPr>
          <w:rStyle w:val="FootnoteReference"/>
          <w:rFonts w:ascii="Book Antiqua" w:hAnsi="Book Antiqua"/>
        </w:rPr>
        <w:footnoteReference w:id="62"/>
      </w:r>
    </w:p>
    <w:p w:rsidRPr="00500BCC" w:rsidR="008C2089" w:rsidP="00D00AD4" w:rsidRDefault="00D00AD4" w14:paraId="3A96FF12" w14:textId="77777777">
      <w:pPr>
        <w:pStyle w:val="standard0"/>
        <w:ind w:firstLine="0"/>
        <w:rPr>
          <w:rFonts w:ascii="Book Antiqua" w:hAnsi="Book Antiqua"/>
        </w:rPr>
      </w:pPr>
      <w:r w:rsidRPr="00500BCC">
        <w:rPr>
          <w:rFonts w:ascii="Book Antiqua" w:hAnsi="Book Antiqua"/>
        </w:rPr>
        <w:t xml:space="preserve">Yet the Collins Declaration fails to demonstrate that Lyft’s business practices and data analytics are any different </w:t>
      </w:r>
      <w:r w:rsidRPr="00500BCC" w:rsidR="00DB4059">
        <w:rPr>
          <w:rFonts w:ascii="Book Antiqua" w:hAnsi="Book Antiqua"/>
        </w:rPr>
        <w:t>from</w:t>
      </w:r>
      <w:r w:rsidRPr="00500BCC">
        <w:rPr>
          <w:rFonts w:ascii="Book Antiqua" w:hAnsi="Book Antiqua"/>
        </w:rPr>
        <w:t xml:space="preserve"> the practices and analytics employed at other TNCs, or that no other TNC utilize</w:t>
      </w:r>
      <w:r w:rsidRPr="00500BCC" w:rsidR="00DB4059">
        <w:rPr>
          <w:rFonts w:ascii="Book Antiqua" w:hAnsi="Book Antiqua"/>
        </w:rPr>
        <w:t>s</w:t>
      </w:r>
      <w:r w:rsidRPr="00500BCC">
        <w:rPr>
          <w:rFonts w:ascii="Book Antiqua" w:hAnsi="Book Antiqua"/>
        </w:rPr>
        <w:t xml:space="preserve"> such practices and analytics.</w:t>
      </w:r>
    </w:p>
    <w:p w:rsidRPr="00500BCC" w:rsidR="00A472EB" w:rsidP="00067C89" w:rsidRDefault="00A472EB" w14:paraId="5A4E3461" w14:textId="24E1E727">
      <w:pPr>
        <w:pStyle w:val="Standard"/>
      </w:pPr>
      <w:r w:rsidRPr="00500BCC">
        <w:t xml:space="preserve">When competitors engage in the same or similar processes to recruit potential customers and drivers, a claim that trip data information is either novel or unique </w:t>
      </w:r>
      <w:r w:rsidR="001D09BA">
        <w:t xml:space="preserve">must be viewed with suspicion. </w:t>
      </w:r>
      <w:r w:rsidRPr="00500BCC">
        <w:t xml:space="preserve"> In </w:t>
      </w:r>
      <w:r w:rsidRPr="00500BCC">
        <w:rPr>
          <w:i/>
          <w:iCs/>
        </w:rPr>
        <w:t>American Paper &amp; Packaging Products, Inc. v. Kirgan</w:t>
      </w:r>
      <w:r w:rsidRPr="00500BCC">
        <w:t xml:space="preserve"> (1986) 183 Cal.App.3d</w:t>
      </w:r>
      <w:r w:rsidRPr="00500BCC" w:rsidR="004E750F">
        <w:t xml:space="preserve"> 1318</w:t>
      </w:r>
      <w:r w:rsidRPr="00500BCC">
        <w:t>,</w:t>
      </w:r>
      <w:r w:rsidRPr="00500BCC" w:rsidR="004E750F">
        <w:t xml:space="preserve"> </w:t>
      </w:r>
      <w:r w:rsidRPr="00500BCC">
        <w:t>1326, the Court addressed this issue in a slightly different context (</w:t>
      </w:r>
      <w:r w:rsidRPr="00500BCC" w:rsidR="004E750F">
        <w:rPr>
          <w:i/>
          <w:iCs/>
        </w:rPr>
        <w:t>i.e</w:t>
      </w:r>
      <w:r w:rsidRPr="00500BCC" w:rsidR="004E750F">
        <w:t>.,</w:t>
      </w:r>
      <w:r w:rsidRPr="00500BCC">
        <w:t xml:space="preserve"> use of customer lists):</w:t>
      </w:r>
    </w:p>
    <w:p w:rsidR="00A472EB" w:rsidP="00AA50A8" w:rsidRDefault="00A472EB" w14:paraId="76FCC63E" w14:textId="5A180FB3">
      <w:pPr>
        <w:spacing w:after="120" w:line="240" w:lineRule="auto"/>
        <w:ind w:left="720" w:right="1440" w:firstLine="0"/>
      </w:pPr>
      <w:r w:rsidRPr="00500BCC">
        <w:t xml:space="preserve">The compilation process in this case is neither sophisticated nor difficult nor particularly time consuming. </w:t>
      </w:r>
      <w:r w:rsidRPr="00500BCC" w:rsidR="00AA50A8">
        <w:t xml:space="preserve"> </w:t>
      </w:r>
      <w:r w:rsidRPr="00500BCC">
        <w:t xml:space="preserve">The evidence presented shows that the shipping business is very competitive and that manufacturers will often deal with more than one company at a time. </w:t>
      </w:r>
      <w:r w:rsidRPr="00500BCC" w:rsidR="00AA50A8">
        <w:t xml:space="preserve"> </w:t>
      </w:r>
      <w:r w:rsidRPr="00500BCC">
        <w:t xml:space="preserve">There is no evidence that all of appellant's competition comes from respondents' new employer. </w:t>
      </w:r>
      <w:r w:rsidRPr="00500BCC" w:rsidR="00AA50A8">
        <w:t xml:space="preserve"> </w:t>
      </w:r>
      <w:r w:rsidRPr="00500BCC">
        <w:t>Obviously, all the competitors have secured the</w:t>
      </w:r>
      <w:r w:rsidRPr="008652B6">
        <w:t xml:space="preserve"> same information that appellant claims and, in all likelihood, did so in the same manner as appellant--a process described herein by respondents. </w:t>
      </w:r>
    </w:p>
    <w:p w:rsidR="00D00AD4" w:rsidP="00A472EB" w:rsidRDefault="00A472EB" w14:paraId="3A9E8B16" w14:textId="04574EA4">
      <w:pPr>
        <w:pStyle w:val="standard0"/>
        <w:ind w:firstLine="0"/>
        <w:rPr>
          <w:rFonts w:ascii="Book Antiqua" w:hAnsi="Book Antiqua"/>
        </w:rPr>
      </w:pPr>
      <w:r>
        <w:rPr>
          <w:rFonts w:ascii="Book Antiqua" w:hAnsi="Book Antiqua"/>
        </w:rPr>
        <w:t>A</w:t>
      </w:r>
      <w:r w:rsidR="00A235CB">
        <w:rPr>
          <w:rFonts w:ascii="Book Antiqua" w:hAnsi="Book Antiqua"/>
        </w:rPr>
        <w:t xml:space="preserve"> comparison of the Collins Declaration and the Declaration of Peter Sauerwein that was submitted in support of Uber’s </w:t>
      </w:r>
      <w:r w:rsidRPr="00A235CB" w:rsidR="00A235CB">
        <w:rPr>
          <w:rFonts w:ascii="Book Antiqua" w:hAnsi="Book Antiqua"/>
          <w:i/>
          <w:iCs/>
        </w:rPr>
        <w:t>Motion for Confidential Treatment</w:t>
      </w:r>
      <w:r w:rsidR="00A235CB">
        <w:rPr>
          <w:rFonts w:ascii="Book Antiqua" w:hAnsi="Book Antiqua"/>
          <w:i/>
          <w:iCs/>
        </w:rPr>
        <w:t xml:space="preserve"> </w:t>
      </w:r>
      <w:r w:rsidR="00A235CB">
        <w:rPr>
          <w:rFonts w:ascii="Book Antiqua" w:hAnsi="Book Antiqua"/>
        </w:rPr>
        <w:t xml:space="preserve">reveals that both declarants make similar claims about how their respective companies utilize trip data to further their business operations. </w:t>
      </w:r>
      <w:r w:rsidR="004B3CBA">
        <w:rPr>
          <w:rFonts w:ascii="Book Antiqua" w:hAnsi="Book Antiqua"/>
        </w:rPr>
        <w:t xml:space="preserve"> </w:t>
      </w:r>
      <w:r w:rsidR="006033C9">
        <w:rPr>
          <w:rFonts w:ascii="Book Antiqua" w:hAnsi="Book Antiqua"/>
        </w:rPr>
        <w:t xml:space="preserve">Both Ms. Collins and </w:t>
      </w:r>
      <w:r w:rsidR="006033C9">
        <w:rPr>
          <w:rFonts w:ascii="Book Antiqua" w:hAnsi="Book Antiqua"/>
        </w:rPr>
        <w:lastRenderedPageBreak/>
        <w:t>Mr.</w:t>
      </w:r>
      <w:r w:rsidR="000313D7">
        <w:rPr>
          <w:rFonts w:ascii="Book Antiqua" w:hAnsi="Book Antiqua"/>
        </w:rPr>
        <w:t> </w:t>
      </w:r>
      <w:r w:rsidR="006033C9">
        <w:rPr>
          <w:rFonts w:ascii="Book Antiqua" w:hAnsi="Book Antiqua"/>
        </w:rPr>
        <w:t>Sauerwein attest that their employers (1) compete against each other in terms of earning opportunities, app functions, and customer service (Collins Declaration ¶</w:t>
      </w:r>
      <w:r w:rsidR="008C2089">
        <w:rPr>
          <w:rFonts w:ascii="Book Antiqua" w:hAnsi="Book Antiqua"/>
        </w:rPr>
        <w:t>¶27 and 30</w:t>
      </w:r>
      <w:r w:rsidR="006033C9">
        <w:rPr>
          <w:rFonts w:ascii="Book Antiqua" w:hAnsi="Book Antiqua"/>
        </w:rPr>
        <w:t xml:space="preserve">; Sauerwein Declaration ¶4); </w:t>
      </w:r>
      <w:r w:rsidR="008C2089">
        <w:rPr>
          <w:rFonts w:ascii="Book Antiqua" w:hAnsi="Book Antiqua"/>
        </w:rPr>
        <w:t xml:space="preserve">and </w:t>
      </w:r>
      <w:r w:rsidR="006033C9">
        <w:rPr>
          <w:rFonts w:ascii="Book Antiqua" w:hAnsi="Book Antiqua"/>
        </w:rPr>
        <w:t>(</w:t>
      </w:r>
      <w:r w:rsidR="009D62B4">
        <w:rPr>
          <w:rFonts w:ascii="Book Antiqua" w:hAnsi="Book Antiqua"/>
        </w:rPr>
        <w:t>2</w:t>
      </w:r>
      <w:r w:rsidR="006033C9">
        <w:rPr>
          <w:rFonts w:ascii="Book Antiqua" w:hAnsi="Book Antiqua"/>
        </w:rPr>
        <w:t>) develop new products and fea</w:t>
      </w:r>
      <w:r w:rsidR="008C2089">
        <w:rPr>
          <w:rFonts w:ascii="Book Antiqua" w:hAnsi="Book Antiqua"/>
        </w:rPr>
        <w:t>t</w:t>
      </w:r>
      <w:r w:rsidR="006033C9">
        <w:rPr>
          <w:rFonts w:ascii="Book Antiqua" w:hAnsi="Book Antiqua"/>
        </w:rPr>
        <w:t>ures through their use of the trip data to make rides more attractive to customers and drivers (Collins Declaration</w:t>
      </w:r>
      <w:r w:rsidR="008C2089">
        <w:rPr>
          <w:rFonts w:ascii="Book Antiqua" w:hAnsi="Book Antiqua"/>
        </w:rPr>
        <w:t xml:space="preserve"> </w:t>
      </w:r>
      <w:r w:rsidR="009D62B4">
        <w:rPr>
          <w:rFonts w:ascii="Book Antiqua" w:hAnsi="Book Antiqua"/>
        </w:rPr>
        <w:t>¶</w:t>
      </w:r>
      <w:r w:rsidR="008C2089">
        <w:rPr>
          <w:rFonts w:ascii="Book Antiqua" w:hAnsi="Book Antiqua"/>
        </w:rPr>
        <w:t>¶</w:t>
      </w:r>
      <w:r w:rsidR="009D62B4">
        <w:rPr>
          <w:rFonts w:ascii="Book Antiqua" w:hAnsi="Book Antiqua"/>
        </w:rPr>
        <w:t xml:space="preserve">27 and </w:t>
      </w:r>
      <w:r w:rsidR="008C2089">
        <w:rPr>
          <w:rFonts w:ascii="Book Antiqua" w:hAnsi="Book Antiqua"/>
        </w:rPr>
        <w:t>28</w:t>
      </w:r>
      <w:r w:rsidR="006033C9">
        <w:rPr>
          <w:rFonts w:ascii="Book Antiqua" w:hAnsi="Book Antiqua"/>
        </w:rPr>
        <w:t>; Sauerwein Declaration ¶¶6 and 7.)</w:t>
      </w:r>
      <w:r w:rsidR="008C2089">
        <w:rPr>
          <w:rFonts w:ascii="Book Antiqua" w:hAnsi="Book Antiqua"/>
        </w:rPr>
        <w:t xml:space="preserve"> </w:t>
      </w:r>
      <w:r w:rsidR="004B3CBA">
        <w:rPr>
          <w:rFonts w:ascii="Book Antiqua" w:hAnsi="Book Antiqua"/>
        </w:rPr>
        <w:t xml:space="preserve"> </w:t>
      </w:r>
      <w:r w:rsidR="0024339F">
        <w:rPr>
          <w:rFonts w:ascii="Book Antiqua" w:hAnsi="Book Antiqua"/>
        </w:rPr>
        <w:t>W</w:t>
      </w:r>
      <w:r w:rsidR="008C2089">
        <w:rPr>
          <w:rFonts w:ascii="Book Antiqua" w:hAnsi="Book Antiqua"/>
        </w:rPr>
        <w:t>hile the internal data analytic process may vary</w:t>
      </w:r>
      <w:r w:rsidR="00946447">
        <w:rPr>
          <w:rFonts w:ascii="Book Antiqua" w:hAnsi="Book Antiqua"/>
        </w:rPr>
        <w:t xml:space="preserve"> at each company</w:t>
      </w:r>
      <w:r w:rsidR="008C2089">
        <w:rPr>
          <w:rFonts w:ascii="Book Antiqua" w:hAnsi="Book Antiqua"/>
        </w:rPr>
        <w:t xml:space="preserve">, both Uber and Lyft </w:t>
      </w:r>
      <w:r w:rsidR="0024339F">
        <w:rPr>
          <w:rFonts w:ascii="Book Antiqua" w:hAnsi="Book Antiqua"/>
        </w:rPr>
        <w:t xml:space="preserve">claim they </w:t>
      </w:r>
      <w:r w:rsidR="008C2089">
        <w:rPr>
          <w:rFonts w:ascii="Book Antiqua" w:hAnsi="Book Antiqua"/>
        </w:rPr>
        <w:t>are engaging in similar process</w:t>
      </w:r>
      <w:r w:rsidR="00946447">
        <w:rPr>
          <w:rFonts w:ascii="Book Antiqua" w:hAnsi="Book Antiqua"/>
        </w:rPr>
        <w:t>es</w:t>
      </w:r>
      <w:r w:rsidR="008C2089">
        <w:rPr>
          <w:rFonts w:ascii="Book Antiqua" w:hAnsi="Book Antiqua"/>
        </w:rPr>
        <w:t xml:space="preserve"> of utilizing trip data to improve </w:t>
      </w:r>
      <w:r w:rsidR="0024339F">
        <w:rPr>
          <w:rFonts w:ascii="Book Antiqua" w:hAnsi="Book Antiqua"/>
        </w:rPr>
        <w:t>customer service and maintain or improve their competitive advantage over the same pool of potential TNC passengers and drivers.</w:t>
      </w:r>
    </w:p>
    <w:p w:rsidR="006F24E1" w:rsidP="00067C89" w:rsidRDefault="00A472EB" w14:paraId="2A5C6B79" w14:textId="20DB64D4">
      <w:pPr>
        <w:pStyle w:val="Standard"/>
      </w:pPr>
      <w:r>
        <w:t xml:space="preserve">Another problem with Lyft’s uniqueness argument is that it fails to establish, beyond generalized claims in the Collins Declaration, that any of Lyft’s competitors would want Lyft’s trip data. </w:t>
      </w:r>
      <w:r w:rsidR="004B3CBA">
        <w:t xml:space="preserve"> </w:t>
      </w:r>
      <w:r>
        <w:t>For example, t</w:t>
      </w:r>
      <w:r w:rsidR="006F24E1">
        <w:t xml:space="preserve">he </w:t>
      </w:r>
      <w:r w:rsidRPr="00DB4059" w:rsidR="006F24E1">
        <w:rPr>
          <w:i/>
          <w:iCs/>
        </w:rPr>
        <w:t>Woo</w:t>
      </w:r>
      <w:r w:rsidR="006F24E1">
        <w:t xml:space="preserve"> Court reject</w:t>
      </w:r>
      <w:r>
        <w:t>ed</w:t>
      </w:r>
      <w:r w:rsidR="006F24E1">
        <w:t xml:space="preserve"> the trade secret claim that </w:t>
      </w:r>
      <w:r>
        <w:t>its</w:t>
      </w:r>
      <w:r w:rsidR="006F24E1">
        <w:t xml:space="preserve"> claim manual was unique, finding that there was no concrete evidence that a competitor would want to utilize the claim manual</w:t>
      </w:r>
      <w:r w:rsidR="00344C3F">
        <w:t>, as well as</w:t>
      </w:r>
      <w:r w:rsidR="006F24E1">
        <w:t xml:space="preserve"> the financial benefit that a competitor would realize:</w:t>
      </w:r>
    </w:p>
    <w:p w:rsidR="006F24E1" w:rsidP="00AA50A8" w:rsidRDefault="006F24E1" w14:paraId="34CCDED0" w14:textId="74AE85BF">
      <w:pPr>
        <w:pStyle w:val="standard0"/>
        <w:spacing w:after="120" w:line="240" w:lineRule="auto"/>
        <w:ind w:left="720" w:right="1440" w:firstLine="0"/>
        <w:rPr>
          <w:rFonts w:ascii="Book Antiqua" w:hAnsi="Book Antiqua"/>
        </w:rPr>
      </w:pPr>
      <w:r w:rsidRPr="006F24E1">
        <w:rPr>
          <w:rFonts w:ascii="Book Antiqua" w:hAnsi="Book Antiqua"/>
        </w:rPr>
        <w:t>The declarations provide no proof that any rival company would want to copy the manuals, nor do they quantify in any meaningful way the competitive advantage that the hypothetical plagiarizer would enjoy. </w:t>
      </w:r>
      <w:r w:rsidR="00AA50A8">
        <w:rPr>
          <w:rFonts w:ascii="Book Antiqua" w:hAnsi="Book Antiqua"/>
        </w:rPr>
        <w:t> </w:t>
      </w:r>
      <w:r w:rsidRPr="006F24E1">
        <w:rPr>
          <w:rFonts w:ascii="Book Antiqua" w:hAnsi="Book Antiqua"/>
          <w:i/>
          <w:iCs/>
        </w:rPr>
        <w:t>See Buffets, Inc.</w:t>
      </w:r>
      <w:r w:rsidRPr="006F24E1">
        <w:rPr>
          <w:rFonts w:ascii="Book Antiqua" w:hAnsi="Book Antiqua"/>
        </w:rPr>
        <w:t>, </w:t>
      </w:r>
      <w:hyperlink w:history="1" w:anchor="p969" r:id="rId22">
        <w:r w:rsidRPr="006F24E1">
          <w:rPr>
            <w:rStyle w:val="Hyperlink"/>
            <w:rFonts w:ascii="Book Antiqua" w:hAnsi="Book Antiqua"/>
          </w:rPr>
          <w:t>73 F.3d at 969</w:t>
        </w:r>
      </w:hyperlink>
      <w:r w:rsidRPr="006F24E1">
        <w:rPr>
          <w:rFonts w:ascii="Book Antiqua" w:hAnsi="Book Antiqua"/>
        </w:rPr>
        <w:t> (restaurant chain asserting trade secret protection for fried chicken recipes did not demonstrate any relationship between competitors' lack of success and unavailability of the recipes).</w:t>
      </w:r>
      <w:r>
        <w:rPr>
          <w:rFonts w:ascii="Book Antiqua" w:hAnsi="Book Antiqua"/>
        </w:rPr>
        <w:t xml:space="preserve"> </w:t>
      </w:r>
    </w:p>
    <w:p w:rsidR="006F24E1" w:rsidP="00364B4C" w:rsidRDefault="00344C3F" w14:paraId="6A536EBB" w14:textId="1BB7D051">
      <w:pPr>
        <w:pStyle w:val="standard0"/>
        <w:spacing w:before="120"/>
        <w:ind w:firstLine="0"/>
        <w:rPr>
          <w:rFonts w:ascii="Book Antiqua" w:hAnsi="Book Antiqua"/>
        </w:rPr>
      </w:pPr>
      <w:r>
        <w:rPr>
          <w:rFonts w:ascii="Book Antiqua" w:hAnsi="Book Antiqua"/>
        </w:rPr>
        <w:t xml:space="preserve">Similarly, the Collins Declaration provides no proof, other than speculation, that a rival TNC would want Lyft’s databases and how much revenue or market share the rival TNC would realize. </w:t>
      </w:r>
      <w:r w:rsidR="004B3CBA">
        <w:rPr>
          <w:rFonts w:ascii="Book Antiqua" w:hAnsi="Book Antiqua"/>
        </w:rPr>
        <w:t xml:space="preserve"> </w:t>
      </w:r>
      <w:r>
        <w:rPr>
          <w:rFonts w:ascii="Book Antiqua" w:hAnsi="Book Antiqua"/>
        </w:rPr>
        <w:t xml:space="preserve">At best, the Collins Declaration says Lyft’s </w:t>
      </w:r>
      <w:r>
        <w:rPr>
          <w:rFonts w:ascii="Book Antiqua" w:hAnsi="Book Antiqua"/>
        </w:rPr>
        <w:lastRenderedPageBreak/>
        <w:t xml:space="preserve">competitors “could and would analyze and manipulate that data” but she fails to provide any facts to back up her conclusions. </w:t>
      </w:r>
    </w:p>
    <w:p w:rsidRPr="002F27E8" w:rsidR="002F27E8" w:rsidP="00E43C1C" w:rsidRDefault="002F27E8" w14:paraId="23B3D559" w14:textId="276A7427">
      <w:pPr>
        <w:pStyle w:val="Heading3"/>
      </w:pPr>
      <w:bookmarkStart w:name="_Toc82193577" w:id="55"/>
      <w:bookmarkStart w:name="_Toc94682540" w:id="56"/>
      <w:bookmarkStart w:name="_Toc102479669" w:id="57"/>
      <w:r w:rsidRPr="002F27E8">
        <w:t>Comp</w:t>
      </w:r>
      <w:r w:rsidR="00E43C1C">
        <w:t>iled</w:t>
      </w:r>
      <w:r w:rsidRPr="002F27E8">
        <w:t xml:space="preserve"> for </w:t>
      </w:r>
      <w:r w:rsidR="00E43C1C">
        <w:t>R</w:t>
      </w:r>
      <w:r w:rsidRPr="002F27E8">
        <w:t xml:space="preserve">egulatory </w:t>
      </w:r>
      <w:r w:rsidR="00E43C1C">
        <w:t>P</w:t>
      </w:r>
      <w:r w:rsidRPr="002F27E8">
        <w:t>urpose</w:t>
      </w:r>
      <w:bookmarkEnd w:id="55"/>
      <w:bookmarkEnd w:id="56"/>
      <w:bookmarkEnd w:id="57"/>
    </w:p>
    <w:p w:rsidR="00D923B9" w:rsidP="004B3CBA" w:rsidRDefault="00565E48" w14:paraId="41FDF53C" w14:textId="0F8AF0A8">
      <w:pPr>
        <w:pStyle w:val="Standard"/>
      </w:pPr>
      <w:r>
        <w:t>The</w:t>
      </w:r>
      <w:r w:rsidR="00D15AA3">
        <w:t xml:space="preserve"> </w:t>
      </w:r>
      <w:r w:rsidR="00986A81">
        <w:t xml:space="preserve">Collins Declaration </w:t>
      </w:r>
      <w:r w:rsidR="003B6680">
        <w:t xml:space="preserve">provides additional evidence that the trip data is not novel or </w:t>
      </w:r>
      <w:r w:rsidRPr="00500BCC" w:rsidR="003B6680">
        <w:t>unique</w:t>
      </w:r>
      <w:r w:rsidR="001D09BA">
        <w:t>, thus further undermining Lyft’s trade secret claim</w:t>
      </w:r>
      <w:r w:rsidRPr="00500BCC" w:rsidR="003B6680">
        <w:t xml:space="preserve">. </w:t>
      </w:r>
      <w:r w:rsidRPr="00500BCC" w:rsidR="00364B4C">
        <w:t xml:space="preserve"> </w:t>
      </w:r>
      <w:r w:rsidRPr="00500BCC" w:rsidR="00D923B9">
        <w:t>Ms.</w:t>
      </w:r>
      <w:r w:rsidR="000313D7">
        <w:t> </w:t>
      </w:r>
      <w:r w:rsidRPr="00500BCC" w:rsidR="00D923B9">
        <w:t>Collins</w:t>
      </w:r>
      <w:r w:rsidR="00D923B9">
        <w:t xml:space="preserve"> admits that the Lyft trip data was “compiled for both regulatory reporting and business analytics purposes[,]”</w:t>
      </w:r>
      <w:r w:rsidR="00D923B9">
        <w:rPr>
          <w:rStyle w:val="FootnoteReference"/>
        </w:rPr>
        <w:footnoteReference w:id="63"/>
      </w:r>
      <w:r w:rsidR="00D923B9">
        <w:t xml:space="preserve">  which</w:t>
      </w:r>
      <w:r w:rsidR="009F452E">
        <w:t xml:space="preserve"> as the Commission will next explain,</w:t>
      </w:r>
      <w:r w:rsidR="00D923B9">
        <w:t xml:space="preserve"> undermines any claim that the trip data itself, or how it has been categorized and reported, is either novel or unique. </w:t>
      </w:r>
    </w:p>
    <w:p w:rsidR="009F452E" w:rsidP="004B3CBA" w:rsidRDefault="009F452E" w14:paraId="577CFD99" w14:textId="6184A86D">
      <w:pPr>
        <w:pStyle w:val="Standard"/>
        <w:rPr>
          <w:szCs w:val="26"/>
        </w:rPr>
      </w:pPr>
      <w:r>
        <w:t>The Commission’s requirement that each TNC provide trip data as part of its Annual Report stems from the Commission’s initial assertion of regulatory jurisdiction over the TNC</w:t>
      </w:r>
      <w:r w:rsidR="000643E5">
        <w:t>s operating in California</w:t>
      </w:r>
      <w:r>
        <w:t>.</w:t>
      </w:r>
      <w:r w:rsidRPr="009F452E">
        <w:t xml:space="preserve"> </w:t>
      </w:r>
      <w:r w:rsidR="004B3CBA">
        <w:t xml:space="preserve"> </w:t>
      </w:r>
      <w:r>
        <w:t>With the adoption of D.13</w:t>
      </w:r>
      <w:r w:rsidR="004B3CBA">
        <w:noBreakHyphen/>
      </w:r>
      <w:r>
        <w:t>09</w:t>
      </w:r>
      <w:r w:rsidR="004B3CBA">
        <w:noBreakHyphen/>
      </w:r>
      <w:r>
        <w:t>045, the Commission dictated the contents of the information needed for the Annual Reports, as well as the manner in which that information, including trip data, would be reported.</w:t>
      </w:r>
      <w:r>
        <w:rPr>
          <w:szCs w:val="26"/>
        </w:rPr>
        <w:t xml:space="preserve"> </w:t>
      </w:r>
      <w:r w:rsidR="004B3CBA">
        <w:rPr>
          <w:szCs w:val="26"/>
        </w:rPr>
        <w:t xml:space="preserve"> </w:t>
      </w:r>
      <w:r>
        <w:rPr>
          <w:szCs w:val="26"/>
        </w:rPr>
        <w:t xml:space="preserve">D.13-09-045 set forth various requirements that TNC must comply with, one of which was the obligation to submit verified Annual TNC Reports to the Commission that include </w:t>
      </w:r>
      <w:r w:rsidR="008D4D85">
        <w:rPr>
          <w:szCs w:val="26"/>
        </w:rPr>
        <w:t>trip data</w:t>
      </w:r>
      <w:r>
        <w:rPr>
          <w:szCs w:val="26"/>
        </w:rPr>
        <w:t xml:space="preserve"> about each trip provided by a TNC driver for the 11 months prior to Annual TNC Report’s due date:</w:t>
      </w:r>
    </w:p>
    <w:p w:rsidRPr="004B3CBA" w:rsidR="009F452E" w:rsidP="004B3CBA" w:rsidRDefault="009F452E" w14:paraId="7119BDD5" w14:textId="77777777">
      <w:pPr>
        <w:spacing w:after="120" w:line="240" w:lineRule="auto"/>
        <w:ind w:left="720" w:right="1440" w:firstLine="0"/>
        <w:rPr>
          <w:szCs w:val="26"/>
        </w:rPr>
      </w:pPr>
      <w:r w:rsidRPr="004B3CBA">
        <w:rPr>
          <w:rFonts w:cs="Times New Roman"/>
          <w:szCs w:val="20"/>
        </w:rPr>
        <w:t xml:space="preserve">One year from the effective date of these rules and annually thereafter, each TNC shall submit to the Safety and Enforcement Division a verified report detailing the number of rides requested and accepted by TNC drivers within each zip code where the TNC operates; and the number of rides that were requested but not accepted by TNC drivers within each zip code where the TNC operates.  The verified report provided by TNCs must contain the above ride information in </w:t>
      </w:r>
      <w:r w:rsidRPr="004B3CBA">
        <w:rPr>
          <w:rFonts w:cs="Times New Roman"/>
          <w:szCs w:val="20"/>
        </w:rPr>
        <w:lastRenderedPageBreak/>
        <w:t>electronic Excel or other spreadsheet format with information, separated by columns, of the date, time, and zip code of each request and the concomitant date, time, and zip code of each ride that was subsequently accepted or not accepted.  In addition, for each ride that was requested and accepted, the information must also contain a column that displays the zip code of where the ride began, a column where the ride ended, the miles travelled, and the amount paid/donated.  Also, each report must contain information aggregated by zip code and by total California of the number of rides requested and accepted by TNC drivers within each zip code where the TNC operates and the number of rides that were requested but not accepted by TNC drivers.</w:t>
      </w:r>
      <w:r w:rsidRPr="004B3CBA">
        <w:rPr>
          <w:szCs w:val="20"/>
          <w:vertAlign w:val="superscript"/>
        </w:rPr>
        <w:footnoteReference w:id="64"/>
      </w:r>
    </w:p>
    <w:p w:rsidR="009F452E" w:rsidP="004B3CBA" w:rsidRDefault="009F452E" w14:paraId="039479C3" w14:textId="00D7A002">
      <w:pPr>
        <w:pStyle w:val="Standard"/>
      </w:pPr>
      <w:r>
        <w:t xml:space="preserve">As the TNC business operations continue to grow, the Commission determined that additional reporting requirements were needed so that the Commission could ensure that the TNCs were operating in a safe and nondiscriminatory manner. </w:t>
      </w:r>
      <w:r w:rsidR="004B3CBA">
        <w:t xml:space="preserve"> </w:t>
      </w:r>
      <w:r>
        <w:t>D</w:t>
      </w:r>
      <w:r w:rsidR="004B3CBA">
        <w:t>.</w:t>
      </w:r>
      <w:r>
        <w:t>16</w:t>
      </w:r>
      <w:r w:rsidR="004B3CBA">
        <w:noBreakHyphen/>
      </w:r>
      <w:r>
        <w:t>04</w:t>
      </w:r>
      <w:r w:rsidR="004B3CBA">
        <w:noBreakHyphen/>
      </w:r>
      <w:r>
        <w:t xml:space="preserve">041, the Commission added the following reporting categories for inclusion in the Annual Reports: </w:t>
      </w:r>
      <w:r w:rsidR="004B3CBA">
        <w:t xml:space="preserve"> </w:t>
      </w:r>
      <w:r>
        <w:t>data on driver suspension, data on traffic incidents and accidents arising from TNC fare</w:t>
      </w:r>
      <w:r w:rsidR="004B3CBA">
        <w:noBreakHyphen/>
      </w:r>
      <w:r>
        <w:t>splitting services; data on zero-tolerance complaints; data on assaults and harassments; data on Off-Platform strip solicitations by drivers; and data on shared/pooled rides.</w:t>
      </w:r>
      <w:r>
        <w:rPr>
          <w:rStyle w:val="FootnoteReference"/>
          <w:szCs w:val="26"/>
        </w:rPr>
        <w:footnoteReference w:id="65"/>
      </w:r>
      <w:r>
        <w:t xml:space="preserve"> </w:t>
      </w:r>
    </w:p>
    <w:p w:rsidR="009F452E" w:rsidP="004B3CBA" w:rsidRDefault="009F452E" w14:paraId="720FD82C" w14:textId="71240B18">
      <w:pPr>
        <w:pStyle w:val="Standard"/>
      </w:pPr>
      <w:r>
        <w:t xml:space="preserve">The Commission also permitted its staff to supplement the trip data requirements in D.13-09-045 and D.16-04-041 to permit staff to gain sufficient information to evaluate TNC operations and to make recommendations for additional reporting category requirements. </w:t>
      </w:r>
      <w:r w:rsidR="004B3CBA">
        <w:t xml:space="preserve"> </w:t>
      </w:r>
      <w:r>
        <w:t xml:space="preserve">For example, the Commission’s Consumer Protection and Enforcement Division (CPED) has propounded data </w:t>
      </w:r>
      <w:r>
        <w:lastRenderedPageBreak/>
        <w:t>requests and has supplied the TNCs with additional granular data categories, along with a specimen Annual Report template.</w:t>
      </w:r>
      <w:r>
        <w:rPr>
          <w:rStyle w:val="FootnoteReference"/>
          <w:szCs w:val="26"/>
        </w:rPr>
        <w:footnoteReference w:id="66"/>
      </w:r>
      <w:r>
        <w:t xml:space="preserve"> </w:t>
      </w:r>
      <w:r w:rsidR="004B3CBA">
        <w:t xml:space="preserve"> </w:t>
      </w:r>
      <w:r>
        <w:t>For example, in the August</w:t>
      </w:r>
      <w:r w:rsidR="004B3CBA">
        <w:t> </w:t>
      </w:r>
      <w:r>
        <w:t>31,</w:t>
      </w:r>
      <w:r w:rsidR="004B3CBA">
        <w:t> </w:t>
      </w:r>
      <w:r>
        <w:t>2018 courtesy reminder to all TNCs, CPED states:</w:t>
      </w:r>
    </w:p>
    <w:p w:rsidRPr="000535ED" w:rsidR="009F452E" w:rsidP="00AA50A8" w:rsidRDefault="009F452E" w14:paraId="64E501E0" w14:textId="39665F3F">
      <w:pPr>
        <w:spacing w:after="120" w:line="240" w:lineRule="auto"/>
        <w:ind w:left="720" w:right="1440" w:firstLine="0"/>
      </w:pPr>
      <w:r w:rsidRPr="000535ED">
        <w:t>This is a courtesy reminder that, pursuant to Decision (D.)13</w:t>
      </w:r>
      <w:r w:rsidR="00AA50A8">
        <w:noBreakHyphen/>
      </w:r>
      <w:r w:rsidRPr="000535ED">
        <w:t>09</w:t>
      </w:r>
      <w:r w:rsidR="00AA50A8">
        <w:noBreakHyphen/>
      </w:r>
      <w:r w:rsidRPr="000535ED">
        <w:t>045 Ordering Paragraph 1</w:t>
      </w:r>
      <w:r>
        <w:t xml:space="preserve"> and D.16-04-041, </w:t>
      </w:r>
      <w:r w:rsidRPr="000535ED">
        <w:t xml:space="preserve">each TNC is required to submit the reports </w:t>
      </w:r>
      <w:r>
        <w:t>as required in the aforementioned Decisions</w:t>
      </w:r>
      <w:r w:rsidRPr="000535ED">
        <w:t xml:space="preserve">. </w:t>
      </w:r>
      <w:r>
        <w:t xml:space="preserve"> </w:t>
      </w:r>
      <w:r w:rsidRPr="004E0782">
        <w:t>Pleas</w:t>
      </w:r>
      <w:r>
        <w:t>e provide the required data no later than September 19, 2018, as required by law.  Please utilize the data t</w:t>
      </w:r>
      <w:r w:rsidRPr="004E0782">
        <w:t xml:space="preserve">emplates </w:t>
      </w:r>
      <w:r>
        <w:t>posted</w:t>
      </w:r>
      <w:r w:rsidRPr="004E0782">
        <w:t xml:space="preserve"> on the Commission website at </w:t>
      </w:r>
      <w:hyperlink w:history="1" r:id="rId23">
        <w:r w:rsidRPr="00451A09">
          <w:rPr>
            <w:rStyle w:val="Hyperlink"/>
          </w:rPr>
          <w:t>http://www.cpuc.ca.gov/General.aspx?id=3989</w:t>
        </w:r>
      </w:hyperlink>
      <w:r>
        <w:t>.  All data should be PC compatible.  In the bullet points below, Staff seeks to clarify the types of data that are required and requests a few additional pieces of information.</w:t>
      </w:r>
      <w:r>
        <w:rPr>
          <w:rStyle w:val="FootnoteReference"/>
        </w:rPr>
        <w:footnoteReference w:id="67"/>
      </w:r>
    </w:p>
    <w:p w:rsidR="009F452E" w:rsidP="009F452E" w:rsidRDefault="009F452E" w14:paraId="4085CBD0" w14:textId="77777777">
      <w:pPr>
        <w:ind w:firstLine="0"/>
        <w:rPr>
          <w:szCs w:val="26"/>
        </w:rPr>
      </w:pPr>
      <w:r>
        <w:rPr>
          <w:szCs w:val="26"/>
        </w:rPr>
        <w:t>With respect to the trip data required by regulatory requirement j in D.13-09-045, CPED add the following clarifications:</w:t>
      </w:r>
    </w:p>
    <w:p w:rsidR="009F452E" w:rsidP="00DB0DFE" w:rsidRDefault="009F452E" w14:paraId="64EC35CF" w14:textId="6206A54E">
      <w:pPr>
        <w:pStyle w:val="ListParagraph"/>
        <w:numPr>
          <w:ilvl w:val="0"/>
          <w:numId w:val="18"/>
        </w:numPr>
        <w:spacing w:after="120" w:line="240" w:lineRule="auto"/>
        <w:ind w:left="1080" w:right="1440"/>
        <w:contextualSpacing w:val="0"/>
      </w:pPr>
      <w:r>
        <w:t>Staff also directs each TNC to include a column that displays the time that each accepted ride began and a column that displays the time that each accepted ride ended.  Note that the time of each request and the time that each request is subsequently accepted or not accepted is included in Regulatory Requirement j.</w:t>
      </w:r>
    </w:p>
    <w:p w:rsidR="009F452E" w:rsidP="00DB0DFE" w:rsidRDefault="009F452E" w14:paraId="54D92668" w14:textId="0D31F004">
      <w:pPr>
        <w:pStyle w:val="ListParagraph"/>
        <w:numPr>
          <w:ilvl w:val="0"/>
          <w:numId w:val="18"/>
        </w:numPr>
        <w:spacing w:after="120" w:line="240" w:lineRule="auto"/>
        <w:ind w:left="1080" w:right="1440"/>
        <w:contextualSpacing w:val="0"/>
      </w:pPr>
      <w:r>
        <w:t xml:space="preserve">Staff also directs each TNC to include a column that displays the name of the driver and a unique identification number representing the driver for each ride that was requested and accepted by TNC drivers and rides that </w:t>
      </w:r>
      <w:r w:rsidRPr="000227E6">
        <w:t>were requested but not accepted</w:t>
      </w:r>
      <w:r>
        <w:t xml:space="preserve"> by TNC drivers.  The unique identification number shall be consistent for each driver and shall be the same unique identification number in all the document reports provided to the Commission under D.13-09-045 and D.16-04-041.  For example, if Jane Smith did not accept Ride 1 that was requested on January</w:t>
      </w:r>
      <w:r w:rsidR="00AA50A8">
        <w:t> </w:t>
      </w:r>
      <w:r>
        <w:t>1,</w:t>
      </w:r>
      <w:r w:rsidR="00AA50A8">
        <w:t> </w:t>
      </w:r>
      <w:r>
        <w:t>2018 at 12:</w:t>
      </w:r>
      <w:r w:rsidRPr="00500BCC">
        <w:t>05</w:t>
      </w:r>
      <w:r w:rsidRPr="00500BCC" w:rsidR="00500BCC">
        <w:t> </w:t>
      </w:r>
      <w:r w:rsidRPr="00500BCC">
        <w:t>a</w:t>
      </w:r>
      <w:r w:rsidRPr="00500BCC" w:rsidR="000A3B70">
        <w:t>.</w:t>
      </w:r>
      <w:r w:rsidRPr="00500BCC">
        <w:t>m</w:t>
      </w:r>
      <w:r w:rsidRPr="00500BCC" w:rsidR="000A3B70">
        <w:t>.</w:t>
      </w:r>
      <w:r w:rsidRPr="00500BCC">
        <w:t xml:space="preserve"> but did accept Ride 2 that was </w:t>
      </w:r>
      <w:r w:rsidRPr="00500BCC">
        <w:lastRenderedPageBreak/>
        <w:t>requested on January</w:t>
      </w:r>
      <w:r w:rsidR="00A85462">
        <w:t> </w:t>
      </w:r>
      <w:r w:rsidRPr="00500BCC">
        <w:t>2,</w:t>
      </w:r>
      <w:r w:rsidR="00A85462">
        <w:t> </w:t>
      </w:r>
      <w:r w:rsidRPr="00500BCC">
        <w:t>2018 at 12:10</w:t>
      </w:r>
      <w:r w:rsidRPr="00500BCC" w:rsidR="00500BCC">
        <w:t> </w:t>
      </w:r>
      <w:r w:rsidRPr="00500BCC">
        <w:t>a</w:t>
      </w:r>
      <w:r w:rsidRPr="00500BCC" w:rsidR="000A3B70">
        <w:t>.</w:t>
      </w:r>
      <w:r w:rsidRPr="00500BCC">
        <w:t>m</w:t>
      </w:r>
      <w:r w:rsidRPr="00500BCC" w:rsidR="000A3B70">
        <w:t>.</w:t>
      </w:r>
      <w:r w:rsidRPr="00500BCC">
        <w:t>, then the unique identification number for Jane Smith will be the</w:t>
      </w:r>
      <w:r>
        <w:t xml:space="preserve"> same in the data provided in the reports for both instances.</w:t>
      </w:r>
    </w:p>
    <w:p w:rsidR="009F452E" w:rsidP="000E78C6" w:rsidRDefault="009F452E" w14:paraId="66C2E010" w14:textId="40D5B73D">
      <w:pPr>
        <w:ind w:firstLine="0"/>
      </w:pPr>
      <w:r>
        <w:rPr>
          <w:szCs w:val="26"/>
        </w:rPr>
        <w:t>In addition to the templates and guidance, CPED also provided each TNC with a data dictionary with instructions on how the information should be populated in the Commission generated templates.</w:t>
      </w:r>
      <w:r w:rsidR="008D4D85">
        <w:rPr>
          <w:rStyle w:val="FootnoteReference"/>
          <w:szCs w:val="26"/>
        </w:rPr>
        <w:footnoteReference w:id="68"/>
      </w:r>
      <w:r w:rsidR="000E78C6">
        <w:rPr>
          <w:szCs w:val="26"/>
        </w:rPr>
        <w:t xml:space="preserve"> </w:t>
      </w:r>
      <w:r w:rsidR="004B3CBA">
        <w:rPr>
          <w:szCs w:val="26"/>
        </w:rPr>
        <w:t xml:space="preserve"> </w:t>
      </w:r>
      <w:r>
        <w:t>In sum, Lyft fails point to any aspect of the trip data it provide</w:t>
      </w:r>
      <w:r w:rsidR="00292A54">
        <w:t>d</w:t>
      </w:r>
      <w:r>
        <w:t xml:space="preserve"> in the </w:t>
      </w:r>
      <w:r w:rsidR="00292A54">
        <w:t xml:space="preserve">2020 </w:t>
      </w:r>
      <w:r>
        <w:t>Annual Report that is not compiled in expressed conformity with the formatting requirements dictated by the Commission and the Commission’s staff.</w:t>
      </w:r>
    </w:p>
    <w:p w:rsidR="002F27E8" w:rsidP="00AA50A8" w:rsidRDefault="002F27E8" w14:paraId="6AD3CBBF" w14:textId="30116186">
      <w:pPr>
        <w:pStyle w:val="Standard"/>
      </w:pPr>
      <w:r>
        <w:t xml:space="preserve">The Commission’s decision that Lyft has failed to meet its burden of proof is not affected by Lyft’s assertion that </w:t>
      </w:r>
      <w:r w:rsidR="00FB2181">
        <w:t>another</w:t>
      </w:r>
      <w:r>
        <w:t xml:space="preserve"> jurisdiction ha</w:t>
      </w:r>
      <w:r w:rsidR="00FB2181">
        <w:t>s</w:t>
      </w:r>
      <w:r>
        <w:t xml:space="preserve"> found that trip data is a trade secret even if it was collected and submitted for governmental compliance purposes. </w:t>
      </w:r>
      <w:r w:rsidR="004B3CBA">
        <w:t xml:space="preserve"> </w:t>
      </w:r>
      <w:r w:rsidR="00C86577">
        <w:t xml:space="preserve">Lyft cites </w:t>
      </w:r>
      <w:r w:rsidRPr="00C86577" w:rsidR="00C86577">
        <w:rPr>
          <w:i/>
          <w:iCs/>
        </w:rPr>
        <w:t>Lyft, Inc.</w:t>
      </w:r>
      <w:r w:rsidR="00C86577">
        <w:rPr>
          <w:i/>
          <w:iCs/>
        </w:rPr>
        <w:t>, et al.,</w:t>
      </w:r>
      <w:r w:rsidRPr="00C86577" w:rsidR="00C86577">
        <w:rPr>
          <w:i/>
          <w:iCs/>
        </w:rPr>
        <w:t xml:space="preserve"> v. City of Seattle</w:t>
      </w:r>
      <w:r w:rsidR="00C86577">
        <w:t xml:space="preserve"> (2018) 190 Wn.2d 769</w:t>
      </w:r>
      <w:r w:rsidR="00585DA3">
        <w:t xml:space="preserve"> (</w:t>
      </w:r>
      <w:r w:rsidRPr="00585DA3" w:rsidR="00585DA3">
        <w:rPr>
          <w:i/>
          <w:iCs/>
        </w:rPr>
        <w:t>City of Seattle</w:t>
      </w:r>
      <w:r w:rsidR="00585DA3">
        <w:t>)</w:t>
      </w:r>
      <w:r w:rsidR="00C86577">
        <w:t xml:space="preserve">, </w:t>
      </w:r>
      <w:r w:rsidR="000E78C6">
        <w:t xml:space="preserve">in which </w:t>
      </w:r>
      <w:r w:rsidR="00C86577">
        <w:t xml:space="preserve">following a mediation Lyft and Rasier, LLC (Uber’s wholly owned subsidiary) agreed to submit quarterly standardized reports that include the total number of rides, the percentage of rides completed in each zip code, pick-up and drop-off zip codes, the percentage of rides requested but unfulfilled, collision data, and the number of requested rides for accessible vehicles. </w:t>
      </w:r>
      <w:r w:rsidR="004B3CBA">
        <w:t xml:space="preserve"> </w:t>
      </w:r>
      <w:r w:rsidR="00C86577">
        <w:t>The agreement gave the submitting TNC the right to designate all or parts of the reports as confidential or proprietary, and the City</w:t>
      </w:r>
      <w:r w:rsidR="00585DA3">
        <w:t>, while not promising confidentiality,</w:t>
      </w:r>
      <w:r w:rsidR="00C86577">
        <w:t xml:space="preserve"> agreed to work to achieve the highest possible level of confidentiality for information provided within the confines of state law. </w:t>
      </w:r>
      <w:r w:rsidR="004B3CBA">
        <w:t xml:space="preserve"> </w:t>
      </w:r>
      <w:r w:rsidR="00163C02">
        <w:t>T</w:t>
      </w:r>
      <w:r w:rsidR="00C86577">
        <w:t>he City</w:t>
      </w:r>
      <w:r w:rsidR="00163C02">
        <w:t xml:space="preserve"> also</w:t>
      </w:r>
      <w:r w:rsidR="00C86577">
        <w:t xml:space="preserve"> limited access to the quarterly reports to those persons</w:t>
      </w:r>
      <w:r w:rsidR="00163C02">
        <w:t xml:space="preserve"> in the </w:t>
      </w:r>
      <w:r w:rsidR="00163C02">
        <w:lastRenderedPageBreak/>
        <w:t xml:space="preserve">departments of transportation and financial and administrative services on a need-to-know basis. </w:t>
      </w:r>
      <w:r w:rsidR="004B3CBA">
        <w:t xml:space="preserve"> </w:t>
      </w:r>
      <w:r w:rsidR="00163C02">
        <w:t>After reviewing the record following the denial of a public records request for two of the quarterly reports, the Washington Supreme Court acknowledge that it was “a close call” and that “while the evidence is mixed and the question is not beyond debate,” it affirmed the superior courts conclusion that the zip code reports were trade secrets within the meaning of the UTSA.</w:t>
      </w:r>
    </w:p>
    <w:p w:rsidR="00F1362A" w:rsidP="00AA50A8" w:rsidRDefault="00585DA3" w14:paraId="632E6691" w14:textId="51392E58">
      <w:pPr>
        <w:pStyle w:val="Standard"/>
      </w:pPr>
      <w:r>
        <w:t xml:space="preserve">The Commission declines to follow </w:t>
      </w:r>
      <w:r w:rsidRPr="00585DA3">
        <w:rPr>
          <w:i/>
          <w:iCs/>
        </w:rPr>
        <w:t>City of Seattle</w:t>
      </w:r>
      <w:r>
        <w:t xml:space="preserve"> for several reasons. </w:t>
      </w:r>
      <w:r w:rsidR="004B3CBA">
        <w:t xml:space="preserve"> </w:t>
      </w:r>
      <w:r>
        <w:t>First, even though the Court affirmed the trial court’s determination that the zip code reports were a compilation a</w:t>
      </w:r>
      <w:r w:rsidR="003F471C">
        <w:t>s</w:t>
      </w:r>
      <w:r>
        <w:t xml:space="preserve"> that term </w:t>
      </w:r>
      <w:r w:rsidR="003F471C">
        <w:t xml:space="preserve">was </w:t>
      </w:r>
      <w:r>
        <w:t xml:space="preserve"> used under the UTSA, there was no discussion or finding that the compilation was novel or unique, which is a requirement under California law and other jurisdictions applying the UTSA.</w:t>
      </w:r>
      <w:r>
        <w:rPr>
          <w:rStyle w:val="FootnoteReference"/>
        </w:rPr>
        <w:footnoteReference w:id="69"/>
      </w:r>
      <w:r w:rsidR="00ED5666">
        <w:t xml:space="preserve"> In addition, there is no indication in </w:t>
      </w:r>
      <w:r w:rsidRPr="00ED5666" w:rsidR="00ED5666">
        <w:rPr>
          <w:i/>
          <w:iCs/>
        </w:rPr>
        <w:t>City of Seattle</w:t>
      </w:r>
      <w:r w:rsidR="00ED5666">
        <w:t xml:space="preserve"> that the City exercised the same level of control over the content of the reporting data that the Commission has exercised over TNCs wanting to conduct business in California. </w:t>
      </w:r>
      <w:r w:rsidR="004B3CBA">
        <w:t xml:space="preserve"> </w:t>
      </w:r>
      <w:r w:rsidR="00ED5666">
        <w:t xml:space="preserve">Second, the </w:t>
      </w:r>
      <w:r w:rsidRPr="00ED5666" w:rsidR="00ED5666">
        <w:rPr>
          <w:i/>
          <w:iCs/>
        </w:rPr>
        <w:t>City of Seattle</w:t>
      </w:r>
      <w:r w:rsidR="00ED5666">
        <w:t xml:space="preserve"> found that it was “a close call” that the record demonstrated independent economic value of the data reflected by the zip code reports, but the Commission does not see the question as a close call. </w:t>
      </w:r>
      <w:r w:rsidR="004B3CBA">
        <w:t xml:space="preserve"> </w:t>
      </w:r>
      <w:r w:rsidR="00ED5666">
        <w:t xml:space="preserve">As we explained above, any competing TNC can take public zip code information and cross reference it with other publicly available information to identify potential routes or for launching TNC services. </w:t>
      </w:r>
      <w:r w:rsidR="004B3CBA">
        <w:t xml:space="preserve"> </w:t>
      </w:r>
      <w:r w:rsidR="00ED5666">
        <w:t xml:space="preserve">Third, </w:t>
      </w:r>
      <w:r w:rsidRPr="0025308C" w:rsidR="00ED5666">
        <w:rPr>
          <w:i/>
          <w:iCs/>
        </w:rPr>
        <w:t>City of Seattle</w:t>
      </w:r>
      <w:r w:rsidR="00ED5666">
        <w:t xml:space="preserve"> found that although TNC drivers possessed </w:t>
      </w:r>
      <w:r w:rsidR="0025308C">
        <w:t xml:space="preserve">the beginning and ending </w:t>
      </w:r>
      <w:r w:rsidR="00ED5666">
        <w:t>zip code</w:t>
      </w:r>
      <w:r w:rsidR="0025308C">
        <w:t>s for each trip driven</w:t>
      </w:r>
      <w:r w:rsidR="00ED5666">
        <w:t>, TNC drivers do not have access to the other information contained in the quarterly zip code reports.</w:t>
      </w:r>
      <w:r w:rsidR="0025308C">
        <w:t xml:space="preserve"> </w:t>
      </w:r>
      <w:r w:rsidR="004B3CBA">
        <w:t xml:space="preserve"> </w:t>
      </w:r>
      <w:r w:rsidR="00F1362A">
        <w:t>Thus, the fact that the drivers possessed some of the information did not undermine the trade secret claim.</w:t>
      </w:r>
    </w:p>
    <w:p w:rsidRPr="00257C34" w:rsidR="00ED6C2D" w:rsidP="00AA50A8" w:rsidRDefault="00ED6C2D" w14:paraId="1AE02FA5" w14:textId="3D82C3A6">
      <w:pPr>
        <w:pStyle w:val="Standard"/>
      </w:pPr>
      <w:r w:rsidRPr="00257C34">
        <w:lastRenderedPageBreak/>
        <w:t xml:space="preserve">Taken together, the Commission finds that the distinguishing facts between the </w:t>
      </w:r>
      <w:r w:rsidRPr="00257C34">
        <w:rPr>
          <w:i/>
          <w:iCs/>
        </w:rPr>
        <w:t>City of Seattle</w:t>
      </w:r>
      <w:r w:rsidRPr="00257C34">
        <w:t xml:space="preserve"> and the instant proceeding make </w:t>
      </w:r>
      <w:r w:rsidRPr="00257C34">
        <w:rPr>
          <w:i/>
          <w:iCs/>
        </w:rPr>
        <w:t>City of Seattle</w:t>
      </w:r>
      <w:r w:rsidRPr="00257C34">
        <w:t xml:space="preserve"> an unpersuasive precedent</w:t>
      </w:r>
      <w:r w:rsidRPr="00257C34" w:rsidR="0094155B">
        <w:t xml:space="preserve"> on the question of whether trip data is a trade secret</w:t>
      </w:r>
      <w:r w:rsidRPr="00257C34">
        <w:t>.</w:t>
      </w:r>
      <w:r w:rsidR="00D12777">
        <w:rPr>
          <w:rStyle w:val="FootnoteReference"/>
        </w:rPr>
        <w:footnoteReference w:id="70"/>
      </w:r>
    </w:p>
    <w:p w:rsidRPr="00292A54" w:rsidR="00292A54" w:rsidP="008D4D85" w:rsidRDefault="00292A54" w14:paraId="3BDEF251" w14:textId="57A57914">
      <w:pPr>
        <w:pStyle w:val="Heading3"/>
        <w:rPr>
          <w:rFonts w:ascii="Book Antiqua" w:hAnsi="Book Antiqua"/>
        </w:rPr>
      </w:pPr>
      <w:bookmarkStart w:name="_Toc82193578" w:id="58"/>
      <w:bookmarkStart w:name="_Toc94682541" w:id="59"/>
      <w:bookmarkStart w:name="_Toc102479670" w:id="60"/>
      <w:r w:rsidRPr="00292A54">
        <w:t xml:space="preserve">Overbreadth of </w:t>
      </w:r>
      <w:r w:rsidR="0022657E">
        <w:t xml:space="preserve">Lyft’s </w:t>
      </w:r>
      <w:r w:rsidR="008D4D85">
        <w:t>U</w:t>
      </w:r>
      <w:r w:rsidRPr="00292A54">
        <w:t xml:space="preserve">niqueness </w:t>
      </w:r>
      <w:r w:rsidR="008D4D85">
        <w:t>Claim</w:t>
      </w:r>
      <w:bookmarkEnd w:id="58"/>
      <w:bookmarkEnd w:id="59"/>
      <w:bookmarkEnd w:id="60"/>
    </w:p>
    <w:p w:rsidR="008A0351" w:rsidP="00AA50A8" w:rsidRDefault="00292A54" w14:paraId="65382843" w14:textId="1ABA7885">
      <w:pPr>
        <w:pStyle w:val="Standard"/>
      </w:pPr>
      <w:r>
        <w:t>There is an additional problem with Lyft’s trade secret argument</w:t>
      </w:r>
      <w:r w:rsidR="00125087">
        <w:t xml:space="preserve"> in that it is overbroad</w:t>
      </w:r>
      <w:r>
        <w:t xml:space="preserve">. </w:t>
      </w:r>
      <w:r w:rsidR="004B3CBA">
        <w:t xml:space="preserve"> </w:t>
      </w:r>
      <w:r w:rsidR="00D923B9">
        <w:t>The</w:t>
      </w:r>
      <w:r w:rsidR="00A84B27">
        <w:t xml:space="preserve"> Commission has not asked Lyft, or any TNC, to produce their collection, analysis, and reporting processes.</w:t>
      </w:r>
      <w:r w:rsidR="008A0351">
        <w:rPr>
          <w:rStyle w:val="FootnoteReference"/>
        </w:rPr>
        <w:footnoteReference w:id="71"/>
      </w:r>
      <w:r w:rsidR="008A0351">
        <w:t xml:space="preserve"> </w:t>
      </w:r>
      <w:r w:rsidR="004B3CBA">
        <w:t xml:space="preserve"> </w:t>
      </w:r>
      <w:r w:rsidR="005F7531">
        <w:t xml:space="preserve">Instead, the Commission has ordered each TNC to produce their resulting data in the manner dictated by the Commission. </w:t>
      </w:r>
      <w:r w:rsidR="004B3CBA">
        <w:t xml:space="preserve"> </w:t>
      </w:r>
      <w:r w:rsidR="005F7531">
        <w:t>Thus,</w:t>
      </w:r>
      <w:r w:rsidR="008A0351">
        <w:t xml:space="preserve"> the Collins Declaration, and Lyft’s argument by extension, blur the careful distinction between formulas and models</w:t>
      </w:r>
      <w:r w:rsidR="005F7531">
        <w:t xml:space="preserve"> on the one hand</w:t>
      </w:r>
      <w:r w:rsidR="008A0351">
        <w:t>, and the resulting data from those formulas and model</w:t>
      </w:r>
      <w:r w:rsidR="005F7531">
        <w:t xml:space="preserve"> on the other hand</w:t>
      </w:r>
      <w:r w:rsidR="008A0351">
        <w:t xml:space="preserve">. In </w:t>
      </w:r>
      <w:r w:rsidRPr="008A0351" w:rsidR="008A0351">
        <w:rPr>
          <w:i/>
          <w:iCs/>
        </w:rPr>
        <w:t xml:space="preserve">Cotter v. </w:t>
      </w:r>
      <w:r w:rsidRPr="008A0351" w:rsidR="008A0351">
        <w:rPr>
          <w:i/>
          <w:iCs/>
        </w:rPr>
        <w:lastRenderedPageBreak/>
        <w:t>Lyft, Inc</w:t>
      </w:r>
      <w:r w:rsidR="008A0351">
        <w:t xml:space="preserve">. (N.D. Cal. 2016) 193 F.Supp.3d 1030, 2016 WL 3654454, at *2, the Court explained that </w:t>
      </w:r>
      <w:r w:rsidR="005F7531">
        <w:t xml:space="preserve">while the uniquely developed formula might be protected, </w:t>
      </w:r>
      <w:r w:rsidR="008A0351">
        <w:t>the resulting data is not trade secret protected:</w:t>
      </w:r>
    </w:p>
    <w:p w:rsidR="008A0351" w:rsidP="00AA50A8" w:rsidRDefault="008A0351" w14:paraId="3BE1E4C0" w14:textId="264CC2EC">
      <w:pPr>
        <w:pStyle w:val="standard0"/>
        <w:spacing w:after="120" w:line="240" w:lineRule="auto"/>
        <w:ind w:left="720" w:right="1440" w:firstLine="0"/>
        <w:rPr>
          <w:rFonts w:ascii="Book Antiqua" w:hAnsi="Book Antiqua"/>
        </w:rPr>
      </w:pPr>
      <w:r>
        <w:rPr>
          <w:rFonts w:ascii="Book Antiqua" w:hAnsi="Book Antiqua"/>
        </w:rPr>
        <w:t>While the algorithms and proprietary price models that Lyft uses to set its fares and the rate of Prime Time premiums and, in turn, its commissions from those moneys are trade secrets, the bare output of those algorithms and price modes (</w:t>
      </w:r>
      <w:r w:rsidRPr="00AA50A8">
        <w:rPr>
          <w:rFonts w:ascii="Book Antiqua" w:hAnsi="Book Antiqua"/>
          <w:i/>
          <w:iCs/>
        </w:rPr>
        <w:t>i.e</w:t>
      </w:r>
      <w:r>
        <w:rPr>
          <w:rFonts w:ascii="Book Antiqua" w:hAnsi="Book Antiqua"/>
        </w:rPr>
        <w:t>., the to</w:t>
      </w:r>
      <w:r w:rsidR="00D15AA3">
        <w:rPr>
          <w:rFonts w:ascii="Book Antiqua" w:hAnsi="Book Antiqua"/>
        </w:rPr>
        <w:t>t</w:t>
      </w:r>
      <w:r>
        <w:rPr>
          <w:rFonts w:ascii="Book Antiqua" w:hAnsi="Book Antiqua"/>
        </w:rPr>
        <w:t xml:space="preserve">al amount of commissions taken) is not. </w:t>
      </w:r>
      <w:r w:rsidR="00AA50A8">
        <w:rPr>
          <w:rFonts w:ascii="Book Antiqua" w:hAnsi="Book Antiqua"/>
        </w:rPr>
        <w:t xml:space="preserve"> </w:t>
      </w:r>
      <w:r>
        <w:rPr>
          <w:rFonts w:ascii="Book Antiqua" w:hAnsi="Book Antiqua"/>
        </w:rPr>
        <w:t>Though the manner in which Lyft determines its pricing is an important part of its competitive strategy, its revenue is not strategy but rather the result of that strategy.</w:t>
      </w:r>
    </w:p>
    <w:p w:rsidR="008A0351" w:rsidP="00D923B9" w:rsidRDefault="00D923B9" w14:paraId="31F1E317" w14:textId="6058EC5D">
      <w:pPr>
        <w:pStyle w:val="standard0"/>
        <w:ind w:firstLine="0"/>
        <w:rPr>
          <w:rFonts w:ascii="Book Antiqua" w:hAnsi="Book Antiqua"/>
        </w:rPr>
      </w:pPr>
      <w:r>
        <w:rPr>
          <w:rFonts w:ascii="Book Antiqua" w:hAnsi="Book Antiqua"/>
        </w:rPr>
        <w:t>(</w:t>
      </w:r>
      <w:r w:rsidRPr="00D923B9">
        <w:rPr>
          <w:rFonts w:ascii="Book Antiqua" w:hAnsi="Book Antiqua"/>
          <w:i/>
          <w:iCs/>
        </w:rPr>
        <w:t>See, also, Buffets, Inc. v. Klinke</w:t>
      </w:r>
      <w:r>
        <w:rPr>
          <w:rFonts w:ascii="Book Antiqua" w:hAnsi="Book Antiqua"/>
        </w:rPr>
        <w:t xml:space="preserve"> (9</w:t>
      </w:r>
      <w:r w:rsidRPr="00D923B9">
        <w:rPr>
          <w:rFonts w:ascii="Book Antiqua" w:hAnsi="Book Antiqua"/>
          <w:vertAlign w:val="superscript"/>
        </w:rPr>
        <w:t>th</w:t>
      </w:r>
      <w:r>
        <w:rPr>
          <w:rFonts w:ascii="Book Antiqua" w:hAnsi="Book Antiqua"/>
        </w:rPr>
        <w:t xml:space="preserve"> Cir. 1996) (Washington law) 73 F.3d 965, 968 [“This is not a case where material from the public domain has been refashioned or recreated in such a way so as to be an original product, but is rather an instance where the end-product is itself unoriginal.”].)</w:t>
      </w:r>
    </w:p>
    <w:p w:rsidR="0008443D" w:rsidP="00AA50A8" w:rsidRDefault="00292A54" w14:paraId="502E0A12" w14:textId="010DC2D5">
      <w:pPr>
        <w:pStyle w:val="Standard"/>
      </w:pPr>
      <w:r>
        <w:t>Thus, e</w:t>
      </w:r>
      <w:r w:rsidR="00882135">
        <w:t>ven if the compilation had some uniqueness, Lyft’s</w:t>
      </w:r>
      <w:r w:rsidRPr="004659C7" w:rsidR="001071A3">
        <w:t xml:space="preserve"> trade secret claim is </w:t>
      </w:r>
      <w:r w:rsidR="00C4631E">
        <w:t>being</w:t>
      </w:r>
      <w:r w:rsidRPr="004659C7" w:rsidR="001071A3">
        <w:t xml:space="preserve"> asserted too broadly.  </w:t>
      </w:r>
      <w:r w:rsidR="003B6680">
        <w:t>As we stated above, t</w:t>
      </w:r>
      <w:r w:rsidR="00882135">
        <w:t>he Collins Declaration claims</w:t>
      </w:r>
      <w:r w:rsidR="00C4631E">
        <w:t xml:space="preserve"> that the trip data “is compiled for both regulatory reporting and business analytics purposes.”</w:t>
      </w:r>
      <w:r w:rsidR="00C4631E">
        <w:rPr>
          <w:rStyle w:val="FootnoteReference"/>
        </w:rPr>
        <w:footnoteReference w:id="72"/>
      </w:r>
      <w:r w:rsidR="00C4631E">
        <w:t xml:space="preserve"> </w:t>
      </w:r>
      <w:r w:rsidR="004B3CBA">
        <w:t xml:space="preserve"> </w:t>
      </w:r>
      <w:r w:rsidR="0008443D">
        <w:t xml:space="preserve">In D.16-01-014, at 47-48, the Commission </w:t>
      </w:r>
      <w:r w:rsidR="003B6680">
        <w:t>stated</w:t>
      </w:r>
      <w:r w:rsidR="0008443D">
        <w:t xml:space="preserve"> that trade secret information must be the product of the claimant’s initiative, rather than in response to a regulatory agency’s directive:</w:t>
      </w:r>
    </w:p>
    <w:p w:rsidRPr="00AA50A8" w:rsidR="00D048F2" w:rsidP="00AA50A8" w:rsidRDefault="0008443D" w14:paraId="773FAE81" w14:textId="148F67A5">
      <w:pPr>
        <w:pStyle w:val="standard0"/>
        <w:spacing w:after="120" w:line="240" w:lineRule="auto"/>
        <w:ind w:left="720" w:right="1440" w:firstLine="0"/>
        <w:rPr>
          <w:rFonts w:ascii="Book Antiqua" w:hAnsi="Book Antiqua"/>
        </w:rPr>
      </w:pPr>
      <w:r w:rsidRPr="00AA50A8">
        <w:rPr>
          <w:rFonts w:ascii="Book Antiqua" w:hAnsi="Book Antiqua"/>
        </w:rPr>
        <w:t xml:space="preserve">In other words, the party seeking trade-secret protection has, on its own initiative, developed some product or process for its own private economic benefit. </w:t>
      </w:r>
      <w:r w:rsidR="00AA50A8">
        <w:rPr>
          <w:rFonts w:ascii="Book Antiqua" w:hAnsi="Book Antiqua"/>
        </w:rPr>
        <w:t xml:space="preserve"> </w:t>
      </w:r>
      <w:r w:rsidRPr="00AA50A8">
        <w:rPr>
          <w:rFonts w:ascii="Book Antiqua" w:hAnsi="Book Antiqua"/>
        </w:rPr>
        <w:t xml:space="preserve">In contrast, it is the Commission that has ordered the TNCs to respond, in template format, with the trip data by zip code. </w:t>
      </w:r>
      <w:r w:rsidR="00AA50A8">
        <w:rPr>
          <w:rFonts w:ascii="Book Antiqua" w:hAnsi="Book Antiqua"/>
        </w:rPr>
        <w:t xml:space="preserve"> </w:t>
      </w:r>
      <w:r w:rsidRPr="00AA50A8">
        <w:rPr>
          <w:rFonts w:ascii="Book Antiqua" w:hAnsi="Book Antiqua"/>
        </w:rPr>
        <w:t>The compilation is being put together at the behest of the Commission, rather than by Rasier-CA for some competitive advantage over its competitors.</w:t>
      </w:r>
    </w:p>
    <w:p w:rsidR="00DC7EE2" w:rsidP="0008443D" w:rsidRDefault="00D048F2" w14:paraId="6993ACFD" w14:textId="77777777">
      <w:pPr>
        <w:pStyle w:val="standard0"/>
        <w:ind w:firstLine="0"/>
        <w:rPr>
          <w:rFonts w:ascii="Book Antiqua" w:hAnsi="Book Antiqua"/>
        </w:rPr>
      </w:pPr>
      <w:r w:rsidRPr="00AA50A8">
        <w:rPr>
          <w:rFonts w:ascii="Book Antiqua" w:hAnsi="Book Antiqua"/>
        </w:rPr>
        <w:lastRenderedPageBreak/>
        <w:t xml:space="preserve">While Lyft referred to this passage as </w:t>
      </w:r>
      <w:r w:rsidRPr="00AA50A8">
        <w:rPr>
          <w:rFonts w:ascii="Book Antiqua" w:hAnsi="Book Antiqua"/>
          <w:i/>
          <w:iCs/>
        </w:rPr>
        <w:t>dicta</w:t>
      </w:r>
      <w:r w:rsidRPr="00AA50A8">
        <w:rPr>
          <w:rFonts w:ascii="Book Antiqua" w:hAnsi="Book Antiqua"/>
        </w:rPr>
        <w:t>,</w:t>
      </w:r>
      <w:r w:rsidRPr="00AA50A8" w:rsidR="00732B36">
        <w:rPr>
          <w:rStyle w:val="FootnoteReference"/>
          <w:rFonts w:ascii="Book Antiqua" w:hAnsi="Book Antiqua"/>
        </w:rPr>
        <w:footnoteReference w:id="73"/>
      </w:r>
      <w:r w:rsidRPr="00AA50A8">
        <w:rPr>
          <w:rFonts w:ascii="Book Antiqua" w:hAnsi="Book Antiqua"/>
        </w:rPr>
        <w:t xml:space="preserve"> the Commission elects to make a more affirmative statement—information such as trip data that the Commission requires a TNC to include in its Annual Report is not a trade secret. </w:t>
      </w:r>
      <w:r w:rsidR="004B3CBA">
        <w:rPr>
          <w:rFonts w:ascii="Book Antiqua" w:hAnsi="Book Antiqua"/>
        </w:rPr>
        <w:t xml:space="preserve"> </w:t>
      </w:r>
    </w:p>
    <w:p w:rsidRPr="00AA50A8" w:rsidR="00D040BF" w:rsidP="00A6208D" w:rsidRDefault="00D048F2" w14:paraId="4C214A04" w14:textId="743D2A7B">
      <w:pPr>
        <w:pStyle w:val="standard0"/>
        <w:rPr>
          <w:rFonts w:ascii="Book Antiqua" w:hAnsi="Book Antiqua"/>
        </w:rPr>
      </w:pPr>
      <w:r w:rsidRPr="00AA50A8">
        <w:rPr>
          <w:rFonts w:ascii="Book Antiqua" w:hAnsi="Book Antiqua"/>
        </w:rPr>
        <w:t>The Commission notes that o</w:t>
      </w:r>
      <w:r w:rsidRPr="00AA50A8" w:rsidR="00D040BF">
        <w:rPr>
          <w:rFonts w:ascii="Book Antiqua" w:hAnsi="Book Antiqua"/>
        </w:rPr>
        <w:t xml:space="preserve">ther courts have also determined that information required to be prepared in response to a government obligation is not a trade secret. </w:t>
      </w:r>
      <w:r w:rsidR="004B3CBA">
        <w:rPr>
          <w:rFonts w:ascii="Book Antiqua" w:hAnsi="Book Antiqua"/>
        </w:rPr>
        <w:t xml:space="preserve"> </w:t>
      </w:r>
      <w:r w:rsidRPr="00AA50A8" w:rsidR="00D040BF">
        <w:rPr>
          <w:rFonts w:ascii="Book Antiqua" w:hAnsi="Book Antiqua"/>
        </w:rPr>
        <w:t xml:space="preserve">For example, in </w:t>
      </w:r>
      <w:r w:rsidRPr="00AA50A8" w:rsidR="00D040BF">
        <w:rPr>
          <w:rFonts w:ascii="Book Antiqua" w:hAnsi="Book Antiqua"/>
          <w:i/>
          <w:iCs/>
        </w:rPr>
        <w:t>Spokane Research v. City of Spokane</w:t>
      </w:r>
      <w:r w:rsidRPr="00AA50A8" w:rsidR="00D040BF">
        <w:rPr>
          <w:rFonts w:ascii="Book Antiqua" w:hAnsi="Book Antiqua"/>
        </w:rPr>
        <w:t xml:space="preserve"> (1999) 96 Wn. App. 565, 578, the Court stated:</w:t>
      </w:r>
    </w:p>
    <w:p w:rsidRPr="00AA50A8" w:rsidR="00D040BF" w:rsidP="00AA50A8" w:rsidRDefault="00D040BF" w14:paraId="13467C68" w14:textId="5A10EA65">
      <w:pPr>
        <w:pStyle w:val="standard0"/>
        <w:spacing w:after="120" w:line="240" w:lineRule="auto"/>
        <w:ind w:left="720" w:right="1440" w:firstLine="0"/>
        <w:rPr>
          <w:rFonts w:ascii="Book Antiqua" w:hAnsi="Book Antiqua"/>
        </w:rPr>
      </w:pPr>
      <w:r w:rsidRPr="00AA50A8">
        <w:rPr>
          <w:rFonts w:ascii="Book Antiqua" w:hAnsi="Book Antiqua"/>
        </w:rPr>
        <w:t>The City, not the Developers, requested the credit and financial studies from the professors and accountants for two</w:t>
      </w:r>
      <w:r w:rsidRPr="00AA50A8" w:rsidR="00AA50A8">
        <w:rPr>
          <w:rFonts w:ascii="Book Antiqua" w:hAnsi="Book Antiqua"/>
        </w:rPr>
        <w:t> </w:t>
      </w:r>
      <w:r w:rsidRPr="00AA50A8">
        <w:rPr>
          <w:rFonts w:ascii="Book Antiqua" w:hAnsi="Book Antiqua"/>
        </w:rPr>
        <w:t xml:space="preserve">purposes. </w:t>
      </w:r>
      <w:r w:rsidRPr="00AA50A8" w:rsidR="00AA50A8">
        <w:rPr>
          <w:rFonts w:ascii="Book Antiqua" w:hAnsi="Book Antiqua"/>
        </w:rPr>
        <w:t xml:space="preserve"> </w:t>
      </w:r>
      <w:r w:rsidRPr="00AA50A8">
        <w:rPr>
          <w:rFonts w:ascii="Book Antiqua" w:hAnsi="Book Antiqua"/>
        </w:rPr>
        <w:t xml:space="preserve">First, for the City to investigate the credit and financial strength of the proposal for city decision making and negotiating. </w:t>
      </w:r>
      <w:r w:rsidRPr="00AA50A8" w:rsidR="00AA50A8">
        <w:rPr>
          <w:rFonts w:ascii="Book Antiqua" w:hAnsi="Book Antiqua"/>
        </w:rPr>
        <w:t xml:space="preserve"> </w:t>
      </w:r>
      <w:r w:rsidRPr="00AA50A8">
        <w:rPr>
          <w:rFonts w:ascii="Book Antiqua" w:hAnsi="Book Antiqua"/>
        </w:rPr>
        <w:t xml:space="preserve">Second, for the City to use it to obtain favorable consideration of the HUD loan application. </w:t>
      </w:r>
      <w:r w:rsidRPr="00AA50A8" w:rsidR="00AA50A8">
        <w:rPr>
          <w:rFonts w:ascii="Book Antiqua" w:hAnsi="Book Antiqua"/>
        </w:rPr>
        <w:t xml:space="preserve"> </w:t>
      </w:r>
      <w:r w:rsidRPr="00AA50A8">
        <w:rPr>
          <w:rFonts w:ascii="Book Antiqua" w:hAnsi="Book Antiqua"/>
        </w:rPr>
        <w:t xml:space="preserve">Both are public purposes that may incidentally advance the Developer's private interests. </w:t>
      </w:r>
      <w:r w:rsidRPr="00AA50A8" w:rsidR="00AA50A8">
        <w:rPr>
          <w:rFonts w:ascii="Book Antiqua" w:hAnsi="Book Antiqua"/>
        </w:rPr>
        <w:t xml:space="preserve"> </w:t>
      </w:r>
      <w:r w:rsidRPr="00AA50A8">
        <w:rPr>
          <w:rFonts w:ascii="Book Antiqua" w:hAnsi="Book Antiqua"/>
        </w:rPr>
        <w:t>It is illogical for the Developers to claim the studies were at the outset trade secrets in this context because the studies were produced for the City, not the Developers.</w:t>
      </w:r>
    </w:p>
    <w:p w:rsidRPr="00AA50A8" w:rsidR="00D040BF" w:rsidP="0008443D" w:rsidRDefault="00D048F2" w14:paraId="598EFA32" w14:textId="0AFAD898">
      <w:pPr>
        <w:pStyle w:val="standard0"/>
        <w:ind w:firstLine="0"/>
        <w:rPr>
          <w:rFonts w:ascii="Book Antiqua" w:hAnsi="Book Antiqua"/>
        </w:rPr>
      </w:pPr>
      <w:r w:rsidRPr="00AA50A8">
        <w:rPr>
          <w:rFonts w:ascii="Book Antiqua" w:hAnsi="Book Antiqua"/>
        </w:rPr>
        <w:t xml:space="preserve">The TNCs are assembling the TNC trip data and providing </w:t>
      </w:r>
      <w:r w:rsidR="00DC7EE2">
        <w:rPr>
          <w:rFonts w:ascii="Book Antiqua" w:hAnsi="Book Antiqua"/>
        </w:rPr>
        <w:t xml:space="preserve">the data </w:t>
      </w:r>
      <w:r w:rsidRPr="00AA50A8">
        <w:rPr>
          <w:rFonts w:ascii="Book Antiqua" w:hAnsi="Book Antiqua"/>
        </w:rPr>
        <w:t xml:space="preserve">to the Commission in the precise manner dictated by the Commission and the Commission’s staff as a condition for being permitted to conduct business in California. </w:t>
      </w:r>
      <w:r w:rsidR="004B3CBA">
        <w:rPr>
          <w:rFonts w:ascii="Book Antiqua" w:hAnsi="Book Antiqua"/>
        </w:rPr>
        <w:t xml:space="preserve"> </w:t>
      </w:r>
      <w:r w:rsidRPr="00AA50A8">
        <w:rPr>
          <w:rFonts w:ascii="Book Antiqua" w:hAnsi="Book Antiqua"/>
        </w:rPr>
        <w:t>The trip data is not therefore a trade secret simply because Lyft may also use the trip data for its own internal business and marketing purposes.</w:t>
      </w:r>
    </w:p>
    <w:p w:rsidR="004F12E1" w:rsidP="00A6208D" w:rsidRDefault="003B6680" w14:paraId="6E4CD412" w14:textId="3B8BEB86">
      <w:pPr>
        <w:pStyle w:val="Standard"/>
      </w:pPr>
      <w:r w:rsidRPr="00AA50A8">
        <w:t xml:space="preserve">Nonetheless, Lyft continues to challenge the conclusion that trip data required to be tracked and submitted in the Annual Reports </w:t>
      </w:r>
      <w:r w:rsidRPr="00AA50A8" w:rsidR="00B1399C">
        <w:t xml:space="preserve">in the manner dictated by the Commission is not a trade secret, </w:t>
      </w:r>
      <w:r w:rsidRPr="00AA50A8">
        <w:t>and claims that such a conclusion has no support in the law.</w:t>
      </w:r>
      <w:r w:rsidRPr="00AA50A8">
        <w:rPr>
          <w:rStyle w:val="FootnoteReference"/>
        </w:rPr>
        <w:footnoteReference w:id="74"/>
      </w:r>
      <w:r w:rsidRPr="00AA50A8">
        <w:t xml:space="preserve"> </w:t>
      </w:r>
      <w:r w:rsidR="004B3CBA">
        <w:t xml:space="preserve"> </w:t>
      </w:r>
      <w:r w:rsidRPr="00AA50A8" w:rsidR="00EF2167">
        <w:t xml:space="preserve">But  the flaw in Lyft’s argument is that it </w:t>
      </w:r>
      <w:r w:rsidRPr="00AA50A8" w:rsidR="00EF2167">
        <w:lastRenderedPageBreak/>
        <w:t>has relied on a series of decisions that recognized that the data required to be submitted to the government was confidential as a trade secret or private financial information.</w:t>
      </w:r>
      <w:r w:rsidR="004B3CBA">
        <w:t xml:space="preserve"> </w:t>
      </w:r>
      <w:r w:rsidR="0022657E">
        <w:t>(</w:t>
      </w:r>
      <w:r w:rsidRPr="00A6208D" w:rsidR="0022657E">
        <w:rPr>
          <w:i/>
          <w:iCs/>
        </w:rPr>
        <w:t>See</w:t>
      </w:r>
      <w:r w:rsidRPr="00AA50A8">
        <w:t xml:space="preserve"> </w:t>
      </w:r>
      <w:r w:rsidRPr="00AA50A8">
        <w:rPr>
          <w:i/>
          <w:iCs/>
        </w:rPr>
        <w:t>City of San Jose v. Superior Court</w:t>
      </w:r>
      <w:r w:rsidRPr="00AA50A8">
        <w:t xml:space="preserve"> (2017) 2 Cal.5</w:t>
      </w:r>
      <w:r w:rsidRPr="00AA50A8">
        <w:rPr>
          <w:vertAlign w:val="superscript"/>
        </w:rPr>
        <w:t>th</w:t>
      </w:r>
      <w:r w:rsidRPr="00AA50A8">
        <w:t xml:space="preserve"> 608, 616 and </w:t>
      </w:r>
      <w:r w:rsidRPr="00AA50A8">
        <w:rPr>
          <w:i/>
          <w:iCs/>
        </w:rPr>
        <w:t>San Gabriel Tribune v. Superior Court</w:t>
      </w:r>
      <w:r w:rsidRPr="00AA50A8">
        <w:t xml:space="preserve"> (1983) 143 Cal.App.3d 762, 772</w:t>
      </w:r>
      <w:r w:rsidR="0022657E">
        <w:t>.)</w:t>
      </w:r>
      <w:r w:rsidRPr="00AA50A8">
        <w:t xml:space="preserve"> </w:t>
      </w:r>
    </w:p>
    <w:p w:rsidRPr="00DA7457" w:rsidR="00F23D4F" w:rsidP="00F23D4F" w:rsidRDefault="00F23D4F" w14:paraId="56CE0D10" w14:textId="01D75311">
      <w:pPr>
        <w:pStyle w:val="standard0"/>
        <w:rPr>
          <w:rFonts w:ascii="Book Antiqua" w:hAnsi="Book Antiqua"/>
        </w:rPr>
      </w:pPr>
      <w:r>
        <w:rPr>
          <w:rFonts w:ascii="Book Antiqua" w:hAnsi="Book Antiqua"/>
        </w:rPr>
        <w:t>Lyft’s</w:t>
      </w:r>
      <w:r w:rsidR="00B1399C">
        <w:rPr>
          <w:rFonts w:ascii="Book Antiqua" w:hAnsi="Book Antiqua"/>
        </w:rPr>
        <w:t xml:space="preserve"> corollary</w:t>
      </w:r>
      <w:r>
        <w:rPr>
          <w:rFonts w:ascii="Book Antiqua" w:hAnsi="Book Antiqua"/>
        </w:rPr>
        <w:t xml:space="preserve"> argument that the federal Freedom of Information Act, which the CPRA is modeled, includes an express exemption for information required to be submitted to a regulatory agency which also qualifies as a trade secret, is of no consequence.</w:t>
      </w:r>
      <w:r w:rsidR="00AF29BE">
        <w:rPr>
          <w:rStyle w:val="FootnoteReference"/>
          <w:rFonts w:ascii="Book Antiqua" w:hAnsi="Book Antiqua"/>
        </w:rPr>
        <w:footnoteReference w:id="75"/>
      </w:r>
      <w:r>
        <w:rPr>
          <w:rFonts w:ascii="Book Antiqua" w:hAnsi="Book Antiqua"/>
        </w:rPr>
        <w:t xml:space="preserve"> </w:t>
      </w:r>
      <w:r w:rsidR="00AF29BE">
        <w:rPr>
          <w:rFonts w:ascii="Book Antiqua" w:hAnsi="Book Antiqua"/>
        </w:rPr>
        <w:t xml:space="preserve"> Lyft cites </w:t>
      </w:r>
      <w:r w:rsidRPr="00B1399C" w:rsidR="00AF29BE">
        <w:rPr>
          <w:rFonts w:ascii="Book Antiqua" w:hAnsi="Book Antiqua"/>
          <w:i/>
          <w:iCs/>
        </w:rPr>
        <w:t>Associated Press v. Federal Bureau of Investigation</w:t>
      </w:r>
      <w:r w:rsidR="00AF29BE">
        <w:rPr>
          <w:rFonts w:ascii="Book Antiqua" w:hAnsi="Book Antiqua"/>
        </w:rPr>
        <w:t xml:space="preserve"> (D.D.C. 2017) 265 F.Supp.3d 82, 101, </w:t>
      </w:r>
      <w:r w:rsidR="00B1399C">
        <w:rPr>
          <w:rFonts w:ascii="Book Antiqua" w:hAnsi="Book Antiqua"/>
        </w:rPr>
        <w:t xml:space="preserve">which deals with  </w:t>
      </w:r>
      <w:r w:rsidR="00DD38E4">
        <w:rPr>
          <w:rFonts w:ascii="Book Antiqua" w:hAnsi="Book Antiqua"/>
        </w:rPr>
        <w:t>E</w:t>
      </w:r>
      <w:r w:rsidR="00B1399C">
        <w:rPr>
          <w:rFonts w:ascii="Book Antiqua" w:hAnsi="Book Antiqua"/>
        </w:rPr>
        <w:t>xemption 4 under the Federal Freedom of Information Act</w:t>
      </w:r>
      <w:r w:rsidR="00DD38E4">
        <w:rPr>
          <w:rFonts w:ascii="Book Antiqua" w:hAnsi="Book Antiqua"/>
        </w:rPr>
        <w:t xml:space="preserve"> </w:t>
      </w:r>
      <w:r w:rsidR="00B1399C">
        <w:rPr>
          <w:rFonts w:ascii="Book Antiqua" w:hAnsi="Book Antiqua"/>
        </w:rPr>
        <w:t xml:space="preserve"> for</w:t>
      </w:r>
      <w:r w:rsidRPr="00B1399C" w:rsidR="00B1399C">
        <w:rPr>
          <w:rFonts w:ascii="Book Antiqua" w:hAnsi="Book Antiqua"/>
        </w:rPr>
        <w:t xml:space="preserve"> "trade secrets and commercial or financial information obtained from a person and privileged or confidential."</w:t>
      </w:r>
      <w:r w:rsidR="00B1399C">
        <w:rPr>
          <w:rFonts w:ascii="Book Antiqua" w:hAnsi="Book Antiqua"/>
        </w:rPr>
        <w:t xml:space="preserve"> </w:t>
      </w:r>
      <w:r w:rsidR="001F3F18">
        <w:rPr>
          <w:rFonts w:ascii="Book Antiqua" w:hAnsi="Book Antiqua"/>
        </w:rPr>
        <w:t xml:space="preserve"> </w:t>
      </w:r>
      <w:r w:rsidR="00B1399C">
        <w:rPr>
          <w:rFonts w:ascii="Book Antiqua" w:hAnsi="Book Antiqua"/>
        </w:rPr>
        <w:t xml:space="preserve">If information is required to be submitted, </w:t>
      </w:r>
      <w:r w:rsidR="00DD38E4">
        <w:rPr>
          <w:rFonts w:ascii="Book Antiqua" w:hAnsi="Book Antiqua"/>
        </w:rPr>
        <w:t xml:space="preserve">the information is considered </w:t>
      </w:r>
      <w:r w:rsidRPr="00DD38E4" w:rsidR="00DD38E4">
        <w:rPr>
          <w:rFonts w:ascii="Book Antiqua" w:hAnsi="Book Antiqua"/>
        </w:rPr>
        <w:t xml:space="preserve">confidential if "disclosure is likely ... (1) to impair the Government's </w:t>
      </w:r>
      <w:r w:rsidRPr="00DA7457" w:rsidR="00DD38E4">
        <w:rPr>
          <w:rFonts w:ascii="Book Antiqua" w:hAnsi="Book Antiqua"/>
        </w:rPr>
        <w:t xml:space="preserve">ability to obtain necessary information in the future; or (2) to cause substantial harm to the competitive position of the person from whom the information was obtained." </w:t>
      </w:r>
      <w:r w:rsidR="001F3F18">
        <w:rPr>
          <w:rFonts w:ascii="Book Antiqua" w:hAnsi="Book Antiqua"/>
        </w:rPr>
        <w:t xml:space="preserve"> </w:t>
      </w:r>
      <w:r w:rsidRPr="00DA7457" w:rsidR="00DD38E4">
        <w:rPr>
          <w:rFonts w:ascii="Book Antiqua" w:hAnsi="Book Antiqua"/>
        </w:rPr>
        <w:t>To invoke Exemption 4</w:t>
      </w:r>
      <w:r w:rsidRPr="00DA7457" w:rsidR="00E1201C">
        <w:rPr>
          <w:rFonts w:ascii="Book Antiqua" w:hAnsi="Book Antiqua"/>
        </w:rPr>
        <w:t>,</w:t>
      </w:r>
      <w:r w:rsidRPr="00DA7457" w:rsidR="00DD38E4">
        <w:rPr>
          <w:rFonts w:ascii="Book Antiqua" w:hAnsi="Book Antiqua"/>
        </w:rPr>
        <w:t xml:space="preserve"> one of the following must be met:</w:t>
      </w:r>
      <w:r w:rsidRPr="00DA7457" w:rsidR="00DD38E4">
        <w:rPr>
          <w:rFonts w:ascii="Book Antiqua" w:hAnsi="Book Antiqua" w:eastAsiaTheme="minorHAnsi" w:cstheme="minorBidi"/>
          <w:color w:val="1E1E1E"/>
          <w:sz w:val="22"/>
          <w:szCs w:val="22"/>
          <w:shd w:val="clear" w:color="auto" w:fill="FFFFFF"/>
        </w:rPr>
        <w:t xml:space="preserve"> </w:t>
      </w:r>
      <w:r w:rsidRPr="00DA7457" w:rsidR="00DD38E4">
        <w:rPr>
          <w:rFonts w:ascii="Book Antiqua" w:hAnsi="Book Antiqua"/>
        </w:rPr>
        <w:t>information withheld must "(1) involve trade secrets or commercial or financial information; (2) be obtained from a person outside the government; and (3) be privileged or confidential."  It is understandable that the Federal Government would want to protect confidential information even if that information was required to be submitted because of the underlying belief that the information has some confidentiality attended to the information.</w:t>
      </w:r>
      <w:r w:rsidR="001F3F18">
        <w:rPr>
          <w:rFonts w:ascii="Book Antiqua" w:hAnsi="Book Antiqua"/>
        </w:rPr>
        <w:t xml:space="preserve"> </w:t>
      </w:r>
      <w:r w:rsidRPr="00DA7457" w:rsidR="00DD38E4">
        <w:rPr>
          <w:rFonts w:ascii="Book Antiqua" w:hAnsi="Book Antiqua"/>
        </w:rPr>
        <w:t xml:space="preserve"> In contrast, there is no underlying confidentiality to the trip data that Lyft is required to submit in its </w:t>
      </w:r>
      <w:r w:rsidRPr="00DA7457" w:rsidR="00E1201C">
        <w:rPr>
          <w:rFonts w:ascii="Book Antiqua" w:hAnsi="Book Antiqua"/>
        </w:rPr>
        <w:t xml:space="preserve">2020 </w:t>
      </w:r>
      <w:r w:rsidRPr="00DA7457" w:rsidR="00DD38E4">
        <w:rPr>
          <w:rFonts w:ascii="Book Antiqua" w:hAnsi="Book Antiqua"/>
        </w:rPr>
        <w:t xml:space="preserve">Annual Report. </w:t>
      </w:r>
    </w:p>
    <w:p w:rsidRPr="00DA7457" w:rsidR="00E1201C" w:rsidP="00DA7457" w:rsidRDefault="00E1201C" w14:paraId="1A563E56" w14:textId="14696892">
      <w:pPr>
        <w:pStyle w:val="Standard"/>
      </w:pPr>
      <w:r w:rsidRPr="00DA7457">
        <w:lastRenderedPageBreak/>
        <w:t xml:space="preserve">We also dismiss Lyft’s argument that  </w:t>
      </w:r>
      <w:r w:rsidR="005C3F92">
        <w:t xml:space="preserve">the act of submitting </w:t>
      </w:r>
      <w:r w:rsidRPr="00DA7457">
        <w:t xml:space="preserve">data </w:t>
      </w:r>
      <w:r w:rsidR="00082730">
        <w:t xml:space="preserve">which </w:t>
      </w:r>
      <w:r w:rsidRPr="00DA7457">
        <w:t xml:space="preserve">is required </w:t>
      </w:r>
      <w:r w:rsidR="005C3F92">
        <w:t xml:space="preserve">by a government </w:t>
      </w:r>
      <w:r w:rsidRPr="00DA7457">
        <w:t xml:space="preserve"> agency </w:t>
      </w:r>
      <w:r w:rsidR="00082730">
        <w:t>can</w:t>
      </w:r>
      <w:r w:rsidR="005C3F92">
        <w:t>, by itself, transform that data into</w:t>
      </w:r>
      <w:r w:rsidR="00082730">
        <w:t xml:space="preserve"> a trade secret. Lyft relie</w:t>
      </w:r>
      <w:r w:rsidR="005C3F92">
        <w:t>s</w:t>
      </w:r>
      <w:r w:rsidR="00082730">
        <w:t xml:space="preserve"> on </w:t>
      </w:r>
      <w:r w:rsidRPr="00DA7457">
        <w:rPr>
          <w:i/>
          <w:iCs/>
        </w:rPr>
        <w:t>Syngenta Crop Protection, Inc. v. Helliker</w:t>
      </w:r>
      <w:r w:rsidRPr="00DA7457">
        <w:t xml:space="preserve"> (2006) 138 Cal.App.4</w:t>
      </w:r>
      <w:r w:rsidRPr="00DA7457">
        <w:rPr>
          <w:vertAlign w:val="superscript"/>
        </w:rPr>
        <w:t>th</w:t>
      </w:r>
      <w:r w:rsidRPr="00DA7457">
        <w:t xml:space="preserve"> 1135, </w:t>
      </w:r>
      <w:r w:rsidRPr="00DA7457" w:rsidR="00AC28E6">
        <w:t>in which rival pesticide companies brought suit for an injunction against the Department of Pesticide Regulation on the ground that the Department planned to use data from their applications to evaluate other applications, without their consent, in violation of Food &amp; Agricultural Code §</w:t>
      </w:r>
      <w:r w:rsidR="00224A53">
        <w:t> </w:t>
      </w:r>
      <w:r w:rsidRPr="00DA7457" w:rsidR="00AC28E6">
        <w:t>12811.5.</w:t>
      </w:r>
      <w:r w:rsidRPr="00DA7457" w:rsidR="00402285">
        <w:t xml:space="preserve"> </w:t>
      </w:r>
      <w:r w:rsidR="001F3F18">
        <w:t xml:space="preserve"> </w:t>
      </w:r>
      <w:r w:rsidRPr="00DA7457" w:rsidR="00402285">
        <w:t>The Court reversed the granting of summary judgment since it found triable issues of fact whether parties were entitled to an injunction under the Uniform Trade Secrets Act:</w:t>
      </w:r>
    </w:p>
    <w:p w:rsidRPr="004F12E1" w:rsidR="00402285" w:rsidP="00DA7457" w:rsidRDefault="00402285" w14:paraId="1D93D69A" w14:textId="7DEEB178">
      <w:pPr>
        <w:pStyle w:val="standard0"/>
        <w:spacing w:after="120" w:line="240" w:lineRule="auto"/>
        <w:ind w:left="720" w:right="1440" w:firstLine="0"/>
        <w:rPr>
          <w:rFonts w:ascii="Book Antiqua" w:hAnsi="Book Antiqua"/>
        </w:rPr>
      </w:pPr>
      <w:r w:rsidRPr="00DA7457">
        <w:rPr>
          <w:rFonts w:ascii="Book Antiqua" w:hAnsi="Book Antiqua"/>
        </w:rPr>
        <w:t xml:space="preserve">Syngenta and Dow seek only an injunction to prevent misappropriation of trade secrets under the Uniform Trade Secrets Act and do not seek to recover monetary damages under the act. </w:t>
      </w:r>
      <w:r w:rsidR="00DA7457">
        <w:rPr>
          <w:rFonts w:ascii="Book Antiqua" w:hAnsi="Book Antiqua"/>
        </w:rPr>
        <w:t xml:space="preserve"> </w:t>
      </w:r>
      <w:r w:rsidRPr="00DA7457">
        <w:rPr>
          <w:rFonts w:ascii="Book Antiqua" w:hAnsi="Book Antiqua"/>
        </w:rPr>
        <w:t>"</w:t>
      </w:r>
      <w:r w:rsidR="001F3F18">
        <w:rPr>
          <w:rFonts w:ascii="Book Antiqua" w:hAnsi="Book Antiqua"/>
        </w:rPr>
        <w:t xml:space="preserve"> </w:t>
      </w:r>
      <w:r w:rsidRPr="00DA7457">
        <w:rPr>
          <w:rFonts w:ascii="Book Antiqua" w:hAnsi="Book Antiqua"/>
        </w:rPr>
        <w:t>Actual or threatened misappropriation may be enjoined."</w:t>
      </w:r>
      <w:r w:rsidR="00DA7457">
        <w:rPr>
          <w:rFonts w:ascii="Book Antiqua" w:hAnsi="Book Antiqua"/>
        </w:rPr>
        <w:t> </w:t>
      </w:r>
      <w:r w:rsidRPr="00DA7457">
        <w:rPr>
          <w:rFonts w:ascii="Book Antiqua" w:hAnsi="Book Antiqua"/>
        </w:rPr>
        <w:t> </w:t>
      </w:r>
      <w:hyperlink w:history="1" r:id="rId24">
        <w:r w:rsidRPr="00DA7457">
          <w:rPr>
            <w:rStyle w:val="Hyperlink"/>
            <w:rFonts w:ascii="Book Antiqua" w:hAnsi="Book Antiqua"/>
          </w:rPr>
          <w:t>(Civ. Code, § 3426.2, subd. (a)</w:t>
        </w:r>
      </w:hyperlink>
      <w:r w:rsidRPr="00DA7457">
        <w:rPr>
          <w:rFonts w:ascii="Book Antiqua" w:hAnsi="Book Antiqua"/>
        </w:rPr>
        <w:t>.)</w:t>
      </w:r>
      <w:r w:rsidR="00DA7457">
        <w:rPr>
          <w:rFonts w:ascii="Book Antiqua" w:hAnsi="Book Antiqua"/>
        </w:rPr>
        <w:t>  </w:t>
      </w:r>
      <w:r w:rsidRPr="00DA7457">
        <w:rPr>
          <w:rFonts w:ascii="Book Antiqua" w:hAnsi="Book Antiqua"/>
        </w:rPr>
        <w:t>"If the court determines that it would be unreasonable to prohibit future use, an injunction may condition future use upon payment of a reasonable royalty</w:t>
      </w:r>
      <w:r w:rsidRPr="00402285">
        <w:rPr>
          <w:rFonts w:ascii="Book Antiqua" w:hAnsi="Book Antiqua"/>
        </w:rPr>
        <w:t xml:space="preserve"> for no longer than the period of time the use could have been prohibited." </w:t>
      </w:r>
      <w:r w:rsidR="00DA7457">
        <w:rPr>
          <w:rFonts w:ascii="Book Antiqua" w:hAnsi="Book Antiqua"/>
        </w:rPr>
        <w:t> </w:t>
      </w:r>
      <w:r w:rsidRPr="00402285">
        <w:rPr>
          <w:rFonts w:ascii="Book Antiqua" w:hAnsi="Book Antiqua"/>
        </w:rPr>
        <w:t>( </w:t>
      </w:r>
      <w:r w:rsidRPr="00402285">
        <w:rPr>
          <w:rFonts w:ascii="Book Antiqua" w:hAnsi="Book Antiqua"/>
          <w:i/>
          <w:iCs/>
        </w:rPr>
        <w:t>Id.</w:t>
      </w:r>
      <w:r w:rsidRPr="00402285">
        <w:rPr>
          <w:rFonts w:ascii="Book Antiqua" w:hAnsi="Book Antiqua"/>
        </w:rPr>
        <w:t>, § 3426.2, subd. (b).) Thus, if Syngenta and Dow establish misappropriation by the Department, the court has the discretion to either prohibit the Department's future use of their trade secret data or condition the Department's future use on payment of a reasonable royalty.</w:t>
      </w:r>
      <w:r>
        <w:rPr>
          <w:rStyle w:val="FootnoteReference"/>
          <w:rFonts w:ascii="Book Antiqua" w:hAnsi="Book Antiqua"/>
        </w:rPr>
        <w:footnoteReference w:id="76"/>
      </w:r>
    </w:p>
    <w:p w:rsidRPr="00DA7457" w:rsidR="00402285" w:rsidP="00402285" w:rsidRDefault="00402285" w14:paraId="0C1952DF" w14:textId="2B946663">
      <w:pPr>
        <w:pStyle w:val="standard0"/>
        <w:ind w:firstLine="0"/>
        <w:rPr>
          <w:rFonts w:ascii="Book Antiqua" w:hAnsi="Book Antiqua"/>
        </w:rPr>
      </w:pPr>
      <w:r w:rsidRPr="00DA7457">
        <w:rPr>
          <w:rFonts w:ascii="Book Antiqua" w:hAnsi="Book Antiqua"/>
        </w:rPr>
        <w:t xml:space="preserve">Underlying both Syngenta and Dow’s claims for injunctive relief was the </w:t>
      </w:r>
      <w:r w:rsidR="005C3F92">
        <w:rPr>
          <w:rFonts w:ascii="Book Antiqua" w:hAnsi="Book Antiqua"/>
        </w:rPr>
        <w:t xml:space="preserve">understanding </w:t>
      </w:r>
      <w:r w:rsidRPr="00DA7457">
        <w:rPr>
          <w:rFonts w:ascii="Book Antiqua" w:hAnsi="Book Antiqua"/>
        </w:rPr>
        <w:t xml:space="preserve"> that the information provided to the Department of Pesticide Regulation was a trade secret. </w:t>
      </w:r>
      <w:r w:rsidR="001F3F18">
        <w:rPr>
          <w:rFonts w:ascii="Book Antiqua" w:hAnsi="Book Antiqua"/>
        </w:rPr>
        <w:t xml:space="preserve"> </w:t>
      </w:r>
      <w:r w:rsidRPr="00DA7457">
        <w:rPr>
          <w:rFonts w:ascii="Book Antiqua" w:hAnsi="Book Antiqua"/>
        </w:rPr>
        <w:t xml:space="preserve">Thus,  </w:t>
      </w:r>
      <w:r w:rsidR="005C3F92">
        <w:rPr>
          <w:rFonts w:ascii="Book Antiqua" w:hAnsi="Book Antiqua"/>
        </w:rPr>
        <w:t xml:space="preserve">in </w:t>
      </w:r>
      <w:r w:rsidRPr="00A6208D" w:rsidR="005C3F92">
        <w:rPr>
          <w:rFonts w:ascii="Book Antiqua" w:hAnsi="Book Antiqua"/>
          <w:i/>
          <w:iCs/>
        </w:rPr>
        <w:t>Syngenta</w:t>
      </w:r>
      <w:r w:rsidR="005C3F92">
        <w:rPr>
          <w:rFonts w:ascii="Book Antiqua" w:hAnsi="Book Antiqua"/>
        </w:rPr>
        <w:t xml:space="preserve"> </w:t>
      </w:r>
      <w:r w:rsidRPr="00DA7457">
        <w:rPr>
          <w:rFonts w:ascii="Book Antiqua" w:hAnsi="Book Antiqua"/>
        </w:rPr>
        <w:t xml:space="preserve">there </w:t>
      </w:r>
      <w:r w:rsidR="005C3F92">
        <w:rPr>
          <w:rFonts w:ascii="Book Antiqua" w:hAnsi="Book Antiqua"/>
        </w:rPr>
        <w:t xml:space="preserve">was </w:t>
      </w:r>
      <w:r w:rsidRPr="00DA7457">
        <w:rPr>
          <w:rFonts w:ascii="Book Antiqua" w:hAnsi="Book Antiqua"/>
        </w:rPr>
        <w:t>is a direct correlation between the government’s use of submitted information and whether that information constitutes a trade secret.</w:t>
      </w:r>
      <w:r w:rsidR="005C3F92">
        <w:rPr>
          <w:rFonts w:ascii="Book Antiqua" w:hAnsi="Book Antiqua"/>
        </w:rPr>
        <w:t xml:space="preserve"> Here, there is no understanding that the </w:t>
      </w:r>
      <w:r w:rsidR="005C3F92">
        <w:rPr>
          <w:rFonts w:ascii="Book Antiqua" w:hAnsi="Book Antiqua"/>
        </w:rPr>
        <w:lastRenderedPageBreak/>
        <w:t>trip data is a trade secret so providing this information to the Commission does not turn unprotected information into a trade secret.</w:t>
      </w:r>
    </w:p>
    <w:p w:rsidRPr="00DA7457" w:rsidR="00C4631E" w:rsidP="00D048F2" w:rsidRDefault="00940161" w14:paraId="464B4ADE" w14:textId="3D6F2C23">
      <w:pPr>
        <w:pStyle w:val="standard0"/>
        <w:rPr>
          <w:rFonts w:ascii="Book Antiqua" w:hAnsi="Book Antiqua"/>
        </w:rPr>
      </w:pPr>
      <w:r>
        <w:rPr>
          <w:rFonts w:ascii="Book Antiqua" w:hAnsi="Book Antiqua"/>
        </w:rPr>
        <w:t>Moreover, the only portion of the trip data that might constitute a trade secret need not be produced as part of Lyft’s 2020 Annual Report.</w:t>
      </w:r>
      <w:r w:rsidRPr="00DA7457" w:rsidR="00312080">
        <w:rPr>
          <w:rFonts w:ascii="Book Antiqua" w:hAnsi="Book Antiqua"/>
        </w:rPr>
        <w:t xml:space="preserve"> </w:t>
      </w:r>
      <w:r w:rsidR="001F3F18">
        <w:rPr>
          <w:rFonts w:ascii="Book Antiqua" w:hAnsi="Book Antiqua"/>
        </w:rPr>
        <w:t xml:space="preserve"> </w:t>
      </w:r>
      <w:r w:rsidRPr="00DA7457" w:rsidR="00312080">
        <w:rPr>
          <w:rFonts w:ascii="Book Antiqua" w:hAnsi="Book Antiqua"/>
        </w:rPr>
        <w:t xml:space="preserve">As the </w:t>
      </w:r>
      <w:r w:rsidRPr="00DA7457" w:rsidR="00312080">
        <w:rPr>
          <w:rFonts w:ascii="Book Antiqua" w:hAnsi="Book Antiqua"/>
          <w:i/>
          <w:iCs/>
        </w:rPr>
        <w:t>Ruling</w:t>
      </w:r>
      <w:r w:rsidRPr="00DA7457" w:rsidR="00312080">
        <w:rPr>
          <w:rFonts w:ascii="Book Antiqua" w:hAnsi="Book Antiqua"/>
        </w:rPr>
        <w:t xml:space="preserve"> pointed out, t</w:t>
      </w:r>
      <w:r w:rsidRPr="00DA7457" w:rsidR="00C4631E">
        <w:rPr>
          <w:rFonts w:ascii="Book Antiqua" w:hAnsi="Book Antiqua"/>
        </w:rPr>
        <w:t xml:space="preserve">he Commission has not required any TNC to produce information revealing how the trip data is utilized for business analytics purposes. </w:t>
      </w:r>
      <w:r w:rsidR="001F3F18">
        <w:rPr>
          <w:rFonts w:ascii="Book Antiqua" w:hAnsi="Book Antiqua"/>
        </w:rPr>
        <w:t xml:space="preserve"> </w:t>
      </w:r>
      <w:r w:rsidRPr="00DA7457" w:rsidR="00C4631E">
        <w:rPr>
          <w:rFonts w:ascii="Book Antiqua" w:hAnsi="Book Antiqua"/>
        </w:rPr>
        <w:t>Lyft has not been ordered to produce whatever</w:t>
      </w:r>
      <w:r w:rsidRPr="00DA7457" w:rsidR="001071A3">
        <w:rPr>
          <w:rFonts w:ascii="Book Antiqua" w:hAnsi="Book Antiqua"/>
        </w:rPr>
        <w:t xml:space="preserve"> algorithm</w:t>
      </w:r>
      <w:r w:rsidRPr="00DA7457" w:rsidR="00C4631E">
        <w:rPr>
          <w:rFonts w:ascii="Book Antiqua" w:hAnsi="Book Antiqua"/>
        </w:rPr>
        <w:t>s</w:t>
      </w:r>
      <w:r w:rsidRPr="00DA7457" w:rsidR="001071A3">
        <w:rPr>
          <w:rFonts w:ascii="Book Antiqua" w:hAnsi="Book Antiqua"/>
        </w:rPr>
        <w:t xml:space="preserve"> it has developed to </w:t>
      </w:r>
      <w:r w:rsidRPr="00DA7457" w:rsidR="00C4631E">
        <w:rPr>
          <w:rFonts w:ascii="Book Antiqua" w:hAnsi="Book Antiqua"/>
        </w:rPr>
        <w:t xml:space="preserve">utilize the trip data. </w:t>
      </w:r>
      <w:r w:rsidR="001F3F18">
        <w:rPr>
          <w:rFonts w:ascii="Book Antiqua" w:hAnsi="Book Antiqua"/>
        </w:rPr>
        <w:t xml:space="preserve"> </w:t>
      </w:r>
      <w:r w:rsidRPr="00DA7457" w:rsidR="00C4631E">
        <w:rPr>
          <w:rFonts w:ascii="Book Antiqua" w:hAnsi="Book Antiqua"/>
        </w:rPr>
        <w:t>Instead, the Commission has ordered every TNC to produce the actual trip data in the manner dictated by the Commission’s template and data dictionaries.</w:t>
      </w:r>
      <w:r w:rsidRPr="00DA7457" w:rsidR="00312080">
        <w:rPr>
          <w:rStyle w:val="FootnoteReference"/>
          <w:rFonts w:ascii="Book Antiqua" w:hAnsi="Book Antiqua"/>
        </w:rPr>
        <w:footnoteReference w:id="77"/>
      </w:r>
    </w:p>
    <w:p w:rsidRPr="00505A15" w:rsidR="001071A3" w:rsidP="001071A3" w:rsidRDefault="001071A3" w14:paraId="2D2405FB" w14:textId="2917EEED">
      <w:pPr>
        <w:pStyle w:val="standard0"/>
        <w:rPr>
          <w:rFonts w:ascii="Book Antiqua" w:hAnsi="Book Antiqua"/>
        </w:rPr>
      </w:pPr>
      <w:r w:rsidRPr="00DA7457">
        <w:rPr>
          <w:rFonts w:ascii="Book Antiqua" w:hAnsi="Book Antiqua"/>
        </w:rPr>
        <w:t>The federal courts have had occasion to address similarly broad claims in resolving requests made to the Federal Government under the Freedom of Information Act and there is a legal question as to whether the requested</w:t>
      </w:r>
      <w:r w:rsidRPr="004659C7">
        <w:t xml:space="preserve"> information is a trade secret.  In </w:t>
      </w:r>
      <w:r w:rsidRPr="004659C7">
        <w:rPr>
          <w:i/>
        </w:rPr>
        <w:t xml:space="preserve">Center For Auto Safety v. National Highway Traffic </w:t>
      </w:r>
      <w:r w:rsidRPr="00505A15">
        <w:rPr>
          <w:rFonts w:ascii="Book Antiqua" w:hAnsi="Book Antiqua"/>
          <w:i/>
        </w:rPr>
        <w:t>Safety Administration</w:t>
      </w:r>
      <w:r w:rsidRPr="00505A15">
        <w:rPr>
          <w:rFonts w:ascii="Book Antiqua" w:hAnsi="Book Antiqua"/>
        </w:rPr>
        <w:t xml:space="preserve"> (D.C. Cir. 2001) 244 F.3d 144, the Center sought access to information provided to the National Highway Transportation Safety (NHTS) Administration by nine airbag manufacturers and importers.  The Court agreed with the Center that the information that the NHTS withheld did not qualify as trade secrets as the information sought only related to “the end product—what features an airbag has and how it performs—rather than to the production process, how an airbag is made.”  (</w:t>
      </w:r>
      <w:r w:rsidRPr="00505A15">
        <w:rPr>
          <w:rFonts w:ascii="Book Antiqua" w:hAnsi="Book Antiqua"/>
          <w:i/>
        </w:rPr>
        <w:t>Id</w:t>
      </w:r>
      <w:r w:rsidRPr="00505A15">
        <w:rPr>
          <w:rFonts w:ascii="Book Antiqua" w:hAnsi="Book Antiqua"/>
        </w:rPr>
        <w:t>. at 151.)  Similarly, in</w:t>
      </w:r>
      <w:r w:rsidRPr="00505A15">
        <w:rPr>
          <w:rFonts w:ascii="Book Antiqua" w:hAnsi="Book Antiqua"/>
          <w:i/>
        </w:rPr>
        <w:t xml:space="preserve"> Northwest Coalition for Alternatives to Pesticides v. Browner</w:t>
      </w:r>
      <w:r w:rsidRPr="00505A15">
        <w:rPr>
          <w:rFonts w:ascii="Book Antiqua" w:hAnsi="Book Antiqua"/>
        </w:rPr>
        <w:t xml:space="preserve"> (D.D.C. 1996) 941 F.Supp. 197, 202, the Court found that the claim of trade secret was not adequately supported in its entirety since while it was true that each pesticide’s formula was a trade secret, the same </w:t>
      </w:r>
      <w:r w:rsidRPr="00505A15">
        <w:rPr>
          <w:rFonts w:ascii="Book Antiqua" w:hAnsi="Book Antiqua"/>
        </w:rPr>
        <w:lastRenderedPageBreak/>
        <w:t xml:space="preserve">could not be said for “the common name and [Chemical Abstract System] numbers of inert ingredients,” which the American Crop Protection Association acknowledged that the release “of general identifying information about inert ingredients does not reveal formulas.”  </w:t>
      </w:r>
    </w:p>
    <w:p w:rsidR="001071A3" w:rsidP="00505A15" w:rsidRDefault="001071A3" w14:paraId="4C20212F" w14:textId="20DA268D">
      <w:pPr>
        <w:pStyle w:val="Standard"/>
      </w:pPr>
      <w:r w:rsidRPr="00505A15">
        <w:t>A like result is dictated by the facts in this proceeding.  Requiring Lyft to produce its trip data will not reveal the underlying formulas that it relies on to direct its drivers to particular zip codes</w:t>
      </w:r>
      <w:r w:rsidRPr="00505A15" w:rsidR="00292A54">
        <w:t xml:space="preserve"> or census blocks</w:t>
      </w:r>
      <w:r w:rsidRPr="00505A15">
        <w:t xml:space="preserve">.  As such, </w:t>
      </w:r>
      <w:r w:rsidRPr="00505A15" w:rsidR="00292A54">
        <w:t>the Commission</w:t>
      </w:r>
      <w:r w:rsidRPr="00505A15">
        <w:t xml:space="preserve"> find</w:t>
      </w:r>
      <w:r w:rsidRPr="00505A15" w:rsidR="00292A54">
        <w:t>s</w:t>
      </w:r>
      <w:r w:rsidRPr="00505A15">
        <w:t xml:space="preserve"> that Lyft </w:t>
      </w:r>
      <w:r w:rsidRPr="00505A15" w:rsidR="00E63C5C">
        <w:t>did not</w:t>
      </w:r>
      <w:r w:rsidRPr="00505A15">
        <w:t xml:space="preserve"> establish</w:t>
      </w:r>
      <w:r w:rsidRPr="00505A15" w:rsidR="00E63C5C">
        <w:t xml:space="preserve"> by a preponderance of the evidence</w:t>
      </w:r>
      <w:r w:rsidRPr="00505A15">
        <w:t xml:space="preserve"> that </w:t>
      </w:r>
      <w:r w:rsidRPr="00505A15" w:rsidR="00C4631E">
        <w:t>disclosure of trip data from the Annual Report will</w:t>
      </w:r>
      <w:r w:rsidRPr="00505A15">
        <w:t xml:space="preserve"> result in the </w:t>
      </w:r>
      <w:r w:rsidRPr="00505A15" w:rsidR="00C4631E">
        <w:t xml:space="preserve">release </w:t>
      </w:r>
      <w:r w:rsidRPr="00505A15">
        <w:t>of trade secret information</w:t>
      </w:r>
      <w:r w:rsidRPr="00505A15" w:rsidR="00E63C5C">
        <w:t xml:space="preserve">. </w:t>
      </w:r>
      <w:r w:rsidR="001F3F18">
        <w:t xml:space="preserve"> </w:t>
      </w:r>
      <w:r w:rsidRPr="00505A15" w:rsidR="00E63C5C">
        <w:t xml:space="preserve">While the </w:t>
      </w:r>
      <w:r w:rsidRPr="00505A15" w:rsidR="00E63C5C">
        <w:rPr>
          <w:i/>
          <w:iCs/>
        </w:rPr>
        <w:t>Ruling</w:t>
      </w:r>
      <w:r w:rsidRPr="00505A15" w:rsidR="00E63C5C">
        <w:t xml:space="preserve"> did not reference or discuss the Collins Declaration as the </w:t>
      </w:r>
      <w:r w:rsidRPr="00505A15" w:rsidR="00E63C5C">
        <w:rPr>
          <w:i/>
          <w:iCs/>
        </w:rPr>
        <w:t>Ruling</w:t>
      </w:r>
      <w:r w:rsidRPr="00505A15" w:rsidR="00E63C5C">
        <w:t xml:space="preserve"> focused on the Uber evidence (both of whom made </w:t>
      </w:r>
      <w:r w:rsidRPr="00505A15" w:rsidR="007E6B55">
        <w:t xml:space="preserve">similar </w:t>
      </w:r>
      <w:r w:rsidRPr="00505A15" w:rsidR="00E63C5C">
        <w:t>trade secret protection arguments regarding the release of trip data),</w:t>
      </w:r>
      <w:r w:rsidRPr="00505A15" w:rsidR="007E6B55">
        <w:rPr>
          <w:rStyle w:val="FootnoteReference"/>
        </w:rPr>
        <w:footnoteReference w:id="78"/>
      </w:r>
      <w:r w:rsidRPr="00505A15" w:rsidR="00E63C5C">
        <w:t xml:space="preserve"> the</w:t>
      </w:r>
      <w:r w:rsidR="00E63C5C">
        <w:t xml:space="preserve"> Commission has reached the same conclusion </w:t>
      </w:r>
      <w:r w:rsidR="00EE165B">
        <w:t>that</w:t>
      </w:r>
      <w:r w:rsidR="00E63C5C">
        <w:t xml:space="preserve"> was reached in the </w:t>
      </w:r>
      <w:r w:rsidRPr="00E63C5C" w:rsidR="00E63C5C">
        <w:rPr>
          <w:i/>
          <w:iCs/>
        </w:rPr>
        <w:t>Ruling</w:t>
      </w:r>
      <w:r w:rsidR="00E63C5C">
        <w:t xml:space="preserve"> regarding Lyft’s failure to meet its burden of proof. </w:t>
      </w:r>
      <w:r w:rsidR="001F3F18">
        <w:t xml:space="preserve"> </w:t>
      </w:r>
      <w:r w:rsidR="00E63C5C">
        <w:t>As such,</w:t>
      </w:r>
      <w:r w:rsidR="00292A54">
        <w:t xml:space="preserve"> the Commission affirms the determination made in the </w:t>
      </w:r>
      <w:r w:rsidRPr="00292A54" w:rsidR="00292A54">
        <w:rPr>
          <w:i/>
          <w:iCs/>
        </w:rPr>
        <w:t>Ruling</w:t>
      </w:r>
      <w:r w:rsidR="00292A54">
        <w:t>.</w:t>
      </w:r>
    </w:p>
    <w:p w:rsidR="00FF3A63" w:rsidP="001071A3" w:rsidRDefault="00E63C5C" w14:paraId="46C2A6F7" w14:textId="6E3771FC">
      <w:pPr>
        <w:pStyle w:val="standard0"/>
        <w:rPr>
          <w:rFonts w:ascii="Book Antiqua" w:hAnsi="Book Antiqua"/>
        </w:rPr>
      </w:pPr>
      <w:r w:rsidRPr="007E6B55">
        <w:rPr>
          <w:rFonts w:ascii="Book Antiqua" w:hAnsi="Book Antiqua"/>
        </w:rPr>
        <w:t>Although Lyft refers to</w:t>
      </w:r>
      <w:r w:rsidRPr="007E6B55" w:rsidR="007E6B55">
        <w:rPr>
          <w:rFonts w:ascii="Book Antiqua" w:hAnsi="Book Antiqua"/>
        </w:rPr>
        <w:t xml:space="preserve"> the </w:t>
      </w:r>
      <w:r w:rsidRPr="007E6B55" w:rsidR="007E6B55">
        <w:rPr>
          <w:rFonts w:ascii="Book Antiqua" w:hAnsi="Book Antiqua"/>
          <w:i/>
          <w:iCs/>
        </w:rPr>
        <w:t>Ruling’s</w:t>
      </w:r>
      <w:r w:rsidRPr="007E6B55" w:rsidR="007E6B55">
        <w:rPr>
          <w:rFonts w:ascii="Book Antiqua" w:hAnsi="Book Antiqua"/>
        </w:rPr>
        <w:t xml:space="preserve"> limited findings</w:t>
      </w:r>
      <w:r w:rsidRPr="007E6B55">
        <w:rPr>
          <w:rFonts w:ascii="Book Antiqua" w:hAnsi="Book Antiqua"/>
        </w:rPr>
        <w:t xml:space="preserve"> as a failure</w:t>
      </w:r>
      <w:r w:rsidR="008D4D85">
        <w:rPr>
          <w:rFonts w:ascii="Book Antiqua" w:hAnsi="Book Antiqua"/>
        </w:rPr>
        <w:t xml:space="preserve"> that amounts to reversible error</w:t>
      </w:r>
      <w:r w:rsidRPr="007E6B55">
        <w:rPr>
          <w:rFonts w:ascii="Book Antiqua" w:hAnsi="Book Antiqua"/>
        </w:rPr>
        <w:t>, the Commission</w:t>
      </w:r>
      <w:r w:rsidR="008D4D85">
        <w:rPr>
          <w:rFonts w:ascii="Book Antiqua" w:hAnsi="Book Antiqua"/>
        </w:rPr>
        <w:t xml:space="preserve"> disagrees. </w:t>
      </w:r>
      <w:r w:rsidR="001F3F18">
        <w:rPr>
          <w:rFonts w:ascii="Book Antiqua" w:hAnsi="Book Antiqua"/>
        </w:rPr>
        <w:t xml:space="preserve"> </w:t>
      </w:r>
      <w:r w:rsidR="008D4D85">
        <w:rPr>
          <w:rFonts w:ascii="Book Antiqua" w:hAnsi="Book Antiqua"/>
        </w:rPr>
        <w:t>The Commission</w:t>
      </w:r>
      <w:r w:rsidRPr="007E6B55">
        <w:rPr>
          <w:rFonts w:ascii="Book Antiqua" w:hAnsi="Book Antiqua"/>
        </w:rPr>
        <w:t xml:space="preserve"> finds that once the </w:t>
      </w:r>
      <w:r w:rsidR="00B539AE">
        <w:rPr>
          <w:rFonts w:ascii="Book Antiqua" w:hAnsi="Book Antiqua"/>
        </w:rPr>
        <w:t xml:space="preserve">assigned </w:t>
      </w:r>
      <w:r w:rsidRPr="007E6B55">
        <w:rPr>
          <w:rFonts w:ascii="Book Antiqua" w:hAnsi="Book Antiqua"/>
        </w:rPr>
        <w:t>ALJ determined that Lyft had failed to carry its burden of proof</w:t>
      </w:r>
      <w:r w:rsidRPr="007E6B55" w:rsidR="00D80629">
        <w:rPr>
          <w:rFonts w:ascii="Book Antiqua" w:hAnsi="Book Antiqua"/>
        </w:rPr>
        <w:t xml:space="preserve"> on the first element of a trade secret claim, </w:t>
      </w:r>
      <w:r w:rsidRPr="007E6B55">
        <w:rPr>
          <w:rFonts w:ascii="Book Antiqua" w:hAnsi="Book Antiqua"/>
        </w:rPr>
        <w:t xml:space="preserve">it was not necessary for the ALJ to continue and determine if the additional requirements </w:t>
      </w:r>
      <w:r w:rsidRPr="007E6B55" w:rsidR="00D80629">
        <w:rPr>
          <w:rFonts w:ascii="Book Antiqua" w:hAnsi="Book Antiqua"/>
        </w:rPr>
        <w:t>specified</w:t>
      </w:r>
      <w:r w:rsidRPr="007E6B55">
        <w:rPr>
          <w:rFonts w:ascii="Book Antiqua" w:hAnsi="Book Antiqua"/>
        </w:rPr>
        <w:t xml:space="preserve"> in Civil Code </w:t>
      </w:r>
      <w:r w:rsidRPr="00500BCC">
        <w:rPr>
          <w:rFonts w:ascii="Book Antiqua" w:hAnsi="Book Antiqua"/>
        </w:rPr>
        <w:t>§</w:t>
      </w:r>
      <w:r w:rsidRPr="00500BCC" w:rsidR="000A3B70">
        <w:rPr>
          <w:rFonts w:ascii="Book Antiqua" w:hAnsi="Book Antiqua"/>
        </w:rPr>
        <w:t> </w:t>
      </w:r>
      <w:r w:rsidRPr="00500BCC">
        <w:rPr>
          <w:rFonts w:ascii="Book Antiqua" w:hAnsi="Book Antiqua"/>
        </w:rPr>
        <w:t>3426.1</w:t>
      </w:r>
      <w:r w:rsidRPr="00500BCC" w:rsidR="00EE165B">
        <w:rPr>
          <w:rFonts w:ascii="Book Antiqua" w:hAnsi="Book Antiqua"/>
        </w:rPr>
        <w:t>(d)</w:t>
      </w:r>
      <w:r w:rsidRPr="00500BCC" w:rsidR="00D80629">
        <w:rPr>
          <w:rFonts w:ascii="Book Antiqua" w:hAnsi="Book Antiqua"/>
        </w:rPr>
        <w:t xml:space="preserve"> </w:t>
      </w:r>
      <w:r w:rsidRPr="00500BCC">
        <w:rPr>
          <w:rFonts w:ascii="Book Antiqua" w:hAnsi="Book Antiqua"/>
        </w:rPr>
        <w:t xml:space="preserve">for </w:t>
      </w:r>
      <w:r w:rsidRPr="00500BCC" w:rsidR="00D80629">
        <w:rPr>
          <w:rFonts w:ascii="Book Antiqua" w:hAnsi="Book Antiqua"/>
        </w:rPr>
        <w:t>establishing</w:t>
      </w:r>
      <w:r w:rsidRPr="00500BCC">
        <w:rPr>
          <w:rFonts w:ascii="Book Antiqua" w:hAnsi="Book Antiqua"/>
        </w:rPr>
        <w:t xml:space="preserve"> a trade secret clai</w:t>
      </w:r>
      <w:r w:rsidRPr="00500BCC" w:rsidR="00D80629">
        <w:rPr>
          <w:rFonts w:ascii="Book Antiqua" w:hAnsi="Book Antiqua"/>
        </w:rPr>
        <w:t xml:space="preserve">m had been satisfied. </w:t>
      </w:r>
      <w:r w:rsidRPr="00500BCC" w:rsidR="001F3F18">
        <w:rPr>
          <w:rFonts w:ascii="Book Antiqua" w:hAnsi="Book Antiqua"/>
        </w:rPr>
        <w:t xml:space="preserve"> </w:t>
      </w:r>
      <w:r w:rsidRPr="00500BCC" w:rsidR="00EE165B">
        <w:rPr>
          <w:rFonts w:ascii="Book Antiqua" w:hAnsi="Book Antiqua"/>
        </w:rPr>
        <w:t>This is because Civil Code §</w:t>
      </w:r>
      <w:r w:rsidRPr="00500BCC" w:rsidR="000A3B70">
        <w:rPr>
          <w:rFonts w:ascii="Book Antiqua" w:hAnsi="Book Antiqua"/>
        </w:rPr>
        <w:t xml:space="preserve"> </w:t>
      </w:r>
      <w:r w:rsidRPr="00500BCC" w:rsidR="00EE165B">
        <w:rPr>
          <w:rFonts w:ascii="Book Antiqua" w:hAnsi="Book Antiqua"/>
        </w:rPr>
        <w:t>3426</w:t>
      </w:r>
      <w:r w:rsidRPr="007E6B55" w:rsidR="00EE165B">
        <w:rPr>
          <w:rFonts w:ascii="Book Antiqua" w:hAnsi="Book Antiqua"/>
        </w:rPr>
        <w:t xml:space="preserve">.1(d)’s </w:t>
      </w:r>
      <w:r w:rsidR="00FF3A63">
        <w:rPr>
          <w:rFonts w:ascii="Book Antiqua" w:hAnsi="Book Antiqua"/>
        </w:rPr>
        <w:t xml:space="preserve">three </w:t>
      </w:r>
      <w:r w:rsidRPr="007E6B55" w:rsidR="00EE165B">
        <w:rPr>
          <w:rFonts w:ascii="Book Antiqua" w:hAnsi="Book Antiqua"/>
        </w:rPr>
        <w:t>requirements are written in the conjunctive,</w:t>
      </w:r>
      <w:r w:rsidR="00463A53">
        <w:rPr>
          <w:rFonts w:ascii="Book Antiqua" w:hAnsi="Book Antiqua"/>
        </w:rPr>
        <w:t xml:space="preserve"> rather than the disjunctive,</w:t>
      </w:r>
      <w:r w:rsidRPr="007E6B55" w:rsidR="00EE165B">
        <w:rPr>
          <w:rFonts w:ascii="Book Antiqua" w:hAnsi="Book Antiqua"/>
        </w:rPr>
        <w:t xml:space="preserve"> meaning that all three requirements must be satisfied to successfully establish a trade secret claim. </w:t>
      </w:r>
      <w:r w:rsidR="001F3F18">
        <w:rPr>
          <w:rFonts w:ascii="Book Antiqua" w:hAnsi="Book Antiqua"/>
        </w:rPr>
        <w:t xml:space="preserve"> </w:t>
      </w:r>
      <w:r w:rsidR="00CE1259">
        <w:rPr>
          <w:rFonts w:ascii="Book Antiqua" w:hAnsi="Book Antiqua"/>
        </w:rPr>
        <w:t xml:space="preserve">This approach is </w:t>
      </w:r>
      <w:r w:rsidR="00CE1259">
        <w:rPr>
          <w:rFonts w:ascii="Book Antiqua" w:hAnsi="Book Antiqua"/>
        </w:rPr>
        <w:lastRenderedPageBreak/>
        <w:t xml:space="preserve">in accordance with decisions that have construed statutory provisions with the words “and” or “or’ between the requirements. </w:t>
      </w:r>
      <w:r w:rsidR="001F3F18">
        <w:rPr>
          <w:rFonts w:ascii="Book Antiqua" w:hAnsi="Book Antiqua"/>
        </w:rPr>
        <w:t xml:space="preserve"> </w:t>
      </w:r>
      <w:r w:rsidRPr="007E6B55" w:rsidR="00EE165B">
        <w:rPr>
          <w:rFonts w:ascii="Book Antiqua" w:hAnsi="Book Antiqua"/>
        </w:rPr>
        <w:t>(</w:t>
      </w:r>
      <w:r w:rsidRPr="00463A53" w:rsidR="00EE165B">
        <w:rPr>
          <w:rFonts w:ascii="Book Antiqua" w:hAnsi="Book Antiqua"/>
          <w:i/>
          <w:iCs/>
        </w:rPr>
        <w:t>See</w:t>
      </w:r>
      <w:r w:rsidRPr="007E6B55" w:rsidR="00EE165B">
        <w:rPr>
          <w:rFonts w:ascii="Book Antiqua" w:hAnsi="Book Antiqua"/>
        </w:rPr>
        <w:t xml:space="preserve"> </w:t>
      </w:r>
      <w:r w:rsidRPr="00FF3A63" w:rsidR="00FF3A63">
        <w:rPr>
          <w:rFonts w:ascii="Book Antiqua" w:hAnsi="Book Antiqua"/>
          <w:i/>
          <w:iCs/>
        </w:rPr>
        <w:t>Pueblo of Santa Ana v. Kelly</w:t>
      </w:r>
      <w:r w:rsidR="00FF3A63">
        <w:rPr>
          <w:rFonts w:ascii="Book Antiqua" w:hAnsi="Book Antiqua"/>
        </w:rPr>
        <w:t xml:space="preserve"> (D.N. Mexico 1996) 932 F.Supp. 1284, 1292 [“</w:t>
      </w:r>
      <w:r w:rsidRPr="00FF3A63" w:rsidR="00FF3A63">
        <w:rPr>
          <w:rFonts w:ascii="Book Antiqua" w:hAnsi="Book Antiqua"/>
        </w:rPr>
        <w:t>In this Section, the compact requirement is separated from the requirement that the compact be approved by the Secretary by the conjunctive term "and", indicating that Congress recognized as distinct the existence of a valid tribal-state compact and the approval of the Secretary putting that compact into effect.</w:t>
      </w:r>
      <w:r w:rsidR="00FF3A63">
        <w:rPr>
          <w:rFonts w:ascii="Book Antiqua" w:hAnsi="Book Antiqua"/>
        </w:rPr>
        <w:t xml:space="preserve">”]; and </w:t>
      </w:r>
      <w:r w:rsidRPr="00FF3A63" w:rsidR="00463A53">
        <w:rPr>
          <w:rFonts w:ascii="Book Antiqua" w:hAnsi="Book Antiqua"/>
          <w:i/>
          <w:iCs/>
        </w:rPr>
        <w:t>Azure v. Morton</w:t>
      </w:r>
      <w:r w:rsidR="00463A53">
        <w:rPr>
          <w:rFonts w:ascii="Book Antiqua" w:hAnsi="Book Antiqua"/>
        </w:rPr>
        <w:t xml:space="preserve"> (9</w:t>
      </w:r>
      <w:r w:rsidRPr="00463A53" w:rsidR="00463A53">
        <w:rPr>
          <w:rFonts w:ascii="Book Antiqua" w:hAnsi="Book Antiqua"/>
          <w:vertAlign w:val="superscript"/>
        </w:rPr>
        <w:t>th</w:t>
      </w:r>
      <w:r w:rsidR="00463A53">
        <w:rPr>
          <w:rFonts w:ascii="Book Antiqua" w:hAnsi="Book Antiqua"/>
        </w:rPr>
        <w:t xml:space="preserve"> Cir. 1975) 514 F.2d 897, 900 [“</w:t>
      </w:r>
      <w:r w:rsidRPr="00463A53" w:rsidR="00463A53">
        <w:rPr>
          <w:rFonts w:ascii="Book Antiqua" w:hAnsi="Book Antiqua"/>
        </w:rPr>
        <w:t>As a general rule, the use of a disjunctive in a statute indicates alternatives and requires that they be treated separately.</w:t>
      </w:r>
      <w:r w:rsidR="00463A53">
        <w:rPr>
          <w:rFonts w:ascii="Book Antiqua" w:hAnsi="Book Antiqua"/>
        </w:rPr>
        <w:t>”]</w:t>
      </w:r>
      <w:r w:rsidR="00CE1259">
        <w:rPr>
          <w:rFonts w:ascii="Book Antiqua" w:hAnsi="Book Antiqua"/>
        </w:rPr>
        <w:t>.</w:t>
      </w:r>
      <w:r w:rsidR="00FF3A63">
        <w:rPr>
          <w:rFonts w:ascii="Book Antiqua" w:hAnsi="Book Antiqua"/>
        </w:rPr>
        <w:t>)</w:t>
      </w:r>
      <w:r w:rsidR="00FF3A63">
        <w:rPr>
          <w:rStyle w:val="FootnoteReference"/>
          <w:rFonts w:ascii="Book Antiqua" w:hAnsi="Book Antiqua"/>
        </w:rPr>
        <w:footnoteReference w:id="79"/>
      </w:r>
      <w:r w:rsidRPr="00463A53" w:rsidR="00463A53">
        <w:rPr>
          <w:rFonts w:ascii="Book Antiqua" w:hAnsi="Book Antiqua"/>
        </w:rPr>
        <w:t> </w:t>
      </w:r>
    </w:p>
    <w:p w:rsidR="0008082D" w:rsidP="001071A3" w:rsidRDefault="00FF3A63" w14:paraId="5F1E2182" w14:textId="6CFCFE5F">
      <w:pPr>
        <w:pStyle w:val="standard0"/>
        <w:rPr>
          <w:rFonts w:ascii="Book Antiqua" w:hAnsi="Book Antiqua"/>
        </w:rPr>
      </w:pPr>
      <w:r>
        <w:rPr>
          <w:rFonts w:ascii="Book Antiqua" w:hAnsi="Book Antiqua"/>
        </w:rPr>
        <w:t xml:space="preserve">The </w:t>
      </w:r>
      <w:r w:rsidRPr="00E7476E">
        <w:rPr>
          <w:rFonts w:ascii="Book Antiqua" w:hAnsi="Book Antiqua"/>
          <w:i/>
          <w:iCs/>
        </w:rPr>
        <w:t>Ruling’s</w:t>
      </w:r>
      <w:r>
        <w:rPr>
          <w:rFonts w:ascii="Book Antiqua" w:hAnsi="Book Antiqua"/>
        </w:rPr>
        <w:t xml:space="preserve"> decision to stop its</w:t>
      </w:r>
      <w:r w:rsidR="00E7476E">
        <w:rPr>
          <w:rFonts w:ascii="Book Antiqua" w:hAnsi="Book Antiqua"/>
        </w:rPr>
        <w:t xml:space="preserve"> trade secret</w:t>
      </w:r>
      <w:r>
        <w:rPr>
          <w:rFonts w:ascii="Book Antiqua" w:hAnsi="Book Antiqua"/>
        </w:rPr>
        <w:t xml:space="preserve"> analysis after Lyft had failed to satisfy its first evidentiary</w:t>
      </w:r>
      <w:r w:rsidR="00B1070F">
        <w:rPr>
          <w:rFonts w:ascii="Book Antiqua" w:hAnsi="Book Antiqua"/>
        </w:rPr>
        <w:t xml:space="preserve"> requirement</w:t>
      </w:r>
      <w:r>
        <w:rPr>
          <w:rFonts w:ascii="Book Antiqua" w:hAnsi="Book Antiqua"/>
        </w:rPr>
        <w:t xml:space="preserve"> is consistent with California’s rules for statutory interpretation. </w:t>
      </w:r>
      <w:r w:rsidR="001F3F18">
        <w:rPr>
          <w:rFonts w:ascii="Book Antiqua" w:hAnsi="Book Antiqua"/>
        </w:rPr>
        <w:t xml:space="preserve"> </w:t>
      </w:r>
      <w:r w:rsidR="00E7476E">
        <w:rPr>
          <w:rFonts w:ascii="Book Antiqua" w:hAnsi="Book Antiqua"/>
        </w:rPr>
        <w:t xml:space="preserve">When interpreting a statute that has various components, the words of a statute must be read in context, keeping in mind the nature and obvious purpose of the statute. </w:t>
      </w:r>
      <w:r w:rsidR="001F3F18">
        <w:rPr>
          <w:rFonts w:ascii="Book Antiqua" w:hAnsi="Book Antiqua"/>
        </w:rPr>
        <w:t xml:space="preserve"> </w:t>
      </w:r>
      <w:r w:rsidR="00E7476E">
        <w:rPr>
          <w:rFonts w:ascii="Book Antiqua" w:hAnsi="Book Antiqua"/>
        </w:rPr>
        <w:t>(</w:t>
      </w:r>
      <w:r w:rsidRPr="00E7476E" w:rsidR="00E7476E">
        <w:rPr>
          <w:rFonts w:ascii="Book Antiqua" w:hAnsi="Book Antiqua"/>
          <w:i/>
          <w:iCs/>
        </w:rPr>
        <w:t>Johnstone v. Richardson</w:t>
      </w:r>
      <w:r w:rsidR="00E7476E">
        <w:rPr>
          <w:rFonts w:ascii="Book Antiqua" w:hAnsi="Book Antiqua"/>
        </w:rPr>
        <w:t xml:space="preserve"> (1951) 103</w:t>
      </w:r>
      <w:r w:rsidR="001F3F18">
        <w:rPr>
          <w:rFonts w:ascii="Book Antiqua" w:hAnsi="Book Antiqua"/>
        </w:rPr>
        <w:t xml:space="preserve">  </w:t>
      </w:r>
      <w:r w:rsidR="00E7476E">
        <w:rPr>
          <w:rFonts w:ascii="Book Antiqua" w:hAnsi="Book Antiqua"/>
        </w:rPr>
        <w:t>Cal.App.2d 41, 46.)</w:t>
      </w:r>
      <w:r w:rsidR="000D5F80">
        <w:rPr>
          <w:rFonts w:ascii="Book Antiqua" w:hAnsi="Book Antiqua"/>
        </w:rPr>
        <w:t xml:space="preserve"> </w:t>
      </w:r>
      <w:r w:rsidR="001F3F18">
        <w:rPr>
          <w:rFonts w:ascii="Book Antiqua" w:hAnsi="Book Antiqua"/>
        </w:rPr>
        <w:t xml:space="preserve"> </w:t>
      </w:r>
      <w:r w:rsidR="000D5F80">
        <w:rPr>
          <w:rFonts w:ascii="Book Antiqua" w:hAnsi="Book Antiqua"/>
        </w:rPr>
        <w:t>T</w:t>
      </w:r>
      <w:r w:rsidR="00E7476E">
        <w:rPr>
          <w:rFonts w:ascii="Book Antiqua" w:hAnsi="Book Antiqua"/>
        </w:rPr>
        <w:t>he statutory language applied must be given such</w:t>
      </w:r>
      <w:r w:rsidR="00AD4372">
        <w:rPr>
          <w:rFonts w:ascii="Book Antiqua" w:hAnsi="Book Antiqua"/>
        </w:rPr>
        <w:t xml:space="preserve"> an </w:t>
      </w:r>
      <w:r w:rsidR="00E7476E">
        <w:rPr>
          <w:rFonts w:ascii="Book Antiqua" w:hAnsi="Book Antiqua"/>
        </w:rPr>
        <w:t xml:space="preserve">interpretation </w:t>
      </w:r>
      <w:r w:rsidR="00AD4372">
        <w:rPr>
          <w:rFonts w:ascii="Book Antiqua" w:hAnsi="Book Antiqua"/>
        </w:rPr>
        <w:t>that</w:t>
      </w:r>
      <w:r w:rsidR="00E7476E">
        <w:rPr>
          <w:rFonts w:ascii="Book Antiqua" w:hAnsi="Book Antiqua"/>
        </w:rPr>
        <w:t xml:space="preserve"> will promote rather than defeat the objective and policy of law. (</w:t>
      </w:r>
      <w:r w:rsidRPr="000D5F80" w:rsidR="00E7476E">
        <w:rPr>
          <w:rFonts w:ascii="Book Antiqua" w:hAnsi="Book Antiqua"/>
          <w:i/>
          <w:iCs/>
        </w:rPr>
        <w:t>City of Los Angeles v. Pacific Tel. &amp; Tel. Co.</w:t>
      </w:r>
      <w:r w:rsidR="00E7476E">
        <w:rPr>
          <w:rFonts w:ascii="Book Antiqua" w:hAnsi="Book Antiqua"/>
        </w:rPr>
        <w:t xml:space="preserve"> (1958) 164 Cal.App.2d 253, 256.) </w:t>
      </w:r>
      <w:r w:rsidR="000D5F80">
        <w:rPr>
          <w:rFonts w:ascii="Book Antiqua" w:hAnsi="Book Antiqua"/>
        </w:rPr>
        <w:t>S</w:t>
      </w:r>
      <w:r w:rsidR="00E7476E">
        <w:rPr>
          <w:rFonts w:ascii="Book Antiqua" w:hAnsi="Book Antiqua"/>
        </w:rPr>
        <w:t>tatutes or statutory sections relating to the same subject must be construed together and harmonized</w:t>
      </w:r>
      <w:r w:rsidR="00CE1259">
        <w:rPr>
          <w:rFonts w:ascii="Book Antiqua" w:hAnsi="Book Antiqua"/>
        </w:rPr>
        <w:t>,</w:t>
      </w:r>
      <w:r w:rsidR="00E7476E">
        <w:rPr>
          <w:rFonts w:ascii="Book Antiqua" w:hAnsi="Book Antiqua"/>
        </w:rPr>
        <w:t xml:space="preserve"> if possible</w:t>
      </w:r>
      <w:r w:rsidR="00CE1259">
        <w:rPr>
          <w:rFonts w:ascii="Book Antiqua" w:hAnsi="Book Antiqua"/>
        </w:rPr>
        <w:t>,</w:t>
      </w:r>
      <w:r w:rsidR="00E7476E">
        <w:rPr>
          <w:rFonts w:ascii="Book Antiqua" w:hAnsi="Book Antiqua"/>
        </w:rPr>
        <w:t xml:space="preserve"> to carry out the Legislature’s intent. (</w:t>
      </w:r>
      <w:r w:rsidRPr="000D5F80" w:rsidR="00E7476E">
        <w:rPr>
          <w:rFonts w:ascii="Book Antiqua" w:hAnsi="Book Antiqua"/>
          <w:i/>
          <w:iCs/>
        </w:rPr>
        <w:t>Mannhei</w:t>
      </w:r>
      <w:r w:rsidRPr="000D5F80" w:rsidR="000D5F80">
        <w:rPr>
          <w:rFonts w:ascii="Book Antiqua" w:hAnsi="Book Antiqua"/>
          <w:i/>
          <w:iCs/>
        </w:rPr>
        <w:t>m v. Superior Court</w:t>
      </w:r>
      <w:r w:rsidR="000D5F80">
        <w:rPr>
          <w:rFonts w:ascii="Book Antiqua" w:hAnsi="Book Antiqua"/>
        </w:rPr>
        <w:t xml:space="preserve"> (1970) 3 Cal. 3d 678, 687; and </w:t>
      </w:r>
      <w:r w:rsidRPr="000D5F80" w:rsidR="000D5F80">
        <w:rPr>
          <w:rFonts w:ascii="Book Antiqua" w:hAnsi="Book Antiqua"/>
          <w:i/>
          <w:iCs/>
        </w:rPr>
        <w:t>County of Placer v. Aetna Casualty &amp; Surety Company</w:t>
      </w:r>
      <w:r w:rsidR="000D5F80">
        <w:rPr>
          <w:rFonts w:ascii="Book Antiqua" w:hAnsi="Book Antiqua"/>
        </w:rPr>
        <w:t xml:space="preserve"> (1958) 50 Cal.2d 182, 188-189.)</w:t>
      </w:r>
      <w:r w:rsidR="00E7476E">
        <w:rPr>
          <w:rFonts w:ascii="Book Antiqua" w:hAnsi="Book Antiqua"/>
        </w:rPr>
        <w:t xml:space="preserve"> </w:t>
      </w:r>
      <w:r w:rsidR="001F3F18">
        <w:rPr>
          <w:rFonts w:ascii="Book Antiqua" w:hAnsi="Book Antiqua"/>
        </w:rPr>
        <w:t xml:space="preserve"> </w:t>
      </w:r>
      <w:r w:rsidR="000D5F80">
        <w:rPr>
          <w:rFonts w:ascii="Book Antiqua" w:hAnsi="Book Antiqua"/>
        </w:rPr>
        <w:t xml:space="preserve">By not continuing to construe the balance of </w:t>
      </w:r>
      <w:r w:rsidRPr="007E6B55" w:rsidR="000D5F80">
        <w:rPr>
          <w:rFonts w:ascii="Book Antiqua" w:hAnsi="Book Antiqua"/>
        </w:rPr>
        <w:t>Civil Code §3426.1(d)</w:t>
      </w:r>
      <w:r w:rsidR="000D5F80">
        <w:rPr>
          <w:rFonts w:ascii="Book Antiqua" w:hAnsi="Book Antiqua"/>
        </w:rPr>
        <w:t xml:space="preserve">, the </w:t>
      </w:r>
      <w:r w:rsidRPr="000D5F80" w:rsidR="000D5F80">
        <w:rPr>
          <w:rFonts w:ascii="Book Antiqua" w:hAnsi="Book Antiqua"/>
          <w:i/>
          <w:iCs/>
        </w:rPr>
        <w:t>Ruling</w:t>
      </w:r>
      <w:r w:rsidR="000D5F80">
        <w:rPr>
          <w:rFonts w:ascii="Book Antiqua" w:hAnsi="Book Antiqua"/>
        </w:rPr>
        <w:t xml:space="preserve"> properly construed the statute’s conjunctive language as meaning that Lyft </w:t>
      </w:r>
      <w:r w:rsidR="00AA2EDC">
        <w:rPr>
          <w:rFonts w:ascii="Book Antiqua" w:hAnsi="Book Antiqua"/>
        </w:rPr>
        <w:t>had</w:t>
      </w:r>
      <w:r w:rsidR="000D5F80">
        <w:rPr>
          <w:rFonts w:ascii="Book Antiqua" w:hAnsi="Book Antiqua"/>
        </w:rPr>
        <w:t xml:space="preserve"> to satisfy all three</w:t>
      </w:r>
      <w:r w:rsidR="001F3F18">
        <w:rPr>
          <w:rFonts w:ascii="Book Antiqua" w:hAnsi="Book Antiqua"/>
        </w:rPr>
        <w:t> </w:t>
      </w:r>
      <w:r w:rsidR="000D5F80">
        <w:rPr>
          <w:rFonts w:ascii="Book Antiqua" w:hAnsi="Book Antiqua"/>
        </w:rPr>
        <w:t xml:space="preserve">requirements, and that the failure to satisfy the first requirement mooted </w:t>
      </w:r>
      <w:r w:rsidR="000D5F80">
        <w:rPr>
          <w:rFonts w:ascii="Book Antiqua" w:hAnsi="Book Antiqua"/>
        </w:rPr>
        <w:lastRenderedPageBreak/>
        <w:t xml:space="preserve">the need to determine if Lyft satisfied the balance of the statute. </w:t>
      </w:r>
      <w:r w:rsidR="001F3F18">
        <w:rPr>
          <w:rFonts w:ascii="Book Antiqua" w:hAnsi="Book Antiqua"/>
        </w:rPr>
        <w:t xml:space="preserve"> </w:t>
      </w:r>
      <w:r w:rsidR="000D5F80">
        <w:rPr>
          <w:rFonts w:ascii="Book Antiqua" w:hAnsi="Book Antiqua"/>
        </w:rPr>
        <w:t>This approach is consistent with how the statute was drafted.</w:t>
      </w:r>
      <w:r w:rsidR="000D5F80">
        <w:rPr>
          <w:rStyle w:val="FootnoteReference"/>
          <w:rFonts w:ascii="Book Antiqua" w:hAnsi="Book Antiqua"/>
        </w:rPr>
        <w:footnoteReference w:id="80"/>
      </w:r>
      <w:r w:rsidR="000D5F80">
        <w:rPr>
          <w:rFonts w:ascii="Book Antiqua" w:hAnsi="Book Antiqua"/>
        </w:rPr>
        <w:t xml:space="preserve"> </w:t>
      </w:r>
      <w:r w:rsidR="001F3F18">
        <w:rPr>
          <w:rFonts w:ascii="Book Antiqua" w:hAnsi="Book Antiqua"/>
        </w:rPr>
        <w:t xml:space="preserve"> </w:t>
      </w:r>
      <w:r w:rsidR="000D5F80">
        <w:rPr>
          <w:rFonts w:ascii="Book Antiqua" w:hAnsi="Book Antiqua"/>
        </w:rPr>
        <w:t xml:space="preserve">If the Legislature had intended that a claimant could establish a trade secret claim by </w:t>
      </w:r>
      <w:r w:rsidR="00B1070F">
        <w:rPr>
          <w:rFonts w:ascii="Book Antiqua" w:hAnsi="Book Antiqua"/>
        </w:rPr>
        <w:t>not</w:t>
      </w:r>
      <w:r w:rsidR="000D5F80">
        <w:rPr>
          <w:rFonts w:ascii="Book Antiqua" w:hAnsi="Book Antiqua"/>
        </w:rPr>
        <w:t xml:space="preserve"> satisfy</w:t>
      </w:r>
      <w:r w:rsidR="00B1070F">
        <w:rPr>
          <w:rFonts w:ascii="Book Antiqua" w:hAnsi="Book Antiqua"/>
        </w:rPr>
        <w:t>ing</w:t>
      </w:r>
      <w:r w:rsidR="000D5F80">
        <w:rPr>
          <w:rFonts w:ascii="Book Antiqua" w:hAnsi="Book Antiqua"/>
        </w:rPr>
        <w:t xml:space="preserve"> all the requirements of the statute, the Legislature would have written</w:t>
      </w:r>
      <w:r w:rsidRPr="007E6B55" w:rsidR="000D5F80">
        <w:rPr>
          <w:rFonts w:ascii="Book Antiqua" w:hAnsi="Book Antiqua"/>
        </w:rPr>
        <w:t xml:space="preserve"> Civil Code </w:t>
      </w:r>
      <w:r w:rsidRPr="00500BCC" w:rsidR="000D5F80">
        <w:rPr>
          <w:rFonts w:ascii="Book Antiqua" w:hAnsi="Book Antiqua"/>
        </w:rPr>
        <w:t>§</w:t>
      </w:r>
      <w:r w:rsidRPr="00500BCC" w:rsidR="000A3B70">
        <w:rPr>
          <w:rFonts w:ascii="Book Antiqua" w:hAnsi="Book Antiqua"/>
        </w:rPr>
        <w:t> </w:t>
      </w:r>
      <w:r w:rsidRPr="00500BCC" w:rsidR="000D5F80">
        <w:rPr>
          <w:rFonts w:ascii="Book Antiqua" w:hAnsi="Book Antiqua"/>
        </w:rPr>
        <w:t>3426</w:t>
      </w:r>
      <w:r w:rsidRPr="007E6B55" w:rsidR="000D5F80">
        <w:rPr>
          <w:rFonts w:ascii="Book Antiqua" w:hAnsi="Book Antiqua"/>
        </w:rPr>
        <w:t>.1(d</w:t>
      </w:r>
      <w:r w:rsidR="000D5F80">
        <w:rPr>
          <w:rFonts w:ascii="Book Antiqua" w:hAnsi="Book Antiqua"/>
        </w:rPr>
        <w:t xml:space="preserve">) in the disjunctive, rather than the conjunctive. </w:t>
      </w:r>
      <w:r w:rsidR="001F3F18">
        <w:rPr>
          <w:rFonts w:ascii="Book Antiqua" w:hAnsi="Book Antiqua"/>
        </w:rPr>
        <w:t xml:space="preserve"> </w:t>
      </w:r>
      <w:r w:rsidR="000D5F80">
        <w:rPr>
          <w:rFonts w:ascii="Book Antiqua" w:hAnsi="Book Antiqua"/>
        </w:rPr>
        <w:t xml:space="preserve">In sum, Lyft’s assertion that the </w:t>
      </w:r>
      <w:r w:rsidRPr="0078011E" w:rsidR="000D5F80">
        <w:rPr>
          <w:rFonts w:ascii="Book Antiqua" w:hAnsi="Book Antiqua"/>
          <w:i/>
          <w:iCs/>
        </w:rPr>
        <w:t>Ruling</w:t>
      </w:r>
      <w:r w:rsidR="000D5F80">
        <w:rPr>
          <w:rFonts w:ascii="Book Antiqua" w:hAnsi="Book Antiqua"/>
        </w:rPr>
        <w:t xml:space="preserve"> failed to consider the balance of </w:t>
      </w:r>
      <w:r w:rsidR="0078011E">
        <w:rPr>
          <w:rFonts w:ascii="Book Antiqua" w:hAnsi="Book Antiqua"/>
        </w:rPr>
        <w:t xml:space="preserve">Lyft’s </w:t>
      </w:r>
      <w:r w:rsidR="000D5F80">
        <w:rPr>
          <w:rFonts w:ascii="Book Antiqua" w:hAnsi="Book Antiqua"/>
        </w:rPr>
        <w:t xml:space="preserve">trade secret claim </w:t>
      </w:r>
      <w:r w:rsidR="0078011E">
        <w:rPr>
          <w:rFonts w:ascii="Book Antiqua" w:hAnsi="Book Antiqua"/>
        </w:rPr>
        <w:t>argument</w:t>
      </w:r>
      <w:r w:rsidR="000D5F80">
        <w:rPr>
          <w:rFonts w:ascii="Book Antiqua" w:hAnsi="Book Antiqua"/>
        </w:rPr>
        <w:t xml:space="preserve"> is inconsistent with the rules of statutory construction</w:t>
      </w:r>
      <w:r w:rsidR="0008082D">
        <w:rPr>
          <w:rFonts w:ascii="Book Antiqua" w:hAnsi="Book Antiqua"/>
        </w:rPr>
        <w:t>.</w:t>
      </w:r>
    </w:p>
    <w:p w:rsidR="0078011E" w:rsidP="001071A3" w:rsidRDefault="0008082D" w14:paraId="7B5161A5" w14:textId="40B7838A">
      <w:pPr>
        <w:pStyle w:val="standard0"/>
        <w:rPr>
          <w:rFonts w:ascii="Book Antiqua" w:hAnsi="Book Antiqua"/>
        </w:rPr>
      </w:pPr>
      <w:r>
        <w:rPr>
          <w:rFonts w:ascii="Book Antiqua" w:hAnsi="Book Antiqua"/>
        </w:rPr>
        <w:t xml:space="preserve">Moreover, the way the </w:t>
      </w:r>
      <w:r w:rsidRPr="0008082D">
        <w:rPr>
          <w:rFonts w:ascii="Book Antiqua" w:hAnsi="Book Antiqua"/>
          <w:i/>
          <w:iCs/>
        </w:rPr>
        <w:t>Ruling</w:t>
      </w:r>
      <w:r>
        <w:rPr>
          <w:rFonts w:ascii="Book Antiqua" w:hAnsi="Book Antiqua"/>
        </w:rPr>
        <w:t xml:space="preserve"> resolve</w:t>
      </w:r>
      <w:r w:rsidR="002453FE">
        <w:rPr>
          <w:rFonts w:ascii="Book Antiqua" w:hAnsi="Book Antiqua"/>
        </w:rPr>
        <w:t>d</w:t>
      </w:r>
      <w:r>
        <w:rPr>
          <w:rFonts w:ascii="Book Antiqua" w:hAnsi="Book Antiqua"/>
        </w:rPr>
        <w:t xml:space="preserve"> Lyft’s trade secret argument</w:t>
      </w:r>
      <w:r w:rsidR="0078011E">
        <w:rPr>
          <w:rFonts w:ascii="Book Antiqua" w:hAnsi="Book Antiqua"/>
        </w:rPr>
        <w:t xml:space="preserve"> undercuts Lyft’s </w:t>
      </w:r>
      <w:r w:rsidR="00474377">
        <w:rPr>
          <w:rFonts w:ascii="Book Antiqua" w:hAnsi="Book Antiqua"/>
        </w:rPr>
        <w:t>claim</w:t>
      </w:r>
      <w:r w:rsidR="0078011E">
        <w:rPr>
          <w:rFonts w:ascii="Book Antiqua" w:hAnsi="Book Antiqua"/>
        </w:rPr>
        <w:t xml:space="preserve"> that the ALJ’s analysis was an abuse of discretion  that rendered the dismissal of Lyft’s claim of trade secret status arbitrary and capricious.</w:t>
      </w:r>
      <w:r w:rsidR="00E47569">
        <w:rPr>
          <w:rStyle w:val="FootnoteReference"/>
          <w:rFonts w:ascii="Book Antiqua" w:hAnsi="Book Antiqua"/>
        </w:rPr>
        <w:footnoteReference w:id="81"/>
      </w:r>
      <w:r>
        <w:rPr>
          <w:rFonts w:ascii="Book Antiqua" w:hAnsi="Book Antiqua"/>
        </w:rPr>
        <w:t xml:space="preserve"> </w:t>
      </w:r>
      <w:r w:rsidR="001F3F18">
        <w:rPr>
          <w:rFonts w:ascii="Book Antiqua" w:hAnsi="Book Antiqua"/>
        </w:rPr>
        <w:t xml:space="preserve"> </w:t>
      </w:r>
      <w:r>
        <w:rPr>
          <w:rFonts w:ascii="Book Antiqua" w:hAnsi="Book Antiqua"/>
        </w:rPr>
        <w:t>An abuse of discretion can occur when the court “transgresses the confines of the applicable principles of law.</w:t>
      </w:r>
      <w:r w:rsidR="00474377">
        <w:rPr>
          <w:rFonts w:ascii="Book Antiqua" w:hAnsi="Book Antiqua"/>
        </w:rPr>
        <w:t>” (</w:t>
      </w:r>
      <w:r w:rsidRPr="002453FE" w:rsidR="00474377">
        <w:rPr>
          <w:rFonts w:ascii="Book Antiqua" w:hAnsi="Book Antiqua"/>
          <w:i/>
          <w:iCs/>
        </w:rPr>
        <w:t>Gabriel P. v. Suedi D</w:t>
      </w:r>
      <w:r w:rsidR="00474377">
        <w:rPr>
          <w:rFonts w:ascii="Book Antiqua" w:hAnsi="Book Antiqua"/>
        </w:rPr>
        <w:t>. (2006) 141</w:t>
      </w:r>
      <w:r w:rsidR="001F3F18">
        <w:rPr>
          <w:rFonts w:ascii="Book Antiqua" w:hAnsi="Book Antiqua"/>
        </w:rPr>
        <w:t> </w:t>
      </w:r>
      <w:r w:rsidR="00474377">
        <w:rPr>
          <w:rFonts w:ascii="Book Antiqua" w:hAnsi="Book Antiqua"/>
        </w:rPr>
        <w:t>Cal.App.4</w:t>
      </w:r>
      <w:r w:rsidRPr="00474377" w:rsidR="00474377">
        <w:rPr>
          <w:rFonts w:ascii="Book Antiqua" w:hAnsi="Book Antiqua"/>
          <w:vertAlign w:val="superscript"/>
        </w:rPr>
        <w:t>th</w:t>
      </w:r>
      <w:r w:rsidR="00474377">
        <w:rPr>
          <w:rFonts w:ascii="Book Antiqua" w:hAnsi="Book Antiqua"/>
        </w:rPr>
        <w:t xml:space="preserve"> 850, 863.)</w:t>
      </w:r>
      <w:r w:rsidRPr="00474377" w:rsidR="00474377">
        <w:rPr>
          <w:rFonts w:ascii="Book Antiqua" w:hAnsi="Book Antiqua" w:eastAsiaTheme="minorHAnsi" w:cstheme="minorBidi"/>
          <w:color w:val="212529"/>
          <w:sz w:val="27"/>
          <w:szCs w:val="27"/>
          <w:shd w:val="clear" w:color="auto" w:fill="FAFAFA"/>
        </w:rPr>
        <w:t xml:space="preserve"> </w:t>
      </w:r>
      <w:r w:rsidR="001F3F18">
        <w:rPr>
          <w:rFonts w:ascii="Book Antiqua" w:hAnsi="Book Antiqua" w:eastAsiaTheme="minorHAnsi" w:cstheme="minorBidi"/>
          <w:color w:val="212529"/>
          <w:sz w:val="27"/>
          <w:szCs w:val="27"/>
          <w:shd w:val="clear" w:color="auto" w:fill="FAFAFA"/>
        </w:rPr>
        <w:t xml:space="preserve"> </w:t>
      </w:r>
      <w:r w:rsidRPr="00474377" w:rsidR="00474377">
        <w:rPr>
          <w:rFonts w:ascii="Book Antiqua" w:hAnsi="Book Antiqua"/>
        </w:rPr>
        <w:t xml:space="preserve">A trial court's exercise of discretion is </w:t>
      </w:r>
      <w:r w:rsidR="00474377">
        <w:rPr>
          <w:rFonts w:ascii="Book Antiqua" w:hAnsi="Book Antiqua"/>
        </w:rPr>
        <w:t>“</w:t>
      </w:r>
      <w:r w:rsidRPr="00474377" w:rsidR="00474377">
        <w:rPr>
          <w:rFonts w:ascii="Book Antiqua" w:hAnsi="Book Antiqua"/>
        </w:rPr>
        <w:t>subject to the limitations of the legal principles governing the subject of its action, and subject to reversal on appeal where no reasonable basis for the action is shown.'"</w:t>
      </w:r>
      <w:r w:rsidR="002453FE">
        <w:rPr>
          <w:rFonts w:ascii="Book Antiqua" w:hAnsi="Book Antiqua"/>
        </w:rPr>
        <w:t xml:space="preserve"> </w:t>
      </w:r>
      <w:r w:rsidR="001F3F18">
        <w:rPr>
          <w:rFonts w:ascii="Book Antiqua" w:hAnsi="Book Antiqua"/>
        </w:rPr>
        <w:t xml:space="preserve"> </w:t>
      </w:r>
      <w:r w:rsidR="002453FE">
        <w:rPr>
          <w:rFonts w:ascii="Book Antiqua" w:hAnsi="Book Antiqua"/>
        </w:rPr>
        <w:t>(</w:t>
      </w:r>
      <w:r w:rsidRPr="002453FE" w:rsidR="002453FE">
        <w:rPr>
          <w:rFonts w:ascii="Book Antiqua" w:hAnsi="Book Antiqua"/>
          <w:i/>
          <w:iCs/>
        </w:rPr>
        <w:t>Nalian Truck Lines, Inc. v. Nakano Warehouse Transportation Corp</w:t>
      </w:r>
      <w:r w:rsidR="002453FE">
        <w:rPr>
          <w:rFonts w:ascii="Book Antiqua" w:hAnsi="Book Antiqua"/>
        </w:rPr>
        <w:t>. (1992) 6 Cal.App.4</w:t>
      </w:r>
      <w:r w:rsidRPr="002453FE" w:rsidR="002453FE">
        <w:rPr>
          <w:rFonts w:ascii="Book Antiqua" w:hAnsi="Book Antiqua"/>
          <w:vertAlign w:val="superscript"/>
        </w:rPr>
        <w:t>th</w:t>
      </w:r>
      <w:r w:rsidR="002453FE">
        <w:rPr>
          <w:rFonts w:ascii="Book Antiqua" w:hAnsi="Book Antiqua"/>
        </w:rPr>
        <w:t xml:space="preserve"> 1256, 1261.) </w:t>
      </w:r>
      <w:r w:rsidR="001F3F18">
        <w:rPr>
          <w:rFonts w:ascii="Book Antiqua" w:hAnsi="Book Antiqua"/>
        </w:rPr>
        <w:t xml:space="preserve"> </w:t>
      </w:r>
      <w:r w:rsidR="00667BFC">
        <w:rPr>
          <w:rFonts w:ascii="Book Antiqua" w:hAnsi="Book Antiqua"/>
        </w:rPr>
        <w:t xml:space="preserve">Here, there was a reasonable basis for the ALJ’s action. </w:t>
      </w:r>
      <w:r w:rsidR="002453FE">
        <w:rPr>
          <w:rFonts w:ascii="Book Antiqua" w:hAnsi="Book Antiqua"/>
        </w:rPr>
        <w:t xml:space="preserve">Since under the rules of statutory interpretation the wording of </w:t>
      </w:r>
      <w:r w:rsidRPr="007E6B55" w:rsidR="002453FE">
        <w:rPr>
          <w:rFonts w:ascii="Book Antiqua" w:hAnsi="Book Antiqua"/>
        </w:rPr>
        <w:t>Civil Code §3426.1(d</w:t>
      </w:r>
      <w:r w:rsidR="002453FE">
        <w:rPr>
          <w:rFonts w:ascii="Book Antiqua" w:hAnsi="Book Antiqua"/>
        </w:rPr>
        <w:t xml:space="preserve">) does not require a court to analyze all of the requirements before determining if a trade secret claim has been established, the ALJ acted within his discretion in deciding that the first criterion for a trade secret claim had not been established and refrained from analyzing the remaining criteria. </w:t>
      </w:r>
      <w:r w:rsidR="001F3F18">
        <w:rPr>
          <w:rFonts w:ascii="Book Antiqua" w:hAnsi="Book Antiqua"/>
        </w:rPr>
        <w:t xml:space="preserve"> </w:t>
      </w:r>
      <w:r w:rsidR="00AA2EDC">
        <w:rPr>
          <w:rFonts w:ascii="Book Antiqua" w:hAnsi="Book Antiqua"/>
        </w:rPr>
        <w:t xml:space="preserve">Thus, </w:t>
      </w:r>
      <w:r w:rsidR="002453FE">
        <w:rPr>
          <w:rFonts w:ascii="Book Antiqua" w:hAnsi="Book Antiqua"/>
        </w:rPr>
        <w:t xml:space="preserve"> when the court acts </w:t>
      </w:r>
      <w:r w:rsidR="002453FE">
        <w:rPr>
          <w:rFonts w:ascii="Book Antiqua" w:hAnsi="Book Antiqua"/>
        </w:rPr>
        <w:lastRenderedPageBreak/>
        <w:t xml:space="preserve">within its discretion, there is an “absence of arbitrary determination, capricious disposition or whimsical thinking.” </w:t>
      </w:r>
      <w:r w:rsidR="001F3F18">
        <w:rPr>
          <w:rFonts w:ascii="Book Antiqua" w:hAnsi="Book Antiqua"/>
        </w:rPr>
        <w:t xml:space="preserve"> </w:t>
      </w:r>
      <w:r w:rsidR="002453FE">
        <w:rPr>
          <w:rFonts w:ascii="Book Antiqua" w:hAnsi="Book Antiqua"/>
        </w:rPr>
        <w:t>(</w:t>
      </w:r>
      <w:r w:rsidRPr="002453FE" w:rsidR="002453FE">
        <w:rPr>
          <w:rFonts w:ascii="Book Antiqua" w:hAnsi="Book Antiqua"/>
          <w:i/>
          <w:iCs/>
        </w:rPr>
        <w:t>People v. Preyer</w:t>
      </w:r>
      <w:r w:rsidR="002453FE">
        <w:rPr>
          <w:rFonts w:ascii="Book Antiqua" w:hAnsi="Book Antiqua"/>
        </w:rPr>
        <w:t xml:space="preserve"> (1985) 164 Cal.App.3d 568, 573.)</w:t>
      </w:r>
    </w:p>
    <w:p w:rsidRPr="007E6B55" w:rsidR="00E63C5C" w:rsidP="001071A3" w:rsidRDefault="00D80629" w14:paraId="0F675365" w14:textId="498B0730">
      <w:pPr>
        <w:pStyle w:val="standard0"/>
        <w:rPr>
          <w:rFonts w:ascii="Book Antiqua" w:hAnsi="Book Antiqua"/>
        </w:rPr>
      </w:pPr>
      <w:r w:rsidRPr="007E6B55">
        <w:rPr>
          <w:rFonts w:ascii="Book Antiqua" w:hAnsi="Book Antiqua"/>
        </w:rPr>
        <w:t xml:space="preserve">But since Lyft has </w:t>
      </w:r>
      <w:r w:rsidR="00E47569">
        <w:rPr>
          <w:rFonts w:ascii="Book Antiqua" w:hAnsi="Book Antiqua"/>
        </w:rPr>
        <w:t xml:space="preserve">attacked the </w:t>
      </w:r>
      <w:r w:rsidR="00E8172C">
        <w:rPr>
          <w:rFonts w:ascii="Book Antiqua" w:hAnsi="Book Antiqua"/>
        </w:rPr>
        <w:t xml:space="preserve">assigned </w:t>
      </w:r>
      <w:r w:rsidR="00E47569">
        <w:rPr>
          <w:rFonts w:ascii="Book Antiqua" w:hAnsi="Book Antiqua"/>
        </w:rPr>
        <w:t xml:space="preserve">ALJ’s decision not to address all elements of a trade secret claim, and </w:t>
      </w:r>
      <w:r w:rsidR="00451403">
        <w:rPr>
          <w:rFonts w:ascii="Book Antiqua" w:hAnsi="Book Antiqua"/>
        </w:rPr>
        <w:t xml:space="preserve">as </w:t>
      </w:r>
      <w:r w:rsidR="00E47569">
        <w:rPr>
          <w:rFonts w:ascii="Book Antiqua" w:hAnsi="Book Antiqua"/>
        </w:rPr>
        <w:t>Lyft may well pursue</w:t>
      </w:r>
      <w:r w:rsidR="00FF15EE">
        <w:rPr>
          <w:rFonts w:ascii="Book Antiqua" w:hAnsi="Book Antiqua"/>
        </w:rPr>
        <w:t xml:space="preserve"> an appeal,</w:t>
      </w:r>
      <w:r w:rsidRPr="007E6B55">
        <w:rPr>
          <w:rFonts w:ascii="Book Antiqua" w:hAnsi="Book Antiqua"/>
        </w:rPr>
        <w:t xml:space="preserve"> the Commission will explain why Lyft has also failed to</w:t>
      </w:r>
      <w:r w:rsidR="00463A53">
        <w:rPr>
          <w:rFonts w:ascii="Book Antiqua" w:hAnsi="Book Antiqua"/>
        </w:rPr>
        <w:t xml:space="preserve"> carry its burden to </w:t>
      </w:r>
      <w:r w:rsidRPr="007E6B55">
        <w:rPr>
          <w:rFonts w:ascii="Book Antiqua" w:hAnsi="Book Antiqua"/>
        </w:rPr>
        <w:t xml:space="preserve">establish </w:t>
      </w:r>
      <w:r w:rsidR="00C07842">
        <w:rPr>
          <w:rFonts w:ascii="Book Antiqua" w:hAnsi="Book Antiqua"/>
        </w:rPr>
        <w:t>that</w:t>
      </w:r>
      <w:r w:rsidRPr="007E6B55">
        <w:rPr>
          <w:rFonts w:ascii="Book Antiqua" w:hAnsi="Book Antiqua"/>
        </w:rPr>
        <w:t xml:space="preserve"> trip data (1) has independent value from not being known by those who might make use of it; and (2) has been the subject of reasonable efforts to maintain its secrecy.</w:t>
      </w:r>
      <w:r w:rsidR="00E47569">
        <w:rPr>
          <w:rFonts w:ascii="Book Antiqua" w:hAnsi="Book Antiqua"/>
        </w:rPr>
        <w:t xml:space="preserve"> </w:t>
      </w:r>
      <w:r w:rsidR="001F3F18">
        <w:rPr>
          <w:rFonts w:ascii="Book Antiqua" w:hAnsi="Book Antiqua"/>
        </w:rPr>
        <w:t xml:space="preserve"> </w:t>
      </w:r>
      <w:r w:rsidR="00E47569">
        <w:rPr>
          <w:rFonts w:ascii="Book Antiqua" w:hAnsi="Book Antiqua"/>
        </w:rPr>
        <w:t>That way, a reviewing court will have a complete record of the Commission’s reasoning.</w:t>
      </w:r>
    </w:p>
    <w:p w:rsidR="00D80629" w:rsidP="00C07842" w:rsidRDefault="00C07842" w14:paraId="5672778F" w14:textId="619F36B1">
      <w:pPr>
        <w:pStyle w:val="Heading2"/>
      </w:pPr>
      <w:bookmarkStart w:name="_Toc82193579" w:id="61"/>
      <w:bookmarkStart w:name="_Toc94682542" w:id="62"/>
      <w:bookmarkStart w:name="_Toc102479671" w:id="63"/>
      <w:r>
        <w:t xml:space="preserve">Lyft Fails to Establish that </w:t>
      </w:r>
      <w:r w:rsidRPr="007E6B55" w:rsidR="00D80629">
        <w:t xml:space="preserve">Trip </w:t>
      </w:r>
      <w:r>
        <w:t>D</w:t>
      </w:r>
      <w:r w:rsidRPr="007E6B55" w:rsidR="00D80629">
        <w:t xml:space="preserve">ata </w:t>
      </w:r>
      <w:r>
        <w:t>has</w:t>
      </w:r>
      <w:r w:rsidRPr="007E6B55" w:rsidR="00D80629">
        <w:t xml:space="preserve"> </w:t>
      </w:r>
      <w:r>
        <w:t>I</w:t>
      </w:r>
      <w:r w:rsidRPr="007E6B55" w:rsidR="00D80629">
        <w:t xml:space="preserve">ndependent </w:t>
      </w:r>
      <w:r>
        <w:t>V</w:t>
      </w:r>
      <w:r w:rsidRPr="007E6B55" w:rsidR="00D80629">
        <w:t>alue</w:t>
      </w:r>
      <w:r>
        <w:t xml:space="preserve"> Because of its </w:t>
      </w:r>
      <w:r w:rsidR="00CE1259">
        <w:t xml:space="preserve">Alleged </w:t>
      </w:r>
      <w:r>
        <w:t>Secrecy</w:t>
      </w:r>
      <w:bookmarkEnd w:id="61"/>
      <w:bookmarkEnd w:id="62"/>
      <w:bookmarkEnd w:id="63"/>
    </w:p>
    <w:p w:rsidR="007142B1" w:rsidP="001071A3" w:rsidRDefault="00806115" w14:paraId="0AB07D08" w14:textId="4093F6E4">
      <w:pPr>
        <w:pStyle w:val="standard0"/>
        <w:rPr>
          <w:rFonts w:ascii="Book Antiqua" w:hAnsi="Book Antiqua"/>
        </w:rPr>
      </w:pPr>
      <w:r>
        <w:rPr>
          <w:rFonts w:ascii="Book Antiqua" w:hAnsi="Book Antiqua"/>
        </w:rPr>
        <w:t xml:space="preserve">In </w:t>
      </w:r>
      <w:r w:rsidRPr="00806115">
        <w:rPr>
          <w:rFonts w:ascii="Book Antiqua" w:hAnsi="Book Antiqua"/>
          <w:i/>
          <w:iCs/>
        </w:rPr>
        <w:t>DVD Copy Control Association, Inc. v. Bunner</w:t>
      </w:r>
      <w:r>
        <w:rPr>
          <w:rFonts w:ascii="Book Antiqua" w:hAnsi="Book Antiqua"/>
        </w:rPr>
        <w:t xml:space="preserve"> (2003) 31 Cal.4</w:t>
      </w:r>
      <w:r w:rsidRPr="00806115">
        <w:rPr>
          <w:rFonts w:ascii="Book Antiqua" w:hAnsi="Book Antiqua"/>
          <w:vertAlign w:val="superscript"/>
        </w:rPr>
        <w:t>th</w:t>
      </w:r>
      <w:r>
        <w:rPr>
          <w:rFonts w:ascii="Book Antiqua" w:hAnsi="Book Antiqua"/>
        </w:rPr>
        <w:t xml:space="preserve"> 864, 881, the California Supreme Court recognized that “trade secrets are a peculiar kind of property. </w:t>
      </w:r>
      <w:r w:rsidR="001F3F18">
        <w:rPr>
          <w:rFonts w:ascii="Book Antiqua" w:hAnsi="Book Antiqua"/>
        </w:rPr>
        <w:t xml:space="preserve"> </w:t>
      </w:r>
      <w:r>
        <w:rPr>
          <w:rFonts w:ascii="Book Antiqua" w:hAnsi="Book Antiqua"/>
        </w:rPr>
        <w:t xml:space="preserve">Their only value consists in their being kept private. </w:t>
      </w:r>
      <w:r w:rsidR="001F3F18">
        <w:rPr>
          <w:rFonts w:ascii="Book Antiqua" w:hAnsi="Book Antiqua"/>
        </w:rPr>
        <w:t xml:space="preserve"> </w:t>
      </w:r>
      <w:r>
        <w:rPr>
          <w:rFonts w:ascii="Book Antiqua" w:hAnsi="Book Antiqua"/>
        </w:rPr>
        <w:t xml:space="preserve">Thus, the right to exclude others is central to the very definition of the property interest.” </w:t>
      </w:r>
      <w:r w:rsidR="001F3F18">
        <w:rPr>
          <w:rFonts w:ascii="Book Antiqua" w:hAnsi="Book Antiqua"/>
        </w:rPr>
        <w:t xml:space="preserve"> </w:t>
      </w:r>
      <w:r w:rsidR="00EB0A10">
        <w:rPr>
          <w:rFonts w:ascii="Book Antiqua" w:hAnsi="Book Antiqua"/>
        </w:rPr>
        <w:t>(</w:t>
      </w:r>
      <w:r w:rsidRPr="00EB0A10" w:rsidR="00EB0A10">
        <w:rPr>
          <w:rFonts w:ascii="Book Antiqua" w:hAnsi="Book Antiqua"/>
          <w:i/>
          <w:iCs/>
        </w:rPr>
        <w:t>See also Silvaco Data Systems v. Intel Corp</w:t>
      </w:r>
      <w:r w:rsidR="00EB0A10">
        <w:rPr>
          <w:rFonts w:ascii="Book Antiqua" w:hAnsi="Book Antiqua"/>
        </w:rPr>
        <w:t>. (2010) 184 Cal.App.4</w:t>
      </w:r>
      <w:r w:rsidRPr="00EB0A10" w:rsidR="00EB0A10">
        <w:rPr>
          <w:rFonts w:ascii="Book Antiqua" w:hAnsi="Book Antiqua"/>
          <w:vertAlign w:val="superscript"/>
        </w:rPr>
        <w:t>th</w:t>
      </w:r>
      <w:r w:rsidR="00EB0A10">
        <w:rPr>
          <w:rFonts w:ascii="Book Antiqua" w:hAnsi="Book Antiqua"/>
        </w:rPr>
        <w:t xml:space="preserve"> 210, 220-221 [“the </w:t>
      </w:r>
      <w:r w:rsidRPr="00CE1259" w:rsidR="00EB0A10">
        <w:rPr>
          <w:rFonts w:ascii="Book Antiqua" w:hAnsi="Book Antiqua"/>
          <w:i/>
          <w:iCs/>
        </w:rPr>
        <w:t>sine qua non</w:t>
      </w:r>
      <w:r w:rsidR="00EB0A10">
        <w:rPr>
          <w:rFonts w:ascii="Book Antiqua" w:hAnsi="Book Antiqua"/>
        </w:rPr>
        <w:t xml:space="preserve"> of a trade secret, the, is the plaintiff’s possession of information of a type that can, at the possessor’s option, be made known to other, o</w:t>
      </w:r>
      <w:r w:rsidR="00B518B6">
        <w:rPr>
          <w:rFonts w:ascii="Book Antiqua" w:hAnsi="Book Antiqua"/>
        </w:rPr>
        <w:t>r</w:t>
      </w:r>
      <w:r w:rsidR="00EB0A10">
        <w:rPr>
          <w:rFonts w:ascii="Book Antiqua" w:hAnsi="Book Antiqua"/>
        </w:rPr>
        <w:t xml:space="preserve"> withheld from them….Trade secret law, in short, protects only the right to control the dissemination of information.”].) </w:t>
      </w:r>
      <w:r w:rsidR="001F3F18">
        <w:rPr>
          <w:rFonts w:ascii="Book Antiqua" w:hAnsi="Book Antiqua"/>
        </w:rPr>
        <w:t xml:space="preserve"> </w:t>
      </w:r>
      <w:r>
        <w:rPr>
          <w:rFonts w:ascii="Book Antiqua" w:hAnsi="Book Antiqua"/>
        </w:rPr>
        <w:t xml:space="preserve">The secrecy adds to the trade secret’s value ‘because it is unknown to others.” </w:t>
      </w:r>
      <w:r w:rsidR="001F3F18">
        <w:rPr>
          <w:rFonts w:ascii="Book Antiqua" w:hAnsi="Book Antiqua"/>
        </w:rPr>
        <w:t xml:space="preserve"> </w:t>
      </w:r>
      <w:r>
        <w:rPr>
          <w:rFonts w:ascii="Book Antiqua" w:hAnsi="Book Antiqua"/>
        </w:rPr>
        <w:t>(</w:t>
      </w:r>
      <w:r w:rsidRPr="00806115">
        <w:rPr>
          <w:rFonts w:ascii="Book Antiqua" w:hAnsi="Book Antiqua"/>
          <w:i/>
          <w:iCs/>
        </w:rPr>
        <w:t>AMN Healthcare, Inc. v. Aya Healthcare Services, Inc</w:t>
      </w:r>
      <w:r>
        <w:rPr>
          <w:rFonts w:ascii="Book Antiqua" w:hAnsi="Book Antiqua"/>
        </w:rPr>
        <w:t>. (2018) 28 Cal.App.5</w:t>
      </w:r>
      <w:r w:rsidRPr="00806115">
        <w:rPr>
          <w:rFonts w:ascii="Book Antiqua" w:hAnsi="Book Antiqua"/>
          <w:vertAlign w:val="superscript"/>
        </w:rPr>
        <w:t>th</w:t>
      </w:r>
      <w:r>
        <w:rPr>
          <w:rFonts w:ascii="Book Antiqua" w:hAnsi="Book Antiqua"/>
        </w:rPr>
        <w:t xml:space="preserve"> 923, 943.) </w:t>
      </w:r>
      <w:r w:rsidR="001F3F18">
        <w:rPr>
          <w:rFonts w:ascii="Book Antiqua" w:hAnsi="Book Antiqua"/>
        </w:rPr>
        <w:t xml:space="preserve"> </w:t>
      </w:r>
      <w:r>
        <w:rPr>
          <w:rFonts w:ascii="Book Antiqua" w:hAnsi="Book Antiqua"/>
        </w:rPr>
        <w:t xml:space="preserve">In other words, the secrecy of the trade secret information provides the holder of the trade secret with “a substantial business advantage.” </w:t>
      </w:r>
      <w:r w:rsidR="001F3F18">
        <w:rPr>
          <w:rFonts w:ascii="Book Antiqua" w:hAnsi="Book Antiqua"/>
        </w:rPr>
        <w:t xml:space="preserve"> </w:t>
      </w:r>
      <w:r>
        <w:rPr>
          <w:rFonts w:ascii="Book Antiqua" w:hAnsi="Book Antiqua"/>
        </w:rPr>
        <w:t>(</w:t>
      </w:r>
      <w:r w:rsidRPr="00EB0A10">
        <w:rPr>
          <w:rFonts w:ascii="Book Antiqua" w:hAnsi="Book Antiqua"/>
          <w:i/>
          <w:iCs/>
        </w:rPr>
        <w:t>Morlife, Inc. v. Perry</w:t>
      </w:r>
      <w:r w:rsidR="00AB5D6F">
        <w:rPr>
          <w:rFonts w:ascii="Book Antiqua" w:hAnsi="Book Antiqua"/>
          <w:i/>
          <w:iCs/>
        </w:rPr>
        <w:t>, supra,</w:t>
      </w:r>
      <w:r>
        <w:rPr>
          <w:rFonts w:ascii="Book Antiqua" w:hAnsi="Book Antiqua"/>
        </w:rPr>
        <w:t xml:space="preserve"> 56 Cal.App.4</w:t>
      </w:r>
      <w:r w:rsidRPr="00806115">
        <w:rPr>
          <w:rFonts w:ascii="Book Antiqua" w:hAnsi="Book Antiqua"/>
          <w:vertAlign w:val="superscript"/>
        </w:rPr>
        <w:t>th</w:t>
      </w:r>
      <w:r w:rsidR="00AB5D6F">
        <w:rPr>
          <w:rFonts w:ascii="Book Antiqua" w:hAnsi="Book Antiqua"/>
          <w:vertAlign w:val="superscript"/>
        </w:rPr>
        <w:t xml:space="preserve">,  </w:t>
      </w:r>
      <w:r w:rsidRPr="00500BCC" w:rsidR="00AB5D6F">
        <w:rPr>
          <w:rFonts w:ascii="Book Antiqua" w:hAnsi="Book Antiqua"/>
        </w:rPr>
        <w:t>at</w:t>
      </w:r>
      <w:r w:rsidRPr="00500BCC" w:rsidR="000A3B70">
        <w:rPr>
          <w:rFonts w:ascii="Book Antiqua" w:hAnsi="Book Antiqua"/>
        </w:rPr>
        <w:t> </w:t>
      </w:r>
      <w:r w:rsidRPr="00500BCC">
        <w:rPr>
          <w:rFonts w:ascii="Book Antiqua" w:hAnsi="Book Antiqua"/>
        </w:rPr>
        <w:t>1522</w:t>
      </w:r>
      <w:r>
        <w:rPr>
          <w:rFonts w:ascii="Book Antiqua" w:hAnsi="Book Antiqua"/>
        </w:rPr>
        <w:t>.)</w:t>
      </w:r>
      <w:r w:rsidRPr="00BE30F3" w:rsidR="00BE30F3">
        <w:rPr>
          <w:rFonts w:ascii="Book Antiqua" w:hAnsi="Book Antiqua"/>
        </w:rPr>
        <w:t xml:space="preserve"> </w:t>
      </w:r>
    </w:p>
    <w:p w:rsidR="00C07842" w:rsidP="001F3F18" w:rsidRDefault="00BE30F3" w14:paraId="5F947C43" w14:textId="07736571">
      <w:pPr>
        <w:pStyle w:val="Standard"/>
      </w:pPr>
      <w:r>
        <w:lastRenderedPageBreak/>
        <w:t xml:space="preserve">Finally, in determining if a trade secret has independent value, the fact finder </w:t>
      </w:r>
      <w:r w:rsidR="00A719E2">
        <w:t>may</w:t>
      </w:r>
      <w:r>
        <w:t xml:space="preserve"> consider if the claimant established the amount of time, money, or labor that was expended in developing the trip data, as well as the amount of time, money, or labor that would be saved by a competitor who used the trip data.</w:t>
      </w:r>
      <w:r w:rsidR="007142B1">
        <w:t xml:space="preserve"> </w:t>
      </w:r>
      <w:r w:rsidR="001F3F18">
        <w:t xml:space="preserve"> </w:t>
      </w:r>
      <w:r w:rsidR="007142B1">
        <w:t>(Judicial Council of California Civil Jury Instruction 4412 (Independent Economic Value Explained.</w:t>
      </w:r>
      <w:r w:rsidR="00A719E2">
        <w:t xml:space="preserve"> The instruction also notes that “</w:t>
      </w:r>
      <w:r w:rsidR="002033F6">
        <w:t>[t]</w:t>
      </w:r>
      <w:r w:rsidRPr="00A719E2" w:rsidR="00A719E2">
        <w:t>he presence or absence of any one or more of these factors is not</w:t>
      </w:r>
      <w:r w:rsidR="00A719E2">
        <w:t xml:space="preserve"> </w:t>
      </w:r>
      <w:r w:rsidRPr="00A719E2" w:rsidR="00A719E2">
        <w:t>necessarily determinative.</w:t>
      </w:r>
      <w:r w:rsidR="00A719E2">
        <w:t>”</w:t>
      </w:r>
      <w:r w:rsidR="007142B1">
        <w:t xml:space="preserve">) </w:t>
      </w:r>
      <w:r w:rsidR="001F3F18">
        <w:t xml:space="preserve"> </w:t>
      </w:r>
      <w:r w:rsidR="007142B1">
        <w:t xml:space="preserve">In </w:t>
      </w:r>
      <w:r w:rsidRPr="007142B1" w:rsidR="007142B1">
        <w:rPr>
          <w:i/>
          <w:iCs/>
        </w:rPr>
        <w:t>Yield Dynamics, Inc. v. TEA Systems</w:t>
      </w:r>
      <w:r w:rsidR="007142B1">
        <w:t xml:space="preserve"> (2007) 154</w:t>
      </w:r>
      <w:r w:rsidR="001F3F18">
        <w:t> </w:t>
      </w:r>
      <w:r w:rsidR="007142B1">
        <w:t>Cal.App.4</w:t>
      </w:r>
      <w:r w:rsidRPr="007142B1" w:rsidR="007142B1">
        <w:rPr>
          <w:vertAlign w:val="superscript"/>
        </w:rPr>
        <w:t>th</w:t>
      </w:r>
      <w:r w:rsidR="007142B1">
        <w:t xml:space="preserve"> 547, 564-565, the Court provided guidance as to the specificity of the showing to demonstrate independent value:</w:t>
      </w:r>
    </w:p>
    <w:p w:rsidRPr="00500BCC" w:rsidR="007142B1" w:rsidP="00505A15" w:rsidRDefault="007142B1" w14:paraId="20BD5FB6" w14:textId="05173D4F">
      <w:pPr>
        <w:pStyle w:val="standard0"/>
        <w:spacing w:after="120" w:line="240" w:lineRule="auto"/>
        <w:ind w:left="720" w:right="1440" w:firstLine="0"/>
        <w:rPr>
          <w:rFonts w:ascii="Book Antiqua" w:hAnsi="Book Antiqua"/>
        </w:rPr>
      </w:pPr>
      <w:r w:rsidRPr="007142B1">
        <w:rPr>
          <w:rFonts w:ascii="Book Antiqua" w:hAnsi="Book Antiqua"/>
        </w:rPr>
        <w:t xml:space="preserve">Merely stating that information was helpful or useful to another person in carrying out a specific activity, or that  information of that type may save someone time, does not compel a fact finder to conclude that the particular information at issue was "sufficiently valuable . . . to afford an . . . economic advantage over </w:t>
      </w:r>
      <w:r w:rsidRPr="00500BCC">
        <w:rPr>
          <w:rFonts w:ascii="Book Antiqua" w:hAnsi="Book Antiqua"/>
        </w:rPr>
        <w:t xml:space="preserve">others." </w:t>
      </w:r>
      <w:r w:rsidRPr="00500BCC" w:rsidR="000A3B70">
        <w:rPr>
          <w:rFonts w:ascii="Book Antiqua" w:hAnsi="Book Antiqua"/>
        </w:rPr>
        <w:t xml:space="preserve"> </w:t>
      </w:r>
      <w:r w:rsidRPr="00500BCC">
        <w:rPr>
          <w:rFonts w:ascii="Book Antiqua" w:hAnsi="Book Antiqua"/>
        </w:rPr>
        <w:t xml:space="preserve">(Rest.3d Unfair Competition, § 39.) </w:t>
      </w:r>
      <w:r w:rsidRPr="00500BCC" w:rsidR="00505A15">
        <w:rPr>
          <w:rFonts w:ascii="Book Antiqua" w:hAnsi="Book Antiqua"/>
        </w:rPr>
        <w:t xml:space="preserve"> </w:t>
      </w:r>
      <w:r w:rsidRPr="00500BCC">
        <w:rPr>
          <w:rFonts w:ascii="Book Antiqua" w:hAnsi="Book Antiqua"/>
        </w:rPr>
        <w:t>The fact finder is entitled to expect evidence from which it can form some solid sense of </w:t>
      </w:r>
      <w:r w:rsidRPr="00500BCC">
        <w:rPr>
          <w:rFonts w:ascii="Book Antiqua" w:hAnsi="Book Antiqua"/>
          <w:i/>
          <w:iCs/>
        </w:rPr>
        <w:t>how</w:t>
      </w:r>
      <w:r w:rsidRPr="00500BCC">
        <w:rPr>
          <w:rFonts w:ascii="Book Antiqua" w:hAnsi="Book Antiqua"/>
        </w:rPr>
        <w:t xml:space="preserve"> useful the information is, </w:t>
      </w:r>
      <w:r w:rsidRPr="00500BCC">
        <w:rPr>
          <w:rFonts w:ascii="Book Antiqua" w:hAnsi="Book Antiqua"/>
          <w:i/>
          <w:iCs/>
        </w:rPr>
        <w:t>e.g</w:t>
      </w:r>
      <w:r w:rsidRPr="00500BCC">
        <w:rPr>
          <w:rFonts w:ascii="Book Antiqua" w:hAnsi="Book Antiqua"/>
        </w:rPr>
        <w:t>., </w:t>
      </w:r>
      <w:r w:rsidRPr="00500BCC">
        <w:rPr>
          <w:rFonts w:ascii="Book Antiqua" w:hAnsi="Book Antiqua"/>
          <w:i/>
          <w:iCs/>
        </w:rPr>
        <w:t>how much</w:t>
      </w:r>
      <w:r w:rsidRPr="00500BCC">
        <w:rPr>
          <w:rFonts w:ascii="Book Antiqua" w:hAnsi="Book Antiqua"/>
        </w:rPr>
        <w:t> time, money, or labor it would save, or at least that these savings would be "more than trivial."</w:t>
      </w:r>
    </w:p>
    <w:p w:rsidRPr="00500BCC" w:rsidR="007142B1" w:rsidP="007142B1" w:rsidRDefault="00EB0A10" w14:paraId="333C713F" w14:textId="77777777">
      <w:pPr>
        <w:pStyle w:val="standard0"/>
        <w:ind w:firstLine="0"/>
        <w:rPr>
          <w:rFonts w:ascii="Book Antiqua" w:hAnsi="Book Antiqua"/>
        </w:rPr>
      </w:pPr>
      <w:r w:rsidRPr="00500BCC">
        <w:rPr>
          <w:rFonts w:ascii="Book Antiqua" w:hAnsi="Book Antiqua"/>
        </w:rPr>
        <w:t>The Commission must address whether Lyft carried its burden of establishing the independent value of its trip data because of its secrecy.</w:t>
      </w:r>
      <w:r w:rsidRPr="00500BCC" w:rsidR="00817205">
        <w:rPr>
          <w:rFonts w:ascii="Book Antiqua" w:hAnsi="Book Antiqua"/>
        </w:rPr>
        <w:t xml:space="preserve"> </w:t>
      </w:r>
    </w:p>
    <w:p w:rsidR="00EB0A10" w:rsidP="001F3F18" w:rsidRDefault="007142B1" w14:paraId="594E1557" w14:textId="759F88A3">
      <w:pPr>
        <w:pStyle w:val="Standard"/>
      </w:pPr>
      <w:r w:rsidRPr="00500BCC">
        <w:t xml:space="preserve">Lyft’s showing lacks the necessary specificity to satisfy the second criterion of a trade secret claim. </w:t>
      </w:r>
      <w:r w:rsidRPr="00500BCC" w:rsidR="000A3B70">
        <w:t xml:space="preserve"> </w:t>
      </w:r>
      <w:r w:rsidRPr="00500BCC" w:rsidR="00817205">
        <w:t xml:space="preserve">The Collins </w:t>
      </w:r>
      <w:r w:rsidR="00B32BED">
        <w:t>D</w:t>
      </w:r>
      <w:r w:rsidRPr="00500BCC" w:rsidR="00817205">
        <w:t>eclaration contains</w:t>
      </w:r>
      <w:r w:rsidR="00817205">
        <w:t xml:space="preserve"> the following passage where she suggests that the Lyft trip data is essential to the marketing of its TNC operations:</w:t>
      </w:r>
    </w:p>
    <w:p w:rsidR="00817205" w:rsidP="00505A15" w:rsidRDefault="00E3352D" w14:paraId="2E4E357D" w14:textId="0C902EAD">
      <w:pPr>
        <w:pStyle w:val="standard0"/>
        <w:spacing w:after="120" w:line="240" w:lineRule="auto"/>
        <w:ind w:left="720" w:right="1440" w:firstLine="0"/>
        <w:rPr>
          <w:rFonts w:ascii="Book Antiqua" w:hAnsi="Book Antiqua"/>
        </w:rPr>
      </w:pPr>
      <w:r w:rsidRPr="00E3352D">
        <w:rPr>
          <w:rFonts w:ascii="Book Antiqua" w:hAnsi="Book Antiqua"/>
        </w:rPr>
        <w:t xml:space="preserve">The trip data is continually collected, compiled and analyzed as an integral aspect of Lyft’s business operations, as the success of Lyft’s business model depends upon continually </w:t>
      </w:r>
      <w:r w:rsidRPr="00E3352D">
        <w:rPr>
          <w:rFonts w:ascii="Book Antiqua" w:hAnsi="Book Antiqua"/>
        </w:rPr>
        <w:lastRenderedPageBreak/>
        <w:t xml:space="preserve">optimizing the balance between ride demand and vehicle supply. </w:t>
      </w:r>
      <w:r w:rsidR="00505A15">
        <w:rPr>
          <w:rFonts w:ascii="Book Antiqua" w:hAnsi="Book Antiqua"/>
        </w:rPr>
        <w:t xml:space="preserve"> </w:t>
      </w:r>
      <w:r w:rsidRPr="00E3352D">
        <w:rPr>
          <w:rFonts w:ascii="Book Antiqua" w:hAnsi="Book Antiqua"/>
        </w:rPr>
        <w:t xml:space="preserve">Lyft endeavors to optimize supply and demand by using competitive pricing and promotions, such as ride credits and other discounts, to stimulate passenger demand, while increasing the supply of vehicles to areas with high demand by offering drivers minimum hour guarantees, bonuses, and other driver incentives. </w:t>
      </w:r>
      <w:r w:rsidR="001F3F18">
        <w:rPr>
          <w:rFonts w:ascii="Book Antiqua" w:hAnsi="Book Antiqua"/>
        </w:rPr>
        <w:t xml:space="preserve"> </w:t>
      </w:r>
      <w:r w:rsidRPr="00E3352D">
        <w:rPr>
          <w:rFonts w:ascii="Book Antiqua" w:hAnsi="Book Antiqua"/>
        </w:rPr>
        <w:t>Lyft is continually adjusting these two</w:t>
      </w:r>
      <w:r w:rsidR="00505A15">
        <w:rPr>
          <w:rFonts w:ascii="Book Antiqua" w:hAnsi="Book Antiqua"/>
        </w:rPr>
        <w:t> </w:t>
      </w:r>
      <w:r w:rsidRPr="00E3352D">
        <w:rPr>
          <w:rFonts w:ascii="Book Antiqua" w:hAnsi="Book Antiqua"/>
        </w:rPr>
        <w:t xml:space="preserve">levers to ensure, on the one hand, that fares are low enough to attract passengers, and, on the other hand, that fares are high enough to attract drivers. </w:t>
      </w:r>
      <w:r w:rsidR="00505A15">
        <w:rPr>
          <w:rFonts w:ascii="Book Antiqua" w:hAnsi="Book Antiqua"/>
        </w:rPr>
        <w:t xml:space="preserve"> </w:t>
      </w:r>
      <w:r w:rsidRPr="00E3352D">
        <w:rPr>
          <w:rFonts w:ascii="Book Antiqua" w:hAnsi="Book Antiqua"/>
        </w:rPr>
        <w:t>This delicate balance is central to Lyft’s competitiveness in California and in markets nationwide</w:t>
      </w:r>
      <w:r>
        <w:rPr>
          <w:rFonts w:ascii="Book Antiqua" w:hAnsi="Book Antiqua"/>
        </w:rPr>
        <w:t>.</w:t>
      </w:r>
      <w:r w:rsidR="007D35E1">
        <w:rPr>
          <w:rStyle w:val="FootnoteReference"/>
          <w:rFonts w:ascii="Book Antiqua" w:hAnsi="Book Antiqua"/>
        </w:rPr>
        <w:footnoteReference w:id="82"/>
      </w:r>
    </w:p>
    <w:p w:rsidR="00506CCA" w:rsidP="00E3352D" w:rsidRDefault="00817205" w14:paraId="7C3E29E2" w14:textId="2E4FAA45">
      <w:pPr>
        <w:pStyle w:val="standard0"/>
        <w:ind w:firstLine="0"/>
        <w:rPr>
          <w:rFonts w:ascii="Book Antiqua" w:hAnsi="Book Antiqua"/>
        </w:rPr>
      </w:pPr>
      <w:r>
        <w:rPr>
          <w:rFonts w:ascii="Book Antiqua" w:hAnsi="Book Antiqua"/>
        </w:rPr>
        <w:t>Next Ms. Collins discuss</w:t>
      </w:r>
      <w:r w:rsidR="00B32BED">
        <w:rPr>
          <w:rFonts w:ascii="Book Antiqua" w:hAnsi="Book Antiqua"/>
        </w:rPr>
        <w:t>es</w:t>
      </w:r>
      <w:r>
        <w:rPr>
          <w:rFonts w:ascii="Book Antiqua" w:hAnsi="Book Antiqua"/>
        </w:rPr>
        <w:t xml:space="preserve"> the value of Lyft’s trip data for</w:t>
      </w:r>
      <w:r w:rsidR="00506CCA">
        <w:rPr>
          <w:rFonts w:ascii="Book Antiqua" w:hAnsi="Book Antiqua"/>
        </w:rPr>
        <w:t xml:space="preserve"> its operations:</w:t>
      </w:r>
    </w:p>
    <w:p w:rsidRPr="00505A15" w:rsidR="00E3352D" w:rsidP="00505A15" w:rsidRDefault="00E3352D" w14:paraId="4B406D45" w14:textId="72AF07CF">
      <w:pPr>
        <w:pStyle w:val="standard0"/>
        <w:spacing w:after="120" w:line="240" w:lineRule="auto"/>
        <w:ind w:left="720" w:right="1440" w:firstLine="0"/>
        <w:rPr>
          <w:rFonts w:ascii="Book Antiqua" w:hAnsi="Book Antiqua"/>
        </w:rPr>
      </w:pPr>
      <w:r w:rsidRPr="00505A15">
        <w:rPr>
          <w:rFonts w:ascii="Book Antiqua" w:hAnsi="Book Antiqua"/>
        </w:rPr>
        <w:t xml:space="preserve">The trip data collected by Lyft allows it to continually evaluate the effectiveness of its promotional, advertising, and incentive campaigns used to balance supply and demand. </w:t>
      </w:r>
      <w:r w:rsidR="00505A15">
        <w:rPr>
          <w:rFonts w:ascii="Book Antiqua" w:hAnsi="Book Antiqua"/>
        </w:rPr>
        <w:t xml:space="preserve"> </w:t>
      </w:r>
      <w:r w:rsidRPr="00505A15">
        <w:rPr>
          <w:rFonts w:ascii="Book Antiqua" w:hAnsi="Book Antiqua"/>
        </w:rPr>
        <w:t xml:space="preserve">For example, by comparing the number of rides completed during a particular time period in a particular location against the driver incentive programs deployed during that period, Lyft can gauge the effectiveness of those incentives in increasing the supply of drivers and can adjust its incentive programs going forward. </w:t>
      </w:r>
      <w:r w:rsidR="00505A15">
        <w:rPr>
          <w:rFonts w:ascii="Book Antiqua" w:hAnsi="Book Antiqua"/>
        </w:rPr>
        <w:t xml:space="preserve"> </w:t>
      </w:r>
      <w:r w:rsidRPr="00505A15">
        <w:rPr>
          <w:rFonts w:ascii="Book Antiqua" w:hAnsi="Book Antiqua"/>
        </w:rPr>
        <w:t>Similarly, by cross-referencing its ride numbers against the particular passenger promotions run at that time, Lyft can track, assess, and understand the efficacy of its passenger-directed promotions, and can adjust them accordingly.</w:t>
      </w:r>
    </w:p>
    <w:p w:rsidR="00506CCA" w:rsidP="00505A15" w:rsidRDefault="00E3352D" w14:paraId="55AF5F80" w14:textId="57F97DC7">
      <w:pPr>
        <w:pStyle w:val="Standard"/>
        <w:spacing w:after="120" w:line="240" w:lineRule="auto"/>
        <w:ind w:left="720" w:right="1440" w:firstLine="0"/>
      </w:pPr>
      <w:r w:rsidRPr="00E3352D">
        <w:t>Equally important, Lyft can identify those promotions that are ineffective and can avoid further expenditures on ineffective promotions</w:t>
      </w:r>
      <w:r w:rsidR="007D35E1">
        <w:t>.</w:t>
      </w:r>
      <w:r w:rsidR="007D35E1">
        <w:rPr>
          <w:rStyle w:val="FootnoteReference"/>
        </w:rPr>
        <w:footnoteReference w:id="83"/>
      </w:r>
    </w:p>
    <w:p w:rsidR="00506CCA" w:rsidP="00505A15" w:rsidRDefault="00506CCA" w14:paraId="03DF7E7A" w14:textId="4E423C73">
      <w:pPr>
        <w:ind w:firstLine="0"/>
      </w:pPr>
      <w:r>
        <w:t xml:space="preserve">Finally, Ms. Collins offers the following explanation of what </w:t>
      </w:r>
      <w:r w:rsidR="00E3352D">
        <w:t xml:space="preserve">allegedly </w:t>
      </w:r>
      <w:r>
        <w:t>would befall Lyft’s operations if the trip data were publicly disclosed:</w:t>
      </w:r>
    </w:p>
    <w:p w:rsidRPr="00505A15" w:rsidR="00817205" w:rsidP="00505A15" w:rsidRDefault="00E3352D" w14:paraId="77D8C3F7" w14:textId="41B8F768">
      <w:pPr>
        <w:pStyle w:val="standard0"/>
        <w:spacing w:after="120" w:line="240" w:lineRule="auto"/>
        <w:ind w:left="720" w:right="1440" w:firstLine="0"/>
        <w:rPr>
          <w:rFonts w:ascii="Book Antiqua" w:hAnsi="Book Antiqua"/>
        </w:rPr>
      </w:pPr>
      <w:r w:rsidRPr="00505A15">
        <w:rPr>
          <w:rFonts w:ascii="Book Antiqua" w:hAnsi="Book Antiqua"/>
        </w:rPr>
        <w:t xml:space="preserve">If Lyft’s competitors, including Uber, HopSkipDrive, Wings, Silver Ride, Nomad Transit, and any other company that has </w:t>
      </w:r>
      <w:r w:rsidRPr="00505A15">
        <w:rPr>
          <w:rFonts w:ascii="Book Antiqua" w:hAnsi="Book Antiqua"/>
        </w:rPr>
        <w:lastRenderedPageBreak/>
        <w:t xml:space="preserve">obtained or might obtain a TNC permit from the Commission, were provided access to Lyft’s ride data, they could and would analyze and manipulate that data to gain insights into Lyft’s market share, its pricing practices, its marketing strategies, and other critical aspects of its business that it does not publicly disclose, including, for example, comparing the data to Lyft’s driver acquisition programs and passenger promotions – which, by their nature, are publicly discoverable – to better understand which of Lyft’s strategies are effective. This would allow a competitor to tailor its operations to more effectively deploy its resources to compete with Lyft, utilizing for its own benefit data that Lyft has generated over time and at great expense. </w:t>
      </w:r>
      <w:r w:rsidR="00505A15">
        <w:rPr>
          <w:rFonts w:ascii="Book Antiqua" w:hAnsi="Book Antiqua"/>
        </w:rPr>
        <w:t xml:space="preserve"> </w:t>
      </w:r>
      <w:r w:rsidRPr="00505A15">
        <w:rPr>
          <w:rFonts w:ascii="Book Antiqua" w:hAnsi="Book Antiqua"/>
        </w:rPr>
        <w:t xml:space="preserve">Such a competitor would not need to invest the significant resources that Lyft has invested to test these programs and analyze the data to understand the market and optimize revenue </w:t>
      </w:r>
      <w:r w:rsidRPr="00500BCC">
        <w:rPr>
          <w:rFonts w:ascii="Book Antiqua" w:hAnsi="Book Antiqua"/>
        </w:rPr>
        <w:t xml:space="preserve">generation. </w:t>
      </w:r>
      <w:r w:rsidRPr="00500BCC" w:rsidR="000A3B70">
        <w:rPr>
          <w:rFonts w:ascii="Book Antiqua" w:hAnsi="Book Antiqua"/>
        </w:rPr>
        <w:t xml:space="preserve"> </w:t>
      </w:r>
      <w:r w:rsidRPr="00500BCC">
        <w:rPr>
          <w:rFonts w:ascii="Book Antiqua" w:hAnsi="Book Antiqua"/>
        </w:rPr>
        <w:t>Instead</w:t>
      </w:r>
      <w:r w:rsidRPr="00505A15">
        <w:rPr>
          <w:rFonts w:ascii="Book Antiqua" w:hAnsi="Book Antiqua"/>
        </w:rPr>
        <w:t>, a new competitor could enter the market without substantial investment, while existing competitors could use the data to increase their market share, or undercut Lyft’s marketing campaigns, by“ free-riding” on Lyft’s data.</w:t>
      </w:r>
      <w:r w:rsidRPr="00505A15" w:rsidR="007D35E1">
        <w:rPr>
          <w:rStyle w:val="FootnoteReference"/>
          <w:rFonts w:ascii="Book Antiqua" w:hAnsi="Book Antiqua"/>
        </w:rPr>
        <w:footnoteReference w:id="84"/>
      </w:r>
    </w:p>
    <w:p w:rsidRPr="00505A15" w:rsidR="00506CCA" w:rsidP="00E3352D" w:rsidRDefault="00FC4117" w14:paraId="42747918" w14:textId="4143EA24">
      <w:pPr>
        <w:pStyle w:val="standard0"/>
        <w:ind w:firstLine="0"/>
        <w:rPr>
          <w:rFonts w:ascii="Book Antiqua" w:hAnsi="Book Antiqua"/>
        </w:rPr>
      </w:pPr>
      <w:r w:rsidRPr="00505A15">
        <w:rPr>
          <w:rFonts w:ascii="Book Antiqua" w:hAnsi="Book Antiqua"/>
        </w:rPr>
        <w:t>When read</w:t>
      </w:r>
      <w:r w:rsidRPr="00505A15" w:rsidR="00506CCA">
        <w:rPr>
          <w:rFonts w:ascii="Book Antiqua" w:hAnsi="Book Antiqua"/>
        </w:rPr>
        <w:t xml:space="preserve"> together, Ms. Collins suggests that the Lyft trip data is kept secret, and that secrecy allows Lyft to evaluate the effectiveness of its business promotions and to make upgrades as needed to provide a competitive TNC service to the riding public. </w:t>
      </w:r>
      <w:r w:rsidR="001F3F18">
        <w:rPr>
          <w:rFonts w:ascii="Book Antiqua" w:hAnsi="Book Antiqua"/>
        </w:rPr>
        <w:t xml:space="preserve"> </w:t>
      </w:r>
      <w:r w:rsidRPr="00505A15" w:rsidR="0008082D">
        <w:rPr>
          <w:rFonts w:ascii="Book Antiqua" w:hAnsi="Book Antiqua"/>
        </w:rPr>
        <w:t xml:space="preserve">In Ms. Collins’ view, </w:t>
      </w:r>
      <w:r w:rsidRPr="00505A15" w:rsidR="00506CCA">
        <w:rPr>
          <w:rFonts w:ascii="Book Antiqua" w:hAnsi="Book Antiqua"/>
        </w:rPr>
        <w:t xml:space="preserve">Lyft’s ability to remain competitive would be lost if its trip data would be made public because </w:t>
      </w:r>
      <w:r w:rsidRPr="00505A15" w:rsidR="0008082D">
        <w:rPr>
          <w:rFonts w:ascii="Book Antiqua" w:hAnsi="Book Antiqua"/>
        </w:rPr>
        <w:t>Lyft’s competitors</w:t>
      </w:r>
      <w:r w:rsidRPr="00505A15" w:rsidR="00506CCA">
        <w:rPr>
          <w:rFonts w:ascii="Book Antiqua" w:hAnsi="Book Antiqua"/>
        </w:rPr>
        <w:t xml:space="preserve"> would gain insights into Lyft’s market share, pricing practices, marketing strategies</w:t>
      </w:r>
      <w:r w:rsidR="00B32BED">
        <w:rPr>
          <w:rFonts w:ascii="Book Antiqua" w:hAnsi="Book Antiqua"/>
        </w:rPr>
        <w:t>,</w:t>
      </w:r>
      <w:r w:rsidRPr="00505A15" w:rsidR="00506CCA">
        <w:rPr>
          <w:rFonts w:ascii="Book Antiqua" w:hAnsi="Book Antiqua"/>
        </w:rPr>
        <w:t xml:space="preserve"> and other aspects of Lyft’s business.</w:t>
      </w:r>
    </w:p>
    <w:p w:rsidR="00523B64" w:rsidP="00505A15" w:rsidRDefault="00FC4117" w14:paraId="21654A10" w14:textId="31D5BC21">
      <w:pPr>
        <w:pStyle w:val="Standard"/>
      </w:pPr>
      <w:r>
        <w:t xml:space="preserve">While the quoted paragraphs from the </w:t>
      </w:r>
      <w:r w:rsidR="00506CCA">
        <w:t>Collins</w:t>
      </w:r>
      <w:r>
        <w:t xml:space="preserve"> Declaration are lengthy, </w:t>
      </w:r>
      <w:r w:rsidR="002B08B5">
        <w:t>collectively</w:t>
      </w:r>
      <w:r>
        <w:t xml:space="preserve"> they</w:t>
      </w:r>
      <w:r w:rsidR="00506CCA">
        <w:t xml:space="preserve"> fail to establish how the release of Lyft’s trip data would lead to </w:t>
      </w:r>
      <w:r w:rsidR="0008082D">
        <w:t>the loss of the trip data’s independent value.</w:t>
      </w:r>
      <w:r w:rsidR="00506CCA">
        <w:t xml:space="preserve"> </w:t>
      </w:r>
      <w:r w:rsidR="001F3F18">
        <w:t xml:space="preserve"> </w:t>
      </w:r>
      <w:r w:rsidR="00F765B1">
        <w:t xml:space="preserve">First, the Collins Declaration fails to quantify the independent value of Lyft’s trip data or the unfair competitive </w:t>
      </w:r>
      <w:r w:rsidR="00F765B1">
        <w:lastRenderedPageBreak/>
        <w:t>advan</w:t>
      </w:r>
      <w:r w:rsidR="007142B1">
        <w:t>ta</w:t>
      </w:r>
      <w:r w:rsidR="00F765B1">
        <w:t>ge the release of the data would bring to Lyft’s competitors</w:t>
      </w:r>
      <w:r w:rsidR="0048413C">
        <w:t xml:space="preserve">. </w:t>
      </w:r>
      <w:r w:rsidR="001F3F18">
        <w:t xml:space="preserve"> </w:t>
      </w:r>
      <w:r w:rsidR="0048413C">
        <w:t>She claims in the most general of terms that Lyft’s trip data was captured using a process that was developed “over time and at great effort and expense.”</w:t>
      </w:r>
      <w:r w:rsidR="0048413C">
        <w:rPr>
          <w:rStyle w:val="FootnoteReference"/>
        </w:rPr>
        <w:footnoteReference w:id="85"/>
      </w:r>
      <w:r w:rsidR="007142B1">
        <w:t xml:space="preserve"> </w:t>
      </w:r>
      <w:r w:rsidR="001F3F18">
        <w:t xml:space="preserve"> </w:t>
      </w:r>
      <w:r w:rsidR="0048413C">
        <w:t>Ms. Collins further claims that if Lyft’s trip data were disclosed, Lyft’s competitors “would not need to invest the significant resources that Lyft has invested[.]”</w:t>
      </w:r>
      <w:r w:rsidR="0048413C">
        <w:rPr>
          <w:rStyle w:val="FootnoteReference"/>
        </w:rPr>
        <w:footnoteReference w:id="86"/>
      </w:r>
      <w:r w:rsidR="0048413C">
        <w:t xml:space="preserve">  Ms.</w:t>
      </w:r>
      <w:r w:rsidR="001F3F18">
        <w:t> </w:t>
      </w:r>
      <w:r w:rsidR="0048413C">
        <w:t xml:space="preserve">Collins assertions lack any quantification regarding the independent value claim and, therefore, falls short of the evidentiary showing required by the </w:t>
      </w:r>
      <w:r w:rsidRPr="00523B64" w:rsidR="0048413C">
        <w:rPr>
          <w:i/>
          <w:iCs/>
        </w:rPr>
        <w:t>Yield Dynamics</w:t>
      </w:r>
      <w:r w:rsidR="0048413C">
        <w:t xml:space="preserve"> decision.</w:t>
      </w:r>
    </w:p>
    <w:p w:rsidR="009755F4" w:rsidP="0080449A" w:rsidRDefault="0048413C" w14:paraId="0E0A7B1F" w14:textId="1AF98AAD">
      <w:pPr>
        <w:pStyle w:val="Standard"/>
      </w:pPr>
      <w:r>
        <w:t xml:space="preserve"> </w:t>
      </w:r>
      <w:r w:rsidR="00F765B1">
        <w:t>Second,</w:t>
      </w:r>
      <w:r w:rsidR="00506CCA">
        <w:t xml:space="preserve"> </w:t>
      </w:r>
      <w:r w:rsidR="00A719E2">
        <w:t xml:space="preserve">the Collins Declaration fails to establish </w:t>
      </w:r>
      <w:r w:rsidR="009B7655">
        <w:t xml:space="preserve">what the value of the Trip Data can be to others who do not possess it. </w:t>
      </w:r>
      <w:r w:rsidR="0005126E">
        <w:t xml:space="preserve"> </w:t>
      </w:r>
      <w:r w:rsidR="009B7655">
        <w:t>T</w:t>
      </w:r>
      <w:r w:rsidR="00506CCA">
        <w:t xml:space="preserve">rip </w:t>
      </w:r>
      <w:r w:rsidR="009B7655">
        <w:t>D</w:t>
      </w:r>
      <w:r w:rsidR="00506CCA">
        <w:t xml:space="preserve">ata does not disclose </w:t>
      </w:r>
      <w:r w:rsidR="00D418C1">
        <w:t>either</w:t>
      </w:r>
      <w:r w:rsidR="00B32BED">
        <w:t xml:space="preserve"> the</w:t>
      </w:r>
      <w:r w:rsidR="00D418C1">
        <w:t xml:space="preserve"> “driver incentive programs deployed during that period,” or</w:t>
      </w:r>
      <w:r w:rsidR="00B32BED">
        <w:t xml:space="preserve"> the</w:t>
      </w:r>
      <w:r w:rsidR="00D418C1">
        <w:t xml:space="preserve"> </w:t>
      </w:r>
      <w:r w:rsidR="002B08B5">
        <w:t>“</w:t>
      </w:r>
      <w:r w:rsidR="00506CCA">
        <w:t>driver acquisition programs and passenger promotions</w:t>
      </w:r>
      <w:r w:rsidR="002B08B5">
        <w:t>”</w:t>
      </w:r>
      <w:r w:rsidR="0008082D">
        <w:t xml:space="preserve"> that Ms. Collins touts.</w:t>
      </w:r>
      <w:r w:rsidR="00D418C1">
        <w:rPr>
          <w:rStyle w:val="FootnoteReference"/>
        </w:rPr>
        <w:footnoteReference w:id="87"/>
      </w:r>
      <w:r w:rsidR="00506CCA">
        <w:t xml:space="preserve"> </w:t>
      </w:r>
      <w:r w:rsidR="00D25938">
        <w:t xml:space="preserve"> </w:t>
      </w:r>
      <w:r w:rsidR="00506CCA">
        <w:t>The Commission has not required any TNC to include in the Annual Report any information about driver</w:t>
      </w:r>
      <w:r w:rsidR="00D418C1">
        <w:t xml:space="preserve"> incentive and/or </w:t>
      </w:r>
      <w:r w:rsidR="00506CCA">
        <w:t>acquisition programs</w:t>
      </w:r>
      <w:r w:rsidR="00D418C1">
        <w:t>, as well as</w:t>
      </w:r>
      <w:r w:rsidR="00506CCA">
        <w:t xml:space="preserve"> passenger promotions. </w:t>
      </w:r>
      <w:r w:rsidR="00D25938">
        <w:t xml:space="preserve"> </w:t>
      </w:r>
      <w:r w:rsidR="00506CCA">
        <w:t xml:space="preserve">All the release of the trip data would show, using the example from above, </w:t>
      </w:r>
      <w:r w:rsidR="00D418C1">
        <w:t xml:space="preserve">is </w:t>
      </w:r>
      <w:r w:rsidR="00506CCA">
        <w:t xml:space="preserve">that a passenger requested a Lyft ride from zip code </w:t>
      </w:r>
      <w:r w:rsidR="007E0F04">
        <w:t xml:space="preserve">x and that the ride terminated in zip code y on z date and time. </w:t>
      </w:r>
      <w:r w:rsidR="00D25938">
        <w:t xml:space="preserve"> </w:t>
      </w:r>
      <w:r w:rsidR="007E0F04">
        <w:t xml:space="preserve">That information would not reveal why the passenger requested the trip on that day or why the passenger traveled to the destination zip code y. </w:t>
      </w:r>
      <w:r w:rsidR="00D25938">
        <w:t xml:space="preserve"> </w:t>
      </w:r>
      <w:r w:rsidR="007E0F04">
        <w:t xml:space="preserve">The trip data </w:t>
      </w:r>
      <w:r w:rsidR="00D418C1">
        <w:t xml:space="preserve">in the Annual Report </w:t>
      </w:r>
      <w:r w:rsidR="007E0F04">
        <w:t>does not have a column indicating whether the passenger took advantage o</w:t>
      </w:r>
      <w:r w:rsidR="009755F4">
        <w:t>f</w:t>
      </w:r>
      <w:r w:rsidR="007E0F04">
        <w:t xml:space="preserve"> a passenger promotion</w:t>
      </w:r>
      <w:r w:rsidR="00D418C1">
        <w:t xml:space="preserve"> Lyft advertised</w:t>
      </w:r>
      <w:r w:rsidR="007E0F04">
        <w:t xml:space="preserve"> on that day or time, or if the passenger even knew of the passenger promotion. </w:t>
      </w:r>
      <w:r w:rsidR="00D25938">
        <w:t xml:space="preserve"> </w:t>
      </w:r>
      <w:r w:rsidR="007E0F04">
        <w:t xml:space="preserve">There could be other reasons why the passenger picked that particular trip that have nothing to do with Lyft’s </w:t>
      </w:r>
      <w:r w:rsidR="007E0F04">
        <w:lastRenderedPageBreak/>
        <w:t xml:space="preserve">passenger promotions. </w:t>
      </w:r>
      <w:r w:rsidR="00D25938">
        <w:t xml:space="preserve"> </w:t>
      </w:r>
      <w:r w:rsidR="007E0F04">
        <w:t>For example, a passenger may decide to take a trip because of a special occasion (</w:t>
      </w:r>
      <w:r w:rsidRPr="007D35E1" w:rsidR="007E0F04">
        <w:rPr>
          <w:i/>
          <w:iCs/>
        </w:rPr>
        <w:t>e.g.</w:t>
      </w:r>
      <w:r w:rsidR="007D35E1">
        <w:rPr>
          <w:i/>
          <w:iCs/>
        </w:rPr>
        <w:t>,</w:t>
      </w:r>
      <w:r w:rsidR="007E0F04">
        <w:t xml:space="preserve"> date, engagement with friends, movie night, going to an entertainment venue)</w:t>
      </w:r>
      <w:r w:rsidR="00D418C1">
        <w:t>, or need to take a trip because of employment obligations, and either or both scenarios</w:t>
      </w:r>
      <w:r w:rsidR="007E0F04">
        <w:t xml:space="preserve"> could be completely unrelated to Lyft’s passenger promotions</w:t>
      </w:r>
      <w:r w:rsidR="009755F4">
        <w:t xml:space="preserve">. </w:t>
      </w:r>
      <w:r w:rsidR="00D25938">
        <w:t xml:space="preserve"> </w:t>
      </w:r>
      <w:r w:rsidR="009755F4">
        <w:t>Thus,</w:t>
      </w:r>
      <w:r w:rsidR="007E0F04">
        <w:t xml:space="preserve"> the release of the trip data will not provide any insights into </w:t>
      </w:r>
      <w:r w:rsidR="00D12540">
        <w:t xml:space="preserve">a </w:t>
      </w:r>
      <w:r w:rsidR="007E0F04">
        <w:t xml:space="preserve">Lyft </w:t>
      </w:r>
      <w:r w:rsidR="00D418C1">
        <w:t>customer</w:t>
      </w:r>
      <w:r w:rsidR="00D12540">
        <w:t>’</w:t>
      </w:r>
      <w:r w:rsidR="00D418C1">
        <w:t>s</w:t>
      </w:r>
      <w:r w:rsidR="00D12540">
        <w:t xml:space="preserve"> reason for requesting a trip, </w:t>
      </w:r>
      <w:r w:rsidR="00D418C1">
        <w:t xml:space="preserve"> </w:t>
      </w:r>
      <w:r w:rsidR="007E0F04">
        <w:t>even if a competitor were to cro</w:t>
      </w:r>
      <w:r w:rsidR="009755F4">
        <w:t xml:space="preserve">ss </w:t>
      </w:r>
      <w:r w:rsidR="007E0F04">
        <w:t>reference Lyft’s ride numbers agains</w:t>
      </w:r>
      <w:r w:rsidR="009755F4">
        <w:t xml:space="preserve">t the </w:t>
      </w:r>
      <w:r w:rsidR="00D12540">
        <w:t>Lyft</w:t>
      </w:r>
      <w:r w:rsidR="009755F4">
        <w:t xml:space="preserve"> passenger promotions run at that time</w:t>
      </w:r>
      <w:r w:rsidR="00D12540">
        <w:t xml:space="preserve"> the trip was requested</w:t>
      </w:r>
      <w:r w:rsidR="009755F4">
        <w:t>.</w:t>
      </w:r>
    </w:p>
    <w:p w:rsidR="00D418C1" w:rsidP="0080449A" w:rsidRDefault="009755F4" w14:paraId="69C93501" w14:textId="0B834BBC">
      <w:pPr>
        <w:pStyle w:val="Standard"/>
      </w:pPr>
      <w:r>
        <w:t>Similarly, the release of Lyft’</w:t>
      </w:r>
      <w:r w:rsidR="00AB43CE">
        <w:t>s</w:t>
      </w:r>
      <w:r>
        <w:t xml:space="preserve"> trip data w</w:t>
      </w:r>
      <w:r w:rsidR="00D12540">
        <w:t>ill</w:t>
      </w:r>
      <w:r>
        <w:t xml:space="preserve"> not reveal any secrets about Lyft drivers or driver incentive programs deployed. </w:t>
      </w:r>
      <w:r w:rsidR="00D25938">
        <w:t xml:space="preserve"> </w:t>
      </w:r>
      <w:r w:rsidR="00ED5316">
        <w:t>As with</w:t>
      </w:r>
      <w:r>
        <w:t xml:space="preserve"> the passenger trip data, the Commission has not required any TNC to reveal why a driver decided to log onto the Lyft app or why the Lyft driver decided to pick up a particular Lyft passenger and take that passenger to a particular zip code or census block. As the Commission does not require any TNC to provide personally identifiable information about TNC drivers, there would be no way for a competitor to gain any insights about the driving habits, patterns, or Lyft-generated driving incentives. </w:t>
      </w:r>
      <w:r w:rsidR="00D25938">
        <w:t xml:space="preserve"> </w:t>
      </w:r>
      <w:r>
        <w:t xml:space="preserve">As with passengers, there could be other reasons why the Lyft driver picked a particular day or time to log onto the Lyft app or to select particular zip codes to pick up a Lyft passenger that have nothing to do with Lyft’s driver incentive programs. </w:t>
      </w:r>
      <w:r w:rsidR="00D25938">
        <w:t xml:space="preserve"> </w:t>
      </w:r>
      <w:r>
        <w:t xml:space="preserve">The Lyft driver could be working part time and the period in which the driver logged onto the Lyft app may be the only available time in which to do so given the personal or professional constraints in the driver’s life. </w:t>
      </w:r>
      <w:r w:rsidR="00D418C1">
        <w:t>If the trip data were released, t</w:t>
      </w:r>
      <w:r>
        <w:t xml:space="preserve">here would be no way </w:t>
      </w:r>
      <w:r w:rsidR="00D418C1">
        <w:t xml:space="preserve">to know what motivated a Lyft driver to log on to the Lyft app for any particular ride or time. </w:t>
      </w:r>
    </w:p>
    <w:p w:rsidR="00287A66" w:rsidP="0080449A" w:rsidRDefault="00D418C1" w14:paraId="772BB9B2" w14:textId="26BFB147">
      <w:pPr>
        <w:pStyle w:val="Standard"/>
      </w:pPr>
      <w:r>
        <w:t xml:space="preserve">Nor does the Collins Declaration provide any credible </w:t>
      </w:r>
      <w:r w:rsidR="003B40FF">
        <w:t>rationale</w:t>
      </w:r>
      <w:r>
        <w:t xml:space="preserve"> that Lyft’s competitors could or would use Lyft’s trip data to</w:t>
      </w:r>
      <w:r w:rsidR="003B40FF">
        <w:t xml:space="preserve"> Lyft’s disadvantage.</w:t>
      </w:r>
      <w:r>
        <w:t xml:space="preserve"> </w:t>
      </w:r>
      <w:r w:rsidR="003B40FF">
        <w:lastRenderedPageBreak/>
        <w:t>Ms.</w:t>
      </w:r>
      <w:r w:rsidR="00D25938">
        <w:t> </w:t>
      </w:r>
      <w:r w:rsidR="003B40FF">
        <w:t xml:space="preserve">Collins claims that with the trip data’s release, Lyft’s competitors could </w:t>
      </w:r>
      <w:r>
        <w:t>“</w:t>
      </w:r>
      <w:r w:rsidR="003B40FF">
        <w:t xml:space="preserve">manipulate that data to </w:t>
      </w:r>
      <w:r>
        <w:t>gain insights</w:t>
      </w:r>
      <w:r w:rsidR="003B40FF">
        <w:t xml:space="preserve"> into Lyft’s market share, its pricing practices, its marketing strategies, and other critical aspects of its business that it does not publicly disclose[.]”</w:t>
      </w:r>
      <w:r w:rsidR="003B40FF">
        <w:rPr>
          <w:rStyle w:val="FootnoteReference"/>
        </w:rPr>
        <w:footnoteReference w:id="88"/>
      </w:r>
      <w:r>
        <w:t xml:space="preserve"> </w:t>
      </w:r>
      <w:r w:rsidR="00D12540">
        <w:t>T</w:t>
      </w:r>
      <w:r w:rsidR="00E527B9">
        <w:t xml:space="preserve">he Commission rejects this argument for several reasons. </w:t>
      </w:r>
      <w:r w:rsidR="00D25938">
        <w:t xml:space="preserve"> </w:t>
      </w:r>
      <w:r w:rsidR="00E527B9">
        <w:t>First, trip data does not include pricing practices outside the price of particular ride</w:t>
      </w:r>
      <w:r w:rsidR="00D12540">
        <w:t>,</w:t>
      </w:r>
      <w:r w:rsidR="00E527B9">
        <w:t xml:space="preserve"> marketing strategies</w:t>
      </w:r>
      <w:r w:rsidR="00D12540">
        <w:t>,</w:t>
      </w:r>
      <w:r w:rsidR="00E527B9">
        <w:t xml:space="preserve"> or other critical aspects of Lyft’s business</w:t>
      </w:r>
      <w:r w:rsidR="003B40FF">
        <w:t>.</w:t>
      </w:r>
      <w:r w:rsidR="00E527B9">
        <w:t xml:space="preserve"> Second,</w:t>
      </w:r>
      <w:r w:rsidR="003B40FF">
        <w:t xml:space="preserve"> Collins refers to Lyft’s competitors as “Uber, HopSkipDrive, Wings, Silver Ride, Nomad Transit, and any other company that has obtained or might obtain a TNC permit from the Commission</w:t>
      </w:r>
      <w:r w:rsidR="000B617F">
        <w:t>[,]</w:t>
      </w:r>
      <w:r w:rsidR="003B40FF">
        <w:t>”</w:t>
      </w:r>
      <w:r w:rsidR="003B40FF">
        <w:rPr>
          <w:rStyle w:val="FootnoteReference"/>
        </w:rPr>
        <w:footnoteReference w:id="89"/>
      </w:r>
      <w:r w:rsidR="003B40FF">
        <w:t xml:space="preserve"> </w:t>
      </w:r>
      <w:r w:rsidR="000B617F">
        <w:t xml:space="preserve">but fails to explain why these competitors would want the trip data or gain any insights upon receipt. </w:t>
      </w:r>
      <w:r w:rsidR="00D25938">
        <w:t xml:space="preserve"> </w:t>
      </w:r>
      <w:r w:rsidR="00466DDA">
        <w:t xml:space="preserve">Uber </w:t>
      </w:r>
      <w:r w:rsidR="0030384D">
        <w:t xml:space="preserve">and Lyft </w:t>
      </w:r>
      <w:r w:rsidR="00466DDA">
        <w:t>occup</w:t>
      </w:r>
      <w:r w:rsidR="0030384D">
        <w:t xml:space="preserve">y over 99% </w:t>
      </w:r>
      <w:r w:rsidR="00466DDA">
        <w:t>of the TNC market,</w:t>
      </w:r>
      <w:r w:rsidR="00466DDA">
        <w:rPr>
          <w:rStyle w:val="FootnoteReference"/>
        </w:rPr>
        <w:footnoteReference w:id="90"/>
      </w:r>
      <w:r w:rsidR="00466DDA">
        <w:t xml:space="preserve">  </w:t>
      </w:r>
      <w:r w:rsidR="0030384D">
        <w:t xml:space="preserve">Uber </w:t>
      </w:r>
      <w:r w:rsidR="00466DDA">
        <w:t xml:space="preserve">has its own trip data to review for its business </w:t>
      </w:r>
      <w:r w:rsidR="007D35E1">
        <w:t>purposes and</w:t>
      </w:r>
      <w:r w:rsidR="00466DDA">
        <w:t xml:space="preserve"> has not made a public records act request for Lyft’s trip data</w:t>
      </w:r>
      <w:r w:rsidR="00E527B9">
        <w:t xml:space="preserve"> from Lyft’s 2020 Annual Report</w:t>
      </w:r>
      <w:r w:rsidR="00466DDA">
        <w:t xml:space="preserve">. </w:t>
      </w:r>
      <w:r w:rsidR="00D25938">
        <w:t xml:space="preserve"> </w:t>
      </w:r>
      <w:r w:rsidR="00466DDA">
        <w:t>Given Uber’s</w:t>
      </w:r>
      <w:r w:rsidR="00E527B9">
        <w:t xml:space="preserve"> predominant TNC</w:t>
      </w:r>
      <w:r w:rsidR="00466DDA">
        <w:t xml:space="preserve"> market share, Lyft fails to explain why Uber would also want to analyze Lyft’s </w:t>
      </w:r>
      <w:r w:rsidR="00E527B9">
        <w:t xml:space="preserve">trip </w:t>
      </w:r>
      <w:r w:rsidR="00466DDA">
        <w:t xml:space="preserve">data. </w:t>
      </w:r>
    </w:p>
    <w:p w:rsidR="00466DDA" w:rsidP="0080449A" w:rsidRDefault="00287A66" w14:paraId="77981A90" w14:textId="5A18079D">
      <w:pPr>
        <w:pStyle w:val="Standard"/>
      </w:pPr>
      <w:r>
        <w:t xml:space="preserve">Lyft’s argument is even less persuasive when we look at the smaller TNC operations. </w:t>
      </w:r>
      <w:r w:rsidR="00224A53">
        <w:t xml:space="preserve"> </w:t>
      </w:r>
      <w:r w:rsidR="000B617F">
        <w:t>HopSkipDrive primarily transports minors</w:t>
      </w:r>
      <w:r w:rsidR="00E527B9">
        <w:rPr>
          <w:rStyle w:val="FootnoteReference"/>
        </w:rPr>
        <w:footnoteReference w:id="91"/>
      </w:r>
      <w:r w:rsidR="000B617F">
        <w:t xml:space="preserve"> and Silver Ride specializes in providing rides for senior citizens,</w:t>
      </w:r>
      <w:r w:rsidR="00E527B9">
        <w:rPr>
          <w:rStyle w:val="FootnoteReference"/>
        </w:rPr>
        <w:footnoteReference w:id="92"/>
      </w:r>
      <w:r w:rsidR="000B617F">
        <w:t xml:space="preserve"> but the Annual Reports do not require a TNC to list a driver’s age</w:t>
      </w:r>
      <w:r w:rsidR="00466DDA">
        <w:t xml:space="preserve"> as part of the trip data template</w:t>
      </w:r>
      <w:r w:rsidR="0008201A">
        <w:t xml:space="preserve"> so it is not clear what use HopSkipDrive and Silver Ride would have for Lyft’s trip data. </w:t>
      </w:r>
      <w:r w:rsidR="00D25938">
        <w:t xml:space="preserve"> </w:t>
      </w:r>
      <w:r w:rsidR="00466DDA">
        <w:t>As for the “any other company that has obtained or might obtain a TNC permit,”</w:t>
      </w:r>
      <w:r w:rsidR="0008201A">
        <w:t xml:space="preserve"> </w:t>
      </w:r>
      <w:r w:rsidR="0008201A">
        <w:lastRenderedPageBreak/>
        <w:t>this claim in the Collins Declaration is to</w:t>
      </w:r>
      <w:r w:rsidR="00F41D07">
        <w:t>o</w:t>
      </w:r>
      <w:r w:rsidR="0008201A">
        <w:t xml:space="preserve"> ambiguous and speculative to warrant further consideration</w:t>
      </w:r>
      <w:r w:rsidR="00684B5A">
        <w:t xml:space="preserve"> as it doesn’t satisfy the granularity of information standard that the Commission adopted in D.20</w:t>
      </w:r>
      <w:r w:rsidR="00D25938">
        <w:noBreakHyphen/>
      </w:r>
      <w:r w:rsidR="00684B5A">
        <w:t>03</w:t>
      </w:r>
      <w:r w:rsidR="00D25938">
        <w:noBreakHyphen/>
      </w:r>
      <w:r w:rsidR="00684B5A">
        <w:t>014 for establishing confidentiality claims</w:t>
      </w:r>
      <w:r w:rsidR="0008201A">
        <w:t xml:space="preserve">. </w:t>
      </w:r>
      <w:r w:rsidR="000B617F">
        <w:t xml:space="preserve"> As such, </w:t>
      </w:r>
      <w:r w:rsidR="0008201A">
        <w:t xml:space="preserve">Lyft has failed to explain </w:t>
      </w:r>
      <w:r w:rsidR="000B617F">
        <w:t xml:space="preserve">how </w:t>
      </w:r>
      <w:r w:rsidR="00466DDA">
        <w:t>any of Lyft’s competitors</w:t>
      </w:r>
      <w:r w:rsidR="000B617F">
        <w:t xml:space="preserve"> would benefit by</w:t>
      </w:r>
      <w:r w:rsidR="00466DDA">
        <w:t xml:space="preserve"> receiving</w:t>
      </w:r>
      <w:r w:rsidR="000B617F">
        <w:t xml:space="preserve"> Lyft’s trip data</w:t>
      </w:r>
      <w:r w:rsidR="0008201A">
        <w:t xml:space="preserve"> that would be to the detriment to whatever independent economic value the trip data </w:t>
      </w:r>
      <w:r w:rsidR="00684B5A">
        <w:t>has for</w:t>
      </w:r>
      <w:r w:rsidR="0008201A">
        <w:t xml:space="preserve"> Lyft</w:t>
      </w:r>
      <w:r w:rsidR="000B617F">
        <w:t xml:space="preserve">. </w:t>
      </w:r>
    </w:p>
    <w:p w:rsidR="00DB4059" w:rsidP="0080449A" w:rsidRDefault="00DB4059" w14:paraId="3302680D" w14:textId="2300B475">
      <w:pPr>
        <w:pStyle w:val="Standard"/>
      </w:pPr>
      <w:r>
        <w:t xml:space="preserve">The Commission has seen </w:t>
      </w:r>
      <w:r w:rsidR="00573F49">
        <w:t xml:space="preserve">courts reject </w:t>
      </w:r>
      <w:r>
        <w:t>similarly generalized</w:t>
      </w:r>
      <w:r w:rsidR="00573F49">
        <w:t xml:space="preserve"> claims as being factually insufficient to support a claim of trade secret. </w:t>
      </w:r>
      <w:r w:rsidR="00D25938">
        <w:t xml:space="preserve"> </w:t>
      </w:r>
      <w:r w:rsidR="00573F49">
        <w:t xml:space="preserve">In </w:t>
      </w:r>
      <w:r w:rsidRPr="00573F49" w:rsidR="00573F49">
        <w:rPr>
          <w:i/>
          <w:iCs/>
        </w:rPr>
        <w:t>Confederated Tribes of Chehalis Reservation v. Johnson</w:t>
      </w:r>
      <w:r w:rsidR="00573F49">
        <w:t xml:space="preserve"> (1998) 135 Wn.2d 734, 749, the Court stated:</w:t>
      </w:r>
    </w:p>
    <w:p w:rsidRPr="00573F49" w:rsidR="00573F49" w:rsidP="00505A15" w:rsidRDefault="00573F49" w14:paraId="33081D8F" w14:textId="444D952E">
      <w:pPr>
        <w:pStyle w:val="standard0"/>
        <w:spacing w:after="120" w:line="240" w:lineRule="auto"/>
        <w:ind w:left="720" w:right="1440" w:firstLine="0"/>
        <w:rPr>
          <w:rFonts w:ascii="Book Antiqua" w:hAnsi="Book Antiqua"/>
        </w:rPr>
      </w:pPr>
      <w:r w:rsidRPr="00573F49">
        <w:rPr>
          <w:rFonts w:ascii="Book Antiqua" w:hAnsi="Book Antiqua"/>
        </w:rPr>
        <w:t xml:space="preserve">Through general statements in declarations, the Tribes maintain that their competitors would gain an advantage over them if the amount of the two percent community contributions were made public. </w:t>
      </w:r>
      <w:r w:rsidR="00505A15">
        <w:rPr>
          <w:rFonts w:ascii="Book Antiqua" w:hAnsi="Book Antiqua"/>
        </w:rPr>
        <w:t xml:space="preserve"> </w:t>
      </w:r>
      <w:r w:rsidRPr="00573F49">
        <w:rPr>
          <w:rFonts w:ascii="Book Antiqua" w:hAnsi="Book Antiqua"/>
        </w:rPr>
        <w:t xml:space="preserve">In the Tribes' view, a potential competitor could use the two percent figure to calculate gross revenue and then could gauge the market and market saturation. </w:t>
      </w:r>
      <w:r w:rsidR="00505A15">
        <w:rPr>
          <w:rFonts w:ascii="Book Antiqua" w:hAnsi="Book Antiqua"/>
        </w:rPr>
        <w:t xml:space="preserve"> </w:t>
      </w:r>
      <w:r w:rsidRPr="00573F49">
        <w:rPr>
          <w:rFonts w:ascii="Book Antiqua" w:hAnsi="Book Antiqua"/>
        </w:rPr>
        <w:t>Therefore, the Tribes argue, the information derives economic value from not being generally known.</w:t>
      </w:r>
    </w:p>
    <w:p w:rsidRPr="00573F49" w:rsidR="00573F49" w:rsidP="00505A15" w:rsidRDefault="00573F49" w14:paraId="5962B656" w14:textId="1B74B122">
      <w:pPr>
        <w:pStyle w:val="standard0"/>
        <w:spacing w:after="120" w:line="240" w:lineRule="auto"/>
        <w:ind w:left="720" w:right="1440" w:firstLine="0"/>
        <w:rPr>
          <w:rFonts w:ascii="Book Antiqua" w:hAnsi="Book Antiqua"/>
        </w:rPr>
      </w:pPr>
      <w:r w:rsidRPr="00573F49">
        <w:rPr>
          <w:rFonts w:ascii="Book Antiqua" w:hAnsi="Book Antiqua"/>
        </w:rPr>
        <w:t xml:space="preserve">However, there is no evidence in the record before us that knowledge of a casino's profitability could not be generally ascertained by visiting the casino site, through newspaper articles about the casino, or through employees, tribal members, or local service agencies which are recipients of community contributions. </w:t>
      </w:r>
      <w:r w:rsidR="00505A15">
        <w:rPr>
          <w:rFonts w:ascii="Book Antiqua" w:hAnsi="Book Antiqua"/>
        </w:rPr>
        <w:t xml:space="preserve"> </w:t>
      </w:r>
      <w:r w:rsidRPr="00573F49">
        <w:rPr>
          <w:rFonts w:ascii="Book Antiqua" w:hAnsi="Book Antiqua"/>
        </w:rPr>
        <w:t>Even if the information were not readily ascertainable, there is no evidence in the record to support the Tribes' contention that the information derives "independent economic value" from not being generally known.</w:t>
      </w:r>
    </w:p>
    <w:p w:rsidR="00573F49" w:rsidP="00A6208D" w:rsidRDefault="00BB7803" w14:paraId="4ECEE01E" w14:textId="6D17A0CD">
      <w:pPr>
        <w:pStyle w:val="Standard"/>
        <w:ind w:firstLine="0"/>
      </w:pPr>
      <w:r>
        <w:t xml:space="preserve">Courts have also refused to recognize prices or fees as having independent economic value when different variables can go into calculating the price or fee. </w:t>
      </w:r>
      <w:r w:rsidR="00D25938">
        <w:t xml:space="preserve"> </w:t>
      </w:r>
      <w:r w:rsidRPr="00BE5A18">
        <w:t>In</w:t>
      </w:r>
      <w:r w:rsidRPr="00BE5A18">
        <w:rPr>
          <w:i/>
          <w:iCs/>
        </w:rPr>
        <w:t xml:space="preserve"> Belo Management v. Click!Network</w:t>
      </w:r>
      <w:r>
        <w:t xml:space="preserve"> (</w:t>
      </w:r>
      <w:r w:rsidR="0030384D">
        <w:t>2014</w:t>
      </w:r>
      <w:r>
        <w:t>)184 Wn.App. 649, 658, the Court stated:</w:t>
      </w:r>
    </w:p>
    <w:p w:rsidR="00605F20" w:rsidP="00505A15" w:rsidRDefault="00BB7803" w14:paraId="4BA0C567" w14:textId="3690932A">
      <w:pPr>
        <w:pStyle w:val="standard0"/>
        <w:spacing w:after="120" w:line="240" w:lineRule="auto"/>
        <w:ind w:left="720" w:right="1440" w:firstLine="0"/>
        <w:rPr>
          <w:rFonts w:ascii="Book Antiqua" w:hAnsi="Book Antiqua"/>
        </w:rPr>
      </w:pPr>
      <w:r w:rsidRPr="00BB7803">
        <w:rPr>
          <w:rFonts w:ascii="Book Antiqua" w:hAnsi="Book Antiqua"/>
        </w:rPr>
        <w:lastRenderedPageBreak/>
        <w:t xml:space="preserve">Similarly, here, the broadcasters' allegations of harm are too conclusory and speculative. </w:t>
      </w:r>
      <w:r w:rsidR="00D25938">
        <w:rPr>
          <w:rFonts w:ascii="Book Antiqua" w:hAnsi="Book Antiqua"/>
        </w:rPr>
        <w:t xml:space="preserve"> </w:t>
      </w:r>
      <w:r w:rsidRPr="00BB7803">
        <w:rPr>
          <w:rFonts w:ascii="Book Antiqua" w:hAnsi="Book Antiqua"/>
        </w:rPr>
        <w:t xml:space="preserve">They make the same argument as the firm in Robbins: </w:t>
      </w:r>
      <w:r w:rsidR="00505A15">
        <w:rPr>
          <w:rFonts w:ascii="Book Antiqua" w:hAnsi="Book Antiqua"/>
        </w:rPr>
        <w:t xml:space="preserve"> </w:t>
      </w:r>
      <w:r w:rsidRPr="00BB7803">
        <w:rPr>
          <w:rFonts w:ascii="Book Antiqua" w:hAnsi="Book Antiqua"/>
        </w:rPr>
        <w:t xml:space="preserve">Release of this information would give competitors an unfair advantage. </w:t>
      </w:r>
      <w:r w:rsidR="00505A15">
        <w:rPr>
          <w:rFonts w:ascii="Book Antiqua" w:hAnsi="Book Antiqua"/>
        </w:rPr>
        <w:t xml:space="preserve"> </w:t>
      </w:r>
      <w:r w:rsidRPr="00BB7803">
        <w:rPr>
          <w:rFonts w:ascii="Book Antiqua" w:hAnsi="Book Antiqua"/>
        </w:rPr>
        <w:t xml:space="preserve">This reason alone is insufficient to prove that the information is a trade secret. </w:t>
      </w:r>
      <w:r w:rsidR="00505A15">
        <w:rPr>
          <w:rFonts w:ascii="Book Antiqua" w:hAnsi="Book Antiqua"/>
        </w:rPr>
        <w:t xml:space="preserve"> </w:t>
      </w:r>
      <w:r w:rsidRPr="00BB7803">
        <w:rPr>
          <w:rFonts w:ascii="Book Antiqua" w:hAnsi="Book Antiqua"/>
        </w:rPr>
        <w:t xml:space="preserve">The broadcasters have not proven that their prices have independent economic value to their competitors or other cable systems. </w:t>
      </w:r>
      <w:r w:rsidR="00505A15">
        <w:rPr>
          <w:rFonts w:ascii="Book Antiqua" w:hAnsi="Book Antiqua"/>
        </w:rPr>
        <w:t xml:space="preserve"> </w:t>
      </w:r>
      <w:r w:rsidRPr="00BB7803">
        <w:rPr>
          <w:rFonts w:ascii="Book Antiqua" w:hAnsi="Book Antiqua"/>
        </w:rPr>
        <w:t xml:space="preserve">As the broadcasters concede, every negotiation is different. </w:t>
      </w:r>
      <w:r w:rsidR="00505A15">
        <w:rPr>
          <w:rFonts w:ascii="Book Antiqua" w:hAnsi="Book Antiqua"/>
        </w:rPr>
        <w:t xml:space="preserve"> </w:t>
      </w:r>
      <w:r w:rsidRPr="00BB7803">
        <w:rPr>
          <w:rFonts w:ascii="Book Antiqua" w:hAnsi="Book Antiqua"/>
        </w:rPr>
        <w:t xml:space="preserve">Markets and cable systems vary. </w:t>
      </w:r>
      <w:r w:rsidR="00505A15">
        <w:rPr>
          <w:rFonts w:ascii="Book Antiqua" w:hAnsi="Book Antiqua"/>
        </w:rPr>
        <w:t xml:space="preserve"> </w:t>
      </w:r>
      <w:r w:rsidRPr="00BB7803">
        <w:rPr>
          <w:rFonts w:ascii="Book Antiqua" w:hAnsi="Book Antiqua"/>
        </w:rPr>
        <w:t xml:space="preserve">Prices fluctuate over time. </w:t>
      </w:r>
      <w:r w:rsidR="00505A15">
        <w:rPr>
          <w:rFonts w:ascii="Book Antiqua" w:hAnsi="Book Antiqua"/>
        </w:rPr>
        <w:t xml:space="preserve"> </w:t>
      </w:r>
      <w:r w:rsidRPr="00BB7803">
        <w:rPr>
          <w:rFonts w:ascii="Book Antiqua" w:hAnsi="Book Antiqua"/>
        </w:rPr>
        <w:t xml:space="preserve">Thus, it does not follow that the other cable systems could viably argue that they are entitled to the same price as a cable system in a different market during a different time period. </w:t>
      </w:r>
    </w:p>
    <w:p w:rsidR="00606740" w:rsidP="00A6208D" w:rsidRDefault="00605F20" w14:paraId="3B8ACD2E" w14:textId="773BE21B">
      <w:pPr>
        <w:pStyle w:val="standard0"/>
        <w:rPr>
          <w:rFonts w:ascii="Book Antiqua" w:hAnsi="Book Antiqua"/>
        </w:rPr>
      </w:pPr>
      <w:r>
        <w:rPr>
          <w:rFonts w:ascii="Book Antiqua" w:hAnsi="Book Antiqua"/>
        </w:rPr>
        <w:t>The Commission is similarly un</w:t>
      </w:r>
      <w:r w:rsidR="00317B70">
        <w:rPr>
          <w:rFonts w:ascii="Book Antiqua" w:hAnsi="Book Antiqua"/>
        </w:rPr>
        <w:t>persuaded by</w:t>
      </w:r>
      <w:r>
        <w:rPr>
          <w:rFonts w:ascii="Book Antiqua" w:hAnsi="Book Antiqua"/>
        </w:rPr>
        <w:t xml:space="preserve"> Lyft’s attempts to rely on secondary sources to establish its claim that the trip data has acquired independent value. </w:t>
      </w:r>
      <w:r w:rsidR="00D25938">
        <w:rPr>
          <w:rFonts w:ascii="Book Antiqua" w:hAnsi="Book Antiqua"/>
        </w:rPr>
        <w:t xml:space="preserve"> </w:t>
      </w:r>
      <w:r>
        <w:rPr>
          <w:rFonts w:ascii="Book Antiqua" w:hAnsi="Book Antiqua"/>
        </w:rPr>
        <w:t xml:space="preserve">Lyft cites to articles and reports that allegedly </w:t>
      </w:r>
      <w:r w:rsidR="002F27E8">
        <w:rPr>
          <w:rFonts w:ascii="Book Antiqua" w:hAnsi="Book Antiqua"/>
        </w:rPr>
        <w:t>analyze</w:t>
      </w:r>
      <w:r>
        <w:rPr>
          <w:rFonts w:ascii="Book Antiqua" w:hAnsi="Book Antiqua"/>
        </w:rPr>
        <w:t xml:space="preserve"> the monetary value of mobility data.</w:t>
      </w:r>
      <w:r w:rsidR="003B68F6">
        <w:rPr>
          <w:rStyle w:val="FootnoteReference"/>
          <w:rFonts w:ascii="Book Antiqua" w:hAnsi="Book Antiqua"/>
        </w:rPr>
        <w:footnoteReference w:id="93"/>
      </w:r>
      <w:r>
        <w:rPr>
          <w:rFonts w:ascii="Book Antiqua" w:hAnsi="Book Antiqua"/>
        </w:rPr>
        <w:t xml:space="preserve"> </w:t>
      </w:r>
      <w:r w:rsidR="00D25938">
        <w:rPr>
          <w:rFonts w:ascii="Book Antiqua" w:hAnsi="Book Antiqua"/>
        </w:rPr>
        <w:t xml:space="preserve"> </w:t>
      </w:r>
      <w:r>
        <w:rPr>
          <w:rFonts w:ascii="Book Antiqua" w:hAnsi="Book Antiqua"/>
        </w:rPr>
        <w:t xml:space="preserve">The problem with Lyft’s position is that it has failed to establish the admissibility threshold for the Commission to consider these materials. </w:t>
      </w:r>
      <w:r w:rsidR="00606740">
        <w:rPr>
          <w:rFonts w:ascii="Book Antiqua" w:hAnsi="Book Antiqua"/>
        </w:rPr>
        <w:t>D.20-03-014, OP</w:t>
      </w:r>
      <w:r w:rsidR="00D25938">
        <w:rPr>
          <w:rFonts w:ascii="Book Antiqua" w:hAnsi="Book Antiqua"/>
        </w:rPr>
        <w:t> </w:t>
      </w:r>
      <w:r w:rsidR="00606740">
        <w:rPr>
          <w:rFonts w:ascii="Book Antiqua" w:hAnsi="Book Antiqua"/>
        </w:rPr>
        <w:t>2.h. orders any TNC claiming confidentiality as to any of the data in its 2020 Annual Reports must submit a declaration under penalty of perjury that substantiates the claim:</w:t>
      </w:r>
    </w:p>
    <w:p w:rsidR="00606740" w:rsidP="000A3B70" w:rsidRDefault="00606740" w14:paraId="6D37B66B" w14:textId="2901CE27">
      <w:pPr>
        <w:pStyle w:val="standard0"/>
        <w:spacing w:after="120" w:line="240" w:lineRule="auto"/>
        <w:ind w:left="720" w:right="1440" w:firstLine="0"/>
        <w:rPr>
          <w:rFonts w:ascii="Book Antiqua" w:hAnsi="Book Antiqua"/>
        </w:rPr>
      </w:pPr>
      <w:r>
        <w:rPr>
          <w:rFonts w:ascii="Book Antiqua" w:hAnsi="Book Antiqua"/>
        </w:rPr>
        <w:t>The TNC must provide a declaration (executed with personal knowledge and under penalty of perjury) in support of the legal authority relied on to support the confidentiality claims for Government Code §§ 6254(k) and 6255(a), General</w:t>
      </w:r>
      <w:r w:rsidR="000A3B70">
        <w:rPr>
          <w:rFonts w:ascii="Book Antiqua" w:hAnsi="Book Antiqua"/>
        </w:rPr>
        <w:t> </w:t>
      </w:r>
      <w:r>
        <w:rPr>
          <w:rFonts w:ascii="Book Antiqua" w:hAnsi="Book Antiqua"/>
        </w:rPr>
        <w:t>Order</w:t>
      </w:r>
      <w:r w:rsidR="000A3B70">
        <w:rPr>
          <w:rFonts w:ascii="Book Antiqua" w:hAnsi="Book Antiqua"/>
        </w:rPr>
        <w:t> </w:t>
      </w:r>
      <w:r>
        <w:rPr>
          <w:rFonts w:ascii="Book Antiqua" w:hAnsi="Book Antiqua"/>
        </w:rPr>
        <w:t>66, Civil Code §§ 3426 through 3426.11, Government Code §</w:t>
      </w:r>
      <w:r w:rsidR="00505A15">
        <w:rPr>
          <w:rFonts w:ascii="Book Antiqua" w:hAnsi="Book Antiqua"/>
        </w:rPr>
        <w:t> </w:t>
      </w:r>
      <w:r>
        <w:rPr>
          <w:rFonts w:ascii="Book Antiqua" w:hAnsi="Book Antiqua"/>
        </w:rPr>
        <w:t>6254.7(d), an</w:t>
      </w:r>
      <w:r w:rsidR="002F27E8">
        <w:rPr>
          <w:rFonts w:ascii="Book Antiqua" w:hAnsi="Book Antiqua"/>
        </w:rPr>
        <w:t>d</w:t>
      </w:r>
      <w:r>
        <w:rPr>
          <w:rFonts w:ascii="Book Antiqua" w:hAnsi="Book Antiqua"/>
        </w:rPr>
        <w:t xml:space="preserve"> any other statute, rule, order, or decision that the TNC is relying upon to support each claim of confidentiality.</w:t>
      </w:r>
    </w:p>
    <w:p w:rsidRPr="007E6B55" w:rsidR="008652B6" w:rsidP="00505A15" w:rsidRDefault="00606740" w14:paraId="5FAAE189" w14:textId="5C987F02">
      <w:pPr>
        <w:pStyle w:val="standard0"/>
        <w:ind w:firstLine="0"/>
        <w:rPr>
          <w:rFonts w:ascii="Book Antiqua" w:hAnsi="Book Antiqua"/>
        </w:rPr>
      </w:pPr>
      <w:r>
        <w:rPr>
          <w:rFonts w:ascii="Book Antiqua" w:hAnsi="Book Antiqua"/>
        </w:rPr>
        <w:t xml:space="preserve">Lyft </w:t>
      </w:r>
      <w:r w:rsidR="002F27E8">
        <w:rPr>
          <w:rFonts w:ascii="Book Antiqua" w:hAnsi="Book Antiqua"/>
        </w:rPr>
        <w:t xml:space="preserve">has </w:t>
      </w:r>
      <w:r>
        <w:rPr>
          <w:rFonts w:ascii="Book Antiqua" w:hAnsi="Book Antiqua"/>
        </w:rPr>
        <w:t xml:space="preserve">not met that evidentiary showing. </w:t>
      </w:r>
      <w:r w:rsidR="00D25938">
        <w:rPr>
          <w:rFonts w:ascii="Book Antiqua" w:hAnsi="Book Antiqua"/>
        </w:rPr>
        <w:t xml:space="preserve"> </w:t>
      </w:r>
      <w:r>
        <w:rPr>
          <w:rFonts w:ascii="Book Antiqua" w:hAnsi="Book Antiqua"/>
        </w:rPr>
        <w:t xml:space="preserve">Lyft failed to submit any declarations from the authors of these reports and studies. </w:t>
      </w:r>
      <w:r w:rsidR="00D25938">
        <w:rPr>
          <w:rFonts w:ascii="Book Antiqua" w:hAnsi="Book Antiqua"/>
        </w:rPr>
        <w:t xml:space="preserve"> </w:t>
      </w:r>
      <w:r>
        <w:rPr>
          <w:rFonts w:ascii="Book Antiqua" w:hAnsi="Book Antiqua"/>
        </w:rPr>
        <w:t xml:space="preserve">Ms. Collins is not the author of the </w:t>
      </w:r>
      <w:r>
        <w:rPr>
          <w:rFonts w:ascii="Book Antiqua" w:hAnsi="Book Antiqua"/>
        </w:rPr>
        <w:lastRenderedPageBreak/>
        <w:t xml:space="preserve">reports and studies so she cannot authenticate them. </w:t>
      </w:r>
      <w:r w:rsidR="00D25938">
        <w:rPr>
          <w:rFonts w:ascii="Book Antiqua" w:hAnsi="Book Antiqua"/>
        </w:rPr>
        <w:t xml:space="preserve"> </w:t>
      </w:r>
      <w:r>
        <w:rPr>
          <w:rFonts w:ascii="Book Antiqua" w:hAnsi="Book Antiqua"/>
        </w:rPr>
        <w:t>While it is true that generally the technical rules of evidence need not be applied in hearings before the Commission,</w:t>
      </w:r>
      <w:r>
        <w:rPr>
          <w:rStyle w:val="FootnoteReference"/>
          <w:rFonts w:ascii="Book Antiqua" w:hAnsi="Book Antiqua"/>
        </w:rPr>
        <w:footnoteReference w:id="94"/>
      </w:r>
      <w:r>
        <w:rPr>
          <w:rFonts w:ascii="Book Antiqua" w:hAnsi="Book Antiqua"/>
        </w:rPr>
        <w:t xml:space="preserve"> </w:t>
      </w:r>
      <w:r w:rsidR="00A85462">
        <w:rPr>
          <w:rFonts w:ascii="Book Antiqua" w:hAnsi="Book Antiqua"/>
        </w:rPr>
        <w:t xml:space="preserve"> </w:t>
      </w:r>
      <w:r>
        <w:rPr>
          <w:rFonts w:ascii="Book Antiqua" w:hAnsi="Book Antiqua"/>
        </w:rPr>
        <w:t xml:space="preserve">D.20-03-014 has imposed a higher evidentiary standard </w:t>
      </w:r>
      <w:r w:rsidR="00287A66">
        <w:rPr>
          <w:rFonts w:ascii="Book Antiqua" w:hAnsi="Book Antiqua"/>
        </w:rPr>
        <w:t xml:space="preserve">to substantiate a confidentiality claim, </w:t>
      </w:r>
      <w:r>
        <w:rPr>
          <w:rFonts w:ascii="Book Antiqua" w:hAnsi="Book Antiqua"/>
        </w:rPr>
        <w:t xml:space="preserve"> and Lyft has failed to meet that enhanced evidentiary showing. Thus, these </w:t>
      </w:r>
      <w:r w:rsidR="002F27E8">
        <w:rPr>
          <w:rFonts w:ascii="Book Antiqua" w:hAnsi="Book Antiqua"/>
        </w:rPr>
        <w:t>articles and reports will not be considered by the Commission as they are not admissible.</w:t>
      </w:r>
    </w:p>
    <w:p w:rsidRPr="00500BCC" w:rsidR="00D80629" w:rsidP="00506CCA" w:rsidRDefault="00D80629" w14:paraId="28215358" w14:textId="78B484A6">
      <w:pPr>
        <w:pStyle w:val="Heading2"/>
      </w:pPr>
      <w:bookmarkStart w:name="_Toc82193580" w:id="64"/>
      <w:bookmarkStart w:name="_Toc94682543" w:id="65"/>
      <w:bookmarkStart w:name="_Toc102479672" w:id="66"/>
      <w:r w:rsidRPr="00500BCC">
        <w:t xml:space="preserve">Lyft </w:t>
      </w:r>
      <w:r w:rsidRPr="00500BCC" w:rsidR="00806115">
        <w:t xml:space="preserve">Fails to Establish that it </w:t>
      </w:r>
      <w:r w:rsidRPr="00500BCC">
        <w:t>has</w:t>
      </w:r>
      <w:r w:rsidR="0021397F">
        <w:t xml:space="preserve"> </w:t>
      </w:r>
      <w:r w:rsidRPr="00500BCC" w:rsidR="00806115">
        <w:t>T</w:t>
      </w:r>
      <w:r w:rsidRPr="00500BCC">
        <w:t xml:space="preserve">aken </w:t>
      </w:r>
      <w:r w:rsidRPr="00500BCC" w:rsidR="00806115">
        <w:t>R</w:t>
      </w:r>
      <w:r w:rsidRPr="00500BCC">
        <w:t xml:space="preserve">easonable </w:t>
      </w:r>
      <w:r w:rsidRPr="00500BCC" w:rsidR="00806115">
        <w:t>E</w:t>
      </w:r>
      <w:r w:rsidRPr="00500BCC">
        <w:t xml:space="preserve">fforts to </w:t>
      </w:r>
      <w:r w:rsidRPr="00500BCC" w:rsidR="00806115">
        <w:t>M</w:t>
      </w:r>
      <w:r w:rsidRPr="00500BCC">
        <w:t xml:space="preserve">aintain the </w:t>
      </w:r>
      <w:r w:rsidRPr="00500BCC" w:rsidR="000A3B70">
        <w:br/>
      </w:r>
      <w:r w:rsidRPr="00500BCC" w:rsidR="00806115">
        <w:t>S</w:t>
      </w:r>
      <w:r w:rsidRPr="00500BCC">
        <w:t xml:space="preserve">ecrecy of its </w:t>
      </w:r>
      <w:r w:rsidRPr="00500BCC" w:rsidR="00806115">
        <w:t>T</w:t>
      </w:r>
      <w:r w:rsidRPr="00500BCC">
        <w:t xml:space="preserve">rip </w:t>
      </w:r>
      <w:r w:rsidRPr="00500BCC" w:rsidR="00806115">
        <w:t>D</w:t>
      </w:r>
      <w:r w:rsidRPr="00500BCC">
        <w:t>ata</w:t>
      </w:r>
      <w:bookmarkEnd w:id="64"/>
      <w:bookmarkEnd w:id="65"/>
      <w:bookmarkEnd w:id="66"/>
    </w:p>
    <w:p w:rsidR="001071A3" w:rsidP="0080449A" w:rsidRDefault="00DC497F" w14:paraId="49D5FE8B" w14:textId="43614CC8">
      <w:pPr>
        <w:pStyle w:val="Standard"/>
      </w:pPr>
      <w:r w:rsidRPr="00500BCC">
        <w:t xml:space="preserve">A person or entity claiming a trade secret must also demonstrate that the claimant made “efforts that are reasonable under the circumstances to maintain its secrecy. </w:t>
      </w:r>
      <w:r w:rsidRPr="00500BCC" w:rsidR="000A3B70">
        <w:t xml:space="preserve"> </w:t>
      </w:r>
      <w:r w:rsidRPr="00500BCC">
        <w:t>(</w:t>
      </w:r>
      <w:r w:rsidRPr="00500BCC">
        <w:rPr>
          <w:i/>
          <w:iCs/>
        </w:rPr>
        <w:t>In re Providian</w:t>
      </w:r>
      <w:r w:rsidRPr="00DC497F">
        <w:rPr>
          <w:i/>
          <w:iCs/>
        </w:rPr>
        <w:t xml:space="preserve"> Credit Card Cases</w:t>
      </w:r>
      <w:r>
        <w:t xml:space="preserve"> (2002) 96 Cal.App.4</w:t>
      </w:r>
      <w:r w:rsidRPr="00DC497F">
        <w:rPr>
          <w:vertAlign w:val="superscript"/>
        </w:rPr>
        <w:t>th</w:t>
      </w:r>
      <w:r>
        <w:t xml:space="preserve"> 292, 304.)</w:t>
      </w:r>
      <w:r w:rsidR="00E16806">
        <w:t xml:space="preserve"> </w:t>
      </w:r>
      <w:r w:rsidR="00D25938">
        <w:t xml:space="preserve"> </w:t>
      </w:r>
      <w:r w:rsidR="00E16806">
        <w:t>The Court went further to explain why the absence to maintain the secrecy of a trade secret dooms a trade secret claim:</w:t>
      </w:r>
    </w:p>
    <w:p w:rsidR="00E16806" w:rsidP="00505A15" w:rsidRDefault="00E16806" w14:paraId="63330A61" w14:textId="48553DCC">
      <w:pPr>
        <w:spacing w:after="120" w:line="240" w:lineRule="auto"/>
        <w:ind w:left="720" w:right="1440" w:firstLine="0"/>
      </w:pPr>
      <w:r w:rsidRPr="00E16806">
        <w:t xml:space="preserve">Public disclosure, that is the absence of secrecy, is fatal to the existence of a trade secret. </w:t>
      </w:r>
      <w:r w:rsidR="00505A15">
        <w:t xml:space="preserve"> </w:t>
      </w:r>
      <w:r w:rsidRPr="00E16806">
        <w:t>"If an individual discloses his trade secret to others who are under no obligation to protect the confidentiality of the information, or otherwise publicly discloses the secret, his property right is extinguished." (</w:t>
      </w:r>
      <w:r w:rsidRPr="00D0354C">
        <w:rPr>
          <w:i/>
          <w:iCs/>
        </w:rPr>
        <w:t>Ruckelshaus v. Monsanto Co</w:t>
      </w:r>
      <w:r w:rsidRPr="00E16806">
        <w:t>. (1984) </w:t>
      </w:r>
      <w:hyperlink w:history="1" r:id="rId25">
        <w:r w:rsidRPr="00E16806">
          <w:rPr>
            <w:rStyle w:val="Hyperlink"/>
          </w:rPr>
          <w:t>467 U.S. 986</w:t>
        </w:r>
      </w:hyperlink>
      <w:r w:rsidRPr="00E16806">
        <w:t xml:space="preserve">, 1002; </w:t>
      </w:r>
      <w:r w:rsidRPr="0080449A">
        <w:rPr>
          <w:i/>
          <w:iCs/>
        </w:rPr>
        <w:t>see</w:t>
      </w:r>
      <w:r w:rsidRPr="00E16806">
        <w:t xml:space="preserve"> Legis. Com. com., 12A West's Ann. Civ. Code (1997 ed.) foll. §</w:t>
      </w:r>
      <w:r w:rsidR="0080449A">
        <w:t> </w:t>
      </w:r>
      <w:r w:rsidRPr="00E16806">
        <w:t>3426.1, p. 238 ["the trade secret can be destroyed through public knowledge"]; 1 Milgrim on Trade Secrets (2001) §</w:t>
      </w:r>
      <w:r w:rsidR="0080449A">
        <w:t> </w:t>
      </w:r>
      <w:r w:rsidRPr="00E16806">
        <w:t>1.05[1], p. 1-197 ["unprotected disclosure . . . will terminate . . . and, at least prospectively, forfeit the trade secret status"].)</w:t>
      </w:r>
    </w:p>
    <w:p w:rsidR="008652B6" w:rsidP="00E16806" w:rsidRDefault="00E16806" w14:paraId="3420CA2A" w14:textId="46D33C36">
      <w:pPr>
        <w:ind w:firstLine="0"/>
      </w:pPr>
      <w:r>
        <w:t xml:space="preserve">In determining if reasonable efforts to protect </w:t>
      </w:r>
      <w:r w:rsidR="00BE5A18">
        <w:t xml:space="preserve">a trade secret’s </w:t>
      </w:r>
      <w:r>
        <w:t xml:space="preserve">secrecy </w:t>
      </w:r>
      <w:r w:rsidR="00BE5A18">
        <w:t>have been</w:t>
      </w:r>
      <w:r>
        <w:t xml:space="preserve"> made </w:t>
      </w:r>
      <w:r w:rsidR="00BE5A18">
        <w:t xml:space="preserve">a court can consider the following factors: whether documents or computer files containing the trade secret were marked with confidentiality </w:t>
      </w:r>
      <w:r w:rsidR="00BE5A18">
        <w:lastRenderedPageBreak/>
        <w:t xml:space="preserve">warnings; whether the claimant instructed the employees to treat the trade secret as confidential; whether the claimant restricted access to the trade secret; </w:t>
      </w:r>
      <w:r w:rsidR="00DC4293">
        <w:t xml:space="preserve"> whether the trade secret was kept in a restricted or secured area; whether employees had to sign a confidentiality or nondisclosure agreement to access the trade secret; and the extent to which any general measures taken would prevent the unauthorized disclosure of the trade secret.</w:t>
      </w:r>
      <w:r w:rsidR="00DC4293">
        <w:rPr>
          <w:rStyle w:val="FootnoteReference"/>
        </w:rPr>
        <w:footnoteReference w:id="95"/>
      </w:r>
    </w:p>
    <w:p w:rsidR="008652B6" w:rsidP="0080449A" w:rsidRDefault="00DC4293" w14:paraId="22357251" w14:textId="61192957">
      <w:pPr>
        <w:pStyle w:val="Standard"/>
      </w:pPr>
      <w:r>
        <w:t xml:space="preserve">Lyft fails to satisfy the reasonable efforts standard. </w:t>
      </w:r>
      <w:r w:rsidR="00D25938">
        <w:t xml:space="preserve"> </w:t>
      </w:r>
      <w:r>
        <w:t>The Collins Declaration</w:t>
      </w:r>
      <w:r w:rsidR="007D2D34">
        <w:t xml:space="preserve"> contains the following discussion regarding Lyft’s efforts to maintain trade secret confidentiality:</w:t>
      </w:r>
    </w:p>
    <w:p w:rsidR="00E3352D" w:rsidP="0080449A" w:rsidRDefault="00E3352D" w14:paraId="7EFE8F66" w14:textId="4A003CCD">
      <w:pPr>
        <w:spacing w:after="120" w:line="240" w:lineRule="auto"/>
        <w:ind w:left="720" w:right="1440" w:firstLine="0"/>
      </w:pPr>
      <w:r w:rsidRPr="00E3352D">
        <w:t xml:space="preserve">Lyft stores the information on a secure software network protected by appropriate computer security controls, access to which is limited to a subset of Lyft employees who have been individually approved and use such information only to fulfill their job functions.  Lyft also requires, as a condition of employment, that all new employees sign a confidentiality agreement. </w:t>
      </w:r>
      <w:r w:rsidR="0080449A">
        <w:t xml:space="preserve"> </w:t>
      </w:r>
      <w:r w:rsidRPr="00E3352D">
        <w:t xml:space="preserve">This agreement is put in place to protect Lyft’s proprietary information from being disclosed by employees or former employees to unauthorized outside parties. </w:t>
      </w:r>
      <w:r w:rsidR="0080449A">
        <w:t xml:space="preserve"> </w:t>
      </w:r>
      <w:r w:rsidRPr="00E3352D">
        <w:t xml:space="preserve">The company also requires all employees to sign Lyft’s employee handbook, which describes in detail each employee’s obligations regarding technology use and security and protection of Lyft’s confidential and proprietary information; and requires all visitors to Lyft headquarters to read and sign a non-disclosure agreement before proceeding past the reception desk. </w:t>
      </w:r>
      <w:r w:rsidR="0080449A">
        <w:t xml:space="preserve"> </w:t>
      </w:r>
      <w:r w:rsidRPr="00E3352D">
        <w:t>Furthermore, since the Commission issued General Order 66-D, Lyft has consistently complied with that order in seeking confidential treatment for the data it has identified as confidential herein, and otherwise vigorously protects such information from public disclosure</w:t>
      </w:r>
      <w:r>
        <w:t>.</w:t>
      </w:r>
      <w:r w:rsidR="007D35E1">
        <w:rPr>
          <w:rStyle w:val="FootnoteReference"/>
        </w:rPr>
        <w:footnoteReference w:id="96"/>
      </w:r>
    </w:p>
    <w:p w:rsidR="004E710E" w:rsidP="006131C7" w:rsidRDefault="007D2D34" w14:paraId="3B2635E0" w14:textId="77777777">
      <w:pPr>
        <w:ind w:firstLine="0"/>
      </w:pPr>
      <w:r>
        <w:lastRenderedPageBreak/>
        <w:t>The thrust of  the Collins Declaration</w:t>
      </w:r>
      <w:r w:rsidR="006131C7">
        <w:t>, read in a manner most favorable to Lyft’s position,</w:t>
      </w:r>
      <w:r>
        <w:t xml:space="preserve"> is that the secrecy efforts are focused internally on Lyft’s employees. </w:t>
      </w:r>
      <w:r w:rsidR="0088734F">
        <w:t xml:space="preserve"> </w:t>
      </w:r>
    </w:p>
    <w:p w:rsidR="00AF457C" w:rsidP="0080449A" w:rsidRDefault="007D2D34" w14:paraId="4AC35EC1" w14:textId="0DB29B16">
      <w:pPr>
        <w:pStyle w:val="Standard"/>
      </w:pPr>
      <w:r>
        <w:t xml:space="preserve">The problem with the Collins </w:t>
      </w:r>
      <w:r w:rsidR="004E710E">
        <w:t>D</w:t>
      </w:r>
      <w:r>
        <w:t xml:space="preserve">eclaration </w:t>
      </w:r>
      <w:r w:rsidR="004E710E">
        <w:t xml:space="preserve">is her singular focus on Lyft employees. </w:t>
      </w:r>
      <w:r w:rsidR="00D25938">
        <w:t xml:space="preserve"> </w:t>
      </w:r>
      <w:r w:rsidR="004E710E">
        <w:t xml:space="preserve">Ms. Collins does not </w:t>
      </w:r>
      <w:r w:rsidR="006131C7">
        <w:t>address</w:t>
      </w:r>
      <w:r w:rsidR="004E710E">
        <w:t xml:space="preserve"> if</w:t>
      </w:r>
      <w:r w:rsidR="006131C7">
        <w:t xml:space="preserve"> Lyft drivers</w:t>
      </w:r>
      <w:r w:rsidR="004E710E">
        <w:t xml:space="preserve"> are employees,</w:t>
      </w:r>
      <w:r w:rsidR="006131C7">
        <w:t xml:space="preserve"> and</w:t>
      </w:r>
      <w:r w:rsidR="004E710E">
        <w:t xml:space="preserve"> whether Lyft drivers’ and</w:t>
      </w:r>
      <w:r w:rsidR="006131C7">
        <w:t xml:space="preserve"> Lyft passengers’ access to Lyft’s trip data </w:t>
      </w:r>
      <w:r w:rsidR="004E710E">
        <w:t>is dependent on them agreeing to</w:t>
      </w:r>
      <w:r w:rsidR="006131C7">
        <w:t xml:space="preserve"> maintain trip data confidentiality. </w:t>
      </w:r>
      <w:r w:rsidR="00D25938">
        <w:t xml:space="preserve"> </w:t>
      </w:r>
      <w:r w:rsidR="004E710E">
        <w:t>As to the first point</w:t>
      </w:r>
      <w:r w:rsidR="006455AC">
        <w:t xml:space="preserve"> (</w:t>
      </w:r>
      <w:r w:rsidRPr="00366D51" w:rsidR="00367BCD">
        <w:rPr>
          <w:i/>
          <w:iCs/>
        </w:rPr>
        <w:t>i.e.,</w:t>
      </w:r>
      <w:r w:rsidR="006455AC">
        <w:t xml:space="preserve"> are Lyft </w:t>
      </w:r>
      <w:r w:rsidR="00367BCD">
        <w:t>drivers’</w:t>
      </w:r>
      <w:r w:rsidR="006455AC">
        <w:t xml:space="preserve"> employees)</w:t>
      </w:r>
      <w:r w:rsidR="004E710E">
        <w:t xml:space="preserve">, </w:t>
      </w:r>
      <w:r w:rsidR="006131C7">
        <w:t xml:space="preserve">Lyft has consistently argued in its filings before this Commission and in </w:t>
      </w:r>
      <w:r w:rsidR="006455AC">
        <w:t>civil actions filed in state and federal court</w:t>
      </w:r>
      <w:r w:rsidR="006131C7">
        <w:t xml:space="preserve"> that Lyft drivers are independent contractors rather than employees</w:t>
      </w:r>
      <w:r w:rsidR="00A66972">
        <w:t xml:space="preserve">. </w:t>
      </w:r>
      <w:r w:rsidR="00D25938">
        <w:t xml:space="preserve"> </w:t>
      </w:r>
      <w:r w:rsidR="00A66972">
        <w:t>(</w:t>
      </w:r>
      <w:r w:rsidRPr="008D5A21" w:rsidR="00A66972">
        <w:rPr>
          <w:i/>
          <w:iCs/>
        </w:rPr>
        <w:t xml:space="preserve">See </w:t>
      </w:r>
      <w:r w:rsidRPr="008D5A21" w:rsidR="008D5A21">
        <w:rPr>
          <w:i/>
          <w:iCs/>
        </w:rPr>
        <w:t>People v. Uber Technologies, Inc., et a</w:t>
      </w:r>
      <w:r w:rsidR="008D5A21">
        <w:rPr>
          <w:i/>
          <w:iCs/>
        </w:rPr>
        <w:t>l</w:t>
      </w:r>
      <w:r w:rsidR="008D5A21">
        <w:t>., (2020)</w:t>
      </w:r>
      <w:r w:rsidR="00427F1B">
        <w:t xml:space="preserve"> 56 </w:t>
      </w:r>
      <w:r w:rsidR="008D5A21">
        <w:t>Cal.App.5</w:t>
      </w:r>
      <w:r w:rsidRPr="008D5A21" w:rsidR="008D5A21">
        <w:rPr>
          <w:vertAlign w:val="superscript"/>
        </w:rPr>
        <w:t>th</w:t>
      </w:r>
      <w:r w:rsidR="00427F1B">
        <w:rPr>
          <w:vertAlign w:val="superscript"/>
        </w:rPr>
        <w:t xml:space="preserve">  </w:t>
      </w:r>
      <w:r w:rsidR="00427F1B">
        <w:t>266, 278</w:t>
      </w:r>
      <w:r w:rsidR="008D5A21">
        <w:t xml:space="preserve"> [“The contracts between defendants and the drivers provide that the relationship between Lyft or Uber, on the one hand, and the drivers on the other, is not one of employment….Lyft’s Terms of Service provide that the driver and Lyft ‘are in a direct business relationship, and the relationship between the parties under this Agreement is solely that of independent contracting parties[.]’”]</w:t>
      </w:r>
      <w:r w:rsidR="00367BCD">
        <w:t>;</w:t>
      </w:r>
      <w:r w:rsidR="008D5A21">
        <w:t xml:space="preserve"> </w:t>
      </w:r>
      <w:r w:rsidRPr="006455AC" w:rsidR="008D5A21">
        <w:rPr>
          <w:i/>
          <w:iCs/>
        </w:rPr>
        <w:t>Cotter v. Lyft, Inc.</w:t>
      </w:r>
      <w:r w:rsidR="008D5A21">
        <w:t xml:space="preserve"> (N.D. Cal. 2015) 60 F.Supp.3d 1067, </w:t>
      </w:r>
      <w:r w:rsidR="006455AC">
        <w:t xml:space="preserve">1070 [“The plaintiffs and Lyft have filed cross-motions for summary judgement, with the plaintiffs urging the Court to declare them ‘employees’ as a matter of law, and Lyft urging the Court to declare them ‘independent contractors’ as a matter of law.”]; and </w:t>
      </w:r>
      <w:r w:rsidRPr="006455AC" w:rsidR="006455AC">
        <w:rPr>
          <w:i/>
          <w:iCs/>
        </w:rPr>
        <w:t>Comments of Zimride, Inc</w:t>
      </w:r>
      <w:r w:rsidR="006455AC">
        <w:t>. (now Lyft), at 4, filed on February 11, 2013 in this proceeding [“Zimride does not employ or compensate drivers[.]”</w:t>
      </w:r>
      <w:r w:rsidR="007D35E1">
        <w:t>.)</w:t>
      </w:r>
      <w:r w:rsidR="006131C7">
        <w:rPr>
          <w:rStyle w:val="FootnoteReference"/>
        </w:rPr>
        <w:footnoteReference w:id="97"/>
      </w:r>
      <w:r w:rsidR="006131C7">
        <w:t xml:space="preserve"> </w:t>
      </w:r>
      <w:r w:rsidR="00D25938">
        <w:t xml:space="preserve"> </w:t>
      </w:r>
      <w:r w:rsidR="00427F1B">
        <w:t>Lyft considers the TNC drivers to be independent contractors, a point that the Collins Declaration does not contradict.</w:t>
      </w:r>
    </w:p>
    <w:p w:rsidR="00AF457C" w:rsidP="0080449A" w:rsidRDefault="00AF457C" w14:paraId="3F45FC62" w14:textId="6E0B9290">
      <w:pPr>
        <w:pStyle w:val="Standard"/>
      </w:pPr>
      <w:r>
        <w:lastRenderedPageBreak/>
        <w:t>As to the second point (</w:t>
      </w:r>
      <w:r w:rsidRPr="00D25938" w:rsidR="00367BCD">
        <w:rPr>
          <w:i/>
          <w:iCs/>
        </w:rPr>
        <w:t>i.e</w:t>
      </w:r>
      <w:r w:rsidR="00367BCD">
        <w:t>.,</w:t>
      </w:r>
      <w:r>
        <w:t xml:space="preserve"> whether a Lyft driver must maintain trip data confidentiality) the Collins Declaration is </w:t>
      </w:r>
      <w:r w:rsidR="00427F1B">
        <w:t xml:space="preserve">also </w:t>
      </w:r>
      <w:r>
        <w:t xml:space="preserve">silent. </w:t>
      </w:r>
      <w:r w:rsidR="00D25938">
        <w:t xml:space="preserve"> </w:t>
      </w:r>
      <w:r>
        <w:t xml:space="preserve">There is no reference to the Lyft Terms of Service to indicate that Lyft drivers are contractually bound to keep trip data secret. </w:t>
      </w:r>
      <w:r w:rsidR="00D25938">
        <w:t xml:space="preserve"> </w:t>
      </w:r>
      <w:r>
        <w:t>So,</w:t>
      </w:r>
      <w:r w:rsidR="0088734F">
        <w:t xml:space="preserve"> when a Lyft driver logs onto the Lyft app in order to connect with a TNC passenger, the Lyft driver knows what zip code from which the proposed ri</w:t>
      </w:r>
      <w:r w:rsidR="006131C7">
        <w:t>d</w:t>
      </w:r>
      <w:r w:rsidR="0088734F">
        <w:t>e originates and where it will terminate</w:t>
      </w:r>
      <w:r w:rsidR="00D0354C">
        <w:t>, and with that information the Lyft driver can determine the census block from where the ride commences and terminates</w:t>
      </w:r>
      <w:r w:rsidR="0088734F">
        <w:t xml:space="preserve">. </w:t>
      </w:r>
      <w:r w:rsidR="00D25938">
        <w:t xml:space="preserve"> </w:t>
      </w:r>
      <w:r w:rsidR="0088734F">
        <w:t xml:space="preserve">The Lyft driver will also know the date and time of the trip as well as the fare. </w:t>
      </w:r>
      <w:r w:rsidR="00D25938">
        <w:t xml:space="preserve"> </w:t>
      </w:r>
      <w:r w:rsidR="0088734F">
        <w:t>To the extent Lyft has provided the Lyft driver with advice on the best zip codes to travel to</w:t>
      </w:r>
      <w:r w:rsidR="00D0354C">
        <w:t xml:space="preserve">, as well as the best times of the day to work </w:t>
      </w:r>
      <w:r w:rsidR="0088734F">
        <w:t>in order to maximize the number of passenger ride request</w:t>
      </w:r>
      <w:r w:rsidR="00287A66">
        <w:t>s</w:t>
      </w:r>
      <w:r w:rsidR="0088734F">
        <w:t xml:space="preserve">, that information </w:t>
      </w:r>
      <w:r w:rsidR="00D0354C">
        <w:t xml:space="preserve">is </w:t>
      </w:r>
      <w:r>
        <w:t xml:space="preserve">also </w:t>
      </w:r>
      <w:r w:rsidR="00D0354C">
        <w:t xml:space="preserve">in the </w:t>
      </w:r>
      <w:r w:rsidR="00287A66">
        <w:t xml:space="preserve">Lyft driver’s </w:t>
      </w:r>
      <w:r w:rsidR="00D0354C">
        <w:t>possession</w:t>
      </w:r>
      <w:r w:rsidR="00287A66">
        <w:t>.</w:t>
      </w:r>
      <w:r w:rsidR="0088734F">
        <w:t xml:space="preserve"> </w:t>
      </w:r>
      <w:r w:rsidR="00D25938">
        <w:t xml:space="preserve"> </w:t>
      </w:r>
      <w:r>
        <w:t>Likewise, t</w:t>
      </w:r>
      <w:r w:rsidR="0088734F">
        <w:t>o the extent Lyft has utilized driver incentive programs to secure more frequent Lyft drivers, the drivers are aware of the incentive programs</w:t>
      </w:r>
      <w:r w:rsidR="00287A66">
        <w:t xml:space="preserve"> and are under no requirement to keep this information confidential</w:t>
      </w:r>
      <w:r w:rsidR="0088734F">
        <w:t>.</w:t>
      </w:r>
      <w:r w:rsidR="007C32A8">
        <w:t xml:space="preserve"> </w:t>
      </w:r>
    </w:p>
    <w:p w:rsidR="00AF457C" w:rsidP="0080449A" w:rsidRDefault="00AF457C" w14:paraId="7F2AD466" w14:textId="2DD349E2">
      <w:pPr>
        <w:pStyle w:val="Standard"/>
      </w:pPr>
      <w:r>
        <w:t>Even more damaging to Lyft’s secrecy claim is the fact that</w:t>
      </w:r>
      <w:r w:rsidR="007C32A8">
        <w:t xml:space="preserve"> Lyft does not claim that Lyft drivers may only work for Lyft or that the driver may not use the learned trip data if the driver logs on to another TNC app to provide passenger services. </w:t>
      </w:r>
      <w:r w:rsidR="00D25938">
        <w:t xml:space="preserve"> </w:t>
      </w:r>
      <w:r w:rsidR="007C32A8">
        <w:t xml:space="preserve">In fact, it is not uncommon to see a TNC vehicle with both Lyft and Uber trade dress insignias. </w:t>
      </w:r>
      <w:r w:rsidR="00D25938">
        <w:t xml:space="preserve"> </w:t>
      </w:r>
      <w:r w:rsidR="007C32A8">
        <w:t xml:space="preserve">This means that a Lyft driver who has received the  trip data </w:t>
      </w:r>
      <w:r w:rsidR="00A86D36">
        <w:t xml:space="preserve">described in the foregoing paragraph </w:t>
      </w:r>
      <w:r w:rsidR="007C32A8">
        <w:t xml:space="preserve">is free to transport that trip data and use it while driving for Uber or any other permitted TNC operation.  </w:t>
      </w:r>
      <w:r>
        <w:t xml:space="preserve">There is also no impediment to a Lyft driver sharing the trip data with Uber or any other permitted TNC operation. </w:t>
      </w:r>
      <w:r w:rsidR="00D25938">
        <w:t xml:space="preserve"> </w:t>
      </w:r>
      <w:r w:rsidR="00A86D36">
        <w:t xml:space="preserve">Thus, Lyft’s failure to establish that its drivers must sign an exclusivity driving agreement as well as a nondisclosure agreement </w:t>
      </w:r>
      <w:r w:rsidR="00A86D36">
        <w:lastRenderedPageBreak/>
        <w:t xml:space="preserve">undermine the trade secret claim since the Lyft drivers are being provided </w:t>
      </w:r>
      <w:r w:rsidR="00C123EE">
        <w:t xml:space="preserve">with unrestrained </w:t>
      </w:r>
      <w:r w:rsidR="00A86D36">
        <w:t>access to alleged trade secret trip data</w:t>
      </w:r>
      <w:r w:rsidR="00C123EE">
        <w:t>.</w:t>
      </w:r>
      <w:r w:rsidR="00A86D36">
        <w:t xml:space="preserve"> </w:t>
      </w:r>
    </w:p>
    <w:p w:rsidR="00A86D36" w:rsidP="0080449A" w:rsidRDefault="00C123EE" w14:paraId="597F15CE" w14:textId="4D02948D">
      <w:pPr>
        <w:pStyle w:val="Standard"/>
      </w:pPr>
      <w:r>
        <w:t>Lyft passengers also have access to Lyft’s trip data as it relate</w:t>
      </w:r>
      <w:r w:rsidR="002A472E">
        <w:t>s</w:t>
      </w:r>
      <w:r>
        <w:t xml:space="preserve"> to the trip that the passenger has contracted with the Lyft driver to provide. </w:t>
      </w:r>
      <w:r w:rsidR="00D25938">
        <w:t xml:space="preserve"> </w:t>
      </w:r>
      <w:r>
        <w:t>Every passenger  know</w:t>
      </w:r>
      <w:r w:rsidR="000A2190">
        <w:t>s</w:t>
      </w:r>
      <w:r>
        <w:t xml:space="preserve"> the </w:t>
      </w:r>
      <w:r w:rsidR="00E9070E">
        <w:t>originating</w:t>
      </w:r>
      <w:r>
        <w:t xml:space="preserve"> and terminating zip codes (an</w:t>
      </w:r>
      <w:r w:rsidR="00E9070E">
        <w:t>d</w:t>
      </w:r>
      <w:r>
        <w:t xml:space="preserve"> by extension </w:t>
      </w:r>
      <w:r w:rsidR="00E9070E">
        <w:t xml:space="preserve">the </w:t>
      </w:r>
      <w:r>
        <w:t xml:space="preserve">census blocks) of every requested trip as well as the cost of the trip. </w:t>
      </w:r>
      <w:r w:rsidR="00D25938">
        <w:t xml:space="preserve"> </w:t>
      </w:r>
      <w:r>
        <w:t>To the exten</w:t>
      </w:r>
      <w:r w:rsidR="00E9070E">
        <w:t xml:space="preserve">t the Lyft passengers have chosen a particular ride as a result of a Lyft passenger promotion, the passenger is not required to keep that information secret. </w:t>
      </w:r>
      <w:r w:rsidR="00D25938">
        <w:t xml:space="preserve"> </w:t>
      </w:r>
      <w:r w:rsidR="00E9070E">
        <w:t>The Collins Declaration does not claim that passengers logging on to the Lyft app are required to execute a confidentiality agreement and not disclose the trip data information and incentives offere</w:t>
      </w:r>
      <w:r>
        <w:t>d</w:t>
      </w:r>
      <w:r w:rsidR="00E9070E">
        <w:t xml:space="preserve"> to induce the passenger to take a particular trip</w:t>
      </w:r>
      <w:r w:rsidR="000A2190">
        <w:t>. To the contrary,</w:t>
      </w:r>
      <w:r w:rsidR="00AF457C">
        <w:t xml:space="preserve"> Lyft passengers are free to communicate their trip data knowledge to Uber or any other permitted TNC operation.</w:t>
      </w:r>
    </w:p>
    <w:p w:rsidR="00257C34" w:rsidP="0080449A" w:rsidRDefault="00273B4E" w14:paraId="5619FE1A" w14:textId="62138604">
      <w:pPr>
        <w:pStyle w:val="Standard"/>
      </w:pPr>
      <w:r>
        <w:t xml:space="preserve">The United Sates Supreme Court explained in </w:t>
      </w:r>
      <w:r w:rsidRPr="00A86D36">
        <w:rPr>
          <w:i/>
          <w:iCs/>
        </w:rPr>
        <w:t>Ruckelshaus</w:t>
      </w:r>
      <w:r>
        <w:t xml:space="preserve">, </w:t>
      </w:r>
      <w:r w:rsidRPr="00A86D36">
        <w:rPr>
          <w:i/>
          <w:iCs/>
        </w:rPr>
        <w:t>supra</w:t>
      </w:r>
      <w:r>
        <w:t>, 467 U.S. at 1002, that such unrestricted access to and use of alleged trade secret information is fatal to establishing a trade secret claim:</w:t>
      </w:r>
      <w:r w:rsidR="00D25938">
        <w:t xml:space="preserve"> </w:t>
      </w:r>
      <w:r>
        <w:t xml:space="preserve"> “</w:t>
      </w:r>
      <w:r w:rsidRPr="00A86D36">
        <w:t>If an individual discloses his trade secret to others who are under no obligation to protect the confidentiality of the information, or otherwise publicly discloses the secret, his property right is extinguished.</w:t>
      </w:r>
      <w:r>
        <w:t xml:space="preserve">” </w:t>
      </w:r>
      <w:r w:rsidR="00D25938">
        <w:t xml:space="preserve"> </w:t>
      </w:r>
      <w:r>
        <w:t>(</w:t>
      </w:r>
      <w:r w:rsidRPr="00050EB7">
        <w:rPr>
          <w:i/>
          <w:iCs/>
        </w:rPr>
        <w:t>See also DVD Copy Control</w:t>
      </w:r>
      <w:r>
        <w:t xml:space="preserve">, </w:t>
      </w:r>
      <w:r w:rsidRPr="00050EB7">
        <w:rPr>
          <w:i/>
          <w:iCs/>
        </w:rPr>
        <w:t>supra</w:t>
      </w:r>
      <w:r>
        <w:t>, 31 Cal.4</w:t>
      </w:r>
      <w:r w:rsidRPr="00E9070E">
        <w:rPr>
          <w:vertAlign w:val="superscript"/>
        </w:rPr>
        <w:t>th</w:t>
      </w:r>
      <w:r>
        <w:t xml:space="preserve">, at 881 [“Once the data that constitute a trade secret are disclosed to others, or others are allowed to use those data, the holder of the trade secret has lost his property interest in the data.”].) </w:t>
      </w:r>
      <w:r w:rsidR="00D25938">
        <w:t xml:space="preserve"> </w:t>
      </w:r>
      <w:r>
        <w:t xml:space="preserve">In sum, Lyft’s internal measures to limit employee access to trip data are insufficient to satisfy the reasonable efforts standard as “they are not designed to protect the disclosure of information” by the Lyft drivers and Lyft passengers. </w:t>
      </w:r>
      <w:r w:rsidR="00D25938">
        <w:t xml:space="preserve"> </w:t>
      </w:r>
      <w:r>
        <w:t>(</w:t>
      </w:r>
      <w:r w:rsidRPr="00C123EE">
        <w:rPr>
          <w:i/>
          <w:iCs/>
        </w:rPr>
        <w:t>Klinke</w:t>
      </w:r>
      <w:r>
        <w:t xml:space="preserve">, </w:t>
      </w:r>
      <w:r w:rsidRPr="00C123EE">
        <w:rPr>
          <w:i/>
          <w:iCs/>
        </w:rPr>
        <w:t>supra</w:t>
      </w:r>
      <w:r>
        <w:t>, 73 F.3d, at 969.)</w:t>
      </w:r>
    </w:p>
    <w:p w:rsidRPr="00500BCC" w:rsidR="00257C34" w:rsidP="00257C34" w:rsidRDefault="00257C34" w14:paraId="1979801C" w14:textId="018EB9C2">
      <w:pPr>
        <w:pStyle w:val="Heading2"/>
      </w:pPr>
      <w:bookmarkStart w:name="_Toc82193581" w:id="67"/>
      <w:bookmarkStart w:name="_Toc94682544" w:id="68"/>
      <w:bookmarkStart w:name="_Toc102479673" w:id="69"/>
      <w:r w:rsidRPr="00500BCC">
        <w:lastRenderedPageBreak/>
        <w:t>Balancing Test Considerations</w:t>
      </w:r>
      <w:r w:rsidRPr="00500BCC" w:rsidR="00170DD6">
        <w:t xml:space="preserve"> Weigh </w:t>
      </w:r>
      <w:r w:rsidRPr="00500BCC" w:rsidR="009B0809">
        <w:br/>
      </w:r>
      <w:r w:rsidRPr="00500BCC" w:rsidR="00170DD6">
        <w:t xml:space="preserve">in Favor of Disclosing Alleged </w:t>
      </w:r>
      <w:r w:rsidRPr="00500BCC" w:rsidR="009B0809">
        <w:br/>
      </w:r>
      <w:r w:rsidRPr="00500BCC" w:rsidR="00170DD6">
        <w:t>Trade Secret Information</w:t>
      </w:r>
      <w:bookmarkEnd w:id="67"/>
      <w:bookmarkEnd w:id="68"/>
      <w:bookmarkEnd w:id="69"/>
    </w:p>
    <w:p w:rsidRPr="00500BCC" w:rsidR="008A57AC" w:rsidP="00257C34" w:rsidRDefault="00257C34" w14:paraId="3ABA784F" w14:textId="7160B830">
      <w:pPr>
        <w:pStyle w:val="standard0"/>
      </w:pPr>
      <w:r w:rsidRPr="00500BCC">
        <w:rPr>
          <w:rFonts w:ascii="Book Antiqua" w:hAnsi="Book Antiqua"/>
        </w:rPr>
        <w:t>Even if the Commission were to find that Lyft had carried its burden of proof and established its trade secret claim</w:t>
      </w:r>
      <w:r w:rsidRPr="00500BCC" w:rsidR="0047009E">
        <w:rPr>
          <w:rFonts w:ascii="Book Antiqua" w:hAnsi="Book Antiqua"/>
        </w:rPr>
        <w:t xml:space="preserve"> for trip data, that in and of itself would not prevent the Commission from disclosing the trip data to the public. That is because there are two statutes that require the Commission to balance the trade secret claim against the strong public policy favoring the disclosure of records in a government agency’s possession. </w:t>
      </w:r>
    </w:p>
    <w:p w:rsidRPr="00500BCC" w:rsidR="008A57AC" w:rsidP="008A3D65" w:rsidRDefault="00257C34" w14:paraId="6BC62C55" w14:textId="770A8DC8">
      <w:pPr>
        <w:pStyle w:val="Heading3"/>
        <w:shd w:val="clear" w:color="auto" w:fill="FFFFFF"/>
        <w:textAlignment w:val="baseline"/>
        <w:rPr>
          <w:rFonts w:ascii="Book Antiqua" w:hAnsi="Book Antiqua"/>
          <w:szCs w:val="26"/>
          <w:u w:val="single"/>
        </w:rPr>
      </w:pPr>
      <w:bookmarkStart w:name="_Toc82193582" w:id="70"/>
      <w:bookmarkStart w:name="_Toc94682545" w:id="71"/>
      <w:bookmarkStart w:name="_Toc102479674" w:id="72"/>
      <w:r w:rsidRPr="00500BCC">
        <w:t xml:space="preserve">Evidence Code </w:t>
      </w:r>
      <w:r w:rsidRPr="00500BCC" w:rsidR="008A57AC">
        <w:t xml:space="preserve">§ </w:t>
      </w:r>
      <w:r w:rsidRPr="00500BCC">
        <w:t>1060</w:t>
      </w:r>
      <w:r w:rsidRPr="00500BCC" w:rsidR="008A57AC">
        <w:t xml:space="preserve"> and the Interplay</w:t>
      </w:r>
      <w:r w:rsidRPr="00500BCC" w:rsidR="009B0809">
        <w:br/>
      </w:r>
      <w:r w:rsidRPr="00500BCC" w:rsidR="008A57AC">
        <w:t>with Government Code § 6254(k)</w:t>
      </w:r>
      <w:bookmarkEnd w:id="70"/>
      <w:bookmarkEnd w:id="71"/>
      <w:bookmarkEnd w:id="72"/>
    </w:p>
    <w:p w:rsidR="000174DB" w:rsidP="008A57AC" w:rsidRDefault="008A57AC" w14:paraId="4435C0A2" w14:textId="5FC49D24">
      <w:pPr>
        <w:pStyle w:val="Standard"/>
      </w:pPr>
      <w:r w:rsidRPr="00500BCC">
        <w:t xml:space="preserve"> Gov. Code § 6254(k) provides an</w:t>
      </w:r>
      <w:r w:rsidRPr="00792367">
        <w:t xml:space="preserve"> exemption for “Records, the disclosure of which is exempted or prohibited by federal or state law, including, but not limited to, provisions of the Evidence Code relating to privilege.”  The Evidence Code includes several privileges that a privilege holder may assert as a basis for refusing to provide evidence and, in certain cases, to prevent others from disclosing</w:t>
      </w:r>
      <w:r w:rsidR="000242BA">
        <w:t xml:space="preserve"> the</w:t>
      </w:r>
      <w:r w:rsidRPr="00792367">
        <w:t xml:space="preserve"> information.  Such evidentiary privileges include the trade secret privilege (Evid</w:t>
      </w:r>
      <w:r>
        <w:t>ence</w:t>
      </w:r>
      <w:r w:rsidRPr="00792367">
        <w:t xml:space="preserve"> Code §</w:t>
      </w:r>
      <w:r w:rsidRPr="00792367" w:rsidR="000242BA">
        <w:t>§</w:t>
      </w:r>
      <w:r w:rsidRPr="00792367">
        <w:t xml:space="preserve"> 1060-1061).  If a state agency determines that certain information is subject to one of these privileges, or similar federal or state laws exempting or prohibiting disclosure, it may withhold information from its response to CPRA requests on the ground that such information is exempt from mandatory disclosure, pursuant to Gov. Code §</w:t>
      </w:r>
      <w:r>
        <w:t> </w:t>
      </w:r>
      <w:r w:rsidRPr="00792367">
        <w:t xml:space="preserve">6254(k).  </w:t>
      </w:r>
    </w:p>
    <w:p w:rsidR="005C2034" w:rsidP="008A57AC" w:rsidRDefault="008A57AC" w14:paraId="2F5B6E74" w14:textId="157B018D">
      <w:pPr>
        <w:pStyle w:val="Standard"/>
        <w:rPr>
          <w:lang w:val="en"/>
        </w:rPr>
      </w:pPr>
      <w:r w:rsidRPr="00792367">
        <w:t xml:space="preserve">However, while evidentiary privileges such as the trade secret privilege are incorporated into the CPRA as potential bases for an agency to assert the Gov. Code </w:t>
      </w:r>
      <w:r w:rsidRPr="00792367">
        <w:rPr>
          <w:lang w:val="en"/>
        </w:rPr>
        <w:t xml:space="preserve">§ 6254(k) exemption, an assertion of the trade secret privilege by an entity that submits information to a governmental agency does not guarantee </w:t>
      </w:r>
      <w:r w:rsidRPr="00792367">
        <w:rPr>
          <w:lang w:val="en"/>
        </w:rPr>
        <w:lastRenderedPageBreak/>
        <w:t>nondisclosure.</w:t>
      </w:r>
      <w:r w:rsidRPr="00792367">
        <w:rPr>
          <w:vertAlign w:val="superscript"/>
          <w:lang w:val="en"/>
        </w:rPr>
        <w:footnoteReference w:id="98"/>
      </w:r>
      <w:r w:rsidRPr="00792367">
        <w:rPr>
          <w:lang w:val="en"/>
        </w:rPr>
        <w:t xml:space="preserve">  </w:t>
      </w:r>
      <w:r w:rsidRPr="00792367">
        <w:t>A party asserting the trade secret privilege under Evid</w:t>
      </w:r>
      <w:r>
        <w:t>ence</w:t>
      </w:r>
      <w:r w:rsidRPr="00792367">
        <w:t xml:space="preserve"> Code § 1060 bears the burden of proving that the information it wishes to keep secret meets all elements in the Civ. Code § 3426.1(d) definition of a “trade secret.”</w:t>
      </w:r>
      <w:r w:rsidRPr="00792367">
        <w:rPr>
          <w:vertAlign w:val="superscript"/>
        </w:rPr>
        <w:footnoteReference w:id="99"/>
      </w:r>
      <w:r w:rsidRPr="00792367">
        <w:t xml:space="preserve">  Evid</w:t>
      </w:r>
      <w:r>
        <w:t>ence</w:t>
      </w:r>
      <w:r w:rsidRPr="00792367">
        <w:t xml:space="preserve"> Code § 1060  provides that: </w:t>
      </w:r>
      <w:r w:rsidR="00D25938">
        <w:t xml:space="preserve"> </w:t>
      </w:r>
      <w:r w:rsidRPr="00792367">
        <w:t xml:space="preserve">“If he or his agent (sic) or employee claims the privilege, the owner of a trade secret has a privilege to refuse to disclose the secret, and to prevent another from disclosing it, if the allowance of the privilege will not tend to conceal fraud or otherwise work injustice.”  Thus, in addition to proving that information falls within the applicable statutory definition of a trade secret, one who wishes to avail </w:t>
      </w:r>
      <w:r w:rsidR="00451403">
        <w:t xml:space="preserve">itself </w:t>
      </w:r>
      <w:r w:rsidRPr="00792367">
        <w:t xml:space="preserve">of the privilege to refuse to disclose, and to prevent another from disclosing, asserted trade secret information, </w:t>
      </w:r>
      <w:r w:rsidR="000174DB">
        <w:t xml:space="preserve">the moving party </w:t>
      </w:r>
      <w:r w:rsidRPr="00792367">
        <w:t>must  prov</w:t>
      </w:r>
      <w:r w:rsidR="000174DB">
        <w:t xml:space="preserve">e </w:t>
      </w:r>
      <w:r w:rsidRPr="00792367">
        <w:t xml:space="preserve"> that </w:t>
      </w:r>
      <w:r w:rsidR="000174DB">
        <w:t xml:space="preserve"> the </w:t>
      </w:r>
      <w:r w:rsidRPr="00792367">
        <w:t xml:space="preserve">“allowance of the privilege will not tend to conceal fraud or otherwise work injustice.” </w:t>
      </w:r>
      <w:r w:rsidRPr="00792367" w:rsidR="00723F5F">
        <w:t xml:space="preserve">If </w:t>
      </w:r>
      <w:r w:rsidR="00723F5F">
        <w:t>the Commission</w:t>
      </w:r>
      <w:r w:rsidRPr="00792367" w:rsidR="00723F5F">
        <w:t xml:space="preserve"> believes th</w:t>
      </w:r>
      <w:r w:rsidR="00451403">
        <w:t>at accepting the claimed privilege will conceal a fraud or work an injustice,</w:t>
      </w:r>
      <w:r w:rsidRPr="00792367" w:rsidR="00723F5F">
        <w:t xml:space="preserve"> it is not required to </w:t>
      </w:r>
      <w:r w:rsidR="00723F5F">
        <w:t>honor</w:t>
      </w:r>
      <w:r w:rsidRPr="00792367" w:rsidR="00723F5F">
        <w:t xml:space="preserve"> the party’s Evid</w:t>
      </w:r>
      <w:r w:rsidR="00723F5F">
        <w:t>ence</w:t>
      </w:r>
      <w:r w:rsidRPr="00792367" w:rsidR="00723F5F">
        <w:t xml:space="preserve"> Code </w:t>
      </w:r>
      <w:r w:rsidRPr="00792367" w:rsidR="00723F5F">
        <w:rPr>
          <w:lang w:val="en"/>
        </w:rPr>
        <w:t xml:space="preserve">§ 1060 </w:t>
      </w:r>
      <w:r w:rsidRPr="00792367" w:rsidR="00723F5F">
        <w:t>trade secret privilege claim.</w:t>
      </w:r>
      <w:r w:rsidR="004C602B">
        <w:rPr>
          <w:rStyle w:val="FootnoteReference"/>
        </w:rPr>
        <w:footnoteReference w:id="100"/>
      </w:r>
      <w:r w:rsidRPr="00792367" w:rsidR="00723F5F">
        <w:t xml:space="preserve">  </w:t>
      </w:r>
      <w:r w:rsidRPr="00792367">
        <w:t xml:space="preserve">    </w:t>
      </w:r>
      <w:r w:rsidR="0074687F">
        <w:rPr>
          <w:lang w:val="en"/>
        </w:rPr>
        <w:t xml:space="preserve">Application of the foregoing test to the instant </w:t>
      </w:r>
      <w:r w:rsidRPr="00DA0ADF" w:rsidR="0074687F">
        <w:rPr>
          <w:i/>
          <w:iCs/>
          <w:lang w:val="en"/>
        </w:rPr>
        <w:t>Appeal</w:t>
      </w:r>
      <w:r w:rsidR="0074687F">
        <w:rPr>
          <w:lang w:val="en"/>
        </w:rPr>
        <w:t xml:space="preserve"> leads the Commission to conclude that concealing Lyft’s alleged trade secret protected trip data would work an injustice</w:t>
      </w:r>
      <w:r w:rsidR="005C2034">
        <w:rPr>
          <w:lang w:val="en"/>
        </w:rPr>
        <w:t xml:space="preserve"> as there is a strong public interest in obtaining trip data</w:t>
      </w:r>
      <w:r w:rsidR="0074687F">
        <w:rPr>
          <w:lang w:val="en"/>
        </w:rPr>
        <w:t xml:space="preserve">. </w:t>
      </w:r>
      <w:r w:rsidR="00D25938">
        <w:rPr>
          <w:lang w:val="en"/>
        </w:rPr>
        <w:t xml:space="preserve"> </w:t>
      </w:r>
      <w:r w:rsidR="005C2034">
        <w:rPr>
          <w:lang w:val="en"/>
        </w:rPr>
        <w:t xml:space="preserve">As the </w:t>
      </w:r>
      <w:r w:rsidRPr="005C2034" w:rsidR="005C2034">
        <w:rPr>
          <w:i/>
          <w:iCs/>
          <w:lang w:val="en"/>
        </w:rPr>
        <w:t>Ruling</w:t>
      </w:r>
      <w:r w:rsidR="005C2034">
        <w:rPr>
          <w:lang w:val="en"/>
        </w:rPr>
        <w:t xml:space="preserve"> found: </w:t>
      </w:r>
    </w:p>
    <w:p w:rsidR="0074687F" w:rsidP="0080449A" w:rsidRDefault="005C2034" w14:paraId="402FF709" w14:textId="402B9900">
      <w:pPr>
        <w:pStyle w:val="Standard"/>
        <w:spacing w:after="120" w:line="240" w:lineRule="auto"/>
        <w:ind w:left="720" w:right="1440" w:firstLine="0"/>
        <w:rPr>
          <w:lang w:val="en"/>
        </w:rPr>
      </w:pPr>
      <w:r>
        <w:rPr>
          <w:lang w:val="en"/>
        </w:rPr>
        <w:t xml:space="preserve">There is a public interest in learning when riders are in operation and when trips are accepted or rejected. </w:t>
      </w:r>
      <w:r w:rsidR="0080449A">
        <w:rPr>
          <w:lang w:val="en"/>
        </w:rPr>
        <w:t xml:space="preserve"> </w:t>
      </w:r>
      <w:r>
        <w:rPr>
          <w:lang w:val="en"/>
        </w:rPr>
        <w:t xml:space="preserve">Public </w:t>
      </w:r>
      <w:r>
        <w:rPr>
          <w:lang w:val="en"/>
        </w:rPr>
        <w:lastRenderedPageBreak/>
        <w:t xml:space="preserve">entities have an interest in knowing how many drivers are in operation on their rides for the planning purposes identified above, and would also want  to know the number of times and when rides are accepted or rejected to determine if the TNC ride service is being provided to all neighborhoods in a nondiscriminatory manner. </w:t>
      </w:r>
      <w:r w:rsidR="0080449A">
        <w:rPr>
          <w:lang w:val="en"/>
        </w:rPr>
        <w:t xml:space="preserve"> </w:t>
      </w:r>
      <w:r>
        <w:rPr>
          <w:lang w:val="en"/>
        </w:rPr>
        <w:t>County district attorneys or the state attorney general may want to use this data to bring the necessary enforcement actions in civil court.</w:t>
      </w:r>
      <w:r w:rsidR="000367ED">
        <w:rPr>
          <w:rStyle w:val="FootnoteReference"/>
          <w:lang w:val="en"/>
        </w:rPr>
        <w:footnoteReference w:id="101"/>
      </w:r>
    </w:p>
    <w:p w:rsidR="000367ED" w:rsidP="000367ED" w:rsidRDefault="000367ED" w14:paraId="1DD5B49A" w14:textId="5850A079">
      <w:pPr>
        <w:pStyle w:val="Standard"/>
        <w:ind w:firstLine="0"/>
        <w:rPr>
          <w:lang w:val="en"/>
        </w:rPr>
      </w:pPr>
      <w:r>
        <w:rPr>
          <w:lang w:val="en"/>
        </w:rPr>
        <w:t xml:space="preserve">The planning purposes that the </w:t>
      </w:r>
      <w:r w:rsidRPr="000367ED">
        <w:rPr>
          <w:i/>
          <w:iCs/>
          <w:lang w:val="en"/>
        </w:rPr>
        <w:t>Ruling</w:t>
      </w:r>
      <w:r>
        <w:rPr>
          <w:lang w:val="en"/>
        </w:rPr>
        <w:t xml:space="preserve"> referenced are those identified in the Comments from the San Francisco Municipal Transit Agency, San Francisco County Transportation Authority, San Francisco City Attorney’s Office, and the San Francisco International Airport </w:t>
      </w:r>
      <w:r w:rsidRPr="000367ED">
        <w:rPr>
          <w:i/>
          <w:iCs/>
          <w:lang w:val="en"/>
        </w:rPr>
        <w:t>Opening Comments on Proposed Decision Re; Data Confidentiality Issues:</w:t>
      </w:r>
      <w:r>
        <w:rPr>
          <w:lang w:val="en"/>
        </w:rPr>
        <w:t xml:space="preserve"> trip data information is relevant in determining the impact of TNC services on their infrastructure, environmental impacts, traffic patterns, and the overall quiet enjoyment of their cities and counties.</w:t>
      </w:r>
      <w:r>
        <w:rPr>
          <w:rStyle w:val="FootnoteReference"/>
          <w:lang w:val="en"/>
        </w:rPr>
        <w:footnoteReference w:id="102"/>
      </w:r>
      <w:r w:rsidR="003E093A">
        <w:rPr>
          <w:lang w:val="en"/>
        </w:rPr>
        <w:t xml:space="preserve"> </w:t>
      </w:r>
      <w:r w:rsidR="00056708">
        <w:rPr>
          <w:lang w:val="en"/>
        </w:rPr>
        <w:t xml:space="preserve"> </w:t>
      </w:r>
      <w:r w:rsidR="003E093A">
        <w:rPr>
          <w:lang w:val="en"/>
        </w:rPr>
        <w:t>In fact, Lyft put the question of the environmental and infrastructure benefits of TNC rides as basis for allowing them to operate when Lyft filed its initial Comments in this proceeding:</w:t>
      </w:r>
    </w:p>
    <w:p w:rsidR="000367ED" w:rsidP="0080449A" w:rsidRDefault="003E093A" w14:paraId="736A9B5C" w14:textId="582C96B7">
      <w:pPr>
        <w:pStyle w:val="Standard"/>
        <w:spacing w:after="120" w:line="240" w:lineRule="auto"/>
        <w:ind w:left="720" w:right="1440" w:firstLine="0"/>
        <w:rPr>
          <w:lang w:val="en"/>
        </w:rPr>
      </w:pPr>
      <w:r w:rsidRPr="003E093A">
        <w:t xml:space="preserve">Giving people viable and convenient alternatives in transportation – as a complement to public transit, taxis, carsharing, carpooling, etc. – is the critical element that makes reduced individual car ownership and use of single occupancy vehicles achievable. </w:t>
      </w:r>
      <w:r w:rsidR="0080449A">
        <w:t xml:space="preserve"> </w:t>
      </w:r>
      <w:r w:rsidRPr="003E093A">
        <w:t xml:space="preserve">For platform-based communities to reach the critical mass tipping point at which they can significantly contribute to reduction of urban congestion, greenhouse gas emissions, and other problems caused by single-occupant driving, such communities must be </w:t>
      </w:r>
      <w:r w:rsidRPr="003E093A">
        <w:lastRenderedPageBreak/>
        <w:t>allowed to develop and flourish without unnecessary or ill</w:t>
      </w:r>
      <w:r w:rsidR="0080449A">
        <w:noBreakHyphen/>
      </w:r>
      <w:r w:rsidRPr="003E093A">
        <w:t>fitting regulatory barriers</w:t>
      </w:r>
      <w:r>
        <w:t>.</w:t>
      </w:r>
      <w:r>
        <w:rPr>
          <w:rStyle w:val="FootnoteReference"/>
        </w:rPr>
        <w:footnoteReference w:id="103"/>
      </w:r>
    </w:p>
    <w:p w:rsidR="000367ED" w:rsidP="003E093A" w:rsidRDefault="003E093A" w14:paraId="63BEFBFB" w14:textId="64539DB3">
      <w:pPr>
        <w:pStyle w:val="Standard"/>
        <w:ind w:firstLine="0"/>
        <w:rPr>
          <w:lang w:val="en"/>
        </w:rPr>
      </w:pPr>
      <w:r>
        <w:rPr>
          <w:lang w:val="en"/>
        </w:rPr>
        <w:t>It would not be surprising for local government entities to want access to the trip data to evaluate whether the claimed environmental and infrastructure benefits from allowing TNC vehicles to operate have been realized.</w:t>
      </w:r>
      <w:r w:rsidR="00130CB9">
        <w:rPr>
          <w:lang w:val="en"/>
        </w:rPr>
        <w:t xml:space="preserve"> </w:t>
      </w:r>
      <w:r w:rsidR="00056708">
        <w:rPr>
          <w:lang w:val="en"/>
        </w:rPr>
        <w:t xml:space="preserve"> </w:t>
      </w:r>
      <w:r w:rsidR="00130CB9">
        <w:rPr>
          <w:lang w:val="en"/>
        </w:rPr>
        <w:t>In fact, the San</w:t>
      </w:r>
      <w:r w:rsidR="00056708">
        <w:rPr>
          <w:lang w:val="en"/>
        </w:rPr>
        <w:t> </w:t>
      </w:r>
      <w:r w:rsidR="00130CB9">
        <w:rPr>
          <w:lang w:val="en"/>
        </w:rPr>
        <w:t>Francisco Municipal Transportation made such an argument in its comments on Issue Track 3—Trip Data:</w:t>
      </w:r>
    </w:p>
    <w:p w:rsidR="00130CB9" w:rsidP="0080449A" w:rsidRDefault="00130CB9" w14:paraId="53DCE298" w14:textId="37A458D9">
      <w:pPr>
        <w:pStyle w:val="Standard"/>
        <w:spacing w:after="120" w:line="240" w:lineRule="auto"/>
        <w:ind w:left="720" w:right="1440" w:firstLine="0"/>
        <w:rPr>
          <w:lang w:val="en"/>
        </w:rPr>
      </w:pPr>
      <w:r w:rsidRPr="00130CB9">
        <w:t xml:space="preserve">San Francisco’s transportation planners need TNC trip data to perform their duties. </w:t>
      </w:r>
      <w:r w:rsidR="0080449A">
        <w:t xml:space="preserve"> </w:t>
      </w:r>
      <w:r w:rsidRPr="00130CB9">
        <w:t xml:space="preserve">Under the City’s charter, SFMTA has a responsibility to the general public to plan the transportation infrastructure for the future, manage congestion, and manage curb space appropriately. </w:t>
      </w:r>
      <w:r w:rsidR="0080449A">
        <w:t xml:space="preserve"> </w:t>
      </w:r>
      <w:r w:rsidRPr="00130CB9">
        <w:t xml:space="preserve">Without TNC data, SFMTA transportation planners must rely instead on anecdotal information to fill the gap, but such information does not present an accurate depiction of conditions on the ground. Creating public policy on factual, real time data, is clearly preferable. </w:t>
      </w:r>
      <w:r w:rsidR="0080449A">
        <w:t xml:space="preserve"> </w:t>
      </w:r>
      <w:r w:rsidRPr="00130CB9">
        <w:t xml:space="preserve">Here, the CPUC already requires TNCs to report much of the relevant data. </w:t>
      </w:r>
      <w:r w:rsidR="0080449A">
        <w:t xml:space="preserve"> </w:t>
      </w:r>
      <w:r w:rsidRPr="00130CB9">
        <w:t>Sound public policy requires the CPUC to make it available to allow local jurisdictions to make intelligent, supported transportation planning decisions for the benefit of all Californian</w:t>
      </w:r>
      <w:r>
        <w:t>s.</w:t>
      </w:r>
    </w:p>
    <w:p w:rsidR="00471EDF" w:rsidP="00130CB9" w:rsidRDefault="00130CB9" w14:paraId="3E3CF4BB" w14:textId="18C79DC6">
      <w:pPr>
        <w:pStyle w:val="Standard"/>
        <w:ind w:firstLine="0"/>
        <w:rPr>
          <w:lang w:val="en"/>
        </w:rPr>
      </w:pPr>
      <w:r>
        <w:rPr>
          <w:lang w:val="en"/>
        </w:rPr>
        <w:t xml:space="preserve">In its </w:t>
      </w:r>
      <w:r w:rsidRPr="00130CB9">
        <w:rPr>
          <w:i/>
          <w:iCs/>
          <w:lang w:val="en"/>
        </w:rPr>
        <w:t>Appeal</w:t>
      </w:r>
      <w:r>
        <w:rPr>
          <w:lang w:val="en"/>
        </w:rPr>
        <w:t xml:space="preserve">, Lyft does not challenge the validity of the claims of municipalities for access to trip data that the </w:t>
      </w:r>
      <w:r w:rsidRPr="00130CB9">
        <w:rPr>
          <w:i/>
          <w:iCs/>
          <w:lang w:val="en"/>
        </w:rPr>
        <w:t>Ruling</w:t>
      </w:r>
      <w:r>
        <w:rPr>
          <w:lang w:val="en"/>
        </w:rPr>
        <w:t xml:space="preserve"> cited. </w:t>
      </w:r>
    </w:p>
    <w:p w:rsidR="00CF293E" w:rsidP="00CF293E" w:rsidRDefault="00CF293E" w14:paraId="39FC126E" w14:textId="25EEDFE7">
      <w:pPr>
        <w:pStyle w:val="Standard"/>
        <w:rPr>
          <w:lang w:val="en"/>
        </w:rPr>
      </w:pPr>
      <w:r>
        <w:rPr>
          <w:lang w:val="en"/>
        </w:rPr>
        <w:t xml:space="preserve"> </w:t>
      </w:r>
      <w:r w:rsidR="001E659F">
        <w:rPr>
          <w:lang w:val="en"/>
        </w:rPr>
        <w:t>I</w:t>
      </w:r>
      <w:r>
        <w:rPr>
          <w:lang w:val="en"/>
        </w:rPr>
        <w:t xml:space="preserve">n a recent California decision, the Court of Appeal recognized a municipality’s interest in obtaining a TNC’s trip data goes beyond environmental and infrastructure matters.  In </w:t>
      </w:r>
      <w:r w:rsidRPr="003E093A">
        <w:rPr>
          <w:i/>
          <w:iCs/>
          <w:lang w:val="en"/>
        </w:rPr>
        <w:t>City and County of San Francisco v. Uber Technologies, Inc.</w:t>
      </w:r>
      <w:r>
        <w:rPr>
          <w:lang w:val="en"/>
        </w:rPr>
        <w:t xml:space="preserve"> (2019)</w:t>
      </w:r>
      <w:r w:rsidR="00427F1B">
        <w:rPr>
          <w:lang w:val="en"/>
        </w:rPr>
        <w:t xml:space="preserve"> 36 </w:t>
      </w:r>
      <w:r>
        <w:rPr>
          <w:lang w:val="en"/>
        </w:rPr>
        <w:t>Cal.App.5</w:t>
      </w:r>
      <w:r w:rsidRPr="003E093A">
        <w:rPr>
          <w:vertAlign w:val="superscript"/>
          <w:lang w:val="en"/>
        </w:rPr>
        <w:t>th</w:t>
      </w:r>
      <w:r w:rsidR="00427F1B">
        <w:rPr>
          <w:vertAlign w:val="superscript"/>
          <w:lang w:val="en"/>
        </w:rPr>
        <w:t xml:space="preserve">  </w:t>
      </w:r>
      <w:r w:rsidR="00427F1B">
        <w:rPr>
          <w:lang w:val="en"/>
        </w:rPr>
        <w:t>66</w:t>
      </w:r>
      <w:r>
        <w:rPr>
          <w:lang w:val="en"/>
        </w:rPr>
        <w:t>,</w:t>
      </w:r>
      <w:r w:rsidR="003C5D64">
        <w:rPr>
          <w:lang w:val="en"/>
        </w:rPr>
        <w:t xml:space="preserve"> 73-74,</w:t>
      </w:r>
      <w:r>
        <w:rPr>
          <w:lang w:val="en"/>
        </w:rPr>
        <w:t xml:space="preserve"> the Court acknowledged that the San Francisco City Attorney has a broad right to investigate when it suspects an entity operating withing its jurisdiction is violating the law, cit</w:t>
      </w:r>
      <w:r w:rsidR="001E659F">
        <w:rPr>
          <w:lang w:val="en"/>
        </w:rPr>
        <w:t>ing</w:t>
      </w:r>
      <w:r>
        <w:rPr>
          <w:lang w:val="en"/>
        </w:rPr>
        <w:t xml:space="preserve"> </w:t>
      </w:r>
      <w:r w:rsidRPr="00A6208D">
        <w:rPr>
          <w:lang w:val="en"/>
        </w:rPr>
        <w:t>to</w:t>
      </w:r>
      <w:r w:rsidRPr="00AB56DA">
        <w:rPr>
          <w:i/>
          <w:iCs/>
          <w:lang w:val="en"/>
        </w:rPr>
        <w:t xml:space="preserve"> </w:t>
      </w:r>
      <w:r w:rsidRPr="00AB56DA">
        <w:rPr>
          <w:i/>
          <w:iCs/>
          <w:lang w:val="en"/>
        </w:rPr>
        <w:lastRenderedPageBreak/>
        <w:t>California Restaurant Assn. v. Henning</w:t>
      </w:r>
      <w:r>
        <w:rPr>
          <w:lang w:val="en"/>
        </w:rPr>
        <w:t xml:space="preserve"> (1985) 173 Cal.App.3d 1069, 1075. </w:t>
      </w:r>
      <w:r w:rsidR="00056708">
        <w:rPr>
          <w:lang w:val="en"/>
        </w:rPr>
        <w:t xml:space="preserve"> </w:t>
      </w:r>
      <w:r>
        <w:rPr>
          <w:lang w:val="en"/>
        </w:rPr>
        <w:t>The San</w:t>
      </w:r>
      <w:r w:rsidR="00056708">
        <w:rPr>
          <w:lang w:val="en"/>
        </w:rPr>
        <w:t> </w:t>
      </w:r>
      <w:r>
        <w:rPr>
          <w:lang w:val="en"/>
        </w:rPr>
        <w:t xml:space="preserve">Francisco City Attorney claims it began its TNC investigation to determine: </w:t>
      </w:r>
    </w:p>
    <w:p w:rsidR="00CF293E" w:rsidP="00DB0DFE" w:rsidRDefault="00CF293E" w14:paraId="165BCB0C" w14:textId="77777777">
      <w:pPr>
        <w:pStyle w:val="Standard"/>
        <w:numPr>
          <w:ilvl w:val="0"/>
          <w:numId w:val="12"/>
        </w:numPr>
        <w:spacing w:after="120" w:line="240" w:lineRule="auto"/>
        <w:ind w:left="1080" w:right="1440"/>
        <w:rPr>
          <w:lang w:val="en"/>
        </w:rPr>
      </w:pPr>
      <w:r>
        <w:rPr>
          <w:lang w:val="en"/>
        </w:rPr>
        <w:t>Whether Uber was violating the law in several areas relating to unsafe driving and illegal parking, the congestion and volume of Uber vehicles, inequality of access and treatment of passengers, and the distance driven by Uber drivers prior to commencing a shift, after media reports that Uber incentivizes drivers to drive as much as 200 miles or more before driving for an additional 12 to 16 hours, crowding the City’s streets with unfamiliar and fatigued drivers.</w:t>
      </w:r>
    </w:p>
    <w:p w:rsidR="00CF293E" w:rsidP="00DB0DFE" w:rsidRDefault="00CF293E" w14:paraId="5A8950F7" w14:textId="77777777">
      <w:pPr>
        <w:pStyle w:val="Standard"/>
        <w:numPr>
          <w:ilvl w:val="0"/>
          <w:numId w:val="12"/>
        </w:numPr>
        <w:spacing w:after="120" w:line="240" w:lineRule="auto"/>
        <w:ind w:left="1080" w:right="1440"/>
        <w:rPr>
          <w:lang w:val="en"/>
        </w:rPr>
      </w:pPr>
      <w:r>
        <w:rPr>
          <w:lang w:val="en"/>
        </w:rPr>
        <w:t>Whether Uber was violating California nuisance law, Civil Code §3479, since the number of TNC vehicles might obstruct the free use of property so as to interfere with the comfortable enjoyment of life or property, or unlawfully obstruct the free passage or use, in the customary manner, of any public park, square, street, or highway.</w:t>
      </w:r>
    </w:p>
    <w:p w:rsidR="00CF293E" w:rsidP="00DB0DFE" w:rsidRDefault="00CF293E" w14:paraId="60F40A1E" w14:textId="77777777">
      <w:pPr>
        <w:pStyle w:val="Standard"/>
        <w:numPr>
          <w:ilvl w:val="0"/>
          <w:numId w:val="12"/>
        </w:numPr>
        <w:spacing w:after="120" w:line="240" w:lineRule="auto"/>
        <w:ind w:left="1080" w:right="1440"/>
        <w:rPr>
          <w:lang w:val="en"/>
        </w:rPr>
      </w:pPr>
      <w:r>
        <w:rPr>
          <w:lang w:val="en"/>
        </w:rPr>
        <w:t>Whether Uber was failing to provide adequate accommodations for disabled riders and, possibly, in violation of the Unruh Civil Rights Acts (Civil Code §51, subd. (b) and Civil Code §54) and other state laws protecting individuals with disabilities.</w:t>
      </w:r>
    </w:p>
    <w:p w:rsidR="00CF293E" w:rsidP="00DB0DFE" w:rsidRDefault="00CF293E" w14:paraId="0D34FA71" w14:textId="187BB53B">
      <w:pPr>
        <w:pStyle w:val="Standard"/>
        <w:numPr>
          <w:ilvl w:val="0"/>
          <w:numId w:val="12"/>
        </w:numPr>
        <w:spacing w:after="120" w:line="240" w:lineRule="auto"/>
        <w:ind w:left="1080" w:right="1440"/>
        <w:rPr>
          <w:lang w:val="en"/>
        </w:rPr>
      </w:pPr>
      <w:r>
        <w:rPr>
          <w:lang w:val="en"/>
        </w:rPr>
        <w:t>Whether Uber was underpaying its drivers and thereby violating San Francisco’s independent minimum compensation ordinance (S.F. Administrative Code, ch.</w:t>
      </w:r>
      <w:r w:rsidR="00056708">
        <w:rPr>
          <w:lang w:val="en"/>
        </w:rPr>
        <w:t> </w:t>
      </w:r>
      <w:r>
        <w:rPr>
          <w:lang w:val="en"/>
        </w:rPr>
        <w:t>12V).</w:t>
      </w:r>
      <w:r w:rsidR="003C5D64">
        <w:rPr>
          <w:rStyle w:val="FootnoteReference"/>
          <w:lang w:val="en"/>
        </w:rPr>
        <w:footnoteReference w:id="104"/>
      </w:r>
    </w:p>
    <w:p w:rsidR="00CF293E" w:rsidP="00CF293E" w:rsidRDefault="00CF293E" w14:paraId="447876D9" w14:textId="5CE46755">
      <w:pPr>
        <w:pStyle w:val="Standard"/>
        <w:ind w:firstLine="0"/>
        <w:rPr>
          <w:lang w:val="en"/>
        </w:rPr>
      </w:pPr>
      <w:r>
        <w:rPr>
          <w:lang w:val="en"/>
        </w:rPr>
        <w:t>The Court found that the administrative subpoena seeking Uber’s Annual Reports submitted to the Commission from 2013 to 2017, as well as the raw data the reports were based, was relevant to the City’s investigations into possible violations of the law:</w:t>
      </w:r>
    </w:p>
    <w:p w:rsidR="00CF293E" w:rsidP="0080449A" w:rsidRDefault="00CF293E" w14:paraId="5C744CB4" w14:textId="3496D4CB">
      <w:pPr>
        <w:pStyle w:val="Standard"/>
        <w:spacing w:after="120" w:line="240" w:lineRule="auto"/>
        <w:ind w:left="720" w:right="1440" w:firstLine="0"/>
        <w:rPr>
          <w:lang w:val="en"/>
        </w:rPr>
      </w:pPr>
      <w:r>
        <w:rPr>
          <w:lang w:val="en"/>
        </w:rPr>
        <w:t xml:space="preserve">The CPUC reports requests are reasonably relevant to the City’s investigation of possible violation of state and </w:t>
      </w:r>
      <w:r>
        <w:rPr>
          <w:lang w:val="en"/>
        </w:rPr>
        <w:lastRenderedPageBreak/>
        <w:t xml:space="preserve">municipal laws by Uber. </w:t>
      </w:r>
      <w:r w:rsidR="0080449A">
        <w:rPr>
          <w:lang w:val="en"/>
        </w:rPr>
        <w:t xml:space="preserve"> </w:t>
      </w:r>
      <w:r>
        <w:rPr>
          <w:lang w:val="en"/>
        </w:rPr>
        <w:t xml:space="preserve">(citation omitted.) </w:t>
      </w:r>
      <w:r w:rsidR="0080449A">
        <w:rPr>
          <w:lang w:val="en"/>
        </w:rPr>
        <w:t xml:space="preserve"> </w:t>
      </w:r>
      <w:r>
        <w:rPr>
          <w:lang w:val="en"/>
        </w:rPr>
        <w:t xml:space="preserve">The CPUC reports contain information and data regarding safety problems with drivers, as well as hours and miles logged by drivers, which are relevant to the City Attorney’s investigation of safety hazards, parking violations, and other possible violation of state nuisance law. </w:t>
      </w:r>
      <w:r w:rsidR="0080449A">
        <w:rPr>
          <w:lang w:val="en"/>
        </w:rPr>
        <w:t xml:space="preserve"> </w:t>
      </w:r>
      <w:r>
        <w:rPr>
          <w:lang w:val="en"/>
        </w:rPr>
        <w:t>The accessibility plans and the data on providing accessible vehicles included in the CPUC reports are clearly relevant to the City Attorney’s investigation of possible violations of state law protections for individuals with disabilities.</w:t>
      </w:r>
    </w:p>
    <w:p w:rsidR="00CF293E" w:rsidP="00A6208D" w:rsidRDefault="00CF293E" w14:paraId="3CFC66AF" w14:textId="71D1BA62">
      <w:pPr>
        <w:pStyle w:val="Standard"/>
        <w:rPr>
          <w:lang w:val="en"/>
        </w:rPr>
      </w:pPr>
      <w:r>
        <w:rPr>
          <w:lang w:val="en"/>
        </w:rPr>
        <w:t>The Commission finds that public entities would also be interested in Lyft’s trip data for all the foregoing reasons</w:t>
      </w:r>
      <w:r w:rsidR="004C602B">
        <w:rPr>
          <w:lang w:val="en"/>
        </w:rPr>
        <w:t>, and it would result in an injustice to deny the public access to this trip data</w:t>
      </w:r>
      <w:r>
        <w:rPr>
          <w:lang w:val="en"/>
        </w:rPr>
        <w:t xml:space="preserve">. </w:t>
      </w:r>
      <w:r w:rsidR="00056708">
        <w:rPr>
          <w:lang w:val="en"/>
        </w:rPr>
        <w:t xml:space="preserve"> </w:t>
      </w:r>
      <w:r>
        <w:rPr>
          <w:lang w:val="en"/>
        </w:rPr>
        <w:t xml:space="preserve">Lyft is </w:t>
      </w:r>
      <w:r w:rsidR="004C602B">
        <w:rPr>
          <w:lang w:val="en"/>
        </w:rPr>
        <w:t xml:space="preserve">one of </w:t>
      </w:r>
      <w:r>
        <w:rPr>
          <w:lang w:val="en"/>
        </w:rPr>
        <w:t>the largest TNC</w:t>
      </w:r>
      <w:r w:rsidR="004C602B">
        <w:rPr>
          <w:lang w:val="en"/>
        </w:rPr>
        <w:t>s</w:t>
      </w:r>
      <w:r>
        <w:rPr>
          <w:lang w:val="en"/>
        </w:rPr>
        <w:t xml:space="preserve"> operating in California</w:t>
      </w:r>
      <w:r w:rsidR="004C602B">
        <w:rPr>
          <w:lang w:val="en"/>
        </w:rPr>
        <w:t>,</w:t>
      </w:r>
      <w:r>
        <w:rPr>
          <w:lang w:val="en"/>
        </w:rPr>
        <w:t xml:space="preserve"> so its reach and impact on municipalities where it conducts business is no doubt pervasive. </w:t>
      </w:r>
      <w:r w:rsidR="00056708">
        <w:rPr>
          <w:lang w:val="en"/>
        </w:rPr>
        <w:t xml:space="preserve"> </w:t>
      </w:r>
      <w:r>
        <w:rPr>
          <w:lang w:val="en"/>
        </w:rPr>
        <w:t xml:space="preserve">Several  investigations into whether a TNC such as Lyft is operating in violation of various state and local laws would be stymied if governmental entities could not review the relevant trip data. </w:t>
      </w:r>
      <w:r w:rsidR="00A85462">
        <w:rPr>
          <w:lang w:val="en"/>
        </w:rPr>
        <w:t xml:space="preserve"> </w:t>
      </w:r>
      <w:r>
        <w:rPr>
          <w:lang w:val="en"/>
        </w:rPr>
        <w:t>Accordingly, assuming that the trip data was a trade secret, keeping that trip data private is outweighed by the injustice inflicted on governmental entities who would be denied access to trip data.</w:t>
      </w:r>
    </w:p>
    <w:p w:rsidR="000C7023" w:rsidP="00471EDF" w:rsidRDefault="00CF293E" w14:paraId="2A976889" w14:textId="717C5897">
      <w:pPr>
        <w:pStyle w:val="Standard"/>
        <w:rPr>
          <w:lang w:val="en"/>
        </w:rPr>
      </w:pPr>
      <w:r>
        <w:rPr>
          <w:lang w:val="en"/>
        </w:rPr>
        <w:t>Rather than challenge other government agencies’ interests in obtain</w:t>
      </w:r>
      <w:r w:rsidR="00DA0ADF">
        <w:rPr>
          <w:lang w:val="en"/>
        </w:rPr>
        <w:t>ing</w:t>
      </w:r>
      <w:r>
        <w:rPr>
          <w:lang w:val="en"/>
        </w:rPr>
        <w:t xml:space="preserve"> trip data, </w:t>
      </w:r>
      <w:r w:rsidR="00130CB9">
        <w:rPr>
          <w:lang w:val="en"/>
        </w:rPr>
        <w:t>Lyft claims, incorrectly, that the fact that other government agencies “might find Lyft’s data useful for various purposes cannot justify denying confidential treatment to that data—and indeed cannot even be considered under the CPRA.”</w:t>
      </w:r>
      <w:r w:rsidR="00130CB9">
        <w:rPr>
          <w:rStyle w:val="FootnoteReference"/>
          <w:lang w:val="en"/>
        </w:rPr>
        <w:footnoteReference w:id="105"/>
      </w:r>
      <w:r w:rsidR="00471EDF">
        <w:rPr>
          <w:lang w:val="en"/>
        </w:rPr>
        <w:t xml:space="preserve"> </w:t>
      </w:r>
      <w:r w:rsidR="00056708">
        <w:rPr>
          <w:lang w:val="en"/>
        </w:rPr>
        <w:t xml:space="preserve"> </w:t>
      </w:r>
      <w:r w:rsidR="00471EDF">
        <w:rPr>
          <w:lang w:val="en"/>
        </w:rPr>
        <w:t xml:space="preserve">The statement that Lyft quotes from </w:t>
      </w:r>
      <w:r w:rsidRPr="00471EDF" w:rsidR="00471EDF">
        <w:rPr>
          <w:i/>
          <w:iCs/>
          <w:lang w:val="en"/>
        </w:rPr>
        <w:t>City of San Jose v. Superior Court</w:t>
      </w:r>
      <w:r w:rsidR="00471EDF">
        <w:rPr>
          <w:lang w:val="en"/>
        </w:rPr>
        <w:t xml:space="preserve"> (1999) 74 Cal.Ap</w:t>
      </w:r>
      <w:r w:rsidR="00020482">
        <w:rPr>
          <w:lang w:val="en"/>
        </w:rPr>
        <w:t>p</w:t>
      </w:r>
      <w:r w:rsidR="00471EDF">
        <w:rPr>
          <w:lang w:val="en"/>
        </w:rPr>
        <w:t>.4</w:t>
      </w:r>
      <w:r w:rsidRPr="00471EDF" w:rsidR="00471EDF">
        <w:rPr>
          <w:vertAlign w:val="superscript"/>
          <w:lang w:val="en"/>
        </w:rPr>
        <w:t>th</w:t>
      </w:r>
      <w:r w:rsidR="00471EDF">
        <w:rPr>
          <w:lang w:val="en"/>
        </w:rPr>
        <w:t xml:space="preserve"> 1008, 1018 </w:t>
      </w:r>
      <w:r w:rsidR="00D86CE8">
        <w:rPr>
          <w:lang w:val="en"/>
        </w:rPr>
        <w:t xml:space="preserve">is one </w:t>
      </w:r>
      <w:r w:rsidR="000C7023">
        <w:rPr>
          <w:lang w:val="en"/>
        </w:rPr>
        <w:t>where the Court construed</w:t>
      </w:r>
      <w:r w:rsidR="00471EDF">
        <w:rPr>
          <w:lang w:val="en"/>
        </w:rPr>
        <w:t xml:space="preserve"> </w:t>
      </w:r>
      <w:r w:rsidR="000C7023">
        <w:rPr>
          <w:lang w:val="en"/>
        </w:rPr>
        <w:t>the application of Government Code §6255</w:t>
      </w:r>
      <w:r w:rsidR="00DE0A7A">
        <w:rPr>
          <w:lang w:val="en"/>
        </w:rPr>
        <w:t>(a)</w:t>
      </w:r>
      <w:r w:rsidR="000C7023">
        <w:rPr>
          <w:lang w:val="en"/>
        </w:rPr>
        <w:t xml:space="preserve"> which states:</w:t>
      </w:r>
      <w:r w:rsidRPr="000C7023" w:rsidR="000C7023">
        <w:rPr>
          <w:lang w:val="en"/>
        </w:rPr>
        <w:t xml:space="preserve"> </w:t>
      </w:r>
    </w:p>
    <w:p w:rsidR="000C7023" w:rsidP="0080449A" w:rsidRDefault="000C7023" w14:paraId="12BA8B44" w14:textId="7B1E98F5">
      <w:pPr>
        <w:pStyle w:val="Standard"/>
        <w:spacing w:after="120" w:line="240" w:lineRule="auto"/>
        <w:ind w:left="720" w:right="1440" w:firstLine="0"/>
        <w:rPr>
          <w:lang w:val="en"/>
        </w:rPr>
      </w:pPr>
      <w:r w:rsidRPr="000C7023">
        <w:lastRenderedPageBreak/>
        <w:t xml:space="preserve">The </w:t>
      </w:r>
      <w:r w:rsidRPr="00A6208D">
        <w:t>agency</w:t>
      </w:r>
      <w:r w:rsidRPr="000C7023">
        <w:t xml:space="preserve"> shall justify withholding any record by demonstrating that the record in question is exempt under express provisions of this chapter or that on the facts of the particular case the public interest served by not disclosing the record clearly outweighs the public interest served by disclosure of the record.</w:t>
      </w:r>
      <w:r>
        <w:t xml:space="preserve"> </w:t>
      </w:r>
      <w:r w:rsidR="0080449A">
        <w:t xml:space="preserve"> </w:t>
      </w:r>
    </w:p>
    <w:p w:rsidR="00130CB9" w:rsidP="00D86CE8" w:rsidRDefault="00D86CE8" w14:paraId="2F404EAF" w14:textId="1885A975">
      <w:pPr>
        <w:pStyle w:val="Standard"/>
        <w:ind w:firstLine="0"/>
        <w:rPr>
          <w:lang w:val="en"/>
        </w:rPr>
      </w:pPr>
      <w:r>
        <w:t xml:space="preserve">The </w:t>
      </w:r>
      <w:r w:rsidRPr="00D86CE8">
        <w:t>City</w:t>
      </w:r>
      <w:r>
        <w:t xml:space="preserve"> of San Jose</w:t>
      </w:r>
      <w:r w:rsidRPr="00D86CE8">
        <w:t xml:space="preserve"> filed opposition to the </w:t>
      </w:r>
      <w:r>
        <w:t xml:space="preserve">San Jose Mercury’s </w:t>
      </w:r>
      <w:r w:rsidRPr="00D86CE8">
        <w:t>petition for writ of mandate</w:t>
      </w:r>
      <w:r>
        <w:t>, which sought the production of citizen complaints about airport noise</w:t>
      </w:r>
      <w:r w:rsidRPr="00D86CE8">
        <w:t xml:space="preserve">. In its opposition, </w:t>
      </w:r>
      <w:r>
        <w:t xml:space="preserve">the </w:t>
      </w:r>
      <w:r w:rsidRPr="00D86CE8">
        <w:t>City</w:t>
      </w:r>
      <w:r>
        <w:t xml:space="preserve"> of San Jose</w:t>
      </w:r>
      <w:r w:rsidRPr="00D86CE8">
        <w:t xml:space="preserve"> argued that the airport noise complainants' privacy interest in their personal information outweighed the public interest in disclosure of their names, addresses, and telephone numbers. </w:t>
      </w:r>
      <w:r w:rsidR="00056708">
        <w:t xml:space="preserve"> </w:t>
      </w:r>
      <w:r w:rsidRPr="00D86CE8">
        <w:t>If this personal information was disclosed, the complainants would be subject to harassment and intimidation, and the public's reporting of airport noise complaints would be chilled.</w:t>
      </w:r>
      <w:r w:rsidR="00056708">
        <w:t xml:space="preserve">  </w:t>
      </w:r>
      <w:r w:rsidR="00471EDF">
        <w:rPr>
          <w:lang w:val="en"/>
        </w:rPr>
        <w:t xml:space="preserve">When weighing the </w:t>
      </w:r>
      <w:r>
        <w:rPr>
          <w:lang w:val="en"/>
        </w:rPr>
        <w:t xml:space="preserve">City of San Jose’s </w:t>
      </w:r>
      <w:r w:rsidR="000C7023">
        <w:rPr>
          <w:lang w:val="en"/>
        </w:rPr>
        <w:t xml:space="preserve">right </w:t>
      </w:r>
      <w:r w:rsidR="00471EDF">
        <w:rPr>
          <w:lang w:val="en"/>
        </w:rPr>
        <w:t xml:space="preserve">under </w:t>
      </w:r>
      <w:r w:rsidR="000C7023">
        <w:rPr>
          <w:lang w:val="en"/>
        </w:rPr>
        <w:t>Government Code §</w:t>
      </w:r>
      <w:r w:rsidR="00A85462">
        <w:rPr>
          <w:lang w:val="en"/>
        </w:rPr>
        <w:t> </w:t>
      </w:r>
      <w:r w:rsidR="00471EDF">
        <w:rPr>
          <w:lang w:val="en"/>
        </w:rPr>
        <w:t>6255</w:t>
      </w:r>
      <w:r>
        <w:rPr>
          <w:lang w:val="en"/>
        </w:rPr>
        <w:t xml:space="preserve"> to refuse to produce records</w:t>
      </w:r>
      <w:r w:rsidR="00471EDF">
        <w:rPr>
          <w:lang w:val="en"/>
        </w:rPr>
        <w:t>, the Court said:</w:t>
      </w:r>
      <w:r w:rsidRPr="00471EDF" w:rsidR="00471EDF">
        <w:t> </w:t>
      </w:r>
      <w:r w:rsidR="00056708">
        <w:t> </w:t>
      </w:r>
      <w:r w:rsidR="00471EDF">
        <w:t>“</w:t>
      </w:r>
      <w:r w:rsidRPr="00471EDF" w:rsidR="00471EDF">
        <w:t xml:space="preserve">The burden of proof is on the proponent of nondisclosure, who must demonstrate a "clear overbalance" on the side of confidentiality. </w:t>
      </w:r>
      <w:r w:rsidR="00056708">
        <w:t xml:space="preserve"> </w:t>
      </w:r>
      <w:r w:rsidRPr="00471EDF" w:rsidR="00471EDF">
        <w:t>(</w:t>
      </w:r>
      <w:r w:rsidR="00DE0A7A">
        <w:t xml:space="preserve">[Govt. Code] </w:t>
      </w:r>
      <w:r w:rsidRPr="00471EDF" w:rsidR="00471EDF">
        <w:t xml:space="preserve">§ 6255; </w:t>
      </w:r>
      <w:r w:rsidRPr="00471EDF" w:rsidR="00471EDF">
        <w:rPr>
          <w:i/>
          <w:iCs/>
        </w:rPr>
        <w:t>Black</w:t>
      </w:r>
      <w:r w:rsidRPr="00471EDF" w:rsidR="00471EDF">
        <w:t xml:space="preserve"> </w:t>
      </w:r>
      <w:r w:rsidRPr="00471EDF" w:rsidR="00471EDF">
        <w:rPr>
          <w:i/>
          <w:iCs/>
        </w:rPr>
        <w:t>Panther Party</w:t>
      </w:r>
      <w:r w:rsidRPr="00471EDF" w:rsidR="00471EDF">
        <w:t xml:space="preserve">, </w:t>
      </w:r>
      <w:r w:rsidRPr="00471EDF" w:rsidR="00471EDF">
        <w:rPr>
          <w:i/>
          <w:iCs/>
        </w:rPr>
        <w:t>supra</w:t>
      </w:r>
      <w:r w:rsidRPr="00471EDF" w:rsidR="00471EDF">
        <w:t xml:space="preserve">, 42 Cal.App.3d </w:t>
      </w:r>
      <w:r w:rsidRPr="00500BCC" w:rsidR="00471EDF">
        <w:t>at</w:t>
      </w:r>
      <w:r w:rsidRPr="00500BCC" w:rsidR="009B0809">
        <w:t> </w:t>
      </w:r>
      <w:r w:rsidRPr="00500BCC" w:rsidR="00471EDF">
        <w:t xml:space="preserve">657.) </w:t>
      </w:r>
      <w:r w:rsidRPr="00500BCC" w:rsidR="00056708">
        <w:t xml:space="preserve"> </w:t>
      </w:r>
      <w:r w:rsidRPr="00500BCC" w:rsidR="00471EDF">
        <w:t>The purpose of the requesting party in seeking disclosure cannot be considered.”</w:t>
      </w:r>
      <w:r w:rsidRPr="00500BCC" w:rsidR="00471EDF">
        <w:rPr>
          <w:rStyle w:val="FootnoteReference"/>
        </w:rPr>
        <w:footnoteReference w:id="106"/>
      </w:r>
      <w:r w:rsidRPr="00500BCC" w:rsidR="00471EDF">
        <w:t xml:space="preserve"> </w:t>
      </w:r>
      <w:r w:rsidRPr="00500BCC" w:rsidR="00056708">
        <w:t xml:space="preserve"> </w:t>
      </w:r>
      <w:r w:rsidRPr="00500BCC" w:rsidR="00CF293E">
        <w:t>As such,</w:t>
      </w:r>
      <w:r w:rsidRPr="00500BCC" w:rsidR="00471EDF">
        <w:t xml:space="preserve"> </w:t>
      </w:r>
      <w:r w:rsidRPr="00500BCC">
        <w:t>t</w:t>
      </w:r>
      <w:r w:rsidRPr="00500BCC">
        <w:rPr>
          <w:lang w:val="en"/>
        </w:rPr>
        <w:t xml:space="preserve">he validity of the  government’s objection to a Freedom of Information Act request </w:t>
      </w:r>
      <w:r w:rsidRPr="00500BCC" w:rsidR="00CF293E">
        <w:rPr>
          <w:lang w:val="en"/>
        </w:rPr>
        <w:t xml:space="preserve">in </w:t>
      </w:r>
      <w:r w:rsidRPr="00500BCC" w:rsidR="00CF293E">
        <w:rPr>
          <w:i/>
          <w:iCs/>
          <w:lang w:val="en"/>
        </w:rPr>
        <w:t>City of Jan Jose</w:t>
      </w:r>
      <w:r w:rsidRPr="00500BCC" w:rsidR="00CF293E">
        <w:rPr>
          <w:lang w:val="en"/>
        </w:rPr>
        <w:t xml:space="preserve"> </w:t>
      </w:r>
      <w:r w:rsidRPr="00500BCC">
        <w:rPr>
          <w:lang w:val="en"/>
        </w:rPr>
        <w:t xml:space="preserve">did not turn on </w:t>
      </w:r>
      <w:r w:rsidRPr="00500BCC" w:rsidR="00CF293E">
        <w:rPr>
          <w:lang w:val="en"/>
        </w:rPr>
        <w:t>the</w:t>
      </w:r>
      <w:r w:rsidRPr="00500BCC">
        <w:rPr>
          <w:lang w:val="en"/>
        </w:rPr>
        <w:t xml:space="preserve"> resolution of the interplay between Government Code §</w:t>
      </w:r>
      <w:r w:rsidR="00A85462">
        <w:rPr>
          <w:lang w:val="en"/>
        </w:rPr>
        <w:t> </w:t>
      </w:r>
      <w:r w:rsidRPr="00500BCC">
        <w:rPr>
          <w:lang w:val="en"/>
        </w:rPr>
        <w:t>6254 and Evidence Code §</w:t>
      </w:r>
      <w:r w:rsidR="00A85462">
        <w:rPr>
          <w:lang w:val="en"/>
        </w:rPr>
        <w:t> </w:t>
      </w:r>
      <w:r w:rsidRPr="00500BCC">
        <w:rPr>
          <w:lang w:val="en"/>
        </w:rPr>
        <w:t>1060</w:t>
      </w:r>
      <w:r>
        <w:rPr>
          <w:lang w:val="en"/>
        </w:rPr>
        <w:t>, statutes that do permit consideration of a third party’s interest in obtaining government records</w:t>
      </w:r>
      <w:r w:rsidR="00CF293E">
        <w:rPr>
          <w:lang w:val="en"/>
        </w:rPr>
        <w:t>.</w:t>
      </w:r>
    </w:p>
    <w:p w:rsidR="00686A32" w:rsidP="003E093A" w:rsidRDefault="00CF293E" w14:paraId="011DC1B4" w14:textId="6764AB10">
      <w:pPr>
        <w:pStyle w:val="Standard"/>
        <w:rPr>
          <w:lang w:val="en"/>
        </w:rPr>
      </w:pPr>
      <w:r>
        <w:rPr>
          <w:lang w:val="en"/>
        </w:rPr>
        <w:lastRenderedPageBreak/>
        <w:t>In sum, t</w:t>
      </w:r>
      <w:r w:rsidR="00686A32">
        <w:rPr>
          <w:lang w:val="en"/>
        </w:rPr>
        <w:t xml:space="preserve">he Commission </w:t>
      </w:r>
      <w:r w:rsidR="002B714A">
        <w:rPr>
          <w:lang w:val="en"/>
        </w:rPr>
        <w:t xml:space="preserve">finds that it would work a manifest injustice if interested local entities were prohibited from gaining access to trip data. </w:t>
      </w:r>
      <w:r w:rsidR="00056708">
        <w:rPr>
          <w:lang w:val="en"/>
        </w:rPr>
        <w:t xml:space="preserve"> </w:t>
      </w:r>
    </w:p>
    <w:p w:rsidRPr="00500BCC" w:rsidR="00257C34" w:rsidP="008A57AC" w:rsidRDefault="00257C34" w14:paraId="061ED0AF" w14:textId="7B276681">
      <w:pPr>
        <w:pStyle w:val="Heading3"/>
      </w:pPr>
      <w:bookmarkStart w:name="_Toc82193583" w:id="73"/>
      <w:bookmarkStart w:name="_Toc94682546" w:id="74"/>
      <w:bookmarkStart w:name="_Toc102479675" w:id="75"/>
      <w:r w:rsidRPr="008A57AC">
        <w:t xml:space="preserve">Government </w:t>
      </w:r>
      <w:r w:rsidRPr="00500BCC">
        <w:t xml:space="preserve">Code </w:t>
      </w:r>
      <w:r w:rsidRPr="00500BCC" w:rsidR="008A57AC">
        <w:rPr>
          <w:rFonts w:cs="Arial"/>
        </w:rPr>
        <w:t>§</w:t>
      </w:r>
      <w:r w:rsidR="00A85462">
        <w:rPr>
          <w:rFonts w:cs="Arial"/>
        </w:rPr>
        <w:t> </w:t>
      </w:r>
      <w:r w:rsidRPr="00500BCC">
        <w:t>6255 Public Interest Balancing Test</w:t>
      </w:r>
      <w:bookmarkEnd w:id="73"/>
      <w:bookmarkEnd w:id="74"/>
      <w:bookmarkEnd w:id="75"/>
    </w:p>
    <w:p w:rsidR="009A09E0" w:rsidP="00257C34" w:rsidRDefault="00042A5C" w14:paraId="0BB0204A" w14:textId="446C6D27">
      <w:pPr>
        <w:pStyle w:val="standard0"/>
        <w:rPr>
          <w:rFonts w:ascii="Book Antiqua" w:hAnsi="Book Antiqua"/>
        </w:rPr>
      </w:pPr>
      <w:r w:rsidRPr="00500BCC">
        <w:rPr>
          <w:rFonts w:ascii="Book Antiqua" w:hAnsi="Book Antiqua"/>
        </w:rPr>
        <w:t>Government Code</w:t>
      </w:r>
      <w:r w:rsidRPr="00500BCC" w:rsidR="00257C34">
        <w:rPr>
          <w:rFonts w:ascii="Book Antiqua" w:hAnsi="Book Antiqua"/>
        </w:rPr>
        <w:t xml:space="preserve"> </w:t>
      </w:r>
      <w:r w:rsidRPr="00500BCC">
        <w:rPr>
          <w:rFonts w:ascii="Book Antiqua" w:hAnsi="Book Antiqua"/>
        </w:rPr>
        <w:t>§ 6255(a)</w:t>
      </w:r>
      <w:r w:rsidR="00DE0A7A">
        <w:rPr>
          <w:rFonts w:ascii="Book Antiqua" w:hAnsi="Book Antiqua"/>
        </w:rPr>
        <w:t>, the text of which was quoted above in Section</w:t>
      </w:r>
      <w:r w:rsidR="00A85462">
        <w:rPr>
          <w:rFonts w:ascii="Book Antiqua" w:hAnsi="Book Antiqua"/>
        </w:rPr>
        <w:t> </w:t>
      </w:r>
      <w:r w:rsidR="00DE0A7A">
        <w:rPr>
          <w:rFonts w:ascii="Book Antiqua" w:hAnsi="Book Antiqua"/>
        </w:rPr>
        <w:t xml:space="preserve">4.4.1. of this decision, </w:t>
      </w:r>
      <w:r w:rsidRPr="00500BCC">
        <w:rPr>
          <w:rFonts w:ascii="Book Antiqua" w:hAnsi="Book Antiqua"/>
        </w:rPr>
        <w:t xml:space="preserve"> is the catch-all provision which may be used for determining the confidentiality of records not covered by a specific exemption enumerated in the CPRA</w:t>
      </w:r>
      <w:r w:rsidR="00DE0A7A">
        <w:rPr>
          <w:rFonts w:ascii="Book Antiqua" w:hAnsi="Book Antiqua"/>
        </w:rPr>
        <w:t xml:space="preserve">. </w:t>
      </w:r>
      <w:r w:rsidRPr="00500BCC">
        <w:rPr>
          <w:rFonts w:ascii="Book Antiqua" w:hAnsi="Book Antiqua"/>
        </w:rPr>
        <w:t xml:space="preserve"> </w:t>
      </w:r>
      <w:r w:rsidRPr="00500BCC" w:rsidR="00C45C86">
        <w:rPr>
          <w:rFonts w:ascii="Book Antiqua" w:hAnsi="Book Antiqua"/>
        </w:rPr>
        <w:t>This provision allows</w:t>
      </w:r>
      <w:r w:rsidR="00C45C86">
        <w:rPr>
          <w:rFonts w:ascii="Book Antiqua" w:hAnsi="Book Antiqua"/>
        </w:rPr>
        <w:t xml:space="preserve"> an agency to balance the public interest that would be served by withholding information with the public interest that would be served by the disclosure of the information. </w:t>
      </w:r>
      <w:r w:rsidR="00056708">
        <w:rPr>
          <w:rFonts w:ascii="Book Antiqua" w:hAnsi="Book Antiqua"/>
        </w:rPr>
        <w:t xml:space="preserve"> </w:t>
      </w:r>
      <w:r w:rsidR="00C45C86">
        <w:rPr>
          <w:rFonts w:ascii="Book Antiqua" w:hAnsi="Book Antiqua"/>
        </w:rPr>
        <w:t>(</w:t>
      </w:r>
      <w:r w:rsidRPr="00C45C86" w:rsidR="00C45C86">
        <w:rPr>
          <w:rFonts w:ascii="Book Antiqua" w:hAnsi="Book Antiqua"/>
          <w:i/>
          <w:iCs/>
        </w:rPr>
        <w:t>Humane Society of the United States v. Superior Court</w:t>
      </w:r>
      <w:r w:rsidR="00C45C86">
        <w:rPr>
          <w:rFonts w:ascii="Book Antiqua" w:hAnsi="Book Antiqua"/>
        </w:rPr>
        <w:t xml:space="preserve"> (2013) 214 Cal.App.4</w:t>
      </w:r>
      <w:r w:rsidRPr="00C45C86" w:rsidR="00C45C86">
        <w:rPr>
          <w:rFonts w:ascii="Book Antiqua" w:hAnsi="Book Antiqua"/>
          <w:vertAlign w:val="superscript"/>
        </w:rPr>
        <w:t>th</w:t>
      </w:r>
      <w:r w:rsidR="00C45C86">
        <w:rPr>
          <w:rFonts w:ascii="Book Antiqua" w:hAnsi="Book Antiqua"/>
        </w:rPr>
        <w:t xml:space="preserve"> 1233, 1255.) </w:t>
      </w:r>
      <w:r w:rsidR="001E659F">
        <w:rPr>
          <w:rFonts w:ascii="Book Antiqua" w:hAnsi="Book Antiqua"/>
        </w:rPr>
        <w:t>T</w:t>
      </w:r>
      <w:r w:rsidR="00C45C86">
        <w:rPr>
          <w:rFonts w:ascii="Book Antiqua" w:hAnsi="Book Antiqua"/>
        </w:rPr>
        <w:t xml:space="preserve">o withhold information, the agency must find that the public interest served by not disclosing the record clearly outweighs the public interest served by the disclosure of the record. </w:t>
      </w:r>
      <w:r w:rsidR="00056708">
        <w:rPr>
          <w:rFonts w:ascii="Book Antiqua" w:hAnsi="Book Antiqua"/>
        </w:rPr>
        <w:t xml:space="preserve"> </w:t>
      </w:r>
      <w:r w:rsidR="00C45C86">
        <w:rPr>
          <w:rFonts w:ascii="Book Antiqua" w:hAnsi="Book Antiqua"/>
        </w:rPr>
        <w:t>Under this CPRA balancing test, a submitter of information requesting confidential treatment under</w:t>
      </w:r>
      <w:r w:rsidRPr="00C45C86" w:rsidR="00C45C86">
        <w:rPr>
          <w:rFonts w:ascii="Book Antiqua" w:hAnsi="Book Antiqua"/>
        </w:rPr>
        <w:t xml:space="preserve"> </w:t>
      </w:r>
      <w:r w:rsidRPr="00042A5C" w:rsidR="00C45C86">
        <w:rPr>
          <w:rFonts w:ascii="Book Antiqua" w:hAnsi="Book Antiqua"/>
        </w:rPr>
        <w:t xml:space="preserve">Government Code </w:t>
      </w:r>
      <w:r w:rsidR="00C45C86">
        <w:rPr>
          <w:rFonts w:ascii="Book Antiqua" w:hAnsi="Book Antiqua"/>
        </w:rPr>
        <w:t>§</w:t>
      </w:r>
      <w:r w:rsidR="00A85462">
        <w:rPr>
          <w:rFonts w:ascii="Book Antiqua" w:hAnsi="Book Antiqua"/>
        </w:rPr>
        <w:t> </w:t>
      </w:r>
      <w:r w:rsidR="00C45C86">
        <w:rPr>
          <w:rFonts w:ascii="Book Antiqua" w:hAnsi="Book Antiqua"/>
        </w:rPr>
        <w:t xml:space="preserve">6255(a)  “must identify the public interest and nor rely solely on private economic injury.” </w:t>
      </w:r>
      <w:r w:rsidR="00056708">
        <w:rPr>
          <w:rFonts w:ascii="Book Antiqua" w:hAnsi="Book Antiqua"/>
        </w:rPr>
        <w:t xml:space="preserve"> </w:t>
      </w:r>
      <w:r w:rsidR="00C45C86">
        <w:rPr>
          <w:rFonts w:ascii="Book Antiqua" w:hAnsi="Book Antiqua"/>
        </w:rPr>
        <w:t>(D.17-09-023, at 44.)</w:t>
      </w:r>
      <w:r w:rsidR="00056708">
        <w:rPr>
          <w:rFonts w:ascii="Book Antiqua" w:hAnsi="Book Antiqua"/>
        </w:rPr>
        <w:t xml:space="preserve"> </w:t>
      </w:r>
      <w:r w:rsidR="000A39FD">
        <w:rPr>
          <w:rFonts w:ascii="Book Antiqua" w:hAnsi="Book Antiqua"/>
        </w:rPr>
        <w:t xml:space="preserve"> </w:t>
      </w:r>
      <w:r w:rsidR="00933B56">
        <w:rPr>
          <w:rFonts w:ascii="Book Antiqua" w:hAnsi="Book Antiqua"/>
        </w:rPr>
        <w:t>W</w:t>
      </w:r>
      <w:r w:rsidR="000A39FD">
        <w:rPr>
          <w:rFonts w:ascii="Book Antiqua" w:hAnsi="Book Antiqua"/>
        </w:rPr>
        <w:t xml:space="preserve">hile the public’s right to information in possession of the government must be construed broadly, </w:t>
      </w:r>
      <w:r w:rsidRPr="000A39FD" w:rsidR="000A39FD">
        <w:rPr>
          <w:rFonts w:ascii="Book Antiqua" w:hAnsi="Book Antiqua"/>
          <w:i/>
          <w:iCs/>
        </w:rPr>
        <w:t>Humane Society</w:t>
      </w:r>
      <w:r w:rsidR="000A39FD">
        <w:rPr>
          <w:rFonts w:ascii="Book Antiqua" w:hAnsi="Book Antiqua"/>
        </w:rPr>
        <w:t xml:space="preserve"> cautions that</w:t>
      </w:r>
      <w:r w:rsidR="000A39FD">
        <w:rPr>
          <w:color w:val="1E1E1E"/>
          <w:sz w:val="22"/>
          <w:szCs w:val="22"/>
          <w:shd w:val="clear" w:color="auto" w:fill="FFFFFF"/>
        </w:rPr>
        <w:t xml:space="preserve"> </w:t>
      </w:r>
      <w:r w:rsidRPr="000A39FD" w:rsidR="000A39FD">
        <w:rPr>
          <w:rFonts w:ascii="Book Antiqua" w:hAnsi="Book Antiqua"/>
          <w:color w:val="1E1E1E"/>
          <w:szCs w:val="26"/>
          <w:shd w:val="clear" w:color="auto" w:fill="FFFFFF"/>
        </w:rPr>
        <w:t>“exemptions are to be construed narrowly.</w:t>
      </w:r>
      <w:r w:rsidR="000A39FD">
        <w:rPr>
          <w:rFonts w:ascii="Book Antiqua" w:hAnsi="Book Antiqua"/>
          <w:color w:val="1E1E1E"/>
          <w:szCs w:val="26"/>
          <w:shd w:val="clear" w:color="auto" w:fill="FFFFFF"/>
        </w:rPr>
        <w:t>”</w:t>
      </w:r>
      <w:r w:rsidRPr="000A39FD" w:rsidR="000A39FD">
        <w:rPr>
          <w:rFonts w:ascii="Book Antiqua" w:hAnsi="Book Antiqua"/>
          <w:color w:val="1E1E1E"/>
          <w:szCs w:val="26"/>
          <w:shd w:val="clear" w:color="auto" w:fill="FFFFFF"/>
        </w:rPr>
        <w:t xml:space="preserve"> (</w:t>
      </w:r>
      <w:r w:rsidR="000A39FD">
        <w:rPr>
          <w:rFonts w:ascii="Book Antiqua" w:hAnsi="Book Antiqua"/>
          <w:color w:val="1E1E1E"/>
          <w:szCs w:val="26"/>
          <w:shd w:val="clear" w:color="auto" w:fill="FFFFFF"/>
        </w:rPr>
        <w:t>214 Cal.App.4</w:t>
      </w:r>
      <w:r w:rsidRPr="000A39FD" w:rsidR="000A39FD">
        <w:rPr>
          <w:rFonts w:ascii="Book Antiqua" w:hAnsi="Book Antiqua"/>
          <w:color w:val="1E1E1E"/>
          <w:szCs w:val="26"/>
          <w:shd w:val="clear" w:color="auto" w:fill="FFFFFF"/>
          <w:vertAlign w:val="superscript"/>
        </w:rPr>
        <w:t>th</w:t>
      </w:r>
      <w:r w:rsidR="000A39FD">
        <w:rPr>
          <w:rFonts w:ascii="Book Antiqua" w:hAnsi="Book Antiqua"/>
          <w:color w:val="1E1E1E"/>
          <w:szCs w:val="26"/>
          <w:shd w:val="clear" w:color="auto" w:fill="FFFFFF"/>
        </w:rPr>
        <w:t xml:space="preserve">, </w:t>
      </w:r>
      <w:r w:rsidRPr="00500BCC" w:rsidR="000A39FD">
        <w:rPr>
          <w:rFonts w:ascii="Book Antiqua" w:hAnsi="Book Antiqua"/>
          <w:color w:val="1E1E1E"/>
          <w:szCs w:val="26"/>
          <w:shd w:val="clear" w:color="auto" w:fill="FFFFFF"/>
        </w:rPr>
        <w:t>at</w:t>
      </w:r>
      <w:r w:rsidRPr="00500BCC" w:rsidR="009B0809">
        <w:rPr>
          <w:rFonts w:ascii="Book Antiqua" w:hAnsi="Book Antiqua"/>
          <w:color w:val="1E1E1E"/>
          <w:szCs w:val="26"/>
          <w:shd w:val="clear" w:color="auto" w:fill="FFFFFF"/>
        </w:rPr>
        <w:t> </w:t>
      </w:r>
      <w:r w:rsidRPr="00500BCC" w:rsidR="000A39FD">
        <w:rPr>
          <w:rFonts w:ascii="Book Antiqua" w:hAnsi="Book Antiqua"/>
          <w:color w:val="1E1E1E"/>
          <w:szCs w:val="26"/>
          <w:shd w:val="clear" w:color="auto" w:fill="FFFFFF"/>
        </w:rPr>
        <w:t>1254.)</w:t>
      </w:r>
      <w:r w:rsidR="000A39FD">
        <w:rPr>
          <w:rFonts w:ascii="Book Antiqua" w:hAnsi="Book Antiqua"/>
          <w:color w:val="1E1E1E"/>
          <w:szCs w:val="26"/>
          <w:shd w:val="clear" w:color="auto" w:fill="FFFFFF"/>
        </w:rPr>
        <w:t xml:space="preserve"> </w:t>
      </w:r>
      <w:r w:rsidR="00056708">
        <w:rPr>
          <w:rFonts w:ascii="Book Antiqua" w:hAnsi="Book Antiqua"/>
          <w:color w:val="1E1E1E"/>
          <w:szCs w:val="26"/>
          <w:shd w:val="clear" w:color="auto" w:fill="FFFFFF"/>
        </w:rPr>
        <w:t xml:space="preserve"> </w:t>
      </w:r>
      <w:r w:rsidR="000A39FD">
        <w:rPr>
          <w:rFonts w:ascii="Book Antiqua" w:hAnsi="Book Antiqua"/>
          <w:color w:val="1E1E1E"/>
          <w:szCs w:val="26"/>
          <w:shd w:val="clear" w:color="auto" w:fill="FFFFFF"/>
        </w:rPr>
        <w:t xml:space="preserve">Finally, although </w:t>
      </w:r>
      <w:r w:rsidRPr="00042A5C" w:rsidR="000A39FD">
        <w:rPr>
          <w:rFonts w:ascii="Book Antiqua" w:hAnsi="Book Antiqua"/>
        </w:rPr>
        <w:t xml:space="preserve">Government Code </w:t>
      </w:r>
      <w:r w:rsidR="000A39FD">
        <w:rPr>
          <w:rFonts w:ascii="Book Antiqua" w:hAnsi="Book Antiqua"/>
        </w:rPr>
        <w:t xml:space="preserve">§ 6255(a) references the “agency,” suggesting that it is incumbent on the government entity holding the information to establish that the catch-all exemption applies, </w:t>
      </w:r>
      <w:r w:rsidR="00C4394E">
        <w:rPr>
          <w:rFonts w:ascii="Book Antiqua" w:hAnsi="Book Antiqua"/>
        </w:rPr>
        <w:t>the</w:t>
      </w:r>
      <w:r w:rsidRPr="000A39FD" w:rsidR="000A39FD">
        <w:rPr>
          <w:rFonts w:ascii="Book Antiqua" w:hAnsi="Book Antiqua"/>
        </w:rPr>
        <w:t xml:space="preserve"> burden of proof as to the application of an exemption is on the proponent of nondisclosure</w:t>
      </w:r>
      <w:r w:rsidR="00C4394E">
        <w:rPr>
          <w:rFonts w:ascii="Book Antiqua" w:hAnsi="Book Antiqua"/>
        </w:rPr>
        <w:t xml:space="preserve">. </w:t>
      </w:r>
      <w:r w:rsidR="00056708">
        <w:rPr>
          <w:rFonts w:ascii="Book Antiqua" w:hAnsi="Book Antiqua"/>
        </w:rPr>
        <w:t xml:space="preserve"> </w:t>
      </w:r>
      <w:r w:rsidR="00C4394E">
        <w:rPr>
          <w:rFonts w:ascii="Book Antiqua" w:hAnsi="Book Antiqua"/>
        </w:rPr>
        <w:t>(</w:t>
      </w:r>
      <w:r w:rsidRPr="00C4394E" w:rsidR="00C4394E">
        <w:rPr>
          <w:rFonts w:ascii="Book Antiqua" w:hAnsi="Book Antiqua"/>
          <w:i/>
          <w:iCs/>
        </w:rPr>
        <w:t>Michaelis, Montanari &amp; Johnson v. Superior Court</w:t>
      </w:r>
      <w:r w:rsidRPr="00C4394E" w:rsidR="00C4394E">
        <w:rPr>
          <w:rFonts w:ascii="Book Antiqua" w:hAnsi="Book Antiqua"/>
        </w:rPr>
        <w:t> (2006) </w:t>
      </w:r>
      <w:hyperlink w:history="1" r:id="rId26">
        <w:r w:rsidRPr="00C4394E" w:rsidR="00C4394E">
          <w:rPr>
            <w:rStyle w:val="Hyperlink"/>
            <w:rFonts w:ascii="Book Antiqua" w:hAnsi="Book Antiqua"/>
          </w:rPr>
          <w:t>38 Cal.4th 1065</w:t>
        </w:r>
      </w:hyperlink>
      <w:r w:rsidRPr="00C4394E" w:rsidR="00C4394E">
        <w:rPr>
          <w:rFonts w:ascii="Book Antiqua" w:hAnsi="Book Antiqua"/>
        </w:rPr>
        <w:t>, 1071</w:t>
      </w:r>
      <w:r w:rsidR="00C4394E">
        <w:rPr>
          <w:rFonts w:ascii="Book Antiqua" w:hAnsi="Book Antiqua"/>
        </w:rPr>
        <w:t>.)</w:t>
      </w:r>
      <w:r w:rsidR="00933B56">
        <w:rPr>
          <w:rFonts w:ascii="Book Antiqua" w:hAnsi="Book Antiqua"/>
        </w:rPr>
        <w:t xml:space="preserve"> </w:t>
      </w:r>
      <w:r w:rsidR="00056708">
        <w:rPr>
          <w:rFonts w:ascii="Book Antiqua" w:hAnsi="Book Antiqua"/>
        </w:rPr>
        <w:t xml:space="preserve"> </w:t>
      </w:r>
      <w:r w:rsidR="00933B56">
        <w:rPr>
          <w:rFonts w:ascii="Book Antiqua" w:hAnsi="Book Antiqua"/>
        </w:rPr>
        <w:t>In this case, the burden would be on Lyft to establish</w:t>
      </w:r>
      <w:r w:rsidR="000318DC">
        <w:rPr>
          <w:rFonts w:ascii="Book Antiqua" w:hAnsi="Book Antiqua"/>
        </w:rPr>
        <w:t>, by the preponderance of the evidence,</w:t>
      </w:r>
      <w:r w:rsidR="00933B56">
        <w:rPr>
          <w:rFonts w:ascii="Book Antiqua" w:hAnsi="Book Antiqua"/>
        </w:rPr>
        <w:t xml:space="preserve"> the applicability of the catch-all exemption.</w:t>
      </w:r>
    </w:p>
    <w:p w:rsidRPr="003F50D4" w:rsidR="003F50D4" w:rsidP="007D35E1" w:rsidRDefault="007D35E1" w14:paraId="045A785E" w14:textId="7365EE78">
      <w:pPr>
        <w:pStyle w:val="Heading4"/>
      </w:pPr>
      <w:bookmarkStart w:name="_Toc82193584" w:id="76"/>
      <w:bookmarkStart w:name="_Toc94682547" w:id="77"/>
      <w:bookmarkStart w:name="_Toc102479676" w:id="78"/>
      <w:r>
        <w:lastRenderedPageBreak/>
        <w:t xml:space="preserve">Does the </w:t>
      </w:r>
      <w:r w:rsidRPr="003F50D4" w:rsidR="003F50D4">
        <w:t xml:space="preserve">Public interest in </w:t>
      </w:r>
      <w:r>
        <w:t>N</w:t>
      </w:r>
      <w:r w:rsidRPr="003F50D4" w:rsidR="003F50D4">
        <w:t>ondisclosure</w:t>
      </w:r>
      <w:r>
        <w:t xml:space="preserve"> Clearly Outweigh Disclsoure?</w:t>
      </w:r>
      <w:bookmarkEnd w:id="76"/>
      <w:bookmarkEnd w:id="77"/>
      <w:bookmarkEnd w:id="78"/>
    </w:p>
    <w:p w:rsidR="00E81372" w:rsidP="00257C34" w:rsidRDefault="003F50D4" w14:paraId="054ABA55" w14:textId="4E3260C8">
      <w:pPr>
        <w:pStyle w:val="standard0"/>
        <w:rPr>
          <w:rFonts w:ascii="Book Antiqua" w:hAnsi="Book Antiqua"/>
        </w:rPr>
      </w:pPr>
      <w:r>
        <w:rPr>
          <w:rFonts w:ascii="Book Antiqua" w:hAnsi="Book Antiqua"/>
        </w:rPr>
        <w:t xml:space="preserve">As this catch-all exemption comes into play only if the confidentiality of records is not covered by a specific exemption enumerated in the CPRA, Lyft cannot assert that the trip data is protected by the trade secret privilege. </w:t>
      </w:r>
      <w:r w:rsidR="00056708">
        <w:rPr>
          <w:rFonts w:ascii="Book Antiqua" w:hAnsi="Book Antiqua"/>
        </w:rPr>
        <w:t xml:space="preserve"> </w:t>
      </w:r>
      <w:r>
        <w:rPr>
          <w:rFonts w:ascii="Book Antiqua" w:hAnsi="Book Antiqua"/>
        </w:rPr>
        <w:t xml:space="preserve">The question the Commission must address is what proof </w:t>
      </w:r>
      <w:r w:rsidR="00E82C92">
        <w:rPr>
          <w:rFonts w:ascii="Book Antiqua" w:hAnsi="Book Antiqua"/>
        </w:rPr>
        <w:t>Lyft offered</w:t>
      </w:r>
      <w:r w:rsidR="00BA1EB4">
        <w:rPr>
          <w:rFonts w:ascii="Book Antiqua" w:hAnsi="Book Antiqua"/>
        </w:rPr>
        <w:t>, beyond its claims of trade secret protection,</w:t>
      </w:r>
      <w:r>
        <w:rPr>
          <w:rFonts w:ascii="Book Antiqua" w:hAnsi="Book Antiqua"/>
        </w:rPr>
        <w:t xml:space="preserve"> to avail itself of the catch-all exemption to prevent the disclosure of trip data.</w:t>
      </w:r>
      <w:r w:rsidR="002B589C">
        <w:rPr>
          <w:rFonts w:ascii="Book Antiqua" w:hAnsi="Book Antiqua"/>
        </w:rPr>
        <w:t xml:space="preserve"> </w:t>
      </w:r>
      <w:r w:rsidR="00056708">
        <w:rPr>
          <w:rFonts w:ascii="Book Antiqua" w:hAnsi="Book Antiqua"/>
        </w:rPr>
        <w:t xml:space="preserve"> </w:t>
      </w:r>
      <w:r w:rsidR="00E81372">
        <w:rPr>
          <w:rFonts w:ascii="Book Antiqua" w:hAnsi="Book Antiqua"/>
        </w:rPr>
        <w:t xml:space="preserve">In </w:t>
      </w:r>
      <w:r w:rsidR="00B41945">
        <w:rPr>
          <w:rFonts w:ascii="Book Antiqua" w:hAnsi="Book Antiqua"/>
        </w:rPr>
        <w:t xml:space="preserve">its </w:t>
      </w:r>
      <w:r w:rsidRPr="0005126E" w:rsidR="00F5146E">
        <w:rPr>
          <w:rFonts w:ascii="Book Antiqua" w:hAnsi="Book Antiqua"/>
          <w:i/>
          <w:iCs/>
        </w:rPr>
        <w:t>Motion</w:t>
      </w:r>
      <w:r w:rsidR="00F5146E">
        <w:rPr>
          <w:rFonts w:ascii="Book Antiqua" w:hAnsi="Book Antiqua"/>
        </w:rPr>
        <w:t xml:space="preserve">, </w:t>
      </w:r>
      <w:r w:rsidR="000638B5">
        <w:rPr>
          <w:rFonts w:ascii="Book Antiqua" w:hAnsi="Book Antiqua"/>
        </w:rPr>
        <w:t xml:space="preserve"> </w:t>
      </w:r>
      <w:r w:rsidR="00E81372">
        <w:rPr>
          <w:rFonts w:ascii="Book Antiqua" w:hAnsi="Book Antiqua"/>
        </w:rPr>
        <w:t>Lyft raise</w:t>
      </w:r>
      <w:r w:rsidR="00BA1EB4">
        <w:rPr>
          <w:rFonts w:ascii="Book Antiqua" w:hAnsi="Book Antiqua"/>
        </w:rPr>
        <w:t>d</w:t>
      </w:r>
      <w:r w:rsidR="00E81372">
        <w:rPr>
          <w:rFonts w:ascii="Book Antiqua" w:hAnsi="Book Antiqua"/>
        </w:rPr>
        <w:t xml:space="preserve"> the possibility that the trip data can lead to </w:t>
      </w:r>
      <w:r w:rsidR="005C277D">
        <w:rPr>
          <w:rFonts w:ascii="Book Antiqua" w:hAnsi="Book Antiqua"/>
        </w:rPr>
        <w:t>competitor</w:t>
      </w:r>
      <w:r w:rsidR="00E81372">
        <w:rPr>
          <w:rFonts w:ascii="Book Antiqua" w:hAnsi="Book Antiqua"/>
        </w:rPr>
        <w:t xml:space="preserve"> companies and anyone gaining access to the trip data learning a rider’s exact pick up and drop off addresses which could reveal personal information about the passenger (</w:t>
      </w:r>
      <w:r w:rsidRPr="00A6208D" w:rsidR="00BA1EB4">
        <w:rPr>
          <w:rFonts w:ascii="Book Antiqua" w:hAnsi="Book Antiqua"/>
          <w:i/>
          <w:iCs/>
        </w:rPr>
        <w:t>e.g</w:t>
      </w:r>
      <w:r w:rsidR="00BA1EB4">
        <w:rPr>
          <w:rFonts w:ascii="Book Antiqua" w:hAnsi="Book Antiqua"/>
        </w:rPr>
        <w:t xml:space="preserve">., </w:t>
      </w:r>
      <w:r w:rsidR="00E81372">
        <w:rPr>
          <w:rFonts w:ascii="Book Antiqua" w:hAnsi="Book Antiqua"/>
        </w:rPr>
        <w:t xml:space="preserve">gender, sexual </w:t>
      </w:r>
      <w:r w:rsidR="00BA1EB4">
        <w:rPr>
          <w:rFonts w:ascii="Book Antiqua" w:hAnsi="Book Antiqua"/>
        </w:rPr>
        <w:t xml:space="preserve">predisposition, </w:t>
      </w:r>
      <w:r w:rsidR="00E81372">
        <w:rPr>
          <w:rFonts w:ascii="Book Antiqua" w:hAnsi="Book Antiqua"/>
        </w:rPr>
        <w:t xml:space="preserve"> political affiliation, </w:t>
      </w:r>
      <w:r w:rsidRPr="00E81372" w:rsidR="00E81372">
        <w:rPr>
          <w:rFonts w:ascii="Book Antiqua" w:hAnsi="Book Antiqua"/>
          <w:i/>
          <w:iCs/>
        </w:rPr>
        <w:t>etc</w:t>
      </w:r>
      <w:r w:rsidR="00056708">
        <w:rPr>
          <w:rFonts w:ascii="Book Antiqua" w:hAnsi="Book Antiqua"/>
          <w:i/>
          <w:iCs/>
        </w:rPr>
        <w:t>.</w:t>
      </w:r>
      <w:r w:rsidR="00E81372">
        <w:rPr>
          <w:rFonts w:ascii="Book Antiqua" w:hAnsi="Book Antiqua"/>
        </w:rPr>
        <w:t>):</w:t>
      </w:r>
    </w:p>
    <w:p w:rsidR="00E81372" w:rsidP="0080449A" w:rsidRDefault="00E81372" w14:paraId="41D3A82C" w14:textId="6B51FD1D">
      <w:pPr>
        <w:pStyle w:val="standard0"/>
        <w:spacing w:after="120" w:line="240" w:lineRule="auto"/>
        <w:ind w:left="720" w:right="1440" w:firstLine="0"/>
        <w:rPr>
          <w:rFonts w:ascii="Book Antiqua" w:hAnsi="Book Antiqua"/>
        </w:rPr>
      </w:pPr>
      <w:r>
        <w:rPr>
          <w:rFonts w:ascii="Book Antiqua" w:hAnsi="Book Antiqua"/>
        </w:rPr>
        <w:t xml:space="preserve">If such data were publicly disclosed, the data could be mined to identify specific individuals and track their movements, </w:t>
      </w:r>
      <w:r w:rsidRPr="00E81372">
        <w:rPr>
          <w:rFonts w:ascii="Book Antiqua" w:hAnsi="Book Antiqua"/>
          <w:i/>
          <w:iCs/>
        </w:rPr>
        <w:t>potentially</w:t>
      </w:r>
      <w:r>
        <w:rPr>
          <w:rFonts w:ascii="Book Antiqua" w:hAnsi="Book Antiqua"/>
        </w:rPr>
        <w:t xml:space="preserve"> disclosing extremely sensitive private details regarding their lives, such as intimate personal relationships, marital infidelity, political affiliations, and even sensitive health information. </w:t>
      </w:r>
      <w:r w:rsidR="0080449A">
        <w:rPr>
          <w:rFonts w:ascii="Book Antiqua" w:hAnsi="Book Antiqua"/>
        </w:rPr>
        <w:t xml:space="preserve"> </w:t>
      </w:r>
      <w:r>
        <w:rPr>
          <w:rFonts w:ascii="Book Antiqua" w:hAnsi="Book Antiqua"/>
        </w:rPr>
        <w:t>(Italics added.)</w:t>
      </w:r>
      <w:r>
        <w:rPr>
          <w:rStyle w:val="FootnoteReference"/>
          <w:rFonts w:ascii="Book Antiqua" w:hAnsi="Book Antiqua"/>
        </w:rPr>
        <w:footnoteReference w:id="107"/>
      </w:r>
    </w:p>
    <w:p w:rsidR="00C4394E" w:rsidP="00E81372" w:rsidRDefault="00E81372" w14:paraId="34BD6776" w14:textId="13403FFD">
      <w:pPr>
        <w:pStyle w:val="standard0"/>
        <w:ind w:firstLine="0"/>
        <w:rPr>
          <w:rFonts w:ascii="Book Antiqua" w:hAnsi="Book Antiqua"/>
        </w:rPr>
      </w:pPr>
      <w:r>
        <w:rPr>
          <w:rFonts w:ascii="Book Antiqua" w:hAnsi="Book Antiqua"/>
        </w:rPr>
        <w:t xml:space="preserve">Lyft makes a similar argument in its </w:t>
      </w:r>
      <w:r w:rsidRPr="00E81372">
        <w:rPr>
          <w:rFonts w:ascii="Book Antiqua" w:hAnsi="Book Antiqua"/>
          <w:i/>
          <w:iCs/>
        </w:rPr>
        <w:t>Appeal</w:t>
      </w:r>
      <w:r w:rsidR="009B5AB1">
        <w:rPr>
          <w:rFonts w:ascii="Book Antiqua" w:hAnsi="Book Antiqua"/>
        </w:rPr>
        <w:t>:</w:t>
      </w:r>
    </w:p>
    <w:p w:rsidRPr="00E81372" w:rsidR="009B5AB1" w:rsidP="0080449A" w:rsidRDefault="009B5AB1" w14:paraId="22E38CFA" w14:textId="247CD041">
      <w:pPr>
        <w:pStyle w:val="standard0"/>
        <w:spacing w:after="120" w:line="240" w:lineRule="auto"/>
        <w:ind w:left="720" w:right="1440" w:firstLine="0"/>
        <w:rPr>
          <w:rFonts w:ascii="Book Antiqua" w:hAnsi="Book Antiqua"/>
        </w:rPr>
      </w:pPr>
      <w:r>
        <w:rPr>
          <w:rFonts w:ascii="Book Antiqua" w:hAnsi="Book Antiqua"/>
        </w:rPr>
        <w:t xml:space="preserve">Consider the revealing information one can </w:t>
      </w:r>
      <w:r w:rsidR="00E96D41">
        <w:rPr>
          <w:rFonts w:ascii="Book Antiqua" w:hAnsi="Book Antiqua"/>
        </w:rPr>
        <w:t>learn</w:t>
      </w:r>
      <w:r>
        <w:rPr>
          <w:rFonts w:ascii="Book Antiqua" w:hAnsi="Book Antiqua"/>
        </w:rPr>
        <w:t xml:space="preserve"> with just a few details regarding a TNC ride, such as the precise time and general location at which the ride commenced. </w:t>
      </w:r>
      <w:r w:rsidR="0080449A">
        <w:rPr>
          <w:rFonts w:ascii="Book Antiqua" w:hAnsi="Book Antiqua"/>
        </w:rPr>
        <w:t xml:space="preserve"> </w:t>
      </w:r>
      <w:r>
        <w:rPr>
          <w:rFonts w:ascii="Book Antiqua" w:hAnsi="Book Antiqua"/>
        </w:rPr>
        <w:t xml:space="preserve">A spouse might, for example, ascertain the true destination of their partner after they leave the house; whether to the office located in one census block or zip code, or to a </w:t>
      </w:r>
      <w:r w:rsidR="00E96D41">
        <w:rPr>
          <w:rFonts w:ascii="Book Antiqua" w:hAnsi="Book Antiqua"/>
        </w:rPr>
        <w:t>suspected</w:t>
      </w:r>
      <w:r>
        <w:rPr>
          <w:rFonts w:ascii="Book Antiqua" w:hAnsi="Book Antiqua"/>
        </w:rPr>
        <w:t xml:space="preserve"> paramour’s residence, a healthcare or psychiatric facility, a political rally, or another suspected location in a different census block or zip code….Put simply, it is impossible to anticipate—and confiden</w:t>
      </w:r>
      <w:r w:rsidR="00E96D41">
        <w:rPr>
          <w:rFonts w:ascii="Book Antiqua" w:hAnsi="Book Antiqua"/>
        </w:rPr>
        <w:t xml:space="preserve">tly dismiss—the virtually endless </w:t>
      </w:r>
      <w:r w:rsidR="00E96D41">
        <w:rPr>
          <w:rFonts w:ascii="Book Antiqua" w:hAnsi="Book Antiqua"/>
        </w:rPr>
        <w:lastRenderedPageBreak/>
        <w:t xml:space="preserve">nefarious purposes to which such a massive, detailed, and content-rich database </w:t>
      </w:r>
      <w:r w:rsidRPr="00E96D41" w:rsidR="00E96D41">
        <w:rPr>
          <w:rFonts w:ascii="Book Antiqua" w:hAnsi="Book Antiqua"/>
          <w:i/>
          <w:iCs/>
        </w:rPr>
        <w:t>might</w:t>
      </w:r>
      <w:r w:rsidR="00E96D41">
        <w:rPr>
          <w:rFonts w:ascii="Book Antiqua" w:hAnsi="Book Antiqua"/>
        </w:rPr>
        <w:t xml:space="preserve"> be put.</w:t>
      </w:r>
      <w:r w:rsidR="00056708">
        <w:rPr>
          <w:rFonts w:ascii="Book Antiqua" w:hAnsi="Book Antiqua"/>
        </w:rPr>
        <w:t xml:space="preserve"> </w:t>
      </w:r>
      <w:r w:rsidR="00E96D41">
        <w:rPr>
          <w:rFonts w:ascii="Book Antiqua" w:hAnsi="Book Antiqua"/>
        </w:rPr>
        <w:t xml:space="preserve"> (Italics added.)</w:t>
      </w:r>
      <w:r w:rsidR="00E96D41">
        <w:rPr>
          <w:rStyle w:val="FootnoteReference"/>
          <w:rFonts w:ascii="Book Antiqua" w:hAnsi="Book Antiqua"/>
        </w:rPr>
        <w:footnoteReference w:id="108"/>
      </w:r>
    </w:p>
    <w:p w:rsidR="00E96D41" w:rsidP="00E96D41" w:rsidRDefault="00E96D41" w14:paraId="3C670D5A" w14:textId="608D0229">
      <w:pPr>
        <w:pStyle w:val="standard0"/>
        <w:ind w:firstLine="0"/>
        <w:rPr>
          <w:rFonts w:ascii="Book Antiqua" w:hAnsi="Book Antiqua"/>
        </w:rPr>
      </w:pPr>
      <w:r>
        <w:rPr>
          <w:rFonts w:ascii="Book Antiqua" w:hAnsi="Book Antiqua"/>
        </w:rPr>
        <w:t xml:space="preserve">In support of the arguments from its </w:t>
      </w:r>
      <w:r w:rsidRPr="00E96D41">
        <w:rPr>
          <w:rFonts w:ascii="Book Antiqua" w:hAnsi="Book Antiqua"/>
          <w:i/>
          <w:iCs/>
        </w:rPr>
        <w:t>Motion</w:t>
      </w:r>
      <w:r>
        <w:rPr>
          <w:rFonts w:ascii="Book Antiqua" w:hAnsi="Book Antiqua"/>
        </w:rPr>
        <w:t xml:space="preserve"> and </w:t>
      </w:r>
      <w:r w:rsidRPr="00E96D41">
        <w:rPr>
          <w:rFonts w:ascii="Book Antiqua" w:hAnsi="Book Antiqua"/>
          <w:i/>
          <w:iCs/>
        </w:rPr>
        <w:t>Appeal</w:t>
      </w:r>
      <w:r>
        <w:rPr>
          <w:rFonts w:ascii="Book Antiqua" w:hAnsi="Book Antiqua"/>
        </w:rPr>
        <w:t>, Lyft references a series of secondary source articles and informational maps from the US Census Bureau as its factual support.</w:t>
      </w:r>
      <w:r>
        <w:rPr>
          <w:rStyle w:val="FootnoteReference"/>
          <w:rFonts w:ascii="Book Antiqua" w:hAnsi="Book Antiqua"/>
        </w:rPr>
        <w:footnoteReference w:id="109"/>
      </w:r>
    </w:p>
    <w:p w:rsidR="00D53FC1" w:rsidP="00A6208D" w:rsidRDefault="00B24E18" w14:paraId="216B6C48" w14:textId="2A625836">
      <w:pPr>
        <w:pStyle w:val="Standard"/>
      </w:pPr>
      <w:r>
        <w:t xml:space="preserve">The Commission rejects Lyft’s argument for two reasons. </w:t>
      </w:r>
      <w:r w:rsidR="00056708">
        <w:t xml:space="preserve"> </w:t>
      </w:r>
      <w:r>
        <w:t>First, the argument lacks support from a declaration under</w:t>
      </w:r>
      <w:r w:rsidR="002D0460">
        <w:t xml:space="preserve"> penalty of perjury with the necessary granularity required by D.20-03-014, </w:t>
      </w:r>
      <w:r w:rsidRPr="00500BCC" w:rsidR="002D0460">
        <w:t>OP</w:t>
      </w:r>
      <w:r w:rsidRPr="00500BCC" w:rsidR="00056708">
        <w:t> </w:t>
      </w:r>
      <w:r w:rsidRPr="00500BCC" w:rsidR="002D0460">
        <w:t xml:space="preserve">2.h. </w:t>
      </w:r>
      <w:r w:rsidRPr="00500BCC" w:rsidR="009B0809">
        <w:t xml:space="preserve"> </w:t>
      </w:r>
      <w:r w:rsidRPr="00500BCC" w:rsidR="002D0460">
        <w:t>None</w:t>
      </w:r>
      <w:r w:rsidR="002D0460">
        <w:t xml:space="preserve"> of the authors of the various studies that Lyft cites to have declarations authenticating their studies</w:t>
      </w:r>
      <w:r w:rsidR="00BA1EB4">
        <w:t>.</w:t>
      </w:r>
      <w:r w:rsidRPr="0080449A" w:rsidR="002D0460">
        <w:t xml:space="preserve"> </w:t>
      </w:r>
      <w:r w:rsidR="00056708">
        <w:t xml:space="preserve"> </w:t>
      </w:r>
      <w:r w:rsidRPr="0080449A" w:rsidR="002D0460">
        <w:t>Lyft’s argument is inadmissible hearsay.</w:t>
      </w:r>
      <w:r w:rsidRPr="0080449A" w:rsidR="00D53FC1">
        <w:t xml:space="preserve"> </w:t>
      </w:r>
      <w:r w:rsidR="00056708">
        <w:t xml:space="preserve"> </w:t>
      </w:r>
      <w:r w:rsidRPr="00C23495" w:rsidR="00C23495">
        <w:t>.)</w:t>
      </w:r>
      <w:r w:rsidR="00C23495">
        <w:t xml:space="preserve">].”) </w:t>
      </w:r>
      <w:r w:rsidR="001E659F">
        <w:t>A</w:t>
      </w:r>
      <w:r w:rsidR="00C23495">
        <w:t>s Lyft is offering these studies for the truth of the matter asserted (</w:t>
      </w:r>
      <w:r w:rsidRPr="00056708" w:rsidR="00367BCD">
        <w:rPr>
          <w:i/>
          <w:iCs/>
        </w:rPr>
        <w:t>i.e</w:t>
      </w:r>
      <w:r w:rsidR="00367BCD">
        <w:t>.,</w:t>
      </w:r>
      <w:r w:rsidR="00C23495">
        <w:t xml:space="preserve"> that trip data can be manipulated to reveal private information about a TNC passenger) and no explanation has been offered for why the authors of the studies could not provide declarations or show that the studies somehow fit within a hearsay exception, the studies are inadmissible hearsay under California law.</w:t>
      </w:r>
    </w:p>
    <w:p w:rsidR="00BB1891" w:rsidP="0080449A" w:rsidRDefault="00C23495" w14:paraId="327A4F1A" w14:textId="3CF2525E">
      <w:pPr>
        <w:pStyle w:val="Standard"/>
      </w:pPr>
      <w:r>
        <w:t>The outcome is the same in proceedings before the Commission, notwithstanding the fact that the Commission utilizes a more relaxed evidentiary admissibility standard</w:t>
      </w:r>
      <w:r w:rsidRPr="00500BCC">
        <w:t xml:space="preserve">. </w:t>
      </w:r>
      <w:r w:rsidRPr="00500BCC" w:rsidR="009B0809">
        <w:t xml:space="preserve"> </w:t>
      </w:r>
      <w:r w:rsidRPr="00500BCC" w:rsidR="00DA0ADF">
        <w:t>In</w:t>
      </w:r>
      <w:r w:rsidR="00DA0ADF">
        <w:t xml:space="preserve"> </w:t>
      </w:r>
      <w:r w:rsidRPr="00BB1891" w:rsidR="00DA0ADF">
        <w:rPr>
          <w:i/>
          <w:iCs/>
        </w:rPr>
        <w:t>Utility Reform Network v. Public Utilities Commission</w:t>
      </w:r>
      <w:r w:rsidR="00DA0ADF">
        <w:t xml:space="preserve"> (2014) 223 Cal.app.4</w:t>
      </w:r>
      <w:r w:rsidRPr="00DA0ADF" w:rsidR="00DA0ADF">
        <w:rPr>
          <w:vertAlign w:val="superscript"/>
        </w:rPr>
        <w:t>th</w:t>
      </w:r>
      <w:r w:rsidR="00DA0ADF">
        <w:t xml:space="preserve"> 945, the Court of Appeal addressed the question of the Commission’s ability to accept and rely of hearsay evidence</w:t>
      </w:r>
      <w:r w:rsidR="000C725D">
        <w:t xml:space="preserve"> as the sole support for its finding on a disputed issue of material fact</w:t>
      </w:r>
      <w:r w:rsidR="00DA0ADF">
        <w:t>.</w:t>
      </w:r>
      <w:r w:rsidR="00056708">
        <w:t xml:space="preserve"> </w:t>
      </w:r>
      <w:r w:rsidR="00DA0ADF">
        <w:t xml:space="preserve"> </w:t>
      </w:r>
    </w:p>
    <w:p w:rsidR="00FB74D6" w:rsidP="0080449A" w:rsidRDefault="00E4617F" w14:paraId="572D8FB3" w14:textId="32B81A86">
      <w:pPr>
        <w:pStyle w:val="Standard"/>
        <w:rPr>
          <w:color w:val="1E1E1E"/>
          <w:szCs w:val="26"/>
          <w:shd w:val="clear" w:color="auto" w:fill="FFFFFF"/>
        </w:rPr>
      </w:pPr>
      <w:r>
        <w:t xml:space="preserve">In resolving the evidentiary objection to relying on evidence from a person who was not present at the hearing, the Court </w:t>
      </w:r>
      <w:r w:rsidR="00FB74D6">
        <w:t xml:space="preserve">of Appeal </w:t>
      </w:r>
      <w:r>
        <w:t>noted</w:t>
      </w:r>
      <w:r w:rsidR="00BB1891">
        <w:t xml:space="preserve"> </w:t>
      </w:r>
      <w:r>
        <w:t xml:space="preserve">that there is a distinction between the admissibility and substantiality of hearsay evidence, </w:t>
      </w:r>
      <w:r>
        <w:lastRenderedPageBreak/>
        <w:t xml:space="preserve">citing to </w:t>
      </w:r>
      <w:r w:rsidRPr="00E4617F">
        <w:rPr>
          <w:i/>
          <w:iCs/>
        </w:rPr>
        <w:t>Gregory v. State Board of Control</w:t>
      </w:r>
      <w:r>
        <w:t xml:space="preserve"> (1999) 73 Cal.App.4</w:t>
      </w:r>
      <w:r w:rsidRPr="00E4617F">
        <w:rPr>
          <w:vertAlign w:val="superscript"/>
        </w:rPr>
        <w:t>th</w:t>
      </w:r>
      <w:r>
        <w:t xml:space="preserve"> 584, 597.</w:t>
      </w:r>
      <w:r w:rsidRPr="00E4617F">
        <w:rPr>
          <w:color w:val="1E1E1E"/>
          <w:sz w:val="22"/>
          <w:shd w:val="clear" w:color="auto" w:fill="FFFFFF"/>
        </w:rPr>
        <w:t xml:space="preserve"> </w:t>
      </w:r>
      <w:r w:rsidR="00056708">
        <w:rPr>
          <w:color w:val="1E1E1E"/>
          <w:sz w:val="22"/>
          <w:shd w:val="clear" w:color="auto" w:fill="FFFFFF"/>
        </w:rPr>
        <w:t xml:space="preserve"> </w:t>
      </w:r>
      <w:r w:rsidRPr="00E4617F">
        <w:t>Hearsay is admissible in an administrative hearing if it is relevant and "the sort of evidence on which responsible persons are accustomed to rely in the conduct of serious affairs[.]" (</w:t>
      </w:r>
      <w:r w:rsidRPr="00FB74D6" w:rsidR="00FB74D6">
        <w:rPr>
          <w:i/>
          <w:iCs/>
        </w:rPr>
        <w:t>Id</w:t>
      </w:r>
      <w:r w:rsidR="00FB74D6">
        <w:t xml:space="preserve">., citing to </w:t>
      </w:r>
      <w:r w:rsidRPr="00E4617F">
        <w:rPr>
          <w:i/>
          <w:iCs/>
        </w:rPr>
        <w:t>Funke v. Department of Motor Vehicles</w:t>
      </w:r>
      <w:r w:rsidRPr="00E4617F">
        <w:t> (1969) </w:t>
      </w:r>
      <w:hyperlink w:history="1" r:id="rId27">
        <w:r w:rsidRPr="00E4617F">
          <w:rPr>
            <w:rStyle w:val="Hyperlink"/>
          </w:rPr>
          <w:t>1 Cal.App.3d 449</w:t>
        </w:r>
      </w:hyperlink>
      <w:r w:rsidRPr="00E4617F">
        <w:t>, 456</w:t>
      </w:r>
      <w:r>
        <w:t>.</w:t>
      </w:r>
      <w:r w:rsidR="000C0B29">
        <w:t xml:space="preserve"> </w:t>
      </w:r>
      <w:r w:rsidR="00056708">
        <w:t xml:space="preserve"> </w:t>
      </w:r>
      <w:r w:rsidR="000C0B29">
        <w:t xml:space="preserve">The Commission has found in prior decisions that it would not rely on  the hearsay opinions of unavailable experts. </w:t>
      </w:r>
      <w:r w:rsidR="00056708">
        <w:t xml:space="preserve"> </w:t>
      </w:r>
      <w:r w:rsidR="000C0B29">
        <w:t>(</w:t>
      </w:r>
      <w:r w:rsidRPr="000C0B29" w:rsidR="000C0B29">
        <w:rPr>
          <w:i/>
          <w:iCs/>
          <w:color w:val="1E1E1E"/>
          <w:szCs w:val="26"/>
          <w:shd w:val="clear" w:color="auto" w:fill="FFFFFF"/>
        </w:rPr>
        <w:t>Cleancraft, Inc. v. San Diego Gas and Electric Co.</w:t>
      </w:r>
      <w:r w:rsidRPr="000C0B29" w:rsidR="000C0B29">
        <w:rPr>
          <w:color w:val="1E1E1E"/>
          <w:szCs w:val="26"/>
          <w:shd w:val="clear" w:color="auto" w:fill="FFFFFF"/>
        </w:rPr>
        <w:t> (1983) 11 Cal.P.U.C.2d 975, 984</w:t>
      </w:r>
      <w:r w:rsidR="00173616">
        <w:rPr>
          <w:color w:val="1E1E1E"/>
          <w:szCs w:val="26"/>
          <w:shd w:val="clear" w:color="auto" w:fill="FFFFFF"/>
        </w:rPr>
        <w:t xml:space="preserve"> [unsubstantiated hearsay not sufficient on its own to establish an essential fact</w:t>
      </w:r>
      <w:r w:rsidRPr="000C0B29" w:rsidR="000C0B29">
        <w:rPr>
          <w:color w:val="1E1E1E"/>
          <w:szCs w:val="26"/>
          <w:shd w:val="clear" w:color="auto" w:fill="FFFFFF"/>
        </w:rPr>
        <w:t xml:space="preserve">.) </w:t>
      </w:r>
      <w:r w:rsidR="00056708">
        <w:rPr>
          <w:color w:val="1E1E1E"/>
          <w:szCs w:val="26"/>
          <w:shd w:val="clear" w:color="auto" w:fill="FFFFFF"/>
        </w:rPr>
        <w:t xml:space="preserve"> </w:t>
      </w:r>
      <w:r w:rsidR="00FB74D6">
        <w:rPr>
          <w:color w:val="1E1E1E"/>
          <w:szCs w:val="26"/>
          <w:shd w:val="clear" w:color="auto" w:fill="FFFFFF"/>
        </w:rPr>
        <w:t xml:space="preserve">Thus, for the Commission to rely on hearsay evidence, </w:t>
      </w:r>
      <w:r w:rsidR="000212A2">
        <w:rPr>
          <w:color w:val="1E1E1E"/>
          <w:szCs w:val="26"/>
          <w:shd w:val="clear" w:color="auto" w:fill="FFFFFF"/>
        </w:rPr>
        <w:t>the evidence must first pass the admissibility test.</w:t>
      </w:r>
    </w:p>
    <w:p w:rsidRPr="000C0B29" w:rsidR="00E4617F" w:rsidP="0080449A" w:rsidRDefault="00BB1891" w14:paraId="3996B112" w14:textId="334847C4">
      <w:pPr>
        <w:pStyle w:val="Standard"/>
      </w:pPr>
      <w:r>
        <w:rPr>
          <w:shd w:val="clear" w:color="auto" w:fill="FFFFFF"/>
        </w:rPr>
        <w:t xml:space="preserve">The Commission finds its decision in </w:t>
      </w:r>
      <w:r w:rsidRPr="00BB1891">
        <w:rPr>
          <w:i/>
          <w:iCs/>
          <w:shd w:val="clear" w:color="auto" w:fill="FFFFFF"/>
        </w:rPr>
        <w:t>Cleancraft</w:t>
      </w:r>
      <w:r>
        <w:rPr>
          <w:shd w:val="clear" w:color="auto" w:fill="FFFFFF"/>
        </w:rPr>
        <w:t xml:space="preserve"> to be applicable here and </w:t>
      </w:r>
      <w:r w:rsidR="00947ED5">
        <w:rPr>
          <w:shd w:val="clear" w:color="auto" w:fill="FFFFFF"/>
        </w:rPr>
        <w:t xml:space="preserve">concludes </w:t>
      </w:r>
      <w:r>
        <w:rPr>
          <w:shd w:val="clear" w:color="auto" w:fill="FFFFFF"/>
        </w:rPr>
        <w:t xml:space="preserve">that the unsworn reports that Lyft references in its </w:t>
      </w:r>
      <w:r w:rsidRPr="00947ED5">
        <w:rPr>
          <w:i/>
          <w:iCs/>
          <w:shd w:val="clear" w:color="auto" w:fill="FFFFFF"/>
        </w:rPr>
        <w:t>Appeal</w:t>
      </w:r>
      <w:r>
        <w:rPr>
          <w:shd w:val="clear" w:color="auto" w:fill="FFFFFF"/>
        </w:rPr>
        <w:t xml:space="preserve"> fail the admissibility test. </w:t>
      </w:r>
      <w:r w:rsidR="00056708">
        <w:rPr>
          <w:shd w:val="clear" w:color="auto" w:fill="FFFFFF"/>
        </w:rPr>
        <w:t xml:space="preserve"> </w:t>
      </w:r>
      <w:r w:rsidR="000C0B29">
        <w:rPr>
          <w:shd w:val="clear" w:color="auto" w:fill="FFFFFF"/>
        </w:rPr>
        <w:t>Lyft is asking the Commission to accept the opinions of authors</w:t>
      </w:r>
      <w:r>
        <w:rPr>
          <w:shd w:val="clear" w:color="auto" w:fill="FFFFFF"/>
        </w:rPr>
        <w:t xml:space="preserve"> who are supposedly experts in the field of data manipulation and extrapolation</w:t>
      </w:r>
      <w:r w:rsidR="000C0B29">
        <w:rPr>
          <w:shd w:val="clear" w:color="auto" w:fill="FFFFFF"/>
        </w:rPr>
        <w:t>, none of whom provided declarations under oath</w:t>
      </w:r>
      <w:r w:rsidR="00947ED5">
        <w:rPr>
          <w:shd w:val="clear" w:color="auto" w:fill="FFFFFF"/>
        </w:rPr>
        <w:t xml:space="preserve">. </w:t>
      </w:r>
      <w:r w:rsidR="00056708">
        <w:rPr>
          <w:shd w:val="clear" w:color="auto" w:fill="FFFFFF"/>
        </w:rPr>
        <w:t xml:space="preserve"> </w:t>
      </w:r>
      <w:r w:rsidR="00947ED5">
        <w:rPr>
          <w:shd w:val="clear" w:color="auto" w:fill="FFFFFF"/>
        </w:rPr>
        <w:t>Lyft offers no explanation why it couldn’t obtain declarations from these authors</w:t>
      </w:r>
      <w:r w:rsidR="000C0B29">
        <w:rPr>
          <w:shd w:val="clear" w:color="auto" w:fill="FFFFFF"/>
        </w:rPr>
        <w:t>,</w:t>
      </w:r>
      <w:r w:rsidR="00947ED5">
        <w:rPr>
          <w:shd w:val="clear" w:color="auto" w:fill="FFFFFF"/>
        </w:rPr>
        <w:t xml:space="preserve"> especially since they would have been offered to resolve a disputed issue—whether trip data is a trade secret. </w:t>
      </w:r>
      <w:r w:rsidR="00056708">
        <w:rPr>
          <w:shd w:val="clear" w:color="auto" w:fill="FFFFFF"/>
        </w:rPr>
        <w:t xml:space="preserve"> </w:t>
      </w:r>
      <w:r w:rsidR="008E54F7">
        <w:rPr>
          <w:shd w:val="clear" w:color="auto" w:fill="FFFFFF"/>
        </w:rPr>
        <w:t>Thus, the Commission</w:t>
      </w:r>
      <w:r w:rsidR="000C0B29">
        <w:rPr>
          <w:shd w:val="clear" w:color="auto" w:fill="FFFFFF"/>
        </w:rPr>
        <w:t xml:space="preserve"> reject</w:t>
      </w:r>
      <w:r w:rsidR="008E54F7">
        <w:rPr>
          <w:shd w:val="clear" w:color="auto" w:fill="FFFFFF"/>
        </w:rPr>
        <w:t>s Lyft’s request to admit and consider these unsworn reports as they are</w:t>
      </w:r>
      <w:r w:rsidR="000C0B29">
        <w:rPr>
          <w:shd w:val="clear" w:color="auto" w:fill="FFFFFF"/>
        </w:rPr>
        <w:t xml:space="preserve"> not the type of evidence the Commission is accustomed to rely</w:t>
      </w:r>
      <w:r w:rsidR="008E54F7">
        <w:rPr>
          <w:shd w:val="clear" w:color="auto" w:fill="FFFFFF"/>
        </w:rPr>
        <w:t>ing</w:t>
      </w:r>
      <w:r w:rsidR="000C0B29">
        <w:rPr>
          <w:shd w:val="clear" w:color="auto" w:fill="FFFFFF"/>
        </w:rPr>
        <w:t xml:space="preserve"> upon to </w:t>
      </w:r>
      <w:r w:rsidR="008E54F7">
        <w:rPr>
          <w:shd w:val="clear" w:color="auto" w:fill="FFFFFF"/>
        </w:rPr>
        <w:t>resolve</w:t>
      </w:r>
      <w:r w:rsidR="000C0B29">
        <w:rPr>
          <w:shd w:val="clear" w:color="auto" w:fill="FFFFFF"/>
        </w:rPr>
        <w:t xml:space="preserve"> a disputed issue of material fact.</w:t>
      </w:r>
      <w:r w:rsidRPr="00EF0B32" w:rsidR="00EF0B32">
        <w:t xml:space="preserve"> </w:t>
      </w:r>
      <w:r w:rsidR="00056708">
        <w:t xml:space="preserve"> </w:t>
      </w:r>
    </w:p>
    <w:p w:rsidR="00E4617F" w:rsidP="0080449A" w:rsidRDefault="00A43A1B" w14:paraId="42B8903E" w14:textId="2E4D42BD">
      <w:pPr>
        <w:pStyle w:val="Standard"/>
      </w:pPr>
      <w:r>
        <w:t>Second, e</w:t>
      </w:r>
      <w:r w:rsidR="008E54F7">
        <w:t xml:space="preserve">ven if the unsworn </w:t>
      </w:r>
      <w:r>
        <w:t xml:space="preserve">hearsay </w:t>
      </w:r>
      <w:r w:rsidR="008E54F7">
        <w:t>reports were admissible, the Commission would not give the reports any weight because they fail the substantiality test.</w:t>
      </w:r>
      <w:r w:rsidR="00B114DA">
        <w:t xml:space="preserve"> </w:t>
      </w:r>
      <w:r w:rsidR="00056708">
        <w:t xml:space="preserve"> </w:t>
      </w:r>
      <w:r w:rsidR="00B114DA">
        <w:t xml:space="preserve">In </w:t>
      </w:r>
      <w:r w:rsidRPr="00B114DA" w:rsidR="00B114DA">
        <w:rPr>
          <w:i/>
          <w:iCs/>
        </w:rPr>
        <w:t>Utility Reform Network</w:t>
      </w:r>
      <w:r w:rsidR="00B114DA">
        <w:t>, the Court offered the following guidance:</w:t>
      </w:r>
    </w:p>
    <w:p w:rsidRPr="00500BCC" w:rsidR="00B114DA" w:rsidP="0080449A" w:rsidRDefault="00B114DA" w14:paraId="3C5D8F2A" w14:textId="03318C32">
      <w:pPr>
        <w:pStyle w:val="standard0"/>
        <w:spacing w:after="120" w:line="240" w:lineRule="auto"/>
        <w:ind w:left="720" w:right="1440" w:firstLine="0"/>
        <w:rPr>
          <w:rFonts w:ascii="Book Antiqua" w:hAnsi="Book Antiqua"/>
        </w:rPr>
      </w:pPr>
      <w:r w:rsidRPr="00B114DA">
        <w:rPr>
          <w:rFonts w:ascii="Book Antiqua" w:hAnsi="Book Antiqua"/>
        </w:rPr>
        <w:lastRenderedPageBreak/>
        <w:t>As the California Supreme Court has explained, "mere admissibility of evidence does not necessarily confer the status of `sufficiency' to support a finding </w:t>
      </w:r>
      <w:r w:rsidRPr="00B114DA">
        <w:rPr>
          <w:rFonts w:ascii="Book Antiqua" w:hAnsi="Book Antiqua"/>
          <w:i/>
          <w:iCs/>
        </w:rPr>
        <w:t>absent other competent evidence.</w:t>
      </w:r>
      <w:r w:rsidRPr="00B114DA">
        <w:rPr>
          <w:rFonts w:ascii="Book Antiqua" w:hAnsi="Book Antiqua"/>
        </w:rPr>
        <w:t xml:space="preserve">" </w:t>
      </w:r>
      <w:r w:rsidR="004259E9">
        <w:rPr>
          <w:rFonts w:ascii="Book Antiqua" w:hAnsi="Book Antiqua"/>
        </w:rPr>
        <w:t xml:space="preserve"> </w:t>
      </w:r>
      <w:r w:rsidRPr="00B114DA">
        <w:rPr>
          <w:rFonts w:ascii="Book Antiqua" w:hAnsi="Book Antiqua"/>
        </w:rPr>
        <w:t>(</w:t>
      </w:r>
      <w:r w:rsidRPr="00B114DA">
        <w:rPr>
          <w:rFonts w:ascii="Book Antiqua" w:hAnsi="Book Antiqua"/>
          <w:i/>
          <w:iCs/>
        </w:rPr>
        <w:t>Daniels v. Department of Motor Vehicles</w:t>
      </w:r>
      <w:r w:rsidRPr="00B114DA">
        <w:rPr>
          <w:rFonts w:ascii="Book Antiqua" w:hAnsi="Book Antiqua"/>
        </w:rPr>
        <w:t> (1983) </w:t>
      </w:r>
      <w:hyperlink w:history="1" r:id="rId28">
        <w:r w:rsidRPr="00B114DA">
          <w:rPr>
            <w:rStyle w:val="Hyperlink"/>
            <w:rFonts w:ascii="Book Antiqua" w:hAnsi="Book Antiqua"/>
          </w:rPr>
          <w:t>33 Cal.3d 532</w:t>
        </w:r>
      </w:hyperlink>
      <w:r w:rsidRPr="00B114DA">
        <w:rPr>
          <w:rFonts w:ascii="Book Antiqua" w:hAnsi="Book Antiqua"/>
        </w:rPr>
        <w:t>, 538, fn. 3 [</w:t>
      </w:r>
      <w:hyperlink w:history="1" r:id="rId29">
        <w:r w:rsidRPr="00B114DA">
          <w:rPr>
            <w:rStyle w:val="Hyperlink"/>
            <w:rFonts w:ascii="Book Antiqua" w:hAnsi="Book Antiqua"/>
          </w:rPr>
          <w:t>189 Cal.Rptr. 512</w:t>
        </w:r>
      </w:hyperlink>
      <w:r w:rsidRPr="00B114DA">
        <w:rPr>
          <w:rFonts w:ascii="Book Antiqua" w:hAnsi="Book Antiqua"/>
        </w:rPr>
        <w:t>, </w:t>
      </w:r>
      <w:hyperlink w:history="1" r:id="rId30">
        <w:r w:rsidRPr="00B114DA">
          <w:rPr>
            <w:rStyle w:val="Hyperlink"/>
            <w:rFonts w:ascii="Book Antiqua" w:hAnsi="Book Antiqua"/>
          </w:rPr>
          <w:t>658 P.2d 1313</w:t>
        </w:r>
      </w:hyperlink>
      <w:r w:rsidRPr="00B114DA">
        <w:rPr>
          <w:rFonts w:ascii="Book Antiqua" w:hAnsi="Book Antiqua"/>
        </w:rPr>
        <w:t>], italics added (</w:t>
      </w:r>
      <w:r w:rsidRPr="00B114DA">
        <w:rPr>
          <w:rFonts w:ascii="Book Antiqua" w:hAnsi="Book Antiqua"/>
          <w:i/>
          <w:iCs/>
        </w:rPr>
        <w:t>Daniels</w:t>
      </w:r>
      <w:r w:rsidRPr="00B114DA">
        <w:rPr>
          <w:rFonts w:ascii="Book Antiqua" w:hAnsi="Book Antiqua"/>
        </w:rPr>
        <w:t xml:space="preserve">).) </w:t>
      </w:r>
      <w:r w:rsidR="004259E9">
        <w:rPr>
          <w:rFonts w:ascii="Book Antiqua" w:hAnsi="Book Antiqua"/>
        </w:rPr>
        <w:t xml:space="preserve"> </w:t>
      </w:r>
      <w:r w:rsidRPr="00B114DA">
        <w:rPr>
          <w:rFonts w:ascii="Book Antiqua" w:hAnsi="Book Antiqua"/>
        </w:rPr>
        <w:t>"There must be substantial evidence to support ... a board's ruling, and hearsay, unless specially permitted by statute, is not competent evidence to that end." (</w:t>
      </w:r>
      <w:r w:rsidRPr="00B114DA">
        <w:rPr>
          <w:rFonts w:ascii="Book Antiqua" w:hAnsi="Book Antiqua"/>
          <w:i/>
          <w:iCs/>
        </w:rPr>
        <w:t>Walker v. City of San Gabriel</w:t>
      </w:r>
      <w:r w:rsidRPr="00B114DA">
        <w:rPr>
          <w:rFonts w:ascii="Book Antiqua" w:hAnsi="Book Antiqua"/>
        </w:rPr>
        <w:t> (1942) 20 Cal.2d 879, 881 [129 P.2d 349] (</w:t>
      </w:r>
      <w:r w:rsidRPr="00B114DA">
        <w:rPr>
          <w:rFonts w:ascii="Book Antiqua" w:hAnsi="Book Antiqua"/>
          <w:i/>
          <w:iCs/>
        </w:rPr>
        <w:t>Walker</w:t>
      </w:r>
      <w:r w:rsidRPr="00B114DA">
        <w:rPr>
          <w:rFonts w:ascii="Book Antiqua" w:hAnsi="Book Antiqua"/>
        </w:rPr>
        <w:t>), overruled on another ground in </w:t>
      </w:r>
      <w:r w:rsidRPr="00B114DA">
        <w:rPr>
          <w:rFonts w:ascii="Book Antiqua" w:hAnsi="Book Antiqua"/>
          <w:i/>
          <w:iCs/>
        </w:rPr>
        <w:t xml:space="preserve">Strumsky v. </w:t>
      </w:r>
      <w:r w:rsidRPr="00500BCC">
        <w:rPr>
          <w:rFonts w:ascii="Book Antiqua" w:hAnsi="Book Antiqua"/>
          <w:i/>
          <w:iCs/>
        </w:rPr>
        <w:t>San</w:t>
      </w:r>
      <w:r w:rsidRPr="00500BCC" w:rsidR="009B0809">
        <w:rPr>
          <w:rFonts w:ascii="Book Antiqua" w:hAnsi="Book Antiqua"/>
          <w:i/>
          <w:iCs/>
        </w:rPr>
        <w:t> </w:t>
      </w:r>
      <w:r w:rsidRPr="00500BCC">
        <w:rPr>
          <w:rFonts w:ascii="Book Antiqua" w:hAnsi="Book Antiqua"/>
          <w:i/>
          <w:iCs/>
        </w:rPr>
        <w:t>Diego County Employees Retirement Assn.</w:t>
      </w:r>
      <w:r w:rsidRPr="00500BCC">
        <w:rPr>
          <w:rFonts w:ascii="Book Antiqua" w:hAnsi="Book Antiqua"/>
        </w:rPr>
        <w:t> (1974) </w:t>
      </w:r>
      <w:hyperlink w:history="1" r:id="rId31">
        <w:r w:rsidRPr="00500BCC">
          <w:rPr>
            <w:rStyle w:val="Hyperlink"/>
            <w:rFonts w:ascii="Book Antiqua" w:hAnsi="Book Antiqua"/>
          </w:rPr>
          <w:t>11 Cal.3d 28</w:t>
        </w:r>
      </w:hyperlink>
      <w:r w:rsidRPr="00500BCC">
        <w:rPr>
          <w:rFonts w:ascii="Book Antiqua" w:hAnsi="Book Antiqua"/>
        </w:rPr>
        <w:t>, 37, 44.</w:t>
      </w:r>
      <w:r w:rsidRPr="00500BCC">
        <w:rPr>
          <w:rStyle w:val="FootnoteReference"/>
          <w:rFonts w:ascii="Book Antiqua" w:hAnsi="Book Antiqua"/>
        </w:rPr>
        <w:footnoteReference w:id="110"/>
      </w:r>
    </w:p>
    <w:p w:rsidRPr="00500BCC" w:rsidR="00B114DA" w:rsidP="00E96D41" w:rsidRDefault="00B114DA" w14:paraId="026B5A49" w14:textId="36C7E3A1">
      <w:pPr>
        <w:pStyle w:val="standard0"/>
        <w:ind w:firstLine="0"/>
        <w:rPr>
          <w:rFonts w:ascii="Book Antiqua" w:hAnsi="Book Antiqua"/>
        </w:rPr>
      </w:pPr>
      <w:r w:rsidRPr="00500BCC">
        <w:rPr>
          <w:rFonts w:ascii="Book Antiqua" w:hAnsi="Book Antiqua"/>
        </w:rPr>
        <w:t>California Courts refer to the substantiality test as the</w:t>
      </w:r>
      <w:r w:rsidRPr="00500BCC">
        <w:rPr>
          <w:rFonts w:ascii="Book Antiqua" w:hAnsi="Book Antiqua" w:eastAsiaTheme="minorHAnsi" w:cstheme="minorBidi"/>
          <w:color w:val="1E1E1E"/>
          <w:sz w:val="22"/>
          <w:szCs w:val="22"/>
          <w:shd w:val="clear" w:color="auto" w:fill="FFFFFF"/>
        </w:rPr>
        <w:t xml:space="preserve"> </w:t>
      </w:r>
      <w:r w:rsidRPr="00500BCC">
        <w:rPr>
          <w:rFonts w:ascii="Book Antiqua" w:hAnsi="Book Antiqua"/>
        </w:rPr>
        <w:t>"residuum rule," under which the substantial evidence supporting an agency's decision must consist of at least "a residuum of legally admissible evidence.</w:t>
      </w:r>
      <w:r w:rsidR="00417DDB">
        <w:rPr>
          <w:rFonts w:ascii="Book Antiqua" w:hAnsi="Book Antiqua"/>
        </w:rPr>
        <w:t>”</w:t>
      </w:r>
      <w:r w:rsidRPr="00500BCC">
        <w:rPr>
          <w:rFonts w:ascii="Book Antiqua" w:hAnsi="Book Antiqua"/>
        </w:rPr>
        <w:t xml:space="preserve"> </w:t>
      </w:r>
      <w:r w:rsidRPr="00500BCC" w:rsidR="00056708">
        <w:rPr>
          <w:rFonts w:ascii="Book Antiqua" w:hAnsi="Book Antiqua"/>
        </w:rPr>
        <w:t xml:space="preserve"> </w:t>
      </w:r>
      <w:r w:rsidRPr="00500BCC">
        <w:rPr>
          <w:rFonts w:ascii="Book Antiqua" w:hAnsi="Book Antiqua"/>
        </w:rPr>
        <w:t>(223 Cal.App.4</w:t>
      </w:r>
      <w:r w:rsidRPr="00500BCC">
        <w:rPr>
          <w:rFonts w:ascii="Book Antiqua" w:hAnsi="Book Antiqua"/>
          <w:vertAlign w:val="superscript"/>
        </w:rPr>
        <w:t>th</w:t>
      </w:r>
      <w:r w:rsidRPr="00500BCC">
        <w:rPr>
          <w:rFonts w:ascii="Book Antiqua" w:hAnsi="Book Antiqua"/>
        </w:rPr>
        <w:t>, at 960-961.)</w:t>
      </w:r>
    </w:p>
    <w:p w:rsidR="00404F2B" w:rsidP="004259E9" w:rsidRDefault="00EF0B32" w14:paraId="71D36763" w14:textId="76F5F6C7">
      <w:pPr>
        <w:pStyle w:val="Standard"/>
      </w:pPr>
      <w:r w:rsidRPr="00500BCC">
        <w:t xml:space="preserve">The Commission must determine if there is other competent substantial evidence to support Lyft’s contention that trip data is a trade </w:t>
      </w:r>
      <w:r w:rsidRPr="00500BCC" w:rsidR="00404F2B">
        <w:t>secret,</w:t>
      </w:r>
      <w:r w:rsidRPr="00500BCC">
        <w:t xml:space="preserve"> and the answer is no. </w:t>
      </w:r>
      <w:r w:rsidRPr="00500BCC" w:rsidR="00056708">
        <w:t xml:space="preserve"> </w:t>
      </w:r>
      <w:r w:rsidRPr="00500BCC">
        <w:t xml:space="preserve">First, as the Commission explained, </w:t>
      </w:r>
      <w:r w:rsidRPr="00500BCC">
        <w:rPr>
          <w:i/>
          <w:iCs/>
        </w:rPr>
        <w:t>supra</w:t>
      </w:r>
      <w:r w:rsidRPr="00500BCC">
        <w:t xml:space="preserve">, the flaws in the Collins Declaration </w:t>
      </w:r>
      <w:r w:rsidR="00F11AEB">
        <w:t xml:space="preserve">are fatal to Lyft’s assertion that </w:t>
      </w:r>
      <w:r w:rsidRPr="00500BCC">
        <w:t xml:space="preserve"> trip data is trade secret protected.</w:t>
      </w:r>
      <w:r w:rsidRPr="00500BCC" w:rsidR="009B0809">
        <w:t xml:space="preserve"> </w:t>
      </w:r>
      <w:r w:rsidRPr="00500BCC" w:rsidR="00404F2B">
        <w:t xml:space="preserve"> </w:t>
      </w:r>
      <w:r w:rsidRPr="00500BCC">
        <w:t xml:space="preserve">Second, </w:t>
      </w:r>
      <w:r w:rsidRPr="00500BCC" w:rsidR="00404F2B">
        <w:t xml:space="preserve">as for the US Census Bureau information that Lyft attached as Exhibit A to its </w:t>
      </w:r>
      <w:r w:rsidRPr="00500BCC" w:rsidR="00404F2B">
        <w:rPr>
          <w:i/>
          <w:iCs/>
        </w:rPr>
        <w:t>Appeal</w:t>
      </w:r>
      <w:r w:rsidRPr="00500BCC" w:rsidR="00404F2B">
        <w:t>,</w:t>
      </w:r>
      <w:r w:rsidR="00404F2B">
        <w:t xml:space="preserve"> Lyft does not document that its passengers have requested Lyft rides to or from the census blocks that Lyft argues contain small numbers of households that would make it easy to identify a passenger’s identity. </w:t>
      </w:r>
      <w:r w:rsidR="00056708">
        <w:t xml:space="preserve"> </w:t>
      </w:r>
      <w:r w:rsidR="00404F2B">
        <w:t>Moreover, while the Commission takes official notice of the existence of census blocks, it does not take official notice of the Disclosure Avoidance Modernization project that Lyft cites to as it is inadmissible hearsay.</w:t>
      </w:r>
    </w:p>
    <w:p w:rsidR="002D0460" w:rsidP="004259E9" w:rsidRDefault="00BA30D6" w14:paraId="4DE535C8" w14:textId="5A7FA1F0">
      <w:pPr>
        <w:pStyle w:val="Standard"/>
      </w:pPr>
      <w:r>
        <w:lastRenderedPageBreak/>
        <w:t xml:space="preserve">In addition to </w:t>
      </w:r>
      <w:r w:rsidR="00F11AEB">
        <w:t xml:space="preserve">the </w:t>
      </w:r>
      <w:r>
        <w:t xml:space="preserve">hearsay problems attendant to </w:t>
      </w:r>
      <w:r w:rsidR="002D0460">
        <w:t>the studies</w:t>
      </w:r>
      <w:r>
        <w:t xml:space="preserve"> that Lyft proffered,</w:t>
      </w:r>
      <w:r w:rsidR="002D0460">
        <w:t xml:space="preserve"> </w:t>
      </w:r>
      <w:r w:rsidR="00635052">
        <w:t xml:space="preserve">Lyft has not carried its burden of proof because </w:t>
      </w:r>
      <w:r w:rsidR="002D0460">
        <w:t xml:space="preserve">the arguments </w:t>
      </w:r>
      <w:r w:rsidR="00933B56">
        <w:t>regarding harm to Lyft’s passengers if trip data were released</w:t>
      </w:r>
      <w:r w:rsidR="002D0460">
        <w:t xml:space="preserve"> are speculative at best. </w:t>
      </w:r>
      <w:r w:rsidR="00056708">
        <w:t xml:space="preserve"> </w:t>
      </w:r>
      <w:r w:rsidR="002D0460">
        <w:t xml:space="preserve">That is why the Commission italicized the words “potentially” in Lyft’s </w:t>
      </w:r>
      <w:r w:rsidRPr="005663CD" w:rsidR="002D0460">
        <w:rPr>
          <w:i/>
          <w:iCs/>
        </w:rPr>
        <w:t>Motion</w:t>
      </w:r>
      <w:r w:rsidR="002D0460">
        <w:t xml:space="preserve"> and “might” in Lyft’s </w:t>
      </w:r>
      <w:r w:rsidRPr="005663CD" w:rsidR="002D0460">
        <w:rPr>
          <w:i/>
          <w:iCs/>
        </w:rPr>
        <w:t>Appeal</w:t>
      </w:r>
      <w:r w:rsidR="002D0460">
        <w:t>—they under</w:t>
      </w:r>
      <w:r w:rsidR="00F11AEB">
        <w:t xml:space="preserve">score </w:t>
      </w:r>
      <w:r w:rsidR="002D0460">
        <w:t xml:space="preserve"> the speculative nature of the harm that </w:t>
      </w:r>
      <w:r w:rsidR="005663CD">
        <w:t xml:space="preserve">Lyft claims </w:t>
      </w:r>
      <w:r w:rsidR="002D0460">
        <w:t>might befall passengers who avail themselves of the Lyft app for transportation</w:t>
      </w:r>
      <w:r w:rsidR="005663CD">
        <w:t xml:space="preserve"> and </w:t>
      </w:r>
      <w:r w:rsidR="008E54F7">
        <w:t xml:space="preserve">if </w:t>
      </w:r>
      <w:r w:rsidR="005663CD">
        <w:t>the</w:t>
      </w:r>
      <w:r w:rsidR="008E54F7">
        <w:t>ir</w:t>
      </w:r>
      <w:r w:rsidR="005663CD">
        <w:t xml:space="preserve"> trip data is disclosed</w:t>
      </w:r>
      <w:r w:rsidR="002D0460">
        <w:t xml:space="preserve">.  </w:t>
      </w:r>
      <w:r w:rsidR="00B82D7B">
        <w:t xml:space="preserve">Put another way, Lyft has failed to present </w:t>
      </w:r>
      <w:r w:rsidRPr="00635052" w:rsidR="00B82D7B">
        <w:rPr>
          <w:i/>
          <w:iCs/>
        </w:rPr>
        <w:t>any</w:t>
      </w:r>
      <w:r w:rsidR="00B82D7B">
        <w:t xml:space="preserve"> admissible evidence that the public interest favoring nondisclosure greatly outweighs the public interest favoring disclosure.</w:t>
      </w:r>
    </w:p>
    <w:p w:rsidR="002B589C" w:rsidP="004259E9" w:rsidRDefault="00F11AEB" w14:paraId="2F19605F" w14:textId="06325CC0">
      <w:pPr>
        <w:pStyle w:val="Standard"/>
      </w:pPr>
      <w:r>
        <w:t xml:space="preserve">The Commission is on solid legal ground in rejecting Lyft’s request to keep trip data confidential. </w:t>
      </w:r>
      <w:r w:rsidR="00E81372">
        <w:t xml:space="preserve">In </w:t>
      </w:r>
      <w:r w:rsidRPr="005663CD" w:rsidR="00E81372">
        <w:rPr>
          <w:i/>
          <w:iCs/>
        </w:rPr>
        <w:t>Humane Society</w:t>
      </w:r>
      <w:r w:rsidR="00E81372">
        <w:t>, the Court cautioned against</w:t>
      </w:r>
      <w:r w:rsidR="003F50D4">
        <w:t xml:space="preserve"> accepting as true</w:t>
      </w:r>
      <w:r w:rsidR="00E81372">
        <w:t xml:space="preserve"> unsubstantiated invasion of privacy claims as a basis for invoking </w:t>
      </w:r>
      <w:r w:rsidRPr="00042A5C" w:rsidR="00E81372">
        <w:t xml:space="preserve">Government Code </w:t>
      </w:r>
      <w:r w:rsidR="00E81372">
        <w:t>§ 6255(a)</w:t>
      </w:r>
      <w:r w:rsidR="005663CD">
        <w:t>:</w:t>
      </w:r>
    </w:p>
    <w:p w:rsidRPr="00042A5C" w:rsidR="005663CD" w:rsidP="009B0809" w:rsidRDefault="005663CD" w14:paraId="4B1D04DC" w14:textId="277EAFB2">
      <w:pPr>
        <w:pStyle w:val="standard0"/>
        <w:spacing w:after="120" w:line="240" w:lineRule="auto"/>
        <w:ind w:left="720" w:right="1440" w:firstLine="0"/>
        <w:rPr>
          <w:rFonts w:ascii="Book Antiqua" w:hAnsi="Book Antiqua"/>
        </w:rPr>
      </w:pPr>
      <w:r w:rsidRPr="00500BCC">
        <w:rPr>
          <w:rFonts w:ascii="Book Antiqua" w:hAnsi="Book Antiqua"/>
        </w:rPr>
        <w:t>HSUS relies on an Attorney General opinion (81</w:t>
      </w:r>
      <w:r w:rsidRPr="00500BCC" w:rsidR="009B0809">
        <w:rPr>
          <w:rFonts w:ascii="Book Antiqua" w:hAnsi="Book Antiqua"/>
        </w:rPr>
        <w:t> </w:t>
      </w:r>
      <w:r w:rsidRPr="00500BCC">
        <w:rPr>
          <w:rFonts w:ascii="Book Antiqua" w:hAnsi="Book Antiqua"/>
        </w:rPr>
        <w:t xml:space="preserve">Ops.Cal.Atty.Gen. 383 (1998)) that says speculation is not a basis for denying disclosure. </w:t>
      </w:r>
      <w:r w:rsidRPr="00500BCC" w:rsidR="00056708">
        <w:rPr>
          <w:rFonts w:ascii="Book Antiqua" w:hAnsi="Book Antiqua"/>
        </w:rPr>
        <w:t xml:space="preserve"> </w:t>
      </w:r>
      <w:r w:rsidRPr="00500BCC">
        <w:rPr>
          <w:rFonts w:ascii="Book Antiqua" w:hAnsi="Book Antiqua"/>
        </w:rPr>
        <w:t xml:space="preserve">As reflected in that opinion, the Attorney General was asked whether senior citizens' claims for parcel tax exemptions levied by a school district are subject to public inspection. </w:t>
      </w:r>
      <w:r w:rsidRPr="00500BCC" w:rsidR="009B0809">
        <w:rPr>
          <w:rFonts w:ascii="Book Antiqua" w:hAnsi="Book Antiqua"/>
        </w:rPr>
        <w:t xml:space="preserve"> </w:t>
      </w:r>
      <w:r w:rsidRPr="00500BCC">
        <w:rPr>
          <w:rFonts w:ascii="Book Antiqua" w:hAnsi="Book Antiqua"/>
        </w:rPr>
        <w:t xml:space="preserve">Balancing the interests, the Attorney General concluded that the claims must be disclosed. </w:t>
      </w:r>
      <w:r w:rsidRPr="00500BCC" w:rsidR="004259E9">
        <w:rPr>
          <w:rFonts w:ascii="Book Antiqua" w:hAnsi="Book Antiqua"/>
        </w:rPr>
        <w:t xml:space="preserve"> </w:t>
      </w:r>
      <w:r w:rsidRPr="00500BCC">
        <w:rPr>
          <w:rFonts w:ascii="Book Antiqua" w:hAnsi="Book Antiqua"/>
        </w:rPr>
        <w:t xml:space="preserve">Regarding the interests on the nondisclosure side of the balance, the Attorney General observed, "if the information in question is not disclosed, the rights of privacy of the senior citizens in the district would be protected. </w:t>
      </w:r>
      <w:r w:rsidRPr="00500BCC" w:rsidR="009B0809">
        <w:rPr>
          <w:rFonts w:ascii="Book Antiqua" w:hAnsi="Book Antiqua"/>
        </w:rPr>
        <w:t xml:space="preserve"> </w:t>
      </w:r>
      <w:r w:rsidRPr="00500BCC">
        <w:rPr>
          <w:rFonts w:ascii="Book Antiqua" w:hAnsi="Book Antiqua"/>
        </w:rPr>
        <w:t xml:space="preserve">Arguably, they would not be subject to unwanted solicitations directed to them due solely to their having surpassed the age of 65. </w:t>
      </w:r>
      <w:r w:rsidRPr="00500BCC" w:rsidR="009B0809">
        <w:rPr>
          <w:rFonts w:ascii="Book Antiqua" w:hAnsi="Book Antiqua"/>
        </w:rPr>
        <w:t xml:space="preserve"> </w:t>
      </w:r>
      <w:r w:rsidRPr="00500BCC">
        <w:rPr>
          <w:rFonts w:ascii="Book Antiqua" w:hAnsi="Book Antiqua"/>
        </w:rPr>
        <w:t xml:space="preserve">Such speculation, however, is not a basis for denying disclosure under the terms of section 6255." </w:t>
      </w:r>
      <w:r w:rsidRPr="00500BCC" w:rsidR="00056708">
        <w:rPr>
          <w:rFonts w:ascii="Book Antiqua" w:hAnsi="Book Antiqua"/>
        </w:rPr>
        <w:t xml:space="preserve"> </w:t>
      </w:r>
      <w:r w:rsidRPr="00500BCC">
        <w:rPr>
          <w:rFonts w:ascii="Book Antiqua" w:hAnsi="Book Antiqua"/>
        </w:rPr>
        <w:t>(81</w:t>
      </w:r>
      <w:r w:rsidRPr="00500BCC" w:rsidR="009B0809">
        <w:rPr>
          <w:rFonts w:ascii="Book Antiqua" w:hAnsi="Book Antiqua"/>
        </w:rPr>
        <w:t> </w:t>
      </w:r>
      <w:r w:rsidRPr="00500BCC">
        <w:rPr>
          <w:rFonts w:ascii="Book Antiqua" w:hAnsi="Book Antiqua"/>
        </w:rPr>
        <w:t>Ops.Cal.Atty.Gen., </w:t>
      </w:r>
      <w:r w:rsidRPr="00500BCC">
        <w:rPr>
          <w:rFonts w:ascii="Book Antiqua" w:hAnsi="Book Antiqua"/>
          <w:i/>
          <w:iCs/>
        </w:rPr>
        <w:t>supra,</w:t>
      </w:r>
      <w:r w:rsidRPr="00500BCC">
        <w:rPr>
          <w:rFonts w:ascii="Book Antiqua" w:hAnsi="Book Antiqua"/>
        </w:rPr>
        <w:t> at p.</w:t>
      </w:r>
      <w:r w:rsidRPr="00500BCC" w:rsidR="00056708">
        <w:rPr>
          <w:rFonts w:ascii="Book Antiqua" w:hAnsi="Book Antiqua"/>
        </w:rPr>
        <w:t> </w:t>
      </w:r>
      <w:r w:rsidRPr="00500BCC">
        <w:rPr>
          <w:rFonts w:ascii="Book Antiqua" w:hAnsi="Book Antiqua"/>
        </w:rPr>
        <w:t xml:space="preserve">387.) </w:t>
      </w:r>
      <w:r w:rsidRPr="00500BCC" w:rsidR="00056708">
        <w:rPr>
          <w:rFonts w:ascii="Book Antiqua" w:hAnsi="Book Antiqua"/>
        </w:rPr>
        <w:t xml:space="preserve"> </w:t>
      </w:r>
      <w:r w:rsidRPr="00500BCC">
        <w:rPr>
          <w:rFonts w:ascii="Book Antiqua" w:hAnsi="Book Antiqua"/>
        </w:rPr>
        <w:t xml:space="preserve">Thus, the privacy </w:t>
      </w:r>
      <w:r w:rsidRPr="00500BCC">
        <w:rPr>
          <w:rFonts w:ascii="Book Antiqua" w:hAnsi="Book Antiqua"/>
        </w:rPr>
        <w:lastRenderedPageBreak/>
        <w:t>concern noted by the Attorney General was nothing more than an unsubstantiated fear, not supported by evidence.</w:t>
      </w:r>
      <w:r w:rsidRPr="00500BCC">
        <w:rPr>
          <w:rStyle w:val="FootnoteReference"/>
          <w:rFonts w:ascii="Book Antiqua" w:hAnsi="Book Antiqua"/>
        </w:rPr>
        <w:footnoteReference w:id="111"/>
      </w:r>
    </w:p>
    <w:p w:rsidR="00681DBF" w:rsidP="004259E9" w:rsidRDefault="003F50D4" w14:paraId="3B3F8F19" w14:textId="69DE934D">
      <w:pPr>
        <w:pStyle w:val="Standard"/>
        <w:ind w:firstLine="0"/>
      </w:pPr>
      <w:r>
        <w:t xml:space="preserve">Other decisions </w:t>
      </w:r>
      <w:r w:rsidR="004A2D47">
        <w:t xml:space="preserve">have also rejected catch-all exemption claims based on speculative assertions of privacy invasions. </w:t>
      </w:r>
      <w:r w:rsidR="00056708">
        <w:t xml:space="preserve"> </w:t>
      </w:r>
      <w:r w:rsidR="004A2D47">
        <w:t>(</w:t>
      </w:r>
      <w:r w:rsidRPr="00F824F3" w:rsidR="004A2D47">
        <w:rPr>
          <w:i/>
          <w:iCs/>
        </w:rPr>
        <w:t xml:space="preserve">See </w:t>
      </w:r>
      <w:r w:rsidRPr="00F824F3" w:rsidR="00F824F3">
        <w:rPr>
          <w:i/>
          <w:iCs/>
        </w:rPr>
        <w:t>CBS v. Block</w:t>
      </w:r>
      <w:r w:rsidR="00F824F3">
        <w:t xml:space="preserve"> (1986) 42 Cal.3d 646, 652</w:t>
      </w:r>
      <w:r w:rsidR="00B4554D">
        <w:t>;</w:t>
      </w:r>
      <w:r w:rsidR="00F824F3">
        <w:t xml:space="preserve"> </w:t>
      </w:r>
      <w:r w:rsidRPr="00652AE9" w:rsidR="00F824F3">
        <w:rPr>
          <w:i/>
          <w:iCs/>
        </w:rPr>
        <w:t>New York Times Co. v. Superior Court</w:t>
      </w:r>
      <w:r w:rsidR="00F824F3">
        <w:t xml:space="preserve"> (1990) 218 Cal.App.3d 1579, 1581</w:t>
      </w:r>
      <w:r w:rsidR="00E773A2">
        <w:t>, 1586</w:t>
      </w:r>
      <w:r w:rsidR="00B4554D">
        <w:t>;</w:t>
      </w:r>
      <w:r w:rsidR="00E773A2">
        <w:t xml:space="preserve"> and </w:t>
      </w:r>
      <w:r w:rsidRPr="00CD20C7" w:rsidR="00E773A2">
        <w:rPr>
          <w:i/>
          <w:iCs/>
        </w:rPr>
        <w:t>California State University, Fresno Association, Inc. v. Superior Court</w:t>
      </w:r>
      <w:r w:rsidR="00E773A2">
        <w:t xml:space="preserve"> (2001) 90 Cal.App.4</w:t>
      </w:r>
      <w:r w:rsidRPr="00E773A2" w:rsidR="00E773A2">
        <w:rPr>
          <w:vertAlign w:val="superscript"/>
        </w:rPr>
        <w:t>th</w:t>
      </w:r>
      <w:r w:rsidR="00E773A2">
        <w:t xml:space="preserve"> 810, </w:t>
      </w:r>
      <w:r w:rsidR="00352EA2">
        <w:t>835</w:t>
      </w:r>
      <w:r w:rsidR="00B4554D">
        <w:t>.)</w:t>
      </w:r>
      <w:r w:rsidR="00352EA2">
        <w:t xml:space="preserve"> </w:t>
      </w:r>
    </w:p>
    <w:p w:rsidR="00681DBF" w:rsidP="004259E9" w:rsidRDefault="00CD20C7" w14:paraId="64AA15C9" w14:textId="0E96CE69">
      <w:pPr>
        <w:pStyle w:val="Standard"/>
      </w:pPr>
      <w:r>
        <w:t xml:space="preserve">The Commission considers the foregoing authorities instructive. </w:t>
      </w:r>
      <w:r w:rsidR="0061548B">
        <w:t xml:space="preserve"> </w:t>
      </w:r>
      <w:r w:rsidR="00681DBF">
        <w:t xml:space="preserve">The “likely” claim that </w:t>
      </w:r>
      <w:r w:rsidRPr="00CD20C7">
        <w:rPr>
          <w:i/>
          <w:iCs/>
        </w:rPr>
        <w:t>California State University</w:t>
      </w:r>
      <w:r w:rsidR="00681DBF">
        <w:t xml:space="preserve"> rejected as legally insufficient is synonymous to Lyft’s claims of privacy invasion that are couched around the words “potentially’ and “might</w:t>
      </w:r>
      <w:r w:rsidR="00B82D7B">
        <w:t xml:space="preserve">.” </w:t>
      </w:r>
      <w:r w:rsidR="0061548B">
        <w:t xml:space="preserve"> </w:t>
      </w:r>
      <w:r w:rsidR="00B82D7B">
        <w:t xml:space="preserve">In both </w:t>
      </w:r>
      <w:r w:rsidRPr="00CD20C7" w:rsidR="00B82D7B">
        <w:rPr>
          <w:i/>
          <w:iCs/>
        </w:rPr>
        <w:t>California State University</w:t>
      </w:r>
      <w:r w:rsidR="00B82D7B">
        <w:t xml:space="preserve"> and here, the claims are speculative and supported only by inadmissible hearsa</w:t>
      </w:r>
      <w:r>
        <w:t xml:space="preserve">y. </w:t>
      </w:r>
      <w:r w:rsidR="0061548B">
        <w:t xml:space="preserve"> </w:t>
      </w:r>
      <w:r>
        <w:t>Similarly</w:t>
      </w:r>
      <w:r w:rsidR="00652AE9">
        <w:t>,</w:t>
      </w:r>
      <w:r>
        <w:t xml:space="preserve"> </w:t>
      </w:r>
      <w:r w:rsidRPr="00652AE9">
        <w:rPr>
          <w:i/>
          <w:iCs/>
        </w:rPr>
        <w:t>CBS</w:t>
      </w:r>
      <w:r>
        <w:t xml:space="preserve">’ </w:t>
      </w:r>
      <w:r w:rsidR="00652AE9">
        <w:t xml:space="preserve">and </w:t>
      </w:r>
      <w:r w:rsidRPr="00652AE9" w:rsidR="00652AE9">
        <w:rPr>
          <w:i/>
          <w:iCs/>
        </w:rPr>
        <w:t>New York Times’</w:t>
      </w:r>
      <w:r w:rsidR="00652AE9">
        <w:t xml:space="preserve"> </w:t>
      </w:r>
      <w:r>
        <w:t>rejection of the applicability of the catch-all exception based on the claim of “possible endangerment”</w:t>
      </w:r>
      <w:r w:rsidR="00652AE9">
        <w:t xml:space="preserve"> and “could expose,”respectively,</w:t>
      </w:r>
      <w:r>
        <w:t xml:space="preserve"> is the equivalent of Lyft’s use of the phrase “potentially</w:t>
      </w:r>
      <w:r w:rsidRPr="00652AE9" w:rsidR="00652AE9">
        <w:t xml:space="preserve"> </w:t>
      </w:r>
      <w:r w:rsidR="00652AE9">
        <w:t xml:space="preserve">disclosing extremely sensitive private details.” </w:t>
      </w:r>
      <w:r w:rsidR="0061548B">
        <w:t xml:space="preserve"> </w:t>
      </w:r>
      <w:r w:rsidR="00652AE9">
        <w:t>In sum, based on our review of the evidentiary record, the Commission concludes that Lyft has failed to carry its burden of proving that the public interest from nondisclosure of the trip data greatly outweighs the public interest from disclosure of the trip data.</w:t>
      </w:r>
    </w:p>
    <w:p w:rsidRPr="00635052" w:rsidR="00635052" w:rsidP="007D35E1" w:rsidRDefault="007D35E1" w14:paraId="175AF99B" w14:textId="04084430">
      <w:pPr>
        <w:pStyle w:val="Heading4"/>
      </w:pPr>
      <w:bookmarkStart w:name="_Toc82193585" w:id="79"/>
      <w:bookmarkStart w:name="_Toc94682548" w:id="80"/>
      <w:bookmarkStart w:name="_Toc102479677" w:id="81"/>
      <w:r>
        <w:t>The P</w:t>
      </w:r>
      <w:r w:rsidRPr="00635052" w:rsidR="00635052">
        <w:t>ublic</w:t>
      </w:r>
      <w:r>
        <w:t>’s</w:t>
      </w:r>
      <w:r w:rsidRPr="00635052" w:rsidR="00635052">
        <w:t xml:space="preserve"> </w:t>
      </w:r>
      <w:r>
        <w:t>I</w:t>
      </w:r>
      <w:r w:rsidRPr="00635052" w:rsidR="00635052">
        <w:t xml:space="preserve">nterest in </w:t>
      </w:r>
      <w:r>
        <w:t>D</w:t>
      </w:r>
      <w:r w:rsidRPr="00635052" w:rsidR="00635052">
        <w:t>isclosure</w:t>
      </w:r>
      <w:r w:rsidR="00031EEF">
        <w:t xml:space="preserve"> of Lyft’s </w:t>
      </w:r>
      <w:r w:rsidR="0089758D">
        <w:t>T</w:t>
      </w:r>
      <w:r w:rsidR="00031EEF">
        <w:t xml:space="preserve">rip </w:t>
      </w:r>
      <w:r w:rsidR="0089758D">
        <w:t>D</w:t>
      </w:r>
      <w:r w:rsidR="00031EEF">
        <w:t xml:space="preserve">ata </w:t>
      </w:r>
      <w:r w:rsidR="0089758D">
        <w:t>G</w:t>
      </w:r>
      <w:r w:rsidR="00031EEF">
        <w:t xml:space="preserve">reatly </w:t>
      </w:r>
      <w:r w:rsidR="0089758D">
        <w:t>O</w:t>
      </w:r>
      <w:r w:rsidR="00031EEF">
        <w:t xml:space="preserve">utweighs </w:t>
      </w:r>
      <w:r w:rsidR="0089758D">
        <w:t>N</w:t>
      </w:r>
      <w:r w:rsidR="00031EEF">
        <w:t>ondisclosure</w:t>
      </w:r>
      <w:r w:rsidRPr="00635052" w:rsidR="00635052">
        <w:t>.</w:t>
      </w:r>
      <w:bookmarkEnd w:id="79"/>
      <w:bookmarkEnd w:id="80"/>
      <w:bookmarkEnd w:id="81"/>
    </w:p>
    <w:p w:rsidR="00A51822" w:rsidP="004259E9" w:rsidRDefault="00A51822" w14:paraId="3D07DCBF" w14:textId="261BA87E">
      <w:pPr>
        <w:pStyle w:val="Standard"/>
      </w:pPr>
      <w:r>
        <w:t xml:space="preserve">In </w:t>
      </w:r>
      <w:r w:rsidRPr="00A51822">
        <w:rPr>
          <w:i/>
          <w:iCs/>
        </w:rPr>
        <w:t>International Federation of Professional Technical Engineers v. Superior Court</w:t>
      </w:r>
      <w:r>
        <w:t xml:space="preserve"> (2007) 42 Cal.4</w:t>
      </w:r>
      <w:r w:rsidRPr="00A51822">
        <w:rPr>
          <w:vertAlign w:val="superscript"/>
        </w:rPr>
        <w:t>th</w:t>
      </w:r>
      <w:r>
        <w:t xml:space="preserve"> 319, 328-329, the California Supreme Court spoke to the essential value of an open government, which includes access to government records:</w:t>
      </w:r>
    </w:p>
    <w:p w:rsidR="00A51822" w:rsidP="004259E9" w:rsidRDefault="00A51822" w14:paraId="0E1BAF4F" w14:textId="1D03DB27">
      <w:pPr>
        <w:spacing w:after="120" w:line="240" w:lineRule="auto"/>
        <w:ind w:left="720" w:right="1440" w:firstLine="0"/>
      </w:pPr>
      <w:r w:rsidRPr="00A51822">
        <w:lastRenderedPageBreak/>
        <w:t xml:space="preserve">Openness in government is essential to the functioning of a democracy. </w:t>
      </w:r>
      <w:r w:rsidR="004259E9">
        <w:t xml:space="preserve"> </w:t>
      </w:r>
      <w:r w:rsidRPr="00A51822">
        <w:t xml:space="preserve">"Implicit in the democratic process is the notion that government should be accountable for its actions. </w:t>
      </w:r>
      <w:r w:rsidR="004259E9">
        <w:t xml:space="preserve"> </w:t>
      </w:r>
      <w:r w:rsidRPr="00A51822">
        <w:t xml:space="preserve">In order to verify accountability, individuals must have access to government files. </w:t>
      </w:r>
      <w:r w:rsidR="004259E9">
        <w:t xml:space="preserve"> </w:t>
      </w:r>
      <w:r w:rsidRPr="00A51822">
        <w:t>Such access permits checks against the arbitrary exercise of official power and secrecy in the political process</w:t>
      </w:r>
      <w:r>
        <w:t>….</w:t>
      </w:r>
    </w:p>
    <w:p w:rsidR="00A51822" w:rsidP="004259E9" w:rsidRDefault="00A51822" w14:paraId="4B453B55" w14:textId="37FB2E80">
      <w:pPr>
        <w:spacing w:after="120" w:line="240" w:lineRule="auto"/>
        <w:ind w:left="720" w:right="1440" w:firstLine="0"/>
      </w:pPr>
      <w:r w:rsidRPr="00A51822">
        <w:t xml:space="preserve">As the result of an initiative adopted by the voters in 2004, this principle is now enshrined in the state Constitution: </w:t>
      </w:r>
      <w:r w:rsidR="004259E9">
        <w:t xml:space="preserve"> </w:t>
      </w:r>
      <w:r w:rsidRPr="00A51822">
        <w:t>"The people have the right of access to information concerning the conduct of the people's business, and therefore, . . . the writings of public officials and agencies shall be open to public scrutiny." (</w:t>
      </w:r>
      <w:hyperlink w:history="1" r:id="rId32">
        <w:r w:rsidRPr="00A51822">
          <w:rPr>
            <w:rStyle w:val="Hyperlink"/>
          </w:rPr>
          <w:t>Cal. Const., art. I, § 3, subd. (b)</w:t>
        </w:r>
      </w:hyperlink>
      <w:r w:rsidRPr="00A51822">
        <w:t>( 1).)</w:t>
      </w:r>
    </w:p>
    <w:p w:rsidR="00A51822" w:rsidP="000318DC" w:rsidRDefault="000318DC" w14:paraId="2FA4F3C6" w14:textId="69641C49">
      <w:pPr>
        <w:ind w:firstLine="0"/>
      </w:pPr>
      <w:r>
        <w:t>In the case of the Commission, regulatory transparency is essential to the public’s understanding as to how the Commission is performing its responsibility of regulating entities under its jurisdiction, and to instilling confidence in the public that the Commission is ensuring that entities under the Commission’s control are providing services to Californians in a safe, reliable, and nondiscriminatory manner.</w:t>
      </w:r>
    </w:p>
    <w:p w:rsidR="004D1493" w:rsidP="004259E9" w:rsidRDefault="004D1493" w14:paraId="77F77B53" w14:textId="77777777">
      <w:pPr>
        <w:pStyle w:val="Standard"/>
      </w:pPr>
      <w:r>
        <w:t xml:space="preserve">When faced with a claim that the catch-all exemption prevents the disclosure of documents in the government’s possession, </w:t>
      </w:r>
      <w:r w:rsidRPr="004D1493">
        <w:rPr>
          <w:i/>
          <w:iCs/>
        </w:rPr>
        <w:t>Humane Society</w:t>
      </w:r>
      <w:r>
        <w:t xml:space="preserve"> teaches us on how to balance the two conflicting interests: </w:t>
      </w:r>
    </w:p>
    <w:p w:rsidRPr="004D1493" w:rsidR="004D1493" w:rsidP="004259E9" w:rsidRDefault="004D1493" w14:paraId="0F363F8A" w14:textId="5379052E">
      <w:pPr>
        <w:spacing w:after="120" w:line="240" w:lineRule="auto"/>
        <w:ind w:left="720" w:right="1440" w:firstLine="0"/>
      </w:pPr>
      <w:r w:rsidRPr="004D1493">
        <w:t>If the records sought pertain to the conduct of the people's business there </w:t>
      </w:r>
      <w:r w:rsidRPr="004D1493">
        <w:rPr>
          <w:i/>
          <w:iCs/>
        </w:rPr>
        <w:t>is</w:t>
      </w:r>
      <w:r w:rsidRPr="004D1493">
        <w:t xml:space="preserve"> a public interest in disclosure. </w:t>
      </w:r>
      <w:r w:rsidR="004259E9">
        <w:t xml:space="preserve"> </w:t>
      </w:r>
      <w:r w:rsidRPr="004D1493">
        <w:t>The </w:t>
      </w:r>
      <w:r w:rsidRPr="004D1493">
        <w:rPr>
          <w:i/>
          <w:iCs/>
        </w:rPr>
        <w:t>weight</w:t>
      </w:r>
      <w:r w:rsidRPr="004D1493">
        <w:t> of that</w:t>
      </w:r>
      <w:r w:rsidRPr="004D1493">
        <w:rPr>
          <w:rFonts w:ascii="Times New Roman" w:hAnsi="Times New Roman" w:eastAsia="Times New Roman" w:cs="Times New Roman"/>
          <w:color w:val="1E1E1E"/>
        </w:rPr>
        <w:t xml:space="preserve"> </w:t>
      </w:r>
      <w:r w:rsidRPr="004D1493">
        <w:t>interest is proportionate to the gravity of the governmental tasks sought to be illuminated and the directness with which the disclosure will serve to illuminate.' (</w:t>
      </w:r>
      <w:r w:rsidRPr="004D1493">
        <w:rPr>
          <w:i/>
          <w:iCs/>
        </w:rPr>
        <w:t>Citizens for a Better Environment v. Department of Food &amp; Agriculture</w:t>
      </w:r>
      <w:r w:rsidRPr="004D1493">
        <w:t> (1985) </w:t>
      </w:r>
      <w:hyperlink w:history="1" r:id="rId33">
        <w:r w:rsidRPr="004D1493">
          <w:rPr>
            <w:rStyle w:val="Hyperlink"/>
          </w:rPr>
          <w:t>171 Cal.App.3d 704</w:t>
        </w:r>
      </w:hyperlink>
      <w:r w:rsidRPr="004D1493">
        <w:t>, 715 [</w:t>
      </w:r>
      <w:hyperlink w:history="1" r:id="rId34">
        <w:r w:rsidRPr="004D1493">
          <w:rPr>
            <w:rStyle w:val="Hyperlink"/>
          </w:rPr>
          <w:t>217 Cal.Rptr. 504</w:t>
        </w:r>
      </w:hyperlink>
      <w:r w:rsidRPr="004D1493">
        <w:t xml:space="preserve">], italics added.) </w:t>
      </w:r>
      <w:r w:rsidR="004259E9">
        <w:t xml:space="preserve"> </w:t>
      </w:r>
      <w:r w:rsidRPr="004D1493">
        <w:t>The existence and weight of this public interest are conclusions derived from the nature of the information." (</w:t>
      </w:r>
      <w:r w:rsidRPr="004D1493">
        <w:rPr>
          <w:i/>
          <w:iCs/>
        </w:rPr>
        <w:t>Connell v. Superior Court</w:t>
      </w:r>
      <w:r w:rsidRPr="004D1493">
        <w:t> (1997) </w:t>
      </w:r>
      <w:hyperlink w:history="1" r:id="rId35">
        <w:r w:rsidRPr="004D1493">
          <w:rPr>
            <w:rStyle w:val="Hyperlink"/>
          </w:rPr>
          <w:t>56 Cal.App.4th 601</w:t>
        </w:r>
      </w:hyperlink>
      <w:r w:rsidRPr="004D1493">
        <w:t xml:space="preserve">, 616 [65 </w:t>
      </w:r>
      <w:r w:rsidRPr="004D1493">
        <w:lastRenderedPageBreak/>
        <w:t>Cal.Rptr.2d 738] (</w:t>
      </w:r>
      <w:r w:rsidRPr="004D1493">
        <w:rPr>
          <w:i/>
          <w:iCs/>
        </w:rPr>
        <w:t>Connell</w:t>
      </w:r>
      <w:r w:rsidRPr="004D1493">
        <w:t>); accord, </w:t>
      </w:r>
      <w:r w:rsidRPr="004D1493">
        <w:rPr>
          <w:i/>
          <w:iCs/>
        </w:rPr>
        <w:t>County of Santa Clara, supra,</w:t>
      </w:r>
      <w:r w:rsidRPr="004D1493">
        <w:t> 170 Cal.App.4th at p. 1324.)</w:t>
      </w:r>
    </w:p>
    <w:p w:rsidR="004D1493" w:rsidP="004259E9" w:rsidRDefault="004D1493" w14:paraId="6405CF99" w14:textId="2B4FB118">
      <w:pPr>
        <w:spacing w:after="120" w:line="240" w:lineRule="auto"/>
        <w:ind w:left="720" w:right="1440" w:firstLine="0"/>
      </w:pPr>
      <w:r w:rsidRPr="004D1493">
        <w:t>As the court put it in </w:t>
      </w:r>
      <w:r w:rsidRPr="004D1493">
        <w:rPr>
          <w:i/>
          <w:iCs/>
        </w:rPr>
        <w:t>County of Santa Clara</w:t>
      </w:r>
      <w:r w:rsidRPr="004D1493">
        <w:t> and </w:t>
      </w:r>
      <w:r w:rsidRPr="004D1493">
        <w:rPr>
          <w:i/>
          <w:iCs/>
        </w:rPr>
        <w:t>City of San</w:t>
      </w:r>
      <w:r w:rsidR="0061548B">
        <w:rPr>
          <w:i/>
          <w:iCs/>
        </w:rPr>
        <w:t> </w:t>
      </w:r>
      <w:r w:rsidRPr="004D1493">
        <w:rPr>
          <w:i/>
          <w:iCs/>
        </w:rPr>
        <w:t>Jose,</w:t>
      </w:r>
      <w:r w:rsidRPr="004D1493">
        <w:t> "the issue is `whether disclosure would contribute significantly to public understanding of government activities.'"</w:t>
      </w:r>
    </w:p>
    <w:p w:rsidRPr="00635052" w:rsidR="00635052" w:rsidP="009349E6" w:rsidRDefault="00635052" w14:paraId="1B814908" w14:textId="4BFD9E53">
      <w:pPr>
        <w:ind w:firstLine="0"/>
      </w:pPr>
      <w:r w:rsidRPr="00635052">
        <w:t>Thus, in assigning </w:t>
      </w:r>
      <w:r w:rsidRPr="00635052">
        <w:rPr>
          <w:i/>
          <w:iCs/>
        </w:rPr>
        <w:t>weight</w:t>
      </w:r>
      <w:r w:rsidRPr="00635052">
        <w:t> to the general public interest in disclosure, courts should look to the "nature of the information" and how disclosure of that information contributes to the public's understanding of</w:t>
      </w:r>
      <w:r w:rsidR="000318DC">
        <w:t xml:space="preserve"> how the</w:t>
      </w:r>
      <w:r w:rsidRPr="00635052">
        <w:t xml:space="preserve"> government</w:t>
      </w:r>
      <w:r w:rsidR="000318DC">
        <w:t xml:space="preserve"> function and if that functioning is in the best interests of Californians</w:t>
      </w:r>
      <w:r w:rsidRPr="00635052">
        <w:t>.</w:t>
      </w:r>
    </w:p>
    <w:p w:rsidRPr="0089758D" w:rsidR="00635052" w:rsidP="005A35F7" w:rsidRDefault="009349E6" w14:paraId="33729AC7" w14:textId="72BF63C9">
      <w:pPr>
        <w:pStyle w:val="ListParagraph"/>
        <w:keepNext/>
        <w:keepLines/>
        <w:numPr>
          <w:ilvl w:val="0"/>
          <w:numId w:val="14"/>
        </w:numPr>
        <w:spacing w:before="120" w:after="120" w:line="240" w:lineRule="auto"/>
        <w:ind w:left="1080" w:right="1440"/>
        <w:contextualSpacing w:val="0"/>
        <w:rPr>
          <w:u w:val="single"/>
        </w:rPr>
      </w:pPr>
      <w:r w:rsidRPr="0089758D">
        <w:rPr>
          <w:u w:val="single"/>
        </w:rPr>
        <w:t>The nature of the information</w:t>
      </w:r>
      <w:r w:rsidRPr="0089758D" w:rsidR="00586A05">
        <w:rPr>
          <w:u w:val="single"/>
        </w:rPr>
        <w:t xml:space="preserve"> and how it is used</w:t>
      </w:r>
    </w:p>
    <w:p w:rsidR="009349E6" w:rsidP="005A35F7" w:rsidRDefault="006F736E" w14:paraId="5F922FD5" w14:textId="4226F922">
      <w:pPr>
        <w:pStyle w:val="Standard"/>
        <w:keepNext/>
        <w:keepLines/>
      </w:pPr>
      <w:r>
        <w:t xml:space="preserve">The trip data that the Commission has ordered each TNC to submit in its Annual Report provides the Commission, the agency tasked with </w:t>
      </w:r>
      <w:r w:rsidR="002D7206">
        <w:t>regulatory oversight over TNC, with the</w:t>
      </w:r>
      <w:r>
        <w:t xml:space="preserve"> most comprehensive account of each TNC’s transportation for the past 11 months</w:t>
      </w:r>
      <w:r w:rsidRPr="00500BCC">
        <w:t>.</w:t>
      </w:r>
      <w:r w:rsidRPr="00500BCC" w:rsidR="009B0809">
        <w:t xml:space="preserve"> </w:t>
      </w:r>
      <w:r w:rsidRPr="00500BCC">
        <w:t xml:space="preserve"> </w:t>
      </w:r>
      <w:r w:rsidRPr="00500BCC" w:rsidR="002D7206">
        <w:t>With</w:t>
      </w:r>
      <w:r w:rsidR="002D7206">
        <w:t xml:space="preserve"> the trip data, the Commission can learn the number of rides each TNC provides, learn about driving patterns by examining the areas where rides commence and end, learn about the times of the day and days of the week where TNC passenger requests are highest, learn about TNC requests accepted by geographic locations, and total amounts paid for the rides completed.</w:t>
      </w:r>
    </w:p>
    <w:p w:rsidRPr="0089758D" w:rsidR="00F70139" w:rsidP="005A35F7" w:rsidRDefault="00F70139" w14:paraId="138C71EE" w14:textId="133CA6CD">
      <w:pPr>
        <w:pStyle w:val="ListParagraph"/>
        <w:keepNext/>
        <w:numPr>
          <w:ilvl w:val="0"/>
          <w:numId w:val="14"/>
        </w:numPr>
        <w:spacing w:before="120" w:after="120" w:line="240" w:lineRule="auto"/>
        <w:ind w:left="1080" w:right="1440"/>
        <w:contextualSpacing w:val="0"/>
        <w:rPr>
          <w:u w:val="single"/>
        </w:rPr>
      </w:pPr>
      <w:r w:rsidRPr="0089758D">
        <w:rPr>
          <w:u w:val="single"/>
        </w:rPr>
        <w:t>The benefits and the public’s understanding of government</w:t>
      </w:r>
    </w:p>
    <w:p w:rsidR="00D32BF5" w:rsidP="004259E9" w:rsidRDefault="00D32BF5" w14:paraId="3E381B93" w14:textId="6443E76C">
      <w:pPr>
        <w:pStyle w:val="Standard"/>
        <w:keepNext/>
      </w:pPr>
      <w:r>
        <w:t>The Commission’s analysis and  understanding of TNC trip data will enable the Commission to achieve several important objectives that are in the public interest.</w:t>
      </w:r>
      <w:r w:rsidR="003867FD">
        <w:t xml:space="preserve"> </w:t>
      </w:r>
      <w:r w:rsidR="0061548B">
        <w:t xml:space="preserve"> </w:t>
      </w:r>
      <w:r w:rsidR="003867FD">
        <w:t xml:space="preserve">First, the trip data will enable the Commission to determine the </w:t>
      </w:r>
      <w:r w:rsidR="003867FD">
        <w:lastRenderedPageBreak/>
        <w:t xml:space="preserve">safety of TNC operations and if any adjustments in the Commission’s regulations should be implemented. </w:t>
      </w:r>
      <w:r w:rsidR="0061548B">
        <w:t xml:space="preserve"> </w:t>
      </w:r>
      <w:r w:rsidR="003867FD">
        <w:t xml:space="preserve">As the </w:t>
      </w:r>
      <w:r w:rsidR="00AE243C">
        <w:t>Commission f</w:t>
      </w:r>
      <w:r w:rsidR="00A67021">
        <w:t>o</w:t>
      </w:r>
      <w:r w:rsidR="00AE243C">
        <w:t>und in D.13-09-045:</w:t>
      </w:r>
    </w:p>
    <w:p w:rsidRPr="00AE243C" w:rsidR="00AE243C" w:rsidP="004259E9" w:rsidRDefault="00AE243C" w14:paraId="764360C8" w14:textId="5CAA24B0">
      <w:pPr>
        <w:spacing w:after="120" w:line="240" w:lineRule="auto"/>
        <w:ind w:left="720" w:right="1440" w:firstLine="0"/>
      </w:pPr>
      <w:r w:rsidRPr="00AE243C">
        <w:t>The Commission opened this proceeding to protect public safety and secondarily encourage innovators to use technology to improve the lives of Californians.  The Commission has a responsibility for determining whether and how public safety might be affected by these TNCs.  In opening this Rulemaking, the Commission wanted to assess public safety risks, and to ensure that the safety of the public is not compromised in the operation of TNCs.</w:t>
      </w:r>
    </w:p>
    <w:p w:rsidR="00AE243C" w:rsidP="00AE243C" w:rsidRDefault="00AE243C" w14:paraId="326BAEAB" w14:textId="1A0D968B">
      <w:pPr>
        <w:ind w:firstLine="0"/>
      </w:pPr>
      <w:r>
        <w:t xml:space="preserve">With trip data as a guide, the Commission can investigate if there are any safety issues concerning the providing of TNC transportation, and if those safety issues are located in particular areas or times of day in which the service is being provided. </w:t>
      </w:r>
      <w:r w:rsidR="0061548B">
        <w:t xml:space="preserve"> </w:t>
      </w:r>
      <w:r>
        <w:t xml:space="preserve">Unquestionably, the public has an interest in </w:t>
      </w:r>
      <w:r w:rsidR="00F70139">
        <w:t xml:space="preserve">seeing that </w:t>
      </w:r>
      <w:r>
        <w:t>the Commission</w:t>
      </w:r>
      <w:r w:rsidR="00A67021">
        <w:t xml:space="preserve"> satisfies its</w:t>
      </w:r>
      <w:r>
        <w:t xml:space="preserve"> obligation to ensure that TNC drivers are operating safely.</w:t>
      </w:r>
    </w:p>
    <w:p w:rsidR="0031530B" w:rsidP="004259E9" w:rsidRDefault="00AE243C" w14:paraId="37620A65" w14:textId="281C21E5">
      <w:pPr>
        <w:pStyle w:val="Standard"/>
      </w:pPr>
      <w:r>
        <w:t xml:space="preserve">Second, the trip data can shed light on whether TNCs are offering their service in a nondiscriminatory manner. </w:t>
      </w:r>
      <w:r w:rsidR="0061548B">
        <w:t xml:space="preserve"> </w:t>
      </w:r>
      <w:r w:rsidR="0031530B">
        <w:t xml:space="preserve">Transportation is more than a public convenience. </w:t>
      </w:r>
      <w:r w:rsidR="0061548B">
        <w:t xml:space="preserve"> </w:t>
      </w:r>
      <w:r w:rsidR="0031530B">
        <w:t xml:space="preserve">As the Comments from the Center for Accessible Technology point out, transportation, and the equal access to same, </w:t>
      </w:r>
      <w:r w:rsidR="00F70139">
        <w:t>has become</w:t>
      </w:r>
      <w:r w:rsidR="0031530B">
        <w:t xml:space="preserve"> a civil rights priority:</w:t>
      </w:r>
    </w:p>
    <w:p w:rsidR="0031530B" w:rsidP="004259E9" w:rsidRDefault="0031530B" w14:paraId="6DD93E0C" w14:textId="7D6E5DBD">
      <w:pPr>
        <w:spacing w:after="120" w:line="240" w:lineRule="auto"/>
        <w:ind w:left="720" w:right="1440" w:firstLine="0"/>
      </w:pPr>
      <w:r>
        <w:t xml:space="preserve">Transportation equity is a civil and human rights priority. Access to affordable and reliable transportation widens opportunity and is essential to addressing poverty, unemployment, and other equal opportunity goals such as access to good schools and health care services. </w:t>
      </w:r>
      <w:r w:rsidR="004259E9">
        <w:t xml:space="preserve"> </w:t>
      </w:r>
      <w:r>
        <w:t xml:space="preserve">However, current transportation spending programs do not equally benefit all communities and populations. </w:t>
      </w:r>
      <w:r w:rsidR="004259E9">
        <w:t xml:space="preserve"> </w:t>
      </w:r>
      <w:r>
        <w:t xml:space="preserve">And the negative effects of some transportation decisions—such as the disruption of low-income neighborhoods—are broadly felt and have long-lasting effects. </w:t>
      </w:r>
      <w:r w:rsidR="004259E9">
        <w:t xml:space="preserve"> </w:t>
      </w:r>
      <w:r>
        <w:t xml:space="preserve">Providing equal access to </w:t>
      </w:r>
      <w:r>
        <w:lastRenderedPageBreak/>
        <w:t>transportation means providing all individuals living in the United States with an equal opportunity to succeed.</w:t>
      </w:r>
      <w:r>
        <w:rPr>
          <w:rStyle w:val="FootnoteReference"/>
        </w:rPr>
        <w:footnoteReference w:id="112"/>
      </w:r>
    </w:p>
    <w:p w:rsidR="00AE243C" w:rsidP="00AE243C" w:rsidRDefault="00AE243C" w14:paraId="7376A73E" w14:textId="2A00434B">
      <w:pPr>
        <w:ind w:firstLine="0"/>
      </w:pPr>
      <w:r>
        <w:t xml:space="preserve">As </w:t>
      </w:r>
      <w:r w:rsidR="0031530B">
        <w:t xml:space="preserve">a result for the need to treat all California residents equally, the Legislature enacted </w:t>
      </w:r>
      <w:r w:rsidR="00794F58">
        <w:t xml:space="preserve">Civil Code § 51(b) </w:t>
      </w:r>
      <w:r w:rsidR="0031530B">
        <w:t xml:space="preserve">to </w:t>
      </w:r>
      <w:r w:rsidR="00794F58">
        <w:t>protects all California residents against discrimination:</w:t>
      </w:r>
    </w:p>
    <w:p w:rsidR="00794F58" w:rsidP="004259E9" w:rsidRDefault="00794F58" w14:paraId="6FB7DF01" w14:textId="3DB33B8B">
      <w:pPr>
        <w:spacing w:after="120" w:line="240" w:lineRule="auto"/>
        <w:ind w:left="720" w:right="1440" w:firstLine="0"/>
      </w:pPr>
      <w:r>
        <w:t>(</w:t>
      </w:r>
      <w:r w:rsidRPr="00794F58">
        <w:t>b) All persons within the jurisdiction of this state are free and equal, and no matter what their sex, race, color, religion, ancestry, national origin, disability, medical condition, genetic information, marital status, sexual orientation, citizenship, primary language, or immigration status are entitled to the full and equal accommodations, advantages, facilities, privileges, or services in all business establishments of every kind whatsoever.</w:t>
      </w:r>
    </w:p>
    <w:p w:rsidR="00794F58" w:rsidP="00794F58" w:rsidRDefault="00794F58" w14:paraId="7547A43A" w14:textId="18A19FA0">
      <w:pPr>
        <w:ind w:firstLine="0"/>
      </w:pPr>
      <w:r>
        <w:t xml:space="preserve">The Commission can use the trip data to ensure that all geographic locations, regardless of their economic or racial makeup, are provided with equal access to TNC services. </w:t>
      </w:r>
      <w:r w:rsidR="0061548B">
        <w:t xml:space="preserve"> </w:t>
      </w:r>
      <w:r>
        <w:t>If trip patterns reveal that some geographic locations receive greater access than others, the Commission can use the trip data to investigate those disparities and take the appropriate corrective or enforcement measures</w:t>
      </w:r>
      <w:r w:rsidR="00F70139">
        <w:t xml:space="preserve">, thus assuring the public that the Commission is ensuring that TNCs do not discriminate against </w:t>
      </w:r>
      <w:r w:rsidR="00385F99">
        <w:t xml:space="preserve">any </w:t>
      </w:r>
      <w:r w:rsidR="00F70139">
        <w:t>class of persons.</w:t>
      </w:r>
    </w:p>
    <w:p w:rsidRPr="00500BCC" w:rsidR="00CC2A5B" w:rsidP="00CC2A5B" w:rsidRDefault="00CC2A5B" w14:paraId="56D300CF" w14:textId="6C307367">
      <w:r>
        <w:t xml:space="preserve">The public interest in ensuring the release of information to validate that industry services regulated by the state are being provided in a nondiscriminatory manner is so strong that it can overcome claims that the information is protected by trade </w:t>
      </w:r>
      <w:r w:rsidRPr="00500BCC">
        <w:t>secrets.</w:t>
      </w:r>
      <w:r w:rsidRPr="00500BCC" w:rsidR="009B0809">
        <w:t xml:space="preserve"> </w:t>
      </w:r>
      <w:r w:rsidRPr="00500BCC">
        <w:t xml:space="preserve"> The California Supreme Court recognized this interest in the context of insurance rates in </w:t>
      </w:r>
      <w:r w:rsidRPr="00500BCC">
        <w:rPr>
          <w:i/>
          <w:iCs/>
        </w:rPr>
        <w:t>State Farm Mutual Automobile Insurance Company v. Garamendi</w:t>
      </w:r>
      <w:r w:rsidRPr="00500BCC">
        <w:t xml:space="preserve"> (2004) 32 Cal.4</w:t>
      </w:r>
      <w:r w:rsidRPr="00500BCC">
        <w:rPr>
          <w:vertAlign w:val="superscript"/>
        </w:rPr>
        <w:t>th</w:t>
      </w:r>
      <w:r w:rsidRPr="00500BCC">
        <w:t xml:space="preserve"> 1029,</w:t>
      </w:r>
      <w:r w:rsidRPr="00500BCC" w:rsidR="000C2A85">
        <w:t xml:space="preserve"> 1047</w:t>
      </w:r>
      <w:r w:rsidRPr="00500BCC">
        <w:t>:</w:t>
      </w:r>
    </w:p>
    <w:p w:rsidRPr="00500BCC" w:rsidR="00CC2A5B" w:rsidP="004259E9" w:rsidRDefault="00CC2A5B" w14:paraId="2B9DF99E" w14:textId="36BA787B">
      <w:pPr>
        <w:spacing w:after="120" w:line="240" w:lineRule="auto"/>
        <w:ind w:left="720" w:right="1440" w:firstLine="0"/>
      </w:pPr>
      <w:r w:rsidRPr="00500BCC">
        <w:lastRenderedPageBreak/>
        <w:t>Finally, the fact that insurers may invoke the trade secret privilege in the public hearing process established by Proposition 103, pursuant to </w:t>
      </w:r>
      <w:hyperlink w:history="1" r:id="rId36">
        <w:r w:rsidRPr="00500BCC">
          <w:rPr>
            <w:rStyle w:val="Hyperlink"/>
          </w:rPr>
          <w:t>Insurance Code section 1861.08</w:t>
        </w:r>
      </w:hyperlink>
      <w:r w:rsidRPr="00500BCC">
        <w:t>, does not dictate a different result. </w:t>
      </w:r>
      <w:r w:rsidRPr="00500BCC" w:rsidR="004259E9">
        <w:t> </w:t>
      </w:r>
      <w:r w:rsidRPr="00500BCC">
        <w:t>There is nothing anomalous about precluding insurers from invoking the trade secret privilege after they have already submitted trade secret information to the Commissioner pursuant to a regulation validly enacted under article 10 (</w:t>
      </w:r>
      <w:r w:rsidRPr="00500BCC">
        <w:rPr>
          <w:i/>
          <w:iCs/>
        </w:rPr>
        <w:t>see</w:t>
      </w:r>
      <w:r w:rsidRPr="00500BCC">
        <w:t> </w:t>
      </w:r>
      <w:r w:rsidRPr="00500BCC">
        <w:rPr>
          <w:i/>
          <w:iCs/>
        </w:rPr>
        <w:t>ante</w:t>
      </w:r>
      <w:r w:rsidRPr="00500BCC">
        <w:t>, at p. 1045), while permitting them to invoke the privilege in response to a request for information in a public rate hearing.</w:t>
      </w:r>
      <w:r w:rsidRPr="00CC2A5B">
        <w:t> </w:t>
      </w:r>
      <w:r w:rsidR="004259E9">
        <w:t> </w:t>
      </w:r>
      <w:hyperlink w:history="1" r:id="rId37">
        <w:r w:rsidRPr="00CC2A5B">
          <w:rPr>
            <w:rStyle w:val="Hyperlink"/>
          </w:rPr>
          <w:t>Insurance Code section 1861.07</w:t>
        </w:r>
      </w:hyperlink>
      <w:r w:rsidRPr="00CC2A5B">
        <w:t xml:space="preserve"> merely requires public disclosure of "information provided to the commissioner pursuant to" article 10. </w:t>
      </w:r>
      <w:r w:rsidR="004259E9">
        <w:t xml:space="preserve"> </w:t>
      </w:r>
      <w:r w:rsidRPr="00CC2A5B">
        <w:t xml:space="preserve">By definition, this information is relevant to the Commissioner's mandate under article 10 to "`ensure that insurance is fair, available, and affordable for all Californians.'" </w:t>
      </w:r>
      <w:r w:rsidR="004259E9">
        <w:t xml:space="preserve"> </w:t>
      </w:r>
      <w:r w:rsidRPr="00CC2A5B">
        <w:t>(Historical and Statutory Notes, 42A West's Ann. Ins. Code, </w:t>
      </w:r>
      <w:r w:rsidRPr="00CC2A5B">
        <w:rPr>
          <w:i/>
          <w:iCs/>
        </w:rPr>
        <w:t>supra</w:t>
      </w:r>
      <w:r w:rsidRPr="00CC2A5B">
        <w:t>, foll. </w:t>
      </w:r>
      <w:hyperlink w:history="1" r:id="rId38">
        <w:r w:rsidRPr="00500BCC">
          <w:rPr>
            <w:rStyle w:val="Hyperlink"/>
          </w:rPr>
          <w:t>§ 1861.01</w:t>
        </w:r>
      </w:hyperlink>
      <w:r w:rsidRPr="00500BCC">
        <w:t xml:space="preserve"> at 649.) </w:t>
      </w:r>
      <w:r w:rsidRPr="00500BCC" w:rsidR="004259E9">
        <w:t xml:space="preserve"> </w:t>
      </w:r>
      <w:r w:rsidRPr="00500BCC">
        <w:t>Given that article 10 seeks to encourage public participation in</w:t>
      </w:r>
      <w:r w:rsidRPr="00500BCC">
        <w:rPr>
          <w:color w:val="212529"/>
          <w:sz w:val="27"/>
          <w:szCs w:val="27"/>
          <w:shd w:val="clear" w:color="auto" w:fill="FAFAFA"/>
        </w:rPr>
        <w:t xml:space="preserve"> </w:t>
      </w:r>
      <w:r w:rsidRPr="00500BCC">
        <w:t>the rate</w:t>
      </w:r>
      <w:r w:rsidRPr="00500BCC" w:rsidR="004259E9">
        <w:noBreakHyphen/>
      </w:r>
      <w:r w:rsidRPr="00500BCC">
        <w:t>setting process (see </w:t>
      </w:r>
      <w:r w:rsidRPr="00500BCC">
        <w:rPr>
          <w:i/>
          <w:iCs/>
        </w:rPr>
        <w:t>ante</w:t>
      </w:r>
      <w:r w:rsidRPr="00500BCC">
        <w:t>, at 1045), precluding insurers from withholding trade secret information already provided to the Commissioner because of its relevance under article 10 (see </w:t>
      </w:r>
      <w:r w:rsidRPr="00500BCC">
        <w:rPr>
          <w:i/>
          <w:iCs/>
        </w:rPr>
        <w:t>ante</w:t>
      </w:r>
      <w:r w:rsidRPr="00500BCC">
        <w:t>, at 1040-1042) is certainly reasonable.</w:t>
      </w:r>
    </w:p>
    <w:p w:rsidR="00CC2A5B" w:rsidP="00794F58" w:rsidRDefault="008640F6" w14:paraId="084E5857" w14:textId="6CF17704">
      <w:pPr>
        <w:ind w:firstLine="0"/>
      </w:pPr>
      <w:r w:rsidRPr="00500BCC">
        <w:t>As the public’s interest in TNC rides being offered i</w:t>
      </w:r>
      <w:r>
        <w:t>n a nondiscriminatory manner is undoubtably as strong as the public’s interest in ensuring that insurance is fair, available, and affordable, making trip data public serves a public interest that should be given great weight in the Commission’s calculus.</w:t>
      </w:r>
    </w:p>
    <w:p w:rsidR="00646467" w:rsidP="004259E9" w:rsidRDefault="007C1205" w14:paraId="5D6FA7ED" w14:textId="0897B2BD">
      <w:pPr>
        <w:pStyle w:val="Standard"/>
      </w:pPr>
      <w:r>
        <w:t>Third, a</w:t>
      </w:r>
      <w:r w:rsidR="008640F6">
        <w:t xml:space="preserve">kin to the public interest in ensuring TNC rides are provided in a nondiscriminatory manner is the public interest that persons with disabilities have equal access to TNC rides. </w:t>
      </w:r>
      <w:r w:rsidR="0061548B">
        <w:t xml:space="preserve"> </w:t>
      </w:r>
      <w:r w:rsidR="00646467">
        <w:t>Civil Code §</w:t>
      </w:r>
      <w:r w:rsidR="00D01BE3">
        <w:t xml:space="preserve"> </w:t>
      </w:r>
      <w:r w:rsidR="00646467">
        <w:t>54.1 specifically prohibits discrimination against persons with disabilities in the provision of services, including transportation services:</w:t>
      </w:r>
    </w:p>
    <w:p w:rsidR="00646467" w:rsidP="004259E9" w:rsidRDefault="00646467" w14:paraId="1F8A2629" w14:textId="77777777">
      <w:pPr>
        <w:spacing w:after="120" w:line="240" w:lineRule="auto"/>
        <w:ind w:left="720" w:right="1440" w:firstLine="0"/>
      </w:pPr>
      <w:r w:rsidRPr="0031530B">
        <w:t>(a)(1)</w:t>
      </w:r>
      <w:r w:rsidRPr="0031530B">
        <w:t> </w:t>
      </w:r>
      <w:r w:rsidRPr="0031530B">
        <w:t xml:space="preserve">Individuals with disabilities shall be entitled to full and equal access, as other members of the general public, to accommodations, advantages, facilities, medical facilities, </w:t>
      </w:r>
      <w:r w:rsidRPr="0031530B">
        <w:lastRenderedPageBreak/>
        <w:t>including hospitals, clinics, and physicians' offices, and privileges of all common carriers, airplanes, motor vehicles, railroad trains, motorbuses, streetcars, boats, or any other public conveyances or modes of transportation (whether private, public, franchised, licensed, contracted, or otherwise provided), telephone facilities, adoption agencies, private schools, hotels, lodging places, places of public accommodation, amusement, or resort, and other places to which the general public is invited, subject only to the conditions and limitations established by law, or state or federal regulation, and applicable alike to all persons.</w:t>
      </w:r>
    </w:p>
    <w:p w:rsidR="00344766" w:rsidP="00794F58" w:rsidRDefault="00646467" w14:paraId="77F9969C" w14:textId="669BC98A">
      <w:pPr>
        <w:ind w:firstLine="0"/>
      </w:pPr>
      <w:r>
        <w:t xml:space="preserve">Similarly, on the federal level, </w:t>
      </w:r>
      <w:r w:rsidR="00EF20CA">
        <w:t>Title II of the Americans with Disabilities Act prohibits disability-based discrimination in</w:t>
      </w:r>
      <w:r w:rsidR="0022514C">
        <w:t xml:space="preserve"> providing </w:t>
      </w:r>
      <w:r w:rsidR="00EF20CA">
        <w:t xml:space="preserve">public </w:t>
      </w:r>
      <w:r w:rsidR="00DC4C9D">
        <w:t xml:space="preserve">and private </w:t>
      </w:r>
      <w:r w:rsidR="00EF20CA">
        <w:t xml:space="preserve"> service</w:t>
      </w:r>
      <w:r w:rsidR="00DC4C9D">
        <w:t>s.</w:t>
      </w:r>
      <w:r w:rsidR="0022514C">
        <w:rPr>
          <w:rStyle w:val="FootnoteReference"/>
        </w:rPr>
        <w:footnoteReference w:id="113"/>
      </w:r>
      <w:r w:rsidR="00DC4C9D">
        <w:t xml:space="preserve"> </w:t>
      </w:r>
      <w:r w:rsidR="0061548B">
        <w:t xml:space="preserve"> </w:t>
      </w:r>
      <w:r w:rsidR="0022514C">
        <w:t>Public and or p</w:t>
      </w:r>
      <w:r w:rsidRPr="00DC4C9D" w:rsidR="00DC4C9D">
        <w:t xml:space="preserve">rivate entities that provide transportation services to the public are required by law to be accessible to individuals with disabilities. </w:t>
      </w:r>
    </w:p>
    <w:p w:rsidR="00344766" w:rsidP="00794F58" w:rsidRDefault="00344766" w14:paraId="3A43B832" w14:textId="079979C2">
      <w:pPr>
        <w:ind w:firstLine="0"/>
      </w:pPr>
      <w:r w:rsidRPr="00344766">
        <w:t>Under the Americans with Disabilities Act (ADA), TNCs are considered private entities primarily engaged in transportation and are required to be accessible to individuals with disabilities</w:t>
      </w:r>
      <w:r>
        <w:t>.</w:t>
      </w:r>
      <w:r>
        <w:rPr>
          <w:rStyle w:val="FootnoteReference"/>
        </w:rPr>
        <w:footnoteReference w:id="114"/>
      </w:r>
    </w:p>
    <w:p w:rsidR="008640F6" w:rsidP="004259E9" w:rsidRDefault="00895C82" w14:paraId="066FBF88" w14:textId="1173C269">
      <w:pPr>
        <w:pStyle w:val="Standard"/>
      </w:pPr>
      <w:r>
        <w:t>California recognized the importance of providing TNC service access to persons with disabilities when it amended Pub. Util. Code §5440 as follows:</w:t>
      </w:r>
    </w:p>
    <w:p w:rsidR="00895C82" w:rsidP="004259E9" w:rsidRDefault="00895C82" w14:paraId="0CDAB0B3" w14:textId="17C68E04">
      <w:pPr>
        <w:spacing w:after="120" w:line="240" w:lineRule="auto"/>
        <w:ind w:left="720" w:right="1440" w:firstLine="0"/>
      </w:pPr>
      <w:r>
        <w:t>(f)</w:t>
      </w:r>
      <w:r w:rsidR="004259E9">
        <w:t>  </w:t>
      </w:r>
      <w:r>
        <w:t xml:space="preserve">There exists a lack of wheelchair accessible vehicles (WAVs) available via TNC online-enabled applications or </w:t>
      </w:r>
      <w:r>
        <w:lastRenderedPageBreak/>
        <w:t xml:space="preserve">platforms throughout California. </w:t>
      </w:r>
      <w:r w:rsidR="004259E9">
        <w:t xml:space="preserve"> </w:t>
      </w:r>
      <w:r>
        <w:t>In comparison to standard vehicles available via TNC technology applications, WAVs have higher purchase prices, higher operating and maintenance costs higher fuel costs, and higher liability insurance, and require additional time to serve rider who use nonfolding motorized wheelchairs.</w:t>
      </w:r>
    </w:p>
    <w:p w:rsidR="00895C82" w:rsidP="004259E9" w:rsidRDefault="00895C82" w14:paraId="3F05D0D3" w14:textId="2FBC7C83">
      <w:pPr>
        <w:spacing w:after="120" w:line="240" w:lineRule="auto"/>
        <w:ind w:left="720" w:right="1440" w:firstLine="0"/>
      </w:pPr>
      <w:r>
        <w:t>(g)</w:t>
      </w:r>
      <w:r w:rsidR="004259E9">
        <w:t>  </w:t>
      </w:r>
      <w:r>
        <w:t>It is the intent of the Legislature that California be a national leader in the deployment and adoption of on-demand transportation options for persons with disabilities.</w:t>
      </w:r>
    </w:p>
    <w:p w:rsidR="00DC4C9D" w:rsidP="00794F58" w:rsidRDefault="00344766" w14:paraId="5CB6D6CD" w14:textId="018FAD92">
      <w:pPr>
        <w:ind w:firstLine="0"/>
      </w:pPr>
      <w:r>
        <w:t xml:space="preserve">Trip data can provide the initial understanding into whether persons with disabilities are given fair and equal access to TNC rides. </w:t>
      </w:r>
      <w:r w:rsidR="0061548B">
        <w:t xml:space="preserve"> </w:t>
      </w:r>
      <w:r>
        <w:t>In addition to the applicability of ADA protections to TNCs, in</w:t>
      </w:r>
      <w:r w:rsidRPr="00344766">
        <w:t xml:space="preserve"> September 2018, the Governor signed into state law </w:t>
      </w:r>
      <w:hyperlink w:tooltip="Senate Bill (SB) 1376: TNC Access for All Act (Hill, 2018)" w:history="1" r:id="rId39">
        <w:r w:rsidRPr="00344766">
          <w:rPr>
            <w:rStyle w:val="Hyperlink"/>
          </w:rPr>
          <w:t>Senate Bill (SB) 1376: TNC Access for All Act (Hill, 2018)</w:t>
        </w:r>
      </w:hyperlink>
      <w:r w:rsidRPr="00344766">
        <w:t>. Pursuant to SB 1376, the C</w:t>
      </w:r>
      <w:r>
        <w:t>ommission</w:t>
      </w:r>
      <w:r w:rsidRPr="00344766">
        <w:t xml:space="preserve"> must establish a program relating to accessibility for persons with disabilities as part of its regulation of TNCs. </w:t>
      </w:r>
      <w:r w:rsidR="008A5851">
        <w:t xml:space="preserve"> While</w:t>
      </w:r>
      <w:r w:rsidRPr="00344766">
        <w:t xml:space="preserve"> </w:t>
      </w:r>
      <w:r w:rsidR="008A5851">
        <w:t>i</w:t>
      </w:r>
      <w:r w:rsidRPr="00344766">
        <w:t xml:space="preserve">mplementation of SB 1376 </w:t>
      </w:r>
      <w:r>
        <w:t xml:space="preserve">is occurring </w:t>
      </w:r>
      <w:r w:rsidRPr="00344766">
        <w:t>in </w:t>
      </w:r>
      <w:r>
        <w:t>Rulemaking 19-02-012</w:t>
      </w:r>
      <w:r w:rsidR="008A5851">
        <w:t>, the trip data developed and submitted in this proceeding can assist the Commission develop regulations specific to persons in wheelchairs to help these persons have access to TNC rides.</w:t>
      </w:r>
    </w:p>
    <w:p w:rsidR="007C1205" w:rsidP="004259E9" w:rsidRDefault="007C1205" w14:paraId="6BA3C6AF" w14:textId="000265E0">
      <w:pPr>
        <w:pStyle w:val="Standard"/>
      </w:pPr>
      <w:r>
        <w:t>Fourth, the trip data can help the public understand the impact of TNC vehicles on traffic congestion</w:t>
      </w:r>
      <w:r w:rsidR="00135E26">
        <w:t xml:space="preserve">, infrastructure, </w:t>
      </w:r>
      <w:r>
        <w:t xml:space="preserve">and airborne pollutants. </w:t>
      </w:r>
      <w:r w:rsidR="0061548B">
        <w:t xml:space="preserve"> </w:t>
      </w:r>
      <w:r>
        <w:t>With Government Code § 65088, the Legislature made the following findings regarding the need to alleviate traffic congestion</w:t>
      </w:r>
      <w:r w:rsidR="00135E26">
        <w:t xml:space="preserve"> and air pollution</w:t>
      </w:r>
      <w:r>
        <w:t>:</w:t>
      </w:r>
    </w:p>
    <w:p w:rsidRPr="007C1205" w:rsidR="007C1205" w:rsidP="00DB0DFE" w:rsidRDefault="007C1205" w14:paraId="54CA91DE" w14:textId="193B432B">
      <w:pPr>
        <w:pStyle w:val="ListParagraph"/>
        <w:numPr>
          <w:ilvl w:val="0"/>
          <w:numId w:val="20"/>
        </w:numPr>
        <w:spacing w:after="120" w:line="240" w:lineRule="auto"/>
        <w:ind w:left="1170" w:right="1440" w:hanging="450"/>
        <w:contextualSpacing w:val="0"/>
      </w:pPr>
      <w:r w:rsidRPr="007C1205">
        <w:t>Although California's economy is critically dependent upon</w:t>
      </w:r>
      <w:r w:rsidR="00A52A29">
        <w:t xml:space="preserve"> </w:t>
      </w:r>
      <w:r w:rsidRPr="007C1205">
        <w:t>transportation, its current transportation system relies primarily</w:t>
      </w:r>
      <w:r w:rsidR="00A52A29">
        <w:t xml:space="preserve"> </w:t>
      </w:r>
      <w:r w:rsidRPr="007C1205">
        <w:t>upon a street and highway system designed to accommodate far fewer</w:t>
      </w:r>
      <w:r w:rsidR="00A52A29">
        <w:t xml:space="preserve"> </w:t>
      </w:r>
      <w:r w:rsidRPr="007C1205">
        <w:t>vehicles than are currently using the system.</w:t>
      </w:r>
    </w:p>
    <w:p w:rsidR="00A52A29" w:rsidP="00DB0DFE" w:rsidRDefault="007C1205" w14:paraId="1452B553" w14:textId="76DF4061">
      <w:pPr>
        <w:pStyle w:val="ListParagraph"/>
        <w:numPr>
          <w:ilvl w:val="0"/>
          <w:numId w:val="20"/>
        </w:numPr>
        <w:spacing w:after="120" w:line="240" w:lineRule="auto"/>
        <w:ind w:left="1170" w:right="1440" w:hanging="450"/>
        <w:contextualSpacing w:val="0"/>
      </w:pPr>
      <w:r w:rsidRPr="007C1205">
        <w:t>California's transportation system is characterized by</w:t>
      </w:r>
      <w:r w:rsidR="00A52A29">
        <w:t xml:space="preserve"> </w:t>
      </w:r>
      <w:r w:rsidRPr="007C1205">
        <w:t>fragmented planning, both among jurisdictions involved and among the</w:t>
      </w:r>
      <w:r w:rsidR="00A52A29">
        <w:t xml:space="preserve"> </w:t>
      </w:r>
      <w:r w:rsidRPr="007C1205">
        <w:t>means of available transport.</w:t>
      </w:r>
    </w:p>
    <w:p w:rsidR="00A52A29" w:rsidP="00DB0DFE" w:rsidRDefault="007C1205" w14:paraId="69FDD7B6" w14:textId="77777777">
      <w:pPr>
        <w:pStyle w:val="ListParagraph"/>
        <w:numPr>
          <w:ilvl w:val="0"/>
          <w:numId w:val="20"/>
        </w:numPr>
        <w:spacing w:after="120" w:line="240" w:lineRule="auto"/>
        <w:ind w:left="1170" w:right="1440" w:hanging="450"/>
        <w:contextualSpacing w:val="0"/>
      </w:pPr>
      <w:r w:rsidRPr="007C1205">
        <w:lastRenderedPageBreak/>
        <w:t>The lack of an integrated system and the increase in thenumber of vehicles are causing traffic congestion that each day</w:t>
      </w:r>
      <w:r w:rsidR="00A52A29">
        <w:t xml:space="preserve"> </w:t>
      </w:r>
      <w:r w:rsidRPr="007C1205">
        <w:t>results in 400,000 hours lost in traffic, 200 tons of pollutants</w:t>
      </w:r>
      <w:r w:rsidR="00A52A29">
        <w:t xml:space="preserve"> </w:t>
      </w:r>
      <w:r w:rsidRPr="007C1205">
        <w:t>released into the air we breathe, and three million one hundred</w:t>
      </w:r>
      <w:r w:rsidR="00A52A29">
        <w:t xml:space="preserve"> </w:t>
      </w:r>
      <w:r w:rsidRPr="007C1205">
        <w:t>thousand dollars ($3,100,000) added costs to the motoring public.</w:t>
      </w:r>
    </w:p>
    <w:p w:rsidR="00A52A29" w:rsidP="00DB0DFE" w:rsidRDefault="007C1205" w14:paraId="1EEF6914" w14:textId="77777777">
      <w:pPr>
        <w:pStyle w:val="ListParagraph"/>
        <w:numPr>
          <w:ilvl w:val="0"/>
          <w:numId w:val="20"/>
        </w:numPr>
        <w:spacing w:after="120" w:line="240" w:lineRule="auto"/>
        <w:ind w:left="1170" w:right="1440" w:hanging="450"/>
        <w:contextualSpacing w:val="0"/>
      </w:pPr>
      <w:r w:rsidRPr="007C1205">
        <w:t>To keep California moving, all methods and means of transport</w:t>
      </w:r>
      <w:r w:rsidR="00A52A29">
        <w:t xml:space="preserve"> </w:t>
      </w:r>
      <w:r w:rsidRPr="007C1205">
        <w:t>between major destinations must be coordinated to connect our vital</w:t>
      </w:r>
      <w:r w:rsidR="00A52A29">
        <w:t xml:space="preserve"> </w:t>
      </w:r>
      <w:r w:rsidRPr="007C1205">
        <w:t>economic and population centers.</w:t>
      </w:r>
    </w:p>
    <w:p w:rsidRPr="007C1205" w:rsidR="007C1205" w:rsidP="00DB0DFE" w:rsidRDefault="007C1205" w14:paraId="38C75DC0" w14:textId="39F37E54">
      <w:pPr>
        <w:pStyle w:val="ListParagraph"/>
        <w:numPr>
          <w:ilvl w:val="0"/>
          <w:numId w:val="20"/>
        </w:numPr>
        <w:spacing w:after="120" w:line="240" w:lineRule="auto"/>
        <w:ind w:left="1170" w:right="1440" w:hanging="450"/>
        <w:contextualSpacing w:val="0"/>
      </w:pPr>
      <w:r w:rsidRPr="007C1205">
        <w:t>In order to develop the California economy to its full</w:t>
      </w:r>
      <w:r w:rsidR="00A52A29">
        <w:t xml:space="preserve"> </w:t>
      </w:r>
      <w:r w:rsidRPr="007C1205">
        <w:t>potential, it is intended that federal, state, and local agencies</w:t>
      </w:r>
      <w:r w:rsidR="00A52A29">
        <w:t xml:space="preserve"> </w:t>
      </w:r>
      <w:r w:rsidRPr="007C1205">
        <w:t>join with transit districts, business, private and environmental</w:t>
      </w:r>
      <w:r w:rsidR="00A52A29">
        <w:t xml:space="preserve"> </w:t>
      </w:r>
      <w:r w:rsidRPr="007C1205">
        <w:t>interests to develop and implement comprehensive strategies needed to</w:t>
      </w:r>
      <w:r w:rsidR="00A52A29">
        <w:t xml:space="preserve"> </w:t>
      </w:r>
      <w:r w:rsidRPr="007C1205">
        <w:t>develop appropriate responses to transportation needs.</w:t>
      </w:r>
    </w:p>
    <w:p w:rsidR="007C1205" w:rsidP="00794F58" w:rsidRDefault="00135E26" w14:paraId="7929949F" w14:textId="7C04D82A">
      <w:pPr>
        <w:ind w:firstLine="0"/>
      </w:pPr>
      <w:r>
        <w:t xml:space="preserve">The public has an interest in the Commission sharing trip data with government entities responsible for addressing transportation issues such as congestion, air pollution, and impact on infrastructure. </w:t>
      </w:r>
      <w:r w:rsidR="0061548B">
        <w:t xml:space="preserve"> </w:t>
      </w:r>
      <w:r>
        <w:t xml:space="preserve">The trip data can show the number of TNC vehicles in service on a given date and time, where the vehicles are concentrated, the overall impact on traffic congestion, impact on road usage, and the impact </w:t>
      </w:r>
      <w:r w:rsidR="007C1205">
        <w:t>T</w:t>
      </w:r>
      <w:r>
        <w:t>NC vehicles have on other service vehicles (</w:t>
      </w:r>
      <w:r w:rsidRPr="00582AE0">
        <w:rPr>
          <w:i/>
          <w:iCs/>
        </w:rPr>
        <w:t>e.g</w:t>
      </w:r>
      <w:r>
        <w:t xml:space="preserve">. public buses, private shuttles, taxis, and vans) that share the same roads. </w:t>
      </w:r>
    </w:p>
    <w:p w:rsidR="007C1205" w:rsidP="00A52A29" w:rsidRDefault="00582AE0" w14:paraId="2D130465" w14:textId="6DB5CB9C">
      <w:pPr>
        <w:pStyle w:val="Standard"/>
      </w:pPr>
      <w:r>
        <w:t>Thus, when the Commission applies the balancing test to determine the applicability, if any, of the catch-all exemption to Lyft’s trip data, the Commission concludes that the public interest in disclosing Lyft’s trip data far outweighs the benefits from not disclosing Lyft’s trip data.</w:t>
      </w:r>
    </w:p>
    <w:p w:rsidR="00582AE0" w:rsidP="00582AE0" w:rsidRDefault="00582AE0" w14:paraId="22D1F436" w14:textId="4ED2FD9D">
      <w:pPr>
        <w:pStyle w:val="Heading1"/>
      </w:pPr>
      <w:bookmarkStart w:name="_Toc82193586" w:id="82"/>
      <w:bookmarkStart w:name="_Toc94682549" w:id="83"/>
      <w:bookmarkStart w:name="_Toc102479678" w:id="84"/>
      <w:r>
        <w:t>Lyft Failed to Meet its Burden of Proving that the Trip Data in Dispute is Protected from Public Disclosure on Privacy Grounds</w:t>
      </w:r>
      <w:bookmarkEnd w:id="82"/>
      <w:bookmarkEnd w:id="83"/>
      <w:bookmarkEnd w:id="84"/>
    </w:p>
    <w:p w:rsidR="00582AE0" w:rsidP="00582AE0" w:rsidRDefault="007172E9" w14:paraId="0F585D0F" w14:textId="60D81AF0">
      <w:pPr>
        <w:pStyle w:val="Standard"/>
      </w:pPr>
      <w:r>
        <w:t xml:space="preserve">Lyft argues that the </w:t>
      </w:r>
      <w:r w:rsidR="006902A5">
        <w:t xml:space="preserve">assigned </w:t>
      </w:r>
      <w:r>
        <w:t xml:space="preserve">ALJ committed reversible error in finding that Lyft and Uber failed to establish that trip data was subject to protection </w:t>
      </w:r>
      <w:r>
        <w:lastRenderedPageBreak/>
        <w:t>pursuant to Government Code § 6254(c), which precludes the disclosure of “[p]</w:t>
      </w:r>
      <w:r w:rsidRPr="007172E9">
        <w:t>ersonnel, medical, or similar files, the disclosure of which would constitute an unwarranted invasion of personal privacy.</w:t>
      </w:r>
      <w:r>
        <w:t>”</w:t>
      </w:r>
      <w:r>
        <w:rPr>
          <w:rStyle w:val="FootnoteReference"/>
        </w:rPr>
        <w:footnoteReference w:id="115"/>
      </w:r>
      <w:r w:rsidR="00407CD2">
        <w:t xml:space="preserve"> </w:t>
      </w:r>
      <w:r w:rsidR="0061548B">
        <w:t xml:space="preserve"> </w:t>
      </w:r>
      <w:r w:rsidR="00407CD2">
        <w:t xml:space="preserve">Lyft acknowledges that the </w:t>
      </w:r>
      <w:r w:rsidRPr="00407CD2" w:rsidR="00407CD2">
        <w:rPr>
          <w:i/>
          <w:iCs/>
        </w:rPr>
        <w:t>Ruling</w:t>
      </w:r>
      <w:r w:rsidR="00407CD2">
        <w:t xml:space="preserve"> agreed, to a point, and permitted a redaction of driver names, vehicle identification numbers, and latitude and longitude data from the public version of Lyft and Uber’s Annual Reports. </w:t>
      </w:r>
      <w:r w:rsidR="0061548B">
        <w:t xml:space="preserve"> </w:t>
      </w:r>
      <w:r w:rsidR="00407CD2">
        <w:t xml:space="preserve">After removing those categories of information from the public Annual Reports, the </w:t>
      </w:r>
      <w:r w:rsidRPr="00407CD2" w:rsidR="00407CD2">
        <w:rPr>
          <w:i/>
          <w:iCs/>
        </w:rPr>
        <w:t>Ruling</w:t>
      </w:r>
      <w:r w:rsidR="00407CD2">
        <w:t xml:space="preserve"> found that Uber and Lyft failed to make the “necessary granular showing how the remaining trip data, either individually or in combination, could lead to the identification of a particular driver or customer.”</w:t>
      </w:r>
      <w:r w:rsidR="00407CD2">
        <w:rPr>
          <w:rStyle w:val="FootnoteReference"/>
        </w:rPr>
        <w:footnoteReference w:id="116"/>
      </w:r>
      <w:r w:rsidR="00407CD2">
        <w:t xml:space="preserve"> </w:t>
      </w:r>
      <w:r w:rsidR="005A35F7">
        <w:t xml:space="preserve"> </w:t>
      </w:r>
      <w:r w:rsidR="00407CD2">
        <w:t xml:space="preserve">Lyft faults the </w:t>
      </w:r>
      <w:r w:rsidRPr="00A6208D" w:rsidR="00407CD2">
        <w:rPr>
          <w:i/>
          <w:iCs/>
        </w:rPr>
        <w:t>Ruling</w:t>
      </w:r>
      <w:r w:rsidR="00407CD2">
        <w:t xml:space="preserve"> for failing to give it the opportunity to tailor its showing to demonstrate how the balance of the trip data could still constitute an invasion of privacy, and concludes that this failure amounts to a denial of due process.</w:t>
      </w:r>
    </w:p>
    <w:p w:rsidR="00407CD2" w:rsidP="00582AE0" w:rsidRDefault="00407CD2" w14:paraId="0C2F617D" w14:textId="54DBCBDB">
      <w:pPr>
        <w:pStyle w:val="Standard"/>
      </w:pPr>
      <w:r>
        <w:t xml:space="preserve">The Commission rejects Lyft’s argument as it confuses and conflates the two concepts of burden of proof and due process. </w:t>
      </w:r>
      <w:r w:rsidR="0061548B">
        <w:t xml:space="preserve"> </w:t>
      </w:r>
      <w:r>
        <w:t>As set forth above,  as the party asserting that trip data should be redacted, Lyft bears the burden of proving its claim that unredacted trip data would amount to an invasion of privacy.</w:t>
      </w:r>
      <w:r w:rsidR="0061548B">
        <w:t xml:space="preserve"> </w:t>
      </w:r>
      <w:r>
        <w:t xml:space="preserve"> Knowing that trip data consists of </w:t>
      </w:r>
      <w:r w:rsidR="00352EA2">
        <w:t xml:space="preserve">multiple </w:t>
      </w:r>
      <w:r>
        <w:t>separate categories, it was incumbent on Lyft</w:t>
      </w:r>
      <w:r w:rsidR="00B42F73">
        <w:t>,</w:t>
      </w:r>
      <w:r>
        <w:t xml:space="preserve"> in satisfying its burden of proof</w:t>
      </w:r>
      <w:r w:rsidR="00B42F73">
        <w:t>, to demonstrate</w:t>
      </w:r>
      <w:r>
        <w:t xml:space="preserve"> </w:t>
      </w:r>
      <w:r w:rsidR="00CF7292">
        <w:t>how the disclosure of each  trip data component</w:t>
      </w:r>
      <w:r w:rsidR="00B42F73">
        <w:t xml:space="preserve"> </w:t>
      </w:r>
      <w:r w:rsidR="00CF7292">
        <w:t xml:space="preserve"> would amount to an invasion of privacy. </w:t>
      </w:r>
      <w:r w:rsidR="0061548B">
        <w:t xml:space="preserve"> </w:t>
      </w:r>
      <w:r w:rsidR="00CF7292">
        <w:t xml:space="preserve">It was not the obligation of the </w:t>
      </w:r>
      <w:r w:rsidR="006902A5">
        <w:t xml:space="preserve">assigned </w:t>
      </w:r>
      <w:r w:rsidR="00CF7292">
        <w:t xml:space="preserve">ALJ to devise a number of trip data scenarios for Lyft to address. </w:t>
      </w:r>
      <w:r w:rsidR="0061548B">
        <w:t xml:space="preserve"> </w:t>
      </w:r>
      <w:r w:rsidR="00CF7292">
        <w:t>Instead, as the moving party, and in accordance with our decision in</w:t>
      </w:r>
      <w:r w:rsidR="00352EA2">
        <w:t xml:space="preserve"> D.20-03-014</w:t>
      </w:r>
      <w:r w:rsidR="00CF7292">
        <w:t xml:space="preserve">, Lyft bore the responsibility for presenting all </w:t>
      </w:r>
      <w:r w:rsidR="00CF7292">
        <w:lastRenderedPageBreak/>
        <w:t>facts, arguments, and supporting declarations to carry its burden of proof</w:t>
      </w:r>
      <w:r w:rsidR="004E6D37">
        <w:t xml:space="preserve"> that each trip data category at issue was private</w:t>
      </w:r>
      <w:r w:rsidR="00CF7292">
        <w:t xml:space="preserve">. </w:t>
      </w:r>
      <w:r w:rsidR="0061548B">
        <w:t xml:space="preserve"> </w:t>
      </w:r>
      <w:r w:rsidR="00CF7292">
        <w:t>Lyft’s failure to do so cannot be transferred to the ALJ.</w:t>
      </w:r>
    </w:p>
    <w:p w:rsidRPr="004E6D37" w:rsidR="004E6D37" w:rsidP="004E6D37" w:rsidRDefault="004D3282" w14:paraId="68CAA09E" w14:textId="5D8E4160">
      <w:pPr>
        <w:pStyle w:val="Standard"/>
      </w:pPr>
      <w:r>
        <w:t>Nor is Lyft’s argument supported by its denial of due process claim.</w:t>
      </w:r>
      <w:r w:rsidR="008D5C35">
        <w:t xml:space="preserve"> </w:t>
      </w:r>
      <w:r w:rsidR="0061548B">
        <w:t xml:space="preserve"> </w:t>
      </w:r>
      <w:r w:rsidR="008D5C35">
        <w:t>The concept of due process is found in the Fifth</w:t>
      </w:r>
      <w:r w:rsidR="008D5C35">
        <w:rPr>
          <w:rStyle w:val="FootnoteReference"/>
        </w:rPr>
        <w:footnoteReference w:id="117"/>
      </w:r>
      <w:r w:rsidR="008D5C35">
        <w:t xml:space="preserve"> and Fourteenth</w:t>
      </w:r>
      <w:r w:rsidR="008D5C35">
        <w:rPr>
          <w:rStyle w:val="FootnoteReference"/>
        </w:rPr>
        <w:footnoteReference w:id="118"/>
      </w:r>
      <w:r w:rsidR="005A35F7">
        <w:t xml:space="preserve"> </w:t>
      </w:r>
      <w:r w:rsidR="008D5C35">
        <w:t xml:space="preserve"> Amendments to the United States Constitution</w:t>
      </w:r>
      <w:r w:rsidR="00072C8A">
        <w:t xml:space="preserve"> and has been applied in both administrative and judicial adjudicative contexts.</w:t>
      </w:r>
      <w:r w:rsidR="00072C8A">
        <w:rPr>
          <w:rStyle w:val="FootnoteReference"/>
        </w:rPr>
        <w:footnoteReference w:id="119"/>
      </w:r>
      <w:r w:rsidR="00F13B07">
        <w:t xml:space="preserve"> </w:t>
      </w:r>
      <w:r w:rsidR="0061548B">
        <w:t xml:space="preserve"> </w:t>
      </w:r>
      <w:r w:rsidR="00F13B07">
        <w:t>The California Constitution has a similar due process clause</w:t>
      </w:r>
      <w:r w:rsidR="00385F99">
        <w:t>,</w:t>
      </w:r>
      <w:r w:rsidR="00F13B07">
        <w:rPr>
          <w:rStyle w:val="FootnoteReference"/>
        </w:rPr>
        <w:footnoteReference w:id="120"/>
      </w:r>
      <w:r w:rsidR="008D5C35">
        <w:t xml:space="preserve"> </w:t>
      </w:r>
      <w:r>
        <w:t xml:space="preserve"> </w:t>
      </w:r>
      <w:r w:rsidR="00385F99">
        <w:t xml:space="preserve">And in </w:t>
      </w:r>
      <w:r w:rsidRPr="004E6D37" w:rsidR="004E6D37">
        <w:t xml:space="preserve"> </w:t>
      </w:r>
      <w:r w:rsidRPr="004E6D37" w:rsidR="004E6D37">
        <w:rPr>
          <w:i/>
        </w:rPr>
        <w:t>Pacific Gas &amp; Electric Company v. Public Utilities Commission</w:t>
      </w:r>
      <w:r w:rsidRPr="004E6D37" w:rsidR="004E6D37">
        <w:t xml:space="preserve"> </w:t>
      </w:r>
      <w:r w:rsidR="004E6D37">
        <w:t>(</w:t>
      </w:r>
      <w:r w:rsidRPr="004E6D37" w:rsidR="004E6D37">
        <w:t>2015</w:t>
      </w:r>
      <w:r w:rsidR="004E6D37">
        <w:t xml:space="preserve">) </w:t>
      </w:r>
      <w:r w:rsidR="00352EA2">
        <w:t xml:space="preserve">237 </w:t>
      </w:r>
      <w:r w:rsidR="004E6D37">
        <w:t>Cal.App.</w:t>
      </w:r>
      <w:r w:rsidR="00352EA2">
        <w:t>4</w:t>
      </w:r>
      <w:r w:rsidRPr="00352EA2" w:rsidR="00352EA2">
        <w:rPr>
          <w:vertAlign w:val="superscript"/>
        </w:rPr>
        <w:t>th</w:t>
      </w:r>
      <w:r w:rsidR="00352EA2">
        <w:t xml:space="preserve"> 812</w:t>
      </w:r>
      <w:r w:rsidR="004E6D37">
        <w:t>,</w:t>
      </w:r>
      <w:r w:rsidRPr="004E6D37" w:rsidR="004E6D37">
        <w:t xml:space="preserve">  the Court explained</w:t>
      </w:r>
      <w:r w:rsidR="00072C8A">
        <w:t xml:space="preserve"> how</w:t>
      </w:r>
      <w:r w:rsidRPr="004E6D37" w:rsidR="004E6D37">
        <w:t xml:space="preserve"> the concept of due process </w:t>
      </w:r>
      <w:r w:rsidR="00072C8A">
        <w:t>a</w:t>
      </w:r>
      <w:r w:rsidRPr="004E6D37" w:rsidR="004E6D37">
        <w:t>pplies to the Commission:</w:t>
      </w:r>
    </w:p>
    <w:p w:rsidRPr="004E6D37" w:rsidR="004E6D37" w:rsidP="00A52A29" w:rsidRDefault="004E6D37" w14:paraId="4080B33A" w14:textId="36C71CF8">
      <w:pPr>
        <w:pStyle w:val="Standard"/>
        <w:spacing w:after="120" w:line="240" w:lineRule="auto"/>
        <w:ind w:left="720" w:right="1440" w:firstLine="0"/>
      </w:pPr>
      <w:r w:rsidRPr="004E6D37">
        <w:t>An elementary and fundamental requirement of due process in any proceeding which is to be accorded finality is notice reasonably calculated,</w:t>
      </w:r>
      <w:r w:rsidR="00A52A29">
        <w:t> </w:t>
      </w:r>
      <w:r w:rsidRPr="004E6D37">
        <w:t>the circumstances, to apprise interested parties of the pendency of the action and afford them an opportunity to present their objections.”  (</w:t>
      </w:r>
      <w:r w:rsidRPr="004E6D37">
        <w:rPr>
          <w:i/>
        </w:rPr>
        <w:t>Mullane v. Central Hanover Tr. Co.</w:t>
      </w:r>
      <w:r w:rsidRPr="004E6D37">
        <w:t xml:space="preserve"> (1950) 339 U.S. 306, 314.  Four years later, our Supreme Court ruled on the application of this principle to the PUC:  “Due process as to the commission’s…action is provided by the requirement of adequate notice to a party affected and an opportunity to be heard before a valid order can be made.”  (</w:t>
      </w:r>
      <w:r w:rsidRPr="004E6D37">
        <w:rPr>
          <w:i/>
        </w:rPr>
        <w:t>People v. Western Air Lines Inc</w:t>
      </w:r>
      <w:r w:rsidRPr="004E6D37">
        <w:t xml:space="preserve">., </w:t>
      </w:r>
      <w:r w:rsidRPr="004E6D37">
        <w:rPr>
          <w:i/>
        </w:rPr>
        <w:t>supra</w:t>
      </w:r>
      <w:r w:rsidRPr="004E6D37">
        <w:t>, 42 Cal.2d 621, 632.) (*51)</w:t>
      </w:r>
    </w:p>
    <w:p w:rsidRPr="004E6D37" w:rsidR="004E6D37" w:rsidP="004E6D37" w:rsidRDefault="004E6D37" w14:paraId="24688C24" w14:textId="5D421BEA">
      <w:pPr>
        <w:pStyle w:val="Standard"/>
        <w:ind w:firstLine="0"/>
      </w:pPr>
      <w:r w:rsidRPr="004E6D37">
        <w:rPr>
          <w:i/>
        </w:rPr>
        <w:lastRenderedPageBreak/>
        <w:t>Pacific Gas and Electric Company</w:t>
      </w:r>
      <w:r w:rsidRPr="004E6D37">
        <w:t xml:space="preserve"> </w:t>
      </w:r>
      <w:r>
        <w:t>stated</w:t>
      </w:r>
      <w:r w:rsidRPr="004E6D37">
        <w:t xml:space="preserve"> that notice is a fluid concept with no hard and fast rules as to the form the notice must take:</w:t>
      </w:r>
    </w:p>
    <w:p w:rsidRPr="004E6D37" w:rsidR="004E6D37" w:rsidP="00A52A29" w:rsidRDefault="004E6D37" w14:paraId="59D51346" w14:textId="4ED4FC60">
      <w:pPr>
        <w:pStyle w:val="Standard"/>
        <w:spacing w:after="120" w:line="240" w:lineRule="auto"/>
        <w:ind w:left="720" w:right="1440" w:firstLine="0"/>
      </w:pPr>
      <w:r w:rsidRPr="004E6D37">
        <w:t xml:space="preserve">To begin with, due process does not require any particular form of notice.  </w:t>
      </w:r>
      <w:r w:rsidRPr="004E6D37">
        <w:rPr>
          <w:i/>
        </w:rPr>
        <w:t>(Lusardi Construction Co. v. Aubry (1992) 1 Cal.4th 976, 990 [4 Cal. Rptr. 2d 837, 824 P.2d 643]; Drummey v. State Bd. of Funeral Directors (1939) 13 Cal.2d 75, 80 [87 P.2d 848]; see Litchfield v. County of Marin (1955) 130 Cal.App.2d 806, 813 [280 P.2d 117</w:t>
      </w:r>
      <w:r w:rsidRPr="004E6D37">
        <w:t xml:space="preserve">] [“there is no constitutional mandate…which makes specific how … notice is to be given or which form it must take”].)  The details can be flexible, “depend[ing] on [the] circumstances … var[ying] with the subject matter and the necessities of the situation.”  </w:t>
      </w:r>
      <w:r w:rsidRPr="004E6D37">
        <w:rPr>
          <w:i/>
        </w:rPr>
        <w:t xml:space="preserve">(Sokol v. Public Utilities Commission (1966) 65 Cal.2d 247, 254 [53 Cal. Rptr. 673, 418 P.2d 265]; see Haas v. County of San Bernardino (2002) 27 Cal.4th 1017, 1037 [119 Cal. Rptr. 2d 341, 45 P.3d 280] </w:t>
      </w:r>
      <w:r w:rsidRPr="004E6D37">
        <w:t xml:space="preserve">[“The requirements of due process are flexible, especially where administrative procedure is concerned … .”].)  All that is required is that the notice be reasonable.  </w:t>
      </w:r>
      <w:r w:rsidRPr="004E6D37">
        <w:rPr>
          <w:i/>
        </w:rPr>
        <w:t>(Jonathan Neil &amp; Assoc., Inc. v. Jones (2004) 33 Cal.4</w:t>
      </w:r>
      <w:r w:rsidRPr="004E6D37">
        <w:rPr>
          <w:i/>
          <w:vertAlign w:val="superscript"/>
        </w:rPr>
        <w:t>th</w:t>
      </w:r>
      <w:r w:rsidRPr="004E6D37">
        <w:rPr>
          <w:i/>
        </w:rPr>
        <w:t xml:space="preserve"> 917, 936, fn. 7 [16 Cal. Rptr. 3d 849, 94 P.3d 1055]; Drummey v. State Bd. of Funeral Directors, supra, at 80</w:t>
      </w:r>
      <w:r w:rsidR="00A52A29">
        <w:rPr>
          <w:i/>
        </w:rPr>
        <w:noBreakHyphen/>
      </w:r>
      <w:r w:rsidRPr="004E6D37">
        <w:rPr>
          <w:i/>
        </w:rPr>
        <w:t>81.)</w:t>
      </w:r>
    </w:p>
    <w:p w:rsidRPr="004E6D37" w:rsidR="004E6D37" w:rsidP="00A52A29" w:rsidRDefault="004E6D37" w14:paraId="5E51483C" w14:textId="77777777">
      <w:pPr>
        <w:pStyle w:val="Standard"/>
      </w:pPr>
      <w:r w:rsidRPr="004E6D37">
        <w:t>(*52)</w:t>
      </w:r>
    </w:p>
    <w:p w:rsidR="004D3282" w:rsidP="004E6D37" w:rsidRDefault="004E6D37" w14:paraId="48FD7B94" w14:textId="356EF810">
      <w:pPr>
        <w:pStyle w:val="Standard"/>
        <w:ind w:firstLine="0"/>
      </w:pPr>
      <w:r>
        <w:t xml:space="preserve">The facts here demonstrates that all TNCs were given reasonable notice in accordance with applicable due process standards. </w:t>
      </w:r>
      <w:r w:rsidR="005A35F7">
        <w:t xml:space="preserve"> </w:t>
      </w:r>
      <w:r w:rsidR="00512D16">
        <w:t>D.</w:t>
      </w:r>
      <w:r w:rsidR="00352EA2">
        <w:t xml:space="preserve">20-03-014 </w:t>
      </w:r>
      <w:r w:rsidR="00512D16">
        <w:t>advised e</w:t>
      </w:r>
      <w:r>
        <w:t xml:space="preserve">ach TNC of what </w:t>
      </w:r>
      <w:r w:rsidR="003E1ADF">
        <w:t>level o</w:t>
      </w:r>
      <w:r w:rsidR="00512D16">
        <w:t>f</w:t>
      </w:r>
      <w:r w:rsidR="003E1ADF">
        <w:t xml:space="preserve"> proof </w:t>
      </w:r>
      <w:r>
        <w:t>was expected if a TNC wanted to claim that any part of the 2020 Annual Report should be redacted from public disclosure. D</w:t>
      </w:r>
      <w:r w:rsidR="00352EA2">
        <w:t>.20</w:t>
      </w:r>
      <w:r w:rsidR="0061548B">
        <w:noBreakHyphen/>
      </w:r>
      <w:r w:rsidR="00352EA2">
        <w:t>03</w:t>
      </w:r>
      <w:r w:rsidR="0061548B">
        <w:noBreakHyphen/>
      </w:r>
      <w:r w:rsidR="00352EA2">
        <w:t>014</w:t>
      </w:r>
      <w:r>
        <w:t xml:space="preserve"> set forth the necessary showing and Lyft does not claim that it was unaware of its burden of proof. </w:t>
      </w:r>
    </w:p>
    <w:p w:rsidR="00780352" w:rsidP="00A52A29" w:rsidRDefault="004E6D37" w14:paraId="60399DCF" w14:textId="5BE2DAD8">
      <w:pPr>
        <w:pStyle w:val="Standard"/>
      </w:pPr>
      <w:r>
        <w:t xml:space="preserve">There is </w:t>
      </w:r>
      <w:r w:rsidRPr="00A52A29">
        <w:t>also</w:t>
      </w:r>
      <w:r>
        <w:t xml:space="preserve"> a second component of due process—the opportunity to be heard</w:t>
      </w:r>
      <w:r w:rsidR="00780352">
        <w:t>, which must be meaningful. (</w:t>
      </w:r>
      <w:r w:rsidRPr="00780352" w:rsidR="00780352">
        <w:rPr>
          <w:i/>
          <w:iCs/>
        </w:rPr>
        <w:t>Horn v. County of Ventura</w:t>
      </w:r>
      <w:r w:rsidR="00780352">
        <w:t xml:space="preserve"> (1979) 24 Cal.3d 605, 612; </w:t>
      </w:r>
      <w:r w:rsidRPr="00780352" w:rsidR="00780352">
        <w:rPr>
          <w:i/>
          <w:iCs/>
        </w:rPr>
        <w:t>Logan v. Zimmerman Brush Co.</w:t>
      </w:r>
      <w:r w:rsidRPr="00780352" w:rsidR="00780352">
        <w:t xml:space="preserve"> (1982) </w:t>
      </w:r>
      <w:r w:rsidR="00780352">
        <w:t>455 U.S. 422,  428-430, footnote 5.)</w:t>
      </w:r>
    </w:p>
    <w:p w:rsidR="00780352" w:rsidP="004E6D37" w:rsidRDefault="00385F99" w14:paraId="16ECE61F" w14:textId="1455F0DD">
      <w:pPr>
        <w:pStyle w:val="Standard"/>
        <w:ind w:firstLine="0"/>
      </w:pPr>
      <w:r>
        <w:t xml:space="preserve">But </w:t>
      </w:r>
      <w:r w:rsidRPr="00780352" w:rsidR="00780352">
        <w:t xml:space="preserve"> </w:t>
      </w:r>
      <w:r>
        <w:t>“</w:t>
      </w:r>
      <w:r w:rsidRPr="00780352" w:rsidR="00780352">
        <w:t xml:space="preserve">there is no precise manner of hearing which must be afforded; rather the particular interests at issue must be considered in determining what kind of </w:t>
      </w:r>
      <w:r w:rsidRPr="00780352" w:rsidR="00780352">
        <w:lastRenderedPageBreak/>
        <w:t xml:space="preserve">hearing is appropriate. </w:t>
      </w:r>
      <w:r w:rsidR="0061548B">
        <w:t xml:space="preserve"> </w:t>
      </w:r>
      <w:r w:rsidRPr="00780352" w:rsidR="00780352">
        <w:t xml:space="preserve">A formal hearing, with full rights of confrontation and cross-examination is not necessarily required." </w:t>
      </w:r>
      <w:r w:rsidR="0061548B">
        <w:t xml:space="preserve"> </w:t>
      </w:r>
      <w:r w:rsidRPr="00780352" w:rsidR="00780352">
        <w:t>(</w:t>
      </w:r>
      <w:r w:rsidRPr="00780352" w:rsidR="00780352">
        <w:rPr>
          <w:i/>
          <w:iCs/>
        </w:rPr>
        <w:t>Saleeby v. State Bar</w:t>
      </w:r>
      <w:r w:rsidRPr="00780352" w:rsidR="00780352">
        <w:t xml:space="preserve"> (1985)</w:t>
      </w:r>
      <w:r w:rsidR="00780352">
        <w:t xml:space="preserve"> 39 Cal.3d 547, 565.) </w:t>
      </w:r>
      <w:r w:rsidRPr="00780352" w:rsidR="00780352">
        <w:t xml:space="preserve"> </w:t>
      </w:r>
      <w:r>
        <w:t xml:space="preserve">Thus, </w:t>
      </w:r>
      <w:r w:rsidR="00780352">
        <w:t>“</w:t>
      </w:r>
      <w:r>
        <w:t>[d]</w:t>
      </w:r>
      <w:r w:rsidRPr="00780352" w:rsidR="00780352">
        <w:t xml:space="preserve">ue process is an elusive concept. </w:t>
      </w:r>
      <w:r w:rsidR="0061548B">
        <w:t xml:space="preserve"> </w:t>
      </w:r>
      <w:r w:rsidRPr="00780352" w:rsidR="00780352">
        <w:t xml:space="preserve">Its exact boundaries are undefinable, and its content varies according to specific factual contexts." </w:t>
      </w:r>
      <w:r w:rsidR="0061548B">
        <w:t xml:space="preserve"> </w:t>
      </w:r>
      <w:r w:rsidRPr="00780352" w:rsidR="00780352">
        <w:t>(</w:t>
      </w:r>
      <w:r w:rsidRPr="00780352" w:rsidR="00780352">
        <w:rPr>
          <w:i/>
          <w:iCs/>
        </w:rPr>
        <w:t>In re Love</w:t>
      </w:r>
      <w:r w:rsidRPr="00780352" w:rsidR="00780352">
        <w:t xml:space="preserve"> (1974)</w:t>
      </w:r>
      <w:r w:rsidR="00780352">
        <w:t xml:space="preserve"> 11 Cal.3d 179, 190, footnote 11.)</w:t>
      </w:r>
    </w:p>
    <w:p w:rsidR="004E6D37" w:rsidP="0061548B" w:rsidRDefault="004E6D37" w14:paraId="183D1D7C" w14:textId="5004C4EC">
      <w:pPr>
        <w:pStyle w:val="Standard"/>
        <w:ind w:right="-90"/>
      </w:pPr>
      <w:r>
        <w:t>Lyft was given that</w:t>
      </w:r>
      <w:r w:rsidR="00780352">
        <w:t xml:space="preserve"> meaningful</w:t>
      </w:r>
      <w:r>
        <w:t xml:space="preserve"> opportunity</w:t>
      </w:r>
      <w:r w:rsidR="00780352">
        <w:t xml:space="preserve"> to be heard</w:t>
      </w:r>
      <w:r>
        <w:t xml:space="preserve"> when it filed </w:t>
      </w:r>
      <w:r w:rsidR="00352EA2">
        <w:t>its</w:t>
      </w:r>
      <w:r>
        <w:t xml:space="preserve"> </w:t>
      </w:r>
      <w:r w:rsidRPr="003E1ADF">
        <w:rPr>
          <w:i/>
          <w:iCs/>
        </w:rPr>
        <w:t>Motion</w:t>
      </w:r>
      <w:r w:rsidR="00352EA2">
        <w:rPr>
          <w:i/>
          <w:iCs/>
        </w:rPr>
        <w:t>.</w:t>
      </w:r>
      <w:r>
        <w:t xml:space="preserve"> </w:t>
      </w:r>
      <w:r w:rsidR="0061548B">
        <w:t xml:space="preserve"> </w:t>
      </w:r>
      <w:r w:rsidR="00DA0A4D">
        <w:t>Lyft</w:t>
      </w:r>
      <w:r>
        <w:t xml:space="preserve"> attached the Collins Declaration</w:t>
      </w:r>
      <w:r w:rsidR="00677F4F">
        <w:t xml:space="preserve"> to</w:t>
      </w:r>
      <w:r w:rsidR="00DA0A4D">
        <w:t xml:space="preserve"> the</w:t>
      </w:r>
      <w:r w:rsidR="00512D16">
        <w:t xml:space="preserve"> </w:t>
      </w:r>
      <w:r w:rsidRPr="00512D16" w:rsidR="00512D16">
        <w:rPr>
          <w:i/>
          <w:iCs/>
        </w:rPr>
        <w:t>Motion’s</w:t>
      </w:r>
      <w:r w:rsidRPr="00512D16">
        <w:rPr>
          <w:i/>
          <w:iCs/>
        </w:rPr>
        <w:t xml:space="preserve"> </w:t>
      </w:r>
      <w:r>
        <w:t xml:space="preserve">memorandum of points and authorities where </w:t>
      </w:r>
      <w:r w:rsidR="00677F4F">
        <w:t>Lyft</w:t>
      </w:r>
      <w:r>
        <w:t xml:space="preserve"> presented </w:t>
      </w:r>
      <w:r w:rsidR="003E1ADF">
        <w:t>all</w:t>
      </w:r>
      <w:r>
        <w:t xml:space="preserve"> its facts and arguments. </w:t>
      </w:r>
      <w:r w:rsidR="0061548B">
        <w:t xml:space="preserve"> </w:t>
      </w:r>
      <w:r w:rsidR="003E1ADF">
        <w:t xml:space="preserve">That the </w:t>
      </w:r>
      <w:r w:rsidR="006902A5">
        <w:t xml:space="preserve">assigned </w:t>
      </w:r>
      <w:r w:rsidR="003E1ADF">
        <w:t xml:space="preserve">ALJ determined </w:t>
      </w:r>
      <w:r w:rsidR="002E5BB2">
        <w:t>Lyft’s</w:t>
      </w:r>
      <w:r w:rsidR="003E1ADF">
        <w:t xml:space="preserve"> showing </w:t>
      </w:r>
      <w:r w:rsidR="00512D16">
        <w:t>was</w:t>
      </w:r>
      <w:r w:rsidR="003E1ADF">
        <w:t xml:space="preserve"> legally deficient is not a denial of the opportunity to be heard.</w:t>
      </w:r>
      <w:r w:rsidR="00512D16">
        <w:t xml:space="preserve"> </w:t>
      </w:r>
      <w:r w:rsidR="0061548B">
        <w:t xml:space="preserve"> </w:t>
      </w:r>
      <w:r w:rsidR="00512D16">
        <w:t>Nor is the ALJ required to give Lyft a second opportunity to make a</w:t>
      </w:r>
      <w:r w:rsidR="003A4DFD">
        <w:t>n enhanced</w:t>
      </w:r>
      <w:r w:rsidR="00512D16">
        <w:t xml:space="preserve"> factual showing to support its </w:t>
      </w:r>
      <w:r w:rsidRPr="002E5BB2" w:rsidR="00512D16">
        <w:rPr>
          <w:i/>
          <w:iCs/>
        </w:rPr>
        <w:t>Motion</w:t>
      </w:r>
      <w:r w:rsidR="00F831C2">
        <w:t xml:space="preserve"> since whether the </w:t>
      </w:r>
      <w:r w:rsidR="00D7278C">
        <w:t xml:space="preserve">assigned </w:t>
      </w:r>
      <w:r w:rsidR="00F831C2">
        <w:t>ALJ determines that additional evidence is needed is within the discretion of the ALJ.</w:t>
      </w:r>
      <w:r w:rsidR="00F831C2">
        <w:rPr>
          <w:rStyle w:val="FootnoteReference"/>
        </w:rPr>
        <w:footnoteReference w:id="121"/>
      </w:r>
      <w:r w:rsidR="00F831C2">
        <w:t xml:space="preserve"> </w:t>
      </w:r>
      <w:r w:rsidR="0061548B">
        <w:t xml:space="preserve"> </w:t>
      </w:r>
      <w:r w:rsidR="00512D16">
        <w:t xml:space="preserve">Instead, once Lyft filed its </w:t>
      </w:r>
      <w:r w:rsidRPr="00512D16" w:rsidR="00512D16">
        <w:rPr>
          <w:i/>
          <w:iCs/>
        </w:rPr>
        <w:t>Motion</w:t>
      </w:r>
      <w:r w:rsidR="00512D16">
        <w:t xml:space="preserve">, that was the extent of the evidentiary record upon which the ALJ was entitled to rely </w:t>
      </w:r>
      <w:r w:rsidR="002E5BB2">
        <w:t xml:space="preserve">on </w:t>
      </w:r>
      <w:r w:rsidR="00512D16">
        <w:t>and rend</w:t>
      </w:r>
      <w:r w:rsidR="002E5BB2">
        <w:t>er</w:t>
      </w:r>
      <w:r w:rsidR="00512D16">
        <w:t xml:space="preserve"> his ruling</w:t>
      </w:r>
      <w:r w:rsidR="00F831C2">
        <w:t xml:space="preserve"> unless the ALJ determined more evidence was needed</w:t>
      </w:r>
      <w:r w:rsidR="00512D16">
        <w:t>.</w:t>
      </w:r>
    </w:p>
    <w:p w:rsidR="003E1ADF" w:rsidP="00A52A29" w:rsidRDefault="003E1ADF" w14:paraId="552A99E4" w14:textId="4CC60595">
      <w:pPr>
        <w:pStyle w:val="Standard"/>
      </w:pPr>
      <w:r>
        <w:t xml:space="preserve">Not even the evidence that Lyft alludes to can establish that the </w:t>
      </w:r>
      <w:r w:rsidR="00D7278C">
        <w:t xml:space="preserve">assigned </w:t>
      </w:r>
      <w:r>
        <w:t>ALJ erred in ruling against Lyft’s privacy claim related to the trip data at issue.</w:t>
      </w:r>
      <w:r w:rsidR="009F24AF">
        <w:t xml:space="preserve"> </w:t>
      </w:r>
      <w:r w:rsidR="000F68FA">
        <w:t xml:space="preserve"> </w:t>
      </w:r>
      <w:r w:rsidR="009F24AF">
        <w:t xml:space="preserve">Lyft references the United States Census Bureau </w:t>
      </w:r>
      <w:r w:rsidR="00677F4F">
        <w:t xml:space="preserve">documents </w:t>
      </w:r>
      <w:r w:rsidR="009F24AF">
        <w:t xml:space="preserve">that are attached to its </w:t>
      </w:r>
      <w:r w:rsidRPr="00A6208D" w:rsidR="009F24AF">
        <w:rPr>
          <w:i/>
          <w:iCs/>
        </w:rPr>
        <w:t>Appeal</w:t>
      </w:r>
      <w:r w:rsidR="009F24AF">
        <w:t xml:space="preserve"> as Exhibit A and argues that because some census blocks may include as few as five</w:t>
      </w:r>
      <w:r w:rsidR="000F68FA">
        <w:t> </w:t>
      </w:r>
      <w:r w:rsidR="009F24AF">
        <w:t>individuals</w:t>
      </w:r>
      <w:r w:rsidR="00677F4F">
        <w:t>,</w:t>
      </w:r>
      <w:r w:rsidR="009F24AF">
        <w:t xml:space="preserve"> and 4,000,000 census blocks in the United States </w:t>
      </w:r>
      <w:r w:rsidR="00677F4F">
        <w:t>have</w:t>
      </w:r>
      <w:r w:rsidR="009F24AF">
        <w:t xml:space="preserve"> zero</w:t>
      </w:r>
      <w:r w:rsidR="000F68FA">
        <w:t> </w:t>
      </w:r>
      <w:r w:rsidR="009F24AF">
        <w:t>population, there are privacy implications from producing trip data census block information.</w:t>
      </w:r>
      <w:r w:rsidR="009F24AF">
        <w:rPr>
          <w:rStyle w:val="FootnoteReference"/>
        </w:rPr>
        <w:footnoteReference w:id="122"/>
      </w:r>
      <w:r w:rsidR="009F24AF">
        <w:t xml:space="preserve"> </w:t>
      </w:r>
      <w:r w:rsidR="000F68FA">
        <w:t xml:space="preserve"> </w:t>
      </w:r>
      <w:r w:rsidR="009F24AF">
        <w:t xml:space="preserve">Yet Lyft does not claim that any of its TNC drivers travel from or to census blocks with few two no individuals and that those trips are </w:t>
      </w:r>
      <w:r w:rsidR="009F24AF">
        <w:lastRenderedPageBreak/>
        <w:t>part of the information provided to the Commission in Lyft’s 2020 Annual Report.</w:t>
      </w:r>
    </w:p>
    <w:p w:rsidR="00950703" w:rsidP="00950703" w:rsidRDefault="00950703" w14:paraId="2C739BC6" w14:textId="14175F01">
      <w:pPr>
        <w:pStyle w:val="Standard"/>
      </w:pPr>
      <w:r>
        <w:t xml:space="preserve">Lyft next refers to a series of opinions to support its claim that disclosed trip data can lead to an invasion of rider privacy. </w:t>
      </w:r>
      <w:r w:rsidR="000F68FA">
        <w:t xml:space="preserve"> </w:t>
      </w:r>
      <w:r>
        <w:t>Lyft first cites a comment from the Director of the Federal Trade Commission’s Bureau of Consumer Protection who testified before Congress that any geolocational information can divulge intimately personal details.</w:t>
      </w:r>
      <w:r>
        <w:rPr>
          <w:rStyle w:val="FootnoteReference"/>
        </w:rPr>
        <w:footnoteReference w:id="123"/>
      </w:r>
      <w:r>
        <w:t xml:space="preserve">  Then Lyft cites to a paper entitled </w:t>
      </w:r>
      <w:r w:rsidRPr="00705CB7">
        <w:rPr>
          <w:i/>
          <w:iCs/>
        </w:rPr>
        <w:t xml:space="preserve">The Tradeoff between the Utility and Risk of Location Data and </w:t>
      </w:r>
      <w:r w:rsidRPr="00705CB7" w:rsidR="00705CB7">
        <w:rPr>
          <w:i/>
          <w:iCs/>
        </w:rPr>
        <w:t>Implications</w:t>
      </w:r>
      <w:r w:rsidRPr="00705CB7">
        <w:rPr>
          <w:i/>
          <w:iCs/>
        </w:rPr>
        <w:t xml:space="preserve"> </w:t>
      </w:r>
      <w:r w:rsidRPr="00705CB7" w:rsidR="00705CB7">
        <w:rPr>
          <w:i/>
          <w:iCs/>
        </w:rPr>
        <w:t>f</w:t>
      </w:r>
      <w:r w:rsidRPr="00705CB7">
        <w:rPr>
          <w:i/>
          <w:iCs/>
        </w:rPr>
        <w:t>or Public Good</w:t>
      </w:r>
      <w:r w:rsidR="00705CB7">
        <w:rPr>
          <w:i/>
          <w:iCs/>
        </w:rPr>
        <w:t xml:space="preserve"> </w:t>
      </w:r>
      <w:r w:rsidR="00705CB7">
        <w:t xml:space="preserve">that allegedly found that geolocation data aggregated to the census block level presents “a series risk of de-identification.” </w:t>
      </w:r>
      <w:r w:rsidR="000F68FA">
        <w:t xml:space="preserve"> </w:t>
      </w:r>
      <w:r w:rsidR="00705CB7">
        <w:t>Finally, Lyft cites to Health Insurance portability and Accountability Act rules that data linked to zip codes with fewer than 20,000 residents, medical data can be re-identified.</w:t>
      </w:r>
      <w:r w:rsidR="00705CB7">
        <w:rPr>
          <w:rStyle w:val="FootnoteReference"/>
        </w:rPr>
        <w:footnoteReference w:id="124"/>
      </w:r>
      <w:r w:rsidR="00705CB7">
        <w:t xml:space="preserve"> </w:t>
      </w:r>
      <w:r w:rsidR="000F68FA">
        <w:t xml:space="preserve"> </w:t>
      </w:r>
      <w:r w:rsidR="00705CB7">
        <w:t>The Commission declines to consider th</w:t>
      </w:r>
      <w:r w:rsidR="00F831C2">
        <w:t xml:space="preserve">e </w:t>
      </w:r>
      <w:r w:rsidR="00705CB7">
        <w:t xml:space="preserve">testimony, paper, and rules in that they are all inadmissible hearsay. </w:t>
      </w:r>
      <w:r w:rsidR="000F68FA">
        <w:t xml:space="preserve"> </w:t>
      </w:r>
      <w:r w:rsidR="00705CB7">
        <w:t xml:space="preserve">Lyft does not explain why it did not follow the procedure of procuring declarations under oath to support their conclusions, or why declarations were not secured </w:t>
      </w:r>
      <w:r w:rsidR="00F831C2">
        <w:t>from the authors of the</w:t>
      </w:r>
      <w:r w:rsidR="00705CB7">
        <w:t xml:space="preserve"> testimony</w:t>
      </w:r>
      <w:r w:rsidR="00BE6D8F">
        <w:t>,</w:t>
      </w:r>
      <w:r w:rsidR="00705CB7">
        <w:t xml:space="preserve"> paper</w:t>
      </w:r>
      <w:r w:rsidR="00BE6D8F">
        <w:t>, and Health Insurance Portability and Accountability Act rules</w:t>
      </w:r>
      <w:r w:rsidR="00705CB7">
        <w:t xml:space="preserve"> and submitted along with Lyft’s </w:t>
      </w:r>
      <w:r w:rsidRPr="00705CB7" w:rsidR="00705CB7">
        <w:rPr>
          <w:i/>
          <w:iCs/>
        </w:rPr>
        <w:t>Motion</w:t>
      </w:r>
      <w:r w:rsidR="00705CB7">
        <w:t>.</w:t>
      </w:r>
      <w:r w:rsidR="00BE6D8F">
        <w:rPr>
          <w:rStyle w:val="FootnoteReference"/>
        </w:rPr>
        <w:footnoteReference w:id="125"/>
      </w:r>
    </w:p>
    <w:p w:rsidR="002E5BB2" w:rsidP="00950703" w:rsidRDefault="00BE6D8F" w14:paraId="4FDBBC98" w14:textId="63D0FB4B">
      <w:pPr>
        <w:pStyle w:val="Standard"/>
      </w:pPr>
      <w:r>
        <w:t>Finally, Lyft tries to rely on the report prepared by Privacy Analytics, Inc</w:t>
      </w:r>
      <w:r w:rsidR="000F68FA">
        <w:t>.</w:t>
      </w:r>
      <w:r>
        <w:t xml:space="preserve"> (PAI) that Uber submitted as part of its </w:t>
      </w:r>
      <w:r w:rsidRPr="00BE6D8F">
        <w:rPr>
          <w:i/>
          <w:iCs/>
        </w:rPr>
        <w:t>Motion</w:t>
      </w:r>
      <w:r>
        <w:t>.</w:t>
      </w:r>
      <w:r>
        <w:rPr>
          <w:rStyle w:val="FootnoteReference"/>
        </w:rPr>
        <w:footnoteReference w:id="126"/>
      </w:r>
      <w:r>
        <w:t xml:space="preserve"> </w:t>
      </w:r>
      <w:r w:rsidR="000F68FA">
        <w:t xml:space="preserve"> </w:t>
      </w:r>
      <w:r>
        <w:t xml:space="preserve">The </w:t>
      </w:r>
      <w:r w:rsidRPr="00A6208D">
        <w:rPr>
          <w:i/>
          <w:iCs/>
        </w:rPr>
        <w:t>Ruling</w:t>
      </w:r>
      <w:r>
        <w:t xml:space="preserve"> </w:t>
      </w:r>
      <w:r w:rsidR="00597187">
        <w:t xml:space="preserve">reviewed PAI’s analysis and rejected it as being uncertain, filled with too many qualifiers, and </w:t>
      </w:r>
      <w:r w:rsidR="00597187">
        <w:lastRenderedPageBreak/>
        <w:t>was too speculative.</w:t>
      </w:r>
      <w:r w:rsidR="00597187">
        <w:rPr>
          <w:rStyle w:val="FootnoteReference"/>
        </w:rPr>
        <w:footnoteReference w:id="127"/>
      </w:r>
      <w:r w:rsidR="00597187">
        <w:t xml:space="preserve"> </w:t>
      </w:r>
      <w:r w:rsidR="000F68FA">
        <w:t xml:space="preserve"> </w:t>
      </w:r>
      <w:r w:rsidR="00597187">
        <w:t xml:space="preserve">Lyft attempts to respond to this </w:t>
      </w:r>
      <w:r w:rsidR="00F82488">
        <w:t>criticism,</w:t>
      </w:r>
      <w:r w:rsidR="00597187">
        <w:t xml:space="preserve"> but the Commission rejects Lyft’s efforts</w:t>
      </w:r>
      <w:r w:rsidR="00F82488">
        <w:t xml:space="preserve"> because Lyft has confused the administrative and evidentiary records</w:t>
      </w:r>
      <w:r w:rsidR="00597187">
        <w:t xml:space="preserve">. </w:t>
      </w:r>
      <w:r w:rsidR="000F68FA">
        <w:t xml:space="preserve"> </w:t>
      </w:r>
      <w:r w:rsidR="002E5BB2">
        <w:t xml:space="preserve">The administrative record consists of all pleadings filed in the docket for an open Commission proceeding. </w:t>
      </w:r>
      <w:r w:rsidR="000F68FA">
        <w:t xml:space="preserve"> </w:t>
      </w:r>
      <w:r w:rsidR="002E5BB2">
        <w:t xml:space="preserve">The evidentiary record consists of all evidence that the moving party proffers for the </w:t>
      </w:r>
      <w:r w:rsidR="00D7278C">
        <w:t xml:space="preserve">assigned </w:t>
      </w:r>
      <w:r w:rsidR="002E5BB2">
        <w:t xml:space="preserve">ALJ to rule on the moving party’s request. </w:t>
      </w:r>
      <w:r w:rsidR="000F68FA">
        <w:t xml:space="preserve"> </w:t>
      </w:r>
      <w:r w:rsidR="002E5BB2">
        <w:t xml:space="preserve">This distinction between the administrative and evidentiary record derives from the definition of </w:t>
      </w:r>
      <w:r w:rsidR="00EB39AD">
        <w:t>“</w:t>
      </w:r>
      <w:r w:rsidR="002E5BB2">
        <w:t>evidence,</w:t>
      </w:r>
      <w:r w:rsidR="00EB39AD">
        <w:t>”</w:t>
      </w:r>
      <w:r w:rsidR="002E5BB2">
        <w:t xml:space="preserve"> which according to Evidence Code §140  “</w:t>
      </w:r>
      <w:r w:rsidRPr="002E5BB2" w:rsidR="002E5BB2">
        <w:t>means testimony, writings, material objects, or other things presented to the senses that are offered to prove the existence or nonexistence of a fact</w:t>
      </w:r>
      <w:r w:rsidR="00EB39AD">
        <w:t>[,]</w:t>
      </w:r>
      <w:r w:rsidR="002E5BB2">
        <w:t>”</w:t>
      </w:r>
      <w:r w:rsidR="00EB39AD">
        <w:t xml:space="preserve"> and the “burden of producing evidence,” which according to Evidence Code </w:t>
      </w:r>
      <w:r w:rsidRPr="00EB39AD" w:rsidR="00EB39AD">
        <w:t>§</w:t>
      </w:r>
      <w:r w:rsidR="00EB39AD">
        <w:t>110 “</w:t>
      </w:r>
      <w:r w:rsidRPr="00EB39AD" w:rsidR="00EB39AD">
        <w:t>means the obligation of a party to introduce evidence sufficient to avoid a ruling against him on the issue.</w:t>
      </w:r>
      <w:r w:rsidR="00EB39AD">
        <w:t xml:space="preserve">” </w:t>
      </w:r>
      <w:r w:rsidR="000F68FA">
        <w:t xml:space="preserve"> </w:t>
      </w:r>
      <w:r w:rsidR="00EB39AD">
        <w:t xml:space="preserve">Reading these Evidence Code sections together means that it is incumbent on the party wishing a ruling in the moving party’s favor to present admissible and relevant evidence to the trier of fact. </w:t>
      </w:r>
    </w:p>
    <w:p w:rsidRPr="00350FBB" w:rsidR="00BE6D8F" w:rsidP="00950703" w:rsidRDefault="00350FBB" w14:paraId="24C57FA9" w14:textId="126B7560">
      <w:pPr>
        <w:pStyle w:val="Standard"/>
      </w:pPr>
      <w:r>
        <w:t xml:space="preserve">The PAI report is not part of Lyft’s evidentiary record. </w:t>
      </w:r>
      <w:r w:rsidR="000F68FA">
        <w:t xml:space="preserve"> </w:t>
      </w:r>
      <w:r w:rsidR="00597187">
        <w:t xml:space="preserve">First, the PAI evidence was submitted </w:t>
      </w:r>
      <w:r>
        <w:t>with</w:t>
      </w:r>
      <w:r w:rsidR="00597187">
        <w:t xml:space="preserve"> Uber</w:t>
      </w:r>
      <w:r>
        <w:t xml:space="preserve">’s </w:t>
      </w:r>
      <w:r w:rsidRPr="00350FBB">
        <w:rPr>
          <w:i/>
          <w:iCs/>
        </w:rPr>
        <w:t>Motion</w:t>
      </w:r>
      <w:r w:rsidR="00597187">
        <w:t xml:space="preserve">, who has chosen not to appeal the </w:t>
      </w:r>
      <w:r w:rsidRPr="00597187" w:rsidR="00597187">
        <w:rPr>
          <w:i/>
          <w:iCs/>
        </w:rPr>
        <w:t>Ruling</w:t>
      </w:r>
      <w:r w:rsidR="00597187">
        <w:t>.</w:t>
      </w:r>
      <w:r w:rsidR="00F82488">
        <w:t xml:space="preserve"> </w:t>
      </w:r>
      <w:r w:rsidR="000F68FA">
        <w:t xml:space="preserve"> </w:t>
      </w:r>
      <w:r w:rsidR="00F82488">
        <w:t xml:space="preserve">Thus, Uber’s </w:t>
      </w:r>
      <w:r w:rsidRPr="00F82488" w:rsidR="00F82488">
        <w:rPr>
          <w:i/>
          <w:iCs/>
        </w:rPr>
        <w:t>Motion</w:t>
      </w:r>
      <w:r w:rsidR="00F82488">
        <w:t xml:space="preserve"> and all evidence attached thereto is part of the administrative record in this proceeding</w:t>
      </w:r>
      <w:r>
        <w:t xml:space="preserve"> but not part of the evidentiary record upon which Lyft relies and presented to the ALJ for consideration</w:t>
      </w:r>
      <w:r w:rsidR="00F82488">
        <w:t>.</w:t>
      </w:r>
      <w:r w:rsidR="00597187">
        <w:t xml:space="preserve"> </w:t>
      </w:r>
      <w:r w:rsidR="000F68FA">
        <w:t xml:space="preserve"> </w:t>
      </w:r>
      <w:r w:rsidR="00597187">
        <w:t xml:space="preserve">Second, Lyft fails to explain how it has the right to rely on another party’s evidence when that party has chosen not to appeal. </w:t>
      </w:r>
      <w:r w:rsidR="000F68FA">
        <w:t xml:space="preserve"> </w:t>
      </w:r>
      <w:r w:rsidR="00597187">
        <w:t xml:space="preserve">As only Lyft has filed an </w:t>
      </w:r>
      <w:r w:rsidRPr="00F82488" w:rsidR="00597187">
        <w:rPr>
          <w:i/>
          <w:iCs/>
        </w:rPr>
        <w:t>Appeal</w:t>
      </w:r>
      <w:r w:rsidR="00597187">
        <w:t xml:space="preserve">, the Commission </w:t>
      </w:r>
      <w:r>
        <w:t>must</w:t>
      </w:r>
      <w:r w:rsidR="00597187">
        <w:t xml:space="preserve"> limit its review to the evidence Lyft offered as part of its </w:t>
      </w:r>
      <w:r w:rsidRPr="00F82488" w:rsidR="00597187">
        <w:rPr>
          <w:i/>
          <w:iCs/>
        </w:rPr>
        <w:t>Motion</w:t>
      </w:r>
      <w:r w:rsidR="00F82488">
        <w:t xml:space="preserve"> as that evidence constitutes the evidentiary record. </w:t>
      </w:r>
      <w:r w:rsidR="000F68FA">
        <w:t xml:space="preserve"> </w:t>
      </w:r>
      <w:r w:rsidR="00597187">
        <w:t xml:space="preserve">As the Commission has done so in </w:t>
      </w:r>
      <w:r w:rsidR="00597187">
        <w:lastRenderedPageBreak/>
        <w:t xml:space="preserve">evaluating Lyft’s </w:t>
      </w:r>
      <w:r w:rsidRPr="00597187" w:rsidR="00597187">
        <w:rPr>
          <w:i/>
          <w:iCs/>
        </w:rPr>
        <w:t>Appeal</w:t>
      </w:r>
      <w:r w:rsidR="00597187">
        <w:t xml:space="preserve">, the Commission need not address other evidence that is not part of this </w:t>
      </w:r>
      <w:r w:rsidRPr="00597187" w:rsidR="00597187">
        <w:rPr>
          <w:i/>
          <w:iCs/>
        </w:rPr>
        <w:t>Appeal</w:t>
      </w:r>
      <w:r w:rsidR="00E80302">
        <w:rPr>
          <w:i/>
          <w:iCs/>
        </w:rPr>
        <w:t>.</w:t>
      </w:r>
      <w:r>
        <w:rPr>
          <w:rStyle w:val="FootnoteReference"/>
          <w:i/>
          <w:iCs/>
        </w:rPr>
        <w:footnoteReference w:id="128"/>
      </w:r>
    </w:p>
    <w:p w:rsidR="00597187" w:rsidP="00A52A29" w:rsidRDefault="00E80302" w14:paraId="3389A28A" w14:textId="1D840E49">
      <w:pPr>
        <w:pStyle w:val="Standard"/>
      </w:pPr>
      <w:r>
        <w:t xml:space="preserve">In reaching that conclusion, the Commission follows the principle that it will not consider evidence that is not part of the </w:t>
      </w:r>
      <w:r w:rsidR="00352EA2">
        <w:t xml:space="preserve">evidentiary </w:t>
      </w:r>
      <w:r>
        <w:t xml:space="preserve">record. </w:t>
      </w:r>
      <w:r w:rsidR="000F68FA">
        <w:t xml:space="preserve"> </w:t>
      </w:r>
      <w:r>
        <w:t xml:space="preserve">As Lyft and Uber filed separate </w:t>
      </w:r>
      <w:r w:rsidRPr="00E80302">
        <w:rPr>
          <w:i/>
          <w:iCs/>
        </w:rPr>
        <w:t>Motions</w:t>
      </w:r>
      <w:r>
        <w:t xml:space="preserve">, they had separate records of evidence. </w:t>
      </w:r>
      <w:r w:rsidR="000F68FA">
        <w:t xml:space="preserve"> </w:t>
      </w:r>
      <w:r>
        <w:t xml:space="preserve">Once Uber chose not to appeal, Uber’s record did not become part of Lyft’s record and is, therefore, not part of Lyft’s </w:t>
      </w:r>
      <w:r w:rsidRPr="00E80302">
        <w:rPr>
          <w:i/>
          <w:iCs/>
        </w:rPr>
        <w:t>Appeal.</w:t>
      </w:r>
      <w:r>
        <w:rPr>
          <w:i/>
          <w:iCs/>
        </w:rPr>
        <w:t xml:space="preserve"> </w:t>
      </w:r>
      <w:r w:rsidR="000F68FA">
        <w:rPr>
          <w:i/>
          <w:iCs/>
        </w:rPr>
        <w:t xml:space="preserve"> </w:t>
      </w:r>
      <w:r>
        <w:t>(</w:t>
      </w:r>
      <w:r w:rsidRPr="00B66F28">
        <w:rPr>
          <w:i/>
          <w:iCs/>
        </w:rPr>
        <w:t>Protect Our Water v. County of Merced</w:t>
      </w:r>
      <w:r>
        <w:t xml:space="preserve"> (2003) 110 Cal.app.4</w:t>
      </w:r>
      <w:r w:rsidRPr="00E80302">
        <w:rPr>
          <w:vertAlign w:val="superscript"/>
        </w:rPr>
        <w:t>th</w:t>
      </w:r>
      <w:r>
        <w:t xml:space="preserve"> 362, 364 [“if it’s not in the record, it didn’t happen.”].</w:t>
      </w:r>
      <w:r w:rsidR="00B66F28">
        <w:t>)</w:t>
      </w:r>
      <w:r>
        <w:t xml:space="preserve"> </w:t>
      </w:r>
      <w:r w:rsidR="000F68FA">
        <w:t xml:space="preserve"> </w:t>
      </w:r>
      <w:r>
        <w:t>Documents not in the record must be ignored</w:t>
      </w:r>
      <w:r w:rsidR="00B66F28">
        <w:t xml:space="preserve">. </w:t>
      </w:r>
      <w:r w:rsidR="000F68FA">
        <w:t xml:space="preserve"> </w:t>
      </w:r>
      <w:r w:rsidR="00B66F28">
        <w:t>(</w:t>
      </w:r>
      <w:r w:rsidRPr="00B66F28" w:rsidR="00B66F28">
        <w:rPr>
          <w:i/>
          <w:iCs/>
        </w:rPr>
        <w:t>Doers v. Golden Gate Bridge, Highway &amp; Transportation District</w:t>
      </w:r>
      <w:r w:rsidR="00B66F28">
        <w:t xml:space="preserve"> (1979) 23 Cal.3d 180, 184, footnote 1 [“</w:t>
      </w:r>
      <w:r w:rsidRPr="00B66F28" w:rsidR="00B66F28">
        <w:t xml:space="preserve">As a general rule, documents not before the trial court cannot be included as a part of the record on appeal. </w:t>
      </w:r>
      <w:r w:rsidR="000F68FA">
        <w:t xml:space="preserve"> </w:t>
      </w:r>
      <w:r w:rsidRPr="00B66F28" w:rsidR="00B66F28">
        <w:t xml:space="preserve">(6 Witkin, </w:t>
      </w:r>
      <w:r w:rsidRPr="00352EA2" w:rsidR="00B66F28">
        <w:rPr>
          <w:i/>
          <w:iCs/>
        </w:rPr>
        <w:t>Cal. Procedure</w:t>
      </w:r>
      <w:r w:rsidRPr="00B66F28" w:rsidR="00B66F28">
        <w:t xml:space="preserve"> (2d ed. 1971) Appeal, § 218, pp.</w:t>
      </w:r>
      <w:r w:rsidR="000F68FA">
        <w:t> </w:t>
      </w:r>
      <w:r w:rsidRPr="00B66F28" w:rsidR="00B66F28">
        <w:t xml:space="preserve">4208-4209.) </w:t>
      </w:r>
      <w:r w:rsidR="000F68FA">
        <w:t xml:space="preserve"> </w:t>
      </w:r>
      <w:r w:rsidR="00B66F28">
        <w:t xml:space="preserve">Similarly, facts that aren’t in the record but are asserted in a brief </w:t>
      </w:r>
      <w:r w:rsidR="00B66F28">
        <w:lastRenderedPageBreak/>
        <w:t xml:space="preserve">must be disregarded. </w:t>
      </w:r>
      <w:r w:rsidR="000F68FA">
        <w:t xml:space="preserve"> </w:t>
      </w:r>
      <w:r w:rsidR="00B66F28">
        <w:t>(</w:t>
      </w:r>
      <w:r w:rsidRPr="00B66F28" w:rsidR="00B66F28">
        <w:rPr>
          <w:i/>
          <w:iCs/>
        </w:rPr>
        <w:t>Pulver v. Avco Financial Services</w:t>
      </w:r>
      <w:r w:rsidR="00B66F28">
        <w:t xml:space="preserve"> (1986) 182 Cal.App.3d 622, 632</w:t>
      </w:r>
      <w:r w:rsidR="00992308">
        <w:t>.)</w:t>
      </w:r>
    </w:p>
    <w:p w:rsidR="00FA1B4F" w:rsidP="00FA1B4F" w:rsidRDefault="005939A5" w14:paraId="270959CB" w14:textId="77777777">
      <w:pPr>
        <w:pStyle w:val="Heading1"/>
      </w:pPr>
      <w:bookmarkStart w:name="_Toc8123721" w:id="85"/>
      <w:bookmarkStart w:name="_Toc82193587" w:id="86"/>
      <w:bookmarkStart w:name="_Toc94682550" w:id="87"/>
      <w:bookmarkStart w:name="_Toc102479679" w:id="88"/>
      <w:r>
        <w:t>Conclusion</w:t>
      </w:r>
      <w:bookmarkEnd w:id="85"/>
      <w:bookmarkEnd w:id="86"/>
      <w:bookmarkEnd w:id="87"/>
      <w:bookmarkEnd w:id="88"/>
    </w:p>
    <w:p w:rsidR="00343E5C" w:rsidP="00343E5C" w:rsidRDefault="007C3B73" w14:paraId="2CC69544" w14:textId="6E24CBE7">
      <w:pPr>
        <w:pStyle w:val="Standard"/>
      </w:pPr>
      <w:r>
        <w:t xml:space="preserve">The Commission </w:t>
      </w:r>
      <w:r w:rsidR="00A46D80">
        <w:t xml:space="preserve">finds that </w:t>
      </w:r>
      <w:r>
        <w:t xml:space="preserve"> the </w:t>
      </w:r>
      <w:r w:rsidRPr="00781AA2">
        <w:rPr>
          <w:i/>
          <w:iCs/>
        </w:rPr>
        <w:t>Ruling</w:t>
      </w:r>
      <w:r>
        <w:t xml:space="preserve"> </w:t>
      </w:r>
      <w:r w:rsidR="00A46D80">
        <w:t xml:space="preserve">correctly determined </w:t>
      </w:r>
      <w:r>
        <w:t>that Lyft failed to meet its burden of proving that the trip data at issue is protected from public disclosure on trade secret grounds.</w:t>
      </w:r>
    </w:p>
    <w:p w:rsidR="007C3B73" w:rsidP="00343E5C" w:rsidRDefault="007C3B73" w14:paraId="7CA84952" w14:textId="6A82991D">
      <w:pPr>
        <w:pStyle w:val="Standard"/>
      </w:pPr>
      <w:r>
        <w:t xml:space="preserve">The Commission </w:t>
      </w:r>
      <w:r w:rsidR="00A46D80">
        <w:t xml:space="preserve">finds that </w:t>
      </w:r>
      <w:r>
        <w:t xml:space="preserve"> the </w:t>
      </w:r>
      <w:r w:rsidRPr="00781AA2">
        <w:rPr>
          <w:i/>
          <w:iCs/>
        </w:rPr>
        <w:t xml:space="preserve">Ruling </w:t>
      </w:r>
      <w:r w:rsidR="00A46D80">
        <w:t>correctly determined t</w:t>
      </w:r>
      <w:r>
        <w:t>hat Lyft failed to meet its burden of proving that the trip data at issue is protected from public disclosure on privacy grounds.</w:t>
      </w:r>
    </w:p>
    <w:p w:rsidR="007C3B73" w:rsidP="00343E5C" w:rsidRDefault="007C3B73" w14:paraId="35282017" w14:textId="4A5A3410">
      <w:pPr>
        <w:pStyle w:val="Standard"/>
      </w:pPr>
      <w:r>
        <w:t xml:space="preserve">The Commission finds that the ALJ acted within his discretion when, after finding that Lyft did not meet its burden of proving that </w:t>
      </w:r>
      <w:r w:rsidR="00781AA2">
        <w:t xml:space="preserve">the </w:t>
      </w:r>
      <w:r>
        <w:t xml:space="preserve">trip data at issue did not satisfy the novel or uniqueness standard, it was not necessary for him to consider the other elements of a trade secret claim because the </w:t>
      </w:r>
      <w:r w:rsidR="00781AA2">
        <w:t xml:space="preserve">elements are written in the conjunctive rather than the disjunctive. </w:t>
      </w:r>
    </w:p>
    <w:p w:rsidR="00781AA2" w:rsidP="00343E5C" w:rsidRDefault="00781AA2" w14:paraId="6032AD12" w14:textId="1BFEB346">
      <w:pPr>
        <w:pStyle w:val="Standard"/>
      </w:pPr>
      <w:r>
        <w:t xml:space="preserve">The Commission finds that the ALJ correctly applied the trade secret and privacy laws in reaching his conclusions in the </w:t>
      </w:r>
      <w:r w:rsidRPr="00781AA2">
        <w:rPr>
          <w:i/>
          <w:iCs/>
        </w:rPr>
        <w:t>Ruling</w:t>
      </w:r>
      <w:r w:rsidR="00F32363">
        <w:t>.</w:t>
      </w:r>
    </w:p>
    <w:p w:rsidR="00781AA2" w:rsidP="00343E5C" w:rsidRDefault="00781AA2" w14:paraId="3B76F2BD" w14:textId="5200A810">
      <w:pPr>
        <w:pStyle w:val="Standard"/>
      </w:pPr>
      <w:r>
        <w:t xml:space="preserve">The Commission finds that the </w:t>
      </w:r>
      <w:r w:rsidRPr="00781AA2">
        <w:rPr>
          <w:i/>
          <w:iCs/>
        </w:rPr>
        <w:t>Ruling</w:t>
      </w:r>
      <w:r>
        <w:t xml:space="preserve"> is supported by the </w:t>
      </w:r>
      <w:r w:rsidR="006B1E14">
        <w:t xml:space="preserve">factual and legal </w:t>
      </w:r>
      <w:r>
        <w:t>findings contained therein.</w:t>
      </w:r>
    </w:p>
    <w:p w:rsidR="00F32363" w:rsidP="00F32363" w:rsidRDefault="00781AA2" w14:paraId="671132C8" w14:textId="1F5831A4">
      <w:pPr>
        <w:pStyle w:val="Standard"/>
      </w:pPr>
      <w:r>
        <w:t xml:space="preserve">The Commission finds that considering the </w:t>
      </w:r>
      <w:r w:rsidR="006C4865">
        <w:t>evidentiary</w:t>
      </w:r>
      <w:r>
        <w:t xml:space="preserve"> record, there is substantial evidence to support the </w:t>
      </w:r>
      <w:r w:rsidRPr="00781AA2">
        <w:rPr>
          <w:i/>
          <w:iCs/>
        </w:rPr>
        <w:t>Ruling’s</w:t>
      </w:r>
      <w:r>
        <w:t xml:space="preserve"> finding</w:t>
      </w:r>
      <w:r w:rsidRPr="00F32363" w:rsidR="00F32363">
        <w:t xml:space="preserve"> </w:t>
      </w:r>
      <w:r w:rsidR="00F32363">
        <w:t>that the trip data at issue is not protected from public disclosure on privacy grounds.</w:t>
      </w:r>
    </w:p>
    <w:p w:rsidR="00F32363" w:rsidP="00F32363" w:rsidRDefault="00F32363" w14:paraId="0B5BD93A" w14:textId="6A38C260">
      <w:pPr>
        <w:pStyle w:val="Standard"/>
      </w:pPr>
      <w:r>
        <w:t xml:space="preserve">The Commission finds that considering the </w:t>
      </w:r>
      <w:r w:rsidR="006C4865">
        <w:t>evidentiary</w:t>
      </w:r>
      <w:r>
        <w:t xml:space="preserve"> record, there is substantial evidence to support the </w:t>
      </w:r>
      <w:r w:rsidRPr="00781AA2">
        <w:rPr>
          <w:i/>
          <w:iCs/>
        </w:rPr>
        <w:t>Ruling’s</w:t>
      </w:r>
      <w:r>
        <w:t xml:space="preserve"> finding</w:t>
      </w:r>
      <w:r w:rsidRPr="00F32363">
        <w:t xml:space="preserve"> </w:t>
      </w:r>
      <w:r>
        <w:t>that the trip data at issue is not protected from public disclosure on trade secret grounds.</w:t>
      </w:r>
    </w:p>
    <w:p w:rsidR="00781AA2" w:rsidP="00343E5C" w:rsidRDefault="00781AA2" w14:paraId="5194B132" w14:textId="7D76D434">
      <w:pPr>
        <w:pStyle w:val="Standard"/>
      </w:pPr>
      <w:r>
        <w:t xml:space="preserve">The Commission finds that the ALJ did not abuse his discretion in applying the facts to the law in his </w:t>
      </w:r>
      <w:r w:rsidRPr="00781AA2">
        <w:rPr>
          <w:i/>
          <w:iCs/>
        </w:rPr>
        <w:t>Ruling</w:t>
      </w:r>
      <w:r>
        <w:t>.</w:t>
      </w:r>
    </w:p>
    <w:p w:rsidRPr="00343E5C" w:rsidR="00781AA2" w:rsidP="00343E5C" w:rsidRDefault="00781AA2" w14:paraId="52B7D490" w14:textId="4C94E8C9">
      <w:pPr>
        <w:pStyle w:val="Standard"/>
      </w:pPr>
      <w:r>
        <w:lastRenderedPageBreak/>
        <w:t xml:space="preserve">The Commission finds that the </w:t>
      </w:r>
      <w:r w:rsidRPr="00781AA2">
        <w:rPr>
          <w:i/>
          <w:iCs/>
        </w:rPr>
        <w:t>Ruling’s</w:t>
      </w:r>
      <w:r>
        <w:t xml:space="preserve"> findings do not result in a violation of a constitutionally protected right</w:t>
      </w:r>
      <w:r w:rsidR="00F32363">
        <w:t xml:space="preserve"> as the trip data at issue is not protected from disclosure on privacy grounds</w:t>
      </w:r>
      <w:r>
        <w:t>.</w:t>
      </w:r>
    </w:p>
    <w:p w:rsidR="005939A5" w:rsidP="005939A5" w:rsidRDefault="005939A5" w14:paraId="59592758" w14:textId="77777777">
      <w:pPr>
        <w:pStyle w:val="Heading1"/>
      </w:pPr>
      <w:bookmarkStart w:name="_Toc8123723" w:id="89"/>
      <w:bookmarkStart w:name="_Toc82193588" w:id="90"/>
      <w:bookmarkStart w:name="_Toc94682551" w:id="91"/>
      <w:bookmarkStart w:name="_Toc102479680" w:id="92"/>
      <w:r>
        <w:t>Comments on Proposed Decision</w:t>
      </w:r>
      <w:bookmarkEnd w:id="89"/>
      <w:bookmarkEnd w:id="90"/>
      <w:bookmarkEnd w:id="91"/>
      <w:bookmarkEnd w:id="92"/>
    </w:p>
    <w:p w:rsidR="005939A5" w:rsidP="006E6574" w:rsidRDefault="00A52A29" w14:paraId="4C474C69" w14:textId="39AF4A0B">
      <w:pPr>
        <w:pStyle w:val="Standard"/>
      </w:pPr>
      <w:r>
        <w:t>The proposed decision of Commissioner</w:t>
      </w:r>
      <w:r w:rsidR="000D00D4">
        <w:t xml:space="preserve"> Genevieve</w:t>
      </w:r>
      <w:r>
        <w:t xml:space="preserve"> Shiroma in this matter was mailed to the parties in accordance with Section 311 and comments were allowed under Rule 14.3 of the Commission’s Rules of Practice and Procedure.  Comments were filed on </w:t>
      </w:r>
      <w:r w:rsidR="00C344CC">
        <w:t xml:space="preserve">April 21, </w:t>
      </w:r>
      <w:r>
        <w:t>202</w:t>
      </w:r>
      <w:r w:rsidR="00C344CC">
        <w:t>2</w:t>
      </w:r>
      <w:r>
        <w:t xml:space="preserve"> </w:t>
      </w:r>
      <w:r w:rsidRPr="003624BB">
        <w:t>by</w:t>
      </w:r>
      <w:r w:rsidR="00C344CC">
        <w:t xml:space="preserve"> Lyft and San Francisco (San Francisco consists of San Francisco Municipal Transportation Agency, San Francisco County Transportation Authority, and San Francisco International Airport)</w:t>
      </w:r>
      <w:r w:rsidRPr="003624BB">
        <w:t>.</w:t>
      </w:r>
      <w:r>
        <w:t xml:space="preserve">  Reply comments were filed on</w:t>
      </w:r>
      <w:r w:rsidR="00C344CC">
        <w:t xml:space="preserve"> April 26</w:t>
      </w:r>
      <w:r>
        <w:t>, 202</w:t>
      </w:r>
      <w:r w:rsidR="00C344CC">
        <w:t>2</w:t>
      </w:r>
      <w:r>
        <w:t xml:space="preserve"> by </w:t>
      </w:r>
      <w:r w:rsidR="00C344CC">
        <w:t>Lyft</w:t>
      </w:r>
      <w:r w:rsidR="00455CBD">
        <w:t>, Uber, and San Francisco</w:t>
      </w:r>
      <w:r>
        <w:t xml:space="preserve">. </w:t>
      </w:r>
      <w:r w:rsidR="00E4167F">
        <w:t>San Francisco is supportive of the Commission’s decision whereas Lyft is opposed.</w:t>
      </w:r>
      <w:r w:rsidR="00455CBD">
        <w:t xml:space="preserve"> Uber’s brief reply is supportive of Lyft’s Comments. </w:t>
      </w:r>
      <w:r w:rsidR="00E4167F">
        <w:t xml:space="preserve"> As such, we will focus on Lyft’s Comments.</w:t>
      </w:r>
    </w:p>
    <w:p w:rsidRPr="0005126E" w:rsidR="00D22394" w:rsidP="006E6574" w:rsidRDefault="00D22394" w14:paraId="7D4C9E9C" w14:textId="429426EA">
      <w:pPr>
        <w:pStyle w:val="Standard"/>
        <w:rPr>
          <w:b/>
          <w:bCs/>
        </w:rPr>
      </w:pPr>
      <w:r w:rsidRPr="0005126E">
        <w:rPr>
          <w:b/>
          <w:bCs/>
        </w:rPr>
        <w:t>Annual Reports as Public Records</w:t>
      </w:r>
    </w:p>
    <w:p w:rsidR="00E4167F" w:rsidP="006E6574" w:rsidRDefault="00BC2481" w14:paraId="4FCEDA69" w14:textId="524D70A7">
      <w:pPr>
        <w:pStyle w:val="Standard"/>
      </w:pPr>
      <w:r>
        <w:t>W</w:t>
      </w:r>
      <w:r w:rsidR="00E4167F">
        <w:t xml:space="preserve">e reject Lyft’s assertion that the Commission found that Annual Reports are not public records when in fact the decision said just the opposite. What Lyft has focused on is the section of the decision (Section </w:t>
      </w:r>
      <w:r w:rsidR="00FC5A6E">
        <w:t>2</w:t>
      </w:r>
      <w:r w:rsidR="00E4167F">
        <w:t xml:space="preserve">) that discusses and distinguishes Lyft’s reliance of </w:t>
      </w:r>
      <w:r w:rsidRPr="0005126E" w:rsidR="00E4167F">
        <w:rPr>
          <w:i/>
          <w:iCs/>
        </w:rPr>
        <w:t>City of San Jose</w:t>
      </w:r>
      <w:r w:rsidR="00E4167F">
        <w:t xml:space="preserve">, </w:t>
      </w:r>
      <w:r w:rsidRPr="0005126E" w:rsidR="00E4167F">
        <w:rPr>
          <w:i/>
          <w:iCs/>
        </w:rPr>
        <w:t>supra</w:t>
      </w:r>
      <w:r w:rsidR="00E4167F">
        <w:t>, 2 Cal.5</w:t>
      </w:r>
      <w:r w:rsidRPr="0005126E" w:rsidR="00E4167F">
        <w:rPr>
          <w:vertAlign w:val="superscript"/>
        </w:rPr>
        <w:t>th</w:t>
      </w:r>
      <w:r w:rsidR="00E4167F">
        <w:t xml:space="preserve"> 608 and the interpretation of Government Code § 6252</w:t>
      </w:r>
      <w:r w:rsidR="00F135AC">
        <w:t>(e).</w:t>
      </w:r>
      <w:r w:rsidR="001F15E9">
        <w:t xml:space="preserve"> The issue in </w:t>
      </w:r>
      <w:r w:rsidRPr="0005126E" w:rsidR="001F15E9">
        <w:rPr>
          <w:i/>
          <w:iCs/>
        </w:rPr>
        <w:t>City of San Jose</w:t>
      </w:r>
      <w:r w:rsidR="001F15E9">
        <w:t xml:space="preserve"> was whether an electronic communication generated by a government employee was a public writing subject to a CPRA request, in which the Court held yes as the communication fit within the definition of a writing as that term was defined in Government Code § 6252(e).</w:t>
      </w:r>
      <w:r w:rsidR="00FC5A6E">
        <w:t xml:space="preserve"> But in making the distinction between an employee generated writing and a writing submitted by a regulated entity, the Commission did not determine that Lyft’s Annual Reports were not public </w:t>
      </w:r>
      <w:r w:rsidR="00FC5A6E">
        <w:lastRenderedPageBreak/>
        <w:t>records. Indeed, the fact that the Commission anchored the resolution of Lyft’s appeal to the CPRA and the public’s right to the government’s records confirms that a TNC general Annual Report that is provided to the Commission is a public record.</w:t>
      </w:r>
    </w:p>
    <w:p w:rsidRPr="0005126E" w:rsidR="00D22394" w:rsidP="006E6574" w:rsidRDefault="00D22394" w14:paraId="1707C1A6" w14:textId="3BDBD61D">
      <w:pPr>
        <w:pStyle w:val="Standard"/>
        <w:rPr>
          <w:b/>
          <w:bCs/>
        </w:rPr>
      </w:pPr>
      <w:r w:rsidRPr="0005126E">
        <w:rPr>
          <w:b/>
          <w:bCs/>
        </w:rPr>
        <w:t>Trade Secrets as Novel or Unique</w:t>
      </w:r>
    </w:p>
    <w:p w:rsidR="00FC5A6E" w:rsidP="006E6574" w:rsidRDefault="00F5146E" w14:paraId="16EA4272" w14:textId="7249DCD8">
      <w:pPr>
        <w:pStyle w:val="Standard"/>
      </w:pPr>
      <w:r>
        <w:t>W</w:t>
      </w:r>
      <w:r w:rsidR="00FC5A6E">
        <w:t>e reject Lyft’s attempt to rewrite the law on trade secret</w:t>
      </w:r>
      <w:r w:rsidR="00E44348">
        <w:t>s by eliminating the requirement</w:t>
      </w:r>
      <w:r w:rsidR="004E3EDE">
        <w:t xml:space="preserve"> that the information sought to be protected is either unique or novel</w:t>
      </w:r>
      <w:r w:rsidR="00E44348">
        <w:t xml:space="preserve">. </w:t>
      </w:r>
      <w:r w:rsidR="0005126E">
        <w:t xml:space="preserve"> </w:t>
      </w:r>
      <w:r w:rsidR="00A15D11">
        <w:t xml:space="preserve">Lyft claims that neither </w:t>
      </w:r>
      <w:r w:rsidRPr="0005126E" w:rsidR="00A15D11">
        <w:rPr>
          <w:i/>
          <w:iCs/>
        </w:rPr>
        <w:t>Morlife v. Perry</w:t>
      </w:r>
      <w:r w:rsidR="00A15D11">
        <w:t xml:space="preserve"> nor </w:t>
      </w:r>
      <w:r w:rsidRPr="0005126E" w:rsidR="00A15D11">
        <w:rPr>
          <w:i/>
          <w:iCs/>
        </w:rPr>
        <w:t>U</w:t>
      </w:r>
      <w:r>
        <w:rPr>
          <w:i/>
          <w:iCs/>
        </w:rPr>
        <w:t>.</w:t>
      </w:r>
      <w:r w:rsidRPr="0005126E" w:rsidR="00A15D11">
        <w:rPr>
          <w:i/>
          <w:iCs/>
        </w:rPr>
        <w:t>S</w:t>
      </w:r>
      <w:r>
        <w:rPr>
          <w:i/>
          <w:iCs/>
        </w:rPr>
        <w:t>.</w:t>
      </w:r>
      <w:r w:rsidRPr="0005126E" w:rsidR="00A15D11">
        <w:rPr>
          <w:i/>
          <w:iCs/>
        </w:rPr>
        <w:t xml:space="preserve"> v. Nosal</w:t>
      </w:r>
      <w:r w:rsidR="00A15D11">
        <w:t xml:space="preserve"> support a novel or uniqueness requirement for a trade secret but </w:t>
      </w:r>
      <w:r w:rsidR="004E3EDE">
        <w:t xml:space="preserve">an analysis of these decisions reveals that </w:t>
      </w:r>
      <w:r w:rsidR="00A15D11">
        <w:t xml:space="preserve">just the opposite </w:t>
      </w:r>
      <w:r w:rsidR="004E3EDE">
        <w:t xml:space="preserve">conclusion </w:t>
      </w:r>
      <w:r w:rsidR="00A15D11">
        <w:t xml:space="preserve">is true. In </w:t>
      </w:r>
      <w:r w:rsidRPr="0005126E" w:rsidR="00A15D11">
        <w:rPr>
          <w:i/>
          <w:iCs/>
        </w:rPr>
        <w:t>Morlife</w:t>
      </w:r>
      <w:r w:rsidR="00A15D11">
        <w:t xml:space="preserve">, the Court </w:t>
      </w:r>
      <w:r w:rsidR="000A524A">
        <w:t xml:space="preserve">noted that the customer list in dispute was a </w:t>
      </w:r>
      <w:r w:rsidR="00712C52">
        <w:t xml:space="preserve">unique </w:t>
      </w:r>
      <w:r w:rsidR="000A524A">
        <w:t xml:space="preserve">list </w:t>
      </w:r>
      <w:r w:rsidR="008877B1">
        <w:t xml:space="preserve">because of the specialized nature of the roofing business </w:t>
      </w:r>
      <w:r w:rsidR="00BE1162">
        <w:t>(</w:t>
      </w:r>
      <w:r w:rsidRPr="0005126E" w:rsidR="00BE1162">
        <w:rPr>
          <w:i/>
          <w:iCs/>
        </w:rPr>
        <w:t>i.e</w:t>
      </w:r>
      <w:r w:rsidR="00BE1162">
        <w:t xml:space="preserve">., </w:t>
      </w:r>
      <w:r w:rsidRPr="00BE1162" w:rsidR="00BE1162">
        <w:t>commercial roof repair and maintenance, as distinguished from replacement roofing</w:t>
      </w:r>
      <w:r w:rsidR="00BE1162">
        <w:t xml:space="preserve">) </w:t>
      </w:r>
      <w:r w:rsidR="008877B1">
        <w:t xml:space="preserve">and the </w:t>
      </w:r>
      <w:r w:rsidR="004E3EDE">
        <w:t>specialized</w:t>
      </w:r>
      <w:r w:rsidR="008877B1">
        <w:t xml:space="preserve"> </w:t>
      </w:r>
      <w:r w:rsidR="00BE1162">
        <w:t xml:space="preserve">needs of Morlife’s </w:t>
      </w:r>
      <w:r w:rsidR="008877B1">
        <w:t>customer</w:t>
      </w:r>
      <w:r w:rsidR="00BE1162">
        <w:t>s</w:t>
      </w:r>
      <w:r w:rsidR="008877B1">
        <w:t>:</w:t>
      </w:r>
    </w:p>
    <w:p w:rsidR="008877B1" w:rsidP="0005126E" w:rsidRDefault="008877B1" w14:paraId="2F09F00B" w14:textId="1DFC23A1">
      <w:pPr>
        <w:pStyle w:val="BlockQuote"/>
      </w:pPr>
      <w:r>
        <w:t>I</w:t>
      </w:r>
      <w:r w:rsidRPr="008877B1">
        <w:t>n concluding Morlife's customer list fell within the definition of a trade secret under the UTSA, the court found that "Morlife provides a relatively unusual roofing service, namely, commercial roof repair and maintenance, as distinguished from replacement roofing." Its customer list was "a compilation, developed over a period of years, of names, addresses, and contact persons, containing pricing information and knowledge about particular roofs and roofing needs of customers using its services</w:t>
      </w:r>
      <w:r>
        <w:t>[.]</w:t>
      </w:r>
    </w:p>
    <w:p w:rsidR="008877B1" w:rsidP="0005126E" w:rsidRDefault="008877B1" w14:paraId="6CEF9B4C" w14:textId="02641193">
      <w:pPr>
        <w:pStyle w:val="Standard"/>
        <w:ind w:firstLine="0"/>
      </w:pPr>
      <w:r>
        <w:t>Because of Morlife’s roofing business specialization, the Court rejected the argument that “</w:t>
      </w:r>
      <w:r w:rsidRPr="008877B1">
        <w:t>there is nothing inherently secret or confidential about Morlife's customer base as all commercial buildings will need either repairs to an existing roof or a new roof."</w:t>
      </w:r>
      <w:r w:rsidR="00BE1162">
        <w:t xml:space="preserve"> Instead, </w:t>
      </w:r>
      <w:r w:rsidRPr="0005126E" w:rsidR="00BE1162">
        <w:rPr>
          <w:i/>
          <w:iCs/>
        </w:rPr>
        <w:t>Morlife</w:t>
      </w:r>
      <w:r w:rsidR="00BE1162">
        <w:t xml:space="preserve"> recognized the unique nature of the customer list as being a factor in concluding the list enjoyed trade secret protection. </w:t>
      </w:r>
    </w:p>
    <w:p w:rsidR="00E4167F" w:rsidP="006E6574" w:rsidRDefault="004E3EDE" w14:paraId="53D2364B" w14:textId="3AFB2BA9">
      <w:pPr>
        <w:pStyle w:val="Standard"/>
      </w:pPr>
      <w:r>
        <w:lastRenderedPageBreak/>
        <w:t>Similarly, i</w:t>
      </w:r>
      <w:r w:rsidR="00A15D11">
        <w:t xml:space="preserve">n </w:t>
      </w:r>
      <w:r w:rsidRPr="0005126E" w:rsidR="00A15D11">
        <w:rPr>
          <w:i/>
          <w:iCs/>
        </w:rPr>
        <w:t>U</w:t>
      </w:r>
      <w:r w:rsidR="00455CBD">
        <w:rPr>
          <w:i/>
          <w:iCs/>
        </w:rPr>
        <w:t>.</w:t>
      </w:r>
      <w:r w:rsidRPr="0005126E" w:rsidR="00A15D11">
        <w:rPr>
          <w:i/>
          <w:iCs/>
        </w:rPr>
        <w:t>S</w:t>
      </w:r>
      <w:r w:rsidR="00455CBD">
        <w:rPr>
          <w:i/>
          <w:iCs/>
        </w:rPr>
        <w:t>.</w:t>
      </w:r>
      <w:r w:rsidRPr="0005126E" w:rsidR="00A15D11">
        <w:rPr>
          <w:i/>
          <w:iCs/>
        </w:rPr>
        <w:t xml:space="preserve"> v. Nosal</w:t>
      </w:r>
      <w:r w:rsidR="00A15D11">
        <w:t>,</w:t>
      </w:r>
      <w:r w:rsidR="005B55F9">
        <w:t xml:space="preserve"> the Court rejected the attempt to minimize the unique nature of the customer list and how th</w:t>
      </w:r>
      <w:r w:rsidR="006531CA">
        <w:t>e list’s</w:t>
      </w:r>
      <w:r w:rsidR="005B55F9">
        <w:t xml:space="preserve"> </w:t>
      </w:r>
      <w:r w:rsidR="006531CA">
        <w:t>uniqueness</w:t>
      </w:r>
      <w:r w:rsidR="005B55F9">
        <w:t xml:space="preserve"> lent credence to conclusion that it was a </w:t>
      </w:r>
      <w:r>
        <w:t xml:space="preserve">protected </w:t>
      </w:r>
      <w:r w:rsidR="005B55F9">
        <w:t>trade secret:</w:t>
      </w:r>
    </w:p>
    <w:p w:rsidRPr="0005126E" w:rsidR="006531CA" w:rsidP="0005126E" w:rsidRDefault="005B55F9" w14:paraId="714DDEE4" w14:textId="256B806C">
      <w:pPr>
        <w:pStyle w:val="BlockQuote"/>
        <w:rPr>
          <w:shd w:val="clear" w:color="auto" w:fill="FAFAFA"/>
        </w:rPr>
      </w:pPr>
      <w:r w:rsidRPr="0005126E">
        <w:rPr>
          <w:shd w:val="clear" w:color="auto" w:fill="FAFAFA"/>
        </w:rPr>
        <w:t xml:space="preserve">Nosal takes the view that the source lists are merely customer lists that cannot be protected as trade secrets. This characterization attempts to sidestep the </w:t>
      </w:r>
      <w:r w:rsidRPr="0005126E">
        <w:rPr>
          <w:i/>
          <w:iCs/>
          <w:shd w:val="clear" w:color="auto" w:fill="FAFAFA"/>
        </w:rPr>
        <w:t>unique nature of the source lists</w:t>
      </w:r>
      <w:r w:rsidRPr="0005126E">
        <w:rPr>
          <w:shd w:val="clear" w:color="auto" w:fill="FAFAFA"/>
        </w:rPr>
        <w:t>, which are the customized product of a massive database, not a list of well-known customers.</w:t>
      </w:r>
      <w:r w:rsidRPr="0005126E">
        <w:rPr>
          <w:rStyle w:val="FootnoteReference"/>
          <w:color w:val="212529"/>
          <w:szCs w:val="26"/>
          <w:shd w:val="clear" w:color="auto" w:fill="FAFAFA"/>
        </w:rPr>
        <w:footnoteReference w:id="129"/>
      </w:r>
    </w:p>
    <w:p w:rsidRPr="0005126E" w:rsidR="006531CA" w:rsidP="0005126E" w:rsidRDefault="006531CA" w14:paraId="2DA28D38" w14:textId="09B0D315">
      <w:pPr>
        <w:pStyle w:val="Standard"/>
        <w:rPr>
          <w:color w:val="212529"/>
          <w:szCs w:val="26"/>
          <w:shd w:val="clear" w:color="auto" w:fill="FAFAFA"/>
        </w:rPr>
      </w:pPr>
      <w:r w:rsidRPr="0005126E">
        <w:rPr>
          <w:color w:val="212529"/>
          <w:szCs w:val="26"/>
          <w:shd w:val="clear" w:color="auto" w:fill="FAFAFA"/>
        </w:rPr>
        <w:t xml:space="preserve">The Court in </w:t>
      </w:r>
      <w:r w:rsidRPr="0005126E">
        <w:rPr>
          <w:i/>
          <w:iCs/>
          <w:color w:val="212529"/>
          <w:szCs w:val="26"/>
          <w:shd w:val="clear" w:color="auto" w:fill="FAFAFA"/>
        </w:rPr>
        <w:t>U</w:t>
      </w:r>
      <w:r w:rsidRPr="0005126E" w:rsidR="00455CBD">
        <w:rPr>
          <w:i/>
          <w:iCs/>
          <w:color w:val="212529"/>
          <w:szCs w:val="26"/>
          <w:shd w:val="clear" w:color="auto" w:fill="FAFAFA"/>
        </w:rPr>
        <w:t>.</w:t>
      </w:r>
      <w:r w:rsidRPr="0005126E">
        <w:rPr>
          <w:i/>
          <w:iCs/>
          <w:color w:val="212529"/>
          <w:szCs w:val="26"/>
          <w:shd w:val="clear" w:color="auto" w:fill="FAFAFA"/>
        </w:rPr>
        <w:t>S</w:t>
      </w:r>
      <w:r w:rsidRPr="0005126E" w:rsidR="00455CBD">
        <w:rPr>
          <w:i/>
          <w:iCs/>
          <w:color w:val="212529"/>
          <w:szCs w:val="26"/>
          <w:shd w:val="clear" w:color="auto" w:fill="FAFAFA"/>
        </w:rPr>
        <w:t>.</w:t>
      </w:r>
      <w:r w:rsidRPr="0005126E">
        <w:rPr>
          <w:i/>
          <w:iCs/>
          <w:color w:val="212529"/>
          <w:szCs w:val="26"/>
          <w:shd w:val="clear" w:color="auto" w:fill="FAFAFA"/>
        </w:rPr>
        <w:t xml:space="preserve"> v. Nosal</w:t>
      </w:r>
      <w:r w:rsidRPr="0005126E">
        <w:rPr>
          <w:color w:val="212529"/>
          <w:szCs w:val="26"/>
          <w:shd w:val="clear" w:color="auto" w:fill="FAFAFA"/>
        </w:rPr>
        <w:t xml:space="preserve"> also found support for the uniqueness element of a trade secret claim in </w:t>
      </w:r>
      <w:r w:rsidRPr="0005126E" w:rsidR="000A524A">
        <w:rPr>
          <w:i/>
          <w:iCs/>
          <w:color w:val="212529"/>
          <w:szCs w:val="26"/>
          <w:shd w:val="clear" w:color="auto" w:fill="FAFAFA"/>
        </w:rPr>
        <w:t>Conseco Finance Servicing Corp. v. North American Mortgage Co.</w:t>
      </w:r>
      <w:r w:rsidRPr="0005126E" w:rsidR="000A524A">
        <w:rPr>
          <w:color w:val="212529"/>
          <w:szCs w:val="26"/>
          <w:shd w:val="clear" w:color="auto" w:fill="FAFAFA"/>
        </w:rPr>
        <w:t> (8</w:t>
      </w:r>
      <w:r w:rsidRPr="0005126E" w:rsidR="000A524A">
        <w:rPr>
          <w:color w:val="212529"/>
          <w:szCs w:val="26"/>
          <w:shd w:val="clear" w:color="auto" w:fill="FAFAFA"/>
          <w:vertAlign w:val="superscript"/>
        </w:rPr>
        <w:t>th</w:t>
      </w:r>
      <w:r w:rsidRPr="0005126E" w:rsidR="000A524A">
        <w:rPr>
          <w:color w:val="212529"/>
          <w:szCs w:val="26"/>
          <w:shd w:val="clear" w:color="auto" w:fill="FAFAFA"/>
        </w:rPr>
        <w:t xml:space="preserve"> Cir. 2004) </w:t>
      </w:r>
      <w:hyperlink w:history="1" r:id="rId40">
        <w:r w:rsidRPr="0005126E" w:rsidR="000A524A">
          <w:rPr>
            <w:rStyle w:val="Hyperlink"/>
            <w:color w:val="005AAA"/>
            <w:szCs w:val="26"/>
            <w:shd w:val="clear" w:color="auto" w:fill="FAFAFA"/>
          </w:rPr>
          <w:t>381 F.3d 811</w:t>
        </w:r>
      </w:hyperlink>
      <w:r w:rsidRPr="0005126E" w:rsidR="000A524A">
        <w:rPr>
          <w:szCs w:val="26"/>
        </w:rPr>
        <w:t xml:space="preserve">. </w:t>
      </w:r>
      <w:r w:rsidR="001457B0">
        <w:rPr>
          <w:szCs w:val="26"/>
        </w:rPr>
        <w:t xml:space="preserve"> </w:t>
      </w:r>
      <w:r w:rsidRPr="0005126E" w:rsidR="000A524A">
        <w:rPr>
          <w:szCs w:val="26"/>
        </w:rPr>
        <w:t xml:space="preserve">Conseco was a financial services company that used a computer program to </w:t>
      </w:r>
      <w:r w:rsidRPr="0005126E" w:rsidR="00C93EDB">
        <w:rPr>
          <w:szCs w:val="26"/>
        </w:rPr>
        <w:t xml:space="preserve">compile lists of potential customers </w:t>
      </w:r>
      <w:r w:rsidRPr="0005126E" w:rsidR="009C20E5">
        <w:rPr>
          <w:szCs w:val="26"/>
        </w:rPr>
        <w:t xml:space="preserve">(known as lead sheets) </w:t>
      </w:r>
      <w:r w:rsidRPr="0005126E" w:rsidR="00C93EDB">
        <w:rPr>
          <w:szCs w:val="26"/>
        </w:rPr>
        <w:t>coded from the most promising (in red) to decent (in blue).</w:t>
      </w:r>
      <w:r w:rsidRPr="0005126E" w:rsidR="009C20E5">
        <w:rPr>
          <w:szCs w:val="26"/>
        </w:rPr>
        <w:t xml:space="preserve"> </w:t>
      </w:r>
      <w:r w:rsidR="001457B0">
        <w:rPr>
          <w:szCs w:val="26"/>
        </w:rPr>
        <w:t xml:space="preserve"> </w:t>
      </w:r>
      <w:r w:rsidRPr="0005126E" w:rsidR="009C20E5">
        <w:rPr>
          <w:szCs w:val="26"/>
        </w:rPr>
        <w:t>Even though the lead sheets</w:t>
      </w:r>
      <w:r w:rsidRPr="0005126E" w:rsidR="000A524A">
        <w:rPr>
          <w:color w:val="212529"/>
          <w:szCs w:val="26"/>
          <w:shd w:val="clear" w:color="auto" w:fill="FAFAFA"/>
        </w:rPr>
        <w:t> </w:t>
      </w:r>
      <w:r w:rsidRPr="0005126E" w:rsidR="009C20E5">
        <w:rPr>
          <w:color w:val="212529"/>
          <w:szCs w:val="26"/>
          <w:shd w:val="clear" w:color="auto" w:fill="FAFAFA"/>
        </w:rPr>
        <w:t xml:space="preserve">contained public information, the Court held that they were nonetheless trade secret protected as they </w:t>
      </w:r>
      <w:r w:rsidRPr="0005126E" w:rsidR="006B0AFD">
        <w:rPr>
          <w:color w:val="212529"/>
          <w:szCs w:val="26"/>
          <w:shd w:val="clear" w:color="auto" w:fill="FAFAFA"/>
        </w:rPr>
        <w:t>were</w:t>
      </w:r>
      <w:r w:rsidRPr="0005126E" w:rsidR="009C20E5">
        <w:rPr>
          <w:color w:val="212529"/>
          <w:szCs w:val="26"/>
          <w:shd w:val="clear" w:color="auto" w:fill="FAFAFA"/>
        </w:rPr>
        <w:t xml:space="preserve"> </w:t>
      </w:r>
      <w:r w:rsidRPr="0005126E" w:rsidR="006B0AFD">
        <w:rPr>
          <w:color w:val="212529"/>
          <w:szCs w:val="26"/>
          <w:shd w:val="clear" w:color="auto" w:fill="FAFAFA"/>
        </w:rPr>
        <w:t>“</w:t>
      </w:r>
      <w:r w:rsidRPr="0005126E" w:rsidR="009C20E5">
        <w:rPr>
          <w:color w:val="212529"/>
          <w:szCs w:val="26"/>
          <w:shd w:val="clear" w:color="auto" w:fill="FAFAFA"/>
        </w:rPr>
        <w:t xml:space="preserve">a product of a specialized—and apparently quite effective—computer program that was </w:t>
      </w:r>
      <w:r w:rsidRPr="0005126E" w:rsidR="009C20E5">
        <w:rPr>
          <w:i/>
          <w:iCs/>
          <w:color w:val="212529"/>
          <w:szCs w:val="26"/>
          <w:shd w:val="clear" w:color="auto" w:fill="FAFAFA"/>
        </w:rPr>
        <w:t>uniquely</w:t>
      </w:r>
      <w:r w:rsidRPr="0005126E" w:rsidR="009C20E5">
        <w:rPr>
          <w:color w:val="212529"/>
          <w:szCs w:val="26"/>
          <w:shd w:val="clear" w:color="auto" w:fill="FAFAFA"/>
        </w:rPr>
        <w:t xml:space="preserve"> Conseco's."</w:t>
      </w:r>
      <w:r w:rsidRPr="0005126E" w:rsidR="009C20E5">
        <w:rPr>
          <w:rStyle w:val="FootnoteReference"/>
          <w:color w:val="212529"/>
          <w:szCs w:val="26"/>
          <w:shd w:val="clear" w:color="auto" w:fill="FAFAFA"/>
        </w:rPr>
        <w:footnoteReference w:id="130"/>
      </w:r>
      <w:r w:rsidRPr="0005126E" w:rsidR="00F849D0">
        <w:rPr>
          <w:color w:val="212529"/>
          <w:szCs w:val="26"/>
          <w:shd w:val="clear" w:color="auto" w:fill="FAFAFA"/>
        </w:rPr>
        <w:t xml:space="preserve"> </w:t>
      </w:r>
      <w:r w:rsidR="001457B0">
        <w:rPr>
          <w:color w:val="212529"/>
          <w:szCs w:val="26"/>
          <w:shd w:val="clear" w:color="auto" w:fill="FAFAFA"/>
        </w:rPr>
        <w:t xml:space="preserve"> </w:t>
      </w:r>
      <w:r w:rsidRPr="0005126E" w:rsidR="004E3EDE">
        <w:rPr>
          <w:color w:val="212529"/>
          <w:szCs w:val="26"/>
          <w:shd w:val="clear" w:color="auto" w:fill="FAFAFA"/>
        </w:rPr>
        <w:t>I</w:t>
      </w:r>
      <w:r w:rsidRPr="0005126E" w:rsidR="00F849D0">
        <w:rPr>
          <w:color w:val="212529"/>
          <w:szCs w:val="26"/>
          <w:shd w:val="clear" w:color="auto" w:fill="FAFAFA"/>
        </w:rPr>
        <w:t>n reaching this conclusion</w:t>
      </w:r>
      <w:r w:rsidRPr="0005126E" w:rsidR="006B0AFD">
        <w:rPr>
          <w:color w:val="212529"/>
          <w:szCs w:val="26"/>
          <w:shd w:val="clear" w:color="auto" w:fill="FAFAFA"/>
        </w:rPr>
        <w:t xml:space="preserve"> that uniqueness was a factor in determining the validity of a trade secret claim</w:t>
      </w:r>
      <w:r w:rsidRPr="0005126E" w:rsidR="00F849D0">
        <w:rPr>
          <w:color w:val="212529"/>
          <w:szCs w:val="26"/>
          <w:shd w:val="clear" w:color="auto" w:fill="FAFAFA"/>
        </w:rPr>
        <w:t xml:space="preserve">, the </w:t>
      </w:r>
      <w:r w:rsidRPr="0005126E" w:rsidR="00F849D0">
        <w:rPr>
          <w:i/>
          <w:iCs/>
          <w:color w:val="212529"/>
          <w:szCs w:val="26"/>
          <w:shd w:val="clear" w:color="auto" w:fill="FAFAFA"/>
        </w:rPr>
        <w:t>Conseco</w:t>
      </w:r>
      <w:r w:rsidRPr="0005126E" w:rsidR="00F849D0">
        <w:rPr>
          <w:color w:val="212529"/>
          <w:szCs w:val="26"/>
          <w:shd w:val="clear" w:color="auto" w:fill="FAFAFA"/>
        </w:rPr>
        <w:t xml:space="preserve"> court construed </w:t>
      </w:r>
      <w:r w:rsidRPr="0005126E" w:rsidR="006B0AFD">
        <w:rPr>
          <w:color w:val="212529"/>
          <w:szCs w:val="26"/>
          <w:shd w:val="clear" w:color="auto" w:fill="FAFAFA"/>
        </w:rPr>
        <w:t xml:space="preserve">the state of Missouri’s </w:t>
      </w:r>
      <w:r w:rsidRPr="0005126E" w:rsidR="00F849D0">
        <w:rPr>
          <w:color w:val="212529"/>
          <w:szCs w:val="26"/>
          <w:shd w:val="clear" w:color="auto" w:fill="FAFAFA"/>
        </w:rPr>
        <w:t xml:space="preserve"> trade secret definition</w:t>
      </w:r>
      <w:r w:rsidRPr="0005126E" w:rsidR="004E3EDE">
        <w:rPr>
          <w:color w:val="212529"/>
          <w:szCs w:val="26"/>
          <w:shd w:val="clear" w:color="auto" w:fill="FAFAFA"/>
        </w:rPr>
        <w:t>:</w:t>
      </w:r>
    </w:p>
    <w:p w:rsidR="00F849D0" w:rsidP="0005126E" w:rsidRDefault="00F849D0" w14:paraId="5A6B255F" w14:textId="299B3563">
      <w:pPr>
        <w:pStyle w:val="BlockQuote"/>
        <w:rPr>
          <w:shd w:val="clear" w:color="auto" w:fill="FAFAFA"/>
        </w:rPr>
      </w:pPr>
      <w:r>
        <w:rPr>
          <w:shd w:val="clear" w:color="auto" w:fill="FAFAFA"/>
        </w:rPr>
        <w:t>"trade secret" is information — including but not limited to — technical or nontechnical data, a formula, pattern, compilation, program, device, method, technique, or process that derives independent economic value, actual or potential, from not being generally known to, and not being readily ascertainable by proper means by other persons who can obtain economic value from its disclosure or use.</w:t>
      </w:r>
    </w:p>
    <w:p w:rsidRPr="001457B0" w:rsidR="002D4E07" w:rsidP="0005126E" w:rsidRDefault="006B0AFD" w14:paraId="40A3BB4C" w14:textId="77777777">
      <w:pPr>
        <w:pStyle w:val="Standard"/>
        <w:ind w:firstLine="0"/>
        <w:rPr>
          <w:color w:val="212529"/>
          <w:szCs w:val="26"/>
          <w:shd w:val="clear" w:color="auto" w:fill="FAFAFA"/>
        </w:rPr>
      </w:pPr>
      <w:r w:rsidRPr="001457B0">
        <w:rPr>
          <w:color w:val="212529"/>
          <w:szCs w:val="26"/>
          <w:shd w:val="clear" w:color="auto" w:fill="FAFAFA"/>
        </w:rPr>
        <w:lastRenderedPageBreak/>
        <w:t xml:space="preserve">The ”data, a formula, pattern, compilation, program, device, method, technique, or process” </w:t>
      </w:r>
      <w:r w:rsidRPr="001457B0" w:rsidR="002D4E07">
        <w:rPr>
          <w:color w:val="212529"/>
          <w:szCs w:val="26"/>
          <w:shd w:val="clear" w:color="auto" w:fill="FAFAFA"/>
        </w:rPr>
        <w:t xml:space="preserve">in the Missouri statute </w:t>
      </w:r>
      <w:r w:rsidRPr="001457B0">
        <w:rPr>
          <w:color w:val="212529"/>
          <w:szCs w:val="26"/>
          <w:shd w:val="clear" w:color="auto" w:fill="FAFAFA"/>
        </w:rPr>
        <w:t>is also found in California Civil Code § 3426.1(d)</w:t>
      </w:r>
      <w:r w:rsidRPr="001457B0" w:rsidR="0068467B">
        <w:rPr>
          <w:color w:val="212529"/>
          <w:szCs w:val="26"/>
          <w:shd w:val="clear" w:color="auto" w:fill="FAFAFA"/>
        </w:rPr>
        <w:t>: “Trade secret” means information, including a formula, pattern, compilation, program, device, method, technique, or process[.]”</w:t>
      </w:r>
      <w:r w:rsidRPr="001457B0" w:rsidR="002D4E07">
        <w:rPr>
          <w:color w:val="212529"/>
          <w:szCs w:val="26"/>
          <w:shd w:val="clear" w:color="auto" w:fill="FAFAFA"/>
        </w:rPr>
        <w:t xml:space="preserve"> It is not surprising then that other jurisdictions would reach the same conclusion as the Commission that the compilation of information must be novel or unique in some material way to be considered a trade secret.</w:t>
      </w:r>
    </w:p>
    <w:p w:rsidRPr="001457B0" w:rsidR="006B0AFD" w:rsidP="00876C43" w:rsidRDefault="002D383E" w14:paraId="425BE87D" w14:textId="1C7DB0D9">
      <w:pPr>
        <w:pStyle w:val="Standard"/>
        <w:rPr>
          <w:szCs w:val="26"/>
        </w:rPr>
      </w:pPr>
      <w:r w:rsidRPr="001457B0">
        <w:rPr>
          <w:szCs w:val="26"/>
        </w:rPr>
        <w:t xml:space="preserve">We also reject Lyft’s attempt to undermine our reliance on </w:t>
      </w:r>
      <w:r w:rsidRPr="001457B0">
        <w:rPr>
          <w:i/>
          <w:iCs/>
          <w:szCs w:val="26"/>
        </w:rPr>
        <w:t>Woo v. Fireman’s Fund Insurance Co</w:t>
      </w:r>
      <w:r w:rsidRPr="001457B0">
        <w:rPr>
          <w:szCs w:val="26"/>
        </w:rPr>
        <w:t xml:space="preserve"> (2007) 134 Washington App. 480, 488</w:t>
      </w:r>
      <w:r w:rsidRPr="001457B0">
        <w:rPr>
          <w:szCs w:val="26"/>
        </w:rPr>
        <w:noBreakHyphen/>
        <w:t xml:space="preserve">489 and </w:t>
      </w:r>
      <w:r w:rsidRPr="001457B0">
        <w:rPr>
          <w:i/>
          <w:iCs/>
          <w:szCs w:val="26"/>
        </w:rPr>
        <w:t>OTR Wheel Engineering, Inc. v. West Worldwide Services, Inc</w:t>
      </w:r>
      <w:r w:rsidRPr="001457B0">
        <w:rPr>
          <w:szCs w:val="26"/>
        </w:rPr>
        <w:t xml:space="preserve">. (2015) WL 11117430, [*46] at *1 (E.D. Wash. Nov. 30, 2015) on the grounds that these two decisions relied on a decision that was overruled for requiring  the need to show that the data compilation was unique. </w:t>
      </w:r>
      <w:r w:rsidRPr="001457B0" w:rsidR="003B2519">
        <w:rPr>
          <w:szCs w:val="26"/>
        </w:rPr>
        <w:t xml:space="preserve">According to Lyft, </w:t>
      </w:r>
      <w:r w:rsidRPr="001457B0" w:rsidR="003B2519">
        <w:rPr>
          <w:i/>
          <w:iCs/>
          <w:szCs w:val="26"/>
        </w:rPr>
        <w:t>Woo</w:t>
      </w:r>
      <w:r w:rsidRPr="001457B0" w:rsidR="003B2519">
        <w:rPr>
          <w:szCs w:val="26"/>
        </w:rPr>
        <w:t xml:space="preserve"> and </w:t>
      </w:r>
      <w:r w:rsidRPr="001457B0" w:rsidR="003B2519">
        <w:rPr>
          <w:i/>
          <w:iCs/>
          <w:szCs w:val="26"/>
        </w:rPr>
        <w:t>OTR</w:t>
      </w:r>
      <w:r w:rsidRPr="001457B0" w:rsidR="003B2519">
        <w:rPr>
          <w:szCs w:val="26"/>
        </w:rPr>
        <w:t xml:space="preserve"> cite to </w:t>
      </w:r>
      <w:r w:rsidRPr="001457B0" w:rsidR="003B2519">
        <w:rPr>
          <w:i/>
          <w:iCs/>
          <w:szCs w:val="26"/>
        </w:rPr>
        <w:t>Machen</w:t>
      </w:r>
      <w:r w:rsidRPr="001457B0" w:rsidR="00043D96">
        <w:rPr>
          <w:i/>
          <w:iCs/>
          <w:szCs w:val="26"/>
        </w:rPr>
        <w:t>,</w:t>
      </w:r>
      <w:r w:rsidRPr="001457B0" w:rsidR="003B2519">
        <w:rPr>
          <w:i/>
          <w:iCs/>
          <w:szCs w:val="26"/>
        </w:rPr>
        <w:t xml:space="preserve"> Inc. v. Aircraft Design, Inc.</w:t>
      </w:r>
      <w:r w:rsidRPr="001457B0" w:rsidR="003B2519">
        <w:rPr>
          <w:szCs w:val="26"/>
        </w:rPr>
        <w:t xml:space="preserve"> (Wash. Ct. App. 1992) 65 Wash. App. 319</w:t>
      </w:r>
      <w:r w:rsidRPr="001457B0" w:rsidR="00AB1393">
        <w:rPr>
          <w:szCs w:val="26"/>
        </w:rPr>
        <w:t>,</w:t>
      </w:r>
      <w:r w:rsidRPr="001457B0" w:rsidR="003B2519">
        <w:rPr>
          <w:szCs w:val="26"/>
        </w:rPr>
        <w:t xml:space="preserve"> which was later overruled by </w:t>
      </w:r>
      <w:r w:rsidRPr="001457B0" w:rsidR="003B2519">
        <w:rPr>
          <w:i/>
          <w:iCs/>
          <w:szCs w:val="26"/>
        </w:rPr>
        <w:t>Waterjet Technology, Inc. v. Flow Intern. Corp</w:t>
      </w:r>
      <w:r w:rsidRPr="001457B0" w:rsidR="003B2519">
        <w:rPr>
          <w:szCs w:val="26"/>
        </w:rPr>
        <w:t xml:space="preserve">. (2000) 140 Wash.2d 313. But where </w:t>
      </w:r>
      <w:r w:rsidRPr="001457B0" w:rsidR="003B2519">
        <w:rPr>
          <w:i/>
          <w:iCs/>
          <w:szCs w:val="26"/>
        </w:rPr>
        <w:t>Machen</w:t>
      </w:r>
      <w:r w:rsidRPr="001457B0" w:rsidR="003B2519">
        <w:rPr>
          <w:szCs w:val="26"/>
        </w:rPr>
        <w:t xml:space="preserve"> was overruled was </w:t>
      </w:r>
      <w:r w:rsidRPr="001457B0" w:rsidR="00043D96">
        <w:rPr>
          <w:szCs w:val="26"/>
        </w:rPr>
        <w:t xml:space="preserve">not on the novelty requirement for a trade secret claim, but </w:t>
      </w:r>
      <w:r w:rsidRPr="001457B0" w:rsidR="003B2519">
        <w:rPr>
          <w:szCs w:val="26"/>
        </w:rPr>
        <w:t>on the question of whether</w:t>
      </w:r>
      <w:r w:rsidRPr="001457B0" w:rsidR="00043D96">
        <w:rPr>
          <w:szCs w:val="26"/>
        </w:rPr>
        <w:t xml:space="preserve"> the agreement to assign patents proved adequate notice in accordance with Washington law:</w:t>
      </w:r>
    </w:p>
    <w:p w:rsidR="001C69AB" w:rsidP="001457B0" w:rsidRDefault="00043D96" w14:paraId="29BC2DC2" w14:textId="7587A430">
      <w:pPr>
        <w:pStyle w:val="BlockQuote"/>
      </w:pPr>
      <w:r w:rsidRPr="001457B0">
        <w:t>Furthermore, the purpose of the notice provision of RCW 49.44.140 is to prevent overreaching by employers. [citations omitted] Defendants fail to establish why the Craigen Agreement, under the facts of this case, did not fully satisfy this policy with regard to Patent 824. Nor does </w:t>
      </w:r>
      <w:r w:rsidRPr="001457B0">
        <w:rPr>
          <w:i/>
          <w:iCs/>
        </w:rPr>
        <w:t>Machen, Inc., </w:t>
      </w:r>
      <w:r w:rsidRPr="001457B0">
        <w:t>upon which defendants heavily rely, answer this question. To the extent </w:t>
      </w:r>
      <w:r w:rsidRPr="001457B0">
        <w:rPr>
          <w:i/>
          <w:iCs/>
        </w:rPr>
        <w:t>Machen, Inc. </w:t>
      </w:r>
      <w:r w:rsidRPr="001457B0">
        <w:t>suggests an agreement may not, on its face, satisfy RCW 49.44.140(3), it is overruled.</w:t>
      </w:r>
      <w:r w:rsidRPr="001457B0">
        <w:rPr>
          <w:rStyle w:val="FootnoteReference"/>
          <w:szCs w:val="26"/>
        </w:rPr>
        <w:footnoteReference w:id="131"/>
      </w:r>
    </w:p>
    <w:p w:rsidR="00043D96" w:rsidP="001C69AB" w:rsidRDefault="00F61F8F" w14:paraId="734FEA7A" w14:textId="20B30EB4">
      <w:pPr>
        <w:pStyle w:val="Standard"/>
      </w:pPr>
      <w:r>
        <w:lastRenderedPageBreak/>
        <w:t>W</w:t>
      </w:r>
      <w:r w:rsidR="00043D96">
        <w:t>e</w:t>
      </w:r>
      <w:r>
        <w:t xml:space="preserve"> also</w:t>
      </w:r>
      <w:r w:rsidR="00043D96">
        <w:t xml:space="preserve"> reject Lyft’s attempt to </w:t>
      </w:r>
      <w:r w:rsidR="001C69AB">
        <w:t>argue that it is black letter law that  there is no novelty or uniqueness requirement for a trade secret claim.</w:t>
      </w:r>
      <w:r w:rsidR="00245878">
        <w:t xml:space="preserve"> </w:t>
      </w:r>
      <w:r w:rsidR="001457B0">
        <w:t xml:space="preserve"> </w:t>
      </w:r>
      <w:r w:rsidR="00245878">
        <w:t xml:space="preserve">Lyft selectively quotes from </w:t>
      </w:r>
      <w:r w:rsidRPr="0005126E" w:rsidR="00245878">
        <w:rPr>
          <w:i/>
          <w:iCs/>
        </w:rPr>
        <w:t>Kewanee Oil Co</w:t>
      </w:r>
      <w:r w:rsidRPr="001457B0" w:rsidR="00245878">
        <w:rPr>
          <w:i/>
          <w:iCs/>
        </w:rPr>
        <w:t xml:space="preserve">. </w:t>
      </w:r>
      <w:r w:rsidRPr="001457B0" w:rsidR="00712C52">
        <w:rPr>
          <w:i/>
          <w:iCs/>
        </w:rPr>
        <w:t>v</w:t>
      </w:r>
      <w:r w:rsidRPr="001457B0" w:rsidR="00245878">
        <w:rPr>
          <w:i/>
          <w:iCs/>
        </w:rPr>
        <w:t>. Bicron</w:t>
      </w:r>
      <w:r w:rsidRPr="0005126E" w:rsidR="00245878">
        <w:rPr>
          <w:i/>
          <w:iCs/>
        </w:rPr>
        <w:t xml:space="preserve"> Corp</w:t>
      </w:r>
      <w:r w:rsidR="00245878">
        <w:t>. (1974) 416 U.S. 470, 476 in such a way to give the impression that the United States Supreme Court rejected the novelty requirement for a trade secret claim: “[n]ovelty…is not required for a trade secret.”</w:t>
      </w:r>
      <w:r w:rsidR="00245878">
        <w:rPr>
          <w:rStyle w:val="FootnoteReference"/>
        </w:rPr>
        <w:footnoteReference w:id="132"/>
      </w:r>
      <w:r w:rsidR="00245878">
        <w:t xml:space="preserve"> </w:t>
      </w:r>
      <w:r w:rsidR="001457B0">
        <w:t xml:space="preserve"> </w:t>
      </w:r>
      <w:r w:rsidR="00245878">
        <w:t>But the complete quote is more nuanced and says just the opposite of what Lyft represents:</w:t>
      </w:r>
    </w:p>
    <w:p w:rsidR="00245878" w:rsidP="001457B0" w:rsidRDefault="00245878" w14:paraId="1C08CAF6" w14:textId="7AF1E394">
      <w:pPr>
        <w:pStyle w:val="BlockQuote"/>
      </w:pPr>
      <w:r w:rsidRPr="00245878">
        <w:t xml:space="preserve">Novelty, </w:t>
      </w:r>
      <w:r w:rsidRPr="0005126E">
        <w:rPr>
          <w:i/>
          <w:iCs/>
        </w:rPr>
        <w:t>in the patent law sense</w:t>
      </w:r>
      <w:r w:rsidRPr="00245878">
        <w:t>, is not required for a trade secret, </w:t>
      </w:r>
      <w:r w:rsidRPr="00245878">
        <w:rPr>
          <w:i/>
          <w:iCs/>
        </w:rPr>
        <w:t>W. R. Grace &amp; Co. v. Hargadine,</w:t>
      </w:r>
      <w:r w:rsidRPr="00245878">
        <w:t> 392 F.2d at 14. "Quite clearly, discovery is something less than invention." </w:t>
      </w:r>
      <w:r w:rsidRPr="00245878">
        <w:rPr>
          <w:i/>
          <w:iCs/>
        </w:rPr>
        <w:t>A. O. Smith Corp. v. Petroleum Iron Works Co.,</w:t>
      </w:r>
      <w:r w:rsidRPr="00245878">
        <w:t> 73 F.2d 531, 538 (CA6 1934), </w:t>
      </w:r>
      <w:r w:rsidRPr="00245878">
        <w:rPr>
          <w:i/>
          <w:iCs/>
        </w:rPr>
        <w:t>modified to increase scope of injunction,</w:t>
      </w:r>
      <w:r w:rsidRPr="00245878">
        <w:t xml:space="preserve"> 74 F.2d 934 (1935). </w:t>
      </w:r>
      <w:r w:rsidRPr="0005126E">
        <w:rPr>
          <w:i/>
          <w:iCs/>
        </w:rPr>
        <w:t>However, some novelty will be required, if merely because that which does not possess novelty is usually known; secrecy, in the context of trade secrets, thus implies at least minimal novelty</w:t>
      </w:r>
      <w:r w:rsidRPr="00245878">
        <w:t>.</w:t>
      </w:r>
      <w:r w:rsidR="006611BC">
        <w:rPr>
          <w:rStyle w:val="FootnoteReference"/>
        </w:rPr>
        <w:footnoteReference w:id="133"/>
      </w:r>
    </w:p>
    <w:p w:rsidR="00030F76" w:rsidP="002D01FE" w:rsidRDefault="002D01FE" w14:paraId="10E31DFA" w14:textId="7989BF95">
      <w:pPr>
        <w:pStyle w:val="Standard"/>
        <w:ind w:firstLine="0"/>
      </w:pPr>
      <w:r>
        <w:t>In cit</w:t>
      </w:r>
      <w:r w:rsidR="00C4628A">
        <w:t>ing</w:t>
      </w:r>
      <w:r>
        <w:t xml:space="preserve"> to and quoting </w:t>
      </w:r>
      <w:r w:rsidR="00C4628A">
        <w:t>from</w:t>
      </w:r>
      <w:r>
        <w:t xml:space="preserve"> </w:t>
      </w:r>
      <w:r w:rsidRPr="0005126E">
        <w:rPr>
          <w:i/>
          <w:iCs/>
        </w:rPr>
        <w:t>Kewannee</w:t>
      </w:r>
      <w:r>
        <w:t xml:space="preserve">, </w:t>
      </w:r>
      <w:r w:rsidR="00030F76">
        <w:t>Lyft has misled the Commission in two</w:t>
      </w:r>
      <w:r w:rsidR="001457B0">
        <w:t> </w:t>
      </w:r>
      <w:r w:rsidR="00030F76">
        <w:t xml:space="preserve">material respects: </w:t>
      </w:r>
      <w:r w:rsidR="001457B0">
        <w:t xml:space="preserve"> </w:t>
      </w:r>
      <w:r w:rsidR="00030F76">
        <w:t xml:space="preserve">first, it </w:t>
      </w:r>
      <w:r w:rsidR="00E66CBB">
        <w:t>deliberately omitted</w:t>
      </w:r>
      <w:r w:rsidR="00030F76">
        <w:t xml:space="preserve"> the language </w:t>
      </w:r>
      <w:r>
        <w:t>“in the patent sense” between “novelty” and “is not required for a trade secret</w:t>
      </w:r>
      <w:r w:rsidR="00DD6CBB">
        <w:t>,</w:t>
      </w:r>
      <w:r>
        <w:t xml:space="preserve">” thus giving the false impression that novelty </w:t>
      </w:r>
      <w:r w:rsidR="00E66CBB">
        <w:t>i</w:t>
      </w:r>
      <w:r>
        <w:t xml:space="preserve">s not a requirement for a trade secret claim. Second, Lyft left out the rest of the Supreme Court’s comment that “some novelty will be required.” </w:t>
      </w:r>
      <w:r w:rsidR="001457B0">
        <w:t xml:space="preserve"> </w:t>
      </w:r>
      <w:r>
        <w:t xml:space="preserve">Thus, when </w:t>
      </w:r>
      <w:r w:rsidR="0007575A">
        <w:t xml:space="preserve">read in context and </w:t>
      </w:r>
      <w:r>
        <w:t xml:space="preserve">properly understood, </w:t>
      </w:r>
      <w:r w:rsidRPr="0005126E">
        <w:rPr>
          <w:i/>
          <w:iCs/>
        </w:rPr>
        <w:t>Kewannee</w:t>
      </w:r>
      <w:r>
        <w:t xml:space="preserve"> supports our conclusion that a party claiming a trade secret must demonstrate that that the compilation of information is novel or unique.</w:t>
      </w:r>
    </w:p>
    <w:p w:rsidR="00C4628A" w:rsidP="001457B0" w:rsidRDefault="00C4628A" w14:paraId="61150CCC" w14:textId="0B51BC2F">
      <w:pPr>
        <w:pStyle w:val="Standard"/>
      </w:pPr>
      <w:r>
        <w:t xml:space="preserve">Nor is Lyft’s position supported by its reliance on California </w:t>
      </w:r>
      <w:r w:rsidR="00F44DF0">
        <w:t xml:space="preserve">trade secret </w:t>
      </w:r>
      <w:r>
        <w:t>law. Lyft</w:t>
      </w:r>
      <w:r w:rsidR="00C0438B">
        <w:t xml:space="preserve"> first</w:t>
      </w:r>
      <w:r>
        <w:t xml:space="preserve"> cites the following language from </w:t>
      </w:r>
      <w:r w:rsidRPr="0005126E">
        <w:rPr>
          <w:i/>
          <w:iCs/>
        </w:rPr>
        <w:t>Altavion, Inc. v. Konica Minolta Systems Lab., Inc</w:t>
      </w:r>
      <w:r>
        <w:t>. (2014) 226 Cal.App.4</w:t>
      </w:r>
      <w:r w:rsidRPr="0005126E">
        <w:rPr>
          <w:vertAlign w:val="superscript"/>
        </w:rPr>
        <w:t>th</w:t>
      </w:r>
      <w:r>
        <w:t xml:space="preserve"> 26, 54 which states: “[n]ovelty and </w:t>
      </w:r>
      <w:r>
        <w:lastRenderedPageBreak/>
        <w:t>invention are not requisite for a trade secret….”</w:t>
      </w:r>
      <w:r w:rsidR="002021F3">
        <w:t xml:space="preserve"> </w:t>
      </w:r>
      <w:r w:rsidR="001457B0">
        <w:t xml:space="preserve"> </w:t>
      </w:r>
      <w:r w:rsidR="002021F3">
        <w:t>This quote</w:t>
      </w:r>
      <w:r w:rsidR="00995B78">
        <w:t xml:space="preserve"> in </w:t>
      </w:r>
      <w:r w:rsidRPr="0005126E" w:rsidR="00995B78">
        <w:rPr>
          <w:i/>
          <w:iCs/>
        </w:rPr>
        <w:t>Altavion</w:t>
      </w:r>
      <w:r w:rsidR="002021F3">
        <w:t xml:space="preserve"> </w:t>
      </w:r>
      <w:r w:rsidR="00647664">
        <w:t xml:space="preserve">is from </w:t>
      </w:r>
      <w:r w:rsidRPr="0005126E" w:rsidR="00647664">
        <w:rPr>
          <w:i/>
          <w:iCs/>
        </w:rPr>
        <w:t>Sinclair v. Aquarius Electronics, Inc.</w:t>
      </w:r>
      <w:r w:rsidR="00647664">
        <w:t xml:space="preserve"> (1974</w:t>
      </w:r>
      <w:r w:rsidR="0007735E">
        <w:t>) 42 Cal.App.3d 216, 222, which discusses the difference between patent and trade secret claims when discussing prior art</w:t>
      </w:r>
      <w:r w:rsidRPr="00DC5E34" w:rsidR="00DC5E34">
        <w:t xml:space="preserve"> </w:t>
      </w:r>
      <w:r w:rsidR="00DC5E34">
        <w:t>(</w:t>
      </w:r>
      <w:r w:rsidRPr="0005126E" w:rsidR="00DC5E34">
        <w:rPr>
          <w:i/>
          <w:iCs/>
        </w:rPr>
        <w:t>i.e</w:t>
      </w:r>
      <w:r w:rsidR="00DC5E34">
        <w:t>. a concept in patent law that arises when there is an attack on the validity of a patent).</w:t>
      </w:r>
      <w:r w:rsidR="00DC5E34">
        <w:rPr>
          <w:rStyle w:val="FootnoteReference"/>
        </w:rPr>
        <w:footnoteReference w:id="134"/>
      </w:r>
      <w:r w:rsidR="0007735E">
        <w:t xml:space="preserve"> </w:t>
      </w:r>
      <w:r w:rsidR="001457B0">
        <w:t xml:space="preserve"> </w:t>
      </w:r>
      <w:r w:rsidRPr="0005126E" w:rsidR="0007735E">
        <w:rPr>
          <w:i/>
          <w:iCs/>
        </w:rPr>
        <w:t>Sinclair</w:t>
      </w:r>
      <w:r w:rsidR="0007735E">
        <w:t xml:space="preserve"> </w:t>
      </w:r>
      <w:r w:rsidR="00995B78">
        <w:t>cites to</w:t>
      </w:r>
      <w:r w:rsidR="002021F3">
        <w:t xml:space="preserve"> </w:t>
      </w:r>
      <w:r w:rsidRPr="0005126E" w:rsidR="002021F3">
        <w:rPr>
          <w:i/>
          <w:iCs/>
        </w:rPr>
        <w:t>Futurecraft Corporation v. Clary Corporation</w:t>
      </w:r>
      <w:r w:rsidR="002021F3">
        <w:t xml:space="preserve"> (1962) 205 Cal.App.2d 279</w:t>
      </w:r>
      <w:r w:rsidR="00063171">
        <w:t xml:space="preserve">, 290, which quotes from the Restatement of Torts regarding </w:t>
      </w:r>
      <w:r w:rsidR="00F44DF0">
        <w:t xml:space="preserve">the interplay between </w:t>
      </w:r>
      <w:r w:rsidR="00063171">
        <w:t>novelty and prior art</w:t>
      </w:r>
      <w:r w:rsidR="00F44DF0">
        <w:t xml:space="preserve"> for a trade secret claim</w:t>
      </w:r>
      <w:r w:rsidR="00063171">
        <w:t xml:space="preserve"> and the distinction between trade secret and patents</w:t>
      </w:r>
      <w:r w:rsidR="00995B78">
        <w:t>.</w:t>
      </w:r>
      <w:r w:rsidR="00D22394">
        <w:rPr>
          <w:rStyle w:val="FootnoteReference"/>
        </w:rPr>
        <w:footnoteReference w:id="135"/>
      </w:r>
      <w:r w:rsidR="00C0438B">
        <w:t xml:space="preserve"> </w:t>
      </w:r>
      <w:r w:rsidR="001457B0">
        <w:t xml:space="preserve"> </w:t>
      </w:r>
      <w:r w:rsidR="00C0438B">
        <w:t>These authorities do not hold that novelty or uniqueness are not elements of a trade secret claim</w:t>
      </w:r>
      <w:r w:rsidR="00F44DF0">
        <w:t xml:space="preserve"> where prior art is not a component of the claim</w:t>
      </w:r>
      <w:r w:rsidR="00C0438B">
        <w:t>.</w:t>
      </w:r>
    </w:p>
    <w:p w:rsidR="00C0438B" w:rsidP="00C0438B" w:rsidRDefault="00C0438B" w14:paraId="16B80AFE" w14:textId="6173A802">
      <w:pPr>
        <w:pStyle w:val="Standard"/>
      </w:pPr>
      <w:r>
        <w:lastRenderedPageBreak/>
        <w:t xml:space="preserve">Next, Lyft cites to </w:t>
      </w:r>
      <w:r w:rsidRPr="0005126E">
        <w:rPr>
          <w:i/>
          <w:iCs/>
        </w:rPr>
        <w:t>BladeRoom Group Ltd v. Emerson Electric Co</w:t>
      </w:r>
      <w:r>
        <w:t>. (N.D.Cal. 2018) 331 F.Supp.</w:t>
      </w:r>
      <w:r w:rsidRPr="001457B0">
        <w:t xml:space="preserve">3d 977, 981, </w:t>
      </w:r>
      <w:r w:rsidRPr="001457B0">
        <w:rPr>
          <w:i/>
          <w:iCs/>
        </w:rPr>
        <w:t>vacated</w:t>
      </w:r>
      <w:r w:rsidRPr="0005126E">
        <w:rPr>
          <w:i/>
          <w:iCs/>
        </w:rPr>
        <w:t xml:space="preserve"> and remanded</w:t>
      </w:r>
      <w:r>
        <w:t xml:space="preserve"> (9</w:t>
      </w:r>
      <w:r w:rsidRPr="0005126E">
        <w:rPr>
          <w:vertAlign w:val="superscript"/>
        </w:rPr>
        <w:t>th</w:t>
      </w:r>
      <w:r>
        <w:t xml:space="preserve"> Cir. 2021) 11 F.4</w:t>
      </w:r>
      <w:r w:rsidRPr="0005126E">
        <w:rPr>
          <w:vertAlign w:val="superscript"/>
        </w:rPr>
        <w:t>th</w:t>
      </w:r>
      <w:r>
        <w:t xml:space="preserve"> 1010</w:t>
      </w:r>
      <w:r w:rsidR="002626DF">
        <w:t xml:space="preserve">, and </w:t>
      </w:r>
      <w:r w:rsidRPr="0005126E" w:rsidR="002626DF">
        <w:rPr>
          <w:i/>
          <w:iCs/>
        </w:rPr>
        <w:t>vacated and remanded</w:t>
      </w:r>
      <w:r w:rsidR="002626DF">
        <w:t xml:space="preserve"> (9</w:t>
      </w:r>
      <w:r w:rsidRPr="0005126E" w:rsidR="002626DF">
        <w:rPr>
          <w:vertAlign w:val="superscript"/>
        </w:rPr>
        <w:t>th</w:t>
      </w:r>
      <w:r w:rsidR="002626DF">
        <w:t xml:space="preserve"> Cir. 2021) 20 F.4</w:t>
      </w:r>
      <w:r w:rsidRPr="0005126E" w:rsidR="002626DF">
        <w:rPr>
          <w:vertAlign w:val="superscript"/>
        </w:rPr>
        <w:t>th</w:t>
      </w:r>
      <w:r w:rsidR="002626DF">
        <w:t xml:space="preserve"> 1231 and quotes the following language: </w:t>
      </w:r>
      <w:r w:rsidR="001457B0">
        <w:t xml:space="preserve"> </w:t>
      </w:r>
      <w:r w:rsidR="00507429">
        <w:t>“Information need not be complex, novel or outside the understanding of a layperson to constitute a trade secret.” But that quote was from the context of whether a trade secret claim could be established without resorting to expert testimony:</w:t>
      </w:r>
    </w:p>
    <w:p w:rsidR="00507429" w:rsidP="001457B0" w:rsidRDefault="00507429" w14:paraId="4E947D02" w14:textId="161E980B">
      <w:pPr>
        <w:pStyle w:val="BlockQuote"/>
      </w:pPr>
      <w:r w:rsidRPr="00507429">
        <w:t>Initially, the court must dispel the notion that a plaintiff can never prove ownership of a trade secret without expert testimony. Information need not be complex, novel or outside the understanding of a layperson to constitute a trade secret.</w:t>
      </w:r>
    </w:p>
    <w:p w:rsidR="00507429" w:rsidP="0005126E" w:rsidRDefault="00507429" w14:paraId="2EBB9465" w14:textId="0DAB42E0">
      <w:pPr>
        <w:pStyle w:val="Standard"/>
        <w:ind w:firstLine="0"/>
      </w:pPr>
      <w:r>
        <w:t>Thus</w:t>
      </w:r>
      <w:r w:rsidR="00B435C8">
        <w:t>,</w:t>
      </w:r>
      <w:r>
        <w:t xml:space="preserve"> the </w:t>
      </w:r>
      <w:r w:rsidR="00B435C8">
        <w:t>C</w:t>
      </w:r>
      <w:r>
        <w:t xml:space="preserve">ourt </w:t>
      </w:r>
      <w:r w:rsidR="00B435C8">
        <w:t>did not find that uniqueness or novelty was not an element of a trade secret claim.</w:t>
      </w:r>
    </w:p>
    <w:p w:rsidR="00B435C8" w:rsidP="00D22394" w:rsidRDefault="00D22394" w14:paraId="28DBA73B" w14:textId="5C48E85F">
      <w:pPr>
        <w:pStyle w:val="Standard"/>
      </w:pPr>
      <w:r>
        <w:t xml:space="preserve">Finally, we reject Lyft’s suggestion that the decision be sent back to the assigned ALJ with the instruction to </w:t>
      </w:r>
      <w:r w:rsidR="00FF3F48">
        <w:t>consider</w:t>
      </w:r>
      <w:r>
        <w:t xml:space="preserve"> the balance of Lyft’s evidence on its trade secret claim. </w:t>
      </w:r>
      <w:r w:rsidR="001457B0">
        <w:t xml:space="preserve"> </w:t>
      </w:r>
      <w:r w:rsidR="006611BC">
        <w:t>As</w:t>
      </w:r>
      <w:r>
        <w:t xml:space="preserve"> this decision has considered the balance of Lyft’s evidence, it is not necessary for the assigned ALJ to duplicate the work this Commission has already performed.</w:t>
      </w:r>
    </w:p>
    <w:p w:rsidRPr="0005126E" w:rsidR="007D203A" w:rsidP="00D22394" w:rsidRDefault="007D203A" w14:paraId="2422096A" w14:textId="6360AF4C">
      <w:pPr>
        <w:pStyle w:val="Standard"/>
        <w:rPr>
          <w:b/>
          <w:bCs/>
        </w:rPr>
      </w:pPr>
      <w:r w:rsidRPr="0005126E">
        <w:rPr>
          <w:b/>
          <w:bCs/>
        </w:rPr>
        <w:t>Trip Data</w:t>
      </w:r>
      <w:r w:rsidR="0005097A">
        <w:rPr>
          <w:b/>
          <w:bCs/>
        </w:rPr>
        <w:t>, Secrecy,</w:t>
      </w:r>
      <w:r w:rsidRPr="0005126E">
        <w:rPr>
          <w:b/>
          <w:bCs/>
        </w:rPr>
        <w:t xml:space="preserve"> and Independent Value</w:t>
      </w:r>
    </w:p>
    <w:p w:rsidR="007D203A" w:rsidP="00D22394" w:rsidRDefault="009312AA" w14:paraId="441E8FDA" w14:textId="46464DC9">
      <w:pPr>
        <w:pStyle w:val="Standard"/>
      </w:pPr>
      <w:r>
        <w:t xml:space="preserve">Lyft asks that the entirety of Section 4.2 of this decision be stricken because </w:t>
      </w:r>
      <w:r w:rsidR="009B7655">
        <w:t>the legal rationale is, in Lyft’s view,</w:t>
      </w:r>
      <w:r>
        <w:t xml:space="preserve"> legally flawed. </w:t>
      </w:r>
      <w:r w:rsidR="00FF3F48">
        <w:t xml:space="preserve">Lyft challenges our determination that to establish if </w:t>
      </w:r>
      <w:r w:rsidR="00712C52">
        <w:t>t</w:t>
      </w:r>
      <w:r w:rsidR="00FF3F48">
        <w:t xml:space="preserve">rip </w:t>
      </w:r>
      <w:r w:rsidR="00712C52">
        <w:t>d</w:t>
      </w:r>
      <w:r w:rsidR="00FF3F48">
        <w:t xml:space="preserve">ata has independent value, the fact finder must consider if the claimant established the amount of time, money, or labor that was expended in developing the trip data, as well as the amount of time, money, or labor that would be saved by a competitor who used the trip data. Lyft argues that Civil Jury Instruction 4412 and </w:t>
      </w:r>
      <w:r w:rsidRPr="0005126E" w:rsidR="00FF3F48">
        <w:rPr>
          <w:i/>
          <w:iCs/>
        </w:rPr>
        <w:t>Yield Dynamics</w:t>
      </w:r>
      <w:r w:rsidR="00FF3F48">
        <w:t xml:space="preserve"> only state that these showings are optional rather than mandatory</w:t>
      </w:r>
      <w:r>
        <w:t xml:space="preserve"> and that the failure to </w:t>
      </w:r>
      <w:r>
        <w:lastRenderedPageBreak/>
        <w:t>establish the economic component is not issue determinative</w:t>
      </w:r>
      <w:r w:rsidR="009B7655">
        <w:t xml:space="preserve"> of a valid trade secret claim</w:t>
      </w:r>
      <w:r>
        <w:t xml:space="preserve">. </w:t>
      </w:r>
    </w:p>
    <w:p w:rsidR="00B518B6" w:rsidP="0005126E" w:rsidRDefault="00B518B6" w14:paraId="0C75BE44" w14:textId="3310A8DE">
      <w:pPr>
        <w:pStyle w:val="Standard"/>
      </w:pPr>
      <w:r>
        <w:t>We reject Lyft’s request</w:t>
      </w:r>
      <w:r w:rsidR="002033F6">
        <w:t xml:space="preserve"> as being too myopic</w:t>
      </w:r>
      <w:r>
        <w:t>. As we stated above in Section</w:t>
      </w:r>
      <w:r w:rsidR="001457B0">
        <w:t> </w:t>
      </w:r>
      <w:r>
        <w:t>4.2, the first requirement in establishing a trade secret’s independent value is the secrecy attendant to the trade secret, a proposition</w:t>
      </w:r>
      <w:r w:rsidR="00F43A39">
        <w:t xml:space="preserve"> the courts have made clear and </w:t>
      </w:r>
      <w:r>
        <w:t>that Lyft does not challenge</w:t>
      </w:r>
      <w:r w:rsidR="00656C87">
        <w:t>.</w:t>
      </w:r>
      <w:r w:rsidR="00F43A39">
        <w:rPr>
          <w:rStyle w:val="FootnoteReference"/>
        </w:rPr>
        <w:footnoteReference w:id="136"/>
      </w:r>
      <w:r w:rsidR="00656C87">
        <w:t xml:space="preserve"> </w:t>
      </w:r>
      <w:r w:rsidR="001457B0">
        <w:t xml:space="preserve"> </w:t>
      </w:r>
      <w:r w:rsidR="00656C87">
        <w:t xml:space="preserve">In fact, Section 4.2 of this decision explained why Lyft’s evidence failed to demonstrate that the Annual Report data “is sufficiently valuable and secret to afford an actual or potential economic advantage over others,” as </w:t>
      </w:r>
      <w:r w:rsidRPr="0005126E" w:rsidR="00656C87">
        <w:rPr>
          <w:i/>
          <w:iCs/>
        </w:rPr>
        <w:t>Yield Dynamics</w:t>
      </w:r>
      <w:r w:rsidR="00656C87">
        <w:t xml:space="preserve"> requires.</w:t>
      </w:r>
      <w:r w:rsidR="00656C87">
        <w:rPr>
          <w:rStyle w:val="FootnoteReference"/>
        </w:rPr>
        <w:footnoteReference w:id="137"/>
      </w:r>
      <w:r w:rsidR="00656C87">
        <w:t xml:space="preserve"> </w:t>
      </w:r>
      <w:r w:rsidR="001457B0">
        <w:t xml:space="preserve"> </w:t>
      </w:r>
      <w:r w:rsidR="00656C87">
        <w:t>Thus</w:t>
      </w:r>
      <w:r w:rsidR="00742A5D">
        <w:t>,</w:t>
      </w:r>
      <w:r w:rsidR="00656C87">
        <w:t xml:space="preserve"> even if we were to agree with Lyft that the failure to quantify the economic value of the Annual Report data was not fatal to the trade secrecy claim</w:t>
      </w:r>
      <w:r w:rsidR="00742A5D">
        <w:t xml:space="preserve"> (and we will modify Section</w:t>
      </w:r>
      <w:r w:rsidR="001457B0">
        <w:t> </w:t>
      </w:r>
      <w:r w:rsidR="00742A5D">
        <w:t xml:space="preserve">4.2 to reflect that acknowledgement), </w:t>
      </w:r>
      <w:r w:rsidR="00656C87">
        <w:t xml:space="preserve">we have also found that Lyft failed to </w:t>
      </w:r>
      <w:r w:rsidR="00742A5D">
        <w:t>establish</w:t>
      </w:r>
      <w:r w:rsidR="00656C87">
        <w:t xml:space="preserve"> the content of the secret and its impact on business operations</w:t>
      </w:r>
      <w:r w:rsidR="00F43A39">
        <w:t>, as well as the value the information would have to others who did not possess it</w:t>
      </w:r>
      <w:r w:rsidR="00656C87">
        <w:t xml:space="preserve">. </w:t>
      </w:r>
    </w:p>
    <w:p w:rsidR="00D22394" w:rsidP="001457B0" w:rsidRDefault="0005097A" w14:paraId="20AB312C" w14:textId="1EF08FEA">
      <w:pPr>
        <w:pStyle w:val="Standard"/>
      </w:pPr>
      <w:r>
        <w:t xml:space="preserve">Lyft’s attempt to fault our conclusion that Lyft did not establish the independent value of its </w:t>
      </w:r>
      <w:r w:rsidR="00712C52">
        <w:t>t</w:t>
      </w:r>
      <w:r>
        <w:t xml:space="preserve">rip </w:t>
      </w:r>
      <w:r w:rsidR="00712C52">
        <w:t>d</w:t>
      </w:r>
      <w:r>
        <w:t xml:space="preserve">ata in the Annual Report is unpersuasive. </w:t>
      </w:r>
      <w:r w:rsidR="001457B0">
        <w:t xml:space="preserve"> </w:t>
      </w:r>
      <w:r>
        <w:t>When we evalu</w:t>
      </w:r>
      <w:r w:rsidR="001B38F2">
        <w:t>at</w:t>
      </w:r>
      <w:r>
        <w:t xml:space="preserve">ed Lyft’s evidence, we observed that there could be other reasons why passengers chose to use Lyft that might have nothing to do with Lyft’s passenger promotions. </w:t>
      </w:r>
      <w:r w:rsidR="001457B0">
        <w:t xml:space="preserve"> </w:t>
      </w:r>
      <w:r>
        <w:t>Lyft characterizes our reasoning as unfounded and unwarranted speculation, but the fact is the Commission</w:t>
      </w:r>
      <w:r w:rsidR="001B38F2">
        <w:t>, as the trier of fact,</w:t>
      </w:r>
      <w:r>
        <w:t xml:space="preserve"> is entitled to draw inferences from the evidence that Lyft has asked us to consider</w:t>
      </w:r>
      <w:r w:rsidR="001B38F2">
        <w:t xml:space="preserve"> and weigh those inferences against the conclusions Lyft wants the Commission to reach</w:t>
      </w:r>
      <w:r>
        <w:t xml:space="preserve">. </w:t>
      </w:r>
      <w:r w:rsidR="001457B0">
        <w:t xml:space="preserve"> </w:t>
      </w:r>
      <w:r>
        <w:t xml:space="preserve">That the </w:t>
      </w:r>
      <w:r>
        <w:lastRenderedPageBreak/>
        <w:t xml:space="preserve">inferences </w:t>
      </w:r>
      <w:r w:rsidR="00320DFF">
        <w:t xml:space="preserve">drawn conflict with, and contradict, Lyft’s purported conclusion that the Trip Data has independent value is not a legal infirmity. </w:t>
      </w:r>
      <w:r w:rsidR="009C6947">
        <w:t xml:space="preserve"> </w:t>
      </w:r>
      <w:r w:rsidR="00320DFF">
        <w:t>As the fact finder, the Commission is entitled to draw inferences from the evidence presented</w:t>
      </w:r>
      <w:r w:rsidR="003C3590">
        <w:t>.</w:t>
      </w:r>
      <w:r w:rsidR="003C3590">
        <w:rPr>
          <w:rStyle w:val="FootnoteReference"/>
        </w:rPr>
        <w:footnoteReference w:id="138"/>
      </w:r>
    </w:p>
    <w:p w:rsidR="00063171" w:rsidP="00BD5E78" w:rsidRDefault="00E46392" w14:paraId="51A6FB56" w14:textId="2AA86354">
      <w:pPr>
        <w:pStyle w:val="Standard"/>
      </w:pPr>
      <w:r>
        <w:t>Contrary to Lyft’s implicit suggestion, the Commission has not made findings of fact based on allegedly unfounded and unwarranted speculation. Instead, w</w:t>
      </w:r>
      <w:r w:rsidR="00ED727F">
        <w:t xml:space="preserve">hat the Commission has done in evaluating Lyft’s testimony is no different than what a trier of fact does in a civil proceeding when deciding to accept or reject evidence that has been offered at trial. </w:t>
      </w:r>
      <w:r w:rsidR="009C6947">
        <w:t xml:space="preserve"> </w:t>
      </w:r>
      <w:r w:rsidR="00ED727F">
        <w:t>Be it testimony from a lay witness or expert witness, the trier of fact has the authority and duty to evaluate the evidence and give whatever weight that is appropriate,</w:t>
      </w:r>
      <w:r w:rsidR="00ED727F">
        <w:rPr>
          <w:rStyle w:val="FootnoteReference"/>
        </w:rPr>
        <w:footnoteReference w:id="139"/>
      </w:r>
      <w:r w:rsidR="00ED727F">
        <w:t xml:space="preserve"> question its credibility,</w:t>
      </w:r>
      <w:r w:rsidR="00C5581D">
        <w:rPr>
          <w:rStyle w:val="FootnoteReference"/>
        </w:rPr>
        <w:footnoteReference w:id="140"/>
      </w:r>
      <w:r w:rsidR="00ED727F">
        <w:t xml:space="preserve"> </w:t>
      </w:r>
      <w:r w:rsidR="007B522D">
        <w:t>chose not to accept it,</w:t>
      </w:r>
      <w:r w:rsidR="007B522D">
        <w:rPr>
          <w:rStyle w:val="FootnoteReference"/>
        </w:rPr>
        <w:footnoteReference w:id="141"/>
      </w:r>
      <w:r w:rsidR="007B522D">
        <w:t xml:space="preserve"> </w:t>
      </w:r>
      <w:r w:rsidR="00ED727F">
        <w:t xml:space="preserve">or decide if it </w:t>
      </w:r>
      <w:r w:rsidR="00BD5E78">
        <w:t xml:space="preserve">is </w:t>
      </w:r>
      <w:r w:rsidR="00ED727F">
        <w:t xml:space="preserve">conclusory in nature and of </w:t>
      </w:r>
      <w:r w:rsidR="00ED727F">
        <w:lastRenderedPageBreak/>
        <w:t>no aid in resolving the ultimate questions at issue.</w:t>
      </w:r>
      <w:r>
        <w:rPr>
          <w:rStyle w:val="FootnoteReference"/>
        </w:rPr>
        <w:footnoteReference w:id="142"/>
      </w:r>
      <w:r>
        <w:t xml:space="preserve"> </w:t>
      </w:r>
      <w:r w:rsidR="009C6947">
        <w:t xml:space="preserve"> </w:t>
      </w:r>
      <w:r>
        <w:t xml:space="preserve">As such, in finding that </w:t>
      </w:r>
      <w:r w:rsidR="006611BC">
        <w:t xml:space="preserve">there </w:t>
      </w:r>
      <w:r>
        <w:t>could be other reasons of inferences to be drawn from Lyft’s evidence, the Commission is fulfilling its duty as the trier of fact by explaining why it does not believe the conclusions that Lyft has drawn through its witness testimony.</w:t>
      </w:r>
    </w:p>
    <w:p w:rsidR="007E1E35" w:rsidP="00BD5E78" w:rsidRDefault="007E1E35" w14:paraId="6EDD9C2F" w14:textId="0D3FB2A6">
      <w:pPr>
        <w:pStyle w:val="Standard"/>
      </w:pPr>
      <w:r>
        <w:t>Lyft fares no better with its assertion that the decision errs in finding that no other TNC would want access to Lyft</w:t>
      </w:r>
      <w:r w:rsidR="003F59FC">
        <w:t>’</w:t>
      </w:r>
      <w:r>
        <w:t>s Trip Data.</w:t>
      </w:r>
      <w:r w:rsidR="003F59FC">
        <w:t xml:space="preserve"> </w:t>
      </w:r>
      <w:r w:rsidR="009C6947">
        <w:t xml:space="preserve"> </w:t>
      </w:r>
      <w:r w:rsidR="003F59FC">
        <w:t>What we found was that Lyft failed to “provide any credible rationale that Lyft’s competitors could or would use Lyft’s trip data to Lyft’s disadvantage.”</w:t>
      </w:r>
      <w:r w:rsidR="00030A81">
        <w:rPr>
          <w:rStyle w:val="FootnoteReference"/>
        </w:rPr>
        <w:footnoteReference w:id="143"/>
      </w:r>
      <w:r w:rsidR="003F59FC">
        <w:t xml:space="preserve"> </w:t>
      </w:r>
      <w:r w:rsidR="009C6947">
        <w:t xml:space="preserve"> </w:t>
      </w:r>
      <w:r w:rsidR="00F40F9B">
        <w:t>In claiming</w:t>
      </w:r>
      <w:r w:rsidR="003F59FC">
        <w:t xml:space="preserve"> that our conclusion </w:t>
      </w:r>
      <w:r w:rsidR="00F40F9B">
        <w:t>“contradicts Collins’ declaration and lacks evidentiary support,” Lyft is confusi</w:t>
      </w:r>
      <w:r w:rsidR="00E36A9E">
        <w:t>ng</w:t>
      </w:r>
      <w:r w:rsidR="00F40F9B">
        <w:t xml:space="preserve"> its duty to substantiate its claim with the Commission’s duty to evaluate Lyft’s evidence. </w:t>
      </w:r>
      <w:r w:rsidR="009C6947">
        <w:t xml:space="preserve"> </w:t>
      </w:r>
      <w:r w:rsidR="00F40F9B">
        <w:t>The Commission found Lyft’s evidence to be insufficient</w:t>
      </w:r>
      <w:r w:rsidR="00F331D2">
        <w:t xml:space="preserve"> to satisfy its burden of proof</w:t>
      </w:r>
      <w:r w:rsidR="00F40F9B">
        <w:t xml:space="preserve">, and Lyft does not advance its cause by simply reasserting its evidentiary showing that the Commission has not accepted. </w:t>
      </w:r>
    </w:p>
    <w:p w:rsidR="005C22A9" w:rsidP="00BD5E78" w:rsidRDefault="005C22A9" w14:paraId="4E31191D" w14:textId="65F2892C">
      <w:pPr>
        <w:pStyle w:val="Standard"/>
      </w:pPr>
      <w:r>
        <w:t>Lyft next claims that we misapplied the law of trade secrets, “as trade secrets must merely have value; they need not have value to a competitor.”</w:t>
      </w:r>
      <w:r>
        <w:rPr>
          <w:rStyle w:val="FootnoteReference"/>
        </w:rPr>
        <w:footnoteReference w:id="144"/>
      </w:r>
      <w:r>
        <w:t xml:space="preserve"> </w:t>
      </w:r>
      <w:r w:rsidR="009C6947">
        <w:t xml:space="preserve"> </w:t>
      </w:r>
      <w:r>
        <w:t xml:space="preserve">In support of this argument, Lyft cites to </w:t>
      </w:r>
      <w:r w:rsidRPr="0005126E">
        <w:rPr>
          <w:i/>
          <w:iCs/>
        </w:rPr>
        <w:t>Religious Technology Center v. Netcom On-Line Com</w:t>
      </w:r>
      <w:r>
        <w:t xml:space="preserve"> (N.D. Cal 1995) 923 F.Supp. 1231, 1253 for the proposition that the owner of secret information need not have current competitors for information to be trade secret. </w:t>
      </w:r>
      <w:r w:rsidR="009C6947">
        <w:t xml:space="preserve"> </w:t>
      </w:r>
      <w:r w:rsidR="008E5ED4">
        <w:t xml:space="preserve">Even though plaintiff did not have competitors, the Court found that the possibility of potential competition is sufficient is to show that the </w:t>
      </w:r>
      <w:r w:rsidR="008E5ED4">
        <w:lastRenderedPageBreak/>
        <w:t xml:space="preserve">information sought to be protected has value. </w:t>
      </w:r>
      <w:r w:rsidR="009C6947">
        <w:t xml:space="preserve"> </w:t>
      </w:r>
      <w:r w:rsidR="008E5ED4">
        <w:t xml:space="preserve">The potential for competition could be shown </w:t>
      </w:r>
      <w:r w:rsidR="00595AD1">
        <w:t>“</w:t>
      </w:r>
      <w:r w:rsidR="008E5ED4">
        <w:t>by</w:t>
      </w:r>
      <w:r w:rsidRPr="00595AD1" w:rsidR="00595AD1">
        <w:rPr>
          <w:rFonts w:ascii="Open Sans" w:hAnsi="Open Sans" w:cs="Open Sans"/>
          <w:color w:val="000000"/>
          <w:shd w:val="clear" w:color="auto" w:fill="FFFFFF"/>
        </w:rPr>
        <w:t xml:space="preserve"> </w:t>
      </w:r>
      <w:r w:rsidRPr="00595AD1" w:rsidR="00595AD1">
        <w:t>direct evidence of the impact of the information on the business or by circumstantial evidence of the resources invested in producing the information, the precautions taken to protect its secrecy, and the willingness of others to pay for its access.</w:t>
      </w:r>
      <w:r w:rsidR="00595AD1">
        <w:t xml:space="preserve">” </w:t>
      </w:r>
      <w:r w:rsidRPr="000C3121" w:rsidR="00595AD1">
        <w:rPr>
          <w:i/>
          <w:iCs/>
        </w:rPr>
        <w:t>Religious Technology</w:t>
      </w:r>
      <w:r w:rsidRPr="000C3121" w:rsidR="00595AD1">
        <w:t xml:space="preserve"> pointed</w:t>
      </w:r>
      <w:r w:rsidR="00595AD1">
        <w:t xml:space="preserve"> to the following instances of former church members taking the technology and using </w:t>
      </w:r>
      <w:r w:rsidR="006F7FC6">
        <w:t xml:space="preserve">it </w:t>
      </w:r>
      <w:r w:rsidR="00595AD1">
        <w:t>for their own business as proof that the information had value for trade secret purposes:</w:t>
      </w:r>
    </w:p>
    <w:p w:rsidR="00595AD1" w:rsidP="009C6947" w:rsidRDefault="00595AD1" w14:paraId="683616A1" w14:textId="72EE9810">
      <w:pPr>
        <w:pStyle w:val="BlockQuote"/>
      </w:pPr>
      <w:r w:rsidRPr="00595AD1">
        <w:t>The several past instances of breakaway Scientology-like groups exploiting RTC's Advanced Technology works for their profit constitute reasonable circumstantial evidence that these works give the Church a competitive advantage. </w:t>
      </w:r>
      <w:r w:rsidRPr="00595AD1">
        <w:rPr>
          <w:i/>
          <w:iCs/>
        </w:rPr>
        <w:t>See</w:t>
      </w:r>
      <w:r w:rsidRPr="00595AD1">
        <w:t> McShane Depo. at 93-94 (citing several former Church members who started rival factions); </w:t>
      </w:r>
      <w:r w:rsidRPr="00595AD1">
        <w:rPr>
          <w:i/>
          <w:iCs/>
        </w:rPr>
        <w:t>Vien,</w:t>
      </w:r>
      <w:r w:rsidRPr="00595AD1">
        <w:t> 827 F. Supp. at 634 (describing a rival faction); </w:t>
      </w:r>
      <w:r w:rsidRPr="00595AD1">
        <w:rPr>
          <w:i/>
          <w:iCs/>
        </w:rPr>
        <w:t>Wollersheim,</w:t>
      </w:r>
      <w:r w:rsidRPr="00595AD1">
        <w:t> 796 F.2d at 1078 (same).</w:t>
      </w:r>
    </w:p>
    <w:p w:rsidR="00EF3517" w:rsidP="00EF3517" w:rsidRDefault="00EF3517" w14:paraId="464C8810" w14:textId="248554A6">
      <w:pPr>
        <w:pStyle w:val="Standard"/>
        <w:ind w:firstLine="0"/>
      </w:pPr>
      <w:r>
        <w:t xml:space="preserve">But the Collins Declaration does not cite to any instances like those in </w:t>
      </w:r>
      <w:r w:rsidRPr="0005126E">
        <w:rPr>
          <w:i/>
          <w:iCs/>
        </w:rPr>
        <w:t xml:space="preserve">Religious Technology Center </w:t>
      </w:r>
      <w:r w:rsidRPr="00EF3517">
        <w:t xml:space="preserve">where former Lyft employees took the </w:t>
      </w:r>
      <w:r w:rsidR="006F7FC6">
        <w:t>t</w:t>
      </w:r>
      <w:r w:rsidRPr="00EF3517">
        <w:t xml:space="preserve">rip </w:t>
      </w:r>
      <w:r w:rsidR="006F7FC6">
        <w:t>d</w:t>
      </w:r>
      <w:r w:rsidRPr="00EF3517">
        <w:t>ata in the Annual Reports for</w:t>
      </w:r>
      <w:r>
        <w:t xml:space="preserve"> their own profit. </w:t>
      </w:r>
      <w:r w:rsidR="009C6947">
        <w:t xml:space="preserve"> </w:t>
      </w:r>
      <w:r>
        <w:t xml:space="preserve">As such, </w:t>
      </w:r>
      <w:r w:rsidRPr="0005126E">
        <w:rPr>
          <w:i/>
          <w:iCs/>
        </w:rPr>
        <w:t>Religious Technology Center</w:t>
      </w:r>
      <w:r>
        <w:t xml:space="preserve"> is factually distinguishable from the facts that form the basis of our decision to deny Lyft’s request for trade secret protection. </w:t>
      </w:r>
    </w:p>
    <w:p w:rsidR="00EF3517" w:rsidP="009C6947" w:rsidRDefault="00EF3517" w14:paraId="049E74CE" w14:textId="2ED4A1F2">
      <w:pPr>
        <w:pStyle w:val="Standard"/>
      </w:pPr>
      <w:r>
        <w:t xml:space="preserve">Lyft also challenges our decision not to consider certain secondary evidence </w:t>
      </w:r>
      <w:r w:rsidR="00C67B48">
        <w:t xml:space="preserve">on the grounds that </w:t>
      </w:r>
      <w:r w:rsidR="007E1E42">
        <w:t>the studies that Lyft has relied upon are</w:t>
      </w:r>
      <w:r w:rsidR="00C67B48">
        <w:t xml:space="preserve"> unauthenticated hearsay</w:t>
      </w:r>
      <w:r w:rsidR="007E1E42">
        <w:t xml:space="preserve">. </w:t>
      </w:r>
      <w:r w:rsidR="009C6947">
        <w:t xml:space="preserve"> </w:t>
      </w:r>
      <w:r w:rsidR="007E1E42">
        <w:t xml:space="preserve">Lyft </w:t>
      </w:r>
      <w:r w:rsidR="002D64DA">
        <w:t xml:space="preserve">attempts to </w:t>
      </w:r>
      <w:r w:rsidR="007E1E42">
        <w:t>correct</w:t>
      </w:r>
      <w:r w:rsidR="002D64DA">
        <w:t xml:space="preserve"> the record by</w:t>
      </w:r>
      <w:r w:rsidR="007E1E42">
        <w:t xml:space="preserve"> stating it was not the Collins Declaration but the Alix Rosenthal Declaration</w:t>
      </w:r>
      <w:r w:rsidR="002D64DA">
        <w:t xml:space="preserve"> (</w:t>
      </w:r>
      <w:r w:rsidR="007E1E42">
        <w:t>which was submitted with Lyft’s 2021 Motion</w:t>
      </w:r>
      <w:r w:rsidR="002D64DA">
        <w:t>)</w:t>
      </w:r>
      <w:r w:rsidR="007E1E42">
        <w:t xml:space="preserve">, </w:t>
      </w:r>
      <w:r w:rsidR="002D64DA">
        <w:t>that</w:t>
      </w:r>
      <w:r w:rsidR="007E1E42">
        <w:t xml:space="preserve"> allegedly attested to the emergence of an active marketplace for the licensing of vehicle-related mobility data.</w:t>
      </w:r>
      <w:r w:rsidR="0007208E">
        <w:t xml:space="preserve"> </w:t>
      </w:r>
      <w:r w:rsidR="009C6947">
        <w:t xml:space="preserve"> </w:t>
      </w:r>
      <w:r w:rsidR="0007208E">
        <w:t xml:space="preserve">Nevertheless, the assertion was made as part of Lyft’s </w:t>
      </w:r>
      <w:r w:rsidRPr="0005126E" w:rsidR="0007208E">
        <w:rPr>
          <w:i/>
          <w:iCs/>
        </w:rPr>
        <w:t xml:space="preserve">Appeal </w:t>
      </w:r>
      <w:r w:rsidR="0007208E">
        <w:t xml:space="preserve">from the 2020 Confidentiality </w:t>
      </w:r>
      <w:r w:rsidR="0007208E">
        <w:lastRenderedPageBreak/>
        <w:t>Ruling,</w:t>
      </w:r>
      <w:r w:rsidR="0061287F">
        <w:rPr>
          <w:rStyle w:val="FootnoteReference"/>
        </w:rPr>
        <w:footnoteReference w:id="145"/>
      </w:r>
      <w:r w:rsidR="0007208E">
        <w:t xml:space="preserve"> and Lyft had only supplied the Collins Declaration in support of Lyft’s Motion. </w:t>
      </w:r>
      <w:r w:rsidR="009C6947">
        <w:t xml:space="preserve"> </w:t>
      </w:r>
      <w:r w:rsidR="0007208E">
        <w:t>Thus, it was appropriate to cite to the Collins Declaration as being legally insufficient to authenticate these secondary sources.</w:t>
      </w:r>
      <w:r w:rsidR="0007208E">
        <w:rPr>
          <w:rStyle w:val="FootnoteReference"/>
        </w:rPr>
        <w:footnoteReference w:id="146"/>
      </w:r>
    </w:p>
    <w:p w:rsidR="007E1E42" w:rsidP="007E1E42" w:rsidRDefault="00AC0185" w14:paraId="6FB7AA68" w14:textId="0A6BD84E">
      <w:pPr>
        <w:pStyle w:val="Standard"/>
      </w:pPr>
      <w:r>
        <w:t xml:space="preserve">Lyft cannot hope to bootstrap itself around its hearsay problem by trying to elevate either the Collins or Rosenthal </w:t>
      </w:r>
      <w:r w:rsidR="006F7FC6">
        <w:t xml:space="preserve">declarants </w:t>
      </w:r>
      <w:r>
        <w:t>as experts who can rely on hearsay evidence to inform their opinions.</w:t>
      </w:r>
      <w:r w:rsidR="007E6AAE">
        <w:t xml:space="preserve"> </w:t>
      </w:r>
      <w:r w:rsidR="009C6947">
        <w:t xml:space="preserve"> </w:t>
      </w:r>
      <w:r w:rsidR="007E6AAE">
        <w:t>Evidence Code §</w:t>
      </w:r>
      <w:r w:rsidR="009C6947">
        <w:t> </w:t>
      </w:r>
      <w:r w:rsidR="00B206D0">
        <w:t xml:space="preserve">720 </w:t>
      </w:r>
      <w:r w:rsidR="007E6AAE">
        <w:t>sets</w:t>
      </w:r>
      <w:r w:rsidR="006F7FC6">
        <w:t xml:space="preserve"> forth</w:t>
      </w:r>
      <w:r w:rsidR="007E6AAE">
        <w:t xml:space="preserve"> the ground rules for a witness to qualify as an expert:</w:t>
      </w:r>
    </w:p>
    <w:p w:rsidRPr="007E6AAE" w:rsidR="007E6AAE" w:rsidP="009C6947" w:rsidRDefault="007E6AAE" w14:paraId="2BB922AA" w14:textId="063E214E">
      <w:pPr>
        <w:pStyle w:val="Standard"/>
        <w:numPr>
          <w:ilvl w:val="0"/>
          <w:numId w:val="25"/>
        </w:numPr>
        <w:spacing w:after="120" w:line="240" w:lineRule="auto"/>
        <w:ind w:left="1170" w:right="1440" w:hanging="450"/>
      </w:pPr>
      <w:r w:rsidRPr="007E6AAE">
        <w:t>A person is qualified to testify as an expert if he has</w:t>
      </w:r>
      <w:r w:rsidR="009C6947">
        <w:t xml:space="preserve"> </w:t>
      </w:r>
      <w:r w:rsidRPr="007E6AAE">
        <w:t>special knowledge, skill, experience, training, or education</w:t>
      </w:r>
      <w:r w:rsidR="009C6947">
        <w:t xml:space="preserve"> </w:t>
      </w:r>
      <w:r w:rsidRPr="007E6AAE">
        <w:t>sufficient to qualify him as an expert on the subject to which his</w:t>
      </w:r>
      <w:r w:rsidR="009C6947">
        <w:t xml:space="preserve"> </w:t>
      </w:r>
      <w:r w:rsidRPr="007E6AAE">
        <w:t>testimony relates. Against the objection of a party, such special</w:t>
      </w:r>
      <w:r w:rsidR="009C6947">
        <w:t xml:space="preserve"> </w:t>
      </w:r>
      <w:r w:rsidRPr="007E6AAE">
        <w:t>knowledge, skill, experience, training, or education must be shown</w:t>
      </w:r>
      <w:r w:rsidR="009C6947">
        <w:t xml:space="preserve"> </w:t>
      </w:r>
      <w:r w:rsidRPr="007E6AAE">
        <w:t>before the witness may testify as an expert.</w:t>
      </w:r>
    </w:p>
    <w:p w:rsidRPr="007E6AAE" w:rsidR="007E6AAE" w:rsidP="009C6947" w:rsidRDefault="007E6AAE" w14:paraId="3E968F1E" w14:textId="036D326C">
      <w:pPr>
        <w:pStyle w:val="Standard"/>
        <w:numPr>
          <w:ilvl w:val="0"/>
          <w:numId w:val="25"/>
        </w:numPr>
        <w:spacing w:after="120" w:line="240" w:lineRule="auto"/>
        <w:ind w:left="1170" w:right="1440" w:hanging="450"/>
      </w:pPr>
      <w:r w:rsidRPr="007E6AAE">
        <w:t>A witness' special knowledge, skill, experience, training, or</w:t>
      </w:r>
      <w:r w:rsidR="009C6947">
        <w:t xml:space="preserve"> </w:t>
      </w:r>
      <w:r w:rsidRPr="007E6AAE">
        <w:t>education may be shown by any otherwise admissible evidence,</w:t>
      </w:r>
      <w:r w:rsidR="009C6947">
        <w:t xml:space="preserve"> </w:t>
      </w:r>
      <w:r w:rsidRPr="007E6AAE">
        <w:t>including his own testimony.</w:t>
      </w:r>
    </w:p>
    <w:p w:rsidR="00877E70" w:rsidP="00BE7D53" w:rsidRDefault="007E6AAE" w14:paraId="0FEA8A13" w14:textId="35E03C67">
      <w:pPr>
        <w:pStyle w:val="Standard"/>
        <w:ind w:firstLine="0"/>
      </w:pPr>
      <w:r>
        <w:t xml:space="preserve">Lyft never sought to qualify </w:t>
      </w:r>
      <w:r w:rsidR="00B206D0">
        <w:t xml:space="preserve">Brett Collins as an expert under this standard. </w:t>
      </w:r>
      <w:r w:rsidR="009C6947">
        <w:t xml:space="preserve"> </w:t>
      </w:r>
      <w:r w:rsidR="00B206D0">
        <w:t xml:space="preserve">The declarant is identified as being the Director of Regulatory Compliance since 2016 </w:t>
      </w:r>
      <w:r w:rsidR="00877E70">
        <w:t>who</w:t>
      </w:r>
      <w:r w:rsidR="00B206D0">
        <w:t xml:space="preserve"> is “familiar with Lyft’s operations, its data collection, storage, and analysis policies and practices, and the processes employed in preparing its Annual Report.”</w:t>
      </w:r>
      <w:r w:rsidR="00B206D0">
        <w:rPr>
          <w:rStyle w:val="FootnoteReference"/>
        </w:rPr>
        <w:footnoteReference w:id="147"/>
      </w:r>
      <w:r w:rsidR="00B206D0">
        <w:t xml:space="preserve"> </w:t>
      </w:r>
      <w:r w:rsidR="009C6947">
        <w:t xml:space="preserve"> </w:t>
      </w:r>
      <w:r w:rsidR="00877E70">
        <w:t xml:space="preserve">That attestation does not demonstrate that Collins has any “special knowledge, skill, experience, training, or education” that would qualify the </w:t>
      </w:r>
      <w:r w:rsidR="00877E70">
        <w:lastRenderedPageBreak/>
        <w:t>declarant to be an expert witness who could then opine based on hearsay sources.</w:t>
      </w:r>
      <w:r w:rsidR="000120A5">
        <w:rPr>
          <w:rStyle w:val="FootnoteReference"/>
        </w:rPr>
        <w:footnoteReference w:id="148"/>
      </w:r>
    </w:p>
    <w:p w:rsidRPr="0005126E" w:rsidR="00BE7D53" w:rsidP="00BE7D53" w:rsidRDefault="009C6947" w14:paraId="48041789" w14:textId="19075DD2">
      <w:pPr>
        <w:pStyle w:val="Standard"/>
        <w:ind w:firstLine="0"/>
        <w:rPr>
          <w:b/>
          <w:bCs/>
        </w:rPr>
      </w:pPr>
      <w:r>
        <w:tab/>
      </w:r>
      <w:r w:rsidRPr="0005126E" w:rsidR="00BE7D53">
        <w:rPr>
          <w:b/>
          <w:bCs/>
        </w:rPr>
        <w:t>Efforts to Ensure Secrecy of Trip Data</w:t>
      </w:r>
    </w:p>
    <w:p w:rsidR="00BE7D53" w:rsidP="009C6947" w:rsidRDefault="00BE7D53" w14:paraId="622F8884" w14:textId="791A3F65">
      <w:pPr>
        <w:pStyle w:val="Standard"/>
      </w:pPr>
      <w:r>
        <w:t xml:space="preserve">Lyft argues that the efforts it undertook to maintain the secrecy of the trip data are like the efforts that the Court found persuasive in </w:t>
      </w:r>
      <w:r w:rsidRPr="0005126E">
        <w:rPr>
          <w:i/>
          <w:iCs/>
        </w:rPr>
        <w:t>Religious Technology</w:t>
      </w:r>
      <w:r w:rsidR="00305826">
        <w:rPr>
          <w:i/>
          <w:iCs/>
        </w:rPr>
        <w:t>,</w:t>
      </w:r>
      <w:r>
        <w:rPr>
          <w:rStyle w:val="FootnoteReference"/>
        </w:rPr>
        <w:footnoteReference w:id="149"/>
      </w:r>
      <w:r>
        <w:t xml:space="preserve"> </w:t>
      </w:r>
      <w:r w:rsidR="00305826">
        <w:t>a</w:t>
      </w:r>
      <w:r>
        <w:t xml:space="preserve">nd that, as a result, the Commission erred in concluding that Lyft </w:t>
      </w:r>
      <w:r w:rsidR="00305826">
        <w:t>did</w:t>
      </w:r>
      <w:r>
        <w:t xml:space="preserve"> not take reasonable efforts to ensure trip data  secrecy. </w:t>
      </w:r>
      <w:r w:rsidR="009C6947">
        <w:t xml:space="preserve"> </w:t>
      </w:r>
      <w:r w:rsidR="00305826">
        <w:t>But Lyft cannot dispute that neither its drivers or passengers are no</w:t>
      </w:r>
      <w:r w:rsidR="00F0178C">
        <w:t>t</w:t>
      </w:r>
      <w:r w:rsidR="00305826">
        <w:t xml:space="preserve"> obligat</w:t>
      </w:r>
      <w:r w:rsidR="00F0178C">
        <w:t>ed</w:t>
      </w:r>
      <w:r w:rsidR="00305826">
        <w:t xml:space="preserve"> to maintain the secrecy of trip data that they have access to</w:t>
      </w:r>
      <w:r w:rsidR="00683DC9">
        <w:t xml:space="preserve"> regarding each individual passenger trip, a fact that distinguishes </w:t>
      </w:r>
      <w:r w:rsidRPr="0005126E" w:rsidR="00683DC9">
        <w:rPr>
          <w:i/>
          <w:iCs/>
        </w:rPr>
        <w:t>Religious Technology</w:t>
      </w:r>
      <w:r w:rsidR="00683DC9">
        <w:t xml:space="preserve"> and </w:t>
      </w:r>
      <w:r w:rsidRPr="0005126E" w:rsidR="00683DC9">
        <w:rPr>
          <w:i/>
          <w:iCs/>
        </w:rPr>
        <w:t>San Jose Construction</w:t>
      </w:r>
      <w:r w:rsidR="00683DC9">
        <w:t xml:space="preserve">. </w:t>
      </w:r>
      <w:r w:rsidR="009C6947">
        <w:t xml:space="preserve"> </w:t>
      </w:r>
      <w:r w:rsidR="00683DC9">
        <w:t>A driver who contracts to provide a passenger ride knows the starting destination address, name of the passenger, zip code, time of day of the ride, end destination, and ending zip code</w:t>
      </w:r>
      <w:r w:rsidR="00940F39">
        <w:t xml:space="preserve"> of every ride that driver provides</w:t>
      </w:r>
      <w:r w:rsidR="00683DC9">
        <w:t>.</w:t>
      </w:r>
      <w:r w:rsidR="00940F39">
        <w:t xml:space="preserve"> </w:t>
      </w:r>
      <w:r w:rsidR="009C6947">
        <w:t xml:space="preserve"> </w:t>
      </w:r>
      <w:r w:rsidR="00940F39">
        <w:t>The passenger also is aware of this data as to every ride received,  and neither the driver nor the passenger is under any restraint as to its use.</w:t>
      </w:r>
      <w:r w:rsidR="00683DC9">
        <w:t xml:space="preserve"> </w:t>
      </w:r>
      <w:r w:rsidR="009C6947">
        <w:t xml:space="preserve"> </w:t>
      </w:r>
      <w:r w:rsidR="00940F39">
        <w:t>What the driver and passenger have unfettered access to</w:t>
      </w:r>
      <w:r w:rsidR="00683DC9">
        <w:t xml:space="preserve"> is more than the partial disclosures of information  in </w:t>
      </w:r>
      <w:r w:rsidRPr="0005126E" w:rsidR="00683DC9">
        <w:rPr>
          <w:i/>
          <w:iCs/>
        </w:rPr>
        <w:t>Religious Technology</w:t>
      </w:r>
      <w:r w:rsidR="00683DC9">
        <w:t xml:space="preserve"> and </w:t>
      </w:r>
      <w:r w:rsidRPr="0005126E" w:rsidR="00683DC9">
        <w:rPr>
          <w:i/>
          <w:iCs/>
        </w:rPr>
        <w:t>San Jose Construction</w:t>
      </w:r>
      <w:r w:rsidR="00940F39">
        <w:t>.</w:t>
      </w:r>
      <w:r w:rsidR="00683DC9">
        <w:t xml:space="preserve"> </w:t>
      </w:r>
      <w:r w:rsidR="009C6947">
        <w:t xml:space="preserve"> </w:t>
      </w:r>
      <w:r w:rsidR="00D8516E">
        <w:t>In fact, e</w:t>
      </w:r>
      <w:r w:rsidR="001747B1">
        <w:t xml:space="preserve">ven </w:t>
      </w:r>
      <w:r w:rsidRPr="0005126E" w:rsidR="001747B1">
        <w:rPr>
          <w:i/>
          <w:iCs/>
        </w:rPr>
        <w:t>Religious Technology</w:t>
      </w:r>
      <w:r w:rsidR="001747B1">
        <w:t xml:space="preserve"> recognized that unrestricted access to information claimed to be trade secret can destroy the trade secret claim: “</w:t>
      </w:r>
      <w:r w:rsidR="009C6947">
        <w:t xml:space="preserve">  </w:t>
      </w:r>
      <w:r w:rsidRPr="001747B1" w:rsidR="001747B1">
        <w:t xml:space="preserve">To the extent that someone uses or discloses any information taken from any of these articles, there is clearly no trade secret </w:t>
      </w:r>
      <w:r w:rsidRPr="001747B1" w:rsidR="001747B1">
        <w:lastRenderedPageBreak/>
        <w:t>claim.</w:t>
      </w:r>
      <w:r w:rsidR="001747B1">
        <w:t>”</w:t>
      </w:r>
      <w:r w:rsidR="001747B1">
        <w:rPr>
          <w:rStyle w:val="FootnoteReference"/>
        </w:rPr>
        <w:footnoteReference w:id="150"/>
      </w:r>
      <w:r w:rsidR="00D8516E">
        <w:t xml:space="preserve"> </w:t>
      </w:r>
      <w:r w:rsidR="009C6947">
        <w:t xml:space="preserve"> </w:t>
      </w:r>
      <w:r w:rsidR="00D8516E">
        <w:t xml:space="preserve">As Lyft has failed to demonstrate that either the driver or the passenger does not have access to information about a ride that is contained in the Annual Reports, its attempts to rely on </w:t>
      </w:r>
      <w:r w:rsidRPr="00F0178C" w:rsidR="00D8516E">
        <w:rPr>
          <w:i/>
          <w:iCs/>
        </w:rPr>
        <w:t>Religious Tech</w:t>
      </w:r>
      <w:r w:rsidRPr="00F0178C" w:rsidR="00F0178C">
        <w:rPr>
          <w:i/>
          <w:iCs/>
        </w:rPr>
        <w:t>nology</w:t>
      </w:r>
      <w:r w:rsidR="00F0178C">
        <w:t xml:space="preserve"> are unavailing.</w:t>
      </w:r>
    </w:p>
    <w:p w:rsidRPr="0005126E" w:rsidR="00940F39" w:rsidP="00BE7D53" w:rsidRDefault="00940F39" w14:paraId="37796F74" w14:textId="0381158E">
      <w:pPr>
        <w:pStyle w:val="Standard"/>
        <w:ind w:firstLine="0"/>
        <w:rPr>
          <w:b/>
          <w:bCs/>
        </w:rPr>
      </w:pPr>
      <w:r w:rsidRPr="0005126E">
        <w:rPr>
          <w:b/>
          <w:bCs/>
        </w:rPr>
        <w:t>Preserving a Claimed Trade Secret Would Work an Injustice</w:t>
      </w:r>
    </w:p>
    <w:p w:rsidR="0026459F" w:rsidP="009C6947" w:rsidRDefault="0026459F" w14:paraId="08C291EB" w14:textId="0C9D3951">
      <w:pPr>
        <w:pStyle w:val="Standard"/>
      </w:pPr>
      <w:r>
        <w:t xml:space="preserve">First, </w:t>
      </w:r>
      <w:r w:rsidR="00DD1B6A">
        <w:t>Lyft challenges the decision’s allocation of the burden of proof</w:t>
      </w:r>
      <w:r w:rsidR="00154D06">
        <w:t xml:space="preserve"> in deciding whether allowing a trade secret claim to prevent the disclosure of information would work an injustice</w:t>
      </w:r>
      <w:r w:rsidR="00DD1B6A">
        <w:t xml:space="preserve">. </w:t>
      </w:r>
      <w:r w:rsidR="009C6947">
        <w:t xml:space="preserve"> </w:t>
      </w:r>
      <w:r w:rsidR="005F0030">
        <w:t xml:space="preserve">Lyft takes issues with the phrase “the moving party must prove that the allowance of the privilege will not tend to conceal fraud or otherwise work an injustice.” </w:t>
      </w:r>
      <w:r w:rsidR="009C6947">
        <w:t xml:space="preserve"> </w:t>
      </w:r>
      <w:r w:rsidR="005F0030">
        <w:t xml:space="preserve">Lyft claims the proper standard is that once the trade secret is established, “the burden shifts to the party seeking access to the trade secret to show than nondisclosure would work an </w:t>
      </w:r>
      <w:r w:rsidR="00922253">
        <w:t>injustice.”</w:t>
      </w:r>
      <w:r w:rsidR="00922253">
        <w:rPr>
          <w:rStyle w:val="FootnoteReference"/>
        </w:rPr>
        <w:footnoteReference w:id="151"/>
      </w:r>
      <w:r w:rsidR="00922253">
        <w:t xml:space="preserve"> Apparently, Lyft thinks that by “moving party” the Commission is referring to Lyft. </w:t>
      </w:r>
      <w:r w:rsidR="009C6947">
        <w:t xml:space="preserve"> </w:t>
      </w:r>
      <w:r w:rsidR="00922253">
        <w:t xml:space="preserve">It is not. </w:t>
      </w:r>
      <w:r w:rsidR="009C6947">
        <w:t xml:space="preserve"> </w:t>
      </w:r>
      <w:r w:rsidR="00922253">
        <w:t xml:space="preserve">By “moving party,” the Commission is referring to the party moving for access to information protected by an established trade secret privilege. </w:t>
      </w:r>
      <w:r w:rsidR="009C6947">
        <w:t xml:space="preserve"> </w:t>
      </w:r>
      <w:r w:rsidR="00922253">
        <w:t xml:space="preserve">As such, “moving party” and “party seeking access” are one in the same so the </w:t>
      </w:r>
      <w:r w:rsidR="00DD1B6A">
        <w:t>Commission stands on its earlier analysis as to the allocation</w:t>
      </w:r>
      <w:r>
        <w:t xml:space="preserve"> of the burden of proof</w:t>
      </w:r>
      <w:r w:rsidR="00DD1B6A">
        <w:t>.</w:t>
      </w:r>
      <w:r w:rsidR="00311382">
        <w:rPr>
          <w:rStyle w:val="FootnoteReference"/>
        </w:rPr>
        <w:footnoteReference w:id="152"/>
      </w:r>
      <w:r w:rsidR="00DD1B6A">
        <w:t xml:space="preserve"> </w:t>
      </w:r>
      <w:r w:rsidR="00540744">
        <w:t xml:space="preserve"> </w:t>
      </w:r>
    </w:p>
    <w:p w:rsidR="00940F39" w:rsidP="0026459F" w:rsidRDefault="0026459F" w14:paraId="598FB857" w14:textId="1835B742">
      <w:pPr>
        <w:pStyle w:val="Standard"/>
      </w:pPr>
      <w:r>
        <w:t xml:space="preserve">Next, </w:t>
      </w:r>
      <w:r w:rsidR="00540744">
        <w:t xml:space="preserve">Lyft attempts to distinguish our showing </w:t>
      </w:r>
      <w:r>
        <w:t xml:space="preserve">of </w:t>
      </w:r>
      <w:r w:rsidR="0036030A">
        <w:t>injustice that would occur by withholding the alleged trade secret</w:t>
      </w:r>
      <w:r w:rsidR="00154D06">
        <w:t xml:space="preserve"> information in the</w:t>
      </w:r>
      <w:r w:rsidR="0036030A">
        <w:t xml:space="preserve"> Annual Reports </w:t>
      </w:r>
      <w:r w:rsidR="00540744">
        <w:t xml:space="preserve">by citing to </w:t>
      </w:r>
      <w:r w:rsidRPr="0005126E" w:rsidR="00540744">
        <w:rPr>
          <w:i/>
          <w:iCs/>
        </w:rPr>
        <w:t>Bridgestone</w:t>
      </w:r>
      <w:r w:rsidR="00540744">
        <w:t xml:space="preserve">, in which the Court said that the allowance of a trade </w:t>
      </w:r>
      <w:r w:rsidR="00540744">
        <w:lastRenderedPageBreak/>
        <w:t xml:space="preserve">secret privilege may not be deemed to work </w:t>
      </w:r>
      <w:r>
        <w:t xml:space="preserve">an </w:t>
      </w:r>
      <w:r w:rsidR="00540744">
        <w:t>injustice within the meaning of Evidence Code §</w:t>
      </w:r>
      <w:r w:rsidR="00D56A72">
        <w:t xml:space="preserve"> 1060 simply because it would protect information generally relevant to the subject matter of an action or be helpful to the preparation of a case.</w:t>
      </w:r>
      <w:r w:rsidR="00020482">
        <w:t xml:space="preserve"> </w:t>
      </w:r>
      <w:r w:rsidR="009C6947">
        <w:t xml:space="preserve"> </w:t>
      </w:r>
      <w:r w:rsidR="00020482">
        <w:t xml:space="preserve">But the showing that the Commission made was more than that of case relevancy or case preparation. </w:t>
      </w:r>
      <w:r w:rsidR="009C6947">
        <w:t xml:space="preserve"> </w:t>
      </w:r>
      <w:r w:rsidR="00020482">
        <w:t xml:space="preserve">We demonstrated through both party comments and from comments </w:t>
      </w:r>
      <w:r w:rsidR="00F0178C">
        <w:t>by</w:t>
      </w:r>
      <w:r w:rsidR="00020482">
        <w:t xml:space="preserve"> the Court of Appeal regarding the public purpose value from having access to the trip data in the Annual Report</w:t>
      </w:r>
      <w:r w:rsidR="00FC19BC">
        <w:t>s</w:t>
      </w:r>
      <w:r w:rsidR="00020482">
        <w:t>.</w:t>
      </w:r>
      <w:r>
        <w:t xml:space="preserve"> </w:t>
      </w:r>
      <w:r w:rsidR="009C6947">
        <w:t xml:space="preserve"> </w:t>
      </w:r>
      <w:r w:rsidR="00F0178C">
        <w:t>Thus, c</w:t>
      </w:r>
      <w:r>
        <w:t xml:space="preserve">ontrary to Lyft’s characterization, access to Lyft’s trip data would not be the warrantless fishing expeditions by law enforcement officials that the United States Supreme Court </w:t>
      </w:r>
      <w:r w:rsidR="001A41E6">
        <w:t>cautioned against</w:t>
      </w:r>
      <w:r>
        <w:t xml:space="preserve"> in </w:t>
      </w:r>
      <w:r w:rsidRPr="0005126E">
        <w:rPr>
          <w:i/>
          <w:iCs/>
        </w:rPr>
        <w:t>Carpenter v. U.S.</w:t>
      </w:r>
      <w:r>
        <w:t xml:space="preserve"> (2018)</w:t>
      </w:r>
      <w:r w:rsidR="0036030A">
        <w:t xml:space="preserve"> 585 U.S.___, 138 S.Ct. 2206, 2218, as interested parties </w:t>
      </w:r>
      <w:r w:rsidR="001A41E6">
        <w:t xml:space="preserve">in this proceeding </w:t>
      </w:r>
      <w:r w:rsidR="0036030A">
        <w:t>have made particularized showings regarding what information they want and how the information will be utilized.</w:t>
      </w:r>
    </w:p>
    <w:p w:rsidR="00C35A27" w:rsidP="0026459F" w:rsidRDefault="00C35A27" w14:paraId="2C253DCB" w14:textId="5FC426FB">
      <w:pPr>
        <w:pStyle w:val="Standard"/>
      </w:pPr>
      <w:r>
        <w:t xml:space="preserve">We also reject Lyft’s claim that the courts have imposed a high bar that must be met before </w:t>
      </w:r>
      <w:r w:rsidR="00FE519D">
        <w:t>an injustice in not disclosing trade secret information will be found</w:t>
      </w:r>
      <w:r w:rsidR="002B5770">
        <w:t xml:space="preserve"> because the cases that Lyft cites do not support such a conclusion</w:t>
      </w:r>
      <w:r w:rsidR="00FE519D">
        <w:t xml:space="preserve">. </w:t>
      </w:r>
      <w:r w:rsidR="009C6947">
        <w:t xml:space="preserve"> </w:t>
      </w:r>
      <w:r w:rsidR="00FE519D">
        <w:t xml:space="preserve">Lyft </w:t>
      </w:r>
      <w:r w:rsidR="002B5770">
        <w:t xml:space="preserve">first </w:t>
      </w:r>
      <w:r w:rsidR="00FE519D">
        <w:t xml:space="preserve">cites  </w:t>
      </w:r>
      <w:r w:rsidRPr="0005126E" w:rsidR="00FE519D">
        <w:rPr>
          <w:i/>
          <w:iCs/>
        </w:rPr>
        <w:t>State Farm Fire &amp; Casualty Co. v. Superior Court</w:t>
      </w:r>
      <w:r w:rsidR="00FE519D">
        <w:t xml:space="preserve"> (1997) 54 Cal.App.4</w:t>
      </w:r>
      <w:r w:rsidRPr="0005126E" w:rsidR="00FE519D">
        <w:rPr>
          <w:vertAlign w:val="superscript"/>
        </w:rPr>
        <w:t>th</w:t>
      </w:r>
      <w:r w:rsidR="00FE519D">
        <w:t xml:space="preserve"> 625, 651, </w:t>
      </w:r>
      <w:r w:rsidRPr="0005126E" w:rsidR="00FE519D">
        <w:rPr>
          <w:i/>
          <w:iCs/>
        </w:rPr>
        <w:t>as modified</w:t>
      </w:r>
      <w:r w:rsidR="00FE519D">
        <w:t xml:space="preserve"> (May 1, 1997) as evidence of the high bar a moving party must satisfy. But what the Court said is that in reaching a conclusion about whether withholding trade secret information would work an injustice is a fact specific determination:</w:t>
      </w:r>
    </w:p>
    <w:p w:rsidR="00FE519D" w:rsidP="009C6947" w:rsidRDefault="00FE519D" w14:paraId="517393D7" w14:textId="12039D55">
      <w:pPr>
        <w:pStyle w:val="BlockQuote"/>
      </w:pPr>
      <w:r w:rsidRPr="00FE519D">
        <w:t xml:space="preserve">For purposes of this proceeding, we have no problem assuming that the software program is a trade secret. However, disclosure of this information is also subject to a fraud or injustice exception. (Evid. Code, § 1060.) </w:t>
      </w:r>
      <w:r w:rsidRPr="0005126E">
        <w:rPr>
          <w:i/>
          <w:iCs/>
        </w:rPr>
        <w:t xml:space="preserve">The facts presented </w:t>
      </w:r>
      <w:r w:rsidRPr="00FE519D">
        <w:t>certainly justify disclosure of the information. Further, the information which is disclosed in the Zuniga declaration is so minimal we see no danger that it can be used by another to obtain economic value in competition with State Farm.</w:t>
      </w:r>
    </w:p>
    <w:p w:rsidR="00E9747C" w:rsidP="009C6947" w:rsidRDefault="00E9747C" w14:paraId="51A8C0EE" w14:textId="2B2CDC22">
      <w:pPr>
        <w:pStyle w:val="BlockQuote"/>
      </w:pPr>
      <w:r w:rsidRPr="00E9747C">
        <w:lastRenderedPageBreak/>
        <w:t xml:space="preserve">We conclude that substantial evidence exists to support the implied findings of the trial court for application of the crime/fraud exception to the attorney-client privilege, and that to preclude disclosure of information in the Zuniga declarations would work a fraud or injustice. The trial court properly ordered the declarations unsealed. </w:t>
      </w:r>
      <w:r w:rsidRPr="0005126E">
        <w:rPr>
          <w:i/>
          <w:iCs/>
        </w:rPr>
        <w:t>We caution that our conclusion is limited to the existence of evidence sufficient to support disclosure of the information; nothing more</w:t>
      </w:r>
      <w:r w:rsidRPr="00E9747C">
        <w:t>.</w:t>
      </w:r>
      <w:r>
        <w:rPr>
          <w:rStyle w:val="FootnoteReference"/>
        </w:rPr>
        <w:footnoteReference w:id="153"/>
      </w:r>
    </w:p>
    <w:p w:rsidR="002B5770" w:rsidP="0005126E" w:rsidRDefault="002B5770" w14:paraId="7305CB88" w14:textId="10CBC66F">
      <w:pPr>
        <w:pStyle w:val="Standard"/>
      </w:pPr>
      <w:r>
        <w:t xml:space="preserve">Lyft next cites </w:t>
      </w:r>
      <w:r w:rsidRPr="0005126E">
        <w:rPr>
          <w:i/>
          <w:iCs/>
        </w:rPr>
        <w:t>Uribe v. Howie</w:t>
      </w:r>
      <w:r>
        <w:t xml:space="preserve"> (1971) 19 Cal. App.3d 194 wherein the Court also made a fact specific determination of the work an injustice question:</w:t>
      </w:r>
    </w:p>
    <w:p w:rsidRPr="00085049" w:rsidR="00085049" w:rsidP="007A7BC2" w:rsidRDefault="00085049" w14:paraId="35CE722C" w14:textId="77777777">
      <w:pPr>
        <w:pStyle w:val="BlockQuote"/>
      </w:pPr>
      <w:r w:rsidRPr="00085049">
        <w:t>Against this must be measured the interest of the public in having access to the contents of the spray reports. There was testimony presented that the information contained in the reports is important to the study of the effect of pesticides on man. The information would be useful to study the long range effects of pesticides on humans, and in the treatment of present illnesses traceable in whole or part to exposure to these chemicals.</w:t>
      </w:r>
    </w:p>
    <w:p w:rsidRPr="00085049" w:rsidR="00085049" w:rsidP="007A7BC2" w:rsidRDefault="00085049" w14:paraId="4BFEC498" w14:textId="19E99AD2">
      <w:pPr>
        <w:pStyle w:val="BlockQuote"/>
      </w:pPr>
      <w:r w:rsidRPr="00085049">
        <w:t>Moreover, uncontradicted evidence is to the effect that the information in the reports would be most helpful to entomologists attempting to devise even more effective pesticide programs. The perfection of such programs would be of commercial benefit to the growers, who would be able to increase productivity and to the consumer, who would be able to obtain produce at reduced prices. These considerations far outweigh the interests of the pesticide spray applicators in barring inspection of the spray reports by the public.</w:t>
      </w:r>
      <w:r>
        <w:rPr>
          <w:rStyle w:val="FootnoteReference"/>
        </w:rPr>
        <w:footnoteReference w:id="154"/>
      </w:r>
    </w:p>
    <w:p w:rsidR="002B5770" w:rsidP="0005126E" w:rsidRDefault="00085049" w14:paraId="3B1F016B" w14:textId="04A9E15C">
      <w:pPr>
        <w:pStyle w:val="Standard"/>
        <w:ind w:firstLine="0"/>
      </w:pPr>
      <w:r>
        <w:t xml:space="preserve">When we compare the findings in </w:t>
      </w:r>
      <w:r w:rsidRPr="0005126E">
        <w:rPr>
          <w:i/>
          <w:iCs/>
        </w:rPr>
        <w:t>Uribe</w:t>
      </w:r>
      <w:r>
        <w:t xml:space="preserve"> to the record in this proceeding, we do not see any appreciable differences between the factual showings </w:t>
      </w:r>
      <w:r w:rsidR="00FF2360">
        <w:t xml:space="preserve">of </w:t>
      </w:r>
      <w:r>
        <w:t xml:space="preserve">the public interests that would be served by </w:t>
      </w:r>
      <w:r w:rsidR="00FF2360">
        <w:t xml:space="preserve">disclosing </w:t>
      </w:r>
      <w:r>
        <w:t xml:space="preserve">allegedly trade secret information. As </w:t>
      </w:r>
      <w:r w:rsidR="00FF2360">
        <w:t xml:space="preserve">the Court found </w:t>
      </w:r>
      <w:r>
        <w:t xml:space="preserve">in </w:t>
      </w:r>
      <w:r w:rsidRPr="0005126E">
        <w:rPr>
          <w:i/>
          <w:iCs/>
        </w:rPr>
        <w:t>Uribe</w:t>
      </w:r>
      <w:r>
        <w:t xml:space="preserve">, there is </w:t>
      </w:r>
      <w:r w:rsidR="00FF2360">
        <w:t>incontrovertible</w:t>
      </w:r>
      <w:r>
        <w:t xml:space="preserve"> evidence that public entity parties have various public interests in gaining access to the </w:t>
      </w:r>
      <w:r w:rsidR="00FF2360">
        <w:t xml:space="preserve">Annual Reports, and </w:t>
      </w:r>
      <w:r w:rsidR="00FF2360">
        <w:lastRenderedPageBreak/>
        <w:t xml:space="preserve">that some of these public interests were found by the Court of Appeal in </w:t>
      </w:r>
      <w:r w:rsidRPr="0005126E" w:rsidR="00FF2360">
        <w:rPr>
          <w:i/>
          <w:iCs/>
        </w:rPr>
        <w:t>City and County of San Francisco</w:t>
      </w:r>
      <w:r w:rsidR="00FF2360">
        <w:t xml:space="preserve"> to be compelling.</w:t>
      </w:r>
      <w:r w:rsidR="00FF2360">
        <w:rPr>
          <w:rStyle w:val="FootnoteReference"/>
        </w:rPr>
        <w:footnoteReference w:id="155"/>
      </w:r>
      <w:r w:rsidR="00FF2360">
        <w:t xml:space="preserve"> </w:t>
      </w:r>
      <w:r w:rsidR="007A7BC2">
        <w:t xml:space="preserve"> </w:t>
      </w:r>
      <w:r w:rsidR="00FF2360">
        <w:t xml:space="preserve">In both </w:t>
      </w:r>
      <w:r w:rsidRPr="0005126E" w:rsidR="00FF2360">
        <w:rPr>
          <w:i/>
          <w:iCs/>
        </w:rPr>
        <w:t>Uribe</w:t>
      </w:r>
      <w:r w:rsidR="00FF2360">
        <w:t xml:space="preserve"> and here, there are public interests in, </w:t>
      </w:r>
      <w:r w:rsidRPr="0005126E" w:rsidR="00FF2360">
        <w:rPr>
          <w:i/>
          <w:iCs/>
        </w:rPr>
        <w:t>inter alia</w:t>
      </w:r>
      <w:r w:rsidR="00FF2360">
        <w:t xml:space="preserve">, protecting public safety that would justify public disclosure of the Annual Reports. </w:t>
      </w:r>
      <w:r w:rsidR="007A7BC2">
        <w:t xml:space="preserve"> </w:t>
      </w:r>
      <w:r w:rsidR="00FF2360">
        <w:t>And contrary to what Lyft suggest</w:t>
      </w:r>
      <w:r w:rsidR="00BD4C28">
        <w:t>s</w:t>
      </w:r>
      <w:r w:rsidR="00FF2360">
        <w:t xml:space="preserve">, neither </w:t>
      </w:r>
      <w:r w:rsidRPr="0005126E" w:rsidR="00FF2360">
        <w:rPr>
          <w:i/>
          <w:iCs/>
        </w:rPr>
        <w:t>State Farm</w:t>
      </w:r>
      <w:r w:rsidR="00FF2360">
        <w:t xml:space="preserve"> </w:t>
      </w:r>
      <w:r w:rsidR="0078264E">
        <w:t>nor</w:t>
      </w:r>
      <w:r w:rsidR="00FF2360">
        <w:t xml:space="preserve"> </w:t>
      </w:r>
      <w:r w:rsidRPr="0005126E" w:rsidR="00FF2360">
        <w:rPr>
          <w:i/>
          <w:iCs/>
        </w:rPr>
        <w:t>Uribe</w:t>
      </w:r>
      <w:r w:rsidR="00FF2360">
        <w:t xml:space="preserve"> set a “very high bar” to overcome the</w:t>
      </w:r>
      <w:r w:rsidR="0078264E">
        <w:t xml:space="preserve"> purported</w:t>
      </w:r>
      <w:r w:rsidR="00FF2360">
        <w:t xml:space="preserve"> trade secret claim. Instead, as the Commission has done here, the determination whether to require </w:t>
      </w:r>
      <w:r w:rsidR="0078264E">
        <w:t>disclosure</w:t>
      </w:r>
      <w:r w:rsidR="00FF2360">
        <w:t xml:space="preserve"> is a fact specific determination, a task</w:t>
      </w:r>
      <w:r w:rsidR="0078264E">
        <w:t xml:space="preserve"> the Commission has already, and comprehensively, performed. </w:t>
      </w:r>
    </w:p>
    <w:p w:rsidRPr="0005126E" w:rsidR="0036030A" w:rsidP="0026459F" w:rsidRDefault="0036030A" w14:paraId="3F158626" w14:textId="6592493A">
      <w:pPr>
        <w:pStyle w:val="Standard"/>
        <w:rPr>
          <w:b/>
          <w:bCs/>
        </w:rPr>
      </w:pPr>
      <w:r w:rsidRPr="0005126E">
        <w:rPr>
          <w:b/>
          <w:bCs/>
        </w:rPr>
        <w:t>Reliance on Hearsay Evidence</w:t>
      </w:r>
    </w:p>
    <w:p w:rsidR="0036030A" w:rsidP="0026459F" w:rsidRDefault="0078264E" w14:paraId="38101934" w14:textId="6BF4302C">
      <w:pPr>
        <w:pStyle w:val="Standard"/>
      </w:pPr>
      <w:r>
        <w:t>Lyft questions our decision not to consider secondary source information on the grounds that they constitute unauthenticated inadmissible hearsay and a</w:t>
      </w:r>
      <w:r w:rsidR="00435123">
        <w:t>sserts that</w:t>
      </w:r>
      <w:r>
        <w:t xml:space="preserve"> the Commission </w:t>
      </w:r>
      <w:r w:rsidR="00435123">
        <w:t>has misconstrued the hearsay rule</w:t>
      </w:r>
      <w:r w:rsidR="00602842">
        <w:t xml:space="preserve"> and contravenes Commission rules and precent. </w:t>
      </w:r>
      <w:r w:rsidR="007A7BC2">
        <w:t xml:space="preserve"> </w:t>
      </w:r>
      <w:r w:rsidR="006B63A2">
        <w:t>W</w:t>
      </w:r>
      <w:r w:rsidR="00602842">
        <w:t>e reject Lyft’s claims.</w:t>
      </w:r>
      <w:r w:rsidR="00440501">
        <w:t xml:space="preserve"> </w:t>
      </w:r>
      <w:r w:rsidR="007A7BC2">
        <w:t xml:space="preserve"> </w:t>
      </w:r>
      <w:r w:rsidR="00440501">
        <w:t>With respect to our reliance on the hearsay rule to exclude evidence, Lyft claims this practice is inconsistent with D.20-03-014’s new protocol “that allows no hearing and therefore leaves TNCs with no choice but to rely upon hearsay.”</w:t>
      </w:r>
      <w:r w:rsidR="006B63A2">
        <w:rPr>
          <w:rStyle w:val="FootnoteReference"/>
        </w:rPr>
        <w:footnoteReference w:id="156"/>
      </w:r>
      <w:r>
        <w:t xml:space="preserve"> </w:t>
      </w:r>
      <w:r w:rsidR="007A7BC2">
        <w:t xml:space="preserve"> </w:t>
      </w:r>
      <w:r w:rsidR="00440501">
        <w:t xml:space="preserve">In making this argument, Lyft has confused the evidentiary standard it must satisfy to substantiate a claim of privilege. </w:t>
      </w:r>
      <w:r w:rsidR="007A7BC2">
        <w:t xml:space="preserve"> </w:t>
      </w:r>
      <w:r w:rsidR="00440501">
        <w:t xml:space="preserve">D.20-03-014 did not provide TNCs with no other option but to rely on hearsay evidence. </w:t>
      </w:r>
      <w:r w:rsidR="007A7BC2">
        <w:t xml:space="preserve"> </w:t>
      </w:r>
      <w:r w:rsidR="00440501">
        <w:t>Instead, D.20-03-014 require</w:t>
      </w:r>
      <w:r w:rsidR="006B63A2">
        <w:t>d</w:t>
      </w:r>
      <w:r w:rsidR="00440501">
        <w:t xml:space="preserve"> that a claim of privilege be substantiated by a declaration containing personal knowledge and the requisite granularity. </w:t>
      </w:r>
      <w:r w:rsidR="007A7BC2">
        <w:t xml:space="preserve"> </w:t>
      </w:r>
      <w:r w:rsidR="00440501">
        <w:t xml:space="preserve">The problem that Lyft is facing is one of </w:t>
      </w:r>
      <w:r w:rsidR="00BD4C28">
        <w:t xml:space="preserve">authentication </w:t>
      </w:r>
      <w:r w:rsidR="00440501">
        <w:t>of the various studies and publications</w:t>
      </w:r>
      <w:r w:rsidR="00597776">
        <w:t xml:space="preserve"> that its declarant</w:t>
      </w:r>
      <w:r w:rsidR="00E23C9A">
        <w:t xml:space="preserve"> did not author and</w:t>
      </w:r>
      <w:r w:rsidR="00597776">
        <w:t xml:space="preserve"> </w:t>
      </w:r>
      <w:r w:rsidR="00E23C9A">
        <w:t>does not h</w:t>
      </w:r>
      <w:r w:rsidR="00597776">
        <w:t xml:space="preserve">ave personal knowledge of the truth of their contents. </w:t>
      </w:r>
      <w:r w:rsidR="00597776">
        <w:lastRenderedPageBreak/>
        <w:t xml:space="preserve">Had Lyft obtained declarations from the authors of these studies, it would have overcome the hearsay evidentiary threshold and the Commission could have considered this evidence. </w:t>
      </w:r>
      <w:r w:rsidR="007A7BC2">
        <w:t xml:space="preserve"> </w:t>
      </w:r>
      <w:r w:rsidR="00597776">
        <w:t>That it failed to do so is a failure that rests solely on Lyft’s shoulders</w:t>
      </w:r>
      <w:r w:rsidR="00FE4B3F">
        <w:t xml:space="preserve"> such that Lyft may not now claim that the Commission’s refusal to consider unauthenticated hearsay was “a denial of due process.</w:t>
      </w:r>
      <w:r w:rsidR="00FE4B3F">
        <w:rPr>
          <w:rStyle w:val="FootnoteReference"/>
        </w:rPr>
        <w:footnoteReference w:id="157"/>
      </w:r>
      <w:r w:rsidR="00FE4B3F">
        <w:t xml:space="preserve"> Furthermore, as it has failed to overcome the authentication and hearsay hurdles, we need not address Lyft’s </w:t>
      </w:r>
      <w:r w:rsidR="00E23C9A">
        <w:t>recitation</w:t>
      </w:r>
      <w:r w:rsidR="00FE4B3F">
        <w:t xml:space="preserve"> of the exceptions to the hearsay rule.</w:t>
      </w:r>
      <w:r w:rsidR="00FE4B3F">
        <w:rPr>
          <w:rStyle w:val="FootnoteReference"/>
        </w:rPr>
        <w:footnoteReference w:id="158"/>
      </w:r>
    </w:p>
    <w:p w:rsidR="006B63A2" w:rsidP="0026459F" w:rsidRDefault="006B63A2" w14:paraId="4C00EE23" w14:textId="43BB1283">
      <w:pPr>
        <w:pStyle w:val="Standard"/>
      </w:pPr>
      <w:r>
        <w:t>Nor does our decision not to consider unauthenticated hearsay contradict D.21-06-023</w:t>
      </w:r>
      <w:r w:rsidR="00967A66">
        <w:rPr>
          <w:rStyle w:val="FootnoteReference"/>
        </w:rPr>
        <w:footnoteReference w:id="159"/>
      </w:r>
      <w:r>
        <w:t xml:space="preserve"> as Lyft wrongly suggests.</w:t>
      </w:r>
      <w:r>
        <w:rPr>
          <w:rStyle w:val="FootnoteReference"/>
        </w:rPr>
        <w:footnoteReference w:id="160"/>
      </w:r>
      <w:r>
        <w:t xml:space="preserve"> </w:t>
      </w:r>
      <w:r w:rsidR="007A7BC2">
        <w:t xml:space="preserve"> </w:t>
      </w:r>
      <w:r w:rsidR="00967A66">
        <w:t xml:space="preserve">Lyft quotes the following statement from D.21-06-023: “[a]successful demonstration that a particular data category is confidential does not depend upon the existence (or nonexistence of a particular piece of responsive data.” </w:t>
      </w:r>
      <w:r w:rsidR="007A7BC2">
        <w:t xml:space="preserve"> </w:t>
      </w:r>
      <w:r w:rsidR="00967A66">
        <w:t>Lyft then interpolates that quote to mean the Commission cannot reject</w:t>
      </w:r>
      <w:r w:rsidR="0000403C">
        <w:t xml:space="preserve"> a</w:t>
      </w:r>
      <w:r w:rsidR="00BD4C28">
        <w:t>n</w:t>
      </w:r>
      <w:r w:rsidR="0000403C">
        <w:t xml:space="preserve"> evidentiary showing on the grounds that Lyft failed to prove the existence of a particular piece of data. </w:t>
      </w:r>
      <w:r w:rsidR="007A7BC2">
        <w:t xml:space="preserve"> </w:t>
      </w:r>
      <w:r w:rsidR="0000403C">
        <w:t xml:space="preserve">But Lyft has taken this sentence out of context. </w:t>
      </w:r>
      <w:r w:rsidR="007A7BC2">
        <w:t xml:space="preserve"> </w:t>
      </w:r>
      <w:r w:rsidR="0000403C">
        <w:t xml:space="preserve">D.21-06-023 did not discuss the question of whether a party could substantiate a privilege claim through the use of unauthenticated hearsay. </w:t>
      </w:r>
      <w:r w:rsidR="007A7BC2">
        <w:t xml:space="preserve"> </w:t>
      </w:r>
      <w:r w:rsidR="0000403C">
        <w:t>What the quoted sentence from D.21-06-023 addressed was Lyft and Uber’s feigned concern about their inability to forecast future categories of trip data that they might want to claim w</w:t>
      </w:r>
      <w:r w:rsidR="000E098A">
        <w:t>ere</w:t>
      </w:r>
      <w:r w:rsidR="0000403C">
        <w:t xml:space="preserve"> confidential:</w:t>
      </w:r>
    </w:p>
    <w:p w:rsidR="0000403C" w:rsidP="007A7BC2" w:rsidRDefault="0000403C" w14:paraId="559800C2" w14:textId="5E1D8DA7">
      <w:pPr>
        <w:pStyle w:val="BlockQuote"/>
      </w:pPr>
      <w:r w:rsidRPr="0000403C">
        <w:lastRenderedPageBreak/>
        <w:t xml:space="preserve">Thus, the idea that Uber or Lyft had to “project” what data would be generated, or that they lacked the process necessary to attest to the confidentiality of each data category, is not reasonable. Moreover, and perhaps more importantly, the fact that specific data, e.g., the names of individual drivers or passengers, may not exist at the time that the motions are filed does not demonstrate that the arguments made therein would not cover the TNCs’ subsequently generated data. The conclusion could also be put this way: </w:t>
      </w:r>
      <w:r w:rsidRPr="0005126E">
        <w:rPr>
          <w:i/>
          <w:iCs/>
        </w:rPr>
        <w:t>A successful demonstration that a particular data category is confidential does not depend upon the existence (or nonexistence) of a particular piece of responsive data</w:t>
      </w:r>
      <w:r w:rsidRPr="0000403C">
        <w:t>. Thus, any claim that it is impossible for the TNCs to make adequate confidentiality claims 90</w:t>
      </w:r>
      <w:r w:rsidRPr="0000403C">
        <w:rPr>
          <w:color w:val="000000"/>
          <w:sz w:val="27"/>
          <w:szCs w:val="27"/>
        </w:rPr>
        <w:t xml:space="preserve"> </w:t>
      </w:r>
      <w:r w:rsidRPr="0000403C">
        <w:t>days in advance of their annual reports lacks merit and is rejected.</w:t>
      </w:r>
      <w:r>
        <w:rPr>
          <w:rStyle w:val="FootnoteReference"/>
        </w:rPr>
        <w:footnoteReference w:id="161"/>
      </w:r>
    </w:p>
    <w:p w:rsidR="000E098A" w:rsidP="007A7BC2" w:rsidRDefault="009A3D4E" w14:paraId="2ED03A2D" w14:textId="1E994C7F">
      <w:pPr>
        <w:pStyle w:val="Standard"/>
        <w:spacing w:before="240"/>
        <w:ind w:firstLine="0"/>
      </w:pPr>
      <w:r>
        <w:t>When considered in its proper context, Lyft’s claim that our refusal to consider unauthenticated hearsay is inconsistent with D.21-06-023 strains credibility.</w:t>
      </w:r>
    </w:p>
    <w:p w:rsidR="000E098A" w:rsidP="007A7BC2" w:rsidRDefault="000E098A" w14:paraId="1B6EB7B8" w14:textId="2853E25D">
      <w:pPr>
        <w:pStyle w:val="Standard"/>
        <w:spacing w:after="120" w:line="276" w:lineRule="auto"/>
        <w:ind w:left="720" w:firstLine="0"/>
      </w:pPr>
      <w:r w:rsidRPr="0005126E">
        <w:rPr>
          <w:b/>
          <w:bCs/>
        </w:rPr>
        <w:t>Failure to Consider Extra-Record</w:t>
      </w:r>
      <w:r>
        <w:t xml:space="preserve"> </w:t>
      </w:r>
      <w:r w:rsidRPr="0005126E">
        <w:rPr>
          <w:b/>
          <w:bCs/>
        </w:rPr>
        <w:t>Evidence</w:t>
      </w:r>
    </w:p>
    <w:p w:rsidR="000E098A" w:rsidP="00E70257" w:rsidRDefault="000E098A" w14:paraId="484F368E" w14:textId="7EAC6F43">
      <w:pPr>
        <w:pStyle w:val="Standard"/>
      </w:pPr>
      <w:r>
        <w:t>Lyft takes issue with our decision not to consider a report by Privacy Analytics, Inc. which Uber, rather than Lyft</w:t>
      </w:r>
      <w:r w:rsidR="009A3D4E">
        <w:t>,</w:t>
      </w:r>
      <w:r>
        <w:t xml:space="preserve"> had proffered.</w:t>
      </w:r>
      <w:r w:rsidR="009A3D4E">
        <w:t xml:space="preserve"> </w:t>
      </w:r>
      <w:r w:rsidR="007A7BC2">
        <w:t xml:space="preserve"> </w:t>
      </w:r>
      <w:r w:rsidR="009A3D4E">
        <w:t xml:space="preserve">To support its position that we should have considered this report, Lyft cites </w:t>
      </w:r>
      <w:r w:rsidRPr="0005126E" w:rsidR="009A3D4E">
        <w:rPr>
          <w:i/>
          <w:iCs/>
        </w:rPr>
        <w:t>Consolidated Irrigation District v. City of Selma</w:t>
      </w:r>
      <w:r w:rsidR="009A3D4E">
        <w:t xml:space="preserve"> (2012) 204 Cal.App.4</w:t>
      </w:r>
      <w:r w:rsidRPr="0005126E" w:rsidR="009A3D4E">
        <w:rPr>
          <w:vertAlign w:val="superscript"/>
        </w:rPr>
        <w:t>th</w:t>
      </w:r>
      <w:r w:rsidR="009A3D4E">
        <w:t xml:space="preserve"> 187, 199 </w:t>
      </w:r>
      <w:r w:rsidR="001A65EB">
        <w:t xml:space="preserve">for the proposition that the record of a proceeding includes all evidence submitted or considered in that proceeding. </w:t>
      </w:r>
      <w:r w:rsidR="007A7BC2">
        <w:t xml:space="preserve"> </w:t>
      </w:r>
      <w:r w:rsidR="001A65EB">
        <w:t xml:space="preserve">The quote from </w:t>
      </w:r>
      <w:r w:rsidRPr="0005126E" w:rsidR="001A65EB">
        <w:rPr>
          <w:i/>
          <w:iCs/>
        </w:rPr>
        <w:t>Consolidated</w:t>
      </w:r>
      <w:r w:rsidR="001A65EB">
        <w:t xml:space="preserve"> is actually from </w:t>
      </w:r>
      <w:r w:rsidRPr="0005126E" w:rsidR="001A65EB">
        <w:rPr>
          <w:i/>
          <w:iCs/>
        </w:rPr>
        <w:t>Porterville Citizens for Responsible Hillside Development v. City of Porterville</w:t>
      </w:r>
      <w:r w:rsidR="001A65EB">
        <w:rPr>
          <w:i/>
          <w:iCs/>
        </w:rPr>
        <w:t xml:space="preserve"> </w:t>
      </w:r>
      <w:r w:rsidR="001A65EB">
        <w:t>(</w:t>
      </w:r>
      <w:r w:rsidR="000B5E8F">
        <w:t>2007</w:t>
      </w:r>
      <w:r w:rsidR="001A65EB">
        <w:t>) 157 Cal.App.4</w:t>
      </w:r>
      <w:r w:rsidRPr="0005126E" w:rsidR="001A65EB">
        <w:rPr>
          <w:vertAlign w:val="superscript"/>
        </w:rPr>
        <w:t>th</w:t>
      </w:r>
      <w:r w:rsidR="001A65EB">
        <w:t xml:space="preserve"> 885, wherein the Court “</w:t>
      </w:r>
      <w:r w:rsidRPr="001A65EB" w:rsidR="001A65EB">
        <w:t xml:space="preserve">concluded that the EIR and ordinance were not part of the record of proceedings because there was no evidence showing they were presented to or considered by the decision makers, referenced in the CEQA documents prepared for the project, or mentioned </w:t>
      </w:r>
      <w:r w:rsidRPr="001A65EB" w:rsidR="001A65EB">
        <w:lastRenderedPageBreak/>
        <w:t>during the public hearings.</w:t>
      </w:r>
      <w:r w:rsidR="001A65EB">
        <w:t>”</w:t>
      </w:r>
      <w:r w:rsidR="001A65EB">
        <w:rPr>
          <w:rStyle w:val="FootnoteReference"/>
        </w:rPr>
        <w:footnoteReference w:id="162"/>
      </w:r>
      <w:r w:rsidR="001A65EB">
        <w:t xml:space="preserve"> </w:t>
      </w:r>
      <w:r w:rsidR="007A7BC2">
        <w:t xml:space="preserve"> </w:t>
      </w:r>
      <w:r w:rsidR="001A65EB">
        <w:t xml:space="preserve">Neither </w:t>
      </w:r>
      <w:r w:rsidRPr="0005126E" w:rsidR="001A65EB">
        <w:rPr>
          <w:i/>
          <w:iCs/>
        </w:rPr>
        <w:t>Consolidated</w:t>
      </w:r>
      <w:r w:rsidR="001A65EB">
        <w:t xml:space="preserve"> nor </w:t>
      </w:r>
      <w:r w:rsidRPr="0005126E" w:rsidR="001A65EB">
        <w:rPr>
          <w:i/>
          <w:iCs/>
        </w:rPr>
        <w:t>Porterville</w:t>
      </w:r>
      <w:r w:rsidR="001A65EB">
        <w:t xml:space="preserve"> dealt with the situation where one party was trying to rely on another party’s evidence to </w:t>
      </w:r>
      <w:r w:rsidR="00E70257">
        <w:t>establish</w:t>
      </w:r>
      <w:r w:rsidR="001A65EB">
        <w:t xml:space="preserve"> a claim of privilege. </w:t>
      </w:r>
      <w:r w:rsidR="007A7BC2">
        <w:t xml:space="preserve"> </w:t>
      </w:r>
      <w:r w:rsidR="00840F38">
        <w:t xml:space="preserve">That the Privacy Analytics report is in the administrative record does not make it part of Lyft’s evidentiary showing for the Commission to consider. </w:t>
      </w:r>
      <w:r w:rsidR="007A7BC2">
        <w:t xml:space="preserve"> </w:t>
      </w:r>
      <w:r w:rsidR="00840F38">
        <w:t xml:space="preserve">While Lyft claims that we did not cite authority holding that the record of  a proceeding includes only the evidence submitted by the moving party, the fact remains that Uber only cited the Privacy Analytics report for its own claim of privilege. </w:t>
      </w:r>
      <w:r w:rsidR="007A7BC2">
        <w:t xml:space="preserve"> </w:t>
      </w:r>
      <w:r w:rsidR="003C638F">
        <w:t>When evidence is offered on behalf of one party when there are other parties to the proceeding,</w:t>
      </w:r>
      <w:r w:rsidR="0064513F">
        <w:t xml:space="preserve"> or the evidence is offered for only one purpose, </w:t>
      </w:r>
      <w:r w:rsidR="003C638F">
        <w:t xml:space="preserve"> it is customary for a court to </w:t>
      </w:r>
      <w:r w:rsidR="0064513F">
        <w:t>present a limiting instruction as to how the evidence may be considered.</w:t>
      </w:r>
      <w:r w:rsidR="003C638F">
        <w:rPr>
          <w:rStyle w:val="FootnoteReference"/>
        </w:rPr>
        <w:footnoteReference w:id="163"/>
      </w:r>
    </w:p>
    <w:p w:rsidRPr="0005126E" w:rsidR="0064513F" w:rsidP="00E70257" w:rsidRDefault="0064513F" w14:paraId="74CFF7C7" w14:textId="42E94FFA">
      <w:pPr>
        <w:pStyle w:val="Standard"/>
        <w:rPr>
          <w:b/>
          <w:bCs/>
        </w:rPr>
      </w:pPr>
      <w:r w:rsidRPr="0005126E">
        <w:rPr>
          <w:b/>
          <w:bCs/>
        </w:rPr>
        <w:t>Privacy Concerns</w:t>
      </w:r>
    </w:p>
    <w:p w:rsidRPr="006E6574" w:rsidR="000E098A" w:rsidP="007A7BC2" w:rsidRDefault="0064513F" w14:paraId="1161B6D1" w14:textId="07D15F66">
      <w:pPr>
        <w:pStyle w:val="Standard"/>
      </w:pPr>
      <w:r>
        <w:t>Lyft claims that we have failed to recognize the privacy concerns presented by the potential disclosure of the Annual Reports even if the trip data is in a “coarse “ form.</w:t>
      </w:r>
      <w:r>
        <w:rPr>
          <w:rStyle w:val="FootnoteReference"/>
        </w:rPr>
        <w:footnoteReference w:id="164"/>
      </w:r>
      <w:r>
        <w:t xml:space="preserve"> </w:t>
      </w:r>
      <w:r w:rsidR="007A7BC2">
        <w:t xml:space="preserve"> </w:t>
      </w:r>
      <w:r>
        <w:t>To the contrary, both the assigned ALJ and the Commission have considered the privacy claims that Lyft has raised</w:t>
      </w:r>
      <w:r w:rsidR="00CE429D">
        <w:t xml:space="preserve"> before this Commission. </w:t>
      </w:r>
      <w:r w:rsidR="007A7BC2">
        <w:t xml:space="preserve"> </w:t>
      </w:r>
      <w:r w:rsidR="00CE429D">
        <w:t xml:space="preserve">In fact, the privacy claims have been considered and recognized as to certain subsets of trip data information and have been ordered redacted from the public versions of the Annual Reports. </w:t>
      </w:r>
      <w:r w:rsidR="007A7BC2">
        <w:t xml:space="preserve"> </w:t>
      </w:r>
      <w:r w:rsidR="00CE429D">
        <w:t xml:space="preserve">That we have disagreed with Lyft’s attempts to expand our privacy determinations to other trip data categories does </w:t>
      </w:r>
      <w:r w:rsidR="00CE429D">
        <w:lastRenderedPageBreak/>
        <w:t xml:space="preserve">not mean we have failed to recognize those claimed privacy concerns. </w:t>
      </w:r>
      <w:r w:rsidR="007A7BC2">
        <w:t xml:space="preserve"> </w:t>
      </w:r>
      <w:r w:rsidR="00ED60CD">
        <w:t>Instead,</w:t>
      </w:r>
      <w:r w:rsidR="00CE429D">
        <w:t xml:space="preserve"> we have found that Lyft has failed to satisfy its burden of proving that any further extensions are warranted. </w:t>
      </w:r>
      <w:r w:rsidR="007A7BC2">
        <w:t xml:space="preserve"> </w:t>
      </w:r>
      <w:r w:rsidR="001C794D">
        <w:t xml:space="preserve">As such, our conclusion is distinguishable from </w:t>
      </w:r>
      <w:r w:rsidRPr="0005126E" w:rsidR="001C794D">
        <w:rPr>
          <w:i/>
          <w:iCs/>
        </w:rPr>
        <w:t>Sander v. Superior Court</w:t>
      </w:r>
      <w:r w:rsidR="001C794D">
        <w:t xml:space="preserve"> (2018) 26 Cal.App.5</w:t>
      </w:r>
      <w:r w:rsidRPr="0005126E" w:rsidR="001C794D">
        <w:rPr>
          <w:vertAlign w:val="superscript"/>
        </w:rPr>
        <w:t>th</w:t>
      </w:r>
      <w:r w:rsidR="001C794D">
        <w:t xml:space="preserve"> 651 and </w:t>
      </w:r>
      <w:r w:rsidRPr="0005126E" w:rsidR="001C794D">
        <w:rPr>
          <w:i/>
          <w:iCs/>
        </w:rPr>
        <w:t>Carpenter,</w:t>
      </w:r>
      <w:r w:rsidR="001C794D">
        <w:t xml:space="preserve"> cited </w:t>
      </w:r>
      <w:r w:rsidRPr="0005126E" w:rsidR="001C794D">
        <w:rPr>
          <w:i/>
          <w:iCs/>
        </w:rPr>
        <w:t>supra</w:t>
      </w:r>
      <w:r w:rsidR="001C794D">
        <w:t xml:space="preserve">, as in those instances there was evidence that the records could be re-identified and violate individual privacy rights. </w:t>
      </w:r>
      <w:r w:rsidR="007A7BC2">
        <w:t xml:space="preserve"> </w:t>
      </w:r>
      <w:r w:rsidR="006C08EF">
        <w:t>In contrast, the Commission has already taken steps to permit the redact</w:t>
      </w:r>
      <w:r w:rsidR="00ED60CD">
        <w:t>ion</w:t>
      </w:r>
      <w:r w:rsidR="006C08EF">
        <w:t xml:space="preserve"> of trip data information likely to infringe on driver and passenger privacy interests.</w:t>
      </w:r>
    </w:p>
    <w:p w:rsidR="005939A5" w:rsidP="005939A5" w:rsidRDefault="005939A5" w14:paraId="664B3222" w14:textId="77777777">
      <w:pPr>
        <w:pStyle w:val="Heading1"/>
      </w:pPr>
      <w:bookmarkStart w:name="_Toc8123724" w:id="93"/>
      <w:bookmarkStart w:name="_Toc82193589" w:id="94"/>
      <w:bookmarkStart w:name="_Toc94682552" w:id="95"/>
      <w:bookmarkStart w:name="_Toc102479681" w:id="96"/>
      <w:r>
        <w:t>Assignment of Proceeding</w:t>
      </w:r>
      <w:bookmarkEnd w:id="93"/>
      <w:bookmarkEnd w:id="94"/>
      <w:bookmarkEnd w:id="95"/>
      <w:bookmarkEnd w:id="96"/>
    </w:p>
    <w:p w:rsidR="005939A5" w:rsidP="006E6574" w:rsidRDefault="007F5D1A" w14:paraId="6DCF21F5" w14:textId="230A9A14">
      <w:pPr>
        <w:pStyle w:val="Standard"/>
      </w:pPr>
      <w:r>
        <w:t xml:space="preserve">Genevieve Shiroma </w:t>
      </w:r>
      <w:r w:rsidR="005939A5">
        <w:t xml:space="preserve">is the assigned Commissioner and </w:t>
      </w:r>
      <w:r>
        <w:t>Robert</w:t>
      </w:r>
      <w:r w:rsidR="005A35F7">
        <w:t> </w:t>
      </w:r>
      <w:r>
        <w:t>M.</w:t>
      </w:r>
      <w:r w:rsidR="005A35F7">
        <w:t> </w:t>
      </w:r>
      <w:r>
        <w:t>Mason</w:t>
      </w:r>
      <w:r w:rsidR="005A35F7">
        <w:t> </w:t>
      </w:r>
      <w:r>
        <w:t>III and Debbie Chiv are</w:t>
      </w:r>
      <w:r w:rsidR="005939A5">
        <w:t xml:space="preserve"> the </w:t>
      </w:r>
      <w:r w:rsidRPr="00500BCC" w:rsidR="005939A5">
        <w:t xml:space="preserve">assigned </w:t>
      </w:r>
      <w:r w:rsidRPr="00500BCC" w:rsidR="00D01BE3">
        <w:t>A</w:t>
      </w:r>
      <w:r w:rsidR="00D7278C">
        <w:t>dministrative Law Judges</w:t>
      </w:r>
      <w:r w:rsidRPr="00500BCC" w:rsidR="005939A5">
        <w:t xml:space="preserve"> in</w:t>
      </w:r>
      <w:r w:rsidR="005939A5">
        <w:t xml:space="preserve"> this proceeding.</w:t>
      </w:r>
    </w:p>
    <w:p w:rsidR="005939A5" w:rsidP="005939A5" w:rsidRDefault="005939A5" w14:paraId="3E56AB84" w14:textId="77777777">
      <w:pPr>
        <w:pStyle w:val="Dummy"/>
      </w:pPr>
      <w:bookmarkStart w:name="_Toc8123725" w:id="97"/>
      <w:bookmarkStart w:name="_Toc82193590" w:id="98"/>
      <w:bookmarkStart w:name="_Toc94682553" w:id="99"/>
      <w:bookmarkStart w:name="_Toc102479682" w:id="100"/>
      <w:r>
        <w:t>Findings of Fact</w:t>
      </w:r>
      <w:bookmarkEnd w:id="97"/>
      <w:bookmarkEnd w:id="98"/>
      <w:bookmarkEnd w:id="99"/>
      <w:bookmarkEnd w:id="100"/>
    </w:p>
    <w:p w:rsidR="007F5D1A" w:rsidP="001E2A62" w:rsidRDefault="00D7278C" w14:paraId="3AA613DF" w14:textId="3544A5FF">
      <w:pPr>
        <w:pStyle w:val="FoF"/>
      </w:pPr>
      <w:r w:rsidRPr="00D7278C">
        <w:t>In D.13-09-045, the Commission required all TNCs to submit Annual Reports that include trip data</w:t>
      </w:r>
      <w:r>
        <w:t>.</w:t>
      </w:r>
      <w:r w:rsidRPr="00D7278C">
        <w:t xml:space="preserve"> </w:t>
      </w:r>
    </w:p>
    <w:p w:rsidR="007F5D1A" w:rsidP="001E2A62" w:rsidRDefault="007F5D1A" w14:paraId="74F7CFE0" w14:textId="38489247">
      <w:pPr>
        <w:pStyle w:val="FoF"/>
      </w:pPr>
      <w:r>
        <w:t>Commission staff has supplemented the trip data requirements in D.13</w:t>
      </w:r>
      <w:r w:rsidR="00A52A29">
        <w:noBreakHyphen/>
      </w:r>
      <w:r>
        <w:t>09</w:t>
      </w:r>
      <w:r w:rsidR="00A52A29">
        <w:noBreakHyphen/>
      </w:r>
      <w:r>
        <w:t>045</w:t>
      </w:r>
      <w:r w:rsidR="00C92D3F">
        <w:t xml:space="preserve"> and D.16-041 with data requests and reminder letters that advised the TNCs as to the additional data fields that needed to be completed for the Annual Reports</w:t>
      </w:r>
      <w:r>
        <w:t>.</w:t>
      </w:r>
    </w:p>
    <w:p w:rsidR="007F5D1A" w:rsidP="001E2A62" w:rsidRDefault="007F5D1A" w14:paraId="0DDA4416" w14:textId="42022008">
      <w:pPr>
        <w:pStyle w:val="FoF"/>
      </w:pPr>
      <w:r>
        <w:t xml:space="preserve">Commission staff has provided TNCs with </w:t>
      </w:r>
      <w:r w:rsidR="00B64242">
        <w:t xml:space="preserve">a </w:t>
      </w:r>
      <w:r>
        <w:t>template and data dictionary for use in completing their Annual Reports.</w:t>
      </w:r>
    </w:p>
    <w:p w:rsidRPr="00D7278C" w:rsidR="00D7278C" w:rsidP="00D7278C" w:rsidRDefault="00D7278C" w14:paraId="422D00F5" w14:textId="77777777">
      <w:pPr>
        <w:pStyle w:val="FoF"/>
      </w:pPr>
      <w:r w:rsidRPr="00D7278C">
        <w:t>Lyft’s Motion contained one supporting declaration from Brett Collins.</w:t>
      </w:r>
    </w:p>
    <w:p w:rsidRPr="001E2A62" w:rsidR="00D7278C" w:rsidP="002F2F26" w:rsidRDefault="00D7278C" w14:paraId="09F4C562" w14:textId="76C1C63E">
      <w:pPr>
        <w:pStyle w:val="FoF"/>
      </w:pPr>
      <w:r w:rsidRPr="00D7278C">
        <w:t>Brett Collins is not the author of the various studies, articles, and reports that Lyft referenced in its Motion and in its Appeal.</w:t>
      </w:r>
    </w:p>
    <w:p w:rsidR="00B64242" w:rsidP="001E2A62" w:rsidRDefault="00B64242" w14:paraId="459F2C9E" w14:textId="4F46DB81">
      <w:pPr>
        <w:pStyle w:val="FoF"/>
      </w:pPr>
      <w:r>
        <w:t>In its Motion, Lyft offered no facts</w:t>
      </w:r>
      <w:r w:rsidR="008E15F0">
        <w:t xml:space="preserve"> to support the claim</w:t>
      </w:r>
      <w:r>
        <w:t xml:space="preserve"> that Lyft drivers are required to keep trip data that they learn of confidential.</w:t>
      </w:r>
    </w:p>
    <w:p w:rsidRPr="001E2A62" w:rsidR="008E6AE6" w:rsidP="001E2A62" w:rsidRDefault="00B64242" w14:paraId="3E093B01" w14:textId="6243FBCE">
      <w:pPr>
        <w:pStyle w:val="FoF"/>
      </w:pPr>
      <w:r>
        <w:lastRenderedPageBreak/>
        <w:t xml:space="preserve">In its Motion, Lyft offered no facts </w:t>
      </w:r>
      <w:r w:rsidR="006B1901">
        <w:t xml:space="preserve">to support the claim </w:t>
      </w:r>
      <w:r>
        <w:t>that Lyft passengers are required to keep trip data that they learn of confidential.</w:t>
      </w:r>
    </w:p>
    <w:p w:rsidR="005939A5" w:rsidP="005939A5" w:rsidRDefault="005939A5" w14:paraId="03297A5F" w14:textId="77777777">
      <w:pPr>
        <w:pStyle w:val="Dummy"/>
      </w:pPr>
      <w:bookmarkStart w:name="_Toc8123726" w:id="101"/>
      <w:bookmarkStart w:name="_Toc82193591" w:id="102"/>
      <w:bookmarkStart w:name="_Toc94682554" w:id="103"/>
      <w:bookmarkStart w:name="_Toc102479683" w:id="104"/>
      <w:r>
        <w:t>Conclusions of Law</w:t>
      </w:r>
      <w:bookmarkEnd w:id="101"/>
      <w:bookmarkEnd w:id="102"/>
      <w:bookmarkEnd w:id="103"/>
      <w:bookmarkEnd w:id="104"/>
    </w:p>
    <w:p w:rsidR="00781DAF" w:rsidP="007F5F93" w:rsidRDefault="006C4865" w14:paraId="331F2C81" w14:textId="77777777">
      <w:pPr>
        <w:pStyle w:val="FoF"/>
        <w:numPr>
          <w:ilvl w:val="0"/>
          <w:numId w:val="23"/>
        </w:numPr>
      </w:pPr>
      <w:r>
        <w:t xml:space="preserve">It is reasonable to conclude that </w:t>
      </w:r>
      <w:r w:rsidR="005C48F8">
        <w:t xml:space="preserve">the </w:t>
      </w:r>
      <w:r w:rsidRPr="00781DAF" w:rsidR="005C48F8">
        <w:rPr>
          <w:i/>
          <w:iCs/>
        </w:rPr>
        <w:t>Ruling</w:t>
      </w:r>
      <w:r w:rsidR="005C48F8">
        <w:t xml:space="preserve"> correctly determined that </w:t>
      </w:r>
      <w:r>
        <w:t>Lyft failed to carry its burden of proving that the trip data at issue is exempt from public disclosure by the trade secret protection.</w:t>
      </w:r>
    </w:p>
    <w:p w:rsidR="00781DAF" w:rsidP="00416981" w:rsidRDefault="006C4865" w14:paraId="06DA334B" w14:textId="77777777">
      <w:pPr>
        <w:pStyle w:val="FoF"/>
        <w:numPr>
          <w:ilvl w:val="0"/>
          <w:numId w:val="23"/>
        </w:numPr>
      </w:pPr>
      <w:r>
        <w:t>It is reasonable to conclude that</w:t>
      </w:r>
      <w:r w:rsidR="005C48F8">
        <w:t xml:space="preserve"> the </w:t>
      </w:r>
      <w:r w:rsidRPr="00781DAF" w:rsidR="005C48F8">
        <w:rPr>
          <w:i/>
          <w:iCs/>
        </w:rPr>
        <w:t>Ruling</w:t>
      </w:r>
      <w:r w:rsidR="005C48F8">
        <w:t xml:space="preserve"> correctly determined that </w:t>
      </w:r>
      <w:r>
        <w:t>Lyft failed to carry its burden of proving that the trip data at issue is exempt from public disclosure by California’s privacy laws</w:t>
      </w:r>
      <w:r w:rsidR="004653FF">
        <w:t xml:space="preserve"> </w:t>
      </w:r>
      <w:r w:rsidR="00383059">
        <w:t>set forth in Article I, Section 1, of the California Constitution.</w:t>
      </w:r>
    </w:p>
    <w:p w:rsidR="00781DAF" w:rsidP="008A4714" w:rsidRDefault="006C4865" w14:paraId="666BB345" w14:textId="77777777">
      <w:pPr>
        <w:pStyle w:val="FoF"/>
        <w:numPr>
          <w:ilvl w:val="0"/>
          <w:numId w:val="23"/>
        </w:numPr>
      </w:pPr>
      <w:r>
        <w:t>It is reasonable to conclude that the trip data at issue does not meet the definition of a trade secret</w:t>
      </w:r>
      <w:r w:rsidR="00264395">
        <w:t xml:space="preserve"> </w:t>
      </w:r>
      <w:r w:rsidR="00383059">
        <w:t>provided by Civil Code §§ 3426 through 3426.11.</w:t>
      </w:r>
    </w:p>
    <w:p w:rsidR="00781DAF" w:rsidP="002A7F0B" w:rsidRDefault="006C4865" w14:paraId="07643950" w14:textId="77777777">
      <w:pPr>
        <w:pStyle w:val="FoF"/>
        <w:numPr>
          <w:ilvl w:val="0"/>
          <w:numId w:val="23"/>
        </w:numPr>
      </w:pPr>
      <w:r>
        <w:t>It is reasonable to conclude that the trip data at issue does not fit within any of the protected categories in California’s privacy law</w:t>
      </w:r>
      <w:r w:rsidR="004653FF">
        <w:t xml:space="preserve"> </w:t>
      </w:r>
      <w:r w:rsidR="00383059">
        <w:t>provided by Government Code § 6254(c).</w:t>
      </w:r>
    </w:p>
    <w:p w:rsidR="00781DAF" w:rsidP="000B0BAB" w:rsidRDefault="006C4865" w14:paraId="7F13706D" w14:textId="68C5C303">
      <w:pPr>
        <w:pStyle w:val="FoF"/>
        <w:numPr>
          <w:ilvl w:val="0"/>
          <w:numId w:val="23"/>
        </w:numPr>
      </w:pPr>
      <w:r>
        <w:t xml:space="preserve">It is reasonable to conclude that the </w:t>
      </w:r>
      <w:r w:rsidR="00D7278C">
        <w:t xml:space="preserve">assigned </w:t>
      </w:r>
      <w:r>
        <w:t>ALJ acted within his discretion when, after finding that Lyft did not meet its burden of proving that the trip data at issue did not satisfy the novel or uniqueness standard</w:t>
      </w:r>
      <w:r w:rsidR="009D252A">
        <w:t xml:space="preserve"> of</w:t>
      </w:r>
      <w:r w:rsidR="00383059">
        <w:t xml:space="preserve"> </w:t>
      </w:r>
      <w:r w:rsidRPr="00781DAF" w:rsidR="00383059">
        <w:rPr>
          <w:i/>
          <w:iCs/>
        </w:rPr>
        <w:t xml:space="preserve">Morlife </w:t>
      </w:r>
      <w:r w:rsidR="00383059">
        <w:t xml:space="preserve">and </w:t>
      </w:r>
      <w:r w:rsidRPr="00781DAF" w:rsidR="009D252A">
        <w:rPr>
          <w:i/>
          <w:iCs/>
        </w:rPr>
        <w:t>OTR Wheel Engineering</w:t>
      </w:r>
      <w:r>
        <w:t>, it was not necessary for him to consider the other elements of a trade secret claim because the elements are written in the conjunctive rather than the disjunctive.</w:t>
      </w:r>
    </w:p>
    <w:p w:rsidR="00781DAF" w:rsidP="00E759D1" w:rsidRDefault="006C4865" w14:paraId="6CD01157" w14:textId="77777777">
      <w:pPr>
        <w:pStyle w:val="FoF"/>
        <w:numPr>
          <w:ilvl w:val="0"/>
          <w:numId w:val="23"/>
        </w:numPr>
      </w:pPr>
      <w:r>
        <w:t xml:space="preserve">It is reasonable to conclude that the ALJ correctly applied the trade secret and privacy laws in reaching </w:t>
      </w:r>
      <w:r w:rsidR="00351C95">
        <w:t xml:space="preserve">the </w:t>
      </w:r>
      <w:r>
        <w:t xml:space="preserve">conclusions in the </w:t>
      </w:r>
      <w:r w:rsidRPr="00781DAF">
        <w:rPr>
          <w:i/>
          <w:iCs/>
        </w:rPr>
        <w:t>Ruling</w:t>
      </w:r>
      <w:r>
        <w:t>.</w:t>
      </w:r>
    </w:p>
    <w:p w:rsidR="00781DAF" w:rsidP="003A7BFC" w:rsidRDefault="006C4865" w14:paraId="35712EAF" w14:textId="77777777">
      <w:pPr>
        <w:pStyle w:val="FoF"/>
        <w:numPr>
          <w:ilvl w:val="0"/>
          <w:numId w:val="23"/>
        </w:numPr>
      </w:pPr>
      <w:r>
        <w:t xml:space="preserve">It is reasonable to conclude that the </w:t>
      </w:r>
      <w:r w:rsidRPr="00781DAF">
        <w:rPr>
          <w:i/>
          <w:iCs/>
        </w:rPr>
        <w:t>Ruling</w:t>
      </w:r>
      <w:r>
        <w:t xml:space="preserve"> is supported by the factual and legal findings contained therein.</w:t>
      </w:r>
    </w:p>
    <w:p w:rsidR="00781DAF" w:rsidP="00252972" w:rsidRDefault="001E19D2" w14:paraId="1591E5CF" w14:textId="77777777">
      <w:pPr>
        <w:pStyle w:val="FoF"/>
        <w:numPr>
          <w:ilvl w:val="0"/>
          <w:numId w:val="23"/>
        </w:numPr>
      </w:pPr>
      <w:r>
        <w:lastRenderedPageBreak/>
        <w:t>It is reasonable to conclude that Lyft drivers are not required to keep trip data that they learn of confidential.</w:t>
      </w:r>
    </w:p>
    <w:p w:rsidR="00781DAF" w:rsidP="00335FCF" w:rsidRDefault="001E19D2" w14:paraId="7303A56F" w14:textId="77777777">
      <w:pPr>
        <w:pStyle w:val="FoF"/>
        <w:numPr>
          <w:ilvl w:val="0"/>
          <w:numId w:val="23"/>
        </w:numPr>
      </w:pPr>
      <w:r>
        <w:t>It is reasonable to conclude that Lyft passengers are not required to keep trip data that they learn of confidential.</w:t>
      </w:r>
    </w:p>
    <w:p w:rsidR="00781DAF" w:rsidP="007B7699" w:rsidRDefault="001E19D2" w14:paraId="6432516C" w14:textId="77777777">
      <w:pPr>
        <w:pStyle w:val="FoF"/>
        <w:numPr>
          <w:ilvl w:val="0"/>
          <w:numId w:val="23"/>
        </w:numPr>
      </w:pPr>
      <w:r>
        <w:t>It is reasonable to conclude that disclosing the trip data at issue will allow the public to see if the TNCs are operating safely.</w:t>
      </w:r>
    </w:p>
    <w:p w:rsidR="00781DAF" w:rsidP="00864BC2" w:rsidRDefault="001E19D2" w14:paraId="015B7F2B" w14:textId="77777777">
      <w:pPr>
        <w:pStyle w:val="FoF"/>
        <w:numPr>
          <w:ilvl w:val="0"/>
          <w:numId w:val="23"/>
        </w:numPr>
      </w:pPr>
      <w:r>
        <w:t>It is reasonable to conclude that disclosing the trip data at issue will allow the public to see if the TNCs are operating in a nondiscriminatory manner.</w:t>
      </w:r>
    </w:p>
    <w:p w:rsidR="00781DAF" w:rsidP="009E48BC" w:rsidRDefault="001E19D2" w14:paraId="37065951" w14:textId="77777777">
      <w:pPr>
        <w:pStyle w:val="FoF"/>
        <w:numPr>
          <w:ilvl w:val="0"/>
          <w:numId w:val="23"/>
        </w:numPr>
      </w:pPr>
      <w:r>
        <w:t>It is reasonable to conclude that disclosing the trip data at issue will allow the public to see if persons with disabilities have equal access to TNC services.</w:t>
      </w:r>
    </w:p>
    <w:p w:rsidR="00781DAF" w:rsidP="009A3AA2" w:rsidRDefault="001E19D2" w14:paraId="68F20820" w14:textId="77777777">
      <w:pPr>
        <w:pStyle w:val="FoF"/>
        <w:numPr>
          <w:ilvl w:val="0"/>
          <w:numId w:val="23"/>
        </w:numPr>
      </w:pPr>
      <w:r>
        <w:t>It is reasonable to conclude that disclosing the trip data at issue will allow the public to see the impact of TNC vehicles on traffic congestion, infrastructure, and airborne pollutants.</w:t>
      </w:r>
    </w:p>
    <w:p w:rsidR="00781DAF" w:rsidP="00113F8E" w:rsidRDefault="006C4865" w14:paraId="296DED5B" w14:textId="77777777">
      <w:pPr>
        <w:pStyle w:val="FoF"/>
        <w:numPr>
          <w:ilvl w:val="0"/>
          <w:numId w:val="23"/>
        </w:numPr>
      </w:pPr>
      <w:r>
        <w:t xml:space="preserve">It is reasonable to conclude that considering the evidentiary record, there is substantial evidence to support the </w:t>
      </w:r>
      <w:r w:rsidRPr="00781DAF">
        <w:rPr>
          <w:i/>
          <w:iCs/>
        </w:rPr>
        <w:t>Ruling’s</w:t>
      </w:r>
      <w:r>
        <w:t xml:space="preserve"> finding</w:t>
      </w:r>
      <w:r w:rsidRPr="00F32363">
        <w:t xml:space="preserve"> </w:t>
      </w:r>
      <w:r>
        <w:t>that the trip data at issue is not protected from public disclosure on privacy grounds.</w:t>
      </w:r>
    </w:p>
    <w:p w:rsidR="00781DAF" w:rsidP="00BE72FC" w:rsidRDefault="006C4865" w14:paraId="1206017E" w14:textId="77777777">
      <w:pPr>
        <w:pStyle w:val="FoF"/>
        <w:numPr>
          <w:ilvl w:val="0"/>
          <w:numId w:val="23"/>
        </w:numPr>
      </w:pPr>
      <w:r>
        <w:t xml:space="preserve">It is reasonable to conclude that considering the evidentiary record, there is substantial evidence to support the </w:t>
      </w:r>
      <w:r w:rsidRPr="00781DAF">
        <w:rPr>
          <w:i/>
          <w:iCs/>
        </w:rPr>
        <w:t>Ruling’s</w:t>
      </w:r>
      <w:r>
        <w:t xml:space="preserve"> finding</w:t>
      </w:r>
      <w:r w:rsidRPr="00F32363">
        <w:t xml:space="preserve"> </w:t>
      </w:r>
      <w:r>
        <w:t>that the trip data at issue is not protected from public disclosure on trade secret grounds.</w:t>
      </w:r>
    </w:p>
    <w:p w:rsidR="00781DAF" w:rsidP="00E42C6B" w:rsidRDefault="005C48F8" w14:paraId="7694B27F" w14:textId="77777777">
      <w:pPr>
        <w:pStyle w:val="FoF"/>
        <w:numPr>
          <w:ilvl w:val="0"/>
          <w:numId w:val="23"/>
        </w:numPr>
      </w:pPr>
      <w:r>
        <w:t xml:space="preserve">It is reasonable to conclude that the ALJ did not abuse his discretion in applying the facts to the law in </w:t>
      </w:r>
      <w:r w:rsidR="000D3B1D">
        <w:t xml:space="preserve">the </w:t>
      </w:r>
      <w:r w:rsidRPr="00781DAF">
        <w:rPr>
          <w:i/>
          <w:iCs/>
        </w:rPr>
        <w:t>Ruling</w:t>
      </w:r>
      <w:r>
        <w:t>.</w:t>
      </w:r>
    </w:p>
    <w:p w:rsidR="00781DAF" w:rsidP="00824FCE" w:rsidRDefault="005C48F8" w14:paraId="02A26C67" w14:textId="77777777">
      <w:pPr>
        <w:pStyle w:val="FoF"/>
        <w:numPr>
          <w:ilvl w:val="0"/>
          <w:numId w:val="23"/>
        </w:numPr>
      </w:pPr>
      <w:r>
        <w:t xml:space="preserve">It is reasonable to conclude that the </w:t>
      </w:r>
      <w:r w:rsidRPr="00781DAF">
        <w:rPr>
          <w:i/>
          <w:iCs/>
        </w:rPr>
        <w:t>Ruling’s</w:t>
      </w:r>
      <w:r>
        <w:t xml:space="preserve"> findings do not result in a violation of a constitutionally protected right</w:t>
      </w:r>
      <w:r w:rsidR="000D3B1D">
        <w:t>s</w:t>
      </w:r>
      <w:r>
        <w:t xml:space="preserve"> as the trip data at issue is not protected from disclosure </w:t>
      </w:r>
      <w:r w:rsidR="000D3B1D">
        <w:t xml:space="preserve">by </w:t>
      </w:r>
      <w:r>
        <w:t>California’s privacy laws.</w:t>
      </w:r>
    </w:p>
    <w:p w:rsidR="00781DAF" w:rsidP="00704B5E" w:rsidRDefault="005C48F8" w14:paraId="09E6CC60" w14:textId="77777777">
      <w:pPr>
        <w:pStyle w:val="FoF"/>
        <w:numPr>
          <w:ilvl w:val="0"/>
          <w:numId w:val="23"/>
        </w:numPr>
      </w:pPr>
      <w:r>
        <w:lastRenderedPageBreak/>
        <w:t>It is reasonable to conclude that requiring Lyft to disclose the trip data at issue does not amount to an unreasonable search and seizure under the Fourth</w:t>
      </w:r>
      <w:r w:rsidR="000F68FA">
        <w:t> </w:t>
      </w:r>
      <w:r>
        <w:t>Amendment to the U.S. Constitution.</w:t>
      </w:r>
    </w:p>
    <w:p w:rsidR="00781DAF" w:rsidP="00806F4F" w:rsidRDefault="005C48F8" w14:paraId="7C09A14D" w14:textId="77777777">
      <w:pPr>
        <w:pStyle w:val="FoF"/>
        <w:numPr>
          <w:ilvl w:val="0"/>
          <w:numId w:val="23"/>
        </w:numPr>
      </w:pPr>
      <w:r>
        <w:t>It is reasonable to conclude that requiring Lyft to disclose the trip data at issues does not amount to a regulatory taking under the Fifth Amendment to the U.S. Constitution.</w:t>
      </w:r>
    </w:p>
    <w:p w:rsidR="00781DAF" w:rsidP="009A47D1" w:rsidRDefault="00B64242" w14:paraId="7F4D35AA" w14:textId="77777777">
      <w:pPr>
        <w:pStyle w:val="FoF"/>
        <w:numPr>
          <w:ilvl w:val="0"/>
          <w:numId w:val="23"/>
        </w:numPr>
      </w:pPr>
      <w:r>
        <w:t>It is reasonable to conclude that the public interest in not disclosing the trip data at issue does not clearly outweigh the public interest in disclosing the trip data at issue.</w:t>
      </w:r>
    </w:p>
    <w:p w:rsidRPr="00343E5C" w:rsidR="00B64242" w:rsidP="009A47D1" w:rsidRDefault="00B64242" w14:paraId="4E22191B" w14:textId="0E08B67B">
      <w:pPr>
        <w:pStyle w:val="FoF"/>
        <w:numPr>
          <w:ilvl w:val="0"/>
          <w:numId w:val="23"/>
        </w:numPr>
      </w:pPr>
      <w:r>
        <w:t xml:space="preserve">It is reasonable to conclude that the public interest in disclosing the trip data at issue clearly outweighs the public interest in not disclosing the trip data at issue. </w:t>
      </w:r>
    </w:p>
    <w:p w:rsidR="00BB0243" w:rsidP="0045038E" w:rsidRDefault="005939A5" w14:paraId="2075D66E" w14:textId="77777777">
      <w:pPr>
        <w:pStyle w:val="Mainex"/>
        <w:spacing w:after="120" w:line="240" w:lineRule="auto"/>
      </w:pPr>
      <w:bookmarkStart w:name="_Toc82193592" w:id="105"/>
      <w:bookmarkStart w:name="_Toc94682555" w:id="106"/>
      <w:bookmarkStart w:name="_Toc102479684" w:id="107"/>
      <w:r>
        <w:t>O</w:t>
      </w:r>
      <w:r w:rsidR="00722850">
        <w:t>RDER</w:t>
      </w:r>
      <w:bookmarkEnd w:id="105"/>
      <w:bookmarkEnd w:id="106"/>
      <w:bookmarkEnd w:id="107"/>
    </w:p>
    <w:p w:rsidR="00BB0243" w:rsidP="000A6E05" w:rsidRDefault="00BB0243" w14:paraId="63B005A3" w14:textId="77777777">
      <w:pPr>
        <w:keepNext/>
      </w:pPr>
      <w:r w:rsidRPr="00BB0243">
        <w:rPr>
          <w:b/>
        </w:rPr>
        <w:t>IT IS ORDERED</w:t>
      </w:r>
      <w:r>
        <w:t xml:space="preserve"> that:</w:t>
      </w:r>
    </w:p>
    <w:p w:rsidR="00C104CA" w:rsidP="00C104CA" w:rsidRDefault="00C104CA" w14:paraId="78542C1C" w14:textId="1159201D">
      <w:pPr>
        <w:pStyle w:val="OP"/>
      </w:pPr>
      <w:r>
        <w:t xml:space="preserve">The </w:t>
      </w:r>
      <w:r w:rsidRPr="008A1DE9">
        <w:t>Appeal</w:t>
      </w:r>
      <w:r>
        <w:t xml:space="preserve"> of Lyft, Inc. (Lyft) of the assigned Administrative Law Judge’s </w:t>
      </w:r>
      <w:r w:rsidRPr="00C104CA">
        <w:rPr>
          <w:i/>
          <w:iCs/>
        </w:rPr>
        <w:t>Ruling on Uber Technologies, Inc.’s and Lyft’s Motion for Confidential Treatment of Certain Information in Their 2020 Annual Reports</w:t>
      </w:r>
      <w:r>
        <w:t xml:space="preserve"> is denied. </w:t>
      </w:r>
    </w:p>
    <w:p w:rsidR="00C104CA" w:rsidP="00C104CA" w:rsidRDefault="00C104CA" w14:paraId="2331B12F" w14:textId="3F67DE64">
      <w:pPr>
        <w:pStyle w:val="OP"/>
      </w:pPr>
      <w:r>
        <w:t xml:space="preserve">Lyft, Inc. shall comply with the Administrative Law Judge’s </w:t>
      </w:r>
      <w:r w:rsidRPr="00C104CA">
        <w:rPr>
          <w:i/>
          <w:iCs/>
        </w:rPr>
        <w:t>Ruling on Uber Technologies, Inc.’s and Lyft’s Motion for Confidential Treatment of Certain Information in Their 2020 Annual Reports</w:t>
      </w:r>
      <w:r>
        <w:rPr>
          <w:i/>
          <w:iCs/>
        </w:rPr>
        <w:t xml:space="preserve"> </w:t>
      </w:r>
      <w:r>
        <w:t>no later than 30 days after this decision is issued.</w:t>
      </w:r>
      <w:r w:rsidR="00350299">
        <w:t xml:space="preserve"> </w:t>
      </w:r>
    </w:p>
    <w:p w:rsidR="00350299" w:rsidP="006F51AE" w:rsidRDefault="00350299" w14:paraId="1517CC82" w14:textId="2E10C423">
      <w:pPr>
        <w:pStyle w:val="OP"/>
        <w:keepNext/>
        <w:keepLines/>
      </w:pPr>
      <w:r>
        <w:lastRenderedPageBreak/>
        <w:t xml:space="preserve">The following categories of trip data shall be disclosed, for each ride provided, as part of </w:t>
      </w:r>
      <w:r w:rsidR="00AC67F1">
        <w:t xml:space="preserve"> Lyft, Inc</w:t>
      </w:r>
      <w:r w:rsidR="00DD6CBB">
        <w:t>.</w:t>
      </w:r>
      <w:r w:rsidR="00AC67F1">
        <w:t>’s</w:t>
      </w:r>
      <w:r>
        <w:t xml:space="preserve"> public version of its Annual Report </w:t>
      </w:r>
      <w:r w:rsidR="00240DAC">
        <w:t xml:space="preserve">for </w:t>
      </w:r>
      <w:r>
        <w:t>2020</w:t>
      </w:r>
      <w:r w:rsidR="00240DAC">
        <w:t>:</w:t>
      </w:r>
    </w:p>
    <w:p w:rsidR="00350299" w:rsidP="006F51AE" w:rsidRDefault="00350299" w14:paraId="3B925348" w14:textId="77777777">
      <w:pPr>
        <w:pStyle w:val="OP"/>
        <w:keepNext/>
        <w:keepLines/>
        <w:numPr>
          <w:ilvl w:val="0"/>
          <w:numId w:val="15"/>
        </w:numPr>
        <w:spacing w:after="120" w:line="240" w:lineRule="auto"/>
        <w:ind w:left="1080" w:right="1440" w:hanging="360"/>
      </w:pPr>
      <w:r w:rsidRPr="006748E4">
        <w:t xml:space="preserve">Census Block of Passenger Drop Off, </w:t>
      </w:r>
    </w:p>
    <w:p w:rsidR="00350299" w:rsidP="006F51AE" w:rsidRDefault="00350299" w14:paraId="7791B902" w14:textId="77777777">
      <w:pPr>
        <w:pStyle w:val="OP"/>
        <w:keepNext/>
        <w:keepLines/>
        <w:numPr>
          <w:ilvl w:val="0"/>
          <w:numId w:val="15"/>
        </w:numPr>
        <w:spacing w:after="120" w:line="240" w:lineRule="auto"/>
        <w:ind w:left="1080" w:right="1440" w:hanging="360"/>
      </w:pPr>
      <w:r w:rsidRPr="006748E4">
        <w:t xml:space="preserve">Trip Requester Zip Code, </w:t>
      </w:r>
    </w:p>
    <w:p w:rsidR="00350299" w:rsidP="006F51AE" w:rsidRDefault="00350299" w14:paraId="2C738959" w14:textId="77777777">
      <w:pPr>
        <w:pStyle w:val="OP"/>
        <w:keepNext/>
        <w:keepLines/>
        <w:numPr>
          <w:ilvl w:val="0"/>
          <w:numId w:val="15"/>
        </w:numPr>
        <w:spacing w:after="120" w:line="240" w:lineRule="auto"/>
        <w:ind w:left="1080" w:right="1440" w:hanging="360"/>
      </w:pPr>
      <w:r w:rsidRPr="006748E4">
        <w:t xml:space="preserve">Trip Requester Census Block, </w:t>
      </w:r>
    </w:p>
    <w:p w:rsidR="00350299" w:rsidP="006F51AE" w:rsidRDefault="00350299" w14:paraId="6768EC7A" w14:textId="6DFBF98D">
      <w:pPr>
        <w:pStyle w:val="OP"/>
        <w:keepNext/>
        <w:keepLines/>
        <w:numPr>
          <w:ilvl w:val="0"/>
          <w:numId w:val="15"/>
        </w:numPr>
        <w:spacing w:after="120" w:line="240" w:lineRule="auto"/>
        <w:ind w:left="1080" w:right="1440" w:hanging="360"/>
      </w:pPr>
      <w:r w:rsidRPr="006748E4">
        <w:t xml:space="preserve">Driver Zip Code, </w:t>
      </w:r>
    </w:p>
    <w:p w:rsidR="00350299" w:rsidP="006F51AE" w:rsidRDefault="00350299" w14:paraId="3F44F9A9" w14:textId="77777777">
      <w:pPr>
        <w:pStyle w:val="OP"/>
        <w:keepNext/>
        <w:keepLines/>
        <w:numPr>
          <w:ilvl w:val="0"/>
          <w:numId w:val="15"/>
        </w:numPr>
        <w:spacing w:after="120" w:line="240" w:lineRule="auto"/>
        <w:ind w:left="1080" w:right="1440" w:hanging="360"/>
      </w:pPr>
      <w:r w:rsidRPr="006748E4">
        <w:t xml:space="preserve">Driver Census Block, </w:t>
      </w:r>
    </w:p>
    <w:p w:rsidR="00350299" w:rsidP="00DB0DFE" w:rsidRDefault="00350299" w14:paraId="542A8D1A" w14:textId="77777777">
      <w:pPr>
        <w:pStyle w:val="OP"/>
        <w:numPr>
          <w:ilvl w:val="0"/>
          <w:numId w:val="15"/>
        </w:numPr>
        <w:spacing w:after="120" w:line="240" w:lineRule="auto"/>
        <w:ind w:left="1080" w:right="1440" w:hanging="360"/>
      </w:pPr>
      <w:r w:rsidRPr="006748E4">
        <w:t xml:space="preserve">Trip Request Date/Time (to the second), </w:t>
      </w:r>
    </w:p>
    <w:p w:rsidR="00350299" w:rsidP="00DB0DFE" w:rsidRDefault="00350299" w14:paraId="7F740DEF" w14:textId="77777777">
      <w:pPr>
        <w:pStyle w:val="OP"/>
        <w:numPr>
          <w:ilvl w:val="0"/>
          <w:numId w:val="15"/>
        </w:numPr>
        <w:spacing w:after="120" w:line="240" w:lineRule="auto"/>
        <w:ind w:left="1080" w:right="1440" w:hanging="360"/>
      </w:pPr>
      <w:r w:rsidRPr="006748E4">
        <w:t xml:space="preserve">Miles Traveled (P1), </w:t>
      </w:r>
    </w:p>
    <w:p w:rsidR="00350299" w:rsidP="00DB0DFE" w:rsidRDefault="00350299" w14:paraId="224794D1" w14:textId="77777777">
      <w:pPr>
        <w:pStyle w:val="OP"/>
        <w:numPr>
          <w:ilvl w:val="0"/>
          <w:numId w:val="15"/>
        </w:numPr>
        <w:spacing w:after="120" w:line="240" w:lineRule="auto"/>
        <w:ind w:left="1080" w:right="1440" w:hanging="360"/>
      </w:pPr>
      <w:r w:rsidRPr="006748E4">
        <w:t>Request Accepted Date/Time (to the second),</w:t>
      </w:r>
    </w:p>
    <w:p w:rsidR="00350299" w:rsidP="00DB0DFE" w:rsidRDefault="00350299" w14:paraId="2F24EDAB" w14:textId="77777777">
      <w:pPr>
        <w:pStyle w:val="OP"/>
        <w:numPr>
          <w:ilvl w:val="0"/>
          <w:numId w:val="15"/>
        </w:numPr>
        <w:spacing w:after="120" w:line="240" w:lineRule="auto"/>
        <w:ind w:left="1080" w:right="1440" w:hanging="360"/>
      </w:pPr>
      <w:r w:rsidRPr="006748E4">
        <w:t xml:space="preserve">Request Accepted Zip Code, </w:t>
      </w:r>
    </w:p>
    <w:p w:rsidR="00350299" w:rsidP="00DB0DFE" w:rsidRDefault="00350299" w14:paraId="36BE877F" w14:textId="77777777">
      <w:pPr>
        <w:pStyle w:val="OP"/>
        <w:numPr>
          <w:ilvl w:val="0"/>
          <w:numId w:val="15"/>
        </w:numPr>
        <w:spacing w:after="120" w:line="240" w:lineRule="auto"/>
        <w:ind w:left="1080" w:right="1440" w:hanging="360"/>
      </w:pPr>
      <w:r w:rsidRPr="006748E4">
        <w:t>Request Accepted Census Block,</w:t>
      </w:r>
    </w:p>
    <w:p w:rsidR="00350299" w:rsidP="00DB0DFE" w:rsidRDefault="00350299" w14:paraId="4660ECD3" w14:textId="77777777">
      <w:pPr>
        <w:pStyle w:val="OP"/>
        <w:numPr>
          <w:ilvl w:val="0"/>
          <w:numId w:val="15"/>
        </w:numPr>
        <w:spacing w:after="120" w:line="240" w:lineRule="auto"/>
        <w:ind w:left="1080" w:right="1440" w:hanging="360"/>
      </w:pPr>
      <w:r w:rsidRPr="006748E4">
        <w:t>Passenger Pick Date/Time (to the second),</w:t>
      </w:r>
    </w:p>
    <w:p w:rsidR="00350299" w:rsidP="00DB0DFE" w:rsidRDefault="00350299" w14:paraId="0F6A44C1" w14:textId="77777777">
      <w:pPr>
        <w:pStyle w:val="OP"/>
        <w:numPr>
          <w:ilvl w:val="0"/>
          <w:numId w:val="15"/>
        </w:numPr>
        <w:spacing w:after="120" w:line="240" w:lineRule="auto"/>
        <w:ind w:left="1080" w:right="1440" w:hanging="360"/>
      </w:pPr>
      <w:r w:rsidRPr="006748E4">
        <w:t xml:space="preserve">Miles Traveled (P2), </w:t>
      </w:r>
    </w:p>
    <w:p w:rsidR="00350299" w:rsidP="00DB0DFE" w:rsidRDefault="00350299" w14:paraId="7ADC5B61" w14:textId="77777777">
      <w:pPr>
        <w:pStyle w:val="OP"/>
        <w:numPr>
          <w:ilvl w:val="0"/>
          <w:numId w:val="15"/>
        </w:numPr>
        <w:spacing w:after="120" w:line="240" w:lineRule="auto"/>
        <w:ind w:left="1080" w:right="1440" w:hanging="360"/>
      </w:pPr>
      <w:r w:rsidRPr="006748E4">
        <w:t xml:space="preserve">Passenger Pick Up Zip Code, </w:t>
      </w:r>
    </w:p>
    <w:p w:rsidR="00350299" w:rsidP="00DB0DFE" w:rsidRDefault="00350299" w14:paraId="72AA8C13" w14:textId="77777777">
      <w:pPr>
        <w:pStyle w:val="OP"/>
        <w:numPr>
          <w:ilvl w:val="0"/>
          <w:numId w:val="15"/>
        </w:numPr>
        <w:spacing w:after="120" w:line="240" w:lineRule="auto"/>
        <w:ind w:left="1080" w:right="1440" w:hanging="360"/>
      </w:pPr>
      <w:r w:rsidRPr="006748E4">
        <w:t>Passenger Pick Up Census Block,</w:t>
      </w:r>
    </w:p>
    <w:p w:rsidR="00350299" w:rsidP="00DB0DFE" w:rsidRDefault="00350299" w14:paraId="13CCAE37" w14:textId="21CF4CED">
      <w:pPr>
        <w:pStyle w:val="OP"/>
        <w:numPr>
          <w:ilvl w:val="0"/>
          <w:numId w:val="15"/>
        </w:numPr>
        <w:spacing w:after="120" w:line="240" w:lineRule="auto"/>
        <w:ind w:left="1080" w:right="1440" w:hanging="360"/>
      </w:pPr>
      <w:r w:rsidRPr="006748E4">
        <w:t xml:space="preserve">Passenger Drop Off Date/Time (to the second), </w:t>
      </w:r>
    </w:p>
    <w:p w:rsidR="00350299" w:rsidP="00DB0DFE" w:rsidRDefault="00350299" w14:paraId="2E442A74" w14:textId="77777777">
      <w:pPr>
        <w:pStyle w:val="OP"/>
        <w:numPr>
          <w:ilvl w:val="0"/>
          <w:numId w:val="15"/>
        </w:numPr>
        <w:spacing w:after="120" w:line="240" w:lineRule="auto"/>
        <w:ind w:left="1080" w:right="1440" w:hanging="360"/>
      </w:pPr>
      <w:r w:rsidRPr="006748E4">
        <w:t>Passenger Drop Off Zip Code,</w:t>
      </w:r>
    </w:p>
    <w:p w:rsidR="00350299" w:rsidP="00DB0DFE" w:rsidRDefault="00350299" w14:paraId="081D8002" w14:textId="28C6E57C">
      <w:pPr>
        <w:pStyle w:val="OP"/>
        <w:numPr>
          <w:ilvl w:val="0"/>
          <w:numId w:val="15"/>
        </w:numPr>
        <w:spacing w:after="120" w:line="240" w:lineRule="auto"/>
        <w:ind w:left="1080" w:right="1440" w:hanging="360"/>
      </w:pPr>
      <w:r w:rsidRPr="006748E4">
        <w:t xml:space="preserve">Passenger Drop Off Census Block, </w:t>
      </w:r>
    </w:p>
    <w:p w:rsidR="00350299" w:rsidP="00DB0DFE" w:rsidRDefault="00350299" w14:paraId="6EC4745C" w14:textId="77777777">
      <w:pPr>
        <w:pStyle w:val="OP"/>
        <w:numPr>
          <w:ilvl w:val="0"/>
          <w:numId w:val="15"/>
        </w:numPr>
        <w:spacing w:after="120" w:line="240" w:lineRule="auto"/>
        <w:ind w:left="1080" w:right="1440" w:hanging="360"/>
      </w:pPr>
      <w:r w:rsidRPr="006748E4">
        <w:t xml:space="preserve">Miles Traveled (P3), and </w:t>
      </w:r>
    </w:p>
    <w:p w:rsidR="00F6397D" w:rsidP="00DB0DFE" w:rsidRDefault="00350299" w14:paraId="76A9447E" w14:textId="41D26F46">
      <w:pPr>
        <w:pStyle w:val="OP"/>
        <w:numPr>
          <w:ilvl w:val="0"/>
          <w:numId w:val="15"/>
        </w:numPr>
        <w:spacing w:after="120" w:line="240" w:lineRule="auto"/>
        <w:ind w:left="1080" w:right="1440" w:hanging="360"/>
      </w:pPr>
      <w:r w:rsidRPr="006748E4">
        <w:t>Total Amount Paid</w:t>
      </w:r>
      <w:r w:rsidR="00C104CA">
        <w:t>.</w:t>
      </w:r>
    </w:p>
    <w:p w:rsidR="00BF748F" w:rsidP="006F51AE" w:rsidRDefault="00BF748F" w14:paraId="49E69D3B" w14:textId="2A9A6A28">
      <w:pPr>
        <w:pStyle w:val="OP"/>
        <w:keepNext/>
        <w:keepLines/>
      </w:pPr>
      <w:r>
        <w:lastRenderedPageBreak/>
        <w:t>Rulemaking 12-12-011 remains open.</w:t>
      </w:r>
    </w:p>
    <w:p w:rsidR="008F0116" w:rsidP="006F51AE" w:rsidRDefault="008F0116" w14:paraId="56B59048" w14:textId="77777777">
      <w:pPr>
        <w:keepNext/>
        <w:keepLines/>
      </w:pPr>
      <w:r>
        <w:t>This order is effective today.</w:t>
      </w:r>
    </w:p>
    <w:p w:rsidR="00426014" w:rsidP="006F51AE" w:rsidRDefault="008F0116" w14:paraId="06D4F8DE" w14:textId="6BF6F810">
      <w:pPr>
        <w:keepNext/>
        <w:keepLines/>
      </w:pPr>
      <w:r>
        <w:t xml:space="preserve">Dated </w:t>
      </w:r>
      <w:r w:rsidR="006F51AE">
        <w:t>May 5, 2022</w:t>
      </w:r>
      <w:r>
        <w:rPr>
          <w:u w:val="single"/>
        </w:rPr>
        <w:tab/>
      </w:r>
      <w:r>
        <w:t>, at Sa</w:t>
      </w:r>
      <w:r w:rsidR="002D3817">
        <w:t>cramento</w:t>
      </w:r>
      <w:r>
        <w:t>, California</w:t>
      </w:r>
      <w:r w:rsidR="00FF110C">
        <w:t>.</w:t>
      </w:r>
    </w:p>
    <w:p w:rsidR="006F51AE" w:rsidP="006F51AE" w:rsidRDefault="006F51AE" w14:paraId="0E64F995" w14:textId="77777777">
      <w:pPr>
        <w:keepNext/>
        <w:keepLines/>
      </w:pPr>
    </w:p>
    <w:p w:rsidRPr="006F51AE" w:rsidR="006F51AE" w:rsidP="006F51AE" w:rsidRDefault="006F51AE" w14:paraId="0D017525" w14:textId="77777777">
      <w:pPr>
        <w:keepNext/>
        <w:keepLines/>
        <w:autoSpaceDE w:val="0"/>
        <w:autoSpaceDN w:val="0"/>
        <w:spacing w:line="240" w:lineRule="auto"/>
        <w:ind w:left="4320" w:firstLine="0"/>
        <w:jc w:val="both"/>
        <w:rPr>
          <w:rFonts w:eastAsia="Calibri" w:cs="Calibri"/>
          <w:szCs w:val="26"/>
        </w:rPr>
      </w:pPr>
      <w:r w:rsidRPr="006F51AE">
        <w:rPr>
          <w:rFonts w:eastAsia="Calibri" w:cs="Calibri"/>
          <w:szCs w:val="26"/>
        </w:rPr>
        <w:t>ALICE REYNOLDS</w:t>
      </w:r>
    </w:p>
    <w:p w:rsidRPr="006F51AE" w:rsidR="006F51AE" w:rsidP="006F51AE" w:rsidRDefault="006F51AE" w14:paraId="0BF7B2F5" w14:textId="77777777">
      <w:pPr>
        <w:keepNext/>
        <w:keepLines/>
        <w:autoSpaceDE w:val="0"/>
        <w:autoSpaceDN w:val="0"/>
        <w:spacing w:line="240" w:lineRule="auto"/>
        <w:jc w:val="both"/>
        <w:rPr>
          <w:rFonts w:eastAsia="Calibri" w:cs="Calibri"/>
          <w:szCs w:val="26"/>
        </w:rPr>
      </w:pPr>
      <w:r w:rsidRPr="006F51AE">
        <w:rPr>
          <w:rFonts w:eastAsia="Calibri" w:cs="Calibri"/>
          <w:szCs w:val="26"/>
        </w:rPr>
        <w:t>                                                                                   President</w:t>
      </w:r>
    </w:p>
    <w:p w:rsidRPr="006F51AE" w:rsidR="006F51AE" w:rsidP="006F51AE" w:rsidRDefault="006F51AE" w14:paraId="3899226B" w14:textId="77777777">
      <w:pPr>
        <w:keepNext/>
        <w:keepLines/>
        <w:autoSpaceDE w:val="0"/>
        <w:autoSpaceDN w:val="0"/>
        <w:spacing w:line="240" w:lineRule="auto"/>
        <w:ind w:left="4320" w:firstLine="0"/>
        <w:jc w:val="both"/>
        <w:rPr>
          <w:rFonts w:eastAsia="Calibri" w:cs="Calibri"/>
          <w:szCs w:val="26"/>
        </w:rPr>
      </w:pPr>
      <w:r w:rsidRPr="006F51AE">
        <w:rPr>
          <w:rFonts w:eastAsia="Calibri" w:cs="Calibri"/>
          <w:szCs w:val="26"/>
        </w:rPr>
        <w:t>CLIFFORD RECHTSCHAFFEN</w:t>
      </w:r>
    </w:p>
    <w:p w:rsidRPr="006F51AE" w:rsidR="006F51AE" w:rsidP="006F51AE" w:rsidRDefault="006F51AE" w14:paraId="65CA2C4D" w14:textId="77777777">
      <w:pPr>
        <w:keepNext/>
        <w:keepLines/>
        <w:autoSpaceDE w:val="0"/>
        <w:autoSpaceDN w:val="0"/>
        <w:spacing w:line="240" w:lineRule="auto"/>
        <w:ind w:left="4320" w:firstLine="0"/>
        <w:jc w:val="both"/>
        <w:rPr>
          <w:rFonts w:eastAsia="Calibri" w:cs="Calibri"/>
          <w:szCs w:val="26"/>
        </w:rPr>
      </w:pPr>
      <w:r w:rsidRPr="006F51AE">
        <w:rPr>
          <w:rFonts w:eastAsia="Calibri" w:cs="Calibri"/>
          <w:szCs w:val="26"/>
        </w:rPr>
        <w:t>GENEVIEVE SHIROMA</w:t>
      </w:r>
    </w:p>
    <w:p w:rsidRPr="006F51AE" w:rsidR="006F51AE" w:rsidP="006F51AE" w:rsidRDefault="006F51AE" w14:paraId="1812601D" w14:textId="77777777">
      <w:pPr>
        <w:keepNext/>
        <w:keepLines/>
        <w:autoSpaceDE w:val="0"/>
        <w:autoSpaceDN w:val="0"/>
        <w:spacing w:line="240" w:lineRule="auto"/>
        <w:ind w:left="4320" w:firstLine="0"/>
        <w:jc w:val="both"/>
        <w:rPr>
          <w:rFonts w:eastAsia="Calibri" w:cs="Calibri"/>
          <w:szCs w:val="26"/>
        </w:rPr>
      </w:pPr>
      <w:r w:rsidRPr="006F51AE">
        <w:rPr>
          <w:rFonts w:eastAsia="Calibri" w:cs="Calibri"/>
          <w:szCs w:val="26"/>
        </w:rPr>
        <w:t>DARCIE L. HOUCK</w:t>
      </w:r>
    </w:p>
    <w:p w:rsidRPr="006F51AE" w:rsidR="006F51AE" w:rsidP="006F51AE" w:rsidRDefault="006F51AE" w14:paraId="1247FEC1" w14:textId="77777777">
      <w:pPr>
        <w:keepNext/>
        <w:keepLines/>
        <w:autoSpaceDE w:val="0"/>
        <w:autoSpaceDN w:val="0"/>
        <w:spacing w:line="240" w:lineRule="auto"/>
        <w:ind w:left="4320"/>
        <w:jc w:val="both"/>
        <w:rPr>
          <w:rFonts w:eastAsia="Calibri" w:cs="Calibri"/>
          <w:szCs w:val="26"/>
        </w:rPr>
      </w:pPr>
      <w:r w:rsidRPr="006F51AE">
        <w:rPr>
          <w:rFonts w:eastAsia="Calibri" w:cs="Calibri"/>
          <w:szCs w:val="26"/>
        </w:rPr>
        <w:t>             Commissioners</w:t>
      </w:r>
    </w:p>
    <w:p w:rsidR="006F51AE" w:rsidP="006F51AE" w:rsidRDefault="006F51AE" w14:paraId="17BD5056" w14:textId="369289F9">
      <w:pPr>
        <w:keepNext/>
        <w:keepLines/>
        <w:rPr>
          <w:rFonts w:eastAsia="Calibri" w:cs="Times New Roman"/>
          <w:szCs w:val="26"/>
          <w:highlight w:val="yellow"/>
        </w:rPr>
      </w:pPr>
    </w:p>
    <w:p w:rsidR="006F51AE" w:rsidP="006F51AE" w:rsidRDefault="006F51AE" w14:paraId="2EC3E230" w14:textId="77777777">
      <w:pPr>
        <w:keepNext/>
        <w:keepLines/>
        <w:rPr>
          <w:rFonts w:eastAsia="Calibri" w:cs="Times New Roman"/>
          <w:szCs w:val="26"/>
          <w:highlight w:val="yellow"/>
        </w:rPr>
      </w:pPr>
    </w:p>
    <w:p w:rsidRPr="006F51AE" w:rsidR="006F51AE" w:rsidP="006F51AE" w:rsidRDefault="006F51AE" w14:paraId="286494FD" w14:textId="3CA65042">
      <w:pPr>
        <w:keepNext/>
        <w:keepLines/>
        <w:rPr>
          <w:rFonts w:eastAsia="Calibri" w:cs="Times New Roman"/>
          <w:szCs w:val="26"/>
        </w:rPr>
      </w:pPr>
      <w:r w:rsidRPr="006F51AE">
        <w:rPr>
          <w:rFonts w:eastAsia="Calibri" w:cs="Times New Roman"/>
          <w:szCs w:val="26"/>
        </w:rPr>
        <w:t>I recused</w:t>
      </w:r>
      <w:r w:rsidR="00C44797">
        <w:rPr>
          <w:rFonts w:eastAsia="Calibri" w:cs="Times New Roman"/>
          <w:szCs w:val="26"/>
        </w:rPr>
        <w:t>.</w:t>
      </w:r>
    </w:p>
    <w:p w:rsidRPr="006F51AE" w:rsidR="006F51AE" w:rsidP="006F51AE" w:rsidRDefault="006F51AE" w14:paraId="35B47445" w14:textId="165E60B7">
      <w:pPr>
        <w:keepNext/>
        <w:keepLines/>
        <w:autoSpaceDE w:val="0"/>
        <w:autoSpaceDN w:val="0"/>
        <w:spacing w:line="240" w:lineRule="auto"/>
        <w:ind w:left="720" w:firstLine="0"/>
        <w:rPr>
          <w:rFonts w:eastAsia="Calibri" w:cs="Calibri"/>
          <w:szCs w:val="26"/>
        </w:rPr>
      </w:pPr>
      <w:r w:rsidRPr="006F51AE">
        <w:rPr>
          <w:rFonts w:eastAsia="Calibri" w:cs="Calibri"/>
          <w:szCs w:val="26"/>
        </w:rPr>
        <w:t>/s/ </w:t>
      </w:r>
      <w:r>
        <w:rPr>
          <w:rFonts w:eastAsia="Calibri" w:cs="Calibri"/>
          <w:szCs w:val="26"/>
        </w:rPr>
        <w:t> JOHN R.D. REYNOLDS</w:t>
      </w:r>
      <w:r w:rsidRPr="006F51AE">
        <w:rPr>
          <w:rFonts w:eastAsia="Calibri" w:cs="Calibri"/>
          <w:szCs w:val="26"/>
        </w:rPr>
        <w:br/>
        <w:t>        Commissioner</w:t>
      </w:r>
    </w:p>
    <w:p w:rsidRPr="00BF748F" w:rsidR="00BF748F" w:rsidP="006F51AE" w:rsidRDefault="00BF748F" w14:paraId="6160AB76" w14:textId="77777777">
      <w:pPr>
        <w:keepNext/>
        <w:keepLines/>
      </w:pPr>
    </w:p>
    <w:sectPr w:rsidRPr="00BF748F" w:rsidR="00BF748F" w:rsidSect="00BF748F">
      <w:headerReference w:type="default" r:id="rId41"/>
      <w:footerReference w:type="default" r:id="rId42"/>
      <w:pgSz w:w="12240" w:h="15840"/>
      <w:pgMar w:top="1728" w:right="1440" w:bottom="1440" w:left="144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2C19A" w14:textId="77777777" w:rsidR="006A3C72" w:rsidRDefault="006A3C72" w:rsidP="0098138E">
      <w:pPr>
        <w:spacing w:line="240" w:lineRule="auto"/>
      </w:pPr>
      <w:r>
        <w:separator/>
      </w:r>
    </w:p>
  </w:endnote>
  <w:endnote w:type="continuationSeparator" w:id="0">
    <w:p w14:paraId="72473A85" w14:textId="77777777" w:rsidR="006A3C72" w:rsidRDefault="006A3C72" w:rsidP="0098138E">
      <w:pPr>
        <w:spacing w:line="240" w:lineRule="auto"/>
      </w:pPr>
      <w:r>
        <w:continuationSeparator/>
      </w:r>
    </w:p>
  </w:endnote>
  <w:endnote w:type="continuationNotice" w:id="1">
    <w:p w14:paraId="6F96FB25" w14:textId="77777777" w:rsidR="006A3C72" w:rsidRDefault="006A3C7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ff7">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74CFA" w14:textId="4D50D49E" w:rsidR="008A3D65" w:rsidRDefault="00F4002C" w:rsidP="007E0FEE">
    <w:pPr>
      <w:tabs>
        <w:tab w:val="center" w:pos="4680"/>
      </w:tabs>
      <w:ind w:firstLine="0"/>
      <w:rPr>
        <w:noProof/>
      </w:rPr>
    </w:pPr>
    <w:r w:rsidRPr="00F4002C">
      <w:rPr>
        <w:sz w:val="16"/>
        <w:szCs w:val="16"/>
      </w:rPr>
      <w:t>474446961</w:t>
    </w:r>
    <w:sdt>
      <w:sdtPr>
        <w:id w:val="481271980"/>
        <w:docPartObj>
          <w:docPartGallery w:val="Page Numbers (Bottom of Page)"/>
          <w:docPartUnique/>
        </w:docPartObj>
      </w:sdtPr>
      <w:sdtEndPr>
        <w:rPr>
          <w:noProof/>
        </w:rPr>
      </w:sdtEndPr>
      <w:sdtContent>
        <w:r w:rsidR="008A3D65">
          <w:rPr>
            <w:rFonts w:ascii="Arial" w:hAnsi="Arial" w:cs="Arial"/>
            <w:sz w:val="16"/>
            <w:szCs w:val="16"/>
          </w:rPr>
          <w:tab/>
        </w:r>
        <w:r w:rsidR="008A3D65">
          <w:t xml:space="preserve">- </w:t>
        </w:r>
        <w:r w:rsidR="008A3D65">
          <w:fldChar w:fldCharType="begin"/>
        </w:r>
        <w:r w:rsidR="008A3D65">
          <w:instrText xml:space="preserve"> PAGE   \* MERGEFORMAT </w:instrText>
        </w:r>
        <w:r w:rsidR="008A3D65">
          <w:fldChar w:fldCharType="separate"/>
        </w:r>
        <w:r w:rsidR="00533B17">
          <w:rPr>
            <w:noProof/>
          </w:rPr>
          <w:t>1</w:t>
        </w:r>
        <w:r w:rsidR="008A3D65">
          <w:rPr>
            <w:noProof/>
          </w:rPr>
          <w:fldChar w:fldCharType="end"/>
        </w:r>
      </w:sdtContent>
    </w:sdt>
    <w:r w:rsidR="008A3D65">
      <w:rPr>
        <w:noProo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6C6B2" w14:textId="77777777" w:rsidR="008A3D65" w:rsidRDefault="008A3D65" w:rsidP="007E0FEE">
    <w:pPr>
      <w:ind w:firstLine="0"/>
      <w:jc w:val="center"/>
    </w:pPr>
    <w:r>
      <w:t xml:space="preserve">- </w:t>
    </w:r>
    <w:sdt>
      <w:sdtPr>
        <w:id w:val="179316964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533B17">
          <w:rPr>
            <w:noProof/>
          </w:rPr>
          <w:t>ii</w:t>
        </w:r>
        <w:r>
          <w:rPr>
            <w:noProof/>
          </w:rPr>
          <w:fldChar w:fldCharType="end"/>
        </w:r>
        <w:r>
          <w:rPr>
            <w:noProof/>
          </w:rP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FD49C" w14:textId="4E712CB3" w:rsidR="008A3D65" w:rsidRDefault="008A3D65" w:rsidP="007E0FEE">
    <w:pPr>
      <w:ind w:firstLine="0"/>
      <w:jc w:val="center"/>
    </w:pPr>
    <w:r>
      <w:t xml:space="preserve">- </w:t>
    </w:r>
    <w:sdt>
      <w:sdtPr>
        <w:id w:val="193516480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7278C">
          <w:rPr>
            <w:noProof/>
          </w:rPr>
          <w:t>106</w:t>
        </w:r>
        <w:r>
          <w:rPr>
            <w:noProof/>
          </w:rPr>
          <w:fldChar w:fldCharType="end"/>
        </w:r>
        <w:r>
          <w:rPr>
            <w:noProof/>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B889A" w14:textId="77777777" w:rsidR="006A3C72" w:rsidRDefault="006A3C72" w:rsidP="00DF58E7">
      <w:pPr>
        <w:spacing w:line="240" w:lineRule="auto"/>
        <w:ind w:firstLine="0"/>
      </w:pPr>
      <w:r>
        <w:separator/>
      </w:r>
    </w:p>
  </w:footnote>
  <w:footnote w:type="continuationSeparator" w:id="0">
    <w:p w14:paraId="58B00BBE" w14:textId="77777777" w:rsidR="006A3C72" w:rsidRDefault="006A3C72" w:rsidP="00DF58E7">
      <w:pPr>
        <w:spacing w:line="240" w:lineRule="auto"/>
        <w:ind w:firstLine="0"/>
      </w:pPr>
      <w:r>
        <w:continuationSeparator/>
      </w:r>
    </w:p>
  </w:footnote>
  <w:footnote w:type="continuationNotice" w:id="1">
    <w:p w14:paraId="6AF959DA" w14:textId="77777777" w:rsidR="006A3C72" w:rsidRPr="00DF58E7" w:rsidRDefault="006A3C72" w:rsidP="00DF58E7">
      <w:pPr>
        <w:spacing w:line="240" w:lineRule="auto"/>
        <w:ind w:firstLine="0"/>
        <w:jc w:val="right"/>
        <w:rPr>
          <w:i/>
          <w:sz w:val="22"/>
        </w:rPr>
      </w:pPr>
    </w:p>
  </w:footnote>
  <w:footnote w:id="2">
    <w:p w14:paraId="127AF1BA" w14:textId="4E676050" w:rsidR="008A3D65" w:rsidRDefault="008A3D65" w:rsidP="00261639">
      <w:pPr>
        <w:pStyle w:val="FootnoteText"/>
      </w:pPr>
      <w:r>
        <w:rPr>
          <w:rStyle w:val="FootnoteReference"/>
        </w:rPr>
        <w:footnoteRef/>
      </w:r>
      <w:r>
        <w:tab/>
        <w:t xml:space="preserve">For example, on July 1, 2021, Uber Technologies, Inc., Lyft, Inc., and HopSkipDrive, Inc. filed separate </w:t>
      </w:r>
      <w:r w:rsidRPr="00CA202E">
        <w:rPr>
          <w:i/>
          <w:iCs/>
        </w:rPr>
        <w:t>Motions for Confidential Treatment of Portions of 2021 Annual TNC Reports</w:t>
      </w:r>
      <w:r>
        <w:t>. After receiving an extension of time, on July 16, 2021, Nomad Transit, LLC filed a similar motion.</w:t>
      </w:r>
    </w:p>
  </w:footnote>
  <w:footnote w:id="3">
    <w:p w14:paraId="77DB615F" w14:textId="7B5A4425" w:rsidR="008A3D65" w:rsidRDefault="008A3D65" w:rsidP="006E35A6">
      <w:pPr>
        <w:pStyle w:val="FootnoteText"/>
      </w:pPr>
      <w:r>
        <w:rPr>
          <w:rStyle w:val="FootnoteReference"/>
        </w:rPr>
        <w:footnoteRef/>
      </w:r>
      <w:r>
        <w:rPr>
          <w:szCs w:val="22"/>
        </w:rPr>
        <w:t xml:space="preserve"> </w:t>
      </w:r>
      <w:r w:rsidRPr="00A73944">
        <w:rPr>
          <w:sz w:val="16"/>
          <w:szCs w:val="16"/>
        </w:rPr>
        <w:tab/>
      </w:r>
      <w:r w:rsidRPr="00134E0E">
        <w:rPr>
          <w:i/>
          <w:iCs/>
        </w:rPr>
        <w:t>Decision Adopting Rules and Regulations to Protect Public Safety While Allowing New Entrants to the Transportation Industry</w:t>
      </w:r>
      <w:r>
        <w:t>.</w:t>
      </w:r>
    </w:p>
  </w:footnote>
  <w:footnote w:id="4">
    <w:p w14:paraId="2EB01453" w14:textId="52609863" w:rsidR="008A3D65" w:rsidRDefault="008A3D65" w:rsidP="002A6E91">
      <w:pPr>
        <w:pStyle w:val="FootnoteText"/>
      </w:pPr>
      <w:r>
        <w:rPr>
          <w:rStyle w:val="FootnoteReference"/>
        </w:rPr>
        <w:footnoteRef/>
      </w:r>
      <w:r>
        <w:tab/>
        <w:t>“For the requested reporting requirements, TNCs shall file these reports confidentially unless in Phase II of this decision we require public reporting from TCP companies as well.”</w:t>
      </w:r>
    </w:p>
  </w:footnote>
  <w:footnote w:id="5">
    <w:p w14:paraId="7BB5A33B" w14:textId="336F8BD3" w:rsidR="008A3D65" w:rsidRPr="002A6E91" w:rsidRDefault="008A3D65" w:rsidP="002A6E91">
      <w:pPr>
        <w:pStyle w:val="FootnoteText"/>
        <w:rPr>
          <w:szCs w:val="22"/>
        </w:rPr>
      </w:pPr>
      <w:r>
        <w:rPr>
          <w:rStyle w:val="FootnoteReference"/>
        </w:rPr>
        <w:footnoteRef/>
      </w:r>
      <w:r>
        <w:t xml:space="preserve"> </w:t>
      </w:r>
      <w:r>
        <w:tab/>
      </w:r>
      <w:r w:rsidRPr="002A6E91">
        <w:rPr>
          <w:szCs w:val="22"/>
        </w:rPr>
        <w:t>Decision</w:t>
      </w:r>
      <w:r w:rsidRPr="002A6E91">
        <w:rPr>
          <w:i/>
          <w:iCs/>
          <w:szCs w:val="22"/>
        </w:rPr>
        <w:t xml:space="preserve"> on </w:t>
      </w:r>
      <w:r w:rsidRPr="002A6E91">
        <w:rPr>
          <w:szCs w:val="22"/>
        </w:rPr>
        <w:t>Data</w:t>
      </w:r>
      <w:r w:rsidRPr="002A6E91">
        <w:rPr>
          <w:i/>
          <w:iCs/>
          <w:szCs w:val="22"/>
        </w:rPr>
        <w:t xml:space="preserve"> Confidentiality Issues Track 3</w:t>
      </w:r>
      <w:r w:rsidRPr="002A6E91">
        <w:rPr>
          <w:szCs w:val="22"/>
        </w:rPr>
        <w:t>.</w:t>
      </w:r>
    </w:p>
  </w:footnote>
  <w:footnote w:id="6">
    <w:p w14:paraId="1B129EDC" w14:textId="57BA7985" w:rsidR="008A3D65" w:rsidRDefault="008A3D65" w:rsidP="002A6E91">
      <w:pPr>
        <w:pStyle w:val="FootnoteText"/>
      </w:pPr>
      <w:r>
        <w:rPr>
          <w:rStyle w:val="FootnoteReference"/>
        </w:rPr>
        <w:footnoteRef/>
      </w:r>
      <w:r>
        <w:t xml:space="preserve"> </w:t>
      </w:r>
      <w:r>
        <w:tab/>
        <w:t xml:space="preserve">D.20-03-014, Ordering Paragraph 2.  In its </w:t>
      </w:r>
      <w:r w:rsidRPr="00451E65">
        <w:rPr>
          <w:i/>
          <w:iCs/>
        </w:rPr>
        <w:t>Appeal</w:t>
      </w:r>
      <w:r>
        <w:t>, Lyft refers to this approach as a “novel and unprecedented procedure that applies only to TNCs.”  (</w:t>
      </w:r>
      <w:r w:rsidRPr="00451E65">
        <w:rPr>
          <w:i/>
          <w:iCs/>
        </w:rPr>
        <w:t>Appeal</w:t>
      </w:r>
      <w:r>
        <w:t>, at 1.)  To the extent that Lyft is implying that the process the Commission adopted is somehow legally unsound, the Commission rejects Lyft’s insinuation.</w:t>
      </w:r>
      <w:r w:rsidRPr="000145CE">
        <w:t xml:space="preserve"> </w:t>
      </w:r>
      <w:r>
        <w:t xml:space="preserve"> The Commission has adopted rules regarding confidential treatment in other situations (</w:t>
      </w:r>
      <w:r w:rsidRPr="00412C28">
        <w:rPr>
          <w:i/>
          <w:iCs/>
        </w:rPr>
        <w:t>See</w:t>
      </w:r>
      <w:r>
        <w:t xml:space="preserve">, </w:t>
      </w:r>
      <w:r w:rsidRPr="00412C28">
        <w:rPr>
          <w:i/>
          <w:iCs/>
        </w:rPr>
        <w:t>e.g</w:t>
      </w:r>
      <w:r>
        <w:t>., Decision 16-08-024 [</w:t>
      </w:r>
      <w:r w:rsidRPr="00412C28">
        <w:rPr>
          <w:i/>
          <w:iCs/>
        </w:rPr>
        <w:t>Decision Updating Commission Processes Relating to Potentially Confidential Documents</w:t>
      </w:r>
      <w:r>
        <w:t>]) so what was done in D.20</w:t>
      </w:r>
      <w:r>
        <w:noBreakHyphen/>
        <w:t>03</w:t>
      </w:r>
      <w:r>
        <w:noBreakHyphen/>
        <w:t>014 is consistent with how the Commission has resolved confidentiality issues in other proceedings.  The law is clear that when the Commission acts within the scope of its constitutionally granted authority, the Commission’s decisions and promulgated regulations must be treated with great deference by a reviewing court.  (</w:t>
      </w:r>
      <w:r w:rsidRPr="00916DE2">
        <w:rPr>
          <w:i/>
          <w:iCs/>
        </w:rPr>
        <w:t>See Pacific Gas &amp; Electric Co. Public Utilities Commission</w:t>
      </w:r>
      <w:r>
        <w:t xml:space="preserve"> (2015) 237 Cal.App.4</w:t>
      </w:r>
      <w:r w:rsidRPr="00451E65">
        <w:rPr>
          <w:vertAlign w:val="superscript"/>
        </w:rPr>
        <w:t>th</w:t>
      </w:r>
      <w:r>
        <w:t xml:space="preserve"> 812, 839 [“The PUC’s interpretation of its own regulations and decisions is entitled to consideration and respect by the courts.”].)</w:t>
      </w:r>
    </w:p>
  </w:footnote>
  <w:footnote w:id="7">
    <w:p w14:paraId="24C9387A" w14:textId="3D64A6D1" w:rsidR="008A3D65" w:rsidRDefault="008A3D65" w:rsidP="002A6E91">
      <w:pPr>
        <w:pStyle w:val="FootnoteText"/>
      </w:pPr>
      <w:r>
        <w:rPr>
          <w:rStyle w:val="FootnoteReference"/>
        </w:rPr>
        <w:footnoteRef/>
      </w:r>
      <w:r>
        <w:t xml:space="preserve"> </w:t>
      </w:r>
      <w:r>
        <w:tab/>
        <w:t xml:space="preserve">Lyft’s </w:t>
      </w:r>
      <w:r w:rsidRPr="005A1981">
        <w:rPr>
          <w:i/>
          <w:iCs/>
        </w:rPr>
        <w:t>Motion</w:t>
      </w:r>
      <w:r>
        <w:t xml:space="preserve"> is entitled </w:t>
      </w:r>
      <w:r w:rsidRPr="00E27BB3">
        <w:rPr>
          <w:i/>
          <w:iCs/>
        </w:rPr>
        <w:t>Motion for Confidential Treatment of Certain Information in its 2020</w:t>
      </w:r>
      <w:r>
        <w:rPr>
          <w:i/>
          <w:iCs/>
        </w:rPr>
        <w:t> </w:t>
      </w:r>
      <w:r w:rsidRPr="00E27BB3">
        <w:rPr>
          <w:i/>
          <w:iCs/>
        </w:rPr>
        <w:t>Annual Report</w:t>
      </w:r>
      <w:r>
        <w:t xml:space="preserve">.  Uber’s </w:t>
      </w:r>
      <w:r w:rsidRPr="005A1981">
        <w:rPr>
          <w:i/>
          <w:iCs/>
        </w:rPr>
        <w:t>Motion</w:t>
      </w:r>
      <w:r>
        <w:t xml:space="preserve"> is entitled </w:t>
      </w:r>
      <w:r w:rsidRPr="00E27BB3">
        <w:rPr>
          <w:i/>
          <w:iCs/>
        </w:rPr>
        <w:t>Motion for Leave to File Confidential Information under Seal</w:t>
      </w:r>
      <w:r>
        <w:t xml:space="preserve">.  Since only Lyft filed an appeal, this decision focuses only on the arguments and evidentiary support that Lyft raised. </w:t>
      </w:r>
    </w:p>
  </w:footnote>
  <w:footnote w:id="8">
    <w:p w14:paraId="1396DBF1" w14:textId="09F662E4" w:rsidR="008A3D65" w:rsidRDefault="008A3D65" w:rsidP="002A6E91">
      <w:pPr>
        <w:pStyle w:val="FootnoteText"/>
      </w:pPr>
      <w:r>
        <w:rPr>
          <w:rStyle w:val="FootnoteReference"/>
        </w:rPr>
        <w:footnoteRef/>
      </w:r>
      <w:r>
        <w:rPr>
          <w:szCs w:val="22"/>
        </w:rPr>
        <w:tab/>
      </w:r>
      <w:r>
        <w:t xml:space="preserve">Lyft’s </w:t>
      </w:r>
      <w:r w:rsidRPr="00E27BB3">
        <w:rPr>
          <w:i/>
          <w:iCs/>
        </w:rPr>
        <w:t>Motion</w:t>
      </w:r>
      <w:r>
        <w:t xml:space="preserve">, at 3-10. </w:t>
      </w:r>
    </w:p>
  </w:footnote>
  <w:footnote w:id="9">
    <w:p w14:paraId="0C0D2D19" w14:textId="0E228EC1" w:rsidR="008A3D65" w:rsidRDefault="008A3D65" w:rsidP="002A6E91">
      <w:pPr>
        <w:pStyle w:val="FootnoteText"/>
      </w:pPr>
      <w:r>
        <w:rPr>
          <w:rStyle w:val="FootnoteReference"/>
        </w:rPr>
        <w:footnoteRef/>
      </w:r>
      <w:r>
        <w:rPr>
          <w:szCs w:val="22"/>
        </w:rPr>
        <w:tab/>
      </w:r>
      <w:r>
        <w:t xml:space="preserve">Lyft’s </w:t>
      </w:r>
      <w:r w:rsidRPr="00DD0D3A">
        <w:rPr>
          <w:i/>
          <w:iCs/>
        </w:rPr>
        <w:t>Motion</w:t>
      </w:r>
      <w:r>
        <w:t>, at 14-16.</w:t>
      </w:r>
    </w:p>
  </w:footnote>
  <w:footnote w:id="10">
    <w:p w14:paraId="7087DE96" w14:textId="1A01262C" w:rsidR="008A3D65" w:rsidRDefault="008A3D65" w:rsidP="002A6E91">
      <w:pPr>
        <w:pStyle w:val="FootnoteText"/>
      </w:pPr>
      <w:r>
        <w:rPr>
          <w:rStyle w:val="FootnoteReference"/>
        </w:rPr>
        <w:footnoteRef/>
      </w:r>
      <w:r>
        <w:t xml:space="preserve"> </w:t>
      </w:r>
      <w:r>
        <w:tab/>
      </w:r>
      <w:r w:rsidRPr="00DD0D3A">
        <w:rPr>
          <w:i/>
          <w:iCs/>
        </w:rPr>
        <w:t>Resolution</w:t>
      </w:r>
      <w:r>
        <w:t xml:space="preserve">, Conclusions of Law </w:t>
      </w:r>
      <w:r w:rsidRPr="00A669F0">
        <w:t>¶¶</w:t>
      </w:r>
      <w:r>
        <w:t xml:space="preserve"> </w:t>
      </w:r>
      <w:r>
        <w:rPr>
          <w:rFonts w:cstheme="minorHAnsi"/>
        </w:rPr>
        <w:t>3-6</w:t>
      </w:r>
      <w:r>
        <w:t xml:space="preserve">, Ordering Paragraphs 1 and 2.  The Commission takes Official Notice of this </w:t>
      </w:r>
      <w:r w:rsidRPr="0005604B">
        <w:rPr>
          <w:i/>
          <w:iCs/>
        </w:rPr>
        <w:t>Resolution</w:t>
      </w:r>
      <w:r>
        <w:t xml:space="preserve"> pursuant to Rule 13.10 of the Commission’s Rules of Practice and Procedure.   </w:t>
      </w:r>
    </w:p>
  </w:footnote>
  <w:footnote w:id="11">
    <w:p w14:paraId="3F1ABE47" w14:textId="2F173CA7" w:rsidR="008A3D65" w:rsidRDefault="008A3D65" w:rsidP="002A6E91">
      <w:pPr>
        <w:pStyle w:val="FootnoteText"/>
      </w:pPr>
      <w:r>
        <w:rPr>
          <w:rStyle w:val="FootnoteReference"/>
        </w:rPr>
        <w:footnoteRef/>
      </w:r>
      <w:r>
        <w:t xml:space="preserve"> </w:t>
      </w:r>
      <w:r>
        <w:tab/>
        <w:t xml:space="preserve">Uber’s </w:t>
      </w:r>
      <w:r w:rsidRPr="005C7E37">
        <w:rPr>
          <w:i/>
          <w:iCs/>
        </w:rPr>
        <w:t>Motion,</w:t>
      </w:r>
      <w:r>
        <w:t xml:space="preserve"> at 12-13. Lyft’s </w:t>
      </w:r>
      <w:r w:rsidRPr="005C7E37">
        <w:rPr>
          <w:i/>
          <w:iCs/>
        </w:rPr>
        <w:t>Motion</w:t>
      </w:r>
      <w:r>
        <w:t>, at 16-23.</w:t>
      </w:r>
    </w:p>
  </w:footnote>
  <w:footnote w:id="12">
    <w:p w14:paraId="0CDC3B0D" w14:textId="72619814" w:rsidR="008A3D65" w:rsidRDefault="008A3D65" w:rsidP="003877B1">
      <w:pPr>
        <w:pStyle w:val="FootnoteText"/>
      </w:pPr>
      <w:r>
        <w:rPr>
          <w:rStyle w:val="FootnoteReference"/>
        </w:rPr>
        <w:footnoteRef/>
      </w:r>
      <w:r>
        <w:t xml:space="preserve"> </w:t>
      </w:r>
      <w:r>
        <w:tab/>
        <w:t xml:space="preserve">Lyft’s </w:t>
      </w:r>
      <w:r w:rsidRPr="00E426FD">
        <w:rPr>
          <w:i/>
          <w:iCs/>
        </w:rPr>
        <w:t>Motion</w:t>
      </w:r>
      <w:r>
        <w:t>, at 19-20,</w:t>
      </w:r>
      <w:r w:rsidRPr="00CA679C">
        <w:t xml:space="preserve"> </w:t>
      </w:r>
      <w:r>
        <w:t xml:space="preserve">and Declaration of Brett Collins (Collins Decl.), at </w:t>
      </w:r>
      <w:r>
        <w:rPr>
          <w:rFonts w:cstheme="minorHAnsi"/>
        </w:rPr>
        <w:t>16.</w:t>
      </w:r>
    </w:p>
  </w:footnote>
  <w:footnote w:id="13">
    <w:p w14:paraId="37832D14" w14:textId="1A9CD1B2" w:rsidR="008A3D65" w:rsidRDefault="008A3D65" w:rsidP="003877B1">
      <w:pPr>
        <w:pStyle w:val="FootnoteText"/>
      </w:pPr>
      <w:r w:rsidRPr="00261639">
        <w:rPr>
          <w:rStyle w:val="FootnoteReference"/>
          <w:szCs w:val="22"/>
        </w:rPr>
        <w:footnoteRef/>
      </w:r>
      <w:r>
        <w:rPr>
          <w:szCs w:val="22"/>
        </w:rPr>
        <w:t xml:space="preserve"> </w:t>
      </w:r>
      <w:r>
        <w:rPr>
          <w:szCs w:val="22"/>
        </w:rPr>
        <w:tab/>
      </w:r>
      <w:r>
        <w:t xml:space="preserve">While interlocutory review is not provided for expressly by the Commission’s Rules, Rule 13.6 states that where “in extraordinary circumstances, where prompt decision by the Commission is necessary to promote substantial justice, the assigned Commissioner </w:t>
      </w:r>
      <w:r w:rsidRPr="004C2C85">
        <w:t>or ALJ may</w:t>
      </w:r>
      <w:r>
        <w:t xml:space="preserve"> refer evidentiary rulings to the Commission for determination.” This language has been interpreted as providing for interlocutory appeals.</w:t>
      </w:r>
    </w:p>
  </w:footnote>
  <w:footnote w:id="14">
    <w:p w14:paraId="320583F7" w14:textId="656FD475" w:rsidR="008A3D65" w:rsidRPr="00E33632" w:rsidRDefault="008A3D65" w:rsidP="00316F92">
      <w:pPr>
        <w:pStyle w:val="FootnoteText"/>
        <w:rPr>
          <w:szCs w:val="22"/>
        </w:rPr>
      </w:pPr>
      <w:r w:rsidRPr="00E33632">
        <w:rPr>
          <w:rStyle w:val="FootnoteReference"/>
          <w:szCs w:val="22"/>
        </w:rPr>
        <w:footnoteRef/>
      </w:r>
      <w:r>
        <w:rPr>
          <w:szCs w:val="22"/>
        </w:rPr>
        <w:t xml:space="preserve"> </w:t>
      </w:r>
      <w:r>
        <w:rPr>
          <w:szCs w:val="22"/>
        </w:rPr>
        <w:tab/>
      </w:r>
      <w:r w:rsidRPr="00E33632">
        <w:rPr>
          <w:i/>
          <w:szCs w:val="22"/>
        </w:rPr>
        <w:t>See e.g., International Federation of Professional &amp; Technical Engineers, Local 21, AFL</w:t>
      </w:r>
      <w:r w:rsidRPr="00E33632">
        <w:rPr>
          <w:i/>
          <w:szCs w:val="22"/>
        </w:rPr>
        <w:noBreakHyphen/>
        <w:t>CIO v. Superior Court</w:t>
      </w:r>
      <w:r w:rsidRPr="00E33632">
        <w:rPr>
          <w:szCs w:val="22"/>
        </w:rPr>
        <w:t xml:space="preserve"> (2007) 42 Cal.4th 319, 328</w:t>
      </w:r>
      <w:r w:rsidRPr="00E33632">
        <w:rPr>
          <w:szCs w:val="22"/>
        </w:rPr>
        <w:noBreakHyphen/>
        <w:t>329.</w:t>
      </w:r>
    </w:p>
  </w:footnote>
  <w:footnote w:id="15">
    <w:p w14:paraId="40AF48D3" w14:textId="22EFD08F" w:rsidR="008A3D65" w:rsidRDefault="008A3D65" w:rsidP="00DB6D30">
      <w:pPr>
        <w:pStyle w:val="FootnoteText"/>
      </w:pPr>
      <w:r>
        <w:rPr>
          <w:rStyle w:val="FootnoteReference"/>
        </w:rPr>
        <w:footnoteRef/>
      </w:r>
      <w:r>
        <w:rPr>
          <w:szCs w:val="22"/>
        </w:rPr>
        <w:t xml:space="preserve"> </w:t>
      </w:r>
      <w:r w:rsidRPr="00E33632">
        <w:rPr>
          <w:szCs w:val="22"/>
        </w:rPr>
        <w:tab/>
      </w:r>
      <w:r w:rsidRPr="00DB6D30">
        <w:rPr>
          <w:i/>
          <w:szCs w:val="22"/>
        </w:rPr>
        <w:t>Filarsky</w:t>
      </w:r>
      <w:r w:rsidRPr="00994CA2">
        <w:rPr>
          <w:i/>
          <w:iCs/>
        </w:rPr>
        <w:t xml:space="preserve"> v. Superior Court</w:t>
      </w:r>
      <w:r>
        <w:t xml:space="preserve"> (2002) 28 Cal.4</w:t>
      </w:r>
      <w:r w:rsidRPr="004E20B4">
        <w:rPr>
          <w:vertAlign w:val="superscript"/>
        </w:rPr>
        <w:t>th</w:t>
      </w:r>
      <w:r>
        <w:t xml:space="preserve"> 419, 425.</w:t>
      </w:r>
    </w:p>
  </w:footnote>
  <w:footnote w:id="16">
    <w:p w14:paraId="18A474E9" w14:textId="3FEB3FAE" w:rsidR="008A3D65" w:rsidRPr="00E33632" w:rsidRDefault="008A3D65" w:rsidP="00316F92">
      <w:pPr>
        <w:pStyle w:val="FootnoteText"/>
        <w:rPr>
          <w:szCs w:val="22"/>
        </w:rPr>
      </w:pPr>
      <w:r w:rsidRPr="00E33632">
        <w:rPr>
          <w:szCs w:val="22"/>
          <w:vertAlign w:val="superscript"/>
        </w:rPr>
        <w:footnoteRef/>
      </w:r>
      <w:r w:rsidRPr="00E33632">
        <w:rPr>
          <w:szCs w:val="22"/>
        </w:rPr>
        <w:t xml:space="preserve"> </w:t>
      </w:r>
      <w:r w:rsidRPr="00E33632">
        <w:rPr>
          <w:szCs w:val="22"/>
        </w:rPr>
        <w:tab/>
      </w:r>
      <w:r w:rsidRPr="00E33632">
        <w:rPr>
          <w:i/>
          <w:szCs w:val="22"/>
        </w:rPr>
        <w:t>Roberts v. City of Palmdale</w:t>
      </w:r>
      <w:r w:rsidRPr="00E33632">
        <w:rPr>
          <w:szCs w:val="22"/>
        </w:rPr>
        <w:t xml:space="preserve"> (1993) 5 Cal.4th 363, 370. </w:t>
      </w:r>
      <w:r>
        <w:rPr>
          <w:szCs w:val="22"/>
        </w:rPr>
        <w:t xml:space="preserve"> </w:t>
      </w:r>
      <w:r w:rsidRPr="00E33632">
        <w:rPr>
          <w:szCs w:val="22"/>
        </w:rPr>
        <w:t>(“The Public Records Act, section 6250 </w:t>
      </w:r>
      <w:r w:rsidRPr="00E33632">
        <w:rPr>
          <w:i/>
          <w:iCs/>
          <w:szCs w:val="22"/>
        </w:rPr>
        <w:t>et seq</w:t>
      </w:r>
      <w:r w:rsidRPr="00E33632">
        <w:rPr>
          <w:szCs w:val="22"/>
        </w:rPr>
        <w:t xml:space="preserve">., was enacted in 1968 and provides that “every person has a right to inspect any public record, except as hereafter provided.”  (§ 6253, subd. (a).)  </w:t>
      </w:r>
    </w:p>
  </w:footnote>
  <w:footnote w:id="17">
    <w:p w14:paraId="7825C620" w14:textId="35743C7A" w:rsidR="008A3D65" w:rsidRPr="00E33632" w:rsidRDefault="008A3D65" w:rsidP="00316F92">
      <w:pPr>
        <w:pStyle w:val="FootnoteText"/>
        <w:rPr>
          <w:szCs w:val="22"/>
        </w:rPr>
      </w:pPr>
      <w:r w:rsidRPr="00E33632">
        <w:rPr>
          <w:rStyle w:val="FootnoteReference"/>
          <w:szCs w:val="22"/>
        </w:rPr>
        <w:footnoteRef/>
      </w:r>
      <w:r>
        <w:rPr>
          <w:szCs w:val="22"/>
        </w:rPr>
        <w:t xml:space="preserve"> </w:t>
      </w:r>
      <w:r>
        <w:rPr>
          <w:szCs w:val="22"/>
        </w:rPr>
        <w:tab/>
      </w:r>
      <w:r w:rsidRPr="00E33632">
        <w:rPr>
          <w:i/>
          <w:iCs/>
          <w:szCs w:val="22"/>
        </w:rPr>
        <w:t>See</w:t>
      </w:r>
      <w:r w:rsidRPr="00E33632">
        <w:rPr>
          <w:szCs w:val="22"/>
        </w:rPr>
        <w:t xml:space="preserve"> </w:t>
      </w:r>
      <w:r>
        <w:rPr>
          <w:szCs w:val="22"/>
        </w:rPr>
        <w:t xml:space="preserve">also </w:t>
      </w:r>
      <w:r w:rsidRPr="00E33632">
        <w:rPr>
          <w:szCs w:val="22"/>
        </w:rPr>
        <w:t>Gov</w:t>
      </w:r>
      <w:r>
        <w:rPr>
          <w:szCs w:val="22"/>
        </w:rPr>
        <w:t>ernment</w:t>
      </w:r>
      <w:r w:rsidRPr="00E33632">
        <w:rPr>
          <w:szCs w:val="22"/>
        </w:rPr>
        <w:t xml:space="preserve"> Code § 6250.  </w:t>
      </w:r>
    </w:p>
  </w:footnote>
  <w:footnote w:id="18">
    <w:p w14:paraId="5C2EBA03" w14:textId="77777777" w:rsidR="008A3D65" w:rsidRPr="00E33632" w:rsidRDefault="008A3D65" w:rsidP="00316F92">
      <w:pPr>
        <w:pStyle w:val="FootnoteText"/>
        <w:rPr>
          <w:szCs w:val="22"/>
        </w:rPr>
      </w:pPr>
      <w:r w:rsidRPr="00E33632">
        <w:rPr>
          <w:rStyle w:val="FootnoteReference"/>
          <w:szCs w:val="22"/>
        </w:rPr>
        <w:footnoteRef/>
      </w:r>
      <w:r w:rsidRPr="00E33632">
        <w:rPr>
          <w:szCs w:val="22"/>
        </w:rPr>
        <w:t xml:space="preserve"> </w:t>
      </w:r>
      <w:r w:rsidRPr="00E33632">
        <w:rPr>
          <w:szCs w:val="22"/>
        </w:rPr>
        <w:tab/>
        <w:t>Gov</w:t>
      </w:r>
      <w:r>
        <w:rPr>
          <w:szCs w:val="22"/>
        </w:rPr>
        <w:t>ernment</w:t>
      </w:r>
      <w:r w:rsidRPr="00E33632">
        <w:rPr>
          <w:szCs w:val="22"/>
        </w:rPr>
        <w:t xml:space="preserve"> Code § 6253.4(b).</w:t>
      </w:r>
    </w:p>
  </w:footnote>
  <w:footnote w:id="19">
    <w:p w14:paraId="07A2FB68" w14:textId="77777777" w:rsidR="008A3D65" w:rsidRPr="00C87D2B" w:rsidRDefault="008A3D65" w:rsidP="00316F92">
      <w:pPr>
        <w:pStyle w:val="FootnoteText"/>
        <w:rPr>
          <w:szCs w:val="22"/>
        </w:rPr>
      </w:pPr>
      <w:r w:rsidRPr="00E33632">
        <w:rPr>
          <w:rStyle w:val="FootnoteReference"/>
          <w:szCs w:val="22"/>
        </w:rPr>
        <w:footnoteRef/>
      </w:r>
      <w:r w:rsidRPr="00E33632">
        <w:rPr>
          <w:szCs w:val="22"/>
        </w:rPr>
        <w:t xml:space="preserve"> </w:t>
      </w:r>
      <w:r w:rsidRPr="00E33632">
        <w:rPr>
          <w:szCs w:val="22"/>
        </w:rPr>
        <w:tab/>
      </w:r>
      <w:r w:rsidRPr="00E33632">
        <w:rPr>
          <w:i/>
          <w:iCs/>
          <w:szCs w:val="22"/>
        </w:rPr>
        <w:t>See</w:t>
      </w:r>
      <w:r w:rsidRPr="00E33632">
        <w:rPr>
          <w:szCs w:val="22"/>
        </w:rPr>
        <w:t xml:space="preserve"> D.17-09-023 at 11-12, 14.</w:t>
      </w:r>
    </w:p>
  </w:footnote>
  <w:footnote w:id="20">
    <w:p w14:paraId="129370FE" w14:textId="53958D09" w:rsidR="008A3D65" w:rsidRPr="000F7053" w:rsidRDefault="008A3D65" w:rsidP="00316F92">
      <w:pPr>
        <w:pStyle w:val="FootnoteText"/>
        <w:rPr>
          <w:szCs w:val="22"/>
        </w:rPr>
      </w:pPr>
      <w:r w:rsidRPr="00E33632">
        <w:rPr>
          <w:rStyle w:val="FootnoteReference"/>
          <w:szCs w:val="22"/>
        </w:rPr>
        <w:footnoteRef/>
      </w:r>
      <w:r>
        <w:rPr>
          <w:szCs w:val="22"/>
        </w:rPr>
        <w:t xml:space="preserve"> </w:t>
      </w:r>
      <w:r>
        <w:rPr>
          <w:szCs w:val="22"/>
        </w:rPr>
        <w:tab/>
      </w:r>
      <w:r w:rsidRPr="00E33632">
        <w:rPr>
          <w:szCs w:val="22"/>
        </w:rPr>
        <w:t xml:space="preserve">D.20-03-014 </w:t>
      </w:r>
      <w:r w:rsidRPr="000F7053">
        <w:rPr>
          <w:szCs w:val="22"/>
        </w:rPr>
        <w:t>at 23.</w:t>
      </w:r>
    </w:p>
  </w:footnote>
  <w:footnote w:id="21">
    <w:p w14:paraId="1D7524AE" w14:textId="3B883E23" w:rsidR="008A3D65" w:rsidRDefault="008A3D65" w:rsidP="004B4A5E">
      <w:pPr>
        <w:pStyle w:val="FootnoteText"/>
      </w:pPr>
      <w:r>
        <w:rPr>
          <w:rStyle w:val="FootnoteReference"/>
        </w:rPr>
        <w:footnoteRef/>
      </w:r>
      <w:r>
        <w:rPr>
          <w:szCs w:val="22"/>
        </w:rPr>
        <w:t xml:space="preserve"> </w:t>
      </w:r>
      <w:r>
        <w:rPr>
          <w:szCs w:val="22"/>
        </w:rPr>
        <w:tab/>
      </w:r>
      <w:r>
        <w:t>GO 66-D, 3.2 sets the showing in informal proceedings:</w:t>
      </w:r>
      <w:r w:rsidRPr="00430D6F">
        <w:rPr>
          <w:sz w:val="26"/>
          <w:szCs w:val="22"/>
        </w:rPr>
        <w:t xml:space="preserve"> </w:t>
      </w:r>
      <w:r>
        <w:rPr>
          <w:sz w:val="26"/>
          <w:szCs w:val="22"/>
        </w:rPr>
        <w:t xml:space="preserve"> “</w:t>
      </w:r>
      <w:r w:rsidRPr="00430D6F">
        <w:t>An information submitter bears the burden of proving the reasons why the Commission shall withhold any information, or any portion thereof, from the public.</w:t>
      </w:r>
      <w:r>
        <w:t>”</w:t>
      </w:r>
    </w:p>
  </w:footnote>
  <w:footnote w:id="22">
    <w:p w14:paraId="6BACD595" w14:textId="3806F9FE" w:rsidR="008A3D65" w:rsidRDefault="008A3D65" w:rsidP="004B4A5E">
      <w:pPr>
        <w:pStyle w:val="FootnoteText"/>
      </w:pPr>
      <w:r>
        <w:rPr>
          <w:rStyle w:val="FootnoteReference"/>
        </w:rPr>
        <w:footnoteRef/>
      </w:r>
      <w:r>
        <w:t xml:space="preserve"> </w:t>
      </w:r>
      <w:r>
        <w:tab/>
        <w:t>GO 66-D, 3.3 sets the showing in formal proceedings:</w:t>
      </w:r>
      <w:r w:rsidRPr="00430D6F">
        <w:rPr>
          <w:sz w:val="26"/>
          <w:szCs w:val="22"/>
        </w:rPr>
        <w:t xml:space="preserve"> </w:t>
      </w:r>
      <w:r>
        <w:rPr>
          <w:sz w:val="26"/>
          <w:szCs w:val="22"/>
        </w:rPr>
        <w:t xml:space="preserve"> “</w:t>
      </w:r>
      <w:r w:rsidRPr="00430D6F">
        <w:t>To obtain confidential treatment of information to be filed in the docket of a formal proceeding, the information submitter must file a motion pursuant to Rule 11.4 of the</w:t>
      </w:r>
      <w:r>
        <w:t xml:space="preserve"> Commission’s Rules, or comply with a process established by the Administrative Law Judge for that specific proceeding.”</w:t>
      </w:r>
    </w:p>
  </w:footnote>
  <w:footnote w:id="23">
    <w:p w14:paraId="0FC5537B" w14:textId="7C11D451" w:rsidR="008A3D65" w:rsidRPr="009C76EC" w:rsidRDefault="008A3D65" w:rsidP="004B4A5E">
      <w:pPr>
        <w:pStyle w:val="FootnoteText"/>
        <w:spacing w:line="240" w:lineRule="exact"/>
        <w:rPr>
          <w:rFonts w:ascii="Palatino" w:hAnsi="Palatino"/>
          <w:szCs w:val="24"/>
        </w:rPr>
      </w:pPr>
      <w:r>
        <w:rPr>
          <w:rStyle w:val="FootnoteReference"/>
        </w:rPr>
        <w:footnoteRef/>
      </w:r>
      <w:r>
        <w:rPr>
          <w:i/>
          <w:iCs/>
        </w:rPr>
        <w:t xml:space="preserve"> </w:t>
      </w:r>
      <w:r>
        <w:tab/>
      </w:r>
      <w:r w:rsidRPr="00F27C13">
        <w:rPr>
          <w:i/>
          <w:iCs/>
        </w:rPr>
        <w:t>See</w:t>
      </w:r>
      <w:r>
        <w:t xml:space="preserve">, </w:t>
      </w:r>
      <w:r w:rsidRPr="00F27C13">
        <w:rPr>
          <w:i/>
          <w:iCs/>
        </w:rPr>
        <w:t>e.g</w:t>
      </w:r>
      <w:r>
        <w:t xml:space="preserve">., Decision 19-09-017, at 20, for applications (“As the Applicant, Cal-Am must meet the burden of proving that it is entitled to the relief it is seeking in this proceeding.  Cal-Am has the burden of affirmatively establishing the reasonableness of its projections of supply and demand.”)  For complaint cases, </w:t>
      </w:r>
      <w:r w:rsidRPr="00E43C1C">
        <w:rPr>
          <w:i/>
          <w:iCs/>
        </w:rPr>
        <w:t>see</w:t>
      </w:r>
      <w:r w:rsidRPr="005E10D9">
        <w:rPr>
          <w:rFonts w:ascii="Palatino" w:hAnsi="Palatino"/>
          <w:szCs w:val="24"/>
        </w:rPr>
        <w:t xml:space="preserve"> </w:t>
      </w:r>
      <w:r w:rsidRPr="00E43C1C">
        <w:rPr>
          <w:rFonts w:ascii="Palatino" w:hAnsi="Palatino"/>
          <w:i/>
          <w:iCs/>
          <w:szCs w:val="24"/>
        </w:rPr>
        <w:t>Complaint of Service-All-Tech, Inc. v. PT&amp;T Co</w:t>
      </w:r>
      <w:r>
        <w:rPr>
          <w:rFonts w:ascii="Palatino" w:hAnsi="Palatino"/>
          <w:szCs w:val="24"/>
        </w:rPr>
        <w:t xml:space="preserve">. (Cal. PUC, 1977) 83 CPUC 135, Decision No. 88223 (complaint relating to the disconnection of telephone service where the court found that complainant had the burden of proof and that complainant’s “failure to present any evidence present[ed] a total lack of meeting that burden”).  </w:t>
      </w:r>
      <w:r>
        <w:rPr>
          <w:rFonts w:ascii="Palatino" w:hAnsi="Palatino"/>
          <w:i/>
          <w:szCs w:val="24"/>
        </w:rPr>
        <w:t>See</w:t>
      </w:r>
      <w:r>
        <w:rPr>
          <w:rFonts w:ascii="Palatino" w:hAnsi="Palatino"/>
          <w:szCs w:val="24"/>
        </w:rPr>
        <w:t xml:space="preserve"> also Pacific Bell Telephone Company, d/b/a AT&amp;T </w:t>
      </w:r>
      <w:r>
        <w:rPr>
          <w:rFonts w:ascii="Palatino" w:hAnsi="Palatino"/>
          <w:i/>
          <w:szCs w:val="24"/>
        </w:rPr>
        <w:t>California vs. Fones4All Corporation</w:t>
      </w:r>
      <w:r>
        <w:rPr>
          <w:rFonts w:ascii="Palatino" w:hAnsi="Palatino"/>
          <w:szCs w:val="24"/>
        </w:rPr>
        <w:t xml:space="preserve"> (Cal. PUC, 2008) Decision 08-04-043, 2008 Cal. PUC LEXIS 132.</w:t>
      </w:r>
    </w:p>
  </w:footnote>
  <w:footnote w:id="24">
    <w:p w14:paraId="6AFB694A" w14:textId="6EF2C842" w:rsidR="008A3D65" w:rsidRDefault="008A3D65" w:rsidP="004B4A5E">
      <w:pPr>
        <w:pStyle w:val="FootnoteText"/>
      </w:pPr>
      <w:r>
        <w:rPr>
          <w:rStyle w:val="FootnoteReference"/>
        </w:rPr>
        <w:footnoteRef/>
      </w:r>
      <w:r>
        <w:t xml:space="preserve"> </w:t>
      </w:r>
      <w:r>
        <w:tab/>
      </w:r>
      <w:r w:rsidRPr="00C340E0">
        <w:rPr>
          <w:i/>
          <w:iCs/>
        </w:rPr>
        <w:t>Appeal</w:t>
      </w:r>
      <w:r>
        <w:t>, at 15-16.</w:t>
      </w:r>
    </w:p>
  </w:footnote>
  <w:footnote w:id="25">
    <w:p w14:paraId="5E82E0D6" w14:textId="303AE03B" w:rsidR="008A3D65" w:rsidRDefault="008A3D65" w:rsidP="004B4A5E">
      <w:pPr>
        <w:pStyle w:val="FootnoteText"/>
      </w:pPr>
      <w:r>
        <w:rPr>
          <w:rStyle w:val="FootnoteReference"/>
        </w:rPr>
        <w:footnoteRef/>
      </w:r>
      <w:r>
        <w:t xml:space="preserve"> </w:t>
      </w:r>
      <w:r>
        <w:tab/>
      </w:r>
      <w:r w:rsidRPr="00B41AFA">
        <w:rPr>
          <w:i/>
          <w:iCs/>
        </w:rPr>
        <w:t>Appeal</w:t>
      </w:r>
      <w:r>
        <w:t>, at 18.</w:t>
      </w:r>
    </w:p>
  </w:footnote>
  <w:footnote w:id="26">
    <w:p w14:paraId="77407BFF" w14:textId="5F803BF0" w:rsidR="008A3D65" w:rsidRDefault="008A3D65" w:rsidP="004B4A5E">
      <w:pPr>
        <w:pStyle w:val="FootnoteText"/>
      </w:pPr>
      <w:r>
        <w:rPr>
          <w:rStyle w:val="FootnoteReference"/>
        </w:rPr>
        <w:footnoteRef/>
      </w:r>
      <w:r>
        <w:t xml:space="preserve"> </w:t>
      </w:r>
      <w:r>
        <w:tab/>
      </w:r>
      <w:r w:rsidRPr="00101101">
        <w:rPr>
          <w:i/>
          <w:iCs/>
        </w:rPr>
        <w:t>Appeal</w:t>
      </w:r>
      <w:r>
        <w:t>, at 16.</w:t>
      </w:r>
    </w:p>
  </w:footnote>
  <w:footnote w:id="27">
    <w:p w14:paraId="24E345AA" w14:textId="02F77B29" w:rsidR="008A3D65" w:rsidRDefault="008A3D65" w:rsidP="004B4A5E">
      <w:pPr>
        <w:pStyle w:val="FootnoteText"/>
      </w:pPr>
      <w:r>
        <w:rPr>
          <w:rStyle w:val="FootnoteReference"/>
        </w:rPr>
        <w:footnoteRef/>
      </w:r>
      <w:r>
        <w:t xml:space="preserve"> </w:t>
      </w:r>
      <w:r>
        <w:tab/>
      </w:r>
      <w:r w:rsidRPr="001A1E98">
        <w:rPr>
          <w:i/>
          <w:iCs/>
        </w:rPr>
        <w:t>See Los Angeles Unified School District v. Superior Court</w:t>
      </w:r>
      <w:r>
        <w:t xml:space="preserve"> (2014) 228 Cal.App.4</w:t>
      </w:r>
      <w:r w:rsidRPr="001A1E98">
        <w:rPr>
          <w:vertAlign w:val="superscript"/>
        </w:rPr>
        <w:t>th</w:t>
      </w:r>
      <w:r>
        <w:t xml:space="preserve"> 222, 249 (Identity of public employees would not shed light on an agency’s performance).</w:t>
      </w:r>
    </w:p>
  </w:footnote>
  <w:footnote w:id="28">
    <w:p w14:paraId="051C6019" w14:textId="6B8D041D" w:rsidR="008A3D65" w:rsidRDefault="008A3D65" w:rsidP="004B4A5E">
      <w:pPr>
        <w:pStyle w:val="FootnoteText"/>
      </w:pPr>
      <w:r>
        <w:rPr>
          <w:rStyle w:val="FootnoteReference"/>
        </w:rPr>
        <w:footnoteRef/>
      </w:r>
      <w:r>
        <w:t xml:space="preserve"> </w:t>
      </w:r>
      <w:r>
        <w:tab/>
      </w:r>
      <w:r w:rsidRPr="00EE2743">
        <w:rPr>
          <w:i/>
          <w:iCs/>
        </w:rPr>
        <w:t>Appeal</w:t>
      </w:r>
      <w:r>
        <w:t>, at 11.</w:t>
      </w:r>
    </w:p>
  </w:footnote>
  <w:footnote w:id="29">
    <w:p w14:paraId="05F38D91" w14:textId="2486C4CF" w:rsidR="008A3D65" w:rsidRDefault="008A3D65" w:rsidP="004B4A5E">
      <w:pPr>
        <w:pStyle w:val="FootnoteText"/>
      </w:pPr>
      <w:r>
        <w:rPr>
          <w:rStyle w:val="FootnoteReference"/>
        </w:rPr>
        <w:footnoteRef/>
      </w:r>
      <w:r>
        <w:t xml:space="preserve"> </w:t>
      </w:r>
      <w:r>
        <w:tab/>
        <w:t xml:space="preserve">(S.D.N.Y. 2019 373 F.Supp.3d 467, 484, </w:t>
      </w:r>
      <w:r w:rsidRPr="00875E21">
        <w:rPr>
          <w:i/>
          <w:iCs/>
        </w:rPr>
        <w:t>appeal withdrawn</w:t>
      </w:r>
      <w:r>
        <w:t>, No. 19-288, 2019.</w:t>
      </w:r>
    </w:p>
  </w:footnote>
  <w:footnote w:id="30">
    <w:p w14:paraId="6B8AA700" w14:textId="51C43E11" w:rsidR="008A3D65" w:rsidRDefault="008A3D65" w:rsidP="00860F53">
      <w:pPr>
        <w:pStyle w:val="FootnoteText"/>
      </w:pPr>
      <w:r>
        <w:rPr>
          <w:rStyle w:val="FootnoteReference"/>
        </w:rPr>
        <w:footnoteRef/>
      </w:r>
      <w:r>
        <w:t xml:space="preserve"> </w:t>
      </w:r>
      <w:r>
        <w:tab/>
        <w:t xml:space="preserve">(D. Mass. 2019) 386 F.Supp.3d 113, 125, </w:t>
      </w:r>
      <w:r w:rsidRPr="00875E21">
        <w:rPr>
          <w:i/>
          <w:iCs/>
        </w:rPr>
        <w:t>appeal dismissed</w:t>
      </w:r>
      <w:r>
        <w:t xml:space="preserve"> (1</w:t>
      </w:r>
      <w:r w:rsidRPr="00875E21">
        <w:rPr>
          <w:vertAlign w:val="superscript"/>
        </w:rPr>
        <w:t>st</w:t>
      </w:r>
      <w:r>
        <w:t xml:space="preserve"> Cir., Sept. 3, 2019).</w:t>
      </w:r>
    </w:p>
  </w:footnote>
  <w:footnote w:id="31">
    <w:p w14:paraId="0973067F" w14:textId="10C49E93" w:rsidR="008A3D65" w:rsidRDefault="008A3D65" w:rsidP="00860F53">
      <w:pPr>
        <w:pStyle w:val="FootnoteText"/>
      </w:pPr>
      <w:r>
        <w:rPr>
          <w:rStyle w:val="FootnoteReference"/>
        </w:rPr>
        <w:footnoteRef/>
      </w:r>
      <w:r>
        <w:t xml:space="preserve"> </w:t>
      </w:r>
      <w:r>
        <w:tab/>
      </w:r>
      <w:r w:rsidRPr="00034C1D">
        <w:rPr>
          <w:i/>
          <w:iCs/>
        </w:rPr>
        <w:t>Appeal</w:t>
      </w:r>
      <w:r>
        <w:t>, at 12-13.</w:t>
      </w:r>
    </w:p>
  </w:footnote>
  <w:footnote w:id="32">
    <w:p w14:paraId="11CE4E90" w14:textId="3F2A7925" w:rsidR="008A3D65" w:rsidRDefault="008A3D65" w:rsidP="00860F53">
      <w:pPr>
        <w:pStyle w:val="FootnoteText"/>
      </w:pPr>
      <w:r>
        <w:rPr>
          <w:rStyle w:val="FootnoteReference"/>
        </w:rPr>
        <w:footnoteRef/>
      </w:r>
      <w:r>
        <w:t xml:space="preserve"> </w:t>
      </w:r>
      <w:r>
        <w:tab/>
      </w:r>
      <w:r w:rsidRPr="00DE4D35">
        <w:rPr>
          <w:i/>
          <w:iCs/>
        </w:rPr>
        <w:t>Appeal</w:t>
      </w:r>
      <w:r>
        <w:t>, at 12.</w:t>
      </w:r>
    </w:p>
  </w:footnote>
  <w:footnote w:id="33">
    <w:p w14:paraId="7A1C5FA8" w14:textId="1C51C3CD" w:rsidR="008A3D65" w:rsidRDefault="008A3D65" w:rsidP="00860F53">
      <w:pPr>
        <w:pStyle w:val="FootnoteText"/>
      </w:pPr>
      <w:r>
        <w:rPr>
          <w:rStyle w:val="FootnoteReference"/>
        </w:rPr>
        <w:footnoteRef/>
      </w:r>
      <w:r>
        <w:t xml:space="preserve"> </w:t>
      </w:r>
      <w:r>
        <w:tab/>
      </w:r>
      <w:r w:rsidRPr="00C87A6D">
        <w:rPr>
          <w:i/>
          <w:iCs/>
        </w:rPr>
        <w:t>Airbnb New York, supra</w:t>
      </w:r>
      <w:r>
        <w:t xml:space="preserve">, 373 F.Supp.3d at 474.  The ordinance at issue in </w:t>
      </w:r>
      <w:r w:rsidRPr="00C87A6D">
        <w:rPr>
          <w:i/>
          <w:iCs/>
        </w:rPr>
        <w:t>Airbnb Boston</w:t>
      </w:r>
      <w:r>
        <w:t xml:space="preserve"> contained similar reporting requirements.  386 F.Supp.3d at 118 quotes Section 9-14.11 of the Boston Ordinance:  “</w:t>
      </w:r>
      <w:r w:rsidRPr="00D20316">
        <w:t xml:space="preserve">A Booking Agent shall provide to the City, on a monthly basis, an electronic report, in a format determined by the City, ... of the listings maintained, authorized, facilitated or advertised by the Booking Agent within the City of Boston for the applicable reporting period. </w:t>
      </w:r>
      <w:r>
        <w:t xml:space="preserve"> </w:t>
      </w:r>
      <w:r w:rsidRPr="00D20316">
        <w:t>The report shall include a breakdown of where the listings are located, whether the listing is for a room or a whole unit</w:t>
      </w:r>
      <w:r>
        <w:t>[.]”</w:t>
      </w:r>
    </w:p>
  </w:footnote>
  <w:footnote w:id="34">
    <w:p w14:paraId="29C55C31" w14:textId="2D118C33" w:rsidR="008A3D65" w:rsidRDefault="008A3D65">
      <w:pPr>
        <w:pStyle w:val="FootnoteText"/>
      </w:pPr>
      <w:r>
        <w:rPr>
          <w:rStyle w:val="FootnoteReference"/>
        </w:rPr>
        <w:footnoteRef/>
      </w:r>
      <w:r>
        <w:t xml:space="preserve"> </w:t>
      </w:r>
      <w:r>
        <w:tab/>
        <w:t>(</w:t>
      </w:r>
      <w:r w:rsidRPr="009C76EC">
        <w:rPr>
          <w:i/>
          <w:iCs/>
        </w:rPr>
        <w:t>See</w:t>
      </w:r>
      <w:r>
        <w:t xml:space="preserve">, </w:t>
      </w:r>
      <w:r w:rsidRPr="009C76EC">
        <w:rPr>
          <w:i/>
          <w:iCs/>
        </w:rPr>
        <w:t>e.g</w:t>
      </w:r>
      <w:r>
        <w:t>., Government Code § 6254(c) [personnel, medical or similar files]; and Government Code § 6254.16 [utility customer information unless disclosure is authorized by recognized exception].)</w:t>
      </w:r>
    </w:p>
  </w:footnote>
  <w:footnote w:id="35">
    <w:p w14:paraId="125BE138" w14:textId="3DDD6689" w:rsidR="008A3D65" w:rsidRDefault="008A3D65">
      <w:pPr>
        <w:pStyle w:val="FootnoteText"/>
      </w:pPr>
      <w:r>
        <w:rPr>
          <w:rStyle w:val="FootnoteReference"/>
        </w:rPr>
        <w:footnoteRef/>
      </w:r>
      <w:r>
        <w:t xml:space="preserve"> </w:t>
      </w:r>
      <w:r>
        <w:tab/>
      </w:r>
      <w:r w:rsidRPr="00E16E3D">
        <w:rPr>
          <w:i/>
          <w:iCs/>
        </w:rPr>
        <w:t>See Ruling</w:t>
      </w:r>
      <w:r>
        <w:t>, at 8 (“Moving Parties argue that the driver’s personal information [</w:t>
      </w:r>
      <w:r w:rsidRPr="00E16E3D">
        <w:rPr>
          <w:i/>
          <w:iCs/>
        </w:rPr>
        <w:t>i.e</w:t>
      </w:r>
      <w:r>
        <w:t xml:space="preserve">. driver’s first and last name, middle initial, type of identification, the driver’s driver license state of issuance, number, expiration date, and VIN of the vehicle] should be treated as confidential. This </w:t>
      </w:r>
      <w:r w:rsidRPr="00E16E3D">
        <w:rPr>
          <w:i/>
          <w:iCs/>
        </w:rPr>
        <w:t>Ruling</w:t>
      </w:r>
      <w:r>
        <w:t xml:space="preserve"> agrees with that request.”)</w:t>
      </w:r>
    </w:p>
  </w:footnote>
  <w:footnote w:id="36">
    <w:p w14:paraId="6BCF40A7" w14:textId="37EE1D4C" w:rsidR="008A3D65" w:rsidRPr="00F94F79" w:rsidRDefault="008A3D65" w:rsidP="0040238D">
      <w:pPr>
        <w:pStyle w:val="FootnoteText"/>
      </w:pPr>
      <w:r w:rsidRPr="00F94F79">
        <w:rPr>
          <w:rStyle w:val="FootnoteReference"/>
        </w:rPr>
        <w:footnoteRef/>
      </w:r>
      <w:r>
        <w:t xml:space="preserve"> </w:t>
      </w:r>
      <w:r>
        <w:tab/>
        <w:t>D.13-09-045, at</w:t>
      </w:r>
      <w:r w:rsidRPr="00F94F79">
        <w:t xml:space="preserve"> 23.</w:t>
      </w:r>
    </w:p>
  </w:footnote>
  <w:footnote w:id="37">
    <w:p w14:paraId="08F0399D" w14:textId="0A501DF3" w:rsidR="008A3D65" w:rsidRDefault="008A3D65" w:rsidP="0040238D">
      <w:pPr>
        <w:pStyle w:val="FootnoteText"/>
      </w:pPr>
      <w:r w:rsidRPr="00F94F79">
        <w:rPr>
          <w:rStyle w:val="FootnoteReference"/>
        </w:rPr>
        <w:footnoteRef/>
      </w:r>
      <w:r>
        <w:t xml:space="preserve"> </w:t>
      </w:r>
      <w:r>
        <w:tab/>
      </w:r>
      <w:r w:rsidRPr="00F94F79">
        <w:rPr>
          <w:i/>
        </w:rPr>
        <w:t>Id</w:t>
      </w:r>
      <w:r w:rsidRPr="00F94F79">
        <w:t>.</w:t>
      </w:r>
    </w:p>
  </w:footnote>
  <w:footnote w:id="38">
    <w:p w14:paraId="10E3FB7D" w14:textId="31FEFE25" w:rsidR="008A3D65" w:rsidRDefault="008A3D65">
      <w:pPr>
        <w:pStyle w:val="FootnoteText"/>
      </w:pPr>
      <w:r>
        <w:rPr>
          <w:rStyle w:val="FootnoteReference"/>
        </w:rPr>
        <w:footnoteRef/>
      </w:r>
      <w:r>
        <w:t xml:space="preserve"> </w:t>
      </w:r>
      <w:r>
        <w:tab/>
      </w:r>
      <w:r w:rsidRPr="00661C6E">
        <w:rPr>
          <w:i/>
          <w:iCs/>
        </w:rPr>
        <w:t>Appeal</w:t>
      </w:r>
      <w:r>
        <w:t>, at 13.</w:t>
      </w:r>
    </w:p>
  </w:footnote>
  <w:footnote w:id="39">
    <w:p w14:paraId="3BA1A322" w14:textId="49A58CB5" w:rsidR="008A3D65" w:rsidRDefault="008A3D65">
      <w:pPr>
        <w:pStyle w:val="FootnoteText"/>
      </w:pPr>
      <w:r>
        <w:rPr>
          <w:rStyle w:val="FootnoteReference"/>
        </w:rPr>
        <w:footnoteRef/>
      </w:r>
      <w:r>
        <w:t xml:space="preserve"> </w:t>
      </w:r>
      <w:r>
        <w:tab/>
      </w:r>
      <w:r w:rsidRPr="005866E4">
        <w:rPr>
          <w:i/>
          <w:iCs/>
        </w:rPr>
        <w:t>Appeal</w:t>
      </w:r>
      <w:r>
        <w:t>, at 14.</w:t>
      </w:r>
    </w:p>
  </w:footnote>
  <w:footnote w:id="40">
    <w:p w14:paraId="25E27D27" w14:textId="4332E0D2" w:rsidR="008A3D65" w:rsidRPr="004F0DE6" w:rsidRDefault="008A3D65" w:rsidP="00EB7D80">
      <w:pPr>
        <w:pStyle w:val="FootnoteText"/>
        <w:rPr>
          <w:i/>
          <w:szCs w:val="22"/>
        </w:rPr>
      </w:pPr>
      <w:r w:rsidRPr="006A677B">
        <w:rPr>
          <w:rStyle w:val="FootnoteReference"/>
          <w:szCs w:val="22"/>
        </w:rPr>
        <w:footnoteRef/>
      </w:r>
      <w:r>
        <w:rPr>
          <w:szCs w:val="22"/>
        </w:rPr>
        <w:t xml:space="preserve"> </w:t>
      </w:r>
      <w:r>
        <w:rPr>
          <w:szCs w:val="22"/>
        </w:rPr>
        <w:tab/>
      </w:r>
      <w:r w:rsidRPr="004F0DE6">
        <w:rPr>
          <w:i/>
          <w:szCs w:val="22"/>
        </w:rPr>
        <w:t>Interim Opinion Implementing Senate Bill No. 1488, Relating to Confidentiality of Electric Procurement Data Submitted to the Commission.</w:t>
      </w:r>
    </w:p>
  </w:footnote>
  <w:footnote w:id="41">
    <w:p w14:paraId="7CE7F95C" w14:textId="074022D4" w:rsidR="008A3D65" w:rsidRPr="006A677B" w:rsidRDefault="008A3D65" w:rsidP="00EB7D80">
      <w:pPr>
        <w:pStyle w:val="FootnoteText"/>
        <w:rPr>
          <w:szCs w:val="22"/>
        </w:rPr>
      </w:pPr>
      <w:r w:rsidRPr="006A677B">
        <w:rPr>
          <w:rStyle w:val="FootnoteReference"/>
          <w:szCs w:val="22"/>
        </w:rPr>
        <w:footnoteRef/>
      </w:r>
      <w:r>
        <w:rPr>
          <w:szCs w:val="22"/>
        </w:rPr>
        <w:t xml:space="preserve"> </w:t>
      </w:r>
      <w:r>
        <w:rPr>
          <w:szCs w:val="22"/>
        </w:rPr>
        <w:tab/>
      </w:r>
      <w:r w:rsidRPr="004F0DE6">
        <w:rPr>
          <w:i/>
          <w:szCs w:val="22"/>
        </w:rPr>
        <w:t>Order Clarifying Order Instituting Investigation I.99</w:t>
      </w:r>
      <w:r>
        <w:rPr>
          <w:i/>
          <w:szCs w:val="22"/>
        </w:rPr>
        <w:noBreakHyphen/>
      </w:r>
      <w:r w:rsidRPr="004F0DE6">
        <w:rPr>
          <w:i/>
          <w:szCs w:val="22"/>
        </w:rPr>
        <w:t>09</w:t>
      </w:r>
      <w:r>
        <w:rPr>
          <w:i/>
          <w:szCs w:val="22"/>
        </w:rPr>
        <w:noBreakHyphen/>
      </w:r>
      <w:r w:rsidRPr="004F0DE6">
        <w:rPr>
          <w:i/>
          <w:szCs w:val="22"/>
        </w:rPr>
        <w:t>001 and Denying Rehearing of the Order, as Clarified.</w:t>
      </w:r>
    </w:p>
  </w:footnote>
  <w:footnote w:id="42">
    <w:p w14:paraId="7A4F708E" w14:textId="68148197" w:rsidR="008A3D65" w:rsidRDefault="008A3D65">
      <w:pPr>
        <w:pStyle w:val="FootnoteText"/>
      </w:pPr>
      <w:r>
        <w:rPr>
          <w:rStyle w:val="FootnoteReference"/>
        </w:rPr>
        <w:footnoteRef/>
      </w:r>
      <w:r>
        <w:t xml:space="preserve"> </w:t>
      </w:r>
      <w:r>
        <w:tab/>
      </w:r>
      <w:r w:rsidRPr="00604A74">
        <w:rPr>
          <w:i/>
          <w:iCs/>
        </w:rPr>
        <w:t>Appeal</w:t>
      </w:r>
      <w:r>
        <w:t>, at 14.</w:t>
      </w:r>
    </w:p>
  </w:footnote>
  <w:footnote w:id="43">
    <w:p w14:paraId="32F4FBDD" w14:textId="00ADF301" w:rsidR="008A3D65" w:rsidRPr="004C2C85" w:rsidRDefault="008A3D65">
      <w:pPr>
        <w:pStyle w:val="FootnoteText"/>
      </w:pPr>
      <w:r>
        <w:rPr>
          <w:rStyle w:val="FootnoteReference"/>
        </w:rPr>
        <w:footnoteRef/>
      </w:r>
      <w:r>
        <w:t xml:space="preserve"> </w:t>
      </w:r>
      <w:r>
        <w:tab/>
        <w:t xml:space="preserve">Lyft cites </w:t>
      </w:r>
      <w:r w:rsidRPr="00165066">
        <w:rPr>
          <w:i/>
        </w:rPr>
        <w:t>Application of Pac. Gas &amp; Elec. Co. (U 39 e) for Comm'n Approval Under Pub.</w:t>
      </w:r>
      <w:r>
        <w:rPr>
          <w:i/>
        </w:rPr>
        <w:t xml:space="preserve"> </w:t>
      </w:r>
      <w:r w:rsidRPr="00165066">
        <w:rPr>
          <w:i/>
        </w:rPr>
        <w:t xml:space="preserve">Utilities Code Section 851 of an Irrevocable License for Use of Util. Support Structures &amp; Equip. Sites to Extenet Sys. (California) LLC. </w:t>
      </w:r>
      <w:r w:rsidRPr="00165066">
        <w:t xml:space="preserve">(Oct. 27, 2016) 2016 WL 6649336, at *3. </w:t>
      </w:r>
      <w:r>
        <w:t xml:space="preserve"> </w:t>
      </w:r>
      <w:r w:rsidRPr="00165066">
        <w:rPr>
          <w:i/>
        </w:rPr>
        <w:t xml:space="preserve">See also Order Instituting Rulemaking on Com'n Own Motion into Competition for Local Exch. Serv. </w:t>
      </w:r>
      <w:r w:rsidRPr="00165066">
        <w:t xml:space="preserve">(Oct. 22, 1998) 82 CPUC 2d 510, at *36 (“Parties providing confidential information should be permitted to redact nonessential data and require that nondisclosure agreements be signed by those individuals who are provided access to such materials.”); </w:t>
      </w:r>
      <w:r w:rsidRPr="00165066">
        <w:rPr>
          <w:i/>
        </w:rPr>
        <w:t xml:space="preserve">Order Instituting Rulemaking on Commission's Own Motion into Competition for Local Exch. </w:t>
      </w:r>
      <w:r w:rsidRPr="004C2C85">
        <w:rPr>
          <w:i/>
        </w:rPr>
        <w:t xml:space="preserve">Serv.  </w:t>
      </w:r>
      <w:r w:rsidRPr="004C2C85">
        <w:t>(Sept. 2, 1999) 1999 WL 1112286, at *1 (sealing “proprietary business information concerning Ameritech's proposed operations for its first and fifth</w:t>
      </w:r>
      <w:r w:rsidRPr="004C2C85">
        <w:rPr>
          <w:rFonts w:ascii="Times New Roman" w:eastAsia="Times New Roman" w:hAnsi="Times New Roman" w:cs="Times New Roman"/>
          <w:sz w:val="24"/>
          <w:szCs w:val="24"/>
        </w:rPr>
        <w:t xml:space="preserve"> </w:t>
      </w:r>
      <w:r w:rsidRPr="004C2C85">
        <w:t xml:space="preserve">year of operations”); </w:t>
      </w:r>
      <w:r w:rsidRPr="004C2C85">
        <w:rPr>
          <w:i/>
        </w:rPr>
        <w:t>In Re S. California Edison Co.</w:t>
      </w:r>
      <w:r w:rsidRPr="004C2C85">
        <w:t xml:space="preserve">, No. 04-12-007, 2005 WL 1958415, at *1 (Aug. 9, 2005) (granting confidential treatment for number of bids received, total capacity offered to utilities from wind projects, and average price of bids, and accepting representation that “disclosure of the redacted information could drive up the price of contracts in RPS solicitations [and] reduce competition by leading certain bidders to refrain from participating in the RPS process”).  ( </w:t>
      </w:r>
      <w:r w:rsidRPr="004C2C85">
        <w:rPr>
          <w:i/>
          <w:iCs/>
        </w:rPr>
        <w:t>Appeal</w:t>
      </w:r>
      <w:r w:rsidRPr="004C2C85">
        <w:t>, at 14-15.)</w:t>
      </w:r>
    </w:p>
  </w:footnote>
  <w:footnote w:id="44">
    <w:p w14:paraId="44784C14" w14:textId="118DE688" w:rsidR="008A3D65" w:rsidRDefault="008A3D65">
      <w:pPr>
        <w:pStyle w:val="FootnoteText"/>
      </w:pPr>
      <w:r w:rsidRPr="004C2C85">
        <w:rPr>
          <w:rStyle w:val="FootnoteReference"/>
        </w:rPr>
        <w:footnoteRef/>
      </w:r>
      <w:r>
        <w:t xml:space="preserve"> </w:t>
      </w:r>
      <w:r>
        <w:tab/>
      </w:r>
      <w:r w:rsidRPr="004C2C85">
        <w:t>Lyft cites</w:t>
      </w:r>
      <w:r w:rsidRPr="004C2C85">
        <w:rPr>
          <w:i/>
        </w:rPr>
        <w:t xml:space="preserve"> Application of San Diego Gas &amp; Elec. Co. (U902e) for Approval of Its 2018 Energy Storage Procurement &amp; Inv. Plan. &amp; Related Matter</w:t>
      </w:r>
      <w:r w:rsidRPr="004C2C85">
        <w:t xml:space="preserve">, No. 18-02-016, 2019 WL 3017166 (June 27, 2019) at *50 (confidential versions of prepared testimony that “contain cost information related to scoring and evaluating bids in competitive solicitations … is entitled to confidential treatment”); </w:t>
      </w:r>
      <w:r w:rsidRPr="004C2C85">
        <w:rPr>
          <w:i/>
        </w:rPr>
        <w:t>Application of S. California Edison Co. (U338e) for Approval of Its Forecast 2019 Erra Proceeding Revenue Requirement</w:t>
      </w:r>
      <w:r w:rsidRPr="004C2C85">
        <w:t xml:space="preserve">, No. 18-05-003, 2019 WL 1204904 (Feb. 21, 2019) at *22 (the Commission confirmed that it “is interested in ensuring that the public has access to information related to utility rates, but also has its own rules to protect the confidentiality of market sensitive information”).  ( </w:t>
      </w:r>
      <w:r w:rsidRPr="004C2C85">
        <w:rPr>
          <w:i/>
          <w:iCs/>
        </w:rPr>
        <w:t>Appeal</w:t>
      </w:r>
      <w:r w:rsidRPr="004C2C85">
        <w:t>, at 15.)</w:t>
      </w:r>
    </w:p>
  </w:footnote>
  <w:footnote w:id="45">
    <w:p w14:paraId="4EF09B31" w14:textId="56D742D7" w:rsidR="008A3D65" w:rsidRDefault="008A3D65" w:rsidP="00DB5406">
      <w:pPr>
        <w:pStyle w:val="FootnoteText"/>
      </w:pPr>
      <w:r>
        <w:rPr>
          <w:rStyle w:val="FootnoteReference"/>
        </w:rPr>
        <w:footnoteRef/>
      </w:r>
      <w:r>
        <w:t xml:space="preserve"> </w:t>
      </w:r>
      <w:r>
        <w:tab/>
        <w:t xml:space="preserve">Even if Lyft could overcome the foregoing hurdles, its Fifth Amendment Regulatory Takings claim would still fail because the Commission’s regulatory actions would not give rise to a viable regulatory takings claim.  </w:t>
      </w:r>
      <w:r w:rsidR="00ED4FF9">
        <w:t>T</w:t>
      </w:r>
      <w:r>
        <w:t>he Commission addressed this issue previously in D.16</w:t>
      </w:r>
      <w:r w:rsidR="000313D7">
        <w:noBreakHyphen/>
      </w:r>
      <w:r>
        <w:t>01</w:t>
      </w:r>
      <w:r w:rsidR="000313D7">
        <w:noBreakHyphen/>
      </w:r>
      <w:r>
        <w:t>014  and incorporates by reference the reasoning and conclusions contained therein.</w:t>
      </w:r>
    </w:p>
  </w:footnote>
  <w:footnote w:id="46">
    <w:p w14:paraId="5A9547DA" w14:textId="708C9DF0" w:rsidR="008A3D65" w:rsidRDefault="008A3D65">
      <w:pPr>
        <w:pStyle w:val="FootnoteText"/>
      </w:pPr>
      <w:r>
        <w:rPr>
          <w:rStyle w:val="FootnoteReference"/>
        </w:rPr>
        <w:footnoteRef/>
      </w:r>
      <w:r>
        <w:t xml:space="preserve"> </w:t>
      </w:r>
      <w:r>
        <w:tab/>
      </w:r>
      <w:r w:rsidRPr="00280C82">
        <w:rPr>
          <w:i/>
          <w:iCs/>
        </w:rPr>
        <w:t>Appeal</w:t>
      </w:r>
      <w:r>
        <w:t>, at 19-22.</w:t>
      </w:r>
    </w:p>
  </w:footnote>
  <w:footnote w:id="47">
    <w:p w14:paraId="35DFF922" w14:textId="73C352CC" w:rsidR="008A3D65" w:rsidRDefault="008A3D65">
      <w:pPr>
        <w:pStyle w:val="FootnoteText"/>
      </w:pPr>
      <w:r>
        <w:rPr>
          <w:rStyle w:val="FootnoteReference"/>
        </w:rPr>
        <w:footnoteRef/>
      </w:r>
      <w:r>
        <w:t xml:space="preserve"> </w:t>
      </w:r>
      <w:r>
        <w:tab/>
      </w:r>
      <w:r w:rsidRPr="00280C82">
        <w:rPr>
          <w:i/>
          <w:iCs/>
        </w:rPr>
        <w:t>Appeal</w:t>
      </w:r>
      <w:r>
        <w:t>, at 23-27.</w:t>
      </w:r>
    </w:p>
  </w:footnote>
  <w:footnote w:id="48">
    <w:p w14:paraId="76AA57C0" w14:textId="41485F8D" w:rsidR="008A3D65" w:rsidRDefault="008A3D65">
      <w:pPr>
        <w:pStyle w:val="FootnoteText"/>
      </w:pPr>
      <w:r>
        <w:rPr>
          <w:rStyle w:val="FootnoteReference"/>
        </w:rPr>
        <w:footnoteRef/>
      </w:r>
      <w:r>
        <w:t xml:space="preserve"> </w:t>
      </w:r>
      <w:r>
        <w:tab/>
        <w:t>Appeal, at 27-28.</w:t>
      </w:r>
    </w:p>
  </w:footnote>
  <w:footnote w:id="49">
    <w:p w14:paraId="7FC96055" w14:textId="28E85547" w:rsidR="008A3D65" w:rsidRDefault="008A3D65">
      <w:pPr>
        <w:pStyle w:val="FootnoteText"/>
      </w:pPr>
      <w:r>
        <w:rPr>
          <w:rStyle w:val="FootnoteReference"/>
        </w:rPr>
        <w:footnoteRef/>
      </w:r>
      <w:r>
        <w:t xml:space="preserve"> </w:t>
      </w:r>
      <w:r>
        <w:tab/>
        <w:t>Appeal, at 28-36.</w:t>
      </w:r>
    </w:p>
  </w:footnote>
  <w:footnote w:id="50">
    <w:p w14:paraId="2A6E20D2" w14:textId="3B3482D0" w:rsidR="008A3D65" w:rsidRDefault="008A3D65">
      <w:pPr>
        <w:pStyle w:val="FootnoteText"/>
      </w:pPr>
      <w:r>
        <w:rPr>
          <w:rStyle w:val="FootnoteReference"/>
        </w:rPr>
        <w:footnoteRef/>
      </w:r>
      <w:r>
        <w:t xml:space="preserve"> </w:t>
      </w:r>
      <w:r>
        <w:tab/>
        <w:t xml:space="preserve">In setting the standard, the </w:t>
      </w:r>
      <w:r w:rsidRPr="001A58A9">
        <w:rPr>
          <w:i/>
          <w:iCs/>
        </w:rPr>
        <w:t>Pacific Gas and Electric</w:t>
      </w:r>
      <w:r>
        <w:t xml:space="preserve"> decision cites to </w:t>
      </w:r>
      <w:r w:rsidRPr="001A58A9">
        <w:rPr>
          <w:i/>
          <w:iCs/>
        </w:rPr>
        <w:t>City and County of San</w:t>
      </w:r>
      <w:r>
        <w:rPr>
          <w:i/>
          <w:iCs/>
        </w:rPr>
        <w:t> </w:t>
      </w:r>
      <w:r w:rsidRPr="001A58A9">
        <w:rPr>
          <w:i/>
          <w:iCs/>
        </w:rPr>
        <w:t>Francisco v. Public Utilities Commission</w:t>
      </w:r>
      <w:r>
        <w:t xml:space="preserve"> (1985) 39 Cal.3d 523, 530; </w:t>
      </w:r>
      <w:r w:rsidRPr="001A58A9">
        <w:rPr>
          <w:i/>
          <w:iCs/>
        </w:rPr>
        <w:t>Toward Utility Rate Normalization v. Public Utilities Commission</w:t>
      </w:r>
      <w:r>
        <w:t xml:space="preserve"> (1978) 22 Cal.3d 529, 537; and </w:t>
      </w:r>
      <w:r w:rsidRPr="001A58A9">
        <w:rPr>
          <w:i/>
          <w:iCs/>
        </w:rPr>
        <w:t>Southern California Edison Co. v. Public Utilities Commission</w:t>
      </w:r>
      <w:r>
        <w:t xml:space="preserve"> (2014) 227 Cal.App.4</w:t>
      </w:r>
      <w:r w:rsidRPr="001A58A9">
        <w:rPr>
          <w:vertAlign w:val="superscript"/>
        </w:rPr>
        <w:t>th</w:t>
      </w:r>
      <w:r>
        <w:t xml:space="preserve"> 172, 185.</w:t>
      </w:r>
    </w:p>
  </w:footnote>
  <w:footnote w:id="51">
    <w:p w14:paraId="20718C44" w14:textId="691D7D53" w:rsidR="008A3D65" w:rsidRPr="006E39A1" w:rsidRDefault="008A3D65" w:rsidP="00BC628C">
      <w:pPr>
        <w:pStyle w:val="FootnoteText"/>
        <w:rPr>
          <w:szCs w:val="22"/>
        </w:rPr>
      </w:pPr>
      <w:r w:rsidRPr="00BF1E02">
        <w:rPr>
          <w:rStyle w:val="FootnoteReference"/>
          <w:szCs w:val="22"/>
        </w:rPr>
        <w:footnoteRef/>
      </w:r>
      <w:r>
        <w:rPr>
          <w:szCs w:val="22"/>
        </w:rPr>
        <w:t xml:space="preserve"> </w:t>
      </w:r>
      <w:r>
        <w:rPr>
          <w:szCs w:val="22"/>
        </w:rPr>
        <w:tab/>
      </w:r>
      <w:r w:rsidRPr="00171E1B">
        <w:rPr>
          <w:i/>
        </w:rPr>
        <w:t>See</w:t>
      </w:r>
      <w:r w:rsidRPr="00815647">
        <w:t xml:space="preserve"> </w:t>
      </w:r>
      <w:r w:rsidRPr="00780201">
        <w:rPr>
          <w:i/>
          <w:iCs/>
        </w:rPr>
        <w:t>e.g</w:t>
      </w:r>
      <w:r w:rsidRPr="00CA4AC4">
        <w:rPr>
          <w:szCs w:val="22"/>
        </w:rPr>
        <w:t xml:space="preserve">., </w:t>
      </w:r>
      <w:r w:rsidRPr="00CA4AC4">
        <w:rPr>
          <w:i/>
          <w:iCs/>
          <w:szCs w:val="22"/>
        </w:rPr>
        <w:t>Altavion, Inc. v. Konica Minolta Systems Laboratory, Inc</w:t>
      </w:r>
      <w:r w:rsidRPr="00CA4AC4">
        <w:rPr>
          <w:szCs w:val="22"/>
        </w:rPr>
        <w:t>. (</w:t>
      </w:r>
      <w:r w:rsidRPr="00CA4AC4">
        <w:rPr>
          <w:i/>
          <w:iCs/>
          <w:szCs w:val="22"/>
        </w:rPr>
        <w:t>Altavion</w:t>
      </w:r>
      <w:r w:rsidRPr="00CA4AC4">
        <w:rPr>
          <w:szCs w:val="22"/>
        </w:rPr>
        <w:t>) (2014) 226 Cal.App.4</w:t>
      </w:r>
      <w:r w:rsidRPr="00CA4AC4">
        <w:t>th</w:t>
      </w:r>
      <w:r w:rsidRPr="00CA4AC4">
        <w:rPr>
          <w:szCs w:val="22"/>
        </w:rPr>
        <w:t xml:space="preserve"> 26, 42;  </w:t>
      </w:r>
      <w:r w:rsidRPr="00CA4AC4">
        <w:rPr>
          <w:i/>
          <w:iCs/>
          <w:szCs w:val="22"/>
        </w:rPr>
        <w:t>DVD Copy Control Assn. v. Brunner</w:t>
      </w:r>
      <w:r w:rsidRPr="00CA4AC4">
        <w:rPr>
          <w:szCs w:val="22"/>
        </w:rPr>
        <w:t>, s</w:t>
      </w:r>
      <w:r w:rsidRPr="00CA4AC4">
        <w:rPr>
          <w:i/>
          <w:iCs/>
          <w:szCs w:val="22"/>
        </w:rPr>
        <w:t>upra</w:t>
      </w:r>
      <w:r w:rsidRPr="00CA4AC4">
        <w:rPr>
          <w:szCs w:val="22"/>
        </w:rPr>
        <w:t>, 31 Cal.4</w:t>
      </w:r>
      <w:r w:rsidRPr="00CA4AC4">
        <w:t>th</w:t>
      </w:r>
      <w:r w:rsidRPr="00CA4AC4">
        <w:rPr>
          <w:szCs w:val="22"/>
        </w:rPr>
        <w:t xml:space="preserve"> at  880</w:t>
      </w:r>
      <w:r w:rsidRPr="00815647">
        <w:t>;</w:t>
      </w:r>
      <w:r w:rsidRPr="00BF1E02">
        <w:rPr>
          <w:szCs w:val="22"/>
        </w:rPr>
        <w:t xml:space="preserve"> </w:t>
      </w:r>
      <w:r w:rsidRPr="005F2FA8">
        <w:rPr>
          <w:i/>
          <w:iCs/>
          <w:szCs w:val="22"/>
        </w:rPr>
        <w:t>San Francisco Arts &amp; Athletics, Inc. v. United States Olympic Com.</w:t>
      </w:r>
      <w:r w:rsidRPr="00641762">
        <w:rPr>
          <w:szCs w:val="22"/>
        </w:rPr>
        <w:t xml:space="preserve"> (1987) 483 U.S. 522, 536; </w:t>
      </w:r>
      <w:r w:rsidRPr="00D073E4">
        <w:rPr>
          <w:i/>
          <w:iCs/>
          <w:szCs w:val="22"/>
        </w:rPr>
        <w:t>Morlife, Inc. v. Perry</w:t>
      </w:r>
      <w:r w:rsidRPr="007364CB">
        <w:rPr>
          <w:szCs w:val="22"/>
        </w:rPr>
        <w:t xml:space="preserve">  (1997)</w:t>
      </w:r>
      <w:r w:rsidRPr="000E4FE8">
        <w:rPr>
          <w:szCs w:val="22"/>
        </w:rPr>
        <w:t xml:space="preserve"> </w:t>
      </w:r>
      <w:r w:rsidRPr="002C41F0">
        <w:rPr>
          <w:szCs w:val="22"/>
        </w:rPr>
        <w:t xml:space="preserve">56 </w:t>
      </w:r>
      <w:r w:rsidRPr="00DD345D">
        <w:rPr>
          <w:szCs w:val="22"/>
        </w:rPr>
        <w:t>Cal.App.4</w:t>
      </w:r>
      <w:r w:rsidRPr="00DB424F">
        <w:t>th</w:t>
      </w:r>
      <w:r w:rsidRPr="00810648">
        <w:rPr>
          <w:szCs w:val="22"/>
        </w:rPr>
        <w:t xml:space="preserve"> 1514, 1520.  </w:t>
      </w:r>
    </w:p>
  </w:footnote>
  <w:footnote w:id="52">
    <w:p w14:paraId="07A5F8B2" w14:textId="05BFBE04" w:rsidR="008A3D65" w:rsidRPr="00683D50" w:rsidRDefault="008A3D65" w:rsidP="001071A3">
      <w:pPr>
        <w:pStyle w:val="FootnoteText"/>
        <w:rPr>
          <w:szCs w:val="22"/>
        </w:rPr>
      </w:pPr>
      <w:r w:rsidRPr="00683D50">
        <w:rPr>
          <w:rStyle w:val="FootnoteReference"/>
          <w:szCs w:val="22"/>
        </w:rPr>
        <w:footnoteRef/>
      </w:r>
      <w:r>
        <w:rPr>
          <w:szCs w:val="22"/>
        </w:rPr>
        <w:t xml:space="preserve"> </w:t>
      </w:r>
      <w:r>
        <w:rPr>
          <w:szCs w:val="22"/>
        </w:rPr>
        <w:tab/>
      </w:r>
      <w:r w:rsidRPr="00683D50">
        <w:rPr>
          <w:i/>
          <w:szCs w:val="22"/>
        </w:rPr>
        <w:t>Altavion, Inc. v. Konica Minolta Systems Laboratory, Inc</w:t>
      </w:r>
      <w:r w:rsidRPr="00683D50">
        <w:rPr>
          <w:szCs w:val="22"/>
        </w:rPr>
        <w:t>.</w:t>
      </w:r>
      <w:r>
        <w:rPr>
          <w:szCs w:val="22"/>
        </w:rPr>
        <w:t xml:space="preserve">, </w:t>
      </w:r>
      <w:r w:rsidRPr="00AB5D6F">
        <w:rPr>
          <w:i/>
          <w:iCs/>
          <w:szCs w:val="22"/>
        </w:rPr>
        <w:t>supra</w:t>
      </w:r>
      <w:r>
        <w:rPr>
          <w:szCs w:val="22"/>
        </w:rPr>
        <w:t>,</w:t>
      </w:r>
      <w:r w:rsidRPr="00683D50">
        <w:rPr>
          <w:szCs w:val="22"/>
        </w:rPr>
        <w:t xml:space="preserve"> 226 Cal.App.4</w:t>
      </w:r>
      <w:r w:rsidRPr="00683D50">
        <w:rPr>
          <w:szCs w:val="22"/>
          <w:vertAlign w:val="superscript"/>
        </w:rPr>
        <w:t>th</w:t>
      </w:r>
      <w:r w:rsidRPr="00683D50">
        <w:rPr>
          <w:szCs w:val="22"/>
        </w:rPr>
        <w:t>,</w:t>
      </w:r>
      <w:r>
        <w:rPr>
          <w:szCs w:val="22"/>
        </w:rPr>
        <w:t xml:space="preserve"> at</w:t>
      </w:r>
      <w:r w:rsidRPr="00683D50">
        <w:rPr>
          <w:szCs w:val="22"/>
        </w:rPr>
        <w:t xml:space="preserve"> 53.</w:t>
      </w:r>
    </w:p>
  </w:footnote>
  <w:footnote w:id="53">
    <w:p w14:paraId="18A1BBDB" w14:textId="3A582EBF" w:rsidR="008A3D65" w:rsidRDefault="008A3D65">
      <w:pPr>
        <w:pStyle w:val="FootnoteText"/>
      </w:pPr>
      <w:r>
        <w:rPr>
          <w:rStyle w:val="FootnoteReference"/>
        </w:rPr>
        <w:footnoteRef/>
      </w:r>
      <w:r>
        <w:t xml:space="preserve"> </w:t>
      </w:r>
      <w:r>
        <w:tab/>
      </w:r>
      <w:r w:rsidRPr="00F776E1">
        <w:rPr>
          <w:i/>
          <w:iCs/>
        </w:rPr>
        <w:t>Appeal</w:t>
      </w:r>
      <w:r>
        <w:t>, at 20, quoting the Collins Declaration, ¶¶26 and 27.</w:t>
      </w:r>
    </w:p>
  </w:footnote>
  <w:footnote w:id="54">
    <w:p w14:paraId="0711CF2B" w14:textId="7CB10316" w:rsidR="008A3D65" w:rsidRDefault="008A3D65">
      <w:pPr>
        <w:pStyle w:val="FootnoteText"/>
      </w:pPr>
      <w:r>
        <w:rPr>
          <w:rStyle w:val="FootnoteReference"/>
        </w:rPr>
        <w:footnoteRef/>
      </w:r>
      <w:r>
        <w:t xml:space="preserve"> </w:t>
      </w:r>
      <w:r>
        <w:tab/>
      </w:r>
      <w:r w:rsidRPr="00E81F03">
        <w:rPr>
          <w:i/>
          <w:iCs/>
        </w:rPr>
        <w:t>Ruling</w:t>
      </w:r>
      <w:r>
        <w:t>, at 16.</w:t>
      </w:r>
    </w:p>
  </w:footnote>
  <w:footnote w:id="55">
    <w:p w14:paraId="23327829" w14:textId="37B930C0" w:rsidR="008A3D65" w:rsidRDefault="008A3D65">
      <w:pPr>
        <w:pStyle w:val="FootnoteText"/>
      </w:pPr>
      <w:r>
        <w:rPr>
          <w:rStyle w:val="FootnoteReference"/>
        </w:rPr>
        <w:footnoteRef/>
      </w:r>
      <w:r>
        <w:t xml:space="preserve"> </w:t>
      </w:r>
      <w:r>
        <w:tab/>
      </w:r>
      <w:r w:rsidRPr="00A84B27">
        <w:t>California has recognized that it is permissible to consult case law from other states applying UTSA enactments in other states is generally relevant in applying California's UTSA.</w:t>
      </w:r>
      <w:r>
        <w:t xml:space="preserve"> </w:t>
      </w:r>
      <w:r w:rsidRPr="00A84B27">
        <w:t xml:space="preserve"> (</w:t>
      </w:r>
      <w:r w:rsidRPr="00A84B27">
        <w:rPr>
          <w:i/>
          <w:iCs/>
        </w:rPr>
        <w:t>See Altavion, Inc. v. Konica Minolta Systems Laboratory, Inc.</w:t>
      </w:r>
      <w:r w:rsidRPr="00A84B27">
        <w:t xml:space="preserve"> (2014) 226 Cal.App.4</w:t>
      </w:r>
      <w:r w:rsidRPr="00A84B27">
        <w:rPr>
          <w:vertAlign w:val="superscript"/>
        </w:rPr>
        <w:t>th</w:t>
      </w:r>
      <w:r w:rsidRPr="00A84B27">
        <w:t xml:space="preserve"> 26, 42.) </w:t>
      </w:r>
      <w:r>
        <w:t xml:space="preserve"> </w:t>
      </w:r>
      <w:r w:rsidRPr="00A84B27">
        <w:t xml:space="preserve">But in </w:t>
      </w:r>
      <w:r w:rsidRPr="00A84B27">
        <w:rPr>
          <w:i/>
          <w:iCs/>
        </w:rPr>
        <w:t>KC Multimedia, Inc. v. Bank of America Technology &amp; Operations, Inc</w:t>
      </w:r>
      <w:r w:rsidRPr="00A84B27">
        <w:t>. (2009) 171 Cal.App.4</w:t>
      </w:r>
      <w:r w:rsidRPr="00A84B27">
        <w:rPr>
          <w:vertAlign w:val="superscript"/>
        </w:rPr>
        <w:t>th</w:t>
      </w:r>
      <w:r w:rsidRPr="00A84B27">
        <w:t xml:space="preserve"> 939, 955 cautioned that while promoting consistent interpretation of uniform laws is a judicially worthwhile goal, California courts will not adopt another state’s construction if that construction is “manifestly erroneous[,]" quoting </w:t>
      </w:r>
      <w:r w:rsidRPr="00A84B27">
        <w:rPr>
          <w:i/>
          <w:iCs/>
        </w:rPr>
        <w:t>Estate of Reeves</w:t>
      </w:r>
      <w:r w:rsidRPr="00A84B27">
        <w:t> (1991) </w:t>
      </w:r>
      <w:hyperlink r:id="rId1" w:history="1">
        <w:r w:rsidRPr="00A84B27">
          <w:rPr>
            <w:rStyle w:val="Hyperlink"/>
          </w:rPr>
          <w:t>233 Cal.App.3d 651</w:t>
        </w:r>
      </w:hyperlink>
      <w:r w:rsidRPr="00A84B27">
        <w:t>, 657.)</w:t>
      </w:r>
    </w:p>
  </w:footnote>
  <w:footnote w:id="56">
    <w:p w14:paraId="485995D2" w14:textId="44CDDECE" w:rsidR="008A3D65" w:rsidRDefault="008A3D65">
      <w:pPr>
        <w:pStyle w:val="FootnoteText"/>
      </w:pPr>
      <w:r>
        <w:rPr>
          <w:rStyle w:val="FootnoteReference"/>
        </w:rPr>
        <w:footnoteRef/>
      </w:r>
      <w:r>
        <w:t xml:space="preserve"> </w:t>
      </w:r>
      <w:r>
        <w:tab/>
        <w:t>The Commission takes official notice of this information from the Historian, United States Postal Service (May 2019) pursuant to Rule 13.10.</w:t>
      </w:r>
    </w:p>
  </w:footnote>
  <w:footnote w:id="57">
    <w:p w14:paraId="61D49F75" w14:textId="57F430D5" w:rsidR="008A3D65" w:rsidRDefault="008A3D65">
      <w:pPr>
        <w:pStyle w:val="FootnoteText"/>
      </w:pPr>
      <w:r>
        <w:rPr>
          <w:rStyle w:val="FootnoteReference"/>
        </w:rPr>
        <w:footnoteRef/>
      </w:r>
      <w:r>
        <w:t xml:space="preserve"> </w:t>
      </w:r>
      <w:r>
        <w:tab/>
      </w:r>
      <w:hyperlink r:id="rId2" w:history="1">
        <w:r w:rsidRPr="00A07E1B">
          <w:rPr>
            <w:rStyle w:val="Hyperlink"/>
          </w:rPr>
          <w:t>www.census.gov/geo.maps-data/data/relationship.html</w:t>
        </w:r>
      </w:hyperlink>
      <w:r>
        <w:t xml:space="preserve">  The Commission takes official notice pursuant to Rule 13.10. In Exhibit A to its Appeal, Lyft has attached examples of census block information generated from the United States Census Bureau.  Although Lyft has not accompanied its Appeal with a formal request for judicial notice, the Commission takes official notice of this information as it establishes the data available through publicly available census blocks. </w:t>
      </w:r>
    </w:p>
  </w:footnote>
  <w:footnote w:id="58">
    <w:p w14:paraId="3AD1AECC" w14:textId="5A427A56" w:rsidR="008A3D65" w:rsidRDefault="008A3D65">
      <w:pPr>
        <w:pStyle w:val="FootnoteText"/>
      </w:pPr>
      <w:r>
        <w:rPr>
          <w:rStyle w:val="FootnoteReference"/>
        </w:rPr>
        <w:footnoteRef/>
      </w:r>
      <w:r>
        <w:t xml:space="preserve"> </w:t>
      </w:r>
      <w:r>
        <w:tab/>
      </w:r>
      <w:r w:rsidRPr="002A472E">
        <w:rPr>
          <w:i/>
          <w:iCs/>
        </w:rPr>
        <w:t>Ruling</w:t>
      </w:r>
      <w:r>
        <w:t>, at 20.</w:t>
      </w:r>
    </w:p>
  </w:footnote>
  <w:footnote w:id="59">
    <w:p w14:paraId="70BA2EC8" w14:textId="171CFF4F" w:rsidR="008A3D65" w:rsidRDefault="008A3D65">
      <w:pPr>
        <w:pStyle w:val="FootnoteText"/>
      </w:pPr>
      <w:r>
        <w:rPr>
          <w:rStyle w:val="FootnoteReference"/>
        </w:rPr>
        <w:footnoteRef/>
      </w:r>
      <w:r>
        <w:t xml:space="preserve"> </w:t>
      </w:r>
      <w:r>
        <w:tab/>
      </w:r>
      <w:r w:rsidRPr="002A472E">
        <w:rPr>
          <w:i/>
          <w:iCs/>
        </w:rPr>
        <w:t>Appeal</w:t>
      </w:r>
      <w:r>
        <w:t>, at 22.</w:t>
      </w:r>
    </w:p>
  </w:footnote>
  <w:footnote w:id="60">
    <w:p w14:paraId="2A05F94B" w14:textId="4CE462AD" w:rsidR="008A3D65" w:rsidRDefault="008A3D65">
      <w:pPr>
        <w:pStyle w:val="FootnoteText"/>
      </w:pPr>
      <w:r>
        <w:rPr>
          <w:rStyle w:val="FootnoteReference"/>
        </w:rPr>
        <w:footnoteRef/>
      </w:r>
      <w:r>
        <w:t xml:space="preserve"> </w:t>
      </w:r>
      <w:r>
        <w:tab/>
      </w:r>
      <w:r w:rsidRPr="006355DF">
        <w:rPr>
          <w:i/>
          <w:iCs/>
        </w:rPr>
        <w:t>Appeal</w:t>
      </w:r>
      <w:r>
        <w:t>, at 20, quoting the Collins Declaration, ¶26.</w:t>
      </w:r>
    </w:p>
  </w:footnote>
  <w:footnote w:id="61">
    <w:p w14:paraId="28B8CBB4" w14:textId="0FC0E655" w:rsidR="008A3D65" w:rsidRDefault="008A3D65">
      <w:pPr>
        <w:pStyle w:val="FootnoteText"/>
      </w:pPr>
      <w:r>
        <w:rPr>
          <w:rStyle w:val="FootnoteReference"/>
        </w:rPr>
        <w:footnoteRef/>
      </w:r>
      <w:r>
        <w:t xml:space="preserve"> </w:t>
      </w:r>
      <w:r>
        <w:tab/>
      </w:r>
      <w:r w:rsidRPr="00E63546">
        <w:rPr>
          <w:i/>
          <w:iCs/>
        </w:rPr>
        <w:t>Id</w:t>
      </w:r>
      <w:r>
        <w:t>.</w:t>
      </w:r>
    </w:p>
  </w:footnote>
  <w:footnote w:id="62">
    <w:p w14:paraId="35627CB3" w14:textId="3F0A119C" w:rsidR="008A3D65" w:rsidRDefault="008A3D65">
      <w:pPr>
        <w:pStyle w:val="FootnoteText"/>
      </w:pPr>
      <w:r>
        <w:rPr>
          <w:rStyle w:val="FootnoteReference"/>
        </w:rPr>
        <w:footnoteRef/>
      </w:r>
      <w:r>
        <w:t xml:space="preserve"> </w:t>
      </w:r>
      <w:r>
        <w:tab/>
      </w:r>
      <w:r w:rsidRPr="00F776E1">
        <w:rPr>
          <w:i/>
          <w:iCs/>
        </w:rPr>
        <w:t>Appeal</w:t>
      </w:r>
      <w:r>
        <w:t>, at 21, quoting the Collins Declaration</w:t>
      </w:r>
      <w:r w:rsidRPr="00A6208D">
        <w:t>, ¶28.</w:t>
      </w:r>
    </w:p>
  </w:footnote>
  <w:footnote w:id="63">
    <w:p w14:paraId="1B0B70FB" w14:textId="405551AF" w:rsidR="008A3D65" w:rsidRDefault="008A3D65">
      <w:pPr>
        <w:pStyle w:val="FootnoteText"/>
      </w:pPr>
      <w:r>
        <w:rPr>
          <w:rStyle w:val="FootnoteReference"/>
        </w:rPr>
        <w:footnoteRef/>
      </w:r>
      <w:r>
        <w:t xml:space="preserve"> </w:t>
      </w:r>
      <w:r>
        <w:tab/>
      </w:r>
      <w:r w:rsidRPr="00D923B9">
        <w:rPr>
          <w:i/>
          <w:iCs/>
        </w:rPr>
        <w:t>Id</w:t>
      </w:r>
      <w:r>
        <w:t>.</w:t>
      </w:r>
    </w:p>
  </w:footnote>
  <w:footnote w:id="64">
    <w:p w14:paraId="6B22FF4D" w14:textId="0C1CC8D3" w:rsidR="008A3D65" w:rsidRPr="00A82655" w:rsidRDefault="008A3D65" w:rsidP="009F452E">
      <w:pPr>
        <w:pStyle w:val="FootnoteText"/>
        <w:rPr>
          <w:szCs w:val="22"/>
        </w:rPr>
      </w:pPr>
      <w:r w:rsidRPr="00A82655">
        <w:rPr>
          <w:rStyle w:val="FootnoteReference"/>
          <w:szCs w:val="22"/>
        </w:rPr>
        <w:footnoteRef/>
      </w:r>
      <w:r>
        <w:t xml:space="preserve"> </w:t>
      </w:r>
      <w:r>
        <w:tab/>
      </w:r>
      <w:r>
        <w:rPr>
          <w:iCs/>
          <w:szCs w:val="22"/>
        </w:rPr>
        <w:t xml:space="preserve">D.13-09-045, </w:t>
      </w:r>
      <w:r>
        <w:rPr>
          <w:szCs w:val="22"/>
        </w:rPr>
        <w:t>at 31-32 (Requirement j).</w:t>
      </w:r>
    </w:p>
  </w:footnote>
  <w:footnote w:id="65">
    <w:p w14:paraId="38A90D2E" w14:textId="10CCE314" w:rsidR="008A3D65" w:rsidRDefault="008A3D65" w:rsidP="009F452E">
      <w:pPr>
        <w:pStyle w:val="FootnoteText"/>
      </w:pPr>
      <w:r>
        <w:rPr>
          <w:rStyle w:val="FootnoteReference"/>
        </w:rPr>
        <w:footnoteRef/>
      </w:r>
      <w:r>
        <w:t xml:space="preserve"> </w:t>
      </w:r>
      <w:r>
        <w:tab/>
        <w:t>D.16-04-041, at 24, 49, and 56.</w:t>
      </w:r>
    </w:p>
  </w:footnote>
  <w:footnote w:id="66">
    <w:p w14:paraId="486B803E" w14:textId="00A3860C" w:rsidR="008A3D65" w:rsidRDefault="008A3D65" w:rsidP="009F452E">
      <w:pPr>
        <w:pStyle w:val="FootnoteText"/>
      </w:pPr>
      <w:r>
        <w:rPr>
          <w:rStyle w:val="FootnoteReference"/>
        </w:rPr>
        <w:footnoteRef/>
      </w:r>
      <w:r>
        <w:t xml:space="preserve"> </w:t>
      </w:r>
      <w:r>
        <w:tab/>
        <w:t>D.20-03-014, at 7.</w:t>
      </w:r>
    </w:p>
  </w:footnote>
  <w:footnote w:id="67">
    <w:p w14:paraId="5F239EE4" w14:textId="276EE47D" w:rsidR="008A3D65" w:rsidRDefault="008A3D65" w:rsidP="009F452E">
      <w:pPr>
        <w:pStyle w:val="FootnoteText"/>
      </w:pPr>
      <w:r>
        <w:rPr>
          <w:rStyle w:val="FootnoteReference"/>
        </w:rPr>
        <w:footnoteRef/>
      </w:r>
      <w:r>
        <w:t xml:space="preserve"> </w:t>
      </w:r>
      <w:r>
        <w:tab/>
        <w:t xml:space="preserve">The Commission takes Official Notice of this letter pursuant to Rule 13.10. </w:t>
      </w:r>
    </w:p>
  </w:footnote>
  <w:footnote w:id="68">
    <w:p w14:paraId="15347EF4" w14:textId="2236DEDE" w:rsidR="008A3D65" w:rsidRDefault="008A3D65" w:rsidP="008D4D85">
      <w:pPr>
        <w:pStyle w:val="FootnoteText"/>
        <w:rPr>
          <w:rFonts w:ascii="Calibri" w:hAnsi="Calibri"/>
        </w:rPr>
      </w:pPr>
      <w:r>
        <w:rPr>
          <w:rStyle w:val="FootnoteReference"/>
        </w:rPr>
        <w:footnoteRef/>
      </w:r>
      <w:r>
        <w:t xml:space="preserve"> </w:t>
      </w:r>
      <w:r>
        <w:tab/>
        <w:t>The link to the template and data dictionary are found on the Commission website at</w:t>
      </w:r>
    </w:p>
    <w:p w14:paraId="10D5D23C" w14:textId="486E397A" w:rsidR="008A3D65" w:rsidRDefault="008A3D65">
      <w:pPr>
        <w:pStyle w:val="FootnoteText"/>
      </w:pPr>
      <w:r>
        <w:tab/>
      </w:r>
      <w:hyperlink r:id="rId3" w:history="1">
        <w:r w:rsidRPr="000F3300">
          <w:rPr>
            <w:rStyle w:val="Hyperlink"/>
          </w:rPr>
          <w:t>https://www.cpuc.ca.gov/regulatory-services/licensing/transportation-licensing-and-analysis-branch/transportation-network-companies/required-reports-for-transportation-network-companies</w:t>
        </w:r>
      </w:hyperlink>
    </w:p>
  </w:footnote>
  <w:footnote w:id="69">
    <w:p w14:paraId="5DF3F5EE" w14:textId="7F78501E" w:rsidR="008A3D65" w:rsidRDefault="008A3D65">
      <w:pPr>
        <w:pStyle w:val="FootnoteText"/>
      </w:pPr>
      <w:r>
        <w:rPr>
          <w:rStyle w:val="FootnoteReference"/>
        </w:rPr>
        <w:footnoteRef/>
      </w:r>
      <w:r>
        <w:t xml:space="preserve"> </w:t>
      </w:r>
      <w:r>
        <w:tab/>
      </w:r>
      <w:r w:rsidRPr="00A17BBB">
        <w:rPr>
          <w:i/>
          <w:iCs/>
        </w:rPr>
        <w:t>See</w:t>
      </w:r>
      <w:r>
        <w:t xml:space="preserve"> discussion, </w:t>
      </w:r>
      <w:r w:rsidRPr="00A17BBB">
        <w:rPr>
          <w:i/>
          <w:iCs/>
        </w:rPr>
        <w:t>supra</w:t>
      </w:r>
      <w:r>
        <w:t xml:space="preserve">, at Section 4.1.1. of this decision. </w:t>
      </w:r>
    </w:p>
  </w:footnote>
  <w:footnote w:id="70">
    <w:p w14:paraId="7022CCB5" w14:textId="759F222D" w:rsidR="008A3D65" w:rsidRDefault="008A3D65">
      <w:pPr>
        <w:pStyle w:val="FootnoteText"/>
      </w:pPr>
      <w:r>
        <w:rPr>
          <w:rStyle w:val="FootnoteReference"/>
        </w:rPr>
        <w:footnoteRef/>
      </w:r>
      <w:r>
        <w:t xml:space="preserve"> </w:t>
      </w:r>
      <w:r>
        <w:tab/>
      </w:r>
      <w:r w:rsidRPr="00D12777">
        <w:t>The Commission acknowledges that there have been other out of state and federal decisions that have found that some of the trip data categories at issue here are trade secret.  But the Commission declines to follow these authorities as their findings are too conclusory, do not contain an application of the novel and uniqueness standard, and it is unclear if the regulating entity exercised the same level of control over the terms and manner of the trip data the Commission has ordered for the 2020 Annual Reports.  (</w:t>
      </w:r>
      <w:r w:rsidRPr="00D12777">
        <w:rPr>
          <w:i/>
          <w:iCs/>
        </w:rPr>
        <w:t xml:space="preserve">See Rasier-DC, LLC v. B&amp;L Service, Inc. </w:t>
      </w:r>
      <w:r w:rsidRPr="00D12777">
        <w:t>2018 Fla.App. LEXIS 320; 43 Fla. L.  Weekly D 145; 2018 WL 354557 [the aggregate trip data was not a trade secret, but the granular trip data was trade secret protected from public disclosure];</w:t>
      </w:r>
      <w:r w:rsidRPr="00D12777">
        <w:rPr>
          <w:i/>
          <w:iCs/>
        </w:rPr>
        <w:t xml:space="preserve">  Ehret v. Uber Technologies, Inc</w:t>
      </w:r>
      <w:r w:rsidRPr="00D12777">
        <w:t xml:space="preserve">. 2015 U.S. Dist. LEXIS 161896 [court granted motion to seal information about the number of TNC trips taken during the proposed class period]; </w:t>
      </w:r>
      <w:r w:rsidRPr="00D12777">
        <w:rPr>
          <w:i/>
          <w:iCs/>
        </w:rPr>
        <w:t>Lyft, Inc. v. Pennsylvania Public Utility Commission</w:t>
      </w:r>
      <w:r w:rsidRPr="00D12777">
        <w:t xml:space="preserve"> (2015) 145 A.3d 1235; 2016 Pa. Commw. LEXIS 374 [aggregated trip data that does not reveal details about individual trip locations is not trade secret];  and </w:t>
      </w:r>
      <w:r w:rsidRPr="00D12777">
        <w:rPr>
          <w:i/>
          <w:iCs/>
        </w:rPr>
        <w:t>Philliben v. Uber Technologies</w:t>
      </w:r>
      <w:r w:rsidRPr="00D12777">
        <w:t xml:space="preserve"> 2016 U.S. Dist. LEXIS 193536; 2016 WL 9185000, settled by </w:t>
      </w:r>
      <w:r w:rsidRPr="00D12777">
        <w:rPr>
          <w:i/>
          <w:iCs/>
        </w:rPr>
        <w:t>McKnight v. Uber Techs. Inc</w:t>
      </w:r>
      <w:r w:rsidRPr="00D12777">
        <w:t xml:space="preserve">. 2017 U.S. Dist. LEXIS 124534 (N.D. Cal. August 7, 2017) [number of Uber riders who have used the Safe Rides Fee service, frequency with which Uber riders use the Uber App, revenue information, and information related to safety-related expenditures et the compelling reason standard for nondisclosure].) </w:t>
      </w:r>
    </w:p>
  </w:footnote>
  <w:footnote w:id="71">
    <w:p w14:paraId="7FB50169" w14:textId="178BE441" w:rsidR="008A3D65" w:rsidRDefault="008A3D65">
      <w:pPr>
        <w:pStyle w:val="FootnoteText"/>
      </w:pPr>
      <w:r>
        <w:rPr>
          <w:rStyle w:val="FootnoteReference"/>
        </w:rPr>
        <w:footnoteRef/>
      </w:r>
      <w:r>
        <w:t xml:space="preserve"> </w:t>
      </w:r>
      <w:r>
        <w:tab/>
      </w:r>
      <w:r w:rsidRPr="008A0351">
        <w:t xml:space="preserve">Even if the Commission had asked, Ms. Collins does not explain how the collection and storing processes are either novel or unique. </w:t>
      </w:r>
      <w:r>
        <w:t xml:space="preserve"> </w:t>
      </w:r>
      <w:r w:rsidRPr="008A0351">
        <w:t>Simply identifying a database as “proprietary’ does not in an of itself establish a trade secret without setting forth the necessary predicate facts. (</w:t>
      </w:r>
      <w:r w:rsidRPr="008A0351">
        <w:rPr>
          <w:i/>
          <w:iCs/>
        </w:rPr>
        <w:t>See Morlife, Inc. v. Perry</w:t>
      </w:r>
      <w:r>
        <w:rPr>
          <w:i/>
          <w:iCs/>
        </w:rPr>
        <w:t>, supra,</w:t>
      </w:r>
      <w:r w:rsidRPr="008A0351">
        <w:t xml:space="preserve"> 56 Cal.App.4</w:t>
      </w:r>
      <w:r w:rsidRPr="008A0351">
        <w:rPr>
          <w:vertAlign w:val="superscript"/>
        </w:rPr>
        <w:t>th</w:t>
      </w:r>
      <w:r w:rsidRPr="008A0351">
        <w:t xml:space="preserve">, </w:t>
      </w:r>
      <w:r>
        <w:t xml:space="preserve"> at </w:t>
      </w:r>
      <w:r w:rsidRPr="008A0351">
        <w:t xml:space="preserve">1522, citing to </w:t>
      </w:r>
      <w:r w:rsidRPr="008A0351">
        <w:rPr>
          <w:i/>
          <w:iCs/>
        </w:rPr>
        <w:t>American Paper &amp; Packaging Products, Inc. v. Kirgan</w:t>
      </w:r>
      <w:r w:rsidRPr="008A0351">
        <w:t xml:space="preserve">, supra, 183 Cal.App.3d at p. 1325; and </w:t>
      </w:r>
      <w:r w:rsidRPr="008A0351">
        <w:rPr>
          <w:i/>
          <w:iCs/>
        </w:rPr>
        <w:t>Moss, Adams &amp; Co. v. Shilling</w:t>
      </w:r>
      <w:r w:rsidRPr="008A0351">
        <w:t xml:space="preserve"> (1986) </w:t>
      </w:r>
      <w:hyperlink r:id="rId4" w:history="1">
        <w:r w:rsidRPr="008A0351">
          <w:rPr>
            <w:rStyle w:val="Hyperlink"/>
          </w:rPr>
          <w:t>179 Cal. App. 3d 124</w:t>
        </w:r>
      </w:hyperlink>
      <w:r w:rsidRPr="008A0351">
        <w:t>, 126, 130.)</w:t>
      </w:r>
    </w:p>
  </w:footnote>
  <w:footnote w:id="72">
    <w:p w14:paraId="34C37715" w14:textId="2C5A23CC" w:rsidR="008A3D65" w:rsidRDefault="008A3D65">
      <w:pPr>
        <w:pStyle w:val="FootnoteText"/>
      </w:pPr>
      <w:r>
        <w:rPr>
          <w:rStyle w:val="FootnoteReference"/>
        </w:rPr>
        <w:footnoteRef/>
      </w:r>
      <w:r>
        <w:t xml:space="preserve"> </w:t>
      </w:r>
      <w:r>
        <w:tab/>
      </w:r>
      <w:r w:rsidRPr="00C4631E">
        <w:rPr>
          <w:i/>
          <w:iCs/>
        </w:rPr>
        <w:t>Appeal</w:t>
      </w:r>
      <w:r>
        <w:t>, at 20, quoting Collins Declaration, ¶26.</w:t>
      </w:r>
    </w:p>
  </w:footnote>
  <w:footnote w:id="73">
    <w:p w14:paraId="378EDC77" w14:textId="06A8F2F1" w:rsidR="008A3D65" w:rsidRDefault="008A3D65">
      <w:pPr>
        <w:pStyle w:val="FootnoteText"/>
      </w:pPr>
      <w:r>
        <w:rPr>
          <w:rStyle w:val="FootnoteReference"/>
        </w:rPr>
        <w:footnoteRef/>
      </w:r>
      <w:r>
        <w:t xml:space="preserve"> </w:t>
      </w:r>
      <w:r>
        <w:tab/>
      </w:r>
      <w:r w:rsidRPr="00732B36">
        <w:rPr>
          <w:i/>
          <w:iCs/>
        </w:rPr>
        <w:t>Appeal</w:t>
      </w:r>
      <w:r>
        <w:t xml:space="preserve">, at 23. </w:t>
      </w:r>
    </w:p>
  </w:footnote>
  <w:footnote w:id="74">
    <w:p w14:paraId="1893BBD3" w14:textId="33E0B22F" w:rsidR="008A3D65" w:rsidRDefault="008A3D65">
      <w:pPr>
        <w:pStyle w:val="FootnoteText"/>
      </w:pPr>
      <w:r>
        <w:rPr>
          <w:rStyle w:val="FootnoteReference"/>
        </w:rPr>
        <w:footnoteRef/>
      </w:r>
      <w:r>
        <w:t xml:space="preserve"> </w:t>
      </w:r>
      <w:r>
        <w:tab/>
      </w:r>
      <w:r w:rsidRPr="003B6680">
        <w:rPr>
          <w:i/>
          <w:iCs/>
        </w:rPr>
        <w:t>Appeal,</w:t>
      </w:r>
      <w:r>
        <w:t xml:space="preserve"> at 23.</w:t>
      </w:r>
    </w:p>
  </w:footnote>
  <w:footnote w:id="75">
    <w:p w14:paraId="13E11FF6" w14:textId="0223955D" w:rsidR="008A3D65" w:rsidRDefault="008A3D65">
      <w:pPr>
        <w:pStyle w:val="FootnoteText"/>
      </w:pPr>
      <w:r>
        <w:rPr>
          <w:rStyle w:val="FootnoteReference"/>
        </w:rPr>
        <w:footnoteRef/>
      </w:r>
      <w:r>
        <w:t xml:space="preserve"> </w:t>
      </w:r>
      <w:r>
        <w:tab/>
      </w:r>
      <w:r w:rsidRPr="00AF29BE">
        <w:rPr>
          <w:i/>
          <w:iCs/>
        </w:rPr>
        <w:t>Appeal</w:t>
      </w:r>
      <w:r>
        <w:t>, at 24.</w:t>
      </w:r>
    </w:p>
  </w:footnote>
  <w:footnote w:id="76">
    <w:p w14:paraId="33D47A4A" w14:textId="14E9E135" w:rsidR="008A3D65" w:rsidRDefault="008A3D65">
      <w:pPr>
        <w:pStyle w:val="FootnoteText"/>
      </w:pPr>
      <w:r>
        <w:rPr>
          <w:rStyle w:val="FootnoteReference"/>
        </w:rPr>
        <w:footnoteRef/>
      </w:r>
      <w:r>
        <w:t xml:space="preserve"> </w:t>
      </w:r>
      <w:r>
        <w:tab/>
        <w:t>138 Cal.App.3d, at 1173.</w:t>
      </w:r>
    </w:p>
  </w:footnote>
  <w:footnote w:id="77">
    <w:p w14:paraId="18DC70BD" w14:textId="25BF1020" w:rsidR="008A3D65" w:rsidRDefault="008A3D65">
      <w:pPr>
        <w:pStyle w:val="FootnoteText"/>
      </w:pPr>
      <w:r>
        <w:rPr>
          <w:rStyle w:val="FootnoteReference"/>
        </w:rPr>
        <w:footnoteRef/>
      </w:r>
      <w:r>
        <w:t xml:space="preserve"> </w:t>
      </w:r>
      <w:r>
        <w:tab/>
      </w:r>
      <w:r w:rsidRPr="00312080">
        <w:rPr>
          <w:i/>
          <w:iCs/>
        </w:rPr>
        <w:t>Ruling</w:t>
      </w:r>
      <w:r>
        <w:t>, at 17.</w:t>
      </w:r>
    </w:p>
  </w:footnote>
  <w:footnote w:id="78">
    <w:p w14:paraId="5A29F3CC" w14:textId="00704A44" w:rsidR="008A3D65" w:rsidRDefault="008A3D65">
      <w:pPr>
        <w:pStyle w:val="FootnoteText"/>
      </w:pPr>
      <w:r>
        <w:rPr>
          <w:rStyle w:val="FootnoteReference"/>
        </w:rPr>
        <w:footnoteRef/>
      </w:r>
      <w:r>
        <w:t xml:space="preserve"> </w:t>
      </w:r>
      <w:r>
        <w:tab/>
      </w:r>
      <w:r w:rsidRPr="00CE1259">
        <w:rPr>
          <w:i/>
          <w:iCs/>
        </w:rPr>
        <w:t>See</w:t>
      </w:r>
      <w:r>
        <w:t xml:space="preserve"> discussion comparing the Collins and Sauerwein Declarations, </w:t>
      </w:r>
      <w:r w:rsidRPr="00CE1259">
        <w:rPr>
          <w:i/>
          <w:iCs/>
        </w:rPr>
        <w:t>supra</w:t>
      </w:r>
      <w:r>
        <w:t>.</w:t>
      </w:r>
    </w:p>
  </w:footnote>
  <w:footnote w:id="79">
    <w:p w14:paraId="3E1A57CE" w14:textId="14F08BE5" w:rsidR="008A3D65" w:rsidRDefault="008A3D65">
      <w:pPr>
        <w:pStyle w:val="FootnoteText"/>
      </w:pPr>
      <w:r>
        <w:rPr>
          <w:rStyle w:val="FootnoteReference"/>
        </w:rPr>
        <w:footnoteRef/>
      </w:r>
      <w:r>
        <w:t xml:space="preserve"> </w:t>
      </w:r>
      <w:r>
        <w:tab/>
        <w:t xml:space="preserve">The official jury instruction of trade secret (CACI No. 4402) also defines the requirements of a trade secret claim in the conjunctive. </w:t>
      </w:r>
    </w:p>
  </w:footnote>
  <w:footnote w:id="80">
    <w:p w14:paraId="60A7D4D1" w14:textId="4434667E" w:rsidR="008A3D65" w:rsidRDefault="008A3D65">
      <w:pPr>
        <w:pStyle w:val="FootnoteText"/>
      </w:pPr>
      <w:r>
        <w:rPr>
          <w:rStyle w:val="FootnoteReference"/>
        </w:rPr>
        <w:footnoteRef/>
      </w:r>
      <w:r>
        <w:t xml:space="preserve"> </w:t>
      </w:r>
      <w:r>
        <w:tab/>
      </w:r>
      <w:r w:rsidRPr="00AD4372">
        <w:rPr>
          <w:i/>
          <w:iCs/>
        </w:rPr>
        <w:t>See</w:t>
      </w:r>
      <w:r>
        <w:t xml:space="preserve"> 1A Singer, </w:t>
      </w:r>
      <w:r w:rsidRPr="00AD4372">
        <w:rPr>
          <w:i/>
          <w:iCs/>
        </w:rPr>
        <w:t>SUTHERLAND STATUTORY CONSTRUCTION</w:t>
      </w:r>
      <w:r>
        <w:t xml:space="preserve"> § 21.14, at 20 (5</w:t>
      </w:r>
      <w:r w:rsidRPr="00AD4372">
        <w:rPr>
          <w:vertAlign w:val="superscript"/>
        </w:rPr>
        <w:t>th</w:t>
      </w:r>
      <w:r>
        <w:t xml:space="preserve"> ed. Cum. Supp. 2001.)  (The strict meaning of “and” and “or” should be followed when their accurate reading does not render the sense of the statute confusing and there is no clear legislative intent to have the words not mean what they strictly should.)</w:t>
      </w:r>
    </w:p>
  </w:footnote>
  <w:footnote w:id="81">
    <w:p w14:paraId="51BD392C" w14:textId="0056F8F2" w:rsidR="008A3D65" w:rsidRDefault="008A3D65">
      <w:pPr>
        <w:pStyle w:val="FootnoteText"/>
      </w:pPr>
      <w:r>
        <w:rPr>
          <w:rStyle w:val="FootnoteReference"/>
        </w:rPr>
        <w:footnoteRef/>
      </w:r>
      <w:r>
        <w:t xml:space="preserve"> </w:t>
      </w:r>
      <w:r>
        <w:tab/>
      </w:r>
      <w:r w:rsidRPr="00E47569">
        <w:rPr>
          <w:i/>
          <w:iCs/>
        </w:rPr>
        <w:t>Appeal</w:t>
      </w:r>
      <w:r>
        <w:t>, at 23.</w:t>
      </w:r>
    </w:p>
  </w:footnote>
  <w:footnote w:id="82">
    <w:p w14:paraId="6F873B97" w14:textId="7937CFB3" w:rsidR="008A3D65" w:rsidRDefault="008A3D65">
      <w:pPr>
        <w:pStyle w:val="FootnoteText"/>
      </w:pPr>
      <w:r>
        <w:rPr>
          <w:rStyle w:val="FootnoteReference"/>
        </w:rPr>
        <w:footnoteRef/>
      </w:r>
      <w:r>
        <w:t xml:space="preserve"> </w:t>
      </w:r>
      <w:r>
        <w:tab/>
      </w:r>
      <w:r w:rsidRPr="007D35E1">
        <w:rPr>
          <w:i/>
          <w:iCs/>
        </w:rPr>
        <w:t>Appeal</w:t>
      </w:r>
      <w:r>
        <w:t>, at 20.</w:t>
      </w:r>
    </w:p>
  </w:footnote>
  <w:footnote w:id="83">
    <w:p w14:paraId="195B0EFE" w14:textId="5A1CFD97" w:rsidR="008A3D65" w:rsidRDefault="008A3D65">
      <w:pPr>
        <w:pStyle w:val="FootnoteText"/>
      </w:pPr>
      <w:r>
        <w:rPr>
          <w:rStyle w:val="FootnoteReference"/>
        </w:rPr>
        <w:footnoteRef/>
      </w:r>
      <w:r>
        <w:t xml:space="preserve"> </w:t>
      </w:r>
      <w:r>
        <w:tab/>
      </w:r>
      <w:r w:rsidRPr="007D35E1">
        <w:rPr>
          <w:i/>
          <w:iCs/>
        </w:rPr>
        <w:t>Id</w:t>
      </w:r>
      <w:r>
        <w:t>., at 21.</w:t>
      </w:r>
    </w:p>
  </w:footnote>
  <w:footnote w:id="84">
    <w:p w14:paraId="50E619F4" w14:textId="002FFEEE" w:rsidR="008A3D65" w:rsidRDefault="008A3D65">
      <w:pPr>
        <w:pStyle w:val="FootnoteText"/>
      </w:pPr>
      <w:r>
        <w:rPr>
          <w:rStyle w:val="FootnoteReference"/>
        </w:rPr>
        <w:footnoteRef/>
      </w:r>
      <w:r>
        <w:t xml:space="preserve"> </w:t>
      </w:r>
      <w:r>
        <w:tab/>
      </w:r>
      <w:r w:rsidRPr="007D35E1">
        <w:rPr>
          <w:i/>
          <w:iCs/>
        </w:rPr>
        <w:t>Id</w:t>
      </w:r>
      <w:r>
        <w:t>.</w:t>
      </w:r>
    </w:p>
  </w:footnote>
  <w:footnote w:id="85">
    <w:p w14:paraId="103E5C07" w14:textId="7A7C9DB7" w:rsidR="008A3D65" w:rsidRDefault="008A3D65">
      <w:pPr>
        <w:pStyle w:val="FootnoteText"/>
      </w:pPr>
      <w:r>
        <w:rPr>
          <w:rStyle w:val="FootnoteReference"/>
        </w:rPr>
        <w:footnoteRef/>
      </w:r>
      <w:r>
        <w:t xml:space="preserve"> </w:t>
      </w:r>
      <w:r>
        <w:tab/>
      </w:r>
      <w:r w:rsidRPr="00D418C1">
        <w:rPr>
          <w:i/>
          <w:iCs/>
        </w:rPr>
        <w:t>Appeal</w:t>
      </w:r>
      <w:r>
        <w:t>, at 20, quoting Collins Declaration ¶26.</w:t>
      </w:r>
    </w:p>
  </w:footnote>
  <w:footnote w:id="86">
    <w:p w14:paraId="520E2D03" w14:textId="507C7FCF" w:rsidR="008A3D65" w:rsidRDefault="008A3D65">
      <w:pPr>
        <w:pStyle w:val="FootnoteText"/>
      </w:pPr>
      <w:r>
        <w:rPr>
          <w:rStyle w:val="FootnoteReference"/>
        </w:rPr>
        <w:footnoteRef/>
      </w:r>
      <w:r>
        <w:t xml:space="preserve"> </w:t>
      </w:r>
      <w:r>
        <w:tab/>
      </w:r>
      <w:r w:rsidRPr="00D418C1">
        <w:rPr>
          <w:i/>
          <w:iCs/>
        </w:rPr>
        <w:t>Appeal</w:t>
      </w:r>
      <w:r>
        <w:t>, at 21, quoting Collins Declaration ¶30.</w:t>
      </w:r>
    </w:p>
  </w:footnote>
  <w:footnote w:id="87">
    <w:p w14:paraId="089E6970" w14:textId="53D3899C" w:rsidR="008A3D65" w:rsidRDefault="008A3D65">
      <w:pPr>
        <w:pStyle w:val="FootnoteText"/>
      </w:pPr>
      <w:r>
        <w:rPr>
          <w:rStyle w:val="FootnoteReference"/>
        </w:rPr>
        <w:footnoteRef/>
      </w:r>
      <w:r>
        <w:t xml:space="preserve"> </w:t>
      </w:r>
      <w:r>
        <w:tab/>
      </w:r>
      <w:r w:rsidRPr="00D418C1">
        <w:rPr>
          <w:i/>
          <w:iCs/>
        </w:rPr>
        <w:t>Appeal</w:t>
      </w:r>
      <w:r>
        <w:t>, at 21, quoting Collins Declaration ¶¶28 and 30.</w:t>
      </w:r>
    </w:p>
  </w:footnote>
  <w:footnote w:id="88">
    <w:p w14:paraId="65BABDD3" w14:textId="4C5169C9" w:rsidR="008A3D65" w:rsidRDefault="008A3D65">
      <w:pPr>
        <w:pStyle w:val="FootnoteText"/>
      </w:pPr>
      <w:r>
        <w:rPr>
          <w:rStyle w:val="FootnoteReference"/>
        </w:rPr>
        <w:footnoteRef/>
      </w:r>
      <w:r>
        <w:t xml:space="preserve"> </w:t>
      </w:r>
      <w:r>
        <w:tab/>
      </w:r>
      <w:r w:rsidRPr="003B40FF">
        <w:rPr>
          <w:i/>
          <w:iCs/>
        </w:rPr>
        <w:t>Appeal</w:t>
      </w:r>
      <w:r>
        <w:t>, at 21, quoting Collins Declaration ¶30.</w:t>
      </w:r>
    </w:p>
  </w:footnote>
  <w:footnote w:id="89">
    <w:p w14:paraId="403E1DB2" w14:textId="72E2E1DF" w:rsidR="008A3D65" w:rsidRDefault="008A3D65">
      <w:pPr>
        <w:pStyle w:val="FootnoteText"/>
      </w:pPr>
      <w:r>
        <w:rPr>
          <w:rStyle w:val="FootnoteReference"/>
        </w:rPr>
        <w:footnoteRef/>
      </w:r>
      <w:r>
        <w:t xml:space="preserve"> </w:t>
      </w:r>
      <w:r>
        <w:tab/>
      </w:r>
      <w:r w:rsidRPr="003B40FF">
        <w:rPr>
          <w:i/>
          <w:iCs/>
        </w:rPr>
        <w:t>Id</w:t>
      </w:r>
      <w:r>
        <w:t>.</w:t>
      </w:r>
    </w:p>
  </w:footnote>
  <w:footnote w:id="90">
    <w:p w14:paraId="5EB89285" w14:textId="4254DB18" w:rsidR="008A3D65" w:rsidRDefault="008A3D65">
      <w:pPr>
        <w:pStyle w:val="FootnoteText"/>
      </w:pPr>
      <w:r>
        <w:rPr>
          <w:rStyle w:val="FootnoteReference"/>
        </w:rPr>
        <w:footnoteRef/>
      </w:r>
      <w:r>
        <w:t xml:space="preserve"> </w:t>
      </w:r>
      <w:r>
        <w:tab/>
        <w:t>D.20-03-014, at 15.</w:t>
      </w:r>
    </w:p>
  </w:footnote>
  <w:footnote w:id="91">
    <w:p w14:paraId="3FB2631C" w14:textId="7EF3AB30" w:rsidR="008A3D65" w:rsidRDefault="008A3D65">
      <w:pPr>
        <w:pStyle w:val="FootnoteText"/>
      </w:pPr>
      <w:r>
        <w:rPr>
          <w:rStyle w:val="FootnoteReference"/>
        </w:rPr>
        <w:footnoteRef/>
      </w:r>
      <w:r>
        <w:t xml:space="preserve"> </w:t>
      </w:r>
      <w:r>
        <w:tab/>
      </w:r>
      <w:r w:rsidRPr="0030384D">
        <w:rPr>
          <w:i/>
          <w:iCs/>
        </w:rPr>
        <w:t>Id</w:t>
      </w:r>
      <w:r>
        <w:t>., footnote 30.</w:t>
      </w:r>
    </w:p>
  </w:footnote>
  <w:footnote w:id="92">
    <w:p w14:paraId="4046291C" w14:textId="5202BCED" w:rsidR="008A3D65" w:rsidRDefault="008A3D65">
      <w:pPr>
        <w:pStyle w:val="FootnoteText"/>
      </w:pPr>
      <w:r>
        <w:rPr>
          <w:rStyle w:val="FootnoteReference"/>
        </w:rPr>
        <w:footnoteRef/>
      </w:r>
      <w:r>
        <w:t xml:space="preserve"> </w:t>
      </w:r>
      <w:r>
        <w:tab/>
      </w:r>
      <w:r w:rsidRPr="0030384D">
        <w:rPr>
          <w:i/>
          <w:iCs/>
        </w:rPr>
        <w:t>Id</w:t>
      </w:r>
      <w:r>
        <w:t>.</w:t>
      </w:r>
    </w:p>
  </w:footnote>
  <w:footnote w:id="93">
    <w:p w14:paraId="4F5E0C16" w14:textId="7EA6D428" w:rsidR="003B68F6" w:rsidRDefault="003B68F6">
      <w:pPr>
        <w:pStyle w:val="FootnoteText"/>
      </w:pPr>
      <w:r>
        <w:rPr>
          <w:rStyle w:val="FootnoteReference"/>
        </w:rPr>
        <w:footnoteRef/>
      </w:r>
      <w:r>
        <w:t xml:space="preserve"> </w:t>
      </w:r>
      <w:r w:rsidRPr="0005126E">
        <w:rPr>
          <w:i/>
          <w:iCs/>
        </w:rPr>
        <w:t>Appeal</w:t>
      </w:r>
      <w:r>
        <w:t>, at 25.</w:t>
      </w:r>
    </w:p>
  </w:footnote>
  <w:footnote w:id="94">
    <w:p w14:paraId="6C240631" w14:textId="16C8A25A" w:rsidR="008A3D65" w:rsidRDefault="008A3D65">
      <w:pPr>
        <w:pStyle w:val="FootnoteText"/>
      </w:pPr>
      <w:r>
        <w:rPr>
          <w:rStyle w:val="FootnoteReference"/>
        </w:rPr>
        <w:footnoteRef/>
      </w:r>
      <w:r>
        <w:t xml:space="preserve"> </w:t>
      </w:r>
      <w:r>
        <w:tab/>
        <w:t>Rule 13.6.</w:t>
      </w:r>
    </w:p>
  </w:footnote>
  <w:footnote w:id="95">
    <w:p w14:paraId="7FEAC744" w14:textId="4312A85C" w:rsidR="008A3D65" w:rsidRDefault="008A3D65">
      <w:pPr>
        <w:pStyle w:val="FootnoteText"/>
      </w:pPr>
      <w:r>
        <w:rPr>
          <w:rStyle w:val="FootnoteReference"/>
        </w:rPr>
        <w:footnoteRef/>
      </w:r>
      <w:r>
        <w:t xml:space="preserve"> </w:t>
      </w:r>
      <w:r>
        <w:tab/>
        <w:t xml:space="preserve">CACJI No. 4404 (Reasonable Efforts to Protect Secrecy).  Some of the factors from CACJI No. 4404 are listed in </w:t>
      </w:r>
      <w:r w:rsidRPr="007D2D34">
        <w:rPr>
          <w:i/>
          <w:iCs/>
        </w:rPr>
        <w:t>Whyte v. Schlage Lock Co</w:t>
      </w:r>
      <w:r>
        <w:t>. (2002) 101 Cal.App.4</w:t>
      </w:r>
      <w:r w:rsidRPr="007D2D34">
        <w:rPr>
          <w:vertAlign w:val="superscript"/>
        </w:rPr>
        <w:t>th</w:t>
      </w:r>
      <w:r>
        <w:t xml:space="preserve"> 1443, 1454.</w:t>
      </w:r>
    </w:p>
  </w:footnote>
  <w:footnote w:id="96">
    <w:p w14:paraId="36392F68" w14:textId="0195F2D6" w:rsidR="008A3D65" w:rsidRDefault="008A3D65">
      <w:pPr>
        <w:pStyle w:val="FootnoteText"/>
      </w:pPr>
      <w:r>
        <w:rPr>
          <w:rStyle w:val="FootnoteReference"/>
        </w:rPr>
        <w:footnoteRef/>
      </w:r>
      <w:r>
        <w:t xml:space="preserve"> </w:t>
      </w:r>
      <w:r>
        <w:tab/>
      </w:r>
      <w:r w:rsidRPr="007D35E1">
        <w:rPr>
          <w:i/>
          <w:iCs/>
        </w:rPr>
        <w:t>Appeal</w:t>
      </w:r>
      <w:r>
        <w:t>, at 22.</w:t>
      </w:r>
    </w:p>
  </w:footnote>
  <w:footnote w:id="97">
    <w:p w14:paraId="615F2A14" w14:textId="1DB90385" w:rsidR="008A3D65" w:rsidRDefault="008A3D65">
      <w:pPr>
        <w:pStyle w:val="FootnoteText"/>
      </w:pPr>
      <w:r>
        <w:rPr>
          <w:rStyle w:val="FootnoteReference"/>
        </w:rPr>
        <w:footnoteRef/>
      </w:r>
      <w:r>
        <w:t xml:space="preserve"> </w:t>
      </w:r>
      <w:r>
        <w:tab/>
        <w:t>On November 4, 2020, California voters passed Proposition 22, which gave TNC companies such as Uber and Lyft the right to classify their drivers as independent contractors:  “an app</w:t>
      </w:r>
      <w:r>
        <w:noBreakHyphen/>
        <w:t>based driver is an independent contractor and not an employee or agent with respect to the app-based driver’s relationship with a network company if the following conditions are met[.]”</w:t>
      </w:r>
    </w:p>
  </w:footnote>
  <w:footnote w:id="98">
    <w:p w14:paraId="7FDD4705" w14:textId="0A9B1277" w:rsidR="008A3D65" w:rsidRPr="00CA4AC4" w:rsidRDefault="008A3D65" w:rsidP="008A57AC">
      <w:pPr>
        <w:pStyle w:val="FootnoteText"/>
      </w:pPr>
      <w:r w:rsidRPr="00BF1E02">
        <w:rPr>
          <w:rStyle w:val="FootnoteReference"/>
        </w:rPr>
        <w:footnoteRef/>
      </w:r>
      <w:r>
        <w:t xml:space="preserve"> </w:t>
      </w:r>
      <w:r>
        <w:tab/>
      </w:r>
      <w:r w:rsidRPr="003F16E8">
        <w:rPr>
          <w:i/>
        </w:rPr>
        <w:t>See</w:t>
      </w:r>
      <w:r w:rsidRPr="00815647">
        <w:t xml:space="preserve"> </w:t>
      </w:r>
      <w:r w:rsidRPr="00F42AEE">
        <w:rPr>
          <w:i/>
          <w:iCs/>
        </w:rPr>
        <w:t>e.g.,</w:t>
      </w:r>
      <w:r w:rsidRPr="00CA4AC4">
        <w:rPr>
          <w:i/>
          <w:iCs/>
        </w:rPr>
        <w:t xml:space="preserve"> Amgen, Inc</w:t>
      </w:r>
      <w:r w:rsidRPr="00CA4AC4">
        <w:t xml:space="preserve">., </w:t>
      </w:r>
      <w:r w:rsidRPr="00CA4AC4">
        <w:rPr>
          <w:i/>
          <w:iCs/>
        </w:rPr>
        <w:t>supra</w:t>
      </w:r>
      <w:r w:rsidRPr="00CA4AC4">
        <w:t>, 47 Cal.App.5th at 732.</w:t>
      </w:r>
    </w:p>
  </w:footnote>
  <w:footnote w:id="99">
    <w:p w14:paraId="66FA99A1" w14:textId="7D4F66A0" w:rsidR="008A3D65" w:rsidRDefault="008A3D65" w:rsidP="008A57AC">
      <w:pPr>
        <w:pStyle w:val="FootnoteText"/>
      </w:pPr>
      <w:r>
        <w:rPr>
          <w:rStyle w:val="FootnoteReference"/>
        </w:rPr>
        <w:footnoteRef/>
      </w:r>
      <w:r>
        <w:t xml:space="preserve"> </w:t>
      </w:r>
      <w:r>
        <w:tab/>
      </w:r>
      <w:r w:rsidRPr="007C30D3">
        <w:t>Cal. Evid</w:t>
      </w:r>
      <w:r>
        <w:t>ence</w:t>
      </w:r>
      <w:r w:rsidRPr="007C30D3">
        <w:t xml:space="preserve"> Code § 500: </w:t>
      </w:r>
      <w:r>
        <w:t xml:space="preserve"> </w:t>
      </w:r>
      <w:r w:rsidRPr="007C30D3">
        <w:t>“Except as otherwise provided by law, a party has the burden of proof as to each fact the existence or nonexistence of which is essential to the claim for relief or defense that he is asserting</w:t>
      </w:r>
      <w:r w:rsidRPr="0068208D">
        <w:t>.”  (</w:t>
      </w:r>
      <w:r w:rsidRPr="0068208D">
        <w:rPr>
          <w:i/>
          <w:iCs/>
        </w:rPr>
        <w:t>See</w:t>
      </w:r>
      <w:r w:rsidRPr="0068208D">
        <w:t xml:space="preserve"> </w:t>
      </w:r>
      <w:r w:rsidRPr="0068208D">
        <w:rPr>
          <w:i/>
          <w:iCs/>
        </w:rPr>
        <w:t>also</w:t>
      </w:r>
      <w:r w:rsidRPr="0068208D">
        <w:t xml:space="preserve">, Cal. Evidence Code § 405; </w:t>
      </w:r>
      <w:r w:rsidRPr="0068208D">
        <w:rPr>
          <w:i/>
          <w:iCs/>
        </w:rPr>
        <w:t>Agricultural Labor Relations Board v. Richard A. Glass Co., Inc</w:t>
      </w:r>
      <w:r w:rsidRPr="0068208D">
        <w:t>. (</w:t>
      </w:r>
      <w:r w:rsidRPr="0068208D">
        <w:rPr>
          <w:i/>
          <w:iCs/>
        </w:rPr>
        <w:t>ALRB</w:t>
      </w:r>
      <w:r w:rsidRPr="0068208D">
        <w:t>) (1985) 175 Cal.App.3d 703.)</w:t>
      </w:r>
    </w:p>
  </w:footnote>
  <w:footnote w:id="100">
    <w:p w14:paraId="613862A1" w14:textId="5266B419" w:rsidR="008A3D65" w:rsidRDefault="008A3D65">
      <w:pPr>
        <w:pStyle w:val="FootnoteText"/>
      </w:pPr>
      <w:r>
        <w:rPr>
          <w:rStyle w:val="FootnoteReference"/>
        </w:rPr>
        <w:footnoteRef/>
      </w:r>
      <w:r>
        <w:t xml:space="preserve"> </w:t>
      </w:r>
      <w:r>
        <w:tab/>
      </w:r>
      <w:r w:rsidRPr="00A6208D">
        <w:rPr>
          <w:i/>
          <w:iCs/>
        </w:rPr>
        <w:t>See Uribe v. Howie</w:t>
      </w:r>
      <w:r>
        <w:t xml:space="preserve"> (1971) 19 Cal.App.3d 194, 205-207, and 210-211; and </w:t>
      </w:r>
      <w:r w:rsidRPr="00A6208D">
        <w:rPr>
          <w:i/>
          <w:iCs/>
        </w:rPr>
        <w:t>Coalition of University Employees v. The Regents of the University of California</w:t>
      </w:r>
      <w:r>
        <w:t xml:space="preserve"> (Super. Ct. Alameda County, 2003, No. RG03-0893002) 2003 WL 22717384. In conducing the balancing test the courts found that the public interest in disclosure outweighed the claimed need for secrecy.</w:t>
      </w:r>
    </w:p>
  </w:footnote>
  <w:footnote w:id="101">
    <w:p w14:paraId="3FEFCB5D" w14:textId="30C0F720" w:rsidR="008A3D65" w:rsidRDefault="008A3D65">
      <w:pPr>
        <w:pStyle w:val="FootnoteText"/>
      </w:pPr>
      <w:r>
        <w:rPr>
          <w:rStyle w:val="FootnoteReference"/>
        </w:rPr>
        <w:footnoteRef/>
      </w:r>
      <w:r>
        <w:t xml:space="preserve"> </w:t>
      </w:r>
      <w:r>
        <w:tab/>
      </w:r>
      <w:r w:rsidRPr="000367ED">
        <w:rPr>
          <w:i/>
          <w:iCs/>
        </w:rPr>
        <w:t>Ruling</w:t>
      </w:r>
      <w:r>
        <w:t>, at 20-21.</w:t>
      </w:r>
    </w:p>
  </w:footnote>
  <w:footnote w:id="102">
    <w:p w14:paraId="3181D610" w14:textId="659641A5" w:rsidR="008A3D65" w:rsidRDefault="008A3D65">
      <w:pPr>
        <w:pStyle w:val="FootnoteText"/>
      </w:pPr>
      <w:r>
        <w:rPr>
          <w:rStyle w:val="FootnoteReference"/>
        </w:rPr>
        <w:footnoteRef/>
      </w:r>
      <w:r>
        <w:t xml:space="preserve"> </w:t>
      </w:r>
      <w:r>
        <w:tab/>
      </w:r>
      <w:r w:rsidRPr="000367ED">
        <w:rPr>
          <w:i/>
          <w:iCs/>
        </w:rPr>
        <w:t>Ruling</w:t>
      </w:r>
      <w:r>
        <w:t>, at 19 and footnote 37.</w:t>
      </w:r>
    </w:p>
  </w:footnote>
  <w:footnote w:id="103">
    <w:p w14:paraId="4E9B7146" w14:textId="62248D73" w:rsidR="008A3D65" w:rsidRDefault="008A3D65">
      <w:pPr>
        <w:pStyle w:val="FootnoteText"/>
      </w:pPr>
      <w:r>
        <w:rPr>
          <w:rStyle w:val="FootnoteReference"/>
        </w:rPr>
        <w:footnoteRef/>
      </w:r>
      <w:r>
        <w:t xml:space="preserve"> </w:t>
      </w:r>
      <w:r>
        <w:tab/>
        <w:t xml:space="preserve">Zimride (now Lyft) </w:t>
      </w:r>
      <w:r w:rsidRPr="003E093A">
        <w:rPr>
          <w:i/>
          <w:iCs/>
        </w:rPr>
        <w:t>Comments</w:t>
      </w:r>
      <w:r>
        <w:t>, filed February 11, 2013.</w:t>
      </w:r>
    </w:p>
  </w:footnote>
  <w:footnote w:id="104">
    <w:p w14:paraId="3EB6D79E" w14:textId="18D904EE" w:rsidR="008A3D65" w:rsidRDefault="008A3D65">
      <w:pPr>
        <w:pStyle w:val="FootnoteText"/>
      </w:pPr>
      <w:r>
        <w:rPr>
          <w:rStyle w:val="FootnoteReference"/>
        </w:rPr>
        <w:footnoteRef/>
      </w:r>
      <w:r>
        <w:t xml:space="preserve"> </w:t>
      </w:r>
      <w:r>
        <w:tab/>
        <w:t>36 Cal.App.5</w:t>
      </w:r>
      <w:r w:rsidRPr="003C5D64">
        <w:rPr>
          <w:vertAlign w:val="superscript"/>
        </w:rPr>
        <w:t>th</w:t>
      </w:r>
      <w:r>
        <w:t>, at 74-75.</w:t>
      </w:r>
    </w:p>
  </w:footnote>
  <w:footnote w:id="105">
    <w:p w14:paraId="19F81305" w14:textId="06645A86" w:rsidR="008A3D65" w:rsidRDefault="008A3D65">
      <w:pPr>
        <w:pStyle w:val="FootnoteText"/>
      </w:pPr>
      <w:r>
        <w:rPr>
          <w:rStyle w:val="FootnoteReference"/>
        </w:rPr>
        <w:footnoteRef/>
      </w:r>
      <w:r>
        <w:t xml:space="preserve"> </w:t>
      </w:r>
      <w:r>
        <w:tab/>
      </w:r>
      <w:r w:rsidRPr="00130CB9">
        <w:rPr>
          <w:i/>
          <w:iCs/>
        </w:rPr>
        <w:t>Appeal</w:t>
      </w:r>
      <w:r>
        <w:t>, at 27.</w:t>
      </w:r>
    </w:p>
  </w:footnote>
  <w:footnote w:id="106">
    <w:p w14:paraId="3052ACAE" w14:textId="580C98BD" w:rsidR="008A3D65" w:rsidRDefault="008A3D65">
      <w:pPr>
        <w:pStyle w:val="FootnoteText"/>
      </w:pPr>
      <w:r>
        <w:rPr>
          <w:rStyle w:val="FootnoteReference"/>
        </w:rPr>
        <w:footnoteRef/>
      </w:r>
      <w:r>
        <w:t xml:space="preserve"> </w:t>
      </w:r>
      <w:r>
        <w:tab/>
      </w:r>
      <w:r w:rsidRPr="00471EDF">
        <w:rPr>
          <w:i/>
          <w:iCs/>
        </w:rPr>
        <w:t>See also</w:t>
      </w:r>
      <w:r>
        <w:t xml:space="preserve"> </w:t>
      </w:r>
      <w:r w:rsidRPr="00471EDF">
        <w:rPr>
          <w:i/>
          <w:iCs/>
        </w:rPr>
        <w:t>U.S. Department of Justice v. Reporters Committee for Freedom of Press</w:t>
      </w:r>
      <w:r>
        <w:t xml:space="preserve"> (1989) 489 U.S. 749, 772:  “</w:t>
      </w:r>
      <w:r w:rsidRPr="00A6208D">
        <w:rPr>
          <w:szCs w:val="22"/>
        </w:rPr>
        <w:t>Thus</w:t>
      </w:r>
      <w:r w:rsidRPr="00DE0A7A">
        <w:rPr>
          <w:szCs w:val="22"/>
        </w:rPr>
        <w:t>,</w:t>
      </w:r>
      <w:r w:rsidRPr="00471EDF">
        <w:t xml:space="preserve"> whether disclosure of a private document under Exemption 7(C) is warranted must turn on the nature of the requested document and its relationship to "the basic purpose of the Freedom of Information Act </w:t>
      </w:r>
      <w:r w:rsidRPr="00A6208D">
        <w:t>to open agency action to the light of public scrutiny</w:t>
      </w:r>
      <w:r w:rsidRPr="00471EDF">
        <w:rPr>
          <w:i/>
          <w:iCs/>
        </w:rPr>
        <w:t>.'</w:t>
      </w:r>
    </w:p>
  </w:footnote>
  <w:footnote w:id="107">
    <w:p w14:paraId="5BAE7D62" w14:textId="46675AC4" w:rsidR="008A3D65" w:rsidRDefault="008A3D65">
      <w:pPr>
        <w:pStyle w:val="FootnoteText"/>
      </w:pPr>
      <w:r>
        <w:rPr>
          <w:rStyle w:val="FootnoteReference"/>
        </w:rPr>
        <w:footnoteRef/>
      </w:r>
      <w:r>
        <w:t xml:space="preserve"> </w:t>
      </w:r>
      <w:r>
        <w:tab/>
        <w:t xml:space="preserve">Lyft’s </w:t>
      </w:r>
      <w:r w:rsidRPr="00E96D41">
        <w:rPr>
          <w:i/>
          <w:iCs/>
        </w:rPr>
        <w:t>Motion</w:t>
      </w:r>
      <w:r>
        <w:t>, at 26-27.</w:t>
      </w:r>
    </w:p>
  </w:footnote>
  <w:footnote w:id="108">
    <w:p w14:paraId="2F412CBD" w14:textId="5FC495BF" w:rsidR="008A3D65" w:rsidRDefault="008A3D65">
      <w:pPr>
        <w:pStyle w:val="FootnoteText"/>
      </w:pPr>
      <w:r>
        <w:rPr>
          <w:rStyle w:val="FootnoteReference"/>
        </w:rPr>
        <w:footnoteRef/>
      </w:r>
      <w:r>
        <w:t xml:space="preserve"> </w:t>
      </w:r>
      <w:r>
        <w:tab/>
      </w:r>
      <w:r w:rsidRPr="00E96D41">
        <w:rPr>
          <w:i/>
          <w:iCs/>
        </w:rPr>
        <w:t>Appeal</w:t>
      </w:r>
      <w:r>
        <w:t>, at 31.</w:t>
      </w:r>
    </w:p>
  </w:footnote>
  <w:footnote w:id="109">
    <w:p w14:paraId="63E43B5B" w14:textId="54E8F73B" w:rsidR="008A3D65" w:rsidRDefault="008A3D65">
      <w:pPr>
        <w:pStyle w:val="FootnoteText"/>
      </w:pPr>
      <w:r>
        <w:rPr>
          <w:rStyle w:val="FootnoteReference"/>
        </w:rPr>
        <w:footnoteRef/>
      </w:r>
      <w:r>
        <w:t xml:space="preserve"> </w:t>
      </w:r>
      <w:r>
        <w:tab/>
        <w:t xml:space="preserve">Lyft’s </w:t>
      </w:r>
      <w:r w:rsidRPr="00E96D41">
        <w:rPr>
          <w:i/>
          <w:iCs/>
        </w:rPr>
        <w:t>Motion</w:t>
      </w:r>
      <w:r>
        <w:t xml:space="preserve">, at 26-27, and footnotes 144-147. </w:t>
      </w:r>
      <w:r w:rsidRPr="00B24E18">
        <w:rPr>
          <w:i/>
          <w:iCs/>
        </w:rPr>
        <w:t>Appeal</w:t>
      </w:r>
      <w:r>
        <w:t>, at 30-33.</w:t>
      </w:r>
    </w:p>
  </w:footnote>
  <w:footnote w:id="110">
    <w:p w14:paraId="109D30AF" w14:textId="53D5BC02" w:rsidR="008A3D65" w:rsidRDefault="008A3D65">
      <w:pPr>
        <w:pStyle w:val="FootnoteText"/>
      </w:pPr>
      <w:r>
        <w:rPr>
          <w:rStyle w:val="FootnoteReference"/>
        </w:rPr>
        <w:footnoteRef/>
      </w:r>
      <w:r>
        <w:t xml:space="preserve"> </w:t>
      </w:r>
      <w:r>
        <w:tab/>
        <w:t>223 Cal.App.4</w:t>
      </w:r>
      <w:r w:rsidRPr="00B114DA">
        <w:rPr>
          <w:vertAlign w:val="superscript"/>
        </w:rPr>
        <w:t>th</w:t>
      </w:r>
      <w:r>
        <w:t>, at 960.</w:t>
      </w:r>
    </w:p>
  </w:footnote>
  <w:footnote w:id="111">
    <w:p w14:paraId="76729ACE" w14:textId="71C300E4" w:rsidR="008A3D65" w:rsidRDefault="008A3D65">
      <w:pPr>
        <w:pStyle w:val="FootnoteText"/>
      </w:pPr>
      <w:r>
        <w:rPr>
          <w:rStyle w:val="FootnoteReference"/>
        </w:rPr>
        <w:footnoteRef/>
      </w:r>
      <w:r>
        <w:t xml:space="preserve"> </w:t>
      </w:r>
      <w:r>
        <w:tab/>
        <w:t>214 Cal.App.4</w:t>
      </w:r>
      <w:r w:rsidRPr="005663CD">
        <w:rPr>
          <w:vertAlign w:val="superscript"/>
        </w:rPr>
        <w:t>th</w:t>
      </w:r>
      <w:r>
        <w:t>, at 1257.</w:t>
      </w:r>
    </w:p>
  </w:footnote>
  <w:footnote w:id="112">
    <w:p w14:paraId="5BCFFB88" w14:textId="66BDD686" w:rsidR="008A3D65" w:rsidRDefault="008A3D65">
      <w:pPr>
        <w:pStyle w:val="FootnoteText"/>
      </w:pPr>
      <w:r>
        <w:rPr>
          <w:rStyle w:val="FootnoteReference"/>
        </w:rPr>
        <w:footnoteRef/>
      </w:r>
      <w:r>
        <w:t xml:space="preserve"> </w:t>
      </w:r>
      <w:r>
        <w:tab/>
      </w:r>
      <w:r w:rsidRPr="0031530B">
        <w:rPr>
          <w:i/>
          <w:iCs/>
        </w:rPr>
        <w:t>Center For Accessible Technology’s Opening Comments on OIR</w:t>
      </w:r>
      <w:r>
        <w:t>, at 3-4, quoting from Leadership Conference on Civil and Human Rights website.</w:t>
      </w:r>
    </w:p>
  </w:footnote>
  <w:footnote w:id="113">
    <w:p w14:paraId="16EF70E5" w14:textId="5E4AEFAC" w:rsidR="008A3D65" w:rsidRPr="0022514C" w:rsidRDefault="008A3D65" w:rsidP="0022514C">
      <w:pPr>
        <w:pStyle w:val="FootnoteText"/>
      </w:pPr>
      <w:r>
        <w:rPr>
          <w:rStyle w:val="FootnoteReference"/>
        </w:rPr>
        <w:footnoteRef/>
      </w:r>
      <w:r>
        <w:t xml:space="preserve"> </w:t>
      </w:r>
      <w:r>
        <w:tab/>
        <w:t xml:space="preserve">28 CFR </w:t>
      </w:r>
      <w:r w:rsidRPr="0022514C">
        <w:t>35.130 General prohibitions against discrimination</w:t>
      </w:r>
    </w:p>
    <w:p w14:paraId="270935A8" w14:textId="288BDFC0" w:rsidR="008A3D65" w:rsidRDefault="008A3D65" w:rsidP="00DB0DFE">
      <w:pPr>
        <w:pStyle w:val="FootnoteText"/>
        <w:numPr>
          <w:ilvl w:val="0"/>
          <w:numId w:val="13"/>
        </w:numPr>
      </w:pPr>
      <w:r w:rsidRPr="0022514C">
        <w:t>(a)</w:t>
      </w:r>
      <w:r>
        <w:t> </w:t>
      </w:r>
      <w:r w:rsidRPr="0022514C">
        <w:t>No qualified individual with a disability shall, on the basis of disability, be excluded from participation in or be denied the benefits of the services, programs, or activities of a public entity, or be subjected to discrimination by any public entity.</w:t>
      </w:r>
    </w:p>
  </w:footnote>
  <w:footnote w:id="114">
    <w:p w14:paraId="25E0CC30" w14:textId="27EFA4BD" w:rsidR="008A3D65" w:rsidRDefault="008A3D65">
      <w:pPr>
        <w:pStyle w:val="FootnoteText"/>
      </w:pPr>
      <w:r>
        <w:rPr>
          <w:rStyle w:val="FootnoteReference"/>
        </w:rPr>
        <w:footnoteRef/>
      </w:r>
      <w:r>
        <w:t xml:space="preserve"> </w:t>
      </w:r>
      <w:r>
        <w:tab/>
      </w:r>
      <w:r w:rsidRPr="00344766">
        <w:t xml:space="preserve">Private entities that are primarily engaged in the business of transporting people and whose operations affect commerce shall not discriminate against any individual on the basis of disability in the full and equal enjoyment of specified transportation services. </w:t>
      </w:r>
      <w:r>
        <w:t xml:space="preserve"> </w:t>
      </w:r>
      <w:r w:rsidRPr="00344766">
        <w:t>This obligation includes, with respect to the provision of transportation services, compliance with the requirements of the rules of the Department of Justice concerning eligibility criteria, making reasonable modifications, providing auxiliary aids and services, and removing barriers (28</w:t>
      </w:r>
      <w:r>
        <w:t> </w:t>
      </w:r>
      <w:r w:rsidRPr="00344766">
        <w:t>CFR</w:t>
      </w:r>
      <w:r>
        <w:t> </w:t>
      </w:r>
      <w:r w:rsidRPr="00344766">
        <w:t>36.301-36.306).</w:t>
      </w:r>
    </w:p>
  </w:footnote>
  <w:footnote w:id="115">
    <w:p w14:paraId="741932D3" w14:textId="0F1F43BE" w:rsidR="008A3D65" w:rsidRDefault="008A3D65">
      <w:pPr>
        <w:pStyle w:val="FootnoteText"/>
      </w:pPr>
      <w:r>
        <w:rPr>
          <w:rStyle w:val="FootnoteReference"/>
        </w:rPr>
        <w:footnoteRef/>
      </w:r>
      <w:r>
        <w:t xml:space="preserve"> </w:t>
      </w:r>
      <w:r>
        <w:tab/>
      </w:r>
      <w:r w:rsidRPr="007172E9">
        <w:rPr>
          <w:i/>
          <w:iCs/>
        </w:rPr>
        <w:t>Appeal</w:t>
      </w:r>
      <w:r>
        <w:t>, at 28.</w:t>
      </w:r>
    </w:p>
  </w:footnote>
  <w:footnote w:id="116">
    <w:p w14:paraId="425A50C1" w14:textId="45C5484F" w:rsidR="008A3D65" w:rsidRDefault="008A3D65">
      <w:pPr>
        <w:pStyle w:val="FootnoteText"/>
      </w:pPr>
      <w:r>
        <w:rPr>
          <w:rStyle w:val="FootnoteReference"/>
        </w:rPr>
        <w:footnoteRef/>
      </w:r>
      <w:r>
        <w:t xml:space="preserve"> </w:t>
      </w:r>
      <w:r>
        <w:tab/>
      </w:r>
      <w:r w:rsidRPr="00407CD2">
        <w:rPr>
          <w:i/>
          <w:iCs/>
        </w:rPr>
        <w:t>Ruling</w:t>
      </w:r>
      <w:r>
        <w:t>, at 5.</w:t>
      </w:r>
    </w:p>
  </w:footnote>
  <w:footnote w:id="117">
    <w:p w14:paraId="485C3FB3" w14:textId="551EB473" w:rsidR="008A3D65" w:rsidRDefault="008A3D65">
      <w:pPr>
        <w:pStyle w:val="FootnoteText"/>
      </w:pPr>
      <w:r>
        <w:rPr>
          <w:rStyle w:val="FootnoteReference"/>
        </w:rPr>
        <w:footnoteRef/>
      </w:r>
      <w:r>
        <w:t xml:space="preserve"> </w:t>
      </w:r>
      <w:r>
        <w:tab/>
        <w:t>“No person shall be…deprived of life, liberty, or property, without due process of law.”</w:t>
      </w:r>
    </w:p>
  </w:footnote>
  <w:footnote w:id="118">
    <w:p w14:paraId="506590AB" w14:textId="20E0157F" w:rsidR="008A3D65" w:rsidRDefault="008A3D65">
      <w:pPr>
        <w:pStyle w:val="FootnoteText"/>
      </w:pPr>
      <w:r>
        <w:rPr>
          <w:rStyle w:val="FootnoteReference"/>
        </w:rPr>
        <w:footnoteRef/>
      </w:r>
      <w:r>
        <w:t xml:space="preserve"> </w:t>
      </w:r>
      <w:r>
        <w:tab/>
        <w:t>The Fourteenth Amendment prohibits states from “depriving any person of life, liberty, or property, without due process of law.”</w:t>
      </w:r>
    </w:p>
  </w:footnote>
  <w:footnote w:id="119">
    <w:p w14:paraId="158A0383" w14:textId="05E943E1" w:rsidR="008A3D65" w:rsidRDefault="008A3D65">
      <w:pPr>
        <w:pStyle w:val="FootnoteText"/>
      </w:pPr>
      <w:r>
        <w:rPr>
          <w:rStyle w:val="FootnoteReference"/>
        </w:rPr>
        <w:footnoteRef/>
      </w:r>
      <w:r>
        <w:t xml:space="preserve"> </w:t>
      </w:r>
      <w:r>
        <w:tab/>
      </w:r>
      <w:r w:rsidRPr="00072C8A">
        <w:rPr>
          <w:i/>
          <w:iCs/>
        </w:rPr>
        <w:t>Hannah v. Larche</w:t>
      </w:r>
      <w:r>
        <w:t xml:space="preserve"> (1960) 363 U.S. 420, 442 (“When governmental agencies adjudicate or make binding determinations which directly affect the legal rights of individuals, it is imperative that those agencies use the procedures which have traditionally been associated with the judicial process. On the other hand, when governmental action does not partake of an adjudication…it is not necessary that the full panoply of judicial procedures be used.”)</w:t>
      </w:r>
    </w:p>
  </w:footnote>
  <w:footnote w:id="120">
    <w:p w14:paraId="73EECC11" w14:textId="56823A95" w:rsidR="008A3D65" w:rsidRDefault="008A3D65">
      <w:pPr>
        <w:pStyle w:val="FootnoteText"/>
      </w:pPr>
      <w:r>
        <w:rPr>
          <w:rStyle w:val="FootnoteReference"/>
        </w:rPr>
        <w:footnoteRef/>
      </w:r>
      <w:r>
        <w:t xml:space="preserve"> </w:t>
      </w:r>
      <w:r>
        <w:tab/>
        <w:t>California Constitution, art. I, §7(a).</w:t>
      </w:r>
    </w:p>
  </w:footnote>
  <w:footnote w:id="121">
    <w:p w14:paraId="4667724E" w14:textId="74A9D89A" w:rsidR="008A3D65" w:rsidRDefault="008A3D65">
      <w:pPr>
        <w:pStyle w:val="FootnoteText"/>
      </w:pPr>
      <w:r>
        <w:rPr>
          <w:rStyle w:val="FootnoteReference"/>
        </w:rPr>
        <w:footnoteRef/>
      </w:r>
      <w:r>
        <w:t xml:space="preserve"> </w:t>
      </w:r>
      <w:r>
        <w:tab/>
        <w:t xml:space="preserve">Rule 13.11 states that the “Administrative Law Judge or presiding officer, as applicable, </w:t>
      </w:r>
      <w:r w:rsidRPr="00F831C2">
        <w:rPr>
          <w:i/>
          <w:iCs/>
        </w:rPr>
        <w:t xml:space="preserve">may </w:t>
      </w:r>
      <w:r>
        <w:t>require the production of further evidence upon any issue.”  (Italics added.)</w:t>
      </w:r>
    </w:p>
  </w:footnote>
  <w:footnote w:id="122">
    <w:p w14:paraId="3739022A" w14:textId="6FDC8A45" w:rsidR="008A3D65" w:rsidRDefault="008A3D65">
      <w:pPr>
        <w:pStyle w:val="FootnoteText"/>
      </w:pPr>
      <w:r>
        <w:rPr>
          <w:rStyle w:val="FootnoteReference"/>
        </w:rPr>
        <w:footnoteRef/>
      </w:r>
      <w:r>
        <w:t xml:space="preserve"> </w:t>
      </w:r>
      <w:r>
        <w:tab/>
      </w:r>
      <w:r w:rsidRPr="009F24AF">
        <w:rPr>
          <w:i/>
          <w:iCs/>
        </w:rPr>
        <w:t>Appeal</w:t>
      </w:r>
      <w:r>
        <w:t>, at 30.</w:t>
      </w:r>
    </w:p>
  </w:footnote>
  <w:footnote w:id="123">
    <w:p w14:paraId="307FE83C" w14:textId="4EA18425" w:rsidR="008A3D65" w:rsidRDefault="008A3D65">
      <w:pPr>
        <w:pStyle w:val="FootnoteText"/>
      </w:pPr>
      <w:r>
        <w:rPr>
          <w:rStyle w:val="FootnoteReference"/>
        </w:rPr>
        <w:footnoteRef/>
      </w:r>
      <w:r>
        <w:t xml:space="preserve"> </w:t>
      </w:r>
      <w:r>
        <w:tab/>
      </w:r>
      <w:r w:rsidRPr="00950703">
        <w:rPr>
          <w:i/>
          <w:iCs/>
        </w:rPr>
        <w:t>Appeal</w:t>
      </w:r>
      <w:r>
        <w:t>, at 31.</w:t>
      </w:r>
    </w:p>
  </w:footnote>
  <w:footnote w:id="124">
    <w:p w14:paraId="04976923" w14:textId="42795A60" w:rsidR="008A3D65" w:rsidRDefault="008A3D65">
      <w:pPr>
        <w:pStyle w:val="FootnoteText"/>
      </w:pPr>
      <w:r>
        <w:rPr>
          <w:rStyle w:val="FootnoteReference"/>
        </w:rPr>
        <w:footnoteRef/>
      </w:r>
      <w:r>
        <w:t xml:space="preserve"> </w:t>
      </w:r>
      <w:r>
        <w:tab/>
      </w:r>
      <w:r w:rsidRPr="00705CB7">
        <w:rPr>
          <w:i/>
          <w:iCs/>
        </w:rPr>
        <w:t>Appeal</w:t>
      </w:r>
      <w:r>
        <w:t>, at 33.</w:t>
      </w:r>
    </w:p>
  </w:footnote>
  <w:footnote w:id="125">
    <w:p w14:paraId="171828E9" w14:textId="4D1A5862" w:rsidR="008A3D65" w:rsidRDefault="008A3D65">
      <w:pPr>
        <w:pStyle w:val="FootnoteText"/>
      </w:pPr>
      <w:r>
        <w:rPr>
          <w:rStyle w:val="FootnoteReference"/>
        </w:rPr>
        <w:footnoteRef/>
      </w:r>
      <w:r>
        <w:t xml:space="preserve"> </w:t>
      </w:r>
      <w:r>
        <w:tab/>
        <w:t>The Commission also declines to consider the other studies (an MIT study) and articles (cited in footnotes 129 and 136) that Lyft has cited as they are inadmissible hearsay.</w:t>
      </w:r>
    </w:p>
  </w:footnote>
  <w:footnote w:id="126">
    <w:p w14:paraId="44532F07" w14:textId="1ED2DCA2" w:rsidR="008A3D65" w:rsidRDefault="008A3D65">
      <w:pPr>
        <w:pStyle w:val="FootnoteText"/>
      </w:pPr>
      <w:r>
        <w:rPr>
          <w:rStyle w:val="FootnoteReference"/>
        </w:rPr>
        <w:footnoteRef/>
      </w:r>
      <w:r>
        <w:t xml:space="preserve"> </w:t>
      </w:r>
      <w:r>
        <w:tab/>
      </w:r>
      <w:r w:rsidRPr="00BE6D8F">
        <w:rPr>
          <w:i/>
          <w:iCs/>
        </w:rPr>
        <w:t>Appeal</w:t>
      </w:r>
      <w:r>
        <w:t>, at 34-36.</w:t>
      </w:r>
    </w:p>
  </w:footnote>
  <w:footnote w:id="127">
    <w:p w14:paraId="5D0C7B96" w14:textId="577ABF22" w:rsidR="008A3D65" w:rsidRDefault="008A3D65">
      <w:pPr>
        <w:pStyle w:val="FootnoteText"/>
      </w:pPr>
      <w:r>
        <w:rPr>
          <w:rStyle w:val="FootnoteReference"/>
        </w:rPr>
        <w:footnoteRef/>
      </w:r>
      <w:r>
        <w:t xml:space="preserve"> </w:t>
      </w:r>
      <w:r>
        <w:tab/>
      </w:r>
      <w:r w:rsidRPr="00597187">
        <w:rPr>
          <w:i/>
          <w:iCs/>
        </w:rPr>
        <w:t>Ruling</w:t>
      </w:r>
      <w:r>
        <w:t>, at 7.</w:t>
      </w:r>
    </w:p>
  </w:footnote>
  <w:footnote w:id="128">
    <w:p w14:paraId="72551D19" w14:textId="0C4CF67B" w:rsidR="008A3D65" w:rsidRDefault="008A3D65">
      <w:pPr>
        <w:pStyle w:val="FootnoteText"/>
      </w:pPr>
      <w:r>
        <w:rPr>
          <w:rStyle w:val="FootnoteReference"/>
        </w:rPr>
        <w:footnoteRef/>
      </w:r>
      <w:r>
        <w:t xml:space="preserve"> </w:t>
      </w:r>
      <w:r>
        <w:tab/>
        <w:t>Even if Lyft had asked the Commission to take official notice of the PAI report pursuant to  Rule 13.10, such an effort would not have advanced Lyft’s cause.  If the Commission had taken official notice of the PAI report it would not have taken official notice of the findings and conclusions as to whether trip data can be engineered to (1) reveal a passenger’s identity; (2) reveal the starting and ending addresses of a TNC trip; and (3) reveal a driver’s identity, because these findings and conclusions are reasonably subject to dispute and, therefore, may not necessarily be correct.  (</w:t>
      </w:r>
      <w:r w:rsidRPr="00587F07">
        <w:rPr>
          <w:i/>
          <w:iCs/>
        </w:rPr>
        <w:t>See</w:t>
      </w:r>
      <w:r>
        <w:t xml:space="preserve"> </w:t>
      </w:r>
      <w:r w:rsidRPr="004B0035">
        <w:rPr>
          <w:i/>
          <w:iCs/>
        </w:rPr>
        <w:t>Apple Inc. v. Superior Court</w:t>
      </w:r>
      <w:r>
        <w:t xml:space="preserve"> (2017) 18 Cal.App.5</w:t>
      </w:r>
      <w:r w:rsidRPr="004B0035">
        <w:rPr>
          <w:vertAlign w:val="superscript"/>
        </w:rPr>
        <w:t>th</w:t>
      </w:r>
      <w:r>
        <w:t xml:space="preserve"> 222, 241</w:t>
      </w:r>
      <w:r w:rsidRPr="004B0035">
        <w:rPr>
          <w:color w:val="1E1E1E"/>
          <w:szCs w:val="22"/>
          <w:shd w:val="clear" w:color="auto" w:fill="FFFFFF"/>
        </w:rPr>
        <w:t xml:space="preserve"> </w:t>
      </w:r>
      <w:r>
        <w:rPr>
          <w:color w:val="1E1E1E"/>
          <w:szCs w:val="22"/>
          <w:shd w:val="clear" w:color="auto" w:fill="FFFFFF"/>
        </w:rPr>
        <w:t>[“</w:t>
      </w:r>
      <w:r w:rsidRPr="004B0035">
        <w:t>judicial notice of a document does not extend to the truthfulness of its contents or the interpretation of statements contained therein, if those matters are reasonably disputable.</w:t>
      </w:r>
      <w:r>
        <w:t>”] Numerous other decisions are in accord with this limitation on the use of judicial notice.</w:t>
      </w:r>
      <w:r w:rsidRPr="004B0035">
        <w:t> </w:t>
      </w:r>
      <w:r>
        <w:t> (</w:t>
      </w:r>
      <w:r w:rsidRPr="009D40EE">
        <w:rPr>
          <w:i/>
          <w:iCs/>
        </w:rPr>
        <w:t xml:space="preserve">See </w:t>
      </w:r>
      <w:r>
        <w:rPr>
          <w:i/>
          <w:iCs/>
        </w:rPr>
        <w:t xml:space="preserve">Richtek USA, Inc. v. UPI Semiconductor </w:t>
      </w:r>
      <w:r>
        <w:t>(2015) 242 Cal.App.4</w:t>
      </w:r>
      <w:r w:rsidRPr="00953B15">
        <w:rPr>
          <w:vertAlign w:val="superscript"/>
        </w:rPr>
        <w:t>th</w:t>
      </w:r>
      <w:r>
        <w:t xml:space="preserve"> 651, 660-662 [facts in pleadings];</w:t>
      </w:r>
      <w:r>
        <w:rPr>
          <w:i/>
          <w:iCs/>
        </w:rPr>
        <w:t xml:space="preserve"> </w:t>
      </w:r>
      <w:r w:rsidRPr="009D40EE">
        <w:rPr>
          <w:i/>
          <w:iCs/>
        </w:rPr>
        <w:t>Kilroy v. State of California</w:t>
      </w:r>
      <w:r>
        <w:t xml:space="preserve"> (2004) 119 Cal.App.4</w:t>
      </w:r>
      <w:r w:rsidRPr="009D40EE">
        <w:rPr>
          <w:vertAlign w:val="superscript"/>
        </w:rPr>
        <w:t>th</w:t>
      </w:r>
      <w:r>
        <w:t xml:space="preserve"> 140, 148 [findings of fact in prior judicial opinion]; </w:t>
      </w:r>
      <w:r w:rsidRPr="009D40EE">
        <w:rPr>
          <w:i/>
          <w:iCs/>
        </w:rPr>
        <w:t>Lockley v. Law Office of Cantrell, Green Pekich, Cruz &amp; McCort</w:t>
      </w:r>
      <w:r>
        <w:t xml:space="preserve"> (2001) 91 Cal.App.4</w:t>
      </w:r>
      <w:r w:rsidRPr="009D40EE">
        <w:rPr>
          <w:vertAlign w:val="superscript"/>
        </w:rPr>
        <w:t>th</w:t>
      </w:r>
      <w:r>
        <w:t xml:space="preserve"> 875, 882 [hearsay statements in decisions and court files]; and </w:t>
      </w:r>
      <w:r w:rsidRPr="009D40EE">
        <w:rPr>
          <w:i/>
          <w:iCs/>
        </w:rPr>
        <w:t xml:space="preserve">Sosinsky v. Grant </w:t>
      </w:r>
      <w:r>
        <w:t>(1992) 6 Cal.App.4</w:t>
      </w:r>
      <w:r w:rsidRPr="009D40EE">
        <w:rPr>
          <w:vertAlign w:val="superscript"/>
        </w:rPr>
        <w:t>th</w:t>
      </w:r>
      <w:r>
        <w:t xml:space="preserve"> 1548, 1565 and 1568 [truth of judge’s factual finding.)  This reluctance also extends to not taking official notice of the truth of allegations in affidavits, declarations, and reports.  (</w:t>
      </w:r>
      <w:r w:rsidRPr="00CB6DA6">
        <w:rPr>
          <w:i/>
          <w:iCs/>
        </w:rPr>
        <w:t>See Bach v. McNelis</w:t>
      </w:r>
      <w:r>
        <w:t xml:space="preserve"> (1989) 207 Cal.App.3d 852, 865 [affidavits]; Tarr v. Merco Construction Engineers, Inc. (1978) 84 Cal.App.3d 707, 715 [affidavits, pleadings, and allegations]; and </w:t>
      </w:r>
      <w:r w:rsidRPr="00CB6DA6">
        <w:rPr>
          <w:i/>
          <w:iCs/>
        </w:rPr>
        <w:t>Ramsden v. Western Union</w:t>
      </w:r>
      <w:r>
        <w:t xml:space="preserve"> (1977) 71 Cal.App.3d  873, 878-879 [arrest report].)</w:t>
      </w:r>
    </w:p>
  </w:footnote>
  <w:footnote w:id="129">
    <w:p w14:paraId="056596EB" w14:textId="105C63CF" w:rsidR="005B55F9" w:rsidRDefault="005B55F9">
      <w:pPr>
        <w:pStyle w:val="FootnoteText"/>
      </w:pPr>
      <w:r>
        <w:rPr>
          <w:rStyle w:val="FootnoteReference"/>
        </w:rPr>
        <w:footnoteRef/>
      </w:r>
      <w:r>
        <w:t xml:space="preserve"> 844 F.3d, at 1043, </w:t>
      </w:r>
      <w:r w:rsidR="009C20E5">
        <w:t>i</w:t>
      </w:r>
      <w:r>
        <w:t>talics added</w:t>
      </w:r>
      <w:r w:rsidR="009C20E5">
        <w:t>.</w:t>
      </w:r>
    </w:p>
  </w:footnote>
  <w:footnote w:id="130">
    <w:p w14:paraId="125F02F7" w14:textId="6C861B1A" w:rsidR="009C20E5" w:rsidRDefault="009C20E5">
      <w:pPr>
        <w:pStyle w:val="FootnoteText"/>
      </w:pPr>
      <w:r>
        <w:rPr>
          <w:rStyle w:val="FootnoteReference"/>
        </w:rPr>
        <w:footnoteRef/>
      </w:r>
      <w:r>
        <w:t xml:space="preserve"> 381 F.3d, at 819, italics added.</w:t>
      </w:r>
    </w:p>
  </w:footnote>
  <w:footnote w:id="131">
    <w:p w14:paraId="02718248" w14:textId="401144ED" w:rsidR="00043D96" w:rsidRDefault="00043D96">
      <w:pPr>
        <w:pStyle w:val="FootnoteText"/>
      </w:pPr>
      <w:r>
        <w:rPr>
          <w:rStyle w:val="FootnoteReference"/>
        </w:rPr>
        <w:footnoteRef/>
      </w:r>
      <w:r>
        <w:t xml:space="preserve"> 140 Wash.2d, at 321.</w:t>
      </w:r>
    </w:p>
  </w:footnote>
  <w:footnote w:id="132">
    <w:p w14:paraId="02AC5804" w14:textId="31C3A30D" w:rsidR="00245878" w:rsidRDefault="00245878">
      <w:pPr>
        <w:pStyle w:val="FootnoteText"/>
      </w:pPr>
      <w:r>
        <w:rPr>
          <w:rStyle w:val="FootnoteReference"/>
        </w:rPr>
        <w:footnoteRef/>
      </w:r>
      <w:r>
        <w:t xml:space="preserve"> Lyft Comments, at 3.</w:t>
      </w:r>
    </w:p>
  </w:footnote>
  <w:footnote w:id="133">
    <w:p w14:paraId="2CB49935" w14:textId="1010DDB4" w:rsidR="006611BC" w:rsidRDefault="006611BC">
      <w:pPr>
        <w:pStyle w:val="FootnoteText"/>
      </w:pPr>
      <w:r>
        <w:rPr>
          <w:rStyle w:val="FootnoteReference"/>
        </w:rPr>
        <w:footnoteRef/>
      </w:r>
      <w:r>
        <w:t xml:space="preserve"> Italics added.</w:t>
      </w:r>
    </w:p>
  </w:footnote>
  <w:footnote w:id="134">
    <w:p w14:paraId="6260EABA" w14:textId="12444E11" w:rsidR="00DC5E34" w:rsidRPr="00742B9E" w:rsidRDefault="00DC5E34" w:rsidP="00DC5E34">
      <w:pPr>
        <w:pStyle w:val="FootnoteText"/>
      </w:pPr>
      <w:r>
        <w:rPr>
          <w:rStyle w:val="FootnoteReference"/>
        </w:rPr>
        <w:footnoteRef/>
      </w:r>
      <w:r>
        <w:t xml:space="preserve"> The party challenging the </w:t>
      </w:r>
      <w:r w:rsidRPr="00742B9E">
        <w:t xml:space="preserve">validity of a patent must present clear and convincing evidence establishing facts that lead to the legal conclusion of invalidity. </w:t>
      </w:r>
      <w:r w:rsidR="001457B0">
        <w:t xml:space="preserve"> </w:t>
      </w:r>
      <w:r>
        <w:t>(</w:t>
      </w:r>
      <w:r w:rsidRPr="00742B9E">
        <w:t>35 U.S.C. § 282.</w:t>
      </w:r>
      <w:r>
        <w:t>)</w:t>
      </w:r>
      <w:r w:rsidRPr="00742B9E">
        <w:t xml:space="preserve"> </w:t>
      </w:r>
      <w:r w:rsidR="001457B0">
        <w:t xml:space="preserve"> </w:t>
      </w:r>
      <w:r w:rsidRPr="00742B9E">
        <w:t>To establish invalidity under 35 U.S.C. §</w:t>
      </w:r>
      <w:r w:rsidR="001457B0">
        <w:t> </w:t>
      </w:r>
      <w:r w:rsidRPr="00742B9E">
        <w:t>103, certain factual predicates are required before the legal conclusion of obviousness or nonobviousness can be reached</w:t>
      </w:r>
      <w:r>
        <w:t>:</w:t>
      </w:r>
    </w:p>
    <w:p w14:paraId="3B19D350" w14:textId="77777777" w:rsidR="00DC5E34" w:rsidRPr="00742B9E" w:rsidRDefault="00DC5E34" w:rsidP="00DC5E34">
      <w:pPr>
        <w:pStyle w:val="FootnoteText"/>
        <w:numPr>
          <w:ilvl w:val="0"/>
          <w:numId w:val="24"/>
        </w:numPr>
      </w:pPr>
      <w:r w:rsidRPr="00742B9E">
        <w:t>(1) the scope and content of the prior art;</w:t>
      </w:r>
    </w:p>
    <w:p w14:paraId="68CC738F" w14:textId="77777777" w:rsidR="00DC5E34" w:rsidRPr="00742B9E" w:rsidRDefault="00DC5E34" w:rsidP="00DC5E34">
      <w:pPr>
        <w:pStyle w:val="FootnoteText"/>
        <w:numPr>
          <w:ilvl w:val="0"/>
          <w:numId w:val="24"/>
        </w:numPr>
      </w:pPr>
      <w:r w:rsidRPr="00742B9E">
        <w:t>(2) the differences between the claimed invention and the prior art;</w:t>
      </w:r>
    </w:p>
    <w:p w14:paraId="067A2A71" w14:textId="77777777" w:rsidR="00DC5E34" w:rsidRPr="00742B9E" w:rsidRDefault="00DC5E34" w:rsidP="00DC5E34">
      <w:pPr>
        <w:pStyle w:val="FootnoteText"/>
        <w:numPr>
          <w:ilvl w:val="0"/>
          <w:numId w:val="24"/>
        </w:numPr>
      </w:pPr>
      <w:r w:rsidRPr="00742B9E">
        <w:t>(3) the level of ordinary skill in the art; and</w:t>
      </w:r>
    </w:p>
    <w:p w14:paraId="17BADD56" w14:textId="77777777" w:rsidR="00DC5E34" w:rsidRPr="00742B9E" w:rsidRDefault="00DC5E34" w:rsidP="00DC5E34">
      <w:pPr>
        <w:pStyle w:val="FootnoteText"/>
        <w:numPr>
          <w:ilvl w:val="0"/>
          <w:numId w:val="24"/>
        </w:numPr>
      </w:pPr>
      <w:r w:rsidRPr="00742B9E">
        <w:t>(4) objective evidence of non-obviousness, such as commercial success, long-felt but unsolved need, failure of others, copying, and unexpected results.</w:t>
      </w:r>
    </w:p>
    <w:p w14:paraId="76C9ED21" w14:textId="77777777" w:rsidR="00DC5E34" w:rsidRDefault="00DC5E34" w:rsidP="00DC5E34">
      <w:pPr>
        <w:pStyle w:val="FootnoteText"/>
      </w:pPr>
      <w:r w:rsidRPr="00C12E5D">
        <w:rPr>
          <w:i/>
          <w:iCs/>
        </w:rPr>
        <w:t>See Graham v. John Deere</w:t>
      </w:r>
      <w:r>
        <w:rPr>
          <w:i/>
          <w:iCs/>
        </w:rPr>
        <w:t xml:space="preserve"> Co.</w:t>
      </w:r>
      <w:r>
        <w:t xml:space="preserve"> (1966) </w:t>
      </w:r>
      <w:r w:rsidRPr="00742B9E">
        <w:t>383 U.S. 1, 17</w:t>
      </w:r>
      <w:r>
        <w:t>.</w:t>
      </w:r>
      <w:r w:rsidRPr="00742B9E">
        <w:t> </w:t>
      </w:r>
    </w:p>
  </w:footnote>
  <w:footnote w:id="135">
    <w:p w14:paraId="00E7717C" w14:textId="59AD16FD" w:rsidR="00D22394" w:rsidRDefault="00D22394">
      <w:pPr>
        <w:pStyle w:val="FootnoteText"/>
      </w:pPr>
      <w:r>
        <w:rPr>
          <w:rStyle w:val="FootnoteReference"/>
        </w:rPr>
        <w:footnoteRef/>
      </w:r>
      <w:r>
        <w:t xml:space="preserve"> </w:t>
      </w:r>
      <w:r w:rsidRPr="00D22394">
        <w:rPr>
          <w:i/>
          <w:iCs/>
        </w:rPr>
        <w:t>“Novelty and prior art.</w:t>
      </w:r>
      <w:r w:rsidRPr="00D22394">
        <w:t> A trade secret may be a device or process which is patentable; but it need not be that. </w:t>
      </w:r>
      <w:r w:rsidRPr="00D22394">
        <w:rPr>
          <w:i/>
          <w:iCs/>
        </w:rPr>
        <w:t>It may be a device or process which is clearly anticipated in the prior art</w:t>
      </w:r>
      <w:r w:rsidRPr="00D22394">
        <w:t> or one which is merely a mechanical improvement that a good mechanic can make. Novelty and invention are not requisite for a trade secret as they are for patentability. These requirements are essential to patentability because a patent protects against unlicensed use of the patented device or process even by one who discovers it properly through independent research. The patent monopoly is a reward to the inventor. But such is not the case with a trade secret. Its protection is not based on a policy of rewarding or otherwise encouraging the development of secret processes or devices. </w:t>
      </w:r>
      <w:r w:rsidRPr="00D22394">
        <w:rPr>
          <w:i/>
          <w:iCs/>
        </w:rPr>
        <w:t>The protection is merely against breach of faith and reprehensible means of learning another's secret. For this limited protection it is not appropriate to require also the kind of novelty and invention which is a requisite of patentability."</w:t>
      </w:r>
      <w:r w:rsidRPr="00D22394">
        <w:t> (Emphasis added.)</w:t>
      </w:r>
    </w:p>
  </w:footnote>
  <w:footnote w:id="136">
    <w:p w14:paraId="69CBC5DC" w14:textId="6D35034D" w:rsidR="00F43A39" w:rsidRDefault="00F43A39">
      <w:pPr>
        <w:pStyle w:val="FootnoteText"/>
      </w:pPr>
      <w:r>
        <w:rPr>
          <w:rStyle w:val="FootnoteReference"/>
        </w:rPr>
        <w:footnoteRef/>
      </w:r>
      <w:r>
        <w:t xml:space="preserve"> In </w:t>
      </w:r>
      <w:r w:rsidRPr="0005126E">
        <w:rPr>
          <w:i/>
          <w:iCs/>
        </w:rPr>
        <w:t>Cisco Systems, Inc. v. Chung</w:t>
      </w:r>
      <w:r>
        <w:t xml:space="preserve"> (N.D. Cal.2020) 462 F.Supp.3d 1024, 1052, the Court said: “</w:t>
      </w:r>
      <w:r w:rsidRPr="00F43A39">
        <w:t>To have independent economic value, a trade secret must be sufficiently valuable and secret to afford an actual or potential economic advantage over others</w:t>
      </w:r>
      <w:r>
        <w:t>.”</w:t>
      </w:r>
    </w:p>
  </w:footnote>
  <w:footnote w:id="137">
    <w:p w14:paraId="5C0C7F00" w14:textId="0705D3BE" w:rsidR="00656C87" w:rsidRDefault="00656C87">
      <w:pPr>
        <w:pStyle w:val="FootnoteText"/>
      </w:pPr>
      <w:r>
        <w:rPr>
          <w:rStyle w:val="FootnoteReference"/>
        </w:rPr>
        <w:footnoteRef/>
      </w:r>
      <w:r>
        <w:t xml:space="preserve"> 154 Cal.App.4</w:t>
      </w:r>
      <w:r w:rsidRPr="0005126E">
        <w:rPr>
          <w:vertAlign w:val="superscript"/>
        </w:rPr>
        <w:t>th</w:t>
      </w:r>
      <w:r>
        <w:t>, at 565.</w:t>
      </w:r>
    </w:p>
  </w:footnote>
  <w:footnote w:id="138">
    <w:p w14:paraId="27EF0330" w14:textId="537CEE6A" w:rsidR="003C3590" w:rsidRDefault="003C3590">
      <w:pPr>
        <w:pStyle w:val="FootnoteText"/>
      </w:pPr>
      <w:r>
        <w:rPr>
          <w:rStyle w:val="FootnoteReference"/>
        </w:rPr>
        <w:footnoteRef/>
      </w:r>
      <w:r>
        <w:t xml:space="preserve"> </w:t>
      </w:r>
      <w:r w:rsidRPr="0005126E">
        <w:rPr>
          <w:i/>
          <w:iCs/>
        </w:rPr>
        <w:t>See Blank v. Coffin</w:t>
      </w:r>
      <w:r>
        <w:t xml:space="preserve"> (1942)</w:t>
      </w:r>
      <w:r w:rsidR="00BD5E78">
        <w:t xml:space="preserve"> 20 Cal.2d 457, 460 and 461</w:t>
      </w:r>
      <w:r w:rsidRPr="003C3590">
        <w:rPr>
          <w:rFonts w:ascii="Open Sans" w:hAnsi="Open Sans" w:cs="Open Sans"/>
          <w:color w:val="000000"/>
          <w:sz w:val="26"/>
          <w:szCs w:val="22"/>
          <w:shd w:val="clear" w:color="auto" w:fill="FFFFFF"/>
        </w:rPr>
        <w:t xml:space="preserve"> </w:t>
      </w:r>
      <w:r w:rsidR="00BD5E78">
        <w:rPr>
          <w:rFonts w:ascii="Open Sans" w:hAnsi="Open Sans" w:cs="Open Sans"/>
          <w:color w:val="000000"/>
          <w:sz w:val="26"/>
          <w:szCs w:val="22"/>
          <w:shd w:val="clear" w:color="auto" w:fill="FFFFFF"/>
        </w:rPr>
        <w:t>(</w:t>
      </w:r>
      <w:r>
        <w:rPr>
          <w:rFonts w:ascii="Open Sans" w:hAnsi="Open Sans" w:cs="Open Sans"/>
          <w:color w:val="000000"/>
          <w:sz w:val="26"/>
          <w:szCs w:val="22"/>
          <w:shd w:val="clear" w:color="auto" w:fill="FFFFFF"/>
        </w:rPr>
        <w:t>“</w:t>
      </w:r>
      <w:r w:rsidRPr="003C3590">
        <w:t>An inference is a conclusion as to the existence of a material fact that a jury may properly draw from the existence of certain primary facts</w:t>
      </w:r>
      <w:r>
        <w:t>….</w:t>
      </w:r>
      <w:r w:rsidRPr="003C3590">
        <w:rPr>
          <w:rFonts w:ascii="Open Sans" w:hAnsi="Open Sans" w:cs="Open Sans"/>
          <w:color w:val="000000"/>
          <w:sz w:val="26"/>
          <w:szCs w:val="22"/>
          <w:shd w:val="clear" w:color="auto" w:fill="FFFFFF"/>
        </w:rPr>
        <w:t xml:space="preserve"> </w:t>
      </w:r>
      <w:r w:rsidRPr="003C3590">
        <w:t>The jury is not compelled to draw the inference, however, even in the absence of contrary evidence and may refuse to do so. Whether a particular inference can be drawn from certain evidence is a question of law, but whether the inference shall be drawn, in any given case, is a question of fact for the jury.</w:t>
      </w:r>
      <w:r>
        <w:t>”</w:t>
      </w:r>
      <w:r w:rsidR="00BD5E78">
        <w:t>)</w:t>
      </w:r>
    </w:p>
  </w:footnote>
  <w:footnote w:id="139">
    <w:p w14:paraId="316861DF" w14:textId="65A31A6E" w:rsidR="00ED727F" w:rsidRDefault="00ED727F">
      <w:pPr>
        <w:pStyle w:val="FootnoteText"/>
      </w:pPr>
      <w:r>
        <w:rPr>
          <w:rStyle w:val="FootnoteReference"/>
        </w:rPr>
        <w:footnoteRef/>
      </w:r>
      <w:r>
        <w:t xml:space="preserve"> </w:t>
      </w:r>
      <w:r w:rsidRPr="0005126E">
        <w:rPr>
          <w:i/>
          <w:iCs/>
        </w:rPr>
        <w:t>See</w:t>
      </w:r>
      <w:r>
        <w:t xml:space="preserve"> Evidence Code</w:t>
      </w:r>
      <w:r w:rsidR="00C5581D">
        <w:t xml:space="preserve"> §</w:t>
      </w:r>
      <w:r>
        <w:t xml:space="preserve"> </w:t>
      </w:r>
      <w:r w:rsidR="00C5581D">
        <w:t>800</w:t>
      </w:r>
      <w:r w:rsidR="007B522D">
        <w:t xml:space="preserve"> </w:t>
      </w:r>
      <w:r w:rsidR="007E1E35">
        <w:t>(“</w:t>
      </w:r>
      <w:r w:rsidR="007E1E35" w:rsidRPr="007E1E35">
        <w:t>If a witness is not testifying as an expert, his testimony in the form of an opinion is limited to such an opinion as is permitted by law, including but not limited to an opinion that is:</w:t>
      </w:r>
      <w:r w:rsidR="007E1E35">
        <w:t xml:space="preserve"> </w:t>
      </w:r>
      <w:r w:rsidR="007E1E35" w:rsidRPr="007E1E35">
        <w:t>(a)</w:t>
      </w:r>
      <w:r w:rsidR="007E1E35" w:rsidRPr="007E1E35">
        <w:t> </w:t>
      </w:r>
      <w:r w:rsidR="007E1E35" w:rsidRPr="007E1E35">
        <w:t xml:space="preserve">Rationally based on the perception of the witness; </w:t>
      </w:r>
      <w:r w:rsidR="007E1E35" w:rsidRPr="007E1E35">
        <w:rPr>
          <w:rFonts w:ascii="Times New Roman" w:hAnsi="Times New Roman" w:cs="Times New Roman"/>
        </w:rPr>
        <w:t> </w:t>
      </w:r>
      <w:r w:rsidR="007E1E35" w:rsidRPr="007E1E35">
        <w:t>and</w:t>
      </w:r>
      <w:r w:rsidR="007E1E35">
        <w:t xml:space="preserve"> (b) </w:t>
      </w:r>
      <w:r w:rsidR="007E1E35" w:rsidRPr="007E1E35">
        <w:t>Helpful to a clear understanding of his testimony</w:t>
      </w:r>
      <w:r w:rsidR="007E1E35">
        <w:t xml:space="preserve">[;]” </w:t>
      </w:r>
      <w:r w:rsidR="007B522D">
        <w:t>and CAJI 223</w:t>
      </w:r>
      <w:r w:rsidR="007B522D" w:rsidRPr="007B522D">
        <w:rPr>
          <w:sz w:val="26"/>
          <w:szCs w:val="22"/>
        </w:rPr>
        <w:t xml:space="preserve"> </w:t>
      </w:r>
      <w:r w:rsidR="007B522D">
        <w:rPr>
          <w:sz w:val="26"/>
          <w:szCs w:val="22"/>
        </w:rPr>
        <w:t>“</w:t>
      </w:r>
      <w:r w:rsidR="007B522D" w:rsidRPr="007B522D">
        <w:t>A witness [who was not testifying as an expert] gave an opinion during the trial. You may, but are not required to, accept that opinion. You may give the opinion whatever weight you think is appropriate.</w:t>
      </w:r>
      <w:r w:rsidR="007B522D">
        <w:t>”</w:t>
      </w:r>
    </w:p>
  </w:footnote>
  <w:footnote w:id="140">
    <w:p w14:paraId="0699380E" w14:textId="6F51F0A5" w:rsidR="00C5581D" w:rsidRDefault="00C5581D">
      <w:pPr>
        <w:pStyle w:val="FootnoteText"/>
      </w:pPr>
      <w:r>
        <w:rPr>
          <w:rStyle w:val="FootnoteReference"/>
        </w:rPr>
        <w:footnoteRef/>
      </w:r>
      <w:r>
        <w:t xml:space="preserve"> </w:t>
      </w:r>
      <w:r w:rsidRPr="0005126E">
        <w:rPr>
          <w:i/>
          <w:iCs/>
        </w:rPr>
        <w:t>See Williams v. Volkswagenwerk Aktiengesellschaft</w:t>
      </w:r>
      <w:r w:rsidRPr="00C5581D">
        <w:t xml:space="preserve"> (1986) 180 Cal.App.3d 1244, 1265 </w:t>
      </w:r>
      <w:r>
        <w:t>(</w:t>
      </w:r>
      <w:r w:rsidRPr="00C5581D">
        <w:t>The “credibility of expert witnesses is a matter for the jury after proper instructions from the court.”</w:t>
      </w:r>
      <w:r>
        <w:t>)</w:t>
      </w:r>
    </w:p>
  </w:footnote>
  <w:footnote w:id="141">
    <w:p w14:paraId="4AB9EF6F" w14:textId="35F42B13" w:rsidR="007B522D" w:rsidRDefault="007B522D">
      <w:pPr>
        <w:pStyle w:val="FootnoteText"/>
      </w:pPr>
      <w:r>
        <w:rPr>
          <w:rStyle w:val="FootnoteReference"/>
        </w:rPr>
        <w:footnoteRef/>
      </w:r>
      <w:r>
        <w:t xml:space="preserve"> </w:t>
      </w:r>
      <w:r w:rsidR="00E33773">
        <w:t>CAJI 223 “You may disregard all or any part of an opinion that you find unbelievable, unreasonable, or unsupported by the evidence.” CAJI 219</w:t>
      </w:r>
      <w:r w:rsidR="00E33773" w:rsidRPr="00E33773">
        <w:rPr>
          <w:sz w:val="26"/>
          <w:szCs w:val="22"/>
        </w:rPr>
        <w:t xml:space="preserve"> </w:t>
      </w:r>
      <w:r w:rsidR="00E33773">
        <w:rPr>
          <w:sz w:val="26"/>
          <w:szCs w:val="22"/>
        </w:rPr>
        <w:t>“</w:t>
      </w:r>
      <w:r w:rsidR="00E33773" w:rsidRPr="00E33773">
        <w:t>You do not have to accept an expert’s opinion. As with any other witness, it is up to you to decide whether you believe the expert’s testimony and choose to use it as a basis for your decision</w:t>
      </w:r>
      <w:r w:rsidR="00E33773">
        <w:t>.”</w:t>
      </w:r>
    </w:p>
  </w:footnote>
  <w:footnote w:id="142">
    <w:p w14:paraId="2FD51ECF" w14:textId="20972CE5" w:rsidR="00E46392" w:rsidRDefault="00E46392">
      <w:pPr>
        <w:pStyle w:val="FootnoteText"/>
      </w:pPr>
      <w:r>
        <w:rPr>
          <w:rStyle w:val="FootnoteReference"/>
        </w:rPr>
        <w:footnoteRef/>
      </w:r>
      <w:r>
        <w:t xml:space="preserve"> </w:t>
      </w:r>
      <w:r w:rsidRPr="0005126E">
        <w:rPr>
          <w:i/>
          <w:iCs/>
        </w:rPr>
        <w:t>See Property California SCJLW One Corp. v. Leamy</w:t>
      </w:r>
      <w:r w:rsidRPr="00E46392">
        <w:t xml:space="preserve"> (2018) 25 Cal.App.5th 1155, 1163</w:t>
      </w:r>
      <w:r>
        <w:t xml:space="preserve"> (“</w:t>
      </w:r>
      <w:r w:rsidRPr="00E46392">
        <w:t>An expert who gives only a conclusory opinion does not assist the jury to determine what occurred, but instead supplants the jury by declaring what occurred.’ ”</w:t>
      </w:r>
      <w:r>
        <w:t>)</w:t>
      </w:r>
    </w:p>
  </w:footnote>
  <w:footnote w:id="143">
    <w:p w14:paraId="1473781D" w14:textId="481CF321" w:rsidR="00030A81" w:rsidRDefault="00030A81">
      <w:pPr>
        <w:pStyle w:val="FootnoteText"/>
      </w:pPr>
      <w:r>
        <w:rPr>
          <w:rStyle w:val="FootnoteReference"/>
        </w:rPr>
        <w:footnoteRef/>
      </w:r>
      <w:r>
        <w:t xml:space="preserve"> Decision, </w:t>
      </w:r>
      <w:r w:rsidRPr="0005126E">
        <w:rPr>
          <w:i/>
          <w:iCs/>
        </w:rPr>
        <w:t>supra</w:t>
      </w:r>
      <w:r>
        <w:t>, at 62.</w:t>
      </w:r>
    </w:p>
  </w:footnote>
  <w:footnote w:id="144">
    <w:p w14:paraId="7CE6265C" w14:textId="38E7BD97" w:rsidR="005C22A9" w:rsidRDefault="005C22A9">
      <w:pPr>
        <w:pStyle w:val="FootnoteText"/>
      </w:pPr>
      <w:r>
        <w:rPr>
          <w:rStyle w:val="FootnoteReference"/>
        </w:rPr>
        <w:footnoteRef/>
      </w:r>
      <w:r>
        <w:t xml:space="preserve"> Lyft Comments, at 5.</w:t>
      </w:r>
    </w:p>
  </w:footnote>
  <w:footnote w:id="145">
    <w:p w14:paraId="0E7F999F" w14:textId="331D580F" w:rsidR="0061287F" w:rsidRDefault="0061287F">
      <w:pPr>
        <w:pStyle w:val="FootnoteText"/>
      </w:pPr>
      <w:r>
        <w:rPr>
          <w:rStyle w:val="FootnoteReference"/>
        </w:rPr>
        <w:footnoteRef/>
      </w:r>
      <w:r>
        <w:t xml:space="preserve"> In Lyft’s </w:t>
      </w:r>
      <w:r w:rsidRPr="0005126E">
        <w:rPr>
          <w:i/>
          <w:iCs/>
        </w:rPr>
        <w:t>Appeal</w:t>
      </w:r>
      <w:r>
        <w:t>, it states: “Furthermore, the well-known consulting firm, McKinsey &amp; Co., has issued several reports analyzing the monetary value of mobility data collected from smart phones and GPS connected vehicles—essentially the same data at issue here.” (</w:t>
      </w:r>
      <w:r w:rsidRPr="0005126E">
        <w:rPr>
          <w:i/>
          <w:iCs/>
        </w:rPr>
        <w:t>Appeal</w:t>
      </w:r>
      <w:r>
        <w:t>, at 25.)</w:t>
      </w:r>
    </w:p>
  </w:footnote>
  <w:footnote w:id="146">
    <w:p w14:paraId="1DADA0C1" w14:textId="577D7936" w:rsidR="0007208E" w:rsidRDefault="0007208E">
      <w:pPr>
        <w:pStyle w:val="FootnoteText"/>
      </w:pPr>
      <w:r>
        <w:rPr>
          <w:rStyle w:val="FootnoteReference"/>
        </w:rPr>
        <w:footnoteRef/>
      </w:r>
      <w:r>
        <w:t xml:space="preserve"> As we are not considering the Declaration of Alix Rosenthal, we decline Lyft’s request that we take official notice of its 2021 Motion for Confidential Treatment.</w:t>
      </w:r>
    </w:p>
  </w:footnote>
  <w:footnote w:id="147">
    <w:p w14:paraId="00E3BA40" w14:textId="0CDFDE4A" w:rsidR="00B206D0" w:rsidRDefault="00B206D0">
      <w:pPr>
        <w:pStyle w:val="FootnoteText"/>
      </w:pPr>
      <w:r>
        <w:rPr>
          <w:rStyle w:val="FootnoteReference"/>
        </w:rPr>
        <w:footnoteRef/>
      </w:r>
      <w:r>
        <w:t xml:space="preserve"> Collins Decl., ¶</w:t>
      </w:r>
      <w:r w:rsidR="00877E70">
        <w:t xml:space="preserve"> 2.</w:t>
      </w:r>
    </w:p>
  </w:footnote>
  <w:footnote w:id="148">
    <w:p w14:paraId="4F8F8916" w14:textId="2D91935A" w:rsidR="000120A5" w:rsidRDefault="000120A5">
      <w:pPr>
        <w:pStyle w:val="FootnoteText"/>
      </w:pPr>
      <w:r>
        <w:rPr>
          <w:rStyle w:val="FootnoteReference"/>
        </w:rPr>
        <w:footnoteRef/>
      </w:r>
      <w:r>
        <w:t xml:space="preserve"> </w:t>
      </w:r>
      <w:r w:rsidRPr="0005126E">
        <w:rPr>
          <w:i/>
          <w:iCs/>
        </w:rPr>
        <w:t>See People v. Chapple</w:t>
      </w:r>
      <w:r>
        <w:t xml:space="preserve"> (2006) 138 Cal.App.4</w:t>
      </w:r>
      <w:r w:rsidRPr="0005126E">
        <w:rPr>
          <w:vertAlign w:val="superscript"/>
        </w:rPr>
        <w:t>th</w:t>
      </w:r>
      <w:r>
        <w:t xml:space="preserve"> 540</w:t>
      </w:r>
      <w:r w:rsidR="00F0178C">
        <w:t xml:space="preserve">, </w:t>
      </w:r>
      <w:r>
        <w:t>547: “</w:t>
      </w:r>
      <w:r w:rsidRPr="000120A5">
        <w:t>Thus, the purpose of expert testimony, to provide an opinion beyond common experience, dictates that the witness possess uncommon, specialized knowledge</w:t>
      </w:r>
      <w:r w:rsidR="00CF344A">
        <w:t>[;]</w:t>
      </w:r>
      <w:r>
        <w:t>”</w:t>
      </w:r>
      <w:r w:rsidR="00CF344A">
        <w:t xml:space="preserve"> and </w:t>
      </w:r>
      <w:r w:rsidR="00CF344A" w:rsidRPr="0005126E">
        <w:rPr>
          <w:i/>
          <w:iCs/>
        </w:rPr>
        <w:t>People v. Watson</w:t>
      </w:r>
      <w:r w:rsidR="00CF344A">
        <w:t xml:space="preserve"> (2008) 43 Cal.4</w:t>
      </w:r>
      <w:r w:rsidR="00CF344A" w:rsidRPr="0005126E">
        <w:rPr>
          <w:vertAlign w:val="superscript"/>
        </w:rPr>
        <w:t>th</w:t>
      </w:r>
      <w:r w:rsidR="00CF344A">
        <w:t xml:space="preserve"> 657, 692: in finding the trial court did not abuse its discretion in excluding the testimony of a witness who did not </w:t>
      </w:r>
      <w:r w:rsidR="00E23C9A">
        <w:t>characterize himself as an expert, the Court stated:</w:t>
      </w:r>
      <w:r w:rsidR="00CF344A">
        <w:t xml:space="preserve"> “</w:t>
      </w:r>
      <w:r w:rsidR="00CF344A" w:rsidRPr="00CF344A">
        <w:t xml:space="preserve">Expert opinion testimony is admissible only if it is </w:t>
      </w:r>
      <w:r w:rsidR="00CF344A">
        <w:t>‘</w:t>
      </w:r>
      <w:r w:rsidR="00CF344A" w:rsidRPr="00CF344A">
        <w:t>[r]elated to a subject that is sufficiently beyond common experience that the opinion of an expert would assist the trier of fact.</w:t>
      </w:r>
      <w:r w:rsidR="00CF344A">
        <w:t>’ (Evidence Code § 801 subd. (a).</w:t>
      </w:r>
      <w:r w:rsidR="00CF344A" w:rsidRPr="00CF344A">
        <w:t>”</w:t>
      </w:r>
    </w:p>
  </w:footnote>
  <w:footnote w:id="149">
    <w:p w14:paraId="2363917F" w14:textId="6E543076" w:rsidR="00BE7D53" w:rsidRDefault="00BE7D53">
      <w:pPr>
        <w:pStyle w:val="FootnoteText"/>
      </w:pPr>
      <w:r>
        <w:rPr>
          <w:rStyle w:val="FootnoteReference"/>
        </w:rPr>
        <w:footnoteRef/>
      </w:r>
      <w:r>
        <w:t xml:space="preserve"> Lyft Comments, at 6.</w:t>
      </w:r>
    </w:p>
  </w:footnote>
  <w:footnote w:id="150">
    <w:p w14:paraId="6974986E" w14:textId="6B1A16A5" w:rsidR="001747B1" w:rsidRDefault="001747B1">
      <w:pPr>
        <w:pStyle w:val="FootnoteText"/>
      </w:pPr>
      <w:r>
        <w:rPr>
          <w:rStyle w:val="FootnoteReference"/>
        </w:rPr>
        <w:footnoteRef/>
      </w:r>
      <w:r>
        <w:t xml:space="preserve"> 923 F.Supp., at 1255.</w:t>
      </w:r>
    </w:p>
  </w:footnote>
  <w:footnote w:id="151">
    <w:p w14:paraId="15AFFE23" w14:textId="3D46ECFB" w:rsidR="00922253" w:rsidRDefault="00922253">
      <w:pPr>
        <w:pStyle w:val="FootnoteText"/>
      </w:pPr>
      <w:r>
        <w:rPr>
          <w:rStyle w:val="FootnoteReference"/>
        </w:rPr>
        <w:footnoteRef/>
      </w:r>
      <w:r>
        <w:t xml:space="preserve"> Lyft Comments, at 7.</w:t>
      </w:r>
    </w:p>
  </w:footnote>
  <w:footnote w:id="152">
    <w:p w14:paraId="7AC70844" w14:textId="7A8EFCBE" w:rsidR="00311382" w:rsidRDefault="00311382">
      <w:pPr>
        <w:pStyle w:val="FootnoteText"/>
      </w:pPr>
      <w:r>
        <w:rPr>
          <w:rStyle w:val="FootnoteReference"/>
        </w:rPr>
        <w:footnoteRef/>
      </w:r>
      <w:r>
        <w:t xml:space="preserve"> </w:t>
      </w:r>
      <w:r w:rsidRPr="00311382">
        <w:t xml:space="preserve">Moreover, after setting forth the burden of proof, we continued with our analysis under the </w:t>
      </w:r>
      <w:r w:rsidRPr="00311382">
        <w:rPr>
          <w:i/>
          <w:iCs/>
        </w:rPr>
        <w:t>assumption</w:t>
      </w:r>
      <w:r w:rsidRPr="00311382">
        <w:t xml:space="preserve"> that even if a trade secret claim had been established, preserving the alleged trade secret would work an injustice</w:t>
      </w:r>
      <w:r w:rsidR="00F0178C">
        <w:t>.</w:t>
      </w:r>
      <w:r w:rsidRPr="00311382">
        <w:t xml:space="preserve"> </w:t>
      </w:r>
      <w:r w:rsidR="00F0178C">
        <w:t>A</w:t>
      </w:r>
      <w:r w:rsidRPr="00311382">
        <w:t>s in this case there isn’t a moving party seeking the Annual Reports under a CPRA request, the Commission has undertaken that obligation to determine if withholding the Annual Reports from the public would work an injustice.</w:t>
      </w:r>
    </w:p>
  </w:footnote>
  <w:footnote w:id="153">
    <w:p w14:paraId="66D4F9A3" w14:textId="64F41D87" w:rsidR="00E9747C" w:rsidRDefault="00E9747C">
      <w:pPr>
        <w:pStyle w:val="FootnoteText"/>
      </w:pPr>
      <w:r>
        <w:rPr>
          <w:rStyle w:val="FootnoteReference"/>
        </w:rPr>
        <w:footnoteRef/>
      </w:r>
      <w:r>
        <w:t xml:space="preserve"> 54 Cal.App.4</w:t>
      </w:r>
      <w:r w:rsidRPr="0005126E">
        <w:rPr>
          <w:vertAlign w:val="superscript"/>
        </w:rPr>
        <w:t>th</w:t>
      </w:r>
      <w:r>
        <w:t>, at 651. (Italics added.)</w:t>
      </w:r>
    </w:p>
  </w:footnote>
  <w:footnote w:id="154">
    <w:p w14:paraId="31E51E5E" w14:textId="0720F70A" w:rsidR="00085049" w:rsidRDefault="00085049">
      <w:pPr>
        <w:pStyle w:val="FootnoteText"/>
      </w:pPr>
      <w:r>
        <w:rPr>
          <w:rStyle w:val="FootnoteReference"/>
        </w:rPr>
        <w:footnoteRef/>
      </w:r>
      <w:r>
        <w:t xml:space="preserve"> 19 Cal.App.3d, at 210</w:t>
      </w:r>
    </w:p>
  </w:footnote>
  <w:footnote w:id="155">
    <w:p w14:paraId="130FFC6E" w14:textId="41AC5614" w:rsidR="00FF2360" w:rsidRDefault="00FF2360">
      <w:pPr>
        <w:pStyle w:val="FootnoteText"/>
      </w:pPr>
      <w:r>
        <w:rPr>
          <w:rStyle w:val="FootnoteReference"/>
        </w:rPr>
        <w:footnoteRef/>
      </w:r>
      <w:r>
        <w:t xml:space="preserve"> 36 Cal.App.5</w:t>
      </w:r>
      <w:r w:rsidRPr="0005126E">
        <w:rPr>
          <w:vertAlign w:val="superscript"/>
        </w:rPr>
        <w:t>th</w:t>
      </w:r>
      <w:r>
        <w:t>, at 73-74.</w:t>
      </w:r>
    </w:p>
  </w:footnote>
  <w:footnote w:id="156">
    <w:p w14:paraId="5F1495B7" w14:textId="401E7FE1" w:rsidR="006B63A2" w:rsidRDefault="006B63A2">
      <w:pPr>
        <w:pStyle w:val="FootnoteText"/>
      </w:pPr>
      <w:r>
        <w:rPr>
          <w:rStyle w:val="FootnoteReference"/>
        </w:rPr>
        <w:footnoteRef/>
      </w:r>
      <w:r>
        <w:t xml:space="preserve"> Lyft Comments, at 11.</w:t>
      </w:r>
    </w:p>
  </w:footnote>
  <w:footnote w:id="157">
    <w:p w14:paraId="48B8353E" w14:textId="74728C52" w:rsidR="00FE4B3F" w:rsidRDefault="00FE4B3F">
      <w:pPr>
        <w:pStyle w:val="FootnoteText"/>
      </w:pPr>
      <w:r>
        <w:rPr>
          <w:rStyle w:val="FootnoteReference"/>
        </w:rPr>
        <w:footnoteRef/>
      </w:r>
      <w:r>
        <w:t xml:space="preserve"> Lyft Comments, at 10</w:t>
      </w:r>
      <w:r w:rsidR="006B63A2">
        <w:t>.</w:t>
      </w:r>
    </w:p>
  </w:footnote>
  <w:footnote w:id="158">
    <w:p w14:paraId="1F964861" w14:textId="2EFE32BA" w:rsidR="00FE4B3F" w:rsidRDefault="00FE4B3F">
      <w:pPr>
        <w:pStyle w:val="FootnoteText"/>
      </w:pPr>
      <w:r>
        <w:rPr>
          <w:rStyle w:val="FootnoteReference"/>
        </w:rPr>
        <w:footnoteRef/>
      </w:r>
      <w:r>
        <w:t xml:space="preserve"> Oddly, Lyft changes tactics and argues that the secondary sources that Lyft wants the Commission to consider </w:t>
      </w:r>
      <w:r w:rsidR="00503A4D">
        <w:t>should not be considered hearsay if they are “not submitted for the truth of the matter asserted.” (Lyft Comments, at 11.) We reject this argument as irrelevant as Lyft has offered the secondary sources for their truth on the subject of “the risks of disclosing mobility data at the level of granularity proposed by the PD.” (</w:t>
      </w:r>
      <w:r w:rsidR="00503A4D" w:rsidRPr="007A7BC2">
        <w:rPr>
          <w:i/>
          <w:iCs/>
        </w:rPr>
        <w:t>Id</w:t>
      </w:r>
      <w:r w:rsidR="00503A4D">
        <w:t>., at 10.)</w:t>
      </w:r>
    </w:p>
  </w:footnote>
  <w:footnote w:id="159">
    <w:p w14:paraId="402C11B4" w14:textId="61229D84" w:rsidR="00967A66" w:rsidRDefault="00967A66">
      <w:pPr>
        <w:pStyle w:val="FootnoteText"/>
      </w:pPr>
      <w:r>
        <w:rPr>
          <w:rStyle w:val="FootnoteReference"/>
        </w:rPr>
        <w:footnoteRef/>
      </w:r>
      <w:r>
        <w:t xml:space="preserve"> </w:t>
      </w:r>
      <w:r w:rsidRPr="0005126E">
        <w:rPr>
          <w:i/>
          <w:iCs/>
        </w:rPr>
        <w:t>Order Modifying Decision 20-03-014 and Denying Rehearing of Decision as Modified</w:t>
      </w:r>
      <w:r>
        <w:t>.</w:t>
      </w:r>
    </w:p>
  </w:footnote>
  <w:footnote w:id="160">
    <w:p w14:paraId="72E19ADE" w14:textId="353CC5F4" w:rsidR="006B63A2" w:rsidRDefault="006B63A2">
      <w:pPr>
        <w:pStyle w:val="FootnoteText"/>
      </w:pPr>
      <w:r>
        <w:rPr>
          <w:rStyle w:val="FootnoteReference"/>
        </w:rPr>
        <w:footnoteRef/>
      </w:r>
      <w:r>
        <w:t xml:space="preserve"> Lyft Comments, at 12.</w:t>
      </w:r>
    </w:p>
  </w:footnote>
  <w:footnote w:id="161">
    <w:p w14:paraId="75B31EF5" w14:textId="1D697CE8" w:rsidR="0000403C" w:rsidRDefault="0000403C">
      <w:pPr>
        <w:pStyle w:val="FootnoteText"/>
      </w:pPr>
      <w:r>
        <w:rPr>
          <w:rStyle w:val="FootnoteReference"/>
        </w:rPr>
        <w:footnoteRef/>
      </w:r>
      <w:r>
        <w:t xml:space="preserve"> Italics added.</w:t>
      </w:r>
    </w:p>
  </w:footnote>
  <w:footnote w:id="162">
    <w:p w14:paraId="32715B48" w14:textId="6414E8E5" w:rsidR="001A65EB" w:rsidRDefault="001A65EB">
      <w:pPr>
        <w:pStyle w:val="FootnoteText"/>
      </w:pPr>
      <w:r>
        <w:rPr>
          <w:rStyle w:val="FootnoteReference"/>
        </w:rPr>
        <w:footnoteRef/>
      </w:r>
      <w:r>
        <w:t xml:space="preserve"> 157 Cal.App.4</w:t>
      </w:r>
      <w:r w:rsidRPr="0005126E">
        <w:rPr>
          <w:vertAlign w:val="superscript"/>
        </w:rPr>
        <w:t>th</w:t>
      </w:r>
      <w:r>
        <w:t>, at 890.</w:t>
      </w:r>
    </w:p>
  </w:footnote>
  <w:footnote w:id="163">
    <w:p w14:paraId="7A8F29F8" w14:textId="1C1714DE" w:rsidR="003C638F" w:rsidRDefault="003C638F">
      <w:pPr>
        <w:pStyle w:val="FootnoteText"/>
      </w:pPr>
      <w:r>
        <w:rPr>
          <w:rStyle w:val="FootnoteReference"/>
        </w:rPr>
        <w:footnoteRef/>
      </w:r>
      <w:r>
        <w:t xml:space="preserve"> </w:t>
      </w:r>
      <w:r w:rsidRPr="0005126E">
        <w:rPr>
          <w:i/>
          <w:iCs/>
        </w:rPr>
        <w:t xml:space="preserve">See </w:t>
      </w:r>
      <w:r>
        <w:t>Evidence Code § 355:</w:t>
      </w:r>
      <w:r w:rsidRPr="003C638F">
        <w:rPr>
          <w:rFonts w:ascii="Verdana" w:hAnsi="Verdana"/>
          <w:color w:val="333333"/>
          <w:szCs w:val="22"/>
          <w:shd w:val="clear" w:color="auto" w:fill="FFFFFF"/>
        </w:rPr>
        <w:t xml:space="preserve"> </w:t>
      </w:r>
      <w:r>
        <w:rPr>
          <w:rFonts w:ascii="Verdana" w:hAnsi="Verdana"/>
          <w:color w:val="333333"/>
          <w:szCs w:val="22"/>
          <w:shd w:val="clear" w:color="auto" w:fill="FFFFFF"/>
        </w:rPr>
        <w:t>“</w:t>
      </w:r>
      <w:r w:rsidRPr="003C638F">
        <w:t>When evidence is admissible as to one party or for one purpose and is inadmissible as to another party or for another purpose, the court upon request shall restrict the evidence to its proper scope and instruct the jury accordingly.</w:t>
      </w:r>
      <w:r>
        <w:t xml:space="preserve">” </w:t>
      </w:r>
      <w:r w:rsidRPr="0005126E">
        <w:rPr>
          <w:i/>
          <w:iCs/>
        </w:rPr>
        <w:t>See also</w:t>
      </w:r>
      <w:r>
        <w:t xml:space="preserve"> CACI 206:</w:t>
      </w:r>
      <w:r w:rsidRPr="003C638F">
        <w:rPr>
          <w:rFonts w:ascii="ff7" w:eastAsia="Times New Roman" w:hAnsi="ff7" w:cs="Times New Roman"/>
          <w:color w:val="231F20"/>
          <w:sz w:val="72"/>
          <w:szCs w:val="72"/>
        </w:rPr>
        <w:t xml:space="preserve"> </w:t>
      </w:r>
      <w:r w:rsidRPr="003C638F">
        <w:t>During the trial, certain evidence was admitted for a limited purpose.</w:t>
      </w:r>
      <w:r>
        <w:t xml:space="preserve"> </w:t>
      </w:r>
      <w:r w:rsidRPr="003C638F">
        <w:t>You may consider that evidence only for that purpose and for no other.</w:t>
      </w:r>
      <w:r>
        <w:t>”</w:t>
      </w:r>
    </w:p>
  </w:footnote>
  <w:footnote w:id="164">
    <w:p w14:paraId="1FBA38EF" w14:textId="3FBB5EFA" w:rsidR="0064513F" w:rsidRDefault="0064513F">
      <w:pPr>
        <w:pStyle w:val="FootnoteText"/>
      </w:pPr>
      <w:r>
        <w:rPr>
          <w:rStyle w:val="FootnoteReference"/>
        </w:rPr>
        <w:footnoteRef/>
      </w:r>
      <w:r>
        <w:t xml:space="preserve"> Comments, at 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A91EC" w14:textId="5379C2C0" w:rsidR="008A3D65" w:rsidRPr="000313D7" w:rsidRDefault="008A3D65" w:rsidP="00B3087D">
    <w:pPr>
      <w:pStyle w:val="Header"/>
      <w:tabs>
        <w:tab w:val="clear" w:pos="4680"/>
      </w:tabs>
      <w:ind w:firstLine="0"/>
      <w:rPr>
        <w:b/>
      </w:rPr>
    </w:pPr>
    <w:r>
      <w:t>R.12-12-011  COM/GSH/jnf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2F910" w14:textId="5766FCB8" w:rsidR="008A3D65" w:rsidRPr="000313D7" w:rsidRDefault="008A3D65" w:rsidP="00B3087D">
    <w:pPr>
      <w:pStyle w:val="Header"/>
      <w:tabs>
        <w:tab w:val="clear" w:pos="4680"/>
      </w:tabs>
      <w:ind w:firstLine="0"/>
      <w:rPr>
        <w:b/>
      </w:rPr>
    </w:pPr>
    <w:r>
      <w:t>R.12-12-011  COM/GSH/jnf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5635B9"/>
    <w:multiLevelType w:val="hybridMultilevel"/>
    <w:tmpl w:val="BDAADD50"/>
    <w:lvl w:ilvl="0" w:tplc="D410FE9A">
      <w:start w:val="1"/>
      <w:numFmt w:val="lowerLetter"/>
      <w:lvlText w:val="(%1)"/>
      <w:lvlJc w:val="left"/>
      <w:pPr>
        <w:ind w:left="1440" w:hanging="360"/>
      </w:pPr>
      <w:rPr>
        <w:rFonts w:hint="default"/>
      </w:rPr>
    </w:lvl>
    <w:lvl w:ilvl="1" w:tplc="E576904A">
      <w:start w:val="1"/>
      <w:numFmt w:val="lowerLetter"/>
      <w:lvlText w:val="(%2)"/>
      <w:lvlJc w:val="left"/>
      <w:pPr>
        <w:ind w:left="2175" w:hanging="375"/>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E132CEE"/>
    <w:multiLevelType w:val="hybridMultilevel"/>
    <w:tmpl w:val="BEB6C2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22A11EE"/>
    <w:multiLevelType w:val="multilevel"/>
    <w:tmpl w:val="009CA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6C1C14"/>
    <w:multiLevelType w:val="multilevel"/>
    <w:tmpl w:val="18F4A5AC"/>
    <w:styleLink w:val="FoFCoLOP"/>
    <w:lvl w:ilvl="0">
      <w:start w:val="1"/>
      <w:numFmt w:val="decimal"/>
      <w:pStyle w:val="FoF"/>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5" w15:restartNumberingAfterBreak="0">
    <w:nsid w:val="15F056CB"/>
    <w:multiLevelType w:val="multilevel"/>
    <w:tmpl w:val="18F4A5AC"/>
    <w:numStyleLink w:val="FoFCoLOP"/>
  </w:abstractNum>
  <w:abstractNum w:abstractNumId="6" w15:restartNumberingAfterBreak="0">
    <w:nsid w:val="204F2758"/>
    <w:multiLevelType w:val="hybridMultilevel"/>
    <w:tmpl w:val="E2F6BC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5553E4"/>
    <w:multiLevelType w:val="hybridMultilevel"/>
    <w:tmpl w:val="69EC0A6A"/>
    <w:lvl w:ilvl="0" w:tplc="FF061036">
      <w:start w:val="1"/>
      <w:numFmt w:val="lowerLetter"/>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31F6D42"/>
    <w:multiLevelType w:val="multilevel"/>
    <w:tmpl w:val="3C526EDE"/>
    <w:styleLink w:val="Headings"/>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9" w15:restartNumberingAfterBreak="0">
    <w:nsid w:val="35716E60"/>
    <w:multiLevelType w:val="hybridMultilevel"/>
    <w:tmpl w:val="4EDE0EB8"/>
    <w:lvl w:ilvl="0" w:tplc="CC9AACD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C2C66C1"/>
    <w:multiLevelType w:val="hybridMultilevel"/>
    <w:tmpl w:val="677807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5916B35"/>
    <w:multiLevelType w:val="multilevel"/>
    <w:tmpl w:val="48485CB4"/>
    <w:lvl w:ilvl="0">
      <w:start w:val="1"/>
      <w:numFmt w:val="bullet"/>
      <w:lvlText w:val=""/>
      <w:lvlJc w:val="left"/>
      <w:pPr>
        <w:ind w:left="0" w:firstLine="540"/>
      </w:pPr>
      <w:rPr>
        <w:rFonts w:ascii="Symbol" w:hAnsi="Symbol"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12" w15:restartNumberingAfterBreak="0">
    <w:nsid w:val="59D042D7"/>
    <w:multiLevelType w:val="multilevel"/>
    <w:tmpl w:val="18F4A5AC"/>
    <w:numStyleLink w:val="FoFCoLOP"/>
  </w:abstractNum>
  <w:abstractNum w:abstractNumId="13" w15:restartNumberingAfterBreak="0">
    <w:nsid w:val="5A9E2171"/>
    <w:multiLevelType w:val="multilevel"/>
    <w:tmpl w:val="3C526EDE"/>
    <w:numStyleLink w:val="Headings"/>
  </w:abstractNum>
  <w:abstractNum w:abstractNumId="14" w15:restartNumberingAfterBreak="0">
    <w:nsid w:val="5EB0590F"/>
    <w:multiLevelType w:val="multilevel"/>
    <w:tmpl w:val="C8AE4B5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B411E0"/>
    <w:multiLevelType w:val="hybridMultilevel"/>
    <w:tmpl w:val="01569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A25780"/>
    <w:multiLevelType w:val="multilevel"/>
    <w:tmpl w:val="3C526EDE"/>
    <w:numStyleLink w:val="Headings"/>
  </w:abstractNum>
  <w:abstractNum w:abstractNumId="17" w15:restartNumberingAfterBreak="0">
    <w:nsid w:val="6DE404F5"/>
    <w:multiLevelType w:val="hybridMultilevel"/>
    <w:tmpl w:val="CE3EDCB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70400AB1"/>
    <w:multiLevelType w:val="hybridMultilevel"/>
    <w:tmpl w:val="C5284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0A6100"/>
    <w:multiLevelType w:val="hybridMultilevel"/>
    <w:tmpl w:val="BDAADD50"/>
    <w:lvl w:ilvl="0" w:tplc="FFFFFFFF">
      <w:start w:val="1"/>
      <w:numFmt w:val="lowerLetter"/>
      <w:lvlText w:val="(%1)"/>
      <w:lvlJc w:val="left"/>
      <w:pPr>
        <w:ind w:left="1440" w:hanging="360"/>
      </w:pPr>
      <w:rPr>
        <w:rFonts w:hint="default"/>
      </w:rPr>
    </w:lvl>
    <w:lvl w:ilvl="1" w:tplc="FFFFFFFF">
      <w:start w:val="1"/>
      <w:numFmt w:val="lowerLetter"/>
      <w:lvlText w:val="(%2)"/>
      <w:lvlJc w:val="left"/>
      <w:pPr>
        <w:ind w:left="2175" w:hanging="375"/>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747F73B6"/>
    <w:multiLevelType w:val="hybridMultilevel"/>
    <w:tmpl w:val="A4A24ABC"/>
    <w:lvl w:ilvl="0" w:tplc="FF061036">
      <w:start w:val="1"/>
      <w:numFmt w:val="lowerLetter"/>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55C1B34"/>
    <w:multiLevelType w:val="hybridMultilevel"/>
    <w:tmpl w:val="BBF4FEB8"/>
    <w:lvl w:ilvl="0" w:tplc="C0D05DBE">
      <w:start w:val="1"/>
      <w:numFmt w:val="decimal"/>
      <w:lvlText w:val="%1."/>
      <w:lvlJc w:val="center"/>
      <w:pPr>
        <w:ind w:left="1267" w:hanging="36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2" w15:restartNumberingAfterBreak="0">
    <w:nsid w:val="789A0AFE"/>
    <w:multiLevelType w:val="multilevel"/>
    <w:tmpl w:val="18F4A5AC"/>
    <w:numStyleLink w:val="FoFCoLOP"/>
  </w:abstractNum>
  <w:num w:numId="1" w16cid:durableId="738285009">
    <w:abstractNumId w:val="13"/>
  </w:num>
  <w:num w:numId="2" w16cid:durableId="2070764381">
    <w:abstractNumId w:val="4"/>
  </w:num>
  <w:num w:numId="3" w16cid:durableId="2041739992">
    <w:abstractNumId w:val="12"/>
  </w:num>
  <w:num w:numId="4" w16cid:durableId="1240018127">
    <w:abstractNumId w:val="5"/>
  </w:num>
  <w:num w:numId="5" w16cid:durableId="665128359">
    <w:abstractNumId w:val="22"/>
  </w:num>
  <w:num w:numId="6" w16cid:durableId="1861779009">
    <w:abstractNumId w:val="8"/>
  </w:num>
  <w:num w:numId="7" w16cid:durableId="764300024">
    <w:abstractNumId w:val="0"/>
  </w:num>
  <w:num w:numId="8" w16cid:durableId="1562716853">
    <w:abstractNumId w:val="16"/>
  </w:num>
  <w:num w:numId="9" w16cid:durableId="2119984506">
    <w:abstractNumId w:val="15"/>
  </w:num>
  <w:num w:numId="10" w16cid:durableId="1659919952">
    <w:abstractNumId w:val="18"/>
  </w:num>
  <w:num w:numId="11" w16cid:durableId="4794820">
    <w:abstractNumId w:val="6"/>
  </w:num>
  <w:num w:numId="12" w16cid:durableId="595603221">
    <w:abstractNumId w:val="17"/>
  </w:num>
  <w:num w:numId="13" w16cid:durableId="1029061372">
    <w:abstractNumId w:val="3"/>
  </w:num>
  <w:num w:numId="14" w16cid:durableId="1489323325">
    <w:abstractNumId w:val="10"/>
  </w:num>
  <w:num w:numId="15" w16cid:durableId="373819239">
    <w:abstractNumId w:val="11"/>
  </w:num>
  <w:num w:numId="16" w16cid:durableId="2100177425">
    <w:abstractNumId w:val="1"/>
  </w:num>
  <w:num w:numId="17" w16cid:durableId="773094450">
    <w:abstractNumId w:val="9"/>
  </w:num>
  <w:num w:numId="18" w16cid:durableId="437022990">
    <w:abstractNumId w:val="2"/>
  </w:num>
  <w:num w:numId="19" w16cid:durableId="1201093956">
    <w:abstractNumId w:val="7"/>
  </w:num>
  <w:num w:numId="20" w16cid:durableId="858084582">
    <w:abstractNumId w:val="20"/>
  </w:num>
  <w:num w:numId="21" w16cid:durableId="541985369">
    <w:abstractNumId w:val="21"/>
  </w:num>
  <w:num w:numId="22" w16cid:durableId="76445902">
    <w:abstractNumId w:val="12"/>
  </w:num>
  <w:num w:numId="23" w16cid:durableId="8331096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08457591">
    <w:abstractNumId w:val="14"/>
  </w:num>
  <w:num w:numId="25" w16cid:durableId="2137214978">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oNotTrackFormatting/>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BE9"/>
    <w:rsid w:val="00000F6A"/>
    <w:rsid w:val="00002BFC"/>
    <w:rsid w:val="0000403C"/>
    <w:rsid w:val="000120A5"/>
    <w:rsid w:val="00014537"/>
    <w:rsid w:val="000145CE"/>
    <w:rsid w:val="000174DB"/>
    <w:rsid w:val="00017AC7"/>
    <w:rsid w:val="00020482"/>
    <w:rsid w:val="0002071F"/>
    <w:rsid w:val="000212A2"/>
    <w:rsid w:val="000242BA"/>
    <w:rsid w:val="000278AA"/>
    <w:rsid w:val="00030A81"/>
    <w:rsid w:val="00030F76"/>
    <w:rsid w:val="000313D7"/>
    <w:rsid w:val="000318DC"/>
    <w:rsid w:val="00031D55"/>
    <w:rsid w:val="00031EEF"/>
    <w:rsid w:val="00034C1D"/>
    <w:rsid w:val="00035EFB"/>
    <w:rsid w:val="000367ED"/>
    <w:rsid w:val="000409CB"/>
    <w:rsid w:val="00042A5C"/>
    <w:rsid w:val="00043D96"/>
    <w:rsid w:val="00050899"/>
    <w:rsid w:val="0005097A"/>
    <w:rsid w:val="00050EB7"/>
    <w:rsid w:val="0005126E"/>
    <w:rsid w:val="0005604B"/>
    <w:rsid w:val="00056708"/>
    <w:rsid w:val="00063171"/>
    <w:rsid w:val="000638B5"/>
    <w:rsid w:val="000643E5"/>
    <w:rsid w:val="00067C89"/>
    <w:rsid w:val="0007115A"/>
    <w:rsid w:val="0007208E"/>
    <w:rsid w:val="00072C8A"/>
    <w:rsid w:val="0007575A"/>
    <w:rsid w:val="0007735E"/>
    <w:rsid w:val="0008082D"/>
    <w:rsid w:val="00080A74"/>
    <w:rsid w:val="0008201A"/>
    <w:rsid w:val="00082730"/>
    <w:rsid w:val="0008443D"/>
    <w:rsid w:val="00085049"/>
    <w:rsid w:val="00090034"/>
    <w:rsid w:val="00093307"/>
    <w:rsid w:val="000973C8"/>
    <w:rsid w:val="000A2190"/>
    <w:rsid w:val="000A2AA9"/>
    <w:rsid w:val="000A39FD"/>
    <w:rsid w:val="000A3B70"/>
    <w:rsid w:val="000A524A"/>
    <w:rsid w:val="000A56F2"/>
    <w:rsid w:val="000A6E05"/>
    <w:rsid w:val="000B12FA"/>
    <w:rsid w:val="000B4182"/>
    <w:rsid w:val="000B5E8F"/>
    <w:rsid w:val="000B617F"/>
    <w:rsid w:val="000C08BF"/>
    <w:rsid w:val="000C0B29"/>
    <w:rsid w:val="000C2A85"/>
    <w:rsid w:val="000C3121"/>
    <w:rsid w:val="000C3B9A"/>
    <w:rsid w:val="000C6AF2"/>
    <w:rsid w:val="000C7023"/>
    <w:rsid w:val="000C725D"/>
    <w:rsid w:val="000D00D4"/>
    <w:rsid w:val="000D25A8"/>
    <w:rsid w:val="000D3B1D"/>
    <w:rsid w:val="000D4F49"/>
    <w:rsid w:val="000D5F80"/>
    <w:rsid w:val="000D6207"/>
    <w:rsid w:val="000E098A"/>
    <w:rsid w:val="000E270A"/>
    <w:rsid w:val="000E4C53"/>
    <w:rsid w:val="000E78C6"/>
    <w:rsid w:val="000E7CD0"/>
    <w:rsid w:val="000F4B65"/>
    <w:rsid w:val="000F68FA"/>
    <w:rsid w:val="00101101"/>
    <w:rsid w:val="00103333"/>
    <w:rsid w:val="001042ED"/>
    <w:rsid w:val="001053A0"/>
    <w:rsid w:val="00106B97"/>
    <w:rsid w:val="001071A3"/>
    <w:rsid w:val="001119D6"/>
    <w:rsid w:val="00113832"/>
    <w:rsid w:val="00121089"/>
    <w:rsid w:val="00124AE6"/>
    <w:rsid w:val="00125087"/>
    <w:rsid w:val="00130CB9"/>
    <w:rsid w:val="0013183E"/>
    <w:rsid w:val="00134E0E"/>
    <w:rsid w:val="00135E26"/>
    <w:rsid w:val="001457B0"/>
    <w:rsid w:val="00145C00"/>
    <w:rsid w:val="001468C7"/>
    <w:rsid w:val="00146EB2"/>
    <w:rsid w:val="00147E40"/>
    <w:rsid w:val="00153866"/>
    <w:rsid w:val="00154D06"/>
    <w:rsid w:val="00163C02"/>
    <w:rsid w:val="00165066"/>
    <w:rsid w:val="00166699"/>
    <w:rsid w:val="00170DD6"/>
    <w:rsid w:val="0017223C"/>
    <w:rsid w:val="00173616"/>
    <w:rsid w:val="001747B1"/>
    <w:rsid w:val="00177B9D"/>
    <w:rsid w:val="00177F12"/>
    <w:rsid w:val="00180B20"/>
    <w:rsid w:val="00182031"/>
    <w:rsid w:val="00182B04"/>
    <w:rsid w:val="00192313"/>
    <w:rsid w:val="001A138E"/>
    <w:rsid w:val="001A1E98"/>
    <w:rsid w:val="001A41E6"/>
    <w:rsid w:val="001A58A9"/>
    <w:rsid w:val="001A65EB"/>
    <w:rsid w:val="001B2FF4"/>
    <w:rsid w:val="001B38F2"/>
    <w:rsid w:val="001C363F"/>
    <w:rsid w:val="001C59B4"/>
    <w:rsid w:val="001C69AB"/>
    <w:rsid w:val="001C794D"/>
    <w:rsid w:val="001D09BA"/>
    <w:rsid w:val="001D1ED5"/>
    <w:rsid w:val="001D571E"/>
    <w:rsid w:val="001E19D2"/>
    <w:rsid w:val="001E2A62"/>
    <w:rsid w:val="001E5884"/>
    <w:rsid w:val="001E659F"/>
    <w:rsid w:val="001E7AA4"/>
    <w:rsid w:val="001F15E9"/>
    <w:rsid w:val="001F19F6"/>
    <w:rsid w:val="001F2819"/>
    <w:rsid w:val="001F3F18"/>
    <w:rsid w:val="001F50A3"/>
    <w:rsid w:val="002021F3"/>
    <w:rsid w:val="002033F6"/>
    <w:rsid w:val="002043EC"/>
    <w:rsid w:val="00204691"/>
    <w:rsid w:val="00204E4F"/>
    <w:rsid w:val="002066A5"/>
    <w:rsid w:val="002104A7"/>
    <w:rsid w:val="00211FD6"/>
    <w:rsid w:val="0021397F"/>
    <w:rsid w:val="00220BCA"/>
    <w:rsid w:val="00224A53"/>
    <w:rsid w:val="0022514C"/>
    <w:rsid w:val="0022657E"/>
    <w:rsid w:val="00227B0D"/>
    <w:rsid w:val="00233F46"/>
    <w:rsid w:val="00240DAC"/>
    <w:rsid w:val="0024339F"/>
    <w:rsid w:val="00243DC0"/>
    <w:rsid w:val="002453FE"/>
    <w:rsid w:val="00245878"/>
    <w:rsid w:val="00247477"/>
    <w:rsid w:val="0025308C"/>
    <w:rsid w:val="00253B4F"/>
    <w:rsid w:val="00256431"/>
    <w:rsid w:val="00257C34"/>
    <w:rsid w:val="00261639"/>
    <w:rsid w:val="002626DF"/>
    <w:rsid w:val="0026351D"/>
    <w:rsid w:val="00264395"/>
    <w:rsid w:val="0026459F"/>
    <w:rsid w:val="00270440"/>
    <w:rsid w:val="00273B4E"/>
    <w:rsid w:val="0027725D"/>
    <w:rsid w:val="00280C82"/>
    <w:rsid w:val="0028390F"/>
    <w:rsid w:val="00287A66"/>
    <w:rsid w:val="00287BC5"/>
    <w:rsid w:val="00292A54"/>
    <w:rsid w:val="00293DEE"/>
    <w:rsid w:val="00293EC0"/>
    <w:rsid w:val="0029662A"/>
    <w:rsid w:val="00296CC0"/>
    <w:rsid w:val="002A0B5D"/>
    <w:rsid w:val="002A472E"/>
    <w:rsid w:val="002A6E91"/>
    <w:rsid w:val="002B08B5"/>
    <w:rsid w:val="002B0CFC"/>
    <w:rsid w:val="002B29DE"/>
    <w:rsid w:val="002B3D3D"/>
    <w:rsid w:val="002B5770"/>
    <w:rsid w:val="002B589C"/>
    <w:rsid w:val="002B714A"/>
    <w:rsid w:val="002C27F5"/>
    <w:rsid w:val="002C318D"/>
    <w:rsid w:val="002C7FE9"/>
    <w:rsid w:val="002D01FE"/>
    <w:rsid w:val="002D0460"/>
    <w:rsid w:val="002D0DC5"/>
    <w:rsid w:val="002D11B4"/>
    <w:rsid w:val="002D3817"/>
    <w:rsid w:val="002D383E"/>
    <w:rsid w:val="002D4E07"/>
    <w:rsid w:val="002D4EFD"/>
    <w:rsid w:val="002D64DA"/>
    <w:rsid w:val="002D7206"/>
    <w:rsid w:val="002E0DAD"/>
    <w:rsid w:val="002E5BB2"/>
    <w:rsid w:val="002E6685"/>
    <w:rsid w:val="002F1B16"/>
    <w:rsid w:val="002F27E8"/>
    <w:rsid w:val="002F2F26"/>
    <w:rsid w:val="0030286F"/>
    <w:rsid w:val="0030384D"/>
    <w:rsid w:val="00305826"/>
    <w:rsid w:val="00311382"/>
    <w:rsid w:val="00312080"/>
    <w:rsid w:val="00313C30"/>
    <w:rsid w:val="00314CFD"/>
    <w:rsid w:val="0031530B"/>
    <w:rsid w:val="00316071"/>
    <w:rsid w:val="00316F92"/>
    <w:rsid w:val="0031736D"/>
    <w:rsid w:val="00317B70"/>
    <w:rsid w:val="00320DFF"/>
    <w:rsid w:val="00343266"/>
    <w:rsid w:val="00343E5C"/>
    <w:rsid w:val="00344766"/>
    <w:rsid w:val="00344C3F"/>
    <w:rsid w:val="00346943"/>
    <w:rsid w:val="00350299"/>
    <w:rsid w:val="00350FBB"/>
    <w:rsid w:val="00351C95"/>
    <w:rsid w:val="00352EA2"/>
    <w:rsid w:val="00353A74"/>
    <w:rsid w:val="0036017B"/>
    <w:rsid w:val="0036030A"/>
    <w:rsid w:val="003619D9"/>
    <w:rsid w:val="00362755"/>
    <w:rsid w:val="003631F8"/>
    <w:rsid w:val="0036457D"/>
    <w:rsid w:val="00364B4C"/>
    <w:rsid w:val="00366D51"/>
    <w:rsid w:val="00367BCD"/>
    <w:rsid w:val="00372839"/>
    <w:rsid w:val="00372B6A"/>
    <w:rsid w:val="00373057"/>
    <w:rsid w:val="00373B93"/>
    <w:rsid w:val="00376C4A"/>
    <w:rsid w:val="00380CD1"/>
    <w:rsid w:val="00383059"/>
    <w:rsid w:val="003835E5"/>
    <w:rsid w:val="00385F99"/>
    <w:rsid w:val="003867FD"/>
    <w:rsid w:val="003877B1"/>
    <w:rsid w:val="00390CE3"/>
    <w:rsid w:val="00391749"/>
    <w:rsid w:val="00392411"/>
    <w:rsid w:val="00392419"/>
    <w:rsid w:val="00394FB2"/>
    <w:rsid w:val="003A38F0"/>
    <w:rsid w:val="003A4DFD"/>
    <w:rsid w:val="003A66CD"/>
    <w:rsid w:val="003B137E"/>
    <w:rsid w:val="003B2519"/>
    <w:rsid w:val="003B40FF"/>
    <w:rsid w:val="003B56EF"/>
    <w:rsid w:val="003B63BE"/>
    <w:rsid w:val="003B6680"/>
    <w:rsid w:val="003B68F6"/>
    <w:rsid w:val="003B7509"/>
    <w:rsid w:val="003C3590"/>
    <w:rsid w:val="003C3FEE"/>
    <w:rsid w:val="003C5D64"/>
    <w:rsid w:val="003C638F"/>
    <w:rsid w:val="003C66CD"/>
    <w:rsid w:val="003C7A82"/>
    <w:rsid w:val="003D6BD9"/>
    <w:rsid w:val="003D6D7E"/>
    <w:rsid w:val="003E0337"/>
    <w:rsid w:val="003E093A"/>
    <w:rsid w:val="003E0B99"/>
    <w:rsid w:val="003E1ADF"/>
    <w:rsid w:val="003F069A"/>
    <w:rsid w:val="003F0CEF"/>
    <w:rsid w:val="003F0FBC"/>
    <w:rsid w:val="003F4329"/>
    <w:rsid w:val="003F471C"/>
    <w:rsid w:val="003F50D4"/>
    <w:rsid w:val="003F59FC"/>
    <w:rsid w:val="00402285"/>
    <w:rsid w:val="0040238D"/>
    <w:rsid w:val="00404F2B"/>
    <w:rsid w:val="00407CD2"/>
    <w:rsid w:val="00411AFB"/>
    <w:rsid w:val="00412534"/>
    <w:rsid w:val="00412C28"/>
    <w:rsid w:val="00412C83"/>
    <w:rsid w:val="00415188"/>
    <w:rsid w:val="00417BB0"/>
    <w:rsid w:val="00417DDB"/>
    <w:rsid w:val="004252DE"/>
    <w:rsid w:val="004259E9"/>
    <w:rsid w:val="00426014"/>
    <w:rsid w:val="00427F1B"/>
    <w:rsid w:val="00430CB7"/>
    <w:rsid w:val="00430D6F"/>
    <w:rsid w:val="00433931"/>
    <w:rsid w:val="00435123"/>
    <w:rsid w:val="0043685A"/>
    <w:rsid w:val="00440501"/>
    <w:rsid w:val="00447C8F"/>
    <w:rsid w:val="0045038E"/>
    <w:rsid w:val="00450E03"/>
    <w:rsid w:val="00451403"/>
    <w:rsid w:val="00451E65"/>
    <w:rsid w:val="00451EE0"/>
    <w:rsid w:val="00455CBD"/>
    <w:rsid w:val="00456141"/>
    <w:rsid w:val="00460B7D"/>
    <w:rsid w:val="00463A53"/>
    <w:rsid w:val="00464990"/>
    <w:rsid w:val="004653FF"/>
    <w:rsid w:val="00466A3D"/>
    <w:rsid w:val="00466DDA"/>
    <w:rsid w:val="0047009E"/>
    <w:rsid w:val="0047082B"/>
    <w:rsid w:val="00471EDF"/>
    <w:rsid w:val="0047280D"/>
    <w:rsid w:val="00474377"/>
    <w:rsid w:val="00480CB0"/>
    <w:rsid w:val="00483A46"/>
    <w:rsid w:val="0048413C"/>
    <w:rsid w:val="00484D46"/>
    <w:rsid w:val="004854BB"/>
    <w:rsid w:val="00497528"/>
    <w:rsid w:val="004A2D47"/>
    <w:rsid w:val="004A69E8"/>
    <w:rsid w:val="004A73BB"/>
    <w:rsid w:val="004B0035"/>
    <w:rsid w:val="004B34EA"/>
    <w:rsid w:val="004B3CBA"/>
    <w:rsid w:val="004B4A5E"/>
    <w:rsid w:val="004B5494"/>
    <w:rsid w:val="004C2C85"/>
    <w:rsid w:val="004C5CB9"/>
    <w:rsid w:val="004C5E50"/>
    <w:rsid w:val="004C602B"/>
    <w:rsid w:val="004C7A2B"/>
    <w:rsid w:val="004C7D3A"/>
    <w:rsid w:val="004D1493"/>
    <w:rsid w:val="004D3282"/>
    <w:rsid w:val="004E0C9F"/>
    <w:rsid w:val="004E11DF"/>
    <w:rsid w:val="004E20B4"/>
    <w:rsid w:val="004E3EDE"/>
    <w:rsid w:val="004E6D37"/>
    <w:rsid w:val="004E710E"/>
    <w:rsid w:val="004E750F"/>
    <w:rsid w:val="004E7781"/>
    <w:rsid w:val="004F12E1"/>
    <w:rsid w:val="00500BCC"/>
    <w:rsid w:val="005016FD"/>
    <w:rsid w:val="005018A8"/>
    <w:rsid w:val="00503A4D"/>
    <w:rsid w:val="00504D4B"/>
    <w:rsid w:val="00505A15"/>
    <w:rsid w:val="00505A39"/>
    <w:rsid w:val="00506CCA"/>
    <w:rsid w:val="00507429"/>
    <w:rsid w:val="00512D16"/>
    <w:rsid w:val="00515BC3"/>
    <w:rsid w:val="00520926"/>
    <w:rsid w:val="00523B64"/>
    <w:rsid w:val="005240BF"/>
    <w:rsid w:val="00524273"/>
    <w:rsid w:val="00524C44"/>
    <w:rsid w:val="00533B17"/>
    <w:rsid w:val="005343D7"/>
    <w:rsid w:val="00534E3F"/>
    <w:rsid w:val="00540744"/>
    <w:rsid w:val="005430DE"/>
    <w:rsid w:val="00544715"/>
    <w:rsid w:val="005555DB"/>
    <w:rsid w:val="00556691"/>
    <w:rsid w:val="005604D4"/>
    <w:rsid w:val="00565E48"/>
    <w:rsid w:val="005663CD"/>
    <w:rsid w:val="00566D57"/>
    <w:rsid w:val="00570FFB"/>
    <w:rsid w:val="00573F49"/>
    <w:rsid w:val="00575BB2"/>
    <w:rsid w:val="00582AE0"/>
    <w:rsid w:val="00585050"/>
    <w:rsid w:val="00585390"/>
    <w:rsid w:val="00585DA3"/>
    <w:rsid w:val="005866E4"/>
    <w:rsid w:val="00586956"/>
    <w:rsid w:val="00586A05"/>
    <w:rsid w:val="00587E35"/>
    <w:rsid w:val="00587F07"/>
    <w:rsid w:val="00591B41"/>
    <w:rsid w:val="005927CC"/>
    <w:rsid w:val="005939A5"/>
    <w:rsid w:val="00595AD1"/>
    <w:rsid w:val="00597187"/>
    <w:rsid w:val="00597776"/>
    <w:rsid w:val="005A043F"/>
    <w:rsid w:val="005A148C"/>
    <w:rsid w:val="005A1981"/>
    <w:rsid w:val="005A35F7"/>
    <w:rsid w:val="005B0329"/>
    <w:rsid w:val="005B55F9"/>
    <w:rsid w:val="005B6D7C"/>
    <w:rsid w:val="005B6FEE"/>
    <w:rsid w:val="005C2034"/>
    <w:rsid w:val="005C22A9"/>
    <w:rsid w:val="005C277D"/>
    <w:rsid w:val="005C3F92"/>
    <w:rsid w:val="005C48F8"/>
    <w:rsid w:val="005C69FA"/>
    <w:rsid w:val="005C7BA8"/>
    <w:rsid w:val="005D0AF1"/>
    <w:rsid w:val="005D0E52"/>
    <w:rsid w:val="005D33C1"/>
    <w:rsid w:val="005D3B3C"/>
    <w:rsid w:val="005D3BFA"/>
    <w:rsid w:val="005D62A3"/>
    <w:rsid w:val="005E10D9"/>
    <w:rsid w:val="005E161B"/>
    <w:rsid w:val="005E6164"/>
    <w:rsid w:val="005E7D41"/>
    <w:rsid w:val="005F0030"/>
    <w:rsid w:val="005F1C66"/>
    <w:rsid w:val="005F7531"/>
    <w:rsid w:val="00602842"/>
    <w:rsid w:val="006033C9"/>
    <w:rsid w:val="00604A74"/>
    <w:rsid w:val="00605F20"/>
    <w:rsid w:val="00606740"/>
    <w:rsid w:val="00607209"/>
    <w:rsid w:val="006113D8"/>
    <w:rsid w:val="0061287F"/>
    <w:rsid w:val="006131C7"/>
    <w:rsid w:val="0061548B"/>
    <w:rsid w:val="00617152"/>
    <w:rsid w:val="00627325"/>
    <w:rsid w:val="00632207"/>
    <w:rsid w:val="0063491C"/>
    <w:rsid w:val="00635052"/>
    <w:rsid w:val="006355DF"/>
    <w:rsid w:val="0064513F"/>
    <w:rsid w:val="006455AC"/>
    <w:rsid w:val="00646467"/>
    <w:rsid w:val="00646475"/>
    <w:rsid w:val="00647664"/>
    <w:rsid w:val="00652AE9"/>
    <w:rsid w:val="00653082"/>
    <w:rsid w:val="006531CA"/>
    <w:rsid w:val="00656C87"/>
    <w:rsid w:val="00657D9B"/>
    <w:rsid w:val="0066013C"/>
    <w:rsid w:val="006611BC"/>
    <w:rsid w:val="006611BF"/>
    <w:rsid w:val="00661AFE"/>
    <w:rsid w:val="00661C6E"/>
    <w:rsid w:val="00667BFC"/>
    <w:rsid w:val="006736B9"/>
    <w:rsid w:val="006748E4"/>
    <w:rsid w:val="00677232"/>
    <w:rsid w:val="00677F4F"/>
    <w:rsid w:val="00681DBF"/>
    <w:rsid w:val="0068208D"/>
    <w:rsid w:val="00683DC9"/>
    <w:rsid w:val="0068467B"/>
    <w:rsid w:val="00684B5A"/>
    <w:rsid w:val="0068567E"/>
    <w:rsid w:val="00686A32"/>
    <w:rsid w:val="006902A5"/>
    <w:rsid w:val="00691C03"/>
    <w:rsid w:val="0069279C"/>
    <w:rsid w:val="006A1F88"/>
    <w:rsid w:val="006A3C72"/>
    <w:rsid w:val="006B0AFD"/>
    <w:rsid w:val="006B1901"/>
    <w:rsid w:val="006B1E14"/>
    <w:rsid w:val="006B3231"/>
    <w:rsid w:val="006B63A2"/>
    <w:rsid w:val="006B7A1C"/>
    <w:rsid w:val="006C08EF"/>
    <w:rsid w:val="006C1F88"/>
    <w:rsid w:val="006C423B"/>
    <w:rsid w:val="006C4865"/>
    <w:rsid w:val="006C4D63"/>
    <w:rsid w:val="006E16FE"/>
    <w:rsid w:val="006E35A6"/>
    <w:rsid w:val="006E5E28"/>
    <w:rsid w:val="006E6574"/>
    <w:rsid w:val="006F1004"/>
    <w:rsid w:val="006F14CA"/>
    <w:rsid w:val="006F24E1"/>
    <w:rsid w:val="006F51AE"/>
    <w:rsid w:val="006F5647"/>
    <w:rsid w:val="006F5EFA"/>
    <w:rsid w:val="006F736E"/>
    <w:rsid w:val="006F7FC6"/>
    <w:rsid w:val="007031B6"/>
    <w:rsid w:val="00705CB7"/>
    <w:rsid w:val="00710804"/>
    <w:rsid w:val="00712C52"/>
    <w:rsid w:val="00712FF8"/>
    <w:rsid w:val="007142B1"/>
    <w:rsid w:val="00714CF2"/>
    <w:rsid w:val="007156B9"/>
    <w:rsid w:val="007167B7"/>
    <w:rsid w:val="007172E9"/>
    <w:rsid w:val="00717867"/>
    <w:rsid w:val="00720817"/>
    <w:rsid w:val="007219B6"/>
    <w:rsid w:val="0072269F"/>
    <w:rsid w:val="00722850"/>
    <w:rsid w:val="00723F5F"/>
    <w:rsid w:val="007240F6"/>
    <w:rsid w:val="00727433"/>
    <w:rsid w:val="00732B36"/>
    <w:rsid w:val="0073353F"/>
    <w:rsid w:val="00735A91"/>
    <w:rsid w:val="00742A5D"/>
    <w:rsid w:val="00742B9E"/>
    <w:rsid w:val="00742CFF"/>
    <w:rsid w:val="00742E45"/>
    <w:rsid w:val="007447AF"/>
    <w:rsid w:val="0074687F"/>
    <w:rsid w:val="00750816"/>
    <w:rsid w:val="00751E2C"/>
    <w:rsid w:val="0075419C"/>
    <w:rsid w:val="00756A99"/>
    <w:rsid w:val="007657C1"/>
    <w:rsid w:val="0077186F"/>
    <w:rsid w:val="0077755F"/>
    <w:rsid w:val="00777998"/>
    <w:rsid w:val="0078011E"/>
    <w:rsid w:val="00780201"/>
    <w:rsid w:val="00780352"/>
    <w:rsid w:val="00781AA2"/>
    <w:rsid w:val="00781DAF"/>
    <w:rsid w:val="0078264E"/>
    <w:rsid w:val="00784BF3"/>
    <w:rsid w:val="00792825"/>
    <w:rsid w:val="00794F58"/>
    <w:rsid w:val="00797F08"/>
    <w:rsid w:val="007A07E0"/>
    <w:rsid w:val="007A2A79"/>
    <w:rsid w:val="007A406D"/>
    <w:rsid w:val="007A62B0"/>
    <w:rsid w:val="007A62CE"/>
    <w:rsid w:val="007A7BC2"/>
    <w:rsid w:val="007B0495"/>
    <w:rsid w:val="007B158E"/>
    <w:rsid w:val="007B522D"/>
    <w:rsid w:val="007C1205"/>
    <w:rsid w:val="007C32A8"/>
    <w:rsid w:val="007C3B73"/>
    <w:rsid w:val="007C5166"/>
    <w:rsid w:val="007C5A0C"/>
    <w:rsid w:val="007D203A"/>
    <w:rsid w:val="007D2D34"/>
    <w:rsid w:val="007D35E1"/>
    <w:rsid w:val="007E0F04"/>
    <w:rsid w:val="007E0FEE"/>
    <w:rsid w:val="007E1E35"/>
    <w:rsid w:val="007E1E42"/>
    <w:rsid w:val="007E5811"/>
    <w:rsid w:val="007E6451"/>
    <w:rsid w:val="007E6AAE"/>
    <w:rsid w:val="007E6B55"/>
    <w:rsid w:val="007F2017"/>
    <w:rsid w:val="007F294C"/>
    <w:rsid w:val="007F5D1A"/>
    <w:rsid w:val="0080449A"/>
    <w:rsid w:val="00806115"/>
    <w:rsid w:val="00806618"/>
    <w:rsid w:val="00812EF0"/>
    <w:rsid w:val="0081618E"/>
    <w:rsid w:val="008162EA"/>
    <w:rsid w:val="00817205"/>
    <w:rsid w:val="00817D41"/>
    <w:rsid w:val="00821E98"/>
    <w:rsid w:val="008233F1"/>
    <w:rsid w:val="00825DA3"/>
    <w:rsid w:val="008308C4"/>
    <w:rsid w:val="00831F32"/>
    <w:rsid w:val="00832042"/>
    <w:rsid w:val="0083238F"/>
    <w:rsid w:val="00833820"/>
    <w:rsid w:val="008339BB"/>
    <w:rsid w:val="008343B2"/>
    <w:rsid w:val="008349CD"/>
    <w:rsid w:val="008356DE"/>
    <w:rsid w:val="00840F38"/>
    <w:rsid w:val="008411DC"/>
    <w:rsid w:val="008441B3"/>
    <w:rsid w:val="0084450E"/>
    <w:rsid w:val="00846E68"/>
    <w:rsid w:val="008519CD"/>
    <w:rsid w:val="00853FB4"/>
    <w:rsid w:val="00860F53"/>
    <w:rsid w:val="00861DF5"/>
    <w:rsid w:val="00863550"/>
    <w:rsid w:val="008640F6"/>
    <w:rsid w:val="0086419A"/>
    <w:rsid w:val="008652B6"/>
    <w:rsid w:val="0086659D"/>
    <w:rsid w:val="0087023B"/>
    <w:rsid w:val="008749E3"/>
    <w:rsid w:val="00875A12"/>
    <w:rsid w:val="00875E21"/>
    <w:rsid w:val="00876C43"/>
    <w:rsid w:val="00877E70"/>
    <w:rsid w:val="00882135"/>
    <w:rsid w:val="0088734F"/>
    <w:rsid w:val="008877B1"/>
    <w:rsid w:val="008950CA"/>
    <w:rsid w:val="008953C1"/>
    <w:rsid w:val="00895C82"/>
    <w:rsid w:val="0089758D"/>
    <w:rsid w:val="008A0351"/>
    <w:rsid w:val="008A1102"/>
    <w:rsid w:val="008A179F"/>
    <w:rsid w:val="008A1DE9"/>
    <w:rsid w:val="008A33C4"/>
    <w:rsid w:val="008A3D65"/>
    <w:rsid w:val="008A57AC"/>
    <w:rsid w:val="008A5851"/>
    <w:rsid w:val="008B057E"/>
    <w:rsid w:val="008B0864"/>
    <w:rsid w:val="008C2089"/>
    <w:rsid w:val="008C7413"/>
    <w:rsid w:val="008D009D"/>
    <w:rsid w:val="008D1262"/>
    <w:rsid w:val="008D16B7"/>
    <w:rsid w:val="008D3D91"/>
    <w:rsid w:val="008D4D85"/>
    <w:rsid w:val="008D5A21"/>
    <w:rsid w:val="008D5C35"/>
    <w:rsid w:val="008E15F0"/>
    <w:rsid w:val="008E54F7"/>
    <w:rsid w:val="008E5ED4"/>
    <w:rsid w:val="008E6AE6"/>
    <w:rsid w:val="008F0116"/>
    <w:rsid w:val="008F0D52"/>
    <w:rsid w:val="008F143D"/>
    <w:rsid w:val="008F35E2"/>
    <w:rsid w:val="00903B9D"/>
    <w:rsid w:val="00903C69"/>
    <w:rsid w:val="009123B9"/>
    <w:rsid w:val="00912BDA"/>
    <w:rsid w:val="009153F4"/>
    <w:rsid w:val="00916DE2"/>
    <w:rsid w:val="009212F1"/>
    <w:rsid w:val="00922253"/>
    <w:rsid w:val="00922E30"/>
    <w:rsid w:val="00926B81"/>
    <w:rsid w:val="00926BDC"/>
    <w:rsid w:val="0093092A"/>
    <w:rsid w:val="009312AA"/>
    <w:rsid w:val="00932865"/>
    <w:rsid w:val="00933B56"/>
    <w:rsid w:val="009349E6"/>
    <w:rsid w:val="00935A23"/>
    <w:rsid w:val="00937574"/>
    <w:rsid w:val="00940161"/>
    <w:rsid w:val="00940F39"/>
    <w:rsid w:val="0094155B"/>
    <w:rsid w:val="009457E1"/>
    <w:rsid w:val="00946447"/>
    <w:rsid w:val="00947ED5"/>
    <w:rsid w:val="009501A8"/>
    <w:rsid w:val="00950703"/>
    <w:rsid w:val="00951B30"/>
    <w:rsid w:val="00953B15"/>
    <w:rsid w:val="0096333C"/>
    <w:rsid w:val="0096483A"/>
    <w:rsid w:val="009658D7"/>
    <w:rsid w:val="00967A66"/>
    <w:rsid w:val="009739DD"/>
    <w:rsid w:val="00974912"/>
    <w:rsid w:val="009755F4"/>
    <w:rsid w:val="0098138E"/>
    <w:rsid w:val="009841FD"/>
    <w:rsid w:val="009844AD"/>
    <w:rsid w:val="0098655A"/>
    <w:rsid w:val="00986A81"/>
    <w:rsid w:val="00991389"/>
    <w:rsid w:val="00992308"/>
    <w:rsid w:val="00994690"/>
    <w:rsid w:val="00994CA2"/>
    <w:rsid w:val="00995B78"/>
    <w:rsid w:val="009A09E0"/>
    <w:rsid w:val="009A18DB"/>
    <w:rsid w:val="009A1CBF"/>
    <w:rsid w:val="009A3D4E"/>
    <w:rsid w:val="009A62C0"/>
    <w:rsid w:val="009A697A"/>
    <w:rsid w:val="009B0809"/>
    <w:rsid w:val="009B5335"/>
    <w:rsid w:val="009B5AB1"/>
    <w:rsid w:val="009B7655"/>
    <w:rsid w:val="009C20E5"/>
    <w:rsid w:val="009C2975"/>
    <w:rsid w:val="009C65CC"/>
    <w:rsid w:val="009C6947"/>
    <w:rsid w:val="009C76EC"/>
    <w:rsid w:val="009C7D13"/>
    <w:rsid w:val="009D252A"/>
    <w:rsid w:val="009D40EE"/>
    <w:rsid w:val="009D52AC"/>
    <w:rsid w:val="009D563C"/>
    <w:rsid w:val="009D62B4"/>
    <w:rsid w:val="009E7C7F"/>
    <w:rsid w:val="009E7E06"/>
    <w:rsid w:val="009F05EA"/>
    <w:rsid w:val="009F180B"/>
    <w:rsid w:val="009F1EBE"/>
    <w:rsid w:val="009F24AF"/>
    <w:rsid w:val="009F452E"/>
    <w:rsid w:val="009F5A69"/>
    <w:rsid w:val="009F7E86"/>
    <w:rsid w:val="00A00873"/>
    <w:rsid w:val="00A06347"/>
    <w:rsid w:val="00A10C58"/>
    <w:rsid w:val="00A12F29"/>
    <w:rsid w:val="00A15D11"/>
    <w:rsid w:val="00A15EE9"/>
    <w:rsid w:val="00A17BBB"/>
    <w:rsid w:val="00A17CE0"/>
    <w:rsid w:val="00A20369"/>
    <w:rsid w:val="00A235CB"/>
    <w:rsid w:val="00A23D48"/>
    <w:rsid w:val="00A24054"/>
    <w:rsid w:val="00A26F03"/>
    <w:rsid w:val="00A277EB"/>
    <w:rsid w:val="00A30279"/>
    <w:rsid w:val="00A325D5"/>
    <w:rsid w:val="00A3379B"/>
    <w:rsid w:val="00A37BD5"/>
    <w:rsid w:val="00A4173C"/>
    <w:rsid w:val="00A42306"/>
    <w:rsid w:val="00A43A1B"/>
    <w:rsid w:val="00A43FF6"/>
    <w:rsid w:val="00A44E8D"/>
    <w:rsid w:val="00A454F3"/>
    <w:rsid w:val="00A46D80"/>
    <w:rsid w:val="00A472EB"/>
    <w:rsid w:val="00A478EF"/>
    <w:rsid w:val="00A50634"/>
    <w:rsid w:val="00A51822"/>
    <w:rsid w:val="00A52A29"/>
    <w:rsid w:val="00A55ACD"/>
    <w:rsid w:val="00A60388"/>
    <w:rsid w:val="00A6208D"/>
    <w:rsid w:val="00A66972"/>
    <w:rsid w:val="00A669F0"/>
    <w:rsid w:val="00A67021"/>
    <w:rsid w:val="00A719E2"/>
    <w:rsid w:val="00A73944"/>
    <w:rsid w:val="00A73946"/>
    <w:rsid w:val="00A74BF1"/>
    <w:rsid w:val="00A77932"/>
    <w:rsid w:val="00A837BF"/>
    <w:rsid w:val="00A84B27"/>
    <w:rsid w:val="00A85462"/>
    <w:rsid w:val="00A86D36"/>
    <w:rsid w:val="00A9025D"/>
    <w:rsid w:val="00A906BA"/>
    <w:rsid w:val="00A9456C"/>
    <w:rsid w:val="00A94BE9"/>
    <w:rsid w:val="00A97BE1"/>
    <w:rsid w:val="00AA2EDC"/>
    <w:rsid w:val="00AA50A8"/>
    <w:rsid w:val="00AB08B3"/>
    <w:rsid w:val="00AB1393"/>
    <w:rsid w:val="00AB43CE"/>
    <w:rsid w:val="00AB472F"/>
    <w:rsid w:val="00AB56DA"/>
    <w:rsid w:val="00AB5CCB"/>
    <w:rsid w:val="00AB5D6F"/>
    <w:rsid w:val="00AB7875"/>
    <w:rsid w:val="00AC0185"/>
    <w:rsid w:val="00AC13DC"/>
    <w:rsid w:val="00AC28E6"/>
    <w:rsid w:val="00AC67F1"/>
    <w:rsid w:val="00AC68EE"/>
    <w:rsid w:val="00AD2B90"/>
    <w:rsid w:val="00AD4372"/>
    <w:rsid w:val="00AE1DC9"/>
    <w:rsid w:val="00AE243C"/>
    <w:rsid w:val="00AE3CF2"/>
    <w:rsid w:val="00AF04E7"/>
    <w:rsid w:val="00AF1A74"/>
    <w:rsid w:val="00AF29BE"/>
    <w:rsid w:val="00AF3CCD"/>
    <w:rsid w:val="00AF42DD"/>
    <w:rsid w:val="00AF457C"/>
    <w:rsid w:val="00AF6371"/>
    <w:rsid w:val="00AF6A83"/>
    <w:rsid w:val="00B008B0"/>
    <w:rsid w:val="00B01F7E"/>
    <w:rsid w:val="00B02372"/>
    <w:rsid w:val="00B07A04"/>
    <w:rsid w:val="00B1070F"/>
    <w:rsid w:val="00B114DA"/>
    <w:rsid w:val="00B1399C"/>
    <w:rsid w:val="00B1611A"/>
    <w:rsid w:val="00B206D0"/>
    <w:rsid w:val="00B2130E"/>
    <w:rsid w:val="00B24E18"/>
    <w:rsid w:val="00B3087D"/>
    <w:rsid w:val="00B329EB"/>
    <w:rsid w:val="00B32BED"/>
    <w:rsid w:val="00B34794"/>
    <w:rsid w:val="00B37F89"/>
    <w:rsid w:val="00B41945"/>
    <w:rsid w:val="00B41AFA"/>
    <w:rsid w:val="00B42A2E"/>
    <w:rsid w:val="00B42B93"/>
    <w:rsid w:val="00B42F73"/>
    <w:rsid w:val="00B435C8"/>
    <w:rsid w:val="00B4554D"/>
    <w:rsid w:val="00B505A8"/>
    <w:rsid w:val="00B518B6"/>
    <w:rsid w:val="00B539AE"/>
    <w:rsid w:val="00B60421"/>
    <w:rsid w:val="00B6299B"/>
    <w:rsid w:val="00B64242"/>
    <w:rsid w:val="00B6634C"/>
    <w:rsid w:val="00B66F28"/>
    <w:rsid w:val="00B67416"/>
    <w:rsid w:val="00B70F5B"/>
    <w:rsid w:val="00B732B9"/>
    <w:rsid w:val="00B766F1"/>
    <w:rsid w:val="00B82BE4"/>
    <w:rsid w:val="00B82D7B"/>
    <w:rsid w:val="00B90929"/>
    <w:rsid w:val="00B92F99"/>
    <w:rsid w:val="00B93ABD"/>
    <w:rsid w:val="00B93EFE"/>
    <w:rsid w:val="00B9769A"/>
    <w:rsid w:val="00BA1EB4"/>
    <w:rsid w:val="00BA30D6"/>
    <w:rsid w:val="00BA5CAE"/>
    <w:rsid w:val="00BA6957"/>
    <w:rsid w:val="00BA6DEA"/>
    <w:rsid w:val="00BB0243"/>
    <w:rsid w:val="00BB1891"/>
    <w:rsid w:val="00BB22C8"/>
    <w:rsid w:val="00BB7803"/>
    <w:rsid w:val="00BC2481"/>
    <w:rsid w:val="00BC491A"/>
    <w:rsid w:val="00BC5637"/>
    <w:rsid w:val="00BC628C"/>
    <w:rsid w:val="00BD09AC"/>
    <w:rsid w:val="00BD4999"/>
    <w:rsid w:val="00BD4C28"/>
    <w:rsid w:val="00BD53D6"/>
    <w:rsid w:val="00BD5E78"/>
    <w:rsid w:val="00BD649B"/>
    <w:rsid w:val="00BE1054"/>
    <w:rsid w:val="00BE1162"/>
    <w:rsid w:val="00BE2FE2"/>
    <w:rsid w:val="00BE30F3"/>
    <w:rsid w:val="00BE5A18"/>
    <w:rsid w:val="00BE6D8F"/>
    <w:rsid w:val="00BE7D53"/>
    <w:rsid w:val="00BF3088"/>
    <w:rsid w:val="00BF748F"/>
    <w:rsid w:val="00C00A31"/>
    <w:rsid w:val="00C01716"/>
    <w:rsid w:val="00C03787"/>
    <w:rsid w:val="00C0431E"/>
    <w:rsid w:val="00C0438B"/>
    <w:rsid w:val="00C04FD7"/>
    <w:rsid w:val="00C07842"/>
    <w:rsid w:val="00C104CA"/>
    <w:rsid w:val="00C10B5F"/>
    <w:rsid w:val="00C11DE2"/>
    <w:rsid w:val="00C12135"/>
    <w:rsid w:val="00C123EE"/>
    <w:rsid w:val="00C13A11"/>
    <w:rsid w:val="00C1484D"/>
    <w:rsid w:val="00C23495"/>
    <w:rsid w:val="00C340E0"/>
    <w:rsid w:val="00C344CC"/>
    <w:rsid w:val="00C35A27"/>
    <w:rsid w:val="00C4394E"/>
    <w:rsid w:val="00C44797"/>
    <w:rsid w:val="00C4505C"/>
    <w:rsid w:val="00C45C86"/>
    <w:rsid w:val="00C4628A"/>
    <w:rsid w:val="00C4631E"/>
    <w:rsid w:val="00C46B45"/>
    <w:rsid w:val="00C5030C"/>
    <w:rsid w:val="00C5581D"/>
    <w:rsid w:val="00C572A2"/>
    <w:rsid w:val="00C6771F"/>
    <w:rsid w:val="00C67B48"/>
    <w:rsid w:val="00C72D58"/>
    <w:rsid w:val="00C83135"/>
    <w:rsid w:val="00C86577"/>
    <w:rsid w:val="00C874DD"/>
    <w:rsid w:val="00C87A6D"/>
    <w:rsid w:val="00C913A1"/>
    <w:rsid w:val="00C92A4C"/>
    <w:rsid w:val="00C92D3F"/>
    <w:rsid w:val="00C93EDB"/>
    <w:rsid w:val="00CA1455"/>
    <w:rsid w:val="00CA202E"/>
    <w:rsid w:val="00CA2CD4"/>
    <w:rsid w:val="00CA7905"/>
    <w:rsid w:val="00CB5715"/>
    <w:rsid w:val="00CB63A9"/>
    <w:rsid w:val="00CB6DA6"/>
    <w:rsid w:val="00CC2A5B"/>
    <w:rsid w:val="00CC2AC8"/>
    <w:rsid w:val="00CC35D6"/>
    <w:rsid w:val="00CC6A99"/>
    <w:rsid w:val="00CD0347"/>
    <w:rsid w:val="00CD20C7"/>
    <w:rsid w:val="00CD5B20"/>
    <w:rsid w:val="00CE1259"/>
    <w:rsid w:val="00CE2B30"/>
    <w:rsid w:val="00CE429D"/>
    <w:rsid w:val="00CF1C04"/>
    <w:rsid w:val="00CF293E"/>
    <w:rsid w:val="00CF344A"/>
    <w:rsid w:val="00CF7292"/>
    <w:rsid w:val="00D00AA3"/>
    <w:rsid w:val="00D00AD4"/>
    <w:rsid w:val="00D01BE3"/>
    <w:rsid w:val="00D0354C"/>
    <w:rsid w:val="00D040BF"/>
    <w:rsid w:val="00D04390"/>
    <w:rsid w:val="00D048F2"/>
    <w:rsid w:val="00D07BC6"/>
    <w:rsid w:val="00D07F73"/>
    <w:rsid w:val="00D12540"/>
    <w:rsid w:val="00D12777"/>
    <w:rsid w:val="00D14844"/>
    <w:rsid w:val="00D15965"/>
    <w:rsid w:val="00D15AA3"/>
    <w:rsid w:val="00D20316"/>
    <w:rsid w:val="00D2041C"/>
    <w:rsid w:val="00D20C95"/>
    <w:rsid w:val="00D20F15"/>
    <w:rsid w:val="00D22394"/>
    <w:rsid w:val="00D25938"/>
    <w:rsid w:val="00D25ADE"/>
    <w:rsid w:val="00D32BF5"/>
    <w:rsid w:val="00D3495E"/>
    <w:rsid w:val="00D34E88"/>
    <w:rsid w:val="00D37486"/>
    <w:rsid w:val="00D37978"/>
    <w:rsid w:val="00D418C1"/>
    <w:rsid w:val="00D42672"/>
    <w:rsid w:val="00D43297"/>
    <w:rsid w:val="00D44DB6"/>
    <w:rsid w:val="00D4632A"/>
    <w:rsid w:val="00D50119"/>
    <w:rsid w:val="00D53FC1"/>
    <w:rsid w:val="00D56A72"/>
    <w:rsid w:val="00D6082D"/>
    <w:rsid w:val="00D6363A"/>
    <w:rsid w:val="00D6578B"/>
    <w:rsid w:val="00D7278C"/>
    <w:rsid w:val="00D75763"/>
    <w:rsid w:val="00D75B03"/>
    <w:rsid w:val="00D761C9"/>
    <w:rsid w:val="00D7642B"/>
    <w:rsid w:val="00D80629"/>
    <w:rsid w:val="00D827BD"/>
    <w:rsid w:val="00D82A43"/>
    <w:rsid w:val="00D838F8"/>
    <w:rsid w:val="00D83C85"/>
    <w:rsid w:val="00D8516E"/>
    <w:rsid w:val="00D85AC4"/>
    <w:rsid w:val="00D86CE8"/>
    <w:rsid w:val="00D923B9"/>
    <w:rsid w:val="00D934D9"/>
    <w:rsid w:val="00DA0A4D"/>
    <w:rsid w:val="00DA0ADF"/>
    <w:rsid w:val="00DA167F"/>
    <w:rsid w:val="00DA5D0B"/>
    <w:rsid w:val="00DA5D97"/>
    <w:rsid w:val="00DA7457"/>
    <w:rsid w:val="00DA7B5D"/>
    <w:rsid w:val="00DB0DFE"/>
    <w:rsid w:val="00DB4059"/>
    <w:rsid w:val="00DB5406"/>
    <w:rsid w:val="00DB6D30"/>
    <w:rsid w:val="00DB7065"/>
    <w:rsid w:val="00DC144F"/>
    <w:rsid w:val="00DC23EC"/>
    <w:rsid w:val="00DC4293"/>
    <w:rsid w:val="00DC497F"/>
    <w:rsid w:val="00DC4C9D"/>
    <w:rsid w:val="00DC5E34"/>
    <w:rsid w:val="00DC73D7"/>
    <w:rsid w:val="00DC7EE2"/>
    <w:rsid w:val="00DD0D3A"/>
    <w:rsid w:val="00DD1B6A"/>
    <w:rsid w:val="00DD38E4"/>
    <w:rsid w:val="00DD5702"/>
    <w:rsid w:val="00DD6CBB"/>
    <w:rsid w:val="00DE0A7A"/>
    <w:rsid w:val="00DE126B"/>
    <w:rsid w:val="00DE4D35"/>
    <w:rsid w:val="00DE5244"/>
    <w:rsid w:val="00DF58E7"/>
    <w:rsid w:val="00E0011D"/>
    <w:rsid w:val="00E01BC4"/>
    <w:rsid w:val="00E03934"/>
    <w:rsid w:val="00E11876"/>
    <w:rsid w:val="00E1201C"/>
    <w:rsid w:val="00E16806"/>
    <w:rsid w:val="00E16E3D"/>
    <w:rsid w:val="00E1797D"/>
    <w:rsid w:val="00E23C9A"/>
    <w:rsid w:val="00E23CBB"/>
    <w:rsid w:val="00E32939"/>
    <w:rsid w:val="00E3352D"/>
    <w:rsid w:val="00E33773"/>
    <w:rsid w:val="00E3662C"/>
    <w:rsid w:val="00E36A9E"/>
    <w:rsid w:val="00E37B59"/>
    <w:rsid w:val="00E411B1"/>
    <w:rsid w:val="00E4167F"/>
    <w:rsid w:val="00E43C1C"/>
    <w:rsid w:val="00E44348"/>
    <w:rsid w:val="00E4617F"/>
    <w:rsid w:val="00E4636C"/>
    <w:rsid w:val="00E46392"/>
    <w:rsid w:val="00E47569"/>
    <w:rsid w:val="00E527B9"/>
    <w:rsid w:val="00E53438"/>
    <w:rsid w:val="00E63546"/>
    <w:rsid w:val="00E63C5C"/>
    <w:rsid w:val="00E66CBB"/>
    <w:rsid w:val="00E70257"/>
    <w:rsid w:val="00E70E37"/>
    <w:rsid w:val="00E7476E"/>
    <w:rsid w:val="00E75BF8"/>
    <w:rsid w:val="00E773A2"/>
    <w:rsid w:val="00E80302"/>
    <w:rsid w:val="00E81372"/>
    <w:rsid w:val="00E8172C"/>
    <w:rsid w:val="00E81F03"/>
    <w:rsid w:val="00E82C92"/>
    <w:rsid w:val="00E85509"/>
    <w:rsid w:val="00E9070E"/>
    <w:rsid w:val="00E91F47"/>
    <w:rsid w:val="00E955C7"/>
    <w:rsid w:val="00E96D41"/>
    <w:rsid w:val="00E9747C"/>
    <w:rsid w:val="00E97F91"/>
    <w:rsid w:val="00EA2BBA"/>
    <w:rsid w:val="00EA36C6"/>
    <w:rsid w:val="00EA7A12"/>
    <w:rsid w:val="00EB0A10"/>
    <w:rsid w:val="00EB39AD"/>
    <w:rsid w:val="00EB7D80"/>
    <w:rsid w:val="00EC0374"/>
    <w:rsid w:val="00EC30F9"/>
    <w:rsid w:val="00ED1C34"/>
    <w:rsid w:val="00ED2A28"/>
    <w:rsid w:val="00ED4FF9"/>
    <w:rsid w:val="00ED5316"/>
    <w:rsid w:val="00ED5666"/>
    <w:rsid w:val="00ED5725"/>
    <w:rsid w:val="00ED60CD"/>
    <w:rsid w:val="00ED6C2D"/>
    <w:rsid w:val="00ED7031"/>
    <w:rsid w:val="00ED727F"/>
    <w:rsid w:val="00EE13D0"/>
    <w:rsid w:val="00EE165B"/>
    <w:rsid w:val="00EE2743"/>
    <w:rsid w:val="00EE2E62"/>
    <w:rsid w:val="00EE3060"/>
    <w:rsid w:val="00EE34AB"/>
    <w:rsid w:val="00EE4315"/>
    <w:rsid w:val="00EF0B32"/>
    <w:rsid w:val="00EF20CA"/>
    <w:rsid w:val="00EF2167"/>
    <w:rsid w:val="00EF34D5"/>
    <w:rsid w:val="00EF3517"/>
    <w:rsid w:val="00EF6925"/>
    <w:rsid w:val="00EF6CD1"/>
    <w:rsid w:val="00F0178C"/>
    <w:rsid w:val="00F05F5C"/>
    <w:rsid w:val="00F11AEB"/>
    <w:rsid w:val="00F135AC"/>
    <w:rsid w:val="00F1362A"/>
    <w:rsid w:val="00F13B07"/>
    <w:rsid w:val="00F17E96"/>
    <w:rsid w:val="00F23D4F"/>
    <w:rsid w:val="00F26ED3"/>
    <w:rsid w:val="00F27C13"/>
    <w:rsid w:val="00F307F3"/>
    <w:rsid w:val="00F31B46"/>
    <w:rsid w:val="00F32363"/>
    <w:rsid w:val="00F331D2"/>
    <w:rsid w:val="00F34218"/>
    <w:rsid w:val="00F4002C"/>
    <w:rsid w:val="00F40F9B"/>
    <w:rsid w:val="00F41D07"/>
    <w:rsid w:val="00F43A39"/>
    <w:rsid w:val="00F44DF0"/>
    <w:rsid w:val="00F5146E"/>
    <w:rsid w:val="00F575EF"/>
    <w:rsid w:val="00F61F8F"/>
    <w:rsid w:val="00F62B7A"/>
    <w:rsid w:val="00F6397D"/>
    <w:rsid w:val="00F70139"/>
    <w:rsid w:val="00F71C61"/>
    <w:rsid w:val="00F71D48"/>
    <w:rsid w:val="00F7293E"/>
    <w:rsid w:val="00F765B1"/>
    <w:rsid w:val="00F76650"/>
    <w:rsid w:val="00F776E1"/>
    <w:rsid w:val="00F82488"/>
    <w:rsid w:val="00F824F3"/>
    <w:rsid w:val="00F831C2"/>
    <w:rsid w:val="00F83C94"/>
    <w:rsid w:val="00F849D0"/>
    <w:rsid w:val="00F85096"/>
    <w:rsid w:val="00F8566E"/>
    <w:rsid w:val="00F9187B"/>
    <w:rsid w:val="00F91BBB"/>
    <w:rsid w:val="00F92385"/>
    <w:rsid w:val="00FA1B4F"/>
    <w:rsid w:val="00FA3E25"/>
    <w:rsid w:val="00FA4078"/>
    <w:rsid w:val="00FA770C"/>
    <w:rsid w:val="00FB2181"/>
    <w:rsid w:val="00FB74D6"/>
    <w:rsid w:val="00FC19BC"/>
    <w:rsid w:val="00FC4117"/>
    <w:rsid w:val="00FC47F9"/>
    <w:rsid w:val="00FC5A6E"/>
    <w:rsid w:val="00FD3EEE"/>
    <w:rsid w:val="00FD44CF"/>
    <w:rsid w:val="00FD5F71"/>
    <w:rsid w:val="00FE16E9"/>
    <w:rsid w:val="00FE2351"/>
    <w:rsid w:val="00FE29B0"/>
    <w:rsid w:val="00FE4B3F"/>
    <w:rsid w:val="00FE519D"/>
    <w:rsid w:val="00FE5580"/>
    <w:rsid w:val="00FE6451"/>
    <w:rsid w:val="00FF110C"/>
    <w:rsid w:val="00FF15EE"/>
    <w:rsid w:val="00FF2360"/>
    <w:rsid w:val="00FF3A63"/>
    <w:rsid w:val="00FF3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CE6289"/>
  <w15:docId w15:val="{85AAE938-CE11-4383-8895-C733FADB4973}"/>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AFE"/>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0E270A"/>
    <w:pPr>
      <w:numPr>
        <w:numId w:val="8"/>
      </w:numPr>
      <w:ind w:right="2160"/>
    </w:pPr>
    <w:rPr>
      <w:rFonts w:eastAsiaTheme="majorEastAsia" w:cstheme="majorBidi"/>
      <w:szCs w:val="32"/>
    </w:rPr>
  </w:style>
  <w:style w:type="paragraph" w:styleId="Heading2">
    <w:name w:val="heading 2"/>
    <w:basedOn w:val="Dummy"/>
    <w:next w:val="Standard"/>
    <w:link w:val="Heading2Char"/>
    <w:uiPriority w:val="4"/>
    <w:qFormat/>
    <w:rsid w:val="000E270A"/>
    <w:pPr>
      <w:numPr>
        <w:ilvl w:val="1"/>
        <w:numId w:val="8"/>
      </w:numPr>
      <w:ind w:right="2160"/>
      <w:outlineLvl w:val="1"/>
    </w:pPr>
  </w:style>
  <w:style w:type="paragraph" w:styleId="Heading3">
    <w:name w:val="heading 3"/>
    <w:basedOn w:val="Dummy"/>
    <w:next w:val="Standard"/>
    <w:link w:val="Heading3Char"/>
    <w:uiPriority w:val="4"/>
    <w:qFormat/>
    <w:rsid w:val="000E270A"/>
    <w:pPr>
      <w:numPr>
        <w:ilvl w:val="2"/>
        <w:numId w:val="8"/>
      </w:numPr>
      <w:ind w:right="2160"/>
      <w:outlineLvl w:val="2"/>
    </w:pPr>
    <w:rPr>
      <w:rFonts w:eastAsiaTheme="majorEastAsia" w:cstheme="majorBidi"/>
      <w:szCs w:val="24"/>
    </w:rPr>
  </w:style>
  <w:style w:type="paragraph" w:styleId="Heading4">
    <w:name w:val="heading 4"/>
    <w:basedOn w:val="Dummy"/>
    <w:next w:val="Standard"/>
    <w:link w:val="Heading4Char"/>
    <w:uiPriority w:val="4"/>
    <w:rsid w:val="000E270A"/>
    <w:pPr>
      <w:numPr>
        <w:ilvl w:val="3"/>
        <w:numId w:val="8"/>
      </w:numPr>
      <w:ind w:right="2160"/>
      <w:outlineLvl w:val="3"/>
    </w:pPr>
    <w:rPr>
      <w:rFonts w:eastAsiaTheme="majorEastAsia" w:cstheme="majorBidi"/>
      <w:iCs/>
    </w:rPr>
  </w:style>
  <w:style w:type="paragraph" w:styleId="Heading5">
    <w:name w:val="heading 5"/>
    <w:basedOn w:val="Dummy"/>
    <w:next w:val="Standard"/>
    <w:link w:val="Heading5Char"/>
    <w:uiPriority w:val="4"/>
    <w:rsid w:val="000E270A"/>
    <w:pPr>
      <w:numPr>
        <w:ilvl w:val="4"/>
        <w:numId w:val="8"/>
      </w:numPr>
      <w:ind w:right="2160"/>
      <w:outlineLvl w:val="4"/>
    </w:pPr>
    <w:rPr>
      <w:rFonts w:eastAsiaTheme="majorEastAsia" w:cstheme="majorBidi"/>
    </w:rPr>
  </w:style>
  <w:style w:type="paragraph" w:styleId="Heading6">
    <w:name w:val="heading 6"/>
    <w:basedOn w:val="Dummy"/>
    <w:next w:val="Standard"/>
    <w:link w:val="Heading6Char"/>
    <w:uiPriority w:val="4"/>
    <w:rsid w:val="000E270A"/>
    <w:pPr>
      <w:numPr>
        <w:ilvl w:val="5"/>
        <w:numId w:val="8"/>
      </w:num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287BC5"/>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287BC5"/>
    <w:rPr>
      <w:rFonts w:ascii="Arial" w:hAnsi="Arial" w:cs="Arial"/>
      <w:b/>
      <w:sz w:val="26"/>
      <w:szCs w:val="26"/>
    </w:rPr>
  </w:style>
  <w:style w:type="character" w:customStyle="1" w:styleId="Heading3Char">
    <w:name w:val="Heading 3 Char"/>
    <w:basedOn w:val="DefaultParagraphFont"/>
    <w:link w:val="Heading3"/>
    <w:uiPriority w:val="4"/>
    <w:rsid w:val="00287BC5"/>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2"/>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semiHidden/>
    <w:rsid w:val="0098138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A56F2"/>
    <w:rPr>
      <w:rFonts w:ascii="Book Antiqua" w:hAnsi="Book Antiqua"/>
      <w:sz w:val="26"/>
    </w:rPr>
  </w:style>
  <w:style w:type="paragraph" w:styleId="Footer">
    <w:name w:val="footer"/>
    <w:basedOn w:val="Normal"/>
    <w:link w:val="FooterChar"/>
    <w:uiPriority w:val="99"/>
    <w:semiHidden/>
    <w:rsid w:val="00EE3060"/>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aliases w:val="Footnote Text Char1,Footnote Text Char Char,Footnote Text Char2 Char,Footnote Text Char Char Char,Footnote Text Char2 Char Char Char,Footnote Text Char Char Char Char Char,Footnote Text Char2 Char Char Char Char1 Char,fn"/>
    <w:basedOn w:val="Normal"/>
    <w:link w:val="FootnoteTextChar"/>
    <w:rsid w:val="00860F53"/>
    <w:pPr>
      <w:spacing w:after="120" w:line="240" w:lineRule="auto"/>
      <w:ind w:left="288" w:hanging="288"/>
    </w:pPr>
    <w:rPr>
      <w:sz w:val="22"/>
      <w:szCs w:val="20"/>
    </w:rPr>
  </w:style>
  <w:style w:type="character" w:customStyle="1" w:styleId="FootnoteTextChar">
    <w:name w:val="Footnote Text Char"/>
    <w:aliases w:val="Footnote Text Char1 Char,Footnote Text Char Char Char1,Footnote Text Char2 Char Char,Footnote Text Char Char Char Char,Footnote Text Char2 Char Char Char Char,Footnote Text Char Char Char Char Char Char,fn Char"/>
    <w:basedOn w:val="DefaultParagraphFont"/>
    <w:link w:val="FootnoteText"/>
    <w:rsid w:val="00860F53"/>
    <w:rPr>
      <w:rFonts w:ascii="Book Antiqua" w:hAnsi="Book Antiqua"/>
      <w:szCs w:val="20"/>
    </w:rPr>
  </w:style>
  <w:style w:type="character" w:styleId="FootnoteReference">
    <w:name w:val="footnote reference"/>
    <w:aliases w:val="o,fr,o1,o2,o3,o4,o5,o6,o11,o21,o7"/>
    <w:basedOn w:val="DefaultParagraphFont"/>
    <w:uiPriority w:val="99"/>
    <w:unhideWhenUsed/>
    <w:qFormat/>
    <w:rsid w:val="00DF58E7"/>
    <w:rPr>
      <w:vertAlign w:val="superscript"/>
    </w:rPr>
  </w:style>
  <w:style w:type="paragraph" w:customStyle="1" w:styleId="FoF">
    <w:name w:val="FoF"/>
    <w:basedOn w:val="Standard"/>
    <w:uiPriority w:val="6"/>
    <w:qFormat/>
    <w:rsid w:val="001E2A62"/>
    <w:pPr>
      <w:numPr>
        <w:numId w:val="3"/>
      </w:numPr>
    </w:pPr>
  </w:style>
  <w:style w:type="paragraph" w:customStyle="1" w:styleId="CoL">
    <w:name w:val="CoL"/>
    <w:basedOn w:val="Standard"/>
    <w:uiPriority w:val="7"/>
    <w:qFormat/>
    <w:rsid w:val="001E2A62"/>
    <w:pPr>
      <w:ind w:firstLine="547"/>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1E2A62"/>
    <w:pPr>
      <w:numPr>
        <w:numId w:val="5"/>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6"/>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0E270A"/>
    <w:pPr>
      <w:numPr>
        <w:ilvl w:val="7"/>
        <w:numId w:val="8"/>
      </w:numPr>
      <w:spacing w:after="120" w:line="240" w:lineRule="auto"/>
    </w:pPr>
  </w:style>
  <w:style w:type="paragraph" w:styleId="ListBullet">
    <w:name w:val="List Bullet"/>
    <w:basedOn w:val="Standard"/>
    <w:uiPriority w:val="4"/>
    <w:qFormat/>
    <w:rsid w:val="001F2819"/>
    <w:pPr>
      <w:numPr>
        <w:numId w:val="7"/>
      </w:numPr>
      <w:tabs>
        <w:tab w:val="clear" w:pos="360"/>
      </w:tabs>
      <w:spacing w:after="120" w:line="240" w:lineRule="auto"/>
      <w:ind w:left="1080"/>
    </w:p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numPr>
        <w:ilvl w:val="6"/>
        <w:numId w:val="8"/>
      </w:numPr>
      <w:spacing w:after="120" w:line="240" w:lineRule="auto"/>
    </w:pPr>
  </w:style>
  <w:style w:type="paragraph" w:styleId="ListParagraph">
    <w:name w:val="List Paragraph"/>
    <w:basedOn w:val="Normal"/>
    <w:uiPriority w:val="34"/>
    <w:qFormat/>
    <w:rsid w:val="009D52AC"/>
    <w:pPr>
      <w:ind w:left="720"/>
      <w:contextualSpacing/>
    </w:pPr>
  </w:style>
  <w:style w:type="paragraph" w:customStyle="1" w:styleId="standard0">
    <w:name w:val="standard"/>
    <w:basedOn w:val="Normal"/>
    <w:link w:val="standardChar"/>
    <w:rsid w:val="0040238D"/>
    <w:rPr>
      <w:rFonts w:ascii="Palatino" w:eastAsia="Times New Roman" w:hAnsi="Palatino" w:cs="Times New Roman"/>
      <w:szCs w:val="20"/>
    </w:rPr>
  </w:style>
  <w:style w:type="character" w:customStyle="1" w:styleId="standardChar">
    <w:name w:val="standard Char"/>
    <w:link w:val="standard0"/>
    <w:rsid w:val="0040238D"/>
    <w:rPr>
      <w:rFonts w:ascii="Palatino" w:eastAsia="Times New Roman" w:hAnsi="Palatino" w:cs="Times New Roman"/>
      <w:sz w:val="26"/>
      <w:szCs w:val="20"/>
    </w:rPr>
  </w:style>
  <w:style w:type="character" w:customStyle="1" w:styleId="UnresolvedMention1">
    <w:name w:val="Unresolved Mention1"/>
    <w:basedOn w:val="DefaultParagraphFont"/>
    <w:uiPriority w:val="99"/>
    <w:semiHidden/>
    <w:unhideWhenUsed/>
    <w:rsid w:val="00A669F0"/>
    <w:rPr>
      <w:color w:val="605E5C"/>
      <w:shd w:val="clear" w:color="auto" w:fill="E1DFDD"/>
    </w:rPr>
  </w:style>
  <w:style w:type="paragraph" w:styleId="BodyText">
    <w:name w:val="Body Text"/>
    <w:basedOn w:val="Normal"/>
    <w:link w:val="BodyTextChar"/>
    <w:uiPriority w:val="99"/>
    <w:semiHidden/>
    <w:unhideWhenUsed/>
    <w:rsid w:val="00165066"/>
    <w:pPr>
      <w:spacing w:after="120"/>
    </w:pPr>
  </w:style>
  <w:style w:type="character" w:customStyle="1" w:styleId="BodyTextChar">
    <w:name w:val="Body Text Char"/>
    <w:basedOn w:val="DefaultParagraphFont"/>
    <w:link w:val="BodyText"/>
    <w:uiPriority w:val="99"/>
    <w:semiHidden/>
    <w:rsid w:val="00165066"/>
    <w:rPr>
      <w:rFonts w:ascii="Book Antiqua" w:hAnsi="Book Antiqua"/>
      <w:sz w:val="26"/>
    </w:rPr>
  </w:style>
  <w:style w:type="paragraph" w:styleId="NormalWeb">
    <w:name w:val="Normal (Web)"/>
    <w:basedOn w:val="Normal"/>
    <w:uiPriority w:val="99"/>
    <w:unhideWhenUsed/>
    <w:rsid w:val="009844AD"/>
    <w:pPr>
      <w:spacing w:before="100" w:beforeAutospacing="1" w:after="100" w:afterAutospacing="1" w:line="240" w:lineRule="auto"/>
      <w:ind w:firstLine="0"/>
    </w:pPr>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8D4D85"/>
    <w:pPr>
      <w:spacing w:line="240" w:lineRule="auto"/>
      <w:ind w:firstLine="0"/>
    </w:pPr>
    <w:rPr>
      <w:rFonts w:ascii="Calibri" w:hAnsi="Calibri"/>
      <w:sz w:val="22"/>
      <w:szCs w:val="21"/>
    </w:rPr>
  </w:style>
  <w:style w:type="character" w:customStyle="1" w:styleId="PlainTextChar">
    <w:name w:val="Plain Text Char"/>
    <w:basedOn w:val="DefaultParagraphFont"/>
    <w:link w:val="PlainText"/>
    <w:uiPriority w:val="99"/>
    <w:semiHidden/>
    <w:rsid w:val="008D4D85"/>
    <w:rPr>
      <w:rFonts w:ascii="Calibri" w:hAnsi="Calibri"/>
      <w:szCs w:val="21"/>
    </w:rPr>
  </w:style>
  <w:style w:type="paragraph" w:styleId="Revision">
    <w:name w:val="Revision"/>
    <w:hidden/>
    <w:uiPriority w:val="99"/>
    <w:semiHidden/>
    <w:rsid w:val="006F5647"/>
    <w:pPr>
      <w:spacing w:after="0" w:line="240" w:lineRule="auto"/>
    </w:pPr>
    <w:rPr>
      <w:rFonts w:ascii="Book Antiqua" w:hAnsi="Book Antiqua"/>
      <w:sz w:val="26"/>
    </w:rPr>
  </w:style>
  <w:style w:type="character" w:styleId="CommentReference">
    <w:name w:val="annotation reference"/>
    <w:basedOn w:val="DefaultParagraphFont"/>
    <w:uiPriority w:val="99"/>
    <w:semiHidden/>
    <w:unhideWhenUsed/>
    <w:rsid w:val="007A07E0"/>
    <w:rPr>
      <w:sz w:val="16"/>
      <w:szCs w:val="16"/>
    </w:rPr>
  </w:style>
  <w:style w:type="paragraph" w:styleId="CommentText">
    <w:name w:val="annotation text"/>
    <w:basedOn w:val="Normal"/>
    <w:link w:val="CommentTextChar"/>
    <w:uiPriority w:val="99"/>
    <w:unhideWhenUsed/>
    <w:rsid w:val="007A07E0"/>
    <w:pPr>
      <w:spacing w:line="240" w:lineRule="auto"/>
    </w:pPr>
    <w:rPr>
      <w:sz w:val="20"/>
      <w:szCs w:val="20"/>
    </w:rPr>
  </w:style>
  <w:style w:type="character" w:customStyle="1" w:styleId="CommentTextChar">
    <w:name w:val="Comment Text Char"/>
    <w:basedOn w:val="DefaultParagraphFont"/>
    <w:link w:val="CommentText"/>
    <w:uiPriority w:val="99"/>
    <w:rsid w:val="007A07E0"/>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7A07E0"/>
    <w:rPr>
      <w:b/>
      <w:bCs/>
    </w:rPr>
  </w:style>
  <w:style w:type="character" w:customStyle="1" w:styleId="CommentSubjectChar">
    <w:name w:val="Comment Subject Char"/>
    <w:basedOn w:val="CommentTextChar"/>
    <w:link w:val="CommentSubject"/>
    <w:uiPriority w:val="99"/>
    <w:semiHidden/>
    <w:rsid w:val="007A07E0"/>
    <w:rPr>
      <w:rFonts w:ascii="Book Antiqua" w:hAnsi="Book Antiqua"/>
      <w:b/>
      <w:bCs/>
      <w:sz w:val="20"/>
      <w:szCs w:val="20"/>
    </w:rPr>
  </w:style>
  <w:style w:type="character" w:customStyle="1" w:styleId="UnresolvedMention2">
    <w:name w:val="Unresolved Mention2"/>
    <w:basedOn w:val="DefaultParagraphFont"/>
    <w:uiPriority w:val="99"/>
    <w:semiHidden/>
    <w:unhideWhenUsed/>
    <w:rsid w:val="006820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8996">
      <w:bodyDiv w:val="1"/>
      <w:marLeft w:val="0"/>
      <w:marRight w:val="0"/>
      <w:marTop w:val="0"/>
      <w:marBottom w:val="0"/>
      <w:divBdr>
        <w:top w:val="none" w:sz="0" w:space="0" w:color="auto"/>
        <w:left w:val="none" w:sz="0" w:space="0" w:color="auto"/>
        <w:bottom w:val="none" w:sz="0" w:space="0" w:color="auto"/>
        <w:right w:val="none" w:sz="0" w:space="0" w:color="auto"/>
      </w:divBdr>
    </w:div>
    <w:div w:id="159581961">
      <w:bodyDiv w:val="1"/>
      <w:marLeft w:val="0"/>
      <w:marRight w:val="0"/>
      <w:marTop w:val="0"/>
      <w:marBottom w:val="0"/>
      <w:divBdr>
        <w:top w:val="none" w:sz="0" w:space="0" w:color="auto"/>
        <w:left w:val="none" w:sz="0" w:space="0" w:color="auto"/>
        <w:bottom w:val="none" w:sz="0" w:space="0" w:color="auto"/>
        <w:right w:val="none" w:sz="0" w:space="0" w:color="auto"/>
      </w:divBdr>
    </w:div>
    <w:div w:id="217908384">
      <w:bodyDiv w:val="1"/>
      <w:marLeft w:val="0"/>
      <w:marRight w:val="0"/>
      <w:marTop w:val="0"/>
      <w:marBottom w:val="0"/>
      <w:divBdr>
        <w:top w:val="none" w:sz="0" w:space="0" w:color="auto"/>
        <w:left w:val="none" w:sz="0" w:space="0" w:color="auto"/>
        <w:bottom w:val="none" w:sz="0" w:space="0" w:color="auto"/>
        <w:right w:val="none" w:sz="0" w:space="0" w:color="auto"/>
      </w:divBdr>
    </w:div>
    <w:div w:id="220016896">
      <w:bodyDiv w:val="1"/>
      <w:marLeft w:val="0"/>
      <w:marRight w:val="0"/>
      <w:marTop w:val="0"/>
      <w:marBottom w:val="0"/>
      <w:divBdr>
        <w:top w:val="none" w:sz="0" w:space="0" w:color="auto"/>
        <w:left w:val="none" w:sz="0" w:space="0" w:color="auto"/>
        <w:bottom w:val="none" w:sz="0" w:space="0" w:color="auto"/>
        <w:right w:val="none" w:sz="0" w:space="0" w:color="auto"/>
      </w:divBdr>
    </w:div>
    <w:div w:id="264654188">
      <w:bodyDiv w:val="1"/>
      <w:marLeft w:val="0"/>
      <w:marRight w:val="0"/>
      <w:marTop w:val="0"/>
      <w:marBottom w:val="0"/>
      <w:divBdr>
        <w:top w:val="none" w:sz="0" w:space="0" w:color="auto"/>
        <w:left w:val="none" w:sz="0" w:space="0" w:color="auto"/>
        <w:bottom w:val="none" w:sz="0" w:space="0" w:color="auto"/>
        <w:right w:val="none" w:sz="0" w:space="0" w:color="auto"/>
      </w:divBdr>
    </w:div>
    <w:div w:id="367141094">
      <w:bodyDiv w:val="1"/>
      <w:marLeft w:val="0"/>
      <w:marRight w:val="0"/>
      <w:marTop w:val="0"/>
      <w:marBottom w:val="0"/>
      <w:divBdr>
        <w:top w:val="none" w:sz="0" w:space="0" w:color="auto"/>
        <w:left w:val="none" w:sz="0" w:space="0" w:color="auto"/>
        <w:bottom w:val="none" w:sz="0" w:space="0" w:color="auto"/>
        <w:right w:val="none" w:sz="0" w:space="0" w:color="auto"/>
      </w:divBdr>
    </w:div>
    <w:div w:id="436172269">
      <w:bodyDiv w:val="1"/>
      <w:marLeft w:val="0"/>
      <w:marRight w:val="0"/>
      <w:marTop w:val="0"/>
      <w:marBottom w:val="0"/>
      <w:divBdr>
        <w:top w:val="none" w:sz="0" w:space="0" w:color="auto"/>
        <w:left w:val="none" w:sz="0" w:space="0" w:color="auto"/>
        <w:bottom w:val="none" w:sz="0" w:space="0" w:color="auto"/>
        <w:right w:val="none" w:sz="0" w:space="0" w:color="auto"/>
      </w:divBdr>
    </w:div>
    <w:div w:id="538009483">
      <w:bodyDiv w:val="1"/>
      <w:marLeft w:val="0"/>
      <w:marRight w:val="0"/>
      <w:marTop w:val="0"/>
      <w:marBottom w:val="0"/>
      <w:divBdr>
        <w:top w:val="none" w:sz="0" w:space="0" w:color="auto"/>
        <w:left w:val="none" w:sz="0" w:space="0" w:color="auto"/>
        <w:bottom w:val="none" w:sz="0" w:space="0" w:color="auto"/>
        <w:right w:val="none" w:sz="0" w:space="0" w:color="auto"/>
      </w:divBdr>
    </w:div>
    <w:div w:id="700209206">
      <w:bodyDiv w:val="1"/>
      <w:marLeft w:val="0"/>
      <w:marRight w:val="0"/>
      <w:marTop w:val="0"/>
      <w:marBottom w:val="0"/>
      <w:divBdr>
        <w:top w:val="none" w:sz="0" w:space="0" w:color="auto"/>
        <w:left w:val="none" w:sz="0" w:space="0" w:color="auto"/>
        <w:bottom w:val="none" w:sz="0" w:space="0" w:color="auto"/>
        <w:right w:val="none" w:sz="0" w:space="0" w:color="auto"/>
      </w:divBdr>
    </w:div>
    <w:div w:id="751204010">
      <w:bodyDiv w:val="1"/>
      <w:marLeft w:val="0"/>
      <w:marRight w:val="0"/>
      <w:marTop w:val="0"/>
      <w:marBottom w:val="0"/>
      <w:divBdr>
        <w:top w:val="none" w:sz="0" w:space="0" w:color="auto"/>
        <w:left w:val="none" w:sz="0" w:space="0" w:color="auto"/>
        <w:bottom w:val="none" w:sz="0" w:space="0" w:color="auto"/>
        <w:right w:val="none" w:sz="0" w:space="0" w:color="auto"/>
      </w:divBdr>
    </w:div>
    <w:div w:id="767847187">
      <w:bodyDiv w:val="1"/>
      <w:marLeft w:val="0"/>
      <w:marRight w:val="0"/>
      <w:marTop w:val="0"/>
      <w:marBottom w:val="0"/>
      <w:divBdr>
        <w:top w:val="none" w:sz="0" w:space="0" w:color="auto"/>
        <w:left w:val="none" w:sz="0" w:space="0" w:color="auto"/>
        <w:bottom w:val="none" w:sz="0" w:space="0" w:color="auto"/>
        <w:right w:val="none" w:sz="0" w:space="0" w:color="auto"/>
      </w:divBdr>
    </w:div>
    <w:div w:id="837618853">
      <w:bodyDiv w:val="1"/>
      <w:marLeft w:val="0"/>
      <w:marRight w:val="0"/>
      <w:marTop w:val="0"/>
      <w:marBottom w:val="0"/>
      <w:divBdr>
        <w:top w:val="none" w:sz="0" w:space="0" w:color="auto"/>
        <w:left w:val="none" w:sz="0" w:space="0" w:color="auto"/>
        <w:bottom w:val="none" w:sz="0" w:space="0" w:color="auto"/>
        <w:right w:val="none" w:sz="0" w:space="0" w:color="auto"/>
      </w:divBdr>
    </w:div>
    <w:div w:id="862598747">
      <w:bodyDiv w:val="1"/>
      <w:marLeft w:val="0"/>
      <w:marRight w:val="0"/>
      <w:marTop w:val="0"/>
      <w:marBottom w:val="0"/>
      <w:divBdr>
        <w:top w:val="none" w:sz="0" w:space="0" w:color="auto"/>
        <w:left w:val="none" w:sz="0" w:space="0" w:color="auto"/>
        <w:bottom w:val="none" w:sz="0" w:space="0" w:color="auto"/>
        <w:right w:val="none" w:sz="0" w:space="0" w:color="auto"/>
      </w:divBdr>
    </w:div>
    <w:div w:id="989943547">
      <w:bodyDiv w:val="1"/>
      <w:marLeft w:val="0"/>
      <w:marRight w:val="0"/>
      <w:marTop w:val="0"/>
      <w:marBottom w:val="0"/>
      <w:divBdr>
        <w:top w:val="none" w:sz="0" w:space="0" w:color="auto"/>
        <w:left w:val="none" w:sz="0" w:space="0" w:color="auto"/>
        <w:bottom w:val="none" w:sz="0" w:space="0" w:color="auto"/>
        <w:right w:val="none" w:sz="0" w:space="0" w:color="auto"/>
      </w:divBdr>
    </w:div>
    <w:div w:id="990905387">
      <w:bodyDiv w:val="1"/>
      <w:marLeft w:val="0"/>
      <w:marRight w:val="0"/>
      <w:marTop w:val="0"/>
      <w:marBottom w:val="0"/>
      <w:divBdr>
        <w:top w:val="none" w:sz="0" w:space="0" w:color="auto"/>
        <w:left w:val="none" w:sz="0" w:space="0" w:color="auto"/>
        <w:bottom w:val="none" w:sz="0" w:space="0" w:color="auto"/>
        <w:right w:val="none" w:sz="0" w:space="0" w:color="auto"/>
      </w:divBdr>
      <w:divsChild>
        <w:div w:id="348063063">
          <w:marLeft w:val="0"/>
          <w:marRight w:val="0"/>
          <w:marTop w:val="0"/>
          <w:marBottom w:val="0"/>
          <w:divBdr>
            <w:top w:val="none" w:sz="0" w:space="0" w:color="auto"/>
            <w:left w:val="none" w:sz="0" w:space="0" w:color="auto"/>
            <w:bottom w:val="none" w:sz="0" w:space="0" w:color="auto"/>
            <w:right w:val="none" w:sz="0" w:space="0" w:color="auto"/>
          </w:divBdr>
        </w:div>
        <w:div w:id="1568421660">
          <w:marLeft w:val="0"/>
          <w:marRight w:val="0"/>
          <w:marTop w:val="0"/>
          <w:marBottom w:val="0"/>
          <w:divBdr>
            <w:top w:val="none" w:sz="0" w:space="0" w:color="auto"/>
            <w:left w:val="none" w:sz="0" w:space="0" w:color="auto"/>
            <w:bottom w:val="none" w:sz="0" w:space="0" w:color="auto"/>
            <w:right w:val="none" w:sz="0" w:space="0" w:color="auto"/>
          </w:divBdr>
        </w:div>
      </w:divsChild>
    </w:div>
    <w:div w:id="997655496">
      <w:bodyDiv w:val="1"/>
      <w:marLeft w:val="0"/>
      <w:marRight w:val="0"/>
      <w:marTop w:val="0"/>
      <w:marBottom w:val="0"/>
      <w:divBdr>
        <w:top w:val="none" w:sz="0" w:space="0" w:color="auto"/>
        <w:left w:val="none" w:sz="0" w:space="0" w:color="auto"/>
        <w:bottom w:val="none" w:sz="0" w:space="0" w:color="auto"/>
        <w:right w:val="none" w:sz="0" w:space="0" w:color="auto"/>
      </w:divBdr>
    </w:div>
    <w:div w:id="1004163447">
      <w:bodyDiv w:val="1"/>
      <w:marLeft w:val="0"/>
      <w:marRight w:val="0"/>
      <w:marTop w:val="0"/>
      <w:marBottom w:val="0"/>
      <w:divBdr>
        <w:top w:val="none" w:sz="0" w:space="0" w:color="auto"/>
        <w:left w:val="none" w:sz="0" w:space="0" w:color="auto"/>
        <w:bottom w:val="none" w:sz="0" w:space="0" w:color="auto"/>
        <w:right w:val="none" w:sz="0" w:space="0" w:color="auto"/>
      </w:divBdr>
    </w:div>
    <w:div w:id="1012990946">
      <w:bodyDiv w:val="1"/>
      <w:marLeft w:val="0"/>
      <w:marRight w:val="0"/>
      <w:marTop w:val="0"/>
      <w:marBottom w:val="0"/>
      <w:divBdr>
        <w:top w:val="none" w:sz="0" w:space="0" w:color="auto"/>
        <w:left w:val="none" w:sz="0" w:space="0" w:color="auto"/>
        <w:bottom w:val="none" w:sz="0" w:space="0" w:color="auto"/>
        <w:right w:val="none" w:sz="0" w:space="0" w:color="auto"/>
      </w:divBdr>
      <w:divsChild>
        <w:div w:id="2001039950">
          <w:marLeft w:val="0"/>
          <w:marRight w:val="0"/>
          <w:marTop w:val="0"/>
          <w:marBottom w:val="0"/>
          <w:divBdr>
            <w:top w:val="none" w:sz="0" w:space="0" w:color="auto"/>
            <w:left w:val="none" w:sz="0" w:space="0" w:color="auto"/>
            <w:bottom w:val="none" w:sz="0" w:space="0" w:color="auto"/>
            <w:right w:val="none" w:sz="0" w:space="0" w:color="auto"/>
          </w:divBdr>
        </w:div>
        <w:div w:id="1327056575">
          <w:marLeft w:val="0"/>
          <w:marRight w:val="0"/>
          <w:marTop w:val="0"/>
          <w:marBottom w:val="0"/>
          <w:divBdr>
            <w:top w:val="none" w:sz="0" w:space="0" w:color="auto"/>
            <w:left w:val="none" w:sz="0" w:space="0" w:color="auto"/>
            <w:bottom w:val="none" w:sz="0" w:space="0" w:color="auto"/>
            <w:right w:val="none" w:sz="0" w:space="0" w:color="auto"/>
          </w:divBdr>
        </w:div>
      </w:divsChild>
    </w:div>
    <w:div w:id="1018509462">
      <w:bodyDiv w:val="1"/>
      <w:marLeft w:val="0"/>
      <w:marRight w:val="0"/>
      <w:marTop w:val="0"/>
      <w:marBottom w:val="0"/>
      <w:divBdr>
        <w:top w:val="none" w:sz="0" w:space="0" w:color="auto"/>
        <w:left w:val="none" w:sz="0" w:space="0" w:color="auto"/>
        <w:bottom w:val="none" w:sz="0" w:space="0" w:color="auto"/>
        <w:right w:val="none" w:sz="0" w:space="0" w:color="auto"/>
      </w:divBdr>
    </w:div>
    <w:div w:id="1068727639">
      <w:bodyDiv w:val="1"/>
      <w:marLeft w:val="0"/>
      <w:marRight w:val="0"/>
      <w:marTop w:val="0"/>
      <w:marBottom w:val="0"/>
      <w:divBdr>
        <w:top w:val="none" w:sz="0" w:space="0" w:color="auto"/>
        <w:left w:val="none" w:sz="0" w:space="0" w:color="auto"/>
        <w:bottom w:val="none" w:sz="0" w:space="0" w:color="auto"/>
        <w:right w:val="none" w:sz="0" w:space="0" w:color="auto"/>
      </w:divBdr>
      <w:divsChild>
        <w:div w:id="9718463">
          <w:marLeft w:val="150"/>
          <w:marRight w:val="150"/>
          <w:marTop w:val="150"/>
          <w:marBottom w:val="150"/>
          <w:divBdr>
            <w:top w:val="none" w:sz="0" w:space="0" w:color="auto"/>
            <w:left w:val="none" w:sz="0" w:space="0" w:color="auto"/>
            <w:bottom w:val="none" w:sz="0" w:space="0" w:color="auto"/>
            <w:right w:val="none" w:sz="0" w:space="0" w:color="auto"/>
          </w:divBdr>
        </w:div>
        <w:div w:id="530607702">
          <w:marLeft w:val="150"/>
          <w:marRight w:val="150"/>
          <w:marTop w:val="150"/>
          <w:marBottom w:val="150"/>
          <w:divBdr>
            <w:top w:val="none" w:sz="0" w:space="0" w:color="auto"/>
            <w:left w:val="none" w:sz="0" w:space="0" w:color="auto"/>
            <w:bottom w:val="none" w:sz="0" w:space="0" w:color="auto"/>
            <w:right w:val="none" w:sz="0" w:space="0" w:color="auto"/>
          </w:divBdr>
        </w:div>
        <w:div w:id="204830046">
          <w:marLeft w:val="150"/>
          <w:marRight w:val="150"/>
          <w:marTop w:val="150"/>
          <w:marBottom w:val="150"/>
          <w:divBdr>
            <w:top w:val="none" w:sz="0" w:space="0" w:color="auto"/>
            <w:left w:val="none" w:sz="0" w:space="0" w:color="auto"/>
            <w:bottom w:val="none" w:sz="0" w:space="0" w:color="auto"/>
            <w:right w:val="none" w:sz="0" w:space="0" w:color="auto"/>
          </w:divBdr>
        </w:div>
        <w:div w:id="830680258">
          <w:marLeft w:val="150"/>
          <w:marRight w:val="150"/>
          <w:marTop w:val="150"/>
          <w:marBottom w:val="150"/>
          <w:divBdr>
            <w:top w:val="none" w:sz="0" w:space="0" w:color="auto"/>
            <w:left w:val="none" w:sz="0" w:space="0" w:color="auto"/>
            <w:bottom w:val="none" w:sz="0" w:space="0" w:color="auto"/>
            <w:right w:val="none" w:sz="0" w:space="0" w:color="auto"/>
          </w:divBdr>
        </w:div>
        <w:div w:id="332296175">
          <w:marLeft w:val="150"/>
          <w:marRight w:val="150"/>
          <w:marTop w:val="150"/>
          <w:marBottom w:val="150"/>
          <w:divBdr>
            <w:top w:val="none" w:sz="0" w:space="0" w:color="auto"/>
            <w:left w:val="none" w:sz="0" w:space="0" w:color="auto"/>
            <w:bottom w:val="none" w:sz="0" w:space="0" w:color="auto"/>
            <w:right w:val="none" w:sz="0" w:space="0" w:color="auto"/>
          </w:divBdr>
        </w:div>
        <w:div w:id="1261329536">
          <w:marLeft w:val="150"/>
          <w:marRight w:val="150"/>
          <w:marTop w:val="150"/>
          <w:marBottom w:val="150"/>
          <w:divBdr>
            <w:top w:val="none" w:sz="0" w:space="0" w:color="auto"/>
            <w:left w:val="none" w:sz="0" w:space="0" w:color="auto"/>
            <w:bottom w:val="none" w:sz="0" w:space="0" w:color="auto"/>
            <w:right w:val="none" w:sz="0" w:space="0" w:color="auto"/>
          </w:divBdr>
        </w:div>
      </w:divsChild>
    </w:div>
    <w:div w:id="1079137327">
      <w:bodyDiv w:val="1"/>
      <w:marLeft w:val="0"/>
      <w:marRight w:val="0"/>
      <w:marTop w:val="0"/>
      <w:marBottom w:val="0"/>
      <w:divBdr>
        <w:top w:val="none" w:sz="0" w:space="0" w:color="auto"/>
        <w:left w:val="none" w:sz="0" w:space="0" w:color="auto"/>
        <w:bottom w:val="none" w:sz="0" w:space="0" w:color="auto"/>
        <w:right w:val="none" w:sz="0" w:space="0" w:color="auto"/>
      </w:divBdr>
      <w:divsChild>
        <w:div w:id="1833252140">
          <w:marLeft w:val="0"/>
          <w:marRight w:val="0"/>
          <w:marTop w:val="0"/>
          <w:marBottom w:val="0"/>
          <w:divBdr>
            <w:top w:val="none" w:sz="0" w:space="0" w:color="auto"/>
            <w:left w:val="none" w:sz="0" w:space="0" w:color="auto"/>
            <w:bottom w:val="none" w:sz="0" w:space="0" w:color="auto"/>
            <w:right w:val="none" w:sz="0" w:space="0" w:color="auto"/>
          </w:divBdr>
        </w:div>
        <w:div w:id="1663041918">
          <w:marLeft w:val="0"/>
          <w:marRight w:val="0"/>
          <w:marTop w:val="0"/>
          <w:marBottom w:val="0"/>
          <w:divBdr>
            <w:top w:val="none" w:sz="0" w:space="0" w:color="auto"/>
            <w:left w:val="none" w:sz="0" w:space="0" w:color="auto"/>
            <w:bottom w:val="none" w:sz="0" w:space="0" w:color="auto"/>
            <w:right w:val="none" w:sz="0" w:space="0" w:color="auto"/>
          </w:divBdr>
        </w:div>
      </w:divsChild>
    </w:div>
    <w:div w:id="1084495626">
      <w:bodyDiv w:val="1"/>
      <w:marLeft w:val="0"/>
      <w:marRight w:val="0"/>
      <w:marTop w:val="0"/>
      <w:marBottom w:val="0"/>
      <w:divBdr>
        <w:top w:val="none" w:sz="0" w:space="0" w:color="auto"/>
        <w:left w:val="none" w:sz="0" w:space="0" w:color="auto"/>
        <w:bottom w:val="none" w:sz="0" w:space="0" w:color="auto"/>
        <w:right w:val="none" w:sz="0" w:space="0" w:color="auto"/>
      </w:divBdr>
      <w:divsChild>
        <w:div w:id="849568956">
          <w:marLeft w:val="0"/>
          <w:marRight w:val="0"/>
          <w:marTop w:val="0"/>
          <w:marBottom w:val="0"/>
          <w:divBdr>
            <w:top w:val="none" w:sz="0" w:space="0" w:color="auto"/>
            <w:left w:val="none" w:sz="0" w:space="0" w:color="auto"/>
            <w:bottom w:val="none" w:sz="0" w:space="0" w:color="auto"/>
            <w:right w:val="none" w:sz="0" w:space="0" w:color="auto"/>
          </w:divBdr>
        </w:div>
        <w:div w:id="545871556">
          <w:marLeft w:val="0"/>
          <w:marRight w:val="0"/>
          <w:marTop w:val="0"/>
          <w:marBottom w:val="0"/>
          <w:divBdr>
            <w:top w:val="none" w:sz="0" w:space="0" w:color="auto"/>
            <w:left w:val="none" w:sz="0" w:space="0" w:color="auto"/>
            <w:bottom w:val="none" w:sz="0" w:space="0" w:color="auto"/>
            <w:right w:val="none" w:sz="0" w:space="0" w:color="auto"/>
          </w:divBdr>
        </w:div>
      </w:divsChild>
    </w:div>
    <w:div w:id="1100561291">
      <w:bodyDiv w:val="1"/>
      <w:marLeft w:val="0"/>
      <w:marRight w:val="0"/>
      <w:marTop w:val="0"/>
      <w:marBottom w:val="0"/>
      <w:divBdr>
        <w:top w:val="none" w:sz="0" w:space="0" w:color="auto"/>
        <w:left w:val="none" w:sz="0" w:space="0" w:color="auto"/>
        <w:bottom w:val="none" w:sz="0" w:space="0" w:color="auto"/>
        <w:right w:val="none" w:sz="0" w:space="0" w:color="auto"/>
      </w:divBdr>
    </w:div>
    <w:div w:id="1206405080">
      <w:bodyDiv w:val="1"/>
      <w:marLeft w:val="0"/>
      <w:marRight w:val="0"/>
      <w:marTop w:val="0"/>
      <w:marBottom w:val="0"/>
      <w:divBdr>
        <w:top w:val="none" w:sz="0" w:space="0" w:color="auto"/>
        <w:left w:val="none" w:sz="0" w:space="0" w:color="auto"/>
        <w:bottom w:val="none" w:sz="0" w:space="0" w:color="auto"/>
        <w:right w:val="none" w:sz="0" w:space="0" w:color="auto"/>
      </w:divBdr>
    </w:div>
    <w:div w:id="1238320205">
      <w:bodyDiv w:val="1"/>
      <w:marLeft w:val="0"/>
      <w:marRight w:val="0"/>
      <w:marTop w:val="0"/>
      <w:marBottom w:val="0"/>
      <w:divBdr>
        <w:top w:val="none" w:sz="0" w:space="0" w:color="auto"/>
        <w:left w:val="none" w:sz="0" w:space="0" w:color="auto"/>
        <w:bottom w:val="none" w:sz="0" w:space="0" w:color="auto"/>
        <w:right w:val="none" w:sz="0" w:space="0" w:color="auto"/>
      </w:divBdr>
    </w:div>
    <w:div w:id="1282227601">
      <w:bodyDiv w:val="1"/>
      <w:marLeft w:val="0"/>
      <w:marRight w:val="0"/>
      <w:marTop w:val="0"/>
      <w:marBottom w:val="0"/>
      <w:divBdr>
        <w:top w:val="none" w:sz="0" w:space="0" w:color="auto"/>
        <w:left w:val="none" w:sz="0" w:space="0" w:color="auto"/>
        <w:bottom w:val="none" w:sz="0" w:space="0" w:color="auto"/>
        <w:right w:val="none" w:sz="0" w:space="0" w:color="auto"/>
      </w:divBdr>
    </w:div>
    <w:div w:id="1297561146">
      <w:bodyDiv w:val="1"/>
      <w:marLeft w:val="0"/>
      <w:marRight w:val="0"/>
      <w:marTop w:val="0"/>
      <w:marBottom w:val="0"/>
      <w:divBdr>
        <w:top w:val="none" w:sz="0" w:space="0" w:color="auto"/>
        <w:left w:val="none" w:sz="0" w:space="0" w:color="auto"/>
        <w:bottom w:val="none" w:sz="0" w:space="0" w:color="auto"/>
        <w:right w:val="none" w:sz="0" w:space="0" w:color="auto"/>
      </w:divBdr>
    </w:div>
    <w:div w:id="1305354850">
      <w:bodyDiv w:val="1"/>
      <w:marLeft w:val="0"/>
      <w:marRight w:val="0"/>
      <w:marTop w:val="0"/>
      <w:marBottom w:val="0"/>
      <w:divBdr>
        <w:top w:val="none" w:sz="0" w:space="0" w:color="auto"/>
        <w:left w:val="none" w:sz="0" w:space="0" w:color="auto"/>
        <w:bottom w:val="none" w:sz="0" w:space="0" w:color="auto"/>
        <w:right w:val="none" w:sz="0" w:space="0" w:color="auto"/>
      </w:divBdr>
    </w:div>
    <w:div w:id="1401438900">
      <w:bodyDiv w:val="1"/>
      <w:marLeft w:val="0"/>
      <w:marRight w:val="0"/>
      <w:marTop w:val="0"/>
      <w:marBottom w:val="0"/>
      <w:divBdr>
        <w:top w:val="none" w:sz="0" w:space="0" w:color="auto"/>
        <w:left w:val="none" w:sz="0" w:space="0" w:color="auto"/>
        <w:bottom w:val="none" w:sz="0" w:space="0" w:color="auto"/>
        <w:right w:val="none" w:sz="0" w:space="0" w:color="auto"/>
      </w:divBdr>
      <w:divsChild>
        <w:div w:id="1599828483">
          <w:marLeft w:val="150"/>
          <w:marRight w:val="150"/>
          <w:marTop w:val="150"/>
          <w:marBottom w:val="150"/>
          <w:divBdr>
            <w:top w:val="none" w:sz="0" w:space="0" w:color="auto"/>
            <w:left w:val="none" w:sz="0" w:space="0" w:color="auto"/>
            <w:bottom w:val="none" w:sz="0" w:space="0" w:color="auto"/>
            <w:right w:val="none" w:sz="0" w:space="0" w:color="auto"/>
          </w:divBdr>
        </w:div>
        <w:div w:id="91901286">
          <w:marLeft w:val="150"/>
          <w:marRight w:val="150"/>
          <w:marTop w:val="150"/>
          <w:marBottom w:val="150"/>
          <w:divBdr>
            <w:top w:val="none" w:sz="0" w:space="0" w:color="auto"/>
            <w:left w:val="none" w:sz="0" w:space="0" w:color="auto"/>
            <w:bottom w:val="none" w:sz="0" w:space="0" w:color="auto"/>
            <w:right w:val="none" w:sz="0" w:space="0" w:color="auto"/>
          </w:divBdr>
        </w:div>
        <w:div w:id="1844587978">
          <w:marLeft w:val="150"/>
          <w:marRight w:val="150"/>
          <w:marTop w:val="150"/>
          <w:marBottom w:val="150"/>
          <w:divBdr>
            <w:top w:val="none" w:sz="0" w:space="0" w:color="auto"/>
            <w:left w:val="none" w:sz="0" w:space="0" w:color="auto"/>
            <w:bottom w:val="none" w:sz="0" w:space="0" w:color="auto"/>
            <w:right w:val="none" w:sz="0" w:space="0" w:color="auto"/>
          </w:divBdr>
        </w:div>
        <w:div w:id="996032096">
          <w:marLeft w:val="150"/>
          <w:marRight w:val="150"/>
          <w:marTop w:val="150"/>
          <w:marBottom w:val="150"/>
          <w:divBdr>
            <w:top w:val="none" w:sz="0" w:space="0" w:color="auto"/>
            <w:left w:val="none" w:sz="0" w:space="0" w:color="auto"/>
            <w:bottom w:val="none" w:sz="0" w:space="0" w:color="auto"/>
            <w:right w:val="none" w:sz="0" w:space="0" w:color="auto"/>
          </w:divBdr>
        </w:div>
        <w:div w:id="154347651">
          <w:marLeft w:val="150"/>
          <w:marRight w:val="150"/>
          <w:marTop w:val="150"/>
          <w:marBottom w:val="150"/>
          <w:divBdr>
            <w:top w:val="none" w:sz="0" w:space="0" w:color="auto"/>
            <w:left w:val="none" w:sz="0" w:space="0" w:color="auto"/>
            <w:bottom w:val="none" w:sz="0" w:space="0" w:color="auto"/>
            <w:right w:val="none" w:sz="0" w:space="0" w:color="auto"/>
          </w:divBdr>
        </w:div>
        <w:div w:id="1088845828">
          <w:marLeft w:val="150"/>
          <w:marRight w:val="150"/>
          <w:marTop w:val="150"/>
          <w:marBottom w:val="150"/>
          <w:divBdr>
            <w:top w:val="none" w:sz="0" w:space="0" w:color="auto"/>
            <w:left w:val="none" w:sz="0" w:space="0" w:color="auto"/>
            <w:bottom w:val="none" w:sz="0" w:space="0" w:color="auto"/>
            <w:right w:val="none" w:sz="0" w:space="0" w:color="auto"/>
          </w:divBdr>
        </w:div>
      </w:divsChild>
    </w:div>
    <w:div w:id="1414232124">
      <w:bodyDiv w:val="1"/>
      <w:marLeft w:val="0"/>
      <w:marRight w:val="0"/>
      <w:marTop w:val="0"/>
      <w:marBottom w:val="0"/>
      <w:divBdr>
        <w:top w:val="none" w:sz="0" w:space="0" w:color="auto"/>
        <w:left w:val="none" w:sz="0" w:space="0" w:color="auto"/>
        <w:bottom w:val="none" w:sz="0" w:space="0" w:color="auto"/>
        <w:right w:val="none" w:sz="0" w:space="0" w:color="auto"/>
      </w:divBdr>
    </w:div>
    <w:div w:id="1479570387">
      <w:bodyDiv w:val="1"/>
      <w:marLeft w:val="0"/>
      <w:marRight w:val="0"/>
      <w:marTop w:val="0"/>
      <w:marBottom w:val="0"/>
      <w:divBdr>
        <w:top w:val="none" w:sz="0" w:space="0" w:color="auto"/>
        <w:left w:val="none" w:sz="0" w:space="0" w:color="auto"/>
        <w:bottom w:val="none" w:sz="0" w:space="0" w:color="auto"/>
        <w:right w:val="none" w:sz="0" w:space="0" w:color="auto"/>
      </w:divBdr>
    </w:div>
    <w:div w:id="1620836790">
      <w:bodyDiv w:val="1"/>
      <w:marLeft w:val="0"/>
      <w:marRight w:val="0"/>
      <w:marTop w:val="0"/>
      <w:marBottom w:val="0"/>
      <w:divBdr>
        <w:top w:val="none" w:sz="0" w:space="0" w:color="auto"/>
        <w:left w:val="none" w:sz="0" w:space="0" w:color="auto"/>
        <w:bottom w:val="none" w:sz="0" w:space="0" w:color="auto"/>
        <w:right w:val="none" w:sz="0" w:space="0" w:color="auto"/>
      </w:divBdr>
    </w:div>
    <w:div w:id="1779179387">
      <w:bodyDiv w:val="1"/>
      <w:marLeft w:val="0"/>
      <w:marRight w:val="0"/>
      <w:marTop w:val="0"/>
      <w:marBottom w:val="0"/>
      <w:divBdr>
        <w:top w:val="none" w:sz="0" w:space="0" w:color="auto"/>
        <w:left w:val="none" w:sz="0" w:space="0" w:color="auto"/>
        <w:bottom w:val="none" w:sz="0" w:space="0" w:color="auto"/>
        <w:right w:val="none" w:sz="0" w:space="0" w:color="auto"/>
      </w:divBdr>
    </w:div>
    <w:div w:id="1966347441">
      <w:bodyDiv w:val="1"/>
      <w:marLeft w:val="0"/>
      <w:marRight w:val="0"/>
      <w:marTop w:val="0"/>
      <w:marBottom w:val="0"/>
      <w:divBdr>
        <w:top w:val="none" w:sz="0" w:space="0" w:color="auto"/>
        <w:left w:val="none" w:sz="0" w:space="0" w:color="auto"/>
        <w:bottom w:val="none" w:sz="0" w:space="0" w:color="auto"/>
        <w:right w:val="none" w:sz="0" w:space="0" w:color="auto"/>
      </w:divBdr>
    </w:div>
    <w:div w:id="1993362081">
      <w:bodyDiv w:val="1"/>
      <w:marLeft w:val="0"/>
      <w:marRight w:val="0"/>
      <w:marTop w:val="0"/>
      <w:marBottom w:val="0"/>
      <w:divBdr>
        <w:top w:val="none" w:sz="0" w:space="0" w:color="auto"/>
        <w:left w:val="none" w:sz="0" w:space="0" w:color="auto"/>
        <w:bottom w:val="none" w:sz="0" w:space="0" w:color="auto"/>
        <w:right w:val="none" w:sz="0" w:space="0" w:color="auto"/>
      </w:divBdr>
    </w:div>
    <w:div w:id="2034727902">
      <w:bodyDiv w:val="1"/>
      <w:marLeft w:val="0"/>
      <w:marRight w:val="0"/>
      <w:marTop w:val="0"/>
      <w:marBottom w:val="0"/>
      <w:divBdr>
        <w:top w:val="none" w:sz="0" w:space="0" w:color="auto"/>
        <w:left w:val="none" w:sz="0" w:space="0" w:color="auto"/>
        <w:bottom w:val="none" w:sz="0" w:space="0" w:color="auto"/>
        <w:right w:val="none" w:sz="0" w:space="0" w:color="auto"/>
      </w:divBdr>
    </w:div>
    <w:div w:id="2120954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about:blank" TargetMode="External"/><Relationship Id="rId26" Type="http://schemas.openxmlformats.org/officeDocument/2006/relationships/hyperlink" Target="about:blank" TargetMode="External"/><Relationship Id="rId39" Type="http://schemas.openxmlformats.org/officeDocument/2006/relationships/hyperlink" Target="about:blank" TargetMode="External"/><Relationship Id="rId21" Type="http://schemas.openxmlformats.org/officeDocument/2006/relationships/hyperlink" Target="about:blank" TargetMode="External"/><Relationship Id="rId34" Type="http://schemas.openxmlformats.org/officeDocument/2006/relationships/hyperlink" Target="about:blank" TargetMode="External"/><Relationship Id="rId42"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hyperlink" Target="about:blank" TargetMode="External"/><Relationship Id="rId29" Type="http://schemas.openxmlformats.org/officeDocument/2006/relationships/hyperlink" Target="about:blank"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about:blank" TargetMode="External"/><Relationship Id="rId32" Type="http://schemas.openxmlformats.org/officeDocument/2006/relationships/hyperlink" Target="about:blank" TargetMode="External"/><Relationship Id="rId37" Type="http://schemas.openxmlformats.org/officeDocument/2006/relationships/hyperlink" Target="about:blank" TargetMode="External"/><Relationship Id="rId40" Type="http://schemas.openxmlformats.org/officeDocument/2006/relationships/hyperlink" Target="https://casetext.com/case/conseco-fin-serv-v-north-am-mortgage" TargetMode="External"/><Relationship Id="rId5" Type="http://schemas.openxmlformats.org/officeDocument/2006/relationships/numbering" Target="numbering.xml"/><Relationship Id="rId15" Type="http://schemas.openxmlformats.org/officeDocument/2006/relationships/hyperlink" Target="about:blank" TargetMode="External"/><Relationship Id="rId23" Type="http://schemas.openxmlformats.org/officeDocument/2006/relationships/hyperlink" Target="about:blank" TargetMode="External"/><Relationship Id="rId28" Type="http://schemas.openxmlformats.org/officeDocument/2006/relationships/hyperlink" Target="about:blank" TargetMode="External"/><Relationship Id="rId36" Type="http://schemas.openxmlformats.org/officeDocument/2006/relationships/hyperlink" Target="about:blank" TargetMode="External"/><Relationship Id="rId10" Type="http://schemas.openxmlformats.org/officeDocument/2006/relationships/endnotes" Target="endnotes.xml"/><Relationship Id="rId19" Type="http://schemas.openxmlformats.org/officeDocument/2006/relationships/hyperlink" Target="about:blank" TargetMode="External"/><Relationship Id="rId31" Type="http://schemas.openxmlformats.org/officeDocument/2006/relationships/hyperlink" Target="about:blank"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about:blank" TargetMode="External"/><Relationship Id="rId22" Type="http://schemas.openxmlformats.org/officeDocument/2006/relationships/hyperlink" Target="about:blank" TargetMode="External"/><Relationship Id="rId27" Type="http://schemas.openxmlformats.org/officeDocument/2006/relationships/hyperlink" Target="about:blank" TargetMode="External"/><Relationship Id="rId30" Type="http://schemas.openxmlformats.org/officeDocument/2006/relationships/hyperlink" Target="about:blank" TargetMode="External"/><Relationship Id="rId35" Type="http://schemas.openxmlformats.org/officeDocument/2006/relationships/hyperlink" Target="about:blank"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about:blank" TargetMode="External"/><Relationship Id="rId25" Type="http://schemas.openxmlformats.org/officeDocument/2006/relationships/hyperlink" Target="about:blank" TargetMode="External"/><Relationship Id="rId33" Type="http://schemas.openxmlformats.org/officeDocument/2006/relationships/hyperlink" Target="about:blank" TargetMode="External"/><Relationship Id="rId38" Type="http://schemas.openxmlformats.org/officeDocument/2006/relationships/hyperlink" Target="about:blank"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about:blank" TargetMode="External"/><Relationship Id="rId2" Type="http://schemas.openxmlformats.org/officeDocument/2006/relationships/hyperlink" Target="about:blank" TargetMode="External"/><Relationship Id="rId1" Type="http://schemas.openxmlformats.org/officeDocument/2006/relationships/hyperlink" Target="about:blank" TargetMode="External"/><Relationship Id="rId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C1B46132C3DB4EB8A2895A869445CE" ma:contentTypeVersion="14" ma:contentTypeDescription="Create a new document." ma:contentTypeScope="" ma:versionID="94f0ed152f405dd38f7c5f11a2579552">
  <xsd:schema xmlns:xsd="http://www.w3.org/2001/XMLSchema" xmlns:xs="http://www.w3.org/2001/XMLSchema" xmlns:p="http://schemas.microsoft.com/office/2006/metadata/properties" xmlns:ns2="7f5b6951-54ef-4081-aa35-6a1d703b40f5" xmlns:ns3="b3d48114-37c6-46ba-9f8b-b8b5733efe3f" targetNamespace="http://schemas.microsoft.com/office/2006/metadata/properties" ma:root="true" ma:fieldsID="0117ebf1540d26448bb7d9e86fa3a9af" ns2:_="" ns3:_="">
    <xsd:import namespace="7f5b6951-54ef-4081-aa35-6a1d703b40f5"/>
    <xsd:import namespace="b3d48114-37c6-46ba-9f8b-b8b5733efe3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Not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5b6951-54ef-4081-aa35-6a1d703b40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Notes" ma:index="20" nillable="true" ma:displayName="Notes" ma:format="Dropdown" ma:internalName="Notes">
      <xsd:simpleType>
        <xsd:restriction base="dms:Text">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3d48114-37c6-46ba-9f8b-b8b5733efe3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Notes xmlns="7f5b6951-54ef-4081-aa35-6a1d703b40f5" xsi:nil="true"/>
  </documentManagement>
</p:properties>
</file>

<file path=customXml/itemProps1.xml><?xml version="1.0" encoding="utf-8"?>
<ds:datastoreItem xmlns:ds="http://schemas.openxmlformats.org/officeDocument/2006/customXml" ds:itemID="{6EA6EDF1-7BA8-40C7-9757-5BA7F2623569}">
  <ds:schemaRefs>
    <ds:schemaRef ds:uri="http://schemas.microsoft.com/sharepoint/v3/contenttype/forms"/>
  </ds:schemaRefs>
</ds:datastoreItem>
</file>

<file path=customXml/itemProps2.xml><?xml version="1.0" encoding="utf-8"?>
<ds:datastoreItem xmlns:ds="http://schemas.openxmlformats.org/officeDocument/2006/customXml" ds:itemID="{33F052C1-A487-432D-9B30-58DEBFCC44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5b6951-54ef-4081-aa35-6a1d703b40f5"/>
    <ds:schemaRef ds:uri="b3d48114-37c6-46ba-9f8b-b8b5733efe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00CC0A-6529-47A7-A537-D2AABCE67F6C}">
  <ds:schemaRefs>
    <ds:schemaRef ds:uri="http://schemas.openxmlformats.org/officeDocument/2006/bibliography"/>
  </ds:schemaRefs>
</ds:datastoreItem>
</file>

<file path=customXml/itemProps4.xml><?xml version="1.0" encoding="utf-8"?>
<ds:datastoreItem xmlns:ds="http://schemas.openxmlformats.org/officeDocument/2006/customXml" ds:itemID="{7A391F04-A7ED-480C-A732-2E5365D60A15}">
  <ds:schemaRefs>
    <ds:schemaRef ds:uri="http://schemas.microsoft.com/office/2006/metadata/properties"/>
    <ds:schemaRef ds:uri="http://schemas.microsoft.com/office/infopath/2007/PartnerControls"/>
    <ds:schemaRef ds:uri="7f5b6951-54ef-4081-aa35-6a1d703b40f5"/>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128</ap:Pages>
  <ap:Words>32153</ap:Words>
  <ap:Characters>183275</ap:Characters>
  <ap:Application>Microsoft Office Word</ap:Application>
  <ap:DocSecurity>0</ap:DocSecurity>
  <ap:Lines>1527</ap:Lines>
  <ap:Paragraphs>429</ap:Paragraphs>
  <ap:ScaleCrop>false</ap:ScaleCrop>
  <ap:HeadingPairs>
    <vt:vector baseType="variant" size="4">
      <vt:variant>
        <vt:lpstr>Title</vt:lpstr>
      </vt:variant>
      <vt:variant>
        <vt:i4>1</vt:i4>
      </vt:variant>
      <vt:variant>
        <vt:lpstr>Headings</vt:lpstr>
      </vt:variant>
      <vt:variant>
        <vt:i4>18</vt:i4>
      </vt:variant>
    </vt:vector>
  </ap:HeadingPairs>
  <ap:TitlesOfParts>
    <vt:vector baseType="lpstr" size="19">
      <vt:lpstr/>
      <vt:lpstr>DECISION DENYING APPEAL OF LYFT, INC. RE: RULING DENYING, IN PART, MOTIONS BY UB</vt:lpstr>
      <vt:lpstr>DECISION DENYING APPEAL OF LYFT, INC.RE: RULING DENYING, IN PART, MOTIONS BY UBE</vt:lpstr>
      <vt:lpstr>Summary</vt:lpstr>
      <vt:lpstr>Background</vt:lpstr>
      <vt:lpstr>    Factual Background</vt:lpstr>
      <vt:lpstr>    Procedural Background</vt:lpstr>
      <vt:lpstr>    The Administrative Law Judge’s (ALJ) Ruling</vt:lpstr>
      <vt:lpstr>    Lyft’s Appeal</vt:lpstr>
      <vt:lpstr>California Policy Favors the Disclosure of  Information in the Government’s Poss</vt:lpstr>
      <vt:lpstr>    The Commission’s Regulatory Power to Require Disclosure of Non-Private Trip Data</vt:lpstr>
      <vt:lpstr>    Since the Commission is Not Requiring the Public Disclosure of Protected Trip Da</vt:lpstr>
      <vt:lpstr>Standard of Review</vt:lpstr>
      <vt:lpstr>Lyft Failed to Meet its Burden of Proving that the Trip Data in Dispute is Prote</vt:lpstr>
      <vt:lpstr>    The Trip Data in the Lyft’s Annual Report  is not a Protected Unique or  Novel C</vt:lpstr>
      <vt:lpstr>        Compilation as Unique or Novel</vt:lpstr>
      <vt:lpstr>        Compiled for Regulatory Purpose</vt:lpstr>
      <vt:lpstr>        Overbreadth of Lyft’s Uniqueness Claim</vt:lpstr>
      <vt:lpstr>    Lyft Fails to Establish that Trip Data has Independent Value Because of its Alle</vt:lpstr>
    </vt:vector>
  </ap:TitlesOfParts>
  <ap:Company/>
  <ap:LinksUpToDate>false</ap:LinksUpToDate>
  <ap:CharactersWithSpaces>214999</ap:CharactersWithSpaces>
  <ap:SharedDoc>false</ap:SharedDoc>
  <ap:HLinks>
    <vt:vector baseType="variant" size="360">
      <vt:variant>
        <vt:i4>3080313</vt:i4>
      </vt:variant>
      <vt:variant>
        <vt:i4>168</vt:i4>
      </vt:variant>
      <vt:variant>
        <vt:i4>0</vt:i4>
      </vt:variant>
      <vt:variant>
        <vt:i4>5</vt:i4>
      </vt:variant>
      <vt:variant>
        <vt:lpwstr>about:blank</vt:lpwstr>
      </vt:variant>
      <vt:variant>
        <vt:lpwstr/>
      </vt:variant>
      <vt:variant>
        <vt:i4>3080313</vt:i4>
      </vt:variant>
      <vt:variant>
        <vt:i4>165</vt:i4>
      </vt:variant>
      <vt:variant>
        <vt:i4>0</vt:i4>
      </vt:variant>
      <vt:variant>
        <vt:i4>5</vt:i4>
      </vt:variant>
      <vt:variant>
        <vt:lpwstr>about:blank</vt:lpwstr>
      </vt:variant>
      <vt:variant>
        <vt:lpwstr/>
      </vt:variant>
      <vt:variant>
        <vt:i4>3080313</vt:i4>
      </vt:variant>
      <vt:variant>
        <vt:i4>162</vt:i4>
      </vt:variant>
      <vt:variant>
        <vt:i4>0</vt:i4>
      </vt:variant>
      <vt:variant>
        <vt:i4>5</vt:i4>
      </vt:variant>
      <vt:variant>
        <vt:lpwstr>about:blank</vt:lpwstr>
      </vt:variant>
      <vt:variant>
        <vt:lpwstr/>
      </vt:variant>
      <vt:variant>
        <vt:i4>3080313</vt:i4>
      </vt:variant>
      <vt:variant>
        <vt:i4>159</vt:i4>
      </vt:variant>
      <vt:variant>
        <vt:i4>0</vt:i4>
      </vt:variant>
      <vt:variant>
        <vt:i4>5</vt:i4>
      </vt:variant>
      <vt:variant>
        <vt:lpwstr>about:blank</vt:lpwstr>
      </vt:variant>
      <vt:variant>
        <vt:lpwstr/>
      </vt:variant>
      <vt:variant>
        <vt:i4>3080313</vt:i4>
      </vt:variant>
      <vt:variant>
        <vt:i4>156</vt:i4>
      </vt:variant>
      <vt:variant>
        <vt:i4>0</vt:i4>
      </vt:variant>
      <vt:variant>
        <vt:i4>5</vt:i4>
      </vt:variant>
      <vt:variant>
        <vt:lpwstr>about:blank</vt:lpwstr>
      </vt:variant>
      <vt:variant>
        <vt:lpwstr/>
      </vt:variant>
      <vt:variant>
        <vt:i4>3080313</vt:i4>
      </vt:variant>
      <vt:variant>
        <vt:i4>153</vt:i4>
      </vt:variant>
      <vt:variant>
        <vt:i4>0</vt:i4>
      </vt:variant>
      <vt:variant>
        <vt:i4>5</vt:i4>
      </vt:variant>
      <vt:variant>
        <vt:lpwstr>about:blank</vt:lpwstr>
      </vt:variant>
      <vt:variant>
        <vt:lpwstr/>
      </vt:variant>
      <vt:variant>
        <vt:i4>3080313</vt:i4>
      </vt:variant>
      <vt:variant>
        <vt:i4>150</vt:i4>
      </vt:variant>
      <vt:variant>
        <vt:i4>0</vt:i4>
      </vt:variant>
      <vt:variant>
        <vt:i4>5</vt:i4>
      </vt:variant>
      <vt:variant>
        <vt:lpwstr>about:blank</vt:lpwstr>
      </vt:variant>
      <vt:variant>
        <vt:lpwstr/>
      </vt:variant>
      <vt:variant>
        <vt:i4>3080313</vt:i4>
      </vt:variant>
      <vt:variant>
        <vt:i4>147</vt:i4>
      </vt:variant>
      <vt:variant>
        <vt:i4>0</vt:i4>
      </vt:variant>
      <vt:variant>
        <vt:i4>5</vt:i4>
      </vt:variant>
      <vt:variant>
        <vt:lpwstr>about:blank</vt:lpwstr>
      </vt:variant>
      <vt:variant>
        <vt:lpwstr/>
      </vt:variant>
      <vt:variant>
        <vt:i4>3080313</vt:i4>
      </vt:variant>
      <vt:variant>
        <vt:i4>144</vt:i4>
      </vt:variant>
      <vt:variant>
        <vt:i4>0</vt:i4>
      </vt:variant>
      <vt:variant>
        <vt:i4>5</vt:i4>
      </vt:variant>
      <vt:variant>
        <vt:lpwstr>about:blank</vt:lpwstr>
      </vt:variant>
      <vt:variant>
        <vt:lpwstr/>
      </vt:variant>
      <vt:variant>
        <vt:i4>3080313</vt:i4>
      </vt:variant>
      <vt:variant>
        <vt:i4>141</vt:i4>
      </vt:variant>
      <vt:variant>
        <vt:i4>0</vt:i4>
      </vt:variant>
      <vt:variant>
        <vt:i4>5</vt:i4>
      </vt:variant>
      <vt:variant>
        <vt:lpwstr>about:blank</vt:lpwstr>
      </vt:variant>
      <vt:variant>
        <vt:lpwstr/>
      </vt:variant>
      <vt:variant>
        <vt:i4>3080313</vt:i4>
      </vt:variant>
      <vt:variant>
        <vt:i4>138</vt:i4>
      </vt:variant>
      <vt:variant>
        <vt:i4>0</vt:i4>
      </vt:variant>
      <vt:variant>
        <vt:i4>5</vt:i4>
      </vt:variant>
      <vt:variant>
        <vt:lpwstr>about:blank</vt:lpwstr>
      </vt:variant>
      <vt:variant>
        <vt:lpwstr/>
      </vt:variant>
      <vt:variant>
        <vt:i4>3080313</vt:i4>
      </vt:variant>
      <vt:variant>
        <vt:i4>135</vt:i4>
      </vt:variant>
      <vt:variant>
        <vt:i4>0</vt:i4>
      </vt:variant>
      <vt:variant>
        <vt:i4>5</vt:i4>
      </vt:variant>
      <vt:variant>
        <vt:lpwstr>about:blank</vt:lpwstr>
      </vt:variant>
      <vt:variant>
        <vt:lpwstr/>
      </vt:variant>
      <vt:variant>
        <vt:i4>3080313</vt:i4>
      </vt:variant>
      <vt:variant>
        <vt:i4>132</vt:i4>
      </vt:variant>
      <vt:variant>
        <vt:i4>0</vt:i4>
      </vt:variant>
      <vt:variant>
        <vt:i4>5</vt:i4>
      </vt:variant>
      <vt:variant>
        <vt:lpwstr>about:blank</vt:lpwstr>
      </vt:variant>
      <vt:variant>
        <vt:lpwstr/>
      </vt:variant>
      <vt:variant>
        <vt:i4>3080313</vt:i4>
      </vt:variant>
      <vt:variant>
        <vt:i4>129</vt:i4>
      </vt:variant>
      <vt:variant>
        <vt:i4>0</vt:i4>
      </vt:variant>
      <vt:variant>
        <vt:i4>5</vt:i4>
      </vt:variant>
      <vt:variant>
        <vt:lpwstr>about:blank</vt:lpwstr>
      </vt:variant>
      <vt:variant>
        <vt:lpwstr/>
      </vt:variant>
      <vt:variant>
        <vt:i4>3080313</vt:i4>
      </vt:variant>
      <vt:variant>
        <vt:i4>126</vt:i4>
      </vt:variant>
      <vt:variant>
        <vt:i4>0</vt:i4>
      </vt:variant>
      <vt:variant>
        <vt:i4>5</vt:i4>
      </vt:variant>
      <vt:variant>
        <vt:lpwstr>about:blank</vt:lpwstr>
      </vt:variant>
      <vt:variant>
        <vt:lpwstr/>
      </vt:variant>
      <vt:variant>
        <vt:i4>3080313</vt:i4>
      </vt:variant>
      <vt:variant>
        <vt:i4>123</vt:i4>
      </vt:variant>
      <vt:variant>
        <vt:i4>0</vt:i4>
      </vt:variant>
      <vt:variant>
        <vt:i4>5</vt:i4>
      </vt:variant>
      <vt:variant>
        <vt:lpwstr>about:blank</vt:lpwstr>
      </vt:variant>
      <vt:variant>
        <vt:lpwstr/>
      </vt:variant>
      <vt:variant>
        <vt:i4>3080313</vt:i4>
      </vt:variant>
      <vt:variant>
        <vt:i4>120</vt:i4>
      </vt:variant>
      <vt:variant>
        <vt:i4>0</vt:i4>
      </vt:variant>
      <vt:variant>
        <vt:i4>5</vt:i4>
      </vt:variant>
      <vt:variant>
        <vt:lpwstr>about:blank</vt:lpwstr>
      </vt:variant>
      <vt:variant>
        <vt:lpwstr/>
      </vt:variant>
      <vt:variant>
        <vt:i4>3080255</vt:i4>
      </vt:variant>
      <vt:variant>
        <vt:i4>117</vt:i4>
      </vt:variant>
      <vt:variant>
        <vt:i4>0</vt:i4>
      </vt:variant>
      <vt:variant>
        <vt:i4>5</vt:i4>
      </vt:variant>
      <vt:variant>
        <vt:lpwstr>about:blank</vt:lpwstr>
      </vt:variant>
      <vt:variant>
        <vt:lpwstr>p969</vt:lpwstr>
      </vt:variant>
      <vt:variant>
        <vt:i4>3080313</vt:i4>
      </vt:variant>
      <vt:variant>
        <vt:i4>114</vt:i4>
      </vt:variant>
      <vt:variant>
        <vt:i4>0</vt:i4>
      </vt:variant>
      <vt:variant>
        <vt:i4>5</vt:i4>
      </vt:variant>
      <vt:variant>
        <vt:lpwstr>about:blank</vt:lpwstr>
      </vt:variant>
      <vt:variant>
        <vt:lpwstr/>
      </vt:variant>
      <vt:variant>
        <vt:i4>3080251</vt:i4>
      </vt:variant>
      <vt:variant>
        <vt:i4>111</vt:i4>
      </vt:variant>
      <vt:variant>
        <vt:i4>0</vt:i4>
      </vt:variant>
      <vt:variant>
        <vt:i4>5</vt:i4>
      </vt:variant>
      <vt:variant>
        <vt:lpwstr>about:blank</vt:lpwstr>
      </vt:variant>
      <vt:variant>
        <vt:lpwstr>p323</vt:lpwstr>
      </vt:variant>
      <vt:variant>
        <vt:i4>3080313</vt:i4>
      </vt:variant>
      <vt:variant>
        <vt:i4>108</vt:i4>
      </vt:variant>
      <vt:variant>
        <vt:i4>0</vt:i4>
      </vt:variant>
      <vt:variant>
        <vt:i4>5</vt:i4>
      </vt:variant>
      <vt:variant>
        <vt:lpwstr>about:blank</vt:lpwstr>
      </vt:variant>
      <vt:variant>
        <vt:lpwstr/>
      </vt:variant>
      <vt:variant>
        <vt:i4>2818107</vt:i4>
      </vt:variant>
      <vt:variant>
        <vt:i4>105</vt:i4>
      </vt:variant>
      <vt:variant>
        <vt:i4>0</vt:i4>
      </vt:variant>
      <vt:variant>
        <vt:i4>5</vt:i4>
      </vt:variant>
      <vt:variant>
        <vt:lpwstr>about:blank</vt:lpwstr>
      </vt:variant>
      <vt:variant>
        <vt:lpwstr>p327</vt:lpwstr>
      </vt:variant>
      <vt:variant>
        <vt:i4>3080313</vt:i4>
      </vt:variant>
      <vt:variant>
        <vt:i4>102</vt:i4>
      </vt:variant>
      <vt:variant>
        <vt:i4>0</vt:i4>
      </vt:variant>
      <vt:variant>
        <vt:i4>5</vt:i4>
      </vt:variant>
      <vt:variant>
        <vt:lpwstr>about:blank</vt:lpwstr>
      </vt:variant>
      <vt:variant>
        <vt:lpwstr/>
      </vt:variant>
      <vt:variant>
        <vt:i4>1703945</vt:i4>
      </vt:variant>
      <vt:variant>
        <vt:i4>99</vt:i4>
      </vt:variant>
      <vt:variant>
        <vt:i4>0</vt:i4>
      </vt:variant>
      <vt:variant>
        <vt:i4>5</vt:i4>
      </vt:variant>
      <vt:variant>
        <vt:lpwstr>about:blank</vt:lpwstr>
      </vt:variant>
      <vt:variant>
        <vt:lpwstr>p50</vt:lpwstr>
      </vt:variant>
      <vt:variant>
        <vt:i4>3080313</vt:i4>
      </vt:variant>
      <vt:variant>
        <vt:i4>96</vt:i4>
      </vt:variant>
      <vt:variant>
        <vt:i4>0</vt:i4>
      </vt:variant>
      <vt:variant>
        <vt:i4>5</vt:i4>
      </vt:variant>
      <vt:variant>
        <vt:lpwstr>about:blank</vt:lpwstr>
      </vt:variant>
      <vt:variant>
        <vt:lpwstr/>
      </vt:variant>
      <vt:variant>
        <vt:i4>3080313</vt:i4>
      </vt:variant>
      <vt:variant>
        <vt:i4>93</vt:i4>
      </vt:variant>
      <vt:variant>
        <vt:i4>0</vt:i4>
      </vt:variant>
      <vt:variant>
        <vt:i4>5</vt:i4>
      </vt:variant>
      <vt:variant>
        <vt:lpwstr>about:blank</vt:lpwstr>
      </vt:variant>
      <vt:variant>
        <vt:lpwstr/>
      </vt:variant>
      <vt:variant>
        <vt:i4>1769528</vt:i4>
      </vt:variant>
      <vt:variant>
        <vt:i4>90</vt:i4>
      </vt:variant>
      <vt:variant>
        <vt:i4>0</vt:i4>
      </vt:variant>
      <vt:variant>
        <vt:i4>5</vt:i4>
      </vt:variant>
      <vt:variant>
        <vt:lpwstr/>
      </vt:variant>
      <vt:variant>
        <vt:lpwstr>_Toc94682555</vt:lpwstr>
      </vt:variant>
      <vt:variant>
        <vt:i4>1703992</vt:i4>
      </vt:variant>
      <vt:variant>
        <vt:i4>87</vt:i4>
      </vt:variant>
      <vt:variant>
        <vt:i4>0</vt:i4>
      </vt:variant>
      <vt:variant>
        <vt:i4>5</vt:i4>
      </vt:variant>
      <vt:variant>
        <vt:lpwstr/>
      </vt:variant>
      <vt:variant>
        <vt:lpwstr>_Toc94682554</vt:lpwstr>
      </vt:variant>
      <vt:variant>
        <vt:i4>1900600</vt:i4>
      </vt:variant>
      <vt:variant>
        <vt:i4>84</vt:i4>
      </vt:variant>
      <vt:variant>
        <vt:i4>0</vt:i4>
      </vt:variant>
      <vt:variant>
        <vt:i4>5</vt:i4>
      </vt:variant>
      <vt:variant>
        <vt:lpwstr/>
      </vt:variant>
      <vt:variant>
        <vt:lpwstr>_Toc94682553</vt:lpwstr>
      </vt:variant>
      <vt:variant>
        <vt:i4>1835064</vt:i4>
      </vt:variant>
      <vt:variant>
        <vt:i4>81</vt:i4>
      </vt:variant>
      <vt:variant>
        <vt:i4>0</vt:i4>
      </vt:variant>
      <vt:variant>
        <vt:i4>5</vt:i4>
      </vt:variant>
      <vt:variant>
        <vt:lpwstr/>
      </vt:variant>
      <vt:variant>
        <vt:lpwstr>_Toc94682552</vt:lpwstr>
      </vt:variant>
      <vt:variant>
        <vt:i4>2031672</vt:i4>
      </vt:variant>
      <vt:variant>
        <vt:i4>78</vt:i4>
      </vt:variant>
      <vt:variant>
        <vt:i4>0</vt:i4>
      </vt:variant>
      <vt:variant>
        <vt:i4>5</vt:i4>
      </vt:variant>
      <vt:variant>
        <vt:lpwstr/>
      </vt:variant>
      <vt:variant>
        <vt:lpwstr>_Toc94682551</vt:lpwstr>
      </vt:variant>
      <vt:variant>
        <vt:i4>1966136</vt:i4>
      </vt:variant>
      <vt:variant>
        <vt:i4>75</vt:i4>
      </vt:variant>
      <vt:variant>
        <vt:i4>0</vt:i4>
      </vt:variant>
      <vt:variant>
        <vt:i4>5</vt:i4>
      </vt:variant>
      <vt:variant>
        <vt:lpwstr/>
      </vt:variant>
      <vt:variant>
        <vt:lpwstr>_Toc94682550</vt:lpwstr>
      </vt:variant>
      <vt:variant>
        <vt:i4>1507385</vt:i4>
      </vt:variant>
      <vt:variant>
        <vt:i4>72</vt:i4>
      </vt:variant>
      <vt:variant>
        <vt:i4>0</vt:i4>
      </vt:variant>
      <vt:variant>
        <vt:i4>5</vt:i4>
      </vt:variant>
      <vt:variant>
        <vt:lpwstr/>
      </vt:variant>
      <vt:variant>
        <vt:lpwstr>_Toc94682549</vt:lpwstr>
      </vt:variant>
      <vt:variant>
        <vt:i4>1441849</vt:i4>
      </vt:variant>
      <vt:variant>
        <vt:i4>69</vt:i4>
      </vt:variant>
      <vt:variant>
        <vt:i4>0</vt:i4>
      </vt:variant>
      <vt:variant>
        <vt:i4>5</vt:i4>
      </vt:variant>
      <vt:variant>
        <vt:lpwstr/>
      </vt:variant>
      <vt:variant>
        <vt:lpwstr>_Toc94682548</vt:lpwstr>
      </vt:variant>
      <vt:variant>
        <vt:i4>1638457</vt:i4>
      </vt:variant>
      <vt:variant>
        <vt:i4>66</vt:i4>
      </vt:variant>
      <vt:variant>
        <vt:i4>0</vt:i4>
      </vt:variant>
      <vt:variant>
        <vt:i4>5</vt:i4>
      </vt:variant>
      <vt:variant>
        <vt:lpwstr/>
      </vt:variant>
      <vt:variant>
        <vt:lpwstr>_Toc94682547</vt:lpwstr>
      </vt:variant>
      <vt:variant>
        <vt:i4>1572921</vt:i4>
      </vt:variant>
      <vt:variant>
        <vt:i4>63</vt:i4>
      </vt:variant>
      <vt:variant>
        <vt:i4>0</vt:i4>
      </vt:variant>
      <vt:variant>
        <vt:i4>5</vt:i4>
      </vt:variant>
      <vt:variant>
        <vt:lpwstr/>
      </vt:variant>
      <vt:variant>
        <vt:lpwstr>_Toc94682546</vt:lpwstr>
      </vt:variant>
      <vt:variant>
        <vt:i4>1769529</vt:i4>
      </vt:variant>
      <vt:variant>
        <vt:i4>60</vt:i4>
      </vt:variant>
      <vt:variant>
        <vt:i4>0</vt:i4>
      </vt:variant>
      <vt:variant>
        <vt:i4>5</vt:i4>
      </vt:variant>
      <vt:variant>
        <vt:lpwstr/>
      </vt:variant>
      <vt:variant>
        <vt:lpwstr>_Toc94682545</vt:lpwstr>
      </vt:variant>
      <vt:variant>
        <vt:i4>1703993</vt:i4>
      </vt:variant>
      <vt:variant>
        <vt:i4>57</vt:i4>
      </vt:variant>
      <vt:variant>
        <vt:i4>0</vt:i4>
      </vt:variant>
      <vt:variant>
        <vt:i4>5</vt:i4>
      </vt:variant>
      <vt:variant>
        <vt:lpwstr/>
      </vt:variant>
      <vt:variant>
        <vt:lpwstr>_Toc94682544</vt:lpwstr>
      </vt:variant>
      <vt:variant>
        <vt:i4>1900601</vt:i4>
      </vt:variant>
      <vt:variant>
        <vt:i4>54</vt:i4>
      </vt:variant>
      <vt:variant>
        <vt:i4>0</vt:i4>
      </vt:variant>
      <vt:variant>
        <vt:i4>5</vt:i4>
      </vt:variant>
      <vt:variant>
        <vt:lpwstr/>
      </vt:variant>
      <vt:variant>
        <vt:lpwstr>_Toc94682543</vt:lpwstr>
      </vt:variant>
      <vt:variant>
        <vt:i4>1835065</vt:i4>
      </vt:variant>
      <vt:variant>
        <vt:i4>51</vt:i4>
      </vt:variant>
      <vt:variant>
        <vt:i4>0</vt:i4>
      </vt:variant>
      <vt:variant>
        <vt:i4>5</vt:i4>
      </vt:variant>
      <vt:variant>
        <vt:lpwstr/>
      </vt:variant>
      <vt:variant>
        <vt:lpwstr>_Toc94682542</vt:lpwstr>
      </vt:variant>
      <vt:variant>
        <vt:i4>2031673</vt:i4>
      </vt:variant>
      <vt:variant>
        <vt:i4>48</vt:i4>
      </vt:variant>
      <vt:variant>
        <vt:i4>0</vt:i4>
      </vt:variant>
      <vt:variant>
        <vt:i4>5</vt:i4>
      </vt:variant>
      <vt:variant>
        <vt:lpwstr/>
      </vt:variant>
      <vt:variant>
        <vt:lpwstr>_Toc94682541</vt:lpwstr>
      </vt:variant>
      <vt:variant>
        <vt:i4>1966137</vt:i4>
      </vt:variant>
      <vt:variant>
        <vt:i4>45</vt:i4>
      </vt:variant>
      <vt:variant>
        <vt:i4>0</vt:i4>
      </vt:variant>
      <vt:variant>
        <vt:i4>5</vt:i4>
      </vt:variant>
      <vt:variant>
        <vt:lpwstr/>
      </vt:variant>
      <vt:variant>
        <vt:lpwstr>_Toc94682540</vt:lpwstr>
      </vt:variant>
      <vt:variant>
        <vt:i4>1507390</vt:i4>
      </vt:variant>
      <vt:variant>
        <vt:i4>42</vt:i4>
      </vt:variant>
      <vt:variant>
        <vt:i4>0</vt:i4>
      </vt:variant>
      <vt:variant>
        <vt:i4>5</vt:i4>
      </vt:variant>
      <vt:variant>
        <vt:lpwstr/>
      </vt:variant>
      <vt:variant>
        <vt:lpwstr>_Toc94682539</vt:lpwstr>
      </vt:variant>
      <vt:variant>
        <vt:i4>1441854</vt:i4>
      </vt:variant>
      <vt:variant>
        <vt:i4>39</vt:i4>
      </vt:variant>
      <vt:variant>
        <vt:i4>0</vt:i4>
      </vt:variant>
      <vt:variant>
        <vt:i4>5</vt:i4>
      </vt:variant>
      <vt:variant>
        <vt:lpwstr/>
      </vt:variant>
      <vt:variant>
        <vt:lpwstr>_Toc94682538</vt:lpwstr>
      </vt:variant>
      <vt:variant>
        <vt:i4>1638462</vt:i4>
      </vt:variant>
      <vt:variant>
        <vt:i4>36</vt:i4>
      </vt:variant>
      <vt:variant>
        <vt:i4>0</vt:i4>
      </vt:variant>
      <vt:variant>
        <vt:i4>5</vt:i4>
      </vt:variant>
      <vt:variant>
        <vt:lpwstr/>
      </vt:variant>
      <vt:variant>
        <vt:lpwstr>_Toc94682537</vt:lpwstr>
      </vt:variant>
      <vt:variant>
        <vt:i4>1572926</vt:i4>
      </vt:variant>
      <vt:variant>
        <vt:i4>33</vt:i4>
      </vt:variant>
      <vt:variant>
        <vt:i4>0</vt:i4>
      </vt:variant>
      <vt:variant>
        <vt:i4>5</vt:i4>
      </vt:variant>
      <vt:variant>
        <vt:lpwstr/>
      </vt:variant>
      <vt:variant>
        <vt:lpwstr>_Toc94682536</vt:lpwstr>
      </vt:variant>
      <vt:variant>
        <vt:i4>1769534</vt:i4>
      </vt:variant>
      <vt:variant>
        <vt:i4>30</vt:i4>
      </vt:variant>
      <vt:variant>
        <vt:i4>0</vt:i4>
      </vt:variant>
      <vt:variant>
        <vt:i4>5</vt:i4>
      </vt:variant>
      <vt:variant>
        <vt:lpwstr/>
      </vt:variant>
      <vt:variant>
        <vt:lpwstr>_Toc94682535</vt:lpwstr>
      </vt:variant>
      <vt:variant>
        <vt:i4>1703998</vt:i4>
      </vt:variant>
      <vt:variant>
        <vt:i4>27</vt:i4>
      </vt:variant>
      <vt:variant>
        <vt:i4>0</vt:i4>
      </vt:variant>
      <vt:variant>
        <vt:i4>5</vt:i4>
      </vt:variant>
      <vt:variant>
        <vt:lpwstr/>
      </vt:variant>
      <vt:variant>
        <vt:lpwstr>_Toc94682534</vt:lpwstr>
      </vt:variant>
      <vt:variant>
        <vt:i4>1900606</vt:i4>
      </vt:variant>
      <vt:variant>
        <vt:i4>24</vt:i4>
      </vt:variant>
      <vt:variant>
        <vt:i4>0</vt:i4>
      </vt:variant>
      <vt:variant>
        <vt:i4>5</vt:i4>
      </vt:variant>
      <vt:variant>
        <vt:lpwstr/>
      </vt:variant>
      <vt:variant>
        <vt:lpwstr>_Toc94682533</vt:lpwstr>
      </vt:variant>
      <vt:variant>
        <vt:i4>1835070</vt:i4>
      </vt:variant>
      <vt:variant>
        <vt:i4>21</vt:i4>
      </vt:variant>
      <vt:variant>
        <vt:i4>0</vt:i4>
      </vt:variant>
      <vt:variant>
        <vt:i4>5</vt:i4>
      </vt:variant>
      <vt:variant>
        <vt:lpwstr/>
      </vt:variant>
      <vt:variant>
        <vt:lpwstr>_Toc94682532</vt:lpwstr>
      </vt:variant>
      <vt:variant>
        <vt:i4>2031678</vt:i4>
      </vt:variant>
      <vt:variant>
        <vt:i4>18</vt:i4>
      </vt:variant>
      <vt:variant>
        <vt:i4>0</vt:i4>
      </vt:variant>
      <vt:variant>
        <vt:i4>5</vt:i4>
      </vt:variant>
      <vt:variant>
        <vt:lpwstr/>
      </vt:variant>
      <vt:variant>
        <vt:lpwstr>_Toc94682531</vt:lpwstr>
      </vt:variant>
      <vt:variant>
        <vt:i4>1966142</vt:i4>
      </vt:variant>
      <vt:variant>
        <vt:i4>15</vt:i4>
      </vt:variant>
      <vt:variant>
        <vt:i4>0</vt:i4>
      </vt:variant>
      <vt:variant>
        <vt:i4>5</vt:i4>
      </vt:variant>
      <vt:variant>
        <vt:lpwstr/>
      </vt:variant>
      <vt:variant>
        <vt:lpwstr>_Toc94682530</vt:lpwstr>
      </vt:variant>
      <vt:variant>
        <vt:i4>1507391</vt:i4>
      </vt:variant>
      <vt:variant>
        <vt:i4>12</vt:i4>
      </vt:variant>
      <vt:variant>
        <vt:i4>0</vt:i4>
      </vt:variant>
      <vt:variant>
        <vt:i4>5</vt:i4>
      </vt:variant>
      <vt:variant>
        <vt:lpwstr/>
      </vt:variant>
      <vt:variant>
        <vt:lpwstr>_Toc94682529</vt:lpwstr>
      </vt:variant>
      <vt:variant>
        <vt:i4>1441855</vt:i4>
      </vt:variant>
      <vt:variant>
        <vt:i4>9</vt:i4>
      </vt:variant>
      <vt:variant>
        <vt:i4>0</vt:i4>
      </vt:variant>
      <vt:variant>
        <vt:i4>5</vt:i4>
      </vt:variant>
      <vt:variant>
        <vt:lpwstr/>
      </vt:variant>
      <vt:variant>
        <vt:lpwstr>_Toc94682528</vt:lpwstr>
      </vt:variant>
      <vt:variant>
        <vt:i4>1638463</vt:i4>
      </vt:variant>
      <vt:variant>
        <vt:i4>6</vt:i4>
      </vt:variant>
      <vt:variant>
        <vt:i4>0</vt:i4>
      </vt:variant>
      <vt:variant>
        <vt:i4>5</vt:i4>
      </vt:variant>
      <vt:variant>
        <vt:lpwstr/>
      </vt:variant>
      <vt:variant>
        <vt:lpwstr>_Toc94682527</vt:lpwstr>
      </vt:variant>
      <vt:variant>
        <vt:i4>1769535</vt:i4>
      </vt:variant>
      <vt:variant>
        <vt:i4>0</vt:i4>
      </vt:variant>
      <vt:variant>
        <vt:i4>0</vt:i4>
      </vt:variant>
      <vt:variant>
        <vt:i4>5</vt:i4>
      </vt:variant>
      <vt:variant>
        <vt:lpwstr/>
      </vt:variant>
      <vt:variant>
        <vt:lpwstr>_Toc94682525</vt:lpwstr>
      </vt:variant>
      <vt:variant>
        <vt:i4>3080313</vt:i4>
      </vt:variant>
      <vt:variant>
        <vt:i4>9</vt:i4>
      </vt:variant>
      <vt:variant>
        <vt:i4>0</vt:i4>
      </vt:variant>
      <vt:variant>
        <vt:i4>5</vt:i4>
      </vt:variant>
      <vt:variant>
        <vt:lpwstr>about:blank</vt:lpwstr>
      </vt:variant>
      <vt:variant>
        <vt:lpwstr/>
      </vt:variant>
      <vt:variant>
        <vt:i4>3080313</vt:i4>
      </vt:variant>
      <vt:variant>
        <vt:i4>6</vt:i4>
      </vt:variant>
      <vt:variant>
        <vt:i4>0</vt:i4>
      </vt:variant>
      <vt:variant>
        <vt:i4>5</vt:i4>
      </vt:variant>
      <vt:variant>
        <vt:lpwstr>about:blank</vt:lpwstr>
      </vt:variant>
      <vt:variant>
        <vt:lpwstr/>
      </vt:variant>
      <vt:variant>
        <vt:i4>3080313</vt:i4>
      </vt:variant>
      <vt:variant>
        <vt:i4>3</vt:i4>
      </vt:variant>
      <vt:variant>
        <vt:i4>0</vt:i4>
      </vt:variant>
      <vt:variant>
        <vt:i4>5</vt:i4>
      </vt:variant>
      <vt:variant>
        <vt:lpwstr>about:blank</vt:lpwstr>
      </vt:variant>
      <vt:variant>
        <vt:lpwstr/>
      </vt:variant>
      <vt:variant>
        <vt:i4>3080313</vt:i4>
      </vt:variant>
      <vt:variant>
        <vt:i4>0</vt:i4>
      </vt:variant>
      <vt:variant>
        <vt:i4>0</vt:i4>
      </vt:variant>
      <vt:variant>
        <vt:i4>5</vt:i4>
      </vt:variant>
      <vt:variant>
        <vt:lpwstr>about:blank</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2022-05-03T21:13:00Z</cp:lastPrinted>
  <dcterms:created xsi:type="dcterms:W3CDTF">2022-05-06T13:38:58Z</dcterms:created>
  <dcterms:modified xsi:type="dcterms:W3CDTF">2022-05-06T13:38:58Z</dcterms:modified>
</cp:coreProperties>
</file>