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25E4" w:rsidR="00C9489F" w:rsidP="008225E4" w:rsidRDefault="00C9489F" w14:paraId="1A80EF13" w14:textId="4E6867A7">
      <w:pPr>
        <w:pStyle w:val="BodyText"/>
        <w:tabs>
          <w:tab w:val="left" w:pos="2880"/>
        </w:tabs>
        <w:ind w:firstLine="0"/>
        <w:rPr>
          <w:szCs w:val="26"/>
        </w:rPr>
      </w:pPr>
      <w:r w:rsidRPr="00937674">
        <w:rPr>
          <w:szCs w:val="26"/>
        </w:rPr>
        <w:t xml:space="preserve">Decision </w:t>
      </w:r>
      <w:r w:rsidR="008225E4">
        <w:rPr>
          <w:szCs w:val="26"/>
        </w:rPr>
        <w:t>22-05-030</w:t>
      </w:r>
      <w:r w:rsidR="008225E4">
        <w:rPr>
          <w:szCs w:val="26"/>
        </w:rPr>
        <w:tab/>
        <w:t>May 19, 2022</w:t>
      </w:r>
    </w:p>
    <w:bookmarkStart w:name="Initials" w:id="0"/>
    <w:bookmarkEnd w:id="0"/>
    <w:p w:rsidRPr="00937674" w:rsidR="00C9489F" w:rsidRDefault="00C9489F" w14:paraId="5F607A5A" w14:textId="77777777">
      <w:pPr>
        <w:rPr>
          <w:szCs w:val="26"/>
        </w:rPr>
      </w:pPr>
      <w:r w:rsidRPr="00937674">
        <w:rPr>
          <w:szCs w:val="26"/>
        </w:rPr>
        <w:fldChar w:fldCharType="begin"/>
      </w:r>
      <w:r w:rsidRPr="00937674">
        <w:rPr>
          <w:szCs w:val="26"/>
        </w:rPr>
        <w:instrText xml:space="preserve"> ASK Initials "Enter your initials in all CAPS (e.g. ATTY)" [/d "ATTY"]Initials  \* MERGEFORMAT </w:instrText>
      </w:r>
      <w:r w:rsidRPr="00937674">
        <w:rPr>
          <w:szCs w:val="26"/>
        </w:rPr>
        <w:fldChar w:fldCharType="end"/>
      </w:r>
      <w:r w:rsidRPr="00937674">
        <w:rPr>
          <w:szCs w:val="26"/>
        </w:rPr>
        <w:t xml:space="preserve"> </w:t>
      </w:r>
    </w:p>
    <w:bookmarkStart w:name="AgendaNo" w:id="1"/>
    <w:bookmarkEnd w:id="1"/>
    <w:p w:rsidRPr="00937674" w:rsidR="00C9489F" w:rsidRDefault="00C9489F" w14:paraId="1342AF5B" w14:textId="2F383305">
      <w:pPr>
        <w:pStyle w:val="BriefHeading"/>
        <w:rPr>
          <w:sz w:val="26"/>
          <w:szCs w:val="26"/>
        </w:rPr>
      </w:pPr>
      <w:r w:rsidRPr="00937674">
        <w:rPr>
          <w:sz w:val="26"/>
          <w:szCs w:val="26"/>
        </w:rPr>
        <w:fldChar w:fldCharType="begin"/>
      </w:r>
      <w:r w:rsidRPr="00937674">
        <w:rPr>
          <w:sz w:val="26"/>
          <w:szCs w:val="26"/>
        </w:rPr>
        <w:instrText xml:space="preserve"> ASK AgendaNo "Enter the agenda item number (e.g. CA-4)" [/d "Agenda Item No."] \* MERGEFORMAT </w:instrText>
      </w:r>
      <w:r w:rsidRPr="00937674">
        <w:rPr>
          <w:sz w:val="26"/>
          <w:szCs w:val="26"/>
        </w:rPr>
        <w:fldChar w:fldCharType="end"/>
      </w:r>
      <w:r w:rsidRPr="00937674">
        <w:rPr>
          <w:sz w:val="26"/>
          <w:szCs w:val="26"/>
        </w:rPr>
        <w:t>Before The Public Utilities Commission Of The State Of California</w:t>
      </w:r>
    </w:p>
    <w:p w:rsidRPr="00937674" w:rsidR="00713F12" w:rsidRDefault="00713F12" w14:paraId="1A0A1B43" w14:textId="77777777">
      <w:pPr>
        <w:pStyle w:val="BriefHeading"/>
        <w:rPr>
          <w:sz w:val="26"/>
          <w:szCs w:val="26"/>
        </w:rPr>
      </w:pPr>
    </w:p>
    <w:tbl>
      <w:tblPr>
        <w:tblW w:w="9450" w:type="dxa"/>
        <w:jc w:val="center"/>
        <w:tblLayout w:type="fixed"/>
        <w:tblLook w:val="0000" w:firstRow="0" w:lastRow="0" w:firstColumn="0" w:lastColumn="0" w:noHBand="0" w:noVBand="0"/>
      </w:tblPr>
      <w:tblGrid>
        <w:gridCol w:w="4500"/>
        <w:gridCol w:w="4950"/>
      </w:tblGrid>
      <w:tr w:rsidRPr="00937674" w:rsidR="006A7163" w:rsidTr="004805CF" w14:paraId="5B32D4DE" w14:textId="77777777">
        <w:trPr>
          <w:jc w:val="center"/>
        </w:trPr>
        <w:tc>
          <w:tcPr>
            <w:tcW w:w="4500" w:type="dxa"/>
            <w:tcBorders>
              <w:bottom w:val="single" w:color="auto" w:sz="4" w:space="0"/>
              <w:right w:val="single" w:color="auto" w:sz="6" w:space="0"/>
            </w:tcBorders>
          </w:tcPr>
          <w:p w:rsidRPr="00404206" w:rsidR="00404206" w:rsidP="00404206" w:rsidRDefault="00404206" w14:paraId="33D65254" w14:textId="16C2E96C">
            <w:pPr>
              <w:rPr>
                <w:szCs w:val="26"/>
              </w:rPr>
            </w:pPr>
            <w:r w:rsidRPr="00404206">
              <w:rPr>
                <w:szCs w:val="26"/>
              </w:rPr>
              <w:t xml:space="preserve">Application </w:t>
            </w:r>
            <w:r>
              <w:rPr>
                <w:szCs w:val="26"/>
              </w:rPr>
              <w:t xml:space="preserve">of </w:t>
            </w:r>
            <w:r w:rsidRPr="00404206">
              <w:rPr>
                <w:szCs w:val="26"/>
              </w:rPr>
              <w:t>Frontier Communications Parent, Inc., Frontier California Inc.</w:t>
            </w:r>
            <w:r>
              <w:rPr>
                <w:szCs w:val="26"/>
              </w:rPr>
              <w:t xml:space="preserve"> (U 1002 C), </w:t>
            </w:r>
            <w:r w:rsidRPr="00404206">
              <w:rPr>
                <w:szCs w:val="26"/>
              </w:rPr>
              <w:t>Citizens Telecommunications Company of California Inc.</w:t>
            </w:r>
            <w:r>
              <w:rPr>
                <w:szCs w:val="26"/>
              </w:rPr>
              <w:t xml:space="preserve"> (U 1024 C)</w:t>
            </w:r>
            <w:r w:rsidRPr="00404206">
              <w:rPr>
                <w:szCs w:val="26"/>
              </w:rPr>
              <w:t>, Frontier Communications of the Southwest Inc.</w:t>
            </w:r>
            <w:r>
              <w:rPr>
                <w:szCs w:val="26"/>
              </w:rPr>
              <w:t xml:space="preserve"> (U 1026 C)</w:t>
            </w:r>
            <w:r w:rsidRPr="00404206">
              <w:rPr>
                <w:szCs w:val="26"/>
              </w:rPr>
              <w:t>, Frontier Communications Online and Long Distance Inc.</w:t>
            </w:r>
            <w:r>
              <w:rPr>
                <w:szCs w:val="26"/>
              </w:rPr>
              <w:t xml:space="preserve"> (U 7167 C)</w:t>
            </w:r>
            <w:r w:rsidRPr="00404206">
              <w:rPr>
                <w:szCs w:val="26"/>
              </w:rPr>
              <w:t xml:space="preserve">, and Frontier Communications of America, Inc. </w:t>
            </w:r>
            <w:r w:rsidR="004805CF">
              <w:rPr>
                <w:szCs w:val="26"/>
              </w:rPr>
              <w:br/>
            </w:r>
            <w:r>
              <w:rPr>
                <w:szCs w:val="26"/>
              </w:rPr>
              <w:t xml:space="preserve">(U 5429 C) for Rehearing of Resolution T-17734.  </w:t>
            </w:r>
          </w:p>
          <w:p w:rsidRPr="00937674" w:rsidR="00937674" w:rsidP="004C6037" w:rsidRDefault="00937674" w14:paraId="345BA283" w14:textId="76014440">
            <w:pPr>
              <w:rPr>
                <w:szCs w:val="26"/>
              </w:rPr>
            </w:pPr>
          </w:p>
        </w:tc>
        <w:tc>
          <w:tcPr>
            <w:tcW w:w="4950" w:type="dxa"/>
            <w:tcBorders>
              <w:left w:val="nil"/>
            </w:tcBorders>
            <w:vAlign w:val="center"/>
          </w:tcPr>
          <w:p w:rsidRPr="00937674" w:rsidR="006A7163" w:rsidP="00D71584" w:rsidRDefault="004C6037" w14:paraId="19729109" w14:textId="56E40783">
            <w:pPr>
              <w:tabs>
                <w:tab w:val="clear" w:pos="5040"/>
              </w:tabs>
              <w:ind w:left="-110" w:right="-110"/>
              <w:jc w:val="center"/>
              <w:rPr>
                <w:szCs w:val="26"/>
              </w:rPr>
            </w:pPr>
            <w:r w:rsidRPr="00937674">
              <w:rPr>
                <w:szCs w:val="26"/>
              </w:rPr>
              <w:t>Application 2</w:t>
            </w:r>
            <w:r w:rsidR="00404206">
              <w:rPr>
                <w:szCs w:val="26"/>
              </w:rPr>
              <w:t>1</w:t>
            </w:r>
            <w:r w:rsidRPr="00937674">
              <w:rPr>
                <w:szCs w:val="26"/>
              </w:rPr>
              <w:t>-</w:t>
            </w:r>
            <w:r w:rsidR="00404206">
              <w:rPr>
                <w:szCs w:val="26"/>
              </w:rPr>
              <w:t>11</w:t>
            </w:r>
            <w:r w:rsidRPr="00937674">
              <w:rPr>
                <w:szCs w:val="26"/>
              </w:rPr>
              <w:t>-00</w:t>
            </w:r>
            <w:r w:rsidR="005B6D5E">
              <w:rPr>
                <w:szCs w:val="26"/>
              </w:rPr>
              <w:t>4</w:t>
            </w:r>
          </w:p>
        </w:tc>
      </w:tr>
    </w:tbl>
    <w:p w:rsidRPr="00937674" w:rsidR="00C9489F" w:rsidP="00663FF6" w:rsidRDefault="00C9489F" w14:paraId="23DD2343" w14:textId="77777777">
      <w:pPr>
        <w:rPr>
          <w:szCs w:val="26"/>
        </w:rPr>
      </w:pPr>
    </w:p>
    <w:p w:rsidR="00AB38D8" w:rsidRDefault="004059D5" w14:paraId="7A33E050" w14:textId="77777777">
      <w:pPr>
        <w:pStyle w:val="BriefTitle"/>
        <w:rPr>
          <w:szCs w:val="26"/>
          <w:u w:val="single"/>
        </w:rPr>
      </w:pPr>
      <w:r w:rsidRPr="00937674">
        <w:rPr>
          <w:szCs w:val="26"/>
          <w:u w:val="single"/>
        </w:rPr>
        <w:t xml:space="preserve">ORDER </w:t>
      </w:r>
      <w:r w:rsidR="00342422">
        <w:rPr>
          <w:szCs w:val="26"/>
          <w:u w:val="single"/>
        </w:rPr>
        <w:t>Modifyin</w:t>
      </w:r>
      <w:r w:rsidR="00C063EF">
        <w:rPr>
          <w:szCs w:val="26"/>
          <w:u w:val="single"/>
        </w:rPr>
        <w:t>G</w:t>
      </w:r>
      <w:r w:rsidR="00342422">
        <w:rPr>
          <w:szCs w:val="26"/>
          <w:u w:val="single"/>
        </w:rPr>
        <w:t xml:space="preserve"> Resolution T-17734</w:t>
      </w:r>
      <w:r w:rsidR="00B73A3C">
        <w:rPr>
          <w:szCs w:val="26"/>
          <w:u w:val="single"/>
        </w:rPr>
        <w:t xml:space="preserve"> and </w:t>
      </w:r>
    </w:p>
    <w:p w:rsidR="00C9489F" w:rsidRDefault="00B73A3C" w14:paraId="5C4A5835" w14:textId="4EE6756E">
      <w:pPr>
        <w:pStyle w:val="BriefTitle"/>
        <w:rPr>
          <w:szCs w:val="26"/>
          <w:u w:val="single"/>
        </w:rPr>
      </w:pPr>
      <w:r>
        <w:rPr>
          <w:szCs w:val="26"/>
          <w:u w:val="single"/>
        </w:rPr>
        <w:t>denying rehearing as modified</w:t>
      </w:r>
    </w:p>
    <w:p w:rsidRPr="00D212F7" w:rsidR="003C4498" w:rsidRDefault="003C4498" w14:paraId="611879A2" w14:textId="00E8E246">
      <w:pPr>
        <w:pStyle w:val="BriefTitle"/>
        <w:rPr>
          <w:b w:val="0"/>
          <w:bCs/>
          <w:szCs w:val="26"/>
        </w:rPr>
      </w:pPr>
    </w:p>
    <w:p w:rsidR="001D4FB7" w:rsidP="001D4FB7" w:rsidRDefault="001D4FB7" w14:paraId="54C16608" w14:textId="4548E7A7">
      <w:pPr>
        <w:pStyle w:val="Heading1"/>
      </w:pPr>
      <w:r>
        <w:t>INTRODUCTION</w:t>
      </w:r>
    </w:p>
    <w:p w:rsidRPr="00C32D69" w:rsidR="0053528D" w:rsidP="00C32D69" w:rsidRDefault="003C4498" w14:paraId="45B699D6" w14:textId="6F252BEF">
      <w:pPr>
        <w:pStyle w:val="BodyText10"/>
        <w:ind w:firstLine="1440"/>
        <w:rPr>
          <w:szCs w:val="26"/>
        </w:rPr>
      </w:pPr>
      <w:r w:rsidRPr="00C32D69">
        <w:rPr>
          <w:szCs w:val="26"/>
        </w:rPr>
        <w:t xml:space="preserve">In Resolution T-17734, the Commission adopted an Enforcement Program to ensure that Frontier complies with its obligations under Decision (D.) 21-04-008 (Restructuring Decision).  </w:t>
      </w:r>
      <w:r w:rsidRPr="00C32D69" w:rsidR="000701D8">
        <w:rPr>
          <w:szCs w:val="26"/>
        </w:rPr>
        <w:t xml:space="preserve">The Restructuring Decision </w:t>
      </w:r>
      <w:r w:rsidRPr="00C32D69" w:rsidR="0053528D">
        <w:rPr>
          <w:szCs w:val="26"/>
        </w:rPr>
        <w:t>approve</w:t>
      </w:r>
      <w:r w:rsidR="0059717E">
        <w:rPr>
          <w:szCs w:val="26"/>
        </w:rPr>
        <w:t>d</w:t>
      </w:r>
      <w:r w:rsidRPr="00C32D69" w:rsidR="0053528D">
        <w:rPr>
          <w:szCs w:val="26"/>
        </w:rPr>
        <w:t xml:space="preserve"> Frontier's Application for Corporate Restructuring pursuant to Public Utilities Code section 854</w:t>
      </w:r>
      <w:r w:rsidRPr="00C32D69" w:rsidR="00E34105">
        <w:rPr>
          <w:szCs w:val="26"/>
        </w:rPr>
        <w:t xml:space="preserve"> (Restructuring Application).  </w:t>
      </w:r>
      <w:r w:rsidRPr="00C32D69" w:rsidR="000701D8">
        <w:rPr>
          <w:szCs w:val="26"/>
        </w:rPr>
        <w:t>Frontier’s</w:t>
      </w:r>
      <w:r w:rsidRPr="00C32D69" w:rsidR="00E34105">
        <w:rPr>
          <w:szCs w:val="26"/>
        </w:rPr>
        <w:t xml:space="preserve"> Restructuring A</w:t>
      </w:r>
      <w:r w:rsidRPr="00C32D69" w:rsidR="000701D8">
        <w:rPr>
          <w:szCs w:val="26"/>
        </w:rPr>
        <w:t xml:space="preserve">pplication </w:t>
      </w:r>
      <w:r w:rsidRPr="00C32D69" w:rsidR="0053528D">
        <w:rPr>
          <w:szCs w:val="26"/>
        </w:rPr>
        <w:t xml:space="preserve">was filed after Frontier had filed a joint plan of reorganization under Chapter 11 of the Bankruptcy Code in the United States Bankruptcy Court for the Southern District of New York, Case No. 20-22476.  The </w:t>
      </w:r>
      <w:r w:rsidRPr="00C32D69" w:rsidR="00E34105">
        <w:rPr>
          <w:szCs w:val="26"/>
        </w:rPr>
        <w:t xml:space="preserve">reorganization </w:t>
      </w:r>
      <w:r w:rsidRPr="00C32D69" w:rsidR="0053528D">
        <w:rPr>
          <w:szCs w:val="26"/>
        </w:rPr>
        <w:t xml:space="preserve">plan’s effective date was contingent on the approval of Frontier’s Restructuring Application before the Commission. </w:t>
      </w:r>
    </w:p>
    <w:p w:rsidRPr="00C32D69" w:rsidR="003C4498" w:rsidP="00C32D69" w:rsidRDefault="0053528D" w14:paraId="2EC68C1B" w14:textId="13AA1669">
      <w:pPr>
        <w:pStyle w:val="BodyText10"/>
        <w:ind w:firstLine="1440"/>
        <w:rPr>
          <w:szCs w:val="26"/>
        </w:rPr>
      </w:pPr>
      <w:r w:rsidRPr="00C32D69">
        <w:rPr>
          <w:szCs w:val="26"/>
        </w:rPr>
        <w:t>Frontier</w:t>
      </w:r>
      <w:r w:rsidR="000C7173">
        <w:rPr>
          <w:szCs w:val="26"/>
        </w:rPr>
        <w:t>’s</w:t>
      </w:r>
      <w:r w:rsidRPr="00C32D69">
        <w:rPr>
          <w:szCs w:val="26"/>
        </w:rPr>
        <w:t xml:space="preserve"> </w:t>
      </w:r>
      <w:r w:rsidR="000C7173">
        <w:rPr>
          <w:szCs w:val="26"/>
        </w:rPr>
        <w:t>challenge to Re</w:t>
      </w:r>
      <w:r w:rsidRPr="00C32D69">
        <w:rPr>
          <w:szCs w:val="26"/>
        </w:rPr>
        <w:t xml:space="preserve">solution </w:t>
      </w:r>
      <w:r w:rsidR="007A2F4A">
        <w:rPr>
          <w:szCs w:val="26"/>
        </w:rPr>
        <w:t xml:space="preserve">T-17734 (Resolution) </w:t>
      </w:r>
      <w:r w:rsidR="000C7173">
        <w:rPr>
          <w:szCs w:val="26"/>
        </w:rPr>
        <w:t>chiefly focuses on potential additional penalties adopted in the Resolution for failure to meet standard “out</w:t>
      </w:r>
      <w:r w:rsidR="007F47F3">
        <w:rPr>
          <w:szCs w:val="26"/>
        </w:rPr>
        <w:t>-</w:t>
      </w:r>
      <w:r w:rsidR="000C7173">
        <w:rPr>
          <w:szCs w:val="26"/>
        </w:rPr>
        <w:t xml:space="preserve"> of</w:t>
      </w:r>
      <w:r w:rsidR="007F47F3">
        <w:rPr>
          <w:szCs w:val="26"/>
        </w:rPr>
        <w:t>-</w:t>
      </w:r>
      <w:r w:rsidR="000C7173">
        <w:rPr>
          <w:szCs w:val="26"/>
        </w:rPr>
        <w:t>service” standards</w:t>
      </w:r>
      <w:r w:rsidR="0000736A">
        <w:rPr>
          <w:szCs w:val="26"/>
        </w:rPr>
        <w:t xml:space="preserve"> as defined by </w:t>
      </w:r>
      <w:r w:rsidR="000C7173">
        <w:rPr>
          <w:szCs w:val="26"/>
        </w:rPr>
        <w:t>General Order (G.O.) 133-D</w:t>
      </w:r>
      <w:r w:rsidR="00406EF3">
        <w:rPr>
          <w:szCs w:val="26"/>
        </w:rPr>
        <w:t xml:space="preserve">.  </w:t>
      </w:r>
      <w:r w:rsidR="0000736A">
        <w:rPr>
          <w:szCs w:val="26"/>
        </w:rPr>
        <w:t xml:space="preserve">Frontier argues that </w:t>
      </w:r>
      <w:r w:rsidR="00406EF3">
        <w:rPr>
          <w:szCs w:val="26"/>
        </w:rPr>
        <w:t xml:space="preserve">the </w:t>
      </w:r>
      <w:r w:rsidR="006D1466">
        <w:rPr>
          <w:szCs w:val="26"/>
        </w:rPr>
        <w:t>R</w:t>
      </w:r>
      <w:r w:rsidR="0000736A">
        <w:rPr>
          <w:szCs w:val="26"/>
        </w:rPr>
        <w:t xml:space="preserve">esolution </w:t>
      </w:r>
      <w:r w:rsidRPr="00C32D69">
        <w:rPr>
          <w:szCs w:val="26"/>
        </w:rPr>
        <w:t>exceeds the authority delegated by the Restructuring Decision, expands penalties without proper notice, is an impermissible collateral attack on G.O. 133-D</w:t>
      </w:r>
      <w:r w:rsidR="00406EF3">
        <w:rPr>
          <w:szCs w:val="26"/>
        </w:rPr>
        <w:t>,</w:t>
      </w:r>
      <w:r w:rsidRPr="00C32D69">
        <w:rPr>
          <w:szCs w:val="26"/>
        </w:rPr>
        <w:t xml:space="preserve"> </w:t>
      </w:r>
      <w:r w:rsidRPr="00C32D69">
        <w:rPr>
          <w:szCs w:val="26"/>
        </w:rPr>
        <w:lastRenderedPageBreak/>
        <w:t>contains conclusions not supported by findings nor by substantial evidence in violation of Public Utilities Code section 1757, and relies on arbitrary and capricious reasoning that constitutes an abuse of discretion.  In addition, Frontier contends that the Resolution violates the United States and California Constitutions because it sets up a framework for the imposition of excessive fines, was adopted without sufficient due process, is contrary to the right to equal protection, and is unconstitutionally vague</w:t>
      </w:r>
      <w:r w:rsidR="007A2F4A">
        <w:rPr>
          <w:szCs w:val="26"/>
        </w:rPr>
        <w:t>.</w:t>
      </w:r>
      <w:r w:rsidR="000C7173">
        <w:rPr>
          <w:szCs w:val="26"/>
        </w:rPr>
        <w:t xml:space="preserve">  </w:t>
      </w:r>
      <w:r w:rsidR="007A2F4A">
        <w:rPr>
          <w:szCs w:val="26"/>
        </w:rPr>
        <w:t>No responses to the application for rehearing were filed.</w:t>
      </w:r>
      <w:r w:rsidRPr="00C32D69" w:rsidR="003C4498">
        <w:rPr>
          <w:szCs w:val="26"/>
        </w:rPr>
        <w:t xml:space="preserve"> </w:t>
      </w:r>
    </w:p>
    <w:p w:rsidRPr="00C32D69" w:rsidR="0053528D" w:rsidP="00C32D69" w:rsidRDefault="000C7173" w14:paraId="1574915F" w14:textId="18EA67E1">
      <w:pPr>
        <w:pStyle w:val="BodyText10"/>
        <w:ind w:firstLine="1440"/>
        <w:rPr>
          <w:szCs w:val="26"/>
        </w:rPr>
      </w:pPr>
      <w:r>
        <w:rPr>
          <w:szCs w:val="26"/>
        </w:rPr>
        <w:t xml:space="preserve">We have carefully considered all the arguments presented by Frontier and </w:t>
      </w:r>
      <w:r w:rsidR="00AB38D8">
        <w:rPr>
          <w:szCs w:val="26"/>
        </w:rPr>
        <w:t xml:space="preserve">have determined that we </w:t>
      </w:r>
      <w:r w:rsidR="006160F1">
        <w:rPr>
          <w:szCs w:val="26"/>
        </w:rPr>
        <w:t xml:space="preserve">will </w:t>
      </w:r>
      <w:r>
        <w:rPr>
          <w:szCs w:val="26"/>
        </w:rPr>
        <w:t>modify the Resol</w:t>
      </w:r>
      <w:r w:rsidR="00406EF3">
        <w:rPr>
          <w:szCs w:val="26"/>
        </w:rPr>
        <w:t xml:space="preserve">ution to eliminate the penalties </w:t>
      </w:r>
      <w:r w:rsidR="00E259D9">
        <w:rPr>
          <w:szCs w:val="26"/>
        </w:rPr>
        <w:t>adopted in the Resolution for out</w:t>
      </w:r>
      <w:r w:rsidR="007F47F3">
        <w:rPr>
          <w:szCs w:val="26"/>
        </w:rPr>
        <w:t>-</w:t>
      </w:r>
      <w:r w:rsidR="00E259D9">
        <w:rPr>
          <w:szCs w:val="26"/>
        </w:rPr>
        <w:t>of</w:t>
      </w:r>
      <w:r w:rsidR="007F47F3">
        <w:rPr>
          <w:szCs w:val="26"/>
        </w:rPr>
        <w:t>-</w:t>
      </w:r>
      <w:r w:rsidR="00E259D9">
        <w:rPr>
          <w:szCs w:val="26"/>
        </w:rPr>
        <w:t>service restoral.</w:t>
      </w:r>
      <w:r w:rsidR="00406EF3">
        <w:rPr>
          <w:szCs w:val="26"/>
        </w:rPr>
        <w:t xml:space="preserve"> </w:t>
      </w:r>
      <w:r w:rsidR="00F6468F">
        <w:rPr>
          <w:szCs w:val="26"/>
        </w:rPr>
        <w:t xml:space="preserve"> Frontier’s application for rehearing of the Resolution, as modified in today’s order, is denied.</w:t>
      </w:r>
    </w:p>
    <w:p w:rsidR="001D4FB7" w:rsidP="001D4FB7" w:rsidRDefault="001D4FB7" w14:paraId="3F8883B1" w14:textId="3B9E68B3">
      <w:pPr>
        <w:pStyle w:val="Heading1"/>
        <w:rPr>
          <w:szCs w:val="26"/>
        </w:rPr>
      </w:pPr>
      <w:r>
        <w:rPr>
          <w:szCs w:val="26"/>
        </w:rPr>
        <w:t>DISCUSSION</w:t>
      </w:r>
    </w:p>
    <w:p w:rsidRPr="00F40E65" w:rsidR="00F40E65" w:rsidP="00B910A3" w:rsidRDefault="005B5E64" w14:paraId="47238041" w14:textId="7DF163A0">
      <w:pPr>
        <w:pStyle w:val="Heading2"/>
        <w:ind w:right="720"/>
      </w:pPr>
      <w:r>
        <w:t xml:space="preserve">Whether the Resolution exceeds the </w:t>
      </w:r>
      <w:r w:rsidR="00687DAD">
        <w:t xml:space="preserve">scope of the </w:t>
      </w:r>
      <w:r>
        <w:t>Restru</w:t>
      </w:r>
      <w:r w:rsidR="00F35C87">
        <w:t>cturin</w:t>
      </w:r>
      <w:r>
        <w:t>g Decis</w:t>
      </w:r>
      <w:r w:rsidR="00F35C87">
        <w:t xml:space="preserve">ion </w:t>
      </w:r>
      <w:r>
        <w:t>and contrad</w:t>
      </w:r>
      <w:r w:rsidR="00F35C87">
        <w:t xml:space="preserve">icts </w:t>
      </w:r>
      <w:r>
        <w:t>the expectations of the parties to the Settlement Agreement between Fron</w:t>
      </w:r>
      <w:r w:rsidR="00F35C87">
        <w:t>ti</w:t>
      </w:r>
      <w:r>
        <w:t>er, Cal Advo</w:t>
      </w:r>
      <w:r w:rsidR="00F35C87">
        <w:t>c</w:t>
      </w:r>
      <w:r>
        <w:t>ates, TURN, and CWA</w:t>
      </w:r>
    </w:p>
    <w:p w:rsidRPr="00F40E65" w:rsidR="003C4498" w:rsidP="00F40E65" w:rsidRDefault="003C4498" w14:paraId="42407B10" w14:textId="3C03161B">
      <w:pPr>
        <w:pStyle w:val="BodyText10"/>
        <w:ind w:firstLine="1440"/>
        <w:rPr>
          <w:szCs w:val="26"/>
        </w:rPr>
      </w:pPr>
      <w:r w:rsidRPr="00F40E65">
        <w:rPr>
          <w:szCs w:val="26"/>
        </w:rPr>
        <w:t>Frontier contends that the Resolution adopts a penalty scheme that is beyond the scope of the Restructuring Decision and contradictory to the Settlement Agreement that was approved by the Restructuring Decision.  Frontier further argues that the Resolution’s deviation from the Restructuring Decision renders it a failure to “proceed in the manner required by law” and an “abuse of discretion.” (Pub. Util. Code, §§ 1757(a)(2), 1757(a)(5)</w:t>
      </w:r>
      <w:r w:rsidRPr="00F40E65" w:rsidR="00200C9D">
        <w:rPr>
          <w:szCs w:val="26"/>
        </w:rPr>
        <w:t xml:space="preserve">.)  </w:t>
      </w:r>
    </w:p>
    <w:p w:rsidRPr="00C32D69" w:rsidR="008F2596" w:rsidP="008F2596" w:rsidRDefault="00704BBD" w14:paraId="30A0068F" w14:textId="61C72C3F">
      <w:pPr>
        <w:pStyle w:val="BodyText10"/>
        <w:ind w:firstLine="1440"/>
        <w:rPr>
          <w:szCs w:val="26"/>
        </w:rPr>
      </w:pPr>
      <w:r>
        <w:rPr>
          <w:szCs w:val="26"/>
        </w:rPr>
        <w:t xml:space="preserve">In the Restructuring Decision, the Commission </w:t>
      </w:r>
      <w:r w:rsidRPr="00C32D69" w:rsidR="008F2596">
        <w:rPr>
          <w:szCs w:val="26"/>
        </w:rPr>
        <w:t xml:space="preserve">concluded that three settlement agreements, which Frontier had entered into with various parties, were in the public interest </w:t>
      </w:r>
      <w:r w:rsidRPr="004339F3" w:rsidR="008F2596">
        <w:rPr>
          <w:szCs w:val="26"/>
        </w:rPr>
        <w:t>and, thus, satisfied the requirements of Commission Rule of Practice and Procedure 12.1(d).  However, the Commission also imposed additional conditions that were not included in the restructuring</w:t>
      </w:r>
      <w:r w:rsidRPr="00C32D69" w:rsidR="008F2596">
        <w:rPr>
          <w:szCs w:val="26"/>
        </w:rPr>
        <w:t xml:space="preserve"> plan nor in any of the three settlement agreements.  </w:t>
      </w:r>
    </w:p>
    <w:p w:rsidRPr="00C32D69" w:rsidR="008F2596" w:rsidP="008F2596" w:rsidRDefault="008F2596" w14:paraId="062860E3" w14:textId="62B387AC">
      <w:pPr>
        <w:pStyle w:val="BodyText10"/>
        <w:ind w:firstLine="1440"/>
        <w:rPr>
          <w:szCs w:val="26"/>
        </w:rPr>
      </w:pPr>
      <w:r w:rsidRPr="00C32D69">
        <w:rPr>
          <w:szCs w:val="26"/>
        </w:rPr>
        <w:t xml:space="preserve">Among other things, the Commission required the appointment of an independent Compliance Monitor to ensure that Frontier complies with the numerous </w:t>
      </w:r>
      <w:r w:rsidRPr="00C32D69">
        <w:rPr>
          <w:szCs w:val="26"/>
        </w:rPr>
        <w:lastRenderedPageBreak/>
        <w:t xml:space="preserve">requirements and conditions of the settlement agreements “and the additional mandates of this decision.”  (Restructuring Decision, p. 57; see also Restructuring Decision, p. 25.) Ordering Paragraph (O.P.) 4 of the Restructuring Decision (pp. 68-74) sets forth the terms, requirements, and conditions to be met for approval of the restructuring plan.  </w:t>
      </w:r>
      <w:r w:rsidR="007F7DA2">
        <w:rPr>
          <w:szCs w:val="26"/>
        </w:rPr>
        <w:br/>
      </w:r>
      <w:r w:rsidRPr="00C32D69">
        <w:rPr>
          <w:szCs w:val="26"/>
        </w:rPr>
        <w:t xml:space="preserve">O.P. 4(e) deals with the Compliance Monitor, while O.P. 4(f) directs </w:t>
      </w:r>
      <w:r>
        <w:rPr>
          <w:szCs w:val="26"/>
        </w:rPr>
        <w:t>the Communications Division (</w:t>
      </w:r>
      <w:r w:rsidRPr="00C32D69">
        <w:rPr>
          <w:szCs w:val="26"/>
        </w:rPr>
        <w:t>CD</w:t>
      </w:r>
      <w:r>
        <w:rPr>
          <w:szCs w:val="26"/>
        </w:rPr>
        <w:t>)</w:t>
      </w:r>
      <w:r w:rsidRPr="00C32D69">
        <w:rPr>
          <w:szCs w:val="26"/>
        </w:rPr>
        <w:t xml:space="preserve"> to propose an Enforcement Program.  (Restructuring Decision, pp. 69-70.) </w:t>
      </w:r>
    </w:p>
    <w:p w:rsidRPr="00C32D69" w:rsidR="008F2596" w:rsidP="008F2596" w:rsidRDefault="00704BBD" w14:paraId="56199C23" w14:textId="54F298C6">
      <w:pPr>
        <w:pStyle w:val="BodyText10"/>
        <w:ind w:firstLine="1440"/>
        <w:rPr>
          <w:szCs w:val="26"/>
        </w:rPr>
      </w:pPr>
      <w:r>
        <w:rPr>
          <w:szCs w:val="26"/>
        </w:rPr>
        <w:t>The out</w:t>
      </w:r>
      <w:r w:rsidR="007F47F3">
        <w:rPr>
          <w:szCs w:val="26"/>
        </w:rPr>
        <w:t>-</w:t>
      </w:r>
      <w:r>
        <w:rPr>
          <w:szCs w:val="26"/>
        </w:rPr>
        <w:t>of</w:t>
      </w:r>
      <w:r w:rsidR="007F47F3">
        <w:rPr>
          <w:szCs w:val="26"/>
        </w:rPr>
        <w:t>-</w:t>
      </w:r>
      <w:r>
        <w:rPr>
          <w:szCs w:val="26"/>
        </w:rPr>
        <w:t>service penalties in the Resolution were adopted pursuant to O.P. 4.  As stated in the Resolution, the</w:t>
      </w:r>
      <w:r w:rsidR="00692601">
        <w:rPr>
          <w:szCs w:val="26"/>
        </w:rPr>
        <w:t>s</w:t>
      </w:r>
      <w:r>
        <w:rPr>
          <w:szCs w:val="26"/>
        </w:rPr>
        <w:t xml:space="preserve">e penalties are in addition to penalties </w:t>
      </w:r>
      <w:r w:rsidR="00692601">
        <w:rPr>
          <w:szCs w:val="26"/>
        </w:rPr>
        <w:t xml:space="preserve">adopted </w:t>
      </w:r>
      <w:r>
        <w:rPr>
          <w:szCs w:val="26"/>
        </w:rPr>
        <w:t xml:space="preserve">in </w:t>
      </w:r>
      <w:r w:rsidR="008F2596">
        <w:rPr>
          <w:szCs w:val="26"/>
        </w:rPr>
        <w:t>G.O. 133-D</w:t>
      </w:r>
      <w:r w:rsidR="00692601">
        <w:rPr>
          <w:szCs w:val="26"/>
        </w:rPr>
        <w:t xml:space="preserve">.  G.O. 133-D </w:t>
      </w:r>
      <w:r w:rsidRPr="00C32D69" w:rsidR="008F2596">
        <w:rPr>
          <w:szCs w:val="26"/>
        </w:rPr>
        <w:t>establishe</w:t>
      </w:r>
      <w:r w:rsidR="008F2596">
        <w:rPr>
          <w:szCs w:val="26"/>
        </w:rPr>
        <w:t>d</w:t>
      </w:r>
      <w:r w:rsidRPr="00C32D69" w:rsidR="008F2596">
        <w:rPr>
          <w:szCs w:val="26"/>
        </w:rPr>
        <w:t xml:space="preserve"> uniform minimum standards of service to be observed in the operation of public utility telephone corporations.  </w:t>
      </w:r>
      <w:r w:rsidR="008F2596">
        <w:rPr>
          <w:szCs w:val="26"/>
        </w:rPr>
        <w:t xml:space="preserve">The standards measure the following:  Installation Interval, Installation Commitments, Customer Trouble Reports, Out of Service (OOS) Repair Interval, and Answer Time.  Carriers are assessed fines if they fail to meet the standards for three consecutive months.  </w:t>
      </w:r>
      <w:r w:rsidRPr="00C32D69" w:rsidR="008F2596">
        <w:rPr>
          <w:szCs w:val="26"/>
        </w:rPr>
        <w:t xml:space="preserve">The OOS repair interval measures the time a customer is without service.  </w:t>
      </w:r>
      <w:r w:rsidR="008F2596">
        <w:rPr>
          <w:szCs w:val="26"/>
        </w:rPr>
        <w:t>As stated in the G.O. 133-D, c</w:t>
      </w:r>
      <w:r w:rsidRPr="00C32D69" w:rsidR="008F2596">
        <w:rPr>
          <w:szCs w:val="26"/>
        </w:rPr>
        <w:t>arriers must meet the minimum OOS measure on a monthly basis.</w:t>
      </w:r>
      <w:r w:rsidR="008F2596">
        <w:rPr>
          <w:szCs w:val="26"/>
        </w:rPr>
        <w:t xml:space="preserve">  I</w:t>
      </w:r>
      <w:r w:rsidRPr="00C32D69" w:rsidR="008F2596">
        <w:rPr>
          <w:szCs w:val="26"/>
        </w:rPr>
        <w:t>f a carrier does not meet this standard for three (3) consecutive months, it will be assessed a fine based on adjusted results, beginning in the third month, and will be considered to be in chronic failure status.</w:t>
      </w:r>
    </w:p>
    <w:p w:rsidRPr="00C32D69" w:rsidR="008F2596" w:rsidP="008F2596" w:rsidRDefault="008F2596" w14:paraId="2F87C2FB" w14:textId="5BF15388">
      <w:pPr>
        <w:pStyle w:val="BodyText10"/>
        <w:ind w:firstLine="1440"/>
        <w:rPr>
          <w:szCs w:val="26"/>
        </w:rPr>
      </w:pPr>
      <w:r>
        <w:rPr>
          <w:szCs w:val="26"/>
        </w:rPr>
        <w:t>To illustrate, t</w:t>
      </w:r>
      <w:r w:rsidRPr="00C32D69">
        <w:rPr>
          <w:szCs w:val="26"/>
        </w:rPr>
        <w:t>he base daily fine amount for OOS is $25,000.</w:t>
      </w:r>
      <w:r w:rsidR="00924F74">
        <w:rPr>
          <w:szCs w:val="26"/>
        </w:rPr>
        <w:t xml:space="preserve"> </w:t>
      </w:r>
      <w:r w:rsidRPr="00C32D69">
        <w:rPr>
          <w:szCs w:val="26"/>
        </w:rPr>
        <w:t xml:space="preserve"> For the purpose of calculating the fine, a month consists of 30 days</w:t>
      </w:r>
      <w:r>
        <w:rPr>
          <w:szCs w:val="26"/>
        </w:rPr>
        <w:t xml:space="preserve">.  </w:t>
      </w:r>
      <w:r w:rsidRPr="00C32D69">
        <w:rPr>
          <w:szCs w:val="26"/>
        </w:rPr>
        <w:t xml:space="preserve">For example, if a carrier that had 60% of total access lines initially failed to meet the standard for three consecutive months, the fine for the third, and each subsequent month, would be $750,000 per month [multiplied by] the carrier’s scaling factor of .6, for a total of $450,000 per month. </w:t>
      </w:r>
      <w:r>
        <w:rPr>
          <w:szCs w:val="26"/>
        </w:rPr>
        <w:t xml:space="preserve"> </w:t>
      </w:r>
      <w:r w:rsidRPr="00C32D69">
        <w:rPr>
          <w:szCs w:val="26"/>
        </w:rPr>
        <w:t>(G.O. 133-D, Rule 9.3</w:t>
      </w:r>
      <w:r>
        <w:rPr>
          <w:szCs w:val="26"/>
        </w:rPr>
        <w:t>.</w:t>
      </w:r>
      <w:r w:rsidRPr="00C32D69">
        <w:rPr>
          <w:szCs w:val="26"/>
        </w:rPr>
        <w:t>)</w:t>
      </w:r>
      <w:r>
        <w:rPr>
          <w:rStyle w:val="FootnoteReference"/>
          <w:szCs w:val="26"/>
        </w:rPr>
        <w:footnoteReference w:id="2"/>
      </w:r>
    </w:p>
    <w:p w:rsidRPr="00C32D69" w:rsidR="008F2596" w:rsidP="008F2596" w:rsidRDefault="008F2596" w14:paraId="064FEFFA" w14:textId="6DC49657">
      <w:pPr>
        <w:pStyle w:val="BodyText10"/>
        <w:ind w:firstLine="1440"/>
        <w:rPr>
          <w:szCs w:val="26"/>
        </w:rPr>
      </w:pPr>
      <w:r w:rsidRPr="00C32D69">
        <w:rPr>
          <w:szCs w:val="26"/>
        </w:rPr>
        <w:lastRenderedPageBreak/>
        <w:t xml:space="preserve">The </w:t>
      </w:r>
      <w:r>
        <w:rPr>
          <w:szCs w:val="26"/>
        </w:rPr>
        <w:t>S</w:t>
      </w:r>
      <w:r w:rsidRPr="00C32D69">
        <w:rPr>
          <w:szCs w:val="26"/>
        </w:rPr>
        <w:t xml:space="preserve">ettlement Agreement </w:t>
      </w:r>
      <w:r>
        <w:rPr>
          <w:szCs w:val="26"/>
        </w:rPr>
        <w:t xml:space="preserve">approved in </w:t>
      </w:r>
      <w:r w:rsidRPr="00C32D69">
        <w:rPr>
          <w:szCs w:val="26"/>
        </w:rPr>
        <w:t xml:space="preserve">the Restructuring Decision </w:t>
      </w:r>
      <w:r w:rsidR="00692601">
        <w:rPr>
          <w:szCs w:val="26"/>
        </w:rPr>
        <w:t xml:space="preserve">also </w:t>
      </w:r>
      <w:r w:rsidRPr="00C32D69">
        <w:rPr>
          <w:szCs w:val="26"/>
        </w:rPr>
        <w:t>deals extensively with service quality.  Among other things, the agreement requires Frontier to make capital expenditures within California over four calendar years (2021 to 2024) of $1.75 billion, with at least $222 million “for service quality and network enhancements to meet [G.O. 133-D] standards and improve service quality, network redundancy, and reliability for existing facilities.”  (Settlement Agreement, p. 5.)</w:t>
      </w:r>
    </w:p>
    <w:p w:rsidRPr="00403D3D" w:rsidR="008F2596" w:rsidP="008F2596" w:rsidRDefault="008F2596" w14:paraId="2BCF3DE1" w14:textId="64624445">
      <w:pPr>
        <w:pStyle w:val="Quotation"/>
        <w:rPr>
          <w:szCs w:val="26"/>
        </w:rPr>
      </w:pPr>
      <w:r w:rsidRPr="00403D3D">
        <w:rPr>
          <w:szCs w:val="26"/>
        </w:rPr>
        <w:t xml:space="preserve">Frontier will ramp up to come into compliance with the OOS metric in 2021 and will commit to achieve 80% OOS disaggregated by California ILEC and by copper plant in 2022 and 90% disaggregated by California ILEC and by copper plant in 2023 and 2024. </w:t>
      </w:r>
      <w:r w:rsidR="001813CC">
        <w:rPr>
          <w:szCs w:val="26"/>
        </w:rPr>
        <w:t xml:space="preserve"> </w:t>
      </w:r>
      <w:r w:rsidRPr="00403D3D">
        <w:rPr>
          <w:szCs w:val="26"/>
        </w:rPr>
        <w:t>If Frontier fails to meet the applicable G.O. 133-D OOS standard disaggregated by California ILEC and by copper plant in any month in any of these three years (2022 – 2024), the applicable California ILEC will be subject to an incremental tiered penalty beyond G.O. 133-D requirements of: up to $7 million/year if one or more of the three California ILECs misses the metric by more than 10%; or up to $3.5 million/year if any of the three California ILECs misses the metric by 10% or less. . . .  Unlike G.O. 133-D, where a penalty arises only after a chronic failure, the penalty in this paragraph 6 applies each month that a California ILEC fails to meet the metric.</w:t>
      </w:r>
      <w:r w:rsidR="001813CC">
        <w:rPr>
          <w:szCs w:val="26"/>
        </w:rPr>
        <w:t xml:space="preserve"> </w:t>
      </w:r>
      <w:r w:rsidRPr="00403D3D">
        <w:rPr>
          <w:szCs w:val="26"/>
        </w:rPr>
        <w:t xml:space="preserve"> This penalty shall be deployed as incremental expenditures targeted at service quality, in addition to the aggregate capital expenditure commitments discussed in paragraph 1 above and in addition to the current penalty/investment structure in G.O. 133-D.</w:t>
      </w:r>
      <w:r w:rsidR="001813CC">
        <w:rPr>
          <w:rStyle w:val="FootnoteReference"/>
          <w:szCs w:val="26"/>
        </w:rPr>
        <w:footnoteReference w:id="3"/>
      </w:r>
    </w:p>
    <w:p w:rsidRPr="00C32D69" w:rsidR="008F2596" w:rsidP="008F2596" w:rsidRDefault="008F2596" w14:paraId="4885B76E" w14:textId="77777777">
      <w:pPr>
        <w:pStyle w:val="BodyText10"/>
        <w:ind w:firstLine="0"/>
        <w:rPr>
          <w:szCs w:val="26"/>
        </w:rPr>
      </w:pPr>
      <w:r w:rsidRPr="00C32D69">
        <w:rPr>
          <w:szCs w:val="26"/>
        </w:rPr>
        <w:t>(Attachment 1 Settlement Agreement, ¶ 6, p. 8.)</w:t>
      </w:r>
      <w:r>
        <w:rPr>
          <w:rStyle w:val="FootnoteReference"/>
          <w:szCs w:val="26"/>
        </w:rPr>
        <w:footnoteReference w:id="4"/>
      </w:r>
    </w:p>
    <w:p w:rsidRPr="00C32D69" w:rsidR="008F2596" w:rsidP="008F2596" w:rsidRDefault="008F2596" w14:paraId="7D5AC535" w14:textId="77777777">
      <w:pPr>
        <w:pStyle w:val="BodyText10"/>
        <w:ind w:firstLine="1440"/>
        <w:rPr>
          <w:szCs w:val="26"/>
        </w:rPr>
      </w:pPr>
      <w:r w:rsidRPr="00C32D69">
        <w:rPr>
          <w:szCs w:val="26"/>
        </w:rPr>
        <w:t xml:space="preserve">Resolution T-17734 </w:t>
      </w:r>
      <w:r>
        <w:rPr>
          <w:szCs w:val="26"/>
        </w:rPr>
        <w:t xml:space="preserve">adopts </w:t>
      </w:r>
      <w:r w:rsidRPr="00C32D69">
        <w:rPr>
          <w:szCs w:val="26"/>
        </w:rPr>
        <w:t xml:space="preserve">fines for failing to resolve a minimum of 90% of OOS trouble reports within 24 hours.  This standard applies to each of Frontier’s California ILECs: Frontier CA, Citizens CA, and Southwest.  </w:t>
      </w:r>
      <w:r>
        <w:rPr>
          <w:szCs w:val="26"/>
        </w:rPr>
        <w:t xml:space="preserve">These fines are </w:t>
      </w:r>
      <w:r w:rsidRPr="00C32D69">
        <w:rPr>
          <w:szCs w:val="26"/>
        </w:rPr>
        <w:t xml:space="preserve">in addition </w:t>
      </w:r>
      <w:r w:rsidRPr="00C32D69">
        <w:rPr>
          <w:szCs w:val="26"/>
        </w:rPr>
        <w:lastRenderedPageBreak/>
        <w:t>to fines assessed under G.O 133-D and fines set forth in paragraph 6 of the Settlement Agreement.</w:t>
      </w:r>
    </w:p>
    <w:p w:rsidRPr="009851CB" w:rsidR="008F2596" w:rsidP="008F2596" w:rsidRDefault="008F2596" w14:paraId="1E4C763F" w14:textId="5CB0C8AC">
      <w:pPr>
        <w:pStyle w:val="Quotation"/>
        <w:rPr>
          <w:szCs w:val="26"/>
        </w:rPr>
      </w:pPr>
      <w:r w:rsidRPr="009851CB">
        <w:rPr>
          <w:szCs w:val="26"/>
        </w:rPr>
        <w:t xml:space="preserve">[T]his Resolution does not alter commitment #6 within the settlement agreement between Frontier, Cal Advocates, TURN, and CWA. This Resolution also does not alter the requirements under G.O. 133-D, section 9. </w:t>
      </w:r>
      <w:r w:rsidR="00A84993">
        <w:rPr>
          <w:szCs w:val="26"/>
        </w:rPr>
        <w:t xml:space="preserve"> </w:t>
      </w:r>
      <w:r w:rsidRPr="009851CB">
        <w:rPr>
          <w:szCs w:val="26"/>
        </w:rPr>
        <w:t>This Resolution simply adds another set of consequences among the panoply of other consequences for which Frontier will be responsible.</w:t>
      </w:r>
    </w:p>
    <w:p w:rsidRPr="009851CB" w:rsidR="008F2596" w:rsidP="008F2596" w:rsidRDefault="008F2596" w14:paraId="76610941" w14:textId="12879F2E">
      <w:pPr>
        <w:pStyle w:val="Quotation"/>
        <w:rPr>
          <w:szCs w:val="26"/>
        </w:rPr>
      </w:pPr>
      <w:r w:rsidRPr="009851CB">
        <w:rPr>
          <w:szCs w:val="26"/>
        </w:rPr>
        <w:t xml:space="preserve">As a hypothetical example, Frontier would be accountable </w:t>
      </w:r>
      <w:r w:rsidR="00B32E1B">
        <w:rPr>
          <w:szCs w:val="26"/>
        </w:rPr>
        <w:br/>
      </w:r>
      <w:r w:rsidRPr="009851CB">
        <w:rPr>
          <w:szCs w:val="26"/>
        </w:rPr>
        <w:t xml:space="preserve">for the sum of nine million dollars for failing to restore </w:t>
      </w:r>
      <w:r w:rsidR="00B32E1B">
        <w:rPr>
          <w:szCs w:val="26"/>
        </w:rPr>
        <w:br/>
      </w:r>
      <w:r w:rsidRPr="009851CB">
        <w:rPr>
          <w:szCs w:val="26"/>
        </w:rPr>
        <w:t>90 percent of service outages within 24 hours under the following simultaneous scenario: a) one million dollars pursuant to a fine assessed under G.O. 133-D, b) two million dollars in reinvestment monies per commitment #6 within the settlement agreement between Frontier, Cal Advocates, TURN, and CWA, and c) one million dollars pursuant to a fine assessed per this Resolution.</w:t>
      </w:r>
    </w:p>
    <w:p w:rsidRPr="00C32D69" w:rsidR="008F2596" w:rsidP="008F2596" w:rsidRDefault="008F2596" w14:paraId="03ACEF90" w14:textId="77777777">
      <w:pPr>
        <w:pStyle w:val="BodyText10"/>
        <w:ind w:firstLine="0"/>
        <w:rPr>
          <w:szCs w:val="26"/>
        </w:rPr>
      </w:pPr>
      <w:r w:rsidRPr="00C32D69">
        <w:rPr>
          <w:szCs w:val="26"/>
        </w:rPr>
        <w:t>(Resolution T-17734, p. 3, fn. 4.)</w:t>
      </w:r>
    </w:p>
    <w:p w:rsidRPr="00C32D69" w:rsidR="008F2596" w:rsidP="008F2596" w:rsidRDefault="008F2596" w14:paraId="1C6F1EFD" w14:textId="7C0B93FB">
      <w:pPr>
        <w:pStyle w:val="BodyText10"/>
        <w:ind w:firstLine="1440"/>
        <w:rPr>
          <w:szCs w:val="26"/>
        </w:rPr>
      </w:pPr>
      <w:r w:rsidRPr="00C32D69">
        <w:rPr>
          <w:szCs w:val="26"/>
        </w:rPr>
        <w:t>According to the Resolution, the penalties would apply if a quarterly report shows that less than 90% of the service outages had a restoral time of more tha</w:t>
      </w:r>
      <w:r>
        <w:rPr>
          <w:szCs w:val="26"/>
        </w:rPr>
        <w:t>n</w:t>
      </w:r>
      <w:r w:rsidRPr="00C32D69">
        <w:rPr>
          <w:szCs w:val="26"/>
        </w:rPr>
        <w:t xml:space="preserve"> 24 hours for a given month.  The maximum penalty for failing to timely restore services outages for </w:t>
      </w:r>
      <w:r w:rsidRPr="00C32D69" w:rsidR="00E069A2">
        <w:rPr>
          <w:szCs w:val="26"/>
        </w:rPr>
        <w:t>all</w:t>
      </w:r>
      <w:r w:rsidRPr="00C32D69">
        <w:rPr>
          <w:szCs w:val="26"/>
        </w:rPr>
        <w:t xml:space="preserve"> three Frontier telephone corporations combined would be thirty-six million dollars annually (three million dollars per month).  However, this is only if each company had an OOS repair interval of 60% to 70%.  As the repair interval percentage goes up, the penalty goes down.  (See Resolution T-17734, p. 5.)</w:t>
      </w:r>
    </w:p>
    <w:p w:rsidRPr="00C32D69" w:rsidR="008F2596" w:rsidP="008F2596" w:rsidRDefault="008F2596" w14:paraId="6E0481CF" w14:textId="77777777">
      <w:pPr>
        <w:pStyle w:val="BodyText10"/>
        <w:ind w:firstLine="1440"/>
        <w:rPr>
          <w:szCs w:val="26"/>
        </w:rPr>
      </w:pPr>
      <w:r w:rsidRPr="00C32D69">
        <w:rPr>
          <w:szCs w:val="26"/>
        </w:rPr>
        <w:t xml:space="preserve">In addition, the Resolution also adopts penalties for failure to file required reports in a timely manner ($1,000 per day), and for failure to timely and completely respond to data requests ($1,000 per data request), and a monthly late payment fee of 10%.  The Resolution sets up other processes related to implementation of an enforcement program that are not relevant to the application for rehearing.  </w:t>
      </w:r>
    </w:p>
    <w:p w:rsidR="00172591" w:rsidP="00C32D69" w:rsidRDefault="003F3373" w14:paraId="4033C3D9" w14:textId="21F0081C">
      <w:pPr>
        <w:pStyle w:val="BodyText10"/>
        <w:ind w:firstLine="1440"/>
        <w:rPr>
          <w:szCs w:val="26"/>
        </w:rPr>
      </w:pPr>
      <w:r>
        <w:rPr>
          <w:szCs w:val="26"/>
        </w:rPr>
        <w:t>Regarding Frontier’s Application for Rehearing, w</w:t>
      </w:r>
      <w:r w:rsidR="00AB38D8">
        <w:rPr>
          <w:szCs w:val="26"/>
        </w:rPr>
        <w:t xml:space="preserve">e </w:t>
      </w:r>
      <w:r w:rsidR="00134A1E">
        <w:rPr>
          <w:szCs w:val="26"/>
        </w:rPr>
        <w:t>are</w:t>
      </w:r>
      <w:r w:rsidR="00AB38D8">
        <w:rPr>
          <w:szCs w:val="26"/>
        </w:rPr>
        <w:t xml:space="preserve"> not </w:t>
      </w:r>
      <w:r w:rsidR="00134A1E">
        <w:rPr>
          <w:szCs w:val="26"/>
        </w:rPr>
        <w:t>convinced</w:t>
      </w:r>
      <w:r w:rsidR="00AB38D8">
        <w:rPr>
          <w:szCs w:val="26"/>
        </w:rPr>
        <w:t xml:space="preserve"> that the Resolution exceeds authority delegate</w:t>
      </w:r>
      <w:r w:rsidR="00857546">
        <w:rPr>
          <w:szCs w:val="26"/>
        </w:rPr>
        <w:t xml:space="preserve">d to CD by the Restructuring Decision.  </w:t>
      </w:r>
      <w:r w:rsidR="001D0F11">
        <w:rPr>
          <w:szCs w:val="26"/>
        </w:rPr>
        <w:t xml:space="preserve">And we reject </w:t>
      </w:r>
      <w:r w:rsidRPr="00C32D69" w:rsidR="001D0F11">
        <w:rPr>
          <w:szCs w:val="26"/>
        </w:rPr>
        <w:t>Frontier</w:t>
      </w:r>
      <w:r>
        <w:rPr>
          <w:szCs w:val="26"/>
        </w:rPr>
        <w:t>’s</w:t>
      </w:r>
      <w:r w:rsidRPr="00C32D69" w:rsidR="001D0F11">
        <w:rPr>
          <w:szCs w:val="26"/>
        </w:rPr>
        <w:t xml:space="preserve"> </w:t>
      </w:r>
      <w:r w:rsidR="001D0F11">
        <w:rPr>
          <w:szCs w:val="26"/>
        </w:rPr>
        <w:t xml:space="preserve">argument </w:t>
      </w:r>
      <w:r w:rsidRPr="00C32D69" w:rsidR="001D0F11">
        <w:rPr>
          <w:szCs w:val="26"/>
        </w:rPr>
        <w:t>that O.P.</w:t>
      </w:r>
      <w:r w:rsidR="003053C2">
        <w:rPr>
          <w:szCs w:val="26"/>
        </w:rPr>
        <w:t xml:space="preserve"> </w:t>
      </w:r>
      <w:r w:rsidRPr="00C32D69" w:rsidR="001D0F11">
        <w:rPr>
          <w:szCs w:val="26"/>
        </w:rPr>
        <w:t xml:space="preserve">4(f) only refers to enforcement of the settlement </w:t>
      </w:r>
      <w:r w:rsidRPr="00C32D69" w:rsidR="001D0F11">
        <w:rPr>
          <w:szCs w:val="26"/>
        </w:rPr>
        <w:lastRenderedPageBreak/>
        <w:t xml:space="preserve">agreements.  </w:t>
      </w:r>
      <w:r w:rsidR="00172591">
        <w:rPr>
          <w:szCs w:val="26"/>
        </w:rPr>
        <w:t xml:space="preserve">However, </w:t>
      </w:r>
      <w:r w:rsidR="00120234">
        <w:rPr>
          <w:szCs w:val="26"/>
        </w:rPr>
        <w:t>given the totality of the circumstances,</w:t>
      </w:r>
      <w:r w:rsidR="00134A1E">
        <w:rPr>
          <w:szCs w:val="26"/>
        </w:rPr>
        <w:t xml:space="preserve"> and the substantial alternate penalties that exist, </w:t>
      </w:r>
      <w:r w:rsidR="00120234">
        <w:rPr>
          <w:szCs w:val="26"/>
        </w:rPr>
        <w:t>we have decided to eliminate the additional OOS penalties that are set forth in the Resolution at this time.</w:t>
      </w:r>
      <w:r>
        <w:rPr>
          <w:szCs w:val="26"/>
        </w:rPr>
        <w:t xml:space="preserve">  This refers only to section I.A. of the Resolution, entitled “Timely Restoring Service Outages.”  (Resolution</w:t>
      </w:r>
      <w:r w:rsidR="00D07CF6">
        <w:rPr>
          <w:szCs w:val="26"/>
        </w:rPr>
        <w:t>.</w:t>
      </w:r>
      <w:r>
        <w:rPr>
          <w:szCs w:val="26"/>
        </w:rPr>
        <w:t xml:space="preserve"> pp. 4-</w:t>
      </w:r>
      <w:r w:rsidR="00E00343">
        <w:rPr>
          <w:szCs w:val="26"/>
        </w:rPr>
        <w:t xml:space="preserve">6.)  These penalties are a third layer of penalties on top of GO 133-D and the Settlement Agreement.  </w:t>
      </w:r>
    </w:p>
    <w:p w:rsidR="00827864" w:rsidP="00C32D69" w:rsidRDefault="00175030" w14:paraId="4AA82907" w14:textId="48528FFB">
      <w:pPr>
        <w:pStyle w:val="BodyText10"/>
        <w:ind w:firstLine="1440"/>
        <w:rPr>
          <w:szCs w:val="26"/>
        </w:rPr>
      </w:pPr>
      <w:r>
        <w:rPr>
          <w:szCs w:val="26"/>
        </w:rPr>
        <w:t xml:space="preserve">Because we are modifying the Resolution to eliminate the additional OOS penalties, we need not address </w:t>
      </w:r>
      <w:r w:rsidR="00827864">
        <w:rPr>
          <w:szCs w:val="26"/>
        </w:rPr>
        <w:t xml:space="preserve">most of Frontier’s other issues pertaining to those penalties. </w:t>
      </w:r>
    </w:p>
    <w:p w:rsidRPr="00C32D69" w:rsidR="003C4498" w:rsidP="00DC40B9" w:rsidRDefault="003C4498" w14:paraId="4C16E07D" w14:textId="303ACAB5">
      <w:pPr>
        <w:pStyle w:val="Heading2"/>
        <w:ind w:right="720"/>
      </w:pPr>
      <w:r w:rsidRPr="00C32D69">
        <w:t>Whether the Prescribed Penalties for Future Data Request Responses are Unconstitutionally Vague</w:t>
      </w:r>
    </w:p>
    <w:p w:rsidRPr="00C32D69" w:rsidR="003C4498" w:rsidP="00C32D69" w:rsidRDefault="003C4498" w14:paraId="689B978E" w14:textId="72F9B278">
      <w:pPr>
        <w:pStyle w:val="BodyText10"/>
        <w:ind w:firstLine="1440"/>
        <w:rPr>
          <w:szCs w:val="26"/>
        </w:rPr>
      </w:pPr>
      <w:r w:rsidRPr="00C32D69">
        <w:rPr>
          <w:szCs w:val="26"/>
        </w:rPr>
        <w:t xml:space="preserve">Frontier asserts that the Resolution’s penalties for failure to comply with future data requests are void for vagueness under the due process clauses of the state and federal constitutions.  (See U.S. Const. 14th amend., § 1; Cal. Const., art. I, § 7.)  </w:t>
      </w:r>
    </w:p>
    <w:p w:rsidRPr="00C32D69" w:rsidR="003C4498" w:rsidP="00C32D69" w:rsidRDefault="003C4498" w14:paraId="354682A5" w14:textId="1073DE82">
      <w:pPr>
        <w:pStyle w:val="BodyText10"/>
        <w:ind w:firstLine="1440"/>
        <w:rPr>
          <w:szCs w:val="26"/>
        </w:rPr>
      </w:pPr>
      <w:r w:rsidRPr="00C32D69">
        <w:rPr>
          <w:szCs w:val="26"/>
        </w:rPr>
        <w:t>The Resolution provides that Frontier shall pay “$1,000 per day for each of its utility numbers [sic] for each late or incomplete submission of responses to a data request.”  (Resolution</w:t>
      </w:r>
      <w:r w:rsidR="00D07CF6">
        <w:rPr>
          <w:szCs w:val="26"/>
        </w:rPr>
        <w:t>,</w:t>
      </w:r>
      <w:r w:rsidRPr="00C32D69">
        <w:rPr>
          <w:szCs w:val="26"/>
        </w:rPr>
        <w:t xml:space="preserve"> p. 7.)  Frontier argues that this requirement is unconstitutionally vague because the Resolution does not define “data request,” “late,” or “complete.”</w:t>
      </w:r>
    </w:p>
    <w:p w:rsidR="006209DA" w:rsidP="00C32D69" w:rsidRDefault="0095101C" w14:paraId="0E5AB0CA" w14:textId="77777777">
      <w:pPr>
        <w:pStyle w:val="BodyText10"/>
        <w:ind w:firstLine="1440"/>
        <w:rPr>
          <w:szCs w:val="26"/>
        </w:rPr>
      </w:pPr>
      <w:r>
        <w:rPr>
          <w:szCs w:val="26"/>
        </w:rPr>
        <w:t xml:space="preserve">Staff data requests usually set a due date that provides a </w:t>
      </w:r>
      <w:r w:rsidRPr="00C32D69" w:rsidR="003C4498">
        <w:rPr>
          <w:szCs w:val="26"/>
        </w:rPr>
        <w:t xml:space="preserve">reasonable time for a utility to respond.  </w:t>
      </w:r>
      <w:r>
        <w:rPr>
          <w:szCs w:val="26"/>
        </w:rPr>
        <w:t xml:space="preserve">Here, the </w:t>
      </w:r>
      <w:r w:rsidRPr="00C32D69" w:rsidR="003C4498">
        <w:rPr>
          <w:szCs w:val="26"/>
        </w:rPr>
        <w:t>Resolution establishes a five-day grace period from the date the data response is due</w:t>
      </w:r>
      <w:r>
        <w:rPr>
          <w:szCs w:val="26"/>
        </w:rPr>
        <w:t xml:space="preserve"> before any penalties are triggered.  (Resolution, p. 7.)  We also note F</w:t>
      </w:r>
      <w:r w:rsidRPr="00C32D69" w:rsidR="003C4498">
        <w:rPr>
          <w:szCs w:val="26"/>
        </w:rPr>
        <w:t>rontier has the opportunity to appeal any fine</w:t>
      </w:r>
      <w:r>
        <w:rPr>
          <w:szCs w:val="26"/>
        </w:rPr>
        <w:t xml:space="preserve"> in the event Frontier disagrees with staff’s </w:t>
      </w:r>
      <w:r w:rsidR="006209DA">
        <w:rPr>
          <w:szCs w:val="26"/>
        </w:rPr>
        <w:t>determination to assess a penalty because a</w:t>
      </w:r>
      <w:r>
        <w:rPr>
          <w:szCs w:val="26"/>
        </w:rPr>
        <w:t xml:space="preserve"> response is late or </w:t>
      </w:r>
      <w:r w:rsidR="006209DA">
        <w:rPr>
          <w:szCs w:val="26"/>
        </w:rPr>
        <w:t>in</w:t>
      </w:r>
      <w:r>
        <w:rPr>
          <w:szCs w:val="26"/>
        </w:rPr>
        <w:t>complete.</w:t>
      </w:r>
    </w:p>
    <w:p w:rsidRPr="00C32D69" w:rsidR="003C4498" w:rsidP="00C32D69" w:rsidRDefault="006209DA" w14:paraId="5CAAF6BC" w14:textId="05031118">
      <w:pPr>
        <w:pStyle w:val="BodyText10"/>
        <w:ind w:firstLine="1440"/>
        <w:rPr>
          <w:szCs w:val="26"/>
        </w:rPr>
      </w:pPr>
      <w:r>
        <w:rPr>
          <w:szCs w:val="26"/>
        </w:rPr>
        <w:t xml:space="preserve">Frontier’s </w:t>
      </w:r>
      <w:r w:rsidRPr="00C32D69">
        <w:rPr>
          <w:szCs w:val="26"/>
        </w:rPr>
        <w:t>claim is without merit because a vagueness challenge must be judged by the particular facts involved once penalties are levied.</w:t>
      </w:r>
      <w:r>
        <w:rPr>
          <w:szCs w:val="26"/>
        </w:rPr>
        <w:t xml:space="preserve">  </w:t>
      </w:r>
      <w:r w:rsidRPr="00C32D69" w:rsidR="003C4498">
        <w:rPr>
          <w:szCs w:val="26"/>
        </w:rPr>
        <w:t>The vagueness doctrine is based on the fundamental principle that laws regulating persons or entities much give “fair notice of conduct that is forbidden or required.”  (</w:t>
      </w:r>
      <w:r w:rsidRPr="006209DA" w:rsidR="003C4498">
        <w:rPr>
          <w:i/>
          <w:iCs/>
          <w:szCs w:val="26"/>
        </w:rPr>
        <w:t>FCC v. Fox Television Stations, Inc</w:t>
      </w:r>
      <w:r w:rsidRPr="00C32D69" w:rsidR="003C4498">
        <w:rPr>
          <w:szCs w:val="26"/>
        </w:rPr>
        <w:t xml:space="preserve">. (2012) 567 U.S. 239, 253.)  As Frontier points out, vagueness prohibitions have been applied to administrative regulations.  (See, e.g., </w:t>
      </w:r>
      <w:r w:rsidRPr="006209DA" w:rsidR="003C4498">
        <w:rPr>
          <w:i/>
          <w:iCs/>
          <w:szCs w:val="26"/>
        </w:rPr>
        <w:t>Cranston v. City of Richmond</w:t>
      </w:r>
      <w:r w:rsidRPr="00C32D69" w:rsidR="003C4498">
        <w:rPr>
          <w:szCs w:val="26"/>
        </w:rPr>
        <w:t xml:space="preserve"> (1985) 40 Cal. 3d 755.)</w:t>
      </w:r>
    </w:p>
    <w:p w:rsidRPr="00C32D69" w:rsidR="003C4498" w:rsidP="00C32D69" w:rsidRDefault="003C4498" w14:paraId="16D58070" w14:textId="77777777">
      <w:pPr>
        <w:pStyle w:val="BodyText10"/>
        <w:ind w:firstLine="1440"/>
        <w:rPr>
          <w:szCs w:val="26"/>
        </w:rPr>
      </w:pPr>
      <w:r w:rsidRPr="00C32D69">
        <w:rPr>
          <w:szCs w:val="26"/>
        </w:rPr>
        <w:lastRenderedPageBreak/>
        <w:t xml:space="preserve">However, as also pointed out in </w:t>
      </w:r>
      <w:r w:rsidRPr="006209DA">
        <w:rPr>
          <w:i/>
          <w:iCs/>
          <w:szCs w:val="26"/>
        </w:rPr>
        <w:t>Cranston v. City of Richmond</w:t>
      </w:r>
      <w:r w:rsidRPr="00C32D69">
        <w:rPr>
          <w:szCs w:val="26"/>
        </w:rPr>
        <w:t xml:space="preserve">, </w:t>
      </w:r>
      <w:r w:rsidRPr="00C53F39">
        <w:rPr>
          <w:i/>
          <w:iCs/>
          <w:szCs w:val="26"/>
        </w:rPr>
        <w:t>supra</w:t>
      </w:r>
      <w:r w:rsidRPr="00C32D69">
        <w:rPr>
          <w:szCs w:val="26"/>
        </w:rPr>
        <w:t>, “It is well-established that vagueness challenges to statutes which do not involve First Amendment freedoms must be examined in the light of the facts of the case at hand.”  (</w:t>
      </w:r>
      <w:r w:rsidRPr="00F671EC">
        <w:rPr>
          <w:i/>
          <w:iCs/>
          <w:szCs w:val="26"/>
        </w:rPr>
        <w:t>Id</w:t>
      </w:r>
      <w:r w:rsidRPr="00C32D69">
        <w:rPr>
          <w:szCs w:val="26"/>
        </w:rPr>
        <w:t>. at p. 764, citations and internal quotation marks omitted.)  A void for vagueness challenge is examined in the light of the conduct with which a person is charged or penalized.  Courts are not obliged to consider every conceivable situation which might arise under the language of the statute or rule.  If the language of a statute may be given “a reasonable and practical construction in accordance with the probable intent of the Legislature” and if the conduct of a defendant “clearly falls within its bounds,” then a defendant cannot complain of vagueness.  (</w:t>
      </w:r>
      <w:r w:rsidRPr="00F671EC">
        <w:rPr>
          <w:i/>
          <w:iCs/>
          <w:szCs w:val="26"/>
        </w:rPr>
        <w:t>Id</w:t>
      </w:r>
      <w:r w:rsidRPr="00C32D69">
        <w:rPr>
          <w:szCs w:val="26"/>
        </w:rPr>
        <w:t>. at p. 764-765, citations and internal quotations marks omitted.)</w:t>
      </w:r>
    </w:p>
    <w:p w:rsidRPr="00C32D69" w:rsidR="003C4498" w:rsidP="00C32D69" w:rsidRDefault="003C4498" w14:paraId="630AA0A7" w14:textId="02C1B00E">
      <w:pPr>
        <w:pStyle w:val="BodyText10"/>
        <w:ind w:firstLine="1440"/>
        <w:rPr>
          <w:szCs w:val="26"/>
        </w:rPr>
      </w:pPr>
      <w:r w:rsidRPr="00C32D69">
        <w:rPr>
          <w:szCs w:val="26"/>
        </w:rPr>
        <w:t xml:space="preserve">In other words, unless First Amendment freedoms are involved, which clearly is not the case here, this particular rule can only be challenged on vagueness grounds when applied to specific conduct in light of the specific facts and circumstances involved.  Thus, Frontier’s </w:t>
      </w:r>
      <w:r w:rsidR="006209DA">
        <w:rPr>
          <w:szCs w:val="26"/>
        </w:rPr>
        <w:t>request for rehearing on the data request penalties is denied.</w:t>
      </w:r>
    </w:p>
    <w:p w:rsidRPr="00C32D69" w:rsidR="003C4498" w:rsidP="00BF1143" w:rsidRDefault="003C4498" w14:paraId="13410567" w14:textId="77777777">
      <w:pPr>
        <w:pStyle w:val="Heading2"/>
      </w:pPr>
      <w:r w:rsidRPr="00C32D69">
        <w:t>Request for Oral Argument</w:t>
      </w:r>
    </w:p>
    <w:p w:rsidRPr="00C32D69" w:rsidR="003C4498" w:rsidP="00C32D69" w:rsidRDefault="003C4498" w14:paraId="79CCF9E5" w14:textId="77777777">
      <w:pPr>
        <w:pStyle w:val="BodyText10"/>
        <w:ind w:firstLine="1440"/>
        <w:rPr>
          <w:szCs w:val="26"/>
        </w:rPr>
      </w:pPr>
      <w:r w:rsidRPr="00C32D69">
        <w:rPr>
          <w:szCs w:val="26"/>
        </w:rPr>
        <w:t>In connection with its Application for Rehearing, Frontier requests oral argument pursuant to Rule 16.3 of the Commission’s Rules of Practice and Procedure.</w:t>
      </w:r>
    </w:p>
    <w:p w:rsidR="003C4498" w:rsidP="006209DA" w:rsidRDefault="003C4498" w14:paraId="2C16450E" w14:textId="50588261">
      <w:pPr>
        <w:pStyle w:val="BodyText10"/>
        <w:ind w:firstLine="1440"/>
        <w:rPr>
          <w:szCs w:val="26"/>
        </w:rPr>
      </w:pPr>
      <w:r w:rsidRPr="00C32D69">
        <w:rPr>
          <w:szCs w:val="26"/>
        </w:rPr>
        <w:t xml:space="preserve">Rule 16.3(a) provide that oral argument is appropriate on rehearing where the application raises issues of “major significance” to the Commission because the challenged decision: (1) adopts new Commission precedent or departs from existing Commission precedent without adequate explanation; (2) changes or refines existing Commission precedent; (3) presents legal issues of exceptional controversy, complexity, or public importance; and/or (4) raises questions of first impression that are likely to have significant precedential impact. </w:t>
      </w:r>
      <w:r w:rsidR="00080AD0">
        <w:rPr>
          <w:szCs w:val="26"/>
        </w:rPr>
        <w:t xml:space="preserve"> </w:t>
      </w:r>
      <w:r w:rsidR="00803EC8">
        <w:rPr>
          <w:szCs w:val="26"/>
        </w:rPr>
        <w:t>(</w:t>
      </w:r>
      <w:r w:rsidRPr="00C32D69">
        <w:rPr>
          <w:szCs w:val="26"/>
        </w:rPr>
        <w:t>See Rule 16.3(a).</w:t>
      </w:r>
      <w:r w:rsidR="00803EC8">
        <w:rPr>
          <w:szCs w:val="26"/>
        </w:rPr>
        <w:t>)</w:t>
      </w:r>
      <w:r w:rsidR="006209DA">
        <w:rPr>
          <w:szCs w:val="26"/>
        </w:rPr>
        <w:t xml:space="preserve">  </w:t>
      </w:r>
      <w:r w:rsidRPr="00C32D69">
        <w:rPr>
          <w:szCs w:val="26"/>
        </w:rPr>
        <w:t xml:space="preserve">Frontier contends that the legal errors identified by Frontier satisfy each of these elements.  </w:t>
      </w:r>
    </w:p>
    <w:p w:rsidR="003C4498" w:rsidP="00C32D69" w:rsidRDefault="006209DA" w14:paraId="310E6BBC" w14:textId="324C0DA2">
      <w:pPr>
        <w:pStyle w:val="BodyText10"/>
        <w:ind w:firstLine="1440"/>
        <w:rPr>
          <w:szCs w:val="26"/>
        </w:rPr>
      </w:pPr>
      <w:r>
        <w:rPr>
          <w:szCs w:val="26"/>
        </w:rPr>
        <w:t>First</w:t>
      </w:r>
      <w:r w:rsidR="00AE5FD5">
        <w:rPr>
          <w:szCs w:val="26"/>
        </w:rPr>
        <w:t xml:space="preserve">, the </w:t>
      </w:r>
      <w:r w:rsidR="003C4498">
        <w:rPr>
          <w:szCs w:val="26"/>
        </w:rPr>
        <w:t xml:space="preserve">Commission has discretion to determine the appropriateness of oral argument in any particular matter.  (See Rule 16.3(a).)  </w:t>
      </w:r>
      <w:r w:rsidR="00AE5FD5">
        <w:rPr>
          <w:szCs w:val="26"/>
        </w:rPr>
        <w:t xml:space="preserve">Second, </w:t>
      </w:r>
      <w:r w:rsidR="006160F1">
        <w:rPr>
          <w:szCs w:val="26"/>
        </w:rPr>
        <w:t xml:space="preserve">because </w:t>
      </w:r>
      <w:r w:rsidR="00AD2CA1">
        <w:rPr>
          <w:szCs w:val="26"/>
        </w:rPr>
        <w:t xml:space="preserve">we </w:t>
      </w:r>
      <w:r w:rsidR="00AE5FD5">
        <w:rPr>
          <w:szCs w:val="26"/>
        </w:rPr>
        <w:t xml:space="preserve">are </w:t>
      </w:r>
      <w:r w:rsidR="00AE5FD5">
        <w:rPr>
          <w:szCs w:val="26"/>
        </w:rPr>
        <w:lastRenderedPageBreak/>
        <w:t xml:space="preserve">eliminating the Resolution’s OOS penalties, </w:t>
      </w:r>
      <w:r w:rsidR="006160F1">
        <w:rPr>
          <w:szCs w:val="26"/>
        </w:rPr>
        <w:t xml:space="preserve">there is no need </w:t>
      </w:r>
      <w:r w:rsidR="00AD2CA1">
        <w:rPr>
          <w:szCs w:val="26"/>
        </w:rPr>
        <w:t xml:space="preserve"> for oral argument. </w:t>
      </w:r>
      <w:r w:rsidR="003C4498">
        <w:rPr>
          <w:szCs w:val="26"/>
        </w:rPr>
        <w:t xml:space="preserve"> Therefore, the request </w:t>
      </w:r>
      <w:r w:rsidR="00C31BCE">
        <w:rPr>
          <w:szCs w:val="26"/>
        </w:rPr>
        <w:t xml:space="preserve">for oral argument </w:t>
      </w:r>
      <w:r w:rsidR="00AE5FD5">
        <w:rPr>
          <w:szCs w:val="26"/>
        </w:rPr>
        <w:t xml:space="preserve">is </w:t>
      </w:r>
      <w:r w:rsidR="003C4498">
        <w:rPr>
          <w:szCs w:val="26"/>
        </w:rPr>
        <w:t>denied.</w:t>
      </w:r>
    </w:p>
    <w:p w:rsidRPr="00EF5653" w:rsidR="00BF1143" w:rsidP="00B37519" w:rsidRDefault="00BF1143" w14:paraId="0F697941" w14:textId="77777777">
      <w:pPr>
        <w:pStyle w:val="Heading1"/>
      </w:pPr>
      <w:r w:rsidRPr="00EF5653">
        <w:t>CONCLUSION</w:t>
      </w:r>
    </w:p>
    <w:p w:rsidR="00C31BCE" w:rsidP="00BF1143" w:rsidRDefault="00AE5FD5" w14:paraId="19C6EB1B" w14:textId="300E5B92">
      <w:pPr>
        <w:pStyle w:val="BodyText10"/>
        <w:ind w:firstLine="1440"/>
        <w:rPr>
          <w:szCs w:val="26"/>
        </w:rPr>
      </w:pPr>
      <w:r w:rsidRPr="00EF5653">
        <w:rPr>
          <w:szCs w:val="26"/>
        </w:rPr>
        <w:t xml:space="preserve">For the reasons states above, </w:t>
      </w:r>
      <w:r w:rsidRPr="00EF5653" w:rsidR="00EF5653">
        <w:rPr>
          <w:szCs w:val="26"/>
        </w:rPr>
        <w:t xml:space="preserve">we will </w:t>
      </w:r>
      <w:r w:rsidRPr="00EF5653">
        <w:rPr>
          <w:szCs w:val="26"/>
        </w:rPr>
        <w:t>modif</w:t>
      </w:r>
      <w:r w:rsidRPr="00EF5653" w:rsidR="00EF5653">
        <w:rPr>
          <w:szCs w:val="26"/>
        </w:rPr>
        <w:t>y</w:t>
      </w:r>
      <w:r w:rsidRPr="00EF5653">
        <w:rPr>
          <w:szCs w:val="26"/>
        </w:rPr>
        <w:t xml:space="preserve"> Resolution </w:t>
      </w:r>
      <w:r w:rsidRPr="00EF5653" w:rsidR="00EF5653">
        <w:rPr>
          <w:szCs w:val="26"/>
        </w:rPr>
        <w:t xml:space="preserve">T-17734 </w:t>
      </w:r>
      <w:r w:rsidRPr="00EF5653">
        <w:rPr>
          <w:szCs w:val="26"/>
        </w:rPr>
        <w:t xml:space="preserve">to eliminate the additional penalties in the </w:t>
      </w:r>
      <w:r w:rsidR="006D1466">
        <w:rPr>
          <w:szCs w:val="26"/>
        </w:rPr>
        <w:t>R</w:t>
      </w:r>
      <w:r w:rsidRPr="00EF5653">
        <w:rPr>
          <w:szCs w:val="26"/>
        </w:rPr>
        <w:t xml:space="preserve">esolution for the failure to meet OOS restoral standards.  </w:t>
      </w:r>
      <w:r w:rsidR="00C31BCE">
        <w:rPr>
          <w:szCs w:val="26"/>
        </w:rPr>
        <w:t xml:space="preserve">We will deny </w:t>
      </w:r>
      <w:r w:rsidRPr="00EF5653">
        <w:rPr>
          <w:szCs w:val="26"/>
        </w:rPr>
        <w:t xml:space="preserve">Frontier’s </w:t>
      </w:r>
      <w:r w:rsidRPr="00EF5653" w:rsidR="00EF5653">
        <w:rPr>
          <w:szCs w:val="26"/>
        </w:rPr>
        <w:t xml:space="preserve">Application </w:t>
      </w:r>
      <w:r w:rsidR="00016E6A">
        <w:rPr>
          <w:szCs w:val="26"/>
        </w:rPr>
        <w:t>for R</w:t>
      </w:r>
      <w:r w:rsidRPr="00EF5653">
        <w:rPr>
          <w:szCs w:val="26"/>
        </w:rPr>
        <w:t>eh</w:t>
      </w:r>
      <w:r w:rsidRPr="00EF5653" w:rsidR="00EF5653">
        <w:rPr>
          <w:szCs w:val="26"/>
        </w:rPr>
        <w:t>ear</w:t>
      </w:r>
      <w:r w:rsidRPr="00EF5653">
        <w:rPr>
          <w:szCs w:val="26"/>
        </w:rPr>
        <w:t>ing</w:t>
      </w:r>
      <w:r w:rsidRPr="00EF5653" w:rsidR="00EF5653">
        <w:rPr>
          <w:szCs w:val="26"/>
        </w:rPr>
        <w:t xml:space="preserve"> of Resolution T-</w:t>
      </w:r>
      <w:r w:rsidR="00C31BCE">
        <w:rPr>
          <w:szCs w:val="26"/>
        </w:rPr>
        <w:t>17734 because, as modified, Frontier has not demonstrated legal error.</w:t>
      </w:r>
      <w:r w:rsidR="00EF5653">
        <w:rPr>
          <w:szCs w:val="26"/>
        </w:rPr>
        <w:t xml:space="preserve">   </w:t>
      </w:r>
      <w:r w:rsidRPr="00EF5653" w:rsidR="00EF5653">
        <w:rPr>
          <w:szCs w:val="26"/>
        </w:rPr>
        <w:t xml:space="preserve"> </w:t>
      </w:r>
    </w:p>
    <w:p w:rsidRPr="00EF5653" w:rsidR="00BF1143" w:rsidP="00BF1143" w:rsidRDefault="00BF1143" w14:paraId="08A914EF" w14:textId="52C40551">
      <w:pPr>
        <w:pStyle w:val="BodyText10"/>
        <w:ind w:firstLine="1440"/>
        <w:rPr>
          <w:szCs w:val="26"/>
        </w:rPr>
      </w:pPr>
      <w:r w:rsidRPr="00EF5653">
        <w:rPr>
          <w:b/>
          <w:szCs w:val="26"/>
        </w:rPr>
        <w:t>THEREFORE, IT IS ORDERED</w:t>
      </w:r>
      <w:r w:rsidRPr="00EF5653">
        <w:rPr>
          <w:szCs w:val="26"/>
        </w:rPr>
        <w:t xml:space="preserve"> </w:t>
      </w:r>
      <w:r w:rsidRPr="00EF5653">
        <w:rPr>
          <w:b/>
          <w:szCs w:val="26"/>
        </w:rPr>
        <w:t>THAT</w:t>
      </w:r>
      <w:r w:rsidRPr="00EF5653">
        <w:rPr>
          <w:szCs w:val="26"/>
        </w:rPr>
        <w:t xml:space="preserve">: </w:t>
      </w:r>
    </w:p>
    <w:p w:rsidRPr="00EF5653" w:rsidR="00BF1143" w:rsidP="00016E6A" w:rsidRDefault="00BF1143" w14:paraId="5994C155" w14:textId="564740A5">
      <w:pPr>
        <w:pStyle w:val="BodyText6"/>
      </w:pPr>
      <w:r w:rsidRPr="00EF5653">
        <w:t>1.</w:t>
      </w:r>
      <w:r w:rsidRPr="00EF5653">
        <w:tab/>
      </w:r>
      <w:r w:rsidRPr="00EF5653" w:rsidR="00EF5653">
        <w:t>Resolution T-17734</w:t>
      </w:r>
      <w:r w:rsidR="00C31BCE">
        <w:t xml:space="preserve"> is modified to eliminate </w:t>
      </w:r>
      <w:r w:rsidR="00016E6A">
        <w:t xml:space="preserve">the </w:t>
      </w:r>
      <w:r w:rsidR="00C31BCE">
        <w:t>additional</w:t>
      </w:r>
      <w:r w:rsidR="008F2596">
        <w:t xml:space="preserve"> </w:t>
      </w:r>
      <w:r w:rsidR="00C31BCE">
        <w:t xml:space="preserve">penalties adopted in the Resolution for Frontier’s failure to meet </w:t>
      </w:r>
      <w:r w:rsidR="008F2596">
        <w:t>out</w:t>
      </w:r>
      <w:r w:rsidR="007F47F3">
        <w:t>-</w:t>
      </w:r>
      <w:r w:rsidR="008F2596">
        <w:t>of</w:t>
      </w:r>
      <w:r w:rsidR="007F47F3">
        <w:t>-</w:t>
      </w:r>
      <w:r w:rsidR="008F2596">
        <w:t xml:space="preserve">service </w:t>
      </w:r>
      <w:r w:rsidR="00C31BCE">
        <w:t>restoral standards</w:t>
      </w:r>
      <w:r w:rsidR="00E00343">
        <w:t xml:space="preserve"> that are described in </w:t>
      </w:r>
      <w:r w:rsidR="004339F3">
        <w:t>s</w:t>
      </w:r>
      <w:r w:rsidR="008F2596">
        <w:t>ection I.A. of the Resolution, entitled “Timely Restoring Service Outages</w:t>
      </w:r>
      <w:r w:rsidR="004339F3">
        <w:t>,</w:t>
      </w:r>
      <w:r w:rsidR="008F2596">
        <w:t>”</w:t>
      </w:r>
      <w:r w:rsidR="00E00343">
        <w:t xml:space="preserve"> </w:t>
      </w:r>
      <w:r w:rsidR="004339F3">
        <w:t>at pages 4-6.</w:t>
      </w:r>
    </w:p>
    <w:p w:rsidR="00BF1143" w:rsidP="00016E6A" w:rsidRDefault="00BF1143" w14:paraId="3AC9AFAC" w14:textId="584AD901">
      <w:pPr>
        <w:pStyle w:val="BodyText6"/>
      </w:pPr>
      <w:r w:rsidRPr="00EF5653">
        <w:t>2.</w:t>
      </w:r>
      <w:r w:rsidRPr="00EF5653">
        <w:tab/>
        <w:t xml:space="preserve">Rehearing of </w:t>
      </w:r>
      <w:r w:rsidRPr="00EF5653" w:rsidR="00C31BCE">
        <w:t>Resolution T-17734</w:t>
      </w:r>
      <w:r w:rsidR="00C31BCE">
        <w:t xml:space="preserve">, as modified, </w:t>
      </w:r>
      <w:r w:rsidRPr="00EF5653">
        <w:t xml:space="preserve">is denied. </w:t>
      </w:r>
    </w:p>
    <w:p w:rsidRPr="00EF5653" w:rsidR="00F6468F" w:rsidP="00016E6A" w:rsidRDefault="00F6468F" w14:paraId="3E1B9254" w14:textId="73C9662E">
      <w:pPr>
        <w:pStyle w:val="BodyText6"/>
      </w:pPr>
      <w:r>
        <w:t>3.</w:t>
      </w:r>
      <w:r>
        <w:tab/>
        <w:t>Proceeding A.21-11-004 is closed.</w:t>
      </w:r>
    </w:p>
    <w:p w:rsidRPr="00EF5653" w:rsidR="00BF1143" w:rsidP="00BF1143" w:rsidRDefault="00BF1143" w14:paraId="6665327F" w14:textId="77777777">
      <w:pPr>
        <w:pStyle w:val="BodyText10"/>
        <w:ind w:left="1080" w:firstLine="360"/>
        <w:rPr>
          <w:szCs w:val="26"/>
          <w:shd w:val="clear" w:color="auto" w:fill="FFFFFF"/>
        </w:rPr>
      </w:pPr>
      <w:r w:rsidRPr="00EF5653">
        <w:rPr>
          <w:szCs w:val="26"/>
          <w:shd w:val="clear" w:color="auto" w:fill="FFFFFF"/>
        </w:rPr>
        <w:t>This order is effective today.</w:t>
      </w:r>
    </w:p>
    <w:p w:rsidRPr="00EF5653" w:rsidR="00BF1143" w:rsidP="00775E26" w:rsidRDefault="00BF1143" w14:paraId="12654ABE" w14:textId="52FA8DA1">
      <w:pPr>
        <w:pStyle w:val="BodyText10"/>
        <w:ind w:firstLine="1440"/>
        <w:rPr>
          <w:b/>
          <w:bCs/>
          <w:szCs w:val="26"/>
        </w:rPr>
      </w:pPr>
      <w:r w:rsidRPr="00EF5653">
        <w:rPr>
          <w:szCs w:val="26"/>
          <w:shd w:val="clear" w:color="auto" w:fill="FFFFFF"/>
        </w:rPr>
        <w:t xml:space="preserve">Dated </w:t>
      </w:r>
      <w:r w:rsidR="008225E4">
        <w:rPr>
          <w:szCs w:val="26"/>
          <w:shd w:val="clear" w:color="auto" w:fill="FFFFFF"/>
        </w:rPr>
        <w:t>May 19, 2022</w:t>
      </w:r>
      <w:r w:rsidRPr="00EF5653">
        <w:rPr>
          <w:szCs w:val="26"/>
          <w:shd w:val="clear" w:color="auto" w:fill="FFFFFF"/>
        </w:rPr>
        <w:t>, at San Francisco, California</w:t>
      </w:r>
    </w:p>
    <w:p w:rsidR="00BF1143" w:rsidRDefault="00BF1143" w14:paraId="048F78A2" w14:textId="361E59E7">
      <w:pPr>
        <w:pStyle w:val="BriefTitle"/>
        <w:rPr>
          <w:b w:val="0"/>
          <w:bCs/>
          <w:szCs w:val="26"/>
        </w:rPr>
      </w:pPr>
    </w:p>
    <w:p w:rsidRPr="00C77D0C" w:rsidR="008225E4" w:rsidP="008225E4" w:rsidRDefault="008225E4" w14:paraId="523F2FCC" w14:textId="77777777">
      <w:pPr>
        <w:pStyle w:val="standard"/>
        <w:spacing w:line="240" w:lineRule="auto"/>
        <w:ind w:left="4320"/>
        <w:rPr>
          <w:rFonts w:ascii="Times New Roman" w:hAnsi="Times New Roman"/>
        </w:rPr>
      </w:pPr>
      <w:bookmarkStart w:name="_Hlk61602525" w:id="2"/>
      <w:bookmarkStart w:name="_Hlk98492699" w:id="3"/>
      <w:r w:rsidRPr="00C77D0C">
        <w:rPr>
          <w:rFonts w:ascii="Times New Roman" w:hAnsi="Times New Roman"/>
        </w:rPr>
        <w:t>ALICE REYNOLDS</w:t>
      </w:r>
    </w:p>
    <w:p w:rsidRPr="00C77D0C" w:rsidR="008225E4" w:rsidP="008225E4" w:rsidRDefault="008225E4" w14:paraId="5D197E6C" w14:textId="77777777">
      <w:pPr>
        <w:pStyle w:val="standard"/>
        <w:spacing w:line="240" w:lineRule="auto"/>
        <w:ind w:left="5040" w:firstLine="0"/>
        <w:rPr>
          <w:rFonts w:ascii="Times New Roman" w:hAnsi="Times New Roman"/>
        </w:rPr>
      </w:pPr>
      <w:r w:rsidRPr="00C77D0C">
        <w:rPr>
          <w:rFonts w:ascii="Times New Roman" w:hAnsi="Times New Roman"/>
        </w:rPr>
        <w:t xml:space="preserve">                       President</w:t>
      </w:r>
    </w:p>
    <w:p w:rsidRPr="00C77D0C" w:rsidR="008225E4" w:rsidP="008225E4" w:rsidRDefault="008225E4" w14:paraId="3613E2DB" w14:textId="77777777">
      <w:pPr>
        <w:pStyle w:val="standard"/>
        <w:tabs>
          <w:tab w:val="left" w:pos="8220"/>
        </w:tabs>
        <w:spacing w:line="240" w:lineRule="auto"/>
        <w:ind w:left="5040" w:firstLine="0"/>
        <w:rPr>
          <w:rFonts w:ascii="Times New Roman" w:hAnsi="Times New Roman"/>
        </w:rPr>
      </w:pPr>
      <w:r w:rsidRPr="00C77D0C">
        <w:rPr>
          <w:rFonts w:ascii="Times New Roman" w:hAnsi="Times New Roman"/>
        </w:rPr>
        <w:t>CLIFFORD RECHTSCHAFFEN</w:t>
      </w:r>
    </w:p>
    <w:p w:rsidRPr="00C77D0C" w:rsidR="008225E4" w:rsidP="008225E4" w:rsidRDefault="008225E4" w14:paraId="33F2BB6F" w14:textId="77777777">
      <w:pPr>
        <w:pStyle w:val="standard"/>
        <w:tabs>
          <w:tab w:val="left" w:pos="8220"/>
        </w:tabs>
        <w:spacing w:line="240" w:lineRule="auto"/>
        <w:ind w:left="5040" w:firstLine="0"/>
        <w:rPr>
          <w:rFonts w:ascii="Times New Roman" w:hAnsi="Times New Roman"/>
        </w:rPr>
      </w:pPr>
      <w:r w:rsidRPr="00C77D0C">
        <w:rPr>
          <w:rFonts w:ascii="Times New Roman" w:hAnsi="Times New Roman"/>
        </w:rPr>
        <w:t>GENEVIEVE SHIROMA</w:t>
      </w:r>
    </w:p>
    <w:p w:rsidRPr="00C77D0C" w:rsidR="008225E4" w:rsidP="008225E4" w:rsidRDefault="008225E4" w14:paraId="020D5CEE" w14:textId="77777777">
      <w:pPr>
        <w:pStyle w:val="standard"/>
        <w:tabs>
          <w:tab w:val="left" w:pos="8220"/>
        </w:tabs>
        <w:spacing w:line="240" w:lineRule="auto"/>
        <w:ind w:left="5040" w:firstLine="0"/>
        <w:rPr>
          <w:rFonts w:ascii="Times New Roman" w:hAnsi="Times New Roman"/>
        </w:rPr>
      </w:pPr>
      <w:r w:rsidRPr="00C77D0C">
        <w:rPr>
          <w:rFonts w:ascii="Times New Roman" w:hAnsi="Times New Roman"/>
        </w:rPr>
        <w:t>DARCIE L. HOUCK</w:t>
      </w:r>
    </w:p>
    <w:p w:rsidRPr="00C77D0C" w:rsidR="008225E4" w:rsidP="008225E4" w:rsidRDefault="008225E4" w14:paraId="55B2D480" w14:textId="77777777">
      <w:pPr>
        <w:ind w:left="5040"/>
        <w:rPr>
          <w:szCs w:val="26"/>
        </w:rPr>
      </w:pPr>
      <w:r w:rsidRPr="00C77D0C">
        <w:rPr>
          <w:szCs w:val="26"/>
        </w:rPr>
        <w:t>JOHN R.D. REYNOLDS</w:t>
      </w:r>
    </w:p>
    <w:p w:rsidRPr="00C77D0C" w:rsidR="008225E4" w:rsidP="008225E4" w:rsidRDefault="008225E4" w14:paraId="488F1BA0" w14:textId="77777777">
      <w:pPr>
        <w:pStyle w:val="standard"/>
        <w:spacing w:line="240" w:lineRule="auto"/>
        <w:ind w:left="5040" w:firstLine="0"/>
        <w:rPr>
          <w:rFonts w:ascii="Times New Roman" w:hAnsi="Times New Roman"/>
        </w:rPr>
      </w:pPr>
      <w:r w:rsidRPr="00C77D0C">
        <w:rPr>
          <w:rFonts w:ascii="Times New Roman" w:hAnsi="Times New Roman"/>
        </w:rPr>
        <w:t xml:space="preserve">                       Commissioners</w:t>
      </w:r>
      <w:bookmarkEnd w:id="2"/>
    </w:p>
    <w:bookmarkEnd w:id="3"/>
    <w:p w:rsidRPr="00EF5653" w:rsidR="008225E4" w:rsidRDefault="008225E4" w14:paraId="456BC3B1" w14:textId="77777777">
      <w:pPr>
        <w:pStyle w:val="BriefTitle"/>
        <w:rPr>
          <w:b w:val="0"/>
          <w:bCs/>
          <w:szCs w:val="26"/>
        </w:rPr>
      </w:pPr>
    </w:p>
    <w:sectPr w:rsidRPr="00EF5653" w:rsidR="008225E4" w:rsidSect="00F72B99">
      <w:headerReference w:type="default" r:id="rId8"/>
      <w:footerReference w:type="default" r:id="rId9"/>
      <w:headerReference w:type="first" r:id="rId10"/>
      <w:footerReference w:type="first" r:id="rId11"/>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4FB21" w14:textId="77777777" w:rsidR="00252B0E" w:rsidRDefault="00252B0E">
      <w:r>
        <w:separator/>
      </w:r>
    </w:p>
  </w:endnote>
  <w:endnote w:type="continuationSeparator" w:id="0">
    <w:p w14:paraId="742EB876" w14:textId="77777777" w:rsidR="00252B0E" w:rsidRDefault="0025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Palatino">
    <w:altName w:val="Segoe UI Historic"/>
    <w:charset w:val="00"/>
    <w:family w:val="auto"/>
    <w:pitch w:val="variable"/>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1CCD" w14:textId="77777777" w:rsidR="007F7C2E" w:rsidRDefault="007F7C2E" w:rsidP="00F72B9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A156" w14:textId="43C92787" w:rsidR="007F7C2E" w:rsidRDefault="005956D0" w:rsidP="00B01FC9">
    <w:pPr>
      <w:pStyle w:val="Footer"/>
    </w:pPr>
    <w:r w:rsidRPr="005956D0">
      <w:rPr>
        <w:color w:val="000000"/>
        <w:sz w:val="18"/>
        <w:szCs w:val="18"/>
        <w:shd w:val="clear" w:color="auto" w:fill="FFFFFF"/>
      </w:rPr>
      <w:t>478398291</w:t>
    </w:r>
    <w:r w:rsidR="007F7C2E">
      <w:tab/>
    </w:r>
    <w:r w:rsidR="007F7C2E">
      <w:fldChar w:fldCharType="begin"/>
    </w:r>
    <w:r w:rsidR="007F7C2E">
      <w:instrText xml:space="preserve"> PAGE   \* MERGEFORMAT </w:instrText>
    </w:r>
    <w:r w:rsidR="007F7C2E">
      <w:fldChar w:fldCharType="separate"/>
    </w:r>
    <w:r w:rsidR="007F7C2E">
      <w:rPr>
        <w:noProof/>
      </w:rPr>
      <w:t>1</w:t>
    </w:r>
    <w:r w:rsidR="007F7C2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8018F" w14:textId="77777777" w:rsidR="00252B0E" w:rsidRDefault="00252B0E">
      <w:r>
        <w:separator/>
      </w:r>
    </w:p>
  </w:footnote>
  <w:footnote w:type="continuationSeparator" w:id="0">
    <w:p w14:paraId="3BA07D5D" w14:textId="77777777" w:rsidR="00252B0E" w:rsidRDefault="00252B0E">
      <w:pPr>
        <w:rPr>
          <w:sz w:val="22"/>
        </w:rPr>
      </w:pPr>
      <w:r>
        <w:rPr>
          <w:sz w:val="22"/>
        </w:rPr>
        <w:separator/>
      </w:r>
    </w:p>
    <w:p w14:paraId="16F62A16" w14:textId="77777777" w:rsidR="00252B0E" w:rsidRDefault="00252B0E">
      <w:pPr>
        <w:pStyle w:val="Footer"/>
        <w:spacing w:before="120" w:after="120"/>
        <w:rPr>
          <w:i/>
          <w:sz w:val="22"/>
        </w:rPr>
      </w:pPr>
      <w:r>
        <w:rPr>
          <w:i/>
          <w:sz w:val="22"/>
        </w:rPr>
        <w:t>(footnote continued from previous page)</w:t>
      </w:r>
    </w:p>
  </w:footnote>
  <w:footnote w:type="continuationNotice" w:id="1">
    <w:p w14:paraId="6A8744F6" w14:textId="77777777" w:rsidR="00252B0E" w:rsidRDefault="00252B0E">
      <w:pPr>
        <w:spacing w:before="120" w:after="120"/>
        <w:jc w:val="right"/>
        <w:rPr>
          <w:i/>
        </w:rPr>
      </w:pPr>
      <w:r>
        <w:rPr>
          <w:i/>
          <w:sz w:val="22"/>
        </w:rPr>
        <w:t>(footnote continued on next page)</w:t>
      </w:r>
    </w:p>
  </w:footnote>
  <w:footnote w:id="2">
    <w:p w14:paraId="0BD526AB" w14:textId="050D5EB3" w:rsidR="008F2596" w:rsidRPr="00844DA8" w:rsidRDefault="008F2596" w:rsidP="008F2596">
      <w:pPr>
        <w:pStyle w:val="FootnoteText"/>
        <w:rPr>
          <w:sz w:val="24"/>
          <w:szCs w:val="24"/>
        </w:rPr>
      </w:pPr>
      <w:r w:rsidRPr="00844DA8">
        <w:rPr>
          <w:rStyle w:val="FootnoteReference"/>
          <w:sz w:val="24"/>
          <w:szCs w:val="24"/>
        </w:rPr>
        <w:footnoteRef/>
      </w:r>
      <w:r w:rsidRPr="00844DA8">
        <w:rPr>
          <w:sz w:val="24"/>
          <w:szCs w:val="24"/>
        </w:rPr>
        <w:t xml:space="preserve"> </w:t>
      </w:r>
      <w:r w:rsidRPr="00844DA8">
        <w:rPr>
          <w:bCs/>
          <w:sz w:val="24"/>
          <w:szCs w:val="24"/>
        </w:rPr>
        <w:t xml:space="preserve">G.O. 133-D also has a provision which allows carriers to request to suspend any fine and invest no less than twice the amount of their annual fine in a project which improves service quality in a measurable way. (G.O 133-D, ¶ 9.7.) </w:t>
      </w:r>
    </w:p>
  </w:footnote>
  <w:footnote w:id="3">
    <w:p w14:paraId="28E1F252" w14:textId="37C80831" w:rsidR="001813CC" w:rsidRPr="00302042" w:rsidRDefault="001813CC">
      <w:pPr>
        <w:pStyle w:val="FootnoteText"/>
        <w:rPr>
          <w:sz w:val="24"/>
          <w:szCs w:val="24"/>
        </w:rPr>
      </w:pPr>
      <w:r w:rsidRPr="00302042">
        <w:rPr>
          <w:rStyle w:val="FootnoteReference"/>
          <w:sz w:val="24"/>
          <w:szCs w:val="24"/>
        </w:rPr>
        <w:footnoteRef/>
      </w:r>
      <w:r w:rsidRPr="00302042">
        <w:rPr>
          <w:sz w:val="24"/>
          <w:szCs w:val="24"/>
        </w:rPr>
        <w:t xml:space="preserve"> Frontier’s California incumbent local exchange carriers (ILECs) are Frontier California Inc. (Frontier CA), Citizens Telecommunications Company of California Inc. (Citizens CA), and Frontier Communications of the Southwest Inc. (Southwest).</w:t>
      </w:r>
    </w:p>
  </w:footnote>
  <w:footnote w:id="4">
    <w:p w14:paraId="139DD417" w14:textId="6CF6A336" w:rsidR="008F2596" w:rsidRPr="00302042" w:rsidRDefault="008F2596" w:rsidP="008F2596">
      <w:pPr>
        <w:pStyle w:val="FootnoteText"/>
        <w:rPr>
          <w:bCs/>
          <w:sz w:val="24"/>
          <w:szCs w:val="24"/>
        </w:rPr>
      </w:pPr>
      <w:r w:rsidRPr="00302042">
        <w:rPr>
          <w:rStyle w:val="FootnoteReference"/>
          <w:sz w:val="24"/>
          <w:szCs w:val="24"/>
        </w:rPr>
        <w:footnoteRef/>
      </w:r>
      <w:r w:rsidRPr="00302042">
        <w:rPr>
          <w:rStyle w:val="FootnoteReference"/>
          <w:sz w:val="24"/>
          <w:szCs w:val="24"/>
        </w:rPr>
        <w:t xml:space="preserve"> </w:t>
      </w:r>
      <w:r w:rsidRPr="00302042">
        <w:rPr>
          <w:bCs/>
          <w:sz w:val="24"/>
          <w:szCs w:val="24"/>
        </w:rPr>
        <w:t xml:space="preserve">The “penalties” under the Settlement Agreement are to be used as incremental expenditures targeted at service quality.  This is in contrast to penalties imposed by G.O. 133-D, which are paid to the General Fund, or which may be reinvested if approved by the Commission.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8FBE" w14:textId="3DF17608" w:rsidR="007213A4" w:rsidRDefault="007213A4">
    <w:pPr>
      <w:pStyle w:val="Header"/>
    </w:pPr>
    <w:r w:rsidRPr="00937674">
      <w:rPr>
        <w:szCs w:val="26"/>
      </w:rPr>
      <w:t>A</w:t>
    </w:r>
    <w:r>
      <w:rPr>
        <w:szCs w:val="26"/>
      </w:rPr>
      <w:t>.</w:t>
    </w:r>
    <w:r w:rsidRPr="00937674">
      <w:rPr>
        <w:szCs w:val="26"/>
      </w:rPr>
      <w:t>2</w:t>
    </w:r>
    <w:r>
      <w:rPr>
        <w:szCs w:val="26"/>
      </w:rPr>
      <w:t>1</w:t>
    </w:r>
    <w:r w:rsidRPr="00937674">
      <w:rPr>
        <w:szCs w:val="26"/>
      </w:rPr>
      <w:t>-</w:t>
    </w:r>
    <w:r>
      <w:rPr>
        <w:szCs w:val="26"/>
      </w:rPr>
      <w:t>11</w:t>
    </w:r>
    <w:r w:rsidRPr="00937674">
      <w:rPr>
        <w:szCs w:val="26"/>
      </w:rPr>
      <w:t>-00</w:t>
    </w:r>
    <w:r>
      <w:rPr>
        <w:szCs w:val="26"/>
      </w:rPr>
      <w:t>4</w:t>
    </w:r>
    <w:r>
      <w:rPr>
        <w:szCs w:val="26"/>
      </w:rPr>
      <w:tab/>
      <w:t>L/vm2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F5E5" w14:textId="63628D02" w:rsidR="007F7C2E" w:rsidRDefault="007F7C2E" w:rsidP="0034721B">
    <w:pPr>
      <w:pStyle w:val="Header"/>
      <w:ind w:right="540"/>
      <w:rPr>
        <w:b/>
        <w:bCs/>
      </w:rPr>
    </w:pPr>
    <w:r>
      <w:t>L/</w:t>
    </w:r>
    <w:r w:rsidR="003C5B78">
      <w:t>vm2</w:t>
    </w:r>
    <w:r>
      <w:tab/>
    </w:r>
    <w:r w:rsidR="005F1DFA">
      <w:tab/>
    </w:r>
    <w:r w:rsidR="0034721B">
      <w:rPr>
        <w:b/>
        <w:bCs/>
      </w:rPr>
      <w:t>Date of Issuance</w:t>
    </w:r>
  </w:p>
  <w:p w14:paraId="56C87E23" w14:textId="18E0C917" w:rsidR="0034721B" w:rsidRDefault="0034721B" w:rsidP="0034721B">
    <w:pPr>
      <w:pStyle w:val="Header"/>
      <w:ind w:right="540"/>
    </w:pPr>
    <w:r>
      <w:rPr>
        <w:b/>
        <w:bCs/>
      </w:rPr>
      <w:tab/>
    </w:r>
    <w:r>
      <w:rPr>
        <w:b/>
        <w:bCs/>
      </w:rPr>
      <w:tab/>
      <w:t>May 20,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365B0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9A1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A479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0803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1D694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708F6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D675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6CFC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2423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0CA2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46940126"/>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rPr>
        <w:b/>
        <w:bCs/>
      </w:rPr>
    </w:lvl>
    <w:lvl w:ilvl="2">
      <w:start w:val="1"/>
      <w:numFmt w:val="decimal"/>
      <w:pStyle w:val="Heading3"/>
      <w:lvlText w:val="%3."/>
      <w:legacy w:legacy="1" w:legacySpace="0" w:legacyIndent="720"/>
      <w:lvlJc w:val="left"/>
      <w:pPr>
        <w:ind w:left="2250" w:hanging="720"/>
      </w:pPr>
      <w:rPr>
        <w:b/>
        <w:bCs w:val="0"/>
        <w:sz w:val="26"/>
        <w:szCs w:val="26"/>
      </w:rPr>
    </w:lvl>
    <w:lvl w:ilvl="3">
      <w:start w:val="1"/>
      <w:numFmt w:val="lowerLetter"/>
      <w:pStyle w:val="Heading4"/>
      <w:lvlText w:val="%4)"/>
      <w:legacy w:legacy="1" w:legacySpace="0" w:legacyIndent="720"/>
      <w:lvlJc w:val="left"/>
      <w:pPr>
        <w:ind w:left="2880" w:hanging="720"/>
      </w:pPr>
      <w:rPr>
        <w:rFonts w:ascii="Times New Roman" w:hAnsi="Times New Roman"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egacy w:legacy="1" w:legacySpace="0" w:legacyIndent="720"/>
      <w:lvlJc w:val="left"/>
      <w:pPr>
        <w:ind w:left="288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1" w15:restartNumberingAfterBreak="0">
    <w:nsid w:val="FFFFFFFE"/>
    <w:multiLevelType w:val="singleLevel"/>
    <w:tmpl w:val="FEBAD71E"/>
    <w:lvl w:ilvl="0">
      <w:numFmt w:val="decimal"/>
      <w:lvlText w:val="*"/>
      <w:lvlJc w:val="left"/>
    </w:lvl>
  </w:abstractNum>
  <w:abstractNum w:abstractNumId="12" w15:restartNumberingAfterBreak="0">
    <w:nsid w:val="00BC547E"/>
    <w:multiLevelType w:val="hybridMultilevel"/>
    <w:tmpl w:val="3D08BC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19A3351F"/>
    <w:multiLevelType w:val="hybridMultilevel"/>
    <w:tmpl w:val="2BE07820"/>
    <w:lvl w:ilvl="0" w:tplc="ABDE1878">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A8174A6"/>
    <w:multiLevelType w:val="hybridMultilevel"/>
    <w:tmpl w:val="36B41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D1A357B"/>
    <w:multiLevelType w:val="singleLevel"/>
    <w:tmpl w:val="DEA4D04C"/>
    <w:lvl w:ilvl="0">
      <w:start w:val="1"/>
      <w:numFmt w:val="decimal"/>
      <w:lvlText w:val="%1."/>
      <w:legacy w:legacy="1" w:legacySpace="0" w:legacyIndent="360"/>
      <w:lvlJc w:val="left"/>
      <w:pPr>
        <w:ind w:left="1080" w:hanging="360"/>
      </w:pPr>
    </w:lvl>
  </w:abstractNum>
  <w:abstractNum w:abstractNumId="16" w15:restartNumberingAfterBreak="0">
    <w:nsid w:val="1EDA47D4"/>
    <w:multiLevelType w:val="hybridMultilevel"/>
    <w:tmpl w:val="79508400"/>
    <w:lvl w:ilvl="0" w:tplc="0409000F">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3C3C03C0"/>
    <w:multiLevelType w:val="hybridMultilevel"/>
    <w:tmpl w:val="188AB5E6"/>
    <w:lvl w:ilvl="0" w:tplc="707E06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5405CDB"/>
    <w:multiLevelType w:val="hybridMultilevel"/>
    <w:tmpl w:val="020AA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DE21B21"/>
    <w:multiLevelType w:val="hybridMultilevel"/>
    <w:tmpl w:val="07B88A16"/>
    <w:lvl w:ilvl="0" w:tplc="05142788">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2721FC2"/>
    <w:multiLevelType w:val="hybridMultilevel"/>
    <w:tmpl w:val="104ED11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6C304753"/>
    <w:multiLevelType w:val="hybridMultilevel"/>
    <w:tmpl w:val="F4A05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213387"/>
    <w:multiLevelType w:val="hybridMultilevel"/>
    <w:tmpl w:val="15E40D1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75A34317"/>
    <w:multiLevelType w:val="hybridMultilevel"/>
    <w:tmpl w:val="773EF07E"/>
    <w:lvl w:ilvl="0" w:tplc="3C888B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A28136D"/>
    <w:multiLevelType w:val="hybridMultilevel"/>
    <w:tmpl w:val="06E614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137598485">
    <w:abstractNumId w:val="10"/>
  </w:num>
  <w:num w:numId="2" w16cid:durableId="2012949321">
    <w:abstractNumId w:val="11"/>
    <w:lvlOverride w:ilvl="0">
      <w:lvl w:ilvl="0">
        <w:start w:val="1"/>
        <w:numFmt w:val="bullet"/>
        <w:lvlText w:val=""/>
        <w:legacy w:legacy="1" w:legacySpace="0" w:legacyIndent="360"/>
        <w:lvlJc w:val="left"/>
        <w:pPr>
          <w:ind w:left="360" w:hanging="360"/>
        </w:pPr>
        <w:rPr>
          <w:rFonts w:ascii="Courier New" w:hAnsi="Courier New" w:hint="default"/>
        </w:rPr>
      </w:lvl>
    </w:lvlOverride>
  </w:num>
  <w:num w:numId="3" w16cid:durableId="2026511935">
    <w:abstractNumId w:val="15"/>
  </w:num>
  <w:num w:numId="4" w16cid:durableId="1957902950">
    <w:abstractNumId w:val="23"/>
  </w:num>
  <w:num w:numId="5" w16cid:durableId="1855683686">
    <w:abstractNumId w:val="13"/>
  </w:num>
  <w:num w:numId="6" w16cid:durableId="591940031">
    <w:abstractNumId w:val="9"/>
  </w:num>
  <w:num w:numId="7" w16cid:durableId="2041321306">
    <w:abstractNumId w:val="7"/>
  </w:num>
  <w:num w:numId="8" w16cid:durableId="1693997956">
    <w:abstractNumId w:val="6"/>
  </w:num>
  <w:num w:numId="9" w16cid:durableId="1137525741">
    <w:abstractNumId w:val="5"/>
  </w:num>
  <w:num w:numId="10" w16cid:durableId="1283997172">
    <w:abstractNumId w:val="4"/>
  </w:num>
  <w:num w:numId="11" w16cid:durableId="1003820724">
    <w:abstractNumId w:val="8"/>
  </w:num>
  <w:num w:numId="12" w16cid:durableId="681661067">
    <w:abstractNumId w:val="3"/>
  </w:num>
  <w:num w:numId="13" w16cid:durableId="365836961">
    <w:abstractNumId w:val="2"/>
  </w:num>
  <w:num w:numId="14" w16cid:durableId="1322852867">
    <w:abstractNumId w:val="1"/>
  </w:num>
  <w:num w:numId="15" w16cid:durableId="663971246">
    <w:abstractNumId w:val="0"/>
  </w:num>
  <w:num w:numId="16" w16cid:durableId="1061051983">
    <w:abstractNumId w:val="10"/>
  </w:num>
  <w:num w:numId="17" w16cid:durableId="1825048307">
    <w:abstractNumId w:val="22"/>
  </w:num>
  <w:num w:numId="18" w16cid:durableId="8877163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287525">
    <w:abstractNumId w:val="12"/>
  </w:num>
  <w:num w:numId="20" w16cid:durableId="1313563338">
    <w:abstractNumId w:val="20"/>
  </w:num>
  <w:num w:numId="21" w16cid:durableId="1625577972">
    <w:abstractNumId w:val="10"/>
  </w:num>
  <w:num w:numId="22" w16cid:durableId="360865393">
    <w:abstractNumId w:val="21"/>
  </w:num>
  <w:num w:numId="23" w16cid:durableId="1796021932">
    <w:abstractNumId w:val="12"/>
  </w:num>
  <w:num w:numId="24" w16cid:durableId="1796753824">
    <w:abstractNumId w:val="10"/>
  </w:num>
  <w:num w:numId="25" w16cid:durableId="1207638293">
    <w:abstractNumId w:val="14"/>
  </w:num>
  <w:num w:numId="26" w16cid:durableId="10267087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02084110">
    <w:abstractNumId w:val="19"/>
  </w:num>
  <w:num w:numId="28" w16cid:durableId="1007748481">
    <w:abstractNumId w:val="17"/>
  </w:num>
  <w:num w:numId="29" w16cid:durableId="1898661253">
    <w:abstractNumId w:val="16"/>
  </w:num>
  <w:num w:numId="30" w16cid:durableId="10835262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2559501">
    <w:abstractNumId w:val="10"/>
  </w:num>
  <w:num w:numId="32" w16cid:durableId="9609140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67490980">
    <w:abstractNumId w:val="10"/>
  </w:num>
  <w:num w:numId="34" w16cid:durableId="42213272">
    <w:abstractNumId w:val="10"/>
  </w:num>
  <w:num w:numId="35" w16cid:durableId="648942929">
    <w:abstractNumId w:val="24"/>
  </w:num>
  <w:num w:numId="36" w16cid:durableId="2378343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6A"/>
    <w:rsid w:val="0000142F"/>
    <w:rsid w:val="0000736A"/>
    <w:rsid w:val="000079E6"/>
    <w:rsid w:val="0001039A"/>
    <w:rsid w:val="00016E6A"/>
    <w:rsid w:val="00016F9A"/>
    <w:rsid w:val="00017000"/>
    <w:rsid w:val="00020331"/>
    <w:rsid w:val="0002441C"/>
    <w:rsid w:val="00034734"/>
    <w:rsid w:val="0003502C"/>
    <w:rsid w:val="0004046F"/>
    <w:rsid w:val="00040B0F"/>
    <w:rsid w:val="00041DF4"/>
    <w:rsid w:val="00051364"/>
    <w:rsid w:val="0005753A"/>
    <w:rsid w:val="000600A4"/>
    <w:rsid w:val="00061D10"/>
    <w:rsid w:val="00067C18"/>
    <w:rsid w:val="000701D8"/>
    <w:rsid w:val="00071130"/>
    <w:rsid w:val="000721AA"/>
    <w:rsid w:val="00080AD0"/>
    <w:rsid w:val="00082751"/>
    <w:rsid w:val="00082A83"/>
    <w:rsid w:val="000902F9"/>
    <w:rsid w:val="000910B7"/>
    <w:rsid w:val="00092C0E"/>
    <w:rsid w:val="000A3266"/>
    <w:rsid w:val="000A4F8A"/>
    <w:rsid w:val="000A6138"/>
    <w:rsid w:val="000B0865"/>
    <w:rsid w:val="000B6815"/>
    <w:rsid w:val="000C16DD"/>
    <w:rsid w:val="000C3611"/>
    <w:rsid w:val="000C3C09"/>
    <w:rsid w:val="000C4BB2"/>
    <w:rsid w:val="000C4C21"/>
    <w:rsid w:val="000C4EB1"/>
    <w:rsid w:val="000C7173"/>
    <w:rsid w:val="000E3CF6"/>
    <w:rsid w:val="000E5225"/>
    <w:rsid w:val="000E63D6"/>
    <w:rsid w:val="000E7CA4"/>
    <w:rsid w:val="000F62DC"/>
    <w:rsid w:val="0010185B"/>
    <w:rsid w:val="001064C8"/>
    <w:rsid w:val="001113B1"/>
    <w:rsid w:val="001115EC"/>
    <w:rsid w:val="00112838"/>
    <w:rsid w:val="00117045"/>
    <w:rsid w:val="00120234"/>
    <w:rsid w:val="001208DC"/>
    <w:rsid w:val="0012171F"/>
    <w:rsid w:val="00121EB5"/>
    <w:rsid w:val="00125068"/>
    <w:rsid w:val="00125B26"/>
    <w:rsid w:val="00126434"/>
    <w:rsid w:val="00127062"/>
    <w:rsid w:val="001275C0"/>
    <w:rsid w:val="00134A1E"/>
    <w:rsid w:val="00141117"/>
    <w:rsid w:val="00143846"/>
    <w:rsid w:val="00143D1F"/>
    <w:rsid w:val="001473B8"/>
    <w:rsid w:val="00155911"/>
    <w:rsid w:val="00165FDD"/>
    <w:rsid w:val="0017044C"/>
    <w:rsid w:val="00172591"/>
    <w:rsid w:val="00172CC9"/>
    <w:rsid w:val="00172E7F"/>
    <w:rsid w:val="00175030"/>
    <w:rsid w:val="00180456"/>
    <w:rsid w:val="001813CC"/>
    <w:rsid w:val="00181428"/>
    <w:rsid w:val="00191692"/>
    <w:rsid w:val="0019188D"/>
    <w:rsid w:val="0019353F"/>
    <w:rsid w:val="001950C9"/>
    <w:rsid w:val="00196270"/>
    <w:rsid w:val="001A68F9"/>
    <w:rsid w:val="001B4155"/>
    <w:rsid w:val="001B7231"/>
    <w:rsid w:val="001C323F"/>
    <w:rsid w:val="001C3969"/>
    <w:rsid w:val="001C421D"/>
    <w:rsid w:val="001C780B"/>
    <w:rsid w:val="001D0F11"/>
    <w:rsid w:val="001D12C3"/>
    <w:rsid w:val="001D4FB7"/>
    <w:rsid w:val="001D51BB"/>
    <w:rsid w:val="001D66B6"/>
    <w:rsid w:val="001D67B2"/>
    <w:rsid w:val="001D681D"/>
    <w:rsid w:val="001D6C68"/>
    <w:rsid w:val="001E02F6"/>
    <w:rsid w:val="001E130A"/>
    <w:rsid w:val="001F1169"/>
    <w:rsid w:val="001F1E6F"/>
    <w:rsid w:val="001F3A35"/>
    <w:rsid w:val="00200C9D"/>
    <w:rsid w:val="00201179"/>
    <w:rsid w:val="002071E1"/>
    <w:rsid w:val="00214238"/>
    <w:rsid w:val="00220814"/>
    <w:rsid w:val="00220B83"/>
    <w:rsid w:val="00225787"/>
    <w:rsid w:val="00227D61"/>
    <w:rsid w:val="002313A6"/>
    <w:rsid w:val="002363EC"/>
    <w:rsid w:val="00252B0E"/>
    <w:rsid w:val="00260331"/>
    <w:rsid w:val="002639C2"/>
    <w:rsid w:val="0026491A"/>
    <w:rsid w:val="002650ED"/>
    <w:rsid w:val="00265A18"/>
    <w:rsid w:val="002713C1"/>
    <w:rsid w:val="002762A4"/>
    <w:rsid w:val="0028006F"/>
    <w:rsid w:val="00280633"/>
    <w:rsid w:val="00280AB1"/>
    <w:rsid w:val="00281416"/>
    <w:rsid w:val="00283064"/>
    <w:rsid w:val="00292D82"/>
    <w:rsid w:val="0029330D"/>
    <w:rsid w:val="002933A8"/>
    <w:rsid w:val="002A4884"/>
    <w:rsid w:val="002A50EF"/>
    <w:rsid w:val="002A7324"/>
    <w:rsid w:val="002B1EA5"/>
    <w:rsid w:val="002B3F83"/>
    <w:rsid w:val="002B6ABE"/>
    <w:rsid w:val="002C2158"/>
    <w:rsid w:val="002C556D"/>
    <w:rsid w:val="002C627F"/>
    <w:rsid w:val="002C7609"/>
    <w:rsid w:val="002D3CC1"/>
    <w:rsid w:val="002D6AE3"/>
    <w:rsid w:val="002D7533"/>
    <w:rsid w:val="002E4276"/>
    <w:rsid w:val="002E6DF2"/>
    <w:rsid w:val="002F0AD7"/>
    <w:rsid w:val="00300CF2"/>
    <w:rsid w:val="00300F68"/>
    <w:rsid w:val="003014F9"/>
    <w:rsid w:val="00302042"/>
    <w:rsid w:val="003053C2"/>
    <w:rsid w:val="00313B9C"/>
    <w:rsid w:val="00313EB5"/>
    <w:rsid w:val="00325ECC"/>
    <w:rsid w:val="003307E5"/>
    <w:rsid w:val="0033087F"/>
    <w:rsid w:val="00330967"/>
    <w:rsid w:val="00330D6A"/>
    <w:rsid w:val="00333379"/>
    <w:rsid w:val="00333BA8"/>
    <w:rsid w:val="003410B1"/>
    <w:rsid w:val="0034192B"/>
    <w:rsid w:val="00342422"/>
    <w:rsid w:val="003426A4"/>
    <w:rsid w:val="003465D0"/>
    <w:rsid w:val="0034721B"/>
    <w:rsid w:val="00364FB8"/>
    <w:rsid w:val="0036797B"/>
    <w:rsid w:val="00373FEE"/>
    <w:rsid w:val="003820D8"/>
    <w:rsid w:val="00387224"/>
    <w:rsid w:val="00387748"/>
    <w:rsid w:val="00394093"/>
    <w:rsid w:val="003940F6"/>
    <w:rsid w:val="0039476D"/>
    <w:rsid w:val="003958E5"/>
    <w:rsid w:val="003A2F9C"/>
    <w:rsid w:val="003A6BAA"/>
    <w:rsid w:val="003B1850"/>
    <w:rsid w:val="003B702D"/>
    <w:rsid w:val="003C2AEA"/>
    <w:rsid w:val="003C4498"/>
    <w:rsid w:val="003C5B78"/>
    <w:rsid w:val="003D6414"/>
    <w:rsid w:val="003D6418"/>
    <w:rsid w:val="003D7ABF"/>
    <w:rsid w:val="003E63BC"/>
    <w:rsid w:val="003E6C80"/>
    <w:rsid w:val="003F1F12"/>
    <w:rsid w:val="003F3373"/>
    <w:rsid w:val="003F6707"/>
    <w:rsid w:val="003F6D7C"/>
    <w:rsid w:val="0040023F"/>
    <w:rsid w:val="0040196F"/>
    <w:rsid w:val="00403D3D"/>
    <w:rsid w:val="00404206"/>
    <w:rsid w:val="004059D5"/>
    <w:rsid w:val="00406EF3"/>
    <w:rsid w:val="0041213A"/>
    <w:rsid w:val="004145FF"/>
    <w:rsid w:val="00416963"/>
    <w:rsid w:val="00416D63"/>
    <w:rsid w:val="0042523C"/>
    <w:rsid w:val="0042731B"/>
    <w:rsid w:val="004339F3"/>
    <w:rsid w:val="00435475"/>
    <w:rsid w:val="00436ED3"/>
    <w:rsid w:val="00442C72"/>
    <w:rsid w:val="00450F70"/>
    <w:rsid w:val="00460EE0"/>
    <w:rsid w:val="00461025"/>
    <w:rsid w:val="00464364"/>
    <w:rsid w:val="00465B4E"/>
    <w:rsid w:val="004678C8"/>
    <w:rsid w:val="004701C7"/>
    <w:rsid w:val="00472190"/>
    <w:rsid w:val="00473554"/>
    <w:rsid w:val="00477323"/>
    <w:rsid w:val="004805CF"/>
    <w:rsid w:val="00485045"/>
    <w:rsid w:val="00486E6E"/>
    <w:rsid w:val="00492FCE"/>
    <w:rsid w:val="004A2EEF"/>
    <w:rsid w:val="004A3D84"/>
    <w:rsid w:val="004B06C4"/>
    <w:rsid w:val="004B240C"/>
    <w:rsid w:val="004B3234"/>
    <w:rsid w:val="004B3F16"/>
    <w:rsid w:val="004B62E2"/>
    <w:rsid w:val="004B6B15"/>
    <w:rsid w:val="004B711D"/>
    <w:rsid w:val="004C4E14"/>
    <w:rsid w:val="004C6037"/>
    <w:rsid w:val="004D2A66"/>
    <w:rsid w:val="004E02A9"/>
    <w:rsid w:val="004E1CCB"/>
    <w:rsid w:val="004E4BE5"/>
    <w:rsid w:val="004E5D18"/>
    <w:rsid w:val="004E7ED4"/>
    <w:rsid w:val="004F1B0C"/>
    <w:rsid w:val="004F6CC9"/>
    <w:rsid w:val="004F7443"/>
    <w:rsid w:val="00504958"/>
    <w:rsid w:val="00511DFE"/>
    <w:rsid w:val="00517BB6"/>
    <w:rsid w:val="00521F67"/>
    <w:rsid w:val="0052292B"/>
    <w:rsid w:val="005236D7"/>
    <w:rsid w:val="0052434B"/>
    <w:rsid w:val="00525BDA"/>
    <w:rsid w:val="00525D97"/>
    <w:rsid w:val="005274A1"/>
    <w:rsid w:val="005274E9"/>
    <w:rsid w:val="0053528D"/>
    <w:rsid w:val="00537619"/>
    <w:rsid w:val="005451E5"/>
    <w:rsid w:val="00553A4D"/>
    <w:rsid w:val="0056020B"/>
    <w:rsid w:val="00573CEF"/>
    <w:rsid w:val="00577EA2"/>
    <w:rsid w:val="005804B5"/>
    <w:rsid w:val="00580581"/>
    <w:rsid w:val="00581880"/>
    <w:rsid w:val="00581CF2"/>
    <w:rsid w:val="00590252"/>
    <w:rsid w:val="005938EC"/>
    <w:rsid w:val="00593F8A"/>
    <w:rsid w:val="005956D0"/>
    <w:rsid w:val="005966AD"/>
    <w:rsid w:val="0059717E"/>
    <w:rsid w:val="005A0462"/>
    <w:rsid w:val="005A62AD"/>
    <w:rsid w:val="005A7ED8"/>
    <w:rsid w:val="005B3F13"/>
    <w:rsid w:val="005B5758"/>
    <w:rsid w:val="005B5E64"/>
    <w:rsid w:val="005B6D5E"/>
    <w:rsid w:val="005C2A48"/>
    <w:rsid w:val="005C4070"/>
    <w:rsid w:val="005C78B7"/>
    <w:rsid w:val="005D3EE0"/>
    <w:rsid w:val="005E2048"/>
    <w:rsid w:val="005E3A08"/>
    <w:rsid w:val="005E3D57"/>
    <w:rsid w:val="005E3DD2"/>
    <w:rsid w:val="005F00BB"/>
    <w:rsid w:val="005F1DFA"/>
    <w:rsid w:val="005F29D7"/>
    <w:rsid w:val="005F3775"/>
    <w:rsid w:val="005F4470"/>
    <w:rsid w:val="006004A7"/>
    <w:rsid w:val="006015DB"/>
    <w:rsid w:val="00605D5E"/>
    <w:rsid w:val="006066A6"/>
    <w:rsid w:val="00610786"/>
    <w:rsid w:val="00612A2C"/>
    <w:rsid w:val="00614468"/>
    <w:rsid w:val="006160F1"/>
    <w:rsid w:val="006209DA"/>
    <w:rsid w:val="00620BE6"/>
    <w:rsid w:val="006317E8"/>
    <w:rsid w:val="00633118"/>
    <w:rsid w:val="006338A4"/>
    <w:rsid w:val="006342C1"/>
    <w:rsid w:val="00634E56"/>
    <w:rsid w:val="0064292F"/>
    <w:rsid w:val="00644D1B"/>
    <w:rsid w:val="00647E80"/>
    <w:rsid w:val="0065340F"/>
    <w:rsid w:val="006561A9"/>
    <w:rsid w:val="00662F52"/>
    <w:rsid w:val="00663FF6"/>
    <w:rsid w:val="0066715E"/>
    <w:rsid w:val="00670262"/>
    <w:rsid w:val="00670509"/>
    <w:rsid w:val="00672024"/>
    <w:rsid w:val="00676D61"/>
    <w:rsid w:val="00680464"/>
    <w:rsid w:val="00680DD2"/>
    <w:rsid w:val="006823C6"/>
    <w:rsid w:val="00687DAD"/>
    <w:rsid w:val="00690A68"/>
    <w:rsid w:val="00692601"/>
    <w:rsid w:val="006970CF"/>
    <w:rsid w:val="006974A6"/>
    <w:rsid w:val="006A3FF3"/>
    <w:rsid w:val="006A704C"/>
    <w:rsid w:val="006A7163"/>
    <w:rsid w:val="006B127F"/>
    <w:rsid w:val="006B3050"/>
    <w:rsid w:val="006B48C6"/>
    <w:rsid w:val="006C7AEE"/>
    <w:rsid w:val="006D1466"/>
    <w:rsid w:val="006D2334"/>
    <w:rsid w:val="006D35C2"/>
    <w:rsid w:val="006D6FA8"/>
    <w:rsid w:val="006E33B3"/>
    <w:rsid w:val="006E5B20"/>
    <w:rsid w:val="006E6AC5"/>
    <w:rsid w:val="006F1C20"/>
    <w:rsid w:val="006F53F9"/>
    <w:rsid w:val="0070431C"/>
    <w:rsid w:val="00704BBD"/>
    <w:rsid w:val="0070600A"/>
    <w:rsid w:val="0070791A"/>
    <w:rsid w:val="007113BC"/>
    <w:rsid w:val="00713902"/>
    <w:rsid w:val="00713F12"/>
    <w:rsid w:val="00717B9E"/>
    <w:rsid w:val="007213A4"/>
    <w:rsid w:val="00754357"/>
    <w:rsid w:val="00761E54"/>
    <w:rsid w:val="00766B00"/>
    <w:rsid w:val="00771E2F"/>
    <w:rsid w:val="007757A7"/>
    <w:rsid w:val="00775E26"/>
    <w:rsid w:val="00776DCA"/>
    <w:rsid w:val="00780A9E"/>
    <w:rsid w:val="007909D9"/>
    <w:rsid w:val="00797B0F"/>
    <w:rsid w:val="007A0AD0"/>
    <w:rsid w:val="007A2934"/>
    <w:rsid w:val="007A2F4A"/>
    <w:rsid w:val="007B1D3B"/>
    <w:rsid w:val="007C3193"/>
    <w:rsid w:val="007C3F0F"/>
    <w:rsid w:val="007D079B"/>
    <w:rsid w:val="007D1406"/>
    <w:rsid w:val="007D3885"/>
    <w:rsid w:val="007D3967"/>
    <w:rsid w:val="007E23B2"/>
    <w:rsid w:val="007E7671"/>
    <w:rsid w:val="007F0EED"/>
    <w:rsid w:val="007F3A83"/>
    <w:rsid w:val="007F47F3"/>
    <w:rsid w:val="007F6985"/>
    <w:rsid w:val="007F7C2E"/>
    <w:rsid w:val="007F7DA2"/>
    <w:rsid w:val="008035F7"/>
    <w:rsid w:val="00803EC8"/>
    <w:rsid w:val="008044EA"/>
    <w:rsid w:val="00806B6C"/>
    <w:rsid w:val="00820ED5"/>
    <w:rsid w:val="008225E4"/>
    <w:rsid w:val="00827864"/>
    <w:rsid w:val="0083548E"/>
    <w:rsid w:val="00844DA8"/>
    <w:rsid w:val="00845791"/>
    <w:rsid w:val="008512FE"/>
    <w:rsid w:val="0085131F"/>
    <w:rsid w:val="0085156C"/>
    <w:rsid w:val="00853F17"/>
    <w:rsid w:val="00855D17"/>
    <w:rsid w:val="008566E9"/>
    <w:rsid w:val="00857546"/>
    <w:rsid w:val="00860D5F"/>
    <w:rsid w:val="00861D79"/>
    <w:rsid w:val="00862E3E"/>
    <w:rsid w:val="00870751"/>
    <w:rsid w:val="008733D8"/>
    <w:rsid w:val="0087537B"/>
    <w:rsid w:val="00875E77"/>
    <w:rsid w:val="00896DB9"/>
    <w:rsid w:val="00896E28"/>
    <w:rsid w:val="0089794B"/>
    <w:rsid w:val="008A3D1A"/>
    <w:rsid w:val="008B49CE"/>
    <w:rsid w:val="008C3087"/>
    <w:rsid w:val="008C4DD1"/>
    <w:rsid w:val="008C5AE3"/>
    <w:rsid w:val="008D0B48"/>
    <w:rsid w:val="008D34D3"/>
    <w:rsid w:val="008D35F8"/>
    <w:rsid w:val="008D7809"/>
    <w:rsid w:val="008D7FDB"/>
    <w:rsid w:val="008E45BF"/>
    <w:rsid w:val="008E57C6"/>
    <w:rsid w:val="008E643B"/>
    <w:rsid w:val="008F2596"/>
    <w:rsid w:val="008F64E0"/>
    <w:rsid w:val="008F6FF8"/>
    <w:rsid w:val="0090026E"/>
    <w:rsid w:val="00902994"/>
    <w:rsid w:val="00902B3A"/>
    <w:rsid w:val="00907F2A"/>
    <w:rsid w:val="00913330"/>
    <w:rsid w:val="0092125A"/>
    <w:rsid w:val="009216F9"/>
    <w:rsid w:val="009247D5"/>
    <w:rsid w:val="00924F74"/>
    <w:rsid w:val="009275FD"/>
    <w:rsid w:val="00930FF5"/>
    <w:rsid w:val="009319CE"/>
    <w:rsid w:val="00931A88"/>
    <w:rsid w:val="009341AF"/>
    <w:rsid w:val="00935D23"/>
    <w:rsid w:val="00936629"/>
    <w:rsid w:val="00937674"/>
    <w:rsid w:val="009434E7"/>
    <w:rsid w:val="00944D95"/>
    <w:rsid w:val="009477D7"/>
    <w:rsid w:val="0095101C"/>
    <w:rsid w:val="009520E2"/>
    <w:rsid w:val="009528CF"/>
    <w:rsid w:val="009529C9"/>
    <w:rsid w:val="00952A47"/>
    <w:rsid w:val="00954329"/>
    <w:rsid w:val="0096693A"/>
    <w:rsid w:val="009702E7"/>
    <w:rsid w:val="0097052B"/>
    <w:rsid w:val="00970C10"/>
    <w:rsid w:val="00970F6B"/>
    <w:rsid w:val="00971293"/>
    <w:rsid w:val="00971B59"/>
    <w:rsid w:val="00972FA8"/>
    <w:rsid w:val="00976388"/>
    <w:rsid w:val="0098344C"/>
    <w:rsid w:val="009851CB"/>
    <w:rsid w:val="009B5466"/>
    <w:rsid w:val="009B7389"/>
    <w:rsid w:val="009B7C3D"/>
    <w:rsid w:val="009C177A"/>
    <w:rsid w:val="009D1BBD"/>
    <w:rsid w:val="009D5DDE"/>
    <w:rsid w:val="009D6462"/>
    <w:rsid w:val="009E1DAE"/>
    <w:rsid w:val="009E5ED2"/>
    <w:rsid w:val="009F1659"/>
    <w:rsid w:val="009F5DB5"/>
    <w:rsid w:val="00A110EF"/>
    <w:rsid w:val="00A140E7"/>
    <w:rsid w:val="00A17C0A"/>
    <w:rsid w:val="00A233B1"/>
    <w:rsid w:val="00A309A0"/>
    <w:rsid w:val="00A34B17"/>
    <w:rsid w:val="00A470C4"/>
    <w:rsid w:val="00A52FA3"/>
    <w:rsid w:val="00A65E1D"/>
    <w:rsid w:val="00A70D99"/>
    <w:rsid w:val="00A73670"/>
    <w:rsid w:val="00A83AF4"/>
    <w:rsid w:val="00A846C9"/>
    <w:rsid w:val="00A8473C"/>
    <w:rsid w:val="00A84993"/>
    <w:rsid w:val="00A84D74"/>
    <w:rsid w:val="00A95382"/>
    <w:rsid w:val="00A96CBE"/>
    <w:rsid w:val="00A96E65"/>
    <w:rsid w:val="00AA2556"/>
    <w:rsid w:val="00AA48BF"/>
    <w:rsid w:val="00AA4FDD"/>
    <w:rsid w:val="00AB0C2C"/>
    <w:rsid w:val="00AB2853"/>
    <w:rsid w:val="00AB38D8"/>
    <w:rsid w:val="00AB5AE6"/>
    <w:rsid w:val="00AB5D45"/>
    <w:rsid w:val="00AC4426"/>
    <w:rsid w:val="00AC69AB"/>
    <w:rsid w:val="00AD0126"/>
    <w:rsid w:val="00AD0424"/>
    <w:rsid w:val="00AD2830"/>
    <w:rsid w:val="00AD2CA1"/>
    <w:rsid w:val="00AD5B39"/>
    <w:rsid w:val="00AE2993"/>
    <w:rsid w:val="00AE3B96"/>
    <w:rsid w:val="00AE5FD5"/>
    <w:rsid w:val="00AE7972"/>
    <w:rsid w:val="00AF185E"/>
    <w:rsid w:val="00AF1A63"/>
    <w:rsid w:val="00AF2D83"/>
    <w:rsid w:val="00AF797B"/>
    <w:rsid w:val="00B01FC9"/>
    <w:rsid w:val="00B029AA"/>
    <w:rsid w:val="00B05412"/>
    <w:rsid w:val="00B06858"/>
    <w:rsid w:val="00B110B1"/>
    <w:rsid w:val="00B111ED"/>
    <w:rsid w:val="00B2491C"/>
    <w:rsid w:val="00B24970"/>
    <w:rsid w:val="00B31123"/>
    <w:rsid w:val="00B32E1B"/>
    <w:rsid w:val="00B36A1A"/>
    <w:rsid w:val="00B37519"/>
    <w:rsid w:val="00B41944"/>
    <w:rsid w:val="00B5189B"/>
    <w:rsid w:val="00B526C5"/>
    <w:rsid w:val="00B5355E"/>
    <w:rsid w:val="00B62567"/>
    <w:rsid w:val="00B62E5D"/>
    <w:rsid w:val="00B70001"/>
    <w:rsid w:val="00B73A3C"/>
    <w:rsid w:val="00B73EB2"/>
    <w:rsid w:val="00B740C6"/>
    <w:rsid w:val="00B77799"/>
    <w:rsid w:val="00B81DEB"/>
    <w:rsid w:val="00B87399"/>
    <w:rsid w:val="00B876BA"/>
    <w:rsid w:val="00B910A3"/>
    <w:rsid w:val="00BA04B6"/>
    <w:rsid w:val="00BA20F4"/>
    <w:rsid w:val="00BA2108"/>
    <w:rsid w:val="00BA3E7C"/>
    <w:rsid w:val="00BB2211"/>
    <w:rsid w:val="00BB2ACD"/>
    <w:rsid w:val="00BC7DA2"/>
    <w:rsid w:val="00BD270E"/>
    <w:rsid w:val="00BE4A3C"/>
    <w:rsid w:val="00BE5A5D"/>
    <w:rsid w:val="00BF10FB"/>
    <w:rsid w:val="00BF1143"/>
    <w:rsid w:val="00BF1159"/>
    <w:rsid w:val="00BF18CE"/>
    <w:rsid w:val="00C063EF"/>
    <w:rsid w:val="00C07362"/>
    <w:rsid w:val="00C126C6"/>
    <w:rsid w:val="00C128B0"/>
    <w:rsid w:val="00C147DA"/>
    <w:rsid w:val="00C17EEB"/>
    <w:rsid w:val="00C24F20"/>
    <w:rsid w:val="00C27733"/>
    <w:rsid w:val="00C30284"/>
    <w:rsid w:val="00C31BCE"/>
    <w:rsid w:val="00C31C75"/>
    <w:rsid w:val="00C32D69"/>
    <w:rsid w:val="00C3639C"/>
    <w:rsid w:val="00C373BA"/>
    <w:rsid w:val="00C47F31"/>
    <w:rsid w:val="00C52DCC"/>
    <w:rsid w:val="00C53F39"/>
    <w:rsid w:val="00C5511D"/>
    <w:rsid w:val="00C55A59"/>
    <w:rsid w:val="00C55B85"/>
    <w:rsid w:val="00C56F6A"/>
    <w:rsid w:val="00C60653"/>
    <w:rsid w:val="00C609B7"/>
    <w:rsid w:val="00C63F08"/>
    <w:rsid w:val="00C67671"/>
    <w:rsid w:val="00C71152"/>
    <w:rsid w:val="00C83652"/>
    <w:rsid w:val="00C86771"/>
    <w:rsid w:val="00C94736"/>
    <w:rsid w:val="00C9489F"/>
    <w:rsid w:val="00C96F1D"/>
    <w:rsid w:val="00CA0D6A"/>
    <w:rsid w:val="00CA3C9E"/>
    <w:rsid w:val="00CA525B"/>
    <w:rsid w:val="00CB2CCA"/>
    <w:rsid w:val="00CC2707"/>
    <w:rsid w:val="00CD6DFC"/>
    <w:rsid w:val="00CD6FCB"/>
    <w:rsid w:val="00CD7076"/>
    <w:rsid w:val="00CD72C3"/>
    <w:rsid w:val="00CD7C7D"/>
    <w:rsid w:val="00CE0DBB"/>
    <w:rsid w:val="00CE206E"/>
    <w:rsid w:val="00CF29BA"/>
    <w:rsid w:val="00CF3317"/>
    <w:rsid w:val="00D03D72"/>
    <w:rsid w:val="00D072ED"/>
    <w:rsid w:val="00D07CF6"/>
    <w:rsid w:val="00D10440"/>
    <w:rsid w:val="00D12CE4"/>
    <w:rsid w:val="00D15ACA"/>
    <w:rsid w:val="00D17EB0"/>
    <w:rsid w:val="00D212F7"/>
    <w:rsid w:val="00D2282C"/>
    <w:rsid w:val="00D25EA1"/>
    <w:rsid w:val="00D27EBC"/>
    <w:rsid w:val="00D32574"/>
    <w:rsid w:val="00D348B6"/>
    <w:rsid w:val="00D35D6E"/>
    <w:rsid w:val="00D3664F"/>
    <w:rsid w:val="00D37A66"/>
    <w:rsid w:val="00D41A8D"/>
    <w:rsid w:val="00D432DB"/>
    <w:rsid w:val="00D43A3C"/>
    <w:rsid w:val="00D4577D"/>
    <w:rsid w:val="00D4597F"/>
    <w:rsid w:val="00D45F2C"/>
    <w:rsid w:val="00D47DB6"/>
    <w:rsid w:val="00D52360"/>
    <w:rsid w:val="00D53E82"/>
    <w:rsid w:val="00D56358"/>
    <w:rsid w:val="00D567D8"/>
    <w:rsid w:val="00D61F1F"/>
    <w:rsid w:val="00D6209D"/>
    <w:rsid w:val="00D63C6A"/>
    <w:rsid w:val="00D64454"/>
    <w:rsid w:val="00D64919"/>
    <w:rsid w:val="00D651F6"/>
    <w:rsid w:val="00D67359"/>
    <w:rsid w:val="00D71584"/>
    <w:rsid w:val="00D716F9"/>
    <w:rsid w:val="00D76281"/>
    <w:rsid w:val="00D76E38"/>
    <w:rsid w:val="00D85755"/>
    <w:rsid w:val="00D90A07"/>
    <w:rsid w:val="00D91306"/>
    <w:rsid w:val="00D91C0F"/>
    <w:rsid w:val="00D91F53"/>
    <w:rsid w:val="00D96856"/>
    <w:rsid w:val="00DA5FA9"/>
    <w:rsid w:val="00DA7833"/>
    <w:rsid w:val="00DB4247"/>
    <w:rsid w:val="00DB5A12"/>
    <w:rsid w:val="00DB5E58"/>
    <w:rsid w:val="00DB638E"/>
    <w:rsid w:val="00DC3754"/>
    <w:rsid w:val="00DC3C6D"/>
    <w:rsid w:val="00DC40B9"/>
    <w:rsid w:val="00DC4643"/>
    <w:rsid w:val="00DC7103"/>
    <w:rsid w:val="00DD3D48"/>
    <w:rsid w:val="00DD51FE"/>
    <w:rsid w:val="00DD6092"/>
    <w:rsid w:val="00DD6C76"/>
    <w:rsid w:val="00DE0CFD"/>
    <w:rsid w:val="00DE271D"/>
    <w:rsid w:val="00DE4527"/>
    <w:rsid w:val="00DF736C"/>
    <w:rsid w:val="00E00343"/>
    <w:rsid w:val="00E00445"/>
    <w:rsid w:val="00E0055F"/>
    <w:rsid w:val="00E059BE"/>
    <w:rsid w:val="00E0619E"/>
    <w:rsid w:val="00E069A2"/>
    <w:rsid w:val="00E07C6D"/>
    <w:rsid w:val="00E179BA"/>
    <w:rsid w:val="00E230FA"/>
    <w:rsid w:val="00E23DC9"/>
    <w:rsid w:val="00E24548"/>
    <w:rsid w:val="00E259D9"/>
    <w:rsid w:val="00E31BC6"/>
    <w:rsid w:val="00E34105"/>
    <w:rsid w:val="00E37160"/>
    <w:rsid w:val="00E402C1"/>
    <w:rsid w:val="00E43400"/>
    <w:rsid w:val="00E52F09"/>
    <w:rsid w:val="00E56955"/>
    <w:rsid w:val="00E574FC"/>
    <w:rsid w:val="00E60010"/>
    <w:rsid w:val="00E606F1"/>
    <w:rsid w:val="00E61CD3"/>
    <w:rsid w:val="00E6276D"/>
    <w:rsid w:val="00E77593"/>
    <w:rsid w:val="00E86E11"/>
    <w:rsid w:val="00E87FD8"/>
    <w:rsid w:val="00E9391B"/>
    <w:rsid w:val="00EA014F"/>
    <w:rsid w:val="00EA2283"/>
    <w:rsid w:val="00EB7DCD"/>
    <w:rsid w:val="00EC0BEE"/>
    <w:rsid w:val="00EC4F2B"/>
    <w:rsid w:val="00ED1C4A"/>
    <w:rsid w:val="00ED4043"/>
    <w:rsid w:val="00ED46EE"/>
    <w:rsid w:val="00EE0B8B"/>
    <w:rsid w:val="00EF5653"/>
    <w:rsid w:val="00EF5FA7"/>
    <w:rsid w:val="00EF6453"/>
    <w:rsid w:val="00EF79CF"/>
    <w:rsid w:val="00F02D08"/>
    <w:rsid w:val="00F04E87"/>
    <w:rsid w:val="00F11EE5"/>
    <w:rsid w:val="00F15150"/>
    <w:rsid w:val="00F17678"/>
    <w:rsid w:val="00F1791F"/>
    <w:rsid w:val="00F213B3"/>
    <w:rsid w:val="00F21D2C"/>
    <w:rsid w:val="00F23014"/>
    <w:rsid w:val="00F2547F"/>
    <w:rsid w:val="00F300EF"/>
    <w:rsid w:val="00F353DD"/>
    <w:rsid w:val="00F35C87"/>
    <w:rsid w:val="00F36CE1"/>
    <w:rsid w:val="00F376A6"/>
    <w:rsid w:val="00F40E65"/>
    <w:rsid w:val="00F4535D"/>
    <w:rsid w:val="00F46B9E"/>
    <w:rsid w:val="00F5339C"/>
    <w:rsid w:val="00F55FBD"/>
    <w:rsid w:val="00F56626"/>
    <w:rsid w:val="00F57FF7"/>
    <w:rsid w:val="00F609AF"/>
    <w:rsid w:val="00F60B70"/>
    <w:rsid w:val="00F6468F"/>
    <w:rsid w:val="00F671EC"/>
    <w:rsid w:val="00F720FD"/>
    <w:rsid w:val="00F721FB"/>
    <w:rsid w:val="00F72B99"/>
    <w:rsid w:val="00F82279"/>
    <w:rsid w:val="00F855F0"/>
    <w:rsid w:val="00F870BC"/>
    <w:rsid w:val="00F90BD2"/>
    <w:rsid w:val="00F934E9"/>
    <w:rsid w:val="00F93DF8"/>
    <w:rsid w:val="00FA4384"/>
    <w:rsid w:val="00FA5233"/>
    <w:rsid w:val="00FA6766"/>
    <w:rsid w:val="00FB5CDB"/>
    <w:rsid w:val="00FC1B85"/>
    <w:rsid w:val="00FC4D9C"/>
    <w:rsid w:val="00FD460D"/>
    <w:rsid w:val="00FD6ECA"/>
    <w:rsid w:val="00FE13D5"/>
    <w:rsid w:val="00FE371B"/>
    <w:rsid w:val="00FE4632"/>
    <w:rsid w:val="00FF0696"/>
    <w:rsid w:val="00FF08B4"/>
    <w:rsid w:val="00FF1349"/>
    <w:rsid w:val="00FF34EC"/>
    <w:rsid w:val="00FF638F"/>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2AAC62"/>
  <w15:chartTrackingRefBased/>
  <w15:docId w15:val="{2F3F7A8C-DEE4-42FE-90EC-582590A76D12}"/>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5C0"/>
    <w:pPr>
      <w:tabs>
        <w:tab w:val="right" w:pos="5040"/>
      </w:tabs>
      <w:overflowPunct w:val="0"/>
      <w:autoSpaceDE w:val="0"/>
      <w:autoSpaceDN w:val="0"/>
      <w:adjustRightInd w:val="0"/>
      <w:textAlignment w:val="baseline"/>
    </w:pPr>
    <w:rPr>
      <w:sz w:val="26"/>
    </w:rPr>
  </w:style>
  <w:style w:type="paragraph" w:styleId="Heading1">
    <w:name w:val="heading 1"/>
    <w:basedOn w:val="BodyText"/>
    <w:next w:val="BodyText"/>
    <w:link w:val="Heading1Char"/>
    <w:qFormat/>
    <w:pPr>
      <w:keepNext/>
      <w:keepLines/>
      <w:numPr>
        <w:numId w:val="1"/>
      </w:numPr>
      <w:spacing w:before="120" w:after="120" w:line="240" w:lineRule="auto"/>
      <w:ind w:right="720"/>
      <w:outlineLvl w:val="0"/>
    </w:pPr>
    <w:rPr>
      <w:b/>
      <w:kern w:val="28"/>
    </w:rPr>
  </w:style>
  <w:style w:type="paragraph" w:styleId="Heading2">
    <w:name w:val="heading 2"/>
    <w:basedOn w:val="BodyText"/>
    <w:next w:val="BodyText"/>
    <w:qFormat/>
    <w:pPr>
      <w:keepNext/>
      <w:numPr>
        <w:ilvl w:val="1"/>
        <w:numId w:val="1"/>
      </w:numPr>
      <w:spacing w:before="120" w:after="120" w:line="240" w:lineRule="auto"/>
      <w:ind w:right="1440"/>
      <w:outlineLvl w:val="1"/>
    </w:pPr>
    <w:rPr>
      <w:b/>
    </w:rPr>
  </w:style>
  <w:style w:type="paragraph" w:styleId="Heading3">
    <w:name w:val="heading 3"/>
    <w:basedOn w:val="BodyText"/>
    <w:next w:val="BodyText"/>
    <w:qFormat/>
    <w:pPr>
      <w:keepNext/>
      <w:numPr>
        <w:ilvl w:val="2"/>
        <w:numId w:val="1"/>
      </w:numPr>
      <w:spacing w:before="120" w:after="120" w:line="240" w:lineRule="auto"/>
      <w:ind w:right="1440"/>
      <w:outlineLvl w:val="2"/>
    </w:pPr>
    <w:rPr>
      <w:b/>
    </w:rPr>
  </w:style>
  <w:style w:type="paragraph" w:styleId="Heading4">
    <w:name w:val="heading 4"/>
    <w:basedOn w:val="BodyText"/>
    <w:next w:val="BodyText"/>
    <w:autoRedefine/>
    <w:qFormat/>
    <w:rsid w:val="008035F7"/>
    <w:pPr>
      <w:keepNext/>
      <w:numPr>
        <w:ilvl w:val="3"/>
        <w:numId w:val="1"/>
      </w:numPr>
      <w:spacing w:after="120" w:line="240" w:lineRule="auto"/>
      <w:ind w:right="1440"/>
      <w:outlineLvl w:val="3"/>
    </w:pPr>
    <w:rPr>
      <w:b/>
      <w:szCs w:val="26"/>
    </w:rPr>
  </w:style>
  <w:style w:type="paragraph" w:styleId="Heading5">
    <w:name w:val="heading 5"/>
    <w:basedOn w:val="Normal"/>
    <w:next w:val="Normal"/>
    <w:autoRedefine/>
    <w:qFormat/>
    <w:rsid w:val="00E86E11"/>
    <w:pPr>
      <w:keepNext/>
      <w:numPr>
        <w:ilvl w:val="4"/>
        <w:numId w:val="1"/>
      </w:numPr>
      <w:tabs>
        <w:tab w:val="clear" w:pos="5040"/>
      </w:tabs>
      <w:overflowPunct/>
      <w:autoSpaceDE/>
      <w:autoSpaceDN/>
      <w:adjustRightInd/>
      <w:spacing w:after="120"/>
      <w:ind w:right="720"/>
      <w:textAlignment w:val="auto"/>
      <w:outlineLvl w:val="4"/>
    </w:pPr>
    <w:rPr>
      <w:b/>
      <w:bCs/>
      <w:szCs w:val="26"/>
      <w:shd w:val="clear" w:color="auto" w:fill="FFFFFF"/>
    </w:rPr>
  </w:style>
  <w:style w:type="paragraph" w:styleId="Heading6">
    <w:name w:val="heading 6"/>
    <w:basedOn w:val="Normal"/>
    <w:next w:val="Normal"/>
    <w:autoRedefine/>
    <w:qFormat/>
    <w:pPr>
      <w:numPr>
        <w:ilvl w:val="5"/>
        <w:numId w:val="1"/>
      </w:numPr>
      <w:spacing w:before="240" w:after="60"/>
      <w:outlineLvl w:val="5"/>
    </w:pPr>
    <w:rPr>
      <w:b/>
    </w:rPr>
  </w:style>
  <w:style w:type="paragraph" w:styleId="Heading7">
    <w:name w:val="heading 7"/>
    <w:basedOn w:val="Normal"/>
    <w:next w:val="Normal"/>
    <w:autoRedefine/>
    <w:uiPriority w:val="99"/>
    <w:qFormat/>
    <w:pPr>
      <w:numPr>
        <w:ilvl w:val="6"/>
        <w:numId w:val="1"/>
      </w:numPr>
      <w:spacing w:before="240" w:after="60"/>
      <w:outlineLvl w:val="6"/>
    </w:pPr>
    <w:rPr>
      <w:b/>
    </w:rPr>
  </w:style>
  <w:style w:type="paragraph" w:styleId="Heading8">
    <w:name w:val="heading 8"/>
    <w:basedOn w:val="Normal"/>
    <w:next w:val="Normal"/>
    <w:autoRedefine/>
    <w:uiPriority w:val="99"/>
    <w:qFormat/>
    <w:pPr>
      <w:numPr>
        <w:ilvl w:val="7"/>
        <w:numId w:val="1"/>
      </w:numPr>
      <w:spacing w:before="240" w:after="60"/>
      <w:outlineLvl w:val="7"/>
    </w:pPr>
    <w:rPr>
      <w:b/>
    </w:rPr>
  </w:style>
  <w:style w:type="paragraph" w:styleId="Heading9">
    <w:name w:val="heading 9"/>
    <w:basedOn w:val="Normal"/>
    <w:next w:val="Normal"/>
    <w:autoRedefine/>
    <w:uiPriority w:val="99"/>
    <w:qFormat/>
    <w:pPr>
      <w:numPr>
        <w:ilvl w:val="8"/>
        <w:numId w:val="1"/>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overflowPunct w:val="0"/>
      <w:autoSpaceDE w:val="0"/>
      <w:autoSpaceDN w:val="0"/>
      <w:adjustRightInd w:val="0"/>
      <w:spacing w:line="360" w:lineRule="auto"/>
      <w:ind w:firstLine="720"/>
      <w:textAlignment w:val="baseline"/>
    </w:pPr>
    <w:rPr>
      <w:sz w:val="26"/>
    </w:rPr>
  </w:style>
  <w:style w:type="paragraph" w:styleId="FootnoteText">
    <w:name w:val="footnote text"/>
    <w:aliases w:val="Char,Footnote Text Char1,Footnote Text Char Char,Footnote Text Char2 Char,Footnote Text Char Char Char,Footnote Text Char2 Char Char Char,Footnote Text Char Char Char Char Char,Footnote Text Char2 Char Char Char Char1 Char,fn"/>
    <w:basedOn w:val="Normal"/>
    <w:link w:val="FootnoteTextChar"/>
    <w:pPr>
      <w:widowControl w:val="0"/>
      <w:spacing w:after="120" w:line="240" w:lineRule="exact"/>
    </w:pPr>
    <w:rPr>
      <w:sz w:val="22"/>
    </w:rPr>
  </w:style>
  <w:style w:type="character" w:styleId="FootnoteReference">
    <w:name w:val="footnote reference"/>
    <w:aliases w:val="o,fr,Style 3,o1,o2,o3,o4,o5,o6,o11,o21,o7,Footnote Reference1,Style 12,(NECG) Footnote Reference,Appel note de bas de p,Style 124,o + Times New Roman,Style 17,Style 20,Style 13,fr1,fr2,fr3"/>
    <w:rPr>
      <w:rFonts w:ascii="Times New Roman" w:hAnsi="Times New Roman"/>
      <w:b/>
      <w:sz w:val="28"/>
      <w:u w:val="single"/>
      <w:vertAlign w:val="superscript"/>
    </w:r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semiHidden/>
    <w:pPr>
      <w:keepNext/>
      <w:tabs>
        <w:tab w:val="clear" w:pos="5040"/>
        <w:tab w:val="right" w:leader="dot" w:pos="8640"/>
      </w:tabs>
      <w:suppressAutoHyphens/>
      <w:spacing w:before="120" w:after="120"/>
      <w:ind w:left="720" w:right="1440" w:hanging="720"/>
    </w:pPr>
    <w:rPr>
      <w:caps/>
      <w:noProof/>
      <w:sz w:val="24"/>
    </w:rPr>
  </w:style>
  <w:style w:type="paragraph" w:styleId="TOC2">
    <w:name w:val="toc 2"/>
    <w:basedOn w:val="Normal"/>
    <w:next w:val="Normal"/>
    <w:autoRedefine/>
    <w:semiHidden/>
    <w:pPr>
      <w:tabs>
        <w:tab w:val="clear" w:pos="5040"/>
        <w:tab w:val="right" w:leader="dot" w:pos="8640"/>
      </w:tabs>
      <w:suppressAutoHyphens/>
      <w:spacing w:after="120"/>
      <w:ind w:left="720" w:right="1440" w:hanging="288"/>
    </w:pPr>
    <w:rPr>
      <w:smallCaps/>
      <w:noProof/>
      <w:sz w:val="24"/>
    </w:rPr>
  </w:style>
  <w:style w:type="paragraph" w:styleId="TOC3">
    <w:name w:val="toc 3"/>
    <w:basedOn w:val="Normal"/>
    <w:next w:val="Normal"/>
    <w:autoRedefine/>
    <w:semiHidden/>
    <w:pPr>
      <w:tabs>
        <w:tab w:val="clear" w:pos="5040"/>
        <w:tab w:val="right" w:leader="dot" w:pos="8640"/>
      </w:tabs>
      <w:spacing w:after="120"/>
      <w:ind w:left="1109" w:right="1440" w:hanging="245"/>
    </w:pPr>
    <w:rPr>
      <w:noProof/>
      <w:sz w:val="24"/>
    </w:rPr>
  </w:style>
  <w:style w:type="paragraph" w:styleId="TOC4">
    <w:name w:val="toc 4"/>
    <w:basedOn w:val="Normal"/>
    <w:next w:val="Normal"/>
    <w:autoRedefine/>
    <w:semiHidden/>
    <w:pPr>
      <w:widowControl w:val="0"/>
      <w:tabs>
        <w:tab w:val="clear" w:pos="5040"/>
        <w:tab w:val="right" w:leader="dot" w:pos="8640"/>
      </w:tabs>
      <w:spacing w:after="120"/>
      <w:ind w:left="1627" w:right="1440" w:hanging="360"/>
    </w:pPr>
    <w:rPr>
      <w:sz w:val="24"/>
    </w:rPr>
  </w:style>
  <w:style w:type="paragraph" w:styleId="TOC5">
    <w:name w:val="toc 5"/>
    <w:basedOn w:val="Normal"/>
    <w:next w:val="Normal"/>
    <w:autoRedefine/>
    <w:semiHidden/>
    <w:pPr>
      <w:tabs>
        <w:tab w:val="clear" w:pos="5040"/>
        <w:tab w:val="right" w:leader="dot" w:pos="8640"/>
      </w:tabs>
      <w:spacing w:after="120"/>
      <w:ind w:left="1980" w:right="1440" w:hanging="360"/>
    </w:pPr>
    <w:rPr>
      <w:sz w:val="24"/>
    </w:rPr>
  </w:style>
  <w:style w:type="paragraph" w:styleId="TOC6">
    <w:name w:val="toc 6"/>
    <w:basedOn w:val="Normal"/>
    <w:next w:val="Normal"/>
    <w:autoRedefine/>
    <w:semiHidden/>
    <w:pPr>
      <w:tabs>
        <w:tab w:val="clear" w:pos="5040"/>
        <w:tab w:val="right" w:leader="dot" w:pos="8640"/>
      </w:tabs>
      <w:spacing w:after="120"/>
      <w:ind w:left="2333" w:right="1440" w:hanging="331"/>
    </w:pPr>
    <w:rPr>
      <w:sz w:val="24"/>
    </w:rPr>
  </w:style>
  <w:style w:type="paragraph" w:styleId="TOC7">
    <w:name w:val="toc 7"/>
    <w:basedOn w:val="Normal"/>
    <w:next w:val="Normal"/>
    <w:autoRedefine/>
    <w:semiHidden/>
    <w:pPr>
      <w:tabs>
        <w:tab w:val="clear" w:pos="5040"/>
        <w:tab w:val="right" w:leader="dot" w:pos="8640"/>
      </w:tabs>
      <w:spacing w:after="120"/>
      <w:ind w:left="2707" w:right="1440" w:hanging="360"/>
    </w:pPr>
    <w:rPr>
      <w:sz w:val="24"/>
    </w:rPr>
  </w:style>
  <w:style w:type="paragraph" w:styleId="TOC8">
    <w:name w:val="toc 8"/>
    <w:basedOn w:val="Normal"/>
    <w:next w:val="Normal"/>
    <w:autoRedefine/>
    <w:semiHidden/>
    <w:pPr>
      <w:tabs>
        <w:tab w:val="clear" w:pos="5040"/>
        <w:tab w:val="right" w:leader="dot" w:pos="8640"/>
      </w:tabs>
      <w:spacing w:after="120"/>
      <w:ind w:left="3067" w:right="1440" w:hanging="360"/>
    </w:pPr>
    <w:rPr>
      <w:sz w:val="24"/>
    </w:rPr>
  </w:style>
  <w:style w:type="paragraph" w:styleId="TOC9">
    <w:name w:val="toc 9"/>
    <w:basedOn w:val="Normal"/>
    <w:next w:val="Normal"/>
    <w:autoRedefine/>
    <w:semiHidden/>
    <w:pPr>
      <w:tabs>
        <w:tab w:val="clear" w:pos="5040"/>
        <w:tab w:val="right" w:leader="dot" w:pos="8640"/>
      </w:tabs>
      <w:spacing w:after="120"/>
      <w:ind w:left="3427" w:right="1440" w:hanging="360"/>
    </w:pPr>
    <w:rPr>
      <w:sz w:val="24"/>
    </w:rPr>
  </w:style>
  <w:style w:type="paragraph" w:customStyle="1" w:styleId="Quotation">
    <w:name w:val="Quotation"/>
    <w:basedOn w:val="BodyText"/>
    <w:next w:val="BodyText"/>
    <w:link w:val="QuotationChar"/>
    <w:pPr>
      <w:spacing w:after="120" w:line="240" w:lineRule="auto"/>
      <w:ind w:left="1440" w:right="1440" w:firstLine="0"/>
    </w:pPr>
  </w:style>
  <w:style w:type="character" w:customStyle="1" w:styleId="FootnoteTextChar">
    <w:name w:val="Footnote Text Char"/>
    <w:aliases w:val="Char Char,Footnote Text Char1 Char,Footnote Text Char Char Char1,Footnote Text Char2 Char Char,Footnote Text Char Char Char Char,Footnote Text Char2 Char Char Char Char,Footnote Text Char Char Char Char Char Char,fn Char"/>
    <w:link w:val="FootnoteText"/>
    <w:rsid w:val="003C2AEA"/>
    <w:rPr>
      <w:sz w:val="22"/>
      <w:lang w:val="en-US" w:eastAsia="en-US" w:bidi="ar-SA"/>
    </w:rPr>
  </w:style>
  <w:style w:type="paragraph" w:styleId="TOAHeading">
    <w:name w:val="toa heading"/>
    <w:basedOn w:val="Normal"/>
    <w:next w:val="Normal"/>
    <w:semiHidden/>
    <w:pPr>
      <w:spacing w:before="240" w:after="120"/>
    </w:pPr>
    <w:rPr>
      <w:b/>
      <w:smallCaps/>
    </w:rPr>
  </w:style>
  <w:style w:type="paragraph" w:customStyle="1" w:styleId="BriefHeading">
    <w:name w:val="Brief Heading"/>
    <w:basedOn w:val="Normal"/>
    <w:pPr>
      <w:jc w:val="center"/>
    </w:pPr>
    <w:rPr>
      <w:smallCaps/>
      <w:sz w:val="28"/>
    </w:rPr>
  </w:style>
  <w:style w:type="paragraph" w:customStyle="1" w:styleId="Normal13pt">
    <w:name w:val="Normal + 13 pt"/>
    <w:basedOn w:val="Normal"/>
    <w:link w:val="Normal13ptChar"/>
    <w:rsid w:val="007E7671"/>
    <w:pPr>
      <w:tabs>
        <w:tab w:val="clear" w:pos="5040"/>
      </w:tabs>
      <w:overflowPunct/>
      <w:autoSpaceDE/>
      <w:autoSpaceDN/>
      <w:adjustRightInd/>
      <w:textAlignment w:val="auto"/>
    </w:pPr>
    <w:rPr>
      <w:szCs w:val="26"/>
    </w:rPr>
  </w:style>
  <w:style w:type="paragraph" w:styleId="Caption">
    <w:name w:val="caption"/>
    <w:basedOn w:val="BodyText"/>
    <w:qFormat/>
    <w:pPr>
      <w:tabs>
        <w:tab w:val="left" w:pos="4320"/>
        <w:tab w:val="left" w:pos="5040"/>
      </w:tabs>
      <w:spacing w:line="240" w:lineRule="auto"/>
      <w:ind w:firstLine="0"/>
    </w:pPr>
  </w:style>
  <w:style w:type="paragraph" w:customStyle="1" w:styleId="BriefTitle">
    <w:name w:val="Brief Title"/>
    <w:basedOn w:val="Normal"/>
    <w:pPr>
      <w:jc w:val="center"/>
    </w:pPr>
    <w:rPr>
      <w:b/>
      <w:caps/>
    </w:rPr>
  </w:style>
  <w:style w:type="character" w:customStyle="1" w:styleId="Normal13ptChar">
    <w:name w:val="Normal + 13 pt Char"/>
    <w:link w:val="Normal13pt"/>
    <w:rsid w:val="007E7671"/>
    <w:rPr>
      <w:sz w:val="26"/>
      <w:szCs w:val="26"/>
      <w:lang w:val="en-US" w:eastAsia="en-US" w:bidi="ar-SA"/>
    </w:rPr>
  </w:style>
  <w:style w:type="paragraph" w:customStyle="1" w:styleId="BodyText10">
    <w:name w:val="Body Text 10"/>
    <w:basedOn w:val="BodyText"/>
    <w:link w:val="BodyText10Char"/>
    <w:pPr>
      <w:overflowPunct/>
      <w:autoSpaceDE/>
      <w:autoSpaceDN/>
      <w:adjustRightInd/>
      <w:ind w:firstLine="1296"/>
      <w:textAlignment w:val="auto"/>
    </w:pPr>
  </w:style>
  <w:style w:type="paragraph" w:customStyle="1" w:styleId="BodyText6">
    <w:name w:val="Body Text 6"/>
    <w:basedOn w:val="BodyText"/>
    <w:autoRedefine/>
    <w:rsid w:val="00016E6A"/>
    <w:pPr>
      <w:overflowPunct/>
      <w:autoSpaceDE/>
      <w:autoSpaceDN/>
      <w:adjustRightInd/>
      <w:textAlignment w:val="auto"/>
    </w:pPr>
  </w:style>
  <w:style w:type="paragraph" w:customStyle="1" w:styleId="Normal13ptPatternClearWhite">
    <w:name w:val="Normal + 13 pt + Pattern: Clear (White)"/>
    <w:basedOn w:val="Normal13pt"/>
    <w:link w:val="Normal13ptPatternClearWhiteChar"/>
    <w:rsid w:val="007E7671"/>
    <w:rPr>
      <w:shd w:val="clear" w:color="auto" w:fill="FFFFFF"/>
    </w:rPr>
  </w:style>
  <w:style w:type="character" w:customStyle="1" w:styleId="Normal13ptPatternClearWhiteChar">
    <w:name w:val="Normal + 13 pt + Pattern: Clear (White) Char"/>
    <w:link w:val="Normal13ptPatternClearWhite"/>
    <w:rsid w:val="007E7671"/>
    <w:rPr>
      <w:sz w:val="26"/>
      <w:szCs w:val="26"/>
      <w:shd w:val="clear" w:color="auto" w:fill="FFFFFF"/>
      <w:lang w:val="en-US" w:eastAsia="en-US" w:bidi="ar-SA"/>
    </w:rPr>
  </w:style>
  <w:style w:type="character" w:customStyle="1" w:styleId="BodyTextChar">
    <w:name w:val="Body Text Char"/>
    <w:link w:val="BodyText"/>
    <w:rsid w:val="0092125A"/>
    <w:rPr>
      <w:sz w:val="26"/>
      <w:lang w:val="en-US" w:eastAsia="en-US" w:bidi="ar-SA"/>
    </w:rPr>
  </w:style>
  <w:style w:type="character" w:customStyle="1" w:styleId="apple-converted-space">
    <w:name w:val="apple-converted-space"/>
    <w:basedOn w:val="DefaultParagraphFont"/>
    <w:rsid w:val="0092125A"/>
  </w:style>
  <w:style w:type="paragraph" w:customStyle="1" w:styleId="BodyTextLeft1">
    <w:name w:val="Body Text + Left:  1&quot;"/>
    <w:aliases w:val="First line:  0&quot;,Right:  1&quot;,After:  12 pt,Line spaci..."/>
    <w:basedOn w:val="BodyText"/>
    <w:rsid w:val="00201179"/>
    <w:rPr>
      <w:shd w:val="clear" w:color="auto" w:fill="FFFFFF"/>
    </w:rPr>
  </w:style>
  <w:style w:type="paragraph" w:customStyle="1" w:styleId="BodyText6Firstline1">
    <w:name w:val="Body Text 6 + First line:  1&quot;"/>
    <w:basedOn w:val="BodyText10"/>
    <w:rsid w:val="00593F8A"/>
    <w:pPr>
      <w:ind w:firstLine="1440"/>
    </w:pPr>
  </w:style>
  <w:style w:type="paragraph" w:customStyle="1" w:styleId="TmsRmn">
    <w:name w:val="Tms Rmn"/>
    <w:basedOn w:val="FootnoteText"/>
    <w:link w:val="TmsRmnChar"/>
    <w:rsid w:val="004678C8"/>
  </w:style>
  <w:style w:type="character" w:customStyle="1" w:styleId="TmsRmnChar">
    <w:name w:val="Tms Rmn Char"/>
    <w:link w:val="TmsRmn"/>
    <w:rsid w:val="004678C8"/>
    <w:rPr>
      <w:sz w:val="22"/>
      <w:lang w:val="en-US" w:eastAsia="en-US" w:bidi="ar-SA"/>
    </w:rPr>
  </w:style>
  <w:style w:type="paragraph" w:styleId="BalloonText">
    <w:name w:val="Balloon Text"/>
    <w:basedOn w:val="Normal"/>
    <w:link w:val="BalloonTextChar"/>
    <w:rsid w:val="0005753A"/>
    <w:rPr>
      <w:rFonts w:ascii="Tahoma" w:hAnsi="Tahoma" w:cs="Tahoma"/>
      <w:sz w:val="16"/>
      <w:szCs w:val="16"/>
    </w:rPr>
  </w:style>
  <w:style w:type="character" w:customStyle="1" w:styleId="BalloonTextChar">
    <w:name w:val="Balloon Text Char"/>
    <w:link w:val="BalloonText"/>
    <w:rsid w:val="0005753A"/>
    <w:rPr>
      <w:rFonts w:ascii="Tahoma" w:hAnsi="Tahoma" w:cs="Tahoma"/>
      <w:sz w:val="16"/>
      <w:szCs w:val="16"/>
    </w:rPr>
  </w:style>
  <w:style w:type="paragraph" w:styleId="Header">
    <w:name w:val="header"/>
    <w:basedOn w:val="Normal"/>
    <w:link w:val="HeaderChar"/>
    <w:uiPriority w:val="99"/>
    <w:rsid w:val="0005753A"/>
    <w:pPr>
      <w:tabs>
        <w:tab w:val="clear" w:pos="5040"/>
        <w:tab w:val="center" w:pos="4680"/>
        <w:tab w:val="right" w:pos="9360"/>
      </w:tabs>
    </w:pPr>
  </w:style>
  <w:style w:type="character" w:customStyle="1" w:styleId="HeaderChar">
    <w:name w:val="Header Char"/>
    <w:link w:val="Header"/>
    <w:uiPriority w:val="99"/>
    <w:rsid w:val="0005753A"/>
    <w:rPr>
      <w:sz w:val="26"/>
    </w:rPr>
  </w:style>
  <w:style w:type="character" w:customStyle="1" w:styleId="FooterChar">
    <w:name w:val="Footer Char"/>
    <w:link w:val="Footer"/>
    <w:uiPriority w:val="99"/>
    <w:rsid w:val="00F72B99"/>
    <w:rPr>
      <w:sz w:val="26"/>
    </w:rPr>
  </w:style>
  <w:style w:type="character" w:customStyle="1" w:styleId="BodyText10Char">
    <w:name w:val="Body Text 10 Char"/>
    <w:link w:val="BodyText10"/>
    <w:rsid w:val="004A3D84"/>
    <w:rPr>
      <w:sz w:val="26"/>
      <w:lang w:val="en-US" w:eastAsia="en-US" w:bidi="ar-SA"/>
    </w:rPr>
  </w:style>
  <w:style w:type="paragraph" w:customStyle="1" w:styleId="Default">
    <w:name w:val="Default"/>
    <w:uiPriority w:val="99"/>
    <w:rsid w:val="00580581"/>
    <w:pPr>
      <w:autoSpaceDE w:val="0"/>
      <w:autoSpaceDN w:val="0"/>
      <w:adjustRightInd w:val="0"/>
    </w:pPr>
    <w:rPr>
      <w:rFonts w:ascii="Book Antiqua" w:hAnsi="Book Antiqua" w:cs="Book Antiqua"/>
      <w:color w:val="000000"/>
      <w:sz w:val="24"/>
      <w:szCs w:val="24"/>
    </w:rPr>
  </w:style>
  <w:style w:type="paragraph" w:styleId="EndnoteText">
    <w:name w:val="endnote text"/>
    <w:basedOn w:val="Normal"/>
    <w:link w:val="EndnoteTextChar"/>
    <w:rsid w:val="007B1D3B"/>
    <w:rPr>
      <w:sz w:val="20"/>
    </w:rPr>
  </w:style>
  <w:style w:type="character" w:customStyle="1" w:styleId="EndnoteTextChar">
    <w:name w:val="Endnote Text Char"/>
    <w:basedOn w:val="DefaultParagraphFont"/>
    <w:link w:val="EndnoteText"/>
    <w:rsid w:val="007B1D3B"/>
  </w:style>
  <w:style w:type="character" w:styleId="EndnoteReference">
    <w:name w:val="endnote reference"/>
    <w:rsid w:val="007B1D3B"/>
    <w:rPr>
      <w:vertAlign w:val="superscript"/>
    </w:rPr>
  </w:style>
  <w:style w:type="paragraph" w:customStyle="1" w:styleId="titlebar">
    <w:name w:val="title bar"/>
    <w:basedOn w:val="Normal"/>
    <w:rsid w:val="006A7163"/>
    <w:pPr>
      <w:keepNext/>
      <w:tabs>
        <w:tab w:val="clear" w:pos="5040"/>
      </w:tabs>
      <w:suppressAutoHyphens/>
      <w:overflowPunct/>
      <w:autoSpaceDE/>
      <w:autoSpaceDN/>
      <w:adjustRightInd/>
      <w:jc w:val="center"/>
      <w:textAlignment w:val="auto"/>
    </w:pPr>
    <w:rPr>
      <w:rFonts w:ascii="Helvetica" w:hAnsi="Helvetica"/>
      <w:b/>
    </w:rPr>
  </w:style>
  <w:style w:type="character" w:customStyle="1" w:styleId="BodyTextChar1">
    <w:name w:val="Body Text Char1"/>
    <w:aliases w:val="bt Char1,CARBody Text Char,Body Text Char Char,bt Char Char,bt Char + Right:  0.06&quot; Char"/>
    <w:rsid w:val="00C60653"/>
    <w:rPr>
      <w:sz w:val="26"/>
    </w:rPr>
  </w:style>
  <w:style w:type="character" w:styleId="Hyperlink">
    <w:name w:val="Hyperlink"/>
    <w:uiPriority w:val="99"/>
    <w:unhideWhenUsed/>
    <w:rsid w:val="009D6462"/>
    <w:rPr>
      <w:strike w:val="0"/>
      <w:dstrike w:val="0"/>
      <w:color w:val="004B91"/>
      <w:u w:val="none"/>
      <w:effect w:val="none"/>
    </w:rPr>
  </w:style>
  <w:style w:type="character" w:customStyle="1" w:styleId="QuotationChar">
    <w:name w:val="Quotation Char"/>
    <w:link w:val="Quotation"/>
    <w:locked/>
    <w:rsid w:val="009702E7"/>
    <w:rPr>
      <w:sz w:val="26"/>
    </w:rPr>
  </w:style>
  <w:style w:type="character" w:customStyle="1" w:styleId="Heading1Char">
    <w:name w:val="Heading 1 Char"/>
    <w:link w:val="Heading1"/>
    <w:rsid w:val="006317E8"/>
    <w:rPr>
      <w:b/>
      <w:kern w:val="28"/>
      <w:sz w:val="26"/>
    </w:rPr>
  </w:style>
  <w:style w:type="paragraph" w:customStyle="1" w:styleId="standard">
    <w:name w:val="standard"/>
    <w:basedOn w:val="Normal"/>
    <w:link w:val="standardChar"/>
    <w:rsid w:val="00FC4D9C"/>
    <w:pPr>
      <w:tabs>
        <w:tab w:val="clear" w:pos="5040"/>
      </w:tabs>
      <w:overflowPunct/>
      <w:autoSpaceDE/>
      <w:autoSpaceDN/>
      <w:adjustRightInd/>
      <w:spacing w:line="360" w:lineRule="auto"/>
      <w:ind w:firstLine="720"/>
      <w:textAlignment w:val="auto"/>
    </w:pPr>
    <w:rPr>
      <w:rFonts w:ascii="Palatino" w:hAnsi="Palatino"/>
      <w:szCs w:val="26"/>
    </w:rPr>
  </w:style>
  <w:style w:type="character" w:customStyle="1" w:styleId="standardChar">
    <w:name w:val="standard Char"/>
    <w:link w:val="standard"/>
    <w:rsid w:val="00FC4D9C"/>
    <w:rPr>
      <w:rFonts w:ascii="Palatino" w:hAnsi="Palatino"/>
      <w:sz w:val="26"/>
      <w:szCs w:val="26"/>
    </w:rPr>
  </w:style>
  <w:style w:type="paragraph" w:styleId="ListParagraph">
    <w:name w:val="List Paragraph"/>
    <w:basedOn w:val="Normal"/>
    <w:uiPriority w:val="34"/>
    <w:qFormat/>
    <w:rsid w:val="00FC4D9C"/>
    <w:pPr>
      <w:tabs>
        <w:tab w:val="clear" w:pos="5040"/>
      </w:tabs>
      <w:overflowPunct/>
      <w:autoSpaceDE/>
      <w:autoSpaceDN/>
      <w:adjustRightInd/>
      <w:spacing w:after="160" w:line="259" w:lineRule="auto"/>
      <w:ind w:left="720"/>
      <w:contextualSpacing/>
      <w:textAlignment w:val="auto"/>
    </w:pPr>
    <w:rPr>
      <w:rFonts w:ascii="Calibri" w:eastAsia="Calibri" w:hAnsi="Calibri"/>
      <w:sz w:val="22"/>
      <w:szCs w:val="22"/>
    </w:rPr>
  </w:style>
  <w:style w:type="paragraph" w:styleId="BodyText3">
    <w:name w:val="Body Text 3"/>
    <w:basedOn w:val="Normal"/>
    <w:link w:val="BodyText3Char"/>
    <w:unhideWhenUsed/>
    <w:rsid w:val="0085156C"/>
    <w:pPr>
      <w:tabs>
        <w:tab w:val="clear" w:pos="5040"/>
      </w:tabs>
      <w:overflowPunct/>
      <w:autoSpaceDE/>
      <w:autoSpaceDN/>
      <w:adjustRightInd/>
      <w:spacing w:after="120"/>
      <w:textAlignment w:val="auto"/>
    </w:pPr>
    <w:rPr>
      <w:sz w:val="16"/>
      <w:szCs w:val="16"/>
    </w:rPr>
  </w:style>
  <w:style w:type="character" w:customStyle="1" w:styleId="BodyText3Char">
    <w:name w:val="Body Text 3 Char"/>
    <w:link w:val="BodyText3"/>
    <w:rsid w:val="0085156C"/>
    <w:rPr>
      <w:sz w:val="16"/>
      <w:szCs w:val="16"/>
    </w:rPr>
  </w:style>
  <w:style w:type="paragraph" w:styleId="PlainText">
    <w:name w:val="Plain Text"/>
    <w:basedOn w:val="Normal"/>
    <w:link w:val="PlainTextChar"/>
    <w:uiPriority w:val="99"/>
    <w:unhideWhenUsed/>
    <w:rsid w:val="00C55A59"/>
    <w:pPr>
      <w:tabs>
        <w:tab w:val="clear" w:pos="5040"/>
      </w:tabs>
      <w:overflowPunct/>
      <w:autoSpaceDE/>
      <w:autoSpaceDN/>
      <w:adjustRightInd/>
      <w:textAlignment w:val="auto"/>
    </w:pPr>
    <w:rPr>
      <w:rFonts w:ascii="Calibri" w:hAnsi="Calibri" w:cs="Consolas"/>
      <w:sz w:val="22"/>
      <w:szCs w:val="21"/>
    </w:rPr>
  </w:style>
  <w:style w:type="character" w:customStyle="1" w:styleId="PlainTextChar">
    <w:name w:val="Plain Text Char"/>
    <w:link w:val="PlainText"/>
    <w:uiPriority w:val="99"/>
    <w:rsid w:val="00C55A59"/>
    <w:rPr>
      <w:rFonts w:ascii="Calibri" w:hAnsi="Calibri" w:cs="Consolas"/>
      <w:sz w:val="22"/>
      <w:szCs w:val="21"/>
    </w:rPr>
  </w:style>
  <w:style w:type="character" w:customStyle="1" w:styleId="cite">
    <w:name w:val="cite"/>
    <w:basedOn w:val="DefaultParagraphFont"/>
    <w:rsid w:val="00DC3C6D"/>
  </w:style>
  <w:style w:type="character" w:styleId="CommentReference">
    <w:name w:val="annotation reference"/>
    <w:basedOn w:val="DefaultParagraphFont"/>
    <w:rsid w:val="00394093"/>
    <w:rPr>
      <w:sz w:val="16"/>
      <w:szCs w:val="16"/>
    </w:rPr>
  </w:style>
  <w:style w:type="paragraph" w:styleId="CommentText">
    <w:name w:val="annotation text"/>
    <w:basedOn w:val="Normal"/>
    <w:link w:val="CommentTextChar"/>
    <w:uiPriority w:val="99"/>
    <w:rsid w:val="00394093"/>
    <w:rPr>
      <w:sz w:val="20"/>
    </w:rPr>
  </w:style>
  <w:style w:type="character" w:customStyle="1" w:styleId="CommentTextChar">
    <w:name w:val="Comment Text Char"/>
    <w:basedOn w:val="DefaultParagraphFont"/>
    <w:link w:val="CommentText"/>
    <w:uiPriority w:val="99"/>
    <w:rsid w:val="00394093"/>
  </w:style>
  <w:style w:type="paragraph" w:styleId="CommentSubject">
    <w:name w:val="annotation subject"/>
    <w:basedOn w:val="CommentText"/>
    <w:next w:val="CommentText"/>
    <w:link w:val="CommentSubjectChar"/>
    <w:rsid w:val="00394093"/>
    <w:rPr>
      <w:b/>
      <w:bCs/>
    </w:rPr>
  </w:style>
  <w:style w:type="character" w:customStyle="1" w:styleId="CommentSubjectChar">
    <w:name w:val="Comment Subject Char"/>
    <w:basedOn w:val="CommentTextChar"/>
    <w:link w:val="CommentSubject"/>
    <w:rsid w:val="00394093"/>
    <w:rPr>
      <w:b/>
      <w:bCs/>
    </w:rPr>
  </w:style>
  <w:style w:type="paragraph" w:styleId="Revision">
    <w:name w:val="Revision"/>
    <w:hidden/>
    <w:uiPriority w:val="99"/>
    <w:semiHidden/>
    <w:rsid w:val="00E069A2"/>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5999">
      <w:bodyDiv w:val="1"/>
      <w:marLeft w:val="0"/>
      <w:marRight w:val="0"/>
      <w:marTop w:val="0"/>
      <w:marBottom w:val="0"/>
      <w:divBdr>
        <w:top w:val="none" w:sz="0" w:space="0" w:color="auto"/>
        <w:left w:val="none" w:sz="0" w:space="0" w:color="auto"/>
        <w:bottom w:val="none" w:sz="0" w:space="0" w:color="auto"/>
        <w:right w:val="none" w:sz="0" w:space="0" w:color="auto"/>
      </w:divBdr>
    </w:div>
    <w:div w:id="35325504">
      <w:bodyDiv w:val="1"/>
      <w:marLeft w:val="0"/>
      <w:marRight w:val="0"/>
      <w:marTop w:val="0"/>
      <w:marBottom w:val="0"/>
      <w:divBdr>
        <w:top w:val="none" w:sz="0" w:space="0" w:color="auto"/>
        <w:left w:val="none" w:sz="0" w:space="0" w:color="auto"/>
        <w:bottom w:val="none" w:sz="0" w:space="0" w:color="auto"/>
        <w:right w:val="none" w:sz="0" w:space="0" w:color="auto"/>
      </w:divBdr>
    </w:div>
    <w:div w:id="37904391">
      <w:bodyDiv w:val="1"/>
      <w:marLeft w:val="0"/>
      <w:marRight w:val="0"/>
      <w:marTop w:val="0"/>
      <w:marBottom w:val="0"/>
      <w:divBdr>
        <w:top w:val="none" w:sz="0" w:space="0" w:color="auto"/>
        <w:left w:val="none" w:sz="0" w:space="0" w:color="auto"/>
        <w:bottom w:val="none" w:sz="0" w:space="0" w:color="auto"/>
        <w:right w:val="none" w:sz="0" w:space="0" w:color="auto"/>
      </w:divBdr>
    </w:div>
    <w:div w:id="77405145">
      <w:bodyDiv w:val="1"/>
      <w:marLeft w:val="0"/>
      <w:marRight w:val="0"/>
      <w:marTop w:val="0"/>
      <w:marBottom w:val="0"/>
      <w:divBdr>
        <w:top w:val="none" w:sz="0" w:space="0" w:color="auto"/>
        <w:left w:val="none" w:sz="0" w:space="0" w:color="auto"/>
        <w:bottom w:val="none" w:sz="0" w:space="0" w:color="auto"/>
        <w:right w:val="none" w:sz="0" w:space="0" w:color="auto"/>
      </w:divBdr>
    </w:div>
    <w:div w:id="170683470">
      <w:bodyDiv w:val="1"/>
      <w:marLeft w:val="0"/>
      <w:marRight w:val="0"/>
      <w:marTop w:val="0"/>
      <w:marBottom w:val="0"/>
      <w:divBdr>
        <w:top w:val="none" w:sz="0" w:space="0" w:color="auto"/>
        <w:left w:val="none" w:sz="0" w:space="0" w:color="auto"/>
        <w:bottom w:val="none" w:sz="0" w:space="0" w:color="auto"/>
        <w:right w:val="none" w:sz="0" w:space="0" w:color="auto"/>
      </w:divBdr>
    </w:div>
    <w:div w:id="186406153">
      <w:bodyDiv w:val="1"/>
      <w:marLeft w:val="0"/>
      <w:marRight w:val="0"/>
      <w:marTop w:val="0"/>
      <w:marBottom w:val="0"/>
      <w:divBdr>
        <w:top w:val="none" w:sz="0" w:space="0" w:color="auto"/>
        <w:left w:val="none" w:sz="0" w:space="0" w:color="auto"/>
        <w:bottom w:val="none" w:sz="0" w:space="0" w:color="auto"/>
        <w:right w:val="none" w:sz="0" w:space="0" w:color="auto"/>
      </w:divBdr>
    </w:div>
    <w:div w:id="329795946">
      <w:bodyDiv w:val="1"/>
      <w:marLeft w:val="0"/>
      <w:marRight w:val="0"/>
      <w:marTop w:val="0"/>
      <w:marBottom w:val="0"/>
      <w:divBdr>
        <w:top w:val="none" w:sz="0" w:space="0" w:color="auto"/>
        <w:left w:val="none" w:sz="0" w:space="0" w:color="auto"/>
        <w:bottom w:val="none" w:sz="0" w:space="0" w:color="auto"/>
        <w:right w:val="none" w:sz="0" w:space="0" w:color="auto"/>
      </w:divBdr>
    </w:div>
    <w:div w:id="351344849">
      <w:bodyDiv w:val="1"/>
      <w:marLeft w:val="0"/>
      <w:marRight w:val="0"/>
      <w:marTop w:val="0"/>
      <w:marBottom w:val="0"/>
      <w:divBdr>
        <w:top w:val="none" w:sz="0" w:space="0" w:color="auto"/>
        <w:left w:val="none" w:sz="0" w:space="0" w:color="auto"/>
        <w:bottom w:val="none" w:sz="0" w:space="0" w:color="auto"/>
        <w:right w:val="none" w:sz="0" w:space="0" w:color="auto"/>
      </w:divBdr>
    </w:div>
    <w:div w:id="368142492">
      <w:bodyDiv w:val="1"/>
      <w:marLeft w:val="0"/>
      <w:marRight w:val="0"/>
      <w:marTop w:val="0"/>
      <w:marBottom w:val="0"/>
      <w:divBdr>
        <w:top w:val="none" w:sz="0" w:space="0" w:color="auto"/>
        <w:left w:val="none" w:sz="0" w:space="0" w:color="auto"/>
        <w:bottom w:val="none" w:sz="0" w:space="0" w:color="auto"/>
        <w:right w:val="none" w:sz="0" w:space="0" w:color="auto"/>
      </w:divBdr>
    </w:div>
    <w:div w:id="397365364">
      <w:bodyDiv w:val="1"/>
      <w:marLeft w:val="0"/>
      <w:marRight w:val="0"/>
      <w:marTop w:val="0"/>
      <w:marBottom w:val="0"/>
      <w:divBdr>
        <w:top w:val="none" w:sz="0" w:space="0" w:color="auto"/>
        <w:left w:val="none" w:sz="0" w:space="0" w:color="auto"/>
        <w:bottom w:val="none" w:sz="0" w:space="0" w:color="auto"/>
        <w:right w:val="none" w:sz="0" w:space="0" w:color="auto"/>
      </w:divBdr>
    </w:div>
    <w:div w:id="426049543">
      <w:bodyDiv w:val="1"/>
      <w:marLeft w:val="0"/>
      <w:marRight w:val="0"/>
      <w:marTop w:val="0"/>
      <w:marBottom w:val="0"/>
      <w:divBdr>
        <w:top w:val="none" w:sz="0" w:space="0" w:color="auto"/>
        <w:left w:val="none" w:sz="0" w:space="0" w:color="auto"/>
        <w:bottom w:val="none" w:sz="0" w:space="0" w:color="auto"/>
        <w:right w:val="none" w:sz="0" w:space="0" w:color="auto"/>
      </w:divBdr>
    </w:div>
    <w:div w:id="449932310">
      <w:bodyDiv w:val="1"/>
      <w:marLeft w:val="0"/>
      <w:marRight w:val="0"/>
      <w:marTop w:val="0"/>
      <w:marBottom w:val="0"/>
      <w:divBdr>
        <w:top w:val="none" w:sz="0" w:space="0" w:color="auto"/>
        <w:left w:val="none" w:sz="0" w:space="0" w:color="auto"/>
        <w:bottom w:val="none" w:sz="0" w:space="0" w:color="auto"/>
        <w:right w:val="none" w:sz="0" w:space="0" w:color="auto"/>
      </w:divBdr>
    </w:div>
    <w:div w:id="462650820">
      <w:bodyDiv w:val="1"/>
      <w:marLeft w:val="0"/>
      <w:marRight w:val="0"/>
      <w:marTop w:val="0"/>
      <w:marBottom w:val="0"/>
      <w:divBdr>
        <w:top w:val="none" w:sz="0" w:space="0" w:color="auto"/>
        <w:left w:val="none" w:sz="0" w:space="0" w:color="auto"/>
        <w:bottom w:val="none" w:sz="0" w:space="0" w:color="auto"/>
        <w:right w:val="none" w:sz="0" w:space="0" w:color="auto"/>
      </w:divBdr>
    </w:div>
    <w:div w:id="477845660">
      <w:bodyDiv w:val="1"/>
      <w:marLeft w:val="0"/>
      <w:marRight w:val="0"/>
      <w:marTop w:val="0"/>
      <w:marBottom w:val="0"/>
      <w:divBdr>
        <w:top w:val="none" w:sz="0" w:space="0" w:color="auto"/>
        <w:left w:val="none" w:sz="0" w:space="0" w:color="auto"/>
        <w:bottom w:val="none" w:sz="0" w:space="0" w:color="auto"/>
        <w:right w:val="none" w:sz="0" w:space="0" w:color="auto"/>
      </w:divBdr>
    </w:div>
    <w:div w:id="500465268">
      <w:bodyDiv w:val="1"/>
      <w:marLeft w:val="0"/>
      <w:marRight w:val="0"/>
      <w:marTop w:val="0"/>
      <w:marBottom w:val="0"/>
      <w:divBdr>
        <w:top w:val="none" w:sz="0" w:space="0" w:color="auto"/>
        <w:left w:val="none" w:sz="0" w:space="0" w:color="auto"/>
        <w:bottom w:val="none" w:sz="0" w:space="0" w:color="auto"/>
        <w:right w:val="none" w:sz="0" w:space="0" w:color="auto"/>
      </w:divBdr>
    </w:div>
    <w:div w:id="504825190">
      <w:bodyDiv w:val="1"/>
      <w:marLeft w:val="0"/>
      <w:marRight w:val="0"/>
      <w:marTop w:val="0"/>
      <w:marBottom w:val="0"/>
      <w:divBdr>
        <w:top w:val="none" w:sz="0" w:space="0" w:color="auto"/>
        <w:left w:val="none" w:sz="0" w:space="0" w:color="auto"/>
        <w:bottom w:val="none" w:sz="0" w:space="0" w:color="auto"/>
        <w:right w:val="none" w:sz="0" w:space="0" w:color="auto"/>
      </w:divBdr>
    </w:div>
    <w:div w:id="513805207">
      <w:bodyDiv w:val="1"/>
      <w:marLeft w:val="0"/>
      <w:marRight w:val="0"/>
      <w:marTop w:val="0"/>
      <w:marBottom w:val="0"/>
      <w:divBdr>
        <w:top w:val="none" w:sz="0" w:space="0" w:color="auto"/>
        <w:left w:val="none" w:sz="0" w:space="0" w:color="auto"/>
        <w:bottom w:val="none" w:sz="0" w:space="0" w:color="auto"/>
        <w:right w:val="none" w:sz="0" w:space="0" w:color="auto"/>
      </w:divBdr>
    </w:div>
    <w:div w:id="521211441">
      <w:bodyDiv w:val="1"/>
      <w:marLeft w:val="0"/>
      <w:marRight w:val="0"/>
      <w:marTop w:val="0"/>
      <w:marBottom w:val="0"/>
      <w:divBdr>
        <w:top w:val="none" w:sz="0" w:space="0" w:color="auto"/>
        <w:left w:val="none" w:sz="0" w:space="0" w:color="auto"/>
        <w:bottom w:val="none" w:sz="0" w:space="0" w:color="auto"/>
        <w:right w:val="none" w:sz="0" w:space="0" w:color="auto"/>
      </w:divBdr>
    </w:div>
    <w:div w:id="541402218">
      <w:bodyDiv w:val="1"/>
      <w:marLeft w:val="0"/>
      <w:marRight w:val="0"/>
      <w:marTop w:val="0"/>
      <w:marBottom w:val="0"/>
      <w:divBdr>
        <w:top w:val="none" w:sz="0" w:space="0" w:color="auto"/>
        <w:left w:val="none" w:sz="0" w:space="0" w:color="auto"/>
        <w:bottom w:val="none" w:sz="0" w:space="0" w:color="auto"/>
        <w:right w:val="none" w:sz="0" w:space="0" w:color="auto"/>
      </w:divBdr>
    </w:div>
    <w:div w:id="606422515">
      <w:bodyDiv w:val="1"/>
      <w:marLeft w:val="0"/>
      <w:marRight w:val="0"/>
      <w:marTop w:val="0"/>
      <w:marBottom w:val="0"/>
      <w:divBdr>
        <w:top w:val="none" w:sz="0" w:space="0" w:color="auto"/>
        <w:left w:val="none" w:sz="0" w:space="0" w:color="auto"/>
        <w:bottom w:val="none" w:sz="0" w:space="0" w:color="auto"/>
        <w:right w:val="none" w:sz="0" w:space="0" w:color="auto"/>
      </w:divBdr>
    </w:div>
    <w:div w:id="612857118">
      <w:bodyDiv w:val="1"/>
      <w:marLeft w:val="0"/>
      <w:marRight w:val="0"/>
      <w:marTop w:val="0"/>
      <w:marBottom w:val="0"/>
      <w:divBdr>
        <w:top w:val="none" w:sz="0" w:space="0" w:color="auto"/>
        <w:left w:val="none" w:sz="0" w:space="0" w:color="auto"/>
        <w:bottom w:val="none" w:sz="0" w:space="0" w:color="auto"/>
        <w:right w:val="none" w:sz="0" w:space="0" w:color="auto"/>
      </w:divBdr>
    </w:div>
    <w:div w:id="615137816">
      <w:bodyDiv w:val="1"/>
      <w:marLeft w:val="0"/>
      <w:marRight w:val="0"/>
      <w:marTop w:val="0"/>
      <w:marBottom w:val="0"/>
      <w:divBdr>
        <w:top w:val="none" w:sz="0" w:space="0" w:color="auto"/>
        <w:left w:val="none" w:sz="0" w:space="0" w:color="auto"/>
        <w:bottom w:val="none" w:sz="0" w:space="0" w:color="auto"/>
        <w:right w:val="none" w:sz="0" w:space="0" w:color="auto"/>
      </w:divBdr>
    </w:div>
    <w:div w:id="618532723">
      <w:bodyDiv w:val="1"/>
      <w:marLeft w:val="0"/>
      <w:marRight w:val="0"/>
      <w:marTop w:val="0"/>
      <w:marBottom w:val="0"/>
      <w:divBdr>
        <w:top w:val="none" w:sz="0" w:space="0" w:color="auto"/>
        <w:left w:val="none" w:sz="0" w:space="0" w:color="auto"/>
        <w:bottom w:val="none" w:sz="0" w:space="0" w:color="auto"/>
        <w:right w:val="none" w:sz="0" w:space="0" w:color="auto"/>
      </w:divBdr>
    </w:div>
    <w:div w:id="724597255">
      <w:bodyDiv w:val="1"/>
      <w:marLeft w:val="0"/>
      <w:marRight w:val="0"/>
      <w:marTop w:val="0"/>
      <w:marBottom w:val="0"/>
      <w:divBdr>
        <w:top w:val="none" w:sz="0" w:space="0" w:color="auto"/>
        <w:left w:val="none" w:sz="0" w:space="0" w:color="auto"/>
        <w:bottom w:val="none" w:sz="0" w:space="0" w:color="auto"/>
        <w:right w:val="none" w:sz="0" w:space="0" w:color="auto"/>
      </w:divBdr>
    </w:div>
    <w:div w:id="759569832">
      <w:bodyDiv w:val="1"/>
      <w:marLeft w:val="0"/>
      <w:marRight w:val="0"/>
      <w:marTop w:val="0"/>
      <w:marBottom w:val="0"/>
      <w:divBdr>
        <w:top w:val="none" w:sz="0" w:space="0" w:color="auto"/>
        <w:left w:val="none" w:sz="0" w:space="0" w:color="auto"/>
        <w:bottom w:val="none" w:sz="0" w:space="0" w:color="auto"/>
        <w:right w:val="none" w:sz="0" w:space="0" w:color="auto"/>
      </w:divBdr>
    </w:div>
    <w:div w:id="777607530">
      <w:bodyDiv w:val="1"/>
      <w:marLeft w:val="0"/>
      <w:marRight w:val="0"/>
      <w:marTop w:val="0"/>
      <w:marBottom w:val="0"/>
      <w:divBdr>
        <w:top w:val="none" w:sz="0" w:space="0" w:color="auto"/>
        <w:left w:val="none" w:sz="0" w:space="0" w:color="auto"/>
        <w:bottom w:val="none" w:sz="0" w:space="0" w:color="auto"/>
        <w:right w:val="none" w:sz="0" w:space="0" w:color="auto"/>
      </w:divBdr>
    </w:div>
    <w:div w:id="786116836">
      <w:bodyDiv w:val="1"/>
      <w:marLeft w:val="0"/>
      <w:marRight w:val="0"/>
      <w:marTop w:val="0"/>
      <w:marBottom w:val="0"/>
      <w:divBdr>
        <w:top w:val="none" w:sz="0" w:space="0" w:color="auto"/>
        <w:left w:val="none" w:sz="0" w:space="0" w:color="auto"/>
        <w:bottom w:val="none" w:sz="0" w:space="0" w:color="auto"/>
        <w:right w:val="none" w:sz="0" w:space="0" w:color="auto"/>
      </w:divBdr>
    </w:div>
    <w:div w:id="794103174">
      <w:bodyDiv w:val="1"/>
      <w:marLeft w:val="0"/>
      <w:marRight w:val="0"/>
      <w:marTop w:val="0"/>
      <w:marBottom w:val="0"/>
      <w:divBdr>
        <w:top w:val="none" w:sz="0" w:space="0" w:color="auto"/>
        <w:left w:val="none" w:sz="0" w:space="0" w:color="auto"/>
        <w:bottom w:val="none" w:sz="0" w:space="0" w:color="auto"/>
        <w:right w:val="none" w:sz="0" w:space="0" w:color="auto"/>
      </w:divBdr>
    </w:div>
    <w:div w:id="808593574">
      <w:bodyDiv w:val="1"/>
      <w:marLeft w:val="0"/>
      <w:marRight w:val="0"/>
      <w:marTop w:val="0"/>
      <w:marBottom w:val="0"/>
      <w:divBdr>
        <w:top w:val="none" w:sz="0" w:space="0" w:color="auto"/>
        <w:left w:val="none" w:sz="0" w:space="0" w:color="auto"/>
        <w:bottom w:val="none" w:sz="0" w:space="0" w:color="auto"/>
        <w:right w:val="none" w:sz="0" w:space="0" w:color="auto"/>
      </w:divBdr>
    </w:div>
    <w:div w:id="824667203">
      <w:bodyDiv w:val="1"/>
      <w:marLeft w:val="0"/>
      <w:marRight w:val="0"/>
      <w:marTop w:val="0"/>
      <w:marBottom w:val="0"/>
      <w:divBdr>
        <w:top w:val="none" w:sz="0" w:space="0" w:color="auto"/>
        <w:left w:val="none" w:sz="0" w:space="0" w:color="auto"/>
        <w:bottom w:val="none" w:sz="0" w:space="0" w:color="auto"/>
        <w:right w:val="none" w:sz="0" w:space="0" w:color="auto"/>
      </w:divBdr>
    </w:div>
    <w:div w:id="919564491">
      <w:bodyDiv w:val="1"/>
      <w:marLeft w:val="0"/>
      <w:marRight w:val="0"/>
      <w:marTop w:val="0"/>
      <w:marBottom w:val="0"/>
      <w:divBdr>
        <w:top w:val="none" w:sz="0" w:space="0" w:color="auto"/>
        <w:left w:val="none" w:sz="0" w:space="0" w:color="auto"/>
        <w:bottom w:val="none" w:sz="0" w:space="0" w:color="auto"/>
        <w:right w:val="none" w:sz="0" w:space="0" w:color="auto"/>
      </w:divBdr>
    </w:div>
    <w:div w:id="949164960">
      <w:bodyDiv w:val="1"/>
      <w:marLeft w:val="0"/>
      <w:marRight w:val="0"/>
      <w:marTop w:val="0"/>
      <w:marBottom w:val="0"/>
      <w:divBdr>
        <w:top w:val="none" w:sz="0" w:space="0" w:color="auto"/>
        <w:left w:val="none" w:sz="0" w:space="0" w:color="auto"/>
        <w:bottom w:val="none" w:sz="0" w:space="0" w:color="auto"/>
        <w:right w:val="none" w:sz="0" w:space="0" w:color="auto"/>
      </w:divBdr>
    </w:div>
    <w:div w:id="953174126">
      <w:bodyDiv w:val="1"/>
      <w:marLeft w:val="0"/>
      <w:marRight w:val="0"/>
      <w:marTop w:val="0"/>
      <w:marBottom w:val="0"/>
      <w:divBdr>
        <w:top w:val="none" w:sz="0" w:space="0" w:color="auto"/>
        <w:left w:val="none" w:sz="0" w:space="0" w:color="auto"/>
        <w:bottom w:val="none" w:sz="0" w:space="0" w:color="auto"/>
        <w:right w:val="none" w:sz="0" w:space="0" w:color="auto"/>
      </w:divBdr>
    </w:div>
    <w:div w:id="1008672635">
      <w:bodyDiv w:val="1"/>
      <w:marLeft w:val="0"/>
      <w:marRight w:val="0"/>
      <w:marTop w:val="0"/>
      <w:marBottom w:val="0"/>
      <w:divBdr>
        <w:top w:val="none" w:sz="0" w:space="0" w:color="auto"/>
        <w:left w:val="none" w:sz="0" w:space="0" w:color="auto"/>
        <w:bottom w:val="none" w:sz="0" w:space="0" w:color="auto"/>
        <w:right w:val="none" w:sz="0" w:space="0" w:color="auto"/>
      </w:divBdr>
    </w:div>
    <w:div w:id="1026828763">
      <w:bodyDiv w:val="1"/>
      <w:marLeft w:val="0"/>
      <w:marRight w:val="0"/>
      <w:marTop w:val="0"/>
      <w:marBottom w:val="0"/>
      <w:divBdr>
        <w:top w:val="none" w:sz="0" w:space="0" w:color="auto"/>
        <w:left w:val="none" w:sz="0" w:space="0" w:color="auto"/>
        <w:bottom w:val="none" w:sz="0" w:space="0" w:color="auto"/>
        <w:right w:val="none" w:sz="0" w:space="0" w:color="auto"/>
      </w:divBdr>
    </w:div>
    <w:div w:id="1146242624">
      <w:bodyDiv w:val="1"/>
      <w:marLeft w:val="0"/>
      <w:marRight w:val="0"/>
      <w:marTop w:val="0"/>
      <w:marBottom w:val="0"/>
      <w:divBdr>
        <w:top w:val="none" w:sz="0" w:space="0" w:color="auto"/>
        <w:left w:val="none" w:sz="0" w:space="0" w:color="auto"/>
        <w:bottom w:val="none" w:sz="0" w:space="0" w:color="auto"/>
        <w:right w:val="none" w:sz="0" w:space="0" w:color="auto"/>
      </w:divBdr>
    </w:div>
    <w:div w:id="1171288920">
      <w:bodyDiv w:val="1"/>
      <w:marLeft w:val="0"/>
      <w:marRight w:val="0"/>
      <w:marTop w:val="0"/>
      <w:marBottom w:val="0"/>
      <w:divBdr>
        <w:top w:val="none" w:sz="0" w:space="0" w:color="auto"/>
        <w:left w:val="none" w:sz="0" w:space="0" w:color="auto"/>
        <w:bottom w:val="none" w:sz="0" w:space="0" w:color="auto"/>
        <w:right w:val="none" w:sz="0" w:space="0" w:color="auto"/>
      </w:divBdr>
    </w:div>
    <w:div w:id="1184710733">
      <w:bodyDiv w:val="1"/>
      <w:marLeft w:val="0"/>
      <w:marRight w:val="0"/>
      <w:marTop w:val="0"/>
      <w:marBottom w:val="0"/>
      <w:divBdr>
        <w:top w:val="none" w:sz="0" w:space="0" w:color="auto"/>
        <w:left w:val="none" w:sz="0" w:space="0" w:color="auto"/>
        <w:bottom w:val="none" w:sz="0" w:space="0" w:color="auto"/>
        <w:right w:val="none" w:sz="0" w:space="0" w:color="auto"/>
      </w:divBdr>
    </w:div>
    <w:div w:id="1197426347">
      <w:bodyDiv w:val="1"/>
      <w:marLeft w:val="0"/>
      <w:marRight w:val="0"/>
      <w:marTop w:val="0"/>
      <w:marBottom w:val="0"/>
      <w:divBdr>
        <w:top w:val="none" w:sz="0" w:space="0" w:color="auto"/>
        <w:left w:val="none" w:sz="0" w:space="0" w:color="auto"/>
        <w:bottom w:val="none" w:sz="0" w:space="0" w:color="auto"/>
        <w:right w:val="none" w:sz="0" w:space="0" w:color="auto"/>
      </w:divBdr>
    </w:div>
    <w:div w:id="1210334877">
      <w:bodyDiv w:val="1"/>
      <w:marLeft w:val="0"/>
      <w:marRight w:val="0"/>
      <w:marTop w:val="0"/>
      <w:marBottom w:val="0"/>
      <w:divBdr>
        <w:top w:val="none" w:sz="0" w:space="0" w:color="auto"/>
        <w:left w:val="none" w:sz="0" w:space="0" w:color="auto"/>
        <w:bottom w:val="none" w:sz="0" w:space="0" w:color="auto"/>
        <w:right w:val="none" w:sz="0" w:space="0" w:color="auto"/>
      </w:divBdr>
    </w:div>
    <w:div w:id="1240166241">
      <w:bodyDiv w:val="1"/>
      <w:marLeft w:val="0"/>
      <w:marRight w:val="0"/>
      <w:marTop w:val="0"/>
      <w:marBottom w:val="0"/>
      <w:divBdr>
        <w:top w:val="none" w:sz="0" w:space="0" w:color="auto"/>
        <w:left w:val="none" w:sz="0" w:space="0" w:color="auto"/>
        <w:bottom w:val="none" w:sz="0" w:space="0" w:color="auto"/>
        <w:right w:val="none" w:sz="0" w:space="0" w:color="auto"/>
      </w:divBdr>
    </w:div>
    <w:div w:id="1240864728">
      <w:bodyDiv w:val="1"/>
      <w:marLeft w:val="0"/>
      <w:marRight w:val="0"/>
      <w:marTop w:val="0"/>
      <w:marBottom w:val="0"/>
      <w:divBdr>
        <w:top w:val="none" w:sz="0" w:space="0" w:color="auto"/>
        <w:left w:val="none" w:sz="0" w:space="0" w:color="auto"/>
        <w:bottom w:val="none" w:sz="0" w:space="0" w:color="auto"/>
        <w:right w:val="none" w:sz="0" w:space="0" w:color="auto"/>
      </w:divBdr>
    </w:div>
    <w:div w:id="1242831615">
      <w:bodyDiv w:val="1"/>
      <w:marLeft w:val="0"/>
      <w:marRight w:val="0"/>
      <w:marTop w:val="0"/>
      <w:marBottom w:val="0"/>
      <w:divBdr>
        <w:top w:val="none" w:sz="0" w:space="0" w:color="auto"/>
        <w:left w:val="none" w:sz="0" w:space="0" w:color="auto"/>
        <w:bottom w:val="none" w:sz="0" w:space="0" w:color="auto"/>
        <w:right w:val="none" w:sz="0" w:space="0" w:color="auto"/>
      </w:divBdr>
    </w:div>
    <w:div w:id="1273785710">
      <w:bodyDiv w:val="1"/>
      <w:marLeft w:val="0"/>
      <w:marRight w:val="0"/>
      <w:marTop w:val="0"/>
      <w:marBottom w:val="0"/>
      <w:divBdr>
        <w:top w:val="none" w:sz="0" w:space="0" w:color="auto"/>
        <w:left w:val="none" w:sz="0" w:space="0" w:color="auto"/>
        <w:bottom w:val="none" w:sz="0" w:space="0" w:color="auto"/>
        <w:right w:val="none" w:sz="0" w:space="0" w:color="auto"/>
      </w:divBdr>
    </w:div>
    <w:div w:id="1302030519">
      <w:bodyDiv w:val="1"/>
      <w:marLeft w:val="0"/>
      <w:marRight w:val="0"/>
      <w:marTop w:val="0"/>
      <w:marBottom w:val="0"/>
      <w:divBdr>
        <w:top w:val="none" w:sz="0" w:space="0" w:color="auto"/>
        <w:left w:val="none" w:sz="0" w:space="0" w:color="auto"/>
        <w:bottom w:val="none" w:sz="0" w:space="0" w:color="auto"/>
        <w:right w:val="none" w:sz="0" w:space="0" w:color="auto"/>
      </w:divBdr>
    </w:div>
    <w:div w:id="1417552137">
      <w:bodyDiv w:val="1"/>
      <w:marLeft w:val="0"/>
      <w:marRight w:val="0"/>
      <w:marTop w:val="0"/>
      <w:marBottom w:val="0"/>
      <w:divBdr>
        <w:top w:val="none" w:sz="0" w:space="0" w:color="auto"/>
        <w:left w:val="none" w:sz="0" w:space="0" w:color="auto"/>
        <w:bottom w:val="none" w:sz="0" w:space="0" w:color="auto"/>
        <w:right w:val="none" w:sz="0" w:space="0" w:color="auto"/>
      </w:divBdr>
    </w:div>
    <w:div w:id="1436750655">
      <w:bodyDiv w:val="1"/>
      <w:marLeft w:val="0"/>
      <w:marRight w:val="0"/>
      <w:marTop w:val="0"/>
      <w:marBottom w:val="0"/>
      <w:divBdr>
        <w:top w:val="none" w:sz="0" w:space="0" w:color="auto"/>
        <w:left w:val="none" w:sz="0" w:space="0" w:color="auto"/>
        <w:bottom w:val="none" w:sz="0" w:space="0" w:color="auto"/>
        <w:right w:val="none" w:sz="0" w:space="0" w:color="auto"/>
      </w:divBdr>
    </w:div>
    <w:div w:id="1454323027">
      <w:bodyDiv w:val="1"/>
      <w:marLeft w:val="0"/>
      <w:marRight w:val="0"/>
      <w:marTop w:val="0"/>
      <w:marBottom w:val="0"/>
      <w:divBdr>
        <w:top w:val="none" w:sz="0" w:space="0" w:color="auto"/>
        <w:left w:val="none" w:sz="0" w:space="0" w:color="auto"/>
        <w:bottom w:val="none" w:sz="0" w:space="0" w:color="auto"/>
        <w:right w:val="none" w:sz="0" w:space="0" w:color="auto"/>
      </w:divBdr>
    </w:div>
    <w:div w:id="1471022415">
      <w:bodyDiv w:val="1"/>
      <w:marLeft w:val="0"/>
      <w:marRight w:val="0"/>
      <w:marTop w:val="0"/>
      <w:marBottom w:val="0"/>
      <w:divBdr>
        <w:top w:val="none" w:sz="0" w:space="0" w:color="auto"/>
        <w:left w:val="none" w:sz="0" w:space="0" w:color="auto"/>
        <w:bottom w:val="none" w:sz="0" w:space="0" w:color="auto"/>
        <w:right w:val="none" w:sz="0" w:space="0" w:color="auto"/>
      </w:divBdr>
    </w:div>
    <w:div w:id="1479419105">
      <w:bodyDiv w:val="1"/>
      <w:marLeft w:val="0"/>
      <w:marRight w:val="0"/>
      <w:marTop w:val="0"/>
      <w:marBottom w:val="0"/>
      <w:divBdr>
        <w:top w:val="none" w:sz="0" w:space="0" w:color="auto"/>
        <w:left w:val="none" w:sz="0" w:space="0" w:color="auto"/>
        <w:bottom w:val="none" w:sz="0" w:space="0" w:color="auto"/>
        <w:right w:val="none" w:sz="0" w:space="0" w:color="auto"/>
      </w:divBdr>
    </w:div>
    <w:div w:id="1522817696">
      <w:bodyDiv w:val="1"/>
      <w:marLeft w:val="0"/>
      <w:marRight w:val="0"/>
      <w:marTop w:val="0"/>
      <w:marBottom w:val="0"/>
      <w:divBdr>
        <w:top w:val="none" w:sz="0" w:space="0" w:color="auto"/>
        <w:left w:val="none" w:sz="0" w:space="0" w:color="auto"/>
        <w:bottom w:val="none" w:sz="0" w:space="0" w:color="auto"/>
        <w:right w:val="none" w:sz="0" w:space="0" w:color="auto"/>
      </w:divBdr>
    </w:div>
    <w:div w:id="1534610516">
      <w:bodyDiv w:val="1"/>
      <w:marLeft w:val="0"/>
      <w:marRight w:val="0"/>
      <w:marTop w:val="0"/>
      <w:marBottom w:val="0"/>
      <w:divBdr>
        <w:top w:val="none" w:sz="0" w:space="0" w:color="auto"/>
        <w:left w:val="none" w:sz="0" w:space="0" w:color="auto"/>
        <w:bottom w:val="none" w:sz="0" w:space="0" w:color="auto"/>
        <w:right w:val="none" w:sz="0" w:space="0" w:color="auto"/>
      </w:divBdr>
    </w:div>
    <w:div w:id="1545018056">
      <w:bodyDiv w:val="1"/>
      <w:marLeft w:val="0"/>
      <w:marRight w:val="0"/>
      <w:marTop w:val="0"/>
      <w:marBottom w:val="0"/>
      <w:divBdr>
        <w:top w:val="none" w:sz="0" w:space="0" w:color="auto"/>
        <w:left w:val="none" w:sz="0" w:space="0" w:color="auto"/>
        <w:bottom w:val="none" w:sz="0" w:space="0" w:color="auto"/>
        <w:right w:val="none" w:sz="0" w:space="0" w:color="auto"/>
      </w:divBdr>
    </w:div>
    <w:div w:id="1564484188">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61276782">
      <w:bodyDiv w:val="1"/>
      <w:marLeft w:val="0"/>
      <w:marRight w:val="0"/>
      <w:marTop w:val="0"/>
      <w:marBottom w:val="0"/>
      <w:divBdr>
        <w:top w:val="none" w:sz="0" w:space="0" w:color="auto"/>
        <w:left w:val="none" w:sz="0" w:space="0" w:color="auto"/>
        <w:bottom w:val="none" w:sz="0" w:space="0" w:color="auto"/>
        <w:right w:val="none" w:sz="0" w:space="0" w:color="auto"/>
      </w:divBdr>
    </w:div>
    <w:div w:id="1670668939">
      <w:bodyDiv w:val="1"/>
      <w:marLeft w:val="0"/>
      <w:marRight w:val="0"/>
      <w:marTop w:val="0"/>
      <w:marBottom w:val="0"/>
      <w:divBdr>
        <w:top w:val="none" w:sz="0" w:space="0" w:color="auto"/>
        <w:left w:val="none" w:sz="0" w:space="0" w:color="auto"/>
        <w:bottom w:val="none" w:sz="0" w:space="0" w:color="auto"/>
        <w:right w:val="none" w:sz="0" w:space="0" w:color="auto"/>
      </w:divBdr>
    </w:div>
    <w:div w:id="1672758177">
      <w:bodyDiv w:val="1"/>
      <w:marLeft w:val="0"/>
      <w:marRight w:val="0"/>
      <w:marTop w:val="0"/>
      <w:marBottom w:val="0"/>
      <w:divBdr>
        <w:top w:val="none" w:sz="0" w:space="0" w:color="auto"/>
        <w:left w:val="none" w:sz="0" w:space="0" w:color="auto"/>
        <w:bottom w:val="none" w:sz="0" w:space="0" w:color="auto"/>
        <w:right w:val="none" w:sz="0" w:space="0" w:color="auto"/>
      </w:divBdr>
    </w:div>
    <w:div w:id="1693264532">
      <w:bodyDiv w:val="1"/>
      <w:marLeft w:val="0"/>
      <w:marRight w:val="0"/>
      <w:marTop w:val="0"/>
      <w:marBottom w:val="0"/>
      <w:divBdr>
        <w:top w:val="none" w:sz="0" w:space="0" w:color="auto"/>
        <w:left w:val="none" w:sz="0" w:space="0" w:color="auto"/>
        <w:bottom w:val="none" w:sz="0" w:space="0" w:color="auto"/>
        <w:right w:val="none" w:sz="0" w:space="0" w:color="auto"/>
      </w:divBdr>
    </w:div>
    <w:div w:id="1702243874">
      <w:bodyDiv w:val="1"/>
      <w:marLeft w:val="0"/>
      <w:marRight w:val="0"/>
      <w:marTop w:val="0"/>
      <w:marBottom w:val="0"/>
      <w:divBdr>
        <w:top w:val="none" w:sz="0" w:space="0" w:color="auto"/>
        <w:left w:val="none" w:sz="0" w:space="0" w:color="auto"/>
        <w:bottom w:val="none" w:sz="0" w:space="0" w:color="auto"/>
        <w:right w:val="none" w:sz="0" w:space="0" w:color="auto"/>
      </w:divBdr>
    </w:div>
    <w:div w:id="1723365590">
      <w:bodyDiv w:val="1"/>
      <w:marLeft w:val="0"/>
      <w:marRight w:val="0"/>
      <w:marTop w:val="0"/>
      <w:marBottom w:val="0"/>
      <w:divBdr>
        <w:top w:val="none" w:sz="0" w:space="0" w:color="auto"/>
        <w:left w:val="none" w:sz="0" w:space="0" w:color="auto"/>
        <w:bottom w:val="none" w:sz="0" w:space="0" w:color="auto"/>
        <w:right w:val="none" w:sz="0" w:space="0" w:color="auto"/>
      </w:divBdr>
    </w:div>
    <w:div w:id="1724257758">
      <w:bodyDiv w:val="1"/>
      <w:marLeft w:val="0"/>
      <w:marRight w:val="0"/>
      <w:marTop w:val="0"/>
      <w:marBottom w:val="0"/>
      <w:divBdr>
        <w:top w:val="none" w:sz="0" w:space="0" w:color="auto"/>
        <w:left w:val="none" w:sz="0" w:space="0" w:color="auto"/>
        <w:bottom w:val="none" w:sz="0" w:space="0" w:color="auto"/>
        <w:right w:val="none" w:sz="0" w:space="0" w:color="auto"/>
      </w:divBdr>
    </w:div>
    <w:div w:id="1748914340">
      <w:bodyDiv w:val="1"/>
      <w:marLeft w:val="0"/>
      <w:marRight w:val="0"/>
      <w:marTop w:val="0"/>
      <w:marBottom w:val="0"/>
      <w:divBdr>
        <w:top w:val="none" w:sz="0" w:space="0" w:color="auto"/>
        <w:left w:val="none" w:sz="0" w:space="0" w:color="auto"/>
        <w:bottom w:val="none" w:sz="0" w:space="0" w:color="auto"/>
        <w:right w:val="none" w:sz="0" w:space="0" w:color="auto"/>
      </w:divBdr>
    </w:div>
    <w:div w:id="1751386712">
      <w:bodyDiv w:val="1"/>
      <w:marLeft w:val="0"/>
      <w:marRight w:val="0"/>
      <w:marTop w:val="0"/>
      <w:marBottom w:val="0"/>
      <w:divBdr>
        <w:top w:val="none" w:sz="0" w:space="0" w:color="auto"/>
        <w:left w:val="none" w:sz="0" w:space="0" w:color="auto"/>
        <w:bottom w:val="none" w:sz="0" w:space="0" w:color="auto"/>
        <w:right w:val="none" w:sz="0" w:space="0" w:color="auto"/>
      </w:divBdr>
    </w:div>
    <w:div w:id="1756899438">
      <w:bodyDiv w:val="1"/>
      <w:marLeft w:val="0"/>
      <w:marRight w:val="0"/>
      <w:marTop w:val="0"/>
      <w:marBottom w:val="0"/>
      <w:divBdr>
        <w:top w:val="none" w:sz="0" w:space="0" w:color="auto"/>
        <w:left w:val="none" w:sz="0" w:space="0" w:color="auto"/>
        <w:bottom w:val="none" w:sz="0" w:space="0" w:color="auto"/>
        <w:right w:val="none" w:sz="0" w:space="0" w:color="auto"/>
      </w:divBdr>
    </w:div>
    <w:div w:id="1790122436">
      <w:bodyDiv w:val="1"/>
      <w:marLeft w:val="0"/>
      <w:marRight w:val="0"/>
      <w:marTop w:val="0"/>
      <w:marBottom w:val="0"/>
      <w:divBdr>
        <w:top w:val="none" w:sz="0" w:space="0" w:color="auto"/>
        <w:left w:val="none" w:sz="0" w:space="0" w:color="auto"/>
        <w:bottom w:val="none" w:sz="0" w:space="0" w:color="auto"/>
        <w:right w:val="none" w:sz="0" w:space="0" w:color="auto"/>
      </w:divBdr>
    </w:div>
    <w:div w:id="1791168157">
      <w:bodyDiv w:val="1"/>
      <w:marLeft w:val="0"/>
      <w:marRight w:val="0"/>
      <w:marTop w:val="0"/>
      <w:marBottom w:val="0"/>
      <w:divBdr>
        <w:top w:val="none" w:sz="0" w:space="0" w:color="auto"/>
        <w:left w:val="none" w:sz="0" w:space="0" w:color="auto"/>
        <w:bottom w:val="none" w:sz="0" w:space="0" w:color="auto"/>
        <w:right w:val="none" w:sz="0" w:space="0" w:color="auto"/>
      </w:divBdr>
    </w:div>
    <w:div w:id="1816222253">
      <w:bodyDiv w:val="1"/>
      <w:marLeft w:val="0"/>
      <w:marRight w:val="0"/>
      <w:marTop w:val="0"/>
      <w:marBottom w:val="0"/>
      <w:divBdr>
        <w:top w:val="none" w:sz="0" w:space="0" w:color="auto"/>
        <w:left w:val="none" w:sz="0" w:space="0" w:color="auto"/>
        <w:bottom w:val="none" w:sz="0" w:space="0" w:color="auto"/>
        <w:right w:val="none" w:sz="0" w:space="0" w:color="auto"/>
      </w:divBdr>
    </w:div>
    <w:div w:id="1852407708">
      <w:bodyDiv w:val="1"/>
      <w:marLeft w:val="0"/>
      <w:marRight w:val="0"/>
      <w:marTop w:val="0"/>
      <w:marBottom w:val="0"/>
      <w:divBdr>
        <w:top w:val="none" w:sz="0" w:space="0" w:color="auto"/>
        <w:left w:val="none" w:sz="0" w:space="0" w:color="auto"/>
        <w:bottom w:val="none" w:sz="0" w:space="0" w:color="auto"/>
        <w:right w:val="none" w:sz="0" w:space="0" w:color="auto"/>
      </w:divBdr>
    </w:div>
    <w:div w:id="1897203056">
      <w:bodyDiv w:val="1"/>
      <w:marLeft w:val="0"/>
      <w:marRight w:val="0"/>
      <w:marTop w:val="0"/>
      <w:marBottom w:val="0"/>
      <w:divBdr>
        <w:top w:val="none" w:sz="0" w:space="0" w:color="auto"/>
        <w:left w:val="none" w:sz="0" w:space="0" w:color="auto"/>
        <w:bottom w:val="none" w:sz="0" w:space="0" w:color="auto"/>
        <w:right w:val="none" w:sz="0" w:space="0" w:color="auto"/>
      </w:divBdr>
    </w:div>
    <w:div w:id="1993942431">
      <w:bodyDiv w:val="1"/>
      <w:marLeft w:val="0"/>
      <w:marRight w:val="0"/>
      <w:marTop w:val="0"/>
      <w:marBottom w:val="0"/>
      <w:divBdr>
        <w:top w:val="none" w:sz="0" w:space="0" w:color="auto"/>
        <w:left w:val="none" w:sz="0" w:space="0" w:color="auto"/>
        <w:bottom w:val="none" w:sz="0" w:space="0" w:color="auto"/>
        <w:right w:val="none" w:sz="0" w:space="0" w:color="auto"/>
      </w:divBdr>
    </w:div>
    <w:div w:id="2004620149">
      <w:bodyDiv w:val="1"/>
      <w:marLeft w:val="0"/>
      <w:marRight w:val="0"/>
      <w:marTop w:val="0"/>
      <w:marBottom w:val="0"/>
      <w:divBdr>
        <w:top w:val="none" w:sz="0" w:space="0" w:color="auto"/>
        <w:left w:val="none" w:sz="0" w:space="0" w:color="auto"/>
        <w:bottom w:val="none" w:sz="0" w:space="0" w:color="auto"/>
        <w:right w:val="none" w:sz="0" w:space="0" w:color="auto"/>
      </w:divBdr>
    </w:div>
    <w:div w:id="2013069565">
      <w:bodyDiv w:val="1"/>
      <w:marLeft w:val="0"/>
      <w:marRight w:val="0"/>
      <w:marTop w:val="0"/>
      <w:marBottom w:val="0"/>
      <w:divBdr>
        <w:top w:val="none" w:sz="0" w:space="0" w:color="auto"/>
        <w:left w:val="none" w:sz="0" w:space="0" w:color="auto"/>
        <w:bottom w:val="none" w:sz="0" w:space="0" w:color="auto"/>
        <w:right w:val="none" w:sz="0" w:space="0" w:color="auto"/>
      </w:divBdr>
    </w:div>
    <w:div w:id="20191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529B6-4DCA-47A0-AE30-321BAFD45A9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2347</ap:Words>
  <ap:Characters>13380</ap:Characters>
  <ap:Application>Microsoft Office Word</ap:Application>
  <ap:DocSecurity>0</ap:DocSecurity>
  <ap:Lines>111</ap:Lines>
  <ap:Paragraphs>31</ap:Paragraphs>
  <ap:ScaleCrop>false</ap:ScaleCrop>
  <ap:HeadingPairs>
    <vt:vector baseType="variant" size="2">
      <vt:variant>
        <vt:lpstr>Title</vt:lpstr>
      </vt:variant>
      <vt:variant>
        <vt:i4>1</vt:i4>
      </vt:variant>
    </vt:vector>
  </ap:HeadingPairs>
  <ap:TitlesOfParts>
    <vt:vector baseType="lpstr" size="1">
      <vt:lpstr>BEFORE THE PUBLIC UTILITIES COMMISSION OF THE STATE OF CALIFORNIA</vt:lpstr>
    </vt:vector>
  </ap:TitlesOfParts>
  <ap:Company/>
  <ap:LinksUpToDate>false</ap:LinksUpToDate>
  <ap:CharactersWithSpaces>15696</ap:CharactersWithSpaces>
  <ap:SharedDoc>false</ap:SharedDoc>
  <ap:HLinks>
    <vt:vector baseType="variant" size="12">
      <vt:variant>
        <vt:i4>1507338</vt:i4>
      </vt:variant>
      <vt:variant>
        <vt:i4>6</vt:i4>
      </vt:variant>
      <vt:variant>
        <vt:i4>0</vt:i4>
      </vt:variant>
      <vt:variant>
        <vt:i4>5</vt:i4>
      </vt:variant>
      <vt:variant>
        <vt:lpwstr>https://advance.lexis.com/api/document/collection/administrative-materials/id/3W01-DS20-0004-W1XB-00000-00?cite=1998%20Cal.%20PUC%20LEXIS%201016&amp;context=1000516</vt:lpwstr>
      </vt:variant>
      <vt:variant>
        <vt:lpwstr/>
      </vt:variant>
      <vt:variant>
        <vt:i4>5701721</vt:i4>
      </vt:variant>
      <vt:variant>
        <vt:i4>0</vt:i4>
      </vt:variant>
      <vt:variant>
        <vt:i4>0</vt:i4>
      </vt:variant>
      <vt:variant>
        <vt:i4>5</vt:i4>
      </vt:variant>
      <vt:variant>
        <vt:lpwstr>http://docs.cpuc.ca.gov/DecisionsSearchForm.aspx</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2022-05-20T16:21:00Z</cp:lastPrinted>
  <dcterms:created xsi:type="dcterms:W3CDTF">2022-05-20T10:13:50Z</dcterms:created>
  <dcterms:modified xsi:type="dcterms:W3CDTF">2022-05-20T10:13:50Z</dcterms:modified>
</cp:coreProperties>
</file>