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0316" w:rsidR="008921C3" w:rsidP="00BB0F07" w:rsidRDefault="00EE6D53" w14:paraId="34DCD7F3" w14:textId="37BBBAA4">
      <w:pPr>
        <w:keepNext/>
        <w:tabs>
          <w:tab w:val="right" w:pos="9360"/>
        </w:tabs>
        <w:suppressAutoHyphens/>
        <w:rPr>
          <w:b/>
          <w:bCs/>
        </w:rPr>
      </w:pPr>
      <w:r>
        <w:t xml:space="preserve"> </w:t>
      </w:r>
      <w:r w:rsidRPr="008921C3" w:rsidR="008921C3">
        <w:t>ALJ/CR2/nd3</w:t>
      </w:r>
      <w:r w:rsidRPr="008921C3" w:rsidR="008921C3">
        <w:tab/>
      </w:r>
      <w:r w:rsidR="00BB0F07">
        <w:rPr>
          <w:b/>
          <w:bCs/>
        </w:rPr>
        <w:t>Date of Issuance 5/24/2022</w:t>
      </w:r>
    </w:p>
    <w:p w:rsidRPr="008921C3" w:rsidR="00FF0316" w:rsidP="008921C3" w:rsidRDefault="00FF0316" w14:paraId="5CD9F436" w14:textId="77777777">
      <w:pPr>
        <w:suppressAutoHyphens/>
      </w:pPr>
    </w:p>
    <w:p w:rsidRPr="008921C3" w:rsidR="008921C3" w:rsidP="008921C3" w:rsidRDefault="008921C3" w14:paraId="1E9DA352" w14:textId="77777777">
      <w:pPr>
        <w:suppressAutoHyphens/>
      </w:pPr>
    </w:p>
    <w:p w:rsidRPr="008921C3" w:rsidR="00A92D0B" w:rsidP="008921C3" w:rsidRDefault="00A92D0B" w14:paraId="5BDA9FD4" w14:textId="68078C88">
      <w:pPr>
        <w:suppressAutoHyphens/>
      </w:pPr>
      <w:r w:rsidRPr="008921C3">
        <w:t xml:space="preserve">Decision </w:t>
      </w:r>
      <w:r w:rsidRPr="002B7F83" w:rsidR="00BB0F07">
        <w:t>22-05-028</w:t>
      </w:r>
      <w:r w:rsidR="00BB0F07">
        <w:t xml:space="preserve">  May 19, 2022</w:t>
      </w:r>
    </w:p>
    <w:p w:rsidRPr="008921C3" w:rsidR="00A92D0B" w:rsidP="008921C3" w:rsidRDefault="00A92D0B" w14:paraId="6D327C87" w14:textId="77777777">
      <w:pPr>
        <w:pStyle w:val="titlebar"/>
        <w:keepNext w:val="0"/>
        <w:rPr>
          <w:rFonts w:ascii="Times New Roman" w:hAnsi="Times New Roman"/>
          <w:sz w:val="24"/>
          <w:szCs w:val="24"/>
        </w:rPr>
      </w:pPr>
    </w:p>
    <w:p w:rsidRPr="008921C3" w:rsidR="00A92D0B" w:rsidP="008921C3" w:rsidRDefault="00A92D0B" w14:paraId="44E03231" w14:textId="77777777">
      <w:pPr>
        <w:pStyle w:val="titlebar"/>
        <w:keepNext w:val="0"/>
        <w:rPr>
          <w:rFonts w:ascii="Times New Roman" w:hAnsi="Times New Roman"/>
          <w:sz w:val="24"/>
          <w:szCs w:val="24"/>
        </w:rPr>
      </w:pPr>
    </w:p>
    <w:p w:rsidRPr="008921C3" w:rsidR="00A92D0B" w:rsidP="008921C3" w:rsidRDefault="00A92D0B" w14:paraId="67F2520C" w14:textId="77777777">
      <w:pPr>
        <w:pStyle w:val="titlebar"/>
        <w:keepNext w:val="0"/>
        <w:rPr>
          <w:rFonts w:ascii="Arial" w:hAnsi="Arial"/>
          <w:sz w:val="24"/>
          <w:szCs w:val="24"/>
        </w:rPr>
      </w:pPr>
      <w:r w:rsidRPr="008921C3">
        <w:rPr>
          <w:rFonts w:ascii="Arial" w:hAnsi="Arial"/>
          <w:sz w:val="24"/>
          <w:szCs w:val="24"/>
        </w:rPr>
        <w:t>BEFORE THE PUBLIC UTILITIES COMMISSION OF THE STATE OF CALIFORNIA</w:t>
      </w:r>
    </w:p>
    <w:p w:rsidRPr="008921C3" w:rsidR="00A92D0B" w:rsidP="008921C3" w:rsidRDefault="00A92D0B" w14:paraId="564284CD" w14:textId="77777777">
      <w:pPr>
        <w:suppressAutoHyphens/>
      </w:pPr>
    </w:p>
    <w:tbl>
      <w:tblPr>
        <w:tblW w:w="9360" w:type="dxa"/>
        <w:shd w:val="clear" w:color="auto" w:fill="CCFFCC"/>
        <w:tblLayout w:type="fixed"/>
        <w:tblLook w:val="0000" w:firstRow="0" w:lastRow="0" w:firstColumn="0" w:lastColumn="0" w:noHBand="0" w:noVBand="0"/>
      </w:tblPr>
      <w:tblGrid>
        <w:gridCol w:w="4860"/>
        <w:gridCol w:w="4500"/>
      </w:tblGrid>
      <w:tr w:rsidRPr="008921C3" w:rsidR="008921C3" w:rsidTr="008921C3" w14:paraId="3942D7B4" w14:textId="77777777">
        <w:tc>
          <w:tcPr>
            <w:tcW w:w="4860" w:type="dxa"/>
            <w:tcBorders>
              <w:bottom w:val="single" w:color="auto" w:sz="4" w:space="0"/>
              <w:right w:val="single" w:color="auto" w:sz="4" w:space="0"/>
            </w:tcBorders>
            <w:shd w:val="clear" w:color="auto" w:fill="auto"/>
          </w:tcPr>
          <w:p w:rsidRPr="008921C3" w:rsidR="036D56D1" w:rsidP="008921C3" w:rsidRDefault="008921C3" w14:paraId="10705BFF" w14:textId="117D82DF">
            <w:pPr>
              <w:tabs>
                <w:tab w:val="left" w:pos="1440"/>
                <w:tab w:val="left" w:pos="3600"/>
              </w:tabs>
            </w:pPr>
            <w:r w:rsidRPr="008921C3">
              <w:t>Order Instituting Rulemaking Regarding Microgrids Pursuant to Senate Bill 1339 and Resiliency Strategies.</w:t>
            </w:r>
          </w:p>
          <w:p w:rsidRPr="008921C3" w:rsidR="00A92D0B" w:rsidP="008921C3" w:rsidRDefault="00A92D0B" w14:paraId="47850BD9" w14:textId="77777777"/>
        </w:tc>
        <w:tc>
          <w:tcPr>
            <w:tcW w:w="4500" w:type="dxa"/>
            <w:tcBorders>
              <w:left w:val="single" w:color="auto" w:sz="4" w:space="0"/>
            </w:tcBorders>
            <w:shd w:val="clear" w:color="auto" w:fill="auto"/>
            <w:vAlign w:val="center"/>
          </w:tcPr>
          <w:p w:rsidRPr="008921C3" w:rsidR="00A92D0B" w:rsidP="008921C3" w:rsidRDefault="036D56D1" w14:paraId="7EC7277D" w14:textId="505FAF58">
            <w:pPr>
              <w:tabs>
                <w:tab w:val="left" w:pos="1440"/>
                <w:tab w:val="left" w:pos="3600"/>
              </w:tabs>
              <w:jc w:val="center"/>
            </w:pPr>
            <w:r w:rsidRPr="008921C3">
              <w:t>Rulemaking 19</w:t>
            </w:r>
            <w:r w:rsidR="00E54F5A">
              <w:noBreakHyphen/>
            </w:r>
            <w:r w:rsidRPr="008921C3">
              <w:t>09</w:t>
            </w:r>
            <w:r w:rsidR="00E54F5A">
              <w:noBreakHyphen/>
            </w:r>
            <w:r w:rsidRPr="008921C3">
              <w:t>009</w:t>
            </w:r>
          </w:p>
        </w:tc>
      </w:tr>
    </w:tbl>
    <w:p w:rsidR="00FC72B7" w:rsidP="008921C3" w:rsidRDefault="00FC72B7" w14:paraId="5459E071" w14:textId="48C9F99C">
      <w:pPr>
        <w:jc w:val="center"/>
        <w:rPr>
          <w:b/>
        </w:rPr>
      </w:pPr>
    </w:p>
    <w:p w:rsidRPr="008921C3" w:rsidR="00F07E25" w:rsidP="008921C3" w:rsidRDefault="00F07E25" w14:paraId="0779B030" w14:textId="77777777">
      <w:pPr>
        <w:jc w:val="center"/>
        <w:rPr>
          <w:b/>
        </w:rPr>
      </w:pPr>
    </w:p>
    <w:p w:rsidR="008921C3" w:rsidP="008921C3" w:rsidRDefault="008921C3" w14:paraId="4E0E9976" w14:textId="77777777">
      <w:pPr>
        <w:jc w:val="center"/>
        <w:rPr>
          <w:b/>
        </w:rPr>
      </w:pPr>
      <w:r>
        <w:rPr>
          <w:b/>
        </w:rPr>
        <w:t xml:space="preserve">DECISION </w:t>
      </w:r>
      <w:r w:rsidRPr="008921C3" w:rsidR="00CA0B43">
        <w:rPr>
          <w:b/>
        </w:rPr>
        <w:t xml:space="preserve">GRANTING </w:t>
      </w:r>
      <w:r w:rsidRPr="008921C3" w:rsidR="00A92D0B">
        <w:rPr>
          <w:b/>
        </w:rPr>
        <w:t xml:space="preserve">COMPENSATION </w:t>
      </w:r>
      <w:r w:rsidRPr="008921C3" w:rsidR="00CA0B43">
        <w:rPr>
          <w:b/>
        </w:rPr>
        <w:t>T</w:t>
      </w:r>
      <w:r w:rsidRPr="008921C3" w:rsidR="00A92D0B">
        <w:rPr>
          <w:b/>
        </w:rPr>
        <w:t xml:space="preserve">O </w:t>
      </w:r>
    </w:p>
    <w:p w:rsidR="008921C3" w:rsidP="008921C3" w:rsidRDefault="7559F0FB" w14:paraId="34B23C3D" w14:textId="77777777">
      <w:pPr>
        <w:jc w:val="center"/>
        <w:rPr>
          <w:b/>
          <w:bCs/>
        </w:rPr>
      </w:pPr>
      <w:r w:rsidRPr="008921C3">
        <w:rPr>
          <w:b/>
          <w:bCs/>
        </w:rPr>
        <w:t>CALIFORNIA ENVIRONMENTAL JUSTICE ALLIANCE</w:t>
      </w:r>
      <w:r w:rsidRPr="008921C3" w:rsidR="00CA0B43">
        <w:rPr>
          <w:b/>
          <w:bCs/>
        </w:rPr>
        <w:t xml:space="preserve"> </w:t>
      </w:r>
    </w:p>
    <w:p w:rsidRPr="008921C3" w:rsidR="00A92D0B" w:rsidP="008921C3" w:rsidRDefault="00CA0B43" w14:paraId="17BB0C52" w14:textId="2A76B3EB">
      <w:pPr>
        <w:jc w:val="center"/>
        <w:rPr>
          <w:b/>
          <w:shd w:val="clear" w:color="auto" w:fill="CCFFCC"/>
        </w:rPr>
      </w:pPr>
      <w:r w:rsidRPr="008921C3">
        <w:rPr>
          <w:b/>
          <w:bCs/>
        </w:rPr>
        <w:t>FOR SUBSTANTIAL CONTRIBUTION TO</w:t>
      </w:r>
      <w:r w:rsidR="008921C3">
        <w:rPr>
          <w:b/>
          <w:bCs/>
        </w:rPr>
        <w:t xml:space="preserve"> </w:t>
      </w:r>
      <w:r w:rsidRPr="008921C3" w:rsidR="00A92D0B">
        <w:rPr>
          <w:b/>
        </w:rPr>
        <w:t>DECISION</w:t>
      </w:r>
      <w:r w:rsidR="008921C3">
        <w:rPr>
          <w:b/>
        </w:rPr>
        <w:t xml:space="preserve"> (D.) </w:t>
      </w:r>
      <w:r w:rsidRPr="008921C3">
        <w:rPr>
          <w:b/>
        </w:rPr>
        <w:t>20</w:t>
      </w:r>
      <w:r w:rsidR="00E54F5A">
        <w:rPr>
          <w:b/>
        </w:rPr>
        <w:noBreakHyphen/>
      </w:r>
      <w:r w:rsidRPr="008921C3">
        <w:rPr>
          <w:b/>
        </w:rPr>
        <w:t>06</w:t>
      </w:r>
      <w:r w:rsidR="00E54F5A">
        <w:rPr>
          <w:b/>
        </w:rPr>
        <w:noBreakHyphen/>
      </w:r>
      <w:r w:rsidRPr="008921C3">
        <w:rPr>
          <w:b/>
        </w:rPr>
        <w:t xml:space="preserve">017 AND </w:t>
      </w:r>
      <w:r w:rsidR="008921C3">
        <w:rPr>
          <w:b/>
        </w:rPr>
        <w:t>D.</w:t>
      </w:r>
      <w:r w:rsidRPr="008921C3">
        <w:rPr>
          <w:b/>
        </w:rPr>
        <w:t>21</w:t>
      </w:r>
      <w:r w:rsidR="00E54F5A">
        <w:rPr>
          <w:b/>
        </w:rPr>
        <w:noBreakHyphen/>
      </w:r>
      <w:r w:rsidRPr="008921C3">
        <w:rPr>
          <w:b/>
        </w:rPr>
        <w:t>01</w:t>
      </w:r>
      <w:r w:rsidR="00E54F5A">
        <w:rPr>
          <w:b/>
        </w:rPr>
        <w:noBreakHyphen/>
      </w:r>
      <w:r w:rsidRPr="008921C3">
        <w:rPr>
          <w:b/>
        </w:rPr>
        <w:t>018</w:t>
      </w:r>
    </w:p>
    <w:p w:rsidRPr="008921C3" w:rsidR="00A92D0B" w:rsidP="008921C3" w:rsidRDefault="00A92D0B" w14:paraId="4BEAFF75" w14:textId="77777777">
      <w:pPr>
        <w:suppressAutoHyphens/>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405"/>
        <w:gridCol w:w="4955"/>
      </w:tblGrid>
      <w:tr w:rsidRPr="008921C3" w:rsidR="008921C3" w:rsidTr="004E535D" w14:paraId="0FE98F62" w14:textId="77777777">
        <w:tc>
          <w:tcPr>
            <w:tcW w:w="4405" w:type="dxa"/>
            <w:shd w:val="clear" w:color="auto" w:fill="auto"/>
          </w:tcPr>
          <w:p w:rsidRPr="00C21425" w:rsidR="00A92D0B" w:rsidP="005C52A0" w:rsidRDefault="005A63D4" w14:paraId="11570D4A" w14:textId="43268F61">
            <w:pPr>
              <w:tabs>
                <w:tab w:val="left" w:pos="1620"/>
                <w:tab w:val="right" w:pos="4500"/>
              </w:tabs>
            </w:pPr>
            <w:r w:rsidRPr="00CD615E">
              <w:rPr>
                <w:b/>
                <w:bCs/>
              </w:rPr>
              <w:t>Intervenor</w:t>
            </w:r>
            <w:r w:rsidRPr="00CD615E" w:rsidR="75DE231D">
              <w:rPr>
                <w:b/>
                <w:bCs/>
              </w:rPr>
              <w:t>:</w:t>
            </w:r>
            <w:r w:rsidRPr="00C21425" w:rsidR="00691528">
              <w:t xml:space="preserve"> </w:t>
            </w:r>
            <w:r w:rsidRPr="00C21425" w:rsidR="1E99D578">
              <w:t>California Environmental Justice Alliance</w:t>
            </w:r>
          </w:p>
        </w:tc>
        <w:tc>
          <w:tcPr>
            <w:tcW w:w="4955" w:type="dxa"/>
            <w:shd w:val="clear" w:color="auto" w:fill="auto"/>
          </w:tcPr>
          <w:p w:rsidRPr="008921C3" w:rsidR="00A92D0B" w:rsidP="005C52A0" w:rsidRDefault="00A92D0B" w14:paraId="53A584EE" w14:textId="027AF430">
            <w:pPr>
              <w:tabs>
                <w:tab w:val="left" w:pos="1620"/>
                <w:tab w:val="right" w:pos="4500"/>
              </w:tabs>
              <w:rPr>
                <w:b/>
              </w:rPr>
            </w:pPr>
            <w:r w:rsidRPr="008921C3">
              <w:rPr>
                <w:b/>
              </w:rPr>
              <w:t>For contribution to D</w:t>
            </w:r>
            <w:r w:rsidRPr="008921C3" w:rsidR="00DE3A5D">
              <w:rPr>
                <w:b/>
              </w:rPr>
              <w:t>ecision (D.)</w:t>
            </w:r>
            <w:r w:rsidR="00D8264C">
              <w:rPr>
                <w:b/>
              </w:rPr>
              <w:t> </w:t>
            </w:r>
            <w:r w:rsidRPr="008921C3" w:rsidR="3156D9AA">
              <w:rPr>
                <w:b/>
                <w:bCs/>
                <w:sz w:val="26"/>
                <w:szCs w:val="26"/>
              </w:rPr>
              <w:t>20</w:t>
            </w:r>
            <w:r w:rsidR="00E54F5A">
              <w:rPr>
                <w:b/>
                <w:bCs/>
                <w:sz w:val="26"/>
                <w:szCs w:val="26"/>
              </w:rPr>
              <w:noBreakHyphen/>
            </w:r>
            <w:r w:rsidRPr="008921C3" w:rsidR="3156D9AA">
              <w:rPr>
                <w:b/>
                <w:bCs/>
                <w:sz w:val="26"/>
                <w:szCs w:val="26"/>
              </w:rPr>
              <w:t>06</w:t>
            </w:r>
            <w:r w:rsidR="00E54F5A">
              <w:rPr>
                <w:b/>
                <w:bCs/>
                <w:sz w:val="26"/>
                <w:szCs w:val="26"/>
              </w:rPr>
              <w:noBreakHyphen/>
            </w:r>
            <w:r w:rsidRPr="008921C3" w:rsidR="3156D9AA">
              <w:rPr>
                <w:b/>
                <w:bCs/>
                <w:sz w:val="26"/>
                <w:szCs w:val="26"/>
              </w:rPr>
              <w:t>017 and D.21</w:t>
            </w:r>
            <w:r w:rsidR="00E54F5A">
              <w:rPr>
                <w:b/>
                <w:bCs/>
                <w:sz w:val="26"/>
                <w:szCs w:val="26"/>
              </w:rPr>
              <w:noBreakHyphen/>
            </w:r>
            <w:r w:rsidRPr="008921C3" w:rsidR="3156D9AA">
              <w:rPr>
                <w:b/>
                <w:bCs/>
                <w:sz w:val="26"/>
                <w:szCs w:val="26"/>
              </w:rPr>
              <w:t>01</w:t>
            </w:r>
            <w:r w:rsidR="00E54F5A">
              <w:rPr>
                <w:b/>
                <w:bCs/>
                <w:sz w:val="26"/>
                <w:szCs w:val="26"/>
              </w:rPr>
              <w:noBreakHyphen/>
            </w:r>
            <w:r w:rsidRPr="008921C3" w:rsidR="3156D9AA">
              <w:rPr>
                <w:b/>
                <w:bCs/>
                <w:sz w:val="26"/>
                <w:szCs w:val="26"/>
              </w:rPr>
              <w:t>018</w:t>
            </w:r>
          </w:p>
        </w:tc>
      </w:tr>
      <w:tr w:rsidRPr="008921C3" w:rsidR="008921C3" w:rsidTr="004E535D" w14:paraId="47003B8E" w14:textId="77777777">
        <w:tc>
          <w:tcPr>
            <w:tcW w:w="4405" w:type="dxa"/>
            <w:shd w:val="clear" w:color="auto" w:fill="auto"/>
          </w:tcPr>
          <w:p w:rsidRPr="008921C3" w:rsidR="00A92D0B" w:rsidP="005C52A0" w:rsidRDefault="00A92D0B" w14:paraId="0E2E4BD1" w14:textId="07FA10FB">
            <w:pPr>
              <w:tabs>
                <w:tab w:val="left" w:pos="1620"/>
                <w:tab w:val="right" w:pos="4500"/>
              </w:tabs>
              <w:rPr>
                <w:b/>
                <w:highlight w:val="yellow"/>
                <w:u w:val="single"/>
              </w:rPr>
            </w:pPr>
            <w:r w:rsidRPr="008921C3">
              <w:rPr>
                <w:b/>
              </w:rPr>
              <w:t>Claimed:</w:t>
            </w:r>
            <w:r w:rsidRPr="008921C3" w:rsidR="00F63C29">
              <w:rPr>
                <w:b/>
              </w:rPr>
              <w:t xml:space="preserve"> </w:t>
            </w:r>
            <w:r w:rsidRPr="008921C3" w:rsidR="002D21CA">
              <w:rPr>
                <w:b/>
              </w:rPr>
              <w:t xml:space="preserve"> </w:t>
            </w:r>
            <w:r w:rsidRPr="008921C3" w:rsidR="00FC72B7">
              <w:rPr>
                <w:bCs/>
              </w:rPr>
              <w:t>$</w:t>
            </w:r>
            <w:r w:rsidRPr="008921C3" w:rsidR="008F6772">
              <w:rPr>
                <w:bCs/>
              </w:rPr>
              <w:t>91,038.31</w:t>
            </w:r>
          </w:p>
        </w:tc>
        <w:tc>
          <w:tcPr>
            <w:tcW w:w="4955" w:type="dxa"/>
            <w:tcBorders>
              <w:bottom w:val="single" w:color="auto" w:sz="4" w:space="0"/>
            </w:tcBorders>
            <w:shd w:val="clear" w:color="auto" w:fill="auto"/>
          </w:tcPr>
          <w:p w:rsidRPr="008921C3" w:rsidR="00A92D0B" w:rsidP="005C52A0" w:rsidRDefault="00A92D0B" w14:paraId="211F40A8" w14:textId="6E957BC9">
            <w:pPr>
              <w:tabs>
                <w:tab w:val="left" w:pos="1620"/>
                <w:tab w:val="right" w:pos="4500"/>
              </w:tabs>
              <w:rPr>
                <w:b/>
                <w:u w:val="single"/>
              </w:rPr>
            </w:pPr>
            <w:r w:rsidRPr="008921C3">
              <w:rPr>
                <w:b/>
              </w:rPr>
              <w:t>Awarded:</w:t>
            </w:r>
            <w:r w:rsidRPr="008921C3" w:rsidR="00FC72B7">
              <w:rPr>
                <w:b/>
              </w:rPr>
              <w:t xml:space="preserve">  </w:t>
            </w:r>
            <w:r w:rsidRPr="008921C3" w:rsidR="00FC72B7">
              <w:rPr>
                <w:bCs/>
              </w:rPr>
              <w:t>$</w:t>
            </w:r>
            <w:r w:rsidRPr="008921C3" w:rsidR="0068109C">
              <w:rPr>
                <w:bCs/>
              </w:rPr>
              <w:t>91,119.75</w:t>
            </w:r>
          </w:p>
        </w:tc>
      </w:tr>
      <w:tr w:rsidRPr="008921C3" w:rsidR="008921C3" w:rsidTr="004E535D" w14:paraId="5C56877D" w14:textId="77777777">
        <w:tc>
          <w:tcPr>
            <w:tcW w:w="4405" w:type="dxa"/>
            <w:shd w:val="clear" w:color="auto" w:fill="auto"/>
          </w:tcPr>
          <w:p w:rsidR="004E535D" w:rsidP="005C52A0" w:rsidRDefault="00A92D0B" w14:paraId="271B6927" w14:textId="77777777">
            <w:pPr>
              <w:tabs>
                <w:tab w:val="left" w:pos="1620"/>
                <w:tab w:val="right" w:pos="4500"/>
              </w:tabs>
              <w:rPr>
                <w:b/>
              </w:rPr>
            </w:pPr>
            <w:r w:rsidRPr="008921C3">
              <w:rPr>
                <w:b/>
              </w:rPr>
              <w:t xml:space="preserve">Assigned Commissioner: </w:t>
            </w:r>
          </w:p>
          <w:p w:rsidRPr="008921C3" w:rsidR="00A92D0B" w:rsidP="005C52A0" w:rsidRDefault="243BE8D8" w14:paraId="6EF99E36" w14:textId="1EB52A10">
            <w:pPr>
              <w:tabs>
                <w:tab w:val="left" w:pos="1620"/>
                <w:tab w:val="right" w:pos="4500"/>
              </w:tabs>
              <w:rPr>
                <w:u w:val="single"/>
              </w:rPr>
            </w:pPr>
            <w:r w:rsidRPr="008921C3">
              <w:t>Genevieve Shiroma</w:t>
            </w:r>
          </w:p>
        </w:tc>
        <w:tc>
          <w:tcPr>
            <w:tcW w:w="4955" w:type="dxa"/>
            <w:shd w:val="clear" w:color="auto" w:fill="auto"/>
          </w:tcPr>
          <w:p w:rsidRPr="008921C3" w:rsidR="00A92D0B" w:rsidP="005C52A0" w:rsidRDefault="00A92D0B" w14:paraId="79375F78" w14:textId="02D52593">
            <w:pPr>
              <w:tabs>
                <w:tab w:val="left" w:pos="1620"/>
                <w:tab w:val="right" w:pos="4500"/>
              </w:tabs>
              <w:rPr>
                <w:u w:val="single"/>
              </w:rPr>
            </w:pPr>
            <w:r w:rsidRPr="008921C3">
              <w:rPr>
                <w:b/>
              </w:rPr>
              <w:t>Assigned ALJ:</w:t>
            </w:r>
            <w:r w:rsidRPr="008921C3" w:rsidR="00F63C29">
              <w:rPr>
                <w:b/>
              </w:rPr>
              <w:t xml:space="preserve"> </w:t>
            </w:r>
            <w:r w:rsidRPr="008921C3" w:rsidR="2E1C71EB">
              <w:t>Colin Rizzo</w:t>
            </w:r>
          </w:p>
        </w:tc>
      </w:tr>
    </w:tbl>
    <w:p w:rsidRPr="008921C3" w:rsidR="00691528" w:rsidP="00F07E25" w:rsidRDefault="00A92D0B" w14:paraId="3CEED871" w14:textId="77777777">
      <w:pPr>
        <w:keepNext/>
        <w:spacing w:before="480" w:after="240"/>
        <w:jc w:val="center"/>
        <w:rPr>
          <w:b/>
        </w:rPr>
      </w:pPr>
      <w:r w:rsidRPr="008921C3">
        <w:rPr>
          <w:b/>
        </w:rPr>
        <w:t>PART I:  PROCEDURAL ISSUES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685"/>
        <w:gridCol w:w="5675"/>
      </w:tblGrid>
      <w:tr w:rsidRPr="008921C3" w:rsidR="008921C3" w:rsidTr="00C21425" w14:paraId="3C5C25ED" w14:textId="77777777">
        <w:tc>
          <w:tcPr>
            <w:tcW w:w="3685" w:type="dxa"/>
            <w:shd w:val="clear" w:color="auto" w:fill="auto"/>
          </w:tcPr>
          <w:p w:rsidRPr="008921C3" w:rsidR="00A92D0B" w:rsidP="00344602" w:rsidRDefault="00A92D0B" w14:paraId="1576A0A6" w14:textId="11C303D9">
            <w:pPr>
              <w:ind w:left="360" w:hanging="360"/>
              <w:rPr>
                <w:b/>
              </w:rPr>
            </w:pPr>
            <w:r w:rsidRPr="008921C3">
              <w:rPr>
                <w:b/>
              </w:rPr>
              <w:t>A.</w:t>
            </w:r>
            <w:r w:rsidR="00344602">
              <w:rPr>
                <w:b/>
              </w:rPr>
              <w:tab/>
            </w:r>
            <w:r w:rsidRPr="008921C3">
              <w:rPr>
                <w:b/>
              </w:rPr>
              <w:t xml:space="preserve">Brief </w:t>
            </w:r>
            <w:r w:rsidRPr="008921C3" w:rsidR="00A319DE">
              <w:rPr>
                <w:b/>
              </w:rPr>
              <w:t>d</w:t>
            </w:r>
            <w:r w:rsidRPr="008921C3">
              <w:rPr>
                <w:b/>
              </w:rPr>
              <w:t xml:space="preserve">escription of Decision: </w:t>
            </w:r>
          </w:p>
        </w:tc>
        <w:tc>
          <w:tcPr>
            <w:tcW w:w="5675" w:type="dxa"/>
            <w:shd w:val="clear" w:color="auto" w:fill="auto"/>
          </w:tcPr>
          <w:p w:rsidRPr="008921C3" w:rsidR="00FE3BAE" w:rsidP="005C52A0" w:rsidRDefault="7811317F" w14:paraId="7C3A295F" w14:textId="79323547">
            <w:pPr>
              <w:spacing w:after="240"/>
            </w:pPr>
            <w:r w:rsidRPr="008921C3">
              <w:t>D.20</w:t>
            </w:r>
            <w:r w:rsidR="00E54F5A">
              <w:noBreakHyphen/>
            </w:r>
            <w:r w:rsidRPr="008921C3">
              <w:t>06</w:t>
            </w:r>
            <w:r w:rsidR="00E54F5A">
              <w:noBreakHyphen/>
            </w:r>
            <w:r w:rsidRPr="008921C3">
              <w:t>017 adopts short</w:t>
            </w:r>
            <w:r w:rsidR="00E54F5A">
              <w:noBreakHyphen/>
            </w:r>
            <w:r w:rsidRPr="008921C3">
              <w:t>term actions to accelerate the deployment of microgrids pursuant to S</w:t>
            </w:r>
            <w:r w:rsidRPr="008921C3" w:rsidR="00383CAB">
              <w:t xml:space="preserve">enate </w:t>
            </w:r>
            <w:r w:rsidRPr="008921C3">
              <w:t>B</w:t>
            </w:r>
            <w:r w:rsidRPr="008921C3" w:rsidR="00383CAB">
              <w:t>ill (SB</w:t>
            </w:r>
            <w:r w:rsidRPr="008921C3" w:rsidR="00EF7749">
              <w:t>)</w:t>
            </w:r>
            <w:r w:rsidRPr="008921C3">
              <w:t xml:space="preserve"> 1339, including accelerating interconnection for wildfire resiliency; modernizing tariffs to allow storage devices to charge during </w:t>
            </w:r>
            <w:r w:rsidRPr="008921C3" w:rsidR="00EF7749">
              <w:t>public safety power shutoff (PSPS) events</w:t>
            </w:r>
            <w:r w:rsidRPr="008921C3">
              <w:t xml:space="preserve">; promoting engagement between </w:t>
            </w:r>
            <w:r w:rsidRPr="008921C3" w:rsidR="00EF7749">
              <w:t>investor</w:t>
            </w:r>
            <w:r w:rsidR="00E54F5A">
              <w:noBreakHyphen/>
            </w:r>
            <w:r w:rsidRPr="008921C3" w:rsidR="00EF7749">
              <w:t>owned utilities (</w:t>
            </w:r>
            <w:r w:rsidRPr="008921C3">
              <w:t>IOUs</w:t>
            </w:r>
            <w:r w:rsidRPr="008921C3" w:rsidR="00EF7749">
              <w:t>)</w:t>
            </w:r>
            <w:r w:rsidRPr="008921C3">
              <w:t xml:space="preserve"> and local and tribal governments; and approving IOU resiliency proposals including temporary diesel backup generation.</w:t>
            </w:r>
          </w:p>
          <w:p w:rsidRPr="008921C3" w:rsidR="00EF7749" w:rsidP="005C52A0" w:rsidRDefault="7811317F" w14:paraId="67B8ECAA" w14:textId="7656C6A2">
            <w:pPr>
              <w:spacing w:after="240"/>
            </w:pPr>
            <w:r w:rsidRPr="008921C3">
              <w:t>D.21</w:t>
            </w:r>
            <w:r w:rsidR="00E54F5A">
              <w:noBreakHyphen/>
            </w:r>
            <w:r w:rsidRPr="008921C3">
              <w:t>01</w:t>
            </w:r>
            <w:r w:rsidR="00E54F5A">
              <w:noBreakHyphen/>
            </w:r>
            <w:r w:rsidRPr="008921C3">
              <w:t>018 adopts microgrid rates, tariffs</w:t>
            </w:r>
            <w:r w:rsidRPr="008921C3" w:rsidR="00EF7749">
              <w:t>,</w:t>
            </w:r>
            <w:r w:rsidRPr="008921C3">
              <w:t xml:space="preserve"> and rules for IOUs; tasks the Resiliency and Microgrids Working Group with developing tariff proposals; requires the large IOUs to create a Microgrid Incentive Program; and adopts an Interim Approach for Minimizing Emissions from Generation During Transmission Outages.</w:t>
            </w:r>
          </w:p>
        </w:tc>
      </w:tr>
    </w:tbl>
    <w:p w:rsidRPr="008921C3" w:rsidR="00A92D0B" w:rsidP="00344602" w:rsidRDefault="005A63D4" w14:paraId="2FBF046C" w14:textId="2F574FF9">
      <w:pPr>
        <w:keepNext/>
        <w:numPr>
          <w:ilvl w:val="0"/>
          <w:numId w:val="5"/>
        </w:numPr>
        <w:spacing w:before="240" w:after="240"/>
        <w:rPr>
          <w:b/>
        </w:rPr>
      </w:pPr>
      <w:r w:rsidRPr="008921C3">
        <w:rPr>
          <w:b/>
        </w:rPr>
        <w:lastRenderedPageBreak/>
        <w:t xml:space="preserve">Intervenor </w:t>
      </w:r>
      <w:r w:rsidRPr="008921C3" w:rsidR="00A92D0B">
        <w:rPr>
          <w:b/>
        </w:rPr>
        <w:t xml:space="preserve">must satisfy intervenor compensation </w:t>
      </w:r>
      <w:r w:rsidRPr="008921C3" w:rsidR="00DE3A5D">
        <w:rPr>
          <w:b/>
        </w:rPr>
        <w:t xml:space="preserve">requirements set forth in </w:t>
      </w:r>
      <w:r w:rsidR="00D538F2">
        <w:rPr>
          <w:b/>
        </w:rPr>
        <w:t>Pub. Util.</w:t>
      </w:r>
      <w:r w:rsidRPr="008921C3" w:rsidR="00A92D0B">
        <w:rPr>
          <w:b/>
        </w:rPr>
        <w:t xml:space="preserve"> Code </w:t>
      </w:r>
      <w:r w:rsidR="00D538F2">
        <w:rPr>
          <w:b/>
        </w:rPr>
        <w:t>§§ </w:t>
      </w:r>
      <w:r w:rsidRPr="008921C3" w:rsidR="00A92D0B">
        <w:rPr>
          <w:b/>
        </w:rPr>
        <w:t>1801</w:t>
      </w:r>
      <w:r w:rsidR="00E54F5A">
        <w:rPr>
          <w:b/>
        </w:rPr>
        <w:noBreakHyphen/>
      </w:r>
      <w:r w:rsidRPr="008921C3" w:rsidR="00A92D0B">
        <w:rPr>
          <w:b/>
        </w:rPr>
        <w:t>1812</w:t>
      </w:r>
      <w:r w:rsidR="00D538F2">
        <w:rPr>
          <w:b/>
        </w:rPr>
        <w:t>:</w:t>
      </w:r>
      <w:r w:rsidRPr="008921C3" w:rsidR="003B6A1B">
        <w:rPr>
          <w:rStyle w:val="FootnoteReference"/>
          <w:b/>
        </w:rPr>
        <w:footnoteReference w:id="2"/>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817"/>
        <w:gridCol w:w="2267"/>
        <w:gridCol w:w="2276"/>
      </w:tblGrid>
      <w:tr w:rsidRPr="008921C3" w:rsidR="008921C3" w:rsidTr="00D74EAD" w14:paraId="640CF70A" w14:textId="77777777">
        <w:trPr>
          <w:tblHeader/>
        </w:trPr>
        <w:tc>
          <w:tcPr>
            <w:tcW w:w="4817" w:type="dxa"/>
            <w:tcBorders>
              <w:bottom w:val="single" w:color="auto" w:sz="4" w:space="0"/>
            </w:tcBorders>
            <w:shd w:val="clear" w:color="auto" w:fill="D9D9D9" w:themeFill="background1" w:themeFillShade="D9"/>
          </w:tcPr>
          <w:p w:rsidRPr="008921C3" w:rsidR="00A92D0B" w:rsidP="00D74EAD" w:rsidRDefault="00A92D0B" w14:paraId="409E4D92" w14:textId="77777777">
            <w:pPr>
              <w:keepNext/>
              <w:tabs>
                <w:tab w:val="left" w:pos="360"/>
              </w:tabs>
              <w:jc w:val="center"/>
            </w:pPr>
          </w:p>
        </w:tc>
        <w:tc>
          <w:tcPr>
            <w:tcW w:w="2267" w:type="dxa"/>
            <w:tcBorders>
              <w:bottom w:val="single" w:color="auto" w:sz="4" w:space="0"/>
            </w:tcBorders>
            <w:shd w:val="clear" w:color="auto" w:fill="D9D9D9" w:themeFill="background1" w:themeFillShade="D9"/>
          </w:tcPr>
          <w:p w:rsidRPr="008921C3" w:rsidR="00A92D0B" w:rsidP="00D74EAD" w:rsidRDefault="005A63D4" w14:paraId="1412A3C6" w14:textId="77777777">
            <w:pPr>
              <w:keepNext/>
              <w:tabs>
                <w:tab w:val="left" w:pos="360"/>
              </w:tabs>
              <w:jc w:val="center"/>
              <w:rPr>
                <w:b/>
              </w:rPr>
            </w:pPr>
            <w:r w:rsidRPr="008921C3">
              <w:rPr>
                <w:b/>
              </w:rPr>
              <w:t>Intervenor</w:t>
            </w:r>
          </w:p>
        </w:tc>
        <w:tc>
          <w:tcPr>
            <w:tcW w:w="2276" w:type="dxa"/>
            <w:tcBorders>
              <w:bottom w:val="single" w:color="auto" w:sz="4" w:space="0"/>
            </w:tcBorders>
            <w:shd w:val="clear" w:color="auto" w:fill="D9D9D9" w:themeFill="background1" w:themeFillShade="D9"/>
          </w:tcPr>
          <w:p w:rsidRPr="008921C3" w:rsidR="00A92D0B" w:rsidP="00D74EAD" w:rsidRDefault="00A92D0B" w14:paraId="2A218C38" w14:textId="386C9A6A">
            <w:pPr>
              <w:keepNext/>
              <w:tabs>
                <w:tab w:val="left" w:pos="360"/>
              </w:tabs>
              <w:jc w:val="center"/>
              <w:rPr>
                <w:b/>
              </w:rPr>
            </w:pPr>
            <w:r w:rsidRPr="008921C3">
              <w:rPr>
                <w:b/>
              </w:rPr>
              <w:t xml:space="preserve">CPUC </w:t>
            </w:r>
            <w:r w:rsidRPr="008921C3" w:rsidR="0081626F">
              <w:rPr>
                <w:b/>
              </w:rPr>
              <w:t>Verification</w:t>
            </w:r>
          </w:p>
        </w:tc>
      </w:tr>
      <w:tr w:rsidRPr="008921C3" w:rsidR="008921C3" w:rsidTr="00C21425" w14:paraId="7D83D00D"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921C3" w:rsidR="00A92D0B" w:rsidP="00D74EAD" w:rsidRDefault="00A92D0B" w14:paraId="606E2B66" w14:textId="387F727C">
            <w:pPr>
              <w:keepNext/>
              <w:tabs>
                <w:tab w:val="left" w:pos="360"/>
              </w:tabs>
              <w:jc w:val="center"/>
              <w:rPr>
                <w:b/>
              </w:rPr>
            </w:pPr>
            <w:r w:rsidRPr="008921C3">
              <w:rPr>
                <w:b/>
              </w:rPr>
              <w:t>Timely filing of notice of intent to claim compensation (NOI) (</w:t>
            </w:r>
            <w:r w:rsidR="00D538F2">
              <w:rPr>
                <w:b/>
              </w:rPr>
              <w:t>§ </w:t>
            </w:r>
            <w:r w:rsidRPr="008921C3">
              <w:rPr>
                <w:b/>
              </w:rPr>
              <w:t>1804(a)):</w:t>
            </w:r>
          </w:p>
        </w:tc>
      </w:tr>
      <w:tr w:rsidRPr="008921C3" w:rsidR="008921C3" w:rsidTr="00C21425" w14:paraId="160E284A" w14:textId="77777777">
        <w:tc>
          <w:tcPr>
            <w:tcW w:w="4817" w:type="dxa"/>
            <w:tcBorders>
              <w:top w:val="single" w:color="auto" w:sz="4" w:space="0"/>
            </w:tcBorders>
            <w:shd w:val="clear" w:color="auto" w:fill="auto"/>
          </w:tcPr>
          <w:p w:rsidRPr="008921C3" w:rsidR="00A92D0B" w:rsidP="00D74EAD" w:rsidRDefault="00A92D0B" w14:paraId="44D1876C" w14:textId="264D2ADE">
            <w:pPr>
              <w:keepNext/>
              <w:ind w:left="360" w:hanging="360"/>
            </w:pPr>
            <w:r w:rsidRPr="008921C3">
              <w:t>1</w:t>
            </w:r>
            <w:r w:rsidR="00BC4C17">
              <w:t>.</w:t>
            </w:r>
            <w:r w:rsidR="00BC4C17">
              <w:tab/>
            </w:r>
            <w:r w:rsidRPr="008921C3">
              <w:t>Date of Prehearing Conference:</w:t>
            </w:r>
          </w:p>
        </w:tc>
        <w:tc>
          <w:tcPr>
            <w:tcW w:w="2267" w:type="dxa"/>
            <w:tcBorders>
              <w:top w:val="single" w:color="auto" w:sz="4" w:space="0"/>
            </w:tcBorders>
            <w:shd w:val="clear" w:color="auto" w:fill="auto"/>
          </w:tcPr>
          <w:p w:rsidRPr="008921C3" w:rsidR="00A92D0B" w:rsidP="00D74EAD" w:rsidRDefault="283A0DA9" w14:paraId="35450816" w14:textId="7B937C60">
            <w:pPr>
              <w:keepNext/>
              <w:tabs>
                <w:tab w:val="left" w:pos="360"/>
              </w:tabs>
            </w:pPr>
            <w:r w:rsidRPr="008921C3">
              <w:t>December 17, 2019</w:t>
            </w:r>
          </w:p>
        </w:tc>
        <w:tc>
          <w:tcPr>
            <w:tcW w:w="2276" w:type="dxa"/>
            <w:tcBorders>
              <w:top w:val="single" w:color="auto" w:sz="4" w:space="0"/>
            </w:tcBorders>
            <w:shd w:val="clear" w:color="auto" w:fill="auto"/>
          </w:tcPr>
          <w:p w:rsidRPr="008921C3" w:rsidR="00A92D0B" w:rsidP="00D74EAD" w:rsidRDefault="0066578E" w14:paraId="34540344" w14:textId="1440AE6D">
            <w:pPr>
              <w:keepNext/>
              <w:tabs>
                <w:tab w:val="left" w:pos="360"/>
              </w:tabs>
            </w:pPr>
            <w:r w:rsidRPr="008921C3">
              <w:t>Verified</w:t>
            </w:r>
          </w:p>
        </w:tc>
      </w:tr>
      <w:tr w:rsidRPr="008921C3" w:rsidR="008921C3" w:rsidTr="00C21425" w14:paraId="24C85564" w14:textId="77777777">
        <w:tc>
          <w:tcPr>
            <w:tcW w:w="4817" w:type="dxa"/>
            <w:shd w:val="clear" w:color="auto" w:fill="auto"/>
          </w:tcPr>
          <w:p w:rsidRPr="008921C3" w:rsidR="00A92D0B" w:rsidP="00BC4C17" w:rsidRDefault="00A92D0B" w14:paraId="382C5788" w14:textId="79724150">
            <w:pPr>
              <w:ind w:left="360" w:hanging="360"/>
            </w:pPr>
            <w:r w:rsidRPr="008921C3">
              <w:t>2</w:t>
            </w:r>
            <w:r w:rsidR="00BC4C17">
              <w:t>.</w:t>
            </w:r>
            <w:r w:rsidR="00BC4C17">
              <w:tab/>
            </w:r>
            <w:r w:rsidRPr="008921C3">
              <w:t xml:space="preserve">Other </w:t>
            </w:r>
            <w:r w:rsidRPr="008921C3" w:rsidR="00A319DE">
              <w:t>s</w:t>
            </w:r>
            <w:r w:rsidRPr="008921C3">
              <w:t xml:space="preserve">pecified </w:t>
            </w:r>
            <w:r w:rsidRPr="008921C3" w:rsidR="00A319DE">
              <w:t>d</w:t>
            </w:r>
            <w:r w:rsidRPr="008921C3">
              <w:t>ate for NOI:</w:t>
            </w:r>
          </w:p>
        </w:tc>
        <w:tc>
          <w:tcPr>
            <w:tcW w:w="2267" w:type="dxa"/>
            <w:shd w:val="clear" w:color="auto" w:fill="auto"/>
          </w:tcPr>
          <w:p w:rsidRPr="008921C3" w:rsidR="00A92D0B" w:rsidP="00D74EAD" w:rsidRDefault="4E09FFAA" w14:paraId="1826BC2C" w14:textId="5EA761FA">
            <w:pPr>
              <w:tabs>
                <w:tab w:val="left" w:pos="360"/>
              </w:tabs>
            </w:pPr>
            <w:r w:rsidRPr="008921C3">
              <w:t>N/A</w:t>
            </w:r>
          </w:p>
        </w:tc>
        <w:tc>
          <w:tcPr>
            <w:tcW w:w="2276" w:type="dxa"/>
            <w:shd w:val="clear" w:color="auto" w:fill="auto"/>
          </w:tcPr>
          <w:p w:rsidRPr="008921C3" w:rsidR="00A92D0B" w:rsidP="00D74EAD" w:rsidRDefault="00A92D0B" w14:paraId="210DAD91" w14:textId="77777777">
            <w:pPr>
              <w:tabs>
                <w:tab w:val="left" w:pos="360"/>
              </w:tabs>
            </w:pPr>
          </w:p>
        </w:tc>
      </w:tr>
      <w:tr w:rsidRPr="008921C3" w:rsidR="008921C3" w:rsidTr="00C21425" w14:paraId="4836EEA6" w14:textId="77777777">
        <w:tc>
          <w:tcPr>
            <w:tcW w:w="4817" w:type="dxa"/>
            <w:shd w:val="clear" w:color="auto" w:fill="auto"/>
          </w:tcPr>
          <w:p w:rsidRPr="008921C3" w:rsidR="00A92D0B" w:rsidP="00D74EAD" w:rsidRDefault="00A92D0B" w14:paraId="34809C45" w14:textId="2F40A2E2">
            <w:pPr>
              <w:keepNext/>
              <w:ind w:left="360" w:hanging="360"/>
            </w:pPr>
            <w:r w:rsidRPr="008921C3">
              <w:t>3</w:t>
            </w:r>
            <w:r w:rsidR="00BC4C17">
              <w:t>.</w:t>
            </w:r>
            <w:r w:rsidR="00BC4C17">
              <w:tab/>
            </w:r>
            <w:r w:rsidRPr="008921C3">
              <w:t xml:space="preserve">Date NOI </w:t>
            </w:r>
            <w:r w:rsidRPr="008921C3" w:rsidR="00A319DE">
              <w:t>f</w:t>
            </w:r>
            <w:r w:rsidRPr="008921C3">
              <w:t>iled:</w:t>
            </w:r>
          </w:p>
        </w:tc>
        <w:tc>
          <w:tcPr>
            <w:tcW w:w="2267" w:type="dxa"/>
            <w:tcBorders>
              <w:bottom w:val="single" w:color="auto" w:sz="4" w:space="0"/>
            </w:tcBorders>
            <w:shd w:val="clear" w:color="auto" w:fill="auto"/>
          </w:tcPr>
          <w:p w:rsidRPr="008921C3" w:rsidR="00A92D0B" w:rsidP="00D74EAD" w:rsidRDefault="43143C08" w14:paraId="44F7CCB9" w14:textId="5D3BA245">
            <w:pPr>
              <w:keepNext/>
              <w:tabs>
                <w:tab w:val="left" w:pos="360"/>
              </w:tabs>
            </w:pPr>
            <w:r w:rsidRPr="008921C3">
              <w:t>January 16, 2020</w:t>
            </w:r>
          </w:p>
        </w:tc>
        <w:tc>
          <w:tcPr>
            <w:tcW w:w="2276" w:type="dxa"/>
            <w:tcBorders>
              <w:bottom w:val="single" w:color="auto" w:sz="4" w:space="0"/>
            </w:tcBorders>
            <w:shd w:val="clear" w:color="auto" w:fill="auto"/>
          </w:tcPr>
          <w:p w:rsidRPr="008921C3" w:rsidR="00A92D0B" w:rsidP="00D74EAD" w:rsidRDefault="0066578E" w14:paraId="71759DE3" w14:textId="10E87D21">
            <w:pPr>
              <w:keepNext/>
              <w:tabs>
                <w:tab w:val="left" w:pos="360"/>
              </w:tabs>
            </w:pPr>
            <w:r w:rsidRPr="008921C3">
              <w:t>Verified</w:t>
            </w:r>
          </w:p>
        </w:tc>
      </w:tr>
      <w:tr w:rsidRPr="008921C3" w:rsidR="008921C3" w:rsidTr="00C21425" w14:paraId="22BBCDE3" w14:textId="77777777">
        <w:tc>
          <w:tcPr>
            <w:tcW w:w="7084" w:type="dxa"/>
            <w:gridSpan w:val="2"/>
            <w:tcBorders>
              <w:bottom w:val="single" w:color="auto" w:sz="4" w:space="0"/>
            </w:tcBorders>
            <w:shd w:val="clear" w:color="auto" w:fill="auto"/>
          </w:tcPr>
          <w:p w:rsidRPr="008921C3" w:rsidR="00A92D0B" w:rsidP="00BC4C17" w:rsidRDefault="00A92D0B" w14:paraId="7E6E2068" w14:textId="5DB585A7">
            <w:pPr>
              <w:ind w:left="360" w:hanging="360"/>
            </w:pPr>
            <w:r w:rsidRPr="008921C3">
              <w:t>4</w:t>
            </w:r>
            <w:r w:rsidR="00BC4C17">
              <w:t>.</w:t>
            </w:r>
            <w:r w:rsidR="00BC4C17">
              <w:tab/>
            </w:r>
            <w:r w:rsidRPr="008921C3">
              <w:t>Was the NOI timely filed?</w:t>
            </w:r>
          </w:p>
        </w:tc>
        <w:tc>
          <w:tcPr>
            <w:tcW w:w="2276" w:type="dxa"/>
            <w:tcBorders>
              <w:bottom w:val="single" w:color="auto" w:sz="4" w:space="0"/>
            </w:tcBorders>
            <w:shd w:val="clear" w:color="auto" w:fill="auto"/>
          </w:tcPr>
          <w:p w:rsidRPr="008921C3" w:rsidR="00A92D0B" w:rsidP="005C52A0" w:rsidRDefault="0066578E" w14:paraId="61DE2845" w14:textId="0D20BA00">
            <w:pPr>
              <w:tabs>
                <w:tab w:val="left" w:pos="360"/>
              </w:tabs>
            </w:pPr>
            <w:r w:rsidRPr="008921C3">
              <w:t>Yes</w:t>
            </w:r>
          </w:p>
        </w:tc>
      </w:tr>
      <w:tr w:rsidRPr="008921C3" w:rsidR="008921C3" w:rsidTr="00D74EAD" w14:paraId="4CD7D46A"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BC4C17" w:rsidP="00D74EAD" w:rsidRDefault="00A92D0B" w14:paraId="14ABA253" w14:textId="1D45BAE3">
            <w:pPr>
              <w:keepNext/>
              <w:tabs>
                <w:tab w:val="left" w:pos="360"/>
              </w:tabs>
              <w:jc w:val="center"/>
              <w:rPr>
                <w:b/>
              </w:rPr>
            </w:pPr>
            <w:r w:rsidRPr="008921C3">
              <w:rPr>
                <w:b/>
              </w:rPr>
              <w:t xml:space="preserve">Showing of </w:t>
            </w:r>
            <w:r w:rsidRPr="008921C3" w:rsidR="00F63C29">
              <w:rPr>
                <w:b/>
              </w:rPr>
              <w:t xml:space="preserve">eligible </w:t>
            </w:r>
            <w:r w:rsidRPr="008921C3">
              <w:rPr>
                <w:b/>
              </w:rPr>
              <w:t xml:space="preserve">customer </w:t>
            </w:r>
            <w:r w:rsidRPr="008921C3" w:rsidR="00F63C29">
              <w:rPr>
                <w:b/>
              </w:rPr>
              <w:t>status (</w:t>
            </w:r>
            <w:r w:rsidR="00D538F2">
              <w:rPr>
                <w:b/>
              </w:rPr>
              <w:t>§ </w:t>
            </w:r>
            <w:r w:rsidRPr="008921C3" w:rsidR="00F63C29">
              <w:rPr>
                <w:b/>
              </w:rPr>
              <w:t>1802(b)</w:t>
            </w:r>
            <w:r w:rsidR="00BC4C17">
              <w:rPr>
                <w:b/>
              </w:rPr>
              <w:t>)</w:t>
            </w:r>
            <w:r w:rsidRPr="008921C3" w:rsidR="00F63C29">
              <w:rPr>
                <w:b/>
              </w:rPr>
              <w:t xml:space="preserve"> </w:t>
            </w:r>
          </w:p>
          <w:p w:rsidRPr="008921C3" w:rsidR="00A92D0B" w:rsidP="00D74EAD" w:rsidRDefault="00F63C29" w14:paraId="19D649BF" w14:textId="69EB47BE">
            <w:pPr>
              <w:keepNext/>
              <w:tabs>
                <w:tab w:val="left" w:pos="360"/>
              </w:tabs>
              <w:jc w:val="center"/>
              <w:rPr>
                <w:b/>
              </w:rPr>
            </w:pPr>
            <w:r w:rsidRPr="008921C3">
              <w:rPr>
                <w:b/>
              </w:rPr>
              <w:t xml:space="preserve">or eligible local government entity </w:t>
            </w:r>
            <w:r w:rsidRPr="008921C3" w:rsidR="00ED6B6B">
              <w:rPr>
                <w:b/>
              </w:rPr>
              <w:t>status</w:t>
            </w:r>
            <w:r w:rsidR="00BC4C17">
              <w:rPr>
                <w:b/>
              </w:rPr>
              <w:t xml:space="preserve"> </w:t>
            </w:r>
            <w:r w:rsidRPr="008921C3">
              <w:rPr>
                <w:b/>
              </w:rPr>
              <w:t>(</w:t>
            </w:r>
            <w:r w:rsidR="00D538F2">
              <w:rPr>
                <w:b/>
              </w:rPr>
              <w:t>§§ </w:t>
            </w:r>
            <w:r w:rsidRPr="008921C3">
              <w:rPr>
                <w:b/>
              </w:rPr>
              <w:t>1802(d), 1802.4)</w:t>
            </w:r>
            <w:r w:rsidRPr="008921C3" w:rsidR="00A92D0B">
              <w:rPr>
                <w:b/>
              </w:rPr>
              <w:t>:</w:t>
            </w:r>
          </w:p>
        </w:tc>
      </w:tr>
      <w:tr w:rsidRPr="008921C3" w:rsidR="008921C3" w:rsidTr="00C21425" w14:paraId="259EC227" w14:textId="77777777">
        <w:tc>
          <w:tcPr>
            <w:tcW w:w="4817" w:type="dxa"/>
            <w:tcBorders>
              <w:top w:val="single" w:color="auto" w:sz="4" w:space="0"/>
            </w:tcBorders>
            <w:shd w:val="clear" w:color="auto" w:fill="auto"/>
          </w:tcPr>
          <w:p w:rsidRPr="008921C3" w:rsidR="00A92D0B" w:rsidP="005C52A0" w:rsidRDefault="00A92D0B" w14:paraId="0EFCD0E9" w14:textId="17D5316F">
            <w:pPr>
              <w:ind w:left="360" w:hanging="360"/>
            </w:pPr>
            <w:r w:rsidRPr="008921C3">
              <w:t>5</w:t>
            </w:r>
            <w:r w:rsidR="00BC4C17">
              <w:t>.</w:t>
            </w:r>
            <w:r w:rsidR="00BC4C17">
              <w:tab/>
            </w:r>
            <w:r w:rsidRPr="008921C3">
              <w:t xml:space="preserve">Based on ALJ ruling issued in proceeding </w:t>
            </w:r>
            <w:r w:rsidRPr="008921C3" w:rsidR="00E3786F">
              <w:t xml:space="preserve">  </w:t>
            </w:r>
            <w:r w:rsidRPr="008921C3">
              <w:t>number:</w:t>
            </w:r>
          </w:p>
        </w:tc>
        <w:tc>
          <w:tcPr>
            <w:tcW w:w="2267" w:type="dxa"/>
            <w:tcBorders>
              <w:top w:val="single" w:color="auto" w:sz="4" w:space="0"/>
            </w:tcBorders>
            <w:shd w:val="clear" w:color="auto" w:fill="auto"/>
          </w:tcPr>
          <w:p w:rsidRPr="008921C3" w:rsidR="00A92D0B" w:rsidP="00D74EAD" w:rsidRDefault="6EFA8AF5" w14:paraId="13E72B6D" w14:textId="7456E0AF">
            <w:pPr>
              <w:tabs>
                <w:tab w:val="left" w:pos="360"/>
              </w:tabs>
            </w:pPr>
            <w:r w:rsidRPr="008921C3">
              <w:t>R.19</w:t>
            </w:r>
            <w:r w:rsidR="00E54F5A">
              <w:noBreakHyphen/>
            </w:r>
            <w:r w:rsidRPr="008921C3">
              <w:t>11</w:t>
            </w:r>
            <w:r w:rsidR="00E54F5A">
              <w:noBreakHyphen/>
            </w:r>
            <w:r w:rsidRPr="008921C3">
              <w:t>009</w:t>
            </w:r>
          </w:p>
        </w:tc>
        <w:tc>
          <w:tcPr>
            <w:tcW w:w="2276" w:type="dxa"/>
            <w:tcBorders>
              <w:top w:val="single" w:color="auto" w:sz="4" w:space="0"/>
            </w:tcBorders>
            <w:shd w:val="clear" w:color="auto" w:fill="auto"/>
          </w:tcPr>
          <w:p w:rsidRPr="008921C3" w:rsidR="00A92D0B" w:rsidP="005C52A0" w:rsidRDefault="0066578E" w14:paraId="2679B197" w14:textId="755DAAEB">
            <w:pPr>
              <w:tabs>
                <w:tab w:val="left" w:pos="360"/>
              </w:tabs>
            </w:pPr>
            <w:r w:rsidRPr="008921C3">
              <w:t>Verified</w:t>
            </w:r>
          </w:p>
        </w:tc>
      </w:tr>
      <w:tr w:rsidRPr="008921C3" w:rsidR="008921C3" w:rsidTr="00C21425" w14:paraId="4E0FB3B6" w14:textId="77777777">
        <w:tc>
          <w:tcPr>
            <w:tcW w:w="4817" w:type="dxa"/>
            <w:shd w:val="clear" w:color="auto" w:fill="auto"/>
          </w:tcPr>
          <w:p w:rsidRPr="008921C3" w:rsidR="00A92D0B" w:rsidP="00BC4C17" w:rsidRDefault="00A92D0B" w14:paraId="568B12E8" w14:textId="68D63A07">
            <w:pPr>
              <w:ind w:left="360" w:hanging="360"/>
            </w:pPr>
            <w:r w:rsidRPr="008921C3">
              <w:t>6</w:t>
            </w:r>
            <w:r w:rsidR="00BC4C17">
              <w:t>.</w:t>
            </w:r>
            <w:r w:rsidR="00BC4C17">
              <w:tab/>
            </w:r>
            <w:r w:rsidRPr="008921C3">
              <w:t>Date of ALJ ruling:</w:t>
            </w:r>
          </w:p>
        </w:tc>
        <w:tc>
          <w:tcPr>
            <w:tcW w:w="2267" w:type="dxa"/>
            <w:shd w:val="clear" w:color="auto" w:fill="auto"/>
          </w:tcPr>
          <w:p w:rsidRPr="008921C3" w:rsidR="00A92D0B" w:rsidP="00D74EAD" w:rsidRDefault="00226F6A" w14:paraId="306125B9" w14:textId="0A2E897B">
            <w:pPr>
              <w:tabs>
                <w:tab w:val="left" w:pos="360"/>
              </w:tabs>
            </w:pPr>
            <w:r w:rsidRPr="008921C3">
              <w:t xml:space="preserve">March </w:t>
            </w:r>
            <w:r w:rsidRPr="008921C3" w:rsidR="6561B134">
              <w:t>13</w:t>
            </w:r>
            <w:r w:rsidRPr="008921C3">
              <w:t xml:space="preserve">, </w:t>
            </w:r>
            <w:r w:rsidRPr="008921C3" w:rsidR="6561B134">
              <w:t>2020</w:t>
            </w:r>
          </w:p>
        </w:tc>
        <w:tc>
          <w:tcPr>
            <w:tcW w:w="2276" w:type="dxa"/>
            <w:shd w:val="clear" w:color="auto" w:fill="auto"/>
          </w:tcPr>
          <w:p w:rsidRPr="008921C3" w:rsidR="00A92D0B" w:rsidP="005C52A0" w:rsidRDefault="0066578E" w14:paraId="19F10313" w14:textId="6F30EC52">
            <w:pPr>
              <w:tabs>
                <w:tab w:val="left" w:pos="360"/>
              </w:tabs>
            </w:pPr>
            <w:r w:rsidRPr="008921C3">
              <w:t>Verified</w:t>
            </w:r>
          </w:p>
        </w:tc>
      </w:tr>
      <w:tr w:rsidRPr="008921C3" w:rsidR="008921C3" w:rsidTr="00C21425" w14:paraId="7F6C1E54" w14:textId="77777777">
        <w:tc>
          <w:tcPr>
            <w:tcW w:w="4817" w:type="dxa"/>
            <w:shd w:val="clear" w:color="auto" w:fill="auto"/>
          </w:tcPr>
          <w:p w:rsidRPr="008921C3" w:rsidR="00A92D0B" w:rsidP="00BC4C17" w:rsidRDefault="00A92D0B" w14:paraId="4B6E35B7" w14:textId="7D7CFC0D">
            <w:pPr>
              <w:ind w:left="360" w:hanging="360"/>
            </w:pPr>
            <w:r w:rsidRPr="008921C3">
              <w:t>7</w:t>
            </w:r>
            <w:r w:rsidR="00BC4C17">
              <w:t>.</w:t>
            </w:r>
            <w:r w:rsidR="00BC4C17">
              <w:tab/>
            </w:r>
            <w:r w:rsidRPr="008921C3">
              <w:t>Based on another CPUC determination (specify):</w:t>
            </w:r>
          </w:p>
        </w:tc>
        <w:tc>
          <w:tcPr>
            <w:tcW w:w="2267" w:type="dxa"/>
            <w:tcBorders>
              <w:bottom w:val="single" w:color="auto" w:sz="4" w:space="0"/>
            </w:tcBorders>
            <w:shd w:val="clear" w:color="auto" w:fill="auto"/>
          </w:tcPr>
          <w:p w:rsidR="00D74EAD" w:rsidP="00D74EAD" w:rsidRDefault="2E3883A3" w14:paraId="549DD379" w14:textId="77777777">
            <w:pPr>
              <w:tabs>
                <w:tab w:val="left" w:pos="360"/>
              </w:tabs>
            </w:pPr>
            <w:r w:rsidRPr="008921C3">
              <w:t>D.18</w:t>
            </w:r>
            <w:r w:rsidR="00E54F5A">
              <w:noBreakHyphen/>
            </w:r>
            <w:r w:rsidRPr="008921C3">
              <w:t>10</w:t>
            </w:r>
            <w:r w:rsidR="00E54F5A">
              <w:noBreakHyphen/>
            </w:r>
            <w:r w:rsidRPr="008921C3">
              <w:t>051;</w:t>
            </w:r>
          </w:p>
          <w:p w:rsidR="00D74EAD" w:rsidP="00D74EAD" w:rsidRDefault="2E3883A3" w14:paraId="71A7EF09" w14:textId="77777777">
            <w:pPr>
              <w:tabs>
                <w:tab w:val="left" w:pos="360"/>
              </w:tabs>
            </w:pPr>
            <w:r w:rsidRPr="008921C3">
              <w:t>D.19</w:t>
            </w:r>
            <w:r w:rsidR="00E54F5A">
              <w:noBreakHyphen/>
            </w:r>
            <w:r w:rsidRPr="008921C3">
              <w:t>11</w:t>
            </w:r>
            <w:r w:rsidR="00E54F5A">
              <w:noBreakHyphen/>
            </w:r>
            <w:r w:rsidRPr="008921C3">
              <w:t>012,</w:t>
            </w:r>
          </w:p>
          <w:p w:rsidR="00D74EAD" w:rsidP="00D74EAD" w:rsidRDefault="2E3883A3" w14:paraId="185D80C7" w14:textId="77777777">
            <w:pPr>
              <w:tabs>
                <w:tab w:val="left" w:pos="360"/>
              </w:tabs>
            </w:pPr>
            <w:r w:rsidRPr="008921C3">
              <w:t>D.20</w:t>
            </w:r>
            <w:r w:rsidR="00E54F5A">
              <w:noBreakHyphen/>
            </w:r>
            <w:r w:rsidRPr="008921C3">
              <w:t>02</w:t>
            </w:r>
            <w:r w:rsidR="00E54F5A">
              <w:noBreakHyphen/>
            </w:r>
            <w:r w:rsidRPr="008921C3">
              <w:t>022,</w:t>
            </w:r>
          </w:p>
          <w:p w:rsidR="00D74EAD" w:rsidP="00D74EAD" w:rsidRDefault="2E3883A3" w14:paraId="7446B116" w14:textId="77777777">
            <w:pPr>
              <w:tabs>
                <w:tab w:val="left" w:pos="360"/>
              </w:tabs>
            </w:pPr>
            <w:r w:rsidRPr="008921C3">
              <w:t>D.20</w:t>
            </w:r>
            <w:r w:rsidR="00E54F5A">
              <w:noBreakHyphen/>
            </w:r>
            <w:r w:rsidRPr="008921C3">
              <w:t>02</w:t>
            </w:r>
            <w:r w:rsidR="00E54F5A">
              <w:noBreakHyphen/>
            </w:r>
            <w:r w:rsidRPr="008921C3">
              <w:t>065</w:t>
            </w:r>
            <w:r w:rsidRPr="008921C3" w:rsidR="104BA25A">
              <w:t>,</w:t>
            </w:r>
          </w:p>
          <w:p w:rsidRPr="008921C3" w:rsidR="00E6723F" w:rsidP="00D74EAD" w:rsidRDefault="104BA25A" w14:paraId="5E0F9D32" w14:textId="5622132E">
            <w:pPr>
              <w:tabs>
                <w:tab w:val="left" w:pos="360"/>
              </w:tabs>
            </w:pPr>
            <w:r w:rsidRPr="008921C3">
              <w:t>D.</w:t>
            </w:r>
            <w:r w:rsidRPr="008921C3" w:rsidR="666C0E10">
              <w:t>21</w:t>
            </w:r>
            <w:r w:rsidR="00E54F5A">
              <w:noBreakHyphen/>
            </w:r>
            <w:r w:rsidRPr="008921C3" w:rsidR="666C0E10">
              <w:t>02</w:t>
            </w:r>
            <w:r w:rsidR="00E54F5A">
              <w:noBreakHyphen/>
            </w:r>
            <w:r w:rsidRPr="008921C3" w:rsidR="666C0E10">
              <w:t>020</w:t>
            </w:r>
          </w:p>
        </w:tc>
        <w:tc>
          <w:tcPr>
            <w:tcW w:w="2276" w:type="dxa"/>
            <w:tcBorders>
              <w:bottom w:val="single" w:color="auto" w:sz="4" w:space="0"/>
            </w:tcBorders>
            <w:shd w:val="clear" w:color="auto" w:fill="auto"/>
          </w:tcPr>
          <w:p w:rsidRPr="008921C3" w:rsidR="00A92D0B" w:rsidP="005C52A0" w:rsidRDefault="0066578E" w14:paraId="180E80B3" w14:textId="4890CA49">
            <w:pPr>
              <w:tabs>
                <w:tab w:val="left" w:pos="360"/>
              </w:tabs>
            </w:pPr>
            <w:r w:rsidRPr="008921C3">
              <w:t>Verified</w:t>
            </w:r>
          </w:p>
        </w:tc>
      </w:tr>
      <w:tr w:rsidRPr="008921C3" w:rsidR="008921C3" w:rsidTr="00C21425" w14:paraId="397CC4AD" w14:textId="77777777">
        <w:tc>
          <w:tcPr>
            <w:tcW w:w="7084" w:type="dxa"/>
            <w:gridSpan w:val="2"/>
            <w:tcBorders>
              <w:bottom w:val="single" w:color="auto" w:sz="4" w:space="0"/>
            </w:tcBorders>
            <w:shd w:val="clear" w:color="auto" w:fill="auto"/>
          </w:tcPr>
          <w:p w:rsidRPr="008921C3" w:rsidR="00A92D0B" w:rsidP="00BC4C17" w:rsidRDefault="00A92D0B" w14:paraId="71D46B68" w14:textId="3EDE72F0">
            <w:pPr>
              <w:ind w:left="360" w:hanging="360"/>
            </w:pPr>
            <w:r w:rsidRPr="008921C3">
              <w:t>8</w:t>
            </w:r>
            <w:r w:rsidR="00BC4C17">
              <w:t>.</w:t>
            </w:r>
            <w:r w:rsidR="00BC4C17">
              <w:tab/>
            </w:r>
            <w:r w:rsidRPr="008921C3">
              <w:t xml:space="preserve">Has the </w:t>
            </w:r>
            <w:r w:rsidRPr="008921C3" w:rsidR="005A63D4">
              <w:t xml:space="preserve">Intervenor </w:t>
            </w:r>
            <w:r w:rsidRPr="008921C3">
              <w:t xml:space="preserve">demonstrated customer </w:t>
            </w:r>
            <w:r w:rsidRPr="008921C3" w:rsidR="00ED6B6B">
              <w:t>status or eligible government entity status</w:t>
            </w:r>
            <w:r w:rsidRPr="008921C3">
              <w:t>?</w:t>
            </w:r>
          </w:p>
        </w:tc>
        <w:tc>
          <w:tcPr>
            <w:tcW w:w="2276" w:type="dxa"/>
            <w:tcBorders>
              <w:bottom w:val="single" w:color="auto" w:sz="4" w:space="0"/>
            </w:tcBorders>
            <w:shd w:val="clear" w:color="auto" w:fill="auto"/>
          </w:tcPr>
          <w:p w:rsidRPr="008921C3" w:rsidR="00A92D0B" w:rsidP="005C52A0" w:rsidRDefault="0066578E" w14:paraId="7D296E63" w14:textId="7F616DE0">
            <w:pPr>
              <w:tabs>
                <w:tab w:val="left" w:pos="360"/>
              </w:tabs>
            </w:pPr>
            <w:r w:rsidRPr="008921C3">
              <w:t>Yes</w:t>
            </w:r>
          </w:p>
        </w:tc>
      </w:tr>
      <w:tr w:rsidRPr="008921C3" w:rsidR="008921C3" w:rsidTr="00D74EAD" w14:paraId="33231C71"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921C3" w:rsidR="00A92D0B" w:rsidP="00D74EAD" w:rsidRDefault="00A92D0B" w14:paraId="0291EC4E" w14:textId="05F6BCCA">
            <w:pPr>
              <w:keepNext/>
              <w:tabs>
                <w:tab w:val="left" w:pos="360"/>
              </w:tabs>
              <w:jc w:val="center"/>
            </w:pPr>
            <w:r w:rsidRPr="008921C3">
              <w:rPr>
                <w:b/>
              </w:rPr>
              <w:t>Showing of “significant</w:t>
            </w:r>
            <w:r w:rsidRPr="008921C3" w:rsidR="00F63C29">
              <w:rPr>
                <w:b/>
              </w:rPr>
              <w:t xml:space="preserve"> financial hardship” (</w:t>
            </w:r>
            <w:r w:rsidR="00D538F2">
              <w:rPr>
                <w:b/>
              </w:rPr>
              <w:t>§ </w:t>
            </w:r>
            <w:r w:rsidRPr="008921C3" w:rsidR="00F63C29">
              <w:rPr>
                <w:b/>
              </w:rPr>
              <w:t>1802(</w:t>
            </w:r>
            <w:r w:rsidRPr="008921C3" w:rsidR="00175865">
              <w:rPr>
                <w:b/>
              </w:rPr>
              <w:t>h</w:t>
            </w:r>
            <w:r w:rsidRPr="008921C3" w:rsidR="00F63C29">
              <w:rPr>
                <w:b/>
              </w:rPr>
              <w:t xml:space="preserve">) or </w:t>
            </w:r>
            <w:r w:rsidR="00D538F2">
              <w:rPr>
                <w:b/>
              </w:rPr>
              <w:t>§ </w:t>
            </w:r>
            <w:r w:rsidRPr="008921C3" w:rsidR="00F63C29">
              <w:rPr>
                <w:b/>
              </w:rPr>
              <w:t>1803.1(b))</w:t>
            </w:r>
            <w:r w:rsidRPr="008921C3" w:rsidR="00C02649">
              <w:rPr>
                <w:b/>
              </w:rPr>
              <w:t>:</w:t>
            </w:r>
          </w:p>
        </w:tc>
      </w:tr>
      <w:tr w:rsidRPr="008921C3" w:rsidR="008921C3" w:rsidTr="00C21425" w14:paraId="77F91856" w14:textId="77777777">
        <w:tc>
          <w:tcPr>
            <w:tcW w:w="4817" w:type="dxa"/>
            <w:tcBorders>
              <w:top w:val="single" w:color="auto" w:sz="4" w:space="0"/>
            </w:tcBorders>
            <w:shd w:val="clear" w:color="auto" w:fill="auto"/>
          </w:tcPr>
          <w:p w:rsidRPr="008921C3" w:rsidR="00A92D0B" w:rsidP="00BC4C17" w:rsidRDefault="00A92D0B" w14:paraId="6506E60E" w14:textId="76EC3089">
            <w:pPr>
              <w:ind w:left="360" w:hanging="360"/>
            </w:pPr>
            <w:r w:rsidRPr="008921C3">
              <w:t>9</w:t>
            </w:r>
            <w:r w:rsidR="00BC4C17">
              <w:t>.</w:t>
            </w:r>
            <w:r w:rsidR="00BC4C17">
              <w:tab/>
            </w:r>
            <w:r w:rsidRPr="008921C3">
              <w:t>Based on ALJ ruling issued in proceeding number:</w:t>
            </w:r>
          </w:p>
        </w:tc>
        <w:tc>
          <w:tcPr>
            <w:tcW w:w="2267" w:type="dxa"/>
            <w:tcBorders>
              <w:top w:val="single" w:color="auto" w:sz="4" w:space="0"/>
            </w:tcBorders>
            <w:shd w:val="clear" w:color="auto" w:fill="auto"/>
          </w:tcPr>
          <w:p w:rsidRPr="008921C3" w:rsidR="00A92D0B" w:rsidP="00D74EAD" w:rsidRDefault="4E4CFD8E" w14:paraId="3F0548C2" w14:textId="071339AF">
            <w:pPr>
              <w:tabs>
                <w:tab w:val="left" w:pos="360"/>
              </w:tabs>
            </w:pPr>
            <w:r w:rsidRPr="008921C3">
              <w:t>R.19</w:t>
            </w:r>
            <w:r w:rsidR="00E54F5A">
              <w:noBreakHyphen/>
            </w:r>
            <w:r w:rsidRPr="008921C3">
              <w:t>11</w:t>
            </w:r>
            <w:r w:rsidR="00E54F5A">
              <w:noBreakHyphen/>
            </w:r>
            <w:r w:rsidRPr="008921C3">
              <w:t>009</w:t>
            </w:r>
          </w:p>
          <w:p w:rsidRPr="008921C3" w:rsidR="00A92D0B" w:rsidP="005C52A0" w:rsidRDefault="00A92D0B" w14:paraId="54B4911C" w14:textId="454D4EBA">
            <w:pPr>
              <w:tabs>
                <w:tab w:val="left" w:pos="360"/>
              </w:tabs>
              <w:ind w:hanging="360"/>
            </w:pPr>
          </w:p>
        </w:tc>
        <w:tc>
          <w:tcPr>
            <w:tcW w:w="2276" w:type="dxa"/>
            <w:tcBorders>
              <w:top w:val="single" w:color="auto" w:sz="4" w:space="0"/>
            </w:tcBorders>
            <w:shd w:val="clear" w:color="auto" w:fill="auto"/>
          </w:tcPr>
          <w:p w:rsidRPr="008921C3" w:rsidR="00A92D0B" w:rsidP="005C52A0" w:rsidRDefault="0066578E" w14:paraId="2E2FB9D6" w14:textId="7CCC438A">
            <w:pPr>
              <w:tabs>
                <w:tab w:val="left" w:pos="360"/>
              </w:tabs>
            </w:pPr>
            <w:r w:rsidRPr="008921C3">
              <w:t>Verified</w:t>
            </w:r>
          </w:p>
        </w:tc>
      </w:tr>
      <w:tr w:rsidRPr="008921C3" w:rsidR="008921C3" w:rsidTr="00C21425" w14:paraId="4AD750C1" w14:textId="77777777">
        <w:tc>
          <w:tcPr>
            <w:tcW w:w="4817" w:type="dxa"/>
            <w:shd w:val="clear" w:color="auto" w:fill="auto"/>
          </w:tcPr>
          <w:p w:rsidRPr="008921C3" w:rsidR="00A92D0B" w:rsidP="00BC4C17" w:rsidRDefault="00A92D0B" w14:paraId="2A279407" w14:textId="5AAD883D">
            <w:pPr>
              <w:ind w:left="360" w:hanging="360"/>
            </w:pPr>
            <w:r w:rsidRPr="008921C3">
              <w:t>10.</w:t>
            </w:r>
            <w:r w:rsidRPr="008921C3">
              <w:tab/>
              <w:t>Date of ALJ ruling:</w:t>
            </w:r>
          </w:p>
        </w:tc>
        <w:tc>
          <w:tcPr>
            <w:tcW w:w="2267" w:type="dxa"/>
            <w:shd w:val="clear" w:color="auto" w:fill="auto"/>
          </w:tcPr>
          <w:p w:rsidRPr="008921C3" w:rsidR="00A92D0B" w:rsidP="00D74EAD" w:rsidRDefault="00E06479" w14:paraId="4B66A2E4" w14:textId="67E62FEC">
            <w:pPr>
              <w:tabs>
                <w:tab w:val="left" w:pos="360"/>
              </w:tabs>
            </w:pPr>
            <w:r w:rsidRPr="008921C3">
              <w:t xml:space="preserve">March </w:t>
            </w:r>
            <w:r w:rsidRPr="008921C3" w:rsidR="46FDCB03">
              <w:t>13</w:t>
            </w:r>
            <w:r w:rsidRPr="008921C3">
              <w:t>,</w:t>
            </w:r>
            <w:r w:rsidRPr="008921C3" w:rsidR="46FDCB03">
              <w:t>2020</w:t>
            </w:r>
          </w:p>
        </w:tc>
        <w:tc>
          <w:tcPr>
            <w:tcW w:w="2276" w:type="dxa"/>
            <w:shd w:val="clear" w:color="auto" w:fill="auto"/>
          </w:tcPr>
          <w:p w:rsidRPr="008921C3" w:rsidR="00A92D0B" w:rsidP="005C52A0" w:rsidRDefault="0066578E" w14:paraId="3B83D035" w14:textId="3A6143CA">
            <w:pPr>
              <w:tabs>
                <w:tab w:val="left" w:pos="360"/>
              </w:tabs>
            </w:pPr>
            <w:r w:rsidRPr="008921C3">
              <w:t>Verified</w:t>
            </w:r>
          </w:p>
        </w:tc>
      </w:tr>
      <w:tr w:rsidRPr="008921C3" w:rsidR="008921C3" w:rsidTr="00C21425" w14:paraId="7C183C5E" w14:textId="77777777">
        <w:tc>
          <w:tcPr>
            <w:tcW w:w="4817" w:type="dxa"/>
            <w:shd w:val="clear" w:color="auto" w:fill="auto"/>
          </w:tcPr>
          <w:p w:rsidRPr="008921C3" w:rsidR="00357F1A" w:rsidP="00D74EAD" w:rsidRDefault="00357F1A" w14:paraId="4141CB3D" w14:textId="2EDB0F56">
            <w:pPr>
              <w:keepNext/>
              <w:ind w:left="360" w:hanging="360"/>
            </w:pPr>
            <w:r w:rsidRPr="008921C3">
              <w:t>11.</w:t>
            </w:r>
            <w:r w:rsidR="00BC4C17">
              <w:tab/>
            </w:r>
            <w:r w:rsidRPr="008921C3">
              <w:t>Based on another CPUC determination (specify):</w:t>
            </w:r>
          </w:p>
        </w:tc>
        <w:tc>
          <w:tcPr>
            <w:tcW w:w="2267" w:type="dxa"/>
            <w:shd w:val="clear" w:color="auto" w:fill="auto"/>
          </w:tcPr>
          <w:p w:rsidR="00D74EAD" w:rsidP="00D74EAD" w:rsidRDefault="07656F9A" w14:paraId="651454BE" w14:textId="77777777">
            <w:pPr>
              <w:keepNext/>
              <w:tabs>
                <w:tab w:val="left" w:pos="360"/>
              </w:tabs>
            </w:pPr>
            <w:r w:rsidRPr="008921C3">
              <w:t>D.18</w:t>
            </w:r>
            <w:r w:rsidR="00E54F5A">
              <w:noBreakHyphen/>
            </w:r>
            <w:r w:rsidRPr="008921C3">
              <w:t>10</w:t>
            </w:r>
            <w:r w:rsidR="00E54F5A">
              <w:noBreakHyphen/>
            </w:r>
            <w:r w:rsidRPr="008921C3">
              <w:t>051;</w:t>
            </w:r>
          </w:p>
          <w:p w:rsidR="00D74EAD" w:rsidP="00D74EAD" w:rsidRDefault="07656F9A" w14:paraId="277EC0A3" w14:textId="77777777">
            <w:pPr>
              <w:keepNext/>
              <w:tabs>
                <w:tab w:val="left" w:pos="360"/>
              </w:tabs>
            </w:pPr>
            <w:r w:rsidRPr="008921C3">
              <w:t>D.19</w:t>
            </w:r>
            <w:r w:rsidR="00E54F5A">
              <w:noBreakHyphen/>
            </w:r>
            <w:r w:rsidRPr="008921C3">
              <w:t>11</w:t>
            </w:r>
            <w:r w:rsidR="00E54F5A">
              <w:noBreakHyphen/>
            </w:r>
            <w:r w:rsidRPr="008921C3">
              <w:t>012,</w:t>
            </w:r>
          </w:p>
          <w:p w:rsidR="00D74EAD" w:rsidP="00D74EAD" w:rsidRDefault="07656F9A" w14:paraId="55F85ACD" w14:textId="77777777">
            <w:pPr>
              <w:keepNext/>
              <w:tabs>
                <w:tab w:val="left" w:pos="360"/>
              </w:tabs>
            </w:pPr>
            <w:r w:rsidRPr="008921C3">
              <w:t>D.20</w:t>
            </w:r>
            <w:r w:rsidR="00E54F5A">
              <w:noBreakHyphen/>
            </w:r>
            <w:r w:rsidRPr="008921C3">
              <w:t>02</w:t>
            </w:r>
            <w:r w:rsidR="00E54F5A">
              <w:noBreakHyphen/>
            </w:r>
            <w:r w:rsidRPr="008921C3">
              <w:t>022,</w:t>
            </w:r>
          </w:p>
          <w:p w:rsidR="00D74EAD" w:rsidP="00D74EAD" w:rsidRDefault="07656F9A" w14:paraId="730F16F7" w14:textId="77777777">
            <w:pPr>
              <w:keepNext/>
              <w:tabs>
                <w:tab w:val="left" w:pos="360"/>
              </w:tabs>
            </w:pPr>
            <w:r w:rsidRPr="008921C3">
              <w:t>D.20</w:t>
            </w:r>
            <w:r w:rsidR="00E54F5A">
              <w:noBreakHyphen/>
            </w:r>
            <w:r w:rsidRPr="008921C3">
              <w:t>02</w:t>
            </w:r>
            <w:r w:rsidR="00E54F5A">
              <w:noBreakHyphen/>
            </w:r>
            <w:r w:rsidRPr="008921C3">
              <w:t>065</w:t>
            </w:r>
            <w:r w:rsidRPr="008921C3" w:rsidR="00E06479">
              <w:t xml:space="preserve">, </w:t>
            </w:r>
          </w:p>
          <w:p w:rsidRPr="008921C3" w:rsidR="00357F1A" w:rsidP="00D74EAD" w:rsidRDefault="00E06479" w14:paraId="141EB5CF" w14:textId="33C04B22">
            <w:pPr>
              <w:keepNext/>
              <w:tabs>
                <w:tab w:val="left" w:pos="360"/>
              </w:tabs>
            </w:pPr>
            <w:r w:rsidRPr="008921C3">
              <w:t>D.21</w:t>
            </w:r>
            <w:r w:rsidR="00E54F5A">
              <w:noBreakHyphen/>
            </w:r>
            <w:r w:rsidRPr="008921C3">
              <w:t>02</w:t>
            </w:r>
            <w:r w:rsidR="00E54F5A">
              <w:noBreakHyphen/>
            </w:r>
            <w:r w:rsidRPr="008921C3" w:rsidR="005139EE">
              <w:t>020</w:t>
            </w:r>
          </w:p>
        </w:tc>
        <w:tc>
          <w:tcPr>
            <w:tcW w:w="2276" w:type="dxa"/>
            <w:shd w:val="clear" w:color="auto" w:fill="auto"/>
          </w:tcPr>
          <w:p w:rsidRPr="008921C3" w:rsidR="00357F1A" w:rsidP="00D74EAD" w:rsidRDefault="0066578E" w14:paraId="79318715" w14:textId="4DB494F4">
            <w:pPr>
              <w:keepNext/>
              <w:tabs>
                <w:tab w:val="left" w:pos="360"/>
              </w:tabs>
            </w:pPr>
            <w:r w:rsidRPr="008921C3">
              <w:t>Verified</w:t>
            </w:r>
          </w:p>
        </w:tc>
      </w:tr>
      <w:tr w:rsidRPr="008921C3" w:rsidR="008921C3" w:rsidTr="00C21425" w14:paraId="4E8D20BF" w14:textId="77777777">
        <w:tc>
          <w:tcPr>
            <w:tcW w:w="7084" w:type="dxa"/>
            <w:gridSpan w:val="2"/>
            <w:tcBorders>
              <w:bottom w:val="single" w:color="auto" w:sz="4" w:space="0"/>
            </w:tcBorders>
            <w:shd w:val="clear" w:color="auto" w:fill="auto"/>
          </w:tcPr>
          <w:p w:rsidRPr="008921C3" w:rsidR="00A92D0B" w:rsidP="00BC4C17" w:rsidRDefault="00A92D0B" w14:paraId="48D0D936" w14:textId="6AD6FC5D">
            <w:pPr>
              <w:ind w:left="360" w:hanging="360"/>
            </w:pPr>
            <w:r w:rsidRPr="008921C3">
              <w:t>12</w:t>
            </w:r>
            <w:r w:rsidR="00BC4C17">
              <w:t>.</w:t>
            </w:r>
            <w:r w:rsidR="00BC4C17">
              <w:tab/>
            </w:r>
            <w:r w:rsidRPr="008921C3">
              <w:t>Has the</w:t>
            </w:r>
            <w:r w:rsidRPr="008921C3" w:rsidR="00A319DE">
              <w:t xml:space="preserve"> </w:t>
            </w:r>
            <w:r w:rsidRPr="008921C3" w:rsidR="005A63D4">
              <w:t>Intervenor</w:t>
            </w:r>
            <w:r w:rsidRPr="008921C3">
              <w:t xml:space="preserve"> demonstrated significant financial hardship?</w:t>
            </w:r>
          </w:p>
        </w:tc>
        <w:tc>
          <w:tcPr>
            <w:tcW w:w="2276" w:type="dxa"/>
            <w:tcBorders>
              <w:bottom w:val="single" w:color="auto" w:sz="4" w:space="0"/>
            </w:tcBorders>
            <w:shd w:val="clear" w:color="auto" w:fill="auto"/>
          </w:tcPr>
          <w:p w:rsidRPr="008921C3" w:rsidR="00A92D0B" w:rsidP="005C52A0" w:rsidRDefault="0066578E" w14:paraId="0F29B839" w14:textId="244DE17A">
            <w:pPr>
              <w:tabs>
                <w:tab w:val="left" w:pos="360"/>
              </w:tabs>
            </w:pPr>
            <w:r w:rsidRPr="008921C3">
              <w:t>Yes</w:t>
            </w:r>
          </w:p>
        </w:tc>
      </w:tr>
      <w:tr w:rsidRPr="008921C3" w:rsidR="008921C3" w:rsidTr="00D74EAD" w14:paraId="60D4FD5C"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921C3" w:rsidR="00A92D0B" w:rsidP="00D74EAD" w:rsidRDefault="00A92D0B" w14:paraId="172E2884" w14:textId="010A0588">
            <w:pPr>
              <w:keepNext/>
              <w:tabs>
                <w:tab w:val="left" w:pos="360"/>
              </w:tabs>
              <w:jc w:val="center"/>
            </w:pPr>
            <w:r w:rsidRPr="008921C3">
              <w:rPr>
                <w:b/>
              </w:rPr>
              <w:t>Timely request for compensation (</w:t>
            </w:r>
            <w:r w:rsidR="00D538F2">
              <w:rPr>
                <w:b/>
              </w:rPr>
              <w:t>§ </w:t>
            </w:r>
            <w:r w:rsidRPr="008921C3">
              <w:rPr>
                <w:b/>
              </w:rPr>
              <w:t>1804(c)):</w:t>
            </w:r>
          </w:p>
        </w:tc>
      </w:tr>
      <w:tr w:rsidRPr="008921C3" w:rsidR="008921C3" w:rsidTr="00C21425" w14:paraId="3E7938B0" w14:textId="77777777">
        <w:tc>
          <w:tcPr>
            <w:tcW w:w="4817" w:type="dxa"/>
            <w:tcBorders>
              <w:top w:val="single" w:color="auto" w:sz="4" w:space="0"/>
            </w:tcBorders>
            <w:shd w:val="clear" w:color="auto" w:fill="auto"/>
          </w:tcPr>
          <w:p w:rsidRPr="008921C3" w:rsidR="00A92D0B" w:rsidP="00BC4C17" w:rsidRDefault="00A92D0B" w14:paraId="66088F1B" w14:textId="53179363">
            <w:pPr>
              <w:ind w:left="360" w:hanging="360"/>
            </w:pPr>
            <w:r w:rsidRPr="008921C3">
              <w:t>13</w:t>
            </w:r>
            <w:r w:rsidR="00BC4C17">
              <w:t>.</w:t>
            </w:r>
            <w:r w:rsidR="00BC4C17">
              <w:tab/>
            </w:r>
            <w:r w:rsidRPr="008921C3">
              <w:t>Identify Final Decision:</w:t>
            </w:r>
          </w:p>
        </w:tc>
        <w:tc>
          <w:tcPr>
            <w:tcW w:w="2267" w:type="dxa"/>
            <w:tcBorders>
              <w:top w:val="single" w:color="auto" w:sz="4" w:space="0"/>
            </w:tcBorders>
            <w:shd w:val="clear" w:color="auto" w:fill="auto"/>
          </w:tcPr>
          <w:p w:rsidRPr="008921C3" w:rsidR="00A92D0B" w:rsidP="005C52A0" w:rsidRDefault="41DCF240" w14:paraId="7166F318" w14:textId="79644C9B">
            <w:pPr>
              <w:tabs>
                <w:tab w:val="left" w:pos="360"/>
              </w:tabs>
            </w:pPr>
            <w:r w:rsidRPr="008921C3">
              <w:t>D.20</w:t>
            </w:r>
            <w:r w:rsidR="00E54F5A">
              <w:noBreakHyphen/>
            </w:r>
            <w:r w:rsidRPr="008921C3">
              <w:t>06</w:t>
            </w:r>
            <w:r w:rsidR="00E54F5A">
              <w:noBreakHyphen/>
            </w:r>
            <w:r w:rsidRPr="008921C3">
              <w:t>017;</w:t>
            </w:r>
            <w:r w:rsidRPr="008921C3" w:rsidR="00A92D0B">
              <w:br/>
            </w:r>
            <w:r w:rsidRPr="008921C3">
              <w:t>D.21</w:t>
            </w:r>
            <w:r w:rsidR="00E54F5A">
              <w:noBreakHyphen/>
            </w:r>
            <w:r w:rsidRPr="008921C3">
              <w:t>01</w:t>
            </w:r>
            <w:r w:rsidR="00E54F5A">
              <w:noBreakHyphen/>
            </w:r>
            <w:r w:rsidRPr="008921C3">
              <w:t>018</w:t>
            </w:r>
          </w:p>
        </w:tc>
        <w:tc>
          <w:tcPr>
            <w:tcW w:w="2276" w:type="dxa"/>
            <w:tcBorders>
              <w:top w:val="single" w:color="auto" w:sz="4" w:space="0"/>
            </w:tcBorders>
            <w:shd w:val="clear" w:color="auto" w:fill="auto"/>
          </w:tcPr>
          <w:p w:rsidRPr="008921C3" w:rsidR="00A92D0B" w:rsidP="005C52A0" w:rsidRDefault="0066578E" w14:paraId="1588DC54" w14:textId="1EEAD2B1">
            <w:pPr>
              <w:tabs>
                <w:tab w:val="left" w:pos="360"/>
              </w:tabs>
            </w:pPr>
            <w:r w:rsidRPr="008921C3">
              <w:t>Verified</w:t>
            </w:r>
          </w:p>
        </w:tc>
      </w:tr>
      <w:tr w:rsidRPr="008921C3" w:rsidR="008921C3" w:rsidTr="00C21425" w14:paraId="6360DE59" w14:textId="77777777">
        <w:tc>
          <w:tcPr>
            <w:tcW w:w="4817" w:type="dxa"/>
            <w:shd w:val="clear" w:color="auto" w:fill="auto"/>
          </w:tcPr>
          <w:p w:rsidRPr="008921C3" w:rsidR="00A92D0B" w:rsidP="00BC4C17" w:rsidRDefault="00A92D0B" w14:paraId="4B809E4A" w14:textId="485D939D">
            <w:pPr>
              <w:ind w:left="360" w:hanging="360"/>
            </w:pPr>
            <w:r w:rsidRPr="008921C3">
              <w:lastRenderedPageBreak/>
              <w:t>14</w:t>
            </w:r>
            <w:r w:rsidR="00BC4C17">
              <w:t>.</w:t>
            </w:r>
            <w:r w:rsidR="00BC4C17">
              <w:tab/>
            </w:r>
            <w:r w:rsidRPr="008921C3">
              <w:t xml:space="preserve">Date of </w:t>
            </w:r>
            <w:r w:rsidRPr="008921C3" w:rsidR="00A319DE">
              <w:t>i</w:t>
            </w:r>
            <w:r w:rsidRPr="008921C3">
              <w:t xml:space="preserve">ssuance of Final Order or Decision:  </w:t>
            </w:r>
          </w:p>
        </w:tc>
        <w:tc>
          <w:tcPr>
            <w:tcW w:w="2267" w:type="dxa"/>
            <w:shd w:val="clear" w:color="auto" w:fill="auto"/>
          </w:tcPr>
          <w:p w:rsidR="00D74EAD" w:rsidP="005C52A0" w:rsidRDefault="3A401E59" w14:paraId="355D0F8F" w14:textId="77777777">
            <w:pPr>
              <w:tabs>
                <w:tab w:val="left" w:pos="360"/>
              </w:tabs>
            </w:pPr>
            <w:r w:rsidRPr="008921C3">
              <w:t xml:space="preserve">June 17, 2020; </w:t>
            </w:r>
          </w:p>
          <w:p w:rsidRPr="008921C3" w:rsidR="00A92D0B" w:rsidP="005C52A0" w:rsidRDefault="3A401E59" w14:paraId="20455B5F" w14:textId="36FA24A8">
            <w:pPr>
              <w:tabs>
                <w:tab w:val="left" w:pos="360"/>
              </w:tabs>
            </w:pPr>
            <w:r w:rsidRPr="008921C3">
              <w:t>January 21, 2021</w:t>
            </w:r>
          </w:p>
        </w:tc>
        <w:tc>
          <w:tcPr>
            <w:tcW w:w="2276" w:type="dxa"/>
            <w:shd w:val="clear" w:color="auto" w:fill="auto"/>
          </w:tcPr>
          <w:p w:rsidRPr="008921C3" w:rsidR="00A92D0B" w:rsidP="005C52A0" w:rsidRDefault="0066578E" w14:paraId="1FCF00DD" w14:textId="13B38DBD">
            <w:pPr>
              <w:tabs>
                <w:tab w:val="left" w:pos="360"/>
              </w:tabs>
            </w:pPr>
            <w:r w:rsidRPr="008921C3">
              <w:t>Verified</w:t>
            </w:r>
          </w:p>
        </w:tc>
      </w:tr>
      <w:tr w:rsidRPr="008921C3" w:rsidR="008921C3" w:rsidTr="00C21425" w14:paraId="723259E3" w14:textId="77777777">
        <w:tc>
          <w:tcPr>
            <w:tcW w:w="4817" w:type="dxa"/>
            <w:shd w:val="clear" w:color="auto" w:fill="auto"/>
          </w:tcPr>
          <w:p w:rsidRPr="008921C3" w:rsidR="00A92D0B" w:rsidP="00D74EAD" w:rsidRDefault="00A92D0B" w14:paraId="163EE1CA" w14:textId="253BE418">
            <w:pPr>
              <w:keepNext/>
              <w:ind w:left="360" w:hanging="360"/>
            </w:pPr>
            <w:r w:rsidRPr="008921C3">
              <w:t>15</w:t>
            </w:r>
            <w:r w:rsidR="00BC4C17">
              <w:t>.</w:t>
            </w:r>
            <w:r w:rsidR="00BC4C17">
              <w:tab/>
            </w:r>
            <w:r w:rsidRPr="008921C3">
              <w:t>File date of compensation request:</w:t>
            </w:r>
          </w:p>
        </w:tc>
        <w:tc>
          <w:tcPr>
            <w:tcW w:w="2267" w:type="dxa"/>
            <w:shd w:val="clear" w:color="auto" w:fill="auto"/>
          </w:tcPr>
          <w:p w:rsidRPr="008921C3" w:rsidR="00A92D0B" w:rsidP="00D74EAD" w:rsidRDefault="2E445741" w14:paraId="0568B39D" w14:textId="1FA3CE9D">
            <w:pPr>
              <w:keepNext/>
              <w:tabs>
                <w:tab w:val="left" w:pos="360"/>
              </w:tabs>
            </w:pPr>
            <w:r w:rsidRPr="008921C3">
              <w:t xml:space="preserve">March </w:t>
            </w:r>
            <w:r w:rsidRPr="008921C3" w:rsidR="005D00DE">
              <w:t>22</w:t>
            </w:r>
            <w:r w:rsidRPr="008921C3">
              <w:t>, 2021</w:t>
            </w:r>
          </w:p>
        </w:tc>
        <w:tc>
          <w:tcPr>
            <w:tcW w:w="2276" w:type="dxa"/>
            <w:shd w:val="clear" w:color="auto" w:fill="auto"/>
          </w:tcPr>
          <w:p w:rsidRPr="008921C3" w:rsidR="00A92D0B" w:rsidP="00D74EAD" w:rsidRDefault="0066578E" w14:paraId="1CBF4E7A" w14:textId="4DA0A3F8">
            <w:pPr>
              <w:keepNext/>
              <w:tabs>
                <w:tab w:val="left" w:pos="360"/>
              </w:tabs>
            </w:pPr>
            <w:r w:rsidRPr="008921C3">
              <w:t>Verified</w:t>
            </w:r>
          </w:p>
        </w:tc>
      </w:tr>
      <w:tr w:rsidRPr="008921C3" w:rsidR="008921C3" w:rsidTr="00C21425" w14:paraId="406BCA3A" w14:textId="77777777">
        <w:tc>
          <w:tcPr>
            <w:tcW w:w="7084" w:type="dxa"/>
            <w:gridSpan w:val="2"/>
            <w:shd w:val="clear" w:color="auto" w:fill="auto"/>
          </w:tcPr>
          <w:p w:rsidRPr="008921C3" w:rsidR="00A92D0B" w:rsidP="00BC4C17" w:rsidRDefault="00A92D0B" w14:paraId="10AF42D1" w14:textId="2FE0FDC0">
            <w:pPr>
              <w:ind w:left="360" w:hanging="360"/>
            </w:pPr>
            <w:r w:rsidRPr="008921C3">
              <w:t>16.</w:t>
            </w:r>
            <w:r w:rsidR="00BC4C17">
              <w:tab/>
            </w:r>
            <w:r w:rsidRPr="008921C3">
              <w:t>Was the request for compensation timely?</w:t>
            </w:r>
          </w:p>
        </w:tc>
        <w:tc>
          <w:tcPr>
            <w:tcW w:w="2276" w:type="dxa"/>
            <w:shd w:val="clear" w:color="auto" w:fill="auto"/>
          </w:tcPr>
          <w:p w:rsidRPr="008921C3" w:rsidR="00A92D0B" w:rsidP="005C52A0" w:rsidRDefault="0066578E" w14:paraId="2EA30E63" w14:textId="215BBC30">
            <w:pPr>
              <w:tabs>
                <w:tab w:val="left" w:pos="360"/>
              </w:tabs>
            </w:pPr>
            <w:r w:rsidRPr="008921C3">
              <w:t>Yes</w:t>
            </w:r>
          </w:p>
        </w:tc>
      </w:tr>
    </w:tbl>
    <w:p w:rsidRPr="008921C3" w:rsidR="00A92D0B" w:rsidP="00344602" w:rsidRDefault="00A92D0B" w14:paraId="0068592B" w14:textId="67FFF948">
      <w:pPr>
        <w:keepNext/>
        <w:numPr>
          <w:ilvl w:val="0"/>
          <w:numId w:val="5"/>
        </w:numPr>
        <w:spacing w:before="240" w:after="240"/>
        <w:rPr>
          <w:b/>
        </w:rPr>
      </w:pPr>
      <w:r w:rsidRPr="008921C3">
        <w:rPr>
          <w:b/>
        </w:rPr>
        <w:t>Additional Comments on Part I</w:t>
      </w:r>
      <w:r w:rsidRPr="008921C3" w:rsidR="00C02649">
        <w:rPr>
          <w:b/>
        </w:rPr>
        <w:t>:</w:t>
      </w:r>
      <w:r w:rsidRPr="008921C3">
        <w:rPr>
          <w:b/>
        </w:rPr>
        <w:t xml:space="preserve">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625"/>
        <w:gridCol w:w="6689"/>
        <w:gridCol w:w="2046"/>
      </w:tblGrid>
      <w:tr w:rsidRPr="008921C3" w:rsidR="008921C3" w:rsidTr="00B31E69" w14:paraId="046F77BA" w14:textId="77777777">
        <w:trPr>
          <w:tblHeader/>
        </w:trPr>
        <w:tc>
          <w:tcPr>
            <w:tcW w:w="625" w:type="dxa"/>
            <w:tcBorders>
              <w:bottom w:val="single" w:color="auto" w:sz="4" w:space="0"/>
            </w:tcBorders>
            <w:shd w:val="clear" w:color="auto" w:fill="D9D9D9" w:themeFill="background1" w:themeFillShade="D9"/>
            <w:vAlign w:val="bottom"/>
          </w:tcPr>
          <w:p w:rsidRPr="008921C3" w:rsidR="003C608A" w:rsidP="005C52A0" w:rsidRDefault="003C608A" w14:paraId="0CB867A6" w14:textId="77777777">
            <w:pPr>
              <w:tabs>
                <w:tab w:val="left" w:pos="360"/>
              </w:tabs>
              <w:jc w:val="center"/>
              <w:rPr>
                <w:b/>
              </w:rPr>
            </w:pPr>
            <w:r w:rsidRPr="008921C3">
              <w:rPr>
                <w:b/>
              </w:rPr>
              <w:t>#</w:t>
            </w:r>
          </w:p>
        </w:tc>
        <w:tc>
          <w:tcPr>
            <w:tcW w:w="6689" w:type="dxa"/>
            <w:tcBorders>
              <w:bottom w:val="single" w:color="auto" w:sz="4" w:space="0"/>
            </w:tcBorders>
            <w:shd w:val="clear" w:color="auto" w:fill="D9D9D9" w:themeFill="background1" w:themeFillShade="D9"/>
            <w:vAlign w:val="bottom"/>
          </w:tcPr>
          <w:p w:rsidRPr="008921C3" w:rsidR="003C608A" w:rsidP="005C52A0" w:rsidRDefault="003C608A" w14:paraId="196D09DF" w14:textId="77777777">
            <w:pPr>
              <w:tabs>
                <w:tab w:val="left" w:pos="360"/>
              </w:tabs>
              <w:jc w:val="center"/>
              <w:rPr>
                <w:b/>
              </w:rPr>
            </w:pPr>
            <w:r w:rsidRPr="008921C3">
              <w:rPr>
                <w:b/>
              </w:rPr>
              <w:t>Intervenor’s Comment(s)</w:t>
            </w:r>
          </w:p>
        </w:tc>
        <w:tc>
          <w:tcPr>
            <w:tcW w:w="2046" w:type="dxa"/>
            <w:shd w:val="clear" w:color="auto" w:fill="D9D9D9" w:themeFill="background1" w:themeFillShade="D9"/>
            <w:vAlign w:val="bottom"/>
          </w:tcPr>
          <w:p w:rsidRPr="008921C3" w:rsidR="003C608A" w:rsidP="005C52A0" w:rsidRDefault="003C608A" w14:paraId="07207D31" w14:textId="77777777">
            <w:pPr>
              <w:tabs>
                <w:tab w:val="left" w:pos="360"/>
              </w:tabs>
              <w:jc w:val="center"/>
              <w:rPr>
                <w:b/>
              </w:rPr>
            </w:pPr>
            <w:r w:rsidRPr="008921C3">
              <w:rPr>
                <w:b/>
              </w:rPr>
              <w:t>CPUC Discussion</w:t>
            </w:r>
          </w:p>
        </w:tc>
      </w:tr>
      <w:tr w:rsidRPr="008921C3" w:rsidR="008921C3" w:rsidTr="00B31E69" w14:paraId="1C6180A4" w14:textId="77777777">
        <w:trPr>
          <w:trHeight w:val="67"/>
        </w:trPr>
        <w:tc>
          <w:tcPr>
            <w:tcW w:w="625" w:type="dxa"/>
            <w:shd w:val="clear" w:color="auto" w:fill="auto"/>
          </w:tcPr>
          <w:p w:rsidRPr="008921C3" w:rsidR="003C608A" w:rsidP="00C01806" w:rsidRDefault="6AA06226" w14:paraId="4350D384" w14:textId="6D084D32">
            <w:pPr>
              <w:tabs>
                <w:tab w:val="left" w:pos="360"/>
              </w:tabs>
              <w:jc w:val="center"/>
            </w:pPr>
            <w:r w:rsidRPr="008921C3">
              <w:t>1</w:t>
            </w:r>
          </w:p>
        </w:tc>
        <w:tc>
          <w:tcPr>
            <w:tcW w:w="6689" w:type="dxa"/>
            <w:shd w:val="clear" w:color="auto" w:fill="auto"/>
          </w:tcPr>
          <w:p w:rsidRPr="008921C3" w:rsidR="003C608A" w:rsidP="00C01806" w:rsidRDefault="6AA06226" w14:paraId="41D18EC5" w14:textId="69847CF5">
            <w:pPr>
              <w:spacing w:after="240"/>
            </w:pPr>
            <w:r w:rsidRPr="008921C3">
              <w:t>The California Environmental Justice Alliance (CEJA) is an alliance of nonprofit, public interest, and grassroots environmental justice organizations working to achieve environmental justice for low</w:t>
            </w:r>
            <w:r w:rsidR="00E54F5A">
              <w:noBreakHyphen/>
            </w:r>
            <w:r w:rsidRPr="008921C3">
              <w:t xml:space="preserve">income communities and communities of color throughout the state of California. CEJA is an unincorporated organization that is fiscally sponsored by the Environmental Health Coalition.  </w:t>
            </w:r>
          </w:p>
          <w:p w:rsidRPr="008921C3" w:rsidR="003C608A" w:rsidP="00C01806" w:rsidRDefault="6AA06226" w14:paraId="0ECF4A98" w14:textId="5C7037C4">
            <w:pPr>
              <w:spacing w:after="240"/>
            </w:pPr>
            <w:r w:rsidRPr="008921C3">
              <w:t>CEJA’s organizations represent utility customers throughout California that are concerned about their health and the environment. In particular, CEJA is advocating for policies at the federal, state, regional and local levels that protect public health and the environment. CEJA is also working to ensure that California enacts statewide climate change policies that protect low</w:t>
            </w:r>
            <w:r w:rsidR="00E54F5A">
              <w:noBreakHyphen/>
            </w:r>
            <w:r w:rsidRPr="008921C3">
              <w:t>income communities and communities of color.</w:t>
            </w:r>
          </w:p>
        </w:tc>
        <w:tc>
          <w:tcPr>
            <w:tcW w:w="2046" w:type="dxa"/>
            <w:shd w:val="clear" w:color="auto" w:fill="auto"/>
          </w:tcPr>
          <w:p w:rsidRPr="008921C3" w:rsidR="003C608A" w:rsidP="00C01806" w:rsidRDefault="0066578E" w14:paraId="416D6250" w14:textId="0560F16B">
            <w:pPr>
              <w:spacing w:after="240"/>
              <w:jc w:val="center"/>
            </w:pPr>
            <w:r w:rsidRPr="008921C3">
              <w:t>Noted</w:t>
            </w:r>
          </w:p>
        </w:tc>
      </w:tr>
    </w:tbl>
    <w:p w:rsidRPr="008921C3" w:rsidR="003B6A1B" w:rsidP="00F07E25" w:rsidRDefault="00A92D0B" w14:paraId="501B5F3D" w14:textId="77777777">
      <w:pPr>
        <w:keepNext/>
        <w:spacing w:before="480" w:after="240"/>
        <w:jc w:val="center"/>
        <w:rPr>
          <w:b/>
        </w:rPr>
      </w:pPr>
      <w:r w:rsidRPr="008921C3">
        <w:rPr>
          <w:b/>
        </w:rPr>
        <w:t>PART II:  SUBSTANTIAL CONTRIBUTION</w:t>
      </w:r>
    </w:p>
    <w:p w:rsidRPr="008921C3" w:rsidR="00A92D0B" w:rsidP="00344602" w:rsidRDefault="00D075B1" w14:paraId="337CC332" w14:textId="6F73531B">
      <w:pPr>
        <w:keepNext/>
        <w:numPr>
          <w:ilvl w:val="0"/>
          <w:numId w:val="8"/>
        </w:numPr>
        <w:spacing w:before="240" w:after="240"/>
        <w:rPr>
          <w:b/>
          <w:bCs/>
        </w:rPr>
      </w:pPr>
      <w:r w:rsidRPr="008921C3">
        <w:rPr>
          <w:b/>
          <w:bCs/>
        </w:rPr>
        <w:t xml:space="preserve">Did </w:t>
      </w:r>
      <w:r w:rsidRPr="00344602">
        <w:rPr>
          <w:b/>
        </w:rPr>
        <w:t>the</w:t>
      </w:r>
      <w:r w:rsidRPr="008921C3">
        <w:rPr>
          <w:b/>
          <w:bCs/>
        </w:rPr>
        <w:t xml:space="preserve"> </w:t>
      </w:r>
      <w:r w:rsidRPr="008921C3" w:rsidR="005A63D4">
        <w:rPr>
          <w:b/>
          <w:bCs/>
        </w:rPr>
        <w:t>Intervenor</w:t>
      </w:r>
      <w:r w:rsidRPr="008921C3">
        <w:rPr>
          <w:b/>
          <w:bCs/>
        </w:rPr>
        <w:t xml:space="preserve"> substantially contribute to the final decision</w:t>
      </w:r>
      <w:r w:rsidRPr="008921C3" w:rsidR="00A92D0B">
        <w:rPr>
          <w:b/>
          <w:bCs/>
        </w:rPr>
        <w:t xml:space="preserve"> (</w:t>
      </w:r>
      <w:r w:rsidRPr="008921C3" w:rsidR="00A92D0B">
        <w:rPr>
          <w:b/>
          <w:bCs/>
          <w:i/>
          <w:iCs/>
        </w:rPr>
        <w:t>see</w:t>
      </w:r>
      <w:r w:rsidRPr="008921C3" w:rsidR="00A92D0B">
        <w:rPr>
          <w:b/>
          <w:bCs/>
        </w:rPr>
        <w:t xml:space="preserve"> </w:t>
      </w:r>
      <w:r w:rsidR="00D538F2">
        <w:rPr>
          <w:b/>
          <w:bCs/>
        </w:rPr>
        <w:t>§ </w:t>
      </w:r>
      <w:r w:rsidRPr="008921C3" w:rsidR="00A92D0B">
        <w:rPr>
          <w:b/>
          <w:bCs/>
        </w:rPr>
        <w:t>1802(</w:t>
      </w:r>
      <w:r w:rsidRPr="008921C3" w:rsidR="00ED6B6B">
        <w:rPr>
          <w:b/>
          <w:bCs/>
        </w:rPr>
        <w:t>j</w:t>
      </w:r>
      <w:r w:rsidRPr="008921C3" w:rsidR="00A92D0B">
        <w:rPr>
          <w:b/>
          <w:bCs/>
        </w:rPr>
        <w:t xml:space="preserve">), </w:t>
      </w:r>
      <w:r w:rsidRPr="008921C3">
        <w:br/>
      </w:r>
      <w:r w:rsidR="00D538F2">
        <w:rPr>
          <w:b/>
          <w:bCs/>
        </w:rPr>
        <w:t>§ </w:t>
      </w:r>
      <w:r w:rsidRPr="008921C3" w:rsidR="00A92D0B">
        <w:rPr>
          <w:b/>
          <w:bCs/>
        </w:rPr>
        <w:t>1803(a)</w:t>
      </w:r>
      <w:r w:rsidRPr="008921C3" w:rsidR="00F30DA8">
        <w:rPr>
          <w:b/>
          <w:bCs/>
        </w:rPr>
        <w:t>,</w:t>
      </w:r>
      <w:r w:rsidRPr="008921C3" w:rsidR="00A92D0B">
        <w:rPr>
          <w:b/>
          <w:bCs/>
        </w:rPr>
        <w:t xml:space="preserve"> </w:t>
      </w:r>
      <w:r w:rsidRPr="008921C3" w:rsidR="00ED6B6B">
        <w:rPr>
          <w:b/>
          <w:bCs/>
        </w:rPr>
        <w:t xml:space="preserve">1803.1(a) </w:t>
      </w:r>
      <w:r w:rsidRPr="008921C3" w:rsidR="00F30DA8">
        <w:rPr>
          <w:b/>
          <w:bCs/>
        </w:rPr>
        <w:t>and</w:t>
      </w:r>
      <w:r w:rsidRPr="008921C3" w:rsidR="00A92D0B">
        <w:rPr>
          <w:b/>
          <w:bCs/>
        </w:rPr>
        <w:t xml:space="preserve"> D.98</w:t>
      </w:r>
      <w:r w:rsidR="00E54F5A">
        <w:rPr>
          <w:b/>
          <w:bCs/>
        </w:rPr>
        <w:noBreakHyphen/>
      </w:r>
      <w:r w:rsidRPr="008921C3" w:rsidR="00A92D0B">
        <w:rPr>
          <w:b/>
          <w:bCs/>
        </w:rPr>
        <w:t>04</w:t>
      </w:r>
      <w:r w:rsidR="00E54F5A">
        <w:rPr>
          <w:b/>
          <w:bCs/>
        </w:rPr>
        <w:noBreakHyphen/>
      </w:r>
      <w:r w:rsidRPr="008921C3" w:rsidR="00A92D0B">
        <w:rPr>
          <w:b/>
          <w:bCs/>
        </w:rPr>
        <w:t>059)</w:t>
      </w:r>
      <w:r w:rsidRPr="008921C3" w:rsidR="00C02649">
        <w:rPr>
          <w:b/>
          <w:bCs/>
        </w:rPr>
        <w:t>:</w:t>
      </w:r>
      <w:r w:rsidRPr="008921C3" w:rsidR="00A92D0B">
        <w:rPr>
          <w:b/>
          <w:bCs/>
        </w:rPr>
        <w:t xml:space="preserve">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865"/>
        <w:gridCol w:w="4140"/>
        <w:gridCol w:w="1355"/>
      </w:tblGrid>
      <w:tr w:rsidRPr="008921C3" w:rsidR="008921C3" w:rsidTr="00BF25B4" w14:paraId="67755362" w14:textId="77777777">
        <w:trPr>
          <w:tblHeader/>
        </w:trPr>
        <w:tc>
          <w:tcPr>
            <w:tcW w:w="3865" w:type="dxa"/>
            <w:tcBorders>
              <w:bottom w:val="single" w:color="auto" w:sz="4" w:space="0"/>
            </w:tcBorders>
            <w:shd w:val="clear" w:color="auto" w:fill="D9D9D9" w:themeFill="background1" w:themeFillShade="D9"/>
            <w:vAlign w:val="bottom"/>
          </w:tcPr>
          <w:p w:rsidR="005C52A0" w:rsidP="00917EC1" w:rsidRDefault="00D075B1" w14:paraId="05C411F3" w14:textId="77777777">
            <w:pPr>
              <w:keepNext/>
              <w:jc w:val="center"/>
              <w:rPr>
                <w:b/>
              </w:rPr>
            </w:pPr>
            <w:r w:rsidRPr="008921C3">
              <w:rPr>
                <w:b/>
              </w:rPr>
              <w:t xml:space="preserve">Intervenor’s </w:t>
            </w:r>
          </w:p>
          <w:p w:rsidRPr="008921C3" w:rsidR="00A92D0B" w:rsidP="00917EC1" w:rsidRDefault="00D075B1" w14:paraId="7CE2E5BB" w14:textId="50AC8701">
            <w:pPr>
              <w:keepNext/>
              <w:jc w:val="center"/>
              <w:rPr>
                <w:b/>
              </w:rPr>
            </w:pPr>
            <w:r w:rsidRPr="008921C3">
              <w:rPr>
                <w:b/>
              </w:rPr>
              <w:t>Claimed Contribution(s)</w:t>
            </w:r>
          </w:p>
        </w:tc>
        <w:tc>
          <w:tcPr>
            <w:tcW w:w="4140" w:type="dxa"/>
            <w:tcBorders>
              <w:bottom w:val="single" w:color="auto" w:sz="4" w:space="0"/>
            </w:tcBorders>
            <w:shd w:val="clear" w:color="auto" w:fill="D9D9D9" w:themeFill="background1" w:themeFillShade="D9"/>
            <w:vAlign w:val="bottom"/>
          </w:tcPr>
          <w:p w:rsidR="005C52A0" w:rsidP="00917EC1" w:rsidRDefault="00A92D0B" w14:paraId="3D93F6DD" w14:textId="77777777">
            <w:pPr>
              <w:keepNext/>
              <w:jc w:val="center"/>
              <w:rPr>
                <w:b/>
              </w:rPr>
            </w:pPr>
            <w:r w:rsidRPr="008921C3">
              <w:rPr>
                <w:b/>
              </w:rPr>
              <w:t xml:space="preserve">Specific References to </w:t>
            </w:r>
          </w:p>
          <w:p w:rsidRPr="008921C3" w:rsidR="00A92D0B" w:rsidP="00917EC1" w:rsidRDefault="00D075B1" w14:paraId="2794272E" w14:textId="4DF14FEC">
            <w:pPr>
              <w:keepNext/>
              <w:jc w:val="center"/>
              <w:rPr>
                <w:b/>
              </w:rPr>
            </w:pPr>
            <w:r w:rsidRPr="008921C3">
              <w:rPr>
                <w:b/>
              </w:rPr>
              <w:t>Intervenor’s Claimed Contribution(s)</w:t>
            </w:r>
          </w:p>
        </w:tc>
        <w:tc>
          <w:tcPr>
            <w:tcW w:w="1355" w:type="dxa"/>
            <w:shd w:val="clear" w:color="auto" w:fill="D9D9D9" w:themeFill="background1" w:themeFillShade="D9"/>
            <w:vAlign w:val="bottom"/>
          </w:tcPr>
          <w:p w:rsidR="00BF25B4" w:rsidP="00917EC1" w:rsidRDefault="00D075B1" w14:paraId="67A715B3" w14:textId="77777777">
            <w:pPr>
              <w:keepNext/>
              <w:jc w:val="center"/>
              <w:rPr>
                <w:b/>
              </w:rPr>
            </w:pPr>
            <w:r w:rsidRPr="008921C3">
              <w:rPr>
                <w:b/>
              </w:rPr>
              <w:t xml:space="preserve">CPUC </w:t>
            </w:r>
          </w:p>
          <w:p w:rsidRPr="008921C3" w:rsidR="00A92D0B" w:rsidP="00917EC1" w:rsidRDefault="00D075B1" w14:paraId="79AFC714" w14:textId="69B5345F">
            <w:pPr>
              <w:keepNext/>
              <w:jc w:val="center"/>
              <w:rPr>
                <w:b/>
              </w:rPr>
            </w:pPr>
            <w:r w:rsidRPr="008921C3">
              <w:rPr>
                <w:b/>
              </w:rPr>
              <w:t>Discussion</w:t>
            </w:r>
          </w:p>
        </w:tc>
      </w:tr>
      <w:tr w:rsidRPr="008921C3" w:rsidR="008921C3" w:rsidTr="00BF25B4" w14:paraId="2E691FFC" w14:textId="77777777">
        <w:tc>
          <w:tcPr>
            <w:tcW w:w="3865" w:type="dxa"/>
            <w:shd w:val="clear" w:color="auto" w:fill="auto"/>
          </w:tcPr>
          <w:p w:rsidRPr="008921C3" w:rsidR="00A92D0B" w:rsidP="00917EC1" w:rsidRDefault="49CAF506" w14:paraId="2999209E" w14:textId="21D3514D">
            <w:pPr>
              <w:spacing w:after="240"/>
            </w:pPr>
            <w:r w:rsidRPr="008921C3">
              <w:t>Issue A</w:t>
            </w:r>
            <w:r w:rsidRPr="008921C3" w:rsidR="53CAE7ED">
              <w:t>:</w:t>
            </w:r>
            <w:r w:rsidRPr="008921C3" w:rsidR="00E25078">
              <w:t xml:space="preserve"> </w:t>
            </w:r>
            <w:r w:rsidRPr="008921C3" w:rsidR="1A9B3920">
              <w:rPr>
                <w:u w:val="single"/>
              </w:rPr>
              <w:t>Short</w:t>
            </w:r>
            <w:r w:rsidR="00E54F5A">
              <w:rPr>
                <w:u w:val="single"/>
              </w:rPr>
              <w:noBreakHyphen/>
            </w:r>
            <w:r w:rsidRPr="008921C3" w:rsidR="1A9B3920">
              <w:rPr>
                <w:u w:val="single"/>
              </w:rPr>
              <w:t>Term</w:t>
            </w:r>
            <w:r w:rsidRPr="008921C3" w:rsidR="583C4DD8">
              <w:rPr>
                <w:u w:val="single"/>
              </w:rPr>
              <w:t xml:space="preserve"> Fossil Fuel Use: Temporary Generation</w:t>
            </w:r>
          </w:p>
          <w:p w:rsidRPr="008921C3" w:rsidR="00A92D0B" w:rsidP="00917EC1" w:rsidRDefault="72BFCD16" w14:paraId="4FF691C2" w14:textId="6CB1EA27">
            <w:pPr>
              <w:spacing w:after="240"/>
            </w:pPr>
            <w:r w:rsidRPr="008921C3">
              <w:t>CEJA strongly opposed utility proposals to procure a significant amount of fossil</w:t>
            </w:r>
            <w:r w:rsidR="00E54F5A">
              <w:noBreakHyphen/>
            </w:r>
            <w:r w:rsidRPr="008921C3">
              <w:t>powered generation</w:t>
            </w:r>
            <w:r w:rsidRPr="008921C3" w:rsidR="0054657E">
              <w:t xml:space="preserve">, </w:t>
            </w:r>
            <w:r w:rsidRPr="008921C3">
              <w:t>highlight</w:t>
            </w:r>
            <w:r w:rsidRPr="008921C3" w:rsidR="0054657E">
              <w:t>ing</w:t>
            </w:r>
            <w:r w:rsidRPr="008921C3">
              <w:t xml:space="preserve"> the disproportionate health, safety, and environmental burdens borne by disadvantaged communities from fossil fuel </w:t>
            </w:r>
            <w:r w:rsidRPr="008921C3">
              <w:lastRenderedPageBreak/>
              <w:t>generation</w:t>
            </w:r>
            <w:r w:rsidRPr="008921C3" w:rsidR="0054657E">
              <w:t xml:space="preserve">. </w:t>
            </w:r>
            <w:r w:rsidRPr="008921C3" w:rsidR="00761C4F">
              <w:t xml:space="preserve">CEJA </w:t>
            </w:r>
            <w:r w:rsidRPr="008921C3" w:rsidR="0054657E">
              <w:t xml:space="preserve">urged the Commission to reject IOU proposals </w:t>
            </w:r>
            <w:r w:rsidRPr="008921C3" w:rsidR="0018798F">
              <w:t>for fossil fuel</w:t>
            </w:r>
            <w:r w:rsidR="00E54F5A">
              <w:noBreakHyphen/>
            </w:r>
            <w:r w:rsidRPr="008921C3" w:rsidR="0018798F">
              <w:t xml:space="preserve">powered temporary generation and </w:t>
            </w:r>
            <w:r w:rsidRPr="008921C3" w:rsidR="00761C4F">
              <w:t>argued that fossil fuels should be a last resort</w:t>
            </w:r>
            <w:r w:rsidRPr="008921C3" w:rsidR="0018798F">
              <w:t>. I</w:t>
            </w:r>
            <w:r w:rsidRPr="008921C3" w:rsidR="00761C4F">
              <w:t xml:space="preserve">f the Commission found it necessary to authorize fossil fuels for PSPS </w:t>
            </w:r>
            <w:r w:rsidRPr="008921C3" w:rsidR="001B5AB2">
              <w:t>mitigation</w:t>
            </w:r>
            <w:r w:rsidRPr="008921C3" w:rsidR="00761C4F">
              <w:t xml:space="preserve"> in 2020, CEJA asked that the authorization be limited to only the 2020 fire season. </w:t>
            </w:r>
            <w:r w:rsidRPr="008921C3">
              <w:t xml:space="preserve">In addition, CEJA asked that </w:t>
            </w:r>
            <w:r w:rsidRPr="008921C3" w:rsidR="001B5AB2">
              <w:t xml:space="preserve">the Commission require IOUs to submit </w:t>
            </w:r>
            <w:r w:rsidRPr="008921C3">
              <w:t>specific information after PSPS</w:t>
            </w:r>
            <w:r w:rsidRPr="008921C3" w:rsidR="00761C4F">
              <w:t xml:space="preserve"> event</w:t>
            </w:r>
            <w:r w:rsidRPr="008921C3">
              <w:t>s detailing the use of fossil</w:t>
            </w:r>
            <w:r w:rsidR="00E54F5A">
              <w:noBreakHyphen/>
            </w:r>
            <w:r w:rsidRPr="008921C3">
              <w:t>fuel generation</w:t>
            </w:r>
            <w:r w:rsidRPr="008921C3" w:rsidR="3FEB1F03">
              <w:t xml:space="preserve">, including the CalEnviroScreen score for the </w:t>
            </w:r>
            <w:r w:rsidRPr="008921C3" w:rsidR="464CA2B1">
              <w:t>locations where fossil</w:t>
            </w:r>
            <w:r w:rsidR="00E54F5A">
              <w:noBreakHyphen/>
            </w:r>
            <w:r w:rsidRPr="008921C3" w:rsidR="464CA2B1">
              <w:t>fuel generation would be used</w:t>
            </w:r>
            <w:r w:rsidRPr="008921C3">
              <w:t>.</w:t>
            </w:r>
            <w:r w:rsidRPr="008921C3" w:rsidR="464CA2B1">
              <w:t xml:space="preserve"> </w:t>
            </w:r>
          </w:p>
          <w:p w:rsidRPr="008921C3" w:rsidR="00A92D0B" w:rsidP="00917EC1" w:rsidRDefault="72BFCD16" w14:paraId="3010B9CC" w14:textId="081222DA">
            <w:pPr>
              <w:spacing w:after="240"/>
            </w:pPr>
            <w:r w:rsidRPr="008921C3">
              <w:t>The Commission’s Track 1 decision</w:t>
            </w:r>
            <w:r w:rsidRPr="008921C3" w:rsidR="2F275304">
              <w:t>, D.</w:t>
            </w:r>
            <w:r w:rsidRPr="008921C3" w:rsidR="459C9C59">
              <w:t>20</w:t>
            </w:r>
            <w:r w:rsidR="00E54F5A">
              <w:noBreakHyphen/>
            </w:r>
            <w:r w:rsidRPr="008921C3" w:rsidR="459C9C59">
              <w:t>06</w:t>
            </w:r>
            <w:r w:rsidR="00E54F5A">
              <w:noBreakHyphen/>
            </w:r>
            <w:r w:rsidRPr="008921C3" w:rsidR="459C9C59">
              <w:t>017, approved</w:t>
            </w:r>
            <w:r w:rsidRPr="008921C3" w:rsidR="2F275304">
              <w:t xml:space="preserve"> </w:t>
            </w:r>
            <w:r w:rsidRPr="008921C3">
              <w:t>limit</w:t>
            </w:r>
            <w:r w:rsidRPr="008921C3" w:rsidR="2F275304">
              <w:t>ed</w:t>
            </w:r>
            <w:r w:rsidRPr="008921C3">
              <w:t xml:space="preserve"> use of temporary diesel generation</w:t>
            </w:r>
            <w:r w:rsidRPr="008921C3" w:rsidR="459C9C59">
              <w:t xml:space="preserve"> for PSPS events</w:t>
            </w:r>
            <w:r w:rsidRPr="008921C3">
              <w:t xml:space="preserve"> in the 2020 fire season</w:t>
            </w:r>
            <w:r w:rsidRPr="008921C3" w:rsidR="459C9C59">
              <w:t>. Consistent with CEJA’s advocacy, the Commission only approved fossil generation for the 2020 fire season</w:t>
            </w:r>
            <w:r w:rsidRPr="008921C3">
              <w:t xml:space="preserve">. As CEJA requested, the Commission recognized the health risks of fossil fuel generation, using these risks to justify limits.  </w:t>
            </w:r>
          </w:p>
          <w:p w:rsidRPr="008921C3" w:rsidR="00E25078" w:rsidP="00917EC1" w:rsidRDefault="583C4DD8" w14:paraId="1B0CC007" w14:textId="00089371">
            <w:pPr>
              <w:spacing w:after="240"/>
            </w:pPr>
            <w:r w:rsidRPr="008921C3">
              <w:t xml:space="preserve">The Commission required PG&amp;E to </w:t>
            </w:r>
            <w:r w:rsidRPr="008921C3" w:rsidR="00A26D75">
              <w:t xml:space="preserve">submit </w:t>
            </w:r>
            <w:r w:rsidRPr="008921C3">
              <w:t xml:space="preserve">a compliance </w:t>
            </w:r>
            <w:r w:rsidRPr="008921C3" w:rsidR="00A26D75">
              <w:t xml:space="preserve">filing </w:t>
            </w:r>
            <w:r w:rsidRPr="008921C3">
              <w:t xml:space="preserve">listing a summary of criteria pollutant and </w:t>
            </w:r>
            <w:r w:rsidRPr="008921C3" w:rsidR="0065306B">
              <w:t>greenhouse gas (</w:t>
            </w:r>
            <w:r w:rsidRPr="008921C3">
              <w:t>GHG</w:t>
            </w:r>
            <w:r w:rsidRPr="008921C3" w:rsidR="0065306B">
              <w:t>)</w:t>
            </w:r>
            <w:r w:rsidRPr="008921C3">
              <w:t xml:space="preserve"> emissions for each diesel generation location, in addition to the location’s CalEnviroScreen percentile. The reporting requirement closely mirrors CEJA’s recommendation</w:t>
            </w:r>
            <w:r w:rsidRPr="008921C3" w:rsidR="00A26D75">
              <w:t>.</w:t>
            </w:r>
          </w:p>
        </w:tc>
        <w:tc>
          <w:tcPr>
            <w:tcW w:w="4140" w:type="dxa"/>
            <w:shd w:val="clear" w:color="auto" w:fill="auto"/>
          </w:tcPr>
          <w:p w:rsidRPr="008921C3" w:rsidR="00A92D0B" w:rsidP="00917EC1" w:rsidRDefault="583C4DD8" w14:paraId="5330DDCE" w14:textId="31902A63">
            <w:pPr>
              <w:spacing w:after="240"/>
            </w:pPr>
            <w:r w:rsidRPr="008921C3">
              <w:lastRenderedPageBreak/>
              <w:t>D.20</w:t>
            </w:r>
            <w:r w:rsidR="00E54F5A">
              <w:noBreakHyphen/>
            </w:r>
            <w:r w:rsidRPr="008921C3">
              <w:t>06</w:t>
            </w:r>
            <w:r w:rsidR="00E54F5A">
              <w:noBreakHyphen/>
            </w:r>
            <w:r w:rsidRPr="008921C3">
              <w:t>017, pp. 81</w:t>
            </w:r>
            <w:r w:rsidR="00E54F5A">
              <w:noBreakHyphen/>
            </w:r>
            <w:r w:rsidRPr="008921C3">
              <w:t>82 (adopting CEJA’s recommendation to limit diesel generation to the 2020 fire season).</w:t>
            </w:r>
          </w:p>
          <w:p w:rsidRPr="008921C3" w:rsidR="00A92D0B" w:rsidP="00917EC1" w:rsidRDefault="583C4DD8" w14:paraId="5DA93D08" w14:textId="5623CA58">
            <w:pPr>
              <w:spacing w:before="120"/>
            </w:pPr>
            <w:r w:rsidRPr="008921C3">
              <w:t>D.20</w:t>
            </w:r>
            <w:r w:rsidR="00E54F5A">
              <w:noBreakHyphen/>
            </w:r>
            <w:r w:rsidRPr="008921C3">
              <w:t>06</w:t>
            </w:r>
            <w:r w:rsidR="00E54F5A">
              <w:noBreakHyphen/>
            </w:r>
            <w:r w:rsidRPr="008921C3">
              <w:t>017, pp. 82</w:t>
            </w:r>
            <w:r w:rsidR="00E54F5A">
              <w:noBreakHyphen/>
            </w:r>
            <w:r w:rsidRPr="008921C3">
              <w:t>83 (</w:t>
            </w:r>
            <w:r w:rsidRPr="008921C3" w:rsidR="00CA5F85">
              <w:t>acknowledging</w:t>
            </w:r>
            <w:r w:rsidRPr="008921C3">
              <w:t xml:space="preserve"> that diesel generation </w:t>
            </w:r>
            <w:r w:rsidRPr="008921C3" w:rsidR="00CA5F85">
              <w:t>cannot be</w:t>
            </w:r>
            <w:r w:rsidRPr="008921C3">
              <w:t xml:space="preserve"> a long</w:t>
            </w:r>
            <w:r w:rsidR="00E54F5A">
              <w:noBreakHyphen/>
            </w:r>
            <w:r w:rsidRPr="008921C3">
              <w:t xml:space="preserve">term </w:t>
            </w:r>
            <w:r w:rsidRPr="008921C3" w:rsidR="00CA5F85">
              <w:t xml:space="preserve">resiliency </w:t>
            </w:r>
            <w:r w:rsidRPr="008921C3" w:rsidR="00F23A6C">
              <w:t>strategy</w:t>
            </w:r>
            <w:r w:rsidRPr="008921C3">
              <w:t xml:space="preserve">). </w:t>
            </w:r>
          </w:p>
          <w:p w:rsidRPr="008921C3" w:rsidR="00A92D0B" w:rsidP="00917EC1" w:rsidRDefault="583C4DD8" w14:paraId="028AA57A" w14:textId="204882EC">
            <w:pPr>
              <w:spacing w:before="120"/>
            </w:pPr>
            <w:r w:rsidRPr="008921C3">
              <w:t>D.20</w:t>
            </w:r>
            <w:r w:rsidR="00E54F5A">
              <w:noBreakHyphen/>
            </w:r>
            <w:r w:rsidRPr="008921C3">
              <w:t>06</w:t>
            </w:r>
            <w:r w:rsidR="00E54F5A">
              <w:noBreakHyphen/>
            </w:r>
            <w:r w:rsidRPr="008921C3">
              <w:t xml:space="preserve">017, p. 82 (“large diesel generators – even when localized in </w:t>
            </w:r>
            <w:r w:rsidRPr="008921C3">
              <w:lastRenderedPageBreak/>
              <w:t>select areas – present potential health risks for individuals who live or work near a temporary generation site”).</w:t>
            </w:r>
          </w:p>
          <w:p w:rsidRPr="008921C3" w:rsidR="5206E030" w:rsidP="00917EC1" w:rsidRDefault="5206E030" w14:paraId="52B524CC" w14:textId="25C44EB8">
            <w:pPr>
              <w:spacing w:before="120"/>
            </w:pPr>
            <w:r w:rsidRPr="008921C3">
              <w:t>D.20</w:t>
            </w:r>
            <w:r w:rsidR="00E54F5A">
              <w:noBreakHyphen/>
            </w:r>
            <w:r w:rsidRPr="008921C3">
              <w:t>06</w:t>
            </w:r>
            <w:r w:rsidR="00E54F5A">
              <w:noBreakHyphen/>
            </w:r>
            <w:r w:rsidRPr="008921C3">
              <w:t xml:space="preserve">017, p. 82 (balancing harms of </w:t>
            </w:r>
            <w:r w:rsidRPr="008921C3" w:rsidR="52D2EFA9">
              <w:t>“limited, localized use of temporary diesel</w:t>
            </w:r>
            <w:r w:rsidRPr="008921C3">
              <w:t xml:space="preserve"> generation</w:t>
            </w:r>
            <w:r w:rsidRPr="008921C3" w:rsidR="4931F186">
              <w:t>”</w:t>
            </w:r>
            <w:r w:rsidRPr="008921C3">
              <w:t xml:space="preserve"> against </w:t>
            </w:r>
            <w:r w:rsidRPr="008921C3" w:rsidR="79B7E856">
              <w:t>providing for “public health, safety, welfare and societal continuity”).</w:t>
            </w:r>
          </w:p>
          <w:p w:rsidRPr="008921C3" w:rsidR="00A92D0B" w:rsidP="00917EC1" w:rsidRDefault="72BFCD16" w14:paraId="6EEA91D5" w14:textId="0819EDC7">
            <w:pPr>
              <w:spacing w:before="120"/>
            </w:pPr>
            <w:r w:rsidRPr="008921C3">
              <w:t>D.20</w:t>
            </w:r>
            <w:r w:rsidR="00E54F5A">
              <w:noBreakHyphen/>
            </w:r>
            <w:r w:rsidRPr="008921C3">
              <w:t>06</w:t>
            </w:r>
            <w:r w:rsidR="00E54F5A">
              <w:noBreakHyphen/>
            </w:r>
            <w:r w:rsidRPr="008921C3">
              <w:t xml:space="preserve">017, p. 83 (requiring PG&amp;E compliance filings to list a summary of: emissions by criteria air pollutant factors, GHG emissions, CalEnviroScreen percentile, and other criteria justifying use of diesel generation). </w:t>
            </w:r>
          </w:p>
          <w:p w:rsidRPr="008921C3" w:rsidR="00A92D0B" w:rsidP="00917EC1" w:rsidRDefault="583C4DD8" w14:paraId="4369705D" w14:textId="1C2A8331">
            <w:pPr>
              <w:spacing w:before="120"/>
            </w:pPr>
            <w:r w:rsidRPr="008921C3">
              <w:t>CEJA Jan. 30, 2020 Opening Comments on Track 1, p. 13</w:t>
            </w:r>
            <w:r w:rsidR="00E54F5A">
              <w:noBreakHyphen/>
            </w:r>
            <w:r w:rsidRPr="008921C3">
              <w:t>16 (</w:t>
            </w:r>
            <w:r w:rsidRPr="008921C3" w:rsidR="00C84D2F">
              <w:t xml:space="preserve">arguing that </w:t>
            </w:r>
            <w:r w:rsidRPr="008921C3" w:rsidR="00BD0923">
              <w:t xml:space="preserve">authorizing </w:t>
            </w:r>
            <w:r w:rsidRPr="008921C3" w:rsidR="00C84D2F">
              <w:t xml:space="preserve">diesel generation </w:t>
            </w:r>
            <w:r w:rsidRPr="008921C3" w:rsidR="00BD0923">
              <w:t>is counter to state and Commission policy prioritizing renewable generation</w:t>
            </w:r>
            <w:r w:rsidRPr="008921C3">
              <w:t xml:space="preserve">).  </w:t>
            </w:r>
          </w:p>
          <w:p w:rsidRPr="008921C3" w:rsidR="00A92D0B" w:rsidP="00917EC1" w:rsidRDefault="583C4DD8" w14:paraId="48445B68" w14:textId="03A9EC1B">
            <w:pPr>
              <w:spacing w:before="120"/>
            </w:pPr>
            <w:r w:rsidRPr="008921C3">
              <w:t>CEJA Jan. 30, 2020 Opening Comments on Track 1, pp. 12, 15</w:t>
            </w:r>
            <w:r w:rsidR="00E54F5A">
              <w:noBreakHyphen/>
            </w:r>
            <w:r w:rsidRPr="008921C3">
              <w:t>16, 21</w:t>
            </w:r>
            <w:r w:rsidR="00E54F5A">
              <w:noBreakHyphen/>
            </w:r>
            <w:r w:rsidRPr="008921C3">
              <w:t>22</w:t>
            </w:r>
            <w:r w:rsidRPr="008921C3" w:rsidR="00D31515">
              <w:t>, 24</w:t>
            </w:r>
            <w:r w:rsidR="00E54F5A">
              <w:noBreakHyphen/>
            </w:r>
            <w:r w:rsidRPr="008921C3" w:rsidR="00D31515">
              <w:t>25</w:t>
            </w:r>
            <w:r w:rsidRPr="008921C3" w:rsidR="00665BC3">
              <w:t xml:space="preserve"> </w:t>
            </w:r>
            <w:r w:rsidRPr="008921C3">
              <w:t>(</w:t>
            </w:r>
            <w:r w:rsidRPr="008921C3" w:rsidR="00C84D2F">
              <w:t xml:space="preserve">highlighting </w:t>
            </w:r>
            <w:r w:rsidRPr="008921C3">
              <w:t xml:space="preserve">the harmful health </w:t>
            </w:r>
            <w:r w:rsidRPr="008921C3" w:rsidR="00D31515">
              <w:t xml:space="preserve">and environmental </w:t>
            </w:r>
            <w:r w:rsidRPr="008921C3">
              <w:t>effects of fossil fuel generation).</w:t>
            </w:r>
          </w:p>
          <w:p w:rsidRPr="008921C3" w:rsidR="00A92D0B" w:rsidP="00917EC1" w:rsidRDefault="583C4DD8" w14:paraId="26AB4A6B" w14:textId="32C6F83B">
            <w:pPr>
              <w:spacing w:before="120"/>
            </w:pPr>
            <w:r w:rsidRPr="008921C3">
              <w:t xml:space="preserve">CEJA Feb. 6, 2020 Reply Comments on Track 1, pp. 9, </w:t>
            </w:r>
            <w:r w:rsidRPr="008921C3" w:rsidR="00380293">
              <w:t>10</w:t>
            </w:r>
            <w:r w:rsidR="00E54F5A">
              <w:noBreakHyphen/>
            </w:r>
            <w:r w:rsidRPr="008921C3">
              <w:t>11, 14</w:t>
            </w:r>
            <w:r w:rsidR="00E54F5A">
              <w:noBreakHyphen/>
            </w:r>
            <w:r w:rsidRPr="008921C3">
              <w:t xml:space="preserve">15 </w:t>
            </w:r>
          </w:p>
          <w:p w:rsidRPr="008921C3" w:rsidR="00A92D0B" w:rsidP="00917EC1" w:rsidRDefault="583C4DD8" w14:paraId="288B766A" w14:textId="7361AD30">
            <w:pPr>
              <w:spacing w:before="120"/>
            </w:pPr>
            <w:r w:rsidRPr="008921C3">
              <w:t>CEJA Feb. 6, 2020 Reply Comments on Track 1, pp. 9, 11</w:t>
            </w:r>
            <w:r w:rsidR="00E54F5A">
              <w:noBreakHyphen/>
            </w:r>
            <w:r w:rsidRPr="008921C3">
              <w:t>13 (recommending that if the Commission approves diesel generation, it should be limited to 2020)</w:t>
            </w:r>
          </w:p>
          <w:p w:rsidRPr="008921C3" w:rsidR="00A92D0B" w:rsidP="00917EC1" w:rsidRDefault="583C4DD8" w14:paraId="01A71AFC" w14:textId="372E12B5">
            <w:pPr>
              <w:spacing w:before="120"/>
            </w:pPr>
            <w:r w:rsidRPr="008921C3">
              <w:t xml:space="preserve">CEJA </w:t>
            </w:r>
            <w:r w:rsidRPr="008921C3" w:rsidR="00013765">
              <w:t>April</w:t>
            </w:r>
            <w:r w:rsidRPr="008921C3">
              <w:t xml:space="preserve"> 2</w:t>
            </w:r>
            <w:r w:rsidRPr="008921C3" w:rsidR="00E52331">
              <w:t>1</w:t>
            </w:r>
            <w:r w:rsidRPr="008921C3">
              <w:t>, 20</w:t>
            </w:r>
            <w:r w:rsidRPr="008921C3" w:rsidR="00B97FEE">
              <w:t>20</w:t>
            </w:r>
            <w:r w:rsidRPr="008921C3">
              <w:t xml:space="preserve"> Notice of Ex Parte Communication, p</w:t>
            </w:r>
            <w:r w:rsidRPr="008921C3" w:rsidR="00013765">
              <w:t>p</w:t>
            </w:r>
            <w:r w:rsidRPr="008921C3">
              <w:t xml:space="preserve">. </w:t>
            </w:r>
            <w:r w:rsidRPr="008921C3" w:rsidR="00013765">
              <w:t>4</w:t>
            </w:r>
            <w:r w:rsidR="00E54F5A">
              <w:noBreakHyphen/>
            </w:r>
            <w:r w:rsidRPr="008921C3">
              <w:t>5 (recommending requirement that IOUs report temporary generation location, duration, and type of generation used after PSPS</w:t>
            </w:r>
            <w:r w:rsidRPr="008921C3" w:rsidR="00D31515">
              <w:t xml:space="preserve"> event</w:t>
            </w:r>
            <w:r w:rsidRPr="008921C3">
              <w:t>s).</w:t>
            </w:r>
          </w:p>
          <w:p w:rsidRPr="008921C3" w:rsidR="00E52331" w:rsidP="00917EC1" w:rsidRDefault="00E52331" w14:paraId="532F95D2" w14:textId="29EA68DA">
            <w:pPr>
              <w:spacing w:before="120"/>
            </w:pPr>
            <w:r w:rsidRPr="008921C3">
              <w:t xml:space="preserve">CEJA May 19, 2020 Comments on Proposed Decision, pp. </w:t>
            </w:r>
            <w:r w:rsidRPr="008921C3" w:rsidR="004E04BF">
              <w:t>11</w:t>
            </w:r>
            <w:r w:rsidR="00E54F5A">
              <w:noBreakHyphen/>
            </w:r>
            <w:r w:rsidRPr="008921C3" w:rsidR="004E04BF">
              <w:t>14.</w:t>
            </w:r>
          </w:p>
        </w:tc>
        <w:tc>
          <w:tcPr>
            <w:tcW w:w="1355" w:type="dxa"/>
            <w:shd w:val="clear" w:color="auto" w:fill="auto"/>
          </w:tcPr>
          <w:p w:rsidRPr="008921C3" w:rsidR="00A92D0B" w:rsidP="00BF25B4" w:rsidRDefault="00307D85" w14:paraId="63938BDA" w14:textId="77B02EB3">
            <w:pPr>
              <w:spacing w:after="240"/>
              <w:jc w:val="center"/>
            </w:pPr>
            <w:r w:rsidRPr="008921C3">
              <w:lastRenderedPageBreak/>
              <w:t>Verified</w:t>
            </w:r>
          </w:p>
        </w:tc>
      </w:tr>
      <w:tr w:rsidRPr="008921C3" w:rsidR="008921C3" w:rsidTr="00BF25B4" w14:paraId="4AAA05AE" w14:textId="77777777">
        <w:tc>
          <w:tcPr>
            <w:tcW w:w="3865" w:type="dxa"/>
            <w:shd w:val="clear" w:color="auto" w:fill="auto"/>
          </w:tcPr>
          <w:p w:rsidRPr="008921C3" w:rsidR="00A92D0B" w:rsidP="00917EC1" w:rsidRDefault="72979FB2" w14:paraId="0E486BE7" w14:textId="4A90F64E">
            <w:pPr>
              <w:spacing w:after="240"/>
            </w:pPr>
            <w:r w:rsidRPr="008921C3">
              <w:lastRenderedPageBreak/>
              <w:t>Issue A:</w:t>
            </w:r>
            <w:r w:rsidRPr="008921C3" w:rsidR="00E25078">
              <w:t xml:space="preserve"> </w:t>
            </w:r>
            <w:r w:rsidRPr="008921C3" w:rsidR="1CF5C6CA">
              <w:rPr>
                <w:u w:val="single"/>
              </w:rPr>
              <w:t>S</w:t>
            </w:r>
            <w:r w:rsidRPr="008921C3" w:rsidR="69F4504B">
              <w:rPr>
                <w:u w:val="single"/>
              </w:rPr>
              <w:t>hort</w:t>
            </w:r>
            <w:r w:rsidR="00E54F5A">
              <w:rPr>
                <w:u w:val="single"/>
              </w:rPr>
              <w:noBreakHyphen/>
            </w:r>
            <w:r w:rsidRPr="008921C3" w:rsidR="69F4504B">
              <w:rPr>
                <w:u w:val="single"/>
              </w:rPr>
              <w:t>Term Fossil Fuel Use: Creation of a Separate Diesel Alternatives Process</w:t>
            </w:r>
          </w:p>
          <w:p w:rsidRPr="008921C3" w:rsidR="00A92D0B" w:rsidP="00917EC1" w:rsidRDefault="69F4504B" w14:paraId="6EDBD3BB" w14:textId="344D47FC">
            <w:pPr>
              <w:spacing w:after="240"/>
            </w:pPr>
            <w:r w:rsidRPr="008921C3">
              <w:t xml:space="preserve">CEJA advocated for a clear process to transition </w:t>
            </w:r>
            <w:r w:rsidRPr="008921C3" w:rsidR="00DC10AC">
              <w:t>the utilities away from diesel backup generation, and to use clean, zero</w:t>
            </w:r>
            <w:r w:rsidR="00E54F5A">
              <w:noBreakHyphen/>
            </w:r>
            <w:r w:rsidRPr="008921C3" w:rsidR="00DC10AC">
              <w:t>emissions generation sources instead</w:t>
            </w:r>
            <w:r w:rsidRPr="008921C3">
              <w:t xml:space="preserve">. CEJA </w:t>
            </w:r>
            <w:r w:rsidRPr="008921C3" w:rsidR="00DC10AC">
              <w:t>argued that the Commission should establish</w:t>
            </w:r>
            <w:r w:rsidRPr="008921C3">
              <w:t xml:space="preserve"> </w:t>
            </w:r>
            <w:r w:rsidRPr="008921C3" w:rsidR="003D3144">
              <w:t>a firm timeline</w:t>
            </w:r>
            <w:r w:rsidRPr="008921C3" w:rsidR="00DC10AC">
              <w:t xml:space="preserve"> for this transition</w:t>
            </w:r>
            <w:r w:rsidRPr="008921C3" w:rsidR="003D3144">
              <w:t xml:space="preserve"> </w:t>
            </w:r>
            <w:r w:rsidRPr="008921C3" w:rsidR="00FA200E">
              <w:t>and that the Commission should</w:t>
            </w:r>
            <w:r w:rsidRPr="008921C3" w:rsidR="1F0AB48E">
              <w:t xml:space="preserve"> hold</w:t>
            </w:r>
            <w:r w:rsidRPr="008921C3" w:rsidR="00FA200E">
              <w:t xml:space="preserve"> the utilities </w:t>
            </w:r>
            <w:r w:rsidRPr="008921C3">
              <w:t>accountabl</w:t>
            </w:r>
            <w:r w:rsidRPr="008921C3" w:rsidR="00FA200E">
              <w:t xml:space="preserve">e </w:t>
            </w:r>
            <w:r w:rsidRPr="008921C3" w:rsidR="003252A1">
              <w:t>to this timeline</w:t>
            </w:r>
            <w:r w:rsidRPr="008921C3">
              <w:t>. If the Commission found diesel generation necessary for 2020, CEJA requested that the Commission adopt a timeline to transition to clean energy by the 2021 wildfire season.</w:t>
            </w:r>
          </w:p>
          <w:p w:rsidRPr="008921C3" w:rsidR="00E25078" w:rsidP="00917EC1" w:rsidRDefault="000760CC" w14:paraId="11FCCEB5" w14:textId="17BB9545">
            <w:pPr>
              <w:spacing w:after="240"/>
            </w:pPr>
            <w:r w:rsidRPr="008921C3">
              <w:t>In response, t</w:t>
            </w:r>
            <w:r w:rsidRPr="008921C3" w:rsidR="69F4504B">
              <w:t>he Commission initiate</w:t>
            </w:r>
            <w:r w:rsidRPr="008921C3">
              <w:t>d</w:t>
            </w:r>
            <w:r w:rsidRPr="008921C3" w:rsidR="69F4504B">
              <w:t xml:space="preserve"> a separate </w:t>
            </w:r>
            <w:r w:rsidRPr="008921C3" w:rsidR="003252A1">
              <w:t xml:space="preserve">“diesel alternatives” </w:t>
            </w:r>
            <w:r w:rsidRPr="008921C3" w:rsidR="69F4504B">
              <w:t xml:space="preserve">process to </w:t>
            </w:r>
            <w:r w:rsidRPr="008921C3" w:rsidR="003252A1">
              <w:t xml:space="preserve">examine clean alternatives to diesel backup generation, and to establish a plan to </w:t>
            </w:r>
            <w:r w:rsidRPr="008921C3" w:rsidR="69F4504B">
              <w:t xml:space="preserve">transition </w:t>
            </w:r>
            <w:r w:rsidRPr="008921C3" w:rsidR="003252A1">
              <w:t xml:space="preserve">the utilities to </w:t>
            </w:r>
            <w:r w:rsidRPr="008921C3" w:rsidR="69F4504B">
              <w:t xml:space="preserve">renewable backup generation. </w:t>
            </w:r>
            <w:r w:rsidRPr="008921C3" w:rsidR="003252A1">
              <w:t xml:space="preserve">The Commission </w:t>
            </w:r>
            <w:r w:rsidRPr="008921C3" w:rsidR="69F4504B">
              <w:t>solicited comments on proposed alternative methods to minimize emissions from power outage generation, addressing CEJA’s concern over the lack of structured process to implement renewables.</w:t>
            </w:r>
          </w:p>
        </w:tc>
        <w:tc>
          <w:tcPr>
            <w:tcW w:w="4140" w:type="dxa"/>
            <w:shd w:val="clear" w:color="auto" w:fill="auto"/>
          </w:tcPr>
          <w:p w:rsidRPr="008921C3" w:rsidR="00A92D0B" w:rsidP="00917EC1" w:rsidRDefault="69F4504B" w14:paraId="50244C5B" w14:textId="2F41759A">
            <w:pPr>
              <w:spacing w:after="240"/>
            </w:pPr>
            <w:r w:rsidRPr="008921C3">
              <w:t>D.20</w:t>
            </w:r>
            <w:r w:rsidR="00E54F5A">
              <w:noBreakHyphen/>
            </w:r>
            <w:r w:rsidRPr="008921C3">
              <w:t>06</w:t>
            </w:r>
            <w:r w:rsidR="00E54F5A">
              <w:noBreakHyphen/>
            </w:r>
            <w:r w:rsidRPr="008921C3">
              <w:t>017, pp. 82</w:t>
            </w:r>
            <w:r w:rsidR="00E54F5A">
              <w:noBreakHyphen/>
            </w:r>
            <w:r w:rsidRPr="008921C3">
              <w:t>83 (describing Commission’s initiation of a transition away from diesel to clean backup generation and dispelling notion that diesel can be a long</w:t>
            </w:r>
            <w:r w:rsidR="00E54F5A">
              <w:noBreakHyphen/>
            </w:r>
            <w:r w:rsidRPr="008921C3">
              <w:t xml:space="preserve">term solution). </w:t>
            </w:r>
          </w:p>
          <w:p w:rsidRPr="008921C3" w:rsidR="00A92D0B" w:rsidP="00917EC1" w:rsidRDefault="150D9DEF" w14:paraId="1DF5A6BB" w14:textId="266192BA">
            <w:pPr>
              <w:spacing w:after="240"/>
            </w:pPr>
            <w:r w:rsidRPr="008921C3">
              <w:t>D.20</w:t>
            </w:r>
            <w:r w:rsidR="00E54F5A">
              <w:noBreakHyphen/>
            </w:r>
            <w:r w:rsidRPr="008921C3">
              <w:t>06</w:t>
            </w:r>
            <w:r w:rsidR="00E54F5A">
              <w:noBreakHyphen/>
            </w:r>
            <w:r w:rsidRPr="008921C3">
              <w:t>017, p. 83 (inviting stakeholders to submit comments on alternatives).</w:t>
            </w:r>
          </w:p>
          <w:p w:rsidRPr="008921C3" w:rsidR="00A92D0B" w:rsidP="00917EC1" w:rsidRDefault="69F4504B" w14:paraId="61A5A322" w14:textId="10902F4B">
            <w:pPr>
              <w:spacing w:after="240"/>
            </w:pPr>
            <w:r w:rsidRPr="008921C3">
              <w:t>CEJA Jan. 30, 2020 Opening Comments on Track 1, pp. 22</w:t>
            </w:r>
            <w:r w:rsidR="00E54F5A">
              <w:noBreakHyphen/>
            </w:r>
            <w:r w:rsidRPr="008921C3">
              <w:t>23 (describing concern over uncertain timeline for deployment of renewable generation, noting PG&amp;E and SCE’s open</w:t>
            </w:r>
            <w:r w:rsidR="00E54F5A">
              <w:noBreakHyphen/>
            </w:r>
            <w:r w:rsidRPr="008921C3">
              <w:t>ended statements, committing the utilities to “researching” non</w:t>
            </w:r>
            <w:r w:rsidR="00E54F5A">
              <w:noBreakHyphen/>
            </w:r>
            <w:r w:rsidRPr="008921C3">
              <w:t>fossil</w:t>
            </w:r>
            <w:r w:rsidR="00E54F5A">
              <w:noBreakHyphen/>
            </w:r>
            <w:r w:rsidRPr="008921C3">
              <w:t>fuel</w:t>
            </w:r>
            <w:r w:rsidR="00E54F5A">
              <w:noBreakHyphen/>
            </w:r>
            <w:r w:rsidRPr="008921C3">
              <w:t>based alternatives without concomitant assurances that they would adopt such options later)</w:t>
            </w:r>
          </w:p>
          <w:p w:rsidRPr="008921C3" w:rsidR="00A92D0B" w:rsidP="00917EC1" w:rsidRDefault="69F4504B" w14:paraId="2A92A629" w14:textId="619FA166">
            <w:pPr>
              <w:spacing w:after="240"/>
            </w:pPr>
            <w:r w:rsidRPr="008921C3">
              <w:t>CEJA Feb. 6, 2020 Reply Comments on Track 1, pp. 11</w:t>
            </w:r>
            <w:r w:rsidR="00E54F5A">
              <w:noBreakHyphen/>
            </w:r>
            <w:r w:rsidRPr="008921C3">
              <w:t>13 (recommending that IOUs be required to transition to clean energy by 2021 fire season).</w:t>
            </w:r>
          </w:p>
        </w:tc>
        <w:tc>
          <w:tcPr>
            <w:tcW w:w="1355" w:type="dxa"/>
            <w:shd w:val="clear" w:color="auto" w:fill="auto"/>
          </w:tcPr>
          <w:p w:rsidRPr="008921C3" w:rsidR="00A92D0B" w:rsidP="00BF25B4" w:rsidRDefault="00307D85" w14:paraId="56FD3368" w14:textId="2902B52B">
            <w:pPr>
              <w:spacing w:after="240"/>
              <w:jc w:val="center"/>
            </w:pPr>
            <w:r w:rsidRPr="008921C3">
              <w:t>Verified</w:t>
            </w:r>
          </w:p>
        </w:tc>
      </w:tr>
      <w:tr w:rsidRPr="008921C3" w:rsidR="008921C3" w:rsidTr="00BF25B4" w14:paraId="36FF786B" w14:textId="77777777">
        <w:tc>
          <w:tcPr>
            <w:tcW w:w="3865" w:type="dxa"/>
            <w:shd w:val="clear" w:color="auto" w:fill="auto"/>
          </w:tcPr>
          <w:p w:rsidRPr="008921C3" w:rsidR="00691528" w:rsidP="00917EC1" w:rsidRDefault="64923CE3" w14:paraId="097D34AC" w14:textId="5E9792FC">
            <w:pPr>
              <w:spacing w:after="240"/>
            </w:pPr>
            <w:r w:rsidRPr="008921C3">
              <w:t>Issue B:</w:t>
            </w:r>
            <w:r w:rsidRPr="008921C3" w:rsidR="0B260FD5">
              <w:t xml:space="preserve"> </w:t>
            </w:r>
            <w:r w:rsidRPr="008921C3" w:rsidR="43645EA2">
              <w:rPr>
                <w:u w:val="single"/>
              </w:rPr>
              <w:t>Community Engagement and Outreach in Resiliency Planning &amp; Semi</w:t>
            </w:r>
            <w:r w:rsidR="00E54F5A">
              <w:rPr>
                <w:u w:val="single"/>
              </w:rPr>
              <w:noBreakHyphen/>
            </w:r>
            <w:r w:rsidRPr="008921C3" w:rsidR="43645EA2">
              <w:rPr>
                <w:u w:val="single"/>
              </w:rPr>
              <w:t>Annual Workshops with Local Government</w:t>
            </w:r>
            <w:r w:rsidRPr="008921C3" w:rsidR="43645EA2">
              <w:t xml:space="preserve"> </w:t>
            </w:r>
          </w:p>
          <w:p w:rsidRPr="008921C3" w:rsidR="00691528" w:rsidP="00917EC1" w:rsidRDefault="43645EA2" w14:paraId="35216185" w14:textId="7F76F654">
            <w:pPr>
              <w:spacing w:after="240"/>
            </w:pPr>
            <w:r w:rsidRPr="008921C3">
              <w:t xml:space="preserve">CEJA repeatedly pushed the Commission to prioritize and facilitate community engagement in </w:t>
            </w:r>
            <w:r w:rsidRPr="008921C3">
              <w:lastRenderedPageBreak/>
              <w:t xml:space="preserve">the development of resiliency and microgrid solutions. </w:t>
            </w:r>
          </w:p>
          <w:p w:rsidRPr="008921C3" w:rsidR="00691528" w:rsidP="00917EC1" w:rsidRDefault="43645EA2" w14:paraId="1511016C" w14:textId="1E7ABA62">
            <w:pPr>
              <w:spacing w:after="240"/>
            </w:pPr>
            <w:r w:rsidRPr="008921C3">
              <w:t>CEJA emphasized that “communication with local governments should not be a replacement for community engagement” and stressed the need to “establish a mechanism for community</w:t>
            </w:r>
            <w:r w:rsidR="00E54F5A">
              <w:noBreakHyphen/>
            </w:r>
            <w:r w:rsidRPr="008921C3">
              <w:t xml:space="preserve">based organizations to lead the development of microgrid projects.” </w:t>
            </w:r>
          </w:p>
          <w:p w:rsidRPr="008921C3" w:rsidR="00691528" w:rsidP="00917EC1" w:rsidRDefault="2B2013C1" w14:paraId="3EE3741C" w14:textId="36B48DFC">
            <w:pPr>
              <w:spacing w:after="240"/>
            </w:pPr>
            <w:r w:rsidRPr="008921C3">
              <w:t>In D.20</w:t>
            </w:r>
            <w:r w:rsidR="00E54F5A">
              <w:noBreakHyphen/>
            </w:r>
            <w:r w:rsidRPr="008921C3">
              <w:t>06</w:t>
            </w:r>
            <w:r w:rsidR="00E54F5A">
              <w:noBreakHyphen/>
            </w:r>
            <w:r w:rsidRPr="008921C3">
              <w:t xml:space="preserve">017 the Commission </w:t>
            </w:r>
            <w:r w:rsidRPr="008921C3" w:rsidR="6E54398B">
              <w:t xml:space="preserve">directed the utilities to host </w:t>
            </w:r>
            <w:r w:rsidRPr="008921C3" w:rsidR="3C699F11">
              <w:t>semi</w:t>
            </w:r>
            <w:r w:rsidR="00E54F5A">
              <w:noBreakHyphen/>
            </w:r>
            <w:r w:rsidRPr="008921C3" w:rsidR="3C699F11">
              <w:t xml:space="preserve">annual workshops </w:t>
            </w:r>
            <w:r w:rsidRPr="008921C3" w:rsidR="6E54398B">
              <w:t>with local and tribal governments</w:t>
            </w:r>
            <w:r w:rsidRPr="008921C3" w:rsidR="3A9C03AF">
              <w:t xml:space="preserve"> t</w:t>
            </w:r>
            <w:r w:rsidRPr="008921C3" w:rsidR="4CE8F030">
              <w:t xml:space="preserve">o </w:t>
            </w:r>
            <w:r w:rsidRPr="008921C3" w:rsidR="3ACD98BC">
              <w:t>collaborate on grid resiliency planning</w:t>
            </w:r>
            <w:r w:rsidRPr="008921C3" w:rsidR="6E54398B">
              <w:t>. In detailing the structure of those workshops</w:t>
            </w:r>
            <w:r w:rsidRPr="008921C3" w:rsidR="3C699F11">
              <w:t xml:space="preserve">, the Commission directed the utilities to contact and invite community organizations to participate. </w:t>
            </w:r>
          </w:p>
          <w:p w:rsidRPr="008921C3" w:rsidR="00B27536" w:rsidP="00917EC1" w:rsidRDefault="3C699F11" w14:paraId="77A8C970" w14:textId="5670A718">
            <w:pPr>
              <w:spacing w:after="240"/>
            </w:pPr>
            <w:r w:rsidRPr="008921C3">
              <w:t>Additionally, an increased emphasis on community engagement is evident in the Commission’s instructions to the utilities to enumerate in their Tier 2 Advice Letter filing how the</w:t>
            </w:r>
            <w:r w:rsidRPr="008921C3" w:rsidR="3E75A8D5">
              <w:t>se</w:t>
            </w:r>
            <w:r w:rsidRPr="008921C3">
              <w:t xml:space="preserve"> workshop</w:t>
            </w:r>
            <w:r w:rsidRPr="008921C3" w:rsidR="3E75A8D5">
              <w:t>s</w:t>
            </w:r>
            <w:r w:rsidRPr="008921C3">
              <w:t xml:space="preserve"> will reflect outreach to community organizations.</w:t>
            </w:r>
          </w:p>
        </w:tc>
        <w:tc>
          <w:tcPr>
            <w:tcW w:w="4140" w:type="dxa"/>
            <w:shd w:val="clear" w:color="auto" w:fill="auto"/>
          </w:tcPr>
          <w:p w:rsidRPr="008921C3" w:rsidR="00691528" w:rsidP="00917EC1" w:rsidRDefault="60E90C7A" w14:paraId="79983CF0" w14:textId="74A4D584">
            <w:pPr>
              <w:spacing w:after="240"/>
            </w:pPr>
            <w:r w:rsidRPr="008921C3">
              <w:lastRenderedPageBreak/>
              <w:t>D.20</w:t>
            </w:r>
            <w:r w:rsidR="00E54F5A">
              <w:noBreakHyphen/>
            </w:r>
            <w:r w:rsidRPr="008921C3">
              <w:t>06</w:t>
            </w:r>
            <w:r w:rsidR="00E54F5A">
              <w:noBreakHyphen/>
            </w:r>
            <w:r w:rsidRPr="008921C3">
              <w:t>017, p. 4</w:t>
            </w:r>
            <w:r w:rsidRPr="008921C3" w:rsidR="009A7682">
              <w:t>6</w:t>
            </w:r>
            <w:r w:rsidRPr="008921C3">
              <w:t xml:space="preserve"> (directing utilities to </w:t>
            </w:r>
            <w:r w:rsidRPr="008921C3" w:rsidR="00836D2F">
              <w:t>conduct</w:t>
            </w:r>
            <w:r w:rsidRPr="008921C3">
              <w:t xml:space="preserve"> semi</w:t>
            </w:r>
            <w:r w:rsidR="00E54F5A">
              <w:noBreakHyphen/>
            </w:r>
            <w:r w:rsidRPr="008921C3">
              <w:t xml:space="preserve">annual </w:t>
            </w:r>
            <w:r w:rsidRPr="008921C3" w:rsidR="00836D2F">
              <w:t xml:space="preserve">resiliency planning </w:t>
            </w:r>
            <w:r w:rsidRPr="008921C3">
              <w:t>workshops)</w:t>
            </w:r>
          </w:p>
          <w:p w:rsidRPr="008921C3" w:rsidR="00691528" w:rsidP="00917EC1" w:rsidRDefault="60E90C7A" w14:paraId="518FBA2E" w14:textId="7B3E4547">
            <w:pPr>
              <w:spacing w:after="240"/>
            </w:pPr>
            <w:r w:rsidRPr="008921C3">
              <w:t>D.20</w:t>
            </w:r>
            <w:r w:rsidR="00E54F5A">
              <w:noBreakHyphen/>
            </w:r>
            <w:r w:rsidRPr="008921C3">
              <w:t>06</w:t>
            </w:r>
            <w:r w:rsidR="00E54F5A">
              <w:noBreakHyphen/>
            </w:r>
            <w:r w:rsidRPr="008921C3">
              <w:t xml:space="preserve">017, p. 49 (directing the utilities to “contact any other community organization – such as those that represent and support vulnerable populations like disadvantaged communities . . . that could provide </w:t>
            </w:r>
            <w:r w:rsidRPr="008921C3">
              <w:lastRenderedPageBreak/>
              <w:t>input to enhance engagement on effective selection and implementation of community resiliency”) (citing to CEJA Jan. 30, 2020 Opening Comments on Track 1, p. 10).</w:t>
            </w:r>
          </w:p>
          <w:p w:rsidRPr="008921C3" w:rsidR="00691528" w:rsidP="00917EC1" w:rsidRDefault="60E90C7A" w14:paraId="7A5ED24E" w14:textId="56766A90">
            <w:pPr>
              <w:spacing w:after="240"/>
            </w:pPr>
            <w:r w:rsidRPr="008921C3">
              <w:t>D.20</w:t>
            </w:r>
            <w:r w:rsidR="00E54F5A">
              <w:noBreakHyphen/>
            </w:r>
            <w:r w:rsidRPr="008921C3">
              <w:t>06</w:t>
            </w:r>
            <w:r w:rsidR="00E54F5A">
              <w:noBreakHyphen/>
            </w:r>
            <w:r w:rsidRPr="008921C3">
              <w:t>017, pp. 52</w:t>
            </w:r>
            <w:r w:rsidR="00E54F5A">
              <w:noBreakHyphen/>
            </w:r>
            <w:r w:rsidRPr="008921C3">
              <w:t>53 (directing the utilities to discuss how the required planning session will reflect “[o]utreach to community organizations, including representation of disadvantaged communities”)</w:t>
            </w:r>
          </w:p>
          <w:p w:rsidRPr="008921C3" w:rsidR="004D7A38" w:rsidP="00917EC1" w:rsidRDefault="004D7A38" w14:paraId="241FE597" w14:textId="7826B9B5">
            <w:pPr>
              <w:spacing w:after="240"/>
            </w:pPr>
            <w:r w:rsidRPr="008921C3">
              <w:t>CEJA Jan. 30, 2020 Opening Comments on Track 1, pp. 10</w:t>
            </w:r>
            <w:r w:rsidR="00E54F5A">
              <w:noBreakHyphen/>
            </w:r>
            <w:r w:rsidRPr="008921C3">
              <w:t>11.</w:t>
            </w:r>
          </w:p>
          <w:p w:rsidRPr="008921C3" w:rsidR="00691528" w:rsidP="00917EC1" w:rsidRDefault="004D7A38" w14:paraId="2144B6BD" w14:textId="7F5911D4">
            <w:pPr>
              <w:spacing w:after="240"/>
            </w:pPr>
            <w:r w:rsidRPr="008921C3">
              <w:t>CEJA Feb. 6, 2020 Reply Comments on Track 1, pp. 4</w:t>
            </w:r>
            <w:r w:rsidR="00E54F5A">
              <w:noBreakHyphen/>
            </w:r>
            <w:r w:rsidRPr="008921C3">
              <w:t>5.</w:t>
            </w:r>
          </w:p>
        </w:tc>
        <w:tc>
          <w:tcPr>
            <w:tcW w:w="1355" w:type="dxa"/>
            <w:shd w:val="clear" w:color="auto" w:fill="auto"/>
          </w:tcPr>
          <w:p w:rsidRPr="008921C3" w:rsidR="00691528" w:rsidP="00BF25B4" w:rsidRDefault="00307D85" w14:paraId="64233D9C" w14:textId="04C21B3D">
            <w:pPr>
              <w:spacing w:after="240"/>
              <w:jc w:val="center"/>
            </w:pPr>
            <w:r w:rsidRPr="008921C3">
              <w:lastRenderedPageBreak/>
              <w:t>Verified</w:t>
            </w:r>
          </w:p>
        </w:tc>
      </w:tr>
      <w:tr w:rsidRPr="008921C3" w:rsidR="008921C3" w:rsidTr="00BF25B4" w14:paraId="47608CB1" w14:textId="77777777">
        <w:tc>
          <w:tcPr>
            <w:tcW w:w="3865" w:type="dxa"/>
            <w:shd w:val="clear" w:color="auto" w:fill="auto"/>
          </w:tcPr>
          <w:p w:rsidRPr="008921C3" w:rsidR="05319131" w:rsidP="00917EC1" w:rsidRDefault="05319131" w14:paraId="4D4A7350" w14:textId="1AC0D357">
            <w:pPr>
              <w:spacing w:after="240"/>
            </w:pPr>
            <w:r w:rsidRPr="008921C3">
              <w:t xml:space="preserve">Issue C: </w:t>
            </w:r>
            <w:r w:rsidRPr="008921C3">
              <w:rPr>
                <w:u w:val="single"/>
              </w:rPr>
              <w:t xml:space="preserve">Expanding Eligibility for PG&amp;E’s CMEP Program </w:t>
            </w:r>
          </w:p>
          <w:p w:rsidRPr="008921C3" w:rsidR="05319131" w:rsidP="00917EC1" w:rsidRDefault="05319131" w14:paraId="7E3E3D67" w14:textId="077181BD">
            <w:pPr>
              <w:spacing w:after="240"/>
            </w:pPr>
            <w:r w:rsidRPr="008921C3">
              <w:t xml:space="preserve">CEJA urged </w:t>
            </w:r>
            <w:r w:rsidRPr="008921C3" w:rsidR="003F048F">
              <w:t>the Commission to e</w:t>
            </w:r>
            <w:r w:rsidRPr="008921C3">
              <w:t xml:space="preserve">xpand eligibility criteria for </w:t>
            </w:r>
            <w:r w:rsidRPr="008921C3" w:rsidR="003F048F">
              <w:t>PG&amp;E’s</w:t>
            </w:r>
            <w:r w:rsidRPr="008921C3">
              <w:t xml:space="preserve"> Community Microgrid Enablement Program (CMEP) beyond those areas located in Tier 2 or Tier 3 High Fire Threat Districts. CEJA argued that, under PG&amp;E’s </w:t>
            </w:r>
            <w:r w:rsidRPr="008921C3" w:rsidR="009216BD">
              <w:t xml:space="preserve">proposed </w:t>
            </w:r>
            <w:r w:rsidRPr="008921C3">
              <w:t xml:space="preserve">criteria, communities who were vulnerable to </w:t>
            </w:r>
            <w:r w:rsidRPr="008921C3">
              <w:lastRenderedPageBreak/>
              <w:t xml:space="preserve">PSPS events but </w:t>
            </w:r>
            <w:r w:rsidRPr="008921C3" w:rsidR="009216BD">
              <w:t xml:space="preserve">were not actually located in High Fire Threat Districts </w:t>
            </w:r>
            <w:r w:rsidRPr="008921C3">
              <w:t xml:space="preserve">would be prevented from participating. </w:t>
            </w:r>
          </w:p>
          <w:p w:rsidRPr="008921C3" w:rsidR="05319131" w:rsidP="00917EC1" w:rsidRDefault="05319131" w14:paraId="48F4435E" w14:textId="78C2D2C4">
            <w:pPr>
              <w:spacing w:after="240"/>
            </w:pPr>
            <w:r w:rsidRPr="008921C3">
              <w:t>The Commission agreed with CEJA’s reasoning in holding that eligibility for the CMEP should apply to all areas prone to outage events. Further, the Commission’s direction to PG&amp;E to prioritize vulnerable communities that apply for CMEP funds is in line with CEJA’s request that disadvantaged and vulnerable communities be prioritized in identifying short</w:t>
            </w:r>
            <w:r w:rsidR="00E54F5A">
              <w:noBreakHyphen/>
            </w:r>
            <w:r w:rsidRPr="008921C3">
              <w:t>term solutions in Track 1.</w:t>
            </w:r>
          </w:p>
        </w:tc>
        <w:tc>
          <w:tcPr>
            <w:tcW w:w="4140" w:type="dxa"/>
            <w:shd w:val="clear" w:color="auto" w:fill="auto"/>
          </w:tcPr>
          <w:p w:rsidRPr="008921C3" w:rsidR="00DD3E30" w:rsidP="00917EC1" w:rsidRDefault="00DD3E30" w14:paraId="4983178D" w14:textId="4497C3F6">
            <w:pPr>
              <w:spacing w:after="240"/>
            </w:pPr>
            <w:r w:rsidRPr="008921C3">
              <w:lastRenderedPageBreak/>
              <w:t>D.20</w:t>
            </w:r>
            <w:r w:rsidR="00E54F5A">
              <w:noBreakHyphen/>
            </w:r>
            <w:r w:rsidRPr="008921C3">
              <w:t>06</w:t>
            </w:r>
            <w:r w:rsidR="00E54F5A">
              <w:noBreakHyphen/>
            </w:r>
            <w:r w:rsidRPr="008921C3">
              <w:t>017, p. 85 (“We agree with CEJA that eligibility for CMEP should be expanded to all areas prone to all outage events, not just Tier 2 and 3 HFTDs”)</w:t>
            </w:r>
          </w:p>
          <w:p w:rsidRPr="008921C3" w:rsidR="00DD3E30" w:rsidP="00917EC1" w:rsidRDefault="00DD3E30" w14:paraId="41D5E1D9" w14:textId="78460826">
            <w:pPr>
              <w:spacing w:after="240"/>
            </w:pPr>
            <w:r w:rsidRPr="008921C3">
              <w:t>D.20</w:t>
            </w:r>
            <w:r w:rsidR="00E54F5A">
              <w:noBreakHyphen/>
            </w:r>
            <w:r w:rsidRPr="008921C3">
              <w:t>06</w:t>
            </w:r>
            <w:r w:rsidR="00E54F5A">
              <w:noBreakHyphen/>
            </w:r>
            <w:r w:rsidRPr="008921C3">
              <w:t xml:space="preserve">017, p. 85 (directing PG&amp;E to “incorporate criteria for its CMEP to prioritize vulnerable communities and </w:t>
            </w:r>
            <w:r w:rsidRPr="008921C3">
              <w:lastRenderedPageBreak/>
              <w:t>customers with access and function needs”).</w:t>
            </w:r>
          </w:p>
          <w:p w:rsidRPr="008921C3" w:rsidR="54C34412" w:rsidP="00917EC1" w:rsidRDefault="05319131" w14:paraId="08D15CD8" w14:textId="03A5BDB3">
            <w:pPr>
              <w:spacing w:after="240"/>
            </w:pPr>
            <w:r w:rsidRPr="008921C3">
              <w:t xml:space="preserve">CEJA Jan. 30, 2020 Opening Comments on Track 1, pp. </w:t>
            </w:r>
            <w:r w:rsidRPr="008921C3" w:rsidR="00735BBA">
              <w:t xml:space="preserve">4, </w:t>
            </w:r>
            <w:r w:rsidRPr="008921C3">
              <w:t>17</w:t>
            </w:r>
            <w:r w:rsidR="00E54F5A">
              <w:noBreakHyphen/>
            </w:r>
            <w:r w:rsidRPr="008921C3">
              <w:t>18.</w:t>
            </w:r>
          </w:p>
        </w:tc>
        <w:tc>
          <w:tcPr>
            <w:tcW w:w="1355" w:type="dxa"/>
            <w:shd w:val="clear" w:color="auto" w:fill="auto"/>
          </w:tcPr>
          <w:p w:rsidRPr="008921C3" w:rsidR="54C34412" w:rsidP="00BF25B4" w:rsidRDefault="00307D85" w14:paraId="58CAF587" w14:textId="476039F5">
            <w:pPr>
              <w:spacing w:after="240"/>
              <w:jc w:val="center"/>
            </w:pPr>
            <w:r w:rsidRPr="008921C3">
              <w:lastRenderedPageBreak/>
              <w:t>Verified</w:t>
            </w:r>
          </w:p>
        </w:tc>
      </w:tr>
      <w:tr w:rsidRPr="008921C3" w:rsidR="008921C3" w:rsidTr="00BF25B4" w14:paraId="1CE048F1" w14:textId="77777777">
        <w:tc>
          <w:tcPr>
            <w:tcW w:w="3865" w:type="dxa"/>
            <w:shd w:val="clear" w:color="auto" w:fill="auto"/>
          </w:tcPr>
          <w:p w:rsidRPr="008921C3" w:rsidR="6D23CE06" w:rsidP="00917EC1" w:rsidRDefault="6D23CE06" w14:paraId="0E81BEE3" w14:textId="0862310E">
            <w:pPr>
              <w:spacing w:after="240"/>
            </w:pPr>
            <w:r w:rsidRPr="008921C3">
              <w:t xml:space="preserve">Issue D: </w:t>
            </w:r>
            <w:r w:rsidRPr="008921C3">
              <w:rPr>
                <w:u w:val="single"/>
              </w:rPr>
              <w:t>Improving Interconnection Timelines for Disadvantaged Communities</w:t>
            </w:r>
          </w:p>
          <w:p w:rsidRPr="008921C3" w:rsidR="54C34412" w:rsidP="00917EC1" w:rsidRDefault="794BF2E7" w14:paraId="4DB2CC0C" w14:textId="43C6FE1D">
            <w:pPr>
              <w:spacing w:after="240"/>
            </w:pPr>
            <w:r w:rsidRPr="008921C3">
              <w:t>CEJA pushed the Commission to address the complexity and varying approval times for interconnection queue approvals that lead to high costs and prevent more widespread and rapid development of functioning microgrids. CEJA proposed criteria for prioritizing projects</w:t>
            </w:r>
            <w:r w:rsidRPr="008921C3" w:rsidR="5AA03B98">
              <w:t>, including: (1) projects</w:t>
            </w:r>
            <w:r w:rsidRPr="008921C3">
              <w:t xml:space="preserve"> that directly serve vulnerable and disadvantaged communities</w:t>
            </w:r>
            <w:r w:rsidRPr="008921C3" w:rsidR="55BE90D8">
              <w:t>,</w:t>
            </w:r>
            <w:r w:rsidRPr="008921C3">
              <w:t xml:space="preserve"> or </w:t>
            </w:r>
            <w:r w:rsidRPr="008921C3" w:rsidR="67F1D84F">
              <w:t xml:space="preserve">(2) </w:t>
            </w:r>
            <w:r w:rsidRPr="008921C3">
              <w:t xml:space="preserve">are proposed by and sited in </w:t>
            </w:r>
            <w:r w:rsidRPr="008921C3" w:rsidR="00833FFA">
              <w:t>disadvantaged communities</w:t>
            </w:r>
            <w:r w:rsidRPr="008921C3" w:rsidR="4191D63C">
              <w:t>.</w:t>
            </w:r>
            <w:r w:rsidRPr="008921C3" w:rsidR="102854C9">
              <w:t xml:space="preserve"> </w:t>
            </w:r>
            <w:r w:rsidRPr="008921C3" w:rsidR="4191D63C">
              <w:t xml:space="preserve">CEJA argued that projects meeting those </w:t>
            </w:r>
            <w:r w:rsidRPr="008921C3" w:rsidR="4874DCB0">
              <w:t xml:space="preserve">criteria </w:t>
            </w:r>
            <w:r w:rsidRPr="008921C3">
              <w:t>should be eligible to “queue jump” and receive priority in the interconnection queue</w:t>
            </w:r>
            <w:r w:rsidRPr="008921C3" w:rsidR="4191D63C">
              <w:t xml:space="preserve">. </w:t>
            </w:r>
            <w:r w:rsidRPr="008921C3" w:rsidR="1936E7B0">
              <w:t xml:space="preserve">Further, CEJA endorsed the criteria for “key sites and locations” identified in the ALJ Ruling generally but pushed the Commission </w:t>
            </w:r>
            <w:r w:rsidRPr="008921C3" w:rsidR="1936E7B0">
              <w:lastRenderedPageBreak/>
              <w:t>to adopt a uniform definition of Disadvantaged Communities that utili</w:t>
            </w:r>
            <w:r w:rsidRPr="008921C3" w:rsidR="46B1A1DF">
              <w:t>zes criteria capturing climate risk, population sensitivity, and adap</w:t>
            </w:r>
            <w:r w:rsidRPr="008921C3" w:rsidR="3B5BA205">
              <w:t>tive capacity</w:t>
            </w:r>
            <w:r w:rsidRPr="008921C3" w:rsidR="1936E7B0">
              <w:t>.</w:t>
            </w:r>
          </w:p>
          <w:p w:rsidRPr="008921C3" w:rsidR="00D92267" w:rsidP="00917EC1" w:rsidRDefault="5EE2090A" w14:paraId="66AD2084" w14:textId="1BA101BD">
            <w:pPr>
              <w:spacing w:after="240"/>
            </w:pPr>
            <w:r w:rsidRPr="008921C3">
              <w:t>While the Commission did not adopt queue jumping or CEJA’s proposed alternative criteri</w:t>
            </w:r>
            <w:r w:rsidRPr="008921C3" w:rsidR="65F1709E">
              <w:t>a</w:t>
            </w:r>
            <w:r w:rsidRPr="008921C3">
              <w:t xml:space="preserve"> for determining prioritization in the interconnection process, the Commission adopted </w:t>
            </w:r>
            <w:r w:rsidRPr="008921C3" w:rsidR="44098994">
              <w:t>three</w:t>
            </w:r>
            <w:r w:rsidRPr="008921C3">
              <w:t xml:space="preserve"> </w:t>
            </w:r>
            <w:r w:rsidRPr="008921C3" w:rsidR="00250592">
              <w:t>measures</w:t>
            </w:r>
            <w:r w:rsidRPr="008921C3">
              <w:t xml:space="preserve"> for prioritizing and streamlining interconnection applications for key resiliency projects. The </w:t>
            </w:r>
            <w:r w:rsidRPr="008921C3" w:rsidR="44098994">
              <w:t>three</w:t>
            </w:r>
            <w:r w:rsidRPr="008921C3">
              <w:t xml:space="preserve"> Proposals are aimed at improving interconnection queue processing and simplifying the application process</w:t>
            </w:r>
            <w:r w:rsidRPr="008921C3" w:rsidR="44098994">
              <w:t>.</w:t>
            </w:r>
            <w:r w:rsidRPr="008921C3">
              <w:t xml:space="preserve"> </w:t>
            </w:r>
            <w:r w:rsidRPr="008921C3" w:rsidR="6322243A">
              <w:t xml:space="preserve">While the Commission did not agree with CEJA’s position on interconnection </w:t>
            </w:r>
            <w:r w:rsidRPr="008921C3" w:rsidR="27921C00">
              <w:t>prioritization</w:t>
            </w:r>
            <w:r w:rsidRPr="008921C3" w:rsidR="6322243A">
              <w:t xml:space="preserve">, it did </w:t>
            </w:r>
            <w:r w:rsidRPr="008921C3" w:rsidR="6C947997">
              <w:t>consider queue jumping as a possibl</w:t>
            </w:r>
            <w:r w:rsidRPr="008921C3" w:rsidR="10E73E2F">
              <w:t>e solution</w:t>
            </w:r>
            <w:r w:rsidRPr="008921C3" w:rsidR="003C6FBF">
              <w:t>.</w:t>
            </w:r>
          </w:p>
        </w:tc>
        <w:tc>
          <w:tcPr>
            <w:tcW w:w="4140" w:type="dxa"/>
            <w:shd w:val="clear" w:color="auto" w:fill="auto"/>
          </w:tcPr>
          <w:p w:rsidRPr="008921C3" w:rsidR="6D23CE06" w:rsidP="00917EC1" w:rsidRDefault="6D23CE06" w14:paraId="3C152946" w14:textId="77801462">
            <w:pPr>
              <w:spacing w:after="240"/>
            </w:pPr>
            <w:r w:rsidRPr="008921C3">
              <w:lastRenderedPageBreak/>
              <w:t>CEJA Jan. 30, 2020 Opening Comments on Track 1, pp. 5</w:t>
            </w:r>
            <w:r w:rsidR="00E54F5A">
              <w:noBreakHyphen/>
            </w:r>
            <w:r w:rsidRPr="008921C3">
              <w:t>8.</w:t>
            </w:r>
          </w:p>
          <w:p w:rsidRPr="008921C3" w:rsidR="6D23CE06" w:rsidP="00917EC1" w:rsidRDefault="6D23CE06" w14:paraId="75719D15" w14:textId="5B579C4F">
            <w:pPr>
              <w:spacing w:after="240"/>
            </w:pPr>
            <w:r w:rsidRPr="008921C3">
              <w:t>CEJA Jan. 30, 2020 Opening Comments on Track 1, pp. 8</w:t>
            </w:r>
            <w:r w:rsidR="00E54F5A">
              <w:noBreakHyphen/>
            </w:r>
            <w:r w:rsidRPr="008921C3">
              <w:t>9 (</w:t>
            </w:r>
            <w:r w:rsidRPr="008921C3" w:rsidR="00480F53">
              <w:t>proposing</w:t>
            </w:r>
            <w:r w:rsidRPr="008921C3">
              <w:t xml:space="preserve"> criteri</w:t>
            </w:r>
            <w:r w:rsidRPr="008921C3" w:rsidR="00480F53">
              <w:t>a</w:t>
            </w:r>
            <w:r w:rsidRPr="008921C3">
              <w:t xml:space="preserve"> for prioritizing interconnection projects and definition for disadvantaged communities).</w:t>
            </w:r>
          </w:p>
          <w:p w:rsidRPr="008921C3" w:rsidR="6D23CE06" w:rsidP="00917EC1" w:rsidRDefault="6D23CE06" w14:paraId="08060149" w14:textId="44F692D3">
            <w:pPr>
              <w:spacing w:after="240"/>
            </w:pPr>
            <w:r w:rsidRPr="008921C3">
              <w:t>D</w:t>
            </w:r>
            <w:r w:rsidR="00E54F5A">
              <w:noBreakHyphen/>
            </w:r>
            <w:r w:rsidRPr="008921C3">
              <w:t>20</w:t>
            </w:r>
            <w:r w:rsidR="00E54F5A">
              <w:noBreakHyphen/>
            </w:r>
            <w:r w:rsidRPr="008921C3">
              <w:t>06</w:t>
            </w:r>
            <w:r w:rsidR="00E54F5A">
              <w:noBreakHyphen/>
            </w:r>
            <w:r w:rsidRPr="008921C3">
              <w:t>017, pp. 23</w:t>
            </w:r>
            <w:r w:rsidR="00E54F5A">
              <w:noBreakHyphen/>
            </w:r>
            <w:r w:rsidRPr="008921C3">
              <w:t>32 (discussing Staff Proposals adopted and the Commission’s approach and reasoning).</w:t>
            </w:r>
          </w:p>
          <w:p w:rsidRPr="008921C3" w:rsidR="54C34412" w:rsidP="00917EC1" w:rsidRDefault="6D23CE06" w14:paraId="6E07B47C" w14:textId="3E260AC9">
            <w:pPr>
              <w:spacing w:after="240"/>
            </w:pPr>
            <w:r w:rsidRPr="008921C3">
              <w:t>D</w:t>
            </w:r>
            <w:r w:rsidR="00E54F5A">
              <w:noBreakHyphen/>
            </w:r>
            <w:r w:rsidRPr="008921C3">
              <w:t>20</w:t>
            </w:r>
            <w:r w:rsidR="00E54F5A">
              <w:noBreakHyphen/>
            </w:r>
            <w:r w:rsidRPr="008921C3">
              <w:t>06</w:t>
            </w:r>
            <w:r w:rsidR="00E54F5A">
              <w:noBreakHyphen/>
            </w:r>
            <w:r w:rsidRPr="008921C3">
              <w:t>017, pp. 30</w:t>
            </w:r>
            <w:r w:rsidR="00E54F5A">
              <w:noBreakHyphen/>
            </w:r>
            <w:r w:rsidRPr="008921C3">
              <w:t>32 (</w:t>
            </w:r>
            <w:r w:rsidRPr="008921C3" w:rsidR="001B3266">
              <w:t xml:space="preserve">declining to adopt queue jumping </w:t>
            </w:r>
            <w:r w:rsidRPr="008921C3" w:rsidR="00896446">
              <w:t xml:space="preserve">at this stage </w:t>
            </w:r>
            <w:r w:rsidRPr="008921C3">
              <w:t xml:space="preserve">because </w:t>
            </w:r>
            <w:r w:rsidRPr="008921C3" w:rsidR="00896446">
              <w:t xml:space="preserve">it could </w:t>
            </w:r>
            <w:r w:rsidRPr="008921C3" w:rsidR="00DA53FF">
              <w:t>r</w:t>
            </w:r>
            <w:r w:rsidRPr="008921C3">
              <w:t xml:space="preserve">esult in </w:t>
            </w:r>
            <w:r w:rsidRPr="008921C3" w:rsidR="00DA53FF">
              <w:t>“</w:t>
            </w:r>
            <w:r w:rsidRPr="008921C3">
              <w:t>cost allocation and administrative issues that should be dealt with prior to queue jumping implementation</w:t>
            </w:r>
            <w:r w:rsidRPr="008921C3" w:rsidR="00896446">
              <w:t>”</w:t>
            </w:r>
            <w:r w:rsidRPr="008921C3">
              <w:t>).</w:t>
            </w:r>
          </w:p>
        </w:tc>
        <w:tc>
          <w:tcPr>
            <w:tcW w:w="1355" w:type="dxa"/>
            <w:shd w:val="clear" w:color="auto" w:fill="auto"/>
          </w:tcPr>
          <w:p w:rsidRPr="008921C3" w:rsidR="54C34412" w:rsidP="00BF25B4" w:rsidRDefault="00307D85" w14:paraId="2465FC95" w14:textId="656312A8">
            <w:pPr>
              <w:spacing w:after="240"/>
              <w:jc w:val="center"/>
            </w:pPr>
            <w:r w:rsidRPr="008921C3">
              <w:t>Verified</w:t>
            </w:r>
          </w:p>
        </w:tc>
      </w:tr>
      <w:tr w:rsidRPr="008921C3" w:rsidR="008921C3" w:rsidTr="00BF25B4" w14:paraId="49D43C0C" w14:textId="77777777">
        <w:tc>
          <w:tcPr>
            <w:tcW w:w="3865" w:type="dxa"/>
            <w:shd w:val="clear" w:color="auto" w:fill="auto"/>
          </w:tcPr>
          <w:p w:rsidRPr="008921C3" w:rsidR="54C34412" w:rsidP="00917EC1" w:rsidRDefault="4687C21D" w14:paraId="5FF1E557" w14:textId="5E50549E">
            <w:pPr>
              <w:spacing w:after="240"/>
            </w:pPr>
            <w:r w:rsidRPr="008921C3">
              <w:t xml:space="preserve">Issue E: </w:t>
            </w:r>
            <w:r w:rsidRPr="008921C3">
              <w:rPr>
                <w:u w:val="single"/>
              </w:rPr>
              <w:t>Long</w:t>
            </w:r>
            <w:r w:rsidR="00E54F5A">
              <w:rPr>
                <w:u w:val="single"/>
              </w:rPr>
              <w:noBreakHyphen/>
            </w:r>
            <w:r w:rsidRPr="008921C3">
              <w:rPr>
                <w:u w:val="single"/>
              </w:rPr>
              <w:t>Term Fossil Fuel Use in Temporary Generation</w:t>
            </w:r>
          </w:p>
          <w:p w:rsidRPr="008921C3" w:rsidR="4687C21D" w:rsidP="00917EC1" w:rsidRDefault="20117D19" w14:paraId="3949D429" w14:textId="08BB9314">
            <w:pPr>
              <w:spacing w:after="240"/>
            </w:pPr>
            <w:r w:rsidRPr="008921C3">
              <w:t xml:space="preserve">CEJA </w:t>
            </w:r>
            <w:r w:rsidRPr="008921C3" w:rsidR="087D4EFB">
              <w:t xml:space="preserve">urged </w:t>
            </w:r>
            <w:r w:rsidRPr="008921C3">
              <w:t xml:space="preserve">the Commission </w:t>
            </w:r>
            <w:r w:rsidRPr="008921C3" w:rsidR="087D4EFB">
              <w:t xml:space="preserve">to require utilities to </w:t>
            </w:r>
            <w:r w:rsidRPr="008921C3" w:rsidR="56E2D235">
              <w:t>use zero</w:t>
            </w:r>
            <w:r w:rsidR="00E54F5A">
              <w:noBreakHyphen/>
            </w:r>
            <w:r w:rsidRPr="008921C3" w:rsidR="56E2D235">
              <w:t xml:space="preserve">emission backup generation, instead of the fossil fuel and </w:t>
            </w:r>
            <w:r w:rsidRPr="008921C3" w:rsidR="00890C55">
              <w:t>bio</w:t>
            </w:r>
            <w:r w:rsidRPr="008921C3" w:rsidR="56E2D235">
              <w:t>fuel options that the utilities proposed. CEJA argued that</w:t>
            </w:r>
            <w:r w:rsidRPr="008921C3" w:rsidR="087D4EFB">
              <w:t xml:space="preserve"> </w:t>
            </w:r>
            <w:r w:rsidRPr="008921C3" w:rsidR="7D05EE8E">
              <w:t>zero</w:t>
            </w:r>
            <w:r w:rsidR="00E54F5A">
              <w:noBreakHyphen/>
            </w:r>
            <w:r w:rsidRPr="008921C3" w:rsidR="7D05EE8E">
              <w:t>emission</w:t>
            </w:r>
            <w:r w:rsidRPr="008921C3">
              <w:t xml:space="preserve"> </w:t>
            </w:r>
            <w:r w:rsidRPr="008921C3" w:rsidR="56E2D235">
              <w:t xml:space="preserve">generation </w:t>
            </w:r>
            <w:r w:rsidRPr="008921C3">
              <w:t>would</w:t>
            </w:r>
            <w:r w:rsidRPr="008921C3" w:rsidR="56E2D235">
              <w:t xml:space="preserve"> </w:t>
            </w:r>
            <w:r w:rsidRPr="008921C3">
              <w:t>reduce</w:t>
            </w:r>
            <w:r w:rsidRPr="008921C3" w:rsidR="49A6591A">
              <w:t xml:space="preserve"> local</w:t>
            </w:r>
            <w:r w:rsidRPr="008921C3">
              <w:t xml:space="preserve"> air pollution and GHG </w:t>
            </w:r>
            <w:r w:rsidRPr="008921C3" w:rsidR="28321894">
              <w:t>emissions and</w:t>
            </w:r>
            <w:r w:rsidRPr="008921C3" w:rsidR="2D86D6FA">
              <w:t xml:space="preserve"> would reduce</w:t>
            </w:r>
            <w:r w:rsidRPr="008921C3">
              <w:t xml:space="preserve"> the disproportionate impacts of pollution on vulnerable communities. In response to the</w:t>
            </w:r>
            <w:r w:rsidRPr="008921C3" w:rsidR="2D86D6FA">
              <w:t xml:space="preserve"> proposed </w:t>
            </w:r>
            <w:r w:rsidRPr="008921C3">
              <w:t>Interim Approach, CEJA asked the Commission to clarify</w:t>
            </w:r>
            <w:r w:rsidRPr="008921C3" w:rsidR="229E495E">
              <w:t xml:space="preserve"> and strengthen</w:t>
            </w:r>
            <w:r w:rsidRPr="008921C3">
              <w:t xml:space="preserve"> its percentage based GHG </w:t>
            </w:r>
            <w:r w:rsidRPr="008921C3" w:rsidR="4E067A5A">
              <w:t>emissions targets and</w:t>
            </w:r>
            <w:r w:rsidRPr="008921C3">
              <w:t xml:space="preserve"> advocated against the use </w:t>
            </w:r>
            <w:r w:rsidRPr="008921C3" w:rsidR="3729BDB3">
              <w:t xml:space="preserve">of </w:t>
            </w:r>
            <w:r w:rsidRPr="008921C3">
              <w:t xml:space="preserve">Tier 2 Diesel as a baseline for </w:t>
            </w:r>
            <w:r w:rsidRPr="008921C3">
              <w:lastRenderedPageBreak/>
              <w:t xml:space="preserve">GHG emissions reductions because it would be insufficiently protective.   </w:t>
            </w:r>
          </w:p>
          <w:p w:rsidRPr="008921C3" w:rsidR="006D26E2" w:rsidP="00917EC1" w:rsidRDefault="000B5B56" w14:paraId="53F630B6" w14:textId="3F2CB186">
            <w:pPr>
              <w:spacing w:after="240"/>
            </w:pPr>
            <w:r w:rsidRPr="008921C3">
              <w:t>D.21</w:t>
            </w:r>
            <w:r w:rsidR="00E54F5A">
              <w:noBreakHyphen/>
            </w:r>
            <w:r w:rsidRPr="008921C3">
              <w:t>01</w:t>
            </w:r>
            <w:r w:rsidR="00E54F5A">
              <w:noBreakHyphen/>
            </w:r>
            <w:r w:rsidRPr="008921C3">
              <w:t xml:space="preserve">018 approved an Interim Approach </w:t>
            </w:r>
            <w:r w:rsidRPr="008921C3" w:rsidR="00D4321A">
              <w:t xml:space="preserve">for </w:t>
            </w:r>
            <w:r w:rsidRPr="008921C3" w:rsidR="00CC24EA">
              <w:t>m</w:t>
            </w:r>
            <w:r w:rsidRPr="008921C3" w:rsidR="00D4321A">
              <w:t xml:space="preserve">inimizing </w:t>
            </w:r>
            <w:r w:rsidRPr="008921C3" w:rsidR="00CC24EA">
              <w:t>e</w:t>
            </w:r>
            <w:r w:rsidRPr="008921C3" w:rsidR="00D4321A">
              <w:t xml:space="preserve">missions </w:t>
            </w:r>
            <w:r w:rsidRPr="008921C3" w:rsidR="00CC24EA">
              <w:t>from generation during transmission outages. Though this Interim Approach allows utilities to procure fossil fuel</w:t>
            </w:r>
            <w:r w:rsidR="00E54F5A">
              <w:noBreakHyphen/>
            </w:r>
            <w:r w:rsidRPr="008921C3" w:rsidR="00CC24EA">
              <w:t>powered backup generation in 2021,</w:t>
            </w:r>
            <w:r w:rsidRPr="008921C3" w:rsidR="4687C21D">
              <w:t xml:space="preserve"> </w:t>
            </w:r>
            <w:r w:rsidRPr="008921C3" w:rsidR="00CC24EA">
              <w:t>the Commission</w:t>
            </w:r>
            <w:r w:rsidRPr="008921C3" w:rsidR="4687C21D">
              <w:t xml:space="preserve"> </w:t>
            </w:r>
            <w:r w:rsidRPr="008921C3" w:rsidR="006D26E2">
              <w:t xml:space="preserve">responded to </w:t>
            </w:r>
            <w:r w:rsidRPr="008921C3" w:rsidR="4687C21D">
              <w:t xml:space="preserve">CEJA’s </w:t>
            </w:r>
            <w:r w:rsidRPr="008921C3" w:rsidR="00B91D10">
              <w:t>concerns by</w:t>
            </w:r>
            <w:r w:rsidRPr="008921C3" w:rsidR="4687C21D">
              <w:t xml:space="preserve"> </w:t>
            </w:r>
            <w:r w:rsidRPr="008921C3" w:rsidR="00E23BED">
              <w:t xml:space="preserve">establishing more </w:t>
            </w:r>
            <w:r w:rsidRPr="008921C3" w:rsidR="00230BD0">
              <w:t>protective</w:t>
            </w:r>
            <w:r w:rsidRPr="008921C3" w:rsidR="00E23BED">
              <w:t xml:space="preserve"> emissions standards for generation in 2022 and beyond</w:t>
            </w:r>
            <w:r w:rsidRPr="008921C3" w:rsidR="00230BD0">
              <w:t xml:space="preserve"> </w:t>
            </w:r>
            <w:r w:rsidRPr="008921C3" w:rsidR="00E23BED">
              <w:t xml:space="preserve">and </w:t>
            </w:r>
            <w:r w:rsidRPr="008921C3" w:rsidR="006D26E2">
              <w:t xml:space="preserve">requiring utilities to develop </w:t>
            </w:r>
            <w:r w:rsidRPr="008921C3" w:rsidR="009A0587">
              <w:t xml:space="preserve">plans to establish clean </w:t>
            </w:r>
            <w:r w:rsidRPr="008921C3" w:rsidR="00141A30">
              <w:t xml:space="preserve">substation </w:t>
            </w:r>
            <w:r w:rsidRPr="008921C3" w:rsidR="009A0587">
              <w:t>microgrid</w:t>
            </w:r>
            <w:r w:rsidRPr="008921C3" w:rsidR="00141A30">
              <w:t xml:space="preserve">s. </w:t>
            </w:r>
            <w:r w:rsidRPr="008921C3" w:rsidR="00891C00">
              <w:t xml:space="preserve">The Interim Approach also set forth a </w:t>
            </w:r>
            <w:r w:rsidRPr="008921C3" w:rsidR="00FC52B5">
              <w:t xml:space="preserve">process to transition to clean generation after 2021. </w:t>
            </w:r>
          </w:p>
          <w:p w:rsidRPr="008921C3" w:rsidR="003E4900" w:rsidP="00917EC1" w:rsidRDefault="4687C21D" w14:paraId="60FC5559" w14:textId="4818D4E6">
            <w:pPr>
              <w:spacing w:after="240"/>
            </w:pPr>
            <w:r w:rsidRPr="008921C3">
              <w:t xml:space="preserve">In response to CEJA’s concern over the </w:t>
            </w:r>
            <w:r w:rsidRPr="008921C3" w:rsidR="00BA227A">
              <w:t>adequacy</w:t>
            </w:r>
            <w:r w:rsidRPr="008921C3">
              <w:t xml:space="preserve"> of the percentage based GHG emissions reductions, the </w:t>
            </w:r>
            <w:r w:rsidRPr="008921C3" w:rsidR="00FF0E11">
              <w:t>Commission</w:t>
            </w:r>
            <w:r w:rsidRPr="008921C3">
              <w:t xml:space="preserve"> removed them in its final </w:t>
            </w:r>
            <w:r w:rsidRPr="008921C3" w:rsidR="00FF0E11">
              <w:t xml:space="preserve">decision and instead </w:t>
            </w:r>
            <w:r w:rsidRPr="008921C3" w:rsidR="00330539">
              <w:t xml:space="preserve">adopted </w:t>
            </w:r>
            <w:r w:rsidRPr="008921C3" w:rsidR="00B13F73">
              <w:t xml:space="preserve">a standard based on the GHG emissions </w:t>
            </w:r>
            <w:r w:rsidRPr="008921C3" w:rsidR="00330539">
              <w:t>of the grid</w:t>
            </w:r>
            <w:r w:rsidRPr="008921C3">
              <w:t>. The Commission adopted a standard in relation to overall grid GHG emissions rather than Tier 2 Diesel, as CEJA requested</w:t>
            </w:r>
            <w:r w:rsidRPr="008921C3" w:rsidR="000D3416">
              <w:t>.</w:t>
            </w:r>
          </w:p>
        </w:tc>
        <w:tc>
          <w:tcPr>
            <w:tcW w:w="4140" w:type="dxa"/>
            <w:shd w:val="clear" w:color="auto" w:fill="auto"/>
          </w:tcPr>
          <w:p w:rsidRPr="008921C3" w:rsidR="00CF586F" w:rsidP="00917EC1" w:rsidRDefault="00CF586F" w14:paraId="3FF2A7C2" w14:textId="1D59F662">
            <w:pPr>
              <w:spacing w:after="240"/>
            </w:pPr>
            <w:r w:rsidRPr="008921C3">
              <w:lastRenderedPageBreak/>
              <w:t>D.21</w:t>
            </w:r>
            <w:r w:rsidR="00E54F5A">
              <w:noBreakHyphen/>
            </w:r>
            <w:r w:rsidRPr="008921C3">
              <w:t>01</w:t>
            </w:r>
            <w:r w:rsidR="00E54F5A">
              <w:noBreakHyphen/>
            </w:r>
            <w:r w:rsidRPr="008921C3">
              <w:t>018, p. A</w:t>
            </w:r>
            <w:r w:rsidR="00E54F5A">
              <w:noBreakHyphen/>
            </w:r>
            <w:r w:rsidRPr="008921C3">
              <w:t>2 to A</w:t>
            </w:r>
            <w:r w:rsidR="00E54F5A">
              <w:noBreakHyphen/>
            </w:r>
            <w:r w:rsidRPr="008921C3">
              <w:t>3 (allowing IOUs in 2021 to contract for generation for up to 3 years only if generation reduces particulate matter and NOx emissions by 90% as compared to Tier 2 diesel).</w:t>
            </w:r>
          </w:p>
          <w:p w:rsidRPr="008921C3" w:rsidR="00CF586F" w:rsidP="00917EC1" w:rsidRDefault="00CF586F" w14:paraId="5C8717C2" w14:textId="07C0A1BC">
            <w:pPr>
              <w:spacing w:after="240"/>
            </w:pPr>
            <w:r w:rsidRPr="008921C3">
              <w:t>D.21</w:t>
            </w:r>
            <w:r w:rsidR="00E54F5A">
              <w:noBreakHyphen/>
            </w:r>
            <w:r w:rsidRPr="008921C3">
              <w:t>01</w:t>
            </w:r>
            <w:r w:rsidR="00E54F5A">
              <w:noBreakHyphen/>
            </w:r>
            <w:r w:rsidRPr="008921C3">
              <w:t>018, A</w:t>
            </w:r>
            <w:r w:rsidR="00E54F5A">
              <w:noBreakHyphen/>
            </w:r>
            <w:r w:rsidRPr="008921C3">
              <w:t xml:space="preserve">3 (considering the “particularly high emissions of harmful air pollutants” from diesel to justify the Commission’s expectation that utilities minimize its use).  </w:t>
            </w:r>
          </w:p>
          <w:p w:rsidRPr="008921C3" w:rsidR="4687C21D" w:rsidP="00917EC1" w:rsidRDefault="4687C21D" w14:paraId="20F2F3CB" w14:textId="30801F9E">
            <w:pPr>
              <w:spacing w:after="240"/>
            </w:pPr>
            <w:r w:rsidRPr="008921C3">
              <w:t>D.21</w:t>
            </w:r>
            <w:r w:rsidR="00E54F5A">
              <w:noBreakHyphen/>
            </w:r>
            <w:r w:rsidRPr="008921C3">
              <w:t>01</w:t>
            </w:r>
            <w:r w:rsidR="00E54F5A">
              <w:noBreakHyphen/>
            </w:r>
            <w:r w:rsidRPr="008921C3">
              <w:t>018, Appendix A, p. A</w:t>
            </w:r>
            <w:r w:rsidR="00E54F5A">
              <w:noBreakHyphen/>
            </w:r>
            <w:r w:rsidRPr="008921C3">
              <w:t xml:space="preserve">5, (requiring GHG emissions to be “roughly equivalent to, or less than, emissions from the current grid mix” and completed permanent projects to </w:t>
            </w:r>
            <w:r w:rsidRPr="008921C3">
              <w:lastRenderedPageBreak/>
              <w:t>“demonstrate a fully renewable microgrid”).</w:t>
            </w:r>
          </w:p>
          <w:p w:rsidRPr="008921C3" w:rsidR="4687C21D" w:rsidP="00917EC1" w:rsidRDefault="4687C21D" w14:paraId="01F07DE5" w14:textId="2D2F7B1A">
            <w:pPr>
              <w:spacing w:after="240"/>
            </w:pPr>
            <w:r w:rsidRPr="008921C3">
              <w:t>D.21</w:t>
            </w:r>
            <w:r w:rsidR="00E54F5A">
              <w:noBreakHyphen/>
            </w:r>
            <w:r w:rsidRPr="008921C3">
              <w:t>01</w:t>
            </w:r>
            <w:r w:rsidR="00E54F5A">
              <w:noBreakHyphen/>
            </w:r>
            <w:r w:rsidRPr="008921C3">
              <w:t>018, A</w:t>
            </w:r>
            <w:r w:rsidR="00E54F5A">
              <w:noBreakHyphen/>
            </w:r>
            <w:r w:rsidRPr="008921C3">
              <w:t>6</w:t>
            </w:r>
            <w:r w:rsidRPr="008921C3" w:rsidR="00230BD0">
              <w:t xml:space="preserve"> to</w:t>
            </w:r>
            <w:r w:rsidRPr="008921C3">
              <w:t xml:space="preserve"> A</w:t>
            </w:r>
            <w:r w:rsidR="00E54F5A">
              <w:noBreakHyphen/>
            </w:r>
            <w:r w:rsidRPr="008921C3">
              <w:t>8 (setting forth requirements for utilities’ June 2021 application declaring details of planned transition to clean temporary generation</w:t>
            </w:r>
            <w:r w:rsidRPr="008921C3" w:rsidR="00825D43">
              <w:t xml:space="preserve"> in 2022</w:t>
            </w:r>
            <w:r w:rsidRPr="008921C3">
              <w:t>).</w:t>
            </w:r>
          </w:p>
          <w:p w:rsidRPr="008921C3" w:rsidR="4687C21D" w:rsidP="00917EC1" w:rsidRDefault="20117D19" w14:paraId="18CEBB38" w14:textId="356AA88F">
            <w:pPr>
              <w:spacing w:after="240"/>
            </w:pPr>
            <w:r w:rsidRPr="008921C3">
              <w:t>CEJA Sept. 25, 2020 Opening Comments on Minimizing Emissions from Generation During Outages, p</w:t>
            </w:r>
            <w:r w:rsidRPr="008921C3" w:rsidR="29AFBC8A">
              <w:t>p</w:t>
            </w:r>
            <w:r w:rsidRPr="008921C3">
              <w:t>. 3</w:t>
            </w:r>
            <w:r w:rsidR="00E54F5A">
              <w:noBreakHyphen/>
            </w:r>
            <w:r w:rsidRPr="008921C3" w:rsidR="00002665">
              <w:t>6</w:t>
            </w:r>
            <w:r w:rsidRPr="008921C3">
              <w:t xml:space="preserve">, 11 (asking Commission to </w:t>
            </w:r>
            <w:r w:rsidRPr="008921C3" w:rsidR="00FD126A">
              <w:t>prioritize</w:t>
            </w:r>
            <w:r w:rsidRPr="008921C3">
              <w:t xml:space="preserve"> renewable backup generation due to health and environmental impacts of fossil fuels on disadvantaged communities)</w:t>
            </w:r>
            <w:r w:rsidRPr="008921C3" w:rsidR="679F4078">
              <w:t>.</w:t>
            </w:r>
            <w:r w:rsidRPr="008921C3">
              <w:t xml:space="preserve">   </w:t>
            </w:r>
          </w:p>
          <w:p w:rsidRPr="008921C3" w:rsidR="54C34412" w:rsidP="00917EC1" w:rsidRDefault="20117D19" w14:paraId="34769DC7" w14:textId="5BD75AAD">
            <w:pPr>
              <w:spacing w:after="240"/>
            </w:pPr>
            <w:r w:rsidRPr="008921C3">
              <w:t xml:space="preserve">CEJA Sept. 25, 2020 Opening Comments on Minimizing Emissions from Generation During Outages, p. 6 (discussing SDG&amp;E Generator Grant Program providing renewable generators to customers as an example of a feasible solution for disadvantaged ratepayers). </w:t>
            </w:r>
          </w:p>
          <w:p w:rsidRPr="008921C3" w:rsidR="54C34412" w:rsidP="00917EC1" w:rsidRDefault="20117D19" w14:paraId="400AD888" w14:textId="14E03F32">
            <w:pPr>
              <w:spacing w:after="240"/>
            </w:pPr>
            <w:r w:rsidRPr="008921C3">
              <w:t>CEJA Sept. 25, 2020 Opening Comments on Minimizing Emissions from Generation During Outages, p</w:t>
            </w:r>
            <w:r w:rsidRPr="008921C3" w:rsidR="17EBD020">
              <w:t>p</w:t>
            </w:r>
            <w:r w:rsidRPr="008921C3">
              <w:t>. 16</w:t>
            </w:r>
            <w:r w:rsidR="00E54F5A">
              <w:noBreakHyphen/>
            </w:r>
            <w:r w:rsidRPr="008921C3">
              <w:t xml:space="preserve">17 (finding the Interim Approach proposal’s percentage based GHG goals ambiguous and asking for clarification as to when generation assets must meet the targets). </w:t>
            </w:r>
          </w:p>
          <w:p w:rsidRPr="008921C3" w:rsidR="4687C21D" w:rsidP="00917EC1" w:rsidRDefault="4687C21D" w14:paraId="20ECDBC3" w14:textId="77777777">
            <w:pPr>
              <w:spacing w:after="240"/>
            </w:pPr>
            <w:r w:rsidRPr="008921C3">
              <w:t>CEJA Oct. 2, 2020 Reply Comments on Minimizing Emissions from Generation During Outages, p. 12 (advocating against Tier 2 Diesel as a baseline for GHG emissions reductions).</w:t>
            </w:r>
          </w:p>
          <w:p w:rsidRPr="008921C3" w:rsidR="008733E0" w:rsidP="00917EC1" w:rsidRDefault="008733E0" w14:paraId="6B17037E" w14:textId="4F4E6A28">
            <w:pPr>
              <w:spacing w:after="240"/>
            </w:pPr>
            <w:r w:rsidRPr="008921C3">
              <w:lastRenderedPageBreak/>
              <w:t>CEJA Oct. 2, 2020 Reply Comments on Minimizing Emissions from Generation During Outages, p. 6</w:t>
            </w:r>
            <w:r w:rsidR="00E54F5A">
              <w:noBreakHyphen/>
            </w:r>
            <w:r w:rsidRPr="008921C3">
              <w:t>9</w:t>
            </w:r>
            <w:r w:rsidRPr="008921C3" w:rsidR="007068F2">
              <w:t>.</w:t>
            </w:r>
          </w:p>
        </w:tc>
        <w:tc>
          <w:tcPr>
            <w:tcW w:w="1355" w:type="dxa"/>
            <w:shd w:val="clear" w:color="auto" w:fill="auto"/>
          </w:tcPr>
          <w:p w:rsidRPr="008921C3" w:rsidR="54C34412" w:rsidP="00BF25B4" w:rsidRDefault="00307D85" w14:paraId="13DCFE92" w14:textId="18856DA2">
            <w:pPr>
              <w:spacing w:after="240"/>
              <w:jc w:val="center"/>
            </w:pPr>
            <w:r w:rsidRPr="008921C3">
              <w:lastRenderedPageBreak/>
              <w:t>Verified</w:t>
            </w:r>
          </w:p>
        </w:tc>
      </w:tr>
      <w:tr w:rsidRPr="008921C3" w:rsidR="008921C3" w:rsidTr="00BF25B4" w14:paraId="56708CD7" w14:textId="77777777">
        <w:tc>
          <w:tcPr>
            <w:tcW w:w="3865" w:type="dxa"/>
            <w:shd w:val="clear" w:color="auto" w:fill="auto"/>
          </w:tcPr>
          <w:p w:rsidRPr="008921C3" w:rsidR="54C34412" w:rsidP="00917EC1" w:rsidRDefault="4687C21D" w14:paraId="3BAA4107" w14:textId="4BFA0721">
            <w:pPr>
              <w:spacing w:after="240"/>
            </w:pPr>
            <w:r w:rsidRPr="008921C3">
              <w:lastRenderedPageBreak/>
              <w:t xml:space="preserve">Issue F: </w:t>
            </w:r>
            <w:r w:rsidRPr="008921C3">
              <w:rPr>
                <w:u w:val="single"/>
              </w:rPr>
              <w:t>Microgrid Incentive Program: Scoring and Prioritization Criteria</w:t>
            </w:r>
            <w:r w:rsidRPr="008921C3">
              <w:t xml:space="preserve"> </w:t>
            </w:r>
          </w:p>
          <w:p w:rsidRPr="008921C3" w:rsidR="54C34412" w:rsidP="00917EC1" w:rsidRDefault="4687C21D" w14:paraId="0BB40395" w14:textId="791F84B9">
            <w:pPr>
              <w:spacing w:after="240"/>
            </w:pPr>
            <w:r w:rsidRPr="008921C3">
              <w:t xml:space="preserve">CEJA strongly advocated for a scoring priority system for determining microgrid project eligibility and </w:t>
            </w:r>
            <w:r w:rsidRPr="008921C3" w:rsidR="00EE64E8">
              <w:t>argued that</w:t>
            </w:r>
            <w:r w:rsidRPr="008921C3">
              <w:t xml:space="preserve"> the scoring prioritization system </w:t>
            </w:r>
            <w:r w:rsidRPr="008921C3" w:rsidR="00EE64E8">
              <w:t xml:space="preserve">should </w:t>
            </w:r>
            <w:r w:rsidRPr="008921C3">
              <w:t>be developed through a stakeholder process, stating that developed criteria “must allow meaningful prioritization of vulnerable and disadvantaged communities.” The Commission agreed.</w:t>
            </w:r>
          </w:p>
          <w:p w:rsidRPr="008921C3" w:rsidR="4687C21D" w:rsidP="00917EC1" w:rsidRDefault="4687C21D" w14:paraId="0E21E706" w14:textId="27951F28">
            <w:pPr>
              <w:spacing w:after="240"/>
            </w:pPr>
            <w:r w:rsidRPr="008921C3">
              <w:t>CEJA provided follow</w:t>
            </w:r>
            <w:r w:rsidR="00E54F5A">
              <w:noBreakHyphen/>
            </w:r>
            <w:r w:rsidRPr="008921C3">
              <w:t xml:space="preserve">up recommendations for the development and implementation of this process, including specifying that development should occur through a public stakeholder workshop and identifying specific ways to develop on Staff’s proposed criteria. The Commission adopted CEJA’s proposal of using public workshops to develop </w:t>
            </w:r>
            <w:r w:rsidRPr="008921C3" w:rsidR="00EE64E8">
              <w:t xml:space="preserve">eligibility </w:t>
            </w:r>
            <w:r w:rsidRPr="008921C3">
              <w:t>criteria.</w:t>
            </w:r>
          </w:p>
          <w:p w:rsidRPr="008921C3" w:rsidR="4687C21D" w:rsidP="00917EC1" w:rsidRDefault="4687C21D" w14:paraId="4A0728C9" w14:textId="3C4640CB">
            <w:pPr>
              <w:spacing w:after="240"/>
            </w:pPr>
            <w:r w:rsidRPr="008921C3">
              <w:t xml:space="preserve">CEJA also proposed an alternative definition of critical facilities eligible for the Microgrid Incentive Program, stressing that certain facilities such as community centers and libraries play a critical role in safety during power shutoffs and extreme heat events, and can provide additional benefits to multiple consumers if included in microgrid projects. While the Commission did not agree with </w:t>
            </w:r>
            <w:r w:rsidRPr="008921C3">
              <w:lastRenderedPageBreak/>
              <w:t>CEJA’s position, it did make note of CEJA’s contributions on that topic and addressed the issue.</w:t>
            </w:r>
          </w:p>
        </w:tc>
        <w:tc>
          <w:tcPr>
            <w:tcW w:w="4140" w:type="dxa"/>
            <w:shd w:val="clear" w:color="auto" w:fill="auto"/>
          </w:tcPr>
          <w:p w:rsidRPr="008921C3" w:rsidR="54C34412" w:rsidP="00917EC1" w:rsidRDefault="20117D19" w14:paraId="25A5B456" w14:textId="13D827F1">
            <w:pPr>
              <w:spacing w:after="240"/>
            </w:pPr>
            <w:r w:rsidRPr="008921C3">
              <w:lastRenderedPageBreak/>
              <w:t>D. 21</w:t>
            </w:r>
            <w:r w:rsidR="00E54F5A">
              <w:noBreakHyphen/>
            </w:r>
            <w:r w:rsidRPr="008921C3">
              <w:t>01</w:t>
            </w:r>
            <w:r w:rsidR="00E54F5A">
              <w:noBreakHyphen/>
            </w:r>
            <w:r w:rsidRPr="008921C3">
              <w:t>018 Track 2, p</w:t>
            </w:r>
            <w:r w:rsidRPr="008921C3" w:rsidR="7CB9347C">
              <w:t>p</w:t>
            </w:r>
            <w:r w:rsidRPr="008921C3">
              <w:t>. 64</w:t>
            </w:r>
            <w:r w:rsidR="00E54F5A">
              <w:noBreakHyphen/>
            </w:r>
            <w:r w:rsidRPr="008921C3">
              <w:t>65 (adopting a scoring system that targets projects for “resiliency and equity,” and stating that “the scoring criteria shall be developed through a stakeholder process during the working groups and/or public workshops”).</w:t>
            </w:r>
          </w:p>
          <w:p w:rsidRPr="008921C3" w:rsidR="54C34412" w:rsidP="00917EC1" w:rsidRDefault="4687C21D" w14:paraId="6B7F0660" w14:textId="4E4449F3">
            <w:pPr>
              <w:spacing w:after="240"/>
            </w:pPr>
            <w:r w:rsidRPr="008921C3">
              <w:t>D. 21</w:t>
            </w:r>
            <w:r w:rsidR="00E54F5A">
              <w:noBreakHyphen/>
            </w:r>
            <w:r w:rsidRPr="008921C3">
              <w:t>01</w:t>
            </w:r>
            <w:r w:rsidR="00E54F5A">
              <w:noBreakHyphen/>
            </w:r>
            <w:r w:rsidRPr="008921C3">
              <w:t>018</w:t>
            </w:r>
            <w:r w:rsidRPr="008921C3" w:rsidR="00931317">
              <w:t>,</w:t>
            </w:r>
            <w:r w:rsidRPr="008921C3">
              <w:t xml:space="preserve"> p. 61 (instructing the IOUs to develop </w:t>
            </w:r>
            <w:r w:rsidRPr="008921C3" w:rsidR="00635DAF">
              <w:t xml:space="preserve">Microgrid Incentive Program implementation </w:t>
            </w:r>
            <w:r w:rsidRPr="008921C3">
              <w:t>details, including scoring criteria through “public workshops”).</w:t>
            </w:r>
          </w:p>
          <w:p w:rsidRPr="008921C3" w:rsidR="54C34412" w:rsidP="00917EC1" w:rsidRDefault="4687C21D" w14:paraId="1CDD670D" w14:textId="354D3C05">
            <w:pPr>
              <w:spacing w:after="240"/>
            </w:pPr>
            <w:r w:rsidRPr="008921C3">
              <w:t>D. 21</w:t>
            </w:r>
            <w:r w:rsidR="00E54F5A">
              <w:noBreakHyphen/>
            </w:r>
            <w:r w:rsidRPr="008921C3">
              <w:t>01</w:t>
            </w:r>
            <w:r w:rsidR="00E54F5A">
              <w:noBreakHyphen/>
            </w:r>
            <w:r w:rsidRPr="008921C3">
              <w:t>018, pp. 34</w:t>
            </w:r>
            <w:r w:rsidR="00E54F5A">
              <w:noBreakHyphen/>
            </w:r>
            <w:r w:rsidRPr="008921C3">
              <w:t>35 (rejecting modifications to the critical facilities list).</w:t>
            </w:r>
          </w:p>
          <w:p w:rsidRPr="008921C3" w:rsidR="54C34412" w:rsidP="00917EC1" w:rsidRDefault="4687C21D" w14:paraId="7CD65442" w14:textId="467512DE">
            <w:pPr>
              <w:spacing w:after="240"/>
            </w:pPr>
            <w:r w:rsidRPr="008921C3">
              <w:t>D. 21</w:t>
            </w:r>
            <w:r w:rsidR="00E54F5A">
              <w:noBreakHyphen/>
            </w:r>
            <w:r w:rsidRPr="008921C3">
              <w:t>01</w:t>
            </w:r>
            <w:r w:rsidR="00E54F5A">
              <w:noBreakHyphen/>
            </w:r>
            <w:r w:rsidRPr="008921C3">
              <w:t>018, p. 56 (acknowledging CEJA’s contributions on critical facilities).</w:t>
            </w:r>
          </w:p>
          <w:p w:rsidRPr="008921C3" w:rsidR="54C34412" w:rsidP="00917EC1" w:rsidRDefault="4687C21D" w14:paraId="471DE322" w14:textId="1AF99EFF">
            <w:pPr>
              <w:spacing w:after="240"/>
            </w:pPr>
            <w:r w:rsidRPr="008921C3">
              <w:t>CEJA Aug. 14, 2020 Opening Comments on Staff Proposals, p. 5 (recommending a scoring prioritization system developed through a stakeholder workshop).</w:t>
            </w:r>
          </w:p>
          <w:p w:rsidRPr="008921C3" w:rsidR="54C34412" w:rsidP="00917EC1" w:rsidRDefault="4687C21D" w14:paraId="24592CF1" w14:textId="09D8554A">
            <w:pPr>
              <w:spacing w:after="240"/>
            </w:pPr>
            <w:r w:rsidRPr="008921C3">
              <w:t>CEJA Aug. 14, 2020 Opening Comments on Staff Proposals, pp. 7</w:t>
            </w:r>
            <w:r w:rsidR="00E54F5A">
              <w:noBreakHyphen/>
            </w:r>
            <w:r w:rsidRPr="008921C3">
              <w:t>8 (suggesting an expanded list of critical facilities, including community</w:t>
            </w:r>
            <w:r w:rsidR="00E54F5A">
              <w:noBreakHyphen/>
            </w:r>
            <w:r w:rsidRPr="008921C3">
              <w:t>facing facilities).</w:t>
            </w:r>
          </w:p>
          <w:p w:rsidRPr="008921C3" w:rsidR="54C34412" w:rsidP="00917EC1" w:rsidRDefault="4687C21D" w14:paraId="256E8867" w14:textId="5950A355">
            <w:pPr>
              <w:spacing w:after="240"/>
            </w:pPr>
            <w:r w:rsidRPr="008921C3">
              <w:t>CEJA Aug. 14, 2020 Opening Comments on Staff Proposals, pp. 10</w:t>
            </w:r>
            <w:r w:rsidR="00E54F5A">
              <w:noBreakHyphen/>
            </w:r>
            <w:r w:rsidRPr="008921C3">
              <w:t>12 (describing a stakeholder process for developing community criteria).</w:t>
            </w:r>
          </w:p>
          <w:p w:rsidRPr="008921C3" w:rsidR="54C34412" w:rsidP="00917EC1" w:rsidRDefault="4687C21D" w14:paraId="4DD4C4DA" w14:textId="05D79816">
            <w:pPr>
              <w:spacing w:after="240"/>
            </w:pPr>
            <w:r w:rsidRPr="008921C3">
              <w:lastRenderedPageBreak/>
              <w:t>CEJA Aug. 28, 2020 Reply Comments on Staff Proposals, pp. 4</w:t>
            </w:r>
            <w:r w:rsidR="00E54F5A">
              <w:noBreakHyphen/>
            </w:r>
            <w:r w:rsidRPr="008921C3">
              <w:t>5 (requesting the expansion of the definition of critical facilities).</w:t>
            </w:r>
          </w:p>
          <w:p w:rsidRPr="008921C3" w:rsidR="54C34412" w:rsidP="00917EC1" w:rsidRDefault="4687C21D" w14:paraId="6D022548" w14:textId="7C0428B5">
            <w:pPr>
              <w:spacing w:after="240"/>
            </w:pPr>
            <w:r w:rsidRPr="008921C3">
              <w:t>CEJA Aug. 28, 2020 Reply Comments on Staff Proposals, pp. 5</w:t>
            </w:r>
            <w:r w:rsidR="00E54F5A">
              <w:noBreakHyphen/>
            </w:r>
            <w:r w:rsidRPr="008921C3">
              <w:t>8 (providing rationale for the use of stakeholder workshops to develop scoring criteria).</w:t>
            </w:r>
          </w:p>
          <w:p w:rsidRPr="008921C3" w:rsidR="54C34412" w:rsidP="00917EC1" w:rsidRDefault="4687C21D" w14:paraId="7F059B09" w14:textId="34E2827F">
            <w:pPr>
              <w:spacing w:after="240"/>
            </w:pPr>
            <w:r w:rsidRPr="008921C3">
              <w:t>CEJA Dec. 28, 2020 Comments on P</w:t>
            </w:r>
            <w:r w:rsidRPr="008921C3" w:rsidR="00BF619E">
              <w:t xml:space="preserve">roposed </w:t>
            </w:r>
            <w:r w:rsidRPr="008921C3">
              <w:t>D</w:t>
            </w:r>
            <w:r w:rsidRPr="008921C3" w:rsidR="00BF619E">
              <w:t>ecision</w:t>
            </w:r>
            <w:r w:rsidRPr="008921C3">
              <w:t>, pp. 3</w:t>
            </w:r>
            <w:r w:rsidR="00E54F5A">
              <w:noBreakHyphen/>
            </w:r>
            <w:r w:rsidRPr="008921C3">
              <w:t>7 (urging the Commission to expand the definition of critical facilities).</w:t>
            </w:r>
          </w:p>
          <w:p w:rsidRPr="008921C3" w:rsidR="54C34412" w:rsidP="00917EC1" w:rsidRDefault="4687C21D" w14:paraId="64919AF7" w14:textId="6BA39E29">
            <w:pPr>
              <w:spacing w:after="240"/>
            </w:pPr>
            <w:r w:rsidRPr="008921C3">
              <w:t xml:space="preserve">CEJA Dec. 28, 2020 Comments on </w:t>
            </w:r>
            <w:r w:rsidRPr="008921C3" w:rsidR="00BF619E">
              <w:t xml:space="preserve">Proposed </w:t>
            </w:r>
            <w:r w:rsidRPr="008921C3">
              <w:t>D</w:t>
            </w:r>
            <w:r w:rsidRPr="008921C3" w:rsidR="00BF619E">
              <w:t>ecision</w:t>
            </w:r>
            <w:r w:rsidRPr="008921C3">
              <w:t>, pp. 9</w:t>
            </w:r>
            <w:r w:rsidR="00E54F5A">
              <w:noBreakHyphen/>
            </w:r>
            <w:r w:rsidRPr="008921C3">
              <w:t>11 (describing the necessity of developing prioritization criteria through a stakeholder workshop process).</w:t>
            </w:r>
          </w:p>
          <w:p w:rsidRPr="008921C3" w:rsidR="54C34412" w:rsidP="00917EC1" w:rsidRDefault="4687C21D" w14:paraId="3D9BE698" w14:textId="74814ACC">
            <w:pPr>
              <w:spacing w:after="240"/>
            </w:pPr>
            <w:r w:rsidRPr="008921C3">
              <w:t>CEJA Jan. 4, 2021 Reply Comments on P</w:t>
            </w:r>
            <w:r w:rsidRPr="008921C3" w:rsidR="00BF619E">
              <w:t xml:space="preserve">roposed </w:t>
            </w:r>
            <w:r w:rsidRPr="008921C3">
              <w:t>D</w:t>
            </w:r>
            <w:r w:rsidRPr="008921C3" w:rsidR="00BF619E">
              <w:t>ecision</w:t>
            </w:r>
            <w:r w:rsidRPr="008921C3">
              <w:t>, pp. 2</w:t>
            </w:r>
            <w:r w:rsidR="00E54F5A">
              <w:noBreakHyphen/>
            </w:r>
            <w:r w:rsidRPr="008921C3">
              <w:t>3 (requesting that the Commission adopt a new definition of “critical community infrastructure”).</w:t>
            </w:r>
          </w:p>
          <w:p w:rsidRPr="008921C3" w:rsidR="4687C21D" w:rsidP="00917EC1" w:rsidRDefault="4687C21D" w14:paraId="27A8FF4E" w14:textId="30B80566">
            <w:pPr>
              <w:spacing w:after="240"/>
            </w:pPr>
            <w:r w:rsidRPr="008921C3">
              <w:t>CEJA Jan. 4, 2021 Reply Comments on P</w:t>
            </w:r>
            <w:r w:rsidRPr="008921C3" w:rsidR="00BF619E">
              <w:t xml:space="preserve">roposed </w:t>
            </w:r>
            <w:r w:rsidRPr="008921C3">
              <w:t>D</w:t>
            </w:r>
            <w:r w:rsidRPr="008921C3" w:rsidR="00BF619E">
              <w:t>ecision</w:t>
            </w:r>
            <w:r w:rsidRPr="008921C3">
              <w:t>, pp. 4</w:t>
            </w:r>
            <w:r w:rsidR="00E54F5A">
              <w:noBreakHyphen/>
            </w:r>
            <w:r w:rsidRPr="008921C3">
              <w:t>5 (suggesting that the Commission provide clear objectives for stakeholder workshops).</w:t>
            </w:r>
          </w:p>
        </w:tc>
        <w:tc>
          <w:tcPr>
            <w:tcW w:w="1355" w:type="dxa"/>
            <w:shd w:val="clear" w:color="auto" w:fill="auto"/>
          </w:tcPr>
          <w:p w:rsidRPr="008921C3" w:rsidR="54C34412" w:rsidP="00BF25B4" w:rsidRDefault="00307D85" w14:paraId="436820C9" w14:textId="7BFB8639">
            <w:pPr>
              <w:jc w:val="center"/>
            </w:pPr>
            <w:r w:rsidRPr="008921C3">
              <w:lastRenderedPageBreak/>
              <w:t>Verified</w:t>
            </w:r>
          </w:p>
        </w:tc>
      </w:tr>
      <w:tr w:rsidRPr="008921C3" w:rsidR="008921C3" w:rsidTr="00BF25B4" w14:paraId="4C8808B2" w14:textId="77777777">
        <w:tc>
          <w:tcPr>
            <w:tcW w:w="3865" w:type="dxa"/>
            <w:shd w:val="clear" w:color="auto" w:fill="auto"/>
          </w:tcPr>
          <w:p w:rsidRPr="008921C3" w:rsidR="2C329200" w:rsidP="00917EC1" w:rsidRDefault="37150DBA" w14:paraId="2DFB6686" w14:textId="253F4AA1">
            <w:pPr>
              <w:spacing w:after="240"/>
            </w:pPr>
            <w:r w:rsidRPr="008921C3">
              <w:t xml:space="preserve">Issue F: </w:t>
            </w:r>
            <w:r w:rsidRPr="008921C3">
              <w:rPr>
                <w:u w:val="single"/>
              </w:rPr>
              <w:t>Microgrid Incentive Program: Subscription Limit and Project Funding</w:t>
            </w:r>
          </w:p>
          <w:p w:rsidRPr="008921C3" w:rsidR="54C34412" w:rsidP="00917EC1" w:rsidRDefault="37150DBA" w14:paraId="29FF6F80" w14:textId="0BCA3D7C">
            <w:pPr>
              <w:spacing w:after="240"/>
            </w:pPr>
            <w:r w:rsidRPr="008921C3">
              <w:t xml:space="preserve">CEJA urged the Commission to remove the project subscription limit for microgrids </w:t>
            </w:r>
            <w:r w:rsidRPr="008921C3" w:rsidR="2106BAF4">
              <w:t xml:space="preserve">in </w:t>
            </w:r>
            <w:r w:rsidRPr="008921C3">
              <w:t xml:space="preserve">vulnerable communities, arguing that such a limit obstructed “valuable information about the number of </w:t>
            </w:r>
            <w:r w:rsidRPr="008921C3">
              <w:lastRenderedPageBreak/>
              <w:t xml:space="preserve">microgrid projects that are able to reach commercial operations.” </w:t>
            </w:r>
          </w:p>
          <w:p w:rsidRPr="008921C3" w:rsidR="54C34412" w:rsidP="00917EC1" w:rsidRDefault="2C329200" w14:paraId="334E3001" w14:textId="44DE1290">
            <w:pPr>
              <w:spacing w:after="240"/>
            </w:pPr>
            <w:r w:rsidRPr="008921C3">
              <w:t>The Commission agreed with CEJA’s position and stated that a subscription limit “may not be necessary.” The Commission declined to adopt a project subscription limit for the microgrid incentive program, leaving further discussion on limits to stakeholder workshops.</w:t>
            </w:r>
          </w:p>
          <w:p w:rsidRPr="008921C3" w:rsidR="54C34412" w:rsidP="00917EC1" w:rsidRDefault="2C329200" w14:paraId="7EF1FBE5" w14:textId="62D345F5">
            <w:pPr>
              <w:spacing w:after="240"/>
            </w:pPr>
            <w:r w:rsidRPr="008921C3">
              <w:t>CEJA advocated that funding for projects should not be limited to ratepayers within the same county, arguing that doing so would exacerbate existing inequalities, and that the purpose of these projects is to increase equity and resiliency in vulnerable communities.</w:t>
            </w:r>
          </w:p>
          <w:p w:rsidRPr="008921C3" w:rsidR="54C34412" w:rsidP="00917EC1" w:rsidRDefault="2C329200" w14:paraId="6E58D436" w14:textId="18B87B47">
            <w:pPr>
              <w:spacing w:after="240"/>
            </w:pPr>
            <w:r w:rsidRPr="008921C3">
              <w:t>The Commission agreed with CEJA’s position, because “this [same</w:t>
            </w:r>
            <w:r w:rsidR="00E54F5A">
              <w:noBreakHyphen/>
            </w:r>
            <w:r w:rsidRPr="008921C3">
              <w:t>county limitation] is inequitable to an already vulnerable group of customers” and that the Commission should “promote microgrids in vulnerable communities for the sake of resiliency and for purposes of equity.”</w:t>
            </w:r>
          </w:p>
          <w:p w:rsidRPr="008921C3" w:rsidR="2C329200" w:rsidP="00917EC1" w:rsidRDefault="2C329200" w14:paraId="46CE5090" w14:textId="3E431E38">
            <w:pPr>
              <w:spacing w:after="240"/>
            </w:pPr>
            <w:r w:rsidRPr="008921C3">
              <w:t xml:space="preserve">CEJA </w:t>
            </w:r>
            <w:r w:rsidRPr="008921C3" w:rsidR="00EF56C0">
              <w:t>argued</w:t>
            </w:r>
            <w:r w:rsidRPr="008921C3">
              <w:t xml:space="preserve"> that the incentive program should include funding for utility infrastructure costs associated with a community microgrid. The Commission agreed, instructing the IOUs to “ensure their customers have access to a one</w:t>
            </w:r>
            <w:r w:rsidR="00E54F5A">
              <w:noBreakHyphen/>
            </w:r>
            <w:r w:rsidRPr="008921C3">
              <w:t>time matching funds payment to offset some portion of the utility upgrade costs associated with implementing the islanding function of the microgrid.”</w:t>
            </w:r>
          </w:p>
        </w:tc>
        <w:tc>
          <w:tcPr>
            <w:tcW w:w="4140" w:type="dxa"/>
            <w:shd w:val="clear" w:color="auto" w:fill="auto"/>
          </w:tcPr>
          <w:p w:rsidRPr="008921C3" w:rsidR="54C34412" w:rsidP="006036DA" w:rsidRDefault="2C329200" w14:paraId="62CAE1CF" w14:textId="6952BBC5">
            <w:pPr>
              <w:spacing w:after="240"/>
            </w:pPr>
            <w:r w:rsidRPr="008921C3">
              <w:lastRenderedPageBreak/>
              <w:t>D. 21</w:t>
            </w:r>
            <w:r w:rsidR="00E54F5A">
              <w:noBreakHyphen/>
            </w:r>
            <w:r w:rsidRPr="008921C3">
              <w:t>01</w:t>
            </w:r>
            <w:r w:rsidR="00E54F5A">
              <w:noBreakHyphen/>
            </w:r>
            <w:r w:rsidRPr="008921C3">
              <w:t>018, p. 62 (examining funding for utility infrastructure costs).</w:t>
            </w:r>
          </w:p>
          <w:p w:rsidRPr="008921C3" w:rsidR="54C34412" w:rsidP="006036DA" w:rsidRDefault="2C329200" w14:paraId="46C2B373" w14:textId="12B41593">
            <w:pPr>
              <w:spacing w:after="240"/>
            </w:pPr>
            <w:r w:rsidRPr="008921C3">
              <w:t>D. 21</w:t>
            </w:r>
            <w:r w:rsidR="00E54F5A">
              <w:noBreakHyphen/>
            </w:r>
            <w:r w:rsidRPr="008921C3">
              <w:t>01</w:t>
            </w:r>
            <w:r w:rsidR="00E54F5A">
              <w:noBreakHyphen/>
            </w:r>
            <w:r w:rsidRPr="008921C3">
              <w:t>018, pp. 63</w:t>
            </w:r>
            <w:r w:rsidR="00E54F5A">
              <w:noBreakHyphen/>
            </w:r>
            <w:r w:rsidRPr="008921C3">
              <w:t>64 (discussing same</w:t>
            </w:r>
            <w:r w:rsidR="00E54F5A">
              <w:noBreakHyphen/>
            </w:r>
            <w:r w:rsidRPr="008921C3">
              <w:t>county funding restriction and deciding that “the costs shall be allocated to all distribution customers of the relevant IOU”).</w:t>
            </w:r>
          </w:p>
          <w:p w:rsidRPr="008921C3" w:rsidR="00574756" w:rsidP="006036DA" w:rsidRDefault="2C329200" w14:paraId="24A65025" w14:textId="5418BC6F">
            <w:pPr>
              <w:spacing w:after="240"/>
            </w:pPr>
            <w:r w:rsidRPr="008921C3">
              <w:lastRenderedPageBreak/>
              <w:t>D. 21</w:t>
            </w:r>
            <w:r w:rsidR="00E54F5A">
              <w:noBreakHyphen/>
            </w:r>
            <w:r w:rsidRPr="008921C3">
              <w:t>01</w:t>
            </w:r>
            <w:r w:rsidR="00E54F5A">
              <w:noBreakHyphen/>
            </w:r>
            <w:r w:rsidRPr="008921C3">
              <w:t>018, p. 65 (declining to adopt a subscription limit for the microgrid incentives program)</w:t>
            </w:r>
          </w:p>
          <w:p w:rsidRPr="008921C3" w:rsidR="54C34412" w:rsidP="006036DA" w:rsidRDefault="2C329200" w14:paraId="5778F690" w14:textId="21C821C5">
            <w:pPr>
              <w:spacing w:after="240"/>
            </w:pPr>
            <w:r w:rsidRPr="008921C3">
              <w:t>CEJA Aug. 14, 2020 Opening Comments on Staff Proposals, pp. 4</w:t>
            </w:r>
            <w:r w:rsidR="00E54F5A">
              <w:noBreakHyphen/>
            </w:r>
            <w:r w:rsidRPr="008921C3">
              <w:t>5 (opposing same</w:t>
            </w:r>
            <w:r w:rsidR="00E54F5A">
              <w:noBreakHyphen/>
            </w:r>
            <w:r w:rsidRPr="008921C3">
              <w:t>county limitations on funding from ratepayers).</w:t>
            </w:r>
          </w:p>
          <w:p w:rsidRPr="008921C3" w:rsidR="54C34412" w:rsidP="006036DA" w:rsidRDefault="2C329200" w14:paraId="1B5EA062" w14:textId="23CD107F">
            <w:pPr>
              <w:spacing w:after="240"/>
            </w:pPr>
            <w:r w:rsidRPr="008921C3">
              <w:t>CEJA Aug. 14, 2020 Opening Comments on Staff Proposals, pp. 5</w:t>
            </w:r>
            <w:r w:rsidR="00E54F5A">
              <w:noBreakHyphen/>
            </w:r>
            <w:r w:rsidRPr="008921C3">
              <w:t>6 (opposing a project subscription limit).</w:t>
            </w:r>
          </w:p>
          <w:p w:rsidRPr="008921C3" w:rsidR="54C34412" w:rsidP="006036DA" w:rsidRDefault="2C329200" w14:paraId="6264F31A" w14:textId="296EA788">
            <w:pPr>
              <w:spacing w:after="240"/>
            </w:pPr>
            <w:r w:rsidRPr="008921C3">
              <w:t>CEJA Aug. 14, 2020 Opening Comments on Staff Proposals, p. 6</w:t>
            </w:r>
            <w:r w:rsidR="006036DA">
              <w:t xml:space="preserve"> </w:t>
            </w:r>
            <w:r w:rsidRPr="008921C3">
              <w:t>(supporting Staff’s recommendation to include funding for utility infrastructure costs).</w:t>
            </w:r>
          </w:p>
          <w:p w:rsidRPr="008921C3" w:rsidR="2C329200" w:rsidP="006036DA" w:rsidRDefault="2C329200" w14:paraId="05FEF4F3" w14:textId="203869EE">
            <w:pPr>
              <w:spacing w:after="240"/>
            </w:pPr>
            <w:r w:rsidRPr="008921C3">
              <w:t>CEJA Dec. 28, 2020 Comments on P</w:t>
            </w:r>
            <w:r w:rsidRPr="008921C3" w:rsidR="00092FC8">
              <w:t xml:space="preserve">roposed </w:t>
            </w:r>
            <w:r w:rsidRPr="008921C3">
              <w:t>D</w:t>
            </w:r>
            <w:r w:rsidRPr="008921C3" w:rsidR="00092FC8">
              <w:t>ecision</w:t>
            </w:r>
            <w:r w:rsidRPr="008921C3">
              <w:t>, pp. 7</w:t>
            </w:r>
            <w:r w:rsidR="00E54F5A">
              <w:noBreakHyphen/>
            </w:r>
            <w:r w:rsidRPr="008921C3">
              <w:t>9 (describing necessary modifications to ensure the incentive program will serve vulnerable and disadvantaged communities).</w:t>
            </w:r>
          </w:p>
          <w:p w:rsidRPr="008921C3" w:rsidR="54C34412" w:rsidP="006036DA" w:rsidRDefault="2C329200" w14:paraId="5899ECCC" w14:textId="515607A9">
            <w:pPr>
              <w:spacing w:after="240"/>
            </w:pPr>
            <w:r w:rsidRPr="008921C3">
              <w:t>CEJA Jan. 4, 2021 Reply Comments on P</w:t>
            </w:r>
            <w:r w:rsidRPr="008921C3" w:rsidR="00092FC8">
              <w:t xml:space="preserve">roposed </w:t>
            </w:r>
            <w:r w:rsidRPr="008921C3">
              <w:t>D</w:t>
            </w:r>
            <w:r w:rsidRPr="008921C3" w:rsidR="00092FC8">
              <w:t>ecision</w:t>
            </w:r>
            <w:r w:rsidRPr="008921C3">
              <w:t>, pp. 1</w:t>
            </w:r>
            <w:r w:rsidR="00E54F5A">
              <w:noBreakHyphen/>
            </w:r>
            <w:r w:rsidRPr="008921C3">
              <w:t>2 (arguing for compensation to microgrid owners for grid services in disadvantaged and vulnerable communities).</w:t>
            </w:r>
          </w:p>
        </w:tc>
        <w:tc>
          <w:tcPr>
            <w:tcW w:w="1355" w:type="dxa"/>
            <w:shd w:val="clear" w:color="auto" w:fill="auto"/>
          </w:tcPr>
          <w:p w:rsidRPr="008921C3" w:rsidR="54C34412" w:rsidP="00BF25B4" w:rsidRDefault="00307D85" w14:paraId="28468416" w14:textId="21A26EE2">
            <w:pPr>
              <w:spacing w:after="240"/>
              <w:jc w:val="center"/>
            </w:pPr>
            <w:r w:rsidRPr="008921C3">
              <w:lastRenderedPageBreak/>
              <w:t>Verified</w:t>
            </w:r>
          </w:p>
        </w:tc>
      </w:tr>
    </w:tbl>
    <w:p w:rsidRPr="008921C3" w:rsidR="00A92D0B" w:rsidP="00344602" w:rsidRDefault="00A92D0B" w14:paraId="0D4BCD3A" w14:textId="2578690C">
      <w:pPr>
        <w:keepNext/>
        <w:numPr>
          <w:ilvl w:val="0"/>
          <w:numId w:val="8"/>
        </w:numPr>
        <w:spacing w:before="240" w:after="240"/>
        <w:rPr>
          <w:b/>
        </w:rPr>
      </w:pPr>
      <w:r w:rsidRPr="00344602">
        <w:rPr>
          <w:b/>
          <w:bCs/>
        </w:rPr>
        <w:lastRenderedPageBreak/>
        <w:t>Duplication</w:t>
      </w:r>
      <w:r w:rsidRPr="008921C3">
        <w:rPr>
          <w:b/>
        </w:rPr>
        <w:t xml:space="preserve"> of Effort (</w:t>
      </w:r>
      <w:r w:rsidR="00D538F2">
        <w:rPr>
          <w:b/>
        </w:rPr>
        <w:t>§ </w:t>
      </w:r>
      <w:r w:rsidRPr="008921C3">
        <w:rPr>
          <w:b/>
        </w:rPr>
        <w:t xml:space="preserve">1801.3(f) </w:t>
      </w:r>
      <w:r w:rsidRPr="008921C3" w:rsidR="00F30DA8">
        <w:rPr>
          <w:b/>
        </w:rPr>
        <w:t xml:space="preserve">and </w:t>
      </w:r>
      <w:r w:rsidR="00D538F2">
        <w:rPr>
          <w:b/>
        </w:rPr>
        <w:t>§ </w:t>
      </w:r>
      <w:r w:rsidRPr="008921C3" w:rsidR="0022302F">
        <w:rPr>
          <w:b/>
        </w:rPr>
        <w:t>1802.5)</w:t>
      </w:r>
      <w:r w:rsidRPr="008921C3"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6475"/>
        <w:gridCol w:w="1530"/>
        <w:gridCol w:w="1355"/>
      </w:tblGrid>
      <w:tr w:rsidRPr="008921C3" w:rsidR="008921C3" w:rsidTr="00BF25B4" w14:paraId="76F3266C" w14:textId="77777777">
        <w:trPr>
          <w:tblHeader/>
        </w:trPr>
        <w:tc>
          <w:tcPr>
            <w:tcW w:w="6475" w:type="dxa"/>
            <w:shd w:val="clear" w:color="auto" w:fill="D9D9D9" w:themeFill="background1" w:themeFillShade="D9"/>
            <w:vAlign w:val="bottom"/>
          </w:tcPr>
          <w:p w:rsidRPr="008921C3" w:rsidR="00A92D0B" w:rsidP="005C52A0" w:rsidRDefault="00A92D0B" w14:paraId="300CEDBC" w14:textId="77777777">
            <w:pPr>
              <w:keepNext/>
              <w:jc w:val="center"/>
            </w:pPr>
          </w:p>
        </w:tc>
        <w:tc>
          <w:tcPr>
            <w:tcW w:w="1530" w:type="dxa"/>
            <w:tcBorders>
              <w:bottom w:val="single" w:color="auto" w:sz="4" w:space="0"/>
            </w:tcBorders>
            <w:shd w:val="clear" w:color="auto" w:fill="D9D9D9" w:themeFill="background1" w:themeFillShade="D9"/>
            <w:vAlign w:val="bottom"/>
          </w:tcPr>
          <w:p w:rsidR="00BF25B4" w:rsidP="005C52A0" w:rsidRDefault="005A63D4" w14:paraId="58EF99D4" w14:textId="77777777">
            <w:pPr>
              <w:keepNext/>
              <w:jc w:val="center"/>
              <w:rPr>
                <w:b/>
              </w:rPr>
            </w:pPr>
            <w:r w:rsidRPr="008921C3">
              <w:rPr>
                <w:b/>
              </w:rPr>
              <w:t>Interveno</w:t>
            </w:r>
            <w:r w:rsidRPr="008921C3" w:rsidR="00204E3A">
              <w:rPr>
                <w:b/>
              </w:rPr>
              <w:t>r</w:t>
            </w:r>
            <w:r w:rsidRPr="008921C3">
              <w:rPr>
                <w:b/>
              </w:rPr>
              <w:t xml:space="preserve">’s </w:t>
            </w:r>
          </w:p>
          <w:p w:rsidRPr="008921C3" w:rsidR="00A92D0B" w:rsidP="005C52A0" w:rsidRDefault="00D075B1" w14:paraId="7B091096" w14:textId="55E1F7E3">
            <w:pPr>
              <w:keepNext/>
              <w:jc w:val="center"/>
              <w:rPr>
                <w:b/>
              </w:rPr>
            </w:pPr>
            <w:r w:rsidRPr="008921C3">
              <w:rPr>
                <w:b/>
              </w:rPr>
              <w:t>Assertion</w:t>
            </w:r>
          </w:p>
        </w:tc>
        <w:tc>
          <w:tcPr>
            <w:tcW w:w="1355" w:type="dxa"/>
            <w:shd w:val="clear" w:color="auto" w:fill="D9D9D9" w:themeFill="background1" w:themeFillShade="D9"/>
            <w:vAlign w:val="bottom"/>
          </w:tcPr>
          <w:p w:rsidR="00BF25B4" w:rsidP="005C52A0" w:rsidRDefault="00A92D0B" w14:paraId="79416659" w14:textId="77777777">
            <w:pPr>
              <w:keepNext/>
              <w:jc w:val="center"/>
              <w:rPr>
                <w:b/>
              </w:rPr>
            </w:pPr>
            <w:r w:rsidRPr="008921C3">
              <w:rPr>
                <w:b/>
              </w:rPr>
              <w:t xml:space="preserve">CPUC </w:t>
            </w:r>
          </w:p>
          <w:p w:rsidRPr="008921C3" w:rsidR="00A92D0B" w:rsidP="005C52A0" w:rsidRDefault="00D075B1" w14:paraId="25CE5081" w14:textId="7AED3619">
            <w:pPr>
              <w:keepNext/>
              <w:jc w:val="center"/>
              <w:rPr>
                <w:b/>
              </w:rPr>
            </w:pPr>
            <w:r w:rsidRPr="008921C3">
              <w:rPr>
                <w:b/>
              </w:rPr>
              <w:t>Discussion</w:t>
            </w:r>
          </w:p>
        </w:tc>
      </w:tr>
      <w:tr w:rsidRPr="008921C3" w:rsidR="008921C3" w:rsidTr="00BF25B4" w14:paraId="24A12BE1" w14:textId="77777777">
        <w:tc>
          <w:tcPr>
            <w:tcW w:w="6475" w:type="dxa"/>
            <w:shd w:val="clear" w:color="auto" w:fill="auto"/>
          </w:tcPr>
          <w:p w:rsidRPr="008921C3" w:rsidR="00A92D0B" w:rsidP="00B50E42" w:rsidRDefault="00A92D0B" w14:paraId="6915FAF6" w14:textId="55102672">
            <w:pPr>
              <w:ind w:left="360" w:hanging="360"/>
              <w:rPr>
                <w:b/>
              </w:rPr>
            </w:pPr>
            <w:r w:rsidRPr="008921C3">
              <w:rPr>
                <w:b/>
              </w:rPr>
              <w:t>a.</w:t>
            </w:r>
            <w:r w:rsidRPr="008921C3">
              <w:rPr>
                <w:b/>
              </w:rPr>
              <w:tab/>
              <w:t xml:space="preserve">Was the </w:t>
            </w:r>
            <w:r w:rsidRPr="008921C3" w:rsidR="009E48E4">
              <w:rPr>
                <w:b/>
                <w:sz w:val="22"/>
                <w:szCs w:val="22"/>
              </w:rPr>
              <w:t>Public Advocate</w:t>
            </w:r>
            <w:r w:rsidRPr="008921C3" w:rsidR="00621A7C">
              <w:rPr>
                <w:b/>
                <w:sz w:val="22"/>
                <w:szCs w:val="22"/>
              </w:rPr>
              <w:t>’</w:t>
            </w:r>
            <w:r w:rsidRPr="008921C3" w:rsidR="009E48E4">
              <w:rPr>
                <w:b/>
                <w:sz w:val="22"/>
                <w:szCs w:val="22"/>
              </w:rPr>
              <w:t>s Office of the Public Utilities Commission</w:t>
            </w:r>
            <w:r w:rsidRPr="008921C3" w:rsidR="009E48E4">
              <w:rPr>
                <w:b/>
              </w:rPr>
              <w:t xml:space="preserve"> </w:t>
            </w:r>
            <w:r w:rsidRPr="008921C3">
              <w:rPr>
                <w:b/>
                <w:sz w:val="22"/>
                <w:szCs w:val="22"/>
              </w:rPr>
              <w:t>(</w:t>
            </w:r>
            <w:r w:rsidRPr="008921C3" w:rsidR="00B55D78">
              <w:rPr>
                <w:b/>
                <w:sz w:val="22"/>
                <w:szCs w:val="22"/>
              </w:rPr>
              <w:t>Cal Advocates</w:t>
            </w:r>
            <w:r w:rsidRPr="008921C3">
              <w:rPr>
                <w:b/>
              </w:rPr>
              <w:t>) a party to the proceeding?</w:t>
            </w:r>
            <w:r w:rsidRPr="008921C3" w:rsidR="009E48E4">
              <w:rPr>
                <w:rStyle w:val="FootnoteReference"/>
                <w:b/>
              </w:rPr>
              <w:footnoteReference w:id="3"/>
            </w:r>
          </w:p>
        </w:tc>
        <w:tc>
          <w:tcPr>
            <w:tcW w:w="1530" w:type="dxa"/>
            <w:shd w:val="clear" w:color="auto" w:fill="auto"/>
          </w:tcPr>
          <w:p w:rsidRPr="008921C3" w:rsidR="00A92D0B" w:rsidP="00B50E42" w:rsidRDefault="6335037A" w14:paraId="0B49A7C8" w14:textId="00464E2D">
            <w:pPr>
              <w:jc w:val="center"/>
            </w:pPr>
            <w:r w:rsidRPr="008921C3">
              <w:t>Yes</w:t>
            </w:r>
          </w:p>
        </w:tc>
        <w:tc>
          <w:tcPr>
            <w:tcW w:w="1355" w:type="dxa"/>
            <w:shd w:val="clear" w:color="auto" w:fill="auto"/>
          </w:tcPr>
          <w:p w:rsidRPr="008921C3" w:rsidR="00A92D0B" w:rsidP="00B50E42" w:rsidRDefault="00307D85" w14:paraId="23B6532A" w14:textId="2C38BC52">
            <w:pPr>
              <w:jc w:val="center"/>
            </w:pPr>
            <w:r w:rsidRPr="008921C3">
              <w:t>Verified</w:t>
            </w:r>
          </w:p>
        </w:tc>
      </w:tr>
      <w:tr w:rsidRPr="008921C3" w:rsidR="008921C3" w:rsidTr="00BF25B4" w14:paraId="3317BD71" w14:textId="77777777">
        <w:tc>
          <w:tcPr>
            <w:tcW w:w="6475" w:type="dxa"/>
            <w:shd w:val="clear" w:color="auto" w:fill="auto"/>
          </w:tcPr>
          <w:p w:rsidRPr="008921C3" w:rsidR="00A92D0B" w:rsidP="00B50E42" w:rsidRDefault="00A92D0B" w14:paraId="561D245D" w14:textId="77777777">
            <w:pPr>
              <w:ind w:left="360" w:hanging="360"/>
              <w:rPr>
                <w:b/>
              </w:rPr>
            </w:pPr>
            <w:r w:rsidRPr="008921C3">
              <w:rPr>
                <w:b/>
              </w:rPr>
              <w:t>b.</w:t>
            </w:r>
            <w:r w:rsidRPr="008921C3">
              <w:rPr>
                <w:b/>
              </w:rPr>
              <w:tab/>
              <w:t xml:space="preserve">Were there other parties to the proceeding with positions similar to yours? </w:t>
            </w:r>
          </w:p>
        </w:tc>
        <w:tc>
          <w:tcPr>
            <w:tcW w:w="1530" w:type="dxa"/>
            <w:shd w:val="clear" w:color="auto" w:fill="auto"/>
          </w:tcPr>
          <w:p w:rsidRPr="008921C3" w:rsidR="00A92D0B" w:rsidP="00B50E42" w:rsidRDefault="18A8B9AE" w14:paraId="3708E485" w14:textId="58414358">
            <w:pPr>
              <w:jc w:val="center"/>
            </w:pPr>
            <w:r w:rsidRPr="008921C3">
              <w:t>Yes</w:t>
            </w:r>
          </w:p>
        </w:tc>
        <w:tc>
          <w:tcPr>
            <w:tcW w:w="1355" w:type="dxa"/>
            <w:shd w:val="clear" w:color="auto" w:fill="auto"/>
          </w:tcPr>
          <w:p w:rsidRPr="008921C3" w:rsidR="00A92D0B" w:rsidP="00B50E42" w:rsidRDefault="00307D85" w14:paraId="6B3388E6" w14:textId="470E7EF2">
            <w:pPr>
              <w:jc w:val="center"/>
            </w:pPr>
            <w:r w:rsidRPr="008921C3">
              <w:t>Verified</w:t>
            </w:r>
          </w:p>
        </w:tc>
      </w:tr>
      <w:tr w:rsidRPr="008921C3" w:rsidR="008921C3" w:rsidTr="00BF25B4" w14:paraId="0A51B7D4" w14:textId="77777777">
        <w:tc>
          <w:tcPr>
            <w:tcW w:w="8005" w:type="dxa"/>
            <w:gridSpan w:val="2"/>
            <w:shd w:val="clear" w:color="auto" w:fill="auto"/>
          </w:tcPr>
          <w:p w:rsidRPr="008921C3" w:rsidR="00A92D0B" w:rsidP="00B50E42" w:rsidRDefault="00A92D0B" w14:paraId="30CB6275" w14:textId="7D63B4F2">
            <w:pPr>
              <w:ind w:left="360" w:hanging="360"/>
            </w:pPr>
            <w:r w:rsidRPr="008921C3">
              <w:rPr>
                <w:b/>
              </w:rPr>
              <w:t>c.</w:t>
            </w:r>
            <w:r w:rsidRPr="008921C3">
              <w:rPr>
                <w:b/>
              </w:rPr>
              <w:tab/>
              <w:t>If so, provide name of other parties:</w:t>
            </w:r>
            <w:r w:rsidRPr="008921C3" w:rsidR="00E25078">
              <w:t xml:space="preserve"> </w:t>
            </w:r>
          </w:p>
          <w:p w:rsidRPr="008921C3" w:rsidR="00A92D0B" w:rsidP="00B50E42" w:rsidRDefault="00AF40B3" w14:paraId="0919176B" w14:textId="1E612A6E">
            <w:pPr>
              <w:spacing w:after="240"/>
            </w:pPr>
            <w:r w:rsidRPr="008921C3">
              <w:t xml:space="preserve">Parties that took similar positions </w:t>
            </w:r>
            <w:r w:rsidRPr="008921C3" w:rsidR="00092FC8">
              <w:t xml:space="preserve">to CEJA </w:t>
            </w:r>
            <w:r w:rsidRPr="008921C3">
              <w:t xml:space="preserve">on some issues were </w:t>
            </w:r>
            <w:r w:rsidRPr="008921C3" w:rsidR="005D4952">
              <w:t>GRID Alternatives</w:t>
            </w:r>
            <w:r w:rsidRPr="008921C3">
              <w:t xml:space="preserve">, </w:t>
            </w:r>
            <w:r w:rsidRPr="008921C3" w:rsidR="008002D9">
              <w:t xml:space="preserve">Sierra Club, </w:t>
            </w:r>
            <w:r w:rsidRPr="008921C3" w:rsidR="00092FC8">
              <w:t xml:space="preserve">Public Advocates, </w:t>
            </w:r>
            <w:r w:rsidRPr="008921C3" w:rsidR="00C24596">
              <w:t xml:space="preserve">and </w:t>
            </w:r>
            <w:r w:rsidRPr="008921C3" w:rsidR="00092FC8">
              <w:t xml:space="preserve">the </w:t>
            </w:r>
            <w:r w:rsidRPr="008921C3">
              <w:t>Center for Accessible Technolog</w:t>
            </w:r>
            <w:r w:rsidRPr="008921C3" w:rsidR="006F19E2">
              <w:t>y</w:t>
            </w:r>
            <w:r w:rsidRPr="008921C3" w:rsidR="00C24596">
              <w:t xml:space="preserve">. </w:t>
            </w:r>
          </w:p>
        </w:tc>
        <w:tc>
          <w:tcPr>
            <w:tcW w:w="1355" w:type="dxa"/>
            <w:shd w:val="clear" w:color="auto" w:fill="auto"/>
          </w:tcPr>
          <w:p w:rsidRPr="008921C3" w:rsidR="00A92D0B" w:rsidP="00B50E42" w:rsidRDefault="00307D85" w14:paraId="22A40B49" w14:textId="0DD9B776">
            <w:pPr>
              <w:jc w:val="center"/>
            </w:pPr>
            <w:r w:rsidRPr="008921C3">
              <w:t>Verified</w:t>
            </w:r>
          </w:p>
        </w:tc>
      </w:tr>
      <w:tr w:rsidRPr="008921C3" w:rsidR="008921C3" w:rsidTr="00BF25B4" w14:paraId="744830F5" w14:textId="77777777">
        <w:tc>
          <w:tcPr>
            <w:tcW w:w="8005" w:type="dxa"/>
            <w:gridSpan w:val="2"/>
            <w:shd w:val="clear" w:color="auto" w:fill="auto"/>
          </w:tcPr>
          <w:p w:rsidRPr="008921C3" w:rsidR="00A92D0B" w:rsidP="00B50E42" w:rsidRDefault="00A92D0B" w14:paraId="7C05FE5A" w14:textId="32A9064F">
            <w:pPr>
              <w:ind w:left="360" w:hanging="360"/>
            </w:pPr>
            <w:r w:rsidRPr="008921C3">
              <w:rPr>
                <w:b/>
              </w:rPr>
              <w:t>d.</w:t>
            </w:r>
            <w:r w:rsidRPr="008921C3">
              <w:rPr>
                <w:b/>
              </w:rPr>
              <w:tab/>
            </w:r>
            <w:r w:rsidRPr="008921C3" w:rsidR="00D075B1">
              <w:rPr>
                <w:b/>
              </w:rPr>
              <w:t xml:space="preserve">Intervenor’s </w:t>
            </w:r>
            <w:r w:rsidRPr="008921C3" w:rsidR="00A319DE">
              <w:rPr>
                <w:b/>
              </w:rPr>
              <w:t>c</w:t>
            </w:r>
            <w:r w:rsidRPr="008921C3" w:rsidR="00D075B1">
              <w:rPr>
                <w:b/>
              </w:rPr>
              <w:t xml:space="preserve">laim of </w:t>
            </w:r>
            <w:r w:rsidRPr="008921C3" w:rsidR="00A319DE">
              <w:rPr>
                <w:b/>
              </w:rPr>
              <w:t>n</w:t>
            </w:r>
            <w:r w:rsidRPr="008921C3" w:rsidR="00D075B1">
              <w:rPr>
                <w:b/>
              </w:rPr>
              <w:t>on</w:t>
            </w:r>
            <w:r w:rsidR="00E54F5A">
              <w:rPr>
                <w:b/>
              </w:rPr>
              <w:noBreakHyphen/>
            </w:r>
            <w:r w:rsidRPr="008921C3" w:rsidR="00A319DE">
              <w:rPr>
                <w:b/>
              </w:rPr>
              <w:t>d</w:t>
            </w:r>
            <w:r w:rsidRPr="008921C3" w:rsidR="00D075B1">
              <w:rPr>
                <w:b/>
              </w:rPr>
              <w:t>uplication:</w:t>
            </w:r>
            <w:r w:rsidRPr="008921C3" w:rsidR="00E25078">
              <w:t xml:space="preserve"> </w:t>
            </w:r>
          </w:p>
          <w:p w:rsidRPr="008921C3" w:rsidR="006829AE" w:rsidP="00B50E42" w:rsidRDefault="00FF6D02" w14:paraId="68EF8784" w14:textId="6956CFCD">
            <w:pPr>
              <w:spacing w:after="240"/>
            </w:pPr>
            <w:r w:rsidRPr="008921C3">
              <w:t xml:space="preserve">Throughout the proceeding, CEJA communicated with </w:t>
            </w:r>
            <w:r w:rsidRPr="008921C3" w:rsidR="000442C8">
              <w:t xml:space="preserve">the </w:t>
            </w:r>
            <w:r w:rsidRPr="008921C3">
              <w:t xml:space="preserve">potentially allied parties </w:t>
            </w:r>
            <w:r w:rsidRPr="008921C3" w:rsidR="000442C8">
              <w:t xml:space="preserve">named above </w:t>
            </w:r>
            <w:r w:rsidRPr="008921C3">
              <w:t xml:space="preserve">to coordinate strategy and responses. Collaborating </w:t>
            </w:r>
            <w:r w:rsidRPr="008921C3" w:rsidR="006829AE">
              <w:t>significantly mini</w:t>
            </w:r>
            <w:r w:rsidRPr="008921C3" w:rsidR="000442C8">
              <w:t>mi</w:t>
            </w:r>
            <w:r w:rsidRPr="008921C3" w:rsidR="006829AE">
              <w:t>zed time spen</w:t>
            </w:r>
            <w:r w:rsidRPr="008921C3" w:rsidR="000442C8">
              <w:t>t</w:t>
            </w:r>
            <w:r w:rsidRPr="008921C3" w:rsidR="006829AE">
              <w:t xml:space="preserve"> drafting, researching, and analyzing issues. These coordination efforts also avoided the potential for duplication. </w:t>
            </w:r>
          </w:p>
          <w:p w:rsidRPr="008921C3" w:rsidR="00A92D0B" w:rsidP="00B50E42" w:rsidRDefault="006829AE" w14:paraId="3228BB07" w14:textId="634BA5F5">
            <w:pPr>
              <w:spacing w:after="240"/>
            </w:pPr>
            <w:r w:rsidRPr="008921C3">
              <w:t>CEJA focuse</w:t>
            </w:r>
            <w:r w:rsidRPr="008921C3" w:rsidR="00565560">
              <w:t>d</w:t>
            </w:r>
            <w:r w:rsidRPr="008921C3">
              <w:t xml:space="preserve"> its efforts on comments related to disa</w:t>
            </w:r>
            <w:r w:rsidRPr="008921C3" w:rsidR="0071279B">
              <w:t>dva</w:t>
            </w:r>
            <w:r w:rsidRPr="008921C3" w:rsidR="000442C8">
              <w:t>ntaged and vulnerable communities</w:t>
            </w:r>
            <w:r w:rsidRPr="008921C3" w:rsidR="00565560">
              <w:t>,</w:t>
            </w:r>
            <w:r w:rsidRPr="008921C3" w:rsidR="000442C8">
              <w:t xml:space="preserve"> since </w:t>
            </w:r>
            <w:r w:rsidRPr="008921C3" w:rsidR="0071279B">
              <w:t>CEJA</w:t>
            </w:r>
            <w:r w:rsidRPr="008921C3" w:rsidR="000442C8">
              <w:t xml:space="preserve"> </w:t>
            </w:r>
            <w:r w:rsidRPr="008921C3" w:rsidR="0071279B">
              <w:t>was</w:t>
            </w:r>
            <w:r w:rsidRPr="008921C3" w:rsidR="000442C8">
              <w:t xml:space="preserve"> the only active party directly representing environmental justice communities. CEJA’s comments provided analysis, research and data which highlighted </w:t>
            </w:r>
            <w:r w:rsidRPr="008921C3" w:rsidR="0071279B">
              <w:t>its</w:t>
            </w:r>
            <w:r w:rsidRPr="008921C3" w:rsidR="000442C8">
              <w:t xml:space="preserve"> own arguments from the perspectives of an alliance of environmental justice organizations and environmental protection organizations. These varying perspectives avoided duplication by creating complementary and supplemental positions and approaches to the issues that helped the Commission more thoroughly evaluate the issues.</w:t>
            </w:r>
          </w:p>
        </w:tc>
        <w:tc>
          <w:tcPr>
            <w:tcW w:w="1355" w:type="dxa"/>
            <w:shd w:val="clear" w:color="auto" w:fill="auto"/>
          </w:tcPr>
          <w:p w:rsidRPr="008921C3" w:rsidR="00A92D0B" w:rsidP="00B50E42" w:rsidRDefault="00307D85" w14:paraId="5F9BBA55" w14:textId="7F5AC449">
            <w:pPr>
              <w:jc w:val="center"/>
            </w:pPr>
            <w:r w:rsidRPr="008921C3">
              <w:t>Noted</w:t>
            </w:r>
          </w:p>
        </w:tc>
      </w:tr>
    </w:tbl>
    <w:p w:rsidRPr="008921C3" w:rsidR="00B312DA" w:rsidP="00F07E25" w:rsidRDefault="00A92D0B" w14:paraId="175C3F89" w14:textId="74C3E3C1">
      <w:pPr>
        <w:keepNext/>
        <w:spacing w:before="480" w:after="240"/>
        <w:jc w:val="center"/>
        <w:rPr>
          <w:b/>
        </w:rPr>
      </w:pPr>
      <w:r w:rsidRPr="008921C3">
        <w:rPr>
          <w:b/>
        </w:rPr>
        <w:t>PART III:</w:t>
      </w:r>
      <w:r w:rsidR="00F07E25">
        <w:rPr>
          <w:b/>
        </w:rPr>
        <w:t xml:space="preserve">  </w:t>
      </w:r>
      <w:r w:rsidRPr="008921C3">
        <w:rPr>
          <w:b/>
        </w:rPr>
        <w:t>REASONABLENESS OF REQUESTED COMPENSATION</w:t>
      </w:r>
    </w:p>
    <w:p w:rsidRPr="008921C3" w:rsidR="00A92D0B" w:rsidP="00344602" w:rsidRDefault="00A92D0B" w14:paraId="6F74DAE2" w14:textId="16EDC78B">
      <w:pPr>
        <w:keepNext/>
        <w:numPr>
          <w:ilvl w:val="0"/>
          <w:numId w:val="9"/>
        </w:numPr>
        <w:spacing w:before="240" w:after="240"/>
        <w:rPr>
          <w:b/>
        </w:rPr>
      </w:pPr>
      <w:r w:rsidRPr="00344602">
        <w:rPr>
          <w:b/>
          <w:bCs/>
        </w:rPr>
        <w:t>General</w:t>
      </w:r>
      <w:r w:rsidRPr="008921C3">
        <w:rPr>
          <w:b/>
        </w:rPr>
        <w:t xml:space="preserve"> Claim of Reasonableness </w:t>
      </w:r>
      <w:r w:rsidRPr="008921C3" w:rsidR="00F30DA8">
        <w:rPr>
          <w:b/>
        </w:rPr>
        <w:t>(</w:t>
      </w:r>
      <w:r w:rsidR="00D538F2">
        <w:rPr>
          <w:b/>
        </w:rPr>
        <w:t>§ </w:t>
      </w:r>
      <w:r w:rsidRPr="008921C3">
        <w:rPr>
          <w:b/>
        </w:rPr>
        <w:t xml:space="preserve">1801 </w:t>
      </w:r>
      <w:r w:rsidRPr="008921C3" w:rsidR="00F30DA8">
        <w:rPr>
          <w:b/>
        </w:rPr>
        <w:t xml:space="preserve">and </w:t>
      </w:r>
      <w:r w:rsidR="00D538F2">
        <w:rPr>
          <w:b/>
        </w:rPr>
        <w:t>§ </w:t>
      </w:r>
      <w:r w:rsidRPr="008921C3" w:rsidR="0022302F">
        <w:rPr>
          <w:b/>
        </w:rPr>
        <w:t>1806)</w:t>
      </w:r>
      <w:r w:rsidRPr="008921C3"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7285"/>
        <w:gridCol w:w="2075"/>
      </w:tblGrid>
      <w:tr w:rsidRPr="008921C3" w:rsidR="008921C3" w:rsidTr="00BF25B4" w14:paraId="4078AC87" w14:textId="77777777">
        <w:trPr>
          <w:tblHeader/>
        </w:trPr>
        <w:tc>
          <w:tcPr>
            <w:tcW w:w="7285" w:type="dxa"/>
            <w:tcBorders>
              <w:bottom w:val="single" w:color="auto" w:sz="4" w:space="0"/>
            </w:tcBorders>
            <w:shd w:val="clear" w:color="auto" w:fill="D9D9D9" w:themeFill="background1" w:themeFillShade="D9"/>
            <w:vAlign w:val="bottom"/>
          </w:tcPr>
          <w:p w:rsidRPr="008921C3" w:rsidR="00FE3BAE" w:rsidP="005C52A0" w:rsidRDefault="00FE3BAE" w14:paraId="70FDF5DA" w14:textId="77777777">
            <w:pPr>
              <w:keepNext/>
              <w:jc w:val="center"/>
              <w:rPr>
                <w:b/>
              </w:rPr>
            </w:pPr>
          </w:p>
        </w:tc>
        <w:tc>
          <w:tcPr>
            <w:tcW w:w="2075" w:type="dxa"/>
            <w:shd w:val="clear" w:color="auto" w:fill="D9D9D9" w:themeFill="background1" w:themeFillShade="D9"/>
            <w:vAlign w:val="bottom"/>
          </w:tcPr>
          <w:p w:rsidRPr="008921C3" w:rsidR="00FE3BAE" w:rsidP="005C52A0" w:rsidRDefault="00FE3BAE" w14:paraId="59CD9FCF" w14:textId="77777777">
            <w:pPr>
              <w:keepNext/>
              <w:jc w:val="center"/>
            </w:pPr>
            <w:r w:rsidRPr="008921C3">
              <w:rPr>
                <w:b/>
              </w:rPr>
              <w:t>CPUC Discussion</w:t>
            </w:r>
          </w:p>
        </w:tc>
      </w:tr>
      <w:tr w:rsidRPr="008921C3" w:rsidR="008921C3" w:rsidTr="00BF25B4" w14:paraId="5708510E" w14:textId="77777777">
        <w:tc>
          <w:tcPr>
            <w:tcW w:w="7285" w:type="dxa"/>
            <w:tcBorders>
              <w:bottom w:val="single" w:color="auto" w:sz="4" w:space="0"/>
            </w:tcBorders>
            <w:shd w:val="clear" w:color="auto" w:fill="auto"/>
          </w:tcPr>
          <w:p w:rsidRPr="008921C3" w:rsidR="00FE3BAE" w:rsidP="00F65DD1" w:rsidRDefault="00FE3BAE" w14:paraId="707F9932" w14:textId="488F1BA1">
            <w:pPr>
              <w:spacing w:after="240"/>
              <w:ind w:left="360" w:hanging="360"/>
            </w:pPr>
            <w:r w:rsidRPr="008921C3">
              <w:rPr>
                <w:b/>
              </w:rPr>
              <w:t>a.</w:t>
            </w:r>
            <w:r w:rsidR="00F65DD1">
              <w:rPr>
                <w:b/>
              </w:rPr>
              <w:tab/>
            </w:r>
            <w:r w:rsidRPr="008921C3">
              <w:rPr>
                <w:b/>
              </w:rPr>
              <w:t>Intervenor’s claim of cost reasonableness:</w:t>
            </w:r>
            <w:r w:rsidRPr="008921C3" w:rsidR="00E25078">
              <w:t xml:space="preserve"> </w:t>
            </w:r>
          </w:p>
          <w:p w:rsidRPr="008921C3" w:rsidR="00FE3BAE" w:rsidP="00F65DD1" w:rsidRDefault="27070613" w14:paraId="13D92048" w14:textId="255A9CF5">
            <w:pPr>
              <w:spacing w:after="240"/>
            </w:pPr>
            <w:r w:rsidRPr="008921C3">
              <w:t xml:space="preserve">CEJA participated in </w:t>
            </w:r>
            <w:r w:rsidRPr="008921C3" w:rsidR="00FE3BAE">
              <w:t xml:space="preserve">all </w:t>
            </w:r>
            <w:r w:rsidRPr="008921C3">
              <w:t>major aspects of this time</w:t>
            </w:r>
            <w:r w:rsidR="00E54F5A">
              <w:noBreakHyphen/>
            </w:r>
            <w:r w:rsidRPr="008921C3">
              <w:t xml:space="preserve">intensive, complicated proceeding, including filing multiple comments related to </w:t>
            </w:r>
            <w:r w:rsidRPr="008921C3">
              <w:lastRenderedPageBreak/>
              <w:t xml:space="preserve">the </w:t>
            </w:r>
            <w:r w:rsidRPr="008921C3" w:rsidR="3C346BBB">
              <w:t>definition of critical facilities, issues of temporary generation, and progra</w:t>
            </w:r>
            <w:r w:rsidRPr="008921C3" w:rsidR="6D6138BF">
              <w:t xml:space="preserve">ms for supporting microgrids in vulnerable </w:t>
            </w:r>
            <w:r w:rsidRPr="008921C3" w:rsidR="6A2A0DE1">
              <w:t>communities</w:t>
            </w:r>
            <w:r w:rsidRPr="008921C3" w:rsidR="6D6138BF">
              <w:t>.</w:t>
            </w:r>
          </w:p>
          <w:p w:rsidRPr="008921C3" w:rsidR="00906614" w:rsidP="00F65DD1" w:rsidRDefault="6DF8966A" w14:paraId="67817739" w14:textId="77777777">
            <w:pPr>
              <w:spacing w:after="240"/>
            </w:pPr>
            <w:r w:rsidRPr="008921C3">
              <w:t>CEJA’s filings reflected detailed substantive analysis.  The comments CEJA submitted in this portion of the proceeding included significant legal, policy, and technical research on the many topics raised by the Commission’s rulings, workshops, and decision</w:t>
            </w:r>
            <w:r w:rsidRPr="008921C3" w:rsidR="00FA5902">
              <w:t>s</w:t>
            </w:r>
            <w:r w:rsidRPr="008921C3">
              <w:t>. CEJA’s extensive participation and detailed filings ensured the Commission had sufficient information to make determination</w:t>
            </w:r>
            <w:r w:rsidRPr="008921C3" w:rsidR="00FA5902">
              <w:t>s</w:t>
            </w:r>
            <w:r w:rsidRPr="008921C3">
              <w:t xml:space="preserve"> from the record. </w:t>
            </w:r>
          </w:p>
          <w:p w:rsidRPr="008921C3" w:rsidR="00FE3BAE" w:rsidP="00F65DD1" w:rsidRDefault="2C581D1C" w14:paraId="25F321BB" w14:textId="41ECF1BF">
            <w:pPr>
              <w:spacing w:after="240"/>
            </w:pPr>
            <w:r w:rsidRPr="008921C3">
              <w:t>CEJA</w:t>
            </w:r>
            <w:r w:rsidRPr="008921C3" w:rsidR="0D752051">
              <w:t>’</w:t>
            </w:r>
            <w:r w:rsidRPr="008921C3" w:rsidR="336B4944">
              <w:t>s participation helped to ensure that</w:t>
            </w:r>
            <w:r w:rsidRPr="008921C3" w:rsidR="0092190C">
              <w:t xml:space="preserve"> the Commission made progress towards its goal of facilitating the commercialization of microgrids pursuant to SB 1339, while also </w:t>
            </w:r>
            <w:r w:rsidRPr="008921C3" w:rsidR="00906614">
              <w:t>making progress towards the goals articulated in the Commission’s Environmental and Social Justice Action Plan</w:t>
            </w:r>
            <w:r w:rsidRPr="008921C3" w:rsidR="336B4944">
              <w:t xml:space="preserve">. The majority of the work that CEJA performed in this proceeding was focused on how the proposed actions impact the communities </w:t>
            </w:r>
            <w:r w:rsidRPr="008921C3" w:rsidR="00AB149B">
              <w:t>CEJA</w:t>
            </w:r>
            <w:r w:rsidRPr="008921C3" w:rsidR="336B4944">
              <w:t xml:space="preserve"> represent, and how these communities could benefit from access to microgrids. Many of the collaboration hours were spent discussing the importance of aspects of the proposals with other parties in the proceeding to develop alignment on these issues that are critical to the communities CEJA represents.</w:t>
            </w:r>
          </w:p>
          <w:p w:rsidRPr="008921C3" w:rsidR="00FE3BAE" w:rsidP="00F65DD1" w:rsidRDefault="5AD8E971" w14:paraId="066983F3" w14:textId="6981806B">
            <w:pPr>
              <w:spacing w:after="240"/>
            </w:pPr>
            <w:r w:rsidRPr="008921C3">
              <w:t xml:space="preserve">CEJA spent significant time writing detailed comments to ensure that the Commission and the Energy Division staff had the information needed to make informed decisions. Developing these many sets of detailed comments required significant research and an analysis of technical information and filings by dozens of parties.  </w:t>
            </w:r>
          </w:p>
          <w:p w:rsidRPr="008921C3" w:rsidR="00FE3BAE" w:rsidP="00F65DD1" w:rsidRDefault="27070613" w14:paraId="7E91F63F" w14:textId="29A53BE8">
            <w:pPr>
              <w:spacing w:after="240"/>
            </w:pPr>
            <w:r w:rsidRPr="008921C3">
              <w:t xml:space="preserve">The major core positions of CEJA were adopted in the Final Decisions.  The core considerations related to </w:t>
            </w:r>
            <w:r w:rsidRPr="008921C3" w:rsidR="4108A8F9">
              <w:t xml:space="preserve">temporary generation, the Microgrid Incentive Program, and </w:t>
            </w:r>
            <w:r w:rsidRPr="008921C3" w:rsidR="3A82166F">
              <w:t>access to microgrids in vulnerable communities</w:t>
            </w:r>
            <w:r w:rsidRPr="008921C3">
              <w:t xml:space="preserve"> are hard to quantify monetarily, but they will significantly impact ratepayers throughout the State who </w:t>
            </w:r>
            <w:r w:rsidRPr="008921C3" w:rsidR="5B2916AB">
              <w:t>experience energy reliability issues and</w:t>
            </w:r>
            <w:r w:rsidRPr="008921C3">
              <w:t xml:space="preserve"> have a desire to participate in energy decisions made in their community.  </w:t>
            </w:r>
          </w:p>
          <w:p w:rsidRPr="008921C3" w:rsidR="00FE3BAE" w:rsidP="00F65DD1" w:rsidRDefault="27070613" w14:paraId="2B1A1242" w14:textId="468233E0">
            <w:pPr>
              <w:spacing w:after="240"/>
            </w:pPr>
            <w:r w:rsidRPr="008921C3">
              <w:t>CEJA’s request for fees and costs is likely to be a very small portion of the benefits that utility customers are likely to ultimately realize due to</w:t>
            </w:r>
            <w:r w:rsidRPr="008921C3" w:rsidR="69A51C13">
              <w:t xml:space="preserve"> the </w:t>
            </w:r>
            <w:r w:rsidRPr="008921C3" w:rsidR="1B3DB12C">
              <w:t>development of microgrids promoting resiliency, the increased public participation in microgrid development, and the energy justice benefits to vulnerable communities</w:t>
            </w:r>
            <w:r w:rsidRPr="008921C3" w:rsidR="69A51C13">
              <w:t>.</w:t>
            </w:r>
            <w:r w:rsidRPr="008921C3">
              <w:t xml:space="preserve"> </w:t>
            </w:r>
          </w:p>
        </w:tc>
        <w:tc>
          <w:tcPr>
            <w:tcW w:w="2075" w:type="dxa"/>
            <w:shd w:val="clear" w:color="auto" w:fill="auto"/>
          </w:tcPr>
          <w:p w:rsidRPr="008921C3" w:rsidR="00FE3BAE" w:rsidP="00BF25B4" w:rsidRDefault="00307D85" w14:paraId="223B4665" w14:textId="3BDE8B97">
            <w:pPr>
              <w:jc w:val="center"/>
            </w:pPr>
            <w:r w:rsidRPr="008921C3">
              <w:lastRenderedPageBreak/>
              <w:t>Noted</w:t>
            </w:r>
          </w:p>
        </w:tc>
      </w:tr>
      <w:tr w:rsidRPr="008921C3" w:rsidR="008921C3" w:rsidTr="00BF25B4" w14:paraId="5548029C" w14:textId="77777777">
        <w:tc>
          <w:tcPr>
            <w:tcW w:w="7285" w:type="dxa"/>
            <w:shd w:val="clear" w:color="auto" w:fill="auto"/>
          </w:tcPr>
          <w:p w:rsidRPr="008921C3" w:rsidR="00FE3BAE" w:rsidP="00F65DD1" w:rsidRDefault="00FE3BAE" w14:paraId="751A610C" w14:textId="35C2CD3C">
            <w:pPr>
              <w:spacing w:after="240"/>
              <w:ind w:left="360" w:hanging="360"/>
            </w:pPr>
            <w:r w:rsidRPr="008921C3">
              <w:rPr>
                <w:b/>
              </w:rPr>
              <w:t>b.</w:t>
            </w:r>
            <w:r w:rsidR="00F65DD1">
              <w:rPr>
                <w:b/>
              </w:rPr>
              <w:tab/>
            </w:r>
            <w:r w:rsidRPr="008921C3">
              <w:rPr>
                <w:b/>
              </w:rPr>
              <w:t>Reasonableness of hours claimed:</w:t>
            </w:r>
            <w:r w:rsidRPr="008921C3" w:rsidR="00E25078">
              <w:t xml:space="preserve"> </w:t>
            </w:r>
          </w:p>
          <w:p w:rsidRPr="008921C3" w:rsidR="00691528" w:rsidP="008921C3" w:rsidRDefault="7363D601" w14:paraId="14FC1BE8" w14:textId="743F85D7">
            <w:r w:rsidRPr="008921C3">
              <w:lastRenderedPageBreak/>
              <w:t>As mentioned above, CEJA participated in all major aspects of the</w:t>
            </w:r>
          </w:p>
          <w:p w:rsidRPr="008921C3" w:rsidR="00691528" w:rsidP="00F65DD1" w:rsidRDefault="250E4490" w14:paraId="2DD3F7EC" w14:textId="7A9F950F">
            <w:pPr>
              <w:spacing w:after="240"/>
            </w:pPr>
            <w:r w:rsidRPr="008921C3">
              <w:t xml:space="preserve">proceeding, including filing multiple comments, participating in ex parte meetings, and coordinating with multiple parties.  CEJA’s total filings are reflected in many pages of detailed substantive analysis.  CEJA often had to analyze dozens of filings to develop comments and critiques of other parties.  The amount of time CEJA spent on this portion of the proceeding is reasonable considering CEJA’s extensive participation in and contribution to a wide range of outcomes.  Furthermore, CEJA’s hours are likely very low considering the number of filings, meetings, wide range of issues, and parties in this proceeding. </w:t>
            </w:r>
          </w:p>
          <w:p w:rsidRPr="008921C3" w:rsidR="00691528" w:rsidP="00F65DD1" w:rsidRDefault="7363D601" w14:paraId="388E66EB" w14:textId="40444F6E">
            <w:pPr>
              <w:spacing w:after="240"/>
            </w:pPr>
            <w:r w:rsidRPr="008921C3">
              <w:t>CEJA’s submitted significant legal, policy, and technical research on the topics raised by the Commission’s ultimate decision. As one of the only parties directly representing disadvantaged communities, CEJA took the lead on all issues that directly impacted the communities we represent.</w:t>
            </w:r>
          </w:p>
          <w:p w:rsidRPr="008921C3" w:rsidR="00520518" w:rsidP="00F65DD1" w:rsidRDefault="250E4490" w14:paraId="18045AA2" w14:textId="705E4FFF">
            <w:pPr>
              <w:spacing w:after="240"/>
            </w:pPr>
            <w:r w:rsidRPr="008921C3">
              <w:t>CEJA was conscious of limiting hours and time spent on the proceeding.</w:t>
            </w:r>
            <w:r w:rsidRPr="008921C3" w:rsidR="737FF903">
              <w:t xml:space="preserve"> </w:t>
            </w:r>
            <w:r w:rsidRPr="008921C3" w:rsidR="5F664676">
              <w:t>Heather Lewis, an experienced attorney,</w:t>
            </w:r>
            <w:r w:rsidRPr="008921C3" w:rsidR="209F200B">
              <w:t xml:space="preserve"> </w:t>
            </w:r>
            <w:r w:rsidRPr="008921C3" w:rsidR="5F664676">
              <w:t>took on the lead role in the proceeding. She supervised clinical law students who performed much of the research, analysis, and writing in the proceeding. They coordinated with co</w:t>
            </w:r>
            <w:r w:rsidR="00E54F5A">
              <w:noBreakHyphen/>
            </w:r>
            <w:r w:rsidRPr="008921C3" w:rsidR="5F664676">
              <w:t>counsel</w:t>
            </w:r>
            <w:r w:rsidRPr="008921C3" w:rsidR="38074277">
              <w:t xml:space="preserve"> </w:t>
            </w:r>
            <w:r w:rsidRPr="008921C3" w:rsidR="5F664676">
              <w:t>Tyler Earl to assure that internal duplication was avoided. This coordination reduced the number of hours required to develop briefs and comments for their own work.</w:t>
            </w:r>
            <w:r w:rsidRPr="008921C3" w:rsidR="42852ED9">
              <w:t xml:space="preserve"> </w:t>
            </w:r>
          </w:p>
          <w:p w:rsidRPr="008921C3" w:rsidR="00691528" w:rsidP="00F65DD1" w:rsidRDefault="00D538F2" w14:paraId="005377A6" w14:textId="35C181FC">
            <w:pPr>
              <w:spacing w:after="240"/>
            </w:pPr>
            <w:r>
              <w:t>Ms. </w:t>
            </w:r>
            <w:r w:rsidRPr="008921C3" w:rsidR="6A1C88EB">
              <w:t xml:space="preserve">Lewis, as a supervisor with the University of California Berkeley Environmental Law Clinic, was conscious of using staff with the appropriate amount of work experience for the tasks they performed; tasks that were appropriate for law students were mainly handled by law students, while </w:t>
            </w:r>
            <w:r>
              <w:t>Ms. </w:t>
            </w:r>
            <w:r w:rsidRPr="008921C3" w:rsidR="6A1C88EB">
              <w:t>Lewis handled tasks that required the work of a more experienced attorney. This kept fees reasonable. For instance, law students took a lead role in research</w:t>
            </w:r>
            <w:r w:rsidRPr="008921C3" w:rsidR="2C2D107B">
              <w:t xml:space="preserve">, </w:t>
            </w:r>
            <w:r w:rsidRPr="008921C3" w:rsidR="6A1C88EB">
              <w:t>writing briefing</w:t>
            </w:r>
            <w:r w:rsidRPr="008921C3" w:rsidR="4733EC73">
              <w:t>s,</w:t>
            </w:r>
            <w:r w:rsidRPr="008921C3" w:rsidR="6A1C88EB">
              <w:t xml:space="preserve"> and participating in meetings and workshops. The briefings CEJA submitted in this proceeding included significant amounts of research on many topics, and much of this research was done by law student clinicians.</w:t>
            </w:r>
          </w:p>
          <w:p w:rsidRPr="008921C3" w:rsidR="00691528" w:rsidP="00F65DD1" w:rsidRDefault="354BD09A" w14:paraId="694F0B63" w14:textId="5011E3F0">
            <w:pPr>
              <w:spacing w:after="240"/>
            </w:pPr>
            <w:r w:rsidRPr="008921C3">
              <w:t>CEJA is not requesting hours that its attorneys found to be duplicative or excessive, and they performed a thorough and detailed review of hours to ensure there is no unnecessary duplication or excessiveness. For example, CEJA removed all hours related to discussions with CEJA members related to the proceeding and its decision.</w:t>
            </w:r>
            <w:r w:rsidRPr="008921C3" w:rsidR="27B8A096">
              <w:t xml:space="preserve"> CEJA also removed all hours related to supervisory meetings between </w:t>
            </w:r>
            <w:r w:rsidR="00D538F2">
              <w:t>Ms. </w:t>
            </w:r>
            <w:r w:rsidRPr="008921C3" w:rsidR="27B8A096">
              <w:t>Lewis and clinical law students.</w:t>
            </w:r>
          </w:p>
        </w:tc>
        <w:tc>
          <w:tcPr>
            <w:tcW w:w="2075" w:type="dxa"/>
            <w:shd w:val="clear" w:color="auto" w:fill="auto"/>
          </w:tcPr>
          <w:p w:rsidRPr="008921C3" w:rsidR="00FE3BAE" w:rsidP="00BF25B4" w:rsidRDefault="00307D85" w14:paraId="1874D625" w14:textId="60C595AB">
            <w:pPr>
              <w:jc w:val="center"/>
            </w:pPr>
            <w:r w:rsidRPr="008921C3">
              <w:lastRenderedPageBreak/>
              <w:t>Noted</w:t>
            </w:r>
          </w:p>
        </w:tc>
      </w:tr>
      <w:tr w:rsidRPr="008921C3" w:rsidR="008921C3" w:rsidTr="00BF25B4" w14:paraId="3FD38B74" w14:textId="77777777">
        <w:tc>
          <w:tcPr>
            <w:tcW w:w="7285" w:type="dxa"/>
            <w:shd w:val="clear" w:color="auto" w:fill="auto"/>
          </w:tcPr>
          <w:p w:rsidRPr="008921C3" w:rsidR="00FE3BAE" w:rsidP="00CE7EA7" w:rsidRDefault="00FE3BAE" w14:paraId="46990B37" w14:textId="502CBBBC">
            <w:pPr>
              <w:spacing w:after="240"/>
              <w:ind w:left="360" w:hanging="360"/>
            </w:pPr>
            <w:r w:rsidRPr="008921C3">
              <w:rPr>
                <w:b/>
              </w:rPr>
              <w:lastRenderedPageBreak/>
              <w:t>c.</w:t>
            </w:r>
            <w:r w:rsidR="00CE7EA7">
              <w:rPr>
                <w:b/>
              </w:rPr>
              <w:tab/>
            </w:r>
            <w:r w:rsidRPr="008921C3">
              <w:rPr>
                <w:b/>
              </w:rPr>
              <w:t>Allocation of hours by issue:</w:t>
            </w:r>
            <w:r w:rsidRPr="008921C3" w:rsidR="00E25078">
              <w:t xml:space="preserve"> </w:t>
            </w:r>
          </w:p>
          <w:p w:rsidRPr="008921C3" w:rsidR="00691528" w:rsidP="00F65DD1" w:rsidRDefault="1614BB29" w14:paraId="5B17B5E0" w14:textId="4D293D7B">
            <w:pPr>
              <w:spacing w:after="240"/>
            </w:pPr>
            <w:r w:rsidRPr="008921C3">
              <w:t>CEJA has allocated all of our attorney and advocate time by issue area or activity, as evident by our attached timesheets. The following issues allocate hours by specific substantive issues and activity areas addressed by CEJA. CEJA also provides an approximate breakdown of the number of hours spent on each task and the percentage of total hours devoted to each category.</w:t>
            </w:r>
          </w:p>
          <w:p w:rsidRPr="008921C3" w:rsidR="6FA40EA7" w:rsidP="00F65DD1" w:rsidRDefault="0753C300" w14:paraId="331A4805" w14:textId="24552CD8">
            <w:pPr>
              <w:spacing w:after="240"/>
            </w:pPr>
            <w:r w:rsidRPr="008921C3">
              <w:t>Issue A: Short Term Fossil Fuel Use</w:t>
            </w:r>
            <w:r w:rsidRPr="008921C3" w:rsidR="02874B20">
              <w:t xml:space="preserve"> (</w:t>
            </w:r>
            <w:r w:rsidRPr="008921C3" w:rsidR="005E10B1">
              <w:t>125.9 hours – 25</w:t>
            </w:r>
            <w:r w:rsidRPr="008921C3" w:rsidR="00B51657">
              <w:t>.4</w:t>
            </w:r>
            <w:r w:rsidRPr="008921C3" w:rsidR="005E10B1">
              <w:t xml:space="preserve">% of </w:t>
            </w:r>
            <w:r w:rsidRPr="008921C3" w:rsidR="02874B20">
              <w:t>total)</w:t>
            </w:r>
          </w:p>
          <w:p w:rsidRPr="008921C3" w:rsidR="4A16DCA9" w:rsidP="00F65DD1" w:rsidRDefault="4A16DCA9" w14:paraId="7C60A2AB" w14:textId="27E0387B">
            <w:pPr>
              <w:spacing w:after="240"/>
            </w:pPr>
            <w:r w:rsidRPr="008921C3">
              <w:t xml:space="preserve">Work on issues related to short term fossil fuel use includes time spent researching legal and factual issues, research of other agencies’ findings and documents, discussions with other groups, receiving input from various </w:t>
            </w:r>
            <w:r w:rsidRPr="008921C3" w:rsidR="002643E9">
              <w:t>advocates</w:t>
            </w:r>
            <w:r w:rsidRPr="008921C3">
              <w:t>, drafting technical and legal comments, and responding to critiques raised by other parties.</w:t>
            </w:r>
          </w:p>
          <w:p w:rsidRPr="008921C3" w:rsidR="00691528" w:rsidP="00F65DD1" w:rsidRDefault="6FA40EA7" w14:paraId="7DBF72AF" w14:textId="62898A82">
            <w:pPr>
              <w:spacing w:after="240"/>
            </w:pPr>
            <w:r w:rsidRPr="008921C3">
              <w:t xml:space="preserve">Issue B: </w:t>
            </w:r>
            <w:r w:rsidRPr="008921C3" w:rsidR="0546864A">
              <w:t>Community Engagement and Outreach in Resiliency Planning &amp; Semi</w:t>
            </w:r>
            <w:r w:rsidR="00E54F5A">
              <w:noBreakHyphen/>
            </w:r>
            <w:r w:rsidRPr="008921C3" w:rsidR="0546864A">
              <w:t>Annual Workshops with Local Government</w:t>
            </w:r>
            <w:r w:rsidRPr="008921C3" w:rsidR="005E10B1">
              <w:t xml:space="preserve"> (30.7 hours – 6</w:t>
            </w:r>
            <w:r w:rsidRPr="008921C3" w:rsidR="00B51657">
              <w:t>.2</w:t>
            </w:r>
            <w:r w:rsidRPr="008921C3" w:rsidR="005E10B1">
              <w:t>% of total)</w:t>
            </w:r>
          </w:p>
          <w:p w:rsidRPr="008921C3" w:rsidR="00691528" w:rsidP="00F65DD1" w:rsidRDefault="06828E02" w14:paraId="5AD8F6B1" w14:textId="37D7A5B4">
            <w:pPr>
              <w:spacing w:after="240"/>
            </w:pPr>
            <w:r w:rsidRPr="008921C3">
              <w:t>Work on issues related to community engagement and outreach includes time spent in discussions with other groups, receiving input from various environmental justice advocates, drafting technical and legal comments, and responding to critiques raised by other parties.</w:t>
            </w:r>
          </w:p>
          <w:p w:rsidRPr="008921C3" w:rsidR="00691528" w:rsidP="00F65DD1" w:rsidRDefault="0546864A" w14:paraId="0BA2920D" w14:textId="03337ED5">
            <w:pPr>
              <w:spacing w:after="240"/>
            </w:pPr>
            <w:r w:rsidRPr="008921C3">
              <w:t>Issue C: Expanding Eligibility for PG&amp;E’</w:t>
            </w:r>
            <w:r w:rsidRPr="008921C3" w:rsidR="73D70B2A">
              <w:t>s CMEP Program</w:t>
            </w:r>
            <w:r w:rsidRPr="008921C3" w:rsidR="00B51657">
              <w:t xml:space="preserve"> (</w:t>
            </w:r>
            <w:r w:rsidRPr="008921C3" w:rsidR="00EC0F78">
              <w:t>12.9 hours – 2.6</w:t>
            </w:r>
            <w:r w:rsidRPr="008921C3" w:rsidR="00B51657">
              <w:t>% of total)</w:t>
            </w:r>
          </w:p>
          <w:p w:rsidRPr="008921C3" w:rsidR="02D95D99" w:rsidP="00F65DD1" w:rsidRDefault="02D95D99" w14:paraId="31DAC447" w14:textId="6D7B7B97">
            <w:pPr>
              <w:spacing w:after="240"/>
            </w:pPr>
            <w:r w:rsidRPr="008921C3">
              <w:t>Work on issues related to expanded eligibility for CMEP includes time spent researching legal and factual issues, in discussions with other groups, receiving input from various environmental justice advocates, and drafting technical and legal comments.</w:t>
            </w:r>
          </w:p>
          <w:p w:rsidRPr="008921C3" w:rsidR="00691528" w:rsidP="00F65DD1" w:rsidRDefault="73D70B2A" w14:paraId="5189CD9A" w14:textId="331F2715">
            <w:pPr>
              <w:spacing w:after="240"/>
            </w:pPr>
            <w:r w:rsidRPr="008921C3">
              <w:t>Issue D: Improving Interconnection Timelines for Disadvantaged Communities</w:t>
            </w:r>
            <w:r w:rsidRPr="008921C3" w:rsidR="00EC0F78">
              <w:t xml:space="preserve"> (</w:t>
            </w:r>
            <w:r w:rsidRPr="008921C3" w:rsidR="00EC23DB">
              <w:t>24.9</w:t>
            </w:r>
            <w:r w:rsidRPr="008921C3" w:rsidR="00EC0F78">
              <w:t xml:space="preserve"> hours – </w:t>
            </w:r>
            <w:r w:rsidRPr="008921C3" w:rsidR="00EC23DB">
              <w:t>5.0</w:t>
            </w:r>
            <w:r w:rsidRPr="008921C3" w:rsidR="00EC0F78">
              <w:t>% of total)</w:t>
            </w:r>
          </w:p>
          <w:p w:rsidRPr="008921C3" w:rsidR="2F24CB3E" w:rsidP="00F65DD1" w:rsidRDefault="4999DAE5" w14:paraId="0FEF0429" w14:textId="67BCBB28">
            <w:pPr>
              <w:spacing w:after="240"/>
            </w:pPr>
            <w:r w:rsidRPr="008921C3">
              <w:t>Work on issues related to interconnection timelines includes time spent researching legal and factual issues, research of other agencies’ findings and documents, discussions with other groups, receiving input from various environmental justice advocates, drafting technical and legal comments, and responding to critiques raised by other parties.</w:t>
            </w:r>
          </w:p>
          <w:p w:rsidRPr="008921C3" w:rsidR="663880F4" w:rsidP="00F65DD1" w:rsidRDefault="73D70B2A" w14:paraId="3B649202" w14:textId="6C834595">
            <w:pPr>
              <w:spacing w:after="240"/>
            </w:pPr>
            <w:r w:rsidRPr="008921C3">
              <w:lastRenderedPageBreak/>
              <w:t>Issue E: Long Term Fossil Fuel Use in Temporary Generation</w:t>
            </w:r>
            <w:r w:rsidRPr="008921C3" w:rsidR="00EC0F78">
              <w:t xml:space="preserve"> (</w:t>
            </w:r>
            <w:r w:rsidRPr="008921C3" w:rsidR="00EC23DB">
              <w:t>180.2</w:t>
            </w:r>
            <w:r w:rsidRPr="008921C3" w:rsidR="00EC0F78">
              <w:t xml:space="preserve"> hours – </w:t>
            </w:r>
            <w:r w:rsidRPr="008921C3" w:rsidR="00070A00">
              <w:t>36.4</w:t>
            </w:r>
            <w:r w:rsidRPr="008921C3" w:rsidR="00EC0F78">
              <w:t>% of total)</w:t>
            </w:r>
          </w:p>
          <w:p w:rsidRPr="008921C3" w:rsidR="0C30948A" w:rsidP="00F65DD1" w:rsidRDefault="0C30948A" w14:paraId="5A55509D" w14:textId="7916040D">
            <w:pPr>
              <w:spacing w:after="240"/>
            </w:pPr>
            <w:r w:rsidRPr="008921C3">
              <w:t xml:space="preserve">Work on issues related to long term fossil fuel use includes time spent researching legal and factual issues, research of other agencies’ findings and documents, </w:t>
            </w:r>
            <w:r w:rsidRPr="008921C3" w:rsidR="00E84C66">
              <w:t xml:space="preserve">participating in workshops, </w:t>
            </w:r>
            <w:r w:rsidRPr="008921C3">
              <w:t>discussions with other groups, receiving input from various environmental justice advocates, drafting technical and legal comments, and responding to critiques raised by other parties.</w:t>
            </w:r>
          </w:p>
          <w:p w:rsidRPr="008921C3" w:rsidR="663880F4" w:rsidP="00F65DD1" w:rsidRDefault="73D70B2A" w14:paraId="2C2235E9" w14:textId="0BCD7D21">
            <w:pPr>
              <w:spacing w:after="240"/>
            </w:pPr>
            <w:r w:rsidRPr="008921C3">
              <w:t>Issue F: Microgrid Incentive Program</w:t>
            </w:r>
            <w:r w:rsidRPr="008921C3" w:rsidR="00EC0F78">
              <w:t xml:space="preserve"> (</w:t>
            </w:r>
            <w:r w:rsidRPr="008921C3" w:rsidR="00EC23DB">
              <w:t>36.5</w:t>
            </w:r>
            <w:r w:rsidRPr="008921C3" w:rsidR="00EC0F78">
              <w:t xml:space="preserve"> hours – </w:t>
            </w:r>
            <w:r w:rsidRPr="008921C3" w:rsidR="00070A00">
              <w:t>7.4</w:t>
            </w:r>
            <w:r w:rsidRPr="008921C3" w:rsidR="00EC0F78">
              <w:t>% of total)</w:t>
            </w:r>
          </w:p>
          <w:p w:rsidRPr="008921C3" w:rsidR="5A7F00C0" w:rsidP="00F65DD1" w:rsidRDefault="5A7F00C0" w14:paraId="65AF442E" w14:textId="0A3E66A1">
            <w:pPr>
              <w:spacing w:after="240"/>
            </w:pPr>
            <w:r w:rsidRPr="008921C3">
              <w:t>Work on issues related to the microgrid incentive</w:t>
            </w:r>
            <w:r w:rsidRPr="008921C3" w:rsidR="00F5187B">
              <w:t xml:space="preserve"> program</w:t>
            </w:r>
            <w:r w:rsidRPr="008921C3">
              <w:t xml:space="preserve"> includes time spent researching other agencies’ findings and documents, discussions with other groups, receiving input from various environmental justice advocates, drafting technical and legal comments, and responding to critiques raised by other parties.</w:t>
            </w:r>
          </w:p>
          <w:p w:rsidRPr="008921C3" w:rsidR="663880F4" w:rsidP="00F65DD1" w:rsidRDefault="73D70B2A" w14:paraId="05D883B6" w14:textId="484AFB18">
            <w:pPr>
              <w:spacing w:after="240"/>
            </w:pPr>
            <w:r w:rsidRPr="008921C3">
              <w:t>Issue G: General Participation</w:t>
            </w:r>
            <w:r w:rsidRPr="008921C3" w:rsidR="00EC0F78">
              <w:t xml:space="preserve"> (</w:t>
            </w:r>
            <w:r w:rsidRPr="008921C3" w:rsidR="00070A00">
              <w:t>48.7</w:t>
            </w:r>
            <w:r w:rsidRPr="008921C3" w:rsidR="00EC0F78">
              <w:t xml:space="preserve"> hours – </w:t>
            </w:r>
            <w:r w:rsidRPr="008921C3" w:rsidR="00070A00">
              <w:t>9.8</w:t>
            </w:r>
            <w:r w:rsidRPr="008921C3" w:rsidR="00EC0F78">
              <w:t>% of total)</w:t>
            </w:r>
          </w:p>
          <w:p w:rsidRPr="008921C3" w:rsidR="663880F4" w:rsidP="00F65DD1" w:rsidRDefault="73D70B2A" w14:paraId="3F4B125F" w14:textId="0F40EA13">
            <w:pPr>
              <w:spacing w:after="240"/>
            </w:pPr>
            <w:r w:rsidRPr="008921C3">
              <w:t xml:space="preserve">General participation work is work that is essential to participation in the proceeding that typically spans multiple issues and/or is necessary for participating in the proceeding.  This includes reviewing the initial Commission rulings, initial review of proposals by </w:t>
            </w:r>
            <w:r w:rsidRPr="008921C3" w:rsidR="00E84C66">
              <w:t xml:space="preserve">Commission </w:t>
            </w:r>
            <w:r w:rsidRPr="008921C3">
              <w:t xml:space="preserve">Staff, and work coordinating with other parties on general issues.  If discussions with other parties were focused on a particular issue, those hours are allocated under that issue. </w:t>
            </w:r>
          </w:p>
          <w:p w:rsidRPr="008921C3" w:rsidR="6EF8000F" w:rsidP="00F65DD1" w:rsidRDefault="73D70B2A" w14:paraId="635FA20B" w14:textId="08DB43D7">
            <w:pPr>
              <w:spacing w:after="240"/>
            </w:pPr>
            <w:r w:rsidRPr="008921C3">
              <w:t xml:space="preserve">Issue </w:t>
            </w:r>
            <w:r w:rsidRPr="008921C3" w:rsidR="492104A0">
              <w:t>H</w:t>
            </w:r>
            <w:r w:rsidRPr="008921C3">
              <w:t xml:space="preserve">: Intervenor Compensation </w:t>
            </w:r>
            <w:r w:rsidRPr="008921C3" w:rsidR="00070A00">
              <w:t>(35.5 hours – 7.2% of total)</w:t>
            </w:r>
          </w:p>
          <w:p w:rsidRPr="008921C3" w:rsidR="663880F4" w:rsidP="00F65DD1" w:rsidRDefault="73D70B2A" w14:paraId="29953827" w14:textId="6DD3D0CC">
            <w:pPr>
              <w:spacing w:after="240"/>
            </w:pPr>
            <w:r w:rsidRPr="008921C3">
              <w:t xml:space="preserve">Work preparing this request for compensation and analyzing the initial Commission decision related to compensation. </w:t>
            </w:r>
          </w:p>
          <w:p w:rsidRPr="008921C3" w:rsidR="00691528" w:rsidP="00F65DD1" w:rsidRDefault="73D70B2A" w14:paraId="3285939A" w14:textId="59FC1FFD">
            <w:pPr>
              <w:spacing w:after="240"/>
            </w:pPr>
            <w:r w:rsidRPr="008921C3">
              <w:t>CEJA submits that given the broad and extensive nature of this proceeding, this information should suffice to address the allocation requirement under the Commission’s rules.  If the Commission wishes to see additional or different information at this point, CEJA requests that the Commission inform it and provide a reasonable opportunity to supplement this showing accordingly.</w:t>
            </w:r>
          </w:p>
        </w:tc>
        <w:tc>
          <w:tcPr>
            <w:tcW w:w="2075" w:type="dxa"/>
            <w:shd w:val="clear" w:color="auto" w:fill="auto"/>
          </w:tcPr>
          <w:p w:rsidRPr="008921C3" w:rsidR="00FE3BAE" w:rsidP="00BF25B4" w:rsidRDefault="00307D85" w14:paraId="497C4799" w14:textId="3DDF2147">
            <w:pPr>
              <w:jc w:val="center"/>
            </w:pPr>
            <w:r w:rsidRPr="008921C3">
              <w:lastRenderedPageBreak/>
              <w:t>Noted</w:t>
            </w:r>
          </w:p>
        </w:tc>
      </w:tr>
    </w:tbl>
    <w:p w:rsidRPr="008921C3" w:rsidR="00A92D0B" w:rsidP="00344602" w:rsidRDefault="00A92D0B" w14:paraId="710BC7D6" w14:textId="77777777">
      <w:pPr>
        <w:keepNext/>
        <w:numPr>
          <w:ilvl w:val="0"/>
          <w:numId w:val="9"/>
        </w:numPr>
        <w:spacing w:before="240" w:after="240"/>
        <w:rPr>
          <w:b/>
          <w:bCs/>
        </w:rPr>
      </w:pPr>
      <w:r w:rsidRPr="008921C3">
        <w:rPr>
          <w:b/>
          <w:bCs/>
        </w:rPr>
        <w:lastRenderedPageBreak/>
        <w:t>Specific Claim</w:t>
      </w:r>
      <w:r w:rsidRPr="008921C3" w:rsidR="00C02649">
        <w:rPr>
          <w:b/>
          <w:bCs/>
        </w:rPr>
        <w:t>:</w:t>
      </w:r>
      <w:r w:rsidRPr="008921C3" w:rsidR="00D075B1">
        <w:rPr>
          <w:b/>
          <w:bCs/>
        </w:rPr>
        <w:t>*</w:t>
      </w:r>
    </w:p>
    <w:tbl>
      <w:tblPr>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408"/>
        <w:gridCol w:w="297"/>
        <w:gridCol w:w="450"/>
        <w:gridCol w:w="866"/>
        <w:gridCol w:w="1024"/>
        <w:gridCol w:w="270"/>
        <w:gridCol w:w="1530"/>
        <w:gridCol w:w="540"/>
        <w:gridCol w:w="810"/>
        <w:gridCol w:w="900"/>
        <w:gridCol w:w="1080"/>
        <w:gridCol w:w="1380"/>
      </w:tblGrid>
      <w:tr w:rsidRPr="005C52A0" w:rsidR="008921C3" w:rsidTr="0074554A" w14:paraId="780664A2" w14:textId="77777777">
        <w:trPr>
          <w:tblHeader/>
          <w:jc w:val="center"/>
        </w:trPr>
        <w:tc>
          <w:tcPr>
            <w:tcW w:w="7195" w:type="dxa"/>
            <w:gridSpan w:val="9"/>
            <w:tcBorders>
              <w:bottom w:val="single" w:color="auto" w:sz="4" w:space="0"/>
              <w:right w:val="single" w:color="auto" w:sz="24" w:space="0"/>
            </w:tcBorders>
            <w:shd w:val="clear" w:color="auto" w:fill="auto"/>
            <w:vAlign w:val="bottom"/>
          </w:tcPr>
          <w:p w:rsidRPr="005C52A0" w:rsidR="00A92D0B" w:rsidP="004818D5" w:rsidRDefault="00A92D0B" w14:paraId="6BFE54DA" w14:textId="77777777">
            <w:pPr>
              <w:keepNext/>
              <w:jc w:val="center"/>
              <w:rPr>
                <w:b/>
                <w:smallCaps/>
              </w:rPr>
            </w:pPr>
            <w:r w:rsidRPr="005C52A0">
              <w:rPr>
                <w:b/>
                <w:smallCaps/>
              </w:rPr>
              <w:t>Claimed</w:t>
            </w:r>
          </w:p>
        </w:tc>
        <w:tc>
          <w:tcPr>
            <w:tcW w:w="3360" w:type="dxa"/>
            <w:gridSpan w:val="3"/>
            <w:tcBorders>
              <w:left w:val="single" w:color="auto" w:sz="24" w:space="0"/>
              <w:bottom w:val="single" w:color="auto" w:sz="4" w:space="0"/>
            </w:tcBorders>
            <w:shd w:val="clear" w:color="auto" w:fill="auto"/>
            <w:vAlign w:val="bottom"/>
          </w:tcPr>
          <w:p w:rsidRPr="005C52A0" w:rsidR="00A92D0B" w:rsidP="004818D5" w:rsidRDefault="00A92D0B" w14:paraId="170A0FA1" w14:textId="77777777">
            <w:pPr>
              <w:keepNext/>
              <w:jc w:val="center"/>
              <w:rPr>
                <w:b/>
                <w:smallCaps/>
              </w:rPr>
            </w:pPr>
            <w:r w:rsidRPr="005C52A0">
              <w:rPr>
                <w:b/>
                <w:smallCaps/>
              </w:rPr>
              <w:t>CPUC Award</w:t>
            </w:r>
          </w:p>
        </w:tc>
      </w:tr>
      <w:tr w:rsidRPr="005C52A0" w:rsidR="008921C3" w:rsidTr="0074554A" w14:paraId="0F5B6CAA" w14:textId="77777777">
        <w:trPr>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E6E6E6"/>
          </w:tcPr>
          <w:p w:rsidRPr="005C52A0" w:rsidR="00A92D0B" w:rsidP="004818D5" w:rsidRDefault="00A92D0B" w14:paraId="284F9031" w14:textId="77777777">
            <w:pPr>
              <w:keepNext/>
              <w:jc w:val="center"/>
              <w:rPr>
                <w:b/>
              </w:rPr>
            </w:pPr>
            <w:r w:rsidRPr="005C52A0">
              <w:rPr>
                <w:b/>
              </w:rPr>
              <w:t>ATTORNEY, EXPERT, AND ADVOCATE FEES</w:t>
            </w:r>
          </w:p>
        </w:tc>
      </w:tr>
      <w:tr w:rsidRPr="005C52A0" w:rsidR="008921C3" w:rsidTr="000B08B9" w14:paraId="5A70C962" w14:textId="77777777">
        <w:trPr>
          <w:jc w:val="center"/>
        </w:trPr>
        <w:tc>
          <w:tcPr>
            <w:tcW w:w="1408" w:type="dxa"/>
            <w:tcBorders>
              <w:top w:val="single" w:color="auto" w:sz="4" w:space="0"/>
              <w:bottom w:val="single" w:color="auto" w:sz="4" w:space="0"/>
            </w:tcBorders>
            <w:shd w:val="clear" w:color="auto" w:fill="auto"/>
            <w:vAlign w:val="bottom"/>
          </w:tcPr>
          <w:p w:rsidRPr="005C52A0" w:rsidR="00A92D0B" w:rsidP="004818D5" w:rsidRDefault="00A92D0B" w14:paraId="41646676" w14:textId="77777777">
            <w:pPr>
              <w:keepNext/>
              <w:jc w:val="center"/>
              <w:rPr>
                <w:b/>
                <w:szCs w:val="22"/>
              </w:rPr>
            </w:pPr>
            <w:r w:rsidRPr="005C52A0">
              <w:rPr>
                <w:b/>
                <w:szCs w:val="22"/>
              </w:rPr>
              <w:t>Item</w:t>
            </w:r>
          </w:p>
        </w:tc>
        <w:tc>
          <w:tcPr>
            <w:tcW w:w="747" w:type="dxa"/>
            <w:gridSpan w:val="2"/>
            <w:tcBorders>
              <w:top w:val="single" w:color="auto" w:sz="4" w:space="0"/>
              <w:bottom w:val="single" w:color="auto" w:sz="4" w:space="0"/>
            </w:tcBorders>
            <w:shd w:val="clear" w:color="auto" w:fill="auto"/>
            <w:vAlign w:val="bottom"/>
          </w:tcPr>
          <w:p w:rsidRPr="005C52A0" w:rsidR="00A92D0B" w:rsidP="004818D5" w:rsidRDefault="00A92D0B" w14:paraId="43BB9941" w14:textId="77777777">
            <w:pPr>
              <w:keepNext/>
              <w:jc w:val="center"/>
              <w:rPr>
                <w:b/>
                <w:szCs w:val="22"/>
              </w:rPr>
            </w:pPr>
            <w:r w:rsidRPr="005C52A0">
              <w:rPr>
                <w:b/>
                <w:szCs w:val="22"/>
              </w:rPr>
              <w:t>Year</w:t>
            </w:r>
          </w:p>
        </w:tc>
        <w:tc>
          <w:tcPr>
            <w:tcW w:w="866" w:type="dxa"/>
            <w:tcBorders>
              <w:top w:val="single" w:color="auto" w:sz="4" w:space="0"/>
              <w:bottom w:val="single" w:color="auto" w:sz="4" w:space="0"/>
            </w:tcBorders>
            <w:shd w:val="clear" w:color="auto" w:fill="auto"/>
            <w:vAlign w:val="bottom"/>
          </w:tcPr>
          <w:p w:rsidRPr="005C52A0" w:rsidR="00A92D0B" w:rsidP="004818D5" w:rsidRDefault="00A92D0B" w14:paraId="0EF32B08" w14:textId="77777777">
            <w:pPr>
              <w:keepNext/>
              <w:jc w:val="center"/>
              <w:rPr>
                <w:b/>
                <w:bCs/>
                <w:szCs w:val="22"/>
              </w:rPr>
            </w:pPr>
            <w:r w:rsidRPr="005C52A0">
              <w:rPr>
                <w:b/>
                <w:bCs/>
                <w:szCs w:val="22"/>
              </w:rPr>
              <w:t>Hours</w:t>
            </w:r>
          </w:p>
        </w:tc>
        <w:tc>
          <w:tcPr>
            <w:tcW w:w="1024" w:type="dxa"/>
            <w:tcBorders>
              <w:top w:val="single" w:color="auto" w:sz="4" w:space="0"/>
              <w:bottom w:val="single" w:color="auto" w:sz="4" w:space="0"/>
            </w:tcBorders>
            <w:shd w:val="clear" w:color="auto" w:fill="auto"/>
            <w:vAlign w:val="bottom"/>
          </w:tcPr>
          <w:p w:rsidRPr="005C52A0" w:rsidR="00A92D0B" w:rsidP="004818D5" w:rsidRDefault="00A92D0B" w14:paraId="21C69246" w14:textId="77777777">
            <w:pPr>
              <w:keepNext/>
              <w:jc w:val="center"/>
              <w:rPr>
                <w:b/>
                <w:szCs w:val="22"/>
              </w:rPr>
            </w:pPr>
            <w:r w:rsidRPr="005C52A0">
              <w:rPr>
                <w:b/>
                <w:szCs w:val="22"/>
              </w:rPr>
              <w:t>Rate</w:t>
            </w:r>
            <w:r w:rsidRPr="005C52A0" w:rsidR="00E3786F">
              <w:rPr>
                <w:b/>
                <w:szCs w:val="22"/>
              </w:rPr>
              <w:t xml:space="preserve"> $</w:t>
            </w:r>
          </w:p>
        </w:tc>
        <w:tc>
          <w:tcPr>
            <w:tcW w:w="1800" w:type="dxa"/>
            <w:gridSpan w:val="2"/>
            <w:tcBorders>
              <w:top w:val="single" w:color="auto" w:sz="4" w:space="0"/>
              <w:bottom w:val="single" w:color="auto" w:sz="4" w:space="0"/>
              <w:right w:val="single" w:color="auto" w:sz="4" w:space="0"/>
            </w:tcBorders>
            <w:shd w:val="clear" w:color="auto" w:fill="auto"/>
            <w:vAlign w:val="bottom"/>
          </w:tcPr>
          <w:p w:rsidRPr="005C52A0" w:rsidR="00A92D0B" w:rsidP="004818D5" w:rsidRDefault="00A92D0B" w14:paraId="59E63C07" w14:textId="77777777">
            <w:pPr>
              <w:keepNext/>
              <w:jc w:val="center"/>
              <w:rPr>
                <w:b/>
                <w:szCs w:val="22"/>
              </w:rPr>
            </w:pPr>
            <w:r w:rsidRPr="005C52A0">
              <w:rPr>
                <w:b/>
                <w:szCs w:val="22"/>
              </w:rPr>
              <w:t>Basis for Rate*</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5C52A0" w:rsidR="00A92D0B" w:rsidP="004818D5" w:rsidRDefault="00A92D0B" w14:paraId="7099C603" w14:textId="77777777">
            <w:pPr>
              <w:keepNext/>
              <w:jc w:val="center"/>
              <w:rPr>
                <w:b/>
                <w:szCs w:val="22"/>
              </w:rPr>
            </w:pPr>
            <w:r w:rsidRPr="005C52A0">
              <w:rPr>
                <w:b/>
                <w:szCs w:val="22"/>
              </w:rPr>
              <w:t>Total $</w:t>
            </w:r>
          </w:p>
        </w:tc>
        <w:tc>
          <w:tcPr>
            <w:tcW w:w="900" w:type="dxa"/>
            <w:tcBorders>
              <w:top w:val="single" w:color="auto" w:sz="4" w:space="0"/>
              <w:left w:val="single" w:color="auto" w:sz="4" w:space="0"/>
            </w:tcBorders>
            <w:shd w:val="clear" w:color="auto" w:fill="auto"/>
            <w:vAlign w:val="bottom"/>
          </w:tcPr>
          <w:p w:rsidRPr="005C52A0" w:rsidR="00A92D0B" w:rsidP="004818D5" w:rsidRDefault="00A92D0B" w14:paraId="564E4964" w14:textId="77777777">
            <w:pPr>
              <w:keepNext/>
              <w:jc w:val="center"/>
              <w:rPr>
                <w:b/>
                <w:szCs w:val="22"/>
              </w:rPr>
            </w:pPr>
            <w:r w:rsidRPr="005C52A0">
              <w:rPr>
                <w:b/>
                <w:szCs w:val="22"/>
              </w:rPr>
              <w:t>Hours</w:t>
            </w:r>
          </w:p>
        </w:tc>
        <w:tc>
          <w:tcPr>
            <w:tcW w:w="1080" w:type="dxa"/>
            <w:tcBorders>
              <w:top w:val="single" w:color="auto" w:sz="4" w:space="0"/>
            </w:tcBorders>
            <w:shd w:val="clear" w:color="auto" w:fill="auto"/>
            <w:vAlign w:val="bottom"/>
          </w:tcPr>
          <w:p w:rsidRPr="005C52A0" w:rsidR="00A92D0B" w:rsidP="004818D5" w:rsidRDefault="00A92D0B" w14:paraId="1462552D" w14:textId="77777777">
            <w:pPr>
              <w:keepNext/>
              <w:jc w:val="center"/>
              <w:rPr>
                <w:b/>
                <w:szCs w:val="22"/>
              </w:rPr>
            </w:pPr>
            <w:r w:rsidRPr="005C52A0">
              <w:rPr>
                <w:b/>
                <w:szCs w:val="22"/>
              </w:rPr>
              <w:t>Rate</w:t>
            </w:r>
            <w:r w:rsidRPr="005C52A0" w:rsidR="00E3786F">
              <w:rPr>
                <w:b/>
                <w:szCs w:val="22"/>
              </w:rPr>
              <w:t xml:space="preserve"> $</w:t>
            </w:r>
          </w:p>
        </w:tc>
        <w:tc>
          <w:tcPr>
            <w:tcW w:w="1380" w:type="dxa"/>
            <w:tcBorders>
              <w:top w:val="single" w:color="auto" w:sz="4" w:space="0"/>
            </w:tcBorders>
            <w:shd w:val="clear" w:color="auto" w:fill="auto"/>
            <w:vAlign w:val="bottom"/>
          </w:tcPr>
          <w:p w:rsidRPr="005C52A0" w:rsidR="00A92D0B" w:rsidP="004818D5" w:rsidRDefault="00A92D0B" w14:paraId="1B6A5CA4" w14:textId="77777777">
            <w:pPr>
              <w:keepNext/>
              <w:jc w:val="center"/>
              <w:rPr>
                <w:b/>
                <w:szCs w:val="22"/>
              </w:rPr>
            </w:pPr>
            <w:r w:rsidRPr="005C52A0">
              <w:rPr>
                <w:b/>
                <w:szCs w:val="22"/>
              </w:rPr>
              <w:t>Total $</w:t>
            </w:r>
          </w:p>
        </w:tc>
      </w:tr>
      <w:tr w:rsidRPr="005C52A0" w:rsidR="008921C3" w:rsidTr="000B08B9" w14:paraId="62E8A168" w14:textId="77777777">
        <w:trPr>
          <w:jc w:val="center"/>
        </w:trPr>
        <w:tc>
          <w:tcPr>
            <w:tcW w:w="1408" w:type="dxa"/>
            <w:shd w:val="clear" w:color="auto" w:fill="auto"/>
          </w:tcPr>
          <w:p w:rsidR="000B08B9" w:rsidP="005C52A0" w:rsidRDefault="1896DFA8" w14:paraId="51602140" w14:textId="77777777">
            <w:r w:rsidRPr="005C52A0">
              <w:t xml:space="preserve">Heather </w:t>
            </w:r>
          </w:p>
          <w:p w:rsidRPr="005C52A0" w:rsidR="00A92D0B" w:rsidP="005C52A0" w:rsidRDefault="1896DFA8" w14:paraId="33EA8B38" w14:textId="5357262B">
            <w:r w:rsidRPr="005C52A0">
              <w:t>Lewis</w:t>
            </w:r>
          </w:p>
        </w:tc>
        <w:tc>
          <w:tcPr>
            <w:tcW w:w="747" w:type="dxa"/>
            <w:gridSpan w:val="2"/>
            <w:shd w:val="clear" w:color="auto" w:fill="auto"/>
          </w:tcPr>
          <w:p w:rsidRPr="005C52A0" w:rsidR="00A92D0B" w:rsidP="0074554A" w:rsidRDefault="4C7CB470" w14:paraId="47EBBC49" w14:textId="721BF79F">
            <w:pPr>
              <w:jc w:val="center"/>
            </w:pPr>
            <w:r w:rsidRPr="005C52A0">
              <w:t>2019</w:t>
            </w:r>
          </w:p>
        </w:tc>
        <w:tc>
          <w:tcPr>
            <w:tcW w:w="866" w:type="dxa"/>
            <w:shd w:val="clear" w:color="auto" w:fill="auto"/>
          </w:tcPr>
          <w:p w:rsidRPr="005C52A0" w:rsidR="00A92D0B" w:rsidP="0074554A" w:rsidRDefault="002B38D6" w14:paraId="39A3074C" w14:textId="1A08918B">
            <w:pPr>
              <w:jc w:val="center"/>
            </w:pPr>
            <w:r w:rsidRPr="005C52A0">
              <w:t>8.8</w:t>
            </w:r>
          </w:p>
        </w:tc>
        <w:tc>
          <w:tcPr>
            <w:tcW w:w="1024" w:type="dxa"/>
            <w:shd w:val="clear" w:color="auto" w:fill="auto"/>
          </w:tcPr>
          <w:p w:rsidRPr="005C52A0" w:rsidR="00A92D0B" w:rsidP="0074554A" w:rsidRDefault="1896DFA8" w14:paraId="3E5BD317" w14:textId="318D9AA0">
            <w:pPr>
              <w:jc w:val="right"/>
            </w:pPr>
            <w:r w:rsidRPr="005C52A0">
              <w:t>$3</w:t>
            </w:r>
            <w:r w:rsidRPr="005C52A0" w:rsidR="008A3AA3">
              <w:t>2</w:t>
            </w:r>
            <w:r w:rsidRPr="005C52A0">
              <w:t>0</w:t>
            </w:r>
            <w:r w:rsidR="0074554A">
              <w:t>.00</w:t>
            </w:r>
          </w:p>
        </w:tc>
        <w:tc>
          <w:tcPr>
            <w:tcW w:w="1800" w:type="dxa"/>
            <w:gridSpan w:val="2"/>
            <w:tcBorders>
              <w:right w:val="single" w:color="auto" w:sz="4" w:space="0"/>
            </w:tcBorders>
            <w:shd w:val="clear" w:color="auto" w:fill="auto"/>
          </w:tcPr>
          <w:p w:rsidRPr="005C52A0" w:rsidR="00A92D0B" w:rsidP="0074554A" w:rsidRDefault="73E7740D" w14:paraId="63BDE315" w14:textId="32AC1D3B">
            <w:r w:rsidRPr="005C52A0">
              <w:t>D.15</w:t>
            </w:r>
            <w:r w:rsidRPr="005C52A0" w:rsidR="00E54F5A">
              <w:noBreakHyphen/>
            </w:r>
            <w:r w:rsidRPr="005C52A0">
              <w:t>10</w:t>
            </w:r>
            <w:r w:rsidRPr="005C52A0" w:rsidR="00E54F5A">
              <w:noBreakHyphen/>
            </w:r>
            <w:r w:rsidRPr="005C52A0">
              <w:t>011, Resolution ALJ</w:t>
            </w:r>
            <w:r w:rsidRPr="005C52A0" w:rsidR="00E54F5A">
              <w:noBreakHyphen/>
            </w:r>
            <w:r w:rsidRPr="005C52A0">
              <w:t>3</w:t>
            </w:r>
            <w:r w:rsidRPr="005C52A0" w:rsidR="009B75B0">
              <w:t>5</w:t>
            </w:r>
            <w:r w:rsidRPr="005C52A0">
              <w:t>7,</w:t>
            </w:r>
            <w:r w:rsidR="0074554A">
              <w:t xml:space="preserve"> Comment </w:t>
            </w:r>
            <w:r w:rsidRPr="005C52A0" w:rsidR="005216C1">
              <w:t>1</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2B38D6" w14:paraId="06BD92A5" w14:textId="733D1D6B">
            <w:pPr>
              <w:jc w:val="right"/>
            </w:pPr>
            <w:r w:rsidRPr="005C52A0">
              <w:t>$2,816</w:t>
            </w:r>
            <w:r w:rsidRPr="005C52A0" w:rsidR="00445EB9">
              <w:t>.00</w:t>
            </w:r>
          </w:p>
        </w:tc>
        <w:tc>
          <w:tcPr>
            <w:tcW w:w="900" w:type="dxa"/>
            <w:tcBorders>
              <w:left w:val="single" w:color="auto" w:sz="4" w:space="0"/>
            </w:tcBorders>
            <w:shd w:val="clear" w:color="auto" w:fill="auto"/>
          </w:tcPr>
          <w:p w:rsidRPr="005C52A0" w:rsidR="00A92D0B" w:rsidP="0074554A" w:rsidRDefault="007D0962" w14:paraId="31AF7AA4" w14:textId="4CC4B152">
            <w:pPr>
              <w:jc w:val="center"/>
            </w:pPr>
            <w:r w:rsidRPr="005C52A0">
              <w:t>8.80</w:t>
            </w:r>
          </w:p>
        </w:tc>
        <w:tc>
          <w:tcPr>
            <w:tcW w:w="1080" w:type="dxa"/>
            <w:shd w:val="clear" w:color="auto" w:fill="auto"/>
          </w:tcPr>
          <w:p w:rsidRPr="005C52A0" w:rsidR="00A92D0B" w:rsidP="0074554A" w:rsidRDefault="007D0962" w14:paraId="596ED3F2" w14:textId="77777777">
            <w:pPr>
              <w:jc w:val="right"/>
            </w:pPr>
            <w:r w:rsidRPr="005C52A0">
              <w:t>$330.00</w:t>
            </w:r>
          </w:p>
          <w:p w:rsidRPr="005C52A0" w:rsidR="007D0962" w:rsidP="0074554A" w:rsidRDefault="007D0962" w14:paraId="3400AFFC" w14:textId="176BB642">
            <w:pPr>
              <w:jc w:val="center"/>
            </w:pPr>
            <w:r w:rsidRPr="005C52A0">
              <w:t>[1]</w:t>
            </w:r>
          </w:p>
        </w:tc>
        <w:tc>
          <w:tcPr>
            <w:tcW w:w="1380" w:type="dxa"/>
            <w:shd w:val="clear" w:color="auto" w:fill="auto"/>
          </w:tcPr>
          <w:p w:rsidRPr="005C52A0" w:rsidR="00A92D0B" w:rsidP="0074554A" w:rsidRDefault="007D0962" w14:paraId="196C1830" w14:textId="38D86C9B">
            <w:pPr>
              <w:jc w:val="right"/>
            </w:pPr>
            <w:r w:rsidRPr="005C52A0">
              <w:t>$2,904.00</w:t>
            </w:r>
          </w:p>
        </w:tc>
      </w:tr>
      <w:tr w:rsidRPr="005C52A0" w:rsidR="008921C3" w:rsidTr="000B08B9" w14:paraId="5BF6A154" w14:textId="77777777">
        <w:trPr>
          <w:jc w:val="center"/>
        </w:trPr>
        <w:tc>
          <w:tcPr>
            <w:tcW w:w="1408" w:type="dxa"/>
            <w:shd w:val="clear" w:color="auto" w:fill="auto"/>
          </w:tcPr>
          <w:p w:rsidR="000B08B9" w:rsidP="005C52A0" w:rsidRDefault="00C044B1" w14:paraId="46B9AD27" w14:textId="77777777">
            <w:r w:rsidRPr="005C52A0">
              <w:t xml:space="preserve">Heather </w:t>
            </w:r>
          </w:p>
          <w:p w:rsidRPr="005C52A0" w:rsidR="00A92D0B" w:rsidP="005C52A0" w:rsidRDefault="00C044B1" w14:paraId="118506EC" w14:textId="6FE88816">
            <w:r w:rsidRPr="005C52A0">
              <w:t>Lewis</w:t>
            </w:r>
          </w:p>
        </w:tc>
        <w:tc>
          <w:tcPr>
            <w:tcW w:w="747" w:type="dxa"/>
            <w:gridSpan w:val="2"/>
            <w:shd w:val="clear" w:color="auto" w:fill="auto"/>
          </w:tcPr>
          <w:p w:rsidRPr="005C52A0" w:rsidR="00A92D0B" w:rsidP="0074554A" w:rsidRDefault="46688711" w14:paraId="3767540B" w14:textId="0931E805">
            <w:pPr>
              <w:jc w:val="center"/>
            </w:pPr>
            <w:r w:rsidRPr="005C52A0">
              <w:t>2020</w:t>
            </w:r>
          </w:p>
        </w:tc>
        <w:tc>
          <w:tcPr>
            <w:tcW w:w="866" w:type="dxa"/>
            <w:shd w:val="clear" w:color="auto" w:fill="auto"/>
          </w:tcPr>
          <w:p w:rsidRPr="005C52A0" w:rsidR="00A92D0B" w:rsidP="0074554A" w:rsidRDefault="002B38D6" w14:paraId="120FE857" w14:textId="629FFAEF">
            <w:pPr>
              <w:jc w:val="center"/>
            </w:pPr>
            <w:r w:rsidRPr="005C52A0">
              <w:t>146.0</w:t>
            </w:r>
          </w:p>
        </w:tc>
        <w:tc>
          <w:tcPr>
            <w:tcW w:w="1024" w:type="dxa"/>
            <w:shd w:val="clear" w:color="auto" w:fill="auto"/>
          </w:tcPr>
          <w:p w:rsidRPr="005C52A0" w:rsidR="00A92D0B" w:rsidP="0074554A" w:rsidRDefault="615AF4E3" w14:paraId="075109E1" w14:textId="2071B508">
            <w:pPr>
              <w:jc w:val="right"/>
            </w:pPr>
            <w:r w:rsidRPr="005C52A0">
              <w:t>$3</w:t>
            </w:r>
            <w:r w:rsidRPr="005C52A0" w:rsidR="008A3AA3">
              <w:t>3</w:t>
            </w:r>
            <w:r w:rsidRPr="005C52A0">
              <w:t>0</w:t>
            </w:r>
            <w:r w:rsidR="0074554A">
              <w:t>.00</w:t>
            </w:r>
          </w:p>
        </w:tc>
        <w:tc>
          <w:tcPr>
            <w:tcW w:w="1800" w:type="dxa"/>
            <w:gridSpan w:val="2"/>
            <w:tcBorders>
              <w:right w:val="single" w:color="auto" w:sz="4" w:space="0"/>
            </w:tcBorders>
            <w:shd w:val="clear" w:color="auto" w:fill="auto"/>
          </w:tcPr>
          <w:p w:rsidRPr="005C52A0" w:rsidR="00A92D0B" w:rsidP="005C52A0" w:rsidRDefault="18D450E4" w14:paraId="4AF4C006" w14:textId="23F34D55">
            <w:r w:rsidRPr="005C52A0">
              <w:t>D.15</w:t>
            </w:r>
            <w:r w:rsidRPr="005C52A0" w:rsidR="00E54F5A">
              <w:noBreakHyphen/>
            </w:r>
            <w:r w:rsidRPr="005C52A0">
              <w:t>10</w:t>
            </w:r>
            <w:r w:rsidRPr="005C52A0" w:rsidR="00E54F5A">
              <w:noBreakHyphen/>
            </w:r>
            <w:r w:rsidRPr="005C52A0">
              <w:t>011, Resolution ALJ</w:t>
            </w:r>
            <w:r w:rsidRPr="005C52A0" w:rsidR="00E54F5A">
              <w:noBreakHyphen/>
            </w:r>
            <w:r w:rsidRPr="005C52A0">
              <w:t>387,</w:t>
            </w:r>
            <w:r w:rsidR="0074554A">
              <w:t xml:space="preserve"> Comment </w:t>
            </w:r>
            <w:r w:rsidRPr="005C52A0" w:rsidR="005216C1">
              <w:t>1</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2B38D6" w14:paraId="2A77845E" w14:textId="415DAC3C">
            <w:pPr>
              <w:jc w:val="right"/>
            </w:pPr>
            <w:r w:rsidRPr="005C52A0">
              <w:t>$48,193.66</w:t>
            </w:r>
          </w:p>
        </w:tc>
        <w:tc>
          <w:tcPr>
            <w:tcW w:w="900" w:type="dxa"/>
            <w:tcBorders>
              <w:left w:val="single" w:color="auto" w:sz="4" w:space="0"/>
            </w:tcBorders>
            <w:shd w:val="clear" w:color="auto" w:fill="auto"/>
          </w:tcPr>
          <w:p w:rsidRPr="005C52A0" w:rsidR="00A92D0B" w:rsidP="0074554A" w:rsidRDefault="007D0962" w14:paraId="461DC9FD" w14:textId="1F973887">
            <w:pPr>
              <w:jc w:val="center"/>
            </w:pPr>
            <w:r w:rsidRPr="005C52A0">
              <w:t>146.00</w:t>
            </w:r>
          </w:p>
        </w:tc>
        <w:tc>
          <w:tcPr>
            <w:tcW w:w="1080" w:type="dxa"/>
            <w:shd w:val="clear" w:color="auto" w:fill="auto"/>
          </w:tcPr>
          <w:p w:rsidRPr="005C52A0" w:rsidR="00A92D0B" w:rsidP="0074554A" w:rsidRDefault="007D0962" w14:paraId="2663F5B9" w14:textId="77777777">
            <w:pPr>
              <w:jc w:val="right"/>
            </w:pPr>
            <w:r w:rsidRPr="005C52A0">
              <w:t>$340.00</w:t>
            </w:r>
          </w:p>
          <w:p w:rsidRPr="005C52A0" w:rsidR="007D0962" w:rsidP="0074554A" w:rsidRDefault="007D0962" w14:paraId="7FDABF74" w14:textId="422D6656">
            <w:pPr>
              <w:jc w:val="center"/>
            </w:pPr>
            <w:r w:rsidRPr="005C52A0">
              <w:t>[2]</w:t>
            </w:r>
          </w:p>
        </w:tc>
        <w:tc>
          <w:tcPr>
            <w:tcW w:w="1380" w:type="dxa"/>
            <w:shd w:val="clear" w:color="auto" w:fill="auto"/>
          </w:tcPr>
          <w:p w:rsidRPr="005C52A0" w:rsidR="00A92D0B" w:rsidP="0074554A" w:rsidRDefault="007D0962" w14:paraId="05EFCF76" w14:textId="331984BD">
            <w:pPr>
              <w:jc w:val="right"/>
            </w:pPr>
            <w:r w:rsidRPr="005C52A0">
              <w:t>$49,640.00</w:t>
            </w:r>
          </w:p>
        </w:tc>
      </w:tr>
      <w:tr w:rsidRPr="005C52A0" w:rsidR="008921C3" w:rsidTr="000B08B9" w14:paraId="38E0B4EA" w14:textId="77777777">
        <w:trPr>
          <w:jc w:val="center"/>
        </w:trPr>
        <w:tc>
          <w:tcPr>
            <w:tcW w:w="1408" w:type="dxa"/>
            <w:shd w:val="clear" w:color="auto" w:fill="auto"/>
          </w:tcPr>
          <w:p w:rsidR="000B08B9" w:rsidP="005C52A0" w:rsidRDefault="00C044B1" w14:paraId="6521F047" w14:textId="77777777">
            <w:r w:rsidRPr="005C52A0">
              <w:t xml:space="preserve">Heather </w:t>
            </w:r>
          </w:p>
          <w:p w:rsidRPr="005C52A0" w:rsidR="00A92D0B" w:rsidP="005C52A0" w:rsidRDefault="00C044B1" w14:paraId="1F980DF3" w14:textId="5C348011">
            <w:r w:rsidRPr="005C52A0">
              <w:t>Lewis</w:t>
            </w:r>
          </w:p>
        </w:tc>
        <w:tc>
          <w:tcPr>
            <w:tcW w:w="747" w:type="dxa"/>
            <w:gridSpan w:val="2"/>
            <w:shd w:val="clear" w:color="auto" w:fill="auto"/>
          </w:tcPr>
          <w:p w:rsidRPr="005C52A0" w:rsidR="00A92D0B" w:rsidP="0074554A" w:rsidRDefault="28A13BA2" w14:paraId="275BF57A" w14:textId="13EF547E">
            <w:pPr>
              <w:jc w:val="center"/>
            </w:pPr>
            <w:r w:rsidRPr="005C52A0">
              <w:t>2021</w:t>
            </w:r>
          </w:p>
        </w:tc>
        <w:tc>
          <w:tcPr>
            <w:tcW w:w="866" w:type="dxa"/>
            <w:shd w:val="clear" w:color="auto" w:fill="auto"/>
          </w:tcPr>
          <w:p w:rsidRPr="005C52A0" w:rsidR="00A92D0B" w:rsidP="0074554A" w:rsidRDefault="00445EB9" w14:paraId="0DE506C4" w14:textId="0074CBC8">
            <w:pPr>
              <w:jc w:val="center"/>
            </w:pPr>
            <w:r w:rsidRPr="005C52A0">
              <w:t>1.5</w:t>
            </w:r>
          </w:p>
        </w:tc>
        <w:tc>
          <w:tcPr>
            <w:tcW w:w="1024" w:type="dxa"/>
            <w:shd w:val="clear" w:color="auto" w:fill="auto"/>
          </w:tcPr>
          <w:p w:rsidRPr="005C52A0" w:rsidR="00A92D0B" w:rsidP="0074554A" w:rsidRDefault="410BB525" w14:paraId="26413E95" w14:textId="453AC3A1">
            <w:pPr>
              <w:jc w:val="right"/>
            </w:pPr>
            <w:r w:rsidRPr="005C52A0">
              <w:t>$</w:t>
            </w:r>
            <w:r w:rsidRPr="005C52A0" w:rsidR="0039101E">
              <w:t>413</w:t>
            </w:r>
            <w:r w:rsidR="0074554A">
              <w:t>.00</w:t>
            </w:r>
          </w:p>
        </w:tc>
        <w:tc>
          <w:tcPr>
            <w:tcW w:w="1800" w:type="dxa"/>
            <w:gridSpan w:val="2"/>
            <w:tcBorders>
              <w:right w:val="single" w:color="auto" w:sz="4" w:space="0"/>
            </w:tcBorders>
            <w:shd w:val="clear" w:color="auto" w:fill="auto"/>
          </w:tcPr>
          <w:p w:rsidRPr="005C52A0" w:rsidR="00A92D0B" w:rsidP="005C52A0" w:rsidRDefault="2389A935" w14:paraId="300AA881" w14:textId="0B05E9A0">
            <w:r w:rsidRPr="005C52A0">
              <w:t>D.15</w:t>
            </w:r>
            <w:r w:rsidRPr="005C52A0" w:rsidR="00E54F5A">
              <w:noBreakHyphen/>
            </w:r>
            <w:r w:rsidRPr="005C52A0">
              <w:t>10</w:t>
            </w:r>
            <w:r w:rsidRPr="005C52A0" w:rsidR="00E54F5A">
              <w:noBreakHyphen/>
            </w:r>
            <w:r w:rsidRPr="005C52A0">
              <w:t>011, Resolution ALJ</w:t>
            </w:r>
            <w:r w:rsidRPr="005C52A0" w:rsidR="00E54F5A">
              <w:noBreakHyphen/>
            </w:r>
            <w:r w:rsidRPr="005C52A0">
              <w:t>3</w:t>
            </w:r>
            <w:r w:rsidRPr="005C52A0" w:rsidR="009B75B0">
              <w:t>93</w:t>
            </w:r>
            <w:r w:rsidRPr="005C52A0">
              <w:t>,</w:t>
            </w:r>
            <w:r w:rsidR="0074554A">
              <w:t xml:space="preserve"> Comment </w:t>
            </w:r>
            <w:r w:rsidRPr="005C52A0" w:rsidR="005216C1">
              <w:t>1</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445EB9" w14:paraId="23EF368E" w14:textId="0B95BB8F">
            <w:pPr>
              <w:jc w:val="right"/>
            </w:pPr>
            <w:r w:rsidRPr="005C52A0">
              <w:t>$619.5.00</w:t>
            </w:r>
          </w:p>
        </w:tc>
        <w:tc>
          <w:tcPr>
            <w:tcW w:w="900" w:type="dxa"/>
            <w:tcBorders>
              <w:left w:val="single" w:color="auto" w:sz="4" w:space="0"/>
            </w:tcBorders>
            <w:shd w:val="clear" w:color="auto" w:fill="auto"/>
          </w:tcPr>
          <w:p w:rsidRPr="005C52A0" w:rsidR="00A92D0B" w:rsidP="0074554A" w:rsidRDefault="007D0962" w14:paraId="2B0CA953" w14:textId="70DCB1D2">
            <w:pPr>
              <w:jc w:val="center"/>
            </w:pPr>
            <w:r w:rsidRPr="005C52A0">
              <w:t>1.50</w:t>
            </w:r>
          </w:p>
        </w:tc>
        <w:tc>
          <w:tcPr>
            <w:tcW w:w="1080" w:type="dxa"/>
            <w:shd w:val="clear" w:color="auto" w:fill="auto"/>
          </w:tcPr>
          <w:p w:rsidRPr="005C52A0" w:rsidR="00A92D0B" w:rsidP="0074554A" w:rsidRDefault="007D0962" w14:paraId="52C06C3B" w14:textId="77BAC1B5">
            <w:pPr>
              <w:jc w:val="right"/>
            </w:pPr>
            <w:r w:rsidRPr="005C52A0">
              <w:t>$</w:t>
            </w:r>
            <w:r w:rsidRPr="005C52A0" w:rsidR="00617A07">
              <w:t>415</w:t>
            </w:r>
            <w:r w:rsidRPr="005C52A0">
              <w:t>.00</w:t>
            </w:r>
          </w:p>
          <w:p w:rsidRPr="005C52A0" w:rsidR="007D0962" w:rsidP="0074554A" w:rsidRDefault="007D0962" w14:paraId="1FC8906C" w14:textId="6F9D9E08">
            <w:pPr>
              <w:jc w:val="center"/>
            </w:pPr>
            <w:r w:rsidRPr="005C52A0">
              <w:t>[3]</w:t>
            </w:r>
          </w:p>
        </w:tc>
        <w:tc>
          <w:tcPr>
            <w:tcW w:w="1380" w:type="dxa"/>
            <w:shd w:val="clear" w:color="auto" w:fill="auto"/>
          </w:tcPr>
          <w:p w:rsidRPr="005C52A0" w:rsidR="00A92D0B" w:rsidP="0074554A" w:rsidRDefault="00F41517" w14:paraId="6C594CB5" w14:textId="1C2558BA">
            <w:pPr>
              <w:jc w:val="right"/>
            </w:pPr>
            <w:r w:rsidRPr="005C52A0">
              <w:t>$</w:t>
            </w:r>
            <w:r w:rsidRPr="005C52A0" w:rsidR="00617A07">
              <w:t>622.50</w:t>
            </w:r>
          </w:p>
        </w:tc>
      </w:tr>
      <w:tr w:rsidRPr="005C52A0" w:rsidR="008921C3" w:rsidTr="000B08B9" w14:paraId="78FC5ECE" w14:textId="77777777">
        <w:trPr>
          <w:jc w:val="center"/>
        </w:trPr>
        <w:tc>
          <w:tcPr>
            <w:tcW w:w="1408" w:type="dxa"/>
            <w:shd w:val="clear" w:color="auto" w:fill="auto"/>
          </w:tcPr>
          <w:p w:rsidRPr="005C52A0" w:rsidR="00A92D0B" w:rsidP="005C52A0" w:rsidRDefault="4EFCC4BA" w14:paraId="1F8943E9" w14:textId="54998132">
            <w:r w:rsidRPr="005C52A0">
              <w:t>Tyler Earl</w:t>
            </w:r>
          </w:p>
        </w:tc>
        <w:tc>
          <w:tcPr>
            <w:tcW w:w="747" w:type="dxa"/>
            <w:gridSpan w:val="2"/>
            <w:shd w:val="clear" w:color="auto" w:fill="auto"/>
          </w:tcPr>
          <w:p w:rsidRPr="005C52A0" w:rsidR="00A92D0B" w:rsidP="0074554A" w:rsidRDefault="19E0FF43" w14:paraId="6FFEFF62" w14:textId="3B59E0D4">
            <w:pPr>
              <w:jc w:val="center"/>
            </w:pPr>
            <w:r w:rsidRPr="005C52A0">
              <w:t>2019</w:t>
            </w:r>
          </w:p>
        </w:tc>
        <w:tc>
          <w:tcPr>
            <w:tcW w:w="866" w:type="dxa"/>
            <w:shd w:val="clear" w:color="auto" w:fill="auto"/>
          </w:tcPr>
          <w:p w:rsidRPr="005C52A0" w:rsidR="00A92D0B" w:rsidP="0074554A" w:rsidRDefault="00445EB9" w14:paraId="24984638" w14:textId="3BF58A0A">
            <w:pPr>
              <w:jc w:val="center"/>
            </w:pPr>
            <w:r w:rsidRPr="005C52A0">
              <w:t>13.1</w:t>
            </w:r>
          </w:p>
        </w:tc>
        <w:tc>
          <w:tcPr>
            <w:tcW w:w="1024" w:type="dxa"/>
            <w:shd w:val="clear" w:color="auto" w:fill="auto"/>
          </w:tcPr>
          <w:p w:rsidRPr="005C52A0" w:rsidR="00A92D0B" w:rsidP="0074554A" w:rsidRDefault="2844848E" w14:paraId="00CA9050" w14:textId="7A6FDB84">
            <w:pPr>
              <w:jc w:val="right"/>
            </w:pPr>
            <w:r w:rsidRPr="005C52A0">
              <w:t>$180</w:t>
            </w:r>
            <w:r w:rsidR="0074554A">
              <w:t>.00</w:t>
            </w:r>
          </w:p>
        </w:tc>
        <w:tc>
          <w:tcPr>
            <w:tcW w:w="1800" w:type="dxa"/>
            <w:gridSpan w:val="2"/>
            <w:tcBorders>
              <w:right w:val="single" w:color="auto" w:sz="4" w:space="0"/>
            </w:tcBorders>
            <w:shd w:val="clear" w:color="auto" w:fill="auto"/>
          </w:tcPr>
          <w:p w:rsidRPr="005C52A0" w:rsidR="00A92D0B" w:rsidP="005C52A0" w:rsidRDefault="10449097" w14:paraId="760F08DA" w14:textId="44F5EDCE">
            <w:r w:rsidRPr="005C52A0">
              <w:t>Resolution ALJ</w:t>
            </w:r>
            <w:r w:rsidRPr="005C52A0" w:rsidR="00E54F5A">
              <w:noBreakHyphen/>
            </w:r>
            <w:r w:rsidRPr="005C52A0">
              <w:t xml:space="preserve">357, </w:t>
            </w:r>
            <w:r w:rsidR="0074554A">
              <w:t>Comment </w:t>
            </w:r>
            <w:r w:rsidRPr="005C52A0" w:rsidR="005216C1">
              <w:t>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445EB9" w14:paraId="39D39174" w14:textId="66979AA7">
            <w:pPr>
              <w:jc w:val="right"/>
            </w:pPr>
            <w:r w:rsidRPr="005C52A0">
              <w:t>$</w:t>
            </w:r>
            <w:r w:rsidRPr="005C52A0" w:rsidR="00F76B11">
              <w:t>2,358</w:t>
            </w:r>
          </w:p>
        </w:tc>
        <w:tc>
          <w:tcPr>
            <w:tcW w:w="900" w:type="dxa"/>
            <w:tcBorders>
              <w:left w:val="single" w:color="auto" w:sz="4" w:space="0"/>
            </w:tcBorders>
            <w:shd w:val="clear" w:color="auto" w:fill="auto"/>
          </w:tcPr>
          <w:p w:rsidRPr="005C52A0" w:rsidR="00A92D0B" w:rsidP="0074554A" w:rsidRDefault="00F41517" w14:paraId="047FD0B5" w14:textId="450C20D8">
            <w:pPr>
              <w:jc w:val="center"/>
            </w:pPr>
            <w:r w:rsidRPr="005C52A0">
              <w:t>13.10</w:t>
            </w:r>
          </w:p>
        </w:tc>
        <w:tc>
          <w:tcPr>
            <w:tcW w:w="1080" w:type="dxa"/>
            <w:shd w:val="clear" w:color="auto" w:fill="auto"/>
          </w:tcPr>
          <w:p w:rsidRPr="005C52A0" w:rsidR="00A92D0B" w:rsidP="0074554A" w:rsidRDefault="00F41517" w14:paraId="367660C2" w14:textId="032F9AD8">
            <w:pPr>
              <w:jc w:val="right"/>
            </w:pPr>
            <w:r w:rsidRPr="005C52A0">
              <w:t>$180.00</w:t>
            </w:r>
          </w:p>
        </w:tc>
        <w:tc>
          <w:tcPr>
            <w:tcW w:w="1380" w:type="dxa"/>
            <w:shd w:val="clear" w:color="auto" w:fill="auto"/>
          </w:tcPr>
          <w:p w:rsidRPr="005C52A0" w:rsidR="00A92D0B" w:rsidP="0074554A" w:rsidRDefault="00F41517" w14:paraId="766AC45F" w14:textId="58D7A03D">
            <w:pPr>
              <w:jc w:val="right"/>
            </w:pPr>
            <w:r w:rsidRPr="005C52A0">
              <w:t>$2,358.00</w:t>
            </w:r>
          </w:p>
        </w:tc>
      </w:tr>
      <w:tr w:rsidRPr="005C52A0" w:rsidR="008921C3" w:rsidTr="000B08B9" w14:paraId="4E698889" w14:textId="77777777">
        <w:trPr>
          <w:jc w:val="center"/>
        </w:trPr>
        <w:tc>
          <w:tcPr>
            <w:tcW w:w="1408" w:type="dxa"/>
            <w:shd w:val="clear" w:color="auto" w:fill="auto"/>
          </w:tcPr>
          <w:p w:rsidRPr="005C52A0" w:rsidR="00A92D0B" w:rsidP="005C52A0" w:rsidRDefault="4EFCC4BA" w14:paraId="04CDED11" w14:textId="6876A7F6">
            <w:r w:rsidRPr="005C52A0">
              <w:t>Tyler Earl</w:t>
            </w:r>
          </w:p>
        </w:tc>
        <w:tc>
          <w:tcPr>
            <w:tcW w:w="747" w:type="dxa"/>
            <w:gridSpan w:val="2"/>
            <w:shd w:val="clear" w:color="auto" w:fill="auto"/>
          </w:tcPr>
          <w:p w:rsidRPr="005C52A0" w:rsidR="00A92D0B" w:rsidP="0074554A" w:rsidRDefault="64A4899E" w14:paraId="6B0C4BC3" w14:textId="22D4824D">
            <w:pPr>
              <w:jc w:val="center"/>
            </w:pPr>
            <w:r w:rsidRPr="005C52A0">
              <w:t>2020</w:t>
            </w:r>
          </w:p>
        </w:tc>
        <w:tc>
          <w:tcPr>
            <w:tcW w:w="866" w:type="dxa"/>
            <w:shd w:val="clear" w:color="auto" w:fill="auto"/>
          </w:tcPr>
          <w:p w:rsidRPr="005C52A0" w:rsidR="00A92D0B" w:rsidP="0074554A" w:rsidRDefault="00F76B11" w14:paraId="51C36695" w14:textId="07BCADF8">
            <w:pPr>
              <w:jc w:val="center"/>
            </w:pPr>
            <w:r w:rsidRPr="005C52A0">
              <w:t>30.7</w:t>
            </w:r>
          </w:p>
        </w:tc>
        <w:tc>
          <w:tcPr>
            <w:tcW w:w="1024" w:type="dxa"/>
            <w:shd w:val="clear" w:color="auto" w:fill="auto"/>
          </w:tcPr>
          <w:p w:rsidRPr="005C52A0" w:rsidR="00A92D0B" w:rsidP="0074554A" w:rsidRDefault="009DE1AB" w14:paraId="50434DF3" w14:textId="64706251">
            <w:pPr>
              <w:jc w:val="right"/>
            </w:pPr>
            <w:r w:rsidRPr="005C52A0">
              <w:t>$195</w:t>
            </w:r>
            <w:r w:rsidR="0074554A">
              <w:t>.00</w:t>
            </w:r>
          </w:p>
        </w:tc>
        <w:tc>
          <w:tcPr>
            <w:tcW w:w="1800" w:type="dxa"/>
            <w:gridSpan w:val="2"/>
            <w:tcBorders>
              <w:right w:val="single" w:color="auto" w:sz="4" w:space="0"/>
            </w:tcBorders>
            <w:shd w:val="clear" w:color="auto" w:fill="auto"/>
          </w:tcPr>
          <w:p w:rsidRPr="005C52A0" w:rsidR="00A92D0B" w:rsidP="0074554A" w:rsidRDefault="3C58C553" w14:paraId="41124BBA" w14:textId="02318B73">
            <w:r w:rsidRPr="005C52A0">
              <w:t>Resolution ALJ</w:t>
            </w:r>
            <w:r w:rsidRPr="005C52A0" w:rsidR="00E54F5A">
              <w:noBreakHyphen/>
            </w:r>
            <w:r w:rsidRPr="005C52A0">
              <w:t>3</w:t>
            </w:r>
            <w:r w:rsidRPr="005C52A0" w:rsidR="00C739A9">
              <w:t>8</w:t>
            </w:r>
            <w:r w:rsidRPr="005C52A0">
              <w:t xml:space="preserve">7, </w:t>
            </w:r>
            <w:r w:rsidR="0074554A">
              <w:t>Comment </w:t>
            </w:r>
            <w:r w:rsidRPr="005C52A0" w:rsidR="005216C1">
              <w:t>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892A08" w14:paraId="75F00059" w14:textId="2A3A3D70">
            <w:pPr>
              <w:jc w:val="right"/>
            </w:pPr>
            <w:r w:rsidRPr="005C52A0">
              <w:t>$5,986.50</w:t>
            </w:r>
          </w:p>
        </w:tc>
        <w:tc>
          <w:tcPr>
            <w:tcW w:w="900" w:type="dxa"/>
            <w:tcBorders>
              <w:left w:val="single" w:color="auto" w:sz="4" w:space="0"/>
            </w:tcBorders>
            <w:shd w:val="clear" w:color="auto" w:fill="auto"/>
          </w:tcPr>
          <w:p w:rsidRPr="005C52A0" w:rsidR="00A92D0B" w:rsidP="0074554A" w:rsidRDefault="00F41517" w14:paraId="134A581C" w14:textId="66D480A8">
            <w:pPr>
              <w:jc w:val="center"/>
            </w:pPr>
            <w:r w:rsidRPr="005C52A0">
              <w:t>30.70</w:t>
            </w:r>
          </w:p>
        </w:tc>
        <w:tc>
          <w:tcPr>
            <w:tcW w:w="1080" w:type="dxa"/>
            <w:shd w:val="clear" w:color="auto" w:fill="auto"/>
          </w:tcPr>
          <w:p w:rsidRPr="005C52A0" w:rsidR="00A92D0B" w:rsidP="0074554A" w:rsidRDefault="00F41517" w14:paraId="2622F4BA" w14:textId="449A20CA">
            <w:pPr>
              <w:jc w:val="right"/>
            </w:pPr>
            <w:r w:rsidRPr="005C52A0">
              <w:t>$195.00</w:t>
            </w:r>
          </w:p>
        </w:tc>
        <w:tc>
          <w:tcPr>
            <w:tcW w:w="1380" w:type="dxa"/>
            <w:shd w:val="clear" w:color="auto" w:fill="auto"/>
          </w:tcPr>
          <w:p w:rsidRPr="005C52A0" w:rsidR="00A92D0B" w:rsidP="0074554A" w:rsidRDefault="00F41517" w14:paraId="26135325" w14:textId="132A86B6">
            <w:pPr>
              <w:jc w:val="right"/>
            </w:pPr>
            <w:r w:rsidRPr="005C52A0">
              <w:t>$5,986.50</w:t>
            </w:r>
          </w:p>
        </w:tc>
      </w:tr>
      <w:tr w:rsidRPr="005C52A0" w:rsidR="008921C3" w:rsidTr="000B08B9" w14:paraId="541B1A43" w14:textId="77777777">
        <w:trPr>
          <w:jc w:val="center"/>
        </w:trPr>
        <w:tc>
          <w:tcPr>
            <w:tcW w:w="1408" w:type="dxa"/>
            <w:shd w:val="clear" w:color="auto" w:fill="auto"/>
          </w:tcPr>
          <w:p w:rsidRPr="005C52A0" w:rsidR="00A92D0B" w:rsidP="005C52A0" w:rsidRDefault="4C680B90" w14:paraId="41A7BE4B" w14:textId="052875AF">
            <w:r w:rsidRPr="005C52A0">
              <w:t>Tyler Earl</w:t>
            </w:r>
          </w:p>
        </w:tc>
        <w:tc>
          <w:tcPr>
            <w:tcW w:w="747" w:type="dxa"/>
            <w:gridSpan w:val="2"/>
            <w:shd w:val="clear" w:color="auto" w:fill="auto"/>
          </w:tcPr>
          <w:p w:rsidRPr="005C52A0" w:rsidR="00A92D0B" w:rsidP="0074554A" w:rsidRDefault="0622AFC4" w14:paraId="5B3C2ADF" w14:textId="17B7F76F">
            <w:pPr>
              <w:jc w:val="center"/>
            </w:pPr>
            <w:r w:rsidRPr="005C52A0">
              <w:t>2021</w:t>
            </w:r>
          </w:p>
        </w:tc>
        <w:tc>
          <w:tcPr>
            <w:tcW w:w="866" w:type="dxa"/>
            <w:shd w:val="clear" w:color="auto" w:fill="auto"/>
          </w:tcPr>
          <w:p w:rsidRPr="005C52A0" w:rsidR="00A92D0B" w:rsidP="0074554A" w:rsidRDefault="00F76B11" w14:paraId="2E458EDF" w14:textId="6E9DBC59">
            <w:pPr>
              <w:jc w:val="center"/>
            </w:pPr>
            <w:r w:rsidRPr="005C52A0">
              <w:t>1.3</w:t>
            </w:r>
          </w:p>
        </w:tc>
        <w:tc>
          <w:tcPr>
            <w:tcW w:w="1024" w:type="dxa"/>
            <w:shd w:val="clear" w:color="auto" w:fill="auto"/>
          </w:tcPr>
          <w:p w:rsidRPr="005C52A0" w:rsidR="00A92D0B" w:rsidP="0074554A" w:rsidRDefault="00162832" w14:paraId="3D86BD08" w14:textId="4678B131">
            <w:pPr>
              <w:jc w:val="right"/>
            </w:pPr>
            <w:r w:rsidRPr="005C52A0">
              <w:t>$</w:t>
            </w:r>
            <w:r w:rsidRPr="005C52A0" w:rsidR="0015131F">
              <w:t>305</w:t>
            </w:r>
            <w:r w:rsidR="0074554A">
              <w:t>.00</w:t>
            </w:r>
          </w:p>
        </w:tc>
        <w:tc>
          <w:tcPr>
            <w:tcW w:w="1800" w:type="dxa"/>
            <w:gridSpan w:val="2"/>
            <w:tcBorders>
              <w:right w:val="single" w:color="auto" w:sz="4" w:space="0"/>
            </w:tcBorders>
            <w:shd w:val="clear" w:color="auto" w:fill="auto"/>
          </w:tcPr>
          <w:p w:rsidRPr="005C52A0" w:rsidR="00A92D0B" w:rsidP="0074554A" w:rsidRDefault="6BD61FF9" w14:paraId="750EA256" w14:textId="69F52E44">
            <w:r w:rsidRPr="005C52A0">
              <w:t>Resolution ALJ</w:t>
            </w:r>
            <w:r w:rsidRPr="005C52A0" w:rsidR="00E54F5A">
              <w:noBreakHyphen/>
            </w:r>
            <w:r w:rsidRPr="005C52A0" w:rsidR="001D4770">
              <w:t>393</w:t>
            </w:r>
            <w:r w:rsidRPr="005C52A0">
              <w:t xml:space="preserve">, </w:t>
            </w:r>
            <w:r w:rsidR="0074554A">
              <w:t>Comment </w:t>
            </w:r>
            <w:r w:rsidRPr="005C52A0" w:rsidR="005216C1">
              <w:t>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74554A" w:rsidRDefault="00F76B11" w14:paraId="4D76B38E" w14:textId="53A3FC72">
            <w:pPr>
              <w:jc w:val="right"/>
            </w:pPr>
            <w:r w:rsidRPr="005C52A0">
              <w:t>$396.50</w:t>
            </w:r>
          </w:p>
        </w:tc>
        <w:tc>
          <w:tcPr>
            <w:tcW w:w="900" w:type="dxa"/>
            <w:tcBorders>
              <w:left w:val="single" w:color="auto" w:sz="4" w:space="0"/>
            </w:tcBorders>
            <w:shd w:val="clear" w:color="auto" w:fill="auto"/>
          </w:tcPr>
          <w:p w:rsidRPr="005C52A0" w:rsidR="00A92D0B" w:rsidP="0074554A" w:rsidRDefault="00F41517" w14:paraId="5DD3213B" w14:textId="2A232472">
            <w:pPr>
              <w:jc w:val="center"/>
            </w:pPr>
            <w:r w:rsidRPr="005C52A0">
              <w:t>1.30</w:t>
            </w:r>
          </w:p>
        </w:tc>
        <w:tc>
          <w:tcPr>
            <w:tcW w:w="1080" w:type="dxa"/>
            <w:shd w:val="clear" w:color="auto" w:fill="auto"/>
          </w:tcPr>
          <w:p w:rsidRPr="005C52A0" w:rsidR="00A92D0B" w:rsidP="0074554A" w:rsidRDefault="00F41517" w14:paraId="4910C6A1" w14:textId="77777777">
            <w:pPr>
              <w:jc w:val="right"/>
            </w:pPr>
            <w:r w:rsidRPr="005C52A0">
              <w:t>$305.00</w:t>
            </w:r>
          </w:p>
          <w:p w:rsidRPr="005C52A0" w:rsidR="00F41517" w:rsidP="0074554A" w:rsidRDefault="00F41517" w14:paraId="07AEBBB0" w14:textId="673281FB">
            <w:pPr>
              <w:jc w:val="center"/>
            </w:pPr>
            <w:r w:rsidRPr="005C52A0">
              <w:t>[4]</w:t>
            </w:r>
          </w:p>
        </w:tc>
        <w:tc>
          <w:tcPr>
            <w:tcW w:w="1380" w:type="dxa"/>
            <w:shd w:val="clear" w:color="auto" w:fill="auto"/>
          </w:tcPr>
          <w:p w:rsidRPr="005C52A0" w:rsidR="00A92D0B" w:rsidP="0074554A" w:rsidRDefault="00F41517" w14:paraId="55630DF4" w14:textId="3AFC2B0B">
            <w:pPr>
              <w:jc w:val="right"/>
            </w:pPr>
            <w:r w:rsidRPr="005C52A0">
              <w:t>$396.50</w:t>
            </w:r>
          </w:p>
        </w:tc>
      </w:tr>
      <w:tr w:rsidRPr="005C52A0" w:rsidR="008921C3" w:rsidTr="000B08B9" w14:paraId="61AA75D1" w14:textId="77777777">
        <w:trPr>
          <w:jc w:val="center"/>
        </w:trPr>
        <w:tc>
          <w:tcPr>
            <w:tcW w:w="1408" w:type="dxa"/>
            <w:shd w:val="clear" w:color="auto" w:fill="auto"/>
          </w:tcPr>
          <w:p w:rsidR="000B08B9" w:rsidP="004818D5" w:rsidRDefault="002D1199" w14:paraId="031FF598" w14:textId="77777777">
            <w:pPr>
              <w:keepNext/>
            </w:pPr>
            <w:r w:rsidRPr="005C52A0">
              <w:t xml:space="preserve">Amee </w:t>
            </w:r>
          </w:p>
          <w:p w:rsidR="000B08B9" w:rsidP="004818D5" w:rsidRDefault="002D1199" w14:paraId="137AFDB1" w14:textId="77777777">
            <w:pPr>
              <w:keepNext/>
            </w:pPr>
            <w:r w:rsidRPr="005C52A0">
              <w:t xml:space="preserve">Raval </w:t>
            </w:r>
          </w:p>
          <w:p w:rsidRPr="005C52A0" w:rsidR="002D1199" w:rsidP="004818D5" w:rsidRDefault="002D1199" w14:paraId="12BE3B4A" w14:textId="7C1D84C2">
            <w:pPr>
              <w:keepNext/>
            </w:pPr>
            <w:r w:rsidRPr="005C52A0">
              <w:t>(</w:t>
            </w:r>
            <w:r w:rsidRPr="005C52A0" w:rsidR="00BF52BD">
              <w:t>Advocate</w:t>
            </w:r>
            <w:r w:rsidRPr="005C52A0">
              <w:t>)</w:t>
            </w:r>
          </w:p>
        </w:tc>
        <w:tc>
          <w:tcPr>
            <w:tcW w:w="747" w:type="dxa"/>
            <w:gridSpan w:val="2"/>
            <w:shd w:val="clear" w:color="auto" w:fill="auto"/>
          </w:tcPr>
          <w:p w:rsidRPr="005C52A0" w:rsidR="002D1199" w:rsidP="004818D5" w:rsidRDefault="00C065AB" w14:paraId="26F54978" w14:textId="415E64A5">
            <w:pPr>
              <w:keepNext/>
              <w:jc w:val="center"/>
            </w:pPr>
            <w:r w:rsidRPr="005C52A0">
              <w:t>2020</w:t>
            </w:r>
          </w:p>
        </w:tc>
        <w:tc>
          <w:tcPr>
            <w:tcW w:w="866" w:type="dxa"/>
            <w:shd w:val="clear" w:color="auto" w:fill="auto"/>
          </w:tcPr>
          <w:p w:rsidRPr="005C52A0" w:rsidR="002D1199" w:rsidP="004818D5" w:rsidRDefault="00F76B11" w14:paraId="2B10544A" w14:textId="386BFA7E">
            <w:pPr>
              <w:keepNext/>
              <w:jc w:val="center"/>
            </w:pPr>
            <w:r w:rsidRPr="005C52A0">
              <w:t>12.1</w:t>
            </w:r>
          </w:p>
        </w:tc>
        <w:tc>
          <w:tcPr>
            <w:tcW w:w="1024" w:type="dxa"/>
            <w:shd w:val="clear" w:color="auto" w:fill="auto"/>
          </w:tcPr>
          <w:p w:rsidRPr="005C52A0" w:rsidR="00922D69" w:rsidP="004818D5" w:rsidRDefault="00C065AB" w14:paraId="2C7E709A" w14:textId="1F3270A1">
            <w:pPr>
              <w:keepNext/>
              <w:jc w:val="right"/>
            </w:pPr>
            <w:r w:rsidRPr="005C52A0">
              <w:t>$170</w:t>
            </w:r>
            <w:r w:rsidR="0074554A">
              <w:t>.00</w:t>
            </w:r>
          </w:p>
        </w:tc>
        <w:tc>
          <w:tcPr>
            <w:tcW w:w="1800" w:type="dxa"/>
            <w:gridSpan w:val="2"/>
            <w:tcBorders>
              <w:right w:val="single" w:color="auto" w:sz="4" w:space="0"/>
            </w:tcBorders>
            <w:shd w:val="clear" w:color="auto" w:fill="auto"/>
          </w:tcPr>
          <w:p w:rsidRPr="005C52A0" w:rsidR="002D1199" w:rsidP="004818D5" w:rsidRDefault="0063671D" w14:paraId="09B295FF" w14:textId="67226742">
            <w:pPr>
              <w:keepNext/>
            </w:pPr>
            <w:r w:rsidRPr="005C52A0">
              <w:t>D.19</w:t>
            </w:r>
            <w:r w:rsidRPr="005C52A0" w:rsidR="00E54F5A">
              <w:noBreakHyphen/>
            </w:r>
            <w:r w:rsidRPr="005C52A0">
              <w:t>10</w:t>
            </w:r>
            <w:r w:rsidRPr="005C52A0" w:rsidR="00E54F5A">
              <w:noBreakHyphen/>
            </w:r>
            <w:r w:rsidRPr="005C52A0">
              <w:t>046, Resolution ALJ</w:t>
            </w:r>
            <w:r w:rsidRPr="005C52A0" w:rsidR="00E54F5A">
              <w:noBreakHyphen/>
            </w:r>
            <w:r w:rsidRPr="005C52A0">
              <w:t xml:space="preserve">387, </w:t>
            </w:r>
            <w:r w:rsidR="0074554A">
              <w:t>Comment </w:t>
            </w:r>
            <w:r w:rsidRPr="005C52A0" w:rsidR="005216C1">
              <w:t>3</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2D1199" w:rsidP="004818D5" w:rsidRDefault="00F76B11" w14:paraId="23310725" w14:textId="2B0DC399">
            <w:pPr>
              <w:keepNext/>
              <w:jc w:val="right"/>
            </w:pPr>
            <w:r w:rsidRPr="005C52A0">
              <w:t>$2,057</w:t>
            </w:r>
          </w:p>
        </w:tc>
        <w:tc>
          <w:tcPr>
            <w:tcW w:w="900" w:type="dxa"/>
            <w:tcBorders>
              <w:left w:val="single" w:color="auto" w:sz="4" w:space="0"/>
            </w:tcBorders>
            <w:shd w:val="clear" w:color="auto" w:fill="auto"/>
          </w:tcPr>
          <w:p w:rsidRPr="005C52A0" w:rsidR="002D1199" w:rsidP="004818D5" w:rsidRDefault="00F41517" w14:paraId="2AEBD010" w14:textId="1E2AAD4D">
            <w:pPr>
              <w:keepNext/>
              <w:jc w:val="center"/>
            </w:pPr>
            <w:r w:rsidRPr="005C52A0">
              <w:t>12.10</w:t>
            </w:r>
          </w:p>
        </w:tc>
        <w:tc>
          <w:tcPr>
            <w:tcW w:w="1080" w:type="dxa"/>
            <w:shd w:val="clear" w:color="auto" w:fill="auto"/>
          </w:tcPr>
          <w:p w:rsidR="0074554A" w:rsidP="004818D5" w:rsidRDefault="00F41517" w14:paraId="08A24F50" w14:textId="77777777">
            <w:pPr>
              <w:keepNext/>
              <w:jc w:val="right"/>
            </w:pPr>
            <w:r w:rsidRPr="005C52A0">
              <w:t>$</w:t>
            </w:r>
            <w:r w:rsidRPr="005C52A0" w:rsidR="00FF47CA">
              <w:t>170</w:t>
            </w:r>
            <w:r w:rsidRPr="005C52A0">
              <w:t>.00</w:t>
            </w:r>
            <w:r w:rsidRPr="005C52A0" w:rsidR="00E4791E">
              <w:t xml:space="preserve"> </w:t>
            </w:r>
          </w:p>
          <w:p w:rsidRPr="005C52A0" w:rsidR="002D1199" w:rsidP="004818D5" w:rsidRDefault="00E4791E" w14:paraId="3399C370" w14:textId="09EDF37A">
            <w:pPr>
              <w:keepNext/>
              <w:jc w:val="center"/>
            </w:pPr>
            <w:r w:rsidRPr="005C52A0">
              <w:t>[5]</w:t>
            </w:r>
          </w:p>
        </w:tc>
        <w:tc>
          <w:tcPr>
            <w:tcW w:w="1380" w:type="dxa"/>
            <w:shd w:val="clear" w:color="auto" w:fill="auto"/>
          </w:tcPr>
          <w:p w:rsidRPr="005C52A0" w:rsidR="002D1199" w:rsidP="004818D5" w:rsidRDefault="00F41517" w14:paraId="2CEB806C" w14:textId="5113669A">
            <w:pPr>
              <w:keepNext/>
              <w:jc w:val="right"/>
            </w:pPr>
            <w:r w:rsidRPr="005C52A0">
              <w:t>$</w:t>
            </w:r>
            <w:r w:rsidRPr="005C52A0" w:rsidR="00FF47CA">
              <w:t>2,057.00</w:t>
            </w:r>
          </w:p>
        </w:tc>
      </w:tr>
      <w:tr w:rsidRPr="005C52A0" w:rsidR="008921C3" w:rsidTr="0074554A" w14:paraId="1B237C11" w14:textId="77777777">
        <w:trPr>
          <w:jc w:val="center"/>
        </w:trPr>
        <w:tc>
          <w:tcPr>
            <w:tcW w:w="7195" w:type="dxa"/>
            <w:gridSpan w:val="9"/>
            <w:tcBorders>
              <w:bottom w:val="single" w:color="auto" w:sz="4" w:space="0"/>
              <w:right w:val="single" w:color="auto" w:sz="24" w:space="0"/>
            </w:tcBorders>
            <w:shd w:val="clear" w:color="auto" w:fill="auto"/>
            <w:vAlign w:val="bottom"/>
          </w:tcPr>
          <w:p w:rsidRPr="005C52A0" w:rsidR="00E3786F" w:rsidP="005C52A0" w:rsidRDefault="00E3786F" w14:paraId="2ECB6744" w14:textId="7C2B4E86">
            <w:pPr>
              <w:tabs>
                <w:tab w:val="left" w:pos="957"/>
              </w:tabs>
              <w:ind w:right="162"/>
              <w:jc w:val="right"/>
              <w:rPr>
                <w:b/>
                <w:i/>
              </w:rPr>
            </w:pPr>
            <w:r w:rsidRPr="005C52A0">
              <w:rPr>
                <w:b/>
                <w:i/>
              </w:rPr>
              <w:t>Subtotal: $</w:t>
            </w:r>
            <w:r w:rsidRPr="005C52A0" w:rsidR="00892A08">
              <w:rPr>
                <w:b/>
                <w:i/>
              </w:rPr>
              <w:t>62,427.16</w:t>
            </w:r>
          </w:p>
        </w:tc>
        <w:tc>
          <w:tcPr>
            <w:tcW w:w="3360" w:type="dxa"/>
            <w:gridSpan w:val="3"/>
            <w:tcBorders>
              <w:left w:val="single" w:color="auto" w:sz="24" w:space="0"/>
              <w:bottom w:val="single" w:color="auto" w:sz="4" w:space="0"/>
            </w:tcBorders>
            <w:shd w:val="clear" w:color="auto" w:fill="auto"/>
            <w:vAlign w:val="bottom"/>
          </w:tcPr>
          <w:p w:rsidRPr="005C52A0" w:rsidR="00E3786F" w:rsidP="005C52A0" w:rsidRDefault="00E3786F" w14:paraId="4C4556E5" w14:textId="7053F962">
            <w:pPr>
              <w:tabs>
                <w:tab w:val="left" w:pos="957"/>
              </w:tabs>
              <w:ind w:right="162"/>
              <w:jc w:val="right"/>
            </w:pPr>
            <w:r w:rsidRPr="005C52A0">
              <w:rPr>
                <w:b/>
                <w:i/>
              </w:rPr>
              <w:t xml:space="preserve">Subtotal: </w:t>
            </w:r>
            <w:r w:rsidRPr="005C52A0">
              <w:rPr>
                <w:b/>
                <w:i/>
                <w:iCs/>
              </w:rPr>
              <w:t>$</w:t>
            </w:r>
            <w:r w:rsidRPr="005C52A0" w:rsidR="00F41517">
              <w:rPr>
                <w:b/>
                <w:i/>
                <w:iCs/>
              </w:rPr>
              <w:t>63,96</w:t>
            </w:r>
            <w:r w:rsidRPr="005C52A0" w:rsidR="00FF47CA">
              <w:rPr>
                <w:b/>
                <w:i/>
                <w:iCs/>
              </w:rPr>
              <w:t>4</w:t>
            </w:r>
            <w:r w:rsidRPr="005C52A0" w:rsidR="00F41517">
              <w:rPr>
                <w:b/>
                <w:i/>
                <w:iCs/>
              </w:rPr>
              <w:t>.50</w:t>
            </w:r>
          </w:p>
        </w:tc>
      </w:tr>
      <w:tr w:rsidRPr="005C52A0" w:rsidR="008921C3" w:rsidTr="0074554A" w14:paraId="3F3C1C42" w14:textId="77777777">
        <w:trPr>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E6E6E6"/>
          </w:tcPr>
          <w:p w:rsidRPr="005C52A0" w:rsidR="00A92D0B" w:rsidP="004818D5" w:rsidRDefault="00A92D0B" w14:paraId="3B5B48BB" w14:textId="77777777">
            <w:pPr>
              <w:keepNext/>
              <w:jc w:val="center"/>
              <w:rPr>
                <w:b/>
              </w:rPr>
            </w:pPr>
            <w:r w:rsidRPr="005C52A0">
              <w:rPr>
                <w:b/>
              </w:rPr>
              <w:t>OTHER FEES</w:t>
            </w:r>
          </w:p>
          <w:p w:rsidRPr="005C52A0" w:rsidR="00A92D0B" w:rsidP="004818D5" w:rsidRDefault="00A92D0B" w14:paraId="3801FC62" w14:textId="77777777">
            <w:pPr>
              <w:keepNext/>
              <w:jc w:val="center"/>
              <w:rPr>
                <w:b/>
              </w:rPr>
            </w:pPr>
            <w:r w:rsidRPr="005C52A0">
              <w:rPr>
                <w:b/>
              </w:rPr>
              <w:t>Describe here what OTHER HOURLY FEES you are Claiming (paralegal, travel **, etc.):</w:t>
            </w:r>
          </w:p>
        </w:tc>
      </w:tr>
      <w:tr w:rsidRPr="005C52A0" w:rsidR="008921C3" w:rsidTr="000B08B9" w14:paraId="48E38006" w14:textId="77777777">
        <w:trPr>
          <w:jc w:val="center"/>
        </w:trPr>
        <w:tc>
          <w:tcPr>
            <w:tcW w:w="1408" w:type="dxa"/>
            <w:tcBorders>
              <w:top w:val="single" w:color="auto" w:sz="4" w:space="0"/>
              <w:bottom w:val="single" w:color="auto" w:sz="4" w:space="0"/>
            </w:tcBorders>
            <w:shd w:val="clear" w:color="auto" w:fill="auto"/>
            <w:vAlign w:val="bottom"/>
          </w:tcPr>
          <w:p w:rsidRPr="005C52A0" w:rsidR="00A92D0B" w:rsidP="004818D5" w:rsidRDefault="00A92D0B" w14:paraId="0014F5F5" w14:textId="77777777">
            <w:pPr>
              <w:keepNext/>
              <w:jc w:val="center"/>
              <w:rPr>
                <w:b/>
                <w:szCs w:val="22"/>
              </w:rPr>
            </w:pPr>
            <w:r w:rsidRPr="005C52A0">
              <w:rPr>
                <w:b/>
                <w:szCs w:val="22"/>
              </w:rPr>
              <w:t>Item</w:t>
            </w:r>
          </w:p>
        </w:tc>
        <w:tc>
          <w:tcPr>
            <w:tcW w:w="747" w:type="dxa"/>
            <w:gridSpan w:val="2"/>
            <w:tcBorders>
              <w:top w:val="single" w:color="auto" w:sz="4" w:space="0"/>
              <w:bottom w:val="single" w:color="auto" w:sz="4" w:space="0"/>
            </w:tcBorders>
            <w:shd w:val="clear" w:color="auto" w:fill="auto"/>
            <w:vAlign w:val="bottom"/>
          </w:tcPr>
          <w:p w:rsidRPr="005C52A0" w:rsidR="00A92D0B" w:rsidP="004818D5" w:rsidRDefault="00A92D0B" w14:paraId="3F2C73A6" w14:textId="77777777">
            <w:pPr>
              <w:keepNext/>
              <w:jc w:val="center"/>
              <w:rPr>
                <w:b/>
                <w:szCs w:val="22"/>
              </w:rPr>
            </w:pPr>
            <w:r w:rsidRPr="005C52A0">
              <w:rPr>
                <w:b/>
                <w:szCs w:val="22"/>
              </w:rPr>
              <w:t>Year</w:t>
            </w:r>
          </w:p>
        </w:tc>
        <w:tc>
          <w:tcPr>
            <w:tcW w:w="866" w:type="dxa"/>
            <w:tcBorders>
              <w:top w:val="single" w:color="auto" w:sz="4" w:space="0"/>
              <w:bottom w:val="single" w:color="auto" w:sz="4" w:space="0"/>
            </w:tcBorders>
            <w:shd w:val="clear" w:color="auto" w:fill="auto"/>
            <w:vAlign w:val="bottom"/>
          </w:tcPr>
          <w:p w:rsidRPr="005C52A0" w:rsidR="00A92D0B" w:rsidP="004818D5" w:rsidRDefault="00A92D0B" w14:paraId="275D7143" w14:textId="77777777">
            <w:pPr>
              <w:keepNext/>
              <w:jc w:val="center"/>
              <w:rPr>
                <w:b/>
                <w:szCs w:val="22"/>
              </w:rPr>
            </w:pPr>
            <w:r w:rsidRPr="005C52A0">
              <w:rPr>
                <w:b/>
                <w:szCs w:val="22"/>
              </w:rPr>
              <w:t>Hours</w:t>
            </w:r>
          </w:p>
        </w:tc>
        <w:tc>
          <w:tcPr>
            <w:tcW w:w="1024" w:type="dxa"/>
            <w:tcBorders>
              <w:top w:val="single" w:color="auto" w:sz="4" w:space="0"/>
              <w:bottom w:val="single" w:color="auto" w:sz="4" w:space="0"/>
            </w:tcBorders>
            <w:shd w:val="clear" w:color="auto" w:fill="auto"/>
            <w:vAlign w:val="bottom"/>
          </w:tcPr>
          <w:p w:rsidRPr="005C52A0" w:rsidR="00A92D0B" w:rsidP="004818D5" w:rsidRDefault="00A92D0B" w14:paraId="46CEE32B" w14:textId="66BA3DE8">
            <w:pPr>
              <w:keepNext/>
              <w:jc w:val="center"/>
              <w:rPr>
                <w:b/>
                <w:szCs w:val="22"/>
              </w:rPr>
            </w:pPr>
            <w:r w:rsidRPr="005C52A0">
              <w:rPr>
                <w:b/>
                <w:szCs w:val="22"/>
              </w:rPr>
              <w:t>Rate</w:t>
            </w:r>
            <w:r w:rsidRPr="005C52A0" w:rsidR="00380703">
              <w:rPr>
                <w:b/>
                <w:szCs w:val="22"/>
              </w:rPr>
              <w:t xml:space="preserve"> $</w:t>
            </w:r>
          </w:p>
        </w:tc>
        <w:tc>
          <w:tcPr>
            <w:tcW w:w="1800" w:type="dxa"/>
            <w:gridSpan w:val="2"/>
            <w:tcBorders>
              <w:top w:val="single" w:color="auto" w:sz="4" w:space="0"/>
              <w:bottom w:val="single" w:color="auto" w:sz="4" w:space="0"/>
              <w:right w:val="single" w:color="auto" w:sz="4" w:space="0"/>
            </w:tcBorders>
            <w:shd w:val="clear" w:color="auto" w:fill="auto"/>
            <w:vAlign w:val="bottom"/>
          </w:tcPr>
          <w:p w:rsidRPr="005C52A0" w:rsidR="00A92D0B" w:rsidP="004818D5" w:rsidRDefault="00A92D0B" w14:paraId="09EDBB92" w14:textId="77777777">
            <w:pPr>
              <w:keepNext/>
              <w:jc w:val="center"/>
              <w:rPr>
                <w:b/>
                <w:szCs w:val="22"/>
              </w:rPr>
            </w:pPr>
            <w:r w:rsidRPr="005C52A0">
              <w:rPr>
                <w:b/>
                <w:szCs w:val="22"/>
              </w:rPr>
              <w:t>Basis for Rate*</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5C52A0" w:rsidR="00A92D0B" w:rsidP="004818D5" w:rsidRDefault="00A92D0B" w14:paraId="00418671" w14:textId="77777777">
            <w:pPr>
              <w:keepNext/>
              <w:jc w:val="center"/>
              <w:rPr>
                <w:b/>
                <w:szCs w:val="22"/>
              </w:rPr>
            </w:pPr>
            <w:r w:rsidRPr="005C52A0">
              <w:rPr>
                <w:b/>
                <w:szCs w:val="22"/>
              </w:rPr>
              <w:t>Total $</w:t>
            </w:r>
          </w:p>
        </w:tc>
        <w:tc>
          <w:tcPr>
            <w:tcW w:w="900" w:type="dxa"/>
            <w:tcBorders>
              <w:top w:val="single" w:color="auto" w:sz="4" w:space="0"/>
              <w:left w:val="single" w:color="auto" w:sz="4" w:space="0"/>
            </w:tcBorders>
            <w:shd w:val="clear" w:color="auto" w:fill="auto"/>
            <w:vAlign w:val="bottom"/>
          </w:tcPr>
          <w:p w:rsidRPr="005C52A0" w:rsidR="00A92D0B" w:rsidP="004818D5" w:rsidRDefault="00A92D0B" w14:paraId="6CCF4B94" w14:textId="77777777">
            <w:pPr>
              <w:keepNext/>
              <w:jc w:val="center"/>
              <w:rPr>
                <w:b/>
                <w:szCs w:val="22"/>
              </w:rPr>
            </w:pPr>
            <w:r w:rsidRPr="005C52A0">
              <w:rPr>
                <w:b/>
                <w:szCs w:val="22"/>
              </w:rPr>
              <w:t>Hours</w:t>
            </w:r>
          </w:p>
        </w:tc>
        <w:tc>
          <w:tcPr>
            <w:tcW w:w="1080" w:type="dxa"/>
            <w:tcBorders>
              <w:top w:val="single" w:color="auto" w:sz="4" w:space="0"/>
            </w:tcBorders>
            <w:shd w:val="clear" w:color="auto" w:fill="auto"/>
            <w:vAlign w:val="bottom"/>
          </w:tcPr>
          <w:p w:rsidRPr="005C52A0" w:rsidR="00A92D0B" w:rsidP="004818D5" w:rsidRDefault="00A92D0B" w14:paraId="67936540" w14:textId="5AF96D63">
            <w:pPr>
              <w:keepNext/>
              <w:jc w:val="center"/>
              <w:rPr>
                <w:b/>
                <w:szCs w:val="22"/>
              </w:rPr>
            </w:pPr>
            <w:r w:rsidRPr="005C52A0">
              <w:rPr>
                <w:b/>
                <w:szCs w:val="22"/>
              </w:rPr>
              <w:t xml:space="preserve">Rate </w:t>
            </w:r>
            <w:r w:rsidR="00FA09EC">
              <w:rPr>
                <w:b/>
                <w:szCs w:val="22"/>
              </w:rPr>
              <w:t>$</w:t>
            </w:r>
          </w:p>
        </w:tc>
        <w:tc>
          <w:tcPr>
            <w:tcW w:w="1380" w:type="dxa"/>
            <w:tcBorders>
              <w:top w:val="single" w:color="auto" w:sz="4" w:space="0"/>
            </w:tcBorders>
            <w:shd w:val="clear" w:color="auto" w:fill="auto"/>
            <w:vAlign w:val="bottom"/>
          </w:tcPr>
          <w:p w:rsidRPr="005C52A0" w:rsidR="00A92D0B" w:rsidP="004818D5" w:rsidRDefault="00A92D0B" w14:paraId="1CA0337A" w14:textId="77777777">
            <w:pPr>
              <w:keepNext/>
              <w:jc w:val="center"/>
              <w:rPr>
                <w:b/>
                <w:szCs w:val="22"/>
              </w:rPr>
            </w:pPr>
            <w:r w:rsidRPr="005C52A0">
              <w:rPr>
                <w:b/>
                <w:szCs w:val="22"/>
              </w:rPr>
              <w:t>Total $</w:t>
            </w:r>
          </w:p>
        </w:tc>
      </w:tr>
      <w:tr w:rsidRPr="005C52A0" w:rsidR="008921C3" w:rsidTr="000B08B9" w14:paraId="09CFB749" w14:textId="77777777">
        <w:trPr>
          <w:jc w:val="center"/>
        </w:trPr>
        <w:tc>
          <w:tcPr>
            <w:tcW w:w="1408" w:type="dxa"/>
            <w:shd w:val="clear" w:color="auto" w:fill="auto"/>
          </w:tcPr>
          <w:p w:rsidR="00CA2F81" w:rsidP="004818D5" w:rsidRDefault="027AD708" w14:paraId="350D532F" w14:textId="77777777">
            <w:pPr>
              <w:keepNext/>
            </w:pPr>
            <w:r w:rsidRPr="005C52A0">
              <w:t xml:space="preserve">Clinical </w:t>
            </w:r>
          </w:p>
          <w:p w:rsidR="00CA2F81" w:rsidP="004818D5" w:rsidRDefault="027AD708" w14:paraId="4F3B6A79" w14:textId="77777777">
            <w:pPr>
              <w:keepNext/>
            </w:pPr>
            <w:r w:rsidRPr="005C52A0">
              <w:t xml:space="preserve">Law </w:t>
            </w:r>
          </w:p>
          <w:p w:rsidRPr="005C52A0" w:rsidR="00A92D0B" w:rsidP="004818D5" w:rsidRDefault="027AD708" w14:paraId="5AB34291" w14:textId="5B3D06D1">
            <w:pPr>
              <w:keepNext/>
            </w:pPr>
            <w:r w:rsidRPr="005C52A0">
              <w:t>Students</w:t>
            </w:r>
          </w:p>
        </w:tc>
        <w:tc>
          <w:tcPr>
            <w:tcW w:w="747" w:type="dxa"/>
            <w:gridSpan w:val="2"/>
            <w:shd w:val="clear" w:color="auto" w:fill="auto"/>
          </w:tcPr>
          <w:p w:rsidRPr="005C52A0" w:rsidR="00A92D0B" w:rsidP="004818D5" w:rsidRDefault="027AD708" w14:paraId="2A0D8D18" w14:textId="5183CBE3">
            <w:pPr>
              <w:keepNext/>
              <w:jc w:val="center"/>
            </w:pPr>
            <w:r w:rsidRPr="005C52A0">
              <w:t>2020</w:t>
            </w:r>
          </w:p>
        </w:tc>
        <w:tc>
          <w:tcPr>
            <w:tcW w:w="866" w:type="dxa"/>
            <w:shd w:val="clear" w:color="auto" w:fill="auto"/>
          </w:tcPr>
          <w:p w:rsidRPr="005C52A0" w:rsidR="00A92D0B" w:rsidP="004818D5" w:rsidRDefault="00D56F67" w14:paraId="64EA9215" w14:textId="0D6E6D0C">
            <w:pPr>
              <w:keepNext/>
              <w:jc w:val="center"/>
            </w:pPr>
            <w:r w:rsidRPr="005C52A0">
              <w:t>246.3</w:t>
            </w:r>
          </w:p>
        </w:tc>
        <w:tc>
          <w:tcPr>
            <w:tcW w:w="1024" w:type="dxa"/>
            <w:shd w:val="clear" w:color="auto" w:fill="auto"/>
          </w:tcPr>
          <w:p w:rsidRPr="005C52A0" w:rsidR="00A92D0B" w:rsidP="004818D5" w:rsidRDefault="027AD708" w14:paraId="15F30A98" w14:textId="52FBAFF2">
            <w:pPr>
              <w:keepNext/>
              <w:jc w:val="right"/>
            </w:pPr>
            <w:r w:rsidRPr="005C52A0">
              <w:t>$100</w:t>
            </w:r>
            <w:r w:rsidR="0074554A">
              <w:t>.00</w:t>
            </w:r>
          </w:p>
        </w:tc>
        <w:tc>
          <w:tcPr>
            <w:tcW w:w="1800" w:type="dxa"/>
            <w:gridSpan w:val="2"/>
            <w:tcBorders>
              <w:right w:val="single" w:color="auto" w:sz="4" w:space="0"/>
            </w:tcBorders>
            <w:shd w:val="clear" w:color="auto" w:fill="auto"/>
          </w:tcPr>
          <w:p w:rsidRPr="005C52A0" w:rsidR="00A92D0B" w:rsidP="004818D5" w:rsidRDefault="027AD708" w14:paraId="27EA3054" w14:textId="473CE351">
            <w:pPr>
              <w:keepNext/>
            </w:pPr>
            <w:r w:rsidRPr="005C52A0">
              <w:t>D.16</w:t>
            </w:r>
            <w:r w:rsidRPr="005C52A0" w:rsidR="00E54F5A">
              <w:noBreakHyphen/>
            </w:r>
            <w:r w:rsidRPr="005C52A0">
              <w:t>10</w:t>
            </w:r>
            <w:r w:rsidRPr="005C52A0" w:rsidR="00E54F5A">
              <w:noBreakHyphen/>
            </w:r>
            <w:r w:rsidRPr="005C52A0">
              <w:t>016, D.19</w:t>
            </w:r>
            <w:r w:rsidRPr="005C52A0" w:rsidR="00E54F5A">
              <w:noBreakHyphen/>
            </w:r>
            <w:r w:rsidRPr="005C52A0">
              <w:t>01</w:t>
            </w:r>
            <w:r w:rsidRPr="005C52A0" w:rsidR="00E54F5A">
              <w:noBreakHyphen/>
            </w:r>
            <w:r w:rsidRPr="005C52A0">
              <w:t xml:space="preserve">013, Comment </w:t>
            </w:r>
            <w:r w:rsidRPr="005C52A0" w:rsidR="005216C1">
              <w:t>4</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A92D0B" w:rsidP="004818D5" w:rsidRDefault="00D56F67" w14:paraId="5E4CC873" w14:textId="0BF70C22">
            <w:pPr>
              <w:keepNext/>
              <w:jc w:val="right"/>
            </w:pPr>
            <w:r w:rsidRPr="005C52A0">
              <w:t>$2</w:t>
            </w:r>
            <w:r w:rsidRPr="005C52A0" w:rsidR="00207191">
              <w:t>4,630</w:t>
            </w:r>
          </w:p>
        </w:tc>
        <w:tc>
          <w:tcPr>
            <w:tcW w:w="900" w:type="dxa"/>
            <w:tcBorders>
              <w:left w:val="single" w:color="auto" w:sz="4" w:space="0"/>
              <w:right w:val="single" w:color="auto" w:sz="4" w:space="0"/>
            </w:tcBorders>
            <w:shd w:val="clear" w:color="auto" w:fill="auto"/>
          </w:tcPr>
          <w:p w:rsidRPr="005C52A0" w:rsidR="00A92D0B" w:rsidP="004818D5" w:rsidRDefault="00F41517" w14:paraId="42B2DDFC" w14:textId="02A7000B">
            <w:pPr>
              <w:keepNext/>
              <w:jc w:val="center"/>
            </w:pPr>
            <w:r w:rsidRPr="005C52A0">
              <w:t>246.30</w:t>
            </w:r>
          </w:p>
        </w:tc>
        <w:tc>
          <w:tcPr>
            <w:tcW w:w="1080" w:type="dxa"/>
            <w:tcBorders>
              <w:left w:val="single" w:color="auto" w:sz="4" w:space="0"/>
            </w:tcBorders>
            <w:shd w:val="clear" w:color="auto" w:fill="auto"/>
          </w:tcPr>
          <w:p w:rsidRPr="005C52A0" w:rsidR="00A92D0B" w:rsidP="004818D5" w:rsidRDefault="00F41517" w14:paraId="62FAF033" w14:textId="753DDA35">
            <w:pPr>
              <w:keepNext/>
              <w:jc w:val="right"/>
            </w:pPr>
            <w:r w:rsidRPr="005C52A0">
              <w:t>$100.00</w:t>
            </w:r>
          </w:p>
        </w:tc>
        <w:tc>
          <w:tcPr>
            <w:tcW w:w="1380" w:type="dxa"/>
            <w:shd w:val="clear" w:color="auto" w:fill="auto"/>
          </w:tcPr>
          <w:p w:rsidRPr="005C52A0" w:rsidR="00A92D0B" w:rsidP="004818D5" w:rsidRDefault="00F41517" w14:paraId="4FDDC4B2" w14:textId="607A2E88">
            <w:pPr>
              <w:keepNext/>
              <w:jc w:val="right"/>
            </w:pPr>
            <w:r w:rsidRPr="005C52A0">
              <w:t>$24,630.00</w:t>
            </w:r>
          </w:p>
        </w:tc>
      </w:tr>
      <w:tr w:rsidRPr="005C52A0" w:rsidR="008921C3" w:rsidTr="0074554A" w14:paraId="63BC1854" w14:textId="77777777">
        <w:trPr>
          <w:jc w:val="center"/>
        </w:trPr>
        <w:tc>
          <w:tcPr>
            <w:tcW w:w="7195" w:type="dxa"/>
            <w:gridSpan w:val="9"/>
            <w:tcBorders>
              <w:bottom w:val="single" w:color="auto" w:sz="4" w:space="0"/>
              <w:right w:val="single" w:color="auto" w:sz="24" w:space="0"/>
            </w:tcBorders>
            <w:shd w:val="clear" w:color="auto" w:fill="auto"/>
            <w:vAlign w:val="bottom"/>
          </w:tcPr>
          <w:p w:rsidRPr="005C52A0" w:rsidR="00E15DC3" w:rsidP="005C52A0" w:rsidRDefault="00E15DC3" w14:paraId="3A471360" w14:textId="6D17A36E">
            <w:pPr>
              <w:tabs>
                <w:tab w:val="left" w:pos="957"/>
              </w:tabs>
              <w:ind w:right="162"/>
              <w:jc w:val="right"/>
              <w:rPr>
                <w:b/>
                <w:i/>
              </w:rPr>
            </w:pPr>
            <w:r w:rsidRPr="005C52A0">
              <w:rPr>
                <w:b/>
                <w:i/>
              </w:rPr>
              <w:t>Subtotal: $</w:t>
            </w:r>
            <w:r w:rsidRPr="005C52A0" w:rsidR="00207191">
              <w:rPr>
                <w:b/>
                <w:i/>
              </w:rPr>
              <w:t>24,630</w:t>
            </w:r>
            <w:r w:rsidRPr="0074554A" w:rsidR="0074554A">
              <w:rPr>
                <w:b/>
                <w:i/>
              </w:rPr>
              <w:t>.00</w:t>
            </w:r>
          </w:p>
        </w:tc>
        <w:tc>
          <w:tcPr>
            <w:tcW w:w="3360" w:type="dxa"/>
            <w:gridSpan w:val="3"/>
            <w:tcBorders>
              <w:left w:val="single" w:color="auto" w:sz="24" w:space="0"/>
              <w:bottom w:val="single" w:color="auto" w:sz="4" w:space="0"/>
            </w:tcBorders>
            <w:shd w:val="clear" w:color="auto" w:fill="auto"/>
            <w:vAlign w:val="bottom"/>
          </w:tcPr>
          <w:p w:rsidRPr="005C52A0" w:rsidR="00E15DC3" w:rsidP="005C52A0" w:rsidRDefault="00E15DC3" w14:paraId="53BF0F55" w14:textId="05A3D1A4">
            <w:pPr>
              <w:tabs>
                <w:tab w:val="left" w:pos="957"/>
              </w:tabs>
              <w:ind w:right="162"/>
              <w:jc w:val="right"/>
              <w:rPr>
                <w:b/>
                <w:i/>
              </w:rPr>
            </w:pPr>
            <w:r w:rsidRPr="005C52A0">
              <w:rPr>
                <w:b/>
                <w:i/>
              </w:rPr>
              <w:t>Subtotal:  $</w:t>
            </w:r>
            <w:r w:rsidRPr="005C52A0" w:rsidR="00F41517">
              <w:rPr>
                <w:b/>
                <w:i/>
              </w:rPr>
              <w:t>24,630.00</w:t>
            </w:r>
          </w:p>
        </w:tc>
      </w:tr>
      <w:tr w:rsidRPr="005C52A0" w:rsidR="008921C3" w:rsidTr="0074554A" w14:paraId="4F8FAF05" w14:textId="77777777">
        <w:trPr>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E6E6E6"/>
          </w:tcPr>
          <w:p w:rsidRPr="005C52A0" w:rsidR="00A92D0B" w:rsidP="004818D5" w:rsidRDefault="00A92D0B" w14:paraId="41FE304C" w14:textId="77777777">
            <w:pPr>
              <w:keepNext/>
              <w:jc w:val="center"/>
            </w:pPr>
            <w:r w:rsidRPr="005C52A0">
              <w:rPr>
                <w:b/>
                <w:bCs/>
              </w:rPr>
              <w:lastRenderedPageBreak/>
              <w:t xml:space="preserve">INTERVENOR COMPENSATION CLAIM PREPARATION </w:t>
            </w:r>
            <w:r w:rsidRPr="005C52A0">
              <w:rPr>
                <w:b/>
                <w:bCs/>
                <w:smallCaps/>
              </w:rPr>
              <w:t xml:space="preserve"> **</w:t>
            </w:r>
          </w:p>
        </w:tc>
      </w:tr>
      <w:tr w:rsidRPr="005C52A0" w:rsidR="008921C3" w:rsidTr="000B08B9" w14:paraId="48B3E535" w14:textId="77777777">
        <w:trPr>
          <w:jc w:val="center"/>
        </w:trPr>
        <w:tc>
          <w:tcPr>
            <w:tcW w:w="1408" w:type="dxa"/>
            <w:tcBorders>
              <w:top w:val="single" w:color="auto" w:sz="4" w:space="0"/>
              <w:bottom w:val="single" w:color="auto" w:sz="4" w:space="0"/>
            </w:tcBorders>
            <w:shd w:val="clear" w:color="auto" w:fill="auto"/>
            <w:vAlign w:val="bottom"/>
          </w:tcPr>
          <w:p w:rsidRPr="005C52A0" w:rsidR="00A92D0B" w:rsidP="004818D5" w:rsidRDefault="00A92D0B" w14:paraId="563A43BB" w14:textId="77777777">
            <w:pPr>
              <w:keepNext/>
              <w:jc w:val="center"/>
              <w:rPr>
                <w:b/>
                <w:szCs w:val="22"/>
              </w:rPr>
            </w:pPr>
            <w:r w:rsidRPr="005C52A0">
              <w:rPr>
                <w:b/>
                <w:szCs w:val="22"/>
              </w:rPr>
              <w:t>Item</w:t>
            </w:r>
          </w:p>
        </w:tc>
        <w:tc>
          <w:tcPr>
            <w:tcW w:w="747" w:type="dxa"/>
            <w:gridSpan w:val="2"/>
            <w:tcBorders>
              <w:top w:val="single" w:color="auto" w:sz="4" w:space="0"/>
              <w:bottom w:val="single" w:color="auto" w:sz="4" w:space="0"/>
            </w:tcBorders>
            <w:shd w:val="clear" w:color="auto" w:fill="auto"/>
            <w:vAlign w:val="bottom"/>
          </w:tcPr>
          <w:p w:rsidRPr="005C52A0" w:rsidR="00A92D0B" w:rsidP="004818D5" w:rsidRDefault="00A92D0B" w14:paraId="144552E0" w14:textId="77777777">
            <w:pPr>
              <w:keepNext/>
              <w:jc w:val="center"/>
              <w:rPr>
                <w:b/>
                <w:szCs w:val="22"/>
              </w:rPr>
            </w:pPr>
            <w:r w:rsidRPr="005C52A0">
              <w:rPr>
                <w:b/>
                <w:szCs w:val="22"/>
              </w:rPr>
              <w:t>Year</w:t>
            </w:r>
          </w:p>
        </w:tc>
        <w:tc>
          <w:tcPr>
            <w:tcW w:w="866" w:type="dxa"/>
            <w:tcBorders>
              <w:top w:val="single" w:color="auto" w:sz="4" w:space="0"/>
              <w:bottom w:val="single" w:color="auto" w:sz="4" w:space="0"/>
            </w:tcBorders>
            <w:shd w:val="clear" w:color="auto" w:fill="auto"/>
            <w:vAlign w:val="bottom"/>
          </w:tcPr>
          <w:p w:rsidRPr="005C52A0" w:rsidR="00A92D0B" w:rsidP="004818D5" w:rsidRDefault="00A92D0B" w14:paraId="42890B1B" w14:textId="77777777">
            <w:pPr>
              <w:keepNext/>
              <w:jc w:val="center"/>
              <w:rPr>
                <w:b/>
                <w:szCs w:val="22"/>
              </w:rPr>
            </w:pPr>
            <w:r w:rsidRPr="005C52A0">
              <w:rPr>
                <w:b/>
                <w:szCs w:val="22"/>
              </w:rPr>
              <w:t>Hours</w:t>
            </w:r>
          </w:p>
        </w:tc>
        <w:tc>
          <w:tcPr>
            <w:tcW w:w="1024" w:type="dxa"/>
            <w:tcBorders>
              <w:top w:val="single" w:color="auto" w:sz="4" w:space="0"/>
              <w:bottom w:val="single" w:color="auto" w:sz="4" w:space="0"/>
            </w:tcBorders>
            <w:shd w:val="clear" w:color="auto" w:fill="auto"/>
            <w:vAlign w:val="bottom"/>
          </w:tcPr>
          <w:p w:rsidRPr="005C52A0" w:rsidR="00A92D0B" w:rsidP="004818D5" w:rsidRDefault="00A92D0B" w14:paraId="1E7BD956" w14:textId="11E5EC96">
            <w:pPr>
              <w:keepNext/>
              <w:jc w:val="center"/>
              <w:rPr>
                <w:b/>
                <w:szCs w:val="22"/>
              </w:rPr>
            </w:pPr>
            <w:r w:rsidRPr="005C52A0">
              <w:rPr>
                <w:b/>
                <w:szCs w:val="22"/>
              </w:rPr>
              <w:t>Rate</w:t>
            </w:r>
            <w:r w:rsidRPr="005C52A0" w:rsidR="00380703">
              <w:rPr>
                <w:b/>
                <w:szCs w:val="22"/>
              </w:rPr>
              <w:t xml:space="preserve"> $</w:t>
            </w:r>
          </w:p>
        </w:tc>
        <w:tc>
          <w:tcPr>
            <w:tcW w:w="1800" w:type="dxa"/>
            <w:gridSpan w:val="2"/>
            <w:tcBorders>
              <w:top w:val="single" w:color="auto" w:sz="4" w:space="0"/>
              <w:bottom w:val="single" w:color="auto" w:sz="4" w:space="0"/>
              <w:right w:val="single" w:color="auto" w:sz="4" w:space="0"/>
            </w:tcBorders>
            <w:shd w:val="clear" w:color="auto" w:fill="auto"/>
            <w:vAlign w:val="bottom"/>
          </w:tcPr>
          <w:p w:rsidRPr="005C52A0" w:rsidR="00A92D0B" w:rsidP="004818D5" w:rsidRDefault="00A92D0B" w14:paraId="104D7982" w14:textId="77777777">
            <w:pPr>
              <w:keepNext/>
              <w:jc w:val="center"/>
              <w:rPr>
                <w:b/>
                <w:szCs w:val="22"/>
              </w:rPr>
            </w:pPr>
            <w:r w:rsidRPr="005C52A0">
              <w:rPr>
                <w:b/>
                <w:szCs w:val="22"/>
              </w:rPr>
              <w:t>Basis for Rate*</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5C52A0" w:rsidR="00A92D0B" w:rsidP="004818D5" w:rsidRDefault="00A92D0B" w14:paraId="073B2BB9" w14:textId="77777777">
            <w:pPr>
              <w:keepNext/>
              <w:jc w:val="center"/>
              <w:rPr>
                <w:b/>
                <w:szCs w:val="22"/>
              </w:rPr>
            </w:pPr>
            <w:r w:rsidRPr="005C52A0">
              <w:rPr>
                <w:b/>
                <w:szCs w:val="22"/>
              </w:rPr>
              <w:t>Total $</w:t>
            </w:r>
          </w:p>
        </w:tc>
        <w:tc>
          <w:tcPr>
            <w:tcW w:w="900" w:type="dxa"/>
            <w:tcBorders>
              <w:top w:val="single" w:color="auto" w:sz="4" w:space="0"/>
              <w:left w:val="single" w:color="auto" w:sz="4" w:space="0"/>
            </w:tcBorders>
            <w:shd w:val="clear" w:color="auto" w:fill="auto"/>
            <w:vAlign w:val="bottom"/>
          </w:tcPr>
          <w:p w:rsidRPr="005C52A0" w:rsidR="00A92D0B" w:rsidP="004818D5" w:rsidRDefault="00A92D0B" w14:paraId="0409143B" w14:textId="77777777">
            <w:pPr>
              <w:keepNext/>
              <w:jc w:val="center"/>
              <w:rPr>
                <w:b/>
                <w:szCs w:val="22"/>
              </w:rPr>
            </w:pPr>
            <w:r w:rsidRPr="005C52A0">
              <w:rPr>
                <w:b/>
                <w:szCs w:val="22"/>
              </w:rPr>
              <w:t>Hours</w:t>
            </w:r>
          </w:p>
        </w:tc>
        <w:tc>
          <w:tcPr>
            <w:tcW w:w="1080" w:type="dxa"/>
            <w:tcBorders>
              <w:top w:val="single" w:color="auto" w:sz="4" w:space="0"/>
            </w:tcBorders>
            <w:shd w:val="clear" w:color="auto" w:fill="auto"/>
            <w:vAlign w:val="bottom"/>
          </w:tcPr>
          <w:p w:rsidRPr="005C52A0" w:rsidR="00A92D0B" w:rsidP="004818D5" w:rsidRDefault="00A92D0B" w14:paraId="6B59BB80" w14:textId="390A99C7">
            <w:pPr>
              <w:keepNext/>
              <w:jc w:val="center"/>
              <w:rPr>
                <w:b/>
                <w:szCs w:val="22"/>
              </w:rPr>
            </w:pPr>
            <w:r w:rsidRPr="005C52A0">
              <w:rPr>
                <w:b/>
                <w:szCs w:val="22"/>
              </w:rPr>
              <w:t xml:space="preserve">Rate </w:t>
            </w:r>
            <w:r w:rsidR="0074554A">
              <w:rPr>
                <w:b/>
                <w:szCs w:val="22"/>
              </w:rPr>
              <w:t>$</w:t>
            </w:r>
          </w:p>
        </w:tc>
        <w:tc>
          <w:tcPr>
            <w:tcW w:w="1380" w:type="dxa"/>
            <w:tcBorders>
              <w:top w:val="single" w:color="auto" w:sz="4" w:space="0"/>
            </w:tcBorders>
            <w:shd w:val="clear" w:color="auto" w:fill="auto"/>
            <w:vAlign w:val="bottom"/>
          </w:tcPr>
          <w:p w:rsidRPr="005C52A0" w:rsidR="00A92D0B" w:rsidP="004818D5" w:rsidRDefault="00A92D0B" w14:paraId="6C7B13CF" w14:textId="77777777">
            <w:pPr>
              <w:keepNext/>
              <w:jc w:val="center"/>
              <w:rPr>
                <w:b/>
                <w:szCs w:val="22"/>
              </w:rPr>
            </w:pPr>
            <w:r w:rsidRPr="005C52A0">
              <w:rPr>
                <w:b/>
                <w:szCs w:val="22"/>
              </w:rPr>
              <w:t>Total $</w:t>
            </w:r>
          </w:p>
        </w:tc>
      </w:tr>
      <w:tr w:rsidRPr="005C52A0" w:rsidR="008921C3" w:rsidTr="000B08B9" w14:paraId="372E34BB" w14:textId="77777777">
        <w:trPr>
          <w:jc w:val="center"/>
        </w:trPr>
        <w:tc>
          <w:tcPr>
            <w:tcW w:w="1408" w:type="dxa"/>
            <w:shd w:val="clear" w:color="auto" w:fill="auto"/>
          </w:tcPr>
          <w:p w:rsidR="00CA2F81" w:rsidP="005C52A0" w:rsidRDefault="004C3798" w14:paraId="2D94F79A" w14:textId="77777777">
            <w:r w:rsidRPr="005C52A0">
              <w:t xml:space="preserve">Heather </w:t>
            </w:r>
          </w:p>
          <w:p w:rsidRPr="005C52A0" w:rsidR="004C3798" w:rsidP="005C52A0" w:rsidRDefault="004C3798" w14:paraId="1C73C791" w14:textId="6E722F7E">
            <w:r w:rsidRPr="005C52A0">
              <w:t>Lewis</w:t>
            </w:r>
          </w:p>
        </w:tc>
        <w:tc>
          <w:tcPr>
            <w:tcW w:w="747" w:type="dxa"/>
            <w:gridSpan w:val="2"/>
            <w:shd w:val="clear" w:color="auto" w:fill="auto"/>
          </w:tcPr>
          <w:p w:rsidRPr="005C52A0" w:rsidR="004C3798" w:rsidP="0074554A" w:rsidRDefault="004C3798" w14:paraId="20BBD9AC" w14:textId="23242FDE">
            <w:pPr>
              <w:jc w:val="center"/>
            </w:pPr>
            <w:r w:rsidRPr="005C52A0">
              <w:t>2021</w:t>
            </w:r>
          </w:p>
        </w:tc>
        <w:tc>
          <w:tcPr>
            <w:tcW w:w="866" w:type="dxa"/>
            <w:shd w:val="clear" w:color="auto" w:fill="auto"/>
          </w:tcPr>
          <w:p w:rsidRPr="005C52A0" w:rsidR="004C3798" w:rsidP="0074554A" w:rsidRDefault="008603FB" w14:paraId="619A66B6" w14:textId="0EABF372">
            <w:pPr>
              <w:jc w:val="center"/>
            </w:pPr>
            <w:r w:rsidRPr="005C52A0">
              <w:t>4.1</w:t>
            </w:r>
          </w:p>
        </w:tc>
        <w:tc>
          <w:tcPr>
            <w:tcW w:w="1024" w:type="dxa"/>
            <w:shd w:val="clear" w:color="auto" w:fill="auto"/>
          </w:tcPr>
          <w:p w:rsidRPr="005C52A0" w:rsidR="004C3798" w:rsidP="0074554A" w:rsidRDefault="004C3798" w14:paraId="7B633C0A" w14:textId="1C99B4CD">
            <w:pPr>
              <w:jc w:val="right"/>
            </w:pPr>
            <w:r w:rsidRPr="005C52A0">
              <w:t>$206.5</w:t>
            </w:r>
            <w:r w:rsidR="0074554A">
              <w:t>0</w:t>
            </w:r>
          </w:p>
        </w:tc>
        <w:tc>
          <w:tcPr>
            <w:tcW w:w="1800" w:type="dxa"/>
            <w:gridSpan w:val="2"/>
            <w:tcBorders>
              <w:right w:val="single" w:color="auto" w:sz="4" w:space="0"/>
            </w:tcBorders>
            <w:shd w:val="clear" w:color="auto" w:fill="auto"/>
          </w:tcPr>
          <w:p w:rsidRPr="005C52A0" w:rsidR="004C3798" w:rsidP="005C52A0" w:rsidRDefault="004C3798" w14:paraId="2903495D" w14:textId="2E04E83D">
            <w:r w:rsidRPr="005C52A0">
              <w:t>D.04</w:t>
            </w:r>
            <w:r w:rsidRPr="005C52A0" w:rsidR="00E54F5A">
              <w:noBreakHyphen/>
            </w:r>
            <w:r w:rsidRPr="005C52A0">
              <w:t>04</w:t>
            </w:r>
            <w:r w:rsidRPr="005C52A0" w:rsidR="00E54F5A">
              <w:noBreakHyphen/>
            </w:r>
            <w:r w:rsidRPr="005C52A0">
              <w:t>012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4C3798" w:rsidP="0074554A" w:rsidRDefault="00932FAB" w14:paraId="7E2246D4" w14:textId="76883A62">
            <w:pPr>
              <w:jc w:val="right"/>
            </w:pPr>
            <w:r w:rsidRPr="005C52A0">
              <w:t>$846.65</w:t>
            </w:r>
          </w:p>
        </w:tc>
        <w:tc>
          <w:tcPr>
            <w:tcW w:w="900" w:type="dxa"/>
            <w:tcBorders>
              <w:left w:val="single" w:color="auto" w:sz="4" w:space="0"/>
              <w:right w:val="single" w:color="auto" w:sz="4" w:space="0"/>
            </w:tcBorders>
            <w:shd w:val="clear" w:color="auto" w:fill="auto"/>
          </w:tcPr>
          <w:p w:rsidRPr="005C52A0" w:rsidR="004C3798" w:rsidP="0074554A" w:rsidRDefault="00F41517" w14:paraId="04042F40" w14:textId="3627B54B">
            <w:pPr>
              <w:jc w:val="center"/>
            </w:pPr>
            <w:r w:rsidRPr="005C52A0">
              <w:t>4.10</w:t>
            </w:r>
          </w:p>
        </w:tc>
        <w:tc>
          <w:tcPr>
            <w:tcW w:w="1080" w:type="dxa"/>
            <w:tcBorders>
              <w:left w:val="single" w:color="auto" w:sz="4" w:space="0"/>
            </w:tcBorders>
            <w:shd w:val="clear" w:color="auto" w:fill="auto"/>
          </w:tcPr>
          <w:p w:rsidRPr="005C52A0" w:rsidR="004C3798" w:rsidP="0074554A" w:rsidRDefault="00F41517" w14:paraId="2F956405" w14:textId="609323D4">
            <w:pPr>
              <w:jc w:val="right"/>
            </w:pPr>
            <w:r w:rsidRPr="005C52A0">
              <w:t>$20</w:t>
            </w:r>
            <w:r w:rsidRPr="005C52A0" w:rsidR="00617A07">
              <w:t>7</w:t>
            </w:r>
            <w:r w:rsidRPr="005C52A0">
              <w:t>.50</w:t>
            </w:r>
          </w:p>
        </w:tc>
        <w:tc>
          <w:tcPr>
            <w:tcW w:w="1380" w:type="dxa"/>
            <w:shd w:val="clear" w:color="auto" w:fill="auto"/>
          </w:tcPr>
          <w:p w:rsidRPr="005C52A0" w:rsidR="004C3798" w:rsidP="0074554A" w:rsidRDefault="00F41517" w14:paraId="112AEF62" w14:textId="2DACE7C8">
            <w:pPr>
              <w:jc w:val="right"/>
            </w:pPr>
            <w:r w:rsidRPr="005C52A0">
              <w:t>$</w:t>
            </w:r>
            <w:r w:rsidRPr="005C52A0" w:rsidR="00617A07">
              <w:t>850.75</w:t>
            </w:r>
          </w:p>
        </w:tc>
      </w:tr>
      <w:tr w:rsidRPr="005C52A0" w:rsidR="008921C3" w:rsidTr="000B08B9" w14:paraId="1D372EB2" w14:textId="77777777">
        <w:trPr>
          <w:jc w:val="center"/>
        </w:trPr>
        <w:tc>
          <w:tcPr>
            <w:tcW w:w="1408" w:type="dxa"/>
            <w:shd w:val="clear" w:color="auto" w:fill="auto"/>
          </w:tcPr>
          <w:p w:rsidRPr="005C52A0" w:rsidR="004C3798" w:rsidP="005C52A0" w:rsidRDefault="004C3798" w14:paraId="6070B35E" w14:textId="17804DF8">
            <w:r w:rsidRPr="005C52A0">
              <w:t>Tyler Earl</w:t>
            </w:r>
          </w:p>
        </w:tc>
        <w:tc>
          <w:tcPr>
            <w:tcW w:w="747" w:type="dxa"/>
            <w:gridSpan w:val="2"/>
            <w:shd w:val="clear" w:color="auto" w:fill="auto"/>
          </w:tcPr>
          <w:p w:rsidRPr="005C52A0" w:rsidR="004C3798" w:rsidP="0074554A" w:rsidRDefault="004C3798" w14:paraId="5E9E1721" w14:textId="303BDD9D">
            <w:pPr>
              <w:jc w:val="center"/>
            </w:pPr>
            <w:r w:rsidRPr="005C52A0">
              <w:t>2020</w:t>
            </w:r>
          </w:p>
        </w:tc>
        <w:tc>
          <w:tcPr>
            <w:tcW w:w="866" w:type="dxa"/>
            <w:shd w:val="clear" w:color="auto" w:fill="auto"/>
          </w:tcPr>
          <w:p w:rsidRPr="005C52A0" w:rsidR="004C3798" w:rsidP="0074554A" w:rsidRDefault="008603FB" w14:paraId="71EA4219" w14:textId="4D8E35BD">
            <w:pPr>
              <w:jc w:val="center"/>
            </w:pPr>
            <w:r w:rsidRPr="005C52A0">
              <w:t>2.2</w:t>
            </w:r>
          </w:p>
        </w:tc>
        <w:tc>
          <w:tcPr>
            <w:tcW w:w="1024" w:type="dxa"/>
            <w:shd w:val="clear" w:color="auto" w:fill="auto"/>
          </w:tcPr>
          <w:p w:rsidRPr="005C52A0" w:rsidR="004C3798" w:rsidP="0074554A" w:rsidRDefault="004C3798" w14:paraId="42F6B59D" w14:textId="4FB9E6CD">
            <w:pPr>
              <w:jc w:val="right"/>
            </w:pPr>
            <w:r w:rsidRPr="005C52A0">
              <w:t>$97.5</w:t>
            </w:r>
            <w:r w:rsidR="0074554A">
              <w:t>0</w:t>
            </w:r>
          </w:p>
        </w:tc>
        <w:tc>
          <w:tcPr>
            <w:tcW w:w="1800" w:type="dxa"/>
            <w:gridSpan w:val="2"/>
            <w:tcBorders>
              <w:right w:val="single" w:color="auto" w:sz="4" w:space="0"/>
            </w:tcBorders>
            <w:shd w:val="clear" w:color="auto" w:fill="auto"/>
          </w:tcPr>
          <w:p w:rsidRPr="005C52A0" w:rsidR="004C3798" w:rsidP="005C52A0" w:rsidRDefault="004C3798" w14:paraId="0DA21DAE" w14:textId="132B2C34">
            <w:r w:rsidRPr="005C52A0">
              <w:t>D.04</w:t>
            </w:r>
            <w:r w:rsidRPr="005C52A0" w:rsidR="00E54F5A">
              <w:noBreakHyphen/>
            </w:r>
            <w:r w:rsidRPr="005C52A0">
              <w:t>04</w:t>
            </w:r>
            <w:r w:rsidRPr="005C52A0" w:rsidR="00E54F5A">
              <w:noBreakHyphen/>
            </w:r>
            <w:r w:rsidRPr="005C52A0">
              <w:t>012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4C3798" w:rsidP="0074554A" w:rsidRDefault="00932FAB" w14:paraId="1F59674B" w14:textId="603F30B7">
            <w:pPr>
              <w:jc w:val="right"/>
            </w:pPr>
            <w:r w:rsidRPr="005C52A0">
              <w:t>$214.50</w:t>
            </w:r>
          </w:p>
        </w:tc>
        <w:tc>
          <w:tcPr>
            <w:tcW w:w="900" w:type="dxa"/>
            <w:tcBorders>
              <w:left w:val="single" w:color="auto" w:sz="4" w:space="0"/>
              <w:right w:val="single" w:color="auto" w:sz="4" w:space="0"/>
            </w:tcBorders>
            <w:shd w:val="clear" w:color="auto" w:fill="auto"/>
          </w:tcPr>
          <w:p w:rsidRPr="005C52A0" w:rsidR="004C3798" w:rsidP="0074554A" w:rsidRDefault="00F41517" w14:paraId="43DC5BDF" w14:textId="587DBE9F">
            <w:pPr>
              <w:jc w:val="center"/>
            </w:pPr>
            <w:r w:rsidRPr="005C52A0">
              <w:t>2.20</w:t>
            </w:r>
          </w:p>
        </w:tc>
        <w:tc>
          <w:tcPr>
            <w:tcW w:w="1080" w:type="dxa"/>
            <w:tcBorders>
              <w:left w:val="single" w:color="auto" w:sz="4" w:space="0"/>
            </w:tcBorders>
            <w:shd w:val="clear" w:color="auto" w:fill="auto"/>
          </w:tcPr>
          <w:p w:rsidRPr="005C52A0" w:rsidR="004C3798" w:rsidP="0074554A" w:rsidRDefault="00F41517" w14:paraId="77BD599E" w14:textId="1FC8E773">
            <w:pPr>
              <w:jc w:val="right"/>
            </w:pPr>
            <w:r w:rsidRPr="005C52A0">
              <w:t>$97.50</w:t>
            </w:r>
          </w:p>
        </w:tc>
        <w:tc>
          <w:tcPr>
            <w:tcW w:w="1380" w:type="dxa"/>
            <w:shd w:val="clear" w:color="auto" w:fill="auto"/>
          </w:tcPr>
          <w:p w:rsidRPr="005C52A0" w:rsidR="004C3798" w:rsidP="0074554A" w:rsidRDefault="00F41517" w14:paraId="3623F9E9" w14:textId="0BC1EAC1">
            <w:pPr>
              <w:jc w:val="right"/>
            </w:pPr>
            <w:r w:rsidRPr="005C52A0">
              <w:t>$214.50</w:t>
            </w:r>
          </w:p>
        </w:tc>
      </w:tr>
      <w:tr w:rsidRPr="005C52A0" w:rsidR="008921C3" w:rsidTr="000B08B9" w14:paraId="7AB9EF54" w14:textId="77777777">
        <w:trPr>
          <w:jc w:val="center"/>
        </w:trPr>
        <w:tc>
          <w:tcPr>
            <w:tcW w:w="1408" w:type="dxa"/>
            <w:shd w:val="clear" w:color="auto" w:fill="auto"/>
          </w:tcPr>
          <w:p w:rsidR="00CA2F81" w:rsidP="004818D5" w:rsidRDefault="004C3798" w14:paraId="08EEDFE2" w14:textId="77777777">
            <w:pPr>
              <w:keepNext/>
            </w:pPr>
            <w:r w:rsidRPr="005C52A0">
              <w:t xml:space="preserve">Clinical </w:t>
            </w:r>
          </w:p>
          <w:p w:rsidR="00CA2F81" w:rsidP="004818D5" w:rsidRDefault="004C3798" w14:paraId="23288A6C" w14:textId="77777777">
            <w:pPr>
              <w:keepNext/>
            </w:pPr>
            <w:r w:rsidRPr="005C52A0">
              <w:t xml:space="preserve">Law </w:t>
            </w:r>
          </w:p>
          <w:p w:rsidRPr="005C52A0" w:rsidR="004C3798" w:rsidP="004818D5" w:rsidRDefault="004C3798" w14:paraId="4F803C09" w14:textId="4F0F9088">
            <w:pPr>
              <w:keepNext/>
            </w:pPr>
            <w:r w:rsidRPr="005C52A0">
              <w:t>Students</w:t>
            </w:r>
          </w:p>
        </w:tc>
        <w:tc>
          <w:tcPr>
            <w:tcW w:w="747" w:type="dxa"/>
            <w:gridSpan w:val="2"/>
            <w:shd w:val="clear" w:color="auto" w:fill="auto"/>
          </w:tcPr>
          <w:p w:rsidRPr="005C52A0" w:rsidR="004C3798" w:rsidP="004818D5" w:rsidRDefault="004C3798" w14:paraId="058BFE37" w14:textId="275D172C">
            <w:pPr>
              <w:keepNext/>
              <w:jc w:val="center"/>
            </w:pPr>
            <w:r w:rsidRPr="005C52A0">
              <w:t>2021</w:t>
            </w:r>
          </w:p>
        </w:tc>
        <w:tc>
          <w:tcPr>
            <w:tcW w:w="866" w:type="dxa"/>
            <w:shd w:val="clear" w:color="auto" w:fill="auto"/>
          </w:tcPr>
          <w:p w:rsidRPr="005C52A0" w:rsidR="004C3798" w:rsidP="004818D5" w:rsidRDefault="008603FB" w14:paraId="66A42865" w14:textId="3E7BADA5">
            <w:pPr>
              <w:keepNext/>
              <w:jc w:val="center"/>
            </w:pPr>
            <w:r w:rsidRPr="005C52A0">
              <w:t>29.2</w:t>
            </w:r>
          </w:p>
        </w:tc>
        <w:tc>
          <w:tcPr>
            <w:tcW w:w="1024" w:type="dxa"/>
            <w:shd w:val="clear" w:color="auto" w:fill="auto"/>
          </w:tcPr>
          <w:p w:rsidRPr="005C52A0" w:rsidR="004C3798" w:rsidP="004818D5" w:rsidRDefault="004C3798" w14:paraId="42AE8F2C" w14:textId="29D82782">
            <w:pPr>
              <w:keepNext/>
              <w:jc w:val="right"/>
            </w:pPr>
            <w:r w:rsidRPr="005C52A0">
              <w:t>$100</w:t>
            </w:r>
            <w:r w:rsidR="0074554A">
              <w:t>.00</w:t>
            </w:r>
          </w:p>
        </w:tc>
        <w:tc>
          <w:tcPr>
            <w:tcW w:w="1800" w:type="dxa"/>
            <w:gridSpan w:val="2"/>
            <w:tcBorders>
              <w:right w:val="single" w:color="auto" w:sz="4" w:space="0"/>
            </w:tcBorders>
            <w:shd w:val="clear" w:color="auto" w:fill="auto"/>
          </w:tcPr>
          <w:p w:rsidRPr="005C52A0" w:rsidR="004C3798" w:rsidP="004818D5" w:rsidRDefault="004C3798" w14:paraId="3DB754B7" w14:textId="1517D96E">
            <w:pPr>
              <w:keepNext/>
            </w:pPr>
            <w:r w:rsidRPr="005C52A0">
              <w:t>D.04</w:t>
            </w:r>
            <w:r w:rsidRPr="005C52A0" w:rsidR="00E54F5A">
              <w:noBreakHyphen/>
            </w:r>
            <w:r w:rsidRPr="005C52A0">
              <w:t>04</w:t>
            </w:r>
            <w:r w:rsidRPr="005C52A0" w:rsidR="00E54F5A">
              <w:noBreakHyphen/>
            </w:r>
            <w:r w:rsidRPr="005C52A0">
              <w:t>012</w:t>
            </w:r>
          </w:p>
        </w:tc>
        <w:tc>
          <w:tcPr>
            <w:tcW w:w="1350" w:type="dxa"/>
            <w:gridSpan w:val="2"/>
            <w:tcBorders>
              <w:top w:val="single" w:color="auto" w:sz="4" w:space="0"/>
              <w:left w:val="single" w:color="auto" w:sz="4" w:space="0"/>
              <w:bottom w:val="single" w:color="auto" w:sz="4" w:space="0"/>
              <w:right w:val="single" w:color="auto" w:sz="24" w:space="0"/>
            </w:tcBorders>
            <w:shd w:val="clear" w:color="auto" w:fill="auto"/>
          </w:tcPr>
          <w:p w:rsidRPr="005C52A0" w:rsidR="004C3798" w:rsidP="004818D5" w:rsidRDefault="00932FAB" w14:paraId="3D39C021" w14:textId="70FE6116">
            <w:pPr>
              <w:keepNext/>
              <w:jc w:val="right"/>
            </w:pPr>
            <w:r w:rsidRPr="005C52A0">
              <w:t>$2,9</w:t>
            </w:r>
            <w:r w:rsidRPr="005C52A0" w:rsidR="002407CA">
              <w:t>20</w:t>
            </w:r>
          </w:p>
        </w:tc>
        <w:tc>
          <w:tcPr>
            <w:tcW w:w="900" w:type="dxa"/>
            <w:tcBorders>
              <w:left w:val="single" w:color="auto" w:sz="4" w:space="0"/>
              <w:right w:val="single" w:color="auto" w:sz="4" w:space="0"/>
            </w:tcBorders>
            <w:shd w:val="clear" w:color="auto" w:fill="auto"/>
          </w:tcPr>
          <w:p w:rsidRPr="005C52A0" w:rsidR="004C3798" w:rsidP="004818D5" w:rsidRDefault="00F41517" w14:paraId="6B8C8F0C" w14:textId="70267162">
            <w:pPr>
              <w:keepNext/>
              <w:jc w:val="center"/>
            </w:pPr>
            <w:r w:rsidRPr="005C52A0">
              <w:t>29.20</w:t>
            </w:r>
          </w:p>
        </w:tc>
        <w:tc>
          <w:tcPr>
            <w:tcW w:w="1080" w:type="dxa"/>
            <w:tcBorders>
              <w:left w:val="single" w:color="auto" w:sz="4" w:space="0"/>
            </w:tcBorders>
            <w:shd w:val="clear" w:color="auto" w:fill="auto"/>
          </w:tcPr>
          <w:p w:rsidR="0074554A" w:rsidP="004818D5" w:rsidRDefault="00F41517" w14:paraId="7418AAD1" w14:textId="77777777">
            <w:pPr>
              <w:keepNext/>
              <w:jc w:val="right"/>
            </w:pPr>
            <w:r w:rsidRPr="005C52A0">
              <w:t>$50.00</w:t>
            </w:r>
            <w:r w:rsidRPr="005C52A0" w:rsidR="00330D42">
              <w:t xml:space="preserve"> </w:t>
            </w:r>
          </w:p>
          <w:p w:rsidRPr="005C52A0" w:rsidR="004C3798" w:rsidP="004818D5" w:rsidRDefault="00330D42" w14:paraId="0A58B021" w14:textId="7C376488">
            <w:pPr>
              <w:keepNext/>
              <w:jc w:val="center"/>
            </w:pPr>
            <w:r w:rsidRPr="005C52A0">
              <w:t>[</w:t>
            </w:r>
            <w:r w:rsidRPr="005C52A0" w:rsidR="00E4791E">
              <w:t>6</w:t>
            </w:r>
            <w:r w:rsidRPr="005C52A0">
              <w:t>]</w:t>
            </w:r>
          </w:p>
        </w:tc>
        <w:tc>
          <w:tcPr>
            <w:tcW w:w="1380" w:type="dxa"/>
            <w:shd w:val="clear" w:color="auto" w:fill="auto"/>
          </w:tcPr>
          <w:p w:rsidRPr="005C52A0" w:rsidR="004C3798" w:rsidP="004818D5" w:rsidRDefault="00F41517" w14:paraId="0769A3B4" w14:textId="2CD75A0D">
            <w:pPr>
              <w:keepNext/>
              <w:jc w:val="right"/>
            </w:pPr>
            <w:r w:rsidRPr="005C52A0">
              <w:t>$1,460.00</w:t>
            </w:r>
          </w:p>
        </w:tc>
      </w:tr>
      <w:tr w:rsidRPr="005C52A0" w:rsidR="008921C3" w:rsidTr="0074554A" w14:paraId="266CEDD5" w14:textId="77777777">
        <w:trPr>
          <w:jc w:val="center"/>
        </w:trPr>
        <w:tc>
          <w:tcPr>
            <w:tcW w:w="7195" w:type="dxa"/>
            <w:gridSpan w:val="9"/>
            <w:tcBorders>
              <w:bottom w:val="single" w:color="auto" w:sz="4" w:space="0"/>
              <w:right w:val="single" w:color="auto" w:sz="24" w:space="0"/>
            </w:tcBorders>
            <w:shd w:val="clear" w:color="auto" w:fill="auto"/>
            <w:vAlign w:val="bottom"/>
          </w:tcPr>
          <w:p w:rsidRPr="005C52A0" w:rsidR="004C3798" w:rsidP="004818D5" w:rsidRDefault="004C3798" w14:paraId="4A1F5988" w14:textId="0189D4ED">
            <w:pPr>
              <w:keepNext/>
              <w:tabs>
                <w:tab w:val="left" w:pos="957"/>
              </w:tabs>
              <w:ind w:right="162"/>
              <w:jc w:val="right"/>
              <w:rPr>
                <w:b/>
                <w:i/>
              </w:rPr>
            </w:pPr>
            <w:r w:rsidRPr="005C52A0">
              <w:rPr>
                <w:b/>
                <w:i/>
              </w:rPr>
              <w:t>Subtotal: $</w:t>
            </w:r>
            <w:r w:rsidRPr="005C52A0" w:rsidR="00191B4A">
              <w:rPr>
                <w:b/>
                <w:i/>
              </w:rPr>
              <w:t>3,981.15</w:t>
            </w:r>
          </w:p>
        </w:tc>
        <w:tc>
          <w:tcPr>
            <w:tcW w:w="3360" w:type="dxa"/>
            <w:gridSpan w:val="3"/>
            <w:tcBorders>
              <w:left w:val="single" w:color="auto" w:sz="24" w:space="0"/>
              <w:bottom w:val="single" w:color="auto" w:sz="4" w:space="0"/>
            </w:tcBorders>
            <w:shd w:val="clear" w:color="auto" w:fill="auto"/>
            <w:vAlign w:val="bottom"/>
          </w:tcPr>
          <w:p w:rsidRPr="005C52A0" w:rsidR="004C3798" w:rsidP="004818D5" w:rsidRDefault="004C3798" w14:paraId="2FBAA587" w14:textId="06B098AC">
            <w:pPr>
              <w:keepNext/>
              <w:tabs>
                <w:tab w:val="left" w:pos="957"/>
              </w:tabs>
              <w:ind w:right="162"/>
              <w:jc w:val="right"/>
              <w:rPr>
                <w:b/>
                <w:i/>
              </w:rPr>
            </w:pPr>
            <w:r w:rsidRPr="005C52A0">
              <w:rPr>
                <w:b/>
                <w:i/>
              </w:rPr>
              <w:t>Subtotal: $</w:t>
            </w:r>
            <w:r w:rsidRPr="005C52A0" w:rsidR="00F41517">
              <w:rPr>
                <w:b/>
                <w:i/>
              </w:rPr>
              <w:t>2,</w:t>
            </w:r>
            <w:r w:rsidRPr="005C52A0" w:rsidR="00FF47CA">
              <w:rPr>
                <w:b/>
                <w:i/>
              </w:rPr>
              <w:t>525.25</w:t>
            </w:r>
          </w:p>
        </w:tc>
      </w:tr>
      <w:tr w:rsidRPr="005C52A0" w:rsidR="008921C3" w:rsidTr="0074554A" w14:paraId="06E7371A" w14:textId="77777777">
        <w:trPr>
          <w:jc w:val="center"/>
        </w:trPr>
        <w:tc>
          <w:tcPr>
            <w:tcW w:w="7195" w:type="dxa"/>
            <w:gridSpan w:val="9"/>
            <w:tcBorders>
              <w:top w:val="single" w:color="auto" w:sz="4" w:space="0"/>
              <w:bottom w:val="single" w:color="auto" w:sz="4" w:space="0"/>
              <w:right w:val="single" w:color="auto" w:sz="24" w:space="0"/>
            </w:tcBorders>
            <w:shd w:val="clear" w:color="auto" w:fill="E6E6E6"/>
            <w:vAlign w:val="bottom"/>
          </w:tcPr>
          <w:p w:rsidRPr="005C52A0" w:rsidR="004C3798" w:rsidP="005C52A0" w:rsidRDefault="004C3798" w14:paraId="11B3B704" w14:textId="6496AFF2">
            <w:pPr>
              <w:tabs>
                <w:tab w:val="left" w:pos="957"/>
              </w:tabs>
              <w:ind w:right="72"/>
              <w:jc w:val="right"/>
              <w:rPr>
                <w:b/>
              </w:rPr>
            </w:pPr>
            <w:r w:rsidRPr="005C52A0">
              <w:rPr>
                <w:b/>
                <w:i/>
              </w:rPr>
              <w:t>TOTAL REQUEST: $</w:t>
            </w:r>
            <w:r w:rsidRPr="005C52A0" w:rsidR="000C2001">
              <w:rPr>
                <w:b/>
                <w:i/>
              </w:rPr>
              <w:t>91,038.31</w:t>
            </w:r>
          </w:p>
        </w:tc>
        <w:tc>
          <w:tcPr>
            <w:tcW w:w="3360" w:type="dxa"/>
            <w:gridSpan w:val="3"/>
            <w:tcBorders>
              <w:left w:val="single" w:color="auto" w:sz="24" w:space="0"/>
            </w:tcBorders>
            <w:shd w:val="clear" w:color="auto" w:fill="E6E6E6"/>
            <w:vAlign w:val="bottom"/>
          </w:tcPr>
          <w:p w:rsidRPr="005C52A0" w:rsidR="004C3798" w:rsidP="005C52A0" w:rsidRDefault="004C3798" w14:paraId="3680D139" w14:textId="39BB7C9D">
            <w:pPr>
              <w:tabs>
                <w:tab w:val="left" w:pos="957"/>
              </w:tabs>
              <w:ind w:right="72"/>
              <w:jc w:val="right"/>
              <w:rPr>
                <w:b/>
              </w:rPr>
            </w:pPr>
            <w:r w:rsidRPr="005C52A0">
              <w:rPr>
                <w:b/>
                <w:i/>
              </w:rPr>
              <w:t>TOTAL AWARD: $</w:t>
            </w:r>
            <w:r w:rsidRPr="005C52A0" w:rsidR="00A44FA0">
              <w:rPr>
                <w:b/>
                <w:i/>
              </w:rPr>
              <w:t>91,</w:t>
            </w:r>
            <w:r w:rsidRPr="005C52A0" w:rsidR="00FF47CA">
              <w:rPr>
                <w:b/>
                <w:i/>
              </w:rPr>
              <w:t>119.75</w:t>
            </w:r>
          </w:p>
        </w:tc>
      </w:tr>
      <w:tr w:rsidRPr="005C52A0" w:rsidR="008921C3" w:rsidTr="0074554A" w14:paraId="6A909BC1" w14:textId="77777777">
        <w:trPr>
          <w:jc w:val="center"/>
        </w:trPr>
        <w:tc>
          <w:tcPr>
            <w:tcW w:w="10555" w:type="dxa"/>
            <w:gridSpan w:val="12"/>
            <w:tcBorders>
              <w:top w:val="single" w:color="auto" w:sz="4" w:space="0"/>
              <w:bottom w:val="single" w:color="auto" w:sz="4" w:space="0"/>
            </w:tcBorders>
            <w:shd w:val="clear" w:color="auto" w:fill="auto"/>
          </w:tcPr>
          <w:p w:rsidRPr="005C52A0" w:rsidR="004C3798" w:rsidP="0074554A" w:rsidRDefault="004C3798" w14:paraId="6F39872E" w14:textId="2D12A933">
            <w:pPr>
              <w:spacing w:after="120"/>
            </w:pPr>
            <w:r w:rsidRPr="005C52A0">
              <w:t xml:space="preserve">  *We remind all intervenors that Commission staff may audit the records and books of the intervenors to the extent necessary to verify the basis for the award (</w:t>
            </w:r>
            <w:r w:rsidR="00D538F2">
              <w:t>§ </w:t>
            </w:r>
            <w:r w:rsidRPr="005C52A0">
              <w:t xml:space="preserve">1804(d)).  Intervenors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5C52A0" w:rsidR="004C3798" w:rsidP="005C52A0" w:rsidRDefault="004C3798" w14:paraId="0D03EC65" w14:textId="77777777">
            <w:r w:rsidRPr="005C52A0">
              <w:t>**Travel and Reasonable Claim preparation time are typically compensated at ½ of preparer’s normal hourly rate</w:t>
            </w:r>
            <w:r w:rsidRPr="005C52A0" w:rsidDel="00D075B1">
              <w:t xml:space="preserve"> </w:t>
            </w:r>
          </w:p>
        </w:tc>
      </w:tr>
      <w:tr w:rsidRPr="005C52A0" w:rsidR="008921C3" w:rsidTr="0074554A" w14:paraId="458B01A4" w14:textId="77777777">
        <w:trPr>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C52A0" w:rsidR="004C3798" w:rsidP="00F0531A" w:rsidRDefault="004C3798" w14:paraId="48B43CBD" w14:textId="77777777">
            <w:pPr>
              <w:keepNext/>
              <w:jc w:val="center"/>
              <w:rPr>
                <w:b/>
                <w:smallCaps/>
              </w:rPr>
            </w:pPr>
            <w:r w:rsidRPr="005C52A0">
              <w:rPr>
                <w:b/>
                <w:smallCaps/>
              </w:rPr>
              <w:t>ATTORNEY INFORMATION</w:t>
            </w:r>
          </w:p>
        </w:tc>
      </w:tr>
      <w:tr w:rsidRPr="005C52A0" w:rsidR="008921C3" w:rsidTr="004818D5" w14:paraId="790C92C0" w14:textId="77777777">
        <w:trPr>
          <w:trHeight w:val="173"/>
          <w:jc w:val="center"/>
        </w:trPr>
        <w:tc>
          <w:tcPr>
            <w:tcW w:w="1705" w:type="dxa"/>
            <w:gridSpan w:val="2"/>
            <w:tcBorders>
              <w:top w:val="single" w:color="auto" w:sz="4" w:space="0"/>
              <w:bottom w:val="single" w:color="auto" w:sz="4" w:space="0"/>
            </w:tcBorders>
            <w:shd w:val="clear" w:color="auto" w:fill="FFFFFF" w:themeFill="background1"/>
            <w:vAlign w:val="bottom"/>
          </w:tcPr>
          <w:p w:rsidRPr="005C52A0" w:rsidR="004C3798" w:rsidP="004818D5" w:rsidRDefault="004C3798" w14:paraId="00CAC866" w14:textId="77777777">
            <w:pPr>
              <w:keepNext/>
              <w:jc w:val="center"/>
              <w:rPr>
                <w:b/>
                <w:szCs w:val="22"/>
              </w:rPr>
            </w:pPr>
            <w:r w:rsidRPr="005C52A0">
              <w:rPr>
                <w:b/>
                <w:szCs w:val="22"/>
              </w:rPr>
              <w:t>Attorney</w:t>
            </w:r>
          </w:p>
        </w:tc>
        <w:tc>
          <w:tcPr>
            <w:tcW w:w="2610" w:type="dxa"/>
            <w:gridSpan w:val="4"/>
            <w:tcBorders>
              <w:top w:val="single" w:color="auto" w:sz="4" w:space="0"/>
              <w:bottom w:val="single" w:color="auto" w:sz="4" w:space="0"/>
            </w:tcBorders>
            <w:shd w:val="clear" w:color="auto" w:fill="FFFFFF" w:themeFill="background1"/>
            <w:vAlign w:val="bottom"/>
          </w:tcPr>
          <w:p w:rsidR="004818D5" w:rsidP="004818D5" w:rsidRDefault="004C3798" w14:paraId="6C12B952" w14:textId="77777777">
            <w:pPr>
              <w:keepNext/>
              <w:jc w:val="center"/>
              <w:rPr>
                <w:b/>
                <w:szCs w:val="22"/>
              </w:rPr>
            </w:pPr>
            <w:r w:rsidRPr="005C52A0">
              <w:rPr>
                <w:b/>
                <w:szCs w:val="22"/>
              </w:rPr>
              <w:t xml:space="preserve">Date Admitted </w:t>
            </w:r>
          </w:p>
          <w:p w:rsidRPr="005C52A0" w:rsidR="004C3798" w:rsidP="004818D5" w:rsidRDefault="004C3798" w14:paraId="7E76A008" w14:textId="16A8FD86">
            <w:pPr>
              <w:keepNext/>
              <w:jc w:val="center"/>
              <w:rPr>
                <w:b/>
                <w:szCs w:val="22"/>
              </w:rPr>
            </w:pPr>
            <w:r w:rsidRPr="005C52A0">
              <w:rPr>
                <w:b/>
                <w:szCs w:val="22"/>
              </w:rPr>
              <w:t>to CA BAR</w:t>
            </w:r>
            <w:r w:rsidRPr="005C52A0">
              <w:rPr>
                <w:rStyle w:val="FootnoteReference"/>
                <w:b/>
                <w:szCs w:val="22"/>
              </w:rPr>
              <w:footnoteReference w:id="4"/>
            </w:r>
          </w:p>
        </w:tc>
        <w:tc>
          <w:tcPr>
            <w:tcW w:w="2070" w:type="dxa"/>
            <w:gridSpan w:val="2"/>
            <w:tcBorders>
              <w:top w:val="single" w:color="auto" w:sz="4" w:space="0"/>
              <w:bottom w:val="single" w:color="auto" w:sz="4" w:space="0"/>
            </w:tcBorders>
            <w:shd w:val="clear" w:color="auto" w:fill="FFFFFF" w:themeFill="background1"/>
            <w:vAlign w:val="bottom"/>
          </w:tcPr>
          <w:p w:rsidRPr="005C52A0" w:rsidR="004C3798" w:rsidP="004818D5" w:rsidRDefault="004C3798" w14:paraId="27E64ED7" w14:textId="77777777">
            <w:pPr>
              <w:keepNext/>
              <w:jc w:val="center"/>
              <w:rPr>
                <w:b/>
                <w:szCs w:val="22"/>
              </w:rPr>
            </w:pPr>
            <w:r w:rsidRPr="005C52A0">
              <w:rPr>
                <w:b/>
                <w:szCs w:val="22"/>
              </w:rPr>
              <w:t>Member Number</w:t>
            </w:r>
          </w:p>
        </w:tc>
        <w:tc>
          <w:tcPr>
            <w:tcW w:w="4170" w:type="dxa"/>
            <w:gridSpan w:val="4"/>
            <w:tcBorders>
              <w:top w:val="single" w:color="auto" w:sz="4" w:space="0"/>
              <w:bottom w:val="single" w:color="auto" w:sz="4" w:space="0"/>
            </w:tcBorders>
            <w:shd w:val="clear" w:color="auto" w:fill="FFFFFF" w:themeFill="background1"/>
            <w:vAlign w:val="bottom"/>
          </w:tcPr>
          <w:p w:rsidRPr="005C52A0" w:rsidR="004C3798" w:rsidP="004818D5" w:rsidRDefault="004C3798" w14:paraId="496B5DC1" w14:textId="77777777">
            <w:pPr>
              <w:keepNext/>
              <w:jc w:val="center"/>
              <w:rPr>
                <w:b/>
                <w:szCs w:val="22"/>
              </w:rPr>
            </w:pPr>
            <w:r w:rsidRPr="005C52A0">
              <w:rPr>
                <w:b/>
                <w:szCs w:val="22"/>
              </w:rPr>
              <w:t>Actions Affecting Eligibility (Yes/No?)</w:t>
            </w:r>
          </w:p>
          <w:p w:rsidRPr="005C52A0" w:rsidR="004C3798" w:rsidP="004818D5" w:rsidRDefault="004C3798" w14:paraId="36F8922D" w14:textId="77777777">
            <w:pPr>
              <w:keepNext/>
              <w:jc w:val="center"/>
              <w:rPr>
                <w:b/>
                <w:szCs w:val="22"/>
              </w:rPr>
            </w:pPr>
            <w:r w:rsidRPr="005C52A0">
              <w:rPr>
                <w:b/>
                <w:szCs w:val="22"/>
              </w:rPr>
              <w:t>If “Yes”, attach explanation</w:t>
            </w:r>
          </w:p>
        </w:tc>
      </w:tr>
      <w:tr w:rsidRPr="005C52A0" w:rsidR="008921C3" w:rsidTr="004818D5" w14:paraId="4DC5EE9B" w14:textId="77777777">
        <w:trPr>
          <w:trHeight w:val="172"/>
          <w:jc w:val="center"/>
        </w:trPr>
        <w:tc>
          <w:tcPr>
            <w:tcW w:w="1705" w:type="dxa"/>
            <w:gridSpan w:val="2"/>
            <w:tcBorders>
              <w:top w:val="single" w:color="auto" w:sz="4" w:space="0"/>
              <w:bottom w:val="single" w:color="auto" w:sz="4" w:space="0"/>
            </w:tcBorders>
            <w:shd w:val="clear" w:color="auto" w:fill="auto"/>
          </w:tcPr>
          <w:p w:rsidRPr="005C52A0" w:rsidR="004C3798" w:rsidP="004818D5" w:rsidRDefault="004C3798" w14:paraId="7266B7BF" w14:textId="150B7C0E">
            <w:pPr>
              <w:keepNext/>
              <w:jc w:val="center"/>
            </w:pPr>
            <w:r w:rsidRPr="005C52A0">
              <w:t>Heather Lewis</w:t>
            </w:r>
          </w:p>
        </w:tc>
        <w:tc>
          <w:tcPr>
            <w:tcW w:w="2610" w:type="dxa"/>
            <w:gridSpan w:val="4"/>
            <w:tcBorders>
              <w:top w:val="single" w:color="auto" w:sz="4" w:space="0"/>
              <w:bottom w:val="single" w:color="auto" w:sz="4" w:space="0"/>
            </w:tcBorders>
            <w:shd w:val="clear" w:color="auto" w:fill="auto"/>
          </w:tcPr>
          <w:p w:rsidRPr="005C52A0" w:rsidR="004C3798" w:rsidP="004818D5" w:rsidRDefault="004C3798" w14:paraId="69A41F15" w14:textId="4B12A419">
            <w:pPr>
              <w:keepNext/>
              <w:jc w:val="center"/>
            </w:pPr>
            <w:r w:rsidRPr="005C52A0">
              <w:t>December 3, 2013</w:t>
            </w:r>
          </w:p>
        </w:tc>
        <w:tc>
          <w:tcPr>
            <w:tcW w:w="2070" w:type="dxa"/>
            <w:gridSpan w:val="2"/>
            <w:tcBorders>
              <w:top w:val="single" w:color="auto" w:sz="4" w:space="0"/>
              <w:bottom w:val="single" w:color="auto" w:sz="4" w:space="0"/>
            </w:tcBorders>
            <w:shd w:val="clear" w:color="auto" w:fill="auto"/>
          </w:tcPr>
          <w:p w:rsidRPr="005C52A0" w:rsidR="004C3798" w:rsidP="004818D5" w:rsidRDefault="004C3798" w14:paraId="58495CD7" w14:textId="126A1F8F">
            <w:pPr>
              <w:keepNext/>
              <w:jc w:val="center"/>
            </w:pPr>
            <w:r w:rsidRPr="005C52A0">
              <w:t>291933</w:t>
            </w:r>
          </w:p>
        </w:tc>
        <w:tc>
          <w:tcPr>
            <w:tcW w:w="4170" w:type="dxa"/>
            <w:gridSpan w:val="4"/>
            <w:tcBorders>
              <w:top w:val="single" w:color="auto" w:sz="4" w:space="0"/>
              <w:bottom w:val="single" w:color="auto" w:sz="4" w:space="0"/>
            </w:tcBorders>
            <w:shd w:val="clear" w:color="auto" w:fill="auto"/>
          </w:tcPr>
          <w:p w:rsidRPr="005C52A0" w:rsidR="004C3798" w:rsidP="004818D5" w:rsidRDefault="004C3798" w14:paraId="117B99BF" w14:textId="75B2C5DF">
            <w:pPr>
              <w:keepNext/>
              <w:jc w:val="center"/>
            </w:pPr>
            <w:r w:rsidRPr="005C52A0">
              <w:t>No</w:t>
            </w:r>
          </w:p>
        </w:tc>
      </w:tr>
      <w:tr w:rsidRPr="005C52A0" w:rsidR="008921C3" w:rsidTr="004818D5" w14:paraId="5D036E2E" w14:textId="77777777">
        <w:trPr>
          <w:trHeight w:val="172"/>
          <w:jc w:val="center"/>
        </w:trPr>
        <w:tc>
          <w:tcPr>
            <w:tcW w:w="1705" w:type="dxa"/>
            <w:gridSpan w:val="2"/>
            <w:tcBorders>
              <w:top w:val="single" w:color="auto" w:sz="4" w:space="0"/>
              <w:bottom w:val="single" w:color="auto" w:sz="4" w:space="0"/>
            </w:tcBorders>
            <w:shd w:val="clear" w:color="auto" w:fill="auto"/>
          </w:tcPr>
          <w:p w:rsidRPr="005C52A0" w:rsidR="004C3798" w:rsidP="005C52A0" w:rsidRDefault="004C3798" w14:paraId="3D5F8F51" w14:textId="3D71F7E3">
            <w:pPr>
              <w:jc w:val="center"/>
            </w:pPr>
            <w:r w:rsidRPr="005C52A0">
              <w:t>Tyler Earl</w:t>
            </w:r>
          </w:p>
        </w:tc>
        <w:tc>
          <w:tcPr>
            <w:tcW w:w="2610" w:type="dxa"/>
            <w:gridSpan w:val="4"/>
            <w:tcBorders>
              <w:top w:val="single" w:color="auto" w:sz="4" w:space="0"/>
              <w:bottom w:val="single" w:color="auto" w:sz="4" w:space="0"/>
            </w:tcBorders>
            <w:shd w:val="clear" w:color="auto" w:fill="auto"/>
          </w:tcPr>
          <w:p w:rsidRPr="005C52A0" w:rsidR="004C3798" w:rsidP="005C52A0" w:rsidRDefault="004C3798" w14:paraId="1609FC8E" w14:textId="4C3A7F7D">
            <w:pPr>
              <w:jc w:val="center"/>
            </w:pPr>
            <w:r w:rsidRPr="005C52A0">
              <w:t>June 5, 2018</w:t>
            </w:r>
          </w:p>
        </w:tc>
        <w:tc>
          <w:tcPr>
            <w:tcW w:w="2070" w:type="dxa"/>
            <w:gridSpan w:val="2"/>
            <w:tcBorders>
              <w:top w:val="single" w:color="auto" w:sz="4" w:space="0"/>
              <w:bottom w:val="single" w:color="auto" w:sz="4" w:space="0"/>
            </w:tcBorders>
            <w:shd w:val="clear" w:color="auto" w:fill="auto"/>
          </w:tcPr>
          <w:p w:rsidRPr="005C52A0" w:rsidR="004C3798" w:rsidP="005C52A0" w:rsidRDefault="004C3798" w14:paraId="182A9D2B" w14:textId="573138C2">
            <w:pPr>
              <w:jc w:val="center"/>
            </w:pPr>
            <w:r w:rsidRPr="005C52A0">
              <w:t>320771</w:t>
            </w:r>
          </w:p>
        </w:tc>
        <w:tc>
          <w:tcPr>
            <w:tcW w:w="4170" w:type="dxa"/>
            <w:gridSpan w:val="4"/>
            <w:tcBorders>
              <w:top w:val="single" w:color="auto" w:sz="4" w:space="0"/>
              <w:bottom w:val="single" w:color="auto" w:sz="4" w:space="0"/>
            </w:tcBorders>
            <w:shd w:val="clear" w:color="auto" w:fill="auto"/>
          </w:tcPr>
          <w:p w:rsidRPr="005C52A0" w:rsidR="004C3798" w:rsidP="005C52A0" w:rsidRDefault="004C3798" w14:paraId="35DC3C56" w14:textId="4841531D">
            <w:pPr>
              <w:jc w:val="center"/>
            </w:pPr>
            <w:r w:rsidRPr="005C52A0">
              <w:t>No</w:t>
            </w:r>
          </w:p>
        </w:tc>
      </w:tr>
    </w:tbl>
    <w:p w:rsidRPr="008921C3" w:rsidR="0022302F" w:rsidP="00344602" w:rsidRDefault="00A92D0B" w14:paraId="67A6CABA" w14:textId="77777777">
      <w:pPr>
        <w:keepNext/>
        <w:numPr>
          <w:ilvl w:val="0"/>
          <w:numId w:val="9"/>
        </w:numPr>
        <w:spacing w:before="240" w:after="240"/>
        <w:rPr>
          <w:b/>
        </w:rPr>
      </w:pPr>
      <w:r w:rsidRPr="00344602">
        <w:rPr>
          <w:b/>
          <w:bCs/>
        </w:rPr>
        <w:t>Attachments</w:t>
      </w:r>
      <w:r w:rsidRPr="008921C3">
        <w:rPr>
          <w:b/>
        </w:rPr>
        <w:t xml:space="preserve"> Documenting Specific Claim and Comments on Part III</w:t>
      </w:r>
      <w:r w:rsidRPr="008921C3"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795"/>
        <w:gridCol w:w="7565"/>
      </w:tblGrid>
      <w:tr w:rsidRPr="008921C3" w:rsidR="008921C3" w:rsidTr="00B51B75" w14:paraId="0C2B760A" w14:textId="77777777">
        <w:trPr>
          <w:tblHeader/>
        </w:trPr>
        <w:tc>
          <w:tcPr>
            <w:tcW w:w="1795" w:type="dxa"/>
            <w:shd w:val="clear" w:color="auto" w:fill="D9D9D9" w:themeFill="background1" w:themeFillShade="D9"/>
            <w:vAlign w:val="bottom"/>
          </w:tcPr>
          <w:p w:rsidR="00B51B75" w:rsidP="005C52A0" w:rsidRDefault="00A92D0B" w14:paraId="17EEEA43" w14:textId="77777777">
            <w:pPr>
              <w:keepNext/>
              <w:tabs>
                <w:tab w:val="left" w:pos="1260"/>
              </w:tabs>
              <w:jc w:val="center"/>
              <w:rPr>
                <w:b/>
                <w:bCs/>
              </w:rPr>
            </w:pPr>
            <w:r w:rsidRPr="008921C3">
              <w:rPr>
                <w:b/>
                <w:bCs/>
              </w:rPr>
              <w:t xml:space="preserve">Attachment </w:t>
            </w:r>
          </w:p>
          <w:p w:rsidRPr="008921C3" w:rsidR="00A92D0B" w:rsidP="005C52A0" w:rsidRDefault="00A92D0B" w14:paraId="42A1D838" w14:textId="17223F9B">
            <w:pPr>
              <w:keepNext/>
              <w:tabs>
                <w:tab w:val="left" w:pos="1260"/>
              </w:tabs>
              <w:jc w:val="center"/>
              <w:rPr>
                <w:b/>
                <w:bCs/>
              </w:rPr>
            </w:pPr>
            <w:r w:rsidRPr="008921C3">
              <w:rPr>
                <w:b/>
                <w:bCs/>
              </w:rPr>
              <w:t>or Comment #</w:t>
            </w:r>
          </w:p>
        </w:tc>
        <w:tc>
          <w:tcPr>
            <w:tcW w:w="7565" w:type="dxa"/>
            <w:tcBorders>
              <w:bottom w:val="single" w:color="auto" w:sz="4" w:space="0"/>
            </w:tcBorders>
            <w:shd w:val="clear" w:color="auto" w:fill="D9D9D9" w:themeFill="background1" w:themeFillShade="D9"/>
            <w:vAlign w:val="bottom"/>
          </w:tcPr>
          <w:p w:rsidRPr="008921C3" w:rsidR="00A92D0B" w:rsidP="005C52A0" w:rsidRDefault="00A92D0B" w14:paraId="55F0A65F" w14:textId="77777777">
            <w:pPr>
              <w:keepNext/>
              <w:tabs>
                <w:tab w:val="left" w:pos="1260"/>
              </w:tabs>
              <w:jc w:val="center"/>
              <w:rPr>
                <w:b/>
              </w:rPr>
            </w:pPr>
            <w:r w:rsidRPr="008921C3">
              <w:rPr>
                <w:b/>
              </w:rPr>
              <w:t>Description/Comment</w:t>
            </w:r>
          </w:p>
        </w:tc>
      </w:tr>
      <w:tr w:rsidRPr="008921C3" w:rsidR="008921C3" w:rsidTr="00B51B75" w14:paraId="71F47148" w14:textId="77777777">
        <w:tc>
          <w:tcPr>
            <w:tcW w:w="1795" w:type="dxa"/>
            <w:tcBorders>
              <w:bottom w:val="single" w:color="auto" w:sz="4" w:space="0"/>
            </w:tcBorders>
            <w:shd w:val="clear" w:color="auto" w:fill="auto"/>
          </w:tcPr>
          <w:p w:rsidRPr="008921C3" w:rsidR="00A92D0B" w:rsidP="00A71C27" w:rsidRDefault="005216C1" w14:paraId="7A5C03D8" w14:textId="5E484DCA">
            <w:pPr>
              <w:tabs>
                <w:tab w:val="left" w:pos="1260"/>
              </w:tabs>
              <w:jc w:val="center"/>
            </w:pPr>
            <w:r w:rsidRPr="008921C3">
              <w:t>Attachment 1</w:t>
            </w:r>
          </w:p>
        </w:tc>
        <w:tc>
          <w:tcPr>
            <w:tcW w:w="7565" w:type="dxa"/>
            <w:tcBorders>
              <w:bottom w:val="single" w:color="auto" w:sz="4" w:space="0"/>
            </w:tcBorders>
            <w:shd w:val="clear" w:color="auto" w:fill="auto"/>
          </w:tcPr>
          <w:p w:rsidRPr="008921C3" w:rsidR="00A92D0B" w:rsidP="00A71C27" w:rsidRDefault="00A92D0B" w14:paraId="370C67BC" w14:textId="77777777">
            <w:pPr>
              <w:tabs>
                <w:tab w:val="left" w:pos="1260"/>
              </w:tabs>
            </w:pPr>
            <w:r w:rsidRPr="008921C3">
              <w:t>Certificate of Service</w:t>
            </w:r>
          </w:p>
        </w:tc>
      </w:tr>
      <w:tr w:rsidRPr="008921C3" w:rsidR="008921C3" w:rsidTr="00B51B75" w14:paraId="72C869B0" w14:textId="77777777">
        <w:tc>
          <w:tcPr>
            <w:tcW w:w="1795" w:type="dxa"/>
            <w:shd w:val="clear" w:color="auto" w:fill="auto"/>
          </w:tcPr>
          <w:p w:rsidRPr="008921C3" w:rsidR="00A92D0B" w:rsidP="00A71C27" w:rsidRDefault="005216C1" w14:paraId="49AADD21" w14:textId="55B6EB04">
            <w:pPr>
              <w:tabs>
                <w:tab w:val="left" w:pos="1260"/>
              </w:tabs>
              <w:jc w:val="center"/>
            </w:pPr>
            <w:r w:rsidRPr="008921C3">
              <w:t>Attachment 2</w:t>
            </w:r>
          </w:p>
        </w:tc>
        <w:tc>
          <w:tcPr>
            <w:tcW w:w="7565" w:type="dxa"/>
            <w:shd w:val="clear" w:color="auto" w:fill="auto"/>
          </w:tcPr>
          <w:p w:rsidRPr="008921C3" w:rsidR="00A92D0B" w:rsidP="00A71C27" w:rsidRDefault="0063671D" w14:paraId="3AF20C23" w14:textId="18F49818">
            <w:pPr>
              <w:tabs>
                <w:tab w:val="left" w:pos="1260"/>
              </w:tabs>
              <w:rPr>
                <w:bCs/>
              </w:rPr>
            </w:pPr>
            <w:r w:rsidRPr="00A71C27">
              <w:t>Timesheets</w:t>
            </w:r>
          </w:p>
        </w:tc>
      </w:tr>
      <w:tr w:rsidRPr="008921C3" w:rsidR="008921C3" w:rsidTr="00B51B75" w14:paraId="55E1D55E" w14:textId="77777777">
        <w:tc>
          <w:tcPr>
            <w:tcW w:w="1795" w:type="dxa"/>
            <w:shd w:val="clear" w:color="auto" w:fill="auto"/>
          </w:tcPr>
          <w:p w:rsidRPr="008921C3" w:rsidR="0063671D" w:rsidP="00A71C27" w:rsidRDefault="005216C1" w14:paraId="53F47B24" w14:textId="0104C8D1">
            <w:pPr>
              <w:tabs>
                <w:tab w:val="left" w:pos="1260"/>
              </w:tabs>
              <w:jc w:val="center"/>
            </w:pPr>
            <w:r w:rsidRPr="008921C3">
              <w:t>Attachment 3</w:t>
            </w:r>
          </w:p>
        </w:tc>
        <w:tc>
          <w:tcPr>
            <w:tcW w:w="7565" w:type="dxa"/>
            <w:shd w:val="clear" w:color="auto" w:fill="auto"/>
          </w:tcPr>
          <w:p w:rsidRPr="008921C3" w:rsidR="0063671D" w:rsidP="00A71C27" w:rsidRDefault="005216C1" w14:paraId="6524F542" w14:textId="75FDAF20">
            <w:pPr>
              <w:tabs>
                <w:tab w:val="left" w:pos="1260"/>
              </w:tabs>
              <w:rPr>
                <w:bCs/>
              </w:rPr>
            </w:pPr>
            <w:r w:rsidRPr="008921C3">
              <w:rPr>
                <w:bCs/>
              </w:rPr>
              <w:t>Resumes of Tyler Earl</w:t>
            </w:r>
            <w:r w:rsidRPr="008921C3" w:rsidR="00CF3930">
              <w:rPr>
                <w:bCs/>
              </w:rPr>
              <w:t xml:space="preserve">, </w:t>
            </w:r>
            <w:r w:rsidRPr="008921C3">
              <w:rPr>
                <w:bCs/>
              </w:rPr>
              <w:t>Heather Lewis</w:t>
            </w:r>
            <w:r w:rsidRPr="008921C3" w:rsidR="00CF3930">
              <w:rPr>
                <w:bCs/>
              </w:rPr>
              <w:t>, and Amee Raval</w:t>
            </w:r>
          </w:p>
        </w:tc>
      </w:tr>
      <w:tr w:rsidRPr="008921C3" w:rsidR="008921C3" w:rsidTr="00B51B75" w14:paraId="0AC5C356" w14:textId="77777777">
        <w:tc>
          <w:tcPr>
            <w:tcW w:w="1795" w:type="dxa"/>
            <w:shd w:val="clear" w:color="auto" w:fill="auto"/>
          </w:tcPr>
          <w:p w:rsidRPr="008921C3" w:rsidR="0063671D" w:rsidP="00A71C27" w:rsidRDefault="005216C1" w14:paraId="53A68AB7" w14:textId="00664027">
            <w:pPr>
              <w:tabs>
                <w:tab w:val="left" w:pos="1260"/>
              </w:tabs>
              <w:jc w:val="center"/>
            </w:pPr>
            <w:r w:rsidRPr="008921C3">
              <w:lastRenderedPageBreak/>
              <w:t>Comment 1</w:t>
            </w:r>
          </w:p>
        </w:tc>
        <w:tc>
          <w:tcPr>
            <w:tcW w:w="7565" w:type="dxa"/>
            <w:shd w:val="clear" w:color="auto" w:fill="auto"/>
          </w:tcPr>
          <w:p w:rsidRPr="008921C3" w:rsidR="002A0773" w:rsidP="00A71C27" w:rsidRDefault="002A0773" w14:paraId="4C125AF4" w14:textId="5FA6B077">
            <w:pPr>
              <w:tabs>
                <w:tab w:val="left" w:pos="1260"/>
              </w:tabs>
              <w:spacing w:after="240"/>
              <w:rPr>
                <w:bCs/>
              </w:rPr>
            </w:pPr>
            <w:r w:rsidRPr="008921C3">
              <w:rPr>
                <w:bCs/>
              </w:rPr>
              <w:t xml:space="preserve">Heather Lewis is a Clinical Supervising Attorney in UC Berkeley’s Environmental Law Clinic. </w:t>
            </w:r>
            <w:r w:rsidR="00D538F2">
              <w:rPr>
                <w:bCs/>
              </w:rPr>
              <w:t>Ms. </w:t>
            </w:r>
            <w:r w:rsidRPr="008921C3">
              <w:rPr>
                <w:bCs/>
              </w:rPr>
              <w:t xml:space="preserve">Lewis has practiced public interest law in California for over seven years. Before joining the Clinic, she was an associate attorney at Earthjustice, a staff attorney at ChangeLab Solutions, and a legal fellow at Communities for a Better Environment. </w:t>
            </w:r>
            <w:r w:rsidR="00D538F2">
              <w:rPr>
                <w:bCs/>
              </w:rPr>
              <w:t>Ms. </w:t>
            </w:r>
            <w:r w:rsidRPr="008921C3">
              <w:rPr>
                <w:bCs/>
              </w:rPr>
              <w:t xml:space="preserve">Lewis graduated from NYU School of Law in 2013. </w:t>
            </w:r>
            <w:r w:rsidR="00D538F2">
              <w:t>Ms. </w:t>
            </w:r>
            <w:r w:rsidRPr="008921C3" w:rsidR="00E246C1">
              <w:t>Lewis’s resume is attached to this request.</w:t>
            </w:r>
          </w:p>
          <w:p w:rsidRPr="008921C3" w:rsidR="0063671D" w:rsidP="00A71C27" w:rsidRDefault="002A0773" w14:paraId="1EBD703A" w14:textId="0B953CCD">
            <w:pPr>
              <w:tabs>
                <w:tab w:val="left" w:pos="1260"/>
              </w:tabs>
              <w:spacing w:after="240"/>
              <w:rPr>
                <w:bCs/>
              </w:rPr>
            </w:pPr>
            <w:r w:rsidRPr="008921C3">
              <w:rPr>
                <w:bCs/>
              </w:rPr>
              <w:t>Pursuant to Resolution ALJ</w:t>
            </w:r>
            <w:r w:rsidR="00E54F5A">
              <w:rPr>
                <w:bCs/>
              </w:rPr>
              <w:noBreakHyphen/>
            </w:r>
            <w:r w:rsidRPr="008921C3">
              <w:rPr>
                <w:bCs/>
              </w:rPr>
              <w:t>387, CEJA request</w:t>
            </w:r>
            <w:r w:rsidRPr="008921C3" w:rsidR="00CB1FB9">
              <w:rPr>
                <w:bCs/>
              </w:rPr>
              <w:t>s</w:t>
            </w:r>
            <w:r w:rsidRPr="008921C3">
              <w:rPr>
                <w:bCs/>
              </w:rPr>
              <w:t xml:space="preserve"> an hourly rate for </w:t>
            </w:r>
            <w:r w:rsidR="00D538F2">
              <w:rPr>
                <w:bCs/>
              </w:rPr>
              <w:t>Ms. </w:t>
            </w:r>
            <w:r w:rsidRPr="008921C3">
              <w:rPr>
                <w:bCs/>
              </w:rPr>
              <w:t>Lewis of $3</w:t>
            </w:r>
            <w:r w:rsidRPr="008921C3" w:rsidR="008A3AA3">
              <w:rPr>
                <w:bCs/>
              </w:rPr>
              <w:t>2</w:t>
            </w:r>
            <w:r w:rsidRPr="008921C3">
              <w:rPr>
                <w:bCs/>
              </w:rPr>
              <w:t>0 for work in 2019</w:t>
            </w:r>
            <w:r w:rsidRPr="008921C3" w:rsidR="006D4FF9">
              <w:rPr>
                <w:bCs/>
              </w:rPr>
              <w:t xml:space="preserve"> and $3</w:t>
            </w:r>
            <w:r w:rsidRPr="008921C3" w:rsidR="008A3AA3">
              <w:rPr>
                <w:bCs/>
              </w:rPr>
              <w:t>3</w:t>
            </w:r>
            <w:r w:rsidRPr="008921C3" w:rsidR="006D4FF9">
              <w:rPr>
                <w:bCs/>
              </w:rPr>
              <w:t>0 for work in 2020</w:t>
            </w:r>
            <w:r w:rsidRPr="008921C3">
              <w:rPr>
                <w:bCs/>
              </w:rPr>
              <w:t xml:space="preserve">. The Commission previously awarded </w:t>
            </w:r>
            <w:r w:rsidR="00D538F2">
              <w:rPr>
                <w:bCs/>
              </w:rPr>
              <w:t>Ms. </w:t>
            </w:r>
            <w:r w:rsidRPr="008921C3">
              <w:rPr>
                <w:bCs/>
              </w:rPr>
              <w:t>Lewis a rate of $165 for work in 2014, in D.15</w:t>
            </w:r>
            <w:r w:rsidR="00E54F5A">
              <w:rPr>
                <w:bCs/>
              </w:rPr>
              <w:noBreakHyphen/>
            </w:r>
            <w:r w:rsidRPr="008921C3">
              <w:rPr>
                <w:bCs/>
              </w:rPr>
              <w:t>10</w:t>
            </w:r>
            <w:r w:rsidR="00E54F5A">
              <w:rPr>
                <w:bCs/>
              </w:rPr>
              <w:noBreakHyphen/>
            </w:r>
            <w:r w:rsidRPr="008921C3">
              <w:rPr>
                <w:bCs/>
              </w:rPr>
              <w:t xml:space="preserve">011. The hourly rates requested for </w:t>
            </w:r>
            <w:r w:rsidR="00D538F2">
              <w:rPr>
                <w:bCs/>
              </w:rPr>
              <w:t>Ms. </w:t>
            </w:r>
            <w:r w:rsidRPr="008921C3">
              <w:rPr>
                <w:bCs/>
              </w:rPr>
              <w:t xml:space="preserve">Lewis reflect her previously adopted rates and years of expertise in environmental and energy law and policy. These rates are the </w:t>
            </w:r>
            <w:r w:rsidRPr="008921C3" w:rsidR="006D4FF9">
              <w:rPr>
                <w:bCs/>
              </w:rPr>
              <w:t xml:space="preserve">lowest rates </w:t>
            </w:r>
            <w:r w:rsidRPr="008921C3">
              <w:rPr>
                <w:bCs/>
              </w:rPr>
              <w:t xml:space="preserve">for an attorney with her experience. </w:t>
            </w:r>
          </w:p>
          <w:p w:rsidRPr="008921C3" w:rsidR="00D768A8" w:rsidP="00A71C27" w:rsidRDefault="00E246C1" w14:paraId="37246865" w14:textId="72FE31B8">
            <w:pPr>
              <w:tabs>
                <w:tab w:val="left" w:pos="1260"/>
              </w:tabs>
              <w:spacing w:after="240"/>
              <w:rPr>
                <w:bCs/>
              </w:rPr>
            </w:pPr>
            <w:r w:rsidRPr="008921C3">
              <w:rPr>
                <w:bCs/>
              </w:rPr>
              <w:t>Pursuant to Resolution ALJ</w:t>
            </w:r>
            <w:r w:rsidR="00E54F5A">
              <w:rPr>
                <w:bCs/>
              </w:rPr>
              <w:noBreakHyphen/>
            </w:r>
            <w:r w:rsidRPr="008921C3">
              <w:rPr>
                <w:bCs/>
              </w:rPr>
              <w:t xml:space="preserve">393 and </w:t>
            </w:r>
            <w:r w:rsidRPr="008921C3" w:rsidR="00364C4A">
              <w:rPr>
                <w:bCs/>
              </w:rPr>
              <w:t>The Commission</w:t>
            </w:r>
            <w:r w:rsidRPr="008921C3" w:rsidR="00360777">
              <w:rPr>
                <w:bCs/>
              </w:rPr>
              <w:t>’</w:t>
            </w:r>
            <w:r w:rsidRPr="008921C3" w:rsidR="00364C4A">
              <w:rPr>
                <w:bCs/>
              </w:rPr>
              <w:t>s Market Rate Study Hourly Rate Chart, CEJA requests a rate of</w:t>
            </w:r>
            <w:r w:rsidRPr="008921C3" w:rsidR="00421DC9">
              <w:rPr>
                <w:bCs/>
              </w:rPr>
              <w:t xml:space="preserve"> $413 for </w:t>
            </w:r>
            <w:r w:rsidR="00D538F2">
              <w:rPr>
                <w:bCs/>
              </w:rPr>
              <w:t>Ms. </w:t>
            </w:r>
            <w:r w:rsidRPr="008921C3" w:rsidR="00421DC9">
              <w:rPr>
                <w:bCs/>
              </w:rPr>
              <w:t xml:space="preserve">Lewis’s work in 2021. This is the median rate for an attorney with </w:t>
            </w:r>
            <w:r w:rsidRPr="008921C3" w:rsidR="00857314">
              <w:rPr>
                <w:bCs/>
              </w:rPr>
              <w:t xml:space="preserve">her experience (Attorney Level III). </w:t>
            </w:r>
          </w:p>
        </w:tc>
      </w:tr>
      <w:tr w:rsidRPr="008921C3" w:rsidR="008921C3" w:rsidTr="00B51B75" w14:paraId="1B4BD9C7" w14:textId="77777777">
        <w:tc>
          <w:tcPr>
            <w:tcW w:w="1795" w:type="dxa"/>
            <w:shd w:val="clear" w:color="auto" w:fill="auto"/>
          </w:tcPr>
          <w:p w:rsidRPr="008921C3" w:rsidR="005216C1" w:rsidP="00A71C27" w:rsidRDefault="005216C1" w14:paraId="5513B953" w14:textId="5164197D">
            <w:pPr>
              <w:tabs>
                <w:tab w:val="left" w:pos="1260"/>
              </w:tabs>
              <w:jc w:val="center"/>
            </w:pPr>
            <w:r w:rsidRPr="008921C3">
              <w:t>Comment 2</w:t>
            </w:r>
          </w:p>
        </w:tc>
        <w:tc>
          <w:tcPr>
            <w:tcW w:w="7565" w:type="dxa"/>
            <w:shd w:val="clear" w:color="auto" w:fill="auto"/>
          </w:tcPr>
          <w:p w:rsidRPr="008921C3" w:rsidR="00184D37" w:rsidP="00A71C27" w:rsidRDefault="00184D37" w14:paraId="37A4883F" w14:textId="6C3B5489">
            <w:pPr>
              <w:tabs>
                <w:tab w:val="left" w:pos="1260"/>
              </w:tabs>
              <w:spacing w:after="240"/>
              <w:rPr>
                <w:bCs/>
              </w:rPr>
            </w:pPr>
            <w:r w:rsidRPr="008921C3">
              <w:rPr>
                <w:bCs/>
              </w:rPr>
              <w:t>Tyler Earl is a Staff Attorney with Communities for a Better Environment, a CEJA member organization.  In law school, he furthered his study of environmental law by interning with the U.S. Department of Justice’s Environmental Enforcement Section and the California Public Utilities Commission and helped severely disadvantaged clients through internships at the Working Peoples’ Law Center and USC’s Post</w:t>
            </w:r>
            <w:r w:rsidR="00E54F5A">
              <w:rPr>
                <w:bCs/>
              </w:rPr>
              <w:noBreakHyphen/>
            </w:r>
            <w:r w:rsidRPr="008921C3">
              <w:rPr>
                <w:bCs/>
              </w:rPr>
              <w:t xml:space="preserve">Conviction Justice Project. He also volunteered with the Los Angeles chapter of the National Lawyers Guild to protect the First Amendment rights of demonstrators as a legal observer. He graduated with a B.A. in History and Political Science from Cal Poly San Luis Obispo and earned a J.D. from the University of Southern California Gould School of Law in 2017. </w:t>
            </w:r>
            <w:r w:rsidR="00D538F2">
              <w:rPr>
                <w:bCs/>
              </w:rPr>
              <w:t>Mr. </w:t>
            </w:r>
            <w:r w:rsidRPr="008921C3">
              <w:rPr>
                <w:bCs/>
              </w:rPr>
              <w:t>Earl’s resume is attached to this request.</w:t>
            </w:r>
          </w:p>
          <w:p w:rsidRPr="008921C3" w:rsidR="00184D37" w:rsidP="00A71C27" w:rsidRDefault="00184D37" w14:paraId="3E0BB9FF" w14:textId="51A44F66">
            <w:pPr>
              <w:tabs>
                <w:tab w:val="left" w:pos="1260"/>
              </w:tabs>
              <w:spacing w:after="240"/>
            </w:pPr>
            <w:r w:rsidRPr="008921C3">
              <w:rPr>
                <w:bCs/>
              </w:rPr>
              <w:t xml:space="preserve">CEJA requests </w:t>
            </w:r>
            <w:r w:rsidRPr="008921C3" w:rsidR="00C43A7B">
              <w:rPr>
                <w:bCs/>
              </w:rPr>
              <w:t xml:space="preserve">an hourly rate of $180 for </w:t>
            </w:r>
            <w:r w:rsidR="00D538F2">
              <w:rPr>
                <w:bCs/>
              </w:rPr>
              <w:t>Mr. </w:t>
            </w:r>
            <w:r w:rsidRPr="008921C3">
              <w:rPr>
                <w:bCs/>
              </w:rPr>
              <w:t xml:space="preserve">Earl in 2019, which </w:t>
            </w:r>
            <w:r w:rsidRPr="008921C3" w:rsidR="00C43A7B">
              <w:rPr>
                <w:bCs/>
              </w:rPr>
              <w:t xml:space="preserve">is the </w:t>
            </w:r>
            <w:r w:rsidRPr="008921C3">
              <w:rPr>
                <w:bCs/>
              </w:rPr>
              <w:t>lowest rates for an attorney of his experience. For his work in 2020, CEJA request</w:t>
            </w:r>
            <w:r w:rsidRPr="008921C3" w:rsidR="0015131F">
              <w:rPr>
                <w:bCs/>
              </w:rPr>
              <w:t>s</w:t>
            </w:r>
            <w:r w:rsidRPr="008921C3">
              <w:rPr>
                <w:bCs/>
              </w:rPr>
              <w:t xml:space="preserve"> a rate of $195, which reflects </w:t>
            </w:r>
            <w:r w:rsidRPr="008921C3">
              <w:t>a 5% step increase as authorized by Resolution ALJ</w:t>
            </w:r>
            <w:r w:rsidR="00E54F5A">
              <w:noBreakHyphen/>
            </w:r>
            <w:r w:rsidRPr="008921C3">
              <w:t xml:space="preserve">387. This is the first step increase request for </w:t>
            </w:r>
            <w:r w:rsidR="00D538F2">
              <w:t>Mr. </w:t>
            </w:r>
            <w:r w:rsidRPr="008921C3">
              <w:t xml:space="preserve">Earl in his level of experience. </w:t>
            </w:r>
          </w:p>
          <w:p w:rsidRPr="008921C3" w:rsidR="005216C1" w:rsidP="00A71C27" w:rsidRDefault="00D768A8" w14:paraId="70B999BD" w14:textId="7D0A49DE">
            <w:pPr>
              <w:tabs>
                <w:tab w:val="left" w:pos="1260"/>
              </w:tabs>
              <w:spacing w:after="240"/>
              <w:rPr>
                <w:bCs/>
              </w:rPr>
            </w:pPr>
            <w:r w:rsidRPr="008921C3">
              <w:rPr>
                <w:bCs/>
              </w:rPr>
              <w:t>Pursuant to Resolution ALJ</w:t>
            </w:r>
            <w:r w:rsidR="00E54F5A">
              <w:rPr>
                <w:bCs/>
              </w:rPr>
              <w:noBreakHyphen/>
            </w:r>
            <w:r w:rsidRPr="008921C3">
              <w:rPr>
                <w:bCs/>
              </w:rPr>
              <w:t xml:space="preserve">393 and The Commission’s Market Rate Study Hourly Rate Chart, </w:t>
            </w:r>
            <w:r w:rsidRPr="008921C3" w:rsidR="0079148E">
              <w:t>CEJA requests a</w:t>
            </w:r>
            <w:r w:rsidRPr="008921C3">
              <w:t xml:space="preserve"> </w:t>
            </w:r>
            <w:r w:rsidRPr="008921C3" w:rsidR="0079148E">
              <w:t xml:space="preserve">rate of </w:t>
            </w:r>
            <w:r w:rsidRPr="008921C3">
              <w:t xml:space="preserve">$305 for </w:t>
            </w:r>
            <w:r w:rsidR="00D538F2">
              <w:t>Mr. </w:t>
            </w:r>
            <w:r w:rsidRPr="008921C3">
              <w:t xml:space="preserve">Earl’s work in </w:t>
            </w:r>
            <w:r w:rsidRPr="008921C3">
              <w:lastRenderedPageBreak/>
              <w:t>2021. This is the median rate for an attorney with his experience (Attorney Level II).</w:t>
            </w:r>
          </w:p>
        </w:tc>
      </w:tr>
      <w:tr w:rsidRPr="008921C3" w:rsidR="008921C3" w:rsidTr="00B51B75" w14:paraId="71A59D8F" w14:textId="77777777">
        <w:tc>
          <w:tcPr>
            <w:tcW w:w="1795" w:type="dxa"/>
            <w:shd w:val="clear" w:color="auto" w:fill="auto"/>
          </w:tcPr>
          <w:p w:rsidRPr="008921C3" w:rsidR="005216C1" w:rsidP="00A71C27" w:rsidRDefault="005216C1" w14:paraId="252FEEB0" w14:textId="716DB82C">
            <w:pPr>
              <w:tabs>
                <w:tab w:val="left" w:pos="1260"/>
              </w:tabs>
              <w:jc w:val="center"/>
            </w:pPr>
            <w:r w:rsidRPr="008921C3">
              <w:lastRenderedPageBreak/>
              <w:t>Comment 3</w:t>
            </w:r>
          </w:p>
        </w:tc>
        <w:tc>
          <w:tcPr>
            <w:tcW w:w="7565" w:type="dxa"/>
            <w:shd w:val="clear" w:color="auto" w:fill="auto"/>
          </w:tcPr>
          <w:p w:rsidRPr="008921C3" w:rsidR="008C5FB5" w:rsidP="00A71C27" w:rsidRDefault="008C5FB5" w14:paraId="183C7403" w14:textId="7CED3151">
            <w:pPr>
              <w:tabs>
                <w:tab w:val="left" w:pos="1260"/>
              </w:tabs>
              <w:spacing w:after="240"/>
              <w:rPr>
                <w:bCs/>
              </w:rPr>
            </w:pPr>
            <w:r w:rsidRPr="008921C3">
              <w:rPr>
                <w:bCs/>
              </w:rPr>
              <w:t xml:space="preserve">Amee Raval is the Research Director of the Asian Pacific Environmental Network, a CEJA member organization. Through her role at APEN, she offers an environmental justice and health equity lens to climate and energy policy in California. She previously worked with the Natural Resources Defense Council (NRDC) on research and advocacy addressing the environmental and occupational health impacts of extreme heat due to climate change. Amee graduated with an MS in Environmental Health Sciences from UC Berkeley School of Public Health. </w:t>
            </w:r>
            <w:r w:rsidR="00D538F2">
              <w:rPr>
                <w:bCs/>
              </w:rPr>
              <w:t>Ms. </w:t>
            </w:r>
            <w:r w:rsidRPr="008921C3" w:rsidR="00257DAB">
              <w:rPr>
                <w:bCs/>
              </w:rPr>
              <w:t>Raval’s resume is attached to this request.</w:t>
            </w:r>
          </w:p>
          <w:p w:rsidRPr="008921C3" w:rsidR="00130D10" w:rsidP="00A71C27" w:rsidRDefault="00D538F2" w14:paraId="3AE4ABF5" w14:textId="287D8784">
            <w:pPr>
              <w:tabs>
                <w:tab w:val="left" w:pos="1260"/>
              </w:tabs>
              <w:spacing w:after="240"/>
              <w:rPr>
                <w:bCs/>
              </w:rPr>
            </w:pPr>
            <w:r>
              <w:rPr>
                <w:bCs/>
              </w:rPr>
              <w:t>Ms. </w:t>
            </w:r>
            <w:r w:rsidRPr="008921C3" w:rsidR="008C5FB5">
              <w:rPr>
                <w:bCs/>
              </w:rPr>
              <w:t>Raval was awarded a rate of $150/hour in D.19</w:t>
            </w:r>
            <w:r w:rsidR="00E54F5A">
              <w:rPr>
                <w:bCs/>
              </w:rPr>
              <w:noBreakHyphen/>
            </w:r>
            <w:r w:rsidRPr="008921C3" w:rsidR="008C5FB5">
              <w:rPr>
                <w:bCs/>
              </w:rPr>
              <w:t>10</w:t>
            </w:r>
            <w:r w:rsidR="00E54F5A">
              <w:rPr>
                <w:bCs/>
              </w:rPr>
              <w:noBreakHyphen/>
            </w:r>
            <w:r w:rsidRPr="008921C3" w:rsidR="008C5FB5">
              <w:rPr>
                <w:bCs/>
              </w:rPr>
              <w:t>046</w:t>
            </w:r>
            <w:r w:rsidRPr="008921C3" w:rsidR="008A0AE4">
              <w:rPr>
                <w:bCs/>
              </w:rPr>
              <w:t xml:space="preserve"> for work in 2018</w:t>
            </w:r>
            <w:r w:rsidRPr="008921C3" w:rsidR="008C5FB5">
              <w:rPr>
                <w:bCs/>
              </w:rPr>
              <w:t xml:space="preserve">. For </w:t>
            </w:r>
            <w:r>
              <w:rPr>
                <w:bCs/>
              </w:rPr>
              <w:t>Ms. </w:t>
            </w:r>
            <w:r w:rsidRPr="008921C3" w:rsidR="008C5FB5">
              <w:rPr>
                <w:bCs/>
              </w:rPr>
              <w:t>Raval’s work in 2020, CEJA requests a rate of $170/hour, which reflects a modest 5% step increase as authorized by D.08</w:t>
            </w:r>
            <w:r w:rsidR="00E54F5A">
              <w:rPr>
                <w:bCs/>
              </w:rPr>
              <w:noBreakHyphen/>
            </w:r>
            <w:r w:rsidRPr="008921C3" w:rsidR="008C5FB5">
              <w:rPr>
                <w:bCs/>
              </w:rPr>
              <w:t>04</w:t>
            </w:r>
            <w:r w:rsidR="00E54F5A">
              <w:rPr>
                <w:bCs/>
              </w:rPr>
              <w:noBreakHyphen/>
            </w:r>
            <w:r w:rsidRPr="008921C3" w:rsidR="008C5FB5">
              <w:rPr>
                <w:bCs/>
              </w:rPr>
              <w:t>010 and Resolution ALJ</w:t>
            </w:r>
            <w:r w:rsidR="00E54F5A">
              <w:rPr>
                <w:bCs/>
              </w:rPr>
              <w:noBreakHyphen/>
            </w:r>
            <w:r w:rsidRPr="008921C3" w:rsidR="008C5FB5">
              <w:rPr>
                <w:bCs/>
              </w:rPr>
              <w:t xml:space="preserve">387. This is the first step increase request for </w:t>
            </w:r>
            <w:r>
              <w:rPr>
                <w:bCs/>
              </w:rPr>
              <w:t>Ms. </w:t>
            </w:r>
            <w:r w:rsidRPr="008921C3" w:rsidR="008C5FB5">
              <w:rPr>
                <w:bCs/>
              </w:rPr>
              <w:t>Raval in her level of experience.</w:t>
            </w:r>
          </w:p>
        </w:tc>
      </w:tr>
      <w:tr w:rsidRPr="008921C3" w:rsidR="008921C3" w:rsidTr="00B51B75" w14:paraId="1119A51A" w14:textId="77777777">
        <w:tc>
          <w:tcPr>
            <w:tcW w:w="1795" w:type="dxa"/>
            <w:shd w:val="clear" w:color="auto" w:fill="auto"/>
          </w:tcPr>
          <w:p w:rsidRPr="008921C3" w:rsidR="005216C1" w:rsidP="00A71C27" w:rsidRDefault="005216C1" w14:paraId="6A1BB928" w14:textId="7BBE8A06">
            <w:pPr>
              <w:tabs>
                <w:tab w:val="left" w:pos="1260"/>
              </w:tabs>
              <w:jc w:val="center"/>
            </w:pPr>
            <w:r w:rsidRPr="008921C3">
              <w:t>Comment 4</w:t>
            </w:r>
          </w:p>
        </w:tc>
        <w:tc>
          <w:tcPr>
            <w:tcW w:w="7565" w:type="dxa"/>
            <w:shd w:val="clear" w:color="auto" w:fill="auto"/>
          </w:tcPr>
          <w:p w:rsidRPr="008921C3" w:rsidR="00130D10" w:rsidP="00A71C27" w:rsidRDefault="00130D10" w14:paraId="609BB4BC" w14:textId="22FB1784">
            <w:pPr>
              <w:tabs>
                <w:tab w:val="left" w:pos="1260"/>
              </w:tabs>
              <w:spacing w:after="240"/>
              <w:rPr>
                <w:bCs/>
              </w:rPr>
            </w:pPr>
            <w:r w:rsidRPr="008921C3">
              <w:rPr>
                <w:bCs/>
              </w:rPr>
              <w:t>CEJA requests the addition of the COLA to the clinical law students’ rates for 2019 and 2020 as this rate has not changed for many years.  Adding a COLA will make the rate more consistent with decisions in which law students received rates higher than $100. See, e.g., D.06</w:t>
            </w:r>
            <w:r w:rsidR="00E54F5A">
              <w:rPr>
                <w:bCs/>
              </w:rPr>
              <w:noBreakHyphen/>
            </w:r>
            <w:r w:rsidRPr="008921C3">
              <w:rPr>
                <w:bCs/>
              </w:rPr>
              <w:t>04</w:t>
            </w:r>
            <w:r w:rsidR="00E54F5A">
              <w:rPr>
                <w:bCs/>
              </w:rPr>
              <w:noBreakHyphen/>
            </w:r>
            <w:r w:rsidRPr="008921C3">
              <w:rPr>
                <w:bCs/>
              </w:rPr>
              <w:t xml:space="preserve">036 (awarding law students a rate of $150 per hour).  </w:t>
            </w:r>
          </w:p>
          <w:p w:rsidRPr="008921C3" w:rsidR="005216C1" w:rsidP="00A71C27" w:rsidRDefault="00130D10" w14:paraId="449B33A9" w14:textId="02773454">
            <w:pPr>
              <w:tabs>
                <w:tab w:val="left" w:pos="1260"/>
              </w:tabs>
              <w:spacing w:after="240"/>
              <w:rPr>
                <w:bCs/>
              </w:rPr>
            </w:pPr>
            <w:r w:rsidRPr="008921C3">
              <w:rPr>
                <w:bCs/>
              </w:rPr>
              <w:t>For law student work on the Intervenor Compensation Claim, the Commission has previously awarded law students their full rate, rather than half the rate as for attorneys. See D.15</w:t>
            </w:r>
            <w:r w:rsidR="00E54F5A">
              <w:rPr>
                <w:bCs/>
              </w:rPr>
              <w:noBreakHyphen/>
            </w:r>
            <w:r w:rsidRPr="008921C3">
              <w:rPr>
                <w:bCs/>
              </w:rPr>
              <w:t>06</w:t>
            </w:r>
            <w:r w:rsidR="00E54F5A">
              <w:rPr>
                <w:bCs/>
              </w:rPr>
              <w:noBreakHyphen/>
            </w:r>
            <w:r w:rsidRPr="008921C3">
              <w:rPr>
                <w:bCs/>
              </w:rPr>
              <w:t>030; D.04</w:t>
            </w:r>
            <w:r w:rsidR="00E54F5A">
              <w:rPr>
                <w:bCs/>
              </w:rPr>
              <w:noBreakHyphen/>
            </w:r>
            <w:r w:rsidRPr="008921C3">
              <w:rPr>
                <w:bCs/>
              </w:rPr>
              <w:t>04</w:t>
            </w:r>
            <w:r w:rsidR="00E54F5A">
              <w:rPr>
                <w:bCs/>
              </w:rPr>
              <w:noBreakHyphen/>
            </w:r>
            <w:r w:rsidRPr="008921C3">
              <w:rPr>
                <w:bCs/>
              </w:rPr>
              <w:t>012 (awarding full rate approved for law students for time spent on the application for intervenor compensation). Accordingly, CEJA requests $100/hour, plus applicable COLA, for law student work on the Intervenor Compensation Claim.</w:t>
            </w:r>
          </w:p>
        </w:tc>
      </w:tr>
    </w:tbl>
    <w:p w:rsidRPr="008921C3" w:rsidR="00A92D0B" w:rsidP="00344602" w:rsidRDefault="00A92D0B" w14:paraId="0D8B7003" w14:textId="018D8C97">
      <w:pPr>
        <w:keepNext/>
        <w:numPr>
          <w:ilvl w:val="0"/>
          <w:numId w:val="9"/>
        </w:numPr>
        <w:spacing w:before="240" w:after="240"/>
        <w:rPr>
          <w:b/>
        </w:rPr>
      </w:pPr>
      <w:r w:rsidRPr="00344602">
        <w:rPr>
          <w:b/>
          <w:bCs/>
        </w:rPr>
        <w:t>CPUC</w:t>
      </w:r>
      <w:r w:rsidRPr="008921C3">
        <w:rPr>
          <w:b/>
        </w:rPr>
        <w:t xml:space="preserve"> </w:t>
      </w:r>
      <w:r w:rsidRPr="008921C3" w:rsidR="008C09F7">
        <w:rPr>
          <w:b/>
        </w:rPr>
        <w:t xml:space="preserve">Comments, </w:t>
      </w:r>
      <w:r w:rsidRPr="008921C3">
        <w:rPr>
          <w:b/>
        </w:rPr>
        <w:t>Disallowances</w:t>
      </w:r>
      <w:r w:rsidRPr="008921C3" w:rsidR="008C09F7">
        <w:rPr>
          <w:b/>
        </w:rPr>
        <w:t>,</w:t>
      </w:r>
      <w:r w:rsidRPr="008921C3" w:rsidR="00D075B1">
        <w:rPr>
          <w:b/>
        </w:rPr>
        <w:t xml:space="preserve"> </w:t>
      </w:r>
      <w:r w:rsidRPr="008921C3" w:rsidR="00A319DE">
        <w:rPr>
          <w:b/>
        </w:rPr>
        <w:t>and</w:t>
      </w:r>
      <w:r w:rsidRPr="008921C3" w:rsidR="00D075B1">
        <w:rPr>
          <w:b/>
        </w:rPr>
        <w:t xml:space="preserve"> </w:t>
      </w:r>
      <w:r w:rsidRPr="008921C3">
        <w:rPr>
          <w:b/>
        </w:rPr>
        <w:t xml:space="preserve">Adjustments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522"/>
        <w:gridCol w:w="7838"/>
      </w:tblGrid>
      <w:tr w:rsidRPr="008921C3" w:rsidR="008921C3" w:rsidTr="005C52A0" w14:paraId="52CD0603" w14:textId="77777777">
        <w:trPr>
          <w:tblHeader/>
        </w:trPr>
        <w:tc>
          <w:tcPr>
            <w:tcW w:w="1548" w:type="dxa"/>
            <w:shd w:val="pct12" w:color="auto" w:fill="auto"/>
            <w:vAlign w:val="bottom"/>
          </w:tcPr>
          <w:p w:rsidRPr="008921C3" w:rsidR="00A92D0B" w:rsidP="005C52A0" w:rsidRDefault="00072C81" w14:paraId="3954EC4C" w14:textId="77777777">
            <w:pPr>
              <w:keepNext/>
              <w:tabs>
                <w:tab w:val="left" w:pos="1440"/>
              </w:tabs>
              <w:jc w:val="center"/>
              <w:rPr>
                <w:b/>
              </w:rPr>
            </w:pPr>
            <w:r w:rsidRPr="008921C3">
              <w:rPr>
                <w:b/>
              </w:rPr>
              <w:t>Item</w:t>
            </w:r>
          </w:p>
        </w:tc>
        <w:tc>
          <w:tcPr>
            <w:tcW w:w="8010" w:type="dxa"/>
            <w:shd w:val="pct12" w:color="auto" w:fill="auto"/>
            <w:vAlign w:val="bottom"/>
          </w:tcPr>
          <w:p w:rsidRPr="008921C3" w:rsidR="00A92D0B" w:rsidP="005C52A0" w:rsidRDefault="00A92D0B" w14:paraId="09F9E4D9" w14:textId="77777777">
            <w:pPr>
              <w:keepNext/>
              <w:tabs>
                <w:tab w:val="left" w:pos="1440"/>
              </w:tabs>
              <w:jc w:val="center"/>
              <w:rPr>
                <w:b/>
              </w:rPr>
            </w:pPr>
            <w:r w:rsidRPr="008921C3">
              <w:rPr>
                <w:b/>
              </w:rPr>
              <w:t>Reason</w:t>
            </w:r>
          </w:p>
        </w:tc>
      </w:tr>
      <w:tr w:rsidRPr="008921C3" w:rsidR="008921C3" w:rsidTr="00C21425" w14:paraId="69DEE01C" w14:textId="77777777">
        <w:tc>
          <w:tcPr>
            <w:tcW w:w="1548" w:type="dxa"/>
            <w:shd w:val="clear" w:color="auto" w:fill="auto"/>
          </w:tcPr>
          <w:p w:rsidRPr="008921C3" w:rsidR="00A92D0B" w:rsidP="006321E4" w:rsidRDefault="00121C7B" w14:paraId="1E6C8F3D" w14:textId="32385CCC">
            <w:pPr>
              <w:tabs>
                <w:tab w:val="left" w:pos="1260"/>
              </w:tabs>
              <w:jc w:val="center"/>
            </w:pPr>
            <w:r w:rsidRPr="008921C3">
              <w:t>[1]</w:t>
            </w:r>
          </w:p>
        </w:tc>
        <w:tc>
          <w:tcPr>
            <w:tcW w:w="8010" w:type="dxa"/>
            <w:shd w:val="clear" w:color="auto" w:fill="auto"/>
          </w:tcPr>
          <w:p w:rsidRPr="008921C3" w:rsidR="00A92D0B" w:rsidP="006321E4" w:rsidRDefault="00121C7B" w14:paraId="45BFCB16" w14:textId="04AB296C">
            <w:pPr>
              <w:tabs>
                <w:tab w:val="left" w:pos="1440"/>
              </w:tabs>
              <w:spacing w:after="240"/>
            </w:pPr>
            <w:r w:rsidRPr="008921C3">
              <w:t>Per D.22</w:t>
            </w:r>
            <w:r w:rsidR="00E54F5A">
              <w:noBreakHyphen/>
            </w:r>
            <w:r w:rsidRPr="008921C3">
              <w:t>03</w:t>
            </w:r>
            <w:r w:rsidR="00E54F5A">
              <w:noBreakHyphen/>
            </w:r>
            <w:r w:rsidRPr="008921C3">
              <w:t>031, adopted rate for Lewis for 2019 is $330.</w:t>
            </w:r>
          </w:p>
        </w:tc>
      </w:tr>
      <w:tr w:rsidRPr="008921C3" w:rsidR="008921C3" w:rsidTr="00C21425" w14:paraId="1A785208" w14:textId="77777777">
        <w:tc>
          <w:tcPr>
            <w:tcW w:w="1548" w:type="dxa"/>
            <w:shd w:val="clear" w:color="auto" w:fill="auto"/>
          </w:tcPr>
          <w:p w:rsidRPr="008921C3" w:rsidR="00121C7B" w:rsidP="006321E4" w:rsidRDefault="00121C7B" w14:paraId="1A0EF063" w14:textId="72D1DB06">
            <w:pPr>
              <w:tabs>
                <w:tab w:val="left" w:pos="1260"/>
              </w:tabs>
              <w:jc w:val="center"/>
            </w:pPr>
            <w:r w:rsidRPr="008921C3">
              <w:t>[2]</w:t>
            </w:r>
          </w:p>
        </w:tc>
        <w:tc>
          <w:tcPr>
            <w:tcW w:w="8010" w:type="dxa"/>
            <w:shd w:val="clear" w:color="auto" w:fill="auto"/>
          </w:tcPr>
          <w:p w:rsidRPr="008921C3" w:rsidR="00121C7B" w:rsidP="006321E4" w:rsidRDefault="00121C7B" w14:paraId="4A28CE1F" w14:textId="641B7698">
            <w:pPr>
              <w:tabs>
                <w:tab w:val="left" w:pos="1440"/>
              </w:tabs>
              <w:spacing w:after="240"/>
            </w:pPr>
            <w:r w:rsidRPr="008921C3">
              <w:t>Per D.22</w:t>
            </w:r>
            <w:r w:rsidR="00E54F5A">
              <w:noBreakHyphen/>
            </w:r>
            <w:r w:rsidRPr="008921C3">
              <w:t>03</w:t>
            </w:r>
            <w:r w:rsidR="00E54F5A">
              <w:noBreakHyphen/>
            </w:r>
            <w:r w:rsidRPr="008921C3">
              <w:t>031, adopted rate for Lewis for 2020 is $340.</w:t>
            </w:r>
          </w:p>
        </w:tc>
      </w:tr>
      <w:tr w:rsidRPr="008921C3" w:rsidR="008921C3" w:rsidTr="00C21425" w14:paraId="329C5D9F" w14:textId="77777777">
        <w:tc>
          <w:tcPr>
            <w:tcW w:w="1548" w:type="dxa"/>
            <w:shd w:val="clear" w:color="auto" w:fill="auto"/>
          </w:tcPr>
          <w:p w:rsidRPr="008921C3" w:rsidR="00121C7B" w:rsidP="006321E4" w:rsidRDefault="00121C7B" w14:paraId="30FFEA96" w14:textId="4F3546E7">
            <w:pPr>
              <w:tabs>
                <w:tab w:val="left" w:pos="1260"/>
              </w:tabs>
              <w:jc w:val="center"/>
            </w:pPr>
            <w:r w:rsidRPr="008921C3">
              <w:lastRenderedPageBreak/>
              <w:t>[3]</w:t>
            </w:r>
          </w:p>
        </w:tc>
        <w:tc>
          <w:tcPr>
            <w:tcW w:w="8010" w:type="dxa"/>
            <w:shd w:val="clear" w:color="auto" w:fill="auto"/>
          </w:tcPr>
          <w:p w:rsidRPr="008921C3" w:rsidR="00121C7B" w:rsidP="006321E4" w:rsidRDefault="00813A82" w14:paraId="64D74C70" w14:textId="0C057793">
            <w:pPr>
              <w:tabs>
                <w:tab w:val="left" w:pos="1440"/>
              </w:tabs>
              <w:spacing w:after="240"/>
            </w:pPr>
            <w:r w:rsidRPr="008921C3">
              <w:t xml:space="preserve">We adopt </w:t>
            </w:r>
            <w:r w:rsidRPr="008921C3" w:rsidR="00FE071F">
              <w:t>a</w:t>
            </w:r>
            <w:r w:rsidRPr="008921C3">
              <w:t xml:space="preserve"> $415 hourly rate for Lewis. The $415 is reflective of Lewis’ 7 plus years of experience in areas relevant to the Commission. According to the Hourly Rate Chart implemented by Resolution ALJ</w:t>
            </w:r>
            <w:r w:rsidR="00E54F5A">
              <w:noBreakHyphen/>
            </w:r>
            <w:r w:rsidRPr="008921C3">
              <w:t xml:space="preserve">393, the rate range for Legal </w:t>
            </w:r>
            <w:r w:rsidR="00E54F5A">
              <w:noBreakHyphen/>
            </w:r>
            <w:r w:rsidRPr="008921C3">
              <w:t xml:space="preserve"> Attorney </w:t>
            </w:r>
            <w:r w:rsidR="00E54F5A">
              <w:noBreakHyphen/>
            </w:r>
            <w:r w:rsidRPr="008921C3">
              <w:t xml:space="preserve"> III (5 – 10  years) is $310 </w:t>
            </w:r>
            <w:r w:rsidR="00E54F5A">
              <w:noBreakHyphen/>
            </w:r>
            <w:r w:rsidRPr="008921C3">
              <w:t xml:space="preserve"> $520. A rate </w:t>
            </w:r>
            <w:r w:rsidRPr="008921C3" w:rsidR="00FE071F">
              <w:t>i</w:t>
            </w:r>
            <w:r w:rsidRPr="008921C3">
              <w:t>n the medi</w:t>
            </w:r>
            <w:r w:rsidRPr="008921C3" w:rsidR="00FE071F">
              <w:t>an</w:t>
            </w:r>
            <w:r w:rsidRPr="008921C3">
              <w:t xml:space="preserve"> of the rate range is appropriate for Lewis.</w:t>
            </w:r>
          </w:p>
        </w:tc>
      </w:tr>
      <w:tr w:rsidRPr="008921C3" w:rsidR="008921C3" w:rsidTr="00C21425" w14:paraId="6F985063" w14:textId="77777777">
        <w:tc>
          <w:tcPr>
            <w:tcW w:w="1548" w:type="dxa"/>
            <w:shd w:val="clear" w:color="auto" w:fill="auto"/>
          </w:tcPr>
          <w:p w:rsidRPr="008921C3" w:rsidR="00121C7B" w:rsidP="006321E4" w:rsidRDefault="005F3069" w14:paraId="583C0801" w14:textId="793DB853">
            <w:pPr>
              <w:tabs>
                <w:tab w:val="left" w:pos="1260"/>
              </w:tabs>
              <w:jc w:val="center"/>
            </w:pPr>
            <w:r w:rsidRPr="008921C3">
              <w:t>[4]</w:t>
            </w:r>
          </w:p>
        </w:tc>
        <w:tc>
          <w:tcPr>
            <w:tcW w:w="8010" w:type="dxa"/>
            <w:shd w:val="clear" w:color="auto" w:fill="auto"/>
          </w:tcPr>
          <w:p w:rsidRPr="008921C3" w:rsidR="00121C7B" w:rsidP="006321E4" w:rsidRDefault="005F3069" w14:paraId="120BF3E5" w14:textId="61AA1D9B">
            <w:pPr>
              <w:tabs>
                <w:tab w:val="left" w:pos="1440"/>
              </w:tabs>
              <w:spacing w:after="240"/>
            </w:pPr>
            <w:r w:rsidRPr="008921C3">
              <w:t>Adopting $305 for 2021 for Earl. Earl has over 2 years of experience as a practicing attorney. According to Market Rate State Resolution ALJ</w:t>
            </w:r>
            <w:r w:rsidR="00E54F5A">
              <w:noBreakHyphen/>
            </w:r>
            <w:r w:rsidRPr="008921C3">
              <w:t>393, Earl qualifies for a rate in the median range for an Attorney II.</w:t>
            </w:r>
          </w:p>
        </w:tc>
      </w:tr>
      <w:tr w:rsidRPr="008921C3" w:rsidR="008921C3" w:rsidTr="00C21425" w14:paraId="73008785" w14:textId="77777777">
        <w:tc>
          <w:tcPr>
            <w:tcW w:w="1548" w:type="dxa"/>
            <w:shd w:val="clear" w:color="auto" w:fill="auto"/>
          </w:tcPr>
          <w:p w:rsidRPr="008921C3" w:rsidR="00E4791E" w:rsidP="006321E4" w:rsidRDefault="00E4791E" w14:paraId="36C4269A" w14:textId="512534AA">
            <w:pPr>
              <w:tabs>
                <w:tab w:val="left" w:pos="1260"/>
              </w:tabs>
              <w:jc w:val="center"/>
            </w:pPr>
            <w:r w:rsidRPr="008921C3">
              <w:t>[5]</w:t>
            </w:r>
          </w:p>
        </w:tc>
        <w:tc>
          <w:tcPr>
            <w:tcW w:w="8010" w:type="dxa"/>
            <w:shd w:val="clear" w:color="auto" w:fill="auto"/>
          </w:tcPr>
          <w:p w:rsidRPr="008921C3" w:rsidR="00E4791E" w:rsidP="006321E4" w:rsidRDefault="00E4791E" w14:paraId="1EB8F706" w14:textId="1372B20C">
            <w:pPr>
              <w:tabs>
                <w:tab w:val="left" w:pos="1440"/>
              </w:tabs>
              <w:spacing w:after="240"/>
              <w:rPr>
                <w:bCs/>
              </w:rPr>
            </w:pPr>
            <w:r w:rsidRPr="008921C3">
              <w:t xml:space="preserve">We adopt the $170 hourly rate requested for Amee Raval. </w:t>
            </w:r>
            <w:r w:rsidRPr="008921C3">
              <w:rPr>
                <w:bCs/>
              </w:rPr>
              <w:t>D.19</w:t>
            </w:r>
            <w:r w:rsidR="00E54F5A">
              <w:rPr>
                <w:bCs/>
              </w:rPr>
              <w:noBreakHyphen/>
            </w:r>
            <w:r w:rsidRPr="008921C3">
              <w:rPr>
                <w:bCs/>
              </w:rPr>
              <w:t>10</w:t>
            </w:r>
            <w:r w:rsidR="00E54F5A">
              <w:rPr>
                <w:bCs/>
              </w:rPr>
              <w:noBreakHyphen/>
            </w:r>
            <w:r w:rsidRPr="008921C3">
              <w:rPr>
                <w:bCs/>
              </w:rPr>
              <w:t xml:space="preserve">046 verified a 2018 rate of $150.00 for Amee Raval. </w:t>
            </w:r>
            <w:r w:rsidRPr="008921C3" w:rsidR="002F4C7F">
              <w:rPr>
                <w:bCs/>
              </w:rPr>
              <w:t>Using the 2018 rate as a basis:</w:t>
            </w:r>
          </w:p>
          <w:p w:rsidRPr="008921C3" w:rsidR="002F4C7F" w:rsidP="006321E4" w:rsidRDefault="002F4C7F" w14:paraId="6B562479" w14:textId="77777777">
            <w:pPr>
              <w:tabs>
                <w:tab w:val="left" w:pos="1440"/>
              </w:tabs>
              <w:spacing w:after="240"/>
            </w:pPr>
            <w:r w:rsidRPr="008921C3">
              <w:t xml:space="preserve">2018: </w:t>
            </w:r>
            <w:r w:rsidRPr="008921C3">
              <w:rPr>
                <w:b/>
                <w:bCs/>
              </w:rPr>
              <w:t>$150</w:t>
            </w:r>
          </w:p>
          <w:p w:rsidRPr="008921C3" w:rsidR="002F4C7F" w:rsidP="006321E4" w:rsidRDefault="002F4C7F" w14:paraId="524FD900" w14:textId="77777777">
            <w:pPr>
              <w:tabs>
                <w:tab w:val="left" w:pos="1440"/>
              </w:tabs>
              <w:spacing w:after="240"/>
              <w:rPr>
                <w:b/>
                <w:bCs/>
              </w:rPr>
            </w:pPr>
            <w:r w:rsidRPr="008921C3">
              <w:t xml:space="preserve">2019: $150 x 2.35% = 3.53 + $150 = 153.53 = </w:t>
            </w:r>
            <w:r w:rsidRPr="008921C3">
              <w:rPr>
                <w:b/>
                <w:bCs/>
              </w:rPr>
              <w:t>$155</w:t>
            </w:r>
          </w:p>
          <w:p w:rsidRPr="008921C3" w:rsidR="002F4C7F" w:rsidP="006321E4" w:rsidRDefault="002F4C7F" w14:paraId="405369A3" w14:textId="77777777">
            <w:pPr>
              <w:tabs>
                <w:tab w:val="left" w:pos="1440"/>
              </w:tabs>
              <w:spacing w:after="240"/>
              <w:rPr>
                <w:b/>
                <w:bCs/>
              </w:rPr>
            </w:pPr>
            <w:r w:rsidRPr="008921C3">
              <w:t>2020</w:t>
            </w:r>
            <w:r w:rsidRPr="008921C3">
              <w:rPr>
                <w:b/>
                <w:bCs/>
              </w:rPr>
              <w:t xml:space="preserve">: </w:t>
            </w:r>
            <w:r w:rsidRPr="008921C3">
              <w:t xml:space="preserve"> $155 x 2.55%  x 5% = 3.95 +$155 = 158.95 = $160 x 5%</w:t>
            </w:r>
            <w:r w:rsidRPr="008921C3" w:rsidR="00232776">
              <w:t xml:space="preserve"> step increase</w:t>
            </w:r>
            <w:r w:rsidRPr="008921C3">
              <w:t xml:space="preserve"> = $168</w:t>
            </w:r>
            <w:r w:rsidRPr="008921C3" w:rsidR="00232776">
              <w:t xml:space="preserve"> = </w:t>
            </w:r>
            <w:r w:rsidRPr="008921C3" w:rsidR="00232776">
              <w:rPr>
                <w:b/>
                <w:bCs/>
              </w:rPr>
              <w:t>$170</w:t>
            </w:r>
          </w:p>
          <w:p w:rsidRPr="008921C3" w:rsidR="00232776" w:rsidP="006321E4" w:rsidRDefault="00232776" w14:paraId="1E09A4B5" w14:textId="7AA70E9A">
            <w:pPr>
              <w:tabs>
                <w:tab w:val="left" w:pos="1440"/>
              </w:tabs>
              <w:spacing w:after="240"/>
            </w:pPr>
            <w:r w:rsidRPr="008921C3">
              <w:t>Per Resolution ALJ</w:t>
            </w:r>
            <w:r w:rsidR="00E54F5A">
              <w:noBreakHyphen/>
            </w:r>
            <w:r w:rsidRPr="008921C3">
              <w:t>393, including rounding to the nearest $5 increment, we find the requested 2020 rate of $170 to be reasonable and apply it here. This rate includes the first 5% step increase fo</w:t>
            </w:r>
            <w:r w:rsidRPr="008921C3" w:rsidR="0068109C">
              <w:t>r the expert range with 0</w:t>
            </w:r>
            <w:r w:rsidR="00E54F5A">
              <w:noBreakHyphen/>
            </w:r>
            <w:r w:rsidRPr="008921C3" w:rsidR="0068109C">
              <w:t>6 years of experience.</w:t>
            </w:r>
          </w:p>
        </w:tc>
      </w:tr>
      <w:tr w:rsidRPr="008921C3" w:rsidR="008921C3" w:rsidTr="00C21425" w14:paraId="52155EFC" w14:textId="77777777">
        <w:tc>
          <w:tcPr>
            <w:tcW w:w="1548" w:type="dxa"/>
            <w:shd w:val="clear" w:color="auto" w:fill="auto"/>
          </w:tcPr>
          <w:p w:rsidRPr="008921C3" w:rsidR="00A92D0B" w:rsidP="006321E4" w:rsidRDefault="005F3069" w14:paraId="26487933" w14:textId="34D339C2">
            <w:pPr>
              <w:tabs>
                <w:tab w:val="left" w:pos="1260"/>
              </w:tabs>
              <w:jc w:val="center"/>
            </w:pPr>
            <w:r w:rsidRPr="008921C3">
              <w:t>[</w:t>
            </w:r>
            <w:r w:rsidRPr="008921C3" w:rsidR="00E4791E">
              <w:t>6</w:t>
            </w:r>
            <w:r w:rsidRPr="008921C3">
              <w:t>]</w:t>
            </w:r>
          </w:p>
        </w:tc>
        <w:tc>
          <w:tcPr>
            <w:tcW w:w="8010" w:type="dxa"/>
            <w:shd w:val="clear" w:color="auto" w:fill="auto"/>
          </w:tcPr>
          <w:p w:rsidRPr="008921C3" w:rsidR="00A92D0B" w:rsidP="006321E4" w:rsidRDefault="00202611" w14:paraId="455E6A00" w14:textId="4707891A">
            <w:pPr>
              <w:tabs>
                <w:tab w:val="left" w:pos="1440"/>
              </w:tabs>
              <w:spacing w:after="240"/>
            </w:pPr>
            <w:r w:rsidRPr="008921C3">
              <w:t>CEJA requested $100 rate for 2021 for Clinical Law Students</w:t>
            </w:r>
            <w:r w:rsidRPr="008921C3" w:rsidR="002D5E3C">
              <w:t>. Icomp prep time is compensated at ½ the preparer’s normal hourly rate, hence correct rate is $50 and not $100 as requested.</w:t>
            </w:r>
          </w:p>
        </w:tc>
      </w:tr>
    </w:tbl>
    <w:p w:rsidRPr="008921C3" w:rsidR="00A92D0B" w:rsidP="00F07E25" w:rsidRDefault="00A92D0B" w14:paraId="18E9D359" w14:textId="61E02717">
      <w:pPr>
        <w:keepNext/>
        <w:spacing w:before="480"/>
        <w:jc w:val="center"/>
        <w:rPr>
          <w:b/>
        </w:rPr>
      </w:pPr>
      <w:r w:rsidRPr="008921C3">
        <w:rPr>
          <w:b/>
        </w:rPr>
        <w:t>PART IV:</w:t>
      </w:r>
      <w:r w:rsidR="00F07E25">
        <w:rPr>
          <w:b/>
        </w:rPr>
        <w:t xml:space="preserve">  </w:t>
      </w:r>
      <w:r w:rsidRPr="008921C3">
        <w:rPr>
          <w:b/>
        </w:rPr>
        <w:t>OPPOSITIONS AND COMMENTS</w:t>
      </w:r>
    </w:p>
    <w:p w:rsidR="00F07E25" w:rsidP="00F07E25" w:rsidRDefault="00A92D0B" w14:paraId="0C8123FF" w14:textId="77777777">
      <w:pPr>
        <w:keepNext/>
        <w:tabs>
          <w:tab w:val="left" w:pos="1260"/>
        </w:tabs>
        <w:jc w:val="center"/>
        <w:rPr>
          <w:b/>
        </w:rPr>
      </w:pPr>
      <w:r w:rsidRPr="008921C3">
        <w:rPr>
          <w:b/>
        </w:rPr>
        <w:t>Within 30 days after service of this Claim, Commission Staff</w:t>
      </w:r>
      <w:r w:rsidRPr="008921C3" w:rsidR="00F20061">
        <w:rPr>
          <w:b/>
        </w:rPr>
        <w:t xml:space="preserve"> </w:t>
      </w:r>
    </w:p>
    <w:p w:rsidRPr="008921C3" w:rsidR="00A92D0B" w:rsidP="00F07E25" w:rsidRDefault="00A92D0B" w14:paraId="5D5DC317" w14:textId="78B84D16">
      <w:pPr>
        <w:keepNext/>
        <w:tabs>
          <w:tab w:val="left" w:pos="1260"/>
        </w:tabs>
        <w:spacing w:after="240"/>
        <w:jc w:val="center"/>
        <w:rPr>
          <w:b/>
        </w:rPr>
      </w:pPr>
      <w:r w:rsidRPr="008921C3">
        <w:rPr>
          <w:b/>
        </w:rPr>
        <w:t>or any other party may file a response to the Claim (</w:t>
      </w:r>
      <w:r w:rsidRPr="008921C3">
        <w:rPr>
          <w:b/>
          <w:i/>
        </w:rPr>
        <w:t>see</w:t>
      </w:r>
      <w:r w:rsidRPr="008921C3">
        <w:rPr>
          <w:b/>
        </w:rPr>
        <w:t xml:space="preserve"> </w:t>
      </w:r>
      <w:r w:rsidR="00D538F2">
        <w:rPr>
          <w:b/>
        </w:rPr>
        <w:t>§ </w:t>
      </w:r>
      <w:r w:rsidRPr="008921C3">
        <w:rPr>
          <w:b/>
        </w:rPr>
        <w:t>1804(c))</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7329"/>
        <w:gridCol w:w="2031"/>
      </w:tblGrid>
      <w:tr w:rsidRPr="008921C3" w:rsidR="008921C3" w:rsidTr="00C21425" w14:paraId="46A51699" w14:textId="77777777">
        <w:tc>
          <w:tcPr>
            <w:tcW w:w="7329" w:type="dxa"/>
            <w:shd w:val="clear" w:color="auto" w:fill="auto"/>
          </w:tcPr>
          <w:p w:rsidRPr="008921C3" w:rsidR="00A92D0B" w:rsidP="00344602" w:rsidRDefault="00A92D0B" w14:paraId="607B1FB9" w14:textId="2BDFE8E9">
            <w:pPr>
              <w:keepNext/>
              <w:ind w:left="360" w:hanging="360"/>
            </w:pPr>
            <w:r w:rsidRPr="008921C3">
              <w:rPr>
                <w:b/>
              </w:rPr>
              <w:t>A.</w:t>
            </w:r>
            <w:r w:rsidR="00344602">
              <w:rPr>
                <w:b/>
              </w:rPr>
              <w:tab/>
            </w:r>
            <w:r w:rsidRPr="008921C3">
              <w:rPr>
                <w:b/>
              </w:rPr>
              <w:t>Opposition:  Did any party oppose the Claim?</w:t>
            </w:r>
          </w:p>
        </w:tc>
        <w:tc>
          <w:tcPr>
            <w:tcW w:w="2031" w:type="dxa"/>
            <w:shd w:val="clear" w:color="auto" w:fill="auto"/>
          </w:tcPr>
          <w:p w:rsidRPr="008921C3" w:rsidR="00A92D0B" w:rsidP="00344602" w:rsidRDefault="007E1554" w14:paraId="6E7CD931" w14:textId="08D7C734">
            <w:pPr>
              <w:keepNext/>
              <w:jc w:val="center"/>
            </w:pPr>
            <w:r w:rsidRPr="008921C3">
              <w:t>No</w:t>
            </w:r>
          </w:p>
        </w:tc>
      </w:tr>
      <w:tr w:rsidRPr="008921C3" w:rsidR="008921C3" w:rsidTr="00C21425" w14:paraId="7A0D8740" w14:textId="77777777">
        <w:tc>
          <w:tcPr>
            <w:tcW w:w="7329" w:type="dxa"/>
            <w:shd w:val="clear" w:color="auto" w:fill="auto"/>
          </w:tcPr>
          <w:p w:rsidRPr="008921C3" w:rsidR="00A92D0B" w:rsidP="00344602" w:rsidRDefault="00A92D0B" w14:paraId="37D28D8D" w14:textId="65893247">
            <w:pPr>
              <w:ind w:left="360" w:hanging="360"/>
            </w:pPr>
            <w:r w:rsidRPr="008921C3">
              <w:rPr>
                <w:b/>
              </w:rPr>
              <w:t>B.</w:t>
            </w:r>
            <w:r w:rsidR="00344602">
              <w:rPr>
                <w:b/>
              </w:rPr>
              <w:tab/>
            </w:r>
            <w:r w:rsidRPr="008921C3">
              <w:rPr>
                <w:b/>
              </w:rPr>
              <w:t>Comment Period:  Was the 30</w:t>
            </w:r>
            <w:r w:rsidR="00E54F5A">
              <w:rPr>
                <w:b/>
              </w:rPr>
              <w:noBreakHyphen/>
            </w:r>
            <w:r w:rsidRPr="008921C3">
              <w:rPr>
                <w:b/>
              </w:rPr>
              <w:t>day comment period waived (</w:t>
            </w:r>
            <w:r w:rsidRPr="008921C3">
              <w:rPr>
                <w:b/>
                <w:i/>
              </w:rPr>
              <w:t>see</w:t>
            </w:r>
            <w:r w:rsidR="00344602">
              <w:rPr>
                <w:b/>
              </w:rPr>
              <w:t> </w:t>
            </w:r>
            <w:r w:rsidRPr="008921C3">
              <w:rPr>
                <w:b/>
              </w:rPr>
              <w:t>Rule 14.6(</w:t>
            </w:r>
            <w:r w:rsidRPr="008921C3" w:rsidR="00963EEF">
              <w:rPr>
                <w:b/>
              </w:rPr>
              <w:t>c</w:t>
            </w:r>
            <w:r w:rsidRPr="008921C3">
              <w:rPr>
                <w:b/>
              </w:rPr>
              <w:t>)(6))?</w:t>
            </w:r>
          </w:p>
        </w:tc>
        <w:tc>
          <w:tcPr>
            <w:tcW w:w="2031" w:type="dxa"/>
            <w:shd w:val="clear" w:color="auto" w:fill="auto"/>
          </w:tcPr>
          <w:p w:rsidRPr="008921C3" w:rsidR="00A92D0B" w:rsidP="00344602" w:rsidRDefault="007E1554" w14:paraId="238D2D3F" w14:textId="167543B1">
            <w:pPr>
              <w:keepNext/>
              <w:jc w:val="center"/>
            </w:pPr>
            <w:r w:rsidRPr="008921C3">
              <w:t>Yes</w:t>
            </w:r>
          </w:p>
        </w:tc>
      </w:tr>
    </w:tbl>
    <w:p w:rsidRPr="008921C3" w:rsidR="00A92D0B" w:rsidP="00F07E25" w:rsidRDefault="00A92D0B" w14:paraId="186E115A" w14:textId="77777777">
      <w:pPr>
        <w:keepNext/>
        <w:spacing w:before="480" w:after="240"/>
        <w:jc w:val="center"/>
        <w:rPr>
          <w:b/>
          <w:u w:val="single"/>
        </w:rPr>
      </w:pPr>
      <w:r w:rsidRPr="008921C3">
        <w:rPr>
          <w:b/>
          <w:u w:val="single"/>
        </w:rPr>
        <w:lastRenderedPageBreak/>
        <w:t>FINDINGS OF FACT</w:t>
      </w:r>
    </w:p>
    <w:p w:rsidRPr="008921C3" w:rsidR="00A92D0B" w:rsidP="00F61B6E" w:rsidRDefault="0EABAADC" w14:paraId="7772A9DC" w14:textId="21A5E481">
      <w:pPr>
        <w:numPr>
          <w:ilvl w:val="0"/>
          <w:numId w:val="10"/>
        </w:numPr>
        <w:spacing w:after="240"/>
      </w:pPr>
      <w:r w:rsidRPr="008921C3">
        <w:t>C</w:t>
      </w:r>
      <w:r w:rsidRPr="008921C3" w:rsidR="007E1554">
        <w:t xml:space="preserve">alifornia </w:t>
      </w:r>
      <w:r w:rsidRPr="008921C3">
        <w:t>E</w:t>
      </w:r>
      <w:r w:rsidRPr="008921C3" w:rsidR="007E1554">
        <w:t>nvironmental</w:t>
      </w:r>
      <w:r w:rsidRPr="008921C3">
        <w:t xml:space="preserve"> J</w:t>
      </w:r>
      <w:r w:rsidRPr="008921C3" w:rsidR="007E1554">
        <w:t>ustice</w:t>
      </w:r>
      <w:r w:rsidRPr="008921C3">
        <w:t xml:space="preserve"> A</w:t>
      </w:r>
      <w:r w:rsidRPr="008921C3" w:rsidR="007E1554">
        <w:t>lliance</w:t>
      </w:r>
      <w:r w:rsidRPr="008921C3" w:rsidR="3DD7B35B">
        <w:t xml:space="preserve"> </w:t>
      </w:r>
      <w:r w:rsidRPr="008921C3" w:rsidR="01232866">
        <w:t>has made a substantia</w:t>
      </w:r>
      <w:r w:rsidRPr="008921C3" w:rsidR="4D8D9228">
        <w:t xml:space="preserve">l contribution to </w:t>
      </w:r>
      <w:r w:rsidRPr="008921C3" w:rsidR="003D782A">
        <w:t>D.2</w:t>
      </w:r>
      <w:r w:rsidRPr="008921C3" w:rsidR="00276F82">
        <w:t>0</w:t>
      </w:r>
      <w:r w:rsidR="00E54F5A">
        <w:noBreakHyphen/>
      </w:r>
      <w:r w:rsidRPr="008921C3" w:rsidR="003D782A">
        <w:t>06</w:t>
      </w:r>
      <w:r w:rsidR="00E54F5A">
        <w:noBreakHyphen/>
      </w:r>
      <w:r w:rsidRPr="008921C3" w:rsidR="003D782A">
        <w:t>017 and D. 21</w:t>
      </w:r>
      <w:r w:rsidR="00E54F5A">
        <w:noBreakHyphen/>
      </w:r>
      <w:r w:rsidRPr="008921C3" w:rsidR="003D782A">
        <w:t>01</w:t>
      </w:r>
      <w:r w:rsidR="00E54F5A">
        <w:noBreakHyphen/>
      </w:r>
      <w:r w:rsidRPr="008921C3" w:rsidR="003D782A">
        <w:t>018</w:t>
      </w:r>
      <w:r w:rsidRPr="008921C3" w:rsidR="01232866">
        <w:t>.</w:t>
      </w:r>
    </w:p>
    <w:p w:rsidRPr="008921C3" w:rsidR="00A92D0B" w:rsidP="00F61B6E" w:rsidRDefault="01232866" w14:paraId="04EB50FD" w14:textId="5CAFF30F">
      <w:pPr>
        <w:numPr>
          <w:ilvl w:val="0"/>
          <w:numId w:val="10"/>
        </w:numPr>
        <w:spacing w:after="240"/>
      </w:pPr>
      <w:r w:rsidRPr="008921C3">
        <w:t>The requested hourly rates for</w:t>
      </w:r>
      <w:r w:rsidRPr="008921C3" w:rsidR="3CB12BAE">
        <w:t xml:space="preserve"> </w:t>
      </w:r>
      <w:r w:rsidRPr="008921C3" w:rsidR="0EABAADC">
        <w:t>C</w:t>
      </w:r>
      <w:r w:rsidRPr="008921C3" w:rsidR="007E1554">
        <w:t xml:space="preserve">alifornia </w:t>
      </w:r>
      <w:r w:rsidRPr="008921C3" w:rsidR="0EABAADC">
        <w:t>E</w:t>
      </w:r>
      <w:r w:rsidRPr="008921C3" w:rsidR="007E1554">
        <w:t xml:space="preserve">nvironmental </w:t>
      </w:r>
      <w:r w:rsidRPr="008921C3" w:rsidR="0EABAADC">
        <w:t>J</w:t>
      </w:r>
      <w:r w:rsidRPr="008921C3" w:rsidR="007E1554">
        <w:t>ustice</w:t>
      </w:r>
      <w:r w:rsidRPr="008921C3" w:rsidR="0EABAADC">
        <w:t xml:space="preserve"> A</w:t>
      </w:r>
      <w:r w:rsidRPr="008921C3" w:rsidR="007E1554">
        <w:t>lliance</w:t>
      </w:r>
      <w:r w:rsidRPr="008921C3" w:rsidR="5491DB33">
        <w:t xml:space="preserve">’s </w:t>
      </w:r>
      <w:r w:rsidRPr="008921C3">
        <w:t>representatives as adjusted herein are comparable to market rates paid to experts and advocates having comparable training and experience and offering similar services.</w:t>
      </w:r>
    </w:p>
    <w:p w:rsidRPr="008921C3" w:rsidR="00A92D0B" w:rsidP="005C52A0" w:rsidRDefault="01232866" w14:paraId="528EBB52" w14:textId="14047345">
      <w:pPr>
        <w:keepNext/>
        <w:numPr>
          <w:ilvl w:val="0"/>
          <w:numId w:val="10"/>
        </w:numPr>
        <w:spacing w:after="240"/>
      </w:pPr>
      <w:r w:rsidRPr="008921C3">
        <w:t xml:space="preserve">The claimed costs and expenses as adjusted herein are reasonable and commensurate with the work performed. </w:t>
      </w:r>
    </w:p>
    <w:p w:rsidRPr="008921C3" w:rsidR="00A92D0B" w:rsidP="00F61B6E" w:rsidRDefault="01232866" w14:paraId="48B52895" w14:textId="25200866">
      <w:pPr>
        <w:numPr>
          <w:ilvl w:val="0"/>
          <w:numId w:val="10"/>
        </w:numPr>
        <w:spacing w:after="240"/>
      </w:pPr>
      <w:r w:rsidRPr="008921C3">
        <w:t xml:space="preserve">The total of reasonable </w:t>
      </w:r>
      <w:r w:rsidRPr="008921C3" w:rsidR="56F18E30">
        <w:t xml:space="preserve">compensation </w:t>
      </w:r>
      <w:r w:rsidRPr="008921C3">
        <w:t>is $</w:t>
      </w:r>
      <w:r w:rsidRPr="008921C3" w:rsidR="00E4791E">
        <w:t>91,119.75</w:t>
      </w:r>
      <w:r w:rsidRPr="008921C3">
        <w:t>.</w:t>
      </w:r>
    </w:p>
    <w:p w:rsidRPr="008921C3" w:rsidR="00A92D0B" w:rsidP="00F07E25" w:rsidRDefault="00A92D0B" w14:paraId="5C773C3F" w14:textId="77777777">
      <w:pPr>
        <w:keepNext/>
        <w:spacing w:before="480" w:after="240"/>
        <w:jc w:val="center"/>
        <w:rPr>
          <w:b/>
          <w:u w:val="single"/>
        </w:rPr>
      </w:pPr>
      <w:r w:rsidRPr="008921C3">
        <w:rPr>
          <w:b/>
          <w:u w:val="single"/>
        </w:rPr>
        <w:t>CONCLUSION OF LAW</w:t>
      </w:r>
    </w:p>
    <w:p w:rsidRPr="008921C3" w:rsidR="00A92D0B" w:rsidP="00F61B6E" w:rsidRDefault="00A92D0B" w14:paraId="654F2C27" w14:textId="763CA282">
      <w:pPr>
        <w:numPr>
          <w:ilvl w:val="0"/>
          <w:numId w:val="11"/>
        </w:numPr>
        <w:spacing w:after="240"/>
      </w:pPr>
      <w:r w:rsidRPr="008921C3">
        <w:t>The Claim, with any adjustment set forth above satisfies</w:t>
      </w:r>
      <w:r w:rsidRPr="008921C3" w:rsidR="00DE3A5D">
        <w:t xml:space="preserve"> all requirements of </w:t>
      </w:r>
      <w:r w:rsidR="00D538F2">
        <w:t>Pub. Util.</w:t>
      </w:r>
      <w:r w:rsidRPr="008921C3">
        <w:t xml:space="preserve"> Code </w:t>
      </w:r>
      <w:r w:rsidR="00D538F2">
        <w:t>§§ </w:t>
      </w:r>
      <w:r w:rsidRPr="008921C3">
        <w:t>1801</w:t>
      </w:r>
      <w:r w:rsidR="00E54F5A">
        <w:noBreakHyphen/>
      </w:r>
      <w:r w:rsidRPr="008921C3">
        <w:t>1812.</w:t>
      </w:r>
    </w:p>
    <w:p w:rsidRPr="008921C3" w:rsidR="00A92D0B" w:rsidP="00F07E25" w:rsidRDefault="01232866" w14:paraId="0E2503A5" w14:textId="77777777">
      <w:pPr>
        <w:keepNext/>
        <w:spacing w:before="480" w:after="240"/>
        <w:jc w:val="center"/>
        <w:rPr>
          <w:u w:val="single"/>
        </w:rPr>
      </w:pPr>
      <w:r w:rsidRPr="008921C3">
        <w:rPr>
          <w:b/>
          <w:bCs/>
          <w:u w:val="single"/>
        </w:rPr>
        <w:t>ORDER</w:t>
      </w:r>
    </w:p>
    <w:p w:rsidRPr="008921C3" w:rsidR="00A92D0B" w:rsidP="005C52A0" w:rsidRDefault="0EABAADC" w14:paraId="33FB4E15" w14:textId="651D2963">
      <w:pPr>
        <w:keepNext/>
        <w:numPr>
          <w:ilvl w:val="0"/>
          <w:numId w:val="12"/>
        </w:numPr>
        <w:spacing w:after="240"/>
      </w:pPr>
      <w:r w:rsidRPr="008921C3">
        <w:t>C</w:t>
      </w:r>
      <w:r w:rsidRPr="008921C3" w:rsidR="007E1554">
        <w:t>alifornia</w:t>
      </w:r>
      <w:r w:rsidRPr="008921C3">
        <w:t xml:space="preserve"> E</w:t>
      </w:r>
      <w:r w:rsidRPr="008921C3" w:rsidR="007E1554">
        <w:t>nvironmental</w:t>
      </w:r>
      <w:r w:rsidRPr="008921C3">
        <w:t xml:space="preserve"> J</w:t>
      </w:r>
      <w:r w:rsidRPr="008921C3" w:rsidR="007E1554">
        <w:t>ustice</w:t>
      </w:r>
      <w:r w:rsidRPr="008921C3">
        <w:t xml:space="preserve"> A</w:t>
      </w:r>
      <w:r w:rsidRPr="008921C3" w:rsidR="007E1554">
        <w:t>lliance</w:t>
      </w:r>
      <w:r w:rsidRPr="008921C3" w:rsidR="3DD7B35B">
        <w:t xml:space="preserve"> shall be</w:t>
      </w:r>
      <w:r w:rsidRPr="008921C3" w:rsidR="01232866">
        <w:t xml:space="preserve"> awarded $</w:t>
      </w:r>
      <w:r w:rsidRPr="008921C3" w:rsidR="00E4791E">
        <w:t>91,119.75</w:t>
      </w:r>
      <w:r w:rsidRPr="008921C3" w:rsidR="01232866">
        <w:t>.</w:t>
      </w:r>
    </w:p>
    <w:p w:rsidRPr="008921C3" w:rsidR="00A92D0B" w:rsidP="00F61B6E" w:rsidRDefault="49FB310A" w14:paraId="4AEF5671" w14:textId="47051209">
      <w:pPr>
        <w:numPr>
          <w:ilvl w:val="0"/>
          <w:numId w:val="12"/>
        </w:numPr>
        <w:spacing w:after="240"/>
      </w:pPr>
      <w:r w:rsidRPr="008921C3">
        <w:t>Within 30 days of the effective date of this decision,</w:t>
      </w:r>
      <w:r w:rsidRPr="008921C3" w:rsidR="007E1554">
        <w:t xml:space="preserve"> Pacific Gas and Electric Company</w:t>
      </w:r>
      <w:r w:rsidRPr="008921C3">
        <w:t>,</w:t>
      </w:r>
      <w:r w:rsidRPr="008921C3" w:rsidR="005E713C">
        <w:t xml:space="preserve"> Southern California Edison Company and San Diego Gas &amp; Electric </w:t>
      </w:r>
      <w:r w:rsidRPr="008921C3">
        <w:t xml:space="preserve">shall pay </w:t>
      </w:r>
      <w:r w:rsidRPr="008921C3" w:rsidR="0EABAADC">
        <w:t>C</w:t>
      </w:r>
      <w:r w:rsidRPr="008921C3" w:rsidR="005E713C">
        <w:t>alifornia</w:t>
      </w:r>
      <w:r w:rsidRPr="008921C3" w:rsidR="0EABAADC">
        <w:t xml:space="preserve"> E</w:t>
      </w:r>
      <w:r w:rsidRPr="008921C3" w:rsidR="005E713C">
        <w:t>nvironmental</w:t>
      </w:r>
      <w:r w:rsidRPr="008921C3" w:rsidR="0EABAADC">
        <w:t xml:space="preserve"> J</w:t>
      </w:r>
      <w:r w:rsidRPr="008921C3" w:rsidR="005E713C">
        <w:t>ustice</w:t>
      </w:r>
      <w:r w:rsidRPr="008921C3" w:rsidR="0EABAADC">
        <w:t xml:space="preserve"> A</w:t>
      </w:r>
      <w:r w:rsidRPr="008921C3" w:rsidR="005E713C">
        <w:t>lliance</w:t>
      </w:r>
      <w:r w:rsidRPr="008921C3">
        <w:t xml:space="preserve"> their respective shares of the award, based on their California</w:t>
      </w:r>
      <w:r w:rsidR="00E54F5A">
        <w:noBreakHyphen/>
      </w:r>
      <w:r w:rsidRPr="008921C3">
        <w:t xml:space="preserve">jurisdictional electric revenues for the </w:t>
      </w:r>
      <w:r w:rsidRPr="008921C3" w:rsidR="005E713C">
        <w:t>2020</w:t>
      </w:r>
      <w:r w:rsidRPr="008921C3">
        <w:t xml:space="preserve"> calendar year, to reflect the year in which the proceeding was primarily litigated.  If such data is unavailable, the most recent electric revenue data shall be used.</w:t>
      </w:r>
      <w:r w:rsidRPr="008921C3" w:rsidR="01232866">
        <w:t xml:space="preserve">  Payment of the award shall include</w:t>
      </w:r>
      <w:r w:rsidRPr="008921C3" w:rsidR="47ACC33E">
        <w:t xml:space="preserve"> compound </w:t>
      </w:r>
      <w:r w:rsidRPr="008921C3" w:rsidR="01232866">
        <w:t>interest at the rate earned on prime, three</w:t>
      </w:r>
      <w:r w:rsidR="00E54F5A">
        <w:noBreakHyphen/>
      </w:r>
      <w:r w:rsidRPr="008921C3" w:rsidR="01232866">
        <w:t xml:space="preserve">month </w:t>
      </w:r>
      <w:r w:rsidRPr="008921C3" w:rsidR="29FC640E">
        <w:t>non</w:t>
      </w:r>
      <w:r w:rsidR="00E54F5A">
        <w:noBreakHyphen/>
      </w:r>
      <w:r w:rsidRPr="008921C3" w:rsidR="29FC640E">
        <w:t xml:space="preserve">financial </w:t>
      </w:r>
      <w:r w:rsidRPr="008921C3" w:rsidR="01232866">
        <w:t>commercial paper as reported in Federal Reserve Statistical Release H.15, beginning</w:t>
      </w:r>
      <w:r w:rsidRPr="008921C3" w:rsidR="3EEC7EDA">
        <w:t xml:space="preserve"> </w:t>
      </w:r>
      <w:r w:rsidRPr="008921C3" w:rsidR="005E713C">
        <w:t>June</w:t>
      </w:r>
      <w:r w:rsidRPr="008921C3" w:rsidR="3EEC7EDA">
        <w:t>,</w:t>
      </w:r>
      <w:r w:rsidRPr="008921C3" w:rsidR="001020CA">
        <w:t>5,</w:t>
      </w:r>
      <w:r w:rsidRPr="008921C3" w:rsidR="00330D42">
        <w:t xml:space="preserve"> </w:t>
      </w:r>
      <w:r w:rsidRPr="008921C3" w:rsidR="001020CA">
        <w:t>2021,</w:t>
      </w:r>
      <w:r w:rsidRPr="008921C3" w:rsidR="3EEC7EDA">
        <w:t xml:space="preserve"> </w:t>
      </w:r>
      <w:r w:rsidRPr="008921C3" w:rsidR="01232866">
        <w:t>the 75</w:t>
      </w:r>
      <w:r w:rsidRPr="008921C3" w:rsidR="01232866">
        <w:rPr>
          <w:vertAlign w:val="superscript"/>
        </w:rPr>
        <w:t>th</w:t>
      </w:r>
      <w:r w:rsidRPr="008921C3" w:rsidR="01232866">
        <w:t xml:space="preserve"> day after the filing of </w:t>
      </w:r>
      <w:r w:rsidRPr="008921C3" w:rsidR="0EABAADC">
        <w:t>C</w:t>
      </w:r>
      <w:r w:rsidRPr="008921C3" w:rsidR="001020CA">
        <w:t>alifornia</w:t>
      </w:r>
      <w:r w:rsidRPr="008921C3" w:rsidR="0EABAADC">
        <w:t xml:space="preserve"> E</w:t>
      </w:r>
      <w:r w:rsidRPr="008921C3" w:rsidR="001020CA">
        <w:t>nvironmental</w:t>
      </w:r>
      <w:r w:rsidRPr="008921C3" w:rsidR="0EABAADC">
        <w:t xml:space="preserve"> J</w:t>
      </w:r>
      <w:r w:rsidRPr="008921C3" w:rsidR="001020CA">
        <w:t>ustice</w:t>
      </w:r>
      <w:r w:rsidRPr="008921C3" w:rsidR="0EABAADC">
        <w:t xml:space="preserve"> A</w:t>
      </w:r>
      <w:r w:rsidRPr="008921C3" w:rsidR="001020CA">
        <w:t>lliance</w:t>
      </w:r>
      <w:r w:rsidRPr="008921C3" w:rsidR="3DD7B35B">
        <w:t xml:space="preserve">’s </w:t>
      </w:r>
      <w:r w:rsidRPr="008921C3" w:rsidR="01232866">
        <w:t>request, and continuing until full payment is made.</w:t>
      </w:r>
    </w:p>
    <w:p w:rsidRPr="008921C3" w:rsidR="00A92D0B" w:rsidP="006E0FC5" w:rsidRDefault="01232866" w14:paraId="5AD40C95" w14:textId="0691EB83">
      <w:pPr>
        <w:keepNext/>
        <w:numPr>
          <w:ilvl w:val="0"/>
          <w:numId w:val="12"/>
        </w:numPr>
        <w:spacing w:after="240"/>
      </w:pPr>
      <w:r w:rsidRPr="008921C3">
        <w:lastRenderedPageBreak/>
        <w:t>The comment period for today’s decision is waived.</w:t>
      </w:r>
    </w:p>
    <w:p w:rsidRPr="008921C3" w:rsidR="00A92D0B" w:rsidP="006E0FC5" w:rsidRDefault="01232866" w14:paraId="13F3A0AD" w14:textId="77777777">
      <w:pPr>
        <w:keepNext/>
        <w:spacing w:after="240"/>
        <w:ind w:left="547"/>
      </w:pPr>
      <w:r w:rsidRPr="008921C3">
        <w:t>This decision is effective today.</w:t>
      </w:r>
    </w:p>
    <w:p w:rsidRPr="008921C3" w:rsidR="00A92D0B" w:rsidP="006E0FC5" w:rsidRDefault="00A92D0B" w14:paraId="0467B995" w14:textId="22ED28F2">
      <w:pPr>
        <w:keepNext/>
        <w:spacing w:after="240"/>
        <w:ind w:left="547"/>
      </w:pPr>
      <w:r w:rsidRPr="008921C3">
        <w:t xml:space="preserve">Dated </w:t>
      </w:r>
      <w:r w:rsidR="006E0FC5">
        <w:t>May 19, 2022</w:t>
      </w:r>
      <w:r w:rsidRPr="008921C3">
        <w:t xml:space="preserve">, at </w:t>
      </w:r>
      <w:r w:rsidR="00F07E25">
        <w:t>Sacramento</w:t>
      </w:r>
      <w:r w:rsidRPr="008921C3">
        <w:t>, California.</w:t>
      </w:r>
    </w:p>
    <w:p w:rsidR="006E0FC5" w:rsidP="006E0FC5" w:rsidRDefault="006E0FC5" w14:paraId="68DF2742" w14:textId="77777777">
      <w:pPr>
        <w:keepNext/>
        <w:autoSpaceDE w:val="0"/>
        <w:autoSpaceDN w:val="0"/>
        <w:adjustRightInd w:val="0"/>
        <w:spacing w:line="360" w:lineRule="auto"/>
        <w:ind w:left="4320"/>
        <w:jc w:val="both"/>
        <w:rPr>
          <w:szCs w:val="20"/>
        </w:rPr>
      </w:pPr>
    </w:p>
    <w:p w:rsidRPr="00730B11" w:rsidR="006E0FC5" w:rsidP="006E0FC5" w:rsidRDefault="006E0FC5" w14:paraId="53F1EFA2" w14:textId="77777777">
      <w:pPr>
        <w:keepNext/>
        <w:autoSpaceDE w:val="0"/>
        <w:autoSpaceDN w:val="0"/>
        <w:adjustRightInd w:val="0"/>
        <w:ind w:left="4320"/>
        <w:jc w:val="both"/>
        <w:rPr>
          <w:szCs w:val="20"/>
        </w:rPr>
      </w:pPr>
      <w:r>
        <w:rPr>
          <w:szCs w:val="20"/>
        </w:rPr>
        <w:t>ALICE REYNOLDS</w:t>
      </w:r>
    </w:p>
    <w:p w:rsidRPr="00335CA6" w:rsidR="006E0FC5" w:rsidP="006E0FC5" w:rsidRDefault="006E0FC5" w14:paraId="0382FFD5" w14:textId="77777777">
      <w:pPr>
        <w:keepNext/>
        <w:autoSpaceDE w:val="0"/>
        <w:autoSpaceDN w:val="0"/>
        <w:adjustRightInd w:val="0"/>
        <w:ind w:left="5400"/>
        <w:jc w:val="both"/>
        <w:rPr>
          <w:szCs w:val="20"/>
        </w:rPr>
      </w:pPr>
      <w:r w:rsidRPr="00335CA6">
        <w:rPr>
          <w:szCs w:val="20"/>
        </w:rPr>
        <w:t>President</w:t>
      </w:r>
    </w:p>
    <w:p w:rsidRPr="00335CA6" w:rsidR="006E0FC5" w:rsidP="006E0FC5" w:rsidRDefault="006E0FC5" w14:paraId="539D4A05" w14:textId="77777777">
      <w:pPr>
        <w:keepNext/>
        <w:autoSpaceDE w:val="0"/>
        <w:autoSpaceDN w:val="0"/>
        <w:adjustRightInd w:val="0"/>
        <w:ind w:left="4320"/>
        <w:jc w:val="both"/>
        <w:rPr>
          <w:szCs w:val="20"/>
        </w:rPr>
      </w:pPr>
      <w:r w:rsidRPr="00335CA6">
        <w:rPr>
          <w:szCs w:val="20"/>
        </w:rPr>
        <w:t>CLIFFORD RECHTSCHAFFEN</w:t>
      </w:r>
    </w:p>
    <w:p w:rsidRPr="00335CA6" w:rsidR="006E0FC5" w:rsidP="006E0FC5" w:rsidRDefault="006E0FC5" w14:paraId="542D9222" w14:textId="77777777">
      <w:pPr>
        <w:keepNext/>
        <w:autoSpaceDE w:val="0"/>
        <w:autoSpaceDN w:val="0"/>
        <w:adjustRightInd w:val="0"/>
        <w:ind w:left="4320"/>
        <w:jc w:val="both"/>
        <w:rPr>
          <w:szCs w:val="20"/>
        </w:rPr>
      </w:pPr>
      <w:r w:rsidRPr="00335CA6">
        <w:rPr>
          <w:szCs w:val="20"/>
        </w:rPr>
        <w:t>GENEVIEVE SHIROMA</w:t>
      </w:r>
    </w:p>
    <w:p w:rsidR="006E0FC5" w:rsidP="006E0FC5" w:rsidRDefault="006E0FC5" w14:paraId="734C06E7" w14:textId="77777777">
      <w:pPr>
        <w:keepNext/>
        <w:autoSpaceDE w:val="0"/>
        <w:autoSpaceDN w:val="0"/>
        <w:adjustRightInd w:val="0"/>
        <w:ind w:left="3600" w:firstLine="720"/>
        <w:jc w:val="both"/>
        <w:rPr>
          <w:szCs w:val="20"/>
        </w:rPr>
      </w:pPr>
      <w:r w:rsidRPr="00335CA6">
        <w:rPr>
          <w:szCs w:val="20"/>
        </w:rPr>
        <w:t xml:space="preserve">DARCIE </w:t>
      </w:r>
      <w:r>
        <w:rPr>
          <w:szCs w:val="20"/>
        </w:rPr>
        <w:t xml:space="preserve">L. </w:t>
      </w:r>
      <w:r w:rsidRPr="00335CA6">
        <w:rPr>
          <w:szCs w:val="20"/>
        </w:rPr>
        <w:t>HOUCK</w:t>
      </w:r>
    </w:p>
    <w:p w:rsidRPr="00335CA6" w:rsidR="006E0FC5" w:rsidP="006E0FC5" w:rsidRDefault="006E0FC5" w14:paraId="46B1C2FB" w14:textId="77777777">
      <w:pPr>
        <w:keepNext/>
        <w:autoSpaceDE w:val="0"/>
        <w:autoSpaceDN w:val="0"/>
        <w:adjustRightInd w:val="0"/>
        <w:ind w:left="3600" w:firstLine="720"/>
        <w:jc w:val="both"/>
        <w:rPr>
          <w:szCs w:val="20"/>
        </w:rPr>
      </w:pPr>
      <w:r>
        <w:rPr>
          <w:szCs w:val="20"/>
        </w:rPr>
        <w:t>JOHN R.D. REYNOLDS</w:t>
      </w:r>
    </w:p>
    <w:p w:rsidRPr="008921C3" w:rsidR="00DA599D" w:rsidP="006E0FC5" w:rsidRDefault="006E0FC5" w14:paraId="4D68F9D6" w14:textId="45679C91">
      <w:pPr>
        <w:keepNext/>
        <w:autoSpaceDE w:val="0"/>
        <w:autoSpaceDN w:val="0"/>
        <w:adjustRightInd w:val="0"/>
        <w:ind w:left="5400"/>
        <w:jc w:val="both"/>
      </w:pPr>
      <w:r w:rsidRPr="00335CA6">
        <w:rPr>
          <w:szCs w:val="20"/>
        </w:rPr>
        <w:t>Commissioners</w:t>
      </w:r>
    </w:p>
    <w:p w:rsidR="00F07E25" w:rsidP="008921C3" w:rsidRDefault="00F07E25" w14:paraId="1FD42535" w14:textId="77777777">
      <w:pPr>
        <w:sectPr w:rsidR="00F07E25" w:rsidSect="00EE6FC5">
          <w:headerReference w:type="default" r:id="rId10"/>
          <w:footerReference w:type="default" r:id="rId11"/>
          <w:footerReference w:type="first" r:id="rId12"/>
          <w:pgSz w:w="12240" w:h="15840"/>
          <w:pgMar w:top="1728" w:right="1440" w:bottom="1440" w:left="1440" w:header="720" w:footer="720" w:gutter="0"/>
          <w:pgNumType w:fmt="numberInDash"/>
          <w:cols w:space="720"/>
          <w:titlePg/>
          <w:docGrid w:linePitch="360"/>
        </w:sectPr>
      </w:pPr>
    </w:p>
    <w:p w:rsidRPr="006321E4" w:rsidR="00FE3BAE" w:rsidP="006321E4" w:rsidRDefault="00FE3BAE" w14:paraId="7A1C7043" w14:textId="77777777">
      <w:pPr>
        <w:pStyle w:val="standard"/>
        <w:keepNext/>
        <w:spacing w:after="240" w:line="240" w:lineRule="auto"/>
        <w:ind w:firstLine="0"/>
        <w:jc w:val="center"/>
        <w:rPr>
          <w:rFonts w:ascii="Times New Roman" w:hAnsi="Times New Roman"/>
          <w:b/>
          <w:sz w:val="24"/>
          <w:szCs w:val="26"/>
        </w:rPr>
      </w:pPr>
      <w:r w:rsidRPr="006321E4">
        <w:rPr>
          <w:rFonts w:ascii="Times New Roman" w:hAnsi="Times New Roman"/>
          <w:b/>
          <w:sz w:val="24"/>
          <w:szCs w:val="26"/>
        </w:rPr>
        <w:lastRenderedPageBreak/>
        <w:t>APPENDIX</w:t>
      </w:r>
    </w:p>
    <w:p w:rsidRPr="006321E4" w:rsidR="00FE3BAE" w:rsidP="006321E4" w:rsidRDefault="00FE3BAE" w14:paraId="300BB274" w14:textId="77777777">
      <w:pPr>
        <w:pStyle w:val="standard"/>
        <w:keepNext/>
        <w:spacing w:after="240" w:line="240" w:lineRule="auto"/>
        <w:ind w:firstLine="0"/>
        <w:jc w:val="center"/>
        <w:rPr>
          <w:rFonts w:ascii="Times New Roman" w:hAnsi="Times New Roman"/>
          <w:b/>
          <w:sz w:val="24"/>
          <w:szCs w:val="26"/>
        </w:rPr>
      </w:pPr>
      <w:r w:rsidRPr="006321E4">
        <w:rPr>
          <w:rFonts w:ascii="Times New Roman" w:hAnsi="Times New Roman"/>
          <w:b/>
          <w:sz w:val="24"/>
          <w:szCs w:val="26"/>
        </w:rPr>
        <w:t>Compensation Decision Summary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5"/>
        <w:gridCol w:w="3767"/>
        <w:gridCol w:w="2497"/>
        <w:gridCol w:w="1271"/>
      </w:tblGrid>
      <w:tr w:rsidRPr="006321E4" w:rsidR="008921C3" w:rsidTr="006321E4" w14:paraId="062C592A"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4BC9C636" w14:textId="77777777">
            <w:pPr>
              <w:rPr>
                <w:b/>
                <w:bCs/>
              </w:rPr>
            </w:pPr>
            <w:r w:rsidRPr="006321E4">
              <w:rPr>
                <w:b/>
                <w:bCs/>
              </w:rPr>
              <w:t>Compensation Decision:</w:t>
            </w:r>
          </w:p>
        </w:tc>
        <w:tc>
          <w:tcPr>
            <w:tcW w:w="3735" w:type="dxa"/>
            <w:tcBorders>
              <w:top w:val="single" w:color="auto" w:sz="4" w:space="0"/>
              <w:left w:val="single" w:color="auto" w:sz="4" w:space="0"/>
              <w:bottom w:val="single" w:color="auto" w:sz="4" w:space="0"/>
              <w:right w:val="single" w:color="auto" w:sz="4" w:space="0"/>
            </w:tcBorders>
          </w:tcPr>
          <w:p w:rsidRPr="006321E4" w:rsidR="00FE3BAE" w:rsidP="008921C3" w:rsidRDefault="00BC386C" w14:paraId="16C5D6B1" w14:textId="3A6AF74B">
            <w:r w:rsidRPr="002B7F83">
              <w:t>D2205028</w:t>
            </w:r>
          </w:p>
        </w:tc>
        <w:tc>
          <w:tcPr>
            <w:tcW w:w="2475"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3ECA0C4F" w14:textId="77777777">
            <w:pPr>
              <w:rPr>
                <w:b/>
                <w:bCs/>
              </w:rPr>
            </w:pPr>
            <w:r w:rsidRPr="006321E4">
              <w:rPr>
                <w:b/>
                <w:bCs/>
              </w:rP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6321E4" w:rsidR="00FE3BAE" w:rsidP="008921C3" w:rsidRDefault="001020CA" w14:paraId="6846FB87" w14:textId="52EE27C8">
            <w:pPr>
              <w:jc w:val="center"/>
            </w:pPr>
            <w:r w:rsidRPr="006321E4">
              <w:t>No</w:t>
            </w:r>
          </w:p>
        </w:tc>
      </w:tr>
      <w:tr w:rsidRPr="006321E4" w:rsidR="008921C3" w:rsidTr="006321E4" w14:paraId="3E0218AD"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6E65620B" w14:textId="77777777">
            <w:pPr>
              <w:rPr>
                <w:b/>
                <w:bCs/>
              </w:rPr>
            </w:pPr>
            <w:r w:rsidRPr="006321E4">
              <w:rPr>
                <w:b/>
                <w:bCs/>
              </w:rP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321E4" w:rsidR="00FE3BAE" w:rsidP="008921C3" w:rsidRDefault="000C01FD" w14:paraId="426F2C45" w14:textId="1571220D">
            <w:r w:rsidRPr="006321E4">
              <w:t>D2006017</w:t>
            </w:r>
            <w:r w:rsidR="00057F33">
              <w:t xml:space="preserve">, </w:t>
            </w:r>
            <w:r w:rsidRPr="006321E4">
              <w:t>D2101018</w:t>
            </w:r>
          </w:p>
        </w:tc>
      </w:tr>
      <w:tr w:rsidRPr="006321E4" w:rsidR="008921C3" w:rsidTr="006321E4" w14:paraId="2808C576"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717974DE" w14:textId="77777777">
            <w:pPr>
              <w:rPr>
                <w:b/>
                <w:bCs/>
              </w:rPr>
            </w:pPr>
            <w:r w:rsidRPr="006321E4">
              <w:rPr>
                <w:b/>
                <w:bCs/>
              </w:rP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321E4" w:rsidR="00FE3BAE" w:rsidP="008921C3" w:rsidRDefault="000C01FD" w14:paraId="5B85688D" w14:textId="3E76CE26">
            <w:r w:rsidRPr="006321E4">
              <w:t>R1909009</w:t>
            </w:r>
          </w:p>
        </w:tc>
      </w:tr>
      <w:tr w:rsidRPr="006321E4" w:rsidR="008921C3" w:rsidTr="006321E4" w14:paraId="66779179"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738C0A58" w14:textId="77777777">
            <w:pPr>
              <w:rPr>
                <w:b/>
                <w:bCs/>
              </w:rPr>
            </w:pPr>
            <w:r w:rsidRPr="006321E4">
              <w:rPr>
                <w:b/>
                <w:bCs/>
              </w:rP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6321E4" w:rsidR="00FE3BAE" w:rsidP="008921C3" w:rsidRDefault="001020CA" w14:paraId="5E75C0F0" w14:textId="33B497E2">
            <w:r w:rsidRPr="006321E4">
              <w:t>ALJ Rizzo</w:t>
            </w:r>
          </w:p>
        </w:tc>
      </w:tr>
      <w:tr w:rsidRPr="006321E4" w:rsidR="008921C3" w:rsidTr="006321E4" w14:paraId="305F69F4" w14:textId="77777777">
        <w:trPr>
          <w:trHeight w:val="278"/>
          <w:jc w:val="center"/>
        </w:trPr>
        <w:tc>
          <w:tcPr>
            <w:tcW w:w="2880"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1414CA71" w14:textId="77777777">
            <w:pPr>
              <w:rPr>
                <w:b/>
                <w:bCs/>
              </w:rPr>
            </w:pPr>
            <w:r w:rsidRPr="006321E4">
              <w:rPr>
                <w:b/>
                <w:bCs/>
              </w:rP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6321E4" w:rsidR="00FE3BAE" w:rsidP="008921C3" w:rsidRDefault="001020CA" w14:paraId="7CA711B6" w14:textId="60572901">
            <w:r w:rsidRPr="006321E4">
              <w:t>Pacific Gas and Electric Company, Southern California Edison Company, San Diego Gas &amp; Electric Company</w:t>
            </w:r>
          </w:p>
        </w:tc>
      </w:tr>
    </w:tbl>
    <w:p w:rsidRPr="006321E4" w:rsidR="00FE3BAE" w:rsidP="006321E4" w:rsidRDefault="00FE3BAE" w14:paraId="7F0236A2" w14:textId="77777777">
      <w:pPr>
        <w:keepNext/>
        <w:spacing w:before="480" w:after="240"/>
        <w:jc w:val="center"/>
        <w:rPr>
          <w:b/>
          <w:bCs/>
          <w:szCs w:val="28"/>
        </w:rPr>
      </w:pPr>
      <w:r w:rsidRPr="006321E4">
        <w:rPr>
          <w:b/>
          <w:bCs/>
          <w:szCs w:val="28"/>
        </w:rPr>
        <w:t>Intervenor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5"/>
        <w:gridCol w:w="1980"/>
        <w:gridCol w:w="1530"/>
        <w:gridCol w:w="1349"/>
        <w:gridCol w:w="1393"/>
        <w:gridCol w:w="2483"/>
      </w:tblGrid>
      <w:tr w:rsidRPr="006321E4" w:rsidR="008921C3" w:rsidTr="006321E4" w14:paraId="6CDB318E" w14:textId="77777777">
        <w:trPr>
          <w:jc w:val="center"/>
        </w:trPr>
        <w:tc>
          <w:tcPr>
            <w:tcW w:w="1705" w:type="dxa"/>
            <w:tcBorders>
              <w:top w:val="single" w:color="auto" w:sz="4" w:space="0"/>
              <w:left w:val="single" w:color="auto" w:sz="4" w:space="0"/>
              <w:bottom w:val="single" w:color="auto" w:sz="4" w:space="0"/>
              <w:right w:val="single" w:color="auto" w:sz="4" w:space="0"/>
            </w:tcBorders>
            <w:vAlign w:val="bottom"/>
            <w:hideMark/>
          </w:tcPr>
          <w:p w:rsidRPr="006321E4" w:rsidR="00FE3BAE" w:rsidP="006321E4" w:rsidRDefault="00FE3BAE" w14:paraId="2578F35B" w14:textId="77777777">
            <w:pPr>
              <w:jc w:val="center"/>
              <w:rPr>
                <w:b/>
                <w:bCs/>
              </w:rPr>
            </w:pPr>
            <w:r w:rsidRPr="006321E4">
              <w:rPr>
                <w:b/>
                <w:bCs/>
              </w:rPr>
              <w:t>Intervenor</w:t>
            </w:r>
          </w:p>
        </w:tc>
        <w:tc>
          <w:tcPr>
            <w:tcW w:w="1980" w:type="dxa"/>
            <w:tcBorders>
              <w:top w:val="single" w:color="auto" w:sz="4" w:space="0"/>
              <w:left w:val="single" w:color="auto" w:sz="4" w:space="0"/>
              <w:bottom w:val="single" w:color="auto" w:sz="4" w:space="0"/>
              <w:right w:val="single" w:color="auto" w:sz="4" w:space="0"/>
            </w:tcBorders>
            <w:vAlign w:val="bottom"/>
            <w:hideMark/>
          </w:tcPr>
          <w:p w:rsidRPr="006321E4" w:rsidR="00FE3BAE" w:rsidP="006321E4" w:rsidRDefault="0081626F" w14:paraId="2C1C9DC3" w14:textId="23D0CF49">
            <w:pPr>
              <w:jc w:val="center"/>
              <w:rPr>
                <w:b/>
                <w:bCs/>
              </w:rPr>
            </w:pPr>
            <w:r w:rsidRPr="006321E4">
              <w:rPr>
                <w:b/>
                <w:bCs/>
              </w:rPr>
              <w:t>Date Claim Filed</w:t>
            </w:r>
          </w:p>
        </w:tc>
        <w:tc>
          <w:tcPr>
            <w:tcW w:w="1530"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FE3BAE" w14:paraId="22C0288B" w14:textId="77777777">
            <w:pPr>
              <w:jc w:val="center"/>
              <w:rPr>
                <w:b/>
                <w:bCs/>
              </w:rPr>
            </w:pPr>
            <w:r w:rsidRPr="006321E4">
              <w:rPr>
                <w:b/>
                <w:bCs/>
              </w:rPr>
              <w:t xml:space="preserve">Amount </w:t>
            </w:r>
          </w:p>
          <w:p w:rsidRPr="006321E4" w:rsidR="00FE3BAE" w:rsidP="006321E4" w:rsidRDefault="00FE3BAE" w14:paraId="60DD020D" w14:textId="5AB311D6">
            <w:pPr>
              <w:jc w:val="center"/>
              <w:rPr>
                <w:b/>
                <w:bCs/>
              </w:rPr>
            </w:pPr>
            <w:r w:rsidRPr="006321E4">
              <w:rPr>
                <w:b/>
                <w:bCs/>
              </w:rPr>
              <w:t>Requested</w:t>
            </w:r>
          </w:p>
        </w:tc>
        <w:tc>
          <w:tcPr>
            <w:tcW w:w="1349"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FE3BAE" w14:paraId="074AC6A3" w14:textId="77777777">
            <w:pPr>
              <w:jc w:val="center"/>
              <w:rPr>
                <w:b/>
                <w:bCs/>
              </w:rPr>
            </w:pPr>
            <w:r w:rsidRPr="006321E4">
              <w:rPr>
                <w:b/>
                <w:bCs/>
              </w:rPr>
              <w:t xml:space="preserve">Amount </w:t>
            </w:r>
          </w:p>
          <w:p w:rsidRPr="006321E4" w:rsidR="00FE3BAE" w:rsidP="006321E4" w:rsidRDefault="00FE3BAE" w14:paraId="19A4A01D" w14:textId="39D6FA3D">
            <w:pPr>
              <w:jc w:val="center"/>
              <w:rPr>
                <w:b/>
                <w:bCs/>
              </w:rPr>
            </w:pPr>
            <w:r w:rsidRPr="006321E4">
              <w:rPr>
                <w:b/>
                <w:bCs/>
              </w:rPr>
              <w:t>Awarded</w:t>
            </w:r>
          </w:p>
        </w:tc>
        <w:tc>
          <w:tcPr>
            <w:tcW w:w="1393" w:type="dxa"/>
            <w:tcBorders>
              <w:top w:val="single" w:color="auto" w:sz="4" w:space="0"/>
              <w:left w:val="single" w:color="auto" w:sz="4" w:space="0"/>
              <w:bottom w:val="single" w:color="auto" w:sz="4" w:space="0"/>
              <w:right w:val="single" w:color="auto" w:sz="4" w:space="0"/>
            </w:tcBorders>
            <w:vAlign w:val="bottom"/>
            <w:hideMark/>
          </w:tcPr>
          <w:p w:rsidRPr="006321E4" w:rsidR="00FE3BAE" w:rsidP="006321E4" w:rsidRDefault="00FE3BAE" w14:paraId="5B9F47E2" w14:textId="77777777">
            <w:pPr>
              <w:jc w:val="center"/>
              <w:rPr>
                <w:b/>
                <w:bCs/>
              </w:rPr>
            </w:pPr>
            <w:r w:rsidRPr="006321E4">
              <w:rPr>
                <w:b/>
                <w:bCs/>
              </w:rPr>
              <w:t>Multiplier?</w:t>
            </w:r>
          </w:p>
        </w:tc>
        <w:tc>
          <w:tcPr>
            <w:tcW w:w="2483"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FE3BAE" w14:paraId="4E7000AE" w14:textId="77777777">
            <w:pPr>
              <w:jc w:val="center"/>
              <w:rPr>
                <w:b/>
                <w:bCs/>
              </w:rPr>
            </w:pPr>
            <w:r w:rsidRPr="006321E4">
              <w:rPr>
                <w:b/>
                <w:bCs/>
              </w:rPr>
              <w:t>Reason Change/</w:t>
            </w:r>
          </w:p>
          <w:p w:rsidRPr="006321E4" w:rsidR="00FE3BAE" w:rsidP="006321E4" w:rsidRDefault="00FE3BAE" w14:paraId="089590A8" w14:textId="7DC01EF1">
            <w:pPr>
              <w:jc w:val="center"/>
              <w:rPr>
                <w:b/>
                <w:bCs/>
              </w:rPr>
            </w:pPr>
            <w:r w:rsidRPr="006321E4">
              <w:rPr>
                <w:b/>
                <w:bCs/>
              </w:rPr>
              <w:t>Disallowance</w:t>
            </w:r>
          </w:p>
        </w:tc>
      </w:tr>
      <w:tr w:rsidRPr="006321E4" w:rsidR="008921C3" w:rsidTr="006321E4" w14:paraId="080524E3" w14:textId="77777777">
        <w:trPr>
          <w:trHeight w:val="872"/>
          <w:jc w:val="center"/>
        </w:trPr>
        <w:tc>
          <w:tcPr>
            <w:tcW w:w="1705" w:type="dxa"/>
            <w:tcBorders>
              <w:top w:val="single" w:color="auto" w:sz="4" w:space="0"/>
              <w:left w:val="single" w:color="auto" w:sz="4" w:space="0"/>
              <w:bottom w:val="single" w:color="auto" w:sz="4" w:space="0"/>
              <w:right w:val="single" w:color="auto" w:sz="4" w:space="0"/>
            </w:tcBorders>
            <w:shd w:val="clear" w:color="auto" w:fill="auto"/>
            <w:hideMark/>
          </w:tcPr>
          <w:p w:rsidRPr="006321E4" w:rsidR="00FE3BAE" w:rsidP="008921C3" w:rsidRDefault="00052CB3" w14:paraId="3008FB17" w14:textId="428EC22B">
            <w:pPr>
              <w:jc w:val="center"/>
              <w:rPr>
                <w:bCs/>
              </w:rPr>
            </w:pPr>
            <w:r w:rsidRPr="006321E4">
              <w:rPr>
                <w:bCs/>
              </w:rPr>
              <w:t>California</w:t>
            </w:r>
            <w:r w:rsidRPr="006321E4">
              <w:rPr>
                <w:bCs/>
                <w:shd w:val="clear" w:color="auto" w:fill="CCFFCC"/>
              </w:rPr>
              <w:t xml:space="preserve"> </w:t>
            </w:r>
            <w:r w:rsidRPr="006321E4">
              <w:rPr>
                <w:bCs/>
              </w:rPr>
              <w:t>Environmental</w:t>
            </w:r>
            <w:r w:rsidRPr="006321E4">
              <w:rPr>
                <w:bCs/>
                <w:shd w:val="clear" w:color="auto" w:fill="CCFFCC"/>
              </w:rPr>
              <w:t xml:space="preserve"> </w:t>
            </w:r>
            <w:r w:rsidRPr="006321E4">
              <w:rPr>
                <w:bCs/>
              </w:rPr>
              <w:t>Justice Alliance</w:t>
            </w:r>
          </w:p>
        </w:tc>
        <w:tc>
          <w:tcPr>
            <w:tcW w:w="1980" w:type="dxa"/>
            <w:tcBorders>
              <w:top w:val="single" w:color="auto" w:sz="4" w:space="0"/>
              <w:left w:val="single" w:color="auto" w:sz="4" w:space="0"/>
              <w:bottom w:val="single" w:color="auto" w:sz="4" w:space="0"/>
              <w:right w:val="single" w:color="auto" w:sz="4" w:space="0"/>
            </w:tcBorders>
            <w:shd w:val="clear" w:color="auto" w:fill="auto"/>
            <w:hideMark/>
          </w:tcPr>
          <w:p w:rsidRPr="006321E4" w:rsidR="00FE3BAE" w:rsidP="008921C3" w:rsidRDefault="00052CB3" w14:paraId="63956769" w14:textId="6023025B">
            <w:pPr>
              <w:jc w:val="center"/>
            </w:pPr>
            <w:r w:rsidRPr="006321E4">
              <w:t>Mar. 22, 2021</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6321E4" w:rsidR="00FE3BAE" w:rsidP="008921C3" w:rsidRDefault="000C01FD" w14:paraId="75AD20FA" w14:textId="40CE0640">
            <w:pPr>
              <w:jc w:val="center"/>
            </w:pPr>
            <w:r w:rsidRPr="006321E4">
              <w:t>$91,038.31</w:t>
            </w:r>
          </w:p>
        </w:tc>
        <w:tc>
          <w:tcPr>
            <w:tcW w:w="1349" w:type="dxa"/>
            <w:tcBorders>
              <w:top w:val="single" w:color="auto" w:sz="4" w:space="0"/>
              <w:left w:val="single" w:color="auto" w:sz="4" w:space="0"/>
              <w:bottom w:val="single" w:color="auto" w:sz="4" w:space="0"/>
              <w:right w:val="single" w:color="auto" w:sz="4" w:space="0"/>
            </w:tcBorders>
            <w:hideMark/>
          </w:tcPr>
          <w:p w:rsidRPr="006321E4" w:rsidR="00FE3BAE" w:rsidP="008921C3" w:rsidRDefault="001020CA" w14:paraId="0DD6FE00" w14:textId="2AC9B181">
            <w:pPr>
              <w:jc w:val="center"/>
            </w:pPr>
            <w:r w:rsidRPr="006321E4">
              <w:t>$</w:t>
            </w:r>
            <w:r w:rsidRPr="006321E4" w:rsidR="00E4791E">
              <w:t>91,119.75</w:t>
            </w:r>
          </w:p>
        </w:tc>
        <w:tc>
          <w:tcPr>
            <w:tcW w:w="1393" w:type="dxa"/>
            <w:tcBorders>
              <w:top w:val="single" w:color="auto" w:sz="4" w:space="0"/>
              <w:left w:val="single" w:color="auto" w:sz="4" w:space="0"/>
              <w:bottom w:val="single" w:color="auto" w:sz="4" w:space="0"/>
              <w:right w:val="single" w:color="auto" w:sz="4" w:space="0"/>
            </w:tcBorders>
            <w:hideMark/>
          </w:tcPr>
          <w:p w:rsidRPr="006321E4" w:rsidR="00FE3BAE" w:rsidP="008921C3" w:rsidRDefault="00FE3BAE" w14:paraId="0BDAFE20" w14:textId="77777777">
            <w:pPr>
              <w:jc w:val="center"/>
            </w:pPr>
            <w:r w:rsidRPr="006321E4">
              <w:t>N/A</w:t>
            </w:r>
          </w:p>
        </w:tc>
        <w:tc>
          <w:tcPr>
            <w:tcW w:w="2483" w:type="dxa"/>
            <w:tcBorders>
              <w:top w:val="single" w:color="auto" w:sz="4" w:space="0"/>
              <w:left w:val="single" w:color="auto" w:sz="4" w:space="0"/>
              <w:bottom w:val="single" w:color="auto" w:sz="4" w:space="0"/>
              <w:right w:val="single" w:color="auto" w:sz="4" w:space="0"/>
            </w:tcBorders>
            <w:hideMark/>
          </w:tcPr>
          <w:p w:rsidRPr="006321E4" w:rsidR="00FE3BAE" w:rsidP="008921C3" w:rsidRDefault="001020CA" w14:paraId="6B53C6F9" w14:textId="6BC24058">
            <w:pPr>
              <w:jc w:val="center"/>
            </w:pPr>
            <w:r w:rsidRPr="006321E4">
              <w:rPr>
                <w:i/>
                <w:iCs/>
              </w:rPr>
              <w:t>See</w:t>
            </w:r>
            <w:r w:rsidRPr="006321E4">
              <w:t xml:space="preserve"> CPUC Comments, Disallowances, and Adjustments above</w:t>
            </w:r>
          </w:p>
        </w:tc>
      </w:tr>
    </w:tbl>
    <w:p w:rsidRPr="006321E4" w:rsidR="00FE3BAE" w:rsidP="006321E4" w:rsidRDefault="0022302F" w14:paraId="2841210B" w14:textId="77777777">
      <w:pPr>
        <w:keepNext/>
        <w:spacing w:before="480" w:after="240"/>
        <w:jc w:val="center"/>
        <w:rPr>
          <w:b/>
          <w:bCs/>
          <w:szCs w:val="28"/>
        </w:rPr>
      </w:pPr>
      <w:r w:rsidRPr="006321E4">
        <w:rPr>
          <w:b/>
          <w:bCs/>
          <w:szCs w:val="28"/>
        </w:rPr>
        <w:t>Hourly Fee</w:t>
      </w:r>
      <w:r w:rsidRPr="006321E4" w:rsidR="00FE3BAE">
        <w:rPr>
          <w:b/>
          <w:bCs/>
          <w:szCs w:val="28"/>
        </w:rPr>
        <w:t xml:space="preserve">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350"/>
        <w:gridCol w:w="2160"/>
        <w:gridCol w:w="1956"/>
        <w:gridCol w:w="1725"/>
        <w:gridCol w:w="1634"/>
      </w:tblGrid>
      <w:tr w:rsidRPr="006321E4" w:rsidR="008921C3" w:rsidTr="00F97770" w14:paraId="7CF2F0CA"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6321E4" w:rsidR="003B6A1B" w:rsidP="006321E4" w:rsidRDefault="003B6A1B" w14:paraId="61500303" w14:textId="77777777">
            <w:pPr>
              <w:jc w:val="center"/>
              <w:rPr>
                <w:b/>
                <w:bCs/>
              </w:rPr>
            </w:pPr>
            <w:r w:rsidRPr="006321E4">
              <w:rPr>
                <w:b/>
                <w:bCs/>
              </w:rPr>
              <w:t>First Name</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6321E4" w:rsidR="003B6A1B" w:rsidP="006321E4" w:rsidRDefault="003B6A1B" w14:paraId="55908486" w14:textId="77777777">
            <w:pPr>
              <w:jc w:val="center"/>
              <w:rPr>
                <w:b/>
                <w:bCs/>
              </w:rPr>
            </w:pPr>
            <w:r w:rsidRPr="006321E4">
              <w:rPr>
                <w:b/>
                <w:bCs/>
              </w:rPr>
              <w:t>Last Name</w:t>
            </w:r>
          </w:p>
        </w:tc>
        <w:tc>
          <w:tcPr>
            <w:tcW w:w="2160" w:type="dxa"/>
            <w:tcBorders>
              <w:top w:val="single" w:color="auto" w:sz="4" w:space="0"/>
              <w:left w:val="single" w:color="auto" w:sz="4" w:space="0"/>
              <w:bottom w:val="single" w:color="auto" w:sz="4" w:space="0"/>
              <w:right w:val="single" w:color="auto" w:sz="4" w:space="0"/>
            </w:tcBorders>
            <w:vAlign w:val="bottom"/>
            <w:hideMark/>
          </w:tcPr>
          <w:p w:rsidR="00F97770" w:rsidP="006321E4" w:rsidRDefault="00171EBF" w14:paraId="63556CEC" w14:textId="77777777">
            <w:pPr>
              <w:ind w:left="12" w:firstLine="12"/>
              <w:jc w:val="center"/>
              <w:rPr>
                <w:b/>
                <w:bCs/>
              </w:rPr>
            </w:pPr>
            <w:r w:rsidRPr="006321E4">
              <w:rPr>
                <w:b/>
                <w:bCs/>
              </w:rPr>
              <w:t>Attorney, Expert,</w:t>
            </w:r>
          </w:p>
          <w:p w:rsidRPr="006321E4" w:rsidR="003B6A1B" w:rsidP="006321E4" w:rsidRDefault="00171EBF" w14:paraId="2438DAE1" w14:textId="5F408A0D">
            <w:pPr>
              <w:ind w:left="12" w:firstLine="12"/>
              <w:jc w:val="center"/>
              <w:rPr>
                <w:b/>
                <w:bCs/>
              </w:rPr>
            </w:pPr>
            <w:r w:rsidRPr="006321E4">
              <w:rPr>
                <w:b/>
                <w:bCs/>
              </w:rPr>
              <w:t>or Advocate</w:t>
            </w:r>
          </w:p>
        </w:tc>
        <w:tc>
          <w:tcPr>
            <w:tcW w:w="1956"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3B6A1B" w14:paraId="2FF5BE1E" w14:textId="77777777">
            <w:pPr>
              <w:jc w:val="center"/>
              <w:rPr>
                <w:b/>
                <w:bCs/>
              </w:rPr>
            </w:pPr>
            <w:r w:rsidRPr="006321E4">
              <w:rPr>
                <w:b/>
                <w:bCs/>
              </w:rPr>
              <w:t xml:space="preserve">Hourly </w:t>
            </w:r>
          </w:p>
          <w:p w:rsidRPr="006321E4" w:rsidR="003B6A1B" w:rsidP="006321E4" w:rsidRDefault="003B6A1B" w14:paraId="3431A72E" w14:textId="3FF187DB">
            <w:pPr>
              <w:jc w:val="center"/>
              <w:rPr>
                <w:b/>
                <w:bCs/>
              </w:rPr>
            </w:pPr>
            <w:r w:rsidRPr="006321E4">
              <w:rPr>
                <w:b/>
                <w:bCs/>
              </w:rPr>
              <w:t>Fee Requested</w:t>
            </w:r>
          </w:p>
        </w:tc>
        <w:tc>
          <w:tcPr>
            <w:tcW w:w="1725"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3B6A1B" w14:paraId="155383BC" w14:textId="77777777">
            <w:pPr>
              <w:jc w:val="center"/>
              <w:rPr>
                <w:b/>
                <w:bCs/>
              </w:rPr>
            </w:pPr>
            <w:r w:rsidRPr="006321E4">
              <w:rPr>
                <w:b/>
                <w:bCs/>
              </w:rPr>
              <w:t xml:space="preserve">Year Hourly </w:t>
            </w:r>
          </w:p>
          <w:p w:rsidRPr="006321E4" w:rsidR="003B6A1B" w:rsidP="006321E4" w:rsidRDefault="003B6A1B" w14:paraId="6FE76773" w14:textId="7C4F9D53">
            <w:pPr>
              <w:jc w:val="center"/>
              <w:rPr>
                <w:b/>
                <w:bCs/>
              </w:rPr>
            </w:pPr>
            <w:r w:rsidRPr="006321E4">
              <w:rPr>
                <w:b/>
                <w:bCs/>
              </w:rPr>
              <w:t>Fee Requested</w:t>
            </w:r>
          </w:p>
        </w:tc>
        <w:tc>
          <w:tcPr>
            <w:tcW w:w="1634" w:type="dxa"/>
            <w:tcBorders>
              <w:top w:val="single" w:color="auto" w:sz="4" w:space="0"/>
              <w:left w:val="single" w:color="auto" w:sz="4" w:space="0"/>
              <w:bottom w:val="single" w:color="auto" w:sz="4" w:space="0"/>
              <w:right w:val="single" w:color="auto" w:sz="4" w:space="0"/>
            </w:tcBorders>
            <w:vAlign w:val="bottom"/>
            <w:hideMark/>
          </w:tcPr>
          <w:p w:rsidR="006321E4" w:rsidP="006321E4" w:rsidRDefault="003B6A1B" w14:paraId="0E916EAD" w14:textId="77777777">
            <w:pPr>
              <w:jc w:val="center"/>
              <w:rPr>
                <w:b/>
                <w:bCs/>
              </w:rPr>
            </w:pPr>
            <w:r w:rsidRPr="006321E4">
              <w:rPr>
                <w:b/>
                <w:bCs/>
              </w:rPr>
              <w:t xml:space="preserve">Hourly </w:t>
            </w:r>
          </w:p>
          <w:p w:rsidRPr="006321E4" w:rsidR="003B6A1B" w:rsidP="006321E4" w:rsidRDefault="003B6A1B" w14:paraId="1B789B85" w14:textId="1B9A6E98">
            <w:pPr>
              <w:jc w:val="center"/>
              <w:rPr>
                <w:b/>
                <w:bCs/>
              </w:rPr>
            </w:pPr>
            <w:r w:rsidRPr="006321E4">
              <w:rPr>
                <w:b/>
                <w:bCs/>
              </w:rPr>
              <w:t>Fee Adopted</w:t>
            </w:r>
          </w:p>
        </w:tc>
      </w:tr>
      <w:tr w:rsidRPr="006321E4" w:rsidR="008921C3" w:rsidTr="00F97770" w14:paraId="1211B948"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0F0C6D6C" w14:textId="66C2D20D">
            <w:pPr>
              <w:jc w:val="center"/>
              <w:rPr>
                <w:shd w:val="clear" w:color="auto" w:fill="CCFFCC"/>
              </w:rPr>
            </w:pPr>
            <w:r w:rsidRPr="006321E4">
              <w:t>Heather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6ACE7B68" w14:textId="6E2F8F52">
            <w:pPr>
              <w:jc w:val="center"/>
              <w:rPr>
                <w:shd w:val="clear" w:color="auto" w:fill="CCFFCC"/>
              </w:rPr>
            </w:pPr>
            <w:r w:rsidRPr="006321E4">
              <w:t>Lewis</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0E61474F" w14:textId="63D6FA3D">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B0641A" w14:paraId="44F9655C" w14:textId="1C013487">
            <w:pPr>
              <w:jc w:val="center"/>
            </w:pPr>
            <w:r w:rsidRPr="006321E4">
              <w:t>$320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2EB25516" w14:textId="7C793071">
            <w:pPr>
              <w:jc w:val="center"/>
            </w:pPr>
            <w:r w:rsidRPr="006321E4">
              <w:t>2019</w:t>
            </w:r>
          </w:p>
        </w:tc>
        <w:tc>
          <w:tcPr>
            <w:tcW w:w="1634" w:type="dxa"/>
            <w:tcBorders>
              <w:top w:val="single" w:color="auto" w:sz="4" w:space="0"/>
              <w:left w:val="single" w:color="auto" w:sz="4" w:space="0"/>
              <w:bottom w:val="single" w:color="auto" w:sz="4" w:space="0"/>
              <w:right w:val="single" w:color="auto" w:sz="4" w:space="0"/>
            </w:tcBorders>
          </w:tcPr>
          <w:p w:rsidRPr="006321E4" w:rsidR="003B6A1B" w:rsidP="008921C3" w:rsidRDefault="001020CA" w14:paraId="0A76FE98" w14:textId="41DBEBF3">
            <w:pPr>
              <w:jc w:val="center"/>
            </w:pPr>
            <w:r w:rsidRPr="006321E4">
              <w:t>$330.00</w:t>
            </w:r>
          </w:p>
        </w:tc>
      </w:tr>
      <w:tr w:rsidRPr="006321E4" w:rsidR="008921C3" w:rsidTr="00F97770" w14:paraId="23CC0A9F"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4CFDAB24" w14:textId="2B84D2F5">
            <w:pPr>
              <w:jc w:val="center"/>
              <w:rPr>
                <w:shd w:val="clear" w:color="auto" w:fill="CCFFCC"/>
              </w:rPr>
            </w:pPr>
            <w:r w:rsidRPr="006321E4">
              <w:t>Heather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3A9B4F75" w14:textId="7EFAA569">
            <w:pPr>
              <w:jc w:val="center"/>
              <w:rPr>
                <w:shd w:val="clear" w:color="auto" w:fill="CCFFCC"/>
              </w:rPr>
            </w:pPr>
            <w:r w:rsidRPr="006321E4">
              <w:t>Lewis</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73440B00" w14:textId="3DA91D72">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B0641A" w14:paraId="1466F47E" w14:textId="737FBAD0">
            <w:pPr>
              <w:jc w:val="center"/>
            </w:pPr>
            <w:r w:rsidRPr="006321E4">
              <w:t>$330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4CBE320E" w14:textId="51A30570">
            <w:pPr>
              <w:jc w:val="center"/>
            </w:pPr>
            <w:r w:rsidRPr="006321E4">
              <w:t>2020</w:t>
            </w:r>
          </w:p>
        </w:tc>
        <w:tc>
          <w:tcPr>
            <w:tcW w:w="1634" w:type="dxa"/>
            <w:tcBorders>
              <w:top w:val="single" w:color="auto" w:sz="4" w:space="0"/>
              <w:left w:val="single" w:color="auto" w:sz="4" w:space="0"/>
              <w:bottom w:val="single" w:color="auto" w:sz="4" w:space="0"/>
              <w:right w:val="single" w:color="auto" w:sz="4" w:space="0"/>
            </w:tcBorders>
          </w:tcPr>
          <w:p w:rsidRPr="006321E4" w:rsidR="003B6A1B" w:rsidP="008921C3" w:rsidRDefault="001020CA" w14:paraId="37932A57" w14:textId="5E1AF7E1">
            <w:pPr>
              <w:jc w:val="center"/>
            </w:pPr>
            <w:r w:rsidRPr="006321E4">
              <w:t>$340.00</w:t>
            </w:r>
          </w:p>
        </w:tc>
      </w:tr>
      <w:tr w:rsidRPr="006321E4" w:rsidR="008921C3" w:rsidTr="00F97770" w14:paraId="4C519B49"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65C04662" w14:textId="219DCA70">
            <w:pPr>
              <w:jc w:val="center"/>
              <w:rPr>
                <w:shd w:val="clear" w:color="auto" w:fill="CCFFCC"/>
              </w:rPr>
            </w:pPr>
            <w:r w:rsidRPr="006321E4">
              <w:t>Heather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1C590887" w14:textId="70A8A34E">
            <w:pPr>
              <w:jc w:val="center"/>
              <w:rPr>
                <w:shd w:val="clear" w:color="auto" w:fill="CCFFCC"/>
              </w:rPr>
            </w:pPr>
            <w:r w:rsidRPr="006321E4">
              <w:t>Lewis</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1EA8DE3D" w14:textId="1BDB8106">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B0641A" w14:paraId="4F6290AB" w14:textId="424BF70A">
            <w:pPr>
              <w:jc w:val="center"/>
            </w:pPr>
            <w:r w:rsidRPr="006321E4">
              <w:t>$413</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1354C70A" w14:textId="5BC737B5">
            <w:pPr>
              <w:jc w:val="center"/>
            </w:pPr>
            <w:r w:rsidRPr="006321E4">
              <w:t>2021</w:t>
            </w:r>
          </w:p>
        </w:tc>
        <w:tc>
          <w:tcPr>
            <w:tcW w:w="1634" w:type="dxa"/>
            <w:tcBorders>
              <w:top w:val="single" w:color="auto" w:sz="4" w:space="0"/>
              <w:left w:val="single" w:color="auto" w:sz="4" w:space="0"/>
              <w:bottom w:val="single" w:color="auto" w:sz="4" w:space="0"/>
              <w:right w:val="single" w:color="auto" w:sz="4" w:space="0"/>
            </w:tcBorders>
          </w:tcPr>
          <w:p w:rsidRPr="006321E4" w:rsidR="003B6A1B" w:rsidP="008921C3" w:rsidRDefault="001020CA" w14:paraId="36649915" w14:textId="16AB62FB">
            <w:pPr>
              <w:jc w:val="center"/>
            </w:pPr>
            <w:r w:rsidRPr="006321E4">
              <w:t>$41</w:t>
            </w:r>
            <w:r w:rsidRPr="006321E4" w:rsidR="00FE071F">
              <w:t>5</w:t>
            </w:r>
            <w:r w:rsidRPr="006321E4">
              <w:t>.00</w:t>
            </w:r>
          </w:p>
        </w:tc>
      </w:tr>
      <w:tr w:rsidRPr="006321E4" w:rsidR="008921C3" w:rsidTr="00F97770" w14:paraId="6C04DB40"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7E5E48" w:rsidP="008921C3" w:rsidRDefault="007E5E48" w14:paraId="71BF257F" w14:textId="219ECD3D">
            <w:pPr>
              <w:jc w:val="center"/>
              <w:rPr>
                <w:shd w:val="clear" w:color="auto" w:fill="CCFFCC"/>
              </w:rPr>
            </w:pPr>
            <w:r w:rsidRPr="006321E4">
              <w:t>Tyler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4D0E5B24" w14:textId="54B24678">
            <w:pPr>
              <w:jc w:val="center"/>
              <w:rPr>
                <w:shd w:val="clear" w:color="auto" w:fill="CCFFCC"/>
              </w:rPr>
            </w:pPr>
            <w:r w:rsidRPr="006321E4">
              <w:t>Earl</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3ACB6465" w14:textId="4EF17827">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B0641A" w14:paraId="27D75B3F" w14:textId="04C551F8">
            <w:pPr>
              <w:jc w:val="center"/>
            </w:pPr>
            <w:r w:rsidRPr="006321E4">
              <w:t>$180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C16023" w14:paraId="0BD45097" w14:textId="2F3DBCBD">
            <w:pPr>
              <w:jc w:val="center"/>
            </w:pPr>
            <w:r w:rsidRPr="006321E4">
              <w:t>2019</w:t>
            </w:r>
          </w:p>
        </w:tc>
        <w:tc>
          <w:tcPr>
            <w:tcW w:w="1634" w:type="dxa"/>
            <w:tcBorders>
              <w:top w:val="single" w:color="auto" w:sz="4" w:space="0"/>
              <w:left w:val="single" w:color="auto" w:sz="4" w:space="0"/>
              <w:bottom w:val="single" w:color="auto" w:sz="4" w:space="0"/>
              <w:right w:val="single" w:color="auto" w:sz="4" w:space="0"/>
            </w:tcBorders>
          </w:tcPr>
          <w:p w:rsidRPr="006321E4" w:rsidR="003B6A1B" w:rsidP="008921C3" w:rsidRDefault="001020CA" w14:paraId="6B245605" w14:textId="0CB9CC57">
            <w:pPr>
              <w:jc w:val="center"/>
            </w:pPr>
            <w:r w:rsidRPr="006321E4">
              <w:t>$180.00</w:t>
            </w:r>
          </w:p>
        </w:tc>
      </w:tr>
      <w:tr w:rsidRPr="006321E4" w:rsidR="008921C3" w:rsidTr="00F97770" w14:paraId="474E258F"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115C1393" w14:textId="4342C97C">
            <w:pPr>
              <w:jc w:val="center"/>
              <w:rPr>
                <w:shd w:val="clear" w:color="auto" w:fill="CCFFCC"/>
              </w:rPr>
            </w:pPr>
            <w:r w:rsidRPr="006321E4">
              <w:t>Tyler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1467A27B" w14:textId="7B29695A">
            <w:pPr>
              <w:jc w:val="center"/>
              <w:rPr>
                <w:shd w:val="clear" w:color="auto" w:fill="CCFFCC"/>
              </w:rPr>
            </w:pPr>
            <w:r w:rsidRPr="006321E4">
              <w:t>Earl</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7E5E48" w14:paraId="66D10560" w14:textId="209B5A1E">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B0641A" w14:paraId="7BC812A8" w14:textId="525F3AC1">
            <w:pPr>
              <w:jc w:val="center"/>
            </w:pPr>
            <w:r w:rsidRPr="006321E4">
              <w:t>$195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3B6A1B" w:rsidP="008921C3" w:rsidRDefault="00C16023" w14:paraId="4580AE9E" w14:textId="7409BB5F">
            <w:pPr>
              <w:jc w:val="center"/>
            </w:pPr>
            <w:r w:rsidRPr="006321E4">
              <w:t>2020</w:t>
            </w:r>
          </w:p>
        </w:tc>
        <w:tc>
          <w:tcPr>
            <w:tcW w:w="1634" w:type="dxa"/>
            <w:tcBorders>
              <w:top w:val="single" w:color="auto" w:sz="4" w:space="0"/>
              <w:left w:val="single" w:color="auto" w:sz="4" w:space="0"/>
              <w:bottom w:val="single" w:color="auto" w:sz="4" w:space="0"/>
              <w:right w:val="single" w:color="auto" w:sz="4" w:space="0"/>
            </w:tcBorders>
          </w:tcPr>
          <w:p w:rsidRPr="006321E4" w:rsidR="003B6A1B" w:rsidP="008921C3" w:rsidRDefault="001020CA" w14:paraId="74B7B957" w14:textId="4B7839DD">
            <w:pPr>
              <w:jc w:val="center"/>
            </w:pPr>
            <w:r w:rsidRPr="006321E4">
              <w:t>$195.00</w:t>
            </w:r>
          </w:p>
        </w:tc>
      </w:tr>
      <w:tr w:rsidRPr="006321E4" w:rsidR="008921C3" w:rsidTr="00F97770" w14:paraId="0DC4129D"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1C03A89B" w14:textId="26BABCA7">
            <w:pPr>
              <w:jc w:val="center"/>
              <w:rPr>
                <w:shd w:val="clear" w:color="auto" w:fill="CCFFCC"/>
              </w:rPr>
            </w:pPr>
            <w:r w:rsidRPr="006321E4">
              <w:t>Tyler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53680AFD" w14:textId="64E41128">
            <w:pPr>
              <w:jc w:val="center"/>
              <w:rPr>
                <w:shd w:val="clear" w:color="auto" w:fill="CCFFCC"/>
              </w:rPr>
            </w:pPr>
            <w:r w:rsidRPr="006321E4">
              <w:t>Earl</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597A6D17" w14:textId="1C73181B">
            <w:pPr>
              <w:jc w:val="center"/>
              <w:rPr>
                <w:shd w:val="clear" w:color="auto" w:fill="CCFFCC"/>
              </w:rPr>
            </w:pPr>
            <w:r w:rsidRPr="006321E4">
              <w:t>Attorney</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8A28E1" w14:paraId="48B7FBBF" w14:textId="0266C20C">
            <w:pPr>
              <w:jc w:val="center"/>
            </w:pPr>
            <w:r w:rsidRPr="006321E4">
              <w:t>$305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5541B9E8" w14:textId="3F5D89CC">
            <w:pPr>
              <w:jc w:val="center"/>
            </w:pPr>
            <w:r w:rsidRPr="006321E4">
              <w:t>2021</w:t>
            </w:r>
          </w:p>
        </w:tc>
        <w:tc>
          <w:tcPr>
            <w:tcW w:w="1634" w:type="dxa"/>
            <w:tcBorders>
              <w:top w:val="single" w:color="auto" w:sz="4" w:space="0"/>
              <w:left w:val="single" w:color="auto" w:sz="4" w:space="0"/>
              <w:bottom w:val="single" w:color="auto" w:sz="4" w:space="0"/>
              <w:right w:val="single" w:color="auto" w:sz="4" w:space="0"/>
            </w:tcBorders>
          </w:tcPr>
          <w:p w:rsidRPr="006321E4" w:rsidR="00C16023" w:rsidP="008921C3" w:rsidRDefault="001020CA" w14:paraId="5585EC38" w14:textId="785F2790">
            <w:pPr>
              <w:jc w:val="center"/>
            </w:pPr>
            <w:r w:rsidRPr="006321E4">
              <w:t>$305.00</w:t>
            </w:r>
          </w:p>
        </w:tc>
      </w:tr>
      <w:tr w:rsidRPr="006321E4" w:rsidR="008921C3" w:rsidTr="00F97770" w14:paraId="29AE6932"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360AC496" w14:textId="60F018CD">
            <w:pPr>
              <w:jc w:val="center"/>
              <w:rPr>
                <w:shd w:val="clear" w:color="auto" w:fill="CCFFCC"/>
              </w:rPr>
            </w:pPr>
            <w:r w:rsidRPr="006321E4">
              <w:t>Amee</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56248722" w14:textId="75F460F0">
            <w:pPr>
              <w:jc w:val="center"/>
              <w:rPr>
                <w:shd w:val="clear" w:color="auto" w:fill="CCFFCC"/>
              </w:rPr>
            </w:pPr>
            <w:r w:rsidRPr="006321E4">
              <w:t>Raval</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5260F89F" w14:textId="3B37C9AE">
            <w:pPr>
              <w:jc w:val="center"/>
              <w:rPr>
                <w:shd w:val="clear" w:color="auto" w:fill="CCFFCC"/>
              </w:rPr>
            </w:pPr>
            <w:r w:rsidRPr="006321E4">
              <w:t>Advocate</w:t>
            </w: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8A28E1" w14:paraId="6D2EBA5C" w14:textId="1D219D52">
            <w:pPr>
              <w:jc w:val="center"/>
            </w:pPr>
            <w:r w:rsidRPr="006321E4">
              <w:t>$170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34B04A04" w14:textId="25C15755">
            <w:pPr>
              <w:jc w:val="center"/>
            </w:pPr>
            <w:r w:rsidRPr="006321E4">
              <w:t>2020</w:t>
            </w:r>
          </w:p>
        </w:tc>
        <w:tc>
          <w:tcPr>
            <w:tcW w:w="1634" w:type="dxa"/>
            <w:tcBorders>
              <w:top w:val="single" w:color="auto" w:sz="4" w:space="0"/>
              <w:left w:val="single" w:color="auto" w:sz="4" w:space="0"/>
              <w:bottom w:val="single" w:color="auto" w:sz="4" w:space="0"/>
              <w:right w:val="single" w:color="auto" w:sz="4" w:space="0"/>
            </w:tcBorders>
          </w:tcPr>
          <w:p w:rsidRPr="006321E4" w:rsidR="00C16023" w:rsidP="008921C3" w:rsidRDefault="001020CA" w14:paraId="6A145930" w14:textId="179C2849">
            <w:pPr>
              <w:jc w:val="center"/>
            </w:pPr>
            <w:r w:rsidRPr="006321E4">
              <w:t>$170.00</w:t>
            </w:r>
          </w:p>
        </w:tc>
      </w:tr>
      <w:tr w:rsidRPr="006321E4" w:rsidR="008921C3" w:rsidTr="00F97770" w14:paraId="7BBD5E13"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00F97770" w:rsidP="008921C3" w:rsidRDefault="00C16023" w14:paraId="222D47A5" w14:textId="77777777">
            <w:pPr>
              <w:jc w:val="center"/>
            </w:pPr>
            <w:r w:rsidRPr="006321E4">
              <w:t xml:space="preserve">Clinical </w:t>
            </w:r>
          </w:p>
          <w:p w:rsidRPr="006321E4" w:rsidR="00C16023" w:rsidP="008921C3" w:rsidRDefault="00C16023" w14:paraId="23066614" w14:textId="40694949">
            <w:pPr>
              <w:jc w:val="center"/>
            </w:pPr>
            <w:r w:rsidRPr="006321E4">
              <w:t>Law Students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4786C89C" w14:textId="77777777">
            <w:pPr>
              <w:jc w:val="cente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18CADD1E" w14:textId="77777777">
            <w:pPr>
              <w:jc w:val="center"/>
              <w:rPr>
                <w:szCs w:val="26"/>
              </w:rPr>
            </w:pP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8A28E1" w14:paraId="39919693" w14:textId="15AF3076">
            <w:pPr>
              <w:jc w:val="center"/>
            </w:pPr>
            <w:r w:rsidRPr="006321E4">
              <w:t>$100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B0641A" w14:paraId="214A549B" w14:textId="7F8883A6">
            <w:pPr>
              <w:jc w:val="center"/>
            </w:pPr>
            <w:r w:rsidRPr="006321E4">
              <w:t>2020</w:t>
            </w:r>
          </w:p>
        </w:tc>
        <w:tc>
          <w:tcPr>
            <w:tcW w:w="1634" w:type="dxa"/>
            <w:tcBorders>
              <w:top w:val="single" w:color="auto" w:sz="4" w:space="0"/>
              <w:left w:val="single" w:color="auto" w:sz="4" w:space="0"/>
              <w:bottom w:val="single" w:color="auto" w:sz="4" w:space="0"/>
              <w:right w:val="single" w:color="auto" w:sz="4" w:space="0"/>
            </w:tcBorders>
          </w:tcPr>
          <w:p w:rsidRPr="006321E4" w:rsidR="00C16023" w:rsidP="008921C3" w:rsidRDefault="000C2B24" w14:paraId="3B9C718F" w14:textId="220B3293">
            <w:pPr>
              <w:jc w:val="center"/>
            </w:pPr>
            <w:r w:rsidRPr="006321E4">
              <w:t>$100.00</w:t>
            </w:r>
          </w:p>
        </w:tc>
      </w:tr>
      <w:tr w:rsidRPr="006321E4" w:rsidR="008921C3" w:rsidTr="00F97770" w14:paraId="1906C055" w14:textId="77777777">
        <w:trPr>
          <w:trHeight w:val="288"/>
          <w:jc w:val="center"/>
        </w:trPr>
        <w:tc>
          <w:tcPr>
            <w:tcW w:w="1615" w:type="dxa"/>
            <w:tcBorders>
              <w:top w:val="single" w:color="auto" w:sz="4" w:space="0"/>
              <w:left w:val="single" w:color="auto" w:sz="4" w:space="0"/>
              <w:bottom w:val="single" w:color="auto" w:sz="4" w:space="0"/>
              <w:right w:val="single" w:color="auto" w:sz="4" w:space="0"/>
            </w:tcBorders>
            <w:shd w:val="clear" w:color="auto" w:fill="auto"/>
          </w:tcPr>
          <w:p w:rsidR="00F97770" w:rsidP="008921C3" w:rsidRDefault="00B0641A" w14:paraId="424E2D5F" w14:textId="77777777">
            <w:pPr>
              <w:jc w:val="center"/>
            </w:pPr>
            <w:r w:rsidRPr="006321E4">
              <w:t xml:space="preserve">Clinical </w:t>
            </w:r>
          </w:p>
          <w:p w:rsidRPr="006321E4" w:rsidR="00C16023" w:rsidP="008921C3" w:rsidRDefault="00B0641A" w14:paraId="2ACF0B05" w14:textId="3E223B6A">
            <w:pPr>
              <w:jc w:val="center"/>
            </w:pPr>
            <w:r w:rsidRPr="006321E4">
              <w:t>Law Students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63E68C11" w14:textId="77777777">
            <w:pPr>
              <w:jc w:val="cente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C16023" w14:paraId="1E984C6F" w14:textId="77777777">
            <w:pPr>
              <w:jc w:val="center"/>
              <w:rPr>
                <w:szCs w:val="26"/>
              </w:rPr>
            </w:pPr>
          </w:p>
        </w:tc>
        <w:tc>
          <w:tcPr>
            <w:tcW w:w="1956"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8A28E1" w14:paraId="53B8F326" w14:textId="5A354439">
            <w:pPr>
              <w:jc w:val="center"/>
            </w:pPr>
            <w:r w:rsidRPr="006321E4">
              <w:t>$100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6321E4" w:rsidR="00C16023" w:rsidP="008921C3" w:rsidRDefault="00B0641A" w14:paraId="7954D4D0" w14:textId="0C724552">
            <w:pPr>
              <w:jc w:val="center"/>
            </w:pPr>
            <w:r w:rsidRPr="006321E4">
              <w:t>2021</w:t>
            </w:r>
          </w:p>
        </w:tc>
        <w:tc>
          <w:tcPr>
            <w:tcW w:w="1634" w:type="dxa"/>
            <w:tcBorders>
              <w:top w:val="single" w:color="auto" w:sz="4" w:space="0"/>
              <w:left w:val="single" w:color="auto" w:sz="4" w:space="0"/>
              <w:bottom w:val="single" w:color="auto" w:sz="4" w:space="0"/>
              <w:right w:val="single" w:color="auto" w:sz="4" w:space="0"/>
            </w:tcBorders>
          </w:tcPr>
          <w:p w:rsidRPr="006321E4" w:rsidR="00C16023" w:rsidP="008921C3" w:rsidRDefault="000C2B24" w14:paraId="467531DD" w14:textId="130CA77E">
            <w:pPr>
              <w:jc w:val="center"/>
            </w:pPr>
            <w:r w:rsidRPr="006321E4">
              <w:t>$100.00</w:t>
            </w:r>
          </w:p>
        </w:tc>
      </w:tr>
    </w:tbl>
    <w:p w:rsidRPr="006321E4" w:rsidR="0022302F" w:rsidP="008921C3" w:rsidRDefault="0022302F" w14:paraId="330D3693" w14:textId="77777777">
      <w:pPr>
        <w:spacing w:line="360" w:lineRule="auto"/>
        <w:rPr>
          <w:b/>
        </w:rPr>
      </w:pPr>
    </w:p>
    <w:p w:rsidRPr="006321E4" w:rsidR="0022302F" w:rsidP="008921C3" w:rsidRDefault="0022302F" w14:paraId="1CF37A00" w14:textId="77777777">
      <w:pPr>
        <w:spacing w:line="360" w:lineRule="auto"/>
        <w:rPr>
          <w:b/>
        </w:rPr>
      </w:pPr>
    </w:p>
    <w:p w:rsidRPr="006321E4" w:rsidR="0022302F" w:rsidP="008921C3" w:rsidRDefault="0022302F" w14:paraId="439C0840" w14:textId="77777777">
      <w:pPr>
        <w:spacing w:line="360" w:lineRule="auto"/>
        <w:rPr>
          <w:b/>
        </w:rPr>
      </w:pPr>
    </w:p>
    <w:p w:rsidRPr="006321E4" w:rsidR="00FE3BAE" w:rsidP="008921C3" w:rsidRDefault="00FE3BAE" w14:paraId="53F54635" w14:textId="77777777">
      <w:pPr>
        <w:jc w:val="center"/>
      </w:pPr>
      <w:r w:rsidRPr="006321E4">
        <w:rPr>
          <w:b/>
        </w:rPr>
        <w:t xml:space="preserve">(END OF </w:t>
      </w:r>
      <w:r w:rsidRPr="006321E4">
        <w:rPr>
          <w:b/>
          <w:szCs w:val="26"/>
        </w:rPr>
        <w:t>APPENDIX</w:t>
      </w:r>
      <w:r w:rsidRPr="006321E4">
        <w:rPr>
          <w:b/>
        </w:rPr>
        <w:t>)</w:t>
      </w:r>
    </w:p>
    <w:sectPr w:rsidRPr="006321E4" w:rsidR="00FE3BAE" w:rsidSect="00EE6FC5">
      <w:footerReference w:type="default" r:id="rId13"/>
      <w:pgSz w:w="12240" w:h="15840"/>
      <w:pgMar w:top="1728"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FE41" w14:textId="77777777" w:rsidR="00FA1556" w:rsidRDefault="00FA1556" w:rsidP="00885956">
      <w:r>
        <w:separator/>
      </w:r>
    </w:p>
  </w:endnote>
  <w:endnote w:type="continuationSeparator" w:id="0">
    <w:p w14:paraId="2EB19AFD" w14:textId="77777777" w:rsidR="00FA1556" w:rsidRDefault="00FA1556" w:rsidP="00885956">
      <w:r>
        <w:continuationSeparator/>
      </w:r>
    </w:p>
  </w:endnote>
  <w:endnote w:type="continuationNotice" w:id="1">
    <w:p w14:paraId="2FB9A613" w14:textId="77777777" w:rsidR="00FA1556" w:rsidRDefault="00FA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43759A24" w:rsidR="003B6A1B" w:rsidRDefault="003B6A1B">
        <w:pPr>
          <w:pStyle w:val="Footer"/>
          <w:jc w:val="center"/>
        </w:pPr>
        <w:r>
          <w:fldChar w:fldCharType="begin"/>
        </w:r>
        <w:r>
          <w:instrText xml:space="preserve"> PAGE   \* MERGEFORMAT </w:instrText>
        </w:r>
        <w:r>
          <w:fldChar w:fldCharType="separate"/>
        </w:r>
        <w:r w:rsidR="0055228B">
          <w:rPr>
            <w:noProof/>
          </w:rPr>
          <w:t xml:space="preserve">- 1 </w:t>
        </w:r>
        <w:r w:rsidR="00E54F5A">
          <w:rPr>
            <w:noProof/>
          </w:rPr>
          <w:noBreakHyphen/>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4C2D" w14:textId="72280920" w:rsidR="00CF1129" w:rsidRDefault="000F2429" w:rsidP="007B0FC5">
    <w:pPr>
      <w:pStyle w:val="Footer"/>
    </w:pPr>
    <w:r w:rsidRPr="000F2429">
      <w:rPr>
        <w:rFonts w:ascii="Arial" w:hAnsi="Arial"/>
        <w:sz w:val="16"/>
      </w:rPr>
      <w:t>479587784</w:t>
    </w:r>
    <w:r w:rsidR="007B0FC5">
      <w:tab/>
    </w:r>
    <w:sdt>
      <w:sdtPr>
        <w:id w:val="66549329"/>
        <w:docPartObj>
          <w:docPartGallery w:val="Page Numbers (Bottom of Page)"/>
          <w:docPartUnique/>
        </w:docPartObj>
      </w:sdtPr>
      <w:sdtEndPr>
        <w:rPr>
          <w:noProof/>
        </w:rPr>
      </w:sdtEndPr>
      <w:sdtContent>
        <w:r w:rsidR="00CF1129">
          <w:fldChar w:fldCharType="begin"/>
        </w:r>
        <w:r w:rsidR="00CF1129">
          <w:instrText xml:space="preserve"> PAGE   \* MERGEFORMAT </w:instrText>
        </w:r>
        <w:r w:rsidR="00CF1129">
          <w:fldChar w:fldCharType="separate"/>
        </w:r>
        <w:r w:rsidR="002A6C07">
          <w:rPr>
            <w:noProof/>
          </w:rPr>
          <w:t xml:space="preserve">- 1 </w:t>
        </w:r>
        <w:r w:rsidR="00E54F5A">
          <w:rPr>
            <w:noProof/>
          </w:rPr>
          <w:noBreakHyphen/>
        </w:r>
        <w:r w:rsidR="00CF112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AB66" w14:textId="4CF1EE71" w:rsidR="00F97770" w:rsidRDefault="00F977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2353" w14:textId="77777777" w:rsidR="00FA1556" w:rsidRDefault="00FA1556" w:rsidP="00885956">
      <w:r>
        <w:separator/>
      </w:r>
    </w:p>
  </w:footnote>
  <w:footnote w:type="continuationSeparator" w:id="0">
    <w:p w14:paraId="79BF255C" w14:textId="77777777" w:rsidR="00FA1556" w:rsidRDefault="00FA1556" w:rsidP="00885956">
      <w:r>
        <w:continuationSeparator/>
      </w:r>
    </w:p>
  </w:footnote>
  <w:footnote w:type="continuationNotice" w:id="1">
    <w:p w14:paraId="3F87ED86" w14:textId="77777777" w:rsidR="00FA1556" w:rsidRDefault="00FA1556"/>
  </w:footnote>
  <w:footnote w:id="2">
    <w:p w14:paraId="7CAF0DDD" w14:textId="77777777" w:rsidR="003B6A1B" w:rsidRDefault="003B6A1B">
      <w:pPr>
        <w:pStyle w:val="FootnoteText"/>
      </w:pPr>
      <w:r>
        <w:rPr>
          <w:rStyle w:val="FootnoteReference"/>
        </w:rPr>
        <w:footnoteRef/>
      </w:r>
      <w:r>
        <w:t xml:space="preserve"> All statutory references are to California Public Utilities Code unless indicated otherwise.</w:t>
      </w:r>
    </w:p>
  </w:footnote>
  <w:footnote w:id="3">
    <w:p w14:paraId="067A050B" w14:textId="197B0CC0" w:rsidR="009E48E4" w:rsidRDefault="009E48E4" w:rsidP="00642E65">
      <w:pPr>
        <w:pStyle w:val="FootnoteText"/>
      </w:pPr>
      <w:r>
        <w:rPr>
          <w:rStyle w:val="FootnoteReference"/>
        </w:rPr>
        <w:footnoteRef/>
      </w:r>
      <w:r>
        <w:t xml:space="preserve"> </w:t>
      </w:r>
      <w:r w:rsidRPr="00D30039">
        <w:t>The Office of Ratepayer Advocates was renamed the Public Advocate</w:t>
      </w:r>
      <w:r w:rsidR="00621A7C">
        <w:t>’</w:t>
      </w:r>
      <w:r w:rsidRPr="00D30039">
        <w:t>s Office of the Public Utilities Commission pursuant to Senate Bill</w:t>
      </w:r>
      <w:r w:rsidR="00642E65">
        <w:t> </w:t>
      </w:r>
      <w:r w:rsidRPr="00D30039">
        <w:t>854, which the Governor approved on June 27, 2018. </w:t>
      </w:r>
    </w:p>
  </w:footnote>
  <w:footnote w:id="4">
    <w:p w14:paraId="2A44723A" w14:textId="01DCDA53" w:rsidR="004C3798" w:rsidRPr="00DE3A5D" w:rsidRDefault="004C3798" w:rsidP="00642E65">
      <w:pPr>
        <w:pStyle w:val="FootnoteText"/>
      </w:pPr>
      <w:r w:rsidRPr="00DE3A5D">
        <w:rPr>
          <w:rStyle w:val="FootnoteReference"/>
          <w:sz w:val="20"/>
        </w:rPr>
        <w:footnoteRef/>
      </w:r>
      <w:r w:rsidRPr="00DE3A5D">
        <w:t xml:space="preserve"> This information may be </w:t>
      </w:r>
      <w:r w:rsidRPr="00DE3A5D">
        <w:rPr>
          <w:color w:val="000000"/>
        </w:rPr>
        <w:t>obtain</w:t>
      </w:r>
      <w:r>
        <w:rPr>
          <w:color w:val="000000"/>
        </w:rPr>
        <w:t>ed through the State Ba</w:t>
      </w:r>
      <w:r w:rsidRPr="00642E65">
        <w:rPr>
          <w:color w:val="000000"/>
        </w:rPr>
        <w:t xml:space="preserve">r of California’s website at </w:t>
      </w:r>
      <w:hyperlink r:id="rId1" w:history="1">
        <w:r w:rsidRPr="00642E65">
          <w:rPr>
            <w:rStyle w:val="Hyperlink"/>
          </w:rPr>
          <w:t>http://members.calbar.ca.gov/fal/MemberSearch/QuickSearch</w:t>
        </w:r>
      </w:hyperlink>
      <w:r w:rsidRPr="00642E6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7547" w14:textId="7A98AE43" w:rsidR="00F97770" w:rsidRDefault="00F97770" w:rsidP="00F97770">
    <w:pPr>
      <w:pStyle w:val="Header"/>
      <w:tabs>
        <w:tab w:val="clear" w:pos="4680"/>
      </w:tabs>
    </w:pPr>
    <w:r w:rsidRPr="00F97770">
      <w:t>R</w:t>
    </w:r>
    <w:r>
      <w:t>.</w:t>
    </w:r>
    <w:r w:rsidRPr="00F97770">
      <w:t>19</w:t>
    </w:r>
    <w:r>
      <w:t>-</w:t>
    </w:r>
    <w:r w:rsidRPr="00F97770">
      <w:t>09</w:t>
    </w:r>
    <w:r>
      <w:t>-</w:t>
    </w:r>
    <w:r w:rsidRPr="00F97770">
      <w:t>009</w:t>
    </w:r>
    <w:r>
      <w:t xml:space="preserve">  ALJ/CR2/nd3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07064"/>
    <w:multiLevelType w:val="hybridMultilevel"/>
    <w:tmpl w:val="A312940C"/>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2392ACF"/>
    <w:multiLevelType w:val="hybridMultilevel"/>
    <w:tmpl w:val="A312940C"/>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23A1311"/>
    <w:multiLevelType w:val="hybridMultilevel"/>
    <w:tmpl w:val="5A56328E"/>
    <w:lvl w:ilvl="0" w:tplc="E926D71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A055B"/>
    <w:multiLevelType w:val="hybridMultilevel"/>
    <w:tmpl w:val="5A56328E"/>
    <w:lvl w:ilvl="0" w:tplc="FFFFFFFF">
      <w:start w:val="1"/>
      <w:numFmt w:val="upperLetter"/>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3E7EE2"/>
    <w:multiLevelType w:val="hybridMultilevel"/>
    <w:tmpl w:val="A312940C"/>
    <w:lvl w:ilvl="0" w:tplc="6A8E543A">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71A64940"/>
    <w:multiLevelType w:val="hybridMultilevel"/>
    <w:tmpl w:val="A5FC35B8"/>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63483">
    <w:abstractNumId w:val="10"/>
  </w:num>
  <w:num w:numId="2" w16cid:durableId="1388719170">
    <w:abstractNumId w:val="0"/>
  </w:num>
  <w:num w:numId="3" w16cid:durableId="1041051269">
    <w:abstractNumId w:val="11"/>
  </w:num>
  <w:num w:numId="4" w16cid:durableId="1710110651">
    <w:abstractNumId w:val="7"/>
  </w:num>
  <w:num w:numId="5" w16cid:durableId="1070419565">
    <w:abstractNumId w:val="6"/>
  </w:num>
  <w:num w:numId="6" w16cid:durableId="454182264">
    <w:abstractNumId w:val="8"/>
  </w:num>
  <w:num w:numId="7" w16cid:durableId="1346903213">
    <w:abstractNumId w:val="9"/>
  </w:num>
  <w:num w:numId="8" w16cid:durableId="118450804">
    <w:abstractNumId w:val="3"/>
  </w:num>
  <w:num w:numId="9" w16cid:durableId="487477990">
    <w:abstractNumId w:val="4"/>
  </w:num>
  <w:num w:numId="10" w16cid:durableId="1885824653">
    <w:abstractNumId w:val="5"/>
  </w:num>
  <w:num w:numId="11" w16cid:durableId="95637576">
    <w:abstractNumId w:val="2"/>
  </w:num>
  <w:num w:numId="12" w16cid:durableId="181325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2665"/>
    <w:rsid w:val="00003A49"/>
    <w:rsid w:val="000105A5"/>
    <w:rsid w:val="00013765"/>
    <w:rsid w:val="00026A15"/>
    <w:rsid w:val="00034492"/>
    <w:rsid w:val="0003532E"/>
    <w:rsid w:val="000368AF"/>
    <w:rsid w:val="00036F54"/>
    <w:rsid w:val="000370A0"/>
    <w:rsid w:val="00042496"/>
    <w:rsid w:val="000442C8"/>
    <w:rsid w:val="00045A2F"/>
    <w:rsid w:val="00052CB3"/>
    <w:rsid w:val="00054FFE"/>
    <w:rsid w:val="00057F33"/>
    <w:rsid w:val="000618B2"/>
    <w:rsid w:val="00070A00"/>
    <w:rsid w:val="00072C81"/>
    <w:rsid w:val="000760CC"/>
    <w:rsid w:val="000906D4"/>
    <w:rsid w:val="00092FC8"/>
    <w:rsid w:val="00093DDA"/>
    <w:rsid w:val="000B08B9"/>
    <w:rsid w:val="000B5B56"/>
    <w:rsid w:val="000C01FD"/>
    <w:rsid w:val="000C2001"/>
    <w:rsid w:val="000C2B24"/>
    <w:rsid w:val="000D3416"/>
    <w:rsid w:val="000D6CA0"/>
    <w:rsid w:val="000D6DF8"/>
    <w:rsid w:val="000E41D9"/>
    <w:rsid w:val="000E44D5"/>
    <w:rsid w:val="000E6ABD"/>
    <w:rsid w:val="000F2189"/>
    <w:rsid w:val="000F2429"/>
    <w:rsid w:val="000F3BEA"/>
    <w:rsid w:val="000F595C"/>
    <w:rsid w:val="000F7670"/>
    <w:rsid w:val="001020CA"/>
    <w:rsid w:val="00104289"/>
    <w:rsid w:val="0010480F"/>
    <w:rsid w:val="00110D89"/>
    <w:rsid w:val="00113A84"/>
    <w:rsid w:val="00121C7B"/>
    <w:rsid w:val="00123103"/>
    <w:rsid w:val="00125492"/>
    <w:rsid w:val="001265E9"/>
    <w:rsid w:val="00127B6D"/>
    <w:rsid w:val="00130D10"/>
    <w:rsid w:val="00131A4A"/>
    <w:rsid w:val="001346EB"/>
    <w:rsid w:val="00141A30"/>
    <w:rsid w:val="00141A4E"/>
    <w:rsid w:val="00144E40"/>
    <w:rsid w:val="0015131F"/>
    <w:rsid w:val="00151AA8"/>
    <w:rsid w:val="001522DF"/>
    <w:rsid w:val="00152F94"/>
    <w:rsid w:val="00162832"/>
    <w:rsid w:val="00164DF5"/>
    <w:rsid w:val="00171EBF"/>
    <w:rsid w:val="0017277B"/>
    <w:rsid w:val="00175865"/>
    <w:rsid w:val="00180E8C"/>
    <w:rsid w:val="00184D37"/>
    <w:rsid w:val="00185145"/>
    <w:rsid w:val="0018798F"/>
    <w:rsid w:val="00191B4A"/>
    <w:rsid w:val="0019417D"/>
    <w:rsid w:val="00194C04"/>
    <w:rsid w:val="001962EB"/>
    <w:rsid w:val="001A7EBA"/>
    <w:rsid w:val="001B3266"/>
    <w:rsid w:val="001B5AB2"/>
    <w:rsid w:val="001C0DD1"/>
    <w:rsid w:val="001C21AE"/>
    <w:rsid w:val="001C3D72"/>
    <w:rsid w:val="001C5DC4"/>
    <w:rsid w:val="001C7E93"/>
    <w:rsid w:val="001D3ED2"/>
    <w:rsid w:val="001D4770"/>
    <w:rsid w:val="001D5BFE"/>
    <w:rsid w:val="001E233F"/>
    <w:rsid w:val="001E2694"/>
    <w:rsid w:val="001E77CF"/>
    <w:rsid w:val="001F238E"/>
    <w:rsid w:val="001F2DC9"/>
    <w:rsid w:val="001F4993"/>
    <w:rsid w:val="001F5EAF"/>
    <w:rsid w:val="001F7359"/>
    <w:rsid w:val="00202611"/>
    <w:rsid w:val="00204E3A"/>
    <w:rsid w:val="00207191"/>
    <w:rsid w:val="00212E10"/>
    <w:rsid w:val="002146CD"/>
    <w:rsid w:val="00214B22"/>
    <w:rsid w:val="00216F00"/>
    <w:rsid w:val="00217224"/>
    <w:rsid w:val="0022302F"/>
    <w:rsid w:val="00226F6A"/>
    <w:rsid w:val="00227177"/>
    <w:rsid w:val="00230392"/>
    <w:rsid w:val="00230BD0"/>
    <w:rsid w:val="00232776"/>
    <w:rsid w:val="00234CF8"/>
    <w:rsid w:val="002407CA"/>
    <w:rsid w:val="002415DC"/>
    <w:rsid w:val="00241A2D"/>
    <w:rsid w:val="002466F8"/>
    <w:rsid w:val="0025009C"/>
    <w:rsid w:val="00250592"/>
    <w:rsid w:val="00256F00"/>
    <w:rsid w:val="00257DAB"/>
    <w:rsid w:val="00260518"/>
    <w:rsid w:val="00260E2E"/>
    <w:rsid w:val="00264333"/>
    <w:rsid w:val="002643E9"/>
    <w:rsid w:val="00266571"/>
    <w:rsid w:val="00270E2E"/>
    <w:rsid w:val="00273208"/>
    <w:rsid w:val="00275395"/>
    <w:rsid w:val="00276F82"/>
    <w:rsid w:val="00281AF3"/>
    <w:rsid w:val="002950AA"/>
    <w:rsid w:val="002A0773"/>
    <w:rsid w:val="002A3960"/>
    <w:rsid w:val="002A6C07"/>
    <w:rsid w:val="002B38D6"/>
    <w:rsid w:val="002D0ABC"/>
    <w:rsid w:val="002D1199"/>
    <w:rsid w:val="002D21CA"/>
    <w:rsid w:val="002D53AA"/>
    <w:rsid w:val="002D5E3C"/>
    <w:rsid w:val="002E5F83"/>
    <w:rsid w:val="002E77D8"/>
    <w:rsid w:val="002F3E6E"/>
    <w:rsid w:val="002F4C7F"/>
    <w:rsid w:val="00303C2B"/>
    <w:rsid w:val="00307D85"/>
    <w:rsid w:val="0031311B"/>
    <w:rsid w:val="003252A1"/>
    <w:rsid w:val="00330539"/>
    <w:rsid w:val="00330D42"/>
    <w:rsid w:val="00343C5B"/>
    <w:rsid w:val="00344602"/>
    <w:rsid w:val="003501DD"/>
    <w:rsid w:val="00355D48"/>
    <w:rsid w:val="00357F1A"/>
    <w:rsid w:val="00360029"/>
    <w:rsid w:val="00360777"/>
    <w:rsid w:val="00363164"/>
    <w:rsid w:val="00364C4A"/>
    <w:rsid w:val="00374FD1"/>
    <w:rsid w:val="00377884"/>
    <w:rsid w:val="00380293"/>
    <w:rsid w:val="00380703"/>
    <w:rsid w:val="00383CAB"/>
    <w:rsid w:val="003858F3"/>
    <w:rsid w:val="0039101E"/>
    <w:rsid w:val="003A134B"/>
    <w:rsid w:val="003A76D8"/>
    <w:rsid w:val="003B1782"/>
    <w:rsid w:val="003B5EAC"/>
    <w:rsid w:val="003B6A1B"/>
    <w:rsid w:val="003C608A"/>
    <w:rsid w:val="003C6FBF"/>
    <w:rsid w:val="003D3144"/>
    <w:rsid w:val="003D359B"/>
    <w:rsid w:val="003D4455"/>
    <w:rsid w:val="003D7615"/>
    <w:rsid w:val="003D782A"/>
    <w:rsid w:val="003E34FD"/>
    <w:rsid w:val="003E4900"/>
    <w:rsid w:val="003F048F"/>
    <w:rsid w:val="003F0796"/>
    <w:rsid w:val="003F36C3"/>
    <w:rsid w:val="003F7FC4"/>
    <w:rsid w:val="0041225D"/>
    <w:rsid w:val="00412B0F"/>
    <w:rsid w:val="00421DC9"/>
    <w:rsid w:val="00430FB4"/>
    <w:rsid w:val="004356EB"/>
    <w:rsid w:val="00437DD4"/>
    <w:rsid w:val="00441032"/>
    <w:rsid w:val="00445EB9"/>
    <w:rsid w:val="00451EB4"/>
    <w:rsid w:val="004534E7"/>
    <w:rsid w:val="004751FC"/>
    <w:rsid w:val="00480BF6"/>
    <w:rsid w:val="00480F53"/>
    <w:rsid w:val="004818D5"/>
    <w:rsid w:val="00482CE1"/>
    <w:rsid w:val="004840D2"/>
    <w:rsid w:val="004A5B20"/>
    <w:rsid w:val="004B2A2A"/>
    <w:rsid w:val="004B7B61"/>
    <w:rsid w:val="004C01E4"/>
    <w:rsid w:val="004C0961"/>
    <w:rsid w:val="004C3798"/>
    <w:rsid w:val="004C39A1"/>
    <w:rsid w:val="004D0ADD"/>
    <w:rsid w:val="004D5752"/>
    <w:rsid w:val="004D6B6D"/>
    <w:rsid w:val="004D779D"/>
    <w:rsid w:val="004D7A38"/>
    <w:rsid w:val="004E0395"/>
    <w:rsid w:val="004E04BF"/>
    <w:rsid w:val="004E3939"/>
    <w:rsid w:val="004E3D93"/>
    <w:rsid w:val="004E535D"/>
    <w:rsid w:val="005036C4"/>
    <w:rsid w:val="005139EE"/>
    <w:rsid w:val="00516CE7"/>
    <w:rsid w:val="00520518"/>
    <w:rsid w:val="00521369"/>
    <w:rsid w:val="005215EF"/>
    <w:rsid w:val="005216C1"/>
    <w:rsid w:val="00521B86"/>
    <w:rsid w:val="00527BC3"/>
    <w:rsid w:val="00527FDB"/>
    <w:rsid w:val="0053005D"/>
    <w:rsid w:val="00531F18"/>
    <w:rsid w:val="00533373"/>
    <w:rsid w:val="00536E25"/>
    <w:rsid w:val="0054657E"/>
    <w:rsid w:val="00547145"/>
    <w:rsid w:val="00551967"/>
    <w:rsid w:val="0055228B"/>
    <w:rsid w:val="0055720E"/>
    <w:rsid w:val="00565560"/>
    <w:rsid w:val="00574756"/>
    <w:rsid w:val="005765FE"/>
    <w:rsid w:val="00577A50"/>
    <w:rsid w:val="005912FA"/>
    <w:rsid w:val="00592B88"/>
    <w:rsid w:val="005A53F1"/>
    <w:rsid w:val="005A63D4"/>
    <w:rsid w:val="005A65C2"/>
    <w:rsid w:val="005C327F"/>
    <w:rsid w:val="005C52A0"/>
    <w:rsid w:val="005D00DE"/>
    <w:rsid w:val="005D4952"/>
    <w:rsid w:val="005E10B1"/>
    <w:rsid w:val="005E713C"/>
    <w:rsid w:val="005F0CE7"/>
    <w:rsid w:val="005F3069"/>
    <w:rsid w:val="005F4D82"/>
    <w:rsid w:val="006036DA"/>
    <w:rsid w:val="0061179F"/>
    <w:rsid w:val="00617A07"/>
    <w:rsid w:val="00621A7C"/>
    <w:rsid w:val="0062594B"/>
    <w:rsid w:val="006321E4"/>
    <w:rsid w:val="00635DAF"/>
    <w:rsid w:val="0063671D"/>
    <w:rsid w:val="00642E65"/>
    <w:rsid w:val="00645D0F"/>
    <w:rsid w:val="0065087E"/>
    <w:rsid w:val="00652143"/>
    <w:rsid w:val="00652DEA"/>
    <w:rsid w:val="0065306B"/>
    <w:rsid w:val="0065353A"/>
    <w:rsid w:val="00660D7E"/>
    <w:rsid w:val="006637D2"/>
    <w:rsid w:val="0066578E"/>
    <w:rsid w:val="00665BC3"/>
    <w:rsid w:val="00673595"/>
    <w:rsid w:val="00673EB1"/>
    <w:rsid w:val="0068109C"/>
    <w:rsid w:val="006829AE"/>
    <w:rsid w:val="00686F3E"/>
    <w:rsid w:val="00691528"/>
    <w:rsid w:val="00692738"/>
    <w:rsid w:val="00696F8D"/>
    <w:rsid w:val="006A71CF"/>
    <w:rsid w:val="006A7272"/>
    <w:rsid w:val="006B7375"/>
    <w:rsid w:val="006C6177"/>
    <w:rsid w:val="006D1BE0"/>
    <w:rsid w:val="006D26E2"/>
    <w:rsid w:val="006D4B0E"/>
    <w:rsid w:val="006D4FF9"/>
    <w:rsid w:val="006E0FC5"/>
    <w:rsid w:val="006E669C"/>
    <w:rsid w:val="006F19E2"/>
    <w:rsid w:val="007003CA"/>
    <w:rsid w:val="00700421"/>
    <w:rsid w:val="00703D5A"/>
    <w:rsid w:val="007068F2"/>
    <w:rsid w:val="0071279B"/>
    <w:rsid w:val="0071758E"/>
    <w:rsid w:val="00731D96"/>
    <w:rsid w:val="00735BBA"/>
    <w:rsid w:val="0074554A"/>
    <w:rsid w:val="0074620B"/>
    <w:rsid w:val="00752898"/>
    <w:rsid w:val="00757B44"/>
    <w:rsid w:val="00761C4F"/>
    <w:rsid w:val="0076410B"/>
    <w:rsid w:val="00777C38"/>
    <w:rsid w:val="00780C7B"/>
    <w:rsid w:val="00781894"/>
    <w:rsid w:val="0079148E"/>
    <w:rsid w:val="007A3FCC"/>
    <w:rsid w:val="007B0FC5"/>
    <w:rsid w:val="007C1B69"/>
    <w:rsid w:val="007D0962"/>
    <w:rsid w:val="007E1554"/>
    <w:rsid w:val="007E5E48"/>
    <w:rsid w:val="007E71C3"/>
    <w:rsid w:val="007F512F"/>
    <w:rsid w:val="007F620E"/>
    <w:rsid w:val="007F6CF5"/>
    <w:rsid w:val="008002D9"/>
    <w:rsid w:val="00801821"/>
    <w:rsid w:val="00802101"/>
    <w:rsid w:val="00802701"/>
    <w:rsid w:val="00813A82"/>
    <w:rsid w:val="00815F1F"/>
    <w:rsid w:val="0081626F"/>
    <w:rsid w:val="00825D43"/>
    <w:rsid w:val="008260C3"/>
    <w:rsid w:val="00827958"/>
    <w:rsid w:val="008303EE"/>
    <w:rsid w:val="0083350A"/>
    <w:rsid w:val="00833FFA"/>
    <w:rsid w:val="00834F54"/>
    <w:rsid w:val="00836680"/>
    <w:rsid w:val="00836D2F"/>
    <w:rsid w:val="008409AE"/>
    <w:rsid w:val="008422B3"/>
    <w:rsid w:val="00843844"/>
    <w:rsid w:val="008513D0"/>
    <w:rsid w:val="00855FD7"/>
    <w:rsid w:val="00857314"/>
    <w:rsid w:val="008603FB"/>
    <w:rsid w:val="00872500"/>
    <w:rsid w:val="008733E0"/>
    <w:rsid w:val="0087700B"/>
    <w:rsid w:val="00881F04"/>
    <w:rsid w:val="008844B6"/>
    <w:rsid w:val="008858A7"/>
    <w:rsid w:val="00885956"/>
    <w:rsid w:val="00886869"/>
    <w:rsid w:val="00886B03"/>
    <w:rsid w:val="00890C55"/>
    <w:rsid w:val="00891C00"/>
    <w:rsid w:val="008921C3"/>
    <w:rsid w:val="00892A08"/>
    <w:rsid w:val="00896446"/>
    <w:rsid w:val="008A0AE4"/>
    <w:rsid w:val="008A28E1"/>
    <w:rsid w:val="008A3AA3"/>
    <w:rsid w:val="008A4B43"/>
    <w:rsid w:val="008A76A5"/>
    <w:rsid w:val="008B67E2"/>
    <w:rsid w:val="008C09F7"/>
    <w:rsid w:val="008C2208"/>
    <w:rsid w:val="008C5FB5"/>
    <w:rsid w:val="008D210D"/>
    <w:rsid w:val="008D2D18"/>
    <w:rsid w:val="008D4EBD"/>
    <w:rsid w:val="008E3450"/>
    <w:rsid w:val="008E4336"/>
    <w:rsid w:val="008F6772"/>
    <w:rsid w:val="008F73F3"/>
    <w:rsid w:val="00905864"/>
    <w:rsid w:val="00906614"/>
    <w:rsid w:val="00915118"/>
    <w:rsid w:val="0091754C"/>
    <w:rsid w:val="00917EC1"/>
    <w:rsid w:val="009216BD"/>
    <w:rsid w:val="0092190C"/>
    <w:rsid w:val="00922D69"/>
    <w:rsid w:val="00925FAB"/>
    <w:rsid w:val="009302FF"/>
    <w:rsid w:val="00931317"/>
    <w:rsid w:val="00932FAB"/>
    <w:rsid w:val="0093AB67"/>
    <w:rsid w:val="009400D8"/>
    <w:rsid w:val="00951974"/>
    <w:rsid w:val="00957F58"/>
    <w:rsid w:val="00960284"/>
    <w:rsid w:val="009637FF"/>
    <w:rsid w:val="00963EEF"/>
    <w:rsid w:val="00974420"/>
    <w:rsid w:val="00980B20"/>
    <w:rsid w:val="00991AB7"/>
    <w:rsid w:val="00997D94"/>
    <w:rsid w:val="009A0587"/>
    <w:rsid w:val="009A275E"/>
    <w:rsid w:val="009A62F6"/>
    <w:rsid w:val="009A7682"/>
    <w:rsid w:val="009B2FEC"/>
    <w:rsid w:val="009B36A5"/>
    <w:rsid w:val="009B6AA0"/>
    <w:rsid w:val="009B75B0"/>
    <w:rsid w:val="009C2EF5"/>
    <w:rsid w:val="009C4035"/>
    <w:rsid w:val="009DE1AB"/>
    <w:rsid w:val="009E48E4"/>
    <w:rsid w:val="00A07A96"/>
    <w:rsid w:val="00A26D75"/>
    <w:rsid w:val="00A319DE"/>
    <w:rsid w:val="00A31C7C"/>
    <w:rsid w:val="00A421AA"/>
    <w:rsid w:val="00A422CD"/>
    <w:rsid w:val="00A44616"/>
    <w:rsid w:val="00A44FA0"/>
    <w:rsid w:val="00A617A6"/>
    <w:rsid w:val="00A65483"/>
    <w:rsid w:val="00A67E89"/>
    <w:rsid w:val="00A71C27"/>
    <w:rsid w:val="00A75D2D"/>
    <w:rsid w:val="00A81143"/>
    <w:rsid w:val="00A82077"/>
    <w:rsid w:val="00A86988"/>
    <w:rsid w:val="00A8784F"/>
    <w:rsid w:val="00A910F1"/>
    <w:rsid w:val="00A92D0B"/>
    <w:rsid w:val="00AA1740"/>
    <w:rsid w:val="00AA3866"/>
    <w:rsid w:val="00AB149B"/>
    <w:rsid w:val="00AB2F7F"/>
    <w:rsid w:val="00AB3510"/>
    <w:rsid w:val="00AB3C3F"/>
    <w:rsid w:val="00AB4118"/>
    <w:rsid w:val="00AC5A4B"/>
    <w:rsid w:val="00AD5797"/>
    <w:rsid w:val="00AD742A"/>
    <w:rsid w:val="00AD7E4B"/>
    <w:rsid w:val="00AE429F"/>
    <w:rsid w:val="00AF3D9E"/>
    <w:rsid w:val="00AF40B3"/>
    <w:rsid w:val="00B00BCD"/>
    <w:rsid w:val="00B03003"/>
    <w:rsid w:val="00B05E09"/>
    <w:rsid w:val="00B0641A"/>
    <w:rsid w:val="00B13F73"/>
    <w:rsid w:val="00B1593B"/>
    <w:rsid w:val="00B27536"/>
    <w:rsid w:val="00B312DA"/>
    <w:rsid w:val="00B31565"/>
    <w:rsid w:val="00B31E69"/>
    <w:rsid w:val="00B42C04"/>
    <w:rsid w:val="00B50E42"/>
    <w:rsid w:val="00B51657"/>
    <w:rsid w:val="00B51B75"/>
    <w:rsid w:val="00B51C2B"/>
    <w:rsid w:val="00B54991"/>
    <w:rsid w:val="00B55CCD"/>
    <w:rsid w:val="00B55D78"/>
    <w:rsid w:val="00B62AC0"/>
    <w:rsid w:val="00B63BF7"/>
    <w:rsid w:val="00B66CF5"/>
    <w:rsid w:val="00B80379"/>
    <w:rsid w:val="00B837A8"/>
    <w:rsid w:val="00B84ECA"/>
    <w:rsid w:val="00B91D10"/>
    <w:rsid w:val="00B97FEE"/>
    <w:rsid w:val="00BA227A"/>
    <w:rsid w:val="00BA548C"/>
    <w:rsid w:val="00BB0F07"/>
    <w:rsid w:val="00BB49BB"/>
    <w:rsid w:val="00BC386C"/>
    <w:rsid w:val="00BC4C17"/>
    <w:rsid w:val="00BD0923"/>
    <w:rsid w:val="00BD5645"/>
    <w:rsid w:val="00BE45D0"/>
    <w:rsid w:val="00BE4D78"/>
    <w:rsid w:val="00BF25B4"/>
    <w:rsid w:val="00BF2F45"/>
    <w:rsid w:val="00BF52BD"/>
    <w:rsid w:val="00BF619E"/>
    <w:rsid w:val="00C00527"/>
    <w:rsid w:val="00C01806"/>
    <w:rsid w:val="00C01E8F"/>
    <w:rsid w:val="00C02649"/>
    <w:rsid w:val="00C044B1"/>
    <w:rsid w:val="00C0471D"/>
    <w:rsid w:val="00C065AB"/>
    <w:rsid w:val="00C12772"/>
    <w:rsid w:val="00C13B3F"/>
    <w:rsid w:val="00C16023"/>
    <w:rsid w:val="00C16981"/>
    <w:rsid w:val="00C21425"/>
    <w:rsid w:val="00C24596"/>
    <w:rsid w:val="00C24C32"/>
    <w:rsid w:val="00C26173"/>
    <w:rsid w:val="00C372E0"/>
    <w:rsid w:val="00C37547"/>
    <w:rsid w:val="00C4360A"/>
    <w:rsid w:val="00C43A7B"/>
    <w:rsid w:val="00C67C08"/>
    <w:rsid w:val="00C7110D"/>
    <w:rsid w:val="00C739A9"/>
    <w:rsid w:val="00C742D7"/>
    <w:rsid w:val="00C765A2"/>
    <w:rsid w:val="00C80771"/>
    <w:rsid w:val="00C84D2F"/>
    <w:rsid w:val="00CA0B43"/>
    <w:rsid w:val="00CA2F81"/>
    <w:rsid w:val="00CA5F85"/>
    <w:rsid w:val="00CB1FB9"/>
    <w:rsid w:val="00CB8789"/>
    <w:rsid w:val="00CC1202"/>
    <w:rsid w:val="00CC24EA"/>
    <w:rsid w:val="00CC47EE"/>
    <w:rsid w:val="00CC4A97"/>
    <w:rsid w:val="00CC4B40"/>
    <w:rsid w:val="00CC7180"/>
    <w:rsid w:val="00CD041C"/>
    <w:rsid w:val="00CD371C"/>
    <w:rsid w:val="00CD54B4"/>
    <w:rsid w:val="00CD615E"/>
    <w:rsid w:val="00CD6886"/>
    <w:rsid w:val="00CD7D17"/>
    <w:rsid w:val="00CE5880"/>
    <w:rsid w:val="00CE7EA7"/>
    <w:rsid w:val="00CF1129"/>
    <w:rsid w:val="00CF3930"/>
    <w:rsid w:val="00CF586F"/>
    <w:rsid w:val="00D075B1"/>
    <w:rsid w:val="00D10372"/>
    <w:rsid w:val="00D17310"/>
    <w:rsid w:val="00D26A56"/>
    <w:rsid w:val="00D27D5F"/>
    <w:rsid w:val="00D30039"/>
    <w:rsid w:val="00D30C4F"/>
    <w:rsid w:val="00D31515"/>
    <w:rsid w:val="00D355DE"/>
    <w:rsid w:val="00D36884"/>
    <w:rsid w:val="00D36927"/>
    <w:rsid w:val="00D4321A"/>
    <w:rsid w:val="00D44FF2"/>
    <w:rsid w:val="00D538F2"/>
    <w:rsid w:val="00D56BCA"/>
    <w:rsid w:val="00D56F67"/>
    <w:rsid w:val="00D57F48"/>
    <w:rsid w:val="00D72162"/>
    <w:rsid w:val="00D74EAD"/>
    <w:rsid w:val="00D74F4E"/>
    <w:rsid w:val="00D75107"/>
    <w:rsid w:val="00D7685A"/>
    <w:rsid w:val="00D768A8"/>
    <w:rsid w:val="00D8264C"/>
    <w:rsid w:val="00D8410F"/>
    <w:rsid w:val="00D84F94"/>
    <w:rsid w:val="00D8769E"/>
    <w:rsid w:val="00D92267"/>
    <w:rsid w:val="00D9736E"/>
    <w:rsid w:val="00DA3AEE"/>
    <w:rsid w:val="00DA53FF"/>
    <w:rsid w:val="00DA599D"/>
    <w:rsid w:val="00DB2E36"/>
    <w:rsid w:val="00DC10AC"/>
    <w:rsid w:val="00DD3E30"/>
    <w:rsid w:val="00DD52BB"/>
    <w:rsid w:val="00DD54C6"/>
    <w:rsid w:val="00DD5A45"/>
    <w:rsid w:val="00DE3A5D"/>
    <w:rsid w:val="00DE5FDE"/>
    <w:rsid w:val="00E00990"/>
    <w:rsid w:val="00E00FCE"/>
    <w:rsid w:val="00E06479"/>
    <w:rsid w:val="00E13FE1"/>
    <w:rsid w:val="00E15DC3"/>
    <w:rsid w:val="00E21EA5"/>
    <w:rsid w:val="00E23BED"/>
    <w:rsid w:val="00E246C1"/>
    <w:rsid w:val="00E25078"/>
    <w:rsid w:val="00E27054"/>
    <w:rsid w:val="00E27F08"/>
    <w:rsid w:val="00E30A6A"/>
    <w:rsid w:val="00E3786F"/>
    <w:rsid w:val="00E40140"/>
    <w:rsid w:val="00E40C51"/>
    <w:rsid w:val="00E43116"/>
    <w:rsid w:val="00E4791E"/>
    <w:rsid w:val="00E52227"/>
    <w:rsid w:val="00E52331"/>
    <w:rsid w:val="00E52992"/>
    <w:rsid w:val="00E54F5A"/>
    <w:rsid w:val="00E55A69"/>
    <w:rsid w:val="00E60942"/>
    <w:rsid w:val="00E63EE6"/>
    <w:rsid w:val="00E65D0C"/>
    <w:rsid w:val="00E66BC5"/>
    <w:rsid w:val="00E6723F"/>
    <w:rsid w:val="00E75E09"/>
    <w:rsid w:val="00E84235"/>
    <w:rsid w:val="00E84C66"/>
    <w:rsid w:val="00E9366A"/>
    <w:rsid w:val="00E959A0"/>
    <w:rsid w:val="00EA658D"/>
    <w:rsid w:val="00EC0F78"/>
    <w:rsid w:val="00EC23DB"/>
    <w:rsid w:val="00EC7AA4"/>
    <w:rsid w:val="00ED6B6B"/>
    <w:rsid w:val="00EE64E8"/>
    <w:rsid w:val="00EE6D53"/>
    <w:rsid w:val="00EE6FC5"/>
    <w:rsid w:val="00EF56C0"/>
    <w:rsid w:val="00EF7749"/>
    <w:rsid w:val="00F04904"/>
    <w:rsid w:val="00F0531A"/>
    <w:rsid w:val="00F07E25"/>
    <w:rsid w:val="00F20061"/>
    <w:rsid w:val="00F23A6C"/>
    <w:rsid w:val="00F26371"/>
    <w:rsid w:val="00F26B77"/>
    <w:rsid w:val="00F30DA8"/>
    <w:rsid w:val="00F32938"/>
    <w:rsid w:val="00F34C1F"/>
    <w:rsid w:val="00F3772B"/>
    <w:rsid w:val="00F41517"/>
    <w:rsid w:val="00F47E87"/>
    <w:rsid w:val="00F50736"/>
    <w:rsid w:val="00F5187B"/>
    <w:rsid w:val="00F57D47"/>
    <w:rsid w:val="00F61B6E"/>
    <w:rsid w:val="00F63C29"/>
    <w:rsid w:val="00F650AE"/>
    <w:rsid w:val="00F65DD1"/>
    <w:rsid w:val="00F76B11"/>
    <w:rsid w:val="00F80E38"/>
    <w:rsid w:val="00F81778"/>
    <w:rsid w:val="00F84EC9"/>
    <w:rsid w:val="00F97770"/>
    <w:rsid w:val="00FA09EC"/>
    <w:rsid w:val="00FA1556"/>
    <w:rsid w:val="00FA200E"/>
    <w:rsid w:val="00FA32E0"/>
    <w:rsid w:val="00FA4732"/>
    <w:rsid w:val="00FA5902"/>
    <w:rsid w:val="00FC3AF0"/>
    <w:rsid w:val="00FC52B5"/>
    <w:rsid w:val="00FC607D"/>
    <w:rsid w:val="00FC6724"/>
    <w:rsid w:val="00FC72B7"/>
    <w:rsid w:val="00FD126A"/>
    <w:rsid w:val="00FD2006"/>
    <w:rsid w:val="00FE071F"/>
    <w:rsid w:val="00FE3BAE"/>
    <w:rsid w:val="00FE593F"/>
    <w:rsid w:val="00FF0316"/>
    <w:rsid w:val="00FF0E11"/>
    <w:rsid w:val="00FF47CA"/>
    <w:rsid w:val="00FF6D02"/>
    <w:rsid w:val="0100237B"/>
    <w:rsid w:val="01232866"/>
    <w:rsid w:val="016565E2"/>
    <w:rsid w:val="019B2F6E"/>
    <w:rsid w:val="027AD708"/>
    <w:rsid w:val="02874B20"/>
    <w:rsid w:val="02D95D99"/>
    <w:rsid w:val="0359BD6B"/>
    <w:rsid w:val="036D56D1"/>
    <w:rsid w:val="03CD7061"/>
    <w:rsid w:val="03DEDE09"/>
    <w:rsid w:val="03FC8916"/>
    <w:rsid w:val="047104D3"/>
    <w:rsid w:val="04E3DBD3"/>
    <w:rsid w:val="04F9CDEC"/>
    <w:rsid w:val="05266D42"/>
    <w:rsid w:val="05319131"/>
    <w:rsid w:val="0546864A"/>
    <w:rsid w:val="05A89D73"/>
    <w:rsid w:val="05D31878"/>
    <w:rsid w:val="0622AFC4"/>
    <w:rsid w:val="06793997"/>
    <w:rsid w:val="06828E02"/>
    <w:rsid w:val="06D9664C"/>
    <w:rsid w:val="0753C300"/>
    <w:rsid w:val="076297FC"/>
    <w:rsid w:val="07656F9A"/>
    <w:rsid w:val="076EE8D9"/>
    <w:rsid w:val="083A0A87"/>
    <w:rsid w:val="086F834C"/>
    <w:rsid w:val="087D4EFB"/>
    <w:rsid w:val="08BAD82E"/>
    <w:rsid w:val="0908F708"/>
    <w:rsid w:val="09F6F6C9"/>
    <w:rsid w:val="0AC10202"/>
    <w:rsid w:val="0B12E12D"/>
    <w:rsid w:val="0B1CB0DB"/>
    <w:rsid w:val="0B1FF924"/>
    <w:rsid w:val="0B260FD5"/>
    <w:rsid w:val="0B6866B8"/>
    <w:rsid w:val="0B71992C"/>
    <w:rsid w:val="0BB41DCD"/>
    <w:rsid w:val="0C29319F"/>
    <w:rsid w:val="0C30948A"/>
    <w:rsid w:val="0C36091F"/>
    <w:rsid w:val="0C4F317C"/>
    <w:rsid w:val="0C606C53"/>
    <w:rsid w:val="0CAC3D6C"/>
    <w:rsid w:val="0CF95CF3"/>
    <w:rsid w:val="0D752051"/>
    <w:rsid w:val="0DC50200"/>
    <w:rsid w:val="0E5799E6"/>
    <w:rsid w:val="0EABAADC"/>
    <w:rsid w:val="0EF36C78"/>
    <w:rsid w:val="102854C9"/>
    <w:rsid w:val="10326DEE"/>
    <w:rsid w:val="10382658"/>
    <w:rsid w:val="1040C36A"/>
    <w:rsid w:val="10449097"/>
    <w:rsid w:val="104BA25A"/>
    <w:rsid w:val="107F84B1"/>
    <w:rsid w:val="10E73E2F"/>
    <w:rsid w:val="1115CB1F"/>
    <w:rsid w:val="1153FD6E"/>
    <w:rsid w:val="11784785"/>
    <w:rsid w:val="11BD0977"/>
    <w:rsid w:val="12098E12"/>
    <w:rsid w:val="1297DFE1"/>
    <w:rsid w:val="133B86BD"/>
    <w:rsid w:val="139967A5"/>
    <w:rsid w:val="14F41371"/>
    <w:rsid w:val="150D9DEF"/>
    <w:rsid w:val="1517FDCB"/>
    <w:rsid w:val="158B27A7"/>
    <w:rsid w:val="15D49A33"/>
    <w:rsid w:val="15F613C2"/>
    <w:rsid w:val="1602355F"/>
    <w:rsid w:val="1614BB29"/>
    <w:rsid w:val="16AB6FA8"/>
    <w:rsid w:val="16BF37C2"/>
    <w:rsid w:val="16D0AE58"/>
    <w:rsid w:val="16DCFF35"/>
    <w:rsid w:val="173E2A28"/>
    <w:rsid w:val="176EE954"/>
    <w:rsid w:val="17EBD020"/>
    <w:rsid w:val="1839F191"/>
    <w:rsid w:val="184F7FFE"/>
    <w:rsid w:val="1896DFA8"/>
    <w:rsid w:val="1896E1ED"/>
    <w:rsid w:val="18A8B9AE"/>
    <w:rsid w:val="18D450E4"/>
    <w:rsid w:val="18F17A31"/>
    <w:rsid w:val="18F64B35"/>
    <w:rsid w:val="1936E7B0"/>
    <w:rsid w:val="1966BC9E"/>
    <w:rsid w:val="19E0FF43"/>
    <w:rsid w:val="1A9B3920"/>
    <w:rsid w:val="1AB9BD4F"/>
    <w:rsid w:val="1B3DB12C"/>
    <w:rsid w:val="1B3EDDED"/>
    <w:rsid w:val="1BCF9EB1"/>
    <w:rsid w:val="1C14DA64"/>
    <w:rsid w:val="1C275758"/>
    <w:rsid w:val="1C4C2CE9"/>
    <w:rsid w:val="1CB239E5"/>
    <w:rsid w:val="1CF5C6CA"/>
    <w:rsid w:val="1D208E6A"/>
    <w:rsid w:val="1D53355B"/>
    <w:rsid w:val="1E37B336"/>
    <w:rsid w:val="1E99D578"/>
    <w:rsid w:val="1F0AB48E"/>
    <w:rsid w:val="1F0CDAD1"/>
    <w:rsid w:val="1F10C846"/>
    <w:rsid w:val="1F4C7B26"/>
    <w:rsid w:val="1F86C370"/>
    <w:rsid w:val="1FFA8874"/>
    <w:rsid w:val="20117D19"/>
    <w:rsid w:val="205CFCE3"/>
    <w:rsid w:val="2077909E"/>
    <w:rsid w:val="209F200B"/>
    <w:rsid w:val="2106BAF4"/>
    <w:rsid w:val="215DEFB4"/>
    <w:rsid w:val="2266C999"/>
    <w:rsid w:val="226FF181"/>
    <w:rsid w:val="2274B4B2"/>
    <w:rsid w:val="229E495E"/>
    <w:rsid w:val="22BD248B"/>
    <w:rsid w:val="22BD27FC"/>
    <w:rsid w:val="2375C53B"/>
    <w:rsid w:val="2389A935"/>
    <w:rsid w:val="243BE8D8"/>
    <w:rsid w:val="249847D1"/>
    <w:rsid w:val="250E4490"/>
    <w:rsid w:val="254041DC"/>
    <w:rsid w:val="2558A2A8"/>
    <w:rsid w:val="2598FCE0"/>
    <w:rsid w:val="25DFBBC4"/>
    <w:rsid w:val="25E068FA"/>
    <w:rsid w:val="2682D5D9"/>
    <w:rsid w:val="27070613"/>
    <w:rsid w:val="276D6601"/>
    <w:rsid w:val="27921C00"/>
    <w:rsid w:val="27B8A096"/>
    <w:rsid w:val="27E4922C"/>
    <w:rsid w:val="28321894"/>
    <w:rsid w:val="283A0DA9"/>
    <w:rsid w:val="2844848E"/>
    <w:rsid w:val="28864F5A"/>
    <w:rsid w:val="28A13BA2"/>
    <w:rsid w:val="28E22295"/>
    <w:rsid w:val="297C618B"/>
    <w:rsid w:val="29AFBC8A"/>
    <w:rsid w:val="29D4C98C"/>
    <w:rsid w:val="29FC640E"/>
    <w:rsid w:val="2A592DF3"/>
    <w:rsid w:val="2ACE6DD8"/>
    <w:rsid w:val="2B2013C1"/>
    <w:rsid w:val="2B3BD95A"/>
    <w:rsid w:val="2B3F2BA6"/>
    <w:rsid w:val="2B6976F6"/>
    <w:rsid w:val="2C2D107B"/>
    <w:rsid w:val="2C329200"/>
    <w:rsid w:val="2C581D1C"/>
    <w:rsid w:val="2C69DE5F"/>
    <w:rsid w:val="2CBFE31F"/>
    <w:rsid w:val="2CF0D218"/>
    <w:rsid w:val="2D5613A6"/>
    <w:rsid w:val="2D5E0D88"/>
    <w:rsid w:val="2D86D6FA"/>
    <w:rsid w:val="2E1C71EB"/>
    <w:rsid w:val="2E3883A3"/>
    <w:rsid w:val="2E445741"/>
    <w:rsid w:val="2E6432ED"/>
    <w:rsid w:val="2EB8133B"/>
    <w:rsid w:val="2ECDFBC5"/>
    <w:rsid w:val="2EED2CF3"/>
    <w:rsid w:val="2F24CB3E"/>
    <w:rsid w:val="2F275304"/>
    <w:rsid w:val="2FE64BAB"/>
    <w:rsid w:val="2FF783E1"/>
    <w:rsid w:val="3054AAA2"/>
    <w:rsid w:val="3095A1EE"/>
    <w:rsid w:val="3103A200"/>
    <w:rsid w:val="31478811"/>
    <w:rsid w:val="3156D9AA"/>
    <w:rsid w:val="31C904D7"/>
    <w:rsid w:val="31E32B5A"/>
    <w:rsid w:val="321849F2"/>
    <w:rsid w:val="328904DB"/>
    <w:rsid w:val="32B46B05"/>
    <w:rsid w:val="330C66F4"/>
    <w:rsid w:val="3364D538"/>
    <w:rsid w:val="336B4944"/>
    <w:rsid w:val="33B03C0B"/>
    <w:rsid w:val="33B90842"/>
    <w:rsid w:val="341049EF"/>
    <w:rsid w:val="3416BE10"/>
    <w:rsid w:val="3475664D"/>
    <w:rsid w:val="34EACA29"/>
    <w:rsid w:val="354BD09A"/>
    <w:rsid w:val="3569A353"/>
    <w:rsid w:val="362B90A4"/>
    <w:rsid w:val="367E8C01"/>
    <w:rsid w:val="37150DBA"/>
    <w:rsid w:val="3729BDB3"/>
    <w:rsid w:val="375C75FE"/>
    <w:rsid w:val="37C7BA0D"/>
    <w:rsid w:val="38074277"/>
    <w:rsid w:val="3846942A"/>
    <w:rsid w:val="3882BD04"/>
    <w:rsid w:val="38DB3807"/>
    <w:rsid w:val="38F4BC89"/>
    <w:rsid w:val="39A46257"/>
    <w:rsid w:val="3A401E59"/>
    <w:rsid w:val="3A82166F"/>
    <w:rsid w:val="3A9416C0"/>
    <w:rsid w:val="3A9C03AF"/>
    <w:rsid w:val="3AAB87DC"/>
    <w:rsid w:val="3AAF8E2C"/>
    <w:rsid w:val="3ACD98BC"/>
    <w:rsid w:val="3B1A7936"/>
    <w:rsid w:val="3B46354D"/>
    <w:rsid w:val="3B5BA205"/>
    <w:rsid w:val="3C346BBB"/>
    <w:rsid w:val="3C47583D"/>
    <w:rsid w:val="3C58C553"/>
    <w:rsid w:val="3C699F11"/>
    <w:rsid w:val="3C9E2A25"/>
    <w:rsid w:val="3CA179E3"/>
    <w:rsid w:val="3CB12BAE"/>
    <w:rsid w:val="3D3D7A5D"/>
    <w:rsid w:val="3D456D0D"/>
    <w:rsid w:val="3DD7B35B"/>
    <w:rsid w:val="3E349B10"/>
    <w:rsid w:val="3E691703"/>
    <w:rsid w:val="3E75A8D5"/>
    <w:rsid w:val="3EC50E49"/>
    <w:rsid w:val="3EEC7EDA"/>
    <w:rsid w:val="3EF6CCFA"/>
    <w:rsid w:val="3EF8D6A7"/>
    <w:rsid w:val="3F820B63"/>
    <w:rsid w:val="3FD7E282"/>
    <w:rsid w:val="3FE1B8C3"/>
    <w:rsid w:val="3FEAE9FC"/>
    <w:rsid w:val="3FEB1F03"/>
    <w:rsid w:val="3FFD9A82"/>
    <w:rsid w:val="40D676C9"/>
    <w:rsid w:val="40FE7076"/>
    <w:rsid w:val="4101113C"/>
    <w:rsid w:val="4108A8F9"/>
    <w:rsid w:val="410BB525"/>
    <w:rsid w:val="415573F6"/>
    <w:rsid w:val="415607CB"/>
    <w:rsid w:val="4191D63C"/>
    <w:rsid w:val="4194AF02"/>
    <w:rsid w:val="419B7969"/>
    <w:rsid w:val="41DCF240"/>
    <w:rsid w:val="41ED7670"/>
    <w:rsid w:val="42852ED9"/>
    <w:rsid w:val="42DDE0EE"/>
    <w:rsid w:val="43143C08"/>
    <w:rsid w:val="43645EA2"/>
    <w:rsid w:val="4364FC8F"/>
    <w:rsid w:val="43F10761"/>
    <w:rsid w:val="44098994"/>
    <w:rsid w:val="445887F5"/>
    <w:rsid w:val="459C9C59"/>
    <w:rsid w:val="45F754EC"/>
    <w:rsid w:val="464CA2B1"/>
    <w:rsid w:val="46688711"/>
    <w:rsid w:val="467B37DC"/>
    <w:rsid w:val="4687C21D"/>
    <w:rsid w:val="46B1A1DF"/>
    <w:rsid w:val="46B852BF"/>
    <w:rsid w:val="46FDCB03"/>
    <w:rsid w:val="4733EC73"/>
    <w:rsid w:val="475EEACF"/>
    <w:rsid w:val="4783BFDC"/>
    <w:rsid w:val="47ACC33E"/>
    <w:rsid w:val="47F7E64F"/>
    <w:rsid w:val="48537DBE"/>
    <w:rsid w:val="4874DCB0"/>
    <w:rsid w:val="48AB5027"/>
    <w:rsid w:val="48E0036A"/>
    <w:rsid w:val="492104A0"/>
    <w:rsid w:val="4931F186"/>
    <w:rsid w:val="4999DAE5"/>
    <w:rsid w:val="49A6591A"/>
    <w:rsid w:val="49BCF273"/>
    <w:rsid w:val="49CAF506"/>
    <w:rsid w:val="49FB310A"/>
    <w:rsid w:val="4A16DCA9"/>
    <w:rsid w:val="4A9CDB6C"/>
    <w:rsid w:val="4ACD37CA"/>
    <w:rsid w:val="4AF370CD"/>
    <w:rsid w:val="4BC4F5C9"/>
    <w:rsid w:val="4BD55002"/>
    <w:rsid w:val="4BDB0980"/>
    <w:rsid w:val="4C680B90"/>
    <w:rsid w:val="4C7CB470"/>
    <w:rsid w:val="4CE8F030"/>
    <w:rsid w:val="4D465902"/>
    <w:rsid w:val="4D8D9228"/>
    <w:rsid w:val="4E067A5A"/>
    <w:rsid w:val="4E09FFAA"/>
    <w:rsid w:val="4E4CFD8E"/>
    <w:rsid w:val="4E98DE7D"/>
    <w:rsid w:val="4EDB0C83"/>
    <w:rsid w:val="4EFCC4BA"/>
    <w:rsid w:val="4FDAB3DA"/>
    <w:rsid w:val="503E9CB4"/>
    <w:rsid w:val="50874796"/>
    <w:rsid w:val="51B1E804"/>
    <w:rsid w:val="51F416A4"/>
    <w:rsid w:val="5206E030"/>
    <w:rsid w:val="52D2EFA9"/>
    <w:rsid w:val="52EC9EF4"/>
    <w:rsid w:val="5328BD44"/>
    <w:rsid w:val="53A4EC82"/>
    <w:rsid w:val="53ACEF66"/>
    <w:rsid w:val="53C58484"/>
    <w:rsid w:val="53CAE7ED"/>
    <w:rsid w:val="54605F69"/>
    <w:rsid w:val="5491DB33"/>
    <w:rsid w:val="54C34412"/>
    <w:rsid w:val="54C74D5A"/>
    <w:rsid w:val="54D424DA"/>
    <w:rsid w:val="54E4EDD7"/>
    <w:rsid w:val="5573D0F1"/>
    <w:rsid w:val="5585ADA2"/>
    <w:rsid w:val="558DA5CC"/>
    <w:rsid w:val="55A8D35D"/>
    <w:rsid w:val="55BE90D8"/>
    <w:rsid w:val="55CAA663"/>
    <w:rsid w:val="55F0B059"/>
    <w:rsid w:val="56410929"/>
    <w:rsid w:val="565CBD6A"/>
    <w:rsid w:val="566807B5"/>
    <w:rsid w:val="56C787C7"/>
    <w:rsid w:val="56E2D235"/>
    <w:rsid w:val="56F18E30"/>
    <w:rsid w:val="574C0312"/>
    <w:rsid w:val="57AEC861"/>
    <w:rsid w:val="583C4DD8"/>
    <w:rsid w:val="58614F78"/>
    <w:rsid w:val="59195AA0"/>
    <w:rsid w:val="599ABE7D"/>
    <w:rsid w:val="5A695128"/>
    <w:rsid w:val="5A7F00C0"/>
    <w:rsid w:val="5AA03B98"/>
    <w:rsid w:val="5AD8E971"/>
    <w:rsid w:val="5AF7B0D9"/>
    <w:rsid w:val="5B2916AB"/>
    <w:rsid w:val="5B328596"/>
    <w:rsid w:val="5C2C4FA8"/>
    <w:rsid w:val="5C490638"/>
    <w:rsid w:val="5C493C9D"/>
    <w:rsid w:val="5C496BEF"/>
    <w:rsid w:val="5C8EBBDD"/>
    <w:rsid w:val="5CAB7AA7"/>
    <w:rsid w:val="5CC9BB67"/>
    <w:rsid w:val="5DB9E2C4"/>
    <w:rsid w:val="5DFC9D35"/>
    <w:rsid w:val="5E7B0720"/>
    <w:rsid w:val="5EE2090A"/>
    <w:rsid w:val="5F55B325"/>
    <w:rsid w:val="5F664676"/>
    <w:rsid w:val="60D8A3C9"/>
    <w:rsid w:val="60E90C7A"/>
    <w:rsid w:val="60F7FDDC"/>
    <w:rsid w:val="60FF49C2"/>
    <w:rsid w:val="615AF4E3"/>
    <w:rsid w:val="618EBFA0"/>
    <w:rsid w:val="61A73FC3"/>
    <w:rsid w:val="61CD49A0"/>
    <w:rsid w:val="6227589F"/>
    <w:rsid w:val="62491A9F"/>
    <w:rsid w:val="62504D47"/>
    <w:rsid w:val="625AB550"/>
    <w:rsid w:val="6274742A"/>
    <w:rsid w:val="6322243A"/>
    <w:rsid w:val="6335037A"/>
    <w:rsid w:val="63824B57"/>
    <w:rsid w:val="645C8474"/>
    <w:rsid w:val="64923CE3"/>
    <w:rsid w:val="64A19145"/>
    <w:rsid w:val="64A4899E"/>
    <w:rsid w:val="6561B134"/>
    <w:rsid w:val="65F1709E"/>
    <w:rsid w:val="661C75C6"/>
    <w:rsid w:val="663880F4"/>
    <w:rsid w:val="66579026"/>
    <w:rsid w:val="666C0E10"/>
    <w:rsid w:val="66EA0465"/>
    <w:rsid w:val="679F4078"/>
    <w:rsid w:val="67F1D84F"/>
    <w:rsid w:val="67FC687A"/>
    <w:rsid w:val="680A51C9"/>
    <w:rsid w:val="683FB188"/>
    <w:rsid w:val="688E83EB"/>
    <w:rsid w:val="690C2497"/>
    <w:rsid w:val="6948FC7E"/>
    <w:rsid w:val="69A51C13"/>
    <w:rsid w:val="69D778A1"/>
    <w:rsid w:val="69F4504B"/>
    <w:rsid w:val="6A1C88EB"/>
    <w:rsid w:val="6A2A0DE1"/>
    <w:rsid w:val="6A8AC9EB"/>
    <w:rsid w:val="6AA06226"/>
    <w:rsid w:val="6AC5BB7E"/>
    <w:rsid w:val="6B075805"/>
    <w:rsid w:val="6B0C66CE"/>
    <w:rsid w:val="6B34C46F"/>
    <w:rsid w:val="6B3DB0CC"/>
    <w:rsid w:val="6B43176B"/>
    <w:rsid w:val="6B484F51"/>
    <w:rsid w:val="6B58DC75"/>
    <w:rsid w:val="6BD61FF9"/>
    <w:rsid w:val="6C93A4D0"/>
    <w:rsid w:val="6C947997"/>
    <w:rsid w:val="6D23CE06"/>
    <w:rsid w:val="6D6138BF"/>
    <w:rsid w:val="6DC79E22"/>
    <w:rsid w:val="6DF8966A"/>
    <w:rsid w:val="6E54398B"/>
    <w:rsid w:val="6EF8000F"/>
    <w:rsid w:val="6EFA8AF5"/>
    <w:rsid w:val="6F21880C"/>
    <w:rsid w:val="6F3840B3"/>
    <w:rsid w:val="6FA40EA7"/>
    <w:rsid w:val="6FC0D68A"/>
    <w:rsid w:val="6FE7A7D2"/>
    <w:rsid w:val="701BC074"/>
    <w:rsid w:val="70684A3B"/>
    <w:rsid w:val="70CCF292"/>
    <w:rsid w:val="70D7495B"/>
    <w:rsid w:val="70FCD5FC"/>
    <w:rsid w:val="718E29C0"/>
    <w:rsid w:val="7190FEC2"/>
    <w:rsid w:val="719190F8"/>
    <w:rsid w:val="72459BC5"/>
    <w:rsid w:val="726A5C7C"/>
    <w:rsid w:val="72870394"/>
    <w:rsid w:val="7292857A"/>
    <w:rsid w:val="729585D7"/>
    <w:rsid w:val="72979FB2"/>
    <w:rsid w:val="72BFCD16"/>
    <w:rsid w:val="72F774A2"/>
    <w:rsid w:val="732243FB"/>
    <w:rsid w:val="734689B6"/>
    <w:rsid w:val="7363D601"/>
    <w:rsid w:val="737FF903"/>
    <w:rsid w:val="73C0CCB8"/>
    <w:rsid w:val="73D70B2A"/>
    <w:rsid w:val="73E7740D"/>
    <w:rsid w:val="74230FBE"/>
    <w:rsid w:val="7456D0CD"/>
    <w:rsid w:val="74E27EB4"/>
    <w:rsid w:val="74E75A91"/>
    <w:rsid w:val="75006C6E"/>
    <w:rsid w:val="753CAA12"/>
    <w:rsid w:val="7559F0FB"/>
    <w:rsid w:val="7570363D"/>
    <w:rsid w:val="75B77E03"/>
    <w:rsid w:val="75DE231D"/>
    <w:rsid w:val="7601B303"/>
    <w:rsid w:val="760EAB9E"/>
    <w:rsid w:val="768B01F8"/>
    <w:rsid w:val="76F3A814"/>
    <w:rsid w:val="77466089"/>
    <w:rsid w:val="7794CD59"/>
    <w:rsid w:val="7811317F"/>
    <w:rsid w:val="784E3DF4"/>
    <w:rsid w:val="7863DFDC"/>
    <w:rsid w:val="78A3BA64"/>
    <w:rsid w:val="78F39C8B"/>
    <w:rsid w:val="7902E030"/>
    <w:rsid w:val="7917FF16"/>
    <w:rsid w:val="794BF2E7"/>
    <w:rsid w:val="79B7E856"/>
    <w:rsid w:val="7A3C2749"/>
    <w:rsid w:val="7AADD1A5"/>
    <w:rsid w:val="7AB2DA17"/>
    <w:rsid w:val="7B2AB703"/>
    <w:rsid w:val="7B3F8FE5"/>
    <w:rsid w:val="7B7582C5"/>
    <w:rsid w:val="7C59431B"/>
    <w:rsid w:val="7CB9347C"/>
    <w:rsid w:val="7CF4FE99"/>
    <w:rsid w:val="7D05EE8E"/>
    <w:rsid w:val="7F0927BE"/>
    <w:rsid w:val="7F36D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642E65"/>
    <w:pPr>
      <w:spacing w:after="120"/>
    </w:pPr>
    <w:rPr>
      <w:sz w:val="22"/>
      <w:szCs w:val="20"/>
    </w:rPr>
  </w:style>
  <w:style w:type="character" w:customStyle="1" w:styleId="FootnoteTextChar">
    <w:name w:val="Footnote Text Char"/>
    <w:basedOn w:val="DefaultParagraphFont"/>
    <w:link w:val="FootnoteText"/>
    <w:uiPriority w:val="99"/>
    <w:rsid w:val="00642E65"/>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Default">
    <w:name w:val="Default"/>
    <w:rsid w:val="000442C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7AE00EAC20DF40865974C730E0A524" ma:contentTypeVersion="11" ma:contentTypeDescription="Create a new document." ma:contentTypeScope="" ma:versionID="39ba715bcb40c0229b9d592fc2593443">
  <xsd:schema xmlns:xsd="http://www.w3.org/2001/XMLSchema" xmlns:xs="http://www.w3.org/2001/XMLSchema" xmlns:p="http://schemas.microsoft.com/office/2006/metadata/properties" xmlns:ns2="6c9bcb8f-2135-4f88-b626-3b85aa9f434f" xmlns:ns3="c5311f46-9abe-4b2e-8bbf-0b5e44fef146" targetNamespace="http://schemas.microsoft.com/office/2006/metadata/properties" ma:root="true" ma:fieldsID="daf7531a405ad266136a1f91d27b9455" ns2:_="" ns3:_="">
    <xsd:import namespace="6c9bcb8f-2135-4f88-b626-3b85aa9f434f"/>
    <xsd:import namespace="c5311f46-9abe-4b2e-8bbf-0b5e44fef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cb8f-2135-4f88-b626-3b85aa9f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11f46-9abe-4b2e-8bbf-0b5e44fef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BDA01-0CA8-4D2D-9DAD-6E57BC7F1D47}">
  <ds:schemaRefs>
    <ds:schemaRef ds:uri="http://schemas.microsoft.com/sharepoint/v3/contenttype/forms"/>
  </ds:schemaRefs>
</ds:datastoreItem>
</file>

<file path=customXml/itemProps2.xml><?xml version="1.0" encoding="utf-8"?>
<ds:datastoreItem xmlns:ds="http://schemas.openxmlformats.org/officeDocument/2006/customXml" ds:itemID="{E09E67D3-6804-4B4A-B807-3856E8E54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8E8A9-4BCA-467A-9E58-CB2742D5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bcb8f-2135-4f88-b626-3b85aa9f434f"/>
    <ds:schemaRef ds:uri="c5311f46-9abe-4b2e-8bbf-0b5e44fef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25</ap:Pages>
  <ap:Words>6843</ap:Words>
  <ap:Characters>39010</ap:Characters>
  <ap:Application>Microsoft Office Word</ap:Application>
  <ap:DocSecurity>0</ap:DocSecurity>
  <ap:Lines>325</ap:Lines>
  <ap:Paragraphs>91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45762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2022-05-24T12:10:05Z</dcterms:created>
  <dcterms:modified xsi:type="dcterms:W3CDTF">2022-05-24T12:10:05Z</dcterms:modified>
</cp:coreProperties>
</file>