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3B67" w:rsidR="00403B67" w:rsidP="001D49D4" w:rsidRDefault="005139D3" w14:paraId="5A7B374B" w14:textId="04FBF08A">
      <w:pPr>
        <w:tabs>
          <w:tab w:val="center" w:pos="4680"/>
          <w:tab w:val="right" w:pos="9360"/>
        </w:tabs>
        <w:spacing w:line="240" w:lineRule="auto"/>
        <w:ind w:firstLine="0"/>
        <w:rPr>
          <w:bCs/>
          <w:color w:val="000000" w:themeColor="text1"/>
        </w:rPr>
      </w:pPr>
      <w:r w:rsidRPr="006F7C82">
        <w:rPr>
          <w:color w:val="000000" w:themeColor="text1"/>
        </w:rPr>
        <w:t>COM</w:t>
      </w:r>
      <w:r w:rsidRPr="006F7C82" w:rsidR="00DA7B5D">
        <w:rPr>
          <w:color w:val="000000" w:themeColor="text1"/>
        </w:rPr>
        <w:t>/</w:t>
      </w:r>
      <w:r w:rsidRPr="006F7C82">
        <w:rPr>
          <w:color w:val="000000" w:themeColor="text1"/>
        </w:rPr>
        <w:t>DH7</w:t>
      </w:r>
      <w:r w:rsidRPr="006F7C82" w:rsidR="00DA7B5D">
        <w:rPr>
          <w:color w:val="000000" w:themeColor="text1"/>
        </w:rPr>
        <w:t>/</w:t>
      </w:r>
      <w:proofErr w:type="spellStart"/>
      <w:r w:rsidR="00052E53">
        <w:rPr>
          <w:color w:val="000000" w:themeColor="text1"/>
        </w:rPr>
        <w:t>sgu</w:t>
      </w:r>
      <w:proofErr w:type="spellEnd"/>
      <w:r w:rsidRPr="006F7C82" w:rsidR="007E0FEE">
        <w:rPr>
          <w:color w:val="000000" w:themeColor="text1"/>
        </w:rPr>
        <w:tab/>
      </w:r>
      <w:r w:rsidR="001D49D4">
        <w:rPr>
          <w:rFonts w:ascii="Arial" w:hAnsi="Arial" w:cs="Arial"/>
          <w:b/>
          <w:color w:val="000000" w:themeColor="text1"/>
          <w:sz w:val="28"/>
          <w:szCs w:val="28"/>
        </w:rPr>
        <w:tab/>
      </w:r>
      <w:r w:rsidR="001D49D4">
        <w:rPr>
          <w:bCs/>
          <w:color w:val="000000" w:themeColor="text1"/>
        </w:rPr>
        <w:t>Date of Issuance 5/2</w:t>
      </w:r>
      <w:r w:rsidR="00EF34F6">
        <w:rPr>
          <w:bCs/>
          <w:color w:val="000000" w:themeColor="text1"/>
        </w:rPr>
        <w:t>4</w:t>
      </w:r>
      <w:r w:rsidR="001D49D4">
        <w:rPr>
          <w:bCs/>
          <w:color w:val="000000" w:themeColor="text1"/>
        </w:rPr>
        <w:t>/2022</w:t>
      </w:r>
    </w:p>
    <w:p w:rsidR="00DA7B5D" w:rsidP="008F0116" w:rsidRDefault="00DA7B5D" w14:paraId="165ABE6E" w14:textId="4674C1D3">
      <w:pPr>
        <w:ind w:firstLine="0"/>
        <w:rPr>
          <w:color w:val="000000" w:themeColor="text1"/>
        </w:rPr>
      </w:pPr>
    </w:p>
    <w:p w:rsidRPr="006F7C82" w:rsidR="001D49D4" w:rsidP="008F0116" w:rsidRDefault="001D49D4" w14:paraId="5D0FE944" w14:textId="77777777">
      <w:pPr>
        <w:ind w:firstLine="0"/>
        <w:rPr>
          <w:color w:val="000000" w:themeColor="text1"/>
        </w:rPr>
      </w:pPr>
    </w:p>
    <w:p w:rsidRPr="00427749" w:rsidR="00DA7B5D" w:rsidP="00427749" w:rsidRDefault="00DA7B5D" w14:paraId="32483630" w14:textId="03046DCE">
      <w:pPr>
        <w:ind w:left="7200" w:hanging="7200"/>
        <w:rPr>
          <w:b/>
        </w:rPr>
      </w:pPr>
      <w:r w:rsidRPr="006F7C82">
        <w:rPr>
          <w:color w:val="000000" w:themeColor="text1"/>
        </w:rPr>
        <w:t xml:space="preserve">Decision </w:t>
      </w:r>
      <w:r w:rsidRPr="001D49D4" w:rsidR="001D49D4">
        <w:rPr>
          <w:szCs w:val="26"/>
        </w:rPr>
        <w:t>22-05-</w:t>
      </w:r>
      <w:proofErr w:type="gramStart"/>
      <w:r w:rsidRPr="001D49D4" w:rsidR="001D49D4">
        <w:rPr>
          <w:szCs w:val="26"/>
        </w:rPr>
        <w:t>029</w:t>
      </w:r>
      <w:r w:rsidR="001D49D4">
        <w:rPr>
          <w:szCs w:val="26"/>
        </w:rPr>
        <w:t xml:space="preserve">  May</w:t>
      </w:r>
      <w:proofErr w:type="gramEnd"/>
      <w:r w:rsidR="001D49D4">
        <w:rPr>
          <w:szCs w:val="26"/>
        </w:rPr>
        <w:t xml:space="preserve"> 19, 2022</w:t>
      </w:r>
    </w:p>
    <w:p w:rsidRPr="006F7C82" w:rsidR="00DA7B5D" w:rsidP="00BB0243" w:rsidRDefault="00DA7B5D" w14:paraId="17539A12" w14:textId="77777777">
      <w:pPr>
        <w:spacing w:line="240" w:lineRule="auto"/>
        <w:jc w:val="center"/>
        <w:rPr>
          <w:color w:val="000000" w:themeColor="text1"/>
          <w:u w:val="single"/>
        </w:rPr>
      </w:pPr>
    </w:p>
    <w:p w:rsidRPr="006F7C82" w:rsidR="00DA7B5D" w:rsidP="00BB0243" w:rsidRDefault="00DA7B5D" w14:paraId="7D4A54B7" w14:textId="77777777">
      <w:pPr>
        <w:spacing w:line="240" w:lineRule="auto"/>
        <w:ind w:firstLine="0"/>
        <w:jc w:val="center"/>
        <w:rPr>
          <w:rFonts w:ascii="Arial" w:hAnsi="Arial" w:cs="Arial"/>
          <w:color w:val="000000" w:themeColor="text1"/>
          <w:sz w:val="24"/>
          <w:szCs w:val="24"/>
        </w:rPr>
      </w:pPr>
      <w:r w:rsidRPr="006F7C82">
        <w:rPr>
          <w:rFonts w:ascii="Arial" w:hAnsi="Arial" w:cs="Arial"/>
          <w:b/>
          <w:color w:val="000000" w:themeColor="text1"/>
          <w:sz w:val="24"/>
          <w:szCs w:val="24"/>
        </w:rPr>
        <w:t>BEFORE THE PUBLIC UTILITIES COMMISSION OF THE STATE OF CALIFORNIA</w:t>
      </w:r>
    </w:p>
    <w:p w:rsidRPr="006F7C82" w:rsidR="00DA7B5D" w:rsidP="008F0116" w:rsidRDefault="00DA7B5D" w14:paraId="27A0E8D1" w14:textId="77777777">
      <w:pPr>
        <w:spacing w:line="240" w:lineRule="auto"/>
        <w:ind w:firstLine="0"/>
        <w:rPr>
          <w:rFonts w:ascii="Arial" w:hAnsi="Arial" w:cs="Arial"/>
          <w:color w:val="000000" w:themeColor="text1"/>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Pr="006F7C82" w:rsidR="00DA7B5D" w:rsidTr="00E725FC" w14:paraId="6ED79582" w14:textId="77777777">
        <w:trPr>
          <w:jc w:val="center"/>
        </w:trPr>
        <w:tc>
          <w:tcPr>
            <w:tcW w:w="5040" w:type="dxa"/>
            <w:tcBorders>
              <w:top w:val="nil"/>
              <w:left w:val="nil"/>
              <w:bottom w:val="single" w:color="auto" w:sz="4" w:space="0"/>
              <w:right w:val="single" w:color="auto" w:sz="4" w:space="0"/>
            </w:tcBorders>
          </w:tcPr>
          <w:p w:rsidRPr="006F7C82" w:rsidR="00DA7B5D" w:rsidP="00C10B5F" w:rsidRDefault="00DA7B5D" w14:paraId="631068F9" w14:textId="526AB202">
            <w:pPr>
              <w:spacing w:line="240" w:lineRule="auto"/>
              <w:ind w:firstLine="0"/>
              <w:rPr>
                <w:rFonts w:cs="Arial"/>
                <w:color w:val="000000" w:themeColor="text1"/>
              </w:rPr>
            </w:pPr>
            <w:r w:rsidRPr="006F7C82">
              <w:rPr>
                <w:color w:val="000000" w:themeColor="text1"/>
              </w:rPr>
              <w:t>Order Instituting Rulemaking Regarding Revisions to the California Advanced Services Fund</w:t>
            </w:r>
            <w:r w:rsidRPr="006F7C82">
              <w:rPr>
                <w:color w:val="000000" w:themeColor="text1"/>
              </w:rPr>
              <w:br/>
            </w:r>
          </w:p>
        </w:tc>
        <w:tc>
          <w:tcPr>
            <w:tcW w:w="5040" w:type="dxa"/>
            <w:tcBorders>
              <w:top w:val="nil"/>
              <w:left w:val="single" w:color="auto" w:sz="4" w:space="0"/>
              <w:bottom w:val="nil"/>
              <w:right w:val="nil"/>
            </w:tcBorders>
            <w:vAlign w:val="center"/>
          </w:tcPr>
          <w:p w:rsidRPr="006F7C82" w:rsidR="00DA7B5D" w:rsidP="00412C83" w:rsidRDefault="005139D3" w14:paraId="07980A80" w14:textId="7A1F3292">
            <w:pPr>
              <w:spacing w:line="240" w:lineRule="auto"/>
              <w:ind w:firstLine="0"/>
              <w:jc w:val="center"/>
              <w:rPr>
                <w:rFonts w:cs="Arial"/>
                <w:color w:val="000000" w:themeColor="text1"/>
                <w:szCs w:val="26"/>
              </w:rPr>
            </w:pPr>
            <w:r w:rsidRPr="006F7C82">
              <w:rPr>
                <w:rFonts w:cs="Arial"/>
                <w:color w:val="000000" w:themeColor="text1"/>
                <w:szCs w:val="26"/>
              </w:rPr>
              <w:t>Rulemaking 20-08-021</w:t>
            </w:r>
          </w:p>
        </w:tc>
      </w:tr>
    </w:tbl>
    <w:p w:rsidRPr="006F7C82" w:rsidR="00DA7B5D" w:rsidP="008F0116" w:rsidRDefault="00DA7B5D" w14:paraId="5F8F813A" w14:textId="77777777">
      <w:pPr>
        <w:spacing w:line="240" w:lineRule="auto"/>
        <w:ind w:firstLine="0"/>
        <w:rPr>
          <w:rFonts w:ascii="Arial" w:hAnsi="Arial" w:cs="Arial"/>
          <w:color w:val="000000" w:themeColor="text1"/>
          <w:sz w:val="24"/>
          <w:szCs w:val="24"/>
        </w:rPr>
      </w:pPr>
    </w:p>
    <w:p w:rsidRPr="006F7C82" w:rsidR="00DA7B5D" w:rsidP="008F0116" w:rsidRDefault="00DA7B5D" w14:paraId="1F5D8895" w14:textId="77777777">
      <w:pPr>
        <w:spacing w:line="240" w:lineRule="auto"/>
        <w:ind w:firstLine="0"/>
        <w:rPr>
          <w:rFonts w:ascii="Arial" w:hAnsi="Arial" w:cs="Arial"/>
          <w:color w:val="000000" w:themeColor="text1"/>
          <w:sz w:val="24"/>
          <w:szCs w:val="24"/>
        </w:rPr>
      </w:pPr>
    </w:p>
    <w:p w:rsidRPr="006F7C82" w:rsidR="00F92385" w:rsidP="00B3087D" w:rsidRDefault="63198A83" w14:paraId="624D6EEE" w14:textId="7A9B21C3">
      <w:pPr>
        <w:pStyle w:val="Dummy"/>
        <w:jc w:val="center"/>
        <w:rPr>
          <w:color w:val="000000" w:themeColor="text1"/>
        </w:rPr>
        <w:sectPr w:rsidRPr="006F7C82" w:rsidR="00F92385" w:rsidSect="00E1087C">
          <w:headerReference w:type="first" r:id="rId11"/>
          <w:footerReference w:type="first" r:id="rId12"/>
          <w:pgSz w:w="12240" w:h="15840"/>
          <w:pgMar w:top="1440" w:right="1440" w:bottom="1440" w:left="1440" w:header="720" w:footer="720" w:gutter="0"/>
          <w:pgNumType w:start="1"/>
          <w:cols w:space="720"/>
          <w:titlePg/>
          <w:docGrid w:linePitch="360"/>
        </w:sectPr>
      </w:pPr>
      <w:bookmarkStart w:name="_Hlk99278610" w:id="0"/>
      <w:bookmarkStart w:name="_Toc100132350" w:id="1"/>
      <w:r w:rsidRPr="006F7C82">
        <w:rPr>
          <w:color w:val="000000" w:themeColor="text1"/>
        </w:rPr>
        <w:t xml:space="preserve">DECISION ADOPTING MODIFICATIONS TO BROADBAND PUBLIC HOUSING ACCOUNT, </w:t>
      </w:r>
      <w:r w:rsidRPr="006F7C82" w:rsidR="4158301B">
        <w:rPr>
          <w:color w:val="000000" w:themeColor="text1"/>
        </w:rPr>
        <w:t xml:space="preserve">BROADBAND </w:t>
      </w:r>
      <w:r w:rsidRPr="006F7C82">
        <w:rPr>
          <w:color w:val="000000" w:themeColor="text1"/>
        </w:rPr>
        <w:t xml:space="preserve">ADOPTION ACCOUNT, AND </w:t>
      </w:r>
      <w:r w:rsidRPr="006F7C82" w:rsidR="6AAF4C6A">
        <w:rPr>
          <w:color w:val="000000" w:themeColor="text1"/>
        </w:rPr>
        <w:t xml:space="preserve">RURAL AND URBAN </w:t>
      </w:r>
      <w:r w:rsidRPr="006F7C82">
        <w:rPr>
          <w:color w:val="000000" w:themeColor="text1"/>
        </w:rPr>
        <w:t xml:space="preserve">REGIONAL </w:t>
      </w:r>
      <w:r w:rsidRPr="006F7C82" w:rsidR="6AAF4C6A">
        <w:rPr>
          <w:color w:val="000000" w:themeColor="text1"/>
        </w:rPr>
        <w:t>BROADBAND</w:t>
      </w:r>
      <w:r w:rsidRPr="006F7C82">
        <w:rPr>
          <w:color w:val="000000" w:themeColor="text1"/>
        </w:rPr>
        <w:t xml:space="preserve"> CONSORTIA ACCOUNT PROGRAM RULES; AND FISCAL YEAR 2022-2023 ALLOCATION OF CALIFORNIA ADVANCED SERVICES FUND </w:t>
      </w:r>
      <w:bookmarkEnd w:id="0"/>
      <w:r w:rsidRPr="006F7C82">
        <w:rPr>
          <w:color w:val="000000" w:themeColor="text1"/>
        </w:rPr>
        <w:t>BUDGET</w:t>
      </w:r>
      <w:bookmarkEnd w:id="1"/>
      <w:r w:rsidRPr="006F7C82">
        <w:rPr>
          <w:color w:val="000000" w:themeColor="text1"/>
        </w:rPr>
        <w:t xml:space="preserve"> </w:t>
      </w:r>
    </w:p>
    <w:p w:rsidRPr="006F7C82" w:rsidR="00D50119" w:rsidP="00F76650" w:rsidRDefault="00D50119" w14:paraId="4FA58025" w14:textId="77777777">
      <w:pPr>
        <w:pStyle w:val="Main"/>
        <w:rPr>
          <w:rFonts w:ascii="Book Antiqua" w:hAnsi="Book Antiqua"/>
          <w:color w:val="000000" w:themeColor="text1"/>
        </w:rPr>
      </w:pPr>
      <w:r w:rsidRPr="006F7C82">
        <w:rPr>
          <w:rFonts w:ascii="Book Antiqua" w:hAnsi="Book Antiqua"/>
          <w:color w:val="000000" w:themeColor="text1"/>
        </w:rPr>
        <w:lastRenderedPageBreak/>
        <w:t>TABLE OF CONTENTS</w:t>
      </w:r>
    </w:p>
    <w:p w:rsidRPr="006F7C82" w:rsidR="00D50119" w:rsidP="007E0FEE" w:rsidRDefault="00D50119" w14:paraId="1B31E38F" w14:textId="77777777">
      <w:pPr>
        <w:tabs>
          <w:tab w:val="right" w:pos="9360"/>
        </w:tabs>
        <w:ind w:firstLine="0"/>
        <w:rPr>
          <w:color w:val="000000" w:themeColor="text1"/>
        </w:rPr>
      </w:pPr>
      <w:r w:rsidRPr="006F7C82">
        <w:rPr>
          <w:b/>
          <w:color w:val="000000" w:themeColor="text1"/>
        </w:rPr>
        <w:t>Title</w:t>
      </w:r>
      <w:r w:rsidRPr="006F7C82">
        <w:rPr>
          <w:color w:val="000000" w:themeColor="text1"/>
        </w:rPr>
        <w:tab/>
      </w:r>
      <w:r w:rsidRPr="006F7C82">
        <w:rPr>
          <w:b/>
          <w:color w:val="000000" w:themeColor="text1"/>
        </w:rPr>
        <w:t>Page</w:t>
      </w:r>
    </w:p>
    <w:sdt>
      <w:sdtPr>
        <w:rPr>
          <w:color w:val="000000" w:themeColor="text1"/>
          <w:shd w:val="clear" w:color="auto" w:fill="E6E6E6"/>
        </w:rPr>
        <w:id w:val="-1224440197"/>
        <w:docPartObj>
          <w:docPartGallery w:val="Table of Contents"/>
          <w:docPartUnique/>
        </w:docPartObj>
      </w:sdtPr>
      <w:sdtEndPr>
        <w:rPr>
          <w:b/>
          <w:bCs/>
          <w:noProof/>
          <w:shd w:val="clear" w:color="auto" w:fill="auto"/>
        </w:rPr>
      </w:sdtEndPr>
      <w:sdtContent>
        <w:p w:rsidR="00B72CCD" w:rsidRDefault="008C7413" w14:paraId="7F494163" w14:textId="554675CF">
          <w:pPr>
            <w:pStyle w:val="TOC1"/>
            <w:tabs>
              <w:tab w:val="right" w:leader="dot" w:pos="9350"/>
            </w:tabs>
            <w:rPr>
              <w:rFonts w:asciiTheme="minorHAnsi" w:hAnsiTheme="minorHAnsi" w:cstheme="minorBidi"/>
              <w:noProof/>
              <w:sz w:val="22"/>
            </w:rPr>
          </w:pPr>
          <w:r w:rsidRPr="006F7C82">
            <w:rPr>
              <w:rFonts w:asciiTheme="minorHAnsi" w:hAnsiTheme="minorHAnsi"/>
              <w:color w:val="000000" w:themeColor="text1"/>
              <w:sz w:val="22"/>
              <w:shd w:val="clear" w:color="auto" w:fill="E6E6E6"/>
            </w:rPr>
            <w:fldChar w:fldCharType="begin"/>
          </w:r>
          <w:r w:rsidRPr="006F7C82">
            <w:rPr>
              <w:rFonts w:asciiTheme="minorHAnsi" w:hAnsiTheme="minorHAnsi"/>
              <w:color w:val="000000" w:themeColor="text1"/>
              <w:sz w:val="22"/>
            </w:rPr>
            <w:instrText xml:space="preserve"> TOC \o "1-6" \h \z \u </w:instrText>
          </w:r>
          <w:r w:rsidRPr="006F7C82">
            <w:rPr>
              <w:rFonts w:asciiTheme="minorHAnsi" w:hAnsiTheme="minorHAnsi"/>
              <w:color w:val="000000" w:themeColor="text1"/>
              <w:sz w:val="22"/>
              <w:shd w:val="clear" w:color="auto" w:fill="E6E6E6"/>
            </w:rPr>
            <w:fldChar w:fldCharType="separate"/>
          </w:r>
          <w:hyperlink w:history="1" w:anchor="_Toc100132350">
            <w:r w:rsidRPr="008462A0" w:rsidR="00B72CCD">
              <w:rPr>
                <w:rStyle w:val="Hyperlink"/>
                <w:noProof/>
              </w:rPr>
              <w:t>DECISION ADOPTING MODIFICATIONS TO BROADBAND PUBLIC HOUSING ACCOUNT, BROADBAND ADOPTION ACCOUNT, AND RURAL AND URBAN REGIONAL BROADBAND CONSORTIA ACCOUNT PROGRAM RULES; AND FISCAL YEAR 2022-2023 ALLOCATION OF CALIFORNIA ADVANCED SERVICES FUND BUDGET</w:t>
            </w:r>
            <w:r w:rsidR="00B72CCD">
              <w:rPr>
                <w:noProof/>
                <w:webHidden/>
              </w:rPr>
              <w:tab/>
            </w:r>
            <w:r w:rsidR="00B72CCD">
              <w:rPr>
                <w:noProof/>
                <w:webHidden/>
              </w:rPr>
              <w:fldChar w:fldCharType="begin"/>
            </w:r>
            <w:r w:rsidR="00B72CCD">
              <w:rPr>
                <w:noProof/>
                <w:webHidden/>
              </w:rPr>
              <w:instrText xml:space="preserve"> PAGEREF _Toc100132350 \h </w:instrText>
            </w:r>
            <w:r w:rsidR="00B72CCD">
              <w:rPr>
                <w:noProof/>
                <w:webHidden/>
              </w:rPr>
            </w:r>
            <w:r w:rsidR="00B72CCD">
              <w:rPr>
                <w:noProof/>
                <w:webHidden/>
              </w:rPr>
              <w:fldChar w:fldCharType="separate"/>
            </w:r>
            <w:r w:rsidR="0011759B">
              <w:rPr>
                <w:noProof/>
                <w:webHidden/>
              </w:rPr>
              <w:t>1</w:t>
            </w:r>
            <w:r w:rsidR="00B72CCD">
              <w:rPr>
                <w:noProof/>
                <w:webHidden/>
              </w:rPr>
              <w:fldChar w:fldCharType="end"/>
            </w:r>
          </w:hyperlink>
        </w:p>
        <w:p w:rsidR="00B72CCD" w:rsidRDefault="00256B98" w14:paraId="385E7E7B" w14:textId="334D86C9">
          <w:pPr>
            <w:pStyle w:val="TOC1"/>
            <w:tabs>
              <w:tab w:val="right" w:leader="dot" w:pos="9350"/>
            </w:tabs>
            <w:rPr>
              <w:rFonts w:asciiTheme="minorHAnsi" w:hAnsiTheme="minorHAnsi" w:cstheme="minorBidi"/>
              <w:noProof/>
              <w:sz w:val="22"/>
            </w:rPr>
          </w:pPr>
          <w:hyperlink w:history="1" w:anchor="_Toc100132351">
            <w:r w:rsidRPr="008462A0" w:rsidR="00B72CCD">
              <w:rPr>
                <w:rStyle w:val="Hyperlink"/>
                <w:noProof/>
              </w:rPr>
              <w:t>Summary</w:t>
            </w:r>
            <w:r w:rsidR="00B72CCD">
              <w:rPr>
                <w:noProof/>
                <w:webHidden/>
              </w:rPr>
              <w:tab/>
            </w:r>
            <w:r w:rsidR="00B72CCD">
              <w:rPr>
                <w:noProof/>
                <w:webHidden/>
              </w:rPr>
              <w:fldChar w:fldCharType="begin"/>
            </w:r>
            <w:r w:rsidR="00B72CCD">
              <w:rPr>
                <w:noProof/>
                <w:webHidden/>
              </w:rPr>
              <w:instrText xml:space="preserve"> PAGEREF _Toc100132351 \h </w:instrText>
            </w:r>
            <w:r w:rsidR="00B72CCD">
              <w:rPr>
                <w:noProof/>
                <w:webHidden/>
              </w:rPr>
            </w:r>
            <w:r w:rsidR="00B72CCD">
              <w:rPr>
                <w:noProof/>
                <w:webHidden/>
              </w:rPr>
              <w:fldChar w:fldCharType="separate"/>
            </w:r>
            <w:r w:rsidR="0011759B">
              <w:rPr>
                <w:noProof/>
                <w:webHidden/>
              </w:rPr>
              <w:t>2</w:t>
            </w:r>
            <w:r w:rsidR="00B72CCD">
              <w:rPr>
                <w:noProof/>
                <w:webHidden/>
              </w:rPr>
              <w:fldChar w:fldCharType="end"/>
            </w:r>
          </w:hyperlink>
        </w:p>
        <w:p w:rsidR="00B72CCD" w:rsidRDefault="00256B98" w14:paraId="1C2716EB" w14:textId="57F03CE5">
          <w:pPr>
            <w:pStyle w:val="TOC1"/>
            <w:tabs>
              <w:tab w:val="right" w:leader="dot" w:pos="9350"/>
            </w:tabs>
            <w:rPr>
              <w:rFonts w:asciiTheme="minorHAnsi" w:hAnsiTheme="minorHAnsi" w:cstheme="minorBidi"/>
              <w:noProof/>
              <w:sz w:val="22"/>
            </w:rPr>
          </w:pPr>
          <w:hyperlink w:history="1" w:anchor="_Toc100132352">
            <w:r w:rsidRPr="008462A0" w:rsidR="00B72CCD">
              <w:rPr>
                <w:rStyle w:val="Hyperlink"/>
                <w:noProof/>
              </w:rPr>
              <w:t>1.</w:t>
            </w:r>
            <w:r w:rsidR="00B72CCD">
              <w:rPr>
                <w:rFonts w:asciiTheme="minorHAnsi" w:hAnsiTheme="minorHAnsi" w:cstheme="minorBidi"/>
                <w:noProof/>
                <w:sz w:val="22"/>
              </w:rPr>
              <w:tab/>
            </w:r>
            <w:r w:rsidRPr="008462A0" w:rsidR="00B72CCD">
              <w:rPr>
                <w:rStyle w:val="Hyperlink"/>
                <w:noProof/>
              </w:rPr>
              <w:t>Background</w:t>
            </w:r>
            <w:r w:rsidR="00B72CCD">
              <w:rPr>
                <w:noProof/>
                <w:webHidden/>
              </w:rPr>
              <w:tab/>
            </w:r>
            <w:r w:rsidR="00B72CCD">
              <w:rPr>
                <w:noProof/>
                <w:webHidden/>
              </w:rPr>
              <w:fldChar w:fldCharType="begin"/>
            </w:r>
            <w:r w:rsidR="00B72CCD">
              <w:rPr>
                <w:noProof/>
                <w:webHidden/>
              </w:rPr>
              <w:instrText xml:space="preserve"> PAGEREF _Toc100132352 \h </w:instrText>
            </w:r>
            <w:r w:rsidR="00B72CCD">
              <w:rPr>
                <w:noProof/>
                <w:webHidden/>
              </w:rPr>
            </w:r>
            <w:r w:rsidR="00B72CCD">
              <w:rPr>
                <w:noProof/>
                <w:webHidden/>
              </w:rPr>
              <w:fldChar w:fldCharType="separate"/>
            </w:r>
            <w:r w:rsidR="0011759B">
              <w:rPr>
                <w:noProof/>
                <w:webHidden/>
              </w:rPr>
              <w:t>2</w:t>
            </w:r>
            <w:r w:rsidR="00B72CCD">
              <w:rPr>
                <w:noProof/>
                <w:webHidden/>
              </w:rPr>
              <w:fldChar w:fldCharType="end"/>
            </w:r>
          </w:hyperlink>
        </w:p>
        <w:p w:rsidR="00B72CCD" w:rsidRDefault="00256B98" w14:paraId="22A6EDDF" w14:textId="29BF8596">
          <w:pPr>
            <w:pStyle w:val="TOC1"/>
            <w:tabs>
              <w:tab w:val="right" w:leader="dot" w:pos="9350"/>
            </w:tabs>
            <w:rPr>
              <w:rFonts w:asciiTheme="minorHAnsi" w:hAnsiTheme="minorHAnsi" w:cstheme="minorBidi"/>
              <w:noProof/>
              <w:sz w:val="22"/>
            </w:rPr>
          </w:pPr>
          <w:hyperlink w:history="1" w:anchor="_Toc100132353">
            <w:r w:rsidRPr="008462A0" w:rsidR="00B72CCD">
              <w:rPr>
                <w:rStyle w:val="Hyperlink"/>
                <w:noProof/>
              </w:rPr>
              <w:t>2.</w:t>
            </w:r>
            <w:r w:rsidR="00B72CCD">
              <w:rPr>
                <w:rFonts w:asciiTheme="minorHAnsi" w:hAnsiTheme="minorHAnsi" w:cstheme="minorBidi"/>
                <w:noProof/>
                <w:sz w:val="22"/>
              </w:rPr>
              <w:tab/>
            </w:r>
            <w:r w:rsidRPr="008462A0" w:rsidR="00B72CCD">
              <w:rPr>
                <w:rStyle w:val="Hyperlink"/>
                <w:noProof/>
              </w:rPr>
              <w:t>Jurisdiction</w:t>
            </w:r>
            <w:r w:rsidR="00B72CCD">
              <w:rPr>
                <w:noProof/>
                <w:webHidden/>
              </w:rPr>
              <w:tab/>
            </w:r>
            <w:r w:rsidR="00B72CCD">
              <w:rPr>
                <w:noProof/>
                <w:webHidden/>
              </w:rPr>
              <w:fldChar w:fldCharType="begin"/>
            </w:r>
            <w:r w:rsidR="00B72CCD">
              <w:rPr>
                <w:noProof/>
                <w:webHidden/>
              </w:rPr>
              <w:instrText xml:space="preserve"> PAGEREF _Toc100132353 \h </w:instrText>
            </w:r>
            <w:r w:rsidR="00B72CCD">
              <w:rPr>
                <w:noProof/>
                <w:webHidden/>
              </w:rPr>
            </w:r>
            <w:r w:rsidR="00B72CCD">
              <w:rPr>
                <w:noProof/>
                <w:webHidden/>
              </w:rPr>
              <w:fldChar w:fldCharType="separate"/>
            </w:r>
            <w:r w:rsidR="0011759B">
              <w:rPr>
                <w:noProof/>
                <w:webHidden/>
              </w:rPr>
              <w:t>4</w:t>
            </w:r>
            <w:r w:rsidR="00B72CCD">
              <w:rPr>
                <w:noProof/>
                <w:webHidden/>
              </w:rPr>
              <w:fldChar w:fldCharType="end"/>
            </w:r>
          </w:hyperlink>
        </w:p>
        <w:p w:rsidR="00B72CCD" w:rsidRDefault="00256B98" w14:paraId="790035D6" w14:textId="197F4784">
          <w:pPr>
            <w:pStyle w:val="TOC1"/>
            <w:tabs>
              <w:tab w:val="right" w:leader="dot" w:pos="9350"/>
            </w:tabs>
            <w:rPr>
              <w:rFonts w:asciiTheme="minorHAnsi" w:hAnsiTheme="minorHAnsi" w:cstheme="minorBidi"/>
              <w:noProof/>
              <w:sz w:val="22"/>
            </w:rPr>
          </w:pPr>
          <w:hyperlink w:history="1" w:anchor="_Toc100132354">
            <w:r w:rsidRPr="008462A0" w:rsidR="00B72CCD">
              <w:rPr>
                <w:rStyle w:val="Hyperlink"/>
                <w:noProof/>
              </w:rPr>
              <w:t>3.</w:t>
            </w:r>
            <w:r w:rsidR="00B72CCD">
              <w:rPr>
                <w:rFonts w:asciiTheme="minorHAnsi" w:hAnsiTheme="minorHAnsi" w:cstheme="minorBidi"/>
                <w:noProof/>
                <w:sz w:val="22"/>
              </w:rPr>
              <w:tab/>
            </w:r>
            <w:r w:rsidRPr="008462A0" w:rsidR="00B72CCD">
              <w:rPr>
                <w:rStyle w:val="Hyperlink"/>
                <w:noProof/>
              </w:rPr>
              <w:t>Changes to the CASF Public Housing Account</w:t>
            </w:r>
            <w:r w:rsidR="00B72CCD">
              <w:rPr>
                <w:noProof/>
                <w:webHidden/>
              </w:rPr>
              <w:tab/>
            </w:r>
            <w:r w:rsidR="00B72CCD">
              <w:rPr>
                <w:noProof/>
                <w:webHidden/>
              </w:rPr>
              <w:fldChar w:fldCharType="begin"/>
            </w:r>
            <w:r w:rsidR="00B72CCD">
              <w:rPr>
                <w:noProof/>
                <w:webHidden/>
              </w:rPr>
              <w:instrText xml:space="preserve"> PAGEREF _Toc100132354 \h </w:instrText>
            </w:r>
            <w:r w:rsidR="00B72CCD">
              <w:rPr>
                <w:noProof/>
                <w:webHidden/>
              </w:rPr>
            </w:r>
            <w:r w:rsidR="00B72CCD">
              <w:rPr>
                <w:noProof/>
                <w:webHidden/>
              </w:rPr>
              <w:fldChar w:fldCharType="separate"/>
            </w:r>
            <w:r w:rsidR="0011759B">
              <w:rPr>
                <w:noProof/>
                <w:webHidden/>
              </w:rPr>
              <w:t>5</w:t>
            </w:r>
            <w:r w:rsidR="00B72CCD">
              <w:rPr>
                <w:noProof/>
                <w:webHidden/>
              </w:rPr>
              <w:fldChar w:fldCharType="end"/>
            </w:r>
          </w:hyperlink>
        </w:p>
        <w:p w:rsidR="00B72CCD" w:rsidRDefault="00256B98" w14:paraId="181E4AEE" w14:textId="3E910F9B">
          <w:pPr>
            <w:pStyle w:val="TOC2"/>
            <w:tabs>
              <w:tab w:val="right" w:leader="dot" w:pos="9350"/>
            </w:tabs>
            <w:rPr>
              <w:rFonts w:asciiTheme="minorHAnsi" w:hAnsiTheme="minorHAnsi" w:cstheme="minorBidi"/>
              <w:noProof/>
              <w:sz w:val="22"/>
            </w:rPr>
          </w:pPr>
          <w:hyperlink w:history="1" w:anchor="_Toc100132355">
            <w:r w:rsidRPr="008462A0" w:rsidR="00B72CCD">
              <w:rPr>
                <w:rStyle w:val="Hyperlink"/>
                <w:noProof/>
              </w:rPr>
              <w:t>3.1.</w:t>
            </w:r>
            <w:r w:rsidR="00B72CCD">
              <w:rPr>
                <w:rFonts w:asciiTheme="minorHAnsi" w:hAnsiTheme="minorHAnsi" w:cstheme="minorBidi"/>
                <w:noProof/>
                <w:sz w:val="22"/>
              </w:rPr>
              <w:tab/>
            </w:r>
            <w:r w:rsidRPr="008462A0" w:rsidR="00B72CCD">
              <w:rPr>
                <w:rStyle w:val="Hyperlink"/>
                <w:noProof/>
              </w:rPr>
              <w:t xml:space="preserve">Expansion of Eligibility for Public Housing </w:t>
            </w:r>
            <w:r w:rsidR="00E1788F">
              <w:rPr>
                <w:rStyle w:val="Hyperlink"/>
                <w:noProof/>
              </w:rPr>
              <w:br/>
            </w:r>
            <w:r w:rsidRPr="008462A0" w:rsidR="00B72CCD">
              <w:rPr>
                <w:rStyle w:val="Hyperlink"/>
                <w:noProof/>
              </w:rPr>
              <w:t>Account Grants and Program Definitions</w:t>
            </w:r>
            <w:r w:rsidR="00B72CCD">
              <w:rPr>
                <w:noProof/>
                <w:webHidden/>
              </w:rPr>
              <w:tab/>
            </w:r>
            <w:r w:rsidR="00B72CCD">
              <w:rPr>
                <w:noProof/>
                <w:webHidden/>
              </w:rPr>
              <w:fldChar w:fldCharType="begin"/>
            </w:r>
            <w:r w:rsidR="00B72CCD">
              <w:rPr>
                <w:noProof/>
                <w:webHidden/>
              </w:rPr>
              <w:instrText xml:space="preserve"> PAGEREF _Toc100132355 \h </w:instrText>
            </w:r>
            <w:r w:rsidR="00B72CCD">
              <w:rPr>
                <w:noProof/>
                <w:webHidden/>
              </w:rPr>
            </w:r>
            <w:r w:rsidR="00B72CCD">
              <w:rPr>
                <w:noProof/>
                <w:webHidden/>
              </w:rPr>
              <w:fldChar w:fldCharType="separate"/>
            </w:r>
            <w:r w:rsidR="0011759B">
              <w:rPr>
                <w:noProof/>
                <w:webHidden/>
              </w:rPr>
              <w:t>5</w:t>
            </w:r>
            <w:r w:rsidR="00B72CCD">
              <w:rPr>
                <w:noProof/>
                <w:webHidden/>
              </w:rPr>
              <w:fldChar w:fldCharType="end"/>
            </w:r>
          </w:hyperlink>
        </w:p>
        <w:p w:rsidR="00B72CCD" w:rsidRDefault="00256B98" w14:paraId="5D2D4D6C" w14:textId="3B1AAE9B">
          <w:pPr>
            <w:pStyle w:val="TOC2"/>
            <w:tabs>
              <w:tab w:val="right" w:leader="dot" w:pos="9350"/>
            </w:tabs>
            <w:rPr>
              <w:rFonts w:asciiTheme="minorHAnsi" w:hAnsiTheme="minorHAnsi" w:cstheme="minorBidi"/>
              <w:noProof/>
              <w:sz w:val="22"/>
            </w:rPr>
          </w:pPr>
          <w:hyperlink w:history="1" w:anchor="_Toc100132356">
            <w:r w:rsidRPr="008462A0" w:rsidR="00B72CCD">
              <w:rPr>
                <w:rStyle w:val="Hyperlink"/>
                <w:noProof/>
              </w:rPr>
              <w:t>3.2.</w:t>
            </w:r>
            <w:r w:rsidR="00B72CCD">
              <w:rPr>
                <w:rFonts w:asciiTheme="minorHAnsi" w:hAnsiTheme="minorHAnsi" w:cstheme="minorBidi"/>
                <w:noProof/>
                <w:sz w:val="22"/>
              </w:rPr>
              <w:tab/>
            </w:r>
            <w:r w:rsidRPr="008462A0" w:rsidR="00B72CCD">
              <w:rPr>
                <w:rStyle w:val="Hyperlink"/>
                <w:noProof/>
              </w:rPr>
              <w:t>Modification to Project Speed Delivery Requirements</w:t>
            </w:r>
            <w:r w:rsidR="00B72CCD">
              <w:rPr>
                <w:noProof/>
                <w:webHidden/>
              </w:rPr>
              <w:tab/>
            </w:r>
            <w:r w:rsidR="00B72CCD">
              <w:rPr>
                <w:noProof/>
                <w:webHidden/>
              </w:rPr>
              <w:fldChar w:fldCharType="begin"/>
            </w:r>
            <w:r w:rsidR="00B72CCD">
              <w:rPr>
                <w:noProof/>
                <w:webHidden/>
              </w:rPr>
              <w:instrText xml:space="preserve"> PAGEREF _Toc100132356 \h </w:instrText>
            </w:r>
            <w:r w:rsidR="00B72CCD">
              <w:rPr>
                <w:noProof/>
                <w:webHidden/>
              </w:rPr>
            </w:r>
            <w:r w:rsidR="00B72CCD">
              <w:rPr>
                <w:noProof/>
                <w:webHidden/>
              </w:rPr>
              <w:fldChar w:fldCharType="separate"/>
            </w:r>
            <w:r w:rsidR="0011759B">
              <w:rPr>
                <w:noProof/>
                <w:webHidden/>
              </w:rPr>
              <w:t>19</w:t>
            </w:r>
            <w:r w:rsidR="00B72CCD">
              <w:rPr>
                <w:noProof/>
                <w:webHidden/>
              </w:rPr>
              <w:fldChar w:fldCharType="end"/>
            </w:r>
          </w:hyperlink>
        </w:p>
        <w:p w:rsidR="00B72CCD" w:rsidRDefault="00256B98" w14:paraId="2E001495" w14:textId="3F1B3F24">
          <w:pPr>
            <w:pStyle w:val="TOC2"/>
            <w:tabs>
              <w:tab w:val="right" w:leader="dot" w:pos="9350"/>
            </w:tabs>
            <w:rPr>
              <w:rFonts w:asciiTheme="minorHAnsi" w:hAnsiTheme="minorHAnsi" w:cstheme="minorBidi"/>
              <w:noProof/>
              <w:sz w:val="22"/>
            </w:rPr>
          </w:pPr>
          <w:hyperlink w:history="1" w:anchor="_Toc100132357">
            <w:r w:rsidRPr="008462A0" w:rsidR="00B72CCD">
              <w:rPr>
                <w:rStyle w:val="Hyperlink"/>
                <w:noProof/>
              </w:rPr>
              <w:t>3.3.</w:t>
            </w:r>
            <w:r w:rsidR="00B72CCD">
              <w:rPr>
                <w:rFonts w:asciiTheme="minorHAnsi" w:hAnsiTheme="minorHAnsi" w:cstheme="minorBidi"/>
                <w:noProof/>
                <w:sz w:val="22"/>
              </w:rPr>
              <w:tab/>
            </w:r>
            <w:r w:rsidRPr="008462A0" w:rsidR="00B72CCD">
              <w:rPr>
                <w:rStyle w:val="Hyperlink"/>
                <w:noProof/>
              </w:rPr>
              <w:t xml:space="preserve">Modifications to Standards for Expedited </w:t>
            </w:r>
            <w:r w:rsidR="00E1788F">
              <w:rPr>
                <w:rStyle w:val="Hyperlink"/>
                <w:noProof/>
              </w:rPr>
              <w:br/>
            </w:r>
            <w:r w:rsidRPr="008462A0" w:rsidR="00B72CCD">
              <w:rPr>
                <w:rStyle w:val="Hyperlink"/>
                <w:noProof/>
              </w:rPr>
              <w:t>(Ministerial) Review</w:t>
            </w:r>
            <w:r w:rsidR="00B72CCD">
              <w:rPr>
                <w:noProof/>
                <w:webHidden/>
              </w:rPr>
              <w:tab/>
            </w:r>
            <w:r w:rsidR="00B72CCD">
              <w:rPr>
                <w:noProof/>
                <w:webHidden/>
              </w:rPr>
              <w:fldChar w:fldCharType="begin"/>
            </w:r>
            <w:r w:rsidR="00B72CCD">
              <w:rPr>
                <w:noProof/>
                <w:webHidden/>
              </w:rPr>
              <w:instrText xml:space="preserve"> PAGEREF _Toc100132357 \h </w:instrText>
            </w:r>
            <w:r w:rsidR="00B72CCD">
              <w:rPr>
                <w:noProof/>
                <w:webHidden/>
              </w:rPr>
            </w:r>
            <w:r w:rsidR="00B72CCD">
              <w:rPr>
                <w:noProof/>
                <w:webHidden/>
              </w:rPr>
              <w:fldChar w:fldCharType="separate"/>
            </w:r>
            <w:r w:rsidR="0011759B">
              <w:rPr>
                <w:noProof/>
                <w:webHidden/>
              </w:rPr>
              <w:t>22</w:t>
            </w:r>
            <w:r w:rsidR="00B72CCD">
              <w:rPr>
                <w:noProof/>
                <w:webHidden/>
              </w:rPr>
              <w:fldChar w:fldCharType="end"/>
            </w:r>
          </w:hyperlink>
        </w:p>
        <w:p w:rsidR="00B72CCD" w:rsidRDefault="00256B98" w14:paraId="542264A1" w14:textId="4F56B847">
          <w:pPr>
            <w:pStyle w:val="TOC2"/>
            <w:tabs>
              <w:tab w:val="right" w:leader="dot" w:pos="9350"/>
            </w:tabs>
            <w:rPr>
              <w:rFonts w:asciiTheme="minorHAnsi" w:hAnsiTheme="minorHAnsi" w:cstheme="minorBidi"/>
              <w:noProof/>
              <w:sz w:val="22"/>
            </w:rPr>
          </w:pPr>
          <w:hyperlink w:history="1" w:anchor="_Toc100132358">
            <w:r w:rsidRPr="008462A0" w:rsidR="00B72CCD">
              <w:rPr>
                <w:rStyle w:val="Hyperlink"/>
                <w:noProof/>
              </w:rPr>
              <w:t>3.4.</w:t>
            </w:r>
            <w:r w:rsidR="00B72CCD">
              <w:rPr>
                <w:rFonts w:asciiTheme="minorHAnsi" w:hAnsiTheme="minorHAnsi" w:cstheme="minorBidi"/>
                <w:noProof/>
                <w:sz w:val="22"/>
              </w:rPr>
              <w:tab/>
            </w:r>
            <w:r w:rsidRPr="008462A0" w:rsidR="00B72CCD">
              <w:rPr>
                <w:rStyle w:val="Hyperlink"/>
                <w:noProof/>
              </w:rPr>
              <w:t xml:space="preserve">Coordination and Overlap with Other </w:t>
            </w:r>
            <w:r w:rsidR="00E1788F">
              <w:rPr>
                <w:rStyle w:val="Hyperlink"/>
                <w:noProof/>
              </w:rPr>
              <w:br/>
            </w:r>
            <w:r w:rsidRPr="008462A0" w:rsidR="00B72CCD">
              <w:rPr>
                <w:rStyle w:val="Hyperlink"/>
                <w:noProof/>
              </w:rPr>
              <w:t>Broadband Subsidy or Social Service Programs</w:t>
            </w:r>
            <w:r w:rsidR="00B72CCD">
              <w:rPr>
                <w:noProof/>
                <w:webHidden/>
              </w:rPr>
              <w:tab/>
            </w:r>
            <w:r w:rsidR="00B72CCD">
              <w:rPr>
                <w:noProof/>
                <w:webHidden/>
              </w:rPr>
              <w:fldChar w:fldCharType="begin"/>
            </w:r>
            <w:r w:rsidR="00B72CCD">
              <w:rPr>
                <w:noProof/>
                <w:webHidden/>
              </w:rPr>
              <w:instrText xml:space="preserve"> PAGEREF _Toc100132358 \h </w:instrText>
            </w:r>
            <w:r w:rsidR="00B72CCD">
              <w:rPr>
                <w:noProof/>
                <w:webHidden/>
              </w:rPr>
            </w:r>
            <w:r w:rsidR="00B72CCD">
              <w:rPr>
                <w:noProof/>
                <w:webHidden/>
              </w:rPr>
              <w:fldChar w:fldCharType="separate"/>
            </w:r>
            <w:r w:rsidR="0011759B">
              <w:rPr>
                <w:noProof/>
                <w:webHidden/>
              </w:rPr>
              <w:t>24</w:t>
            </w:r>
            <w:r w:rsidR="00B72CCD">
              <w:rPr>
                <w:noProof/>
                <w:webHidden/>
              </w:rPr>
              <w:fldChar w:fldCharType="end"/>
            </w:r>
          </w:hyperlink>
        </w:p>
        <w:p w:rsidR="00B72CCD" w:rsidRDefault="00256B98" w14:paraId="467B5FC9" w14:textId="08F0509B">
          <w:pPr>
            <w:pStyle w:val="TOC2"/>
            <w:tabs>
              <w:tab w:val="right" w:leader="dot" w:pos="9350"/>
            </w:tabs>
            <w:rPr>
              <w:rFonts w:asciiTheme="minorHAnsi" w:hAnsiTheme="minorHAnsi" w:cstheme="minorBidi"/>
              <w:noProof/>
              <w:sz w:val="22"/>
            </w:rPr>
          </w:pPr>
          <w:hyperlink w:history="1" w:anchor="_Toc100132359">
            <w:r w:rsidRPr="008462A0" w:rsidR="00B72CCD">
              <w:rPr>
                <w:rStyle w:val="Hyperlink"/>
                <w:noProof/>
              </w:rPr>
              <w:t>3.5.</w:t>
            </w:r>
            <w:r w:rsidR="00B72CCD">
              <w:rPr>
                <w:rFonts w:asciiTheme="minorHAnsi" w:hAnsiTheme="minorHAnsi" w:cstheme="minorBidi"/>
                <w:noProof/>
                <w:sz w:val="22"/>
              </w:rPr>
              <w:tab/>
            </w:r>
            <w:r w:rsidRPr="008462A0" w:rsidR="00B72CCD">
              <w:rPr>
                <w:rStyle w:val="Hyperlink"/>
                <w:noProof/>
              </w:rPr>
              <w:t>Public Housing Account Technical Requirements</w:t>
            </w:r>
            <w:r w:rsidR="00B72CCD">
              <w:rPr>
                <w:noProof/>
                <w:webHidden/>
              </w:rPr>
              <w:tab/>
            </w:r>
            <w:r w:rsidR="00B72CCD">
              <w:rPr>
                <w:noProof/>
                <w:webHidden/>
              </w:rPr>
              <w:fldChar w:fldCharType="begin"/>
            </w:r>
            <w:r w:rsidR="00B72CCD">
              <w:rPr>
                <w:noProof/>
                <w:webHidden/>
              </w:rPr>
              <w:instrText xml:space="preserve"> PAGEREF _Toc100132359 \h </w:instrText>
            </w:r>
            <w:r w:rsidR="00B72CCD">
              <w:rPr>
                <w:noProof/>
                <w:webHidden/>
              </w:rPr>
            </w:r>
            <w:r w:rsidR="00B72CCD">
              <w:rPr>
                <w:noProof/>
                <w:webHidden/>
              </w:rPr>
              <w:fldChar w:fldCharType="separate"/>
            </w:r>
            <w:r w:rsidR="0011759B">
              <w:rPr>
                <w:noProof/>
                <w:webHidden/>
              </w:rPr>
              <w:t>28</w:t>
            </w:r>
            <w:r w:rsidR="00B72CCD">
              <w:rPr>
                <w:noProof/>
                <w:webHidden/>
              </w:rPr>
              <w:fldChar w:fldCharType="end"/>
            </w:r>
          </w:hyperlink>
        </w:p>
        <w:p w:rsidR="00B72CCD" w:rsidRDefault="00256B98" w14:paraId="0616800F" w14:textId="69B515C1">
          <w:pPr>
            <w:pStyle w:val="TOC2"/>
            <w:tabs>
              <w:tab w:val="right" w:leader="dot" w:pos="9350"/>
            </w:tabs>
            <w:rPr>
              <w:rFonts w:asciiTheme="minorHAnsi" w:hAnsiTheme="minorHAnsi" w:cstheme="minorBidi"/>
              <w:noProof/>
              <w:sz w:val="22"/>
            </w:rPr>
          </w:pPr>
          <w:hyperlink w:history="1" w:anchor="_Toc100132360">
            <w:r w:rsidRPr="008462A0" w:rsidR="00B72CCD">
              <w:rPr>
                <w:rStyle w:val="Hyperlink"/>
                <w:noProof/>
              </w:rPr>
              <w:t>3.6.</w:t>
            </w:r>
            <w:r w:rsidR="00B72CCD">
              <w:rPr>
                <w:rFonts w:asciiTheme="minorHAnsi" w:hAnsiTheme="minorHAnsi" w:cstheme="minorBidi"/>
                <w:noProof/>
                <w:sz w:val="22"/>
              </w:rPr>
              <w:tab/>
            </w:r>
            <w:r w:rsidRPr="008462A0" w:rsidR="00B72CCD">
              <w:rPr>
                <w:rStyle w:val="Hyperlink"/>
                <w:noProof/>
              </w:rPr>
              <w:t xml:space="preserve">Any Other Recommended Changes to the </w:t>
            </w:r>
            <w:r w:rsidR="00E1788F">
              <w:rPr>
                <w:rStyle w:val="Hyperlink"/>
                <w:noProof/>
              </w:rPr>
              <w:br/>
            </w:r>
            <w:r w:rsidRPr="008462A0" w:rsidR="00B72CCD">
              <w:rPr>
                <w:rStyle w:val="Hyperlink"/>
                <w:noProof/>
              </w:rPr>
              <w:t>Public Housing Account Guidelines?</w:t>
            </w:r>
            <w:r w:rsidR="00B72CCD">
              <w:rPr>
                <w:noProof/>
                <w:webHidden/>
              </w:rPr>
              <w:tab/>
            </w:r>
            <w:r w:rsidR="00B72CCD">
              <w:rPr>
                <w:noProof/>
                <w:webHidden/>
              </w:rPr>
              <w:fldChar w:fldCharType="begin"/>
            </w:r>
            <w:r w:rsidR="00B72CCD">
              <w:rPr>
                <w:noProof/>
                <w:webHidden/>
              </w:rPr>
              <w:instrText xml:space="preserve"> PAGEREF _Toc100132360 \h </w:instrText>
            </w:r>
            <w:r w:rsidR="00B72CCD">
              <w:rPr>
                <w:noProof/>
                <w:webHidden/>
              </w:rPr>
            </w:r>
            <w:r w:rsidR="00B72CCD">
              <w:rPr>
                <w:noProof/>
                <w:webHidden/>
              </w:rPr>
              <w:fldChar w:fldCharType="separate"/>
            </w:r>
            <w:r w:rsidR="0011759B">
              <w:rPr>
                <w:noProof/>
                <w:webHidden/>
              </w:rPr>
              <w:t>31</w:t>
            </w:r>
            <w:r w:rsidR="00B72CCD">
              <w:rPr>
                <w:noProof/>
                <w:webHidden/>
              </w:rPr>
              <w:fldChar w:fldCharType="end"/>
            </w:r>
          </w:hyperlink>
        </w:p>
        <w:p w:rsidR="00B72CCD" w:rsidRDefault="00256B98" w14:paraId="283B715A" w14:textId="09023C87">
          <w:pPr>
            <w:pStyle w:val="TOC1"/>
            <w:tabs>
              <w:tab w:val="right" w:leader="dot" w:pos="9350"/>
            </w:tabs>
            <w:rPr>
              <w:rFonts w:asciiTheme="minorHAnsi" w:hAnsiTheme="minorHAnsi" w:cstheme="minorBidi"/>
              <w:noProof/>
              <w:sz w:val="22"/>
            </w:rPr>
          </w:pPr>
          <w:hyperlink w:history="1" w:anchor="_Toc100132361">
            <w:r w:rsidRPr="008462A0" w:rsidR="00B72CCD">
              <w:rPr>
                <w:rStyle w:val="Hyperlink"/>
                <w:noProof/>
              </w:rPr>
              <w:t>4.</w:t>
            </w:r>
            <w:r w:rsidR="00B72CCD">
              <w:rPr>
                <w:rFonts w:asciiTheme="minorHAnsi" w:hAnsiTheme="minorHAnsi" w:cstheme="minorBidi"/>
                <w:noProof/>
                <w:sz w:val="22"/>
              </w:rPr>
              <w:tab/>
            </w:r>
            <w:r w:rsidRPr="008462A0" w:rsidR="00B72CCD">
              <w:rPr>
                <w:rStyle w:val="Hyperlink"/>
                <w:noProof/>
              </w:rPr>
              <w:t>Changes to the Adoption Account</w:t>
            </w:r>
            <w:r w:rsidR="00B72CCD">
              <w:rPr>
                <w:noProof/>
                <w:webHidden/>
              </w:rPr>
              <w:tab/>
            </w:r>
            <w:r w:rsidR="00B72CCD">
              <w:rPr>
                <w:noProof/>
                <w:webHidden/>
              </w:rPr>
              <w:fldChar w:fldCharType="begin"/>
            </w:r>
            <w:r w:rsidR="00B72CCD">
              <w:rPr>
                <w:noProof/>
                <w:webHidden/>
              </w:rPr>
              <w:instrText xml:space="preserve"> PAGEREF _Toc100132361 \h </w:instrText>
            </w:r>
            <w:r w:rsidR="00B72CCD">
              <w:rPr>
                <w:noProof/>
                <w:webHidden/>
              </w:rPr>
            </w:r>
            <w:r w:rsidR="00B72CCD">
              <w:rPr>
                <w:noProof/>
                <w:webHidden/>
              </w:rPr>
              <w:fldChar w:fldCharType="separate"/>
            </w:r>
            <w:r w:rsidR="0011759B">
              <w:rPr>
                <w:noProof/>
                <w:webHidden/>
              </w:rPr>
              <w:t>34</w:t>
            </w:r>
            <w:r w:rsidR="00B72CCD">
              <w:rPr>
                <w:noProof/>
                <w:webHidden/>
              </w:rPr>
              <w:fldChar w:fldCharType="end"/>
            </w:r>
          </w:hyperlink>
        </w:p>
        <w:p w:rsidR="00B72CCD" w:rsidRDefault="00256B98" w14:paraId="0B78627D" w14:textId="59A5CD63">
          <w:pPr>
            <w:pStyle w:val="TOC2"/>
            <w:tabs>
              <w:tab w:val="right" w:leader="dot" w:pos="9350"/>
            </w:tabs>
            <w:rPr>
              <w:rFonts w:asciiTheme="minorHAnsi" w:hAnsiTheme="minorHAnsi" w:cstheme="minorBidi"/>
              <w:noProof/>
              <w:sz w:val="22"/>
            </w:rPr>
          </w:pPr>
          <w:hyperlink w:history="1" w:anchor="_Toc100132362">
            <w:r w:rsidRPr="008462A0" w:rsidR="00B72CCD">
              <w:rPr>
                <w:rStyle w:val="Hyperlink"/>
                <w:noProof/>
              </w:rPr>
              <w:t>4.1.</w:t>
            </w:r>
            <w:r w:rsidR="00B72CCD">
              <w:rPr>
                <w:rFonts w:asciiTheme="minorHAnsi" w:hAnsiTheme="minorHAnsi" w:cstheme="minorBidi"/>
                <w:noProof/>
                <w:sz w:val="22"/>
              </w:rPr>
              <w:tab/>
            </w:r>
            <w:r w:rsidRPr="008462A0" w:rsidR="00B72CCD">
              <w:rPr>
                <w:rStyle w:val="Hyperlink"/>
                <w:noProof/>
              </w:rPr>
              <w:t xml:space="preserve">Modifications to Applicant and Project </w:t>
            </w:r>
            <w:r w:rsidR="00E1788F">
              <w:rPr>
                <w:rStyle w:val="Hyperlink"/>
                <w:noProof/>
              </w:rPr>
              <w:br/>
            </w:r>
            <w:r w:rsidRPr="008462A0" w:rsidR="00B72CCD">
              <w:rPr>
                <w:rStyle w:val="Hyperlink"/>
                <w:noProof/>
              </w:rPr>
              <w:t>Eligibility Requirements</w:t>
            </w:r>
            <w:r w:rsidR="00B72CCD">
              <w:rPr>
                <w:noProof/>
                <w:webHidden/>
              </w:rPr>
              <w:tab/>
            </w:r>
            <w:r w:rsidR="00B72CCD">
              <w:rPr>
                <w:noProof/>
                <w:webHidden/>
              </w:rPr>
              <w:fldChar w:fldCharType="begin"/>
            </w:r>
            <w:r w:rsidR="00B72CCD">
              <w:rPr>
                <w:noProof/>
                <w:webHidden/>
              </w:rPr>
              <w:instrText xml:space="preserve"> PAGEREF _Toc100132362 \h </w:instrText>
            </w:r>
            <w:r w:rsidR="00B72CCD">
              <w:rPr>
                <w:noProof/>
                <w:webHidden/>
              </w:rPr>
            </w:r>
            <w:r w:rsidR="00B72CCD">
              <w:rPr>
                <w:noProof/>
                <w:webHidden/>
              </w:rPr>
              <w:fldChar w:fldCharType="separate"/>
            </w:r>
            <w:r w:rsidR="0011759B">
              <w:rPr>
                <w:noProof/>
                <w:webHidden/>
              </w:rPr>
              <w:t>35</w:t>
            </w:r>
            <w:r w:rsidR="00B72CCD">
              <w:rPr>
                <w:noProof/>
                <w:webHidden/>
              </w:rPr>
              <w:fldChar w:fldCharType="end"/>
            </w:r>
          </w:hyperlink>
        </w:p>
        <w:p w:rsidR="00B72CCD" w:rsidRDefault="00256B98" w14:paraId="24671241" w14:textId="521C7194">
          <w:pPr>
            <w:pStyle w:val="TOC2"/>
            <w:tabs>
              <w:tab w:val="right" w:leader="dot" w:pos="9350"/>
            </w:tabs>
            <w:rPr>
              <w:rFonts w:asciiTheme="minorHAnsi" w:hAnsiTheme="minorHAnsi" w:cstheme="minorBidi"/>
              <w:noProof/>
              <w:sz w:val="22"/>
            </w:rPr>
          </w:pPr>
          <w:hyperlink w:history="1" w:anchor="_Toc100132363">
            <w:r w:rsidRPr="008462A0" w:rsidR="00B72CCD">
              <w:rPr>
                <w:rStyle w:val="Hyperlink"/>
                <w:noProof/>
              </w:rPr>
              <w:t>4.2.</w:t>
            </w:r>
            <w:r w:rsidR="00B72CCD">
              <w:rPr>
                <w:rFonts w:asciiTheme="minorHAnsi" w:hAnsiTheme="minorHAnsi" w:cstheme="minorBidi"/>
                <w:noProof/>
                <w:sz w:val="22"/>
              </w:rPr>
              <w:tab/>
            </w:r>
            <w:r w:rsidRPr="008462A0" w:rsidR="00B72CCD">
              <w:rPr>
                <w:rStyle w:val="Hyperlink"/>
                <w:noProof/>
              </w:rPr>
              <w:t xml:space="preserve">Modifications to Standards for Expedited </w:t>
            </w:r>
            <w:r w:rsidR="00E1788F">
              <w:rPr>
                <w:rStyle w:val="Hyperlink"/>
                <w:noProof/>
              </w:rPr>
              <w:br/>
            </w:r>
            <w:r w:rsidRPr="008462A0" w:rsidR="00B72CCD">
              <w:rPr>
                <w:rStyle w:val="Hyperlink"/>
                <w:noProof/>
              </w:rPr>
              <w:t>(Ministerial) Review of Adoption Account Applications</w:t>
            </w:r>
            <w:r w:rsidR="00B72CCD">
              <w:rPr>
                <w:noProof/>
                <w:webHidden/>
              </w:rPr>
              <w:tab/>
            </w:r>
            <w:r w:rsidR="00B72CCD">
              <w:rPr>
                <w:noProof/>
                <w:webHidden/>
              </w:rPr>
              <w:fldChar w:fldCharType="begin"/>
            </w:r>
            <w:r w:rsidR="00B72CCD">
              <w:rPr>
                <w:noProof/>
                <w:webHidden/>
              </w:rPr>
              <w:instrText xml:space="preserve"> PAGEREF _Toc100132363 \h </w:instrText>
            </w:r>
            <w:r w:rsidR="00B72CCD">
              <w:rPr>
                <w:noProof/>
                <w:webHidden/>
              </w:rPr>
            </w:r>
            <w:r w:rsidR="00B72CCD">
              <w:rPr>
                <w:noProof/>
                <w:webHidden/>
              </w:rPr>
              <w:fldChar w:fldCharType="separate"/>
            </w:r>
            <w:r w:rsidR="0011759B">
              <w:rPr>
                <w:noProof/>
                <w:webHidden/>
              </w:rPr>
              <w:t>39</w:t>
            </w:r>
            <w:r w:rsidR="00B72CCD">
              <w:rPr>
                <w:noProof/>
                <w:webHidden/>
              </w:rPr>
              <w:fldChar w:fldCharType="end"/>
            </w:r>
          </w:hyperlink>
        </w:p>
        <w:p w:rsidR="00B72CCD" w:rsidRDefault="00256B98" w14:paraId="21340DF9" w14:textId="746C44A7">
          <w:pPr>
            <w:pStyle w:val="TOC2"/>
            <w:tabs>
              <w:tab w:val="right" w:leader="dot" w:pos="9350"/>
            </w:tabs>
            <w:rPr>
              <w:rFonts w:asciiTheme="minorHAnsi" w:hAnsiTheme="minorHAnsi" w:cstheme="minorBidi"/>
              <w:noProof/>
              <w:sz w:val="22"/>
            </w:rPr>
          </w:pPr>
          <w:hyperlink w:history="1" w:anchor="_Toc100132364">
            <w:r w:rsidRPr="008462A0" w:rsidR="00B72CCD">
              <w:rPr>
                <w:rStyle w:val="Hyperlink"/>
                <w:noProof/>
              </w:rPr>
              <w:t>4.3.</w:t>
            </w:r>
            <w:r w:rsidR="00B72CCD">
              <w:rPr>
                <w:rFonts w:asciiTheme="minorHAnsi" w:hAnsiTheme="minorHAnsi" w:cstheme="minorBidi"/>
                <w:noProof/>
                <w:sz w:val="22"/>
              </w:rPr>
              <w:tab/>
            </w:r>
            <w:r w:rsidRPr="008462A0" w:rsidR="00B72CCD">
              <w:rPr>
                <w:rStyle w:val="Hyperlink"/>
                <w:noProof/>
              </w:rPr>
              <w:t>Adoption Account Project Budget Requirements</w:t>
            </w:r>
            <w:r w:rsidR="00B72CCD">
              <w:rPr>
                <w:noProof/>
                <w:webHidden/>
              </w:rPr>
              <w:tab/>
            </w:r>
            <w:r w:rsidR="00B72CCD">
              <w:rPr>
                <w:noProof/>
                <w:webHidden/>
              </w:rPr>
              <w:fldChar w:fldCharType="begin"/>
            </w:r>
            <w:r w:rsidR="00B72CCD">
              <w:rPr>
                <w:noProof/>
                <w:webHidden/>
              </w:rPr>
              <w:instrText xml:space="preserve"> PAGEREF _Toc100132364 \h </w:instrText>
            </w:r>
            <w:r w:rsidR="00B72CCD">
              <w:rPr>
                <w:noProof/>
                <w:webHidden/>
              </w:rPr>
            </w:r>
            <w:r w:rsidR="00B72CCD">
              <w:rPr>
                <w:noProof/>
                <w:webHidden/>
              </w:rPr>
              <w:fldChar w:fldCharType="separate"/>
            </w:r>
            <w:r w:rsidR="0011759B">
              <w:rPr>
                <w:noProof/>
                <w:webHidden/>
              </w:rPr>
              <w:t>44</w:t>
            </w:r>
            <w:r w:rsidR="00B72CCD">
              <w:rPr>
                <w:noProof/>
                <w:webHidden/>
              </w:rPr>
              <w:fldChar w:fldCharType="end"/>
            </w:r>
          </w:hyperlink>
        </w:p>
        <w:p w:rsidR="00B72CCD" w:rsidRDefault="00256B98" w14:paraId="6508D26F" w14:textId="301AAE8E">
          <w:pPr>
            <w:pStyle w:val="TOC2"/>
            <w:tabs>
              <w:tab w:val="right" w:leader="dot" w:pos="9350"/>
            </w:tabs>
            <w:rPr>
              <w:rFonts w:asciiTheme="minorHAnsi" w:hAnsiTheme="minorHAnsi" w:cstheme="minorBidi"/>
              <w:noProof/>
              <w:sz w:val="22"/>
            </w:rPr>
          </w:pPr>
          <w:hyperlink w:history="1" w:anchor="_Toc100132365">
            <w:r w:rsidRPr="008462A0" w:rsidR="00B72CCD">
              <w:rPr>
                <w:rStyle w:val="Hyperlink"/>
                <w:noProof/>
              </w:rPr>
              <w:t>4.4.</w:t>
            </w:r>
            <w:r w:rsidR="00B72CCD">
              <w:rPr>
                <w:rFonts w:asciiTheme="minorHAnsi" w:hAnsiTheme="minorHAnsi" w:cstheme="minorBidi"/>
                <w:noProof/>
                <w:sz w:val="22"/>
              </w:rPr>
              <w:tab/>
            </w:r>
            <w:r w:rsidRPr="008462A0" w:rsidR="00B72CCD">
              <w:rPr>
                <w:rStyle w:val="Hyperlink"/>
                <w:noProof/>
              </w:rPr>
              <w:t>Per Device Subsidy Levels</w:t>
            </w:r>
            <w:r w:rsidR="00B72CCD">
              <w:rPr>
                <w:noProof/>
                <w:webHidden/>
              </w:rPr>
              <w:tab/>
            </w:r>
            <w:r w:rsidR="00B72CCD">
              <w:rPr>
                <w:noProof/>
                <w:webHidden/>
              </w:rPr>
              <w:fldChar w:fldCharType="begin"/>
            </w:r>
            <w:r w:rsidR="00B72CCD">
              <w:rPr>
                <w:noProof/>
                <w:webHidden/>
              </w:rPr>
              <w:instrText xml:space="preserve"> PAGEREF _Toc100132365 \h </w:instrText>
            </w:r>
            <w:r w:rsidR="00B72CCD">
              <w:rPr>
                <w:noProof/>
                <w:webHidden/>
              </w:rPr>
            </w:r>
            <w:r w:rsidR="00B72CCD">
              <w:rPr>
                <w:noProof/>
                <w:webHidden/>
              </w:rPr>
              <w:fldChar w:fldCharType="separate"/>
            </w:r>
            <w:r w:rsidR="0011759B">
              <w:rPr>
                <w:noProof/>
                <w:webHidden/>
              </w:rPr>
              <w:t>46</w:t>
            </w:r>
            <w:r w:rsidR="00B72CCD">
              <w:rPr>
                <w:noProof/>
                <w:webHidden/>
              </w:rPr>
              <w:fldChar w:fldCharType="end"/>
            </w:r>
          </w:hyperlink>
        </w:p>
        <w:p w:rsidR="00B72CCD" w:rsidRDefault="00256B98" w14:paraId="1E7DE962" w14:textId="50254A07">
          <w:pPr>
            <w:pStyle w:val="TOC2"/>
            <w:tabs>
              <w:tab w:val="right" w:leader="dot" w:pos="9350"/>
            </w:tabs>
            <w:rPr>
              <w:rFonts w:asciiTheme="minorHAnsi" w:hAnsiTheme="minorHAnsi" w:cstheme="minorBidi"/>
              <w:noProof/>
              <w:sz w:val="22"/>
            </w:rPr>
          </w:pPr>
          <w:hyperlink w:history="1" w:anchor="_Toc100132366">
            <w:r w:rsidRPr="008462A0" w:rsidR="00B72CCD">
              <w:rPr>
                <w:rStyle w:val="Hyperlink"/>
                <w:noProof/>
              </w:rPr>
              <w:t>4.5.</w:t>
            </w:r>
            <w:r w:rsidR="00B72CCD">
              <w:rPr>
                <w:rFonts w:asciiTheme="minorHAnsi" w:hAnsiTheme="minorHAnsi" w:cstheme="minorBidi"/>
                <w:noProof/>
                <w:sz w:val="22"/>
              </w:rPr>
              <w:tab/>
            </w:r>
            <w:r w:rsidRPr="008462A0" w:rsidR="00B72CCD">
              <w:rPr>
                <w:rStyle w:val="Hyperlink"/>
                <w:noProof/>
              </w:rPr>
              <w:t>Expansion of Eligible Program Costs</w:t>
            </w:r>
            <w:r w:rsidR="00B72CCD">
              <w:rPr>
                <w:noProof/>
                <w:webHidden/>
              </w:rPr>
              <w:tab/>
            </w:r>
            <w:r w:rsidR="00B72CCD">
              <w:rPr>
                <w:noProof/>
                <w:webHidden/>
              </w:rPr>
              <w:fldChar w:fldCharType="begin"/>
            </w:r>
            <w:r w:rsidR="00B72CCD">
              <w:rPr>
                <w:noProof/>
                <w:webHidden/>
              </w:rPr>
              <w:instrText xml:space="preserve"> PAGEREF _Toc100132366 \h </w:instrText>
            </w:r>
            <w:r w:rsidR="00B72CCD">
              <w:rPr>
                <w:noProof/>
                <w:webHidden/>
              </w:rPr>
            </w:r>
            <w:r w:rsidR="00B72CCD">
              <w:rPr>
                <w:noProof/>
                <w:webHidden/>
              </w:rPr>
              <w:fldChar w:fldCharType="separate"/>
            </w:r>
            <w:r w:rsidR="0011759B">
              <w:rPr>
                <w:noProof/>
                <w:webHidden/>
              </w:rPr>
              <w:t>50</w:t>
            </w:r>
            <w:r w:rsidR="00B72CCD">
              <w:rPr>
                <w:noProof/>
                <w:webHidden/>
              </w:rPr>
              <w:fldChar w:fldCharType="end"/>
            </w:r>
          </w:hyperlink>
        </w:p>
        <w:p w:rsidR="00B72CCD" w:rsidRDefault="00256B98" w14:paraId="5F6F0E25" w14:textId="2CB34C91">
          <w:pPr>
            <w:pStyle w:val="TOC2"/>
            <w:tabs>
              <w:tab w:val="right" w:leader="dot" w:pos="9350"/>
            </w:tabs>
            <w:rPr>
              <w:rFonts w:asciiTheme="minorHAnsi" w:hAnsiTheme="minorHAnsi" w:cstheme="minorBidi"/>
              <w:noProof/>
              <w:sz w:val="22"/>
            </w:rPr>
          </w:pPr>
          <w:hyperlink w:history="1" w:anchor="_Toc100132367">
            <w:r w:rsidRPr="008462A0" w:rsidR="00B72CCD">
              <w:rPr>
                <w:rStyle w:val="Hyperlink"/>
                <w:noProof/>
              </w:rPr>
              <w:t>4.6.</w:t>
            </w:r>
            <w:r w:rsidR="00B72CCD">
              <w:rPr>
                <w:rFonts w:asciiTheme="minorHAnsi" w:hAnsiTheme="minorHAnsi" w:cstheme="minorBidi"/>
                <w:noProof/>
                <w:sz w:val="22"/>
              </w:rPr>
              <w:tab/>
            </w:r>
            <w:r w:rsidRPr="008462A0" w:rsidR="00B72CCD">
              <w:rPr>
                <w:rStyle w:val="Hyperlink"/>
                <w:noProof/>
              </w:rPr>
              <w:t xml:space="preserve">Application of Cap on Reimbursement for </w:t>
            </w:r>
            <w:r w:rsidR="00E1788F">
              <w:rPr>
                <w:rStyle w:val="Hyperlink"/>
                <w:noProof/>
              </w:rPr>
              <w:br/>
              <w:t>A</w:t>
            </w:r>
            <w:r w:rsidRPr="008462A0" w:rsidR="00B72CCD">
              <w:rPr>
                <w:rStyle w:val="Hyperlink"/>
                <w:noProof/>
              </w:rPr>
              <w:t>dministrative Costs</w:t>
            </w:r>
            <w:r w:rsidR="00B72CCD">
              <w:rPr>
                <w:noProof/>
                <w:webHidden/>
              </w:rPr>
              <w:tab/>
            </w:r>
            <w:r w:rsidR="00B72CCD">
              <w:rPr>
                <w:noProof/>
                <w:webHidden/>
              </w:rPr>
              <w:fldChar w:fldCharType="begin"/>
            </w:r>
            <w:r w:rsidR="00B72CCD">
              <w:rPr>
                <w:noProof/>
                <w:webHidden/>
              </w:rPr>
              <w:instrText xml:space="preserve"> PAGEREF _Toc100132367 \h </w:instrText>
            </w:r>
            <w:r w:rsidR="00B72CCD">
              <w:rPr>
                <w:noProof/>
                <w:webHidden/>
              </w:rPr>
            </w:r>
            <w:r w:rsidR="00B72CCD">
              <w:rPr>
                <w:noProof/>
                <w:webHidden/>
              </w:rPr>
              <w:fldChar w:fldCharType="separate"/>
            </w:r>
            <w:r w:rsidR="0011759B">
              <w:rPr>
                <w:noProof/>
                <w:webHidden/>
              </w:rPr>
              <w:t>52</w:t>
            </w:r>
            <w:r w:rsidR="00B72CCD">
              <w:rPr>
                <w:noProof/>
                <w:webHidden/>
              </w:rPr>
              <w:fldChar w:fldCharType="end"/>
            </w:r>
          </w:hyperlink>
        </w:p>
        <w:p w:rsidR="00B72CCD" w:rsidRDefault="00256B98" w14:paraId="427E8E76" w14:textId="3F9A4287">
          <w:pPr>
            <w:pStyle w:val="TOC2"/>
            <w:tabs>
              <w:tab w:val="right" w:leader="dot" w:pos="9350"/>
            </w:tabs>
            <w:rPr>
              <w:rFonts w:asciiTheme="minorHAnsi" w:hAnsiTheme="minorHAnsi" w:cstheme="minorBidi"/>
              <w:noProof/>
              <w:sz w:val="22"/>
            </w:rPr>
          </w:pPr>
          <w:hyperlink w:history="1" w:anchor="_Toc100132368">
            <w:r w:rsidRPr="008462A0" w:rsidR="00B72CCD">
              <w:rPr>
                <w:rStyle w:val="Hyperlink"/>
                <w:noProof/>
              </w:rPr>
              <w:t>4.7.</w:t>
            </w:r>
            <w:r w:rsidR="00B72CCD">
              <w:rPr>
                <w:rFonts w:asciiTheme="minorHAnsi" w:hAnsiTheme="minorHAnsi" w:cstheme="minorBidi"/>
                <w:noProof/>
                <w:sz w:val="22"/>
              </w:rPr>
              <w:tab/>
            </w:r>
            <w:r w:rsidRPr="008462A0" w:rsidR="00B72CCD">
              <w:rPr>
                <w:rStyle w:val="Hyperlink"/>
                <w:noProof/>
              </w:rPr>
              <w:t>Payment Schedules</w:t>
            </w:r>
            <w:r w:rsidR="00B72CCD">
              <w:rPr>
                <w:noProof/>
                <w:webHidden/>
              </w:rPr>
              <w:tab/>
            </w:r>
            <w:r w:rsidR="00B72CCD">
              <w:rPr>
                <w:noProof/>
                <w:webHidden/>
              </w:rPr>
              <w:fldChar w:fldCharType="begin"/>
            </w:r>
            <w:r w:rsidR="00B72CCD">
              <w:rPr>
                <w:noProof/>
                <w:webHidden/>
              </w:rPr>
              <w:instrText xml:space="preserve"> PAGEREF _Toc100132368 \h </w:instrText>
            </w:r>
            <w:r w:rsidR="00B72CCD">
              <w:rPr>
                <w:noProof/>
                <w:webHidden/>
              </w:rPr>
            </w:r>
            <w:r w:rsidR="00B72CCD">
              <w:rPr>
                <w:noProof/>
                <w:webHidden/>
              </w:rPr>
              <w:fldChar w:fldCharType="separate"/>
            </w:r>
            <w:r w:rsidR="0011759B">
              <w:rPr>
                <w:noProof/>
                <w:webHidden/>
              </w:rPr>
              <w:t>53</w:t>
            </w:r>
            <w:r w:rsidR="00B72CCD">
              <w:rPr>
                <w:noProof/>
                <w:webHidden/>
              </w:rPr>
              <w:fldChar w:fldCharType="end"/>
            </w:r>
          </w:hyperlink>
        </w:p>
        <w:p w:rsidR="00B72CCD" w:rsidRDefault="00256B98" w14:paraId="0C2C29B9" w14:textId="717E34B3">
          <w:pPr>
            <w:pStyle w:val="TOC2"/>
            <w:tabs>
              <w:tab w:val="right" w:leader="dot" w:pos="9350"/>
            </w:tabs>
            <w:rPr>
              <w:rFonts w:asciiTheme="minorHAnsi" w:hAnsiTheme="minorHAnsi" w:cstheme="minorBidi"/>
              <w:noProof/>
              <w:sz w:val="22"/>
            </w:rPr>
          </w:pPr>
          <w:hyperlink w:history="1" w:anchor="_Toc100132369">
            <w:r w:rsidRPr="008462A0" w:rsidR="00B72CCD">
              <w:rPr>
                <w:rStyle w:val="Hyperlink"/>
                <w:noProof/>
              </w:rPr>
              <w:t>4.8.</w:t>
            </w:r>
            <w:r w:rsidR="00B72CCD">
              <w:rPr>
                <w:rFonts w:asciiTheme="minorHAnsi" w:hAnsiTheme="minorHAnsi" w:cstheme="minorBidi"/>
                <w:noProof/>
                <w:sz w:val="22"/>
              </w:rPr>
              <w:tab/>
            </w:r>
            <w:r w:rsidRPr="008462A0" w:rsidR="00B72CCD">
              <w:rPr>
                <w:rStyle w:val="Hyperlink"/>
                <w:noProof/>
              </w:rPr>
              <w:t xml:space="preserve">Any Other Recommended Changes to the </w:t>
            </w:r>
            <w:r w:rsidR="00E1788F">
              <w:rPr>
                <w:rStyle w:val="Hyperlink"/>
                <w:noProof/>
              </w:rPr>
              <w:br/>
            </w:r>
            <w:r w:rsidRPr="008462A0" w:rsidR="00B72CCD">
              <w:rPr>
                <w:rStyle w:val="Hyperlink"/>
                <w:noProof/>
              </w:rPr>
              <w:t>Adoption Account Guidelines</w:t>
            </w:r>
            <w:r w:rsidR="00B72CCD">
              <w:rPr>
                <w:noProof/>
                <w:webHidden/>
              </w:rPr>
              <w:tab/>
            </w:r>
            <w:r w:rsidR="00B72CCD">
              <w:rPr>
                <w:noProof/>
                <w:webHidden/>
              </w:rPr>
              <w:fldChar w:fldCharType="begin"/>
            </w:r>
            <w:r w:rsidR="00B72CCD">
              <w:rPr>
                <w:noProof/>
                <w:webHidden/>
              </w:rPr>
              <w:instrText xml:space="preserve"> PAGEREF _Toc100132369 \h </w:instrText>
            </w:r>
            <w:r w:rsidR="00B72CCD">
              <w:rPr>
                <w:noProof/>
                <w:webHidden/>
              </w:rPr>
            </w:r>
            <w:r w:rsidR="00B72CCD">
              <w:rPr>
                <w:noProof/>
                <w:webHidden/>
              </w:rPr>
              <w:fldChar w:fldCharType="separate"/>
            </w:r>
            <w:r w:rsidR="0011759B">
              <w:rPr>
                <w:noProof/>
                <w:webHidden/>
              </w:rPr>
              <w:t>56</w:t>
            </w:r>
            <w:r w:rsidR="00B72CCD">
              <w:rPr>
                <w:noProof/>
                <w:webHidden/>
              </w:rPr>
              <w:fldChar w:fldCharType="end"/>
            </w:r>
          </w:hyperlink>
        </w:p>
        <w:p w:rsidR="00B72CCD" w:rsidRDefault="00256B98" w14:paraId="1549646B" w14:textId="754070DA">
          <w:pPr>
            <w:pStyle w:val="TOC1"/>
            <w:tabs>
              <w:tab w:val="right" w:leader="dot" w:pos="9350"/>
            </w:tabs>
            <w:rPr>
              <w:rFonts w:asciiTheme="minorHAnsi" w:hAnsiTheme="minorHAnsi" w:cstheme="minorBidi"/>
              <w:noProof/>
              <w:sz w:val="22"/>
            </w:rPr>
          </w:pPr>
          <w:hyperlink w:history="1" w:anchor="_Toc100132370">
            <w:r w:rsidRPr="008462A0" w:rsidR="00B72CCD">
              <w:rPr>
                <w:rStyle w:val="Hyperlink"/>
                <w:noProof/>
              </w:rPr>
              <w:t>5.</w:t>
            </w:r>
            <w:r w:rsidR="00B72CCD">
              <w:rPr>
                <w:rFonts w:asciiTheme="minorHAnsi" w:hAnsiTheme="minorHAnsi" w:cstheme="minorBidi"/>
                <w:noProof/>
                <w:sz w:val="22"/>
              </w:rPr>
              <w:tab/>
            </w:r>
            <w:r w:rsidRPr="008462A0" w:rsidR="00B72CCD">
              <w:rPr>
                <w:rStyle w:val="Hyperlink"/>
                <w:noProof/>
              </w:rPr>
              <w:t>Changes to the Consortia Account</w:t>
            </w:r>
            <w:r w:rsidR="00B72CCD">
              <w:rPr>
                <w:noProof/>
                <w:webHidden/>
              </w:rPr>
              <w:tab/>
            </w:r>
            <w:r w:rsidR="00B72CCD">
              <w:rPr>
                <w:noProof/>
                <w:webHidden/>
              </w:rPr>
              <w:fldChar w:fldCharType="begin"/>
            </w:r>
            <w:r w:rsidR="00B72CCD">
              <w:rPr>
                <w:noProof/>
                <w:webHidden/>
              </w:rPr>
              <w:instrText xml:space="preserve"> PAGEREF _Toc100132370 \h </w:instrText>
            </w:r>
            <w:r w:rsidR="00B72CCD">
              <w:rPr>
                <w:noProof/>
                <w:webHidden/>
              </w:rPr>
            </w:r>
            <w:r w:rsidR="00B72CCD">
              <w:rPr>
                <w:noProof/>
                <w:webHidden/>
              </w:rPr>
              <w:fldChar w:fldCharType="separate"/>
            </w:r>
            <w:r w:rsidR="0011759B">
              <w:rPr>
                <w:noProof/>
                <w:webHidden/>
              </w:rPr>
              <w:t>57</w:t>
            </w:r>
            <w:r w:rsidR="00B72CCD">
              <w:rPr>
                <w:noProof/>
                <w:webHidden/>
              </w:rPr>
              <w:fldChar w:fldCharType="end"/>
            </w:r>
          </w:hyperlink>
        </w:p>
        <w:p w:rsidR="00B72CCD" w:rsidRDefault="00256B98" w14:paraId="3B9E17EA" w14:textId="729F9DC5">
          <w:pPr>
            <w:pStyle w:val="TOC2"/>
            <w:tabs>
              <w:tab w:val="right" w:leader="dot" w:pos="9350"/>
            </w:tabs>
            <w:rPr>
              <w:rFonts w:asciiTheme="minorHAnsi" w:hAnsiTheme="minorHAnsi" w:cstheme="minorBidi"/>
              <w:noProof/>
              <w:sz w:val="22"/>
            </w:rPr>
          </w:pPr>
          <w:hyperlink w:history="1" w:anchor="_Toc100132371">
            <w:r w:rsidRPr="008462A0" w:rsidR="00B72CCD">
              <w:rPr>
                <w:rStyle w:val="Hyperlink"/>
                <w:noProof/>
              </w:rPr>
              <w:t>5.1.</w:t>
            </w:r>
            <w:r w:rsidR="00B72CCD">
              <w:rPr>
                <w:rFonts w:asciiTheme="minorHAnsi" w:hAnsiTheme="minorHAnsi" w:cstheme="minorBidi"/>
                <w:noProof/>
                <w:sz w:val="22"/>
              </w:rPr>
              <w:tab/>
            </w:r>
            <w:r w:rsidRPr="008462A0" w:rsidR="00B72CCD">
              <w:rPr>
                <w:rStyle w:val="Hyperlink"/>
                <w:noProof/>
              </w:rPr>
              <w:t>Allowable Consortia Activities</w:t>
            </w:r>
            <w:r w:rsidR="00B72CCD">
              <w:rPr>
                <w:noProof/>
                <w:webHidden/>
              </w:rPr>
              <w:tab/>
            </w:r>
            <w:r w:rsidR="00B72CCD">
              <w:rPr>
                <w:noProof/>
                <w:webHidden/>
              </w:rPr>
              <w:fldChar w:fldCharType="begin"/>
            </w:r>
            <w:r w:rsidR="00B72CCD">
              <w:rPr>
                <w:noProof/>
                <w:webHidden/>
              </w:rPr>
              <w:instrText xml:space="preserve"> PAGEREF _Toc100132371 \h </w:instrText>
            </w:r>
            <w:r w:rsidR="00B72CCD">
              <w:rPr>
                <w:noProof/>
                <w:webHidden/>
              </w:rPr>
            </w:r>
            <w:r w:rsidR="00B72CCD">
              <w:rPr>
                <w:noProof/>
                <w:webHidden/>
              </w:rPr>
              <w:fldChar w:fldCharType="separate"/>
            </w:r>
            <w:r w:rsidR="0011759B">
              <w:rPr>
                <w:noProof/>
                <w:webHidden/>
              </w:rPr>
              <w:t>57</w:t>
            </w:r>
            <w:r w:rsidR="00B72CCD">
              <w:rPr>
                <w:noProof/>
                <w:webHidden/>
              </w:rPr>
              <w:fldChar w:fldCharType="end"/>
            </w:r>
          </w:hyperlink>
        </w:p>
        <w:p w:rsidR="00B72CCD" w:rsidRDefault="00256B98" w14:paraId="3B084AF1" w14:textId="40822550">
          <w:pPr>
            <w:pStyle w:val="TOC2"/>
            <w:tabs>
              <w:tab w:val="right" w:leader="dot" w:pos="9350"/>
            </w:tabs>
            <w:rPr>
              <w:rFonts w:asciiTheme="minorHAnsi" w:hAnsiTheme="minorHAnsi" w:cstheme="minorBidi"/>
              <w:noProof/>
              <w:sz w:val="22"/>
            </w:rPr>
          </w:pPr>
          <w:hyperlink w:history="1" w:anchor="_Toc100132372">
            <w:r w:rsidRPr="008462A0" w:rsidR="00B72CCD">
              <w:rPr>
                <w:rStyle w:val="Hyperlink"/>
                <w:noProof/>
              </w:rPr>
              <w:t>5.2.</w:t>
            </w:r>
            <w:r w:rsidR="00B72CCD">
              <w:rPr>
                <w:rFonts w:asciiTheme="minorHAnsi" w:hAnsiTheme="minorHAnsi" w:cstheme="minorBidi"/>
                <w:noProof/>
                <w:sz w:val="22"/>
              </w:rPr>
              <w:tab/>
            </w:r>
            <w:r w:rsidRPr="008462A0" w:rsidR="00B72CCD">
              <w:rPr>
                <w:rStyle w:val="Hyperlink"/>
                <w:noProof/>
              </w:rPr>
              <w:t>Annual Maximum Funding Amount per Consortia Grant</w:t>
            </w:r>
            <w:r w:rsidR="00B72CCD">
              <w:rPr>
                <w:noProof/>
                <w:webHidden/>
              </w:rPr>
              <w:tab/>
            </w:r>
            <w:r w:rsidR="00B72CCD">
              <w:rPr>
                <w:noProof/>
                <w:webHidden/>
              </w:rPr>
              <w:fldChar w:fldCharType="begin"/>
            </w:r>
            <w:r w:rsidR="00B72CCD">
              <w:rPr>
                <w:noProof/>
                <w:webHidden/>
              </w:rPr>
              <w:instrText xml:space="preserve"> PAGEREF _Toc100132372 \h </w:instrText>
            </w:r>
            <w:r w:rsidR="00B72CCD">
              <w:rPr>
                <w:noProof/>
                <w:webHidden/>
              </w:rPr>
            </w:r>
            <w:r w:rsidR="00B72CCD">
              <w:rPr>
                <w:noProof/>
                <w:webHidden/>
              </w:rPr>
              <w:fldChar w:fldCharType="separate"/>
            </w:r>
            <w:r w:rsidR="0011759B">
              <w:rPr>
                <w:noProof/>
                <w:webHidden/>
              </w:rPr>
              <w:t>60</w:t>
            </w:r>
            <w:r w:rsidR="00B72CCD">
              <w:rPr>
                <w:noProof/>
                <w:webHidden/>
              </w:rPr>
              <w:fldChar w:fldCharType="end"/>
            </w:r>
          </w:hyperlink>
        </w:p>
        <w:p w:rsidR="00B72CCD" w:rsidRDefault="00256B98" w14:paraId="482FDEB6" w14:textId="7AC6AB96">
          <w:pPr>
            <w:pStyle w:val="TOC2"/>
            <w:tabs>
              <w:tab w:val="right" w:leader="dot" w:pos="9350"/>
            </w:tabs>
            <w:rPr>
              <w:rFonts w:asciiTheme="minorHAnsi" w:hAnsiTheme="minorHAnsi" w:cstheme="minorBidi"/>
              <w:noProof/>
              <w:sz w:val="22"/>
            </w:rPr>
          </w:pPr>
          <w:hyperlink w:history="1" w:anchor="_Toc100132373">
            <w:r w:rsidRPr="008462A0" w:rsidR="00B72CCD">
              <w:rPr>
                <w:rStyle w:val="Hyperlink"/>
                <w:noProof/>
              </w:rPr>
              <w:t>5.3.</w:t>
            </w:r>
            <w:r w:rsidR="00B72CCD">
              <w:rPr>
                <w:rFonts w:asciiTheme="minorHAnsi" w:hAnsiTheme="minorHAnsi" w:cstheme="minorBidi"/>
                <w:noProof/>
                <w:sz w:val="22"/>
              </w:rPr>
              <w:tab/>
            </w:r>
            <w:r w:rsidRPr="008462A0" w:rsidR="00B72CCD">
              <w:rPr>
                <w:rStyle w:val="Hyperlink"/>
                <w:noProof/>
              </w:rPr>
              <w:t>Clarifying Consortia Regional Boundary Requirements</w:t>
            </w:r>
            <w:r w:rsidR="00B72CCD">
              <w:rPr>
                <w:noProof/>
                <w:webHidden/>
              </w:rPr>
              <w:tab/>
            </w:r>
            <w:r w:rsidR="00B72CCD">
              <w:rPr>
                <w:noProof/>
                <w:webHidden/>
              </w:rPr>
              <w:fldChar w:fldCharType="begin"/>
            </w:r>
            <w:r w:rsidR="00B72CCD">
              <w:rPr>
                <w:noProof/>
                <w:webHidden/>
              </w:rPr>
              <w:instrText xml:space="preserve"> PAGEREF _Toc100132373 \h </w:instrText>
            </w:r>
            <w:r w:rsidR="00B72CCD">
              <w:rPr>
                <w:noProof/>
                <w:webHidden/>
              </w:rPr>
            </w:r>
            <w:r w:rsidR="00B72CCD">
              <w:rPr>
                <w:noProof/>
                <w:webHidden/>
              </w:rPr>
              <w:fldChar w:fldCharType="separate"/>
            </w:r>
            <w:r w:rsidR="0011759B">
              <w:rPr>
                <w:noProof/>
                <w:webHidden/>
              </w:rPr>
              <w:t>61</w:t>
            </w:r>
            <w:r w:rsidR="00B72CCD">
              <w:rPr>
                <w:noProof/>
                <w:webHidden/>
              </w:rPr>
              <w:fldChar w:fldCharType="end"/>
            </w:r>
          </w:hyperlink>
        </w:p>
        <w:p w:rsidR="00B72CCD" w:rsidRDefault="00256B98" w14:paraId="6F7FB9D1" w14:textId="5FAA72B5">
          <w:pPr>
            <w:pStyle w:val="TOC2"/>
            <w:tabs>
              <w:tab w:val="right" w:leader="dot" w:pos="9350"/>
            </w:tabs>
            <w:rPr>
              <w:rFonts w:asciiTheme="minorHAnsi" w:hAnsiTheme="minorHAnsi" w:cstheme="minorBidi"/>
              <w:noProof/>
              <w:sz w:val="22"/>
            </w:rPr>
          </w:pPr>
          <w:hyperlink w:history="1" w:anchor="_Toc100132374">
            <w:r w:rsidRPr="008462A0" w:rsidR="00B72CCD">
              <w:rPr>
                <w:rStyle w:val="Hyperlink"/>
                <w:noProof/>
              </w:rPr>
              <w:t>5.4.</w:t>
            </w:r>
            <w:r w:rsidR="00B72CCD">
              <w:rPr>
                <w:rFonts w:asciiTheme="minorHAnsi" w:hAnsiTheme="minorHAnsi" w:cstheme="minorBidi"/>
                <w:noProof/>
                <w:sz w:val="22"/>
              </w:rPr>
              <w:tab/>
            </w:r>
            <w:r w:rsidRPr="008462A0" w:rsidR="00B72CCD">
              <w:rPr>
                <w:rStyle w:val="Hyperlink"/>
                <w:noProof/>
              </w:rPr>
              <w:t xml:space="preserve">Any Other Recommended Changes to the </w:t>
            </w:r>
            <w:r w:rsidR="00E1788F">
              <w:rPr>
                <w:rStyle w:val="Hyperlink"/>
                <w:noProof/>
              </w:rPr>
              <w:br/>
            </w:r>
            <w:r w:rsidRPr="008462A0" w:rsidR="00B72CCD">
              <w:rPr>
                <w:rStyle w:val="Hyperlink"/>
                <w:noProof/>
              </w:rPr>
              <w:t>Consortia Account Guidelines</w:t>
            </w:r>
            <w:r w:rsidR="00B72CCD">
              <w:rPr>
                <w:noProof/>
                <w:webHidden/>
              </w:rPr>
              <w:tab/>
            </w:r>
            <w:r w:rsidR="00B72CCD">
              <w:rPr>
                <w:noProof/>
                <w:webHidden/>
              </w:rPr>
              <w:fldChar w:fldCharType="begin"/>
            </w:r>
            <w:r w:rsidR="00B72CCD">
              <w:rPr>
                <w:noProof/>
                <w:webHidden/>
              </w:rPr>
              <w:instrText xml:space="preserve"> PAGEREF _Toc100132374 \h </w:instrText>
            </w:r>
            <w:r w:rsidR="00B72CCD">
              <w:rPr>
                <w:noProof/>
                <w:webHidden/>
              </w:rPr>
            </w:r>
            <w:r w:rsidR="00B72CCD">
              <w:rPr>
                <w:noProof/>
                <w:webHidden/>
              </w:rPr>
              <w:fldChar w:fldCharType="separate"/>
            </w:r>
            <w:r w:rsidR="0011759B">
              <w:rPr>
                <w:noProof/>
                <w:webHidden/>
              </w:rPr>
              <w:t>63</w:t>
            </w:r>
            <w:r w:rsidR="00B72CCD">
              <w:rPr>
                <w:noProof/>
                <w:webHidden/>
              </w:rPr>
              <w:fldChar w:fldCharType="end"/>
            </w:r>
          </w:hyperlink>
        </w:p>
        <w:p w:rsidR="00B72CCD" w:rsidRDefault="00256B98" w14:paraId="12086EA1" w14:textId="6990E4E5">
          <w:pPr>
            <w:pStyle w:val="TOC1"/>
            <w:tabs>
              <w:tab w:val="right" w:leader="dot" w:pos="9350"/>
            </w:tabs>
            <w:rPr>
              <w:rFonts w:asciiTheme="minorHAnsi" w:hAnsiTheme="minorHAnsi" w:cstheme="minorBidi"/>
              <w:noProof/>
              <w:sz w:val="22"/>
            </w:rPr>
          </w:pPr>
          <w:hyperlink w:history="1" w:anchor="_Toc100132375">
            <w:r w:rsidRPr="008462A0" w:rsidR="00B72CCD">
              <w:rPr>
                <w:rStyle w:val="Hyperlink"/>
                <w:noProof/>
              </w:rPr>
              <w:t>6.</w:t>
            </w:r>
            <w:r w:rsidR="00B72CCD">
              <w:rPr>
                <w:rFonts w:asciiTheme="minorHAnsi" w:hAnsiTheme="minorHAnsi" w:cstheme="minorBidi"/>
                <w:noProof/>
                <w:sz w:val="22"/>
              </w:rPr>
              <w:tab/>
            </w:r>
            <w:r w:rsidRPr="008462A0" w:rsidR="00B72CCD">
              <w:rPr>
                <w:rStyle w:val="Hyperlink"/>
                <w:noProof/>
              </w:rPr>
              <w:t>Program budget and subaccount budget allocations for fiscal year 2022-2023</w:t>
            </w:r>
            <w:r w:rsidR="00B72CCD">
              <w:rPr>
                <w:noProof/>
                <w:webHidden/>
              </w:rPr>
              <w:tab/>
            </w:r>
            <w:r w:rsidR="00B72CCD">
              <w:rPr>
                <w:noProof/>
                <w:webHidden/>
              </w:rPr>
              <w:fldChar w:fldCharType="begin"/>
            </w:r>
            <w:r w:rsidR="00B72CCD">
              <w:rPr>
                <w:noProof/>
                <w:webHidden/>
              </w:rPr>
              <w:instrText xml:space="preserve"> PAGEREF _Toc100132375 \h </w:instrText>
            </w:r>
            <w:r w:rsidR="00B72CCD">
              <w:rPr>
                <w:noProof/>
                <w:webHidden/>
              </w:rPr>
            </w:r>
            <w:r w:rsidR="00B72CCD">
              <w:rPr>
                <w:noProof/>
                <w:webHidden/>
              </w:rPr>
              <w:fldChar w:fldCharType="separate"/>
            </w:r>
            <w:r w:rsidR="0011759B">
              <w:rPr>
                <w:noProof/>
                <w:webHidden/>
              </w:rPr>
              <w:t>65</w:t>
            </w:r>
            <w:r w:rsidR="00B72CCD">
              <w:rPr>
                <w:noProof/>
                <w:webHidden/>
              </w:rPr>
              <w:fldChar w:fldCharType="end"/>
            </w:r>
          </w:hyperlink>
        </w:p>
        <w:p w:rsidR="00B72CCD" w:rsidRDefault="00256B98" w14:paraId="6888D8F3" w14:textId="77978ECD">
          <w:pPr>
            <w:pStyle w:val="TOC1"/>
            <w:tabs>
              <w:tab w:val="right" w:leader="dot" w:pos="9350"/>
            </w:tabs>
            <w:rPr>
              <w:rFonts w:asciiTheme="minorHAnsi" w:hAnsiTheme="minorHAnsi" w:cstheme="minorBidi"/>
              <w:noProof/>
              <w:sz w:val="22"/>
            </w:rPr>
          </w:pPr>
          <w:hyperlink w:history="1" w:anchor="_Toc100132376">
            <w:r w:rsidRPr="008462A0" w:rsidR="00B72CCD">
              <w:rPr>
                <w:rStyle w:val="Hyperlink"/>
                <w:noProof/>
              </w:rPr>
              <w:t>7.</w:t>
            </w:r>
            <w:r w:rsidR="00B72CCD">
              <w:rPr>
                <w:rFonts w:asciiTheme="minorHAnsi" w:hAnsiTheme="minorHAnsi" w:cstheme="minorBidi"/>
                <w:noProof/>
                <w:sz w:val="22"/>
              </w:rPr>
              <w:tab/>
            </w:r>
            <w:r w:rsidRPr="008462A0" w:rsidR="00B72CCD">
              <w:rPr>
                <w:rStyle w:val="Hyperlink"/>
                <w:noProof/>
              </w:rPr>
              <w:t>Comments on Proposed Decision</w:t>
            </w:r>
            <w:r w:rsidR="00B72CCD">
              <w:rPr>
                <w:noProof/>
                <w:webHidden/>
              </w:rPr>
              <w:tab/>
            </w:r>
            <w:r w:rsidR="00B72CCD">
              <w:rPr>
                <w:noProof/>
                <w:webHidden/>
              </w:rPr>
              <w:fldChar w:fldCharType="begin"/>
            </w:r>
            <w:r w:rsidR="00B72CCD">
              <w:rPr>
                <w:noProof/>
                <w:webHidden/>
              </w:rPr>
              <w:instrText xml:space="preserve"> PAGEREF _Toc100132376 \h </w:instrText>
            </w:r>
            <w:r w:rsidR="00B72CCD">
              <w:rPr>
                <w:noProof/>
                <w:webHidden/>
              </w:rPr>
            </w:r>
            <w:r w:rsidR="00B72CCD">
              <w:rPr>
                <w:noProof/>
                <w:webHidden/>
              </w:rPr>
              <w:fldChar w:fldCharType="separate"/>
            </w:r>
            <w:r w:rsidR="0011759B">
              <w:rPr>
                <w:noProof/>
                <w:webHidden/>
              </w:rPr>
              <w:t>67</w:t>
            </w:r>
            <w:r w:rsidR="00B72CCD">
              <w:rPr>
                <w:noProof/>
                <w:webHidden/>
              </w:rPr>
              <w:fldChar w:fldCharType="end"/>
            </w:r>
          </w:hyperlink>
        </w:p>
        <w:p w:rsidR="00B72CCD" w:rsidRDefault="00256B98" w14:paraId="64F7C089" w14:textId="702E43C3">
          <w:pPr>
            <w:pStyle w:val="TOC1"/>
            <w:tabs>
              <w:tab w:val="right" w:leader="dot" w:pos="9350"/>
            </w:tabs>
            <w:rPr>
              <w:rFonts w:asciiTheme="minorHAnsi" w:hAnsiTheme="minorHAnsi" w:cstheme="minorBidi"/>
              <w:noProof/>
              <w:sz w:val="22"/>
            </w:rPr>
          </w:pPr>
          <w:hyperlink w:history="1" w:anchor="_Toc100132377">
            <w:r w:rsidRPr="008462A0" w:rsidR="00B72CCD">
              <w:rPr>
                <w:rStyle w:val="Hyperlink"/>
                <w:noProof/>
              </w:rPr>
              <w:t>8.</w:t>
            </w:r>
            <w:r w:rsidR="00B72CCD">
              <w:rPr>
                <w:rFonts w:asciiTheme="minorHAnsi" w:hAnsiTheme="minorHAnsi" w:cstheme="minorBidi"/>
                <w:noProof/>
                <w:sz w:val="22"/>
              </w:rPr>
              <w:tab/>
            </w:r>
            <w:r w:rsidRPr="008462A0" w:rsidR="00B72CCD">
              <w:rPr>
                <w:rStyle w:val="Hyperlink"/>
                <w:noProof/>
              </w:rPr>
              <w:t>Assignment of Proceeding</w:t>
            </w:r>
            <w:r w:rsidR="00B72CCD">
              <w:rPr>
                <w:noProof/>
                <w:webHidden/>
              </w:rPr>
              <w:tab/>
            </w:r>
            <w:r w:rsidR="00B72CCD">
              <w:rPr>
                <w:noProof/>
                <w:webHidden/>
              </w:rPr>
              <w:fldChar w:fldCharType="begin"/>
            </w:r>
            <w:r w:rsidR="00B72CCD">
              <w:rPr>
                <w:noProof/>
                <w:webHidden/>
              </w:rPr>
              <w:instrText xml:space="preserve"> PAGEREF _Toc100132377 \h </w:instrText>
            </w:r>
            <w:r w:rsidR="00B72CCD">
              <w:rPr>
                <w:noProof/>
                <w:webHidden/>
              </w:rPr>
            </w:r>
            <w:r w:rsidR="00B72CCD">
              <w:rPr>
                <w:noProof/>
                <w:webHidden/>
              </w:rPr>
              <w:fldChar w:fldCharType="separate"/>
            </w:r>
            <w:r w:rsidR="0011759B">
              <w:rPr>
                <w:noProof/>
                <w:webHidden/>
              </w:rPr>
              <w:t>69</w:t>
            </w:r>
            <w:r w:rsidR="00B72CCD">
              <w:rPr>
                <w:noProof/>
                <w:webHidden/>
              </w:rPr>
              <w:fldChar w:fldCharType="end"/>
            </w:r>
          </w:hyperlink>
        </w:p>
        <w:p w:rsidR="00B72CCD" w:rsidRDefault="00256B98" w14:paraId="0FA234F1" w14:textId="39EA8B9F">
          <w:pPr>
            <w:pStyle w:val="TOC1"/>
            <w:tabs>
              <w:tab w:val="right" w:leader="dot" w:pos="9350"/>
            </w:tabs>
            <w:rPr>
              <w:rFonts w:asciiTheme="minorHAnsi" w:hAnsiTheme="minorHAnsi" w:cstheme="minorBidi"/>
              <w:noProof/>
              <w:sz w:val="22"/>
            </w:rPr>
          </w:pPr>
          <w:hyperlink w:history="1" w:anchor="_Toc100132378">
            <w:r w:rsidRPr="008462A0" w:rsidR="00B72CCD">
              <w:rPr>
                <w:rStyle w:val="Hyperlink"/>
                <w:noProof/>
              </w:rPr>
              <w:t>Findings of Fact</w:t>
            </w:r>
            <w:r w:rsidR="00B72CCD">
              <w:rPr>
                <w:noProof/>
                <w:webHidden/>
              </w:rPr>
              <w:tab/>
            </w:r>
            <w:r w:rsidR="00B72CCD">
              <w:rPr>
                <w:noProof/>
                <w:webHidden/>
              </w:rPr>
              <w:fldChar w:fldCharType="begin"/>
            </w:r>
            <w:r w:rsidR="00B72CCD">
              <w:rPr>
                <w:noProof/>
                <w:webHidden/>
              </w:rPr>
              <w:instrText xml:space="preserve"> PAGEREF _Toc100132378 \h </w:instrText>
            </w:r>
            <w:r w:rsidR="00B72CCD">
              <w:rPr>
                <w:noProof/>
                <w:webHidden/>
              </w:rPr>
            </w:r>
            <w:r w:rsidR="00B72CCD">
              <w:rPr>
                <w:noProof/>
                <w:webHidden/>
              </w:rPr>
              <w:fldChar w:fldCharType="separate"/>
            </w:r>
            <w:r w:rsidR="0011759B">
              <w:rPr>
                <w:noProof/>
                <w:webHidden/>
              </w:rPr>
              <w:t>69</w:t>
            </w:r>
            <w:r w:rsidR="00B72CCD">
              <w:rPr>
                <w:noProof/>
                <w:webHidden/>
              </w:rPr>
              <w:fldChar w:fldCharType="end"/>
            </w:r>
          </w:hyperlink>
        </w:p>
        <w:p w:rsidR="00B72CCD" w:rsidRDefault="00256B98" w14:paraId="5CD5CDFA" w14:textId="75FB2F4C">
          <w:pPr>
            <w:pStyle w:val="TOC1"/>
            <w:tabs>
              <w:tab w:val="right" w:leader="dot" w:pos="9350"/>
            </w:tabs>
            <w:rPr>
              <w:rFonts w:asciiTheme="minorHAnsi" w:hAnsiTheme="minorHAnsi" w:cstheme="minorBidi"/>
              <w:noProof/>
              <w:sz w:val="22"/>
            </w:rPr>
          </w:pPr>
          <w:hyperlink w:history="1" w:anchor="_Toc100132379">
            <w:r w:rsidRPr="008462A0" w:rsidR="00B72CCD">
              <w:rPr>
                <w:rStyle w:val="Hyperlink"/>
                <w:noProof/>
              </w:rPr>
              <w:t>Conclusions of Law</w:t>
            </w:r>
            <w:r w:rsidR="00B72CCD">
              <w:rPr>
                <w:noProof/>
                <w:webHidden/>
              </w:rPr>
              <w:tab/>
            </w:r>
            <w:r w:rsidR="00B72CCD">
              <w:rPr>
                <w:noProof/>
                <w:webHidden/>
              </w:rPr>
              <w:fldChar w:fldCharType="begin"/>
            </w:r>
            <w:r w:rsidR="00B72CCD">
              <w:rPr>
                <w:noProof/>
                <w:webHidden/>
              </w:rPr>
              <w:instrText xml:space="preserve"> PAGEREF _Toc100132379 \h </w:instrText>
            </w:r>
            <w:r w:rsidR="00B72CCD">
              <w:rPr>
                <w:noProof/>
                <w:webHidden/>
              </w:rPr>
            </w:r>
            <w:r w:rsidR="00B72CCD">
              <w:rPr>
                <w:noProof/>
                <w:webHidden/>
              </w:rPr>
              <w:fldChar w:fldCharType="separate"/>
            </w:r>
            <w:r w:rsidR="0011759B">
              <w:rPr>
                <w:noProof/>
                <w:webHidden/>
              </w:rPr>
              <w:t>69</w:t>
            </w:r>
            <w:r w:rsidR="00B72CCD">
              <w:rPr>
                <w:noProof/>
                <w:webHidden/>
              </w:rPr>
              <w:fldChar w:fldCharType="end"/>
            </w:r>
          </w:hyperlink>
        </w:p>
        <w:p w:rsidR="00B72CCD" w:rsidRDefault="00256B98" w14:paraId="114BD427" w14:textId="40525CF6">
          <w:pPr>
            <w:pStyle w:val="TOC1"/>
            <w:tabs>
              <w:tab w:val="right" w:leader="dot" w:pos="9350"/>
            </w:tabs>
            <w:rPr>
              <w:rFonts w:asciiTheme="minorHAnsi" w:hAnsiTheme="minorHAnsi" w:cstheme="minorBidi"/>
              <w:noProof/>
              <w:sz w:val="22"/>
            </w:rPr>
          </w:pPr>
          <w:hyperlink w:history="1" w:anchor="_Toc100132380">
            <w:r w:rsidRPr="008462A0" w:rsidR="00B72CCD">
              <w:rPr>
                <w:rStyle w:val="Hyperlink"/>
                <w:noProof/>
              </w:rPr>
              <w:t>ORDER</w:t>
            </w:r>
            <w:r w:rsidR="00B72CCD">
              <w:rPr>
                <w:noProof/>
                <w:webHidden/>
              </w:rPr>
              <w:tab/>
            </w:r>
            <w:r w:rsidR="00B72CCD">
              <w:rPr>
                <w:noProof/>
                <w:webHidden/>
              </w:rPr>
              <w:fldChar w:fldCharType="begin"/>
            </w:r>
            <w:r w:rsidR="00B72CCD">
              <w:rPr>
                <w:noProof/>
                <w:webHidden/>
              </w:rPr>
              <w:instrText xml:space="preserve"> PAGEREF _Toc100132380 \h </w:instrText>
            </w:r>
            <w:r w:rsidR="00B72CCD">
              <w:rPr>
                <w:noProof/>
                <w:webHidden/>
              </w:rPr>
            </w:r>
            <w:r w:rsidR="00B72CCD">
              <w:rPr>
                <w:noProof/>
                <w:webHidden/>
              </w:rPr>
              <w:fldChar w:fldCharType="separate"/>
            </w:r>
            <w:r w:rsidR="0011759B">
              <w:rPr>
                <w:noProof/>
                <w:webHidden/>
              </w:rPr>
              <w:t>70</w:t>
            </w:r>
            <w:r w:rsidR="00B72CCD">
              <w:rPr>
                <w:noProof/>
                <w:webHidden/>
              </w:rPr>
              <w:fldChar w:fldCharType="end"/>
            </w:r>
          </w:hyperlink>
        </w:p>
        <w:p w:rsidRPr="006F7C82" w:rsidR="00D82A43" w:rsidP="008C7413" w:rsidRDefault="008C7413" w14:paraId="0FE1F0FC" w14:textId="4D341C8C">
          <w:pPr>
            <w:pStyle w:val="TOC1"/>
            <w:tabs>
              <w:tab w:val="right" w:leader="dot" w:pos="9350"/>
            </w:tabs>
            <w:rPr>
              <w:color w:val="000000" w:themeColor="text1"/>
            </w:rPr>
          </w:pPr>
          <w:r w:rsidRPr="006F7C82">
            <w:rPr>
              <w:rFonts w:asciiTheme="minorHAnsi" w:hAnsiTheme="minorHAnsi"/>
              <w:color w:val="000000" w:themeColor="text1"/>
              <w:sz w:val="22"/>
              <w:shd w:val="clear" w:color="auto" w:fill="E6E6E6"/>
            </w:rPr>
            <w:fldChar w:fldCharType="end"/>
          </w:r>
        </w:p>
      </w:sdtContent>
    </w:sdt>
    <w:p w:rsidRPr="006F7C82" w:rsidR="0098655A" w:rsidP="00D50119" w:rsidRDefault="0098655A" w14:paraId="69E69A22" w14:textId="76795D4A">
      <w:pPr>
        <w:spacing w:line="240" w:lineRule="auto"/>
        <w:ind w:firstLine="0"/>
        <w:rPr>
          <w:rFonts w:cs="Arial"/>
          <w:color w:val="000000" w:themeColor="text1"/>
          <w:szCs w:val="26"/>
        </w:rPr>
      </w:pPr>
      <w:r w:rsidRPr="006F7C82">
        <w:rPr>
          <w:rFonts w:cs="Arial"/>
          <w:b/>
          <w:color w:val="000000" w:themeColor="text1"/>
          <w:szCs w:val="26"/>
        </w:rPr>
        <w:t xml:space="preserve">Appendix </w:t>
      </w:r>
      <w:r w:rsidR="00F4291F">
        <w:rPr>
          <w:rFonts w:cs="Arial"/>
          <w:b/>
          <w:color w:val="000000" w:themeColor="text1"/>
          <w:szCs w:val="26"/>
        </w:rPr>
        <w:t>1</w:t>
      </w:r>
      <w:r w:rsidRPr="006F7C82">
        <w:rPr>
          <w:rFonts w:cs="Arial"/>
          <w:color w:val="000000" w:themeColor="text1"/>
          <w:szCs w:val="26"/>
        </w:rPr>
        <w:t xml:space="preserve"> –</w:t>
      </w:r>
      <w:r w:rsidRPr="006F7C82" w:rsidR="00E23CBB">
        <w:rPr>
          <w:rFonts w:cs="Arial"/>
          <w:color w:val="000000" w:themeColor="text1"/>
          <w:szCs w:val="26"/>
        </w:rPr>
        <w:t xml:space="preserve"> </w:t>
      </w:r>
      <w:r w:rsidRPr="00081D5A" w:rsidR="00081D5A">
        <w:rPr>
          <w:rFonts w:cs="Arial"/>
          <w:color w:val="000000" w:themeColor="text1"/>
          <w:szCs w:val="26"/>
        </w:rPr>
        <w:t>Public Housing Account Guideline</w:t>
      </w:r>
    </w:p>
    <w:p w:rsidRPr="006F7C82" w:rsidR="0098655A" w:rsidP="00D50119" w:rsidRDefault="0098655A" w14:paraId="4EB3F918" w14:textId="088699CF">
      <w:pPr>
        <w:spacing w:line="240" w:lineRule="auto"/>
        <w:ind w:firstLine="0"/>
        <w:rPr>
          <w:rFonts w:cs="Arial"/>
          <w:color w:val="000000" w:themeColor="text1"/>
          <w:szCs w:val="26"/>
        </w:rPr>
      </w:pPr>
      <w:r w:rsidRPr="006F7C82">
        <w:rPr>
          <w:rFonts w:cs="Arial"/>
          <w:b/>
          <w:color w:val="000000" w:themeColor="text1"/>
          <w:szCs w:val="26"/>
        </w:rPr>
        <w:t xml:space="preserve">Appendix </w:t>
      </w:r>
      <w:r w:rsidR="00F4291F">
        <w:rPr>
          <w:rFonts w:cs="Arial"/>
          <w:b/>
          <w:color w:val="000000" w:themeColor="text1"/>
          <w:szCs w:val="26"/>
        </w:rPr>
        <w:t>2</w:t>
      </w:r>
      <w:r w:rsidRPr="006F7C82">
        <w:rPr>
          <w:rFonts w:cs="Arial"/>
          <w:color w:val="000000" w:themeColor="text1"/>
          <w:szCs w:val="26"/>
        </w:rPr>
        <w:t xml:space="preserve"> – </w:t>
      </w:r>
      <w:r w:rsidRPr="00081D5A" w:rsidR="00081D5A">
        <w:rPr>
          <w:rFonts w:cs="Arial"/>
          <w:color w:val="000000" w:themeColor="text1"/>
          <w:szCs w:val="26"/>
        </w:rPr>
        <w:t>Adoption Account Guidelines</w:t>
      </w:r>
    </w:p>
    <w:p w:rsidRPr="006F7C82" w:rsidR="00F76650" w:rsidP="00D44DB6" w:rsidRDefault="0098655A" w14:paraId="6967F963" w14:textId="2F1B5619">
      <w:pPr>
        <w:spacing w:line="240" w:lineRule="auto"/>
        <w:ind w:firstLine="0"/>
        <w:rPr>
          <w:rFonts w:cs="Arial"/>
          <w:color w:val="000000" w:themeColor="text1"/>
          <w:szCs w:val="26"/>
        </w:rPr>
      </w:pPr>
      <w:r w:rsidRPr="006F7C82">
        <w:rPr>
          <w:rFonts w:cs="Arial"/>
          <w:b/>
          <w:color w:val="000000" w:themeColor="text1"/>
          <w:szCs w:val="26"/>
        </w:rPr>
        <w:t xml:space="preserve">Appendix </w:t>
      </w:r>
      <w:r w:rsidR="00F4291F">
        <w:rPr>
          <w:rFonts w:cs="Arial"/>
          <w:b/>
          <w:color w:val="000000" w:themeColor="text1"/>
          <w:szCs w:val="26"/>
        </w:rPr>
        <w:t>3</w:t>
      </w:r>
      <w:r w:rsidRPr="006F7C82">
        <w:rPr>
          <w:rFonts w:cs="Arial"/>
          <w:color w:val="000000" w:themeColor="text1"/>
          <w:szCs w:val="26"/>
        </w:rPr>
        <w:t xml:space="preserve"> – </w:t>
      </w:r>
      <w:r w:rsidRPr="00081D5A" w:rsidR="00081D5A">
        <w:rPr>
          <w:rFonts w:cs="Arial"/>
          <w:color w:val="000000" w:themeColor="text1"/>
          <w:szCs w:val="26"/>
        </w:rPr>
        <w:t>Consortia Account Guidelines</w:t>
      </w:r>
    </w:p>
    <w:p w:rsidRPr="006F7C82" w:rsidR="00D44DB6" w:rsidP="00D44DB6" w:rsidRDefault="00D44DB6" w14:paraId="62856121" w14:textId="23B5E61D">
      <w:pPr>
        <w:spacing w:line="240" w:lineRule="auto"/>
        <w:ind w:firstLine="0"/>
        <w:rPr>
          <w:rFonts w:cs="Arial"/>
          <w:i/>
          <w:color w:val="000000" w:themeColor="text1"/>
          <w:szCs w:val="26"/>
        </w:rPr>
        <w:sectPr w:rsidRPr="006F7C82" w:rsidR="00D44DB6" w:rsidSect="00D44DB6">
          <w:headerReference w:type="default" r:id="rId13"/>
          <w:footerReference w:type="default" r:id="rId14"/>
          <w:pgSz w:w="12240" w:h="15840"/>
          <w:pgMar w:top="1728" w:right="1440" w:bottom="1440" w:left="1440" w:header="720" w:footer="720" w:gutter="0"/>
          <w:pgNumType w:fmt="lowerRoman" w:start="1"/>
          <w:cols w:space="720"/>
          <w:docGrid w:linePitch="360"/>
        </w:sectPr>
      </w:pPr>
    </w:p>
    <w:p w:rsidRPr="006F7C82" w:rsidR="0098655A" w:rsidP="00D82A43" w:rsidRDefault="6C26B013" w14:paraId="31EC09A7" w14:textId="164A9D58">
      <w:pPr>
        <w:pStyle w:val="Main"/>
        <w:spacing w:after="240"/>
        <w:rPr>
          <w:color w:val="000000" w:themeColor="text1"/>
        </w:rPr>
      </w:pPr>
      <w:r w:rsidRPr="006F7C82">
        <w:rPr>
          <w:color w:val="000000" w:themeColor="text1"/>
        </w:rPr>
        <w:lastRenderedPageBreak/>
        <w:t xml:space="preserve">DECISION ADOPTING MODIFICATIONS TO BROADBAND PUBLIC HOUSING ACCOUNT, </w:t>
      </w:r>
      <w:r w:rsidRPr="006F7C82" w:rsidR="6AAF4C6A">
        <w:rPr>
          <w:color w:val="000000" w:themeColor="text1"/>
        </w:rPr>
        <w:t xml:space="preserve">BROADBAND </w:t>
      </w:r>
      <w:r w:rsidRPr="006F7C82">
        <w:rPr>
          <w:color w:val="000000" w:themeColor="text1"/>
        </w:rPr>
        <w:t xml:space="preserve">ADOPTION ACCOUNT, AND </w:t>
      </w:r>
      <w:r w:rsidRPr="006F7C82" w:rsidR="6AAF4C6A">
        <w:rPr>
          <w:color w:val="000000" w:themeColor="text1"/>
        </w:rPr>
        <w:t xml:space="preserve">RURAL AND URBAN </w:t>
      </w:r>
      <w:r w:rsidRPr="006F7C82">
        <w:rPr>
          <w:color w:val="000000" w:themeColor="text1"/>
        </w:rPr>
        <w:t xml:space="preserve">REGIONAL </w:t>
      </w:r>
      <w:r w:rsidRPr="006F7C82" w:rsidR="2C9FC9F6">
        <w:rPr>
          <w:color w:val="000000" w:themeColor="text1"/>
        </w:rPr>
        <w:t>BROADBAND</w:t>
      </w:r>
      <w:r w:rsidRPr="006F7C82">
        <w:rPr>
          <w:color w:val="000000" w:themeColor="text1"/>
        </w:rPr>
        <w:t xml:space="preserve"> CONSORTIA ACCOUNT PROGRAM RULES; AND FISCAL YEAR 2022-2023 ALLOCATION OF CALIFORNIA ADVANCED SERVICES FUND</w:t>
      </w:r>
    </w:p>
    <w:p w:rsidRPr="006F7C82" w:rsidR="005A148C" w:rsidP="005A148C" w:rsidRDefault="005A148C" w14:paraId="473B1D44" w14:textId="77777777">
      <w:pPr>
        <w:pStyle w:val="Dummy"/>
        <w:rPr>
          <w:color w:val="000000" w:themeColor="text1"/>
        </w:rPr>
      </w:pPr>
      <w:bookmarkStart w:name="_Toc8123714" w:id="2"/>
      <w:bookmarkStart w:name="_Toc100132351" w:id="3"/>
      <w:r w:rsidRPr="006F7C82">
        <w:rPr>
          <w:color w:val="000000" w:themeColor="text1"/>
        </w:rPr>
        <w:t>Summary</w:t>
      </w:r>
      <w:bookmarkEnd w:id="2"/>
      <w:bookmarkEnd w:id="3"/>
    </w:p>
    <w:p w:rsidRPr="006F7C82" w:rsidR="0073353F" w:rsidP="00E41CA9" w:rsidRDefault="4EC4B62F" w14:paraId="74BEFD7B" w14:textId="7C116C2D">
      <w:pPr>
        <w:pStyle w:val="Standard"/>
        <w:rPr>
          <w:color w:val="000000" w:themeColor="text1"/>
        </w:rPr>
      </w:pPr>
      <w:r w:rsidRPr="006F7C82">
        <w:rPr>
          <w:color w:val="000000" w:themeColor="text1"/>
        </w:rPr>
        <w:t xml:space="preserve">This decision modifies the </w:t>
      </w:r>
      <w:r w:rsidRPr="006F7C82" w:rsidR="7C0F44F2">
        <w:rPr>
          <w:color w:val="000000" w:themeColor="text1"/>
        </w:rPr>
        <w:t xml:space="preserve">program </w:t>
      </w:r>
      <w:r w:rsidRPr="006F7C82">
        <w:rPr>
          <w:color w:val="000000" w:themeColor="text1"/>
        </w:rPr>
        <w:t xml:space="preserve">rules for the California Advanced Services Fund Broadband Public Housing Account, </w:t>
      </w:r>
      <w:r w:rsidRPr="006F7C82" w:rsidR="65F82EBC">
        <w:rPr>
          <w:color w:val="000000" w:themeColor="text1"/>
        </w:rPr>
        <w:t xml:space="preserve">Broadband </w:t>
      </w:r>
      <w:r w:rsidRPr="006F7C82">
        <w:rPr>
          <w:color w:val="000000" w:themeColor="text1"/>
        </w:rPr>
        <w:t xml:space="preserve">Adoption Account, and </w:t>
      </w:r>
      <w:r w:rsidRPr="006F7C82" w:rsidR="65F82EBC">
        <w:rPr>
          <w:color w:val="000000" w:themeColor="text1"/>
        </w:rPr>
        <w:t xml:space="preserve">Rural </w:t>
      </w:r>
      <w:r w:rsidRPr="006F7C82" w:rsidR="43FC348C">
        <w:rPr>
          <w:color w:val="000000" w:themeColor="text1"/>
        </w:rPr>
        <w:t>and Urban</w:t>
      </w:r>
      <w:r w:rsidRPr="006F7C82" w:rsidR="65F82EBC">
        <w:rPr>
          <w:color w:val="000000" w:themeColor="text1"/>
        </w:rPr>
        <w:t xml:space="preserve"> </w:t>
      </w:r>
      <w:r w:rsidRPr="006F7C82">
        <w:rPr>
          <w:color w:val="000000" w:themeColor="text1"/>
        </w:rPr>
        <w:t xml:space="preserve">Regional </w:t>
      </w:r>
      <w:r w:rsidRPr="006F7C82" w:rsidR="65F82EBC">
        <w:rPr>
          <w:color w:val="000000" w:themeColor="text1"/>
        </w:rPr>
        <w:t xml:space="preserve">Broadband </w:t>
      </w:r>
      <w:r w:rsidRPr="006F7C82">
        <w:rPr>
          <w:color w:val="000000" w:themeColor="text1"/>
        </w:rPr>
        <w:t>Consortia Account.</w:t>
      </w:r>
      <w:r w:rsidRPr="006F7C82" w:rsidR="00F209CE">
        <w:rPr>
          <w:color w:val="000000" w:themeColor="text1"/>
        </w:rPr>
        <w:t xml:space="preserve"> </w:t>
      </w:r>
      <w:r w:rsidRPr="006F7C82" w:rsidR="316EB861">
        <w:rPr>
          <w:color w:val="000000" w:themeColor="text1"/>
        </w:rPr>
        <w:t>In addition, t</w:t>
      </w:r>
      <w:r w:rsidRPr="006F7C82">
        <w:rPr>
          <w:color w:val="000000" w:themeColor="text1"/>
        </w:rPr>
        <w:t>his decision adopts a total program budget and subaccount budget allocations for fiscal year 2022-2023.</w:t>
      </w:r>
      <w:r w:rsidRPr="006F7C82" w:rsidR="00F209CE">
        <w:rPr>
          <w:color w:val="000000" w:themeColor="text1"/>
        </w:rPr>
        <w:t xml:space="preserve"> </w:t>
      </w:r>
    </w:p>
    <w:p w:rsidRPr="006F7C82" w:rsidR="005A148C" w:rsidP="00DF6332" w:rsidRDefault="002C7FE9" w14:paraId="5BD8B13D" w14:textId="47CCB970">
      <w:pPr>
        <w:pStyle w:val="Heading1"/>
        <w:spacing w:after="0" w:line="360" w:lineRule="auto"/>
        <w:ind w:left="360" w:hanging="360"/>
        <w:rPr>
          <w:color w:val="000000" w:themeColor="text1"/>
        </w:rPr>
      </w:pPr>
      <w:bookmarkStart w:name="_Toc8123715" w:id="4"/>
      <w:bookmarkStart w:name="_Toc100132352" w:id="5"/>
      <w:r w:rsidRPr="006F7C82">
        <w:rPr>
          <w:color w:val="000000" w:themeColor="text1"/>
        </w:rPr>
        <w:t>Background</w:t>
      </w:r>
      <w:bookmarkEnd w:id="4"/>
      <w:bookmarkEnd w:id="5"/>
    </w:p>
    <w:p w:rsidR="00D73AFC" w:rsidP="00D73AFC" w:rsidRDefault="00D73AFC" w14:paraId="7E57BE5A" w14:textId="535EAC4F">
      <w:pPr>
        <w:pStyle w:val="Standard"/>
        <w:rPr>
          <w:color w:val="000000" w:themeColor="text1"/>
        </w:rPr>
      </w:pPr>
      <w:r w:rsidRPr="000A0F3A">
        <w:rPr>
          <w:color w:val="000000" w:themeColor="text1"/>
        </w:rPr>
        <w:t xml:space="preserve">The Commission established the California Advanced Services Fund (CASF) in Decision (D.) 07-12-054 and the Legislature subsequently codified the CASF </w:t>
      </w:r>
      <w:proofErr w:type="gramStart"/>
      <w:r w:rsidRPr="000A0F3A">
        <w:rPr>
          <w:color w:val="000000" w:themeColor="text1"/>
        </w:rPr>
        <w:t>in order to</w:t>
      </w:r>
      <w:proofErr w:type="gramEnd"/>
      <w:r w:rsidRPr="000A0F3A">
        <w:rPr>
          <w:color w:val="000000" w:themeColor="text1"/>
        </w:rPr>
        <w:t xml:space="preserve"> spur the deployment of broadband facilities in unserved and underserved areas of California. The CASF provides financial support in the form of grants for broadband infrastructure projects selected by either Commission or Communication Division (CD) staff through an application and scoring process. In addition, it provides support to rural and urban regional broadband consortia to fund activities that are intended to facilitate broadband deployment other than funding the capital costs of specific deployment projects. The CASF is funded by a surcharge rate on revenues collected by telecommunications carriers from end-users for intrastate telecommunications services.</w:t>
      </w:r>
    </w:p>
    <w:p w:rsidRPr="006F7C82" w:rsidR="00E06868" w:rsidP="006E6574" w:rsidRDefault="00E06868" w14:paraId="54E6173D" w14:textId="74EE1645">
      <w:pPr>
        <w:pStyle w:val="Standard"/>
        <w:rPr>
          <w:color w:val="000000" w:themeColor="text1"/>
        </w:rPr>
      </w:pPr>
      <w:r w:rsidRPr="006F7C82">
        <w:rPr>
          <w:color w:val="000000" w:themeColor="text1"/>
        </w:rPr>
        <w:t>In 2021, Governor Gavin Newsom signed into law Senate Bill (SB) 156, SB</w:t>
      </w:r>
      <w:r w:rsidR="00081D5A">
        <w:rPr>
          <w:color w:val="000000" w:themeColor="text1"/>
        </w:rPr>
        <w:t> </w:t>
      </w:r>
      <w:r w:rsidRPr="006F7C82">
        <w:rPr>
          <w:color w:val="000000" w:themeColor="text1"/>
        </w:rPr>
        <w:t xml:space="preserve">4, Assembly Bill (AB) 164, and AB 14, each of which affected program administration of the </w:t>
      </w:r>
      <w:r w:rsidRPr="00806ADE">
        <w:rPr>
          <w:color w:val="000000" w:themeColor="text1"/>
        </w:rPr>
        <w:t>CASF,</w:t>
      </w:r>
      <w:r w:rsidRPr="006F7C82">
        <w:rPr>
          <w:color w:val="000000" w:themeColor="text1"/>
        </w:rPr>
        <w:t xml:space="preserve"> either through </w:t>
      </w:r>
      <w:r w:rsidRPr="006F7C82" w:rsidR="00361C1C">
        <w:rPr>
          <w:color w:val="000000" w:themeColor="text1"/>
        </w:rPr>
        <w:t xml:space="preserve">creation of new CASF subaccounts, </w:t>
      </w:r>
      <w:r w:rsidRPr="006F7C82" w:rsidR="005A6A57">
        <w:rPr>
          <w:color w:val="000000" w:themeColor="text1"/>
        </w:rPr>
        <w:lastRenderedPageBreak/>
        <w:t xml:space="preserve">adoption of </w:t>
      </w:r>
      <w:r w:rsidRPr="006F7C82">
        <w:rPr>
          <w:color w:val="000000" w:themeColor="text1"/>
        </w:rPr>
        <w:t>individual program modifications</w:t>
      </w:r>
      <w:r w:rsidRPr="006F7C82" w:rsidR="00361C1C">
        <w:rPr>
          <w:color w:val="000000" w:themeColor="text1"/>
        </w:rPr>
        <w:t>,</w:t>
      </w:r>
      <w:r w:rsidRPr="006F7C82">
        <w:rPr>
          <w:color w:val="000000" w:themeColor="text1"/>
        </w:rPr>
        <w:t xml:space="preserve"> or through </w:t>
      </w:r>
      <w:r w:rsidRPr="006F7C82" w:rsidR="005F2514">
        <w:rPr>
          <w:color w:val="000000" w:themeColor="text1"/>
        </w:rPr>
        <w:t xml:space="preserve">increase </w:t>
      </w:r>
      <w:r w:rsidRPr="006F7C82" w:rsidR="0009232A">
        <w:rPr>
          <w:color w:val="000000" w:themeColor="text1"/>
        </w:rPr>
        <w:t>or</w:t>
      </w:r>
      <w:r w:rsidRPr="006F7C82" w:rsidR="005F2514">
        <w:rPr>
          <w:color w:val="000000" w:themeColor="text1"/>
        </w:rPr>
        <w:t xml:space="preserve"> </w:t>
      </w:r>
      <w:r w:rsidRPr="006F7C82">
        <w:rPr>
          <w:color w:val="000000" w:themeColor="text1"/>
        </w:rPr>
        <w:t>extension of total program funding.</w:t>
      </w:r>
    </w:p>
    <w:p w:rsidRPr="006F7C82" w:rsidR="005A6A57" w:rsidP="006E6574" w:rsidRDefault="00A94430" w14:paraId="60F13E33" w14:textId="41A7F3D3">
      <w:pPr>
        <w:pStyle w:val="Standard"/>
        <w:rPr>
          <w:color w:val="000000" w:themeColor="text1"/>
        </w:rPr>
      </w:pPr>
      <w:r w:rsidRPr="006F7C82">
        <w:rPr>
          <w:color w:val="000000" w:themeColor="text1"/>
        </w:rPr>
        <w:t xml:space="preserve">On September </w:t>
      </w:r>
      <w:r w:rsidRPr="006F7C82" w:rsidR="009F03A0">
        <w:rPr>
          <w:color w:val="000000" w:themeColor="text1"/>
        </w:rPr>
        <w:t xml:space="preserve">16, 2021, the assigned Commissioner issued an amended scoping memo </w:t>
      </w:r>
      <w:r w:rsidRPr="006F7C82" w:rsidR="00C20ED9">
        <w:rPr>
          <w:color w:val="000000" w:themeColor="text1"/>
        </w:rPr>
        <w:t xml:space="preserve">(First Amended Scoping Memo) </w:t>
      </w:r>
      <w:r w:rsidRPr="006F7C82" w:rsidR="00C96805">
        <w:rPr>
          <w:color w:val="000000" w:themeColor="text1"/>
        </w:rPr>
        <w:t xml:space="preserve">that included a </w:t>
      </w:r>
      <w:r w:rsidRPr="006F7C82" w:rsidR="009F03A0">
        <w:rPr>
          <w:color w:val="000000" w:themeColor="text1"/>
        </w:rPr>
        <w:t>staff proposal</w:t>
      </w:r>
      <w:r w:rsidRPr="006F7C82" w:rsidR="00361C1C">
        <w:rPr>
          <w:color w:val="000000" w:themeColor="text1"/>
        </w:rPr>
        <w:t xml:space="preserve"> </w:t>
      </w:r>
      <w:r w:rsidRPr="006F7C82" w:rsidR="00C96805">
        <w:rPr>
          <w:color w:val="000000" w:themeColor="text1"/>
        </w:rPr>
        <w:t xml:space="preserve">addressing </w:t>
      </w:r>
      <w:r w:rsidRPr="006F7C82" w:rsidR="00361C1C">
        <w:rPr>
          <w:color w:val="000000" w:themeColor="text1"/>
        </w:rPr>
        <w:t>those aspects of SB 156 and AB 164 that authorized funding for a Local Agency Technical Assistance program.</w:t>
      </w:r>
      <w:r w:rsidRPr="006F7C82" w:rsidR="00F209CE">
        <w:rPr>
          <w:color w:val="000000" w:themeColor="text1"/>
        </w:rPr>
        <w:t xml:space="preserve"> </w:t>
      </w:r>
      <w:r w:rsidRPr="006F7C82" w:rsidR="00361C1C">
        <w:rPr>
          <w:color w:val="000000" w:themeColor="text1"/>
        </w:rPr>
        <w:t>This amended scoping memo also set a schedule in which a staff proposal for a Broadband Loan Loss Reserve Fund (BLLRF) would be released in the first quarter of 2022.</w:t>
      </w:r>
      <w:r w:rsidRPr="006F7C82" w:rsidR="00F209CE">
        <w:rPr>
          <w:color w:val="000000" w:themeColor="text1"/>
        </w:rPr>
        <w:t xml:space="preserve"> </w:t>
      </w:r>
      <w:r w:rsidRPr="006F7C82" w:rsidR="00C96805">
        <w:rPr>
          <w:color w:val="000000" w:themeColor="text1"/>
        </w:rPr>
        <w:t xml:space="preserve">Finally, </w:t>
      </w:r>
      <w:r w:rsidRPr="006F7C82" w:rsidR="00C20ED9">
        <w:rPr>
          <w:color w:val="000000" w:themeColor="text1"/>
        </w:rPr>
        <w:t xml:space="preserve">the First Amended Scoping Memo </w:t>
      </w:r>
      <w:r w:rsidRPr="006F7C82" w:rsidR="00C96805">
        <w:rPr>
          <w:color w:val="000000" w:themeColor="text1"/>
        </w:rPr>
        <w:t xml:space="preserve">contemplated </w:t>
      </w:r>
      <w:r w:rsidRPr="006F7C82" w:rsidR="004B7EA0">
        <w:rPr>
          <w:color w:val="000000" w:themeColor="text1"/>
        </w:rPr>
        <w:t>issuance of a further “amended scoping ruling in late 2021 or early 2022 to set the scope and schedule for addressing CASF program changes.”</w:t>
      </w:r>
    </w:p>
    <w:p w:rsidRPr="006F7C82" w:rsidR="00361C1C" w:rsidP="006E6574" w:rsidRDefault="00361C1C" w14:paraId="35D281F2" w14:textId="44B2F609">
      <w:pPr>
        <w:pStyle w:val="Standard"/>
        <w:rPr>
          <w:rStyle w:val="FootnoteReference"/>
          <w:color w:val="000000" w:themeColor="text1"/>
        </w:rPr>
      </w:pPr>
      <w:r w:rsidRPr="006F7C82">
        <w:rPr>
          <w:color w:val="000000" w:themeColor="text1"/>
        </w:rPr>
        <w:t>On February 24, 2022, the Commission adopted final rules for the Local</w:t>
      </w:r>
      <w:r w:rsidR="00013B06">
        <w:rPr>
          <w:color w:val="000000" w:themeColor="text1"/>
        </w:rPr>
        <w:t> </w:t>
      </w:r>
      <w:r w:rsidRPr="006F7C82">
        <w:rPr>
          <w:color w:val="000000" w:themeColor="text1"/>
        </w:rPr>
        <w:t>Agency Technical Assistance program.</w:t>
      </w:r>
      <w:r w:rsidRPr="006F7C82">
        <w:rPr>
          <w:rStyle w:val="FootnoteReference"/>
          <w:color w:val="000000" w:themeColor="text1"/>
        </w:rPr>
        <w:footnoteReference w:id="2"/>
      </w:r>
    </w:p>
    <w:p w:rsidRPr="006F7C82" w:rsidR="00361C1C" w:rsidP="006E6574" w:rsidRDefault="007475A2" w14:paraId="2A9A21C1" w14:textId="39537BFE">
      <w:pPr>
        <w:pStyle w:val="Standard"/>
        <w:rPr>
          <w:color w:val="000000" w:themeColor="text1"/>
        </w:rPr>
      </w:pPr>
      <w:r w:rsidRPr="006F7C82">
        <w:rPr>
          <w:color w:val="000000" w:themeColor="text1"/>
        </w:rPr>
        <w:t xml:space="preserve">On March 1, 2022, the assigned Commissioner issued an amended scoping memo </w:t>
      </w:r>
      <w:r w:rsidRPr="006F7C82" w:rsidR="00C20ED9">
        <w:rPr>
          <w:color w:val="000000" w:themeColor="text1"/>
        </w:rPr>
        <w:t xml:space="preserve">(Second Amended Scoping Memo) </w:t>
      </w:r>
      <w:r w:rsidRPr="006F7C82">
        <w:rPr>
          <w:color w:val="000000" w:themeColor="text1"/>
        </w:rPr>
        <w:t xml:space="preserve">requesting comment on various proposed changes </w:t>
      </w:r>
      <w:r w:rsidRPr="006F7C82" w:rsidR="00C20ED9">
        <w:rPr>
          <w:color w:val="000000" w:themeColor="text1"/>
        </w:rPr>
        <w:t xml:space="preserve">and issues related </w:t>
      </w:r>
      <w:r w:rsidRPr="006F7C82">
        <w:rPr>
          <w:color w:val="000000" w:themeColor="text1"/>
        </w:rPr>
        <w:t>to the CASF Broadband Public Housing Account (Public Housing Account), Adoption Account, and Rural and Urban Regional Consortia Account (Consortia Account).</w:t>
      </w:r>
      <w:r w:rsidRPr="006F7C82" w:rsidR="00F209CE">
        <w:rPr>
          <w:color w:val="000000" w:themeColor="text1"/>
        </w:rPr>
        <w:t xml:space="preserve"> </w:t>
      </w:r>
      <w:r w:rsidRPr="006F7C82" w:rsidR="00361C1C">
        <w:rPr>
          <w:color w:val="000000" w:themeColor="text1"/>
        </w:rPr>
        <w:t xml:space="preserve">This </w:t>
      </w:r>
      <w:r w:rsidRPr="006F7C82" w:rsidR="00C20ED9">
        <w:rPr>
          <w:color w:val="000000" w:themeColor="text1"/>
        </w:rPr>
        <w:t>Second A</w:t>
      </w:r>
      <w:r w:rsidRPr="006F7C82" w:rsidR="00361C1C">
        <w:rPr>
          <w:color w:val="000000" w:themeColor="text1"/>
        </w:rPr>
        <w:t xml:space="preserve">mended </w:t>
      </w:r>
      <w:r w:rsidRPr="006F7C82" w:rsidR="00C20ED9">
        <w:rPr>
          <w:color w:val="000000" w:themeColor="text1"/>
        </w:rPr>
        <w:t>S</w:t>
      </w:r>
      <w:r w:rsidRPr="006F7C82" w:rsidR="00361C1C">
        <w:rPr>
          <w:color w:val="000000" w:themeColor="text1"/>
        </w:rPr>
        <w:t xml:space="preserve">coping </w:t>
      </w:r>
      <w:r w:rsidRPr="006F7C82" w:rsidR="00C20ED9">
        <w:rPr>
          <w:color w:val="000000" w:themeColor="text1"/>
        </w:rPr>
        <w:t>M</w:t>
      </w:r>
      <w:r w:rsidRPr="006F7C82" w:rsidR="00361C1C">
        <w:rPr>
          <w:color w:val="000000" w:themeColor="text1"/>
        </w:rPr>
        <w:t>emo also requested comment on proposed CASF budget and individual subaccount allocations for fiscal years 2022-2023, 2023-2024, and 2024-2025, though the amended scoping memo noted that a final decision on fiscal years 2023-2024 and 2024-2025 budgets would not be made in the near-term, and parties would have an additional opportunity to provide comment on those proposed budgets.</w:t>
      </w:r>
    </w:p>
    <w:p w:rsidRPr="006F7C82" w:rsidR="001B408B" w:rsidP="006E6574" w:rsidRDefault="001B408B" w14:paraId="3F447F17" w14:textId="7A3018EF">
      <w:pPr>
        <w:pStyle w:val="Standard"/>
        <w:rPr>
          <w:color w:val="000000" w:themeColor="text1"/>
        </w:rPr>
      </w:pPr>
      <w:r w:rsidRPr="006F7C82">
        <w:rPr>
          <w:color w:val="000000" w:themeColor="text1"/>
        </w:rPr>
        <w:lastRenderedPageBreak/>
        <w:t>On</w:t>
      </w:r>
      <w:r w:rsidRPr="006F7C82" w:rsidR="00D422A6">
        <w:rPr>
          <w:color w:val="000000" w:themeColor="text1"/>
        </w:rPr>
        <w:t xml:space="preserve"> or before</w:t>
      </w:r>
      <w:r w:rsidRPr="006F7C82">
        <w:rPr>
          <w:color w:val="000000" w:themeColor="text1"/>
        </w:rPr>
        <w:t xml:space="preserve"> March </w:t>
      </w:r>
      <w:r w:rsidRPr="006F7C82" w:rsidR="00FE72B5">
        <w:rPr>
          <w:color w:val="000000" w:themeColor="text1"/>
        </w:rPr>
        <w:t>18, 20</w:t>
      </w:r>
      <w:r w:rsidRPr="006F7C82" w:rsidR="00D422A6">
        <w:rPr>
          <w:color w:val="000000" w:themeColor="text1"/>
        </w:rPr>
        <w:t>22, t</w:t>
      </w:r>
      <w:r w:rsidRPr="006F7C82" w:rsidR="00FE72B5">
        <w:rPr>
          <w:color w:val="000000" w:themeColor="text1"/>
        </w:rPr>
        <w:t xml:space="preserve">he Commission received comments in response to the Second Amended Scoping Memo from </w:t>
      </w:r>
      <w:r w:rsidRPr="006F7C82" w:rsidR="00CB4803">
        <w:rPr>
          <w:color w:val="000000" w:themeColor="text1"/>
        </w:rPr>
        <w:t xml:space="preserve">the California Community Foundation (CCF), </w:t>
      </w:r>
      <w:r w:rsidRPr="006F7C82" w:rsidR="00F6175C">
        <w:rPr>
          <w:color w:val="000000" w:themeColor="text1"/>
        </w:rPr>
        <w:t>California Cable and Telecommunications Association</w:t>
      </w:r>
      <w:r w:rsidRPr="006F7C82" w:rsidR="0079589B">
        <w:rPr>
          <w:color w:val="000000" w:themeColor="text1"/>
        </w:rPr>
        <w:t xml:space="preserve"> (CCTA), </w:t>
      </w:r>
      <w:r w:rsidRPr="006F7C82" w:rsidR="00EC213D">
        <w:rPr>
          <w:color w:val="000000" w:themeColor="text1"/>
        </w:rPr>
        <w:t xml:space="preserve">California Emerging Technology Fund (CETF), </w:t>
      </w:r>
      <w:r w:rsidRPr="006F7C82" w:rsidR="00B21553">
        <w:rPr>
          <w:color w:val="000000" w:themeColor="text1"/>
        </w:rPr>
        <w:t>Center for Accessible Technology (</w:t>
      </w:r>
      <w:proofErr w:type="spellStart"/>
      <w:r w:rsidRPr="006F7C82" w:rsidR="00B21553">
        <w:rPr>
          <w:color w:val="000000" w:themeColor="text1"/>
        </w:rPr>
        <w:t>CforAT</w:t>
      </w:r>
      <w:proofErr w:type="spellEnd"/>
      <w:r w:rsidRPr="006F7C82" w:rsidR="00B21553">
        <w:rPr>
          <w:color w:val="000000" w:themeColor="text1"/>
        </w:rPr>
        <w:t xml:space="preserve">), </w:t>
      </w:r>
      <w:r w:rsidRPr="006F7C82" w:rsidR="0032167A">
        <w:rPr>
          <w:color w:val="000000" w:themeColor="text1"/>
        </w:rPr>
        <w:t>Inland Empire Regional Broadband Consortium (IERBC),</w:t>
      </w:r>
      <w:r w:rsidRPr="006F7C82" w:rsidR="00983F68">
        <w:rPr>
          <w:rStyle w:val="FootnoteReference"/>
          <w:color w:val="000000" w:themeColor="text1"/>
        </w:rPr>
        <w:footnoteReference w:id="3"/>
      </w:r>
      <w:r w:rsidRPr="006F7C82" w:rsidR="0032167A">
        <w:rPr>
          <w:color w:val="000000" w:themeColor="text1"/>
        </w:rPr>
        <w:t xml:space="preserve"> </w:t>
      </w:r>
      <w:r w:rsidRPr="006F7C82" w:rsidR="00301659">
        <w:rPr>
          <w:color w:val="000000" w:themeColor="text1"/>
        </w:rPr>
        <w:t xml:space="preserve">Los Angeles County Economic Development Corporation (LAEDC), </w:t>
      </w:r>
      <w:r w:rsidRPr="006F7C82" w:rsidR="00A873B7">
        <w:rPr>
          <w:color w:val="000000" w:themeColor="text1"/>
        </w:rPr>
        <w:t xml:space="preserve">National Diversity Coalition (NDC), </w:t>
      </w:r>
      <w:r w:rsidRPr="006F7C82" w:rsidR="002349FF">
        <w:rPr>
          <w:color w:val="000000" w:themeColor="text1"/>
        </w:rPr>
        <w:t xml:space="preserve">the Public </w:t>
      </w:r>
      <w:r w:rsidRPr="006F7C82" w:rsidR="4DA653AA">
        <w:rPr>
          <w:color w:val="000000" w:themeColor="text1"/>
        </w:rPr>
        <w:t>Advocates</w:t>
      </w:r>
      <w:r w:rsidRPr="006F7C82" w:rsidR="002349FF">
        <w:rPr>
          <w:color w:val="000000" w:themeColor="text1"/>
        </w:rPr>
        <w:t xml:space="preserve"> Office of the Public Utilities Commission (Cal Advocates), </w:t>
      </w:r>
      <w:r w:rsidRPr="006F7C82" w:rsidR="00A873B7">
        <w:rPr>
          <w:color w:val="000000" w:themeColor="text1"/>
        </w:rPr>
        <w:t xml:space="preserve">Southern California Association of Governments (SCAG), </w:t>
      </w:r>
      <w:r w:rsidRPr="006F7C82" w:rsidR="00AD362D">
        <w:rPr>
          <w:color w:val="000000" w:themeColor="text1"/>
        </w:rPr>
        <w:t>The Utility Reform Network (TURN), and UNITE-LA, Inc (UNITE-LA).</w:t>
      </w:r>
      <w:r w:rsidRPr="006F7C82" w:rsidR="00EC6020">
        <w:rPr>
          <w:color w:val="000000" w:themeColor="text1"/>
        </w:rPr>
        <w:t xml:space="preserve"> </w:t>
      </w:r>
      <w:r w:rsidRPr="006F7C82" w:rsidR="009A5B84">
        <w:rPr>
          <w:color w:val="000000" w:themeColor="text1"/>
        </w:rPr>
        <w:t xml:space="preserve">On March 24, 2022, </w:t>
      </w:r>
      <w:r w:rsidRPr="006F7C82" w:rsidR="0088754E">
        <w:rPr>
          <w:color w:val="000000" w:themeColor="text1"/>
        </w:rPr>
        <w:t xml:space="preserve">the Commission received reply comments from CCTA, </w:t>
      </w:r>
      <w:proofErr w:type="spellStart"/>
      <w:r w:rsidRPr="006F7C82" w:rsidR="0088754E">
        <w:rPr>
          <w:color w:val="000000" w:themeColor="text1"/>
        </w:rPr>
        <w:t>CforA</w:t>
      </w:r>
      <w:r w:rsidRPr="006F7C82" w:rsidR="0062463F">
        <w:rPr>
          <w:color w:val="000000" w:themeColor="text1"/>
        </w:rPr>
        <w:t>T</w:t>
      </w:r>
      <w:proofErr w:type="spellEnd"/>
      <w:r w:rsidRPr="006F7C82" w:rsidR="0062463F">
        <w:rPr>
          <w:color w:val="000000" w:themeColor="text1"/>
        </w:rPr>
        <w:t>, Human</w:t>
      </w:r>
      <w:r w:rsidRPr="006F7C82" w:rsidR="00572083">
        <w:rPr>
          <w:color w:val="000000" w:themeColor="text1"/>
        </w:rPr>
        <w:t>-</w:t>
      </w:r>
      <w:r w:rsidRPr="006F7C82" w:rsidR="0062463F">
        <w:rPr>
          <w:color w:val="000000" w:themeColor="text1"/>
        </w:rPr>
        <w:t>I</w:t>
      </w:r>
      <w:r w:rsidRPr="006F7C82" w:rsidR="00572083">
        <w:rPr>
          <w:color w:val="000000" w:themeColor="text1"/>
        </w:rPr>
        <w:t>-</w:t>
      </w:r>
      <w:r w:rsidRPr="006F7C82" w:rsidR="0062463F">
        <w:rPr>
          <w:color w:val="000000" w:themeColor="text1"/>
        </w:rPr>
        <w:t xml:space="preserve">T, the Office of the Mayor of the City of Los Angeles (Los Angeles Office </w:t>
      </w:r>
      <w:r w:rsidRPr="006F7C82" w:rsidR="00C948C1">
        <w:rPr>
          <w:color w:val="000000" w:themeColor="text1"/>
        </w:rPr>
        <w:t xml:space="preserve">of the Mayor), </w:t>
      </w:r>
      <w:r w:rsidRPr="006F7C82" w:rsidR="00807121">
        <w:rPr>
          <w:color w:val="000000" w:themeColor="text1"/>
        </w:rPr>
        <w:t xml:space="preserve">the San Diego Association of Governments (SANDAG), </w:t>
      </w:r>
      <w:r w:rsidRPr="006F7C82" w:rsidR="00C948C1">
        <w:rPr>
          <w:color w:val="000000" w:themeColor="text1"/>
        </w:rPr>
        <w:t xml:space="preserve">and TURN. </w:t>
      </w:r>
      <w:r w:rsidRPr="006F7C82" w:rsidR="00EC6020">
        <w:rPr>
          <w:color w:val="000000" w:themeColor="text1"/>
        </w:rPr>
        <w:t xml:space="preserve">We address parties’ comments </w:t>
      </w:r>
      <w:r w:rsidRPr="006F7C82" w:rsidR="009E2570">
        <w:rPr>
          <w:color w:val="000000" w:themeColor="text1"/>
        </w:rPr>
        <w:t>with</w:t>
      </w:r>
      <w:r w:rsidRPr="006F7C82" w:rsidR="00DE24B2">
        <w:rPr>
          <w:color w:val="000000" w:themeColor="text1"/>
        </w:rPr>
        <w:t>in</w:t>
      </w:r>
      <w:r w:rsidRPr="006F7C82" w:rsidR="009E2570">
        <w:rPr>
          <w:color w:val="000000" w:themeColor="text1"/>
        </w:rPr>
        <w:t xml:space="preserve"> context of</w:t>
      </w:r>
      <w:r w:rsidRPr="006F7C82" w:rsidR="00DE24B2">
        <w:rPr>
          <w:color w:val="000000" w:themeColor="text1"/>
        </w:rPr>
        <w:t xml:space="preserve"> </w:t>
      </w:r>
      <w:r w:rsidRPr="006F7C82" w:rsidR="007C5557">
        <w:rPr>
          <w:color w:val="000000" w:themeColor="text1"/>
        </w:rPr>
        <w:t>discussing</w:t>
      </w:r>
      <w:r w:rsidRPr="006F7C82" w:rsidR="007902CF">
        <w:rPr>
          <w:color w:val="000000" w:themeColor="text1"/>
        </w:rPr>
        <w:t xml:space="preserve"> the changes </w:t>
      </w:r>
      <w:r w:rsidRPr="006F7C82" w:rsidR="00DE24B2">
        <w:rPr>
          <w:color w:val="000000" w:themeColor="text1"/>
        </w:rPr>
        <w:t>adopt</w:t>
      </w:r>
      <w:r w:rsidRPr="006F7C82" w:rsidR="004C73FD">
        <w:rPr>
          <w:color w:val="000000" w:themeColor="text1"/>
        </w:rPr>
        <w:t>ed</w:t>
      </w:r>
      <w:r w:rsidRPr="006F7C82" w:rsidR="00DE24B2">
        <w:rPr>
          <w:color w:val="000000" w:themeColor="text1"/>
        </w:rPr>
        <w:t xml:space="preserve"> </w:t>
      </w:r>
      <w:r w:rsidRPr="006F7C82" w:rsidR="004C73FD">
        <w:rPr>
          <w:color w:val="000000" w:themeColor="text1"/>
        </w:rPr>
        <w:t>by</w:t>
      </w:r>
      <w:r w:rsidRPr="006F7C82" w:rsidR="00DE24B2">
        <w:rPr>
          <w:color w:val="000000" w:themeColor="text1"/>
        </w:rPr>
        <w:t xml:space="preserve"> this decision.</w:t>
      </w:r>
    </w:p>
    <w:p w:rsidRPr="006F7C82" w:rsidR="005A148C" w:rsidP="00DF6332" w:rsidRDefault="0063491C" w14:paraId="139FD47C" w14:textId="1A446546">
      <w:pPr>
        <w:pStyle w:val="Heading1"/>
        <w:ind w:left="360" w:hanging="360"/>
        <w:rPr>
          <w:rFonts w:asciiTheme="minorHAnsi" w:hAnsiTheme="minorHAnsi" w:eastAsiaTheme="minorEastAsia" w:cstheme="minorBidi"/>
          <w:color w:val="000000" w:themeColor="text1"/>
        </w:rPr>
      </w:pPr>
      <w:bookmarkStart w:name="_Toc100132353" w:id="6"/>
      <w:bookmarkStart w:name="_Toc8123718" w:id="7"/>
      <w:r w:rsidRPr="006F7C82">
        <w:rPr>
          <w:color w:val="000000" w:themeColor="text1"/>
        </w:rPr>
        <w:t>Jurisdiction</w:t>
      </w:r>
      <w:bookmarkEnd w:id="6"/>
      <w:r w:rsidRPr="006F7C82">
        <w:rPr>
          <w:color w:val="000000" w:themeColor="text1"/>
        </w:rPr>
        <w:t xml:space="preserve"> </w:t>
      </w:r>
      <w:bookmarkEnd w:id="7"/>
    </w:p>
    <w:p w:rsidRPr="006F7C82" w:rsidR="0063491C" w:rsidP="007B71D8" w:rsidRDefault="4811AEA9" w14:paraId="75A7543D" w14:textId="404D8E0B">
      <w:pPr>
        <w:pStyle w:val="Standard"/>
        <w:rPr>
          <w:color w:val="000000" w:themeColor="text1"/>
        </w:rPr>
      </w:pPr>
      <w:r w:rsidRPr="006F7C82">
        <w:rPr>
          <w:color w:val="000000" w:themeColor="text1"/>
        </w:rPr>
        <w:t xml:space="preserve">The </w:t>
      </w:r>
      <w:r w:rsidRPr="006F7C82" w:rsidR="31B477D5">
        <w:rPr>
          <w:color w:val="000000" w:themeColor="text1"/>
        </w:rPr>
        <w:t xml:space="preserve">Commission’s authority under California Public Utilities Code </w:t>
      </w:r>
      <w:r w:rsidRPr="006F7C82" w:rsidR="11B84F08">
        <w:rPr>
          <w:color w:val="000000" w:themeColor="text1"/>
        </w:rPr>
        <w:t>(</w:t>
      </w:r>
      <w:r w:rsidRPr="006F7C82" w:rsidR="5287B314">
        <w:rPr>
          <w:color w:val="000000" w:themeColor="text1"/>
        </w:rPr>
        <w:t>Pub.</w:t>
      </w:r>
      <w:r w:rsidR="00F4291F">
        <w:rPr>
          <w:color w:val="000000" w:themeColor="text1"/>
        </w:rPr>
        <w:t> </w:t>
      </w:r>
      <w:r w:rsidRPr="006F7C82" w:rsidR="5287B314">
        <w:rPr>
          <w:color w:val="000000" w:themeColor="text1"/>
        </w:rPr>
        <w:t>Util.</w:t>
      </w:r>
      <w:r w:rsidRPr="006F7C82" w:rsidR="11B84F08">
        <w:rPr>
          <w:color w:val="000000" w:themeColor="text1"/>
        </w:rPr>
        <w:t xml:space="preserve"> Code) </w:t>
      </w:r>
      <w:r w:rsidR="007D5F47">
        <w:rPr>
          <w:color w:val="000000" w:themeColor="text1"/>
        </w:rPr>
        <w:t>s</w:t>
      </w:r>
      <w:r w:rsidRPr="006F7C82" w:rsidR="31B477D5">
        <w:rPr>
          <w:color w:val="000000" w:themeColor="text1"/>
        </w:rPr>
        <w:t xml:space="preserve">ection 281 et seq, as amended by SB 156, includes administration of </w:t>
      </w:r>
      <w:r w:rsidRPr="006F7C82" w:rsidR="69D28CDF">
        <w:rPr>
          <w:color w:val="000000" w:themeColor="text1"/>
        </w:rPr>
        <w:t xml:space="preserve">a Public Housing Account, </w:t>
      </w:r>
      <w:r w:rsidRPr="006F7C82" w:rsidR="46AC3A4D">
        <w:rPr>
          <w:color w:val="000000" w:themeColor="text1"/>
        </w:rPr>
        <w:t xml:space="preserve">an </w:t>
      </w:r>
      <w:r w:rsidRPr="006F7C82" w:rsidR="69D28CDF">
        <w:rPr>
          <w:color w:val="000000" w:themeColor="text1"/>
        </w:rPr>
        <w:t>Adoption Account, and a Consortia Account.</w:t>
      </w:r>
      <w:r w:rsidRPr="006F7C82" w:rsidR="005E1515">
        <w:rPr>
          <w:rStyle w:val="FootnoteReference"/>
          <w:color w:val="000000" w:themeColor="text1"/>
        </w:rPr>
        <w:footnoteReference w:id="4"/>
      </w:r>
      <w:r w:rsidRPr="006F7C82" w:rsidR="69D28CDF">
        <w:rPr>
          <w:color w:val="000000" w:themeColor="text1"/>
        </w:rPr>
        <w:t xml:space="preserve"> </w:t>
      </w:r>
      <w:r w:rsidRPr="006F7C82" w:rsidR="11B84F08">
        <w:rPr>
          <w:color w:val="000000" w:themeColor="text1"/>
        </w:rPr>
        <w:t xml:space="preserve">Specifically, and pertaining to what has been referred to as the Public Housing </w:t>
      </w:r>
      <w:r w:rsidRPr="006F7C82" w:rsidR="09969691">
        <w:rPr>
          <w:color w:val="000000" w:themeColor="text1"/>
        </w:rPr>
        <w:t xml:space="preserve">Account, </w:t>
      </w:r>
      <w:r w:rsidRPr="006F7C82" w:rsidR="5287B314">
        <w:rPr>
          <w:color w:val="000000" w:themeColor="text1"/>
        </w:rPr>
        <w:t>Pub. Util.</w:t>
      </w:r>
      <w:r w:rsidRPr="006F7C82" w:rsidR="09969691">
        <w:rPr>
          <w:color w:val="000000" w:themeColor="text1"/>
        </w:rPr>
        <w:t xml:space="preserve"> Code </w:t>
      </w:r>
      <w:r w:rsidR="00C25421">
        <w:rPr>
          <w:color w:val="000000" w:themeColor="text1"/>
        </w:rPr>
        <w:t>s</w:t>
      </w:r>
      <w:r w:rsidRPr="006F7C82" w:rsidR="09969691">
        <w:rPr>
          <w:color w:val="000000" w:themeColor="text1"/>
        </w:rPr>
        <w:t>ection 281(</w:t>
      </w:r>
      <w:proofErr w:type="spellStart"/>
      <w:r w:rsidRPr="006F7C82" w:rsidR="09969691">
        <w:rPr>
          <w:color w:val="000000" w:themeColor="text1"/>
        </w:rPr>
        <w:t>i</w:t>
      </w:r>
      <w:proofErr w:type="spellEnd"/>
      <w:r w:rsidRPr="006F7C82" w:rsidR="09969691">
        <w:rPr>
          <w:color w:val="000000" w:themeColor="text1"/>
        </w:rPr>
        <w:t>)(2) and (3) require the Commission to make funding available “to low-income communities to finance projects to connect broadband networks that offer free broadband service that meets or exceeds state standards, as determined by the commission.”</w:t>
      </w:r>
      <w:r w:rsidRPr="006F7C82" w:rsidR="00F209CE">
        <w:rPr>
          <w:color w:val="000000" w:themeColor="text1"/>
        </w:rPr>
        <w:t xml:space="preserve"> </w:t>
      </w:r>
      <w:r w:rsidRPr="006F7C82" w:rsidR="5287B314">
        <w:rPr>
          <w:color w:val="000000" w:themeColor="text1"/>
        </w:rPr>
        <w:t>Pub. Util.</w:t>
      </w:r>
      <w:r w:rsidRPr="006F7C82" w:rsidR="09969691">
        <w:rPr>
          <w:color w:val="000000" w:themeColor="text1"/>
        </w:rPr>
        <w:t xml:space="preserve"> </w:t>
      </w:r>
      <w:r w:rsidRPr="006F7C82" w:rsidR="09969691">
        <w:rPr>
          <w:color w:val="000000" w:themeColor="text1"/>
        </w:rPr>
        <w:lastRenderedPageBreak/>
        <w:t xml:space="preserve">Code </w:t>
      </w:r>
      <w:r w:rsidR="00C25421">
        <w:rPr>
          <w:color w:val="000000" w:themeColor="text1"/>
        </w:rPr>
        <w:t>s</w:t>
      </w:r>
      <w:r w:rsidRPr="006F7C82" w:rsidR="00E422B1">
        <w:rPr>
          <w:color w:val="000000" w:themeColor="text1"/>
        </w:rPr>
        <w:t>ection</w:t>
      </w:r>
      <w:r w:rsidRPr="006F7C82" w:rsidR="09969691">
        <w:rPr>
          <w:color w:val="000000" w:themeColor="text1"/>
        </w:rPr>
        <w:t xml:space="preserve"> 281(j)(1) requires the Commission to make funding available for </w:t>
      </w:r>
      <w:r w:rsidRPr="006F7C82" w:rsidR="46AC3A4D">
        <w:rPr>
          <w:color w:val="000000" w:themeColor="text1"/>
        </w:rPr>
        <w:t>“</w:t>
      </w:r>
      <w:r w:rsidRPr="006F7C82" w:rsidR="46AC3A4D">
        <w:rPr>
          <w:color w:val="000000" w:themeColor="text1"/>
          <w:shd w:val="clear" w:color="auto" w:fill="FFFFFF"/>
        </w:rPr>
        <w:t>grants to increase publicly available or after school broadband access and digital inclusion, such as grants for digital literacy training programs and public</w:t>
      </w:r>
      <w:r w:rsidR="00013B06">
        <w:rPr>
          <w:color w:val="000000" w:themeColor="text1"/>
          <w:shd w:val="clear" w:color="auto" w:fill="FFFFFF"/>
        </w:rPr>
        <w:t> </w:t>
      </w:r>
      <w:r w:rsidRPr="006F7C82" w:rsidR="46AC3A4D">
        <w:rPr>
          <w:color w:val="000000" w:themeColor="text1"/>
          <w:shd w:val="clear" w:color="auto" w:fill="FFFFFF"/>
        </w:rPr>
        <w:t>education to communities with limited broadband adoption […].”</w:t>
      </w:r>
      <w:r w:rsidRPr="006F7C82" w:rsidR="00F209CE">
        <w:rPr>
          <w:rFonts w:ascii="Verdana" w:hAnsi="Verdana"/>
          <w:color w:val="000000" w:themeColor="text1"/>
          <w:sz w:val="18"/>
          <w:szCs w:val="18"/>
          <w:shd w:val="clear" w:color="auto" w:fill="FFFFFF"/>
        </w:rPr>
        <w:t xml:space="preserve"> </w:t>
      </w:r>
      <w:r w:rsidRPr="006F7C82" w:rsidR="5287B314">
        <w:rPr>
          <w:color w:val="000000" w:themeColor="text1"/>
        </w:rPr>
        <w:t>Pub. Util.</w:t>
      </w:r>
      <w:r w:rsidRPr="006F7C82" w:rsidR="09969691">
        <w:rPr>
          <w:color w:val="000000" w:themeColor="text1"/>
        </w:rPr>
        <w:t xml:space="preserve"> Code </w:t>
      </w:r>
      <w:r w:rsidR="00073FE2">
        <w:rPr>
          <w:color w:val="000000" w:themeColor="text1"/>
        </w:rPr>
        <w:t>s</w:t>
      </w:r>
      <w:r w:rsidRPr="006F7C82" w:rsidR="00E422B1">
        <w:rPr>
          <w:color w:val="000000" w:themeColor="text1"/>
        </w:rPr>
        <w:t>ection</w:t>
      </w:r>
      <w:r w:rsidRPr="006F7C82" w:rsidR="09969691">
        <w:rPr>
          <w:color w:val="000000" w:themeColor="text1"/>
        </w:rPr>
        <w:t xml:space="preserve"> 281(g)(1) requires the Commission to make grants available “to eligible consortia to facilitate deployment of broadband services by assisting infrastructure applicants in the project development or grant application process.”</w:t>
      </w:r>
    </w:p>
    <w:p w:rsidRPr="006F7C82" w:rsidR="007B71D8" w:rsidP="007B71D8" w:rsidRDefault="007B084C" w14:paraId="0604848D" w14:textId="7A4F0BF1">
      <w:pPr>
        <w:pStyle w:val="Standard"/>
        <w:rPr>
          <w:color w:val="000000" w:themeColor="text1"/>
        </w:rPr>
      </w:pPr>
      <w:r w:rsidRPr="006F7C82">
        <w:rPr>
          <w:color w:val="000000" w:themeColor="text1"/>
        </w:rPr>
        <w:t>Pub. Util.</w:t>
      </w:r>
      <w:r w:rsidRPr="006F7C82" w:rsidR="007B71D8">
        <w:rPr>
          <w:color w:val="000000" w:themeColor="text1"/>
        </w:rPr>
        <w:t xml:space="preserve"> Code </w:t>
      </w:r>
      <w:r w:rsidR="00073FE2">
        <w:rPr>
          <w:color w:val="000000" w:themeColor="text1"/>
        </w:rPr>
        <w:t>s</w:t>
      </w:r>
      <w:r w:rsidRPr="006F7C82" w:rsidR="00B137FD">
        <w:rPr>
          <w:color w:val="000000" w:themeColor="text1"/>
        </w:rPr>
        <w:t xml:space="preserve">ection </w:t>
      </w:r>
      <w:r w:rsidRPr="006F7C82" w:rsidR="007B71D8">
        <w:rPr>
          <w:color w:val="000000" w:themeColor="text1"/>
        </w:rPr>
        <w:t xml:space="preserve">281(d), as amended by SB 4, authorizes the Commission to collect up to $150,000,000 per year through surcharges </w:t>
      </w:r>
      <w:r w:rsidRPr="006F7C82" w:rsidR="00502F7B">
        <w:rPr>
          <w:color w:val="000000" w:themeColor="text1"/>
        </w:rPr>
        <w:t>to fund the CASF program.</w:t>
      </w:r>
      <w:r w:rsidRPr="006F7C82" w:rsidR="0048289A">
        <w:rPr>
          <w:rStyle w:val="FootnoteReference"/>
          <w:color w:val="000000" w:themeColor="text1"/>
        </w:rPr>
        <w:footnoteReference w:id="5"/>
      </w:r>
      <w:r w:rsidRPr="006F7C82" w:rsidR="00F209CE">
        <w:rPr>
          <w:color w:val="000000" w:themeColor="text1"/>
        </w:rPr>
        <w:t xml:space="preserve"> </w:t>
      </w:r>
      <w:r w:rsidRPr="006F7C82" w:rsidR="00502F7B">
        <w:rPr>
          <w:color w:val="000000" w:themeColor="text1"/>
        </w:rPr>
        <w:t xml:space="preserve">SB 4 further eliminated the minimum appropriation amounts set for each </w:t>
      </w:r>
      <w:r w:rsidRPr="006F7C82" w:rsidR="003C6EF1">
        <w:rPr>
          <w:color w:val="000000" w:themeColor="text1"/>
        </w:rPr>
        <w:t>CASF sub</w:t>
      </w:r>
      <w:r w:rsidRPr="006F7C82" w:rsidR="00502F7B">
        <w:rPr>
          <w:color w:val="000000" w:themeColor="text1"/>
        </w:rPr>
        <w:t>account, allowing the Commission to establish appropriation amounts for each subaccount</w:t>
      </w:r>
      <w:r w:rsidRPr="006F7C82" w:rsidR="0048289A">
        <w:rPr>
          <w:color w:val="000000" w:themeColor="text1"/>
        </w:rPr>
        <w:t xml:space="preserve"> either through making recommendations to the Legislature or through its own regulatory processes.</w:t>
      </w:r>
      <w:r w:rsidRPr="006F7C82" w:rsidR="00F209CE">
        <w:rPr>
          <w:color w:val="000000" w:themeColor="text1"/>
        </w:rPr>
        <w:t xml:space="preserve"> </w:t>
      </w:r>
    </w:p>
    <w:p w:rsidRPr="00806ADE" w:rsidR="005A148C" w:rsidP="001702C2" w:rsidRDefault="007B4BD6" w14:paraId="2F579508" w14:textId="1B708365">
      <w:pPr>
        <w:pStyle w:val="Heading1"/>
        <w:ind w:left="360" w:hanging="360"/>
        <w:rPr>
          <w:color w:val="000000" w:themeColor="text1"/>
        </w:rPr>
      </w:pPr>
      <w:bookmarkStart w:name="_Toc100132354" w:id="8"/>
      <w:r w:rsidRPr="006F7C82">
        <w:rPr>
          <w:color w:val="000000" w:themeColor="text1"/>
        </w:rPr>
        <w:t xml:space="preserve">Changes to the CASF Public </w:t>
      </w:r>
      <w:r w:rsidR="00013B06">
        <w:rPr>
          <w:color w:val="000000" w:themeColor="text1"/>
        </w:rPr>
        <w:br/>
      </w:r>
      <w:r w:rsidRPr="00806ADE">
        <w:rPr>
          <w:color w:val="000000" w:themeColor="text1"/>
        </w:rPr>
        <w:t>Housing Account</w:t>
      </w:r>
      <w:bookmarkEnd w:id="8"/>
    </w:p>
    <w:p w:rsidRPr="006F7C82" w:rsidR="005939A5" w:rsidP="7FDAA6EC" w:rsidRDefault="005939A5" w14:paraId="04327C59" w14:textId="7FF9564B">
      <w:pPr>
        <w:pStyle w:val="Standard"/>
        <w:rPr>
          <w:color w:val="000000" w:themeColor="text1"/>
        </w:rPr>
      </w:pPr>
      <w:r w:rsidRPr="00806ADE">
        <w:rPr>
          <w:color w:val="000000" w:themeColor="text1"/>
        </w:rPr>
        <w:t>The Second Amended Scoping Memo proposed changes to the</w:t>
      </w:r>
      <w:r w:rsidRPr="006F7C82">
        <w:rPr>
          <w:color w:val="000000" w:themeColor="text1"/>
        </w:rPr>
        <w:t xml:space="preserve"> Public</w:t>
      </w:r>
      <w:r w:rsidR="00013B06">
        <w:rPr>
          <w:color w:val="000000" w:themeColor="text1"/>
        </w:rPr>
        <w:t> </w:t>
      </w:r>
      <w:r w:rsidRPr="006F7C82">
        <w:rPr>
          <w:color w:val="000000" w:themeColor="text1"/>
        </w:rPr>
        <w:t>Housing Account and sought comments on related issues, as described below.</w:t>
      </w:r>
    </w:p>
    <w:p w:rsidRPr="00DF6332" w:rsidR="7FDAA6EC" w:rsidP="0033369D" w:rsidRDefault="7FDAA6EC" w14:paraId="401F6882" w14:textId="3599E18A">
      <w:pPr>
        <w:pStyle w:val="Heading2"/>
        <w:ind w:left="1080" w:hanging="720"/>
      </w:pPr>
      <w:bookmarkStart w:name="_Toc100132355" w:id="9"/>
      <w:r w:rsidRPr="00DF6332">
        <w:t>Expansion of Eligibility for Public Housing Account Grants and Program Definitions</w:t>
      </w:r>
      <w:bookmarkEnd w:id="9"/>
    </w:p>
    <w:p w:rsidRPr="006F7C82" w:rsidR="7FDAA6EC" w:rsidP="009F4B2C" w:rsidRDefault="7FDAA6EC" w14:paraId="7BBBA7BE" w14:textId="0BC318BB">
      <w:pPr>
        <w:pStyle w:val="Standard"/>
        <w:rPr>
          <w:rFonts w:eastAsia="Book Antiqua" w:cs="Book Antiqua"/>
          <w:color w:val="000000" w:themeColor="text1"/>
        </w:rPr>
      </w:pPr>
      <w:r w:rsidRPr="006F7C82">
        <w:rPr>
          <w:rFonts w:eastAsia="Calibri"/>
          <w:color w:val="000000" w:themeColor="text1"/>
        </w:rPr>
        <w:t>Public Housing Account rules currently limit program eligibility to “publicly served communities.”</w:t>
      </w:r>
      <w:r w:rsidRPr="006F7C82">
        <w:rPr>
          <w:rStyle w:val="FootnoteReference"/>
          <w:rFonts w:eastAsia="Calibri"/>
          <w:color w:val="000000" w:themeColor="text1"/>
        </w:rPr>
        <w:footnoteReference w:id="6"/>
      </w:r>
      <w:r w:rsidRPr="006F7C82" w:rsidR="00F209CE">
        <w:rPr>
          <w:rFonts w:eastAsia="Calibri"/>
          <w:color w:val="000000" w:themeColor="text1"/>
        </w:rPr>
        <w:t xml:space="preserve"> </w:t>
      </w:r>
      <w:r w:rsidRPr="006F7C82">
        <w:rPr>
          <w:rFonts w:eastAsia="Calibri"/>
          <w:color w:val="000000" w:themeColor="text1"/>
        </w:rPr>
        <w:t xml:space="preserve">However, SB 156 expanded eligibility for </w:t>
      </w:r>
      <w:r w:rsidRPr="006F7C82">
        <w:rPr>
          <w:rFonts w:eastAsia="Calibri"/>
          <w:color w:val="000000" w:themeColor="text1"/>
        </w:rPr>
        <w:lastRenderedPageBreak/>
        <w:t>Public</w:t>
      </w:r>
      <w:r w:rsidR="00DF6332">
        <w:rPr>
          <w:rFonts w:eastAsia="Calibri"/>
          <w:color w:val="000000" w:themeColor="text1"/>
        </w:rPr>
        <w:t> </w:t>
      </w:r>
      <w:r w:rsidRPr="006F7C82">
        <w:rPr>
          <w:rFonts w:eastAsia="Calibri"/>
          <w:color w:val="000000" w:themeColor="text1"/>
        </w:rPr>
        <w:t>Housing Account grants to allow the Commission to award such grants “to a low-income community that otherwise meets eligibility requirements and complies with program requirements established by the commission.”</w:t>
      </w:r>
      <w:r w:rsidRPr="006F7C82">
        <w:rPr>
          <w:rStyle w:val="FootnoteReference"/>
          <w:rFonts w:eastAsia="Calibri"/>
          <w:color w:val="000000" w:themeColor="text1"/>
        </w:rPr>
        <w:footnoteReference w:id="7"/>
      </w:r>
      <w:r w:rsidRPr="006F7C82" w:rsidR="00F209CE">
        <w:rPr>
          <w:rFonts w:eastAsia="Calibri"/>
          <w:color w:val="000000" w:themeColor="text1"/>
        </w:rPr>
        <w:t xml:space="preserve"> </w:t>
      </w:r>
      <w:r w:rsidRPr="006F7C82">
        <w:rPr>
          <w:rFonts w:eastAsia="Calibri"/>
          <w:color w:val="000000" w:themeColor="text1"/>
        </w:rPr>
        <w:t xml:space="preserve">SB 156 further specified that “’low-income community’ includes, but is not limited to, publicly supported housing developments, and other housing developments or </w:t>
      </w:r>
      <w:proofErr w:type="spellStart"/>
      <w:r w:rsidRPr="006F7C82">
        <w:rPr>
          <w:rFonts w:eastAsia="Calibri"/>
          <w:color w:val="000000" w:themeColor="text1"/>
        </w:rPr>
        <w:t>mobilehome</w:t>
      </w:r>
      <w:proofErr w:type="spellEnd"/>
      <w:r w:rsidRPr="006F7C82">
        <w:rPr>
          <w:rFonts w:eastAsia="Calibri"/>
          <w:color w:val="000000" w:themeColor="text1"/>
        </w:rPr>
        <w:t xml:space="preserve"> parks with low-income residents, as determined by the commission.”</w:t>
      </w:r>
      <w:r w:rsidRPr="006F7C82">
        <w:rPr>
          <w:rStyle w:val="FootnoteReference"/>
          <w:rFonts w:eastAsia="Calibri"/>
          <w:color w:val="000000" w:themeColor="text1"/>
        </w:rPr>
        <w:footnoteReference w:id="8"/>
      </w:r>
      <w:r w:rsidRPr="006F7C82" w:rsidR="00F209CE">
        <w:rPr>
          <w:rFonts w:eastAsia="Calibri"/>
          <w:color w:val="000000" w:themeColor="text1"/>
        </w:rPr>
        <w:t xml:space="preserve"> </w:t>
      </w:r>
      <w:r w:rsidRPr="006F7C82" w:rsidR="10D43C18">
        <w:rPr>
          <w:rFonts w:eastAsia="Calibri"/>
          <w:color w:val="000000" w:themeColor="text1"/>
        </w:rPr>
        <w:t xml:space="preserve">The Second Amended Scoping Memo posed </w:t>
      </w:r>
      <w:r w:rsidRPr="006F7C82" w:rsidR="3DE3FEE2">
        <w:rPr>
          <w:rFonts w:eastAsia="Calibri"/>
          <w:color w:val="000000" w:themeColor="text1"/>
        </w:rPr>
        <w:t xml:space="preserve">a number of questions to which parties responded with comments related to </w:t>
      </w:r>
      <w:r w:rsidRPr="006F7C82" w:rsidR="329E2EE3">
        <w:rPr>
          <w:rFonts w:eastAsia="Calibri"/>
          <w:color w:val="000000" w:themeColor="text1"/>
        </w:rPr>
        <w:t>the appropriate scope of eligibility</w:t>
      </w:r>
      <w:r w:rsidRPr="006F7C82" w:rsidR="3DE3FEE2">
        <w:rPr>
          <w:rFonts w:eastAsia="Calibri"/>
          <w:color w:val="000000" w:themeColor="text1"/>
        </w:rPr>
        <w:t xml:space="preserve"> for </w:t>
      </w:r>
      <w:r w:rsidRPr="006F7C82" w:rsidR="329E2EE3">
        <w:rPr>
          <w:rFonts w:eastAsia="Calibri"/>
          <w:color w:val="000000" w:themeColor="text1"/>
        </w:rPr>
        <w:t>the Public Housing Account.</w:t>
      </w:r>
      <w:r w:rsidRPr="006F7C82" w:rsidR="00F209CE">
        <w:rPr>
          <w:rFonts w:eastAsia="Calibri"/>
          <w:color w:val="000000" w:themeColor="text1"/>
        </w:rPr>
        <w:t xml:space="preserve"> </w:t>
      </w:r>
    </w:p>
    <w:p w:rsidRPr="00806ADE" w:rsidR="054264BD" w:rsidP="001702C2" w:rsidRDefault="7FDAA6EC" w14:paraId="58613862" w14:textId="33F2119D">
      <w:pPr>
        <w:pStyle w:val="Standard"/>
        <w:numPr>
          <w:ilvl w:val="0"/>
          <w:numId w:val="5"/>
        </w:numPr>
        <w:spacing w:after="120" w:line="240" w:lineRule="auto"/>
        <w:ind w:left="1080" w:right="1440"/>
        <w:rPr>
          <w:rFonts w:asciiTheme="minorHAnsi" w:hAnsiTheme="minorHAnsi" w:eastAsiaTheme="minorEastAsia"/>
          <w:i/>
          <w:iCs/>
          <w:color w:val="000000" w:themeColor="text1"/>
        </w:rPr>
      </w:pPr>
      <w:r w:rsidRPr="004C2B66">
        <w:rPr>
          <w:rFonts w:eastAsia="Calibri"/>
          <w:i/>
          <w:iCs/>
          <w:color w:val="000000" w:themeColor="text1"/>
        </w:rPr>
        <w:t xml:space="preserve">Aside from categorical inclusion of publicly supported housing developments, other housing developments and mobile home parks with low-income residents, how should the Commission </w:t>
      </w:r>
      <w:r w:rsidRPr="00806ADE">
        <w:rPr>
          <w:rFonts w:eastAsia="Calibri"/>
          <w:i/>
          <w:iCs/>
          <w:color w:val="000000" w:themeColor="text1"/>
        </w:rPr>
        <w:t>define “low-income” for the purpose of program eligibility?</w:t>
      </w:r>
    </w:p>
    <w:p w:rsidRPr="006F7C82" w:rsidR="60B65617" w:rsidP="054264BD" w:rsidRDefault="60B65617" w14:paraId="6551975E" w14:textId="72289BEA">
      <w:pPr>
        <w:pStyle w:val="Standard"/>
        <w:rPr>
          <w:rFonts w:eastAsia="Calibri"/>
          <w:color w:val="000000" w:themeColor="text1"/>
        </w:rPr>
      </w:pPr>
      <w:r w:rsidRPr="00806ADE">
        <w:rPr>
          <w:rFonts w:eastAsia="Calibri"/>
          <w:color w:val="000000" w:themeColor="text1"/>
        </w:rPr>
        <w:t>Most parties support a</w:t>
      </w:r>
      <w:r w:rsidRPr="00806ADE" w:rsidR="25432C5C">
        <w:rPr>
          <w:rFonts w:eastAsia="Calibri"/>
          <w:color w:val="000000" w:themeColor="text1"/>
        </w:rPr>
        <w:t xml:space="preserve"> broad definition of </w:t>
      </w:r>
      <w:r w:rsidRPr="00806ADE" w:rsidR="2C8472A2">
        <w:rPr>
          <w:rFonts w:eastAsia="Calibri"/>
          <w:color w:val="000000" w:themeColor="text1"/>
        </w:rPr>
        <w:t>“low-income” that</w:t>
      </w:r>
      <w:r w:rsidRPr="00806ADE" w:rsidR="4A3E5CB1">
        <w:rPr>
          <w:rFonts w:eastAsia="Calibri"/>
          <w:color w:val="000000" w:themeColor="text1"/>
        </w:rPr>
        <w:t xml:space="preserve"> aligns with</w:t>
      </w:r>
      <w:r w:rsidRPr="006F7C82" w:rsidR="4A3E5CB1">
        <w:rPr>
          <w:rFonts w:eastAsia="Calibri"/>
          <w:color w:val="000000" w:themeColor="text1"/>
        </w:rPr>
        <w:t xml:space="preserve"> </w:t>
      </w:r>
      <w:r w:rsidRPr="006F7C82" w:rsidR="430C1823">
        <w:rPr>
          <w:rFonts w:eastAsia="Calibri"/>
          <w:color w:val="000000" w:themeColor="text1"/>
        </w:rPr>
        <w:t xml:space="preserve">other established </w:t>
      </w:r>
      <w:r w:rsidRPr="006F7C82" w:rsidR="32BAD125">
        <w:rPr>
          <w:rFonts w:eastAsia="Calibri"/>
          <w:color w:val="000000" w:themeColor="text1"/>
        </w:rPr>
        <w:t xml:space="preserve">definitions or criteria </w:t>
      </w:r>
      <w:r w:rsidR="00293592">
        <w:rPr>
          <w:rFonts w:eastAsia="Calibri"/>
          <w:color w:val="000000" w:themeColor="text1"/>
        </w:rPr>
        <w:t>used</w:t>
      </w:r>
      <w:r w:rsidRPr="006F7C82" w:rsidR="00293592">
        <w:rPr>
          <w:rFonts w:eastAsia="Calibri"/>
          <w:color w:val="000000" w:themeColor="text1"/>
        </w:rPr>
        <w:t xml:space="preserve"> </w:t>
      </w:r>
      <w:r w:rsidRPr="006F7C82" w:rsidR="32BAD125">
        <w:rPr>
          <w:rFonts w:eastAsia="Calibri"/>
          <w:color w:val="000000" w:themeColor="text1"/>
        </w:rPr>
        <w:t xml:space="preserve">by other </w:t>
      </w:r>
      <w:r w:rsidRPr="006F7C82" w:rsidR="06428CC6">
        <w:rPr>
          <w:rFonts w:eastAsia="Calibri"/>
          <w:color w:val="000000" w:themeColor="text1"/>
        </w:rPr>
        <w:t>programs</w:t>
      </w:r>
      <w:r w:rsidRPr="006F7C82" w:rsidR="7B7DDA82">
        <w:rPr>
          <w:rFonts w:eastAsia="Calibri"/>
          <w:color w:val="000000" w:themeColor="text1"/>
        </w:rPr>
        <w:t xml:space="preserve"> </w:t>
      </w:r>
      <w:r w:rsidRPr="006F7C82" w:rsidR="13E77F73">
        <w:rPr>
          <w:rFonts w:eastAsia="Calibri"/>
          <w:color w:val="000000" w:themeColor="text1"/>
        </w:rPr>
        <w:t>intended to support low-income residents</w:t>
      </w:r>
      <w:r w:rsidRPr="006F7C82" w:rsidR="06428CC6">
        <w:rPr>
          <w:rFonts w:eastAsia="Calibri"/>
          <w:color w:val="000000" w:themeColor="text1"/>
        </w:rPr>
        <w:t xml:space="preserve">, </w:t>
      </w:r>
      <w:r w:rsidRPr="006F7C82" w:rsidR="2FAF5A63">
        <w:rPr>
          <w:rFonts w:eastAsia="Calibri"/>
          <w:color w:val="000000" w:themeColor="text1"/>
        </w:rPr>
        <w:t xml:space="preserve">most notably </w:t>
      </w:r>
      <w:r w:rsidRPr="006F7C82" w:rsidR="6D1755B0">
        <w:rPr>
          <w:rFonts w:eastAsia="Calibri"/>
          <w:color w:val="000000" w:themeColor="text1"/>
        </w:rPr>
        <w:t>California Alternate Rates for Energy (CARE)</w:t>
      </w:r>
      <w:r w:rsidRPr="006F7C82" w:rsidR="528D8374">
        <w:rPr>
          <w:rFonts w:eastAsia="Calibri"/>
          <w:color w:val="000000" w:themeColor="text1"/>
        </w:rPr>
        <w:t xml:space="preserve"> </w:t>
      </w:r>
      <w:r w:rsidRPr="006F7C82" w:rsidR="3B884B01">
        <w:rPr>
          <w:rFonts w:eastAsia="Calibri"/>
          <w:color w:val="000000" w:themeColor="text1"/>
        </w:rPr>
        <w:t xml:space="preserve">and </w:t>
      </w:r>
      <w:r w:rsidRPr="006F7C82" w:rsidR="2FAF5A63">
        <w:rPr>
          <w:rFonts w:eastAsia="Calibri"/>
          <w:color w:val="000000" w:themeColor="text1"/>
        </w:rPr>
        <w:t>the Federal Communica</w:t>
      </w:r>
      <w:r w:rsidRPr="006F7C82" w:rsidR="2738FF17">
        <w:rPr>
          <w:rFonts w:eastAsia="Calibri"/>
          <w:color w:val="000000" w:themeColor="text1"/>
        </w:rPr>
        <w:t xml:space="preserve">tions Commission’s </w:t>
      </w:r>
      <w:r w:rsidRPr="006F7C82" w:rsidR="3B884B01">
        <w:rPr>
          <w:rFonts w:eastAsia="Calibri"/>
          <w:color w:val="000000" w:themeColor="text1"/>
        </w:rPr>
        <w:t xml:space="preserve">Affordable Connectivity Program (ACP), both of which </w:t>
      </w:r>
      <w:r w:rsidRPr="006F7C82" w:rsidR="30D52C2D">
        <w:rPr>
          <w:rFonts w:eastAsia="Calibri"/>
          <w:color w:val="000000" w:themeColor="text1"/>
        </w:rPr>
        <w:t xml:space="preserve">set a threshold of 200 percent of the federal poverty </w:t>
      </w:r>
      <w:r w:rsidRPr="006F7C82" w:rsidR="23736C08">
        <w:rPr>
          <w:rFonts w:eastAsia="Calibri"/>
          <w:color w:val="000000" w:themeColor="text1"/>
        </w:rPr>
        <w:t>guide</w:t>
      </w:r>
      <w:r w:rsidRPr="006F7C82" w:rsidR="0FC2A436">
        <w:rPr>
          <w:rFonts w:eastAsia="Calibri"/>
          <w:color w:val="000000" w:themeColor="text1"/>
        </w:rPr>
        <w:t>line.</w:t>
      </w:r>
      <w:r w:rsidRPr="006F7C82" w:rsidR="00F209CE">
        <w:rPr>
          <w:rFonts w:eastAsia="Calibri"/>
          <w:color w:val="000000" w:themeColor="text1"/>
        </w:rPr>
        <w:t xml:space="preserve"> </w:t>
      </w:r>
      <w:r w:rsidRPr="006F7C82" w:rsidR="0FC2A436">
        <w:rPr>
          <w:rFonts w:eastAsia="Calibri"/>
          <w:color w:val="000000" w:themeColor="text1"/>
        </w:rPr>
        <w:t xml:space="preserve">TURN opposes use of this threshold alone, noting that it would only include the most impoverished in California, </w:t>
      </w:r>
      <w:r w:rsidRPr="006F7C82" w:rsidR="008772C9">
        <w:rPr>
          <w:rFonts w:eastAsia="Calibri"/>
          <w:color w:val="000000" w:themeColor="text1"/>
        </w:rPr>
        <w:t xml:space="preserve">even </w:t>
      </w:r>
      <w:r w:rsidRPr="006F7C82" w:rsidR="0FC2A436">
        <w:rPr>
          <w:rFonts w:eastAsia="Calibri"/>
          <w:color w:val="000000" w:themeColor="text1"/>
        </w:rPr>
        <w:t>excluding residents who qualify for publicly subsidized housing assistance under other low-income standards.</w:t>
      </w:r>
      <w:r w:rsidRPr="006F7C82">
        <w:rPr>
          <w:rStyle w:val="FootnoteReference"/>
          <w:rFonts w:eastAsia="Calibri"/>
          <w:color w:val="000000" w:themeColor="text1"/>
        </w:rPr>
        <w:footnoteReference w:id="9"/>
      </w:r>
      <w:r w:rsidRPr="006F7C82" w:rsidR="00F209CE">
        <w:rPr>
          <w:rFonts w:eastAsia="Calibri"/>
          <w:color w:val="000000" w:themeColor="text1"/>
        </w:rPr>
        <w:t xml:space="preserve"> </w:t>
      </w:r>
      <w:r w:rsidRPr="006F7C82" w:rsidR="3649B5EE">
        <w:rPr>
          <w:rFonts w:eastAsia="Calibri"/>
          <w:color w:val="000000" w:themeColor="text1"/>
        </w:rPr>
        <w:t>CCF</w:t>
      </w:r>
      <w:r w:rsidRPr="006F7C82" w:rsidR="318C22D1">
        <w:rPr>
          <w:rFonts w:eastAsia="Calibri"/>
          <w:color w:val="000000" w:themeColor="text1"/>
        </w:rPr>
        <w:t>,</w:t>
      </w:r>
      <w:r w:rsidRPr="006F7C82" w:rsidR="3649B5EE">
        <w:rPr>
          <w:rFonts w:eastAsia="Calibri"/>
          <w:color w:val="000000" w:themeColor="text1"/>
        </w:rPr>
        <w:t xml:space="preserve"> </w:t>
      </w:r>
      <w:r w:rsidRPr="006F7C82" w:rsidR="56296DAC">
        <w:rPr>
          <w:rFonts w:eastAsia="Calibri"/>
          <w:color w:val="000000" w:themeColor="text1"/>
        </w:rPr>
        <w:t>LAEDC</w:t>
      </w:r>
      <w:r w:rsidRPr="006F7C82" w:rsidR="09307B67">
        <w:rPr>
          <w:rFonts w:eastAsia="Calibri"/>
          <w:color w:val="000000" w:themeColor="text1"/>
        </w:rPr>
        <w:t>,</w:t>
      </w:r>
      <w:r w:rsidRPr="006F7C82" w:rsidR="318C22D1">
        <w:rPr>
          <w:rFonts w:eastAsia="Calibri"/>
          <w:color w:val="000000" w:themeColor="text1"/>
        </w:rPr>
        <w:t xml:space="preserve"> UNITE-LA</w:t>
      </w:r>
      <w:r w:rsidRPr="006F7C82" w:rsidR="6AF49524">
        <w:rPr>
          <w:rFonts w:eastAsia="Calibri"/>
          <w:color w:val="000000" w:themeColor="text1"/>
        </w:rPr>
        <w:t xml:space="preserve"> and SANDAG</w:t>
      </w:r>
      <w:r w:rsidRPr="006F7C82" w:rsidR="318C22D1">
        <w:rPr>
          <w:rFonts w:eastAsia="Calibri"/>
          <w:color w:val="000000" w:themeColor="text1"/>
        </w:rPr>
        <w:t xml:space="preserve"> </w:t>
      </w:r>
      <w:r w:rsidRPr="006F7C82" w:rsidR="56296DAC">
        <w:rPr>
          <w:rFonts w:eastAsia="Calibri"/>
          <w:color w:val="000000" w:themeColor="text1"/>
        </w:rPr>
        <w:t xml:space="preserve">further support </w:t>
      </w:r>
      <w:r w:rsidRPr="006F7C82" w:rsidR="63CFD1E6">
        <w:rPr>
          <w:rFonts w:eastAsia="Calibri"/>
          <w:color w:val="000000" w:themeColor="text1"/>
        </w:rPr>
        <w:t xml:space="preserve">program </w:t>
      </w:r>
      <w:r w:rsidRPr="006F7C82" w:rsidR="7697EBB8">
        <w:rPr>
          <w:rFonts w:eastAsia="Calibri"/>
          <w:color w:val="000000" w:themeColor="text1"/>
        </w:rPr>
        <w:t xml:space="preserve">eligibility for projects that will serve residents enrolled in California </w:t>
      </w:r>
      <w:r w:rsidRPr="006F7C82" w:rsidR="7697EBB8">
        <w:rPr>
          <w:rFonts w:eastAsia="Calibri"/>
          <w:color w:val="000000" w:themeColor="text1"/>
        </w:rPr>
        <w:lastRenderedPageBreak/>
        <w:t xml:space="preserve">public assistance programs such as Medi-Cal, </w:t>
      </w:r>
      <w:proofErr w:type="spellStart"/>
      <w:r w:rsidRPr="006F7C82" w:rsidR="7697EBB8">
        <w:rPr>
          <w:rFonts w:eastAsia="Calibri"/>
          <w:color w:val="000000" w:themeColor="text1"/>
        </w:rPr>
        <w:t>CalFresh</w:t>
      </w:r>
      <w:proofErr w:type="spellEnd"/>
      <w:r w:rsidRPr="006F7C82" w:rsidR="7697EBB8">
        <w:rPr>
          <w:rFonts w:eastAsia="Calibri"/>
          <w:color w:val="000000" w:themeColor="text1"/>
        </w:rPr>
        <w:t>, SNAP, CalWORKs, and other similar programs.</w:t>
      </w:r>
      <w:r w:rsidRPr="006F7C82">
        <w:rPr>
          <w:rStyle w:val="FootnoteReference"/>
          <w:rFonts w:eastAsia="Calibri"/>
          <w:color w:val="000000" w:themeColor="text1"/>
        </w:rPr>
        <w:footnoteReference w:id="10"/>
      </w:r>
      <w:r w:rsidRPr="006F7C82" w:rsidR="40401D8B">
        <w:rPr>
          <w:rFonts w:eastAsia="Calibri"/>
          <w:color w:val="000000" w:themeColor="text1"/>
        </w:rPr>
        <w:t xml:space="preserve"> Cal Advocates recommends </w:t>
      </w:r>
      <w:r w:rsidRPr="006F7C82" w:rsidR="2A26353E">
        <w:rPr>
          <w:rFonts w:eastAsia="Calibri"/>
          <w:color w:val="000000" w:themeColor="text1"/>
        </w:rPr>
        <w:t>using the California Department of Housing and Community Development’s definition of low</w:t>
      </w:r>
      <w:r w:rsidR="00013B06">
        <w:rPr>
          <w:rFonts w:eastAsia="Calibri"/>
          <w:color w:val="000000" w:themeColor="text1"/>
        </w:rPr>
        <w:noBreakHyphen/>
      </w:r>
      <w:r w:rsidRPr="006F7C82" w:rsidR="158459EF">
        <w:rPr>
          <w:rFonts w:eastAsia="Calibri"/>
          <w:color w:val="000000" w:themeColor="text1"/>
        </w:rPr>
        <w:t xml:space="preserve">income </w:t>
      </w:r>
      <w:r w:rsidRPr="006F7C82" w:rsidR="16A58A43">
        <w:rPr>
          <w:rFonts w:eastAsia="Calibri"/>
          <w:color w:val="000000" w:themeColor="text1"/>
        </w:rPr>
        <w:t xml:space="preserve">as </w:t>
      </w:r>
      <w:r w:rsidRPr="006F7C82" w:rsidR="4644028B">
        <w:rPr>
          <w:rFonts w:eastAsia="Calibri"/>
          <w:color w:val="000000" w:themeColor="text1"/>
        </w:rPr>
        <w:t>a</w:t>
      </w:r>
      <w:r w:rsidRPr="006F7C82" w:rsidR="42F2A320">
        <w:rPr>
          <w:rFonts w:eastAsia="Calibri"/>
          <w:color w:val="000000" w:themeColor="text1"/>
        </w:rPr>
        <w:t xml:space="preserve"> means</w:t>
      </w:r>
      <w:r w:rsidRPr="006F7C82" w:rsidR="5682C5DB">
        <w:rPr>
          <w:rFonts w:eastAsia="Calibri"/>
          <w:color w:val="000000" w:themeColor="text1"/>
        </w:rPr>
        <w:t xml:space="preserve"> to determine eligibility of </w:t>
      </w:r>
      <w:r w:rsidRPr="006F7C82" w:rsidR="65DAF3BB">
        <w:rPr>
          <w:rFonts w:eastAsia="Calibri"/>
          <w:color w:val="000000" w:themeColor="text1"/>
        </w:rPr>
        <w:t>non-categorically included applicants.</w:t>
      </w:r>
      <w:r w:rsidRPr="006F7C82">
        <w:rPr>
          <w:rStyle w:val="FootnoteReference"/>
          <w:rFonts w:eastAsia="Calibri"/>
          <w:color w:val="000000" w:themeColor="text1"/>
        </w:rPr>
        <w:footnoteReference w:id="11"/>
      </w:r>
      <w:r w:rsidRPr="006F7C82" w:rsidR="00F209CE">
        <w:rPr>
          <w:rFonts w:eastAsia="Calibri"/>
          <w:color w:val="000000" w:themeColor="text1"/>
        </w:rPr>
        <w:t xml:space="preserve"> </w:t>
      </w:r>
    </w:p>
    <w:p w:rsidRPr="006F7C82" w:rsidR="467AD779" w:rsidP="0238B4F2" w:rsidRDefault="467AD779" w14:paraId="6FEB36BD" w14:textId="00865E2A">
      <w:pPr>
        <w:pStyle w:val="Standard"/>
        <w:rPr>
          <w:rFonts w:eastAsia="Calibri" w:cs="Arial"/>
          <w:color w:val="000000" w:themeColor="text1"/>
        </w:rPr>
      </w:pPr>
      <w:r w:rsidRPr="006F7C82">
        <w:rPr>
          <w:rFonts w:eastAsia="Calibri"/>
          <w:color w:val="000000" w:themeColor="text1"/>
        </w:rPr>
        <w:t xml:space="preserve">CETF </w:t>
      </w:r>
      <w:r w:rsidRPr="006F7C82" w:rsidR="4453AA39">
        <w:rPr>
          <w:rFonts w:eastAsia="Calibri"/>
          <w:color w:val="000000" w:themeColor="text1"/>
        </w:rPr>
        <w:t xml:space="preserve">maintains that </w:t>
      </w:r>
      <w:r w:rsidRPr="006F7C82" w:rsidR="5E780A25">
        <w:rPr>
          <w:rFonts w:eastAsia="Calibri"/>
          <w:color w:val="000000" w:themeColor="text1"/>
        </w:rPr>
        <w:t xml:space="preserve">grants provided through the Public Housing </w:t>
      </w:r>
      <w:r w:rsidRPr="006F7C82" w:rsidR="47E78D3F">
        <w:rPr>
          <w:rFonts w:eastAsia="Calibri"/>
          <w:color w:val="000000" w:themeColor="text1"/>
        </w:rPr>
        <w:t>A</w:t>
      </w:r>
      <w:r w:rsidRPr="006F7C82" w:rsidR="5E780A25">
        <w:rPr>
          <w:rFonts w:eastAsia="Calibri"/>
          <w:color w:val="000000" w:themeColor="text1"/>
        </w:rPr>
        <w:t xml:space="preserve">ccount should </w:t>
      </w:r>
      <w:r w:rsidRPr="006F7C82" w:rsidR="0FA44655">
        <w:rPr>
          <w:rFonts w:eastAsia="Calibri"/>
          <w:color w:val="000000" w:themeColor="text1"/>
        </w:rPr>
        <w:t xml:space="preserve">first and foremost go to funding </w:t>
      </w:r>
      <w:r w:rsidRPr="006F7C82" w:rsidR="6C5A6ADE">
        <w:rPr>
          <w:rFonts w:eastAsia="Calibri"/>
          <w:color w:val="000000" w:themeColor="text1"/>
        </w:rPr>
        <w:t xml:space="preserve">infrastructure </w:t>
      </w:r>
      <w:r w:rsidRPr="006F7C82" w:rsidR="22C96845">
        <w:rPr>
          <w:rFonts w:eastAsia="Calibri"/>
          <w:color w:val="000000" w:themeColor="text1"/>
        </w:rPr>
        <w:t xml:space="preserve">connectivity in </w:t>
      </w:r>
      <w:r w:rsidRPr="006F7C82" w:rsidR="63F676E5">
        <w:rPr>
          <w:rFonts w:eastAsia="Calibri"/>
          <w:color w:val="000000" w:themeColor="text1"/>
        </w:rPr>
        <w:t>publicly subsidized housing complexes</w:t>
      </w:r>
      <w:r w:rsidRPr="006F7C82" w:rsidR="2C51AE1C">
        <w:rPr>
          <w:rFonts w:eastAsia="Calibri"/>
          <w:color w:val="000000" w:themeColor="text1"/>
        </w:rPr>
        <w:t xml:space="preserve">, whereas </w:t>
      </w:r>
      <w:proofErr w:type="spellStart"/>
      <w:r w:rsidRPr="006F7C82" w:rsidR="3B2EBA36">
        <w:rPr>
          <w:rFonts w:eastAsia="Calibri"/>
          <w:color w:val="000000" w:themeColor="text1"/>
        </w:rPr>
        <w:t>mobilehome</w:t>
      </w:r>
      <w:proofErr w:type="spellEnd"/>
      <w:r w:rsidRPr="006F7C82" w:rsidR="3B2EBA36">
        <w:rPr>
          <w:rFonts w:eastAsia="Calibri"/>
          <w:color w:val="000000" w:themeColor="text1"/>
        </w:rPr>
        <w:t xml:space="preserve"> parks </w:t>
      </w:r>
      <w:r w:rsidRPr="006F7C82" w:rsidR="6B2D85C7">
        <w:rPr>
          <w:rFonts w:eastAsia="Calibri"/>
          <w:color w:val="000000" w:themeColor="text1"/>
        </w:rPr>
        <w:t xml:space="preserve">and </w:t>
      </w:r>
      <w:r w:rsidRPr="006F7C82" w:rsidR="7631399F">
        <w:rPr>
          <w:rFonts w:eastAsia="Calibri"/>
          <w:color w:val="000000" w:themeColor="text1"/>
        </w:rPr>
        <w:t xml:space="preserve">low-income communities can and should be encouraged to seek last-mile funding from the Federal Funding Account or the Broadband Infrastructure </w:t>
      </w:r>
      <w:r w:rsidRPr="006F7C82" w:rsidR="4512294F">
        <w:rPr>
          <w:rFonts w:eastAsia="Calibri"/>
          <w:color w:val="000000" w:themeColor="text1"/>
        </w:rPr>
        <w:t xml:space="preserve">Grant </w:t>
      </w:r>
      <w:r w:rsidRPr="006F7C82" w:rsidR="7631399F">
        <w:rPr>
          <w:rFonts w:eastAsia="Calibri"/>
          <w:color w:val="000000" w:themeColor="text1"/>
        </w:rPr>
        <w:t>Account.</w:t>
      </w:r>
      <w:r w:rsidRPr="006F7C82">
        <w:rPr>
          <w:rStyle w:val="FootnoteReference"/>
          <w:rFonts w:eastAsia="Calibri"/>
          <w:color w:val="000000" w:themeColor="text1"/>
        </w:rPr>
        <w:footnoteReference w:id="12"/>
      </w:r>
      <w:r w:rsidRPr="006F7C82" w:rsidR="00F209CE">
        <w:rPr>
          <w:rFonts w:eastAsia="Calibri"/>
          <w:color w:val="000000" w:themeColor="text1"/>
        </w:rPr>
        <w:t xml:space="preserve"> </w:t>
      </w:r>
      <w:r w:rsidRPr="006F7C82" w:rsidR="005B65CC">
        <w:rPr>
          <w:rFonts w:eastAsia="Calibri"/>
          <w:color w:val="000000" w:themeColor="text1"/>
        </w:rPr>
        <w:t xml:space="preserve">CETF recommends </w:t>
      </w:r>
      <w:bookmarkStart w:name="_Hlk99915254" w:id="10"/>
      <w:r w:rsidRPr="006F7C82" w:rsidR="00BD786D">
        <w:rPr>
          <w:rFonts w:eastAsia="Calibri"/>
          <w:color w:val="000000" w:themeColor="text1"/>
        </w:rPr>
        <w:t xml:space="preserve">clarifying that </w:t>
      </w:r>
      <w:r w:rsidRPr="006F7C82" w:rsidR="001C366C">
        <w:rPr>
          <w:rFonts w:eastAsia="Calibri"/>
          <w:color w:val="000000" w:themeColor="text1"/>
        </w:rPr>
        <w:t>publicly-subsidized and publicly-supported housing complexes include all farmworker housing</w:t>
      </w:r>
      <w:r w:rsidRPr="006F7C82" w:rsidR="005C455F">
        <w:rPr>
          <w:rFonts w:eastAsia="Calibri"/>
          <w:color w:val="000000" w:themeColor="text1"/>
        </w:rPr>
        <w:t xml:space="preserve">, which </w:t>
      </w:r>
      <w:r w:rsidRPr="006F7C82" w:rsidR="00440BD8">
        <w:rPr>
          <w:rFonts w:eastAsia="Calibri"/>
          <w:color w:val="000000" w:themeColor="text1"/>
        </w:rPr>
        <w:t xml:space="preserve">they assert </w:t>
      </w:r>
      <w:r w:rsidRPr="006F7C82" w:rsidR="005C455F">
        <w:rPr>
          <w:rFonts w:eastAsia="Calibri"/>
          <w:color w:val="000000" w:themeColor="text1"/>
        </w:rPr>
        <w:t xml:space="preserve">has </w:t>
      </w:r>
      <w:r w:rsidRPr="006F7C82" w:rsidR="00302DC4">
        <w:rPr>
          <w:rFonts w:eastAsia="Calibri"/>
          <w:color w:val="000000" w:themeColor="text1"/>
        </w:rPr>
        <w:t>historically</w:t>
      </w:r>
      <w:r w:rsidRPr="006F7C82" w:rsidR="005C455F">
        <w:rPr>
          <w:rFonts w:eastAsia="Calibri"/>
          <w:color w:val="000000" w:themeColor="text1"/>
        </w:rPr>
        <w:t xml:space="preserve"> been ignored in policy and regulations</w:t>
      </w:r>
      <w:bookmarkEnd w:id="10"/>
      <w:r w:rsidRPr="006F7C82" w:rsidR="005C455F">
        <w:rPr>
          <w:rFonts w:eastAsia="Calibri"/>
          <w:color w:val="000000" w:themeColor="text1"/>
        </w:rPr>
        <w:t>.</w:t>
      </w:r>
      <w:r w:rsidRPr="006F7C82">
        <w:rPr>
          <w:rStyle w:val="FootnoteReference"/>
          <w:rFonts w:eastAsia="Calibri" w:cs="Arial"/>
          <w:color w:val="000000" w:themeColor="text1"/>
        </w:rPr>
        <w:footnoteReference w:id="13"/>
      </w:r>
    </w:p>
    <w:p w:rsidRPr="006F7C82" w:rsidR="51200757" w:rsidP="33C90492" w:rsidRDefault="51200757" w14:paraId="1461F70C" w14:textId="3BC43B36">
      <w:pPr>
        <w:pStyle w:val="Standard"/>
        <w:rPr>
          <w:rFonts w:eastAsia="Calibri" w:cs="Arial"/>
          <w:color w:val="000000" w:themeColor="text1"/>
          <w:szCs w:val="26"/>
        </w:rPr>
      </w:pPr>
      <w:r w:rsidRPr="006F7C82">
        <w:rPr>
          <w:rFonts w:eastAsia="Calibri"/>
          <w:color w:val="000000" w:themeColor="text1"/>
        </w:rPr>
        <w:t xml:space="preserve">In </w:t>
      </w:r>
      <w:r w:rsidRPr="006F7C82" w:rsidR="00FC3DEA">
        <w:rPr>
          <w:rFonts w:eastAsia="Calibri"/>
          <w:color w:val="000000" w:themeColor="text1"/>
        </w:rPr>
        <w:t>r</w:t>
      </w:r>
      <w:r w:rsidRPr="006F7C82">
        <w:rPr>
          <w:rFonts w:eastAsia="Calibri"/>
          <w:color w:val="000000" w:themeColor="text1"/>
        </w:rPr>
        <w:t xml:space="preserve">eply </w:t>
      </w:r>
      <w:r w:rsidRPr="006F7C82" w:rsidR="00FC3DEA">
        <w:rPr>
          <w:rFonts w:eastAsia="Calibri"/>
          <w:color w:val="000000" w:themeColor="text1"/>
        </w:rPr>
        <w:t>c</w:t>
      </w:r>
      <w:r w:rsidRPr="006F7C82">
        <w:rPr>
          <w:rFonts w:eastAsia="Calibri"/>
          <w:color w:val="000000" w:themeColor="text1"/>
        </w:rPr>
        <w:t>omments</w:t>
      </w:r>
      <w:r w:rsidRPr="006F7C82" w:rsidR="1FF4A85B">
        <w:rPr>
          <w:rFonts w:eastAsia="Calibri"/>
          <w:color w:val="000000" w:themeColor="text1"/>
        </w:rPr>
        <w:t>, TURN recommends</w:t>
      </w:r>
      <w:r w:rsidRPr="006F7C82" w:rsidR="329E2EE3">
        <w:rPr>
          <w:rFonts w:eastAsia="Calibri"/>
          <w:color w:val="000000" w:themeColor="text1"/>
        </w:rPr>
        <w:t xml:space="preserve"> that publicly supported housing developments should be categorically eligible for Public Housing Account grants without further demonstration of the income of residents, while eligibility of </w:t>
      </w:r>
      <w:r w:rsidRPr="006F7C82" w:rsidR="329E2EE3">
        <w:rPr>
          <w:rFonts w:eastAsia="Calibri"/>
          <w:color w:val="000000" w:themeColor="text1"/>
        </w:rPr>
        <w:lastRenderedPageBreak/>
        <w:t xml:space="preserve">applicants representing “other housing developments and </w:t>
      </w:r>
      <w:proofErr w:type="spellStart"/>
      <w:r w:rsidRPr="006F7C82" w:rsidR="329E2EE3">
        <w:rPr>
          <w:rFonts w:eastAsia="Calibri"/>
          <w:color w:val="000000" w:themeColor="text1"/>
        </w:rPr>
        <w:t>mobilehome</w:t>
      </w:r>
      <w:proofErr w:type="spellEnd"/>
      <w:r w:rsidRPr="006F7C82" w:rsidR="329E2EE3">
        <w:rPr>
          <w:rFonts w:eastAsia="Calibri"/>
          <w:color w:val="000000" w:themeColor="text1"/>
        </w:rPr>
        <w:t xml:space="preserve"> parks,” </w:t>
      </w:r>
      <w:r w:rsidRPr="006F7C82" w:rsidR="329E2EE3">
        <w:rPr>
          <w:rFonts w:eastAsia="Book Antiqua" w:cs="Book Antiqua"/>
          <w:color w:val="000000" w:themeColor="text1"/>
        </w:rPr>
        <w:t>i.e., non-publicly supported housing developments,</w:t>
      </w:r>
      <w:r w:rsidRPr="006F7C82" w:rsidR="1FA8EADF">
        <w:rPr>
          <w:rFonts w:eastAsia="Book Antiqua" w:cs="Book Antiqua"/>
          <w:color w:val="000000" w:themeColor="text1"/>
        </w:rPr>
        <w:t xml:space="preserve"> </w:t>
      </w:r>
      <w:r w:rsidRPr="006F7C82" w:rsidR="329E2EE3">
        <w:rPr>
          <w:rFonts w:eastAsia="Book Antiqua" w:cs="Book Antiqua"/>
          <w:color w:val="000000" w:themeColor="text1"/>
        </w:rPr>
        <w:t>would depend on an analysis of two factors: income eligibility and eligibility of the housing structure</w:t>
      </w:r>
      <w:r w:rsidRPr="006F7C82" w:rsidR="14C243E8">
        <w:rPr>
          <w:rFonts w:eastAsia="Book Antiqua" w:cs="Book Antiqua"/>
          <w:color w:val="000000" w:themeColor="text1"/>
        </w:rPr>
        <w:t>(s).</w:t>
      </w:r>
      <w:r w:rsidRPr="006F7C82">
        <w:rPr>
          <w:rStyle w:val="FootnoteReference"/>
          <w:rFonts w:eastAsia="Book Antiqua" w:cs="Book Antiqua"/>
          <w:color w:val="000000" w:themeColor="text1"/>
        </w:rPr>
        <w:footnoteReference w:id="14"/>
      </w:r>
      <w:r w:rsidRPr="006F7C82" w:rsidR="00F209CE">
        <w:rPr>
          <w:rFonts w:eastAsia="Calibri"/>
          <w:color w:val="000000" w:themeColor="text1"/>
        </w:rPr>
        <w:t xml:space="preserve"> </w:t>
      </w:r>
      <w:r w:rsidRPr="006F7C82" w:rsidR="01488EE9">
        <w:rPr>
          <w:rFonts w:eastAsia="Calibri"/>
          <w:color w:val="000000" w:themeColor="text1"/>
        </w:rPr>
        <w:t>TURN further recommends that f</w:t>
      </w:r>
      <w:r w:rsidRPr="006F7C82" w:rsidR="6598D0DF">
        <w:rPr>
          <w:color w:val="000000" w:themeColor="text1"/>
        </w:rPr>
        <w:t>or</w:t>
      </w:r>
      <w:r w:rsidRPr="006F7C82" w:rsidR="1A8A262A">
        <w:rPr>
          <w:color w:val="000000" w:themeColor="text1"/>
        </w:rPr>
        <w:t xml:space="preserve"> </w:t>
      </w:r>
      <w:r w:rsidRPr="006F7C82" w:rsidR="13419710">
        <w:rPr>
          <w:color w:val="000000" w:themeColor="text1"/>
        </w:rPr>
        <w:t>applicants that are not publicly supported</w:t>
      </w:r>
      <w:r w:rsidRPr="006F7C82" w:rsidR="40F58798">
        <w:rPr>
          <w:color w:val="000000" w:themeColor="text1"/>
        </w:rPr>
        <w:t xml:space="preserve">, </w:t>
      </w:r>
      <w:r w:rsidRPr="006F7C82" w:rsidR="231B0C93">
        <w:rPr>
          <w:color w:val="000000" w:themeColor="text1"/>
        </w:rPr>
        <w:t>the Commission should adopt</w:t>
      </w:r>
      <w:r w:rsidRPr="006F7C82" w:rsidR="1A43B653">
        <w:rPr>
          <w:color w:val="000000" w:themeColor="text1"/>
        </w:rPr>
        <w:t xml:space="preserve"> a “broad” definition of “low-income” that incorporates the greater of (1) 80</w:t>
      </w:r>
      <w:r w:rsidRPr="006F7C82" w:rsidR="0031032A">
        <w:rPr>
          <w:color w:val="000000" w:themeColor="text1"/>
        </w:rPr>
        <w:t xml:space="preserve"> percent</w:t>
      </w:r>
      <w:r w:rsidRPr="006F7C82" w:rsidR="1A43B653">
        <w:rPr>
          <w:color w:val="000000" w:themeColor="text1"/>
        </w:rPr>
        <w:t xml:space="preserve"> of the area’s median household income and (2) low-income as defined by the California Department of Housing and Community Development, rather than the standard based on 200</w:t>
      </w:r>
      <w:r w:rsidRPr="006F7C82" w:rsidR="005B4940">
        <w:rPr>
          <w:color w:val="000000" w:themeColor="text1"/>
        </w:rPr>
        <w:t xml:space="preserve"> percent</w:t>
      </w:r>
      <w:r w:rsidRPr="006F7C82" w:rsidR="1A43B653">
        <w:rPr>
          <w:color w:val="000000" w:themeColor="text1"/>
        </w:rPr>
        <w:t xml:space="preserve"> of the federal poverty guidelines, which does not consider regional </w:t>
      </w:r>
      <w:r w:rsidRPr="006F7C82" w:rsidR="75C1C0F2">
        <w:rPr>
          <w:color w:val="000000" w:themeColor="text1"/>
        </w:rPr>
        <w:t>considerations of low-income standards.</w:t>
      </w:r>
      <w:r w:rsidRPr="006F7C82">
        <w:rPr>
          <w:rStyle w:val="FootnoteReference"/>
          <w:color w:val="000000" w:themeColor="text1"/>
        </w:rPr>
        <w:footnoteReference w:id="15"/>
      </w:r>
      <w:r w:rsidRPr="006F7C82" w:rsidR="00F209CE">
        <w:rPr>
          <w:rStyle w:val="FootnoteReference"/>
          <w:color w:val="000000" w:themeColor="text1"/>
        </w:rPr>
        <w:t xml:space="preserve"> </w:t>
      </w:r>
      <w:r w:rsidRPr="006F7C82" w:rsidR="75C1C0F2">
        <w:rPr>
          <w:color w:val="000000" w:themeColor="text1"/>
        </w:rPr>
        <w:t xml:space="preserve">Finally, TURN notes that an evaluation of the evidence an applicant puts forth to demonstrate the income status of its residents will be a discretionary review and so should be made by Commission </w:t>
      </w:r>
      <w:r w:rsidRPr="006F7C82" w:rsidR="005B4940">
        <w:rPr>
          <w:color w:val="000000" w:themeColor="text1"/>
        </w:rPr>
        <w:t>r</w:t>
      </w:r>
      <w:r w:rsidRPr="006F7C82" w:rsidR="75C1C0F2">
        <w:rPr>
          <w:color w:val="000000" w:themeColor="text1"/>
        </w:rPr>
        <w:t>esolution.</w:t>
      </w:r>
      <w:r w:rsidRPr="006F7C82">
        <w:rPr>
          <w:rStyle w:val="FootnoteReference"/>
          <w:rFonts w:eastAsia="Calibri" w:cs="Arial"/>
          <w:color w:val="000000" w:themeColor="text1"/>
          <w:szCs w:val="26"/>
        </w:rPr>
        <w:footnoteReference w:id="16"/>
      </w:r>
    </w:p>
    <w:p w:rsidRPr="006F7C82" w:rsidR="4A8374B0" w:rsidP="4A8374B0" w:rsidRDefault="72D78CF3" w14:paraId="6544C935" w14:textId="1AF259EB">
      <w:pPr>
        <w:pStyle w:val="Standard"/>
        <w:rPr>
          <w:rFonts w:eastAsia="Calibri"/>
          <w:color w:val="000000" w:themeColor="text1"/>
        </w:rPr>
      </w:pPr>
      <w:r w:rsidRPr="006F7C82">
        <w:rPr>
          <w:rFonts w:eastAsia="Calibri" w:cs="Arial"/>
          <w:color w:val="000000" w:themeColor="text1"/>
          <w:szCs w:val="26"/>
        </w:rPr>
        <w:t>Other parties provided comment</w:t>
      </w:r>
      <w:r w:rsidRPr="006F7C82" w:rsidR="00AB66E6">
        <w:rPr>
          <w:rFonts w:eastAsia="Calibri" w:cs="Arial"/>
          <w:color w:val="000000" w:themeColor="text1"/>
          <w:szCs w:val="26"/>
        </w:rPr>
        <w:t>s</w:t>
      </w:r>
      <w:r w:rsidRPr="006F7C82">
        <w:rPr>
          <w:rFonts w:eastAsia="Calibri" w:cs="Arial"/>
          <w:color w:val="000000" w:themeColor="text1"/>
          <w:szCs w:val="26"/>
        </w:rPr>
        <w:t xml:space="preserve"> </w:t>
      </w:r>
      <w:r w:rsidRPr="006F7C82" w:rsidR="1DE0AE29">
        <w:rPr>
          <w:rFonts w:eastAsia="Calibri" w:cs="Arial"/>
          <w:color w:val="000000" w:themeColor="text1"/>
          <w:szCs w:val="26"/>
        </w:rPr>
        <w:t>on the</w:t>
      </w:r>
      <w:r w:rsidRPr="006F7C82" w:rsidR="275F8B1B">
        <w:rPr>
          <w:rFonts w:eastAsia="Calibri" w:cs="Arial"/>
          <w:color w:val="000000" w:themeColor="text1"/>
          <w:szCs w:val="26"/>
        </w:rPr>
        <w:t xml:space="preserve"> appropriate </w:t>
      </w:r>
      <w:r w:rsidRPr="006F7C82" w:rsidR="03BB34C5">
        <w:rPr>
          <w:rFonts w:eastAsia="Calibri" w:cs="Arial"/>
          <w:color w:val="000000" w:themeColor="text1"/>
          <w:szCs w:val="26"/>
        </w:rPr>
        <w:t>definition of</w:t>
      </w:r>
      <w:r w:rsidRPr="006F7C82" w:rsidR="275F8B1B">
        <w:rPr>
          <w:rFonts w:eastAsia="Calibri" w:cs="Arial"/>
          <w:color w:val="000000" w:themeColor="text1"/>
          <w:szCs w:val="26"/>
        </w:rPr>
        <w:t xml:space="preserve"> the </w:t>
      </w:r>
      <w:r w:rsidRPr="006F7C82" w:rsidR="08D95E53">
        <w:rPr>
          <w:rFonts w:eastAsia="Calibri" w:cs="Arial"/>
          <w:color w:val="000000" w:themeColor="text1"/>
          <w:szCs w:val="26"/>
        </w:rPr>
        <w:t xml:space="preserve">term “community” in response to Question 3, though </w:t>
      </w:r>
      <w:r w:rsidR="001756CD">
        <w:rPr>
          <w:rFonts w:eastAsia="Calibri" w:cs="Arial"/>
          <w:color w:val="000000" w:themeColor="text1"/>
          <w:szCs w:val="26"/>
        </w:rPr>
        <w:t xml:space="preserve">these </w:t>
      </w:r>
      <w:r w:rsidRPr="006F7C82" w:rsidR="21727CC0">
        <w:rPr>
          <w:rFonts w:eastAsia="Calibri" w:cs="Arial"/>
          <w:color w:val="000000" w:themeColor="text1"/>
          <w:szCs w:val="26"/>
        </w:rPr>
        <w:t>responses</w:t>
      </w:r>
      <w:r w:rsidRPr="006F7C82" w:rsidR="08D95E53">
        <w:rPr>
          <w:rFonts w:eastAsia="Calibri" w:cs="Arial"/>
          <w:color w:val="000000" w:themeColor="text1"/>
          <w:szCs w:val="26"/>
        </w:rPr>
        <w:t xml:space="preserve"> are </w:t>
      </w:r>
      <w:r w:rsidR="001756CD">
        <w:rPr>
          <w:rFonts w:eastAsia="Calibri" w:cs="Arial"/>
          <w:color w:val="000000" w:themeColor="text1"/>
          <w:szCs w:val="26"/>
        </w:rPr>
        <w:t xml:space="preserve">also </w:t>
      </w:r>
      <w:r w:rsidRPr="006F7C82" w:rsidR="08D95E53">
        <w:rPr>
          <w:rFonts w:eastAsia="Calibri" w:cs="Arial"/>
          <w:color w:val="000000" w:themeColor="text1"/>
          <w:szCs w:val="26"/>
        </w:rPr>
        <w:t>relevant to</w:t>
      </w:r>
      <w:r w:rsidRPr="006F7C82" w:rsidR="21727CC0">
        <w:rPr>
          <w:rFonts w:eastAsia="Calibri" w:cs="Arial"/>
          <w:color w:val="000000" w:themeColor="text1"/>
          <w:szCs w:val="26"/>
        </w:rPr>
        <w:t xml:space="preserve"> the </w:t>
      </w:r>
      <w:r w:rsidR="001756CD">
        <w:rPr>
          <w:rFonts w:eastAsia="Calibri" w:cs="Arial"/>
          <w:color w:val="000000" w:themeColor="text1"/>
          <w:szCs w:val="26"/>
        </w:rPr>
        <w:t xml:space="preserve">instant </w:t>
      </w:r>
      <w:r w:rsidRPr="006F7C82" w:rsidR="21727CC0">
        <w:rPr>
          <w:rFonts w:eastAsia="Calibri" w:cs="Arial"/>
          <w:color w:val="000000" w:themeColor="text1"/>
          <w:szCs w:val="26"/>
        </w:rPr>
        <w:t xml:space="preserve">discussion </w:t>
      </w:r>
      <w:r w:rsidRPr="006F7C82" w:rsidR="6307F3AF">
        <w:rPr>
          <w:rFonts w:eastAsia="Calibri" w:cs="Arial"/>
          <w:color w:val="000000" w:themeColor="text1"/>
          <w:szCs w:val="26"/>
        </w:rPr>
        <w:t xml:space="preserve">of </w:t>
      </w:r>
      <w:r w:rsidRPr="006F7C82" w:rsidR="7AEB887D">
        <w:rPr>
          <w:rFonts w:eastAsia="Calibri" w:cs="Arial"/>
          <w:color w:val="000000" w:themeColor="text1"/>
          <w:szCs w:val="26"/>
        </w:rPr>
        <w:t>eligibility.</w:t>
      </w:r>
      <w:r w:rsidRPr="006F7C82" w:rsidR="00F209CE">
        <w:rPr>
          <w:rFonts w:eastAsia="Calibri" w:cs="Arial"/>
          <w:color w:val="000000" w:themeColor="text1"/>
          <w:szCs w:val="26"/>
        </w:rPr>
        <w:t xml:space="preserve"> </w:t>
      </w:r>
      <w:r w:rsidRPr="006F7C82" w:rsidR="003A23E9">
        <w:rPr>
          <w:rFonts w:eastAsia="Calibri"/>
          <w:color w:val="000000" w:themeColor="text1"/>
        </w:rPr>
        <w:t xml:space="preserve">For example, </w:t>
      </w:r>
      <w:r w:rsidRPr="006F7C82" w:rsidR="00BE1E12">
        <w:rPr>
          <w:rFonts w:eastAsia="Calibri"/>
          <w:color w:val="000000" w:themeColor="text1"/>
        </w:rPr>
        <w:t>CCTA recommends clarifying the proposed definition to specify that an eligible housing development must be owned and/or managed by a single organization, to avoid an unintended outcome of supporting a “community” comprised of a publicly supported low</w:t>
      </w:r>
      <w:r w:rsidR="00F4291F">
        <w:rPr>
          <w:rFonts w:eastAsia="Calibri"/>
          <w:color w:val="000000" w:themeColor="text1"/>
        </w:rPr>
        <w:noBreakHyphen/>
      </w:r>
      <w:r w:rsidRPr="006F7C82" w:rsidR="00BE1E12">
        <w:rPr>
          <w:rFonts w:eastAsia="Calibri"/>
          <w:color w:val="000000" w:themeColor="text1"/>
        </w:rPr>
        <w:t>income housing development adjacent to a luxury condominium.</w:t>
      </w:r>
      <w:r w:rsidRPr="006F7C82" w:rsidR="7AEB887D">
        <w:rPr>
          <w:rStyle w:val="FootnoteReference"/>
          <w:rFonts w:eastAsia="Calibri"/>
          <w:color w:val="000000" w:themeColor="text1"/>
        </w:rPr>
        <w:footnoteReference w:id="17"/>
      </w:r>
      <w:r w:rsidRPr="006F7C82" w:rsidR="00F209CE">
        <w:rPr>
          <w:rStyle w:val="FootnoteReference"/>
          <w:rFonts w:eastAsia="Calibri"/>
          <w:color w:val="000000" w:themeColor="text1"/>
        </w:rPr>
        <w:t xml:space="preserve"> </w:t>
      </w:r>
    </w:p>
    <w:p w:rsidRPr="006F7C82" w:rsidR="6E31EE33" w:rsidP="6703CA2C" w:rsidRDefault="5B70F7E2" w14:paraId="7CA16ACD" w14:textId="329B55DA">
      <w:pPr>
        <w:pStyle w:val="Standard"/>
        <w:rPr>
          <w:rFonts w:eastAsia="Calibri"/>
          <w:color w:val="000000" w:themeColor="text1"/>
        </w:rPr>
      </w:pPr>
      <w:r w:rsidRPr="006F7C82">
        <w:rPr>
          <w:rFonts w:eastAsia="Calibri"/>
          <w:color w:val="000000" w:themeColor="text1"/>
        </w:rPr>
        <w:lastRenderedPageBreak/>
        <w:t>Importantly, TURN’s</w:t>
      </w:r>
      <w:r w:rsidRPr="006F7C82" w:rsidR="08B8DD32">
        <w:rPr>
          <w:rFonts w:eastAsia="Calibri"/>
          <w:color w:val="000000" w:themeColor="text1"/>
        </w:rPr>
        <w:t xml:space="preserve"> </w:t>
      </w:r>
      <w:r w:rsidRPr="006F7C82" w:rsidR="00854AFF">
        <w:rPr>
          <w:rFonts w:eastAsia="Calibri"/>
          <w:color w:val="000000" w:themeColor="text1"/>
        </w:rPr>
        <w:t>r</w:t>
      </w:r>
      <w:r w:rsidRPr="006F7C82" w:rsidR="08B8DD32">
        <w:rPr>
          <w:rFonts w:eastAsia="Calibri"/>
          <w:color w:val="000000" w:themeColor="text1"/>
        </w:rPr>
        <w:t xml:space="preserve">eply </w:t>
      </w:r>
      <w:r w:rsidRPr="006F7C82" w:rsidR="00854AFF">
        <w:rPr>
          <w:rFonts w:eastAsia="Calibri"/>
          <w:color w:val="000000" w:themeColor="text1"/>
        </w:rPr>
        <w:t>c</w:t>
      </w:r>
      <w:r w:rsidRPr="006F7C82" w:rsidR="08B8DD32">
        <w:rPr>
          <w:rFonts w:eastAsia="Calibri"/>
          <w:color w:val="000000" w:themeColor="text1"/>
        </w:rPr>
        <w:t>omments also raised the issue of tenant protections</w:t>
      </w:r>
      <w:r w:rsidRPr="006F7C82" w:rsidR="2B7BAD28">
        <w:rPr>
          <w:rFonts w:eastAsia="Calibri"/>
          <w:color w:val="000000" w:themeColor="text1"/>
        </w:rPr>
        <w:t xml:space="preserve"> for residents of </w:t>
      </w:r>
      <w:r w:rsidRPr="006F7C82" w:rsidR="2804A9CA">
        <w:rPr>
          <w:rFonts w:eastAsia="Calibri"/>
          <w:color w:val="000000" w:themeColor="text1"/>
        </w:rPr>
        <w:t>non-publicly supported housing developments</w:t>
      </w:r>
      <w:r w:rsidRPr="006F7C82" w:rsidR="7989CF52">
        <w:rPr>
          <w:rFonts w:eastAsia="Calibri"/>
          <w:color w:val="000000" w:themeColor="text1"/>
        </w:rPr>
        <w:t xml:space="preserve">, noting that </w:t>
      </w:r>
      <w:r w:rsidRPr="006F7C82" w:rsidR="3C2DCA61">
        <w:rPr>
          <w:rFonts w:eastAsia="Calibri"/>
          <w:color w:val="000000" w:themeColor="text1"/>
        </w:rPr>
        <w:t>applicants re</w:t>
      </w:r>
      <w:r w:rsidRPr="006F7C82" w:rsidR="037C2565">
        <w:rPr>
          <w:rFonts w:eastAsia="Calibri"/>
          <w:color w:val="000000" w:themeColor="text1"/>
        </w:rPr>
        <w:t xml:space="preserve">presenting such communities </w:t>
      </w:r>
      <w:r w:rsidRPr="006F7C82" w:rsidR="27D2A2C6">
        <w:rPr>
          <w:rFonts w:eastAsia="Calibri"/>
          <w:color w:val="000000" w:themeColor="text1"/>
        </w:rPr>
        <w:t>“might choose to raise rents after receiving valuable, publicly</w:t>
      </w:r>
      <w:r w:rsidRPr="006F7C82" w:rsidR="25FE6104">
        <w:rPr>
          <w:rFonts w:eastAsia="Calibri"/>
          <w:color w:val="000000" w:themeColor="text1"/>
        </w:rPr>
        <w:t xml:space="preserve"> </w:t>
      </w:r>
      <w:r w:rsidRPr="006F7C82" w:rsidR="27D2A2C6">
        <w:rPr>
          <w:rFonts w:eastAsia="Calibri"/>
          <w:color w:val="000000" w:themeColor="text1"/>
        </w:rPr>
        <w:t>funded building improvements (depending on local landlord-tenant laws</w:t>
      </w:r>
      <w:r w:rsidRPr="006F7C82" w:rsidR="7E1782CC">
        <w:rPr>
          <w:rFonts w:eastAsia="Calibri"/>
          <w:color w:val="000000" w:themeColor="text1"/>
        </w:rPr>
        <w:t>)”</w:t>
      </w:r>
      <w:r w:rsidRPr="006F7C82" w:rsidR="7777E066">
        <w:rPr>
          <w:rFonts w:eastAsia="Calibri"/>
          <w:color w:val="000000" w:themeColor="text1"/>
        </w:rPr>
        <w:t xml:space="preserve"> and that this could risk</w:t>
      </w:r>
      <w:r w:rsidRPr="006F7C82" w:rsidR="27D2A2C6">
        <w:rPr>
          <w:rFonts w:eastAsia="Calibri"/>
          <w:color w:val="000000" w:themeColor="text1"/>
        </w:rPr>
        <w:t xml:space="preserve"> displacement of the </w:t>
      </w:r>
      <w:r w:rsidRPr="006F7C82" w:rsidR="7777E066">
        <w:rPr>
          <w:rFonts w:eastAsia="Calibri"/>
          <w:color w:val="000000" w:themeColor="text1"/>
        </w:rPr>
        <w:t xml:space="preserve">residents we </w:t>
      </w:r>
      <w:r w:rsidRPr="006F7C82" w:rsidR="002F4F11">
        <w:rPr>
          <w:rFonts w:eastAsia="Calibri"/>
          <w:color w:val="000000" w:themeColor="text1"/>
        </w:rPr>
        <w:t>intend</w:t>
      </w:r>
      <w:r w:rsidRPr="006F7C82" w:rsidR="7777E066">
        <w:rPr>
          <w:rFonts w:eastAsia="Calibri"/>
          <w:color w:val="000000" w:themeColor="text1"/>
        </w:rPr>
        <w:t xml:space="preserve"> to </w:t>
      </w:r>
      <w:r w:rsidRPr="006F7C82" w:rsidR="5214B9D9">
        <w:rPr>
          <w:rFonts w:eastAsia="Calibri"/>
          <w:color w:val="000000" w:themeColor="text1"/>
        </w:rPr>
        <w:t>serve.</w:t>
      </w:r>
      <w:r w:rsidRPr="006F7C82">
        <w:rPr>
          <w:rStyle w:val="FootnoteReference"/>
          <w:rFonts w:eastAsia="Calibri"/>
          <w:color w:val="000000" w:themeColor="text1"/>
        </w:rPr>
        <w:footnoteReference w:id="18"/>
      </w:r>
      <w:r w:rsidRPr="006F7C82" w:rsidR="00F209CE">
        <w:rPr>
          <w:rFonts w:eastAsia="Calibri"/>
          <w:color w:val="000000" w:themeColor="text1"/>
        </w:rPr>
        <w:t xml:space="preserve"> </w:t>
      </w:r>
      <w:r w:rsidRPr="006F7C82" w:rsidR="40F35768">
        <w:rPr>
          <w:rFonts w:eastAsia="Calibri"/>
          <w:color w:val="000000" w:themeColor="text1"/>
        </w:rPr>
        <w:t xml:space="preserve">TURN recommends that the Commission </w:t>
      </w:r>
      <w:r w:rsidRPr="006F7C82" w:rsidR="493A40F6">
        <w:rPr>
          <w:rFonts w:eastAsia="Calibri"/>
          <w:color w:val="000000" w:themeColor="text1"/>
        </w:rPr>
        <w:t>host</w:t>
      </w:r>
      <w:r w:rsidRPr="006F7C82" w:rsidR="40F35768">
        <w:rPr>
          <w:rFonts w:eastAsia="Calibri"/>
          <w:color w:val="000000" w:themeColor="text1"/>
        </w:rPr>
        <w:t xml:space="preserve"> a joint workshop and</w:t>
      </w:r>
      <w:r w:rsidRPr="006F7C82" w:rsidR="493A40F6">
        <w:rPr>
          <w:rFonts w:eastAsia="Calibri"/>
          <w:color w:val="000000" w:themeColor="text1"/>
        </w:rPr>
        <w:t xml:space="preserve"> collaborate with</w:t>
      </w:r>
      <w:r w:rsidRPr="006F7C82" w:rsidR="40F35768">
        <w:rPr>
          <w:rFonts w:eastAsia="Calibri"/>
          <w:color w:val="000000" w:themeColor="text1"/>
        </w:rPr>
        <w:t xml:space="preserve"> staff from the Commission’s</w:t>
      </w:r>
      <w:r w:rsidRPr="006F7C82" w:rsidR="72414862">
        <w:rPr>
          <w:rFonts w:eastAsia="Calibri"/>
          <w:color w:val="000000" w:themeColor="text1"/>
        </w:rPr>
        <w:t xml:space="preserve"> Energy Savings Assistance </w:t>
      </w:r>
      <w:r w:rsidRPr="006F7C82" w:rsidR="1DAA4590">
        <w:rPr>
          <w:rFonts w:eastAsia="Calibri"/>
          <w:color w:val="000000" w:themeColor="text1"/>
        </w:rPr>
        <w:t xml:space="preserve">(ESA) </w:t>
      </w:r>
      <w:r w:rsidRPr="006F7C82" w:rsidR="72414862">
        <w:rPr>
          <w:rFonts w:eastAsia="Calibri"/>
          <w:color w:val="000000" w:themeColor="text1"/>
        </w:rPr>
        <w:t>program and others to discuss issues surrounding eligibility of and protections of low-income tenants, as the ESA has addressed</w:t>
      </w:r>
      <w:r w:rsidRPr="006F7C82" w:rsidR="1DAA4590">
        <w:rPr>
          <w:rFonts w:eastAsia="Calibri"/>
          <w:color w:val="000000" w:themeColor="text1"/>
        </w:rPr>
        <w:t xml:space="preserve"> similar issues in the past.</w:t>
      </w:r>
      <w:r w:rsidRPr="006F7C82">
        <w:rPr>
          <w:rStyle w:val="FootnoteReference"/>
          <w:rFonts w:eastAsia="Calibri"/>
          <w:color w:val="000000" w:themeColor="text1"/>
        </w:rPr>
        <w:footnoteReference w:id="19"/>
      </w:r>
    </w:p>
    <w:p w:rsidR="00CD2677" w:rsidP="05B3150E" w:rsidRDefault="06C75773" w14:paraId="195BEBB8" w14:textId="458A157C">
      <w:pPr>
        <w:pStyle w:val="Standard"/>
        <w:rPr>
          <w:rFonts w:eastAsia="Calibri"/>
          <w:color w:val="000000" w:themeColor="text1"/>
        </w:rPr>
      </w:pPr>
      <w:r w:rsidRPr="006F7C82">
        <w:rPr>
          <w:rFonts w:eastAsia="Calibri"/>
          <w:color w:val="000000" w:themeColor="text1"/>
        </w:rPr>
        <w:t xml:space="preserve">While the Second Amended Scoping </w:t>
      </w:r>
      <w:r w:rsidRPr="006F7C82" w:rsidR="009F4B2C">
        <w:rPr>
          <w:rFonts w:eastAsia="Calibri"/>
          <w:color w:val="000000" w:themeColor="text1"/>
        </w:rPr>
        <w:t>M</w:t>
      </w:r>
      <w:r w:rsidRPr="006F7C82">
        <w:rPr>
          <w:rFonts w:eastAsia="Calibri"/>
          <w:color w:val="000000" w:themeColor="text1"/>
        </w:rPr>
        <w:t xml:space="preserve">emo </w:t>
      </w:r>
      <w:r w:rsidRPr="006F7C82" w:rsidR="004A2486">
        <w:rPr>
          <w:rFonts w:eastAsia="Calibri"/>
          <w:color w:val="000000" w:themeColor="text1"/>
        </w:rPr>
        <w:t>Q</w:t>
      </w:r>
      <w:r w:rsidRPr="006F7C82">
        <w:rPr>
          <w:rFonts w:eastAsia="Calibri"/>
          <w:color w:val="000000" w:themeColor="text1"/>
        </w:rPr>
        <w:t xml:space="preserve">uestion 1 </w:t>
      </w:r>
      <w:r w:rsidRPr="006F7C82" w:rsidR="00F2525F">
        <w:rPr>
          <w:rFonts w:eastAsia="Calibri"/>
          <w:color w:val="000000" w:themeColor="text1"/>
        </w:rPr>
        <w:t xml:space="preserve">implied </w:t>
      </w:r>
      <w:r w:rsidRPr="006F7C82">
        <w:rPr>
          <w:rFonts w:eastAsia="Calibri"/>
          <w:color w:val="000000" w:themeColor="text1"/>
        </w:rPr>
        <w:t xml:space="preserve">that “publicly </w:t>
      </w:r>
      <w:r w:rsidRPr="006F7C82" w:rsidR="7FDAA6EC">
        <w:rPr>
          <w:rFonts w:eastAsia="Calibri"/>
          <w:color w:val="000000" w:themeColor="text1"/>
        </w:rPr>
        <w:t>supported housing developments, other housing developments and mobile home parks with low-income residents” would be categorially eligible for</w:t>
      </w:r>
      <w:r w:rsidRPr="006F7C82">
        <w:rPr>
          <w:rFonts w:eastAsia="Calibri"/>
          <w:color w:val="000000" w:themeColor="text1"/>
        </w:rPr>
        <w:t xml:space="preserve"> Public </w:t>
      </w:r>
      <w:r w:rsidRPr="006F7C82" w:rsidR="7FDAA6EC">
        <w:rPr>
          <w:rFonts w:eastAsia="Calibri"/>
          <w:color w:val="000000" w:themeColor="text1"/>
        </w:rPr>
        <w:t>Housing Account grants</w:t>
      </w:r>
      <w:r w:rsidRPr="006F7C82">
        <w:rPr>
          <w:rFonts w:eastAsia="Calibri"/>
          <w:color w:val="000000" w:themeColor="text1"/>
        </w:rPr>
        <w:t xml:space="preserve">, we agree with TURN’s </w:t>
      </w:r>
      <w:r w:rsidRPr="006F7C82" w:rsidR="329E2EE3">
        <w:rPr>
          <w:rFonts w:eastAsia="Calibri"/>
          <w:color w:val="000000" w:themeColor="text1"/>
        </w:rPr>
        <w:t>recommendation that publicly supported housing developments, as defined below, should be considered categorically eligible for Public Housing Account grants and these applicants should not be required to verify or demonstrate the income eligib</w:t>
      </w:r>
      <w:r w:rsidRPr="006F7C82" w:rsidR="00CE5D3D">
        <w:rPr>
          <w:rFonts w:eastAsia="Calibri"/>
          <w:color w:val="000000" w:themeColor="text1"/>
        </w:rPr>
        <w:t>ility</w:t>
      </w:r>
      <w:r w:rsidRPr="006F7C82" w:rsidR="329E2EE3">
        <w:rPr>
          <w:rFonts w:eastAsia="Calibri"/>
          <w:color w:val="000000" w:themeColor="text1"/>
        </w:rPr>
        <w:t xml:space="preserve"> of </w:t>
      </w:r>
      <w:r w:rsidR="00777AD6">
        <w:rPr>
          <w:rFonts w:eastAsia="Calibri"/>
          <w:color w:val="000000" w:themeColor="text1"/>
        </w:rPr>
        <w:t>their</w:t>
      </w:r>
      <w:r w:rsidRPr="006F7C82" w:rsidR="00777AD6">
        <w:rPr>
          <w:rFonts w:eastAsia="Calibri"/>
          <w:color w:val="000000" w:themeColor="text1"/>
        </w:rPr>
        <w:t xml:space="preserve"> </w:t>
      </w:r>
      <w:r w:rsidRPr="006F7C82" w:rsidR="329E2EE3">
        <w:rPr>
          <w:rFonts w:eastAsia="Calibri"/>
          <w:color w:val="000000" w:themeColor="text1"/>
        </w:rPr>
        <w:t>residents.</w:t>
      </w:r>
      <w:r w:rsidRPr="00030B33" w:rsidR="00030B33">
        <w:rPr>
          <w:rFonts w:eastAsia="Calibri"/>
          <w:color w:val="000000" w:themeColor="text1"/>
        </w:rPr>
        <w:t xml:space="preserve"> </w:t>
      </w:r>
      <w:bookmarkStart w:name="_Hlk99922814" w:id="11"/>
      <w:r w:rsidR="00030B33">
        <w:rPr>
          <w:rFonts w:eastAsia="Calibri"/>
          <w:color w:val="000000" w:themeColor="text1"/>
        </w:rPr>
        <w:t xml:space="preserve">We also </w:t>
      </w:r>
      <w:r w:rsidR="006F0A4F">
        <w:rPr>
          <w:rFonts w:eastAsia="Calibri"/>
          <w:color w:val="000000" w:themeColor="text1"/>
        </w:rPr>
        <w:t xml:space="preserve">acknowledge </w:t>
      </w:r>
      <w:r w:rsidR="002F2CDE">
        <w:rPr>
          <w:rFonts w:eastAsia="Calibri"/>
          <w:color w:val="000000" w:themeColor="text1"/>
        </w:rPr>
        <w:t xml:space="preserve">and support </w:t>
      </w:r>
      <w:r w:rsidR="00030B33">
        <w:rPr>
          <w:rFonts w:eastAsia="Calibri"/>
          <w:color w:val="000000" w:themeColor="text1"/>
        </w:rPr>
        <w:t>CETF</w:t>
      </w:r>
      <w:r w:rsidR="006F0A4F">
        <w:rPr>
          <w:rFonts w:eastAsia="Calibri"/>
          <w:color w:val="000000" w:themeColor="text1"/>
        </w:rPr>
        <w:t>’s position</w:t>
      </w:r>
      <w:r w:rsidRPr="00030B33" w:rsidR="00030B33">
        <w:rPr>
          <w:rFonts w:eastAsia="Calibri"/>
          <w:color w:val="000000" w:themeColor="text1"/>
        </w:rPr>
        <w:t xml:space="preserve"> that </w:t>
      </w:r>
      <w:proofErr w:type="gramStart"/>
      <w:r w:rsidRPr="00030B33" w:rsidR="00030B33">
        <w:rPr>
          <w:rFonts w:eastAsia="Calibri"/>
          <w:color w:val="000000" w:themeColor="text1"/>
        </w:rPr>
        <w:t>publicly-subsidized</w:t>
      </w:r>
      <w:proofErr w:type="gramEnd"/>
      <w:r w:rsidRPr="00030B33" w:rsidR="00030B33">
        <w:rPr>
          <w:rFonts w:eastAsia="Calibri"/>
          <w:color w:val="000000" w:themeColor="text1"/>
        </w:rPr>
        <w:t xml:space="preserve"> and publicly-supported housing complexes </w:t>
      </w:r>
      <w:r w:rsidRPr="00806ADE" w:rsidR="00030B33">
        <w:rPr>
          <w:rFonts w:eastAsia="Calibri"/>
          <w:color w:val="000000" w:themeColor="text1"/>
        </w:rPr>
        <w:t>include f</w:t>
      </w:r>
      <w:r w:rsidRPr="00030B33" w:rsidR="00030B33">
        <w:rPr>
          <w:rFonts w:eastAsia="Calibri"/>
          <w:color w:val="000000" w:themeColor="text1"/>
        </w:rPr>
        <w:t>armworker housing, which has historically been ignored in policy and regulations</w:t>
      </w:r>
      <w:r w:rsidR="006F0A4F">
        <w:rPr>
          <w:rFonts w:eastAsia="Calibri"/>
          <w:color w:val="000000" w:themeColor="text1"/>
        </w:rPr>
        <w:t xml:space="preserve"> and which can reasonably be assumed to house low</w:t>
      </w:r>
      <w:r w:rsidR="00DD669E">
        <w:rPr>
          <w:rFonts w:eastAsia="Calibri"/>
          <w:color w:val="000000" w:themeColor="text1"/>
        </w:rPr>
        <w:t>-</w:t>
      </w:r>
      <w:r w:rsidR="006F0A4F">
        <w:rPr>
          <w:rFonts w:eastAsia="Calibri"/>
          <w:color w:val="000000" w:themeColor="text1"/>
        </w:rPr>
        <w:t>income Californians. W</w:t>
      </w:r>
      <w:r w:rsidR="00325D3F">
        <w:rPr>
          <w:rFonts w:eastAsia="Calibri"/>
          <w:color w:val="000000" w:themeColor="text1"/>
        </w:rPr>
        <w:t xml:space="preserve">e adopt guidelines that make publicly supported housing developments and farmworker housing categorically eligible for </w:t>
      </w:r>
      <w:r w:rsidR="006F0A4F">
        <w:rPr>
          <w:rFonts w:eastAsia="Calibri"/>
          <w:color w:val="000000" w:themeColor="text1"/>
        </w:rPr>
        <w:t xml:space="preserve">Public Housing </w:t>
      </w:r>
      <w:r w:rsidR="006F0A4F">
        <w:rPr>
          <w:rFonts w:eastAsia="Calibri"/>
          <w:color w:val="000000" w:themeColor="text1"/>
        </w:rPr>
        <w:lastRenderedPageBreak/>
        <w:t>Account grants, as shown in Appendix</w:t>
      </w:r>
      <w:r w:rsidR="00F4291F">
        <w:rPr>
          <w:rFonts w:eastAsia="Calibri"/>
          <w:color w:val="000000" w:themeColor="text1"/>
        </w:rPr>
        <w:t> </w:t>
      </w:r>
      <w:r w:rsidR="006F0A4F">
        <w:rPr>
          <w:rFonts w:eastAsia="Calibri"/>
          <w:color w:val="000000" w:themeColor="text1"/>
        </w:rPr>
        <w:t>1</w:t>
      </w:r>
      <w:r w:rsidR="00030B33">
        <w:rPr>
          <w:rFonts w:eastAsia="Calibri"/>
          <w:color w:val="000000" w:themeColor="text1"/>
        </w:rPr>
        <w:t>.</w:t>
      </w:r>
      <w:r w:rsidRPr="006F7C82" w:rsidR="00F209CE">
        <w:rPr>
          <w:rFonts w:eastAsia="Calibri"/>
          <w:color w:val="000000" w:themeColor="text1"/>
        </w:rPr>
        <w:t xml:space="preserve"> </w:t>
      </w:r>
      <w:bookmarkEnd w:id="11"/>
      <w:r w:rsidRPr="006F7C82" w:rsidR="329E2EE3">
        <w:rPr>
          <w:rFonts w:eastAsia="Calibri"/>
          <w:color w:val="000000" w:themeColor="text1"/>
        </w:rPr>
        <w:t xml:space="preserve">However, we decline </w:t>
      </w:r>
      <w:proofErr w:type="gramStart"/>
      <w:r w:rsidRPr="006F7C82" w:rsidR="329E2EE3">
        <w:rPr>
          <w:rFonts w:eastAsia="Calibri"/>
          <w:color w:val="000000" w:themeColor="text1"/>
        </w:rPr>
        <w:t>at this time</w:t>
      </w:r>
      <w:proofErr w:type="gramEnd"/>
      <w:r w:rsidRPr="006F7C82" w:rsidR="329E2EE3">
        <w:rPr>
          <w:rFonts w:eastAsia="Calibri"/>
          <w:color w:val="000000" w:themeColor="text1"/>
        </w:rPr>
        <w:t xml:space="preserve"> to adopt categorical eligibility for </w:t>
      </w:r>
      <w:r w:rsidR="00325D3F">
        <w:rPr>
          <w:rFonts w:eastAsia="Calibri"/>
          <w:color w:val="000000" w:themeColor="text1"/>
        </w:rPr>
        <w:t xml:space="preserve">all </w:t>
      </w:r>
      <w:r w:rsidRPr="006F7C82" w:rsidR="329E2EE3">
        <w:rPr>
          <w:rFonts w:eastAsia="Calibri"/>
          <w:color w:val="000000" w:themeColor="text1"/>
        </w:rPr>
        <w:t>“other housing developments and mobile home parks with low</w:t>
      </w:r>
      <w:r w:rsidRPr="006F7C82" w:rsidR="00AE54FB">
        <w:rPr>
          <w:rFonts w:eastAsia="Calibri"/>
          <w:color w:val="000000" w:themeColor="text1"/>
        </w:rPr>
        <w:t>-</w:t>
      </w:r>
      <w:r w:rsidRPr="006F7C82" w:rsidR="329E2EE3">
        <w:rPr>
          <w:rFonts w:eastAsia="Calibri"/>
          <w:color w:val="000000" w:themeColor="text1"/>
        </w:rPr>
        <w:t xml:space="preserve">income residents” </w:t>
      </w:r>
      <w:r w:rsidR="006F0A4F">
        <w:rPr>
          <w:rFonts w:eastAsia="Calibri"/>
          <w:color w:val="000000" w:themeColor="text1"/>
        </w:rPr>
        <w:t xml:space="preserve">(aside from farmworker housing) </w:t>
      </w:r>
      <w:r w:rsidRPr="006F7C82" w:rsidR="329E2EE3">
        <w:rPr>
          <w:rFonts w:eastAsia="Calibri"/>
          <w:color w:val="000000" w:themeColor="text1"/>
        </w:rPr>
        <w:t>or</w:t>
      </w:r>
      <w:r w:rsidRPr="006F7C82" w:rsidR="00B379BE">
        <w:rPr>
          <w:rFonts w:eastAsia="Calibri"/>
          <w:color w:val="000000" w:themeColor="text1"/>
        </w:rPr>
        <w:t>,</w:t>
      </w:r>
      <w:r w:rsidRPr="006F7C82" w:rsidR="329E2EE3">
        <w:rPr>
          <w:rFonts w:eastAsia="Calibri"/>
          <w:color w:val="000000" w:themeColor="text1"/>
        </w:rPr>
        <w:t xml:space="preserve"> as TURN refers to these entities, non-publicly supported housing developments.</w:t>
      </w:r>
      <w:r w:rsidRPr="006F7C82" w:rsidR="197CD3F3">
        <w:rPr>
          <w:rFonts w:eastAsia="Calibri"/>
          <w:color w:val="000000" w:themeColor="text1"/>
        </w:rPr>
        <w:t xml:space="preserve"> </w:t>
      </w:r>
    </w:p>
    <w:p w:rsidRPr="006F7C82" w:rsidR="7FDAA6EC" w:rsidP="05B3150E" w:rsidRDefault="3BB6170B" w14:paraId="1D556938" w14:textId="04941AD4">
      <w:pPr>
        <w:pStyle w:val="Standard"/>
        <w:rPr>
          <w:rFonts w:eastAsia="Calibri"/>
          <w:color w:val="000000" w:themeColor="text1"/>
        </w:rPr>
      </w:pPr>
      <w:r w:rsidRPr="006F7C82">
        <w:rPr>
          <w:rFonts w:eastAsia="Calibri"/>
          <w:color w:val="000000" w:themeColor="text1"/>
        </w:rPr>
        <w:t xml:space="preserve">We agree with TURN that a </w:t>
      </w:r>
      <w:r w:rsidRPr="006F7C82" w:rsidR="380300BB">
        <w:rPr>
          <w:rFonts w:eastAsia="Calibri"/>
          <w:color w:val="000000" w:themeColor="text1"/>
        </w:rPr>
        <w:t xml:space="preserve">continued </w:t>
      </w:r>
      <w:r w:rsidRPr="006F7C82">
        <w:rPr>
          <w:rFonts w:eastAsia="Calibri"/>
          <w:color w:val="000000" w:themeColor="text1"/>
        </w:rPr>
        <w:t xml:space="preserve">discussion of </w:t>
      </w:r>
      <w:r w:rsidRPr="006F7C82" w:rsidR="78E0C2FC">
        <w:rPr>
          <w:rFonts w:eastAsia="Calibri"/>
          <w:color w:val="000000" w:themeColor="text1"/>
        </w:rPr>
        <w:t xml:space="preserve">eligibility, </w:t>
      </w:r>
      <w:r w:rsidRPr="006F7C82" w:rsidR="380300BB">
        <w:rPr>
          <w:rFonts w:eastAsia="Calibri"/>
          <w:color w:val="000000" w:themeColor="text1"/>
        </w:rPr>
        <w:t>verification</w:t>
      </w:r>
      <w:r w:rsidRPr="006F7C82" w:rsidR="78E0C2FC">
        <w:rPr>
          <w:rFonts w:eastAsia="Calibri"/>
          <w:color w:val="000000" w:themeColor="text1"/>
        </w:rPr>
        <w:t xml:space="preserve"> of eligibility, and tenant </w:t>
      </w:r>
      <w:r w:rsidRPr="006F7C82" w:rsidR="380300BB">
        <w:rPr>
          <w:rFonts w:eastAsia="Calibri"/>
          <w:color w:val="000000" w:themeColor="text1"/>
        </w:rPr>
        <w:t xml:space="preserve">protections for </w:t>
      </w:r>
      <w:r w:rsidR="00325D3F">
        <w:rPr>
          <w:rFonts w:eastAsia="Calibri"/>
          <w:color w:val="000000" w:themeColor="text1"/>
        </w:rPr>
        <w:t>these</w:t>
      </w:r>
      <w:r w:rsidRPr="006F7C82" w:rsidR="197CD3F3">
        <w:rPr>
          <w:rFonts w:eastAsia="Calibri"/>
          <w:color w:val="000000" w:themeColor="text1"/>
        </w:rPr>
        <w:t xml:space="preserve"> developments is warranted here.</w:t>
      </w:r>
      <w:r w:rsidRPr="006F7C82" w:rsidR="00F209CE">
        <w:rPr>
          <w:rFonts w:eastAsia="Calibri"/>
          <w:color w:val="000000" w:themeColor="text1"/>
        </w:rPr>
        <w:t xml:space="preserve"> </w:t>
      </w:r>
      <w:r w:rsidRPr="006F7C82" w:rsidR="197CD3F3">
        <w:rPr>
          <w:rFonts w:eastAsia="Calibri"/>
          <w:color w:val="000000" w:themeColor="text1"/>
        </w:rPr>
        <w:t xml:space="preserve">While comments showed </w:t>
      </w:r>
      <w:r w:rsidR="009B1485">
        <w:rPr>
          <w:rFonts w:eastAsia="Calibri"/>
          <w:color w:val="000000" w:themeColor="text1"/>
        </w:rPr>
        <w:t xml:space="preserve">some </w:t>
      </w:r>
      <w:r w:rsidRPr="006F7C82" w:rsidR="197CD3F3">
        <w:rPr>
          <w:rFonts w:eastAsia="Calibri"/>
          <w:color w:val="000000" w:themeColor="text1"/>
        </w:rPr>
        <w:t>consensus regarding income eligibility parameters, parties recommended various references for and means of validating income eligibility.</w:t>
      </w:r>
      <w:r w:rsidRPr="006F7C82" w:rsidR="00F209CE">
        <w:rPr>
          <w:rFonts w:eastAsia="Calibri"/>
          <w:color w:val="000000" w:themeColor="text1"/>
        </w:rPr>
        <w:t xml:space="preserve"> </w:t>
      </w:r>
      <w:r w:rsidRPr="006F7C82" w:rsidR="197CD3F3">
        <w:rPr>
          <w:rFonts w:eastAsia="Calibri"/>
          <w:color w:val="000000" w:themeColor="text1"/>
        </w:rPr>
        <w:t xml:space="preserve">The record does not contain enough information for the Commission to adopt adequate tenant protections </w:t>
      </w:r>
      <w:proofErr w:type="gramStart"/>
      <w:r w:rsidRPr="006F7C82" w:rsidR="197CD3F3">
        <w:rPr>
          <w:rFonts w:eastAsia="Calibri"/>
          <w:color w:val="000000" w:themeColor="text1"/>
        </w:rPr>
        <w:t>at this time</w:t>
      </w:r>
      <w:proofErr w:type="gramEnd"/>
      <w:r w:rsidRPr="006F7C82" w:rsidR="197CD3F3">
        <w:rPr>
          <w:rFonts w:eastAsia="Calibri"/>
          <w:color w:val="000000" w:themeColor="text1"/>
        </w:rPr>
        <w:t>.</w:t>
      </w:r>
      <w:r w:rsidRPr="006F7C82" w:rsidR="00F209CE">
        <w:rPr>
          <w:rFonts w:eastAsia="Calibri"/>
          <w:color w:val="000000" w:themeColor="text1"/>
        </w:rPr>
        <w:t xml:space="preserve"> </w:t>
      </w:r>
      <w:r w:rsidRPr="006F7C82" w:rsidR="197CD3F3">
        <w:rPr>
          <w:rFonts w:eastAsia="Calibri"/>
          <w:color w:val="000000" w:themeColor="text1"/>
        </w:rPr>
        <w:t>While we do not adopt provisions related to these items at this time, we reject the recommendation of CETF to limit Public Housing Account eligibility to publicly supported housing developments until all such housing developments are served.</w:t>
      </w:r>
      <w:r w:rsidRPr="006F7C82" w:rsidR="00F209CE">
        <w:rPr>
          <w:rFonts w:eastAsia="Calibri"/>
          <w:color w:val="000000" w:themeColor="text1"/>
        </w:rPr>
        <w:t xml:space="preserve"> </w:t>
      </w:r>
      <w:r w:rsidRPr="006F7C82" w:rsidR="197CD3F3">
        <w:rPr>
          <w:rFonts w:eastAsia="Calibri"/>
          <w:color w:val="000000" w:themeColor="text1"/>
        </w:rPr>
        <w:t>We agree with other commenters that SB 156 indicated a clear intention for the Commission to begin serving low-income Californians who are not living in publicly subsidized housing developments</w:t>
      </w:r>
      <w:r w:rsidR="006F0A4F">
        <w:rPr>
          <w:rFonts w:eastAsia="Calibri"/>
          <w:color w:val="000000" w:themeColor="text1"/>
        </w:rPr>
        <w:t xml:space="preserve"> or farmworker housing</w:t>
      </w:r>
      <w:r w:rsidRPr="006F7C82" w:rsidR="197CD3F3">
        <w:rPr>
          <w:rFonts w:eastAsia="Calibri"/>
          <w:color w:val="000000" w:themeColor="text1"/>
        </w:rPr>
        <w:t>, using P</w:t>
      </w:r>
      <w:r w:rsidRPr="006F7C82" w:rsidR="002902A5">
        <w:rPr>
          <w:rFonts w:eastAsia="Calibri"/>
          <w:color w:val="000000" w:themeColor="text1"/>
        </w:rPr>
        <w:t xml:space="preserve">ublic </w:t>
      </w:r>
      <w:r w:rsidRPr="006F7C82" w:rsidR="197CD3F3">
        <w:rPr>
          <w:rFonts w:eastAsia="Calibri"/>
          <w:color w:val="000000" w:themeColor="text1"/>
        </w:rPr>
        <w:t>H</w:t>
      </w:r>
      <w:r w:rsidRPr="006F7C82" w:rsidR="002902A5">
        <w:rPr>
          <w:rFonts w:eastAsia="Calibri"/>
          <w:color w:val="000000" w:themeColor="text1"/>
        </w:rPr>
        <w:t xml:space="preserve">ousing </w:t>
      </w:r>
      <w:r w:rsidRPr="006F7C82" w:rsidR="197CD3F3">
        <w:rPr>
          <w:rFonts w:eastAsia="Calibri"/>
          <w:color w:val="000000" w:themeColor="text1"/>
        </w:rPr>
        <w:t>A</w:t>
      </w:r>
      <w:r w:rsidRPr="006F7C82" w:rsidR="002902A5">
        <w:rPr>
          <w:rFonts w:eastAsia="Calibri"/>
          <w:color w:val="000000" w:themeColor="text1"/>
        </w:rPr>
        <w:t>ccount</w:t>
      </w:r>
      <w:r w:rsidRPr="006F7C82" w:rsidR="197CD3F3">
        <w:rPr>
          <w:rFonts w:eastAsia="Calibri"/>
          <w:color w:val="000000" w:themeColor="text1"/>
        </w:rPr>
        <w:t xml:space="preserve"> funds</w:t>
      </w:r>
      <w:r w:rsidRPr="006F7C82" w:rsidR="00824C67">
        <w:rPr>
          <w:rFonts w:eastAsia="Calibri"/>
          <w:color w:val="000000" w:themeColor="text1"/>
        </w:rPr>
        <w:t>,</w:t>
      </w:r>
      <w:r w:rsidRPr="006F7C82" w:rsidR="197CD3F3">
        <w:rPr>
          <w:rFonts w:eastAsia="Calibri"/>
          <w:color w:val="000000" w:themeColor="text1"/>
        </w:rPr>
        <w:t xml:space="preserve"> and that there is equal urgency to serve both groups.</w:t>
      </w:r>
      <w:r w:rsidR="00362000">
        <w:rPr>
          <w:rStyle w:val="FootnoteReference"/>
          <w:rFonts w:eastAsia="Calibri"/>
          <w:color w:val="000000" w:themeColor="text1"/>
        </w:rPr>
        <w:footnoteReference w:id="20"/>
      </w:r>
    </w:p>
    <w:p w:rsidRPr="00824790" w:rsidR="7EEC3B82" w:rsidP="00C26A12" w:rsidRDefault="197CD3F3" w14:paraId="3DC93D38" w14:textId="6B53BF22">
      <w:pPr>
        <w:pStyle w:val="Standard"/>
        <w:rPr>
          <w:rFonts w:eastAsia="Calibri"/>
          <w:color w:val="000000" w:themeColor="text1"/>
          <w:highlight w:val="yellow"/>
        </w:rPr>
      </w:pPr>
      <w:r w:rsidRPr="006F7C82">
        <w:rPr>
          <w:rFonts w:eastAsia="Book Antiqua" w:cs="Book Antiqua"/>
          <w:color w:val="000000" w:themeColor="text1"/>
        </w:rPr>
        <w:t>Therefore, while we adopt eligibility rules here for publicly supported housing developments</w:t>
      </w:r>
      <w:r w:rsidR="006F0A4F">
        <w:rPr>
          <w:rFonts w:eastAsia="Book Antiqua" w:cs="Book Antiqua"/>
          <w:color w:val="000000" w:themeColor="text1"/>
        </w:rPr>
        <w:t xml:space="preserve"> and</w:t>
      </w:r>
      <w:r w:rsidR="00030B33">
        <w:rPr>
          <w:rFonts w:eastAsia="Book Antiqua" w:cs="Book Antiqua"/>
          <w:color w:val="000000" w:themeColor="text1"/>
        </w:rPr>
        <w:t xml:space="preserve"> farmworker housing, </w:t>
      </w:r>
      <w:r w:rsidRPr="006F7C82" w:rsidR="00271DF9">
        <w:rPr>
          <w:rFonts w:eastAsia="Calibri"/>
          <w:color w:val="000000" w:themeColor="text1"/>
        </w:rPr>
        <w:t>Communications Division</w:t>
      </w:r>
      <w:r w:rsidRPr="006F7C82">
        <w:rPr>
          <w:rFonts w:eastAsia="Calibri"/>
          <w:color w:val="000000" w:themeColor="text1"/>
        </w:rPr>
        <w:t xml:space="preserve"> staff</w:t>
      </w:r>
      <w:r w:rsidR="00EF41F5">
        <w:rPr>
          <w:rFonts w:eastAsia="Calibri"/>
          <w:color w:val="000000" w:themeColor="text1"/>
        </w:rPr>
        <w:t xml:space="preserve"> may</w:t>
      </w:r>
      <w:r w:rsidRPr="006F7C82">
        <w:rPr>
          <w:rFonts w:eastAsia="Calibri"/>
          <w:color w:val="000000" w:themeColor="text1"/>
        </w:rPr>
        <w:t xml:space="preserve"> coordinate with ESA staff and </w:t>
      </w:r>
      <w:r w:rsidR="009B1485">
        <w:rPr>
          <w:rFonts w:eastAsia="Calibri"/>
          <w:color w:val="000000" w:themeColor="text1"/>
        </w:rPr>
        <w:t xml:space="preserve">shall </w:t>
      </w:r>
      <w:r w:rsidRPr="006F7C82">
        <w:rPr>
          <w:rFonts w:eastAsia="Calibri"/>
          <w:color w:val="000000" w:themeColor="text1"/>
        </w:rPr>
        <w:t xml:space="preserve">produce a staff proposal proposing rules for eligibility, verification of eligibility, and protections for tenants of other housing developments and </w:t>
      </w:r>
      <w:r w:rsidRPr="006F7C82" w:rsidR="00BF5C33">
        <w:rPr>
          <w:rFonts w:eastAsia="Calibri"/>
          <w:color w:val="000000" w:themeColor="text1"/>
        </w:rPr>
        <w:t>mobile home</w:t>
      </w:r>
      <w:r w:rsidRPr="006F7C82">
        <w:rPr>
          <w:rFonts w:eastAsia="Calibri"/>
          <w:color w:val="000000" w:themeColor="text1"/>
        </w:rPr>
        <w:t xml:space="preserve"> parks.</w:t>
      </w:r>
      <w:r w:rsidRPr="006F7C82" w:rsidR="00F209CE">
        <w:rPr>
          <w:rFonts w:eastAsia="Calibri"/>
          <w:color w:val="000000" w:themeColor="text1"/>
        </w:rPr>
        <w:t xml:space="preserve"> </w:t>
      </w:r>
      <w:r w:rsidRPr="006F7C82">
        <w:rPr>
          <w:rFonts w:eastAsia="Calibri"/>
          <w:color w:val="000000" w:themeColor="text1"/>
        </w:rPr>
        <w:t xml:space="preserve">This proposal should reflect the comments submitted </w:t>
      </w:r>
      <w:r w:rsidRPr="006F7C82" w:rsidR="00EF6F32">
        <w:rPr>
          <w:rFonts w:eastAsia="Calibri"/>
          <w:color w:val="000000" w:themeColor="text1"/>
        </w:rPr>
        <w:t>in</w:t>
      </w:r>
      <w:r w:rsidRPr="006F7C82">
        <w:rPr>
          <w:rFonts w:eastAsia="Calibri"/>
          <w:color w:val="000000" w:themeColor="text1"/>
        </w:rPr>
        <w:t xml:space="preserve"> th</w:t>
      </w:r>
      <w:r w:rsidRPr="006F7C82" w:rsidR="00EF6F32">
        <w:rPr>
          <w:rFonts w:eastAsia="Calibri"/>
          <w:color w:val="000000" w:themeColor="text1"/>
        </w:rPr>
        <w:t>e</w:t>
      </w:r>
      <w:r w:rsidRPr="006F7C82">
        <w:rPr>
          <w:rFonts w:eastAsia="Calibri"/>
          <w:color w:val="000000" w:themeColor="text1"/>
        </w:rPr>
        <w:t xml:space="preserve"> record</w:t>
      </w:r>
      <w:r w:rsidRPr="006F7C82" w:rsidR="00EF6F32">
        <w:rPr>
          <w:rFonts w:eastAsia="Calibri"/>
          <w:color w:val="000000" w:themeColor="text1"/>
        </w:rPr>
        <w:t xml:space="preserve"> of this proceeding</w:t>
      </w:r>
      <w:r w:rsidRPr="006F7C82">
        <w:rPr>
          <w:rFonts w:eastAsia="Calibri"/>
          <w:color w:val="000000" w:themeColor="text1"/>
        </w:rPr>
        <w:t xml:space="preserve"> and will be available for </w:t>
      </w:r>
      <w:r w:rsidRPr="006F7C82">
        <w:rPr>
          <w:rFonts w:eastAsia="Calibri"/>
          <w:color w:val="000000" w:themeColor="text1"/>
        </w:rPr>
        <w:lastRenderedPageBreak/>
        <w:t>comment before being voted on by the Commission.</w:t>
      </w:r>
      <w:r w:rsidRPr="006F7C82" w:rsidR="00F209CE">
        <w:rPr>
          <w:rFonts w:eastAsia="Calibri"/>
          <w:color w:val="000000" w:themeColor="text1"/>
        </w:rPr>
        <w:t xml:space="preserve"> </w:t>
      </w:r>
      <w:r w:rsidR="000671A1">
        <w:rPr>
          <w:rFonts w:eastAsia="Calibri"/>
          <w:color w:val="000000" w:themeColor="text1"/>
        </w:rPr>
        <w:t xml:space="preserve">The </w:t>
      </w:r>
      <w:r w:rsidRPr="006F7C82">
        <w:rPr>
          <w:rFonts w:eastAsia="Calibri"/>
          <w:color w:val="000000" w:themeColor="text1"/>
        </w:rPr>
        <w:t>Staff’s proposal should include proposed definitions for “low-income,” “other housing development,” and “mobile</w:t>
      </w:r>
      <w:r w:rsidR="00BF5C33">
        <w:rPr>
          <w:rFonts w:eastAsia="Calibri"/>
          <w:color w:val="000000" w:themeColor="text1"/>
        </w:rPr>
        <w:t xml:space="preserve"> </w:t>
      </w:r>
      <w:r w:rsidRPr="006F7C82">
        <w:rPr>
          <w:rFonts w:eastAsia="Calibri"/>
          <w:color w:val="000000" w:themeColor="text1"/>
        </w:rPr>
        <w:t xml:space="preserve">home park” that have considered </w:t>
      </w:r>
      <w:r w:rsidR="009B1485">
        <w:rPr>
          <w:rFonts w:eastAsia="Calibri"/>
          <w:color w:val="000000" w:themeColor="text1"/>
        </w:rPr>
        <w:t>any</w:t>
      </w:r>
      <w:r w:rsidRPr="006F7C82">
        <w:rPr>
          <w:rFonts w:eastAsia="Calibri"/>
          <w:color w:val="000000" w:themeColor="text1"/>
        </w:rPr>
        <w:t xml:space="preserve"> coordination with ESA staff as well as the comments submitted in response to the Second Amended Scoping Memo for those items.</w:t>
      </w:r>
      <w:r w:rsidRPr="006F7C82" w:rsidR="00F209CE">
        <w:rPr>
          <w:rFonts w:eastAsia="Calibri"/>
          <w:color w:val="000000" w:themeColor="text1"/>
        </w:rPr>
        <w:t xml:space="preserve"> </w:t>
      </w:r>
      <w:r w:rsidRPr="006F7C82">
        <w:rPr>
          <w:rFonts w:eastAsia="Calibri"/>
          <w:color w:val="000000" w:themeColor="text1"/>
        </w:rPr>
        <w:t xml:space="preserve">The Commission declines to adopt definitions for those terms </w:t>
      </w:r>
      <w:proofErr w:type="gramStart"/>
      <w:r w:rsidRPr="006F7C82">
        <w:rPr>
          <w:rFonts w:eastAsia="Calibri"/>
          <w:color w:val="000000" w:themeColor="text1"/>
        </w:rPr>
        <w:t>at this time</w:t>
      </w:r>
      <w:proofErr w:type="gramEnd"/>
      <w:r w:rsidRPr="006F7C82">
        <w:rPr>
          <w:rFonts w:eastAsia="Calibri"/>
          <w:color w:val="000000" w:themeColor="text1"/>
        </w:rPr>
        <w:t>.</w:t>
      </w:r>
      <w:r w:rsidRPr="006F7C82" w:rsidR="00F209CE">
        <w:rPr>
          <w:rFonts w:eastAsia="Calibri"/>
          <w:color w:val="000000" w:themeColor="text1"/>
        </w:rPr>
        <w:t xml:space="preserve"> </w:t>
      </w:r>
      <w:r w:rsidR="00BF5C33">
        <w:rPr>
          <w:rFonts w:eastAsia="Calibri"/>
          <w:color w:val="000000" w:themeColor="text1"/>
        </w:rPr>
        <w:t xml:space="preserve">The assigned </w:t>
      </w:r>
      <w:r w:rsidR="000671A1">
        <w:rPr>
          <w:rFonts w:eastAsia="Calibri"/>
          <w:color w:val="000000" w:themeColor="text1"/>
        </w:rPr>
        <w:t>C</w:t>
      </w:r>
      <w:r w:rsidR="00BF5C33">
        <w:rPr>
          <w:rFonts w:eastAsia="Calibri"/>
          <w:color w:val="000000" w:themeColor="text1"/>
        </w:rPr>
        <w:t xml:space="preserve">ommissioner may schedule a </w:t>
      </w:r>
      <w:r w:rsidR="00E45108">
        <w:rPr>
          <w:rFonts w:eastAsia="Calibri"/>
          <w:color w:val="000000" w:themeColor="text1"/>
        </w:rPr>
        <w:t>hearing</w:t>
      </w:r>
      <w:r w:rsidR="00BF5C33">
        <w:rPr>
          <w:rFonts w:eastAsia="Calibri"/>
          <w:color w:val="000000" w:themeColor="text1"/>
        </w:rPr>
        <w:t xml:space="preserve"> or other public meeting to receive additional feedback after review of comments on the proposal and prior to issuing a proposed decision adopting final definitions for “low-income</w:t>
      </w:r>
      <w:r w:rsidR="00CC2328">
        <w:rPr>
          <w:rFonts w:eastAsia="Calibri"/>
          <w:color w:val="000000" w:themeColor="text1"/>
        </w:rPr>
        <w:t>,</w:t>
      </w:r>
      <w:r w:rsidR="00BF5C33">
        <w:rPr>
          <w:rFonts w:eastAsia="Calibri"/>
          <w:color w:val="000000" w:themeColor="text1"/>
        </w:rPr>
        <w:t xml:space="preserve">” “other housing development,” and “mobile home </w:t>
      </w:r>
      <w:r w:rsidRPr="00806ADE" w:rsidR="00BF5C33">
        <w:rPr>
          <w:rFonts w:eastAsia="Calibri"/>
          <w:color w:val="000000" w:themeColor="text1"/>
        </w:rPr>
        <w:t>park</w:t>
      </w:r>
      <w:r w:rsidRPr="00806ADE" w:rsidR="001327F8">
        <w:rPr>
          <w:rFonts w:eastAsia="Calibri"/>
          <w:color w:val="000000" w:themeColor="text1"/>
        </w:rPr>
        <w:t>.</w:t>
      </w:r>
      <w:r w:rsidRPr="00806ADE" w:rsidR="00BF5C33">
        <w:rPr>
          <w:rFonts w:eastAsia="Calibri"/>
          <w:color w:val="000000" w:themeColor="text1"/>
        </w:rPr>
        <w:t>”</w:t>
      </w:r>
    </w:p>
    <w:p w:rsidRPr="004C2B66" w:rsidR="1D3396C2" w:rsidP="00824790" w:rsidRDefault="7FDAA6EC" w14:paraId="3C39C070" w14:textId="1224D784">
      <w:pPr>
        <w:pStyle w:val="Standard"/>
        <w:numPr>
          <w:ilvl w:val="0"/>
          <w:numId w:val="5"/>
        </w:numPr>
        <w:spacing w:after="120" w:line="240" w:lineRule="auto"/>
        <w:ind w:left="1080" w:right="1440"/>
        <w:rPr>
          <w:rFonts w:asciiTheme="minorHAnsi" w:hAnsiTheme="minorHAnsi" w:eastAsiaTheme="minorEastAsia"/>
          <w:i/>
          <w:iCs/>
          <w:color w:val="000000" w:themeColor="text1"/>
          <w:szCs w:val="26"/>
        </w:rPr>
      </w:pPr>
      <w:r w:rsidRPr="00806ADE">
        <w:rPr>
          <w:rFonts w:eastAsia="Calibri"/>
          <w:i/>
          <w:iCs/>
          <w:color w:val="000000" w:themeColor="text1"/>
        </w:rPr>
        <w:t xml:space="preserve">Is it reasonable to require communities to demonstrate that </w:t>
      </w:r>
      <w:proofErr w:type="gramStart"/>
      <w:r w:rsidRPr="00806ADE">
        <w:rPr>
          <w:rFonts w:eastAsia="Calibri"/>
          <w:i/>
          <w:iCs/>
          <w:color w:val="000000" w:themeColor="text1"/>
        </w:rPr>
        <w:t>a</w:t>
      </w:r>
      <w:r w:rsidRPr="004C2B66">
        <w:rPr>
          <w:rFonts w:eastAsia="Calibri"/>
          <w:i/>
          <w:iCs/>
          <w:color w:val="000000" w:themeColor="text1"/>
        </w:rPr>
        <w:t xml:space="preserve"> majority of</w:t>
      </w:r>
      <w:proofErr w:type="gramEnd"/>
      <w:r w:rsidRPr="004C2B66">
        <w:rPr>
          <w:rFonts w:eastAsia="Calibri"/>
          <w:i/>
          <w:iCs/>
          <w:color w:val="000000" w:themeColor="text1"/>
        </w:rPr>
        <w:t xml:space="preserve"> residents’ incomes are equal to or less the income thresholds used for the CARE program, (i.e., equal to or less than 200 percent of the federal poverty guidelines) to establish that the community is low-income?</w:t>
      </w:r>
      <w:r w:rsidRPr="004C2B66" w:rsidR="00F209CE">
        <w:rPr>
          <w:rFonts w:eastAsia="Calibri"/>
          <w:i/>
          <w:iCs/>
          <w:color w:val="000000" w:themeColor="text1"/>
        </w:rPr>
        <w:t xml:space="preserve"> </w:t>
      </w:r>
      <w:r w:rsidRPr="004C2B66">
        <w:rPr>
          <w:rFonts w:eastAsia="Calibri"/>
          <w:i/>
          <w:iCs/>
          <w:color w:val="000000" w:themeColor="text1"/>
        </w:rPr>
        <w:t>Is there another method the Commission should consider establishing to determine that an applicant is or represents a low-income community?</w:t>
      </w:r>
      <w:r w:rsidRPr="004C2B66" w:rsidR="00F209CE">
        <w:rPr>
          <w:rFonts w:eastAsia="Calibri"/>
          <w:i/>
          <w:iCs/>
          <w:color w:val="000000" w:themeColor="text1"/>
        </w:rPr>
        <w:t xml:space="preserve"> </w:t>
      </w:r>
      <w:r w:rsidRPr="004C2B66">
        <w:rPr>
          <w:rFonts w:eastAsia="Calibri"/>
          <w:i/>
          <w:iCs/>
          <w:color w:val="000000" w:themeColor="text1"/>
        </w:rPr>
        <w:t>How can the Commission verify income eligibility?</w:t>
      </w:r>
    </w:p>
    <w:p w:rsidRPr="006F7C82" w:rsidR="00780045" w:rsidP="2CFC8ECE" w:rsidRDefault="0081025D" w14:paraId="08378E10" w14:textId="6CF61616">
      <w:pPr>
        <w:pStyle w:val="Standard"/>
        <w:rPr>
          <w:rFonts w:eastAsia="Calibri"/>
          <w:color w:val="000000" w:themeColor="text1"/>
        </w:rPr>
      </w:pPr>
      <w:r w:rsidRPr="006F7C82">
        <w:rPr>
          <w:rFonts w:eastAsia="Calibri"/>
          <w:color w:val="000000" w:themeColor="text1"/>
        </w:rPr>
        <w:t xml:space="preserve">Most parties addressing this question do not support requiring communities to provide such demonstration, </w:t>
      </w:r>
      <w:r w:rsidRPr="006F7C82" w:rsidR="00A87F86">
        <w:rPr>
          <w:rFonts w:eastAsia="Calibri"/>
          <w:color w:val="000000" w:themeColor="text1"/>
        </w:rPr>
        <w:t>which they assert imposes costly, time</w:t>
      </w:r>
      <w:r w:rsidRPr="006F7C82" w:rsidR="00BF759F">
        <w:rPr>
          <w:rFonts w:eastAsia="Calibri"/>
          <w:color w:val="000000" w:themeColor="text1"/>
        </w:rPr>
        <w:t xml:space="preserve">-intensive, </w:t>
      </w:r>
      <w:r w:rsidRPr="006F7C82" w:rsidR="00922EEE">
        <w:rPr>
          <w:rFonts w:eastAsia="Calibri"/>
          <w:color w:val="000000" w:themeColor="text1"/>
        </w:rPr>
        <w:t xml:space="preserve">and intrusive </w:t>
      </w:r>
      <w:r w:rsidRPr="006F7C82" w:rsidR="00AA3901">
        <w:rPr>
          <w:rFonts w:eastAsia="Calibri"/>
          <w:color w:val="000000" w:themeColor="text1"/>
        </w:rPr>
        <w:t>canvassing of</w:t>
      </w:r>
      <w:r w:rsidRPr="006F7C82" w:rsidR="008E06C5">
        <w:rPr>
          <w:rFonts w:eastAsia="Calibri"/>
          <w:color w:val="000000" w:themeColor="text1"/>
        </w:rPr>
        <w:t xml:space="preserve"> residents / community members. </w:t>
      </w:r>
      <w:r w:rsidRPr="006F7C82" w:rsidR="00946870">
        <w:rPr>
          <w:rFonts w:eastAsia="Calibri"/>
          <w:color w:val="000000" w:themeColor="text1"/>
        </w:rPr>
        <w:t>A</w:t>
      </w:r>
      <w:r w:rsidRPr="006F7C82" w:rsidR="000F28B2">
        <w:rPr>
          <w:rFonts w:eastAsia="Calibri"/>
          <w:color w:val="000000" w:themeColor="text1"/>
        </w:rPr>
        <w:t xml:space="preserve"> simpler alternative</w:t>
      </w:r>
      <w:r w:rsidRPr="006F7C82" w:rsidR="003F2277">
        <w:rPr>
          <w:rFonts w:eastAsia="Calibri"/>
          <w:color w:val="000000" w:themeColor="text1"/>
        </w:rPr>
        <w:t xml:space="preserve">, these parties assert, would be to </w:t>
      </w:r>
      <w:r w:rsidRPr="006F7C82" w:rsidR="009D478E">
        <w:rPr>
          <w:rFonts w:eastAsia="Calibri"/>
          <w:color w:val="000000" w:themeColor="text1"/>
        </w:rPr>
        <w:t xml:space="preserve">require documentation that the census tract or block the project is serving meets the threshold through American Community </w:t>
      </w:r>
      <w:r w:rsidRPr="006F7C82" w:rsidR="004B04FF">
        <w:rPr>
          <w:rFonts w:eastAsia="Calibri"/>
          <w:color w:val="000000" w:themeColor="text1"/>
        </w:rPr>
        <w:t>Survey or other verified data sources.</w:t>
      </w:r>
      <w:r w:rsidRPr="006F7C82" w:rsidR="00A6324A">
        <w:rPr>
          <w:rStyle w:val="FootnoteReference"/>
          <w:rFonts w:eastAsia="Calibri"/>
          <w:color w:val="000000" w:themeColor="text1"/>
        </w:rPr>
        <w:footnoteReference w:id="21"/>
      </w:r>
    </w:p>
    <w:p w:rsidRPr="006F7C82" w:rsidR="008C349A" w:rsidP="7FDAA6EC" w:rsidRDefault="00D643C9" w14:paraId="4AD1BBA8" w14:textId="27AC8601">
      <w:pPr>
        <w:pStyle w:val="Standard"/>
        <w:rPr>
          <w:rFonts w:eastAsia="Calibri"/>
          <w:color w:val="000000" w:themeColor="text1"/>
          <w:szCs w:val="26"/>
        </w:rPr>
      </w:pPr>
      <w:r w:rsidRPr="006F7C82">
        <w:rPr>
          <w:rFonts w:eastAsia="Calibri"/>
          <w:color w:val="000000" w:themeColor="text1"/>
        </w:rPr>
        <w:t xml:space="preserve">CETF notes that California State University </w:t>
      </w:r>
      <w:r w:rsidRPr="006F7C82" w:rsidR="00B1662B">
        <w:rPr>
          <w:rFonts w:eastAsia="Calibri"/>
          <w:color w:val="000000" w:themeColor="text1"/>
        </w:rPr>
        <w:t xml:space="preserve">(CSU) Chico </w:t>
      </w:r>
      <w:r w:rsidRPr="006F7C82" w:rsidR="008C3EE3">
        <w:rPr>
          <w:rFonts w:eastAsia="Calibri"/>
          <w:color w:val="000000" w:themeColor="text1"/>
        </w:rPr>
        <w:t>has in the past</w:t>
      </w:r>
      <w:r w:rsidRPr="006F7C82" w:rsidR="0041335A">
        <w:rPr>
          <w:rFonts w:eastAsia="Calibri"/>
          <w:color w:val="000000" w:themeColor="text1"/>
        </w:rPr>
        <w:t xml:space="preserve"> produced</w:t>
      </w:r>
      <w:r w:rsidRPr="006F7C82" w:rsidR="008C3EE3">
        <w:rPr>
          <w:rFonts w:eastAsia="Calibri"/>
          <w:color w:val="000000" w:themeColor="text1"/>
        </w:rPr>
        <w:t xml:space="preserve">, and </w:t>
      </w:r>
      <w:r w:rsidRPr="006F7C82" w:rsidR="0041335A">
        <w:rPr>
          <w:rFonts w:eastAsia="Calibri"/>
          <w:color w:val="000000" w:themeColor="text1"/>
        </w:rPr>
        <w:t>maintains the ability</w:t>
      </w:r>
      <w:r w:rsidRPr="006F7C82" w:rsidR="005F63C5">
        <w:rPr>
          <w:rFonts w:eastAsia="Calibri"/>
          <w:color w:val="000000" w:themeColor="text1"/>
        </w:rPr>
        <w:t xml:space="preserve"> to</w:t>
      </w:r>
      <w:r w:rsidRPr="006F7C82" w:rsidR="0041335A">
        <w:rPr>
          <w:rFonts w:eastAsia="Calibri"/>
          <w:color w:val="000000" w:themeColor="text1"/>
        </w:rPr>
        <w:t xml:space="preserve"> produce</w:t>
      </w:r>
      <w:r w:rsidRPr="006F7C82" w:rsidR="005F63C5">
        <w:rPr>
          <w:rFonts w:eastAsia="Calibri"/>
          <w:color w:val="000000" w:themeColor="text1"/>
        </w:rPr>
        <w:t xml:space="preserve">, a list of </w:t>
      </w:r>
      <w:r w:rsidRPr="006F7C82" w:rsidR="00CE78C6">
        <w:rPr>
          <w:rFonts w:eastAsia="Calibri"/>
          <w:color w:val="000000" w:themeColor="text1"/>
        </w:rPr>
        <w:t xml:space="preserve">census tracts </w:t>
      </w:r>
      <w:r w:rsidRPr="006F7C82" w:rsidR="00F1734F">
        <w:rPr>
          <w:rFonts w:eastAsia="Calibri"/>
          <w:color w:val="000000" w:themeColor="text1"/>
        </w:rPr>
        <w:t>with 50</w:t>
      </w:r>
      <w:r w:rsidR="00F4291F">
        <w:rPr>
          <w:rFonts w:eastAsia="Calibri"/>
          <w:color w:val="000000" w:themeColor="text1"/>
        </w:rPr>
        <w:t> </w:t>
      </w:r>
      <w:r w:rsidRPr="006F7C82" w:rsidR="00F1734F">
        <w:rPr>
          <w:rFonts w:eastAsia="Calibri"/>
          <w:color w:val="000000" w:themeColor="text1"/>
        </w:rPr>
        <w:t>percent or more poverty</w:t>
      </w:r>
      <w:r w:rsidRPr="006F7C82" w:rsidR="00A63317">
        <w:rPr>
          <w:rFonts w:eastAsia="Calibri"/>
          <w:color w:val="000000" w:themeColor="text1"/>
        </w:rPr>
        <w:t xml:space="preserve"> (or any other threshold).</w:t>
      </w:r>
      <w:r w:rsidRPr="006F7C82" w:rsidR="009A6FCD">
        <w:rPr>
          <w:rStyle w:val="FootnoteReference"/>
          <w:rFonts w:eastAsia="Calibri"/>
          <w:color w:val="000000" w:themeColor="text1"/>
        </w:rPr>
        <w:footnoteReference w:id="22"/>
      </w:r>
      <w:r w:rsidRPr="006F7C82" w:rsidR="00A63317">
        <w:rPr>
          <w:rFonts w:eastAsia="Calibri"/>
          <w:color w:val="000000" w:themeColor="text1"/>
        </w:rPr>
        <w:t xml:space="preserve"> </w:t>
      </w:r>
      <w:r w:rsidRPr="006F7C82" w:rsidR="00175364">
        <w:rPr>
          <w:rFonts w:eastAsia="Calibri"/>
          <w:color w:val="000000" w:themeColor="text1"/>
        </w:rPr>
        <w:t xml:space="preserve">CETF maintains that the </w:t>
      </w:r>
      <w:r w:rsidRPr="006F7C82" w:rsidR="00175364">
        <w:rPr>
          <w:rFonts w:eastAsia="Calibri"/>
          <w:color w:val="000000" w:themeColor="text1"/>
        </w:rPr>
        <w:lastRenderedPageBreak/>
        <w:t>Commission should</w:t>
      </w:r>
      <w:r w:rsidRPr="006F7C82" w:rsidR="00A137B9">
        <w:rPr>
          <w:rFonts w:eastAsia="Calibri"/>
          <w:color w:val="000000" w:themeColor="text1"/>
        </w:rPr>
        <w:t xml:space="preserve"> prioritize </w:t>
      </w:r>
      <w:r w:rsidRPr="006F7C82" w:rsidR="00160125">
        <w:rPr>
          <w:rFonts w:eastAsia="Calibri"/>
          <w:color w:val="000000" w:themeColor="text1"/>
        </w:rPr>
        <w:t>Pub</w:t>
      </w:r>
      <w:r w:rsidRPr="006F7C82" w:rsidR="00F5594F">
        <w:rPr>
          <w:rFonts w:eastAsia="Calibri"/>
          <w:color w:val="000000" w:themeColor="text1"/>
        </w:rPr>
        <w:t>l</w:t>
      </w:r>
      <w:r w:rsidRPr="006F7C82" w:rsidR="00160125">
        <w:rPr>
          <w:rFonts w:eastAsia="Calibri"/>
          <w:color w:val="000000" w:themeColor="text1"/>
        </w:rPr>
        <w:t xml:space="preserve">ic Housing Account funds for </w:t>
      </w:r>
      <w:r w:rsidRPr="006F7C82" w:rsidR="001E316E">
        <w:rPr>
          <w:rFonts w:eastAsia="Calibri"/>
          <w:color w:val="000000" w:themeColor="text1"/>
        </w:rPr>
        <w:t>those living in publicly-subsidized</w:t>
      </w:r>
      <w:r w:rsidRPr="006F7C82" w:rsidR="000B2191">
        <w:rPr>
          <w:rFonts w:eastAsia="Calibri"/>
          <w:color w:val="000000" w:themeColor="text1"/>
        </w:rPr>
        <w:t xml:space="preserve"> housing</w:t>
      </w:r>
      <w:r w:rsidRPr="006F7C82" w:rsidR="00B257FA">
        <w:rPr>
          <w:rFonts w:eastAsia="Calibri"/>
          <w:color w:val="000000" w:themeColor="text1"/>
        </w:rPr>
        <w:t xml:space="preserve">, </w:t>
      </w:r>
      <w:r w:rsidRPr="006F7C82" w:rsidR="00CB4E69">
        <w:rPr>
          <w:rFonts w:eastAsia="Calibri"/>
          <w:color w:val="000000" w:themeColor="text1"/>
        </w:rPr>
        <w:t xml:space="preserve">and </w:t>
      </w:r>
      <w:r w:rsidRPr="006F7C82" w:rsidR="00612F4D">
        <w:rPr>
          <w:rFonts w:eastAsia="Calibri"/>
          <w:color w:val="000000" w:themeColor="text1"/>
        </w:rPr>
        <w:t xml:space="preserve">to prioritize </w:t>
      </w:r>
      <w:r w:rsidRPr="006F7C82" w:rsidR="00A040B1">
        <w:rPr>
          <w:rFonts w:eastAsia="Calibri"/>
          <w:color w:val="000000" w:themeColor="text1"/>
        </w:rPr>
        <w:t xml:space="preserve">high-poverty unserved areas </w:t>
      </w:r>
      <w:r w:rsidRPr="006F7C82" w:rsidR="00E8398D">
        <w:rPr>
          <w:rFonts w:eastAsia="Calibri"/>
          <w:color w:val="000000" w:themeColor="text1"/>
        </w:rPr>
        <w:t xml:space="preserve">for funding through the Federal Funding </w:t>
      </w:r>
      <w:r w:rsidRPr="006F7C82" w:rsidR="00CA4F3B">
        <w:rPr>
          <w:rFonts w:eastAsia="Calibri"/>
          <w:color w:val="000000" w:themeColor="text1"/>
        </w:rPr>
        <w:t>Account and the Broadband Infrastructure Grant Account</w:t>
      </w:r>
      <w:r w:rsidRPr="006F7C82" w:rsidR="00BA16CF">
        <w:rPr>
          <w:rFonts w:eastAsia="Calibri"/>
          <w:color w:val="000000" w:themeColor="text1"/>
        </w:rPr>
        <w:t>.</w:t>
      </w:r>
      <w:r w:rsidRPr="006F7C82" w:rsidR="0090554D">
        <w:rPr>
          <w:rStyle w:val="FootnoteReference"/>
          <w:rFonts w:eastAsia="Calibri"/>
          <w:color w:val="000000" w:themeColor="text1"/>
        </w:rPr>
        <w:footnoteReference w:id="23"/>
      </w:r>
      <w:r w:rsidRPr="006F7C82" w:rsidR="00505B60">
        <w:rPr>
          <w:rFonts w:eastAsia="Calibri"/>
          <w:color w:val="000000" w:themeColor="text1"/>
        </w:rPr>
        <w:t xml:space="preserve"> Barring adoption of that recommendation, CETF supports </w:t>
      </w:r>
      <w:r w:rsidRPr="006F7C82" w:rsidR="00F54CD2">
        <w:rPr>
          <w:rFonts w:eastAsia="Calibri"/>
          <w:color w:val="000000" w:themeColor="text1"/>
        </w:rPr>
        <w:t>requiring applicants to demonstrate eligibility of at least 80 percent of all residents who will benefit from the project.</w:t>
      </w:r>
      <w:r w:rsidRPr="006F7C82" w:rsidR="00A87FF2">
        <w:rPr>
          <w:rStyle w:val="FootnoteReference"/>
          <w:rFonts w:eastAsia="Calibri"/>
          <w:color w:val="000000" w:themeColor="text1"/>
        </w:rPr>
        <w:footnoteReference w:id="24"/>
      </w:r>
      <w:r w:rsidRPr="006F7C82" w:rsidR="00BA16CF">
        <w:rPr>
          <w:rFonts w:eastAsia="Calibri"/>
          <w:color w:val="000000" w:themeColor="text1"/>
        </w:rPr>
        <w:t xml:space="preserve"> </w:t>
      </w:r>
      <w:r w:rsidRPr="006F7C82" w:rsidR="723B1586">
        <w:rPr>
          <w:rFonts w:eastAsia="Calibri"/>
          <w:color w:val="000000" w:themeColor="text1"/>
        </w:rPr>
        <w:t xml:space="preserve">For the reasons discussed above, we decline here to adopt rules for verifying </w:t>
      </w:r>
      <w:r w:rsidRPr="006F7C82" w:rsidR="7363C286">
        <w:rPr>
          <w:rFonts w:eastAsia="Calibri"/>
          <w:color w:val="000000" w:themeColor="text1"/>
        </w:rPr>
        <w:t xml:space="preserve">that </w:t>
      </w:r>
      <w:r w:rsidRPr="006F7C82" w:rsidR="0F6216B0">
        <w:rPr>
          <w:rFonts w:eastAsia="Calibri"/>
          <w:color w:val="000000" w:themeColor="text1"/>
        </w:rPr>
        <w:t>a</w:t>
      </w:r>
      <w:r w:rsidRPr="006F7C82" w:rsidR="7363C286">
        <w:rPr>
          <w:rFonts w:eastAsia="Calibri"/>
          <w:color w:val="000000" w:themeColor="text1"/>
        </w:rPr>
        <w:t xml:space="preserve"> project </w:t>
      </w:r>
      <w:r w:rsidRPr="006F7C82" w:rsidR="0F6216B0">
        <w:rPr>
          <w:rFonts w:eastAsia="Calibri"/>
          <w:color w:val="000000" w:themeColor="text1"/>
        </w:rPr>
        <w:t>application</w:t>
      </w:r>
      <w:r w:rsidRPr="006F7C82" w:rsidR="65BFA8FD">
        <w:rPr>
          <w:rFonts w:eastAsia="Calibri"/>
          <w:color w:val="000000" w:themeColor="text1"/>
        </w:rPr>
        <w:t xml:space="preserve"> satisfies income requirements.</w:t>
      </w:r>
      <w:r w:rsidRPr="006F7C82" w:rsidR="00F209CE">
        <w:rPr>
          <w:rFonts w:eastAsia="Calibri"/>
          <w:color w:val="000000" w:themeColor="text1"/>
        </w:rPr>
        <w:t xml:space="preserve"> </w:t>
      </w:r>
      <w:r w:rsidRPr="006F7C82" w:rsidR="38D22A0B">
        <w:rPr>
          <w:rFonts w:eastAsia="Calibri"/>
          <w:color w:val="000000" w:themeColor="text1"/>
        </w:rPr>
        <w:t>Parties</w:t>
      </w:r>
      <w:r w:rsidRPr="006F7C82" w:rsidR="4AFC9E6C">
        <w:rPr>
          <w:rFonts w:eastAsia="Calibri"/>
          <w:color w:val="000000" w:themeColor="text1"/>
        </w:rPr>
        <w:t xml:space="preserve"> have put forward </w:t>
      </w:r>
      <w:proofErr w:type="gramStart"/>
      <w:r w:rsidRPr="006F7C82" w:rsidR="4AFC9E6C">
        <w:rPr>
          <w:rFonts w:eastAsia="Calibri"/>
          <w:color w:val="000000" w:themeColor="text1"/>
        </w:rPr>
        <w:t>a number of</w:t>
      </w:r>
      <w:proofErr w:type="gramEnd"/>
      <w:r w:rsidRPr="006F7C82" w:rsidR="4AFC9E6C">
        <w:rPr>
          <w:rFonts w:eastAsia="Calibri"/>
          <w:color w:val="000000" w:themeColor="text1"/>
        </w:rPr>
        <w:t xml:space="preserve"> verification methodologies </w:t>
      </w:r>
      <w:r w:rsidRPr="006F7C82" w:rsidR="38D22A0B">
        <w:rPr>
          <w:rFonts w:eastAsia="Calibri"/>
          <w:color w:val="000000" w:themeColor="text1"/>
        </w:rPr>
        <w:t xml:space="preserve">and resources </w:t>
      </w:r>
      <w:r w:rsidRPr="006F7C82" w:rsidR="4AFC9E6C">
        <w:rPr>
          <w:rFonts w:eastAsia="Calibri"/>
          <w:color w:val="000000" w:themeColor="text1"/>
        </w:rPr>
        <w:t xml:space="preserve">the Commission </w:t>
      </w:r>
      <w:r w:rsidRPr="006F7C82" w:rsidR="008F70E6">
        <w:rPr>
          <w:rFonts w:eastAsia="Calibri"/>
          <w:color w:val="000000" w:themeColor="text1"/>
        </w:rPr>
        <w:t>intends</w:t>
      </w:r>
      <w:r w:rsidRPr="006F7C82" w:rsidR="4AFC9E6C">
        <w:rPr>
          <w:rFonts w:eastAsia="Calibri"/>
          <w:color w:val="000000" w:themeColor="text1"/>
        </w:rPr>
        <w:t xml:space="preserve"> for C</w:t>
      </w:r>
      <w:r w:rsidRPr="006F7C82" w:rsidR="00271DF9">
        <w:rPr>
          <w:rFonts w:eastAsia="Calibri"/>
          <w:color w:val="000000" w:themeColor="text1"/>
        </w:rPr>
        <w:t xml:space="preserve">ommunications </w:t>
      </w:r>
      <w:r w:rsidRPr="006F7C82" w:rsidR="4AFC9E6C">
        <w:rPr>
          <w:rFonts w:eastAsia="Calibri"/>
          <w:color w:val="000000" w:themeColor="text1"/>
        </w:rPr>
        <w:t>D</w:t>
      </w:r>
      <w:r w:rsidRPr="006F7C82" w:rsidR="00271DF9">
        <w:rPr>
          <w:rFonts w:eastAsia="Calibri"/>
          <w:color w:val="000000" w:themeColor="text1"/>
        </w:rPr>
        <w:t>ivision</w:t>
      </w:r>
      <w:r w:rsidRPr="006F7C82" w:rsidR="4AFC9E6C">
        <w:rPr>
          <w:rFonts w:eastAsia="Calibri"/>
          <w:color w:val="000000" w:themeColor="text1"/>
        </w:rPr>
        <w:t xml:space="preserve"> staff</w:t>
      </w:r>
      <w:r w:rsidRPr="006F7C82" w:rsidR="00694EC4">
        <w:rPr>
          <w:rFonts w:eastAsia="Calibri"/>
          <w:color w:val="000000" w:themeColor="text1"/>
        </w:rPr>
        <w:t xml:space="preserve"> </w:t>
      </w:r>
      <w:r w:rsidRPr="006F7C82" w:rsidR="1B45E659">
        <w:rPr>
          <w:rFonts w:eastAsia="Calibri"/>
          <w:color w:val="000000" w:themeColor="text1"/>
        </w:rPr>
        <w:t>to explore further</w:t>
      </w:r>
      <w:r w:rsidRPr="006F7C82" w:rsidR="38D22A0B">
        <w:rPr>
          <w:rFonts w:eastAsia="Calibri"/>
          <w:color w:val="000000" w:themeColor="text1"/>
        </w:rPr>
        <w:t xml:space="preserve">, </w:t>
      </w:r>
      <w:r w:rsidRPr="006F7C82" w:rsidR="2AC1DD8D">
        <w:rPr>
          <w:rFonts w:eastAsia="Calibri"/>
          <w:color w:val="000000" w:themeColor="text1"/>
        </w:rPr>
        <w:t xml:space="preserve">particularly after investigating </w:t>
      </w:r>
      <w:r w:rsidRPr="006F7C82" w:rsidR="1AE3CBF9">
        <w:rPr>
          <w:rFonts w:eastAsia="Calibri"/>
          <w:color w:val="000000" w:themeColor="text1"/>
        </w:rPr>
        <w:t>the eligibility requirements for other public purpose programs that provide benefits to low</w:t>
      </w:r>
      <w:r w:rsidR="00DF6332">
        <w:rPr>
          <w:rFonts w:eastAsia="Calibri"/>
          <w:color w:val="000000" w:themeColor="text1"/>
        </w:rPr>
        <w:noBreakHyphen/>
      </w:r>
      <w:r w:rsidRPr="006F7C82" w:rsidR="1AE3CBF9">
        <w:rPr>
          <w:rFonts w:eastAsia="Calibri"/>
          <w:color w:val="000000" w:themeColor="text1"/>
        </w:rPr>
        <w:t xml:space="preserve">income </w:t>
      </w:r>
      <w:r w:rsidRPr="006F7C82" w:rsidR="7ACFAFA7">
        <w:rPr>
          <w:rFonts w:eastAsia="Calibri"/>
          <w:color w:val="000000" w:themeColor="text1"/>
        </w:rPr>
        <w:t>tenants.</w:t>
      </w:r>
      <w:r w:rsidRPr="006F7C82" w:rsidR="00F209CE">
        <w:rPr>
          <w:rFonts w:eastAsia="Calibri"/>
          <w:color w:val="000000" w:themeColor="text1"/>
        </w:rPr>
        <w:t xml:space="preserve"> </w:t>
      </w:r>
      <w:r w:rsidRPr="006F7C82" w:rsidR="65BFA8FD">
        <w:rPr>
          <w:rFonts w:eastAsia="Calibri"/>
          <w:color w:val="000000" w:themeColor="text1"/>
        </w:rPr>
        <w:t>It is</w:t>
      </w:r>
      <w:r w:rsidRPr="006F7C82" w:rsidR="4D021111">
        <w:rPr>
          <w:rFonts w:eastAsia="Calibri"/>
          <w:color w:val="000000" w:themeColor="text1"/>
        </w:rPr>
        <w:t xml:space="preserve"> also</w:t>
      </w:r>
      <w:r w:rsidRPr="006F7C82" w:rsidR="65BFA8FD">
        <w:rPr>
          <w:rFonts w:eastAsia="Calibri"/>
          <w:color w:val="000000" w:themeColor="text1"/>
        </w:rPr>
        <w:t xml:space="preserve"> </w:t>
      </w:r>
      <w:r w:rsidRPr="006F7C82" w:rsidR="0F6216B0">
        <w:rPr>
          <w:rFonts w:eastAsia="Calibri"/>
          <w:color w:val="000000" w:themeColor="text1"/>
        </w:rPr>
        <w:t>reasonable</w:t>
      </w:r>
      <w:r w:rsidRPr="006F7C82" w:rsidR="65BFA8FD">
        <w:rPr>
          <w:rFonts w:eastAsia="Calibri"/>
          <w:color w:val="000000" w:themeColor="text1"/>
        </w:rPr>
        <w:t xml:space="preserve"> to determine how to verify</w:t>
      </w:r>
      <w:r w:rsidRPr="006F7C82" w:rsidR="7363C286">
        <w:rPr>
          <w:rFonts w:eastAsia="Calibri"/>
          <w:color w:val="000000" w:themeColor="text1"/>
        </w:rPr>
        <w:t xml:space="preserve"> </w:t>
      </w:r>
      <w:r w:rsidRPr="006F7C82" w:rsidR="0F6216B0">
        <w:rPr>
          <w:rFonts w:eastAsia="Calibri"/>
          <w:color w:val="000000" w:themeColor="text1"/>
        </w:rPr>
        <w:t xml:space="preserve">income eligibility </w:t>
      </w:r>
      <w:r w:rsidRPr="006F7C82" w:rsidR="7F9B98E6">
        <w:rPr>
          <w:rFonts w:eastAsia="Calibri"/>
          <w:color w:val="000000" w:themeColor="text1"/>
        </w:rPr>
        <w:t>at the same time we will decide</w:t>
      </w:r>
      <w:r w:rsidRPr="006F7C82" w:rsidR="75C58E0F">
        <w:rPr>
          <w:rFonts w:eastAsia="Calibri"/>
          <w:color w:val="000000" w:themeColor="text1"/>
        </w:rPr>
        <w:t xml:space="preserve"> what </w:t>
      </w:r>
      <w:r w:rsidRPr="006F7C82" w:rsidR="5D8637D5">
        <w:rPr>
          <w:rFonts w:eastAsia="Calibri"/>
          <w:color w:val="000000" w:themeColor="text1"/>
        </w:rPr>
        <w:t>constitutes</w:t>
      </w:r>
      <w:r w:rsidRPr="006F7C82" w:rsidR="75C58E0F">
        <w:rPr>
          <w:rFonts w:eastAsia="Calibri"/>
          <w:color w:val="000000" w:themeColor="text1"/>
        </w:rPr>
        <w:t xml:space="preserve"> eligible “low income”</w:t>
      </w:r>
      <w:r w:rsidRPr="006F7C82" w:rsidR="5D8637D5">
        <w:rPr>
          <w:rFonts w:eastAsia="Calibri"/>
          <w:color w:val="000000" w:themeColor="text1"/>
        </w:rPr>
        <w:t xml:space="preserve"> levels</w:t>
      </w:r>
      <w:r w:rsidRPr="006F7C82" w:rsidR="02D2A231">
        <w:rPr>
          <w:rFonts w:eastAsia="Calibri"/>
          <w:color w:val="000000" w:themeColor="text1"/>
        </w:rPr>
        <w:t>.</w:t>
      </w:r>
      <w:r w:rsidRPr="006F7C82" w:rsidR="00F209CE">
        <w:rPr>
          <w:rFonts w:eastAsia="Calibri"/>
          <w:color w:val="000000" w:themeColor="text1"/>
        </w:rPr>
        <w:t xml:space="preserve"> </w:t>
      </w:r>
      <w:r w:rsidRPr="006F7C82" w:rsidR="3A624E40">
        <w:rPr>
          <w:rFonts w:eastAsia="Calibri"/>
          <w:color w:val="000000" w:themeColor="text1"/>
        </w:rPr>
        <w:t>As mentioned</w:t>
      </w:r>
      <w:r w:rsidRPr="006F7C82" w:rsidR="5D8637D5">
        <w:rPr>
          <w:rFonts w:eastAsia="Calibri"/>
          <w:color w:val="000000" w:themeColor="text1"/>
        </w:rPr>
        <w:t xml:space="preserve"> above, this question will be </w:t>
      </w:r>
      <w:r w:rsidRPr="006F7C82" w:rsidR="3A624E40">
        <w:rPr>
          <w:rFonts w:eastAsia="Calibri"/>
          <w:color w:val="000000" w:themeColor="text1"/>
        </w:rPr>
        <w:t>addressed in</w:t>
      </w:r>
      <w:r w:rsidRPr="006F7C82" w:rsidR="5D8637D5">
        <w:rPr>
          <w:rFonts w:eastAsia="Calibri"/>
          <w:color w:val="000000" w:themeColor="text1"/>
        </w:rPr>
        <w:t xml:space="preserve"> the Public </w:t>
      </w:r>
      <w:r w:rsidRPr="006F7C82" w:rsidR="3A624E40">
        <w:rPr>
          <w:rFonts w:eastAsia="Calibri"/>
          <w:color w:val="000000" w:themeColor="text1"/>
        </w:rPr>
        <w:t>Housing</w:t>
      </w:r>
      <w:r w:rsidRPr="006F7C82" w:rsidR="5D8637D5">
        <w:rPr>
          <w:rFonts w:eastAsia="Calibri"/>
          <w:color w:val="000000" w:themeColor="text1"/>
        </w:rPr>
        <w:t xml:space="preserve"> Account staff </w:t>
      </w:r>
      <w:r w:rsidRPr="006F7C82" w:rsidR="3A624E40">
        <w:rPr>
          <w:rFonts w:eastAsia="Calibri"/>
          <w:color w:val="000000" w:themeColor="text1"/>
        </w:rPr>
        <w:t>proposal required above.</w:t>
      </w:r>
    </w:p>
    <w:p w:rsidRPr="00DF6332" w:rsidR="00F108A8" w:rsidP="00FF6FF3" w:rsidRDefault="7FDAA6EC" w14:paraId="3DFB7009" w14:textId="6A1D0C21">
      <w:pPr>
        <w:pStyle w:val="Standard"/>
        <w:numPr>
          <w:ilvl w:val="0"/>
          <w:numId w:val="5"/>
        </w:numPr>
        <w:spacing w:after="120" w:line="240" w:lineRule="auto"/>
        <w:ind w:left="1080" w:right="1440"/>
        <w:rPr>
          <w:rFonts w:eastAsia="Calibri" w:cs="Arial"/>
          <w:color w:val="000000" w:themeColor="text1"/>
        </w:rPr>
      </w:pPr>
      <w:r w:rsidRPr="00DF6332">
        <w:rPr>
          <w:rFonts w:eastAsia="Calibri"/>
          <w:i/>
          <w:iCs/>
          <w:color w:val="000000" w:themeColor="text1"/>
        </w:rPr>
        <w:t>Are the Public Housing Account definitions proposed in Appendix 1 reasonable?</w:t>
      </w:r>
      <w:r w:rsidRPr="00DF6332" w:rsidR="00F209CE">
        <w:rPr>
          <w:rFonts w:eastAsia="Calibri"/>
          <w:i/>
          <w:iCs/>
          <w:color w:val="000000" w:themeColor="text1"/>
        </w:rPr>
        <w:t xml:space="preserve"> </w:t>
      </w:r>
      <w:r w:rsidRPr="00DF6332">
        <w:rPr>
          <w:rFonts w:eastAsia="Calibri"/>
          <w:i/>
          <w:iCs/>
          <w:color w:val="000000" w:themeColor="text1"/>
        </w:rPr>
        <w:t>What modifications or additional definitions are needed and why?</w:t>
      </w:r>
    </w:p>
    <w:p w:rsidRPr="006F7C82" w:rsidR="5E433FBB" w:rsidP="13077D03" w:rsidRDefault="70BA32EF" w14:paraId="272A3D49" w14:textId="04D0167D">
      <w:pPr>
        <w:pStyle w:val="Standard"/>
        <w:rPr>
          <w:rStyle w:val="FootnoteReference"/>
          <w:rFonts w:eastAsia="Calibri"/>
          <w:color w:val="000000" w:themeColor="text1"/>
        </w:rPr>
      </w:pPr>
      <w:r w:rsidRPr="006F7C82">
        <w:rPr>
          <w:rFonts w:eastAsia="Calibri" w:cs="Arial"/>
          <w:color w:val="000000" w:themeColor="text1"/>
        </w:rPr>
        <w:t xml:space="preserve">We first address the issue of the definition of “publicly supported housing </w:t>
      </w:r>
      <w:r w:rsidRPr="006F7C82" w:rsidR="33762BD0">
        <w:rPr>
          <w:rFonts w:eastAsia="Calibri" w:cs="Arial"/>
          <w:color w:val="000000" w:themeColor="text1"/>
        </w:rPr>
        <w:t>community.”</w:t>
      </w:r>
      <w:r w:rsidRPr="006F7C82" w:rsidR="00F209CE">
        <w:rPr>
          <w:rFonts w:eastAsia="Calibri" w:cs="Arial"/>
          <w:color w:val="000000" w:themeColor="text1"/>
        </w:rPr>
        <w:t xml:space="preserve"> </w:t>
      </w:r>
      <w:r w:rsidRPr="006F7C82" w:rsidR="00296733">
        <w:rPr>
          <w:rFonts w:eastAsia="Calibri"/>
          <w:color w:val="000000" w:themeColor="text1"/>
        </w:rPr>
        <w:t xml:space="preserve">IERBC recommends clarifying </w:t>
      </w:r>
      <w:r w:rsidRPr="006F7C82" w:rsidR="001C3AC8">
        <w:rPr>
          <w:rFonts w:eastAsia="Calibri"/>
          <w:color w:val="000000" w:themeColor="text1"/>
        </w:rPr>
        <w:t xml:space="preserve">that “publicly </w:t>
      </w:r>
      <w:r w:rsidRPr="006F7C82" w:rsidR="000B6CEF">
        <w:rPr>
          <w:rFonts w:eastAsia="Calibri"/>
          <w:color w:val="000000" w:themeColor="text1"/>
        </w:rPr>
        <w:t>supported</w:t>
      </w:r>
      <w:r w:rsidRPr="006F7C82" w:rsidR="00AD78DF">
        <w:rPr>
          <w:rFonts w:eastAsia="Calibri"/>
          <w:color w:val="000000" w:themeColor="text1"/>
        </w:rPr>
        <w:t xml:space="preserve"> </w:t>
      </w:r>
      <w:r w:rsidRPr="006F7C82" w:rsidR="000B6CEF">
        <w:rPr>
          <w:rFonts w:eastAsia="Calibri"/>
          <w:color w:val="000000" w:themeColor="text1"/>
        </w:rPr>
        <w:t>housing developments” include city-</w:t>
      </w:r>
      <w:r w:rsidRPr="006F7C82" w:rsidR="007E4F61">
        <w:rPr>
          <w:rFonts w:eastAsia="Calibri"/>
          <w:color w:val="000000" w:themeColor="text1"/>
        </w:rPr>
        <w:t>chartered</w:t>
      </w:r>
      <w:r w:rsidRPr="006F7C82" w:rsidR="00AD78DF">
        <w:rPr>
          <w:rFonts w:eastAsia="Calibri"/>
          <w:color w:val="000000" w:themeColor="text1"/>
        </w:rPr>
        <w:t xml:space="preserve"> housing authorities</w:t>
      </w:r>
      <w:r w:rsidRPr="006F7C82" w:rsidR="001463D3">
        <w:rPr>
          <w:rFonts w:eastAsia="Calibri"/>
          <w:color w:val="000000" w:themeColor="text1"/>
        </w:rPr>
        <w:t xml:space="preserve">, </w:t>
      </w:r>
      <w:r w:rsidRPr="006F7C82" w:rsidR="00640E89">
        <w:rPr>
          <w:rFonts w:eastAsia="Calibri"/>
          <w:color w:val="000000" w:themeColor="text1"/>
        </w:rPr>
        <w:t>regardless of whether they</w:t>
      </w:r>
      <w:r w:rsidRPr="006F7C82" w:rsidR="001463D3">
        <w:rPr>
          <w:rFonts w:eastAsia="Calibri"/>
          <w:color w:val="000000" w:themeColor="text1"/>
        </w:rPr>
        <w:t xml:space="preserve"> have </w:t>
      </w:r>
      <w:r w:rsidRPr="006F7C82" w:rsidR="003D162E">
        <w:rPr>
          <w:rFonts w:eastAsia="Calibri"/>
          <w:color w:val="000000" w:themeColor="text1"/>
        </w:rPr>
        <w:t xml:space="preserve">authorization from the United States </w:t>
      </w:r>
      <w:r w:rsidRPr="006F7C82" w:rsidR="00CB045E">
        <w:rPr>
          <w:rFonts w:eastAsia="Calibri"/>
          <w:color w:val="000000" w:themeColor="text1"/>
        </w:rPr>
        <w:t>(</w:t>
      </w:r>
      <w:r w:rsidRPr="006F7C82" w:rsidR="009A46AA">
        <w:rPr>
          <w:rFonts w:eastAsia="Calibri"/>
          <w:color w:val="000000" w:themeColor="text1"/>
        </w:rPr>
        <w:t xml:space="preserve">U.S.) </w:t>
      </w:r>
      <w:r w:rsidRPr="006F7C82" w:rsidR="003D162E">
        <w:rPr>
          <w:rFonts w:eastAsia="Calibri"/>
          <w:color w:val="000000" w:themeColor="text1"/>
        </w:rPr>
        <w:t>Department of Housing and Urban Development (HUD)</w:t>
      </w:r>
      <w:r w:rsidRPr="006F7C82" w:rsidR="003300EC">
        <w:rPr>
          <w:rFonts w:eastAsia="Calibri"/>
          <w:color w:val="000000" w:themeColor="text1"/>
        </w:rPr>
        <w:t xml:space="preserve">, or to specifically include these entities within </w:t>
      </w:r>
      <w:r w:rsidRPr="006F7C82" w:rsidR="003300EC">
        <w:rPr>
          <w:rFonts w:eastAsia="Calibri"/>
          <w:color w:val="000000" w:themeColor="text1"/>
        </w:rPr>
        <w:lastRenderedPageBreak/>
        <w:t>the meaning of “other housing developments” or “low-income communities.</w:t>
      </w:r>
      <w:r w:rsidRPr="006F7C82" w:rsidR="007536B0">
        <w:rPr>
          <w:rFonts w:eastAsia="Calibri"/>
          <w:color w:val="000000" w:themeColor="text1"/>
        </w:rPr>
        <w:t>”</w:t>
      </w:r>
      <w:r w:rsidRPr="006F7C82" w:rsidR="7B17CDC4">
        <w:rPr>
          <w:rStyle w:val="FootnoteReference"/>
          <w:rFonts w:eastAsia="Calibri"/>
          <w:color w:val="000000" w:themeColor="text1"/>
        </w:rPr>
        <w:footnoteReference w:id="25"/>
      </w:r>
      <w:r w:rsidRPr="006F7C82" w:rsidR="005B65CC">
        <w:rPr>
          <w:rFonts w:eastAsia="Calibri"/>
          <w:color w:val="000000" w:themeColor="text1"/>
        </w:rPr>
        <w:t xml:space="preserve"> Noting that neither the Second Amended Scoping Memo no</w:t>
      </w:r>
      <w:r w:rsidRPr="006F7C82" w:rsidR="007318B1">
        <w:rPr>
          <w:rFonts w:eastAsia="Calibri"/>
          <w:color w:val="000000" w:themeColor="text1"/>
        </w:rPr>
        <w:t>r</w:t>
      </w:r>
      <w:r w:rsidRPr="006F7C82" w:rsidR="005B65CC">
        <w:rPr>
          <w:rFonts w:eastAsia="Calibri"/>
          <w:color w:val="000000" w:themeColor="text1"/>
        </w:rPr>
        <w:t xml:space="preserve"> SB 156 provides a definition of </w:t>
      </w:r>
      <w:r w:rsidRPr="006F7C82" w:rsidR="003300EC">
        <w:rPr>
          <w:rFonts w:eastAsia="Calibri"/>
          <w:color w:val="000000" w:themeColor="text1"/>
        </w:rPr>
        <w:t>“</w:t>
      </w:r>
      <w:r w:rsidRPr="006F7C82" w:rsidR="005B65CC">
        <w:rPr>
          <w:rFonts w:eastAsia="Calibri"/>
          <w:color w:val="000000" w:themeColor="text1"/>
        </w:rPr>
        <w:t xml:space="preserve">publicly supported housing development,” TURN agrees with IERBC, adding that the definition of </w:t>
      </w:r>
      <w:r w:rsidRPr="006F7C82" w:rsidR="003A23E9">
        <w:rPr>
          <w:rFonts w:eastAsia="Calibri"/>
          <w:color w:val="000000" w:themeColor="text1"/>
        </w:rPr>
        <w:t>“</w:t>
      </w:r>
      <w:r w:rsidRPr="006F7C82" w:rsidDel="005B65CC" w:rsidR="31B2B02A">
        <w:rPr>
          <w:rFonts w:eastAsia="Calibri"/>
          <w:color w:val="000000" w:themeColor="text1"/>
        </w:rPr>
        <w:t>publicly</w:t>
      </w:r>
      <w:r w:rsidRPr="006F7C82" w:rsidR="005B65CC">
        <w:rPr>
          <w:rFonts w:eastAsia="Calibri"/>
          <w:color w:val="000000" w:themeColor="text1"/>
        </w:rPr>
        <w:t xml:space="preserve"> supported housing developments” should </w:t>
      </w:r>
      <w:r w:rsidRPr="006F7C82" w:rsidR="24968C41">
        <w:rPr>
          <w:rFonts w:eastAsia="Calibri"/>
          <w:color w:val="000000" w:themeColor="text1"/>
        </w:rPr>
        <w:t>not</w:t>
      </w:r>
      <w:r w:rsidRPr="006F7C82" w:rsidR="0178FBA0">
        <w:rPr>
          <w:rFonts w:eastAsia="Calibri"/>
          <w:color w:val="000000" w:themeColor="text1"/>
        </w:rPr>
        <w:t xml:space="preserve"> be limited to </w:t>
      </w:r>
      <w:r w:rsidRPr="006F7C82" w:rsidR="0A70AD3B">
        <w:rPr>
          <w:rFonts w:eastAsia="Calibri"/>
          <w:color w:val="000000" w:themeColor="text1"/>
        </w:rPr>
        <w:t>HUD</w:t>
      </w:r>
      <w:r w:rsidRPr="006F7C82" w:rsidR="0178FBA0">
        <w:rPr>
          <w:rFonts w:eastAsia="Calibri"/>
          <w:color w:val="000000" w:themeColor="text1"/>
        </w:rPr>
        <w:t xml:space="preserve">-authorized housing, </w:t>
      </w:r>
      <w:r w:rsidRPr="006F7C82" w:rsidR="56821E98">
        <w:rPr>
          <w:rFonts w:eastAsia="Calibri"/>
          <w:color w:val="000000" w:themeColor="text1"/>
        </w:rPr>
        <w:t>and</w:t>
      </w:r>
      <w:r w:rsidRPr="006F7C82" w:rsidR="0178FBA0">
        <w:rPr>
          <w:rFonts w:eastAsia="Calibri"/>
          <w:color w:val="000000" w:themeColor="text1"/>
        </w:rPr>
        <w:t xml:space="preserve"> should include </w:t>
      </w:r>
      <w:r w:rsidRPr="006F7C82" w:rsidR="56821E98">
        <w:rPr>
          <w:rFonts w:eastAsia="Calibri"/>
          <w:color w:val="000000" w:themeColor="text1"/>
        </w:rPr>
        <w:t xml:space="preserve">all </w:t>
      </w:r>
      <w:r w:rsidRPr="006F7C82" w:rsidR="0178FBA0">
        <w:rPr>
          <w:rFonts w:eastAsia="Calibri"/>
          <w:color w:val="000000" w:themeColor="text1"/>
        </w:rPr>
        <w:t>housing that is subsidized by federal, state, local, or Tribal monies</w:t>
      </w:r>
      <w:r w:rsidRPr="006F7C82" w:rsidR="24968C41">
        <w:rPr>
          <w:rFonts w:eastAsia="Calibri"/>
          <w:color w:val="000000" w:themeColor="text1"/>
        </w:rPr>
        <w:t>.</w:t>
      </w:r>
      <w:r w:rsidRPr="006F7C82" w:rsidR="0A70AD3B">
        <w:rPr>
          <w:rStyle w:val="FootnoteReference"/>
          <w:rFonts w:eastAsia="Calibri"/>
          <w:color w:val="000000" w:themeColor="text1"/>
        </w:rPr>
        <w:footnoteReference w:id="26"/>
      </w:r>
      <w:r w:rsidRPr="006F7C82" w:rsidR="00F209CE">
        <w:rPr>
          <w:rFonts w:eastAsia="Calibri"/>
          <w:color w:val="000000" w:themeColor="text1"/>
        </w:rPr>
        <w:t xml:space="preserve"> </w:t>
      </w:r>
      <w:r w:rsidRPr="006F7C82" w:rsidR="005B65CC">
        <w:rPr>
          <w:rFonts w:eastAsia="Calibri"/>
          <w:color w:val="000000" w:themeColor="text1"/>
        </w:rPr>
        <w:t xml:space="preserve">CETF recommends </w:t>
      </w:r>
      <w:r w:rsidRPr="006F7C82" w:rsidR="00BD786D">
        <w:rPr>
          <w:rFonts w:eastAsia="Calibri"/>
          <w:color w:val="000000" w:themeColor="text1"/>
        </w:rPr>
        <w:t xml:space="preserve">clarifying that </w:t>
      </w:r>
      <w:r w:rsidRPr="006F7C82" w:rsidR="001C366C">
        <w:rPr>
          <w:rFonts w:eastAsia="Calibri"/>
          <w:color w:val="000000" w:themeColor="text1"/>
        </w:rPr>
        <w:t>publicly</w:t>
      </w:r>
      <w:r w:rsidRPr="006F7C82" w:rsidR="00BD786D">
        <w:rPr>
          <w:rFonts w:eastAsia="Calibri"/>
          <w:color w:val="000000" w:themeColor="text1"/>
        </w:rPr>
        <w:t xml:space="preserve"> </w:t>
      </w:r>
      <w:r w:rsidRPr="006F7C82" w:rsidR="001C366C">
        <w:rPr>
          <w:rFonts w:eastAsia="Calibri"/>
          <w:color w:val="000000" w:themeColor="text1"/>
        </w:rPr>
        <w:t>subsidized and publicly supported housing complexes includes housing authorities and non-profit housing organizations, as well as all farmworker housing</w:t>
      </w:r>
      <w:r w:rsidRPr="006F7C82" w:rsidR="005C455F">
        <w:rPr>
          <w:rFonts w:eastAsia="Calibri"/>
          <w:color w:val="000000" w:themeColor="text1"/>
        </w:rPr>
        <w:t xml:space="preserve">, which </w:t>
      </w:r>
      <w:r w:rsidRPr="006F7C82" w:rsidR="00440BD8">
        <w:rPr>
          <w:rFonts w:eastAsia="Calibri"/>
          <w:color w:val="000000" w:themeColor="text1"/>
        </w:rPr>
        <w:t xml:space="preserve">they assert </w:t>
      </w:r>
      <w:r w:rsidRPr="006F7C82" w:rsidR="005C455F">
        <w:rPr>
          <w:rFonts w:eastAsia="Calibri"/>
          <w:color w:val="000000" w:themeColor="text1"/>
        </w:rPr>
        <w:t xml:space="preserve">has </w:t>
      </w:r>
      <w:r w:rsidRPr="006F7C82" w:rsidR="00302DC4">
        <w:rPr>
          <w:rFonts w:eastAsia="Calibri"/>
          <w:color w:val="000000" w:themeColor="text1"/>
        </w:rPr>
        <w:t>historically</w:t>
      </w:r>
      <w:r w:rsidRPr="006F7C82" w:rsidR="005C455F">
        <w:rPr>
          <w:rFonts w:eastAsia="Calibri"/>
          <w:color w:val="000000" w:themeColor="text1"/>
        </w:rPr>
        <w:t xml:space="preserve"> been ignored in policy and regulations.</w:t>
      </w:r>
      <w:r w:rsidRPr="006F7C82" w:rsidR="76712752">
        <w:rPr>
          <w:rStyle w:val="FootnoteReference"/>
          <w:rFonts w:eastAsia="Calibri"/>
          <w:color w:val="000000" w:themeColor="text1"/>
        </w:rPr>
        <w:footnoteReference w:id="27"/>
      </w:r>
    </w:p>
    <w:p w:rsidR="004621C4" w:rsidP="009F32C4" w:rsidRDefault="00BE1E12" w14:paraId="156EBA55" w14:textId="34A3CE43">
      <w:pPr>
        <w:pStyle w:val="Standard"/>
        <w:rPr>
          <w:rFonts w:eastAsia="Calibri"/>
          <w:color w:val="000000" w:themeColor="text1"/>
        </w:rPr>
      </w:pPr>
      <w:r w:rsidRPr="006F7C82">
        <w:rPr>
          <w:rFonts w:eastAsia="Calibri"/>
          <w:color w:val="000000" w:themeColor="text1"/>
        </w:rPr>
        <w:t xml:space="preserve"> We agree with parties that a broad definition of “publicly supported housing development” is preferable, without unjustified distinction as to the source of public subsidy funds.</w:t>
      </w:r>
      <w:r w:rsidRPr="006F7C82" w:rsidR="00F209CE">
        <w:rPr>
          <w:rFonts w:eastAsia="Calibri"/>
          <w:color w:val="000000" w:themeColor="text1"/>
        </w:rPr>
        <w:t xml:space="preserve"> </w:t>
      </w:r>
      <w:r w:rsidRPr="006F7C82">
        <w:rPr>
          <w:rFonts w:eastAsia="Calibri"/>
          <w:color w:val="000000" w:themeColor="text1"/>
        </w:rPr>
        <w:t>We agree with IERBC that city-chartered housing developments are eligible “publicly supported housing developments.”</w:t>
      </w:r>
      <w:r w:rsidRPr="006F7C82" w:rsidR="00F209CE">
        <w:rPr>
          <w:rFonts w:eastAsia="Calibri"/>
          <w:color w:val="000000" w:themeColor="text1"/>
        </w:rPr>
        <w:t xml:space="preserve"> </w:t>
      </w:r>
      <w:r w:rsidRPr="006F7C82">
        <w:rPr>
          <w:rFonts w:eastAsia="Calibri"/>
          <w:color w:val="000000" w:themeColor="text1"/>
        </w:rPr>
        <w:t>The definition for “publicly supported housing development” shown in Appendix</w:t>
      </w:r>
      <w:r w:rsidR="00013B06">
        <w:rPr>
          <w:rFonts w:eastAsia="Calibri"/>
          <w:color w:val="000000" w:themeColor="text1"/>
        </w:rPr>
        <w:t> </w:t>
      </w:r>
      <w:r w:rsidRPr="006F7C82">
        <w:rPr>
          <w:rFonts w:eastAsia="Calibri"/>
          <w:color w:val="000000" w:themeColor="text1"/>
        </w:rPr>
        <w:t>1 is based on the definitions of “Publicly subsidized” and “Publicly supported community” included in Public Housing Account guidelines effective up to today, amended to incorporate the elements noted above.</w:t>
      </w:r>
      <w:r w:rsidRPr="006F7C82" w:rsidR="00D87137">
        <w:rPr>
          <w:rFonts w:eastAsia="Calibri"/>
          <w:color w:val="000000" w:themeColor="text1"/>
        </w:rPr>
        <w:t xml:space="preserve"> </w:t>
      </w:r>
      <w:r w:rsidRPr="006F7C82" w:rsidR="004621C4">
        <w:rPr>
          <w:rFonts w:eastAsia="Calibri"/>
          <w:color w:val="000000" w:themeColor="text1"/>
        </w:rPr>
        <w:t xml:space="preserve">We further agree with CETF that farmworker housing should be </w:t>
      </w:r>
      <w:r w:rsidR="004621C4">
        <w:rPr>
          <w:rFonts w:eastAsia="Calibri"/>
          <w:color w:val="000000" w:themeColor="text1"/>
        </w:rPr>
        <w:t xml:space="preserve">immediately categorically eligible for Public Housing Account grants, though we create a separate definition for farmworker housing that does not require the housing to be publicly subsidized or supported, and instead relies on </w:t>
      </w:r>
      <w:r w:rsidRPr="00DF6332" w:rsidR="004621C4">
        <w:rPr>
          <w:rFonts w:eastAsia="Calibri"/>
          <w:color w:val="000000" w:themeColor="text1"/>
        </w:rPr>
        <w:t xml:space="preserve">Health and Safety Code </w:t>
      </w:r>
      <w:r w:rsidR="00DF6332">
        <w:rPr>
          <w:rFonts w:eastAsia="Calibri"/>
          <w:color w:val="000000" w:themeColor="text1"/>
        </w:rPr>
        <w:t>S</w:t>
      </w:r>
      <w:r w:rsidRPr="00DF6332" w:rsidR="004621C4">
        <w:rPr>
          <w:rFonts w:eastAsia="Calibri"/>
          <w:color w:val="000000" w:themeColor="text1"/>
        </w:rPr>
        <w:t xml:space="preserve">ection </w:t>
      </w:r>
      <w:r w:rsidRPr="00FF6FF3" w:rsidR="004621C4">
        <w:t>50199.7 (h)</w:t>
      </w:r>
      <w:r w:rsidRPr="00FF6FF3" w:rsidR="004621C4">
        <w:rPr>
          <w:rFonts w:eastAsia="Calibri"/>
          <w:color w:val="000000" w:themeColor="text1"/>
        </w:rPr>
        <w:t>,</w:t>
      </w:r>
      <w:r w:rsidRPr="00DF6332" w:rsidR="004621C4">
        <w:rPr>
          <w:rFonts w:eastAsia="Calibri"/>
          <w:color w:val="000000" w:themeColor="text1"/>
        </w:rPr>
        <w:t xml:space="preserve"> </w:t>
      </w:r>
      <w:r w:rsidRPr="00DF6332" w:rsidR="004621C4">
        <w:rPr>
          <w:rFonts w:eastAsia="Calibri"/>
          <w:color w:val="000000" w:themeColor="text1"/>
        </w:rPr>
        <w:lastRenderedPageBreak/>
        <w:t>which requires at least 50</w:t>
      </w:r>
      <w:r w:rsidRPr="00DF6332" w:rsidR="003F4E3E">
        <w:rPr>
          <w:rFonts w:eastAsia="Calibri"/>
          <w:color w:val="000000" w:themeColor="text1"/>
        </w:rPr>
        <w:t xml:space="preserve"> percent</w:t>
      </w:r>
      <w:r w:rsidRPr="00DF6332" w:rsidR="004621C4">
        <w:rPr>
          <w:rFonts w:eastAsia="Calibri"/>
          <w:color w:val="000000" w:themeColor="text1"/>
        </w:rPr>
        <w:t xml:space="preserve"> of the units in the development to be available to and occupied by farmworkers.</w:t>
      </w:r>
      <w:r w:rsidRPr="006F7C82" w:rsidR="004621C4">
        <w:rPr>
          <w:rFonts w:eastAsia="Calibri"/>
          <w:color w:val="000000" w:themeColor="text1"/>
        </w:rPr>
        <w:t xml:space="preserve"> </w:t>
      </w:r>
      <w:r w:rsidR="004621C4">
        <w:rPr>
          <w:rFonts w:eastAsia="Calibri"/>
          <w:color w:val="000000" w:themeColor="text1"/>
        </w:rPr>
        <w:t xml:space="preserve">This definition of “farmworker housing” casts an initial wide net. </w:t>
      </w:r>
      <w:r w:rsidR="00A53365">
        <w:rPr>
          <w:rFonts w:eastAsia="Calibri"/>
          <w:color w:val="000000" w:themeColor="text1"/>
        </w:rPr>
        <w:t>Application requirements to establish eligibility for farmworker housing are adopted as specified in Appendix 1.</w:t>
      </w:r>
      <w:r w:rsidR="004621C4">
        <w:rPr>
          <w:rFonts w:eastAsia="Calibri"/>
          <w:color w:val="000000" w:themeColor="text1"/>
        </w:rPr>
        <w:t xml:space="preserve"> </w:t>
      </w:r>
    </w:p>
    <w:p w:rsidRPr="006F7C82" w:rsidR="00BE1E12" w:rsidP="009F32C4" w:rsidRDefault="007B1A5C" w14:paraId="3AE6CB28" w14:textId="2E5BDE5F">
      <w:pPr>
        <w:pStyle w:val="Standard"/>
        <w:rPr>
          <w:rFonts w:eastAsia="Calibri"/>
          <w:color w:val="000000" w:themeColor="text1"/>
        </w:rPr>
      </w:pPr>
      <w:r w:rsidRPr="006F7C82">
        <w:rPr>
          <w:rFonts w:eastAsia="Calibri"/>
          <w:color w:val="000000" w:themeColor="text1"/>
        </w:rPr>
        <w:t xml:space="preserve">NDC recommends </w:t>
      </w:r>
      <w:r w:rsidRPr="006F7C82" w:rsidR="005F75B2">
        <w:rPr>
          <w:rFonts w:eastAsia="Calibri"/>
          <w:color w:val="000000" w:themeColor="text1"/>
        </w:rPr>
        <w:t xml:space="preserve">modifying the definition of “project” to </w:t>
      </w:r>
      <w:r w:rsidRPr="006F7C82" w:rsidR="00A061A8">
        <w:rPr>
          <w:rFonts w:eastAsia="Calibri"/>
          <w:color w:val="000000" w:themeColor="text1"/>
        </w:rPr>
        <w:t>simply refer to the</w:t>
      </w:r>
      <w:r w:rsidRPr="006F7C82" w:rsidR="0084691A">
        <w:rPr>
          <w:rFonts w:eastAsia="Calibri"/>
          <w:color w:val="000000" w:themeColor="text1"/>
        </w:rPr>
        <w:t xml:space="preserve"> established definition of “low-income communit</w:t>
      </w:r>
      <w:r w:rsidRPr="006F7C82" w:rsidR="003D1CCB">
        <w:rPr>
          <w:rFonts w:eastAsia="Calibri"/>
          <w:color w:val="000000" w:themeColor="text1"/>
        </w:rPr>
        <w:t xml:space="preserve">y” rather than repeat and/or elaborate upon </w:t>
      </w:r>
      <w:r w:rsidRPr="006F7C82" w:rsidR="001D6825">
        <w:rPr>
          <w:rFonts w:eastAsia="Calibri"/>
          <w:color w:val="000000" w:themeColor="text1"/>
        </w:rPr>
        <w:t>what is meant by that term</w:t>
      </w:r>
      <w:r w:rsidRPr="006F7C82" w:rsidR="418DA230">
        <w:rPr>
          <w:rFonts w:eastAsia="Calibri"/>
          <w:color w:val="000000" w:themeColor="text1"/>
        </w:rPr>
        <w:t>.</w:t>
      </w:r>
      <w:r w:rsidRPr="006F7C82">
        <w:rPr>
          <w:rStyle w:val="FootnoteReference"/>
          <w:rFonts w:eastAsia="Calibri"/>
          <w:color w:val="000000" w:themeColor="text1"/>
        </w:rPr>
        <w:footnoteReference w:id="28"/>
      </w:r>
      <w:r w:rsidRPr="006F7C82" w:rsidR="181F427F">
        <w:rPr>
          <w:rFonts w:eastAsia="Calibri"/>
          <w:color w:val="000000" w:themeColor="text1"/>
        </w:rPr>
        <w:t xml:space="preserve"> </w:t>
      </w:r>
      <w:r w:rsidRPr="006F7C82" w:rsidR="47D62978">
        <w:rPr>
          <w:rFonts w:eastAsia="Calibri"/>
          <w:color w:val="000000" w:themeColor="text1"/>
        </w:rPr>
        <w:t xml:space="preserve">The Commission agrees with this recommendation and adopts this </w:t>
      </w:r>
      <w:r w:rsidRPr="006F7C82" w:rsidR="096F14A1">
        <w:rPr>
          <w:rFonts w:eastAsia="Calibri"/>
          <w:color w:val="000000" w:themeColor="text1"/>
        </w:rPr>
        <w:t>definition with a minor modification to refer to awarded projects as well as requested projects, as shown in Appendix 1.</w:t>
      </w:r>
    </w:p>
    <w:p w:rsidRPr="006F7C82" w:rsidR="00560ED3" w:rsidP="009F32C4" w:rsidRDefault="00560ED3" w14:paraId="4E2F1DAE" w14:textId="4EFD7C3A">
      <w:pPr>
        <w:pStyle w:val="Standard"/>
        <w:rPr>
          <w:rFonts w:eastAsia="Calibri"/>
          <w:color w:val="000000" w:themeColor="text1"/>
        </w:rPr>
      </w:pPr>
      <w:r w:rsidRPr="006F7C82">
        <w:rPr>
          <w:rFonts w:eastAsia="Calibri"/>
          <w:color w:val="000000" w:themeColor="text1"/>
        </w:rPr>
        <w:t xml:space="preserve">CCTA recommends specifying </w:t>
      </w:r>
      <w:r w:rsidRPr="006F7C82" w:rsidR="007775CE">
        <w:rPr>
          <w:rFonts w:eastAsia="Calibri"/>
          <w:color w:val="000000" w:themeColor="text1"/>
        </w:rPr>
        <w:t>that “free broadband service” means service for which residents of the low-income community do not pay out-of-pocket costs.</w:t>
      </w:r>
      <w:r w:rsidRPr="006F7C82" w:rsidR="00B702E2">
        <w:rPr>
          <w:rStyle w:val="FootnoteReference"/>
          <w:rFonts w:eastAsia="Calibri"/>
          <w:color w:val="000000" w:themeColor="text1"/>
        </w:rPr>
        <w:footnoteReference w:id="29"/>
      </w:r>
      <w:r w:rsidRPr="006F7C82" w:rsidR="007775CE">
        <w:rPr>
          <w:rFonts w:eastAsia="Calibri"/>
          <w:color w:val="000000" w:themeColor="text1"/>
        </w:rPr>
        <w:t xml:space="preserve"> Related to this, </w:t>
      </w:r>
      <w:proofErr w:type="spellStart"/>
      <w:r w:rsidRPr="006F7C82" w:rsidR="007775CE">
        <w:rPr>
          <w:rFonts w:eastAsia="Calibri"/>
          <w:color w:val="000000" w:themeColor="text1"/>
        </w:rPr>
        <w:t>CforAT</w:t>
      </w:r>
      <w:proofErr w:type="spellEnd"/>
      <w:r w:rsidRPr="006F7C82" w:rsidR="007775CE">
        <w:rPr>
          <w:rFonts w:eastAsia="Calibri"/>
          <w:color w:val="000000" w:themeColor="text1"/>
        </w:rPr>
        <w:t xml:space="preserve"> recommends clarifying that a broadband service provider offers free broadband service to all </w:t>
      </w:r>
      <w:r w:rsidRPr="006F7C82" w:rsidR="008A2836">
        <w:rPr>
          <w:rFonts w:eastAsia="Calibri"/>
          <w:color w:val="000000" w:themeColor="text1"/>
        </w:rPr>
        <w:t xml:space="preserve">(as opposed to some) </w:t>
      </w:r>
      <w:r w:rsidRPr="006F7C82" w:rsidR="007775CE">
        <w:rPr>
          <w:rFonts w:eastAsia="Calibri"/>
          <w:color w:val="000000" w:themeColor="text1"/>
        </w:rPr>
        <w:t>low</w:t>
      </w:r>
      <w:r w:rsidR="00013B06">
        <w:rPr>
          <w:rFonts w:eastAsia="Calibri"/>
          <w:color w:val="000000" w:themeColor="text1"/>
        </w:rPr>
        <w:noBreakHyphen/>
      </w:r>
      <w:r w:rsidRPr="006F7C82" w:rsidR="007775CE">
        <w:rPr>
          <w:rFonts w:eastAsia="Calibri"/>
          <w:color w:val="000000" w:themeColor="text1"/>
        </w:rPr>
        <w:t>income residents in the project area.</w:t>
      </w:r>
      <w:r w:rsidRPr="006F7C82" w:rsidR="009C2561">
        <w:rPr>
          <w:rStyle w:val="FootnoteReference"/>
          <w:rFonts w:eastAsia="Calibri"/>
          <w:color w:val="000000" w:themeColor="text1"/>
        </w:rPr>
        <w:footnoteReference w:id="30"/>
      </w:r>
      <w:r w:rsidRPr="006F7C82" w:rsidR="00932071">
        <w:rPr>
          <w:rFonts w:eastAsia="Calibri"/>
          <w:color w:val="000000" w:themeColor="text1"/>
        </w:rPr>
        <w:t xml:space="preserve"> </w:t>
      </w:r>
      <w:r w:rsidRPr="006F7C82" w:rsidR="00942CB5">
        <w:rPr>
          <w:rFonts w:eastAsia="Calibri"/>
          <w:color w:val="000000" w:themeColor="text1"/>
        </w:rPr>
        <w:t xml:space="preserve">The Commission </w:t>
      </w:r>
      <w:r w:rsidRPr="006F7C82" w:rsidR="00B45101">
        <w:rPr>
          <w:rFonts w:eastAsia="Calibri"/>
          <w:color w:val="000000" w:themeColor="text1"/>
        </w:rPr>
        <w:t xml:space="preserve">finds both CCTA’s and </w:t>
      </w:r>
      <w:proofErr w:type="spellStart"/>
      <w:r w:rsidRPr="006F7C82" w:rsidR="00B45101">
        <w:rPr>
          <w:rFonts w:eastAsia="Calibri"/>
          <w:color w:val="000000" w:themeColor="text1"/>
        </w:rPr>
        <w:t>CforAT’s</w:t>
      </w:r>
      <w:proofErr w:type="spellEnd"/>
      <w:r w:rsidRPr="006F7C82" w:rsidR="00B45101">
        <w:rPr>
          <w:rFonts w:eastAsia="Calibri"/>
          <w:color w:val="000000" w:themeColor="text1"/>
        </w:rPr>
        <w:t xml:space="preserve"> </w:t>
      </w:r>
      <w:r w:rsidRPr="006F7C82" w:rsidR="009C4EAD">
        <w:rPr>
          <w:rFonts w:eastAsia="Calibri"/>
          <w:color w:val="000000" w:themeColor="text1"/>
        </w:rPr>
        <w:t>recommendations helpful</w:t>
      </w:r>
      <w:r w:rsidRPr="006F7C82" w:rsidR="00282D26">
        <w:rPr>
          <w:rFonts w:eastAsia="Calibri"/>
          <w:color w:val="000000" w:themeColor="text1"/>
        </w:rPr>
        <w:t xml:space="preserve"> and makes </w:t>
      </w:r>
      <w:r w:rsidRPr="006F7C82" w:rsidR="0043305B">
        <w:rPr>
          <w:rFonts w:eastAsia="Calibri"/>
          <w:color w:val="000000" w:themeColor="text1"/>
        </w:rPr>
        <w:t xml:space="preserve">corresponding changes </w:t>
      </w:r>
      <w:r w:rsidRPr="006F7C82" w:rsidR="00A76B7A">
        <w:rPr>
          <w:rFonts w:eastAsia="Calibri"/>
          <w:color w:val="000000" w:themeColor="text1"/>
        </w:rPr>
        <w:t>to the adopted definitions</w:t>
      </w:r>
      <w:r w:rsidRPr="006F7C82" w:rsidR="00DC2A2E">
        <w:rPr>
          <w:rFonts w:eastAsia="Calibri"/>
          <w:color w:val="000000" w:themeColor="text1"/>
        </w:rPr>
        <w:t xml:space="preserve"> as shown in Appendix 1.</w:t>
      </w:r>
    </w:p>
    <w:p w:rsidRPr="006F7C82" w:rsidR="2368A8AF" w:rsidP="00395DDE" w:rsidRDefault="00D96742" w14:paraId="7A41FF66" w14:textId="1154DB77">
      <w:pPr>
        <w:pStyle w:val="Standard"/>
        <w:rPr>
          <w:rFonts w:eastAsia="Calibri"/>
          <w:color w:val="000000" w:themeColor="text1"/>
        </w:rPr>
      </w:pPr>
      <w:r w:rsidRPr="006F7C82">
        <w:rPr>
          <w:rFonts w:eastAsia="Calibri"/>
          <w:color w:val="000000" w:themeColor="text1"/>
        </w:rPr>
        <w:t xml:space="preserve">We address parties’ comments on the definition of </w:t>
      </w:r>
      <w:r w:rsidRPr="006F7C82" w:rsidR="006A389E">
        <w:rPr>
          <w:rFonts w:eastAsia="Calibri"/>
          <w:color w:val="000000" w:themeColor="text1"/>
        </w:rPr>
        <w:t xml:space="preserve">“state standard” and </w:t>
      </w:r>
      <w:r w:rsidRPr="006F7C82">
        <w:rPr>
          <w:rFonts w:eastAsia="Calibri"/>
          <w:color w:val="000000" w:themeColor="text1"/>
        </w:rPr>
        <w:t>“inside wiring”</w:t>
      </w:r>
      <w:r w:rsidR="00D9090C">
        <w:rPr>
          <w:rFonts w:eastAsia="Calibri"/>
          <w:color w:val="000000" w:themeColor="text1"/>
        </w:rPr>
        <w:t xml:space="preserve">, </w:t>
      </w:r>
      <w:r w:rsidRPr="00394667" w:rsidR="00D9090C">
        <w:rPr>
          <w:rFonts w:eastAsia="Calibri"/>
          <w:i/>
          <w:iCs/>
          <w:color w:val="000000" w:themeColor="text1"/>
        </w:rPr>
        <w:t>infra</w:t>
      </w:r>
      <w:r w:rsidRPr="006F7C82" w:rsidR="006A389E">
        <w:rPr>
          <w:rFonts w:eastAsia="Calibri"/>
          <w:color w:val="000000" w:themeColor="text1"/>
        </w:rPr>
        <w:t xml:space="preserve">, in response to Questions </w:t>
      </w:r>
      <w:r w:rsidRPr="006F7C82" w:rsidR="00C916B4">
        <w:rPr>
          <w:rFonts w:eastAsia="Calibri"/>
          <w:color w:val="000000" w:themeColor="text1"/>
        </w:rPr>
        <w:t>7 and 16, respectively.</w:t>
      </w:r>
      <w:r w:rsidRPr="006F7C82" w:rsidR="00F209CE">
        <w:rPr>
          <w:rFonts w:eastAsia="Calibri"/>
          <w:color w:val="000000" w:themeColor="text1"/>
        </w:rPr>
        <w:t xml:space="preserve"> </w:t>
      </w:r>
      <w:r w:rsidRPr="006F7C82" w:rsidR="00C916B4">
        <w:rPr>
          <w:rFonts w:eastAsia="Calibri"/>
          <w:color w:val="000000" w:themeColor="text1"/>
        </w:rPr>
        <w:t xml:space="preserve">As noted </w:t>
      </w:r>
      <w:r w:rsidRPr="00394667" w:rsidR="002629CD">
        <w:rPr>
          <w:rFonts w:eastAsia="Calibri"/>
          <w:i/>
          <w:iCs/>
          <w:color w:val="000000" w:themeColor="text1"/>
        </w:rPr>
        <w:t>supra</w:t>
      </w:r>
      <w:r w:rsidRPr="006F7C82" w:rsidR="00C916B4">
        <w:rPr>
          <w:rFonts w:eastAsia="Calibri"/>
          <w:color w:val="000000" w:themeColor="text1"/>
        </w:rPr>
        <w:t>, at this time we decline to adopt definitions for “other housing development,” “mobile</w:t>
      </w:r>
      <w:r w:rsidR="00670FB8">
        <w:rPr>
          <w:rFonts w:eastAsia="Calibri"/>
          <w:color w:val="000000" w:themeColor="text1"/>
        </w:rPr>
        <w:t xml:space="preserve"> </w:t>
      </w:r>
      <w:r w:rsidRPr="006F7C82" w:rsidR="00C916B4">
        <w:rPr>
          <w:rFonts w:eastAsia="Calibri"/>
          <w:color w:val="000000" w:themeColor="text1"/>
        </w:rPr>
        <w:t>home park,” “low-income,” as these definitions will be addressed along with tenant protections in an upcoming staff proposal.</w:t>
      </w:r>
    </w:p>
    <w:p w:rsidRPr="00FF6FF3" w:rsidR="00B640E5" w:rsidP="00FF6FF3" w:rsidRDefault="7FDAA6EC" w14:paraId="080DAC29" w14:textId="04FCD40E">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lastRenderedPageBreak/>
        <w:t>How can the Commission ensure that approved projects reflect the statewide distribution of low-income communities?</w:t>
      </w:r>
      <w:r w:rsidRPr="004C2B66" w:rsidR="00F209CE">
        <w:rPr>
          <w:rFonts w:eastAsia="Calibri"/>
          <w:i/>
          <w:iCs/>
          <w:color w:val="000000" w:themeColor="text1"/>
        </w:rPr>
        <w:t xml:space="preserve"> </w:t>
      </w:r>
      <w:r w:rsidRPr="004C2B66">
        <w:rPr>
          <w:rFonts w:eastAsia="Calibri"/>
          <w:i/>
          <w:iCs/>
          <w:color w:val="000000" w:themeColor="text1"/>
        </w:rPr>
        <w:t>For example, should the distribution be reflected in the location or in the income level?</w:t>
      </w:r>
    </w:p>
    <w:p w:rsidRPr="006F7C82" w:rsidR="00EB1BE2" w:rsidP="7FDAA6EC" w:rsidRDefault="00EE5873" w14:paraId="65D86B0B" w14:textId="60166443">
      <w:pPr>
        <w:pStyle w:val="Standard"/>
        <w:rPr>
          <w:rFonts w:eastAsia="Calibri"/>
          <w:color w:val="000000" w:themeColor="text1"/>
          <w:szCs w:val="26"/>
        </w:rPr>
      </w:pPr>
      <w:r w:rsidRPr="006F7C82">
        <w:rPr>
          <w:rFonts w:eastAsia="Calibri"/>
          <w:color w:val="000000" w:themeColor="text1"/>
          <w:szCs w:val="26"/>
        </w:rPr>
        <w:t xml:space="preserve">CETF and LAEDC </w:t>
      </w:r>
      <w:r w:rsidRPr="006F7C82" w:rsidR="00E07BD1">
        <w:rPr>
          <w:rFonts w:eastAsia="Calibri"/>
          <w:color w:val="000000" w:themeColor="text1"/>
          <w:szCs w:val="26"/>
        </w:rPr>
        <w:t xml:space="preserve">assert the statewide distribution of approved projects should be reflected </w:t>
      </w:r>
      <w:r w:rsidRPr="006F7C82" w:rsidR="005E6968">
        <w:rPr>
          <w:rFonts w:eastAsia="Calibri"/>
          <w:color w:val="000000" w:themeColor="text1"/>
          <w:szCs w:val="26"/>
        </w:rPr>
        <w:t>in relation to the concentration of poverty</w:t>
      </w:r>
      <w:r w:rsidRPr="006F7C82" w:rsidR="00833806">
        <w:rPr>
          <w:rFonts w:eastAsia="Calibri"/>
          <w:color w:val="000000" w:themeColor="text1"/>
          <w:szCs w:val="26"/>
        </w:rPr>
        <w:t>, to match the distribution pattern of low-income communities across the state.</w:t>
      </w:r>
      <w:r w:rsidRPr="006F7C82" w:rsidR="007B7A45">
        <w:rPr>
          <w:rStyle w:val="FootnoteReference"/>
          <w:rFonts w:eastAsia="Calibri"/>
          <w:color w:val="000000" w:themeColor="text1"/>
          <w:szCs w:val="26"/>
        </w:rPr>
        <w:footnoteReference w:id="31"/>
      </w:r>
      <w:r w:rsidRPr="006F7C82" w:rsidR="00833806">
        <w:rPr>
          <w:rFonts w:eastAsia="Calibri"/>
          <w:color w:val="000000" w:themeColor="text1"/>
          <w:szCs w:val="26"/>
        </w:rPr>
        <w:t xml:space="preserve"> </w:t>
      </w:r>
      <w:r w:rsidRPr="006F7C82" w:rsidR="007F0379">
        <w:rPr>
          <w:rFonts w:eastAsia="Calibri"/>
          <w:color w:val="000000" w:themeColor="text1"/>
          <w:szCs w:val="26"/>
        </w:rPr>
        <w:t xml:space="preserve">CCF </w:t>
      </w:r>
      <w:r w:rsidRPr="006F7C82" w:rsidR="006C6F02">
        <w:rPr>
          <w:rFonts w:eastAsia="Calibri"/>
          <w:color w:val="000000" w:themeColor="text1"/>
          <w:szCs w:val="26"/>
        </w:rPr>
        <w:t xml:space="preserve">and UNITE-LA </w:t>
      </w:r>
      <w:r w:rsidRPr="006F7C82" w:rsidR="007F0379">
        <w:rPr>
          <w:rFonts w:eastAsia="Calibri"/>
          <w:color w:val="000000" w:themeColor="text1"/>
          <w:szCs w:val="26"/>
        </w:rPr>
        <w:t xml:space="preserve">similarly support </w:t>
      </w:r>
      <w:r w:rsidRPr="006F7C82" w:rsidR="00A46ACA">
        <w:rPr>
          <w:rFonts w:eastAsia="Calibri"/>
          <w:color w:val="000000" w:themeColor="text1"/>
          <w:szCs w:val="26"/>
        </w:rPr>
        <w:t xml:space="preserve">distributing </w:t>
      </w:r>
      <w:r w:rsidRPr="006F7C82" w:rsidR="004C23BF">
        <w:rPr>
          <w:rFonts w:eastAsia="Calibri"/>
          <w:color w:val="000000" w:themeColor="text1"/>
          <w:szCs w:val="26"/>
        </w:rPr>
        <w:t>funds</w:t>
      </w:r>
      <w:r w:rsidRPr="006F7C82" w:rsidR="007F0379">
        <w:rPr>
          <w:rFonts w:eastAsia="Calibri"/>
          <w:color w:val="000000" w:themeColor="text1"/>
          <w:szCs w:val="26"/>
        </w:rPr>
        <w:t xml:space="preserve"> </w:t>
      </w:r>
      <w:r w:rsidRPr="006F7C82" w:rsidR="00105940">
        <w:rPr>
          <w:rFonts w:eastAsia="Calibri"/>
          <w:color w:val="000000" w:themeColor="text1"/>
          <w:szCs w:val="26"/>
        </w:rPr>
        <w:t xml:space="preserve">in a </w:t>
      </w:r>
      <w:r w:rsidRPr="006F7C82" w:rsidR="006C6F02">
        <w:rPr>
          <w:rFonts w:eastAsia="Calibri"/>
          <w:color w:val="000000" w:themeColor="text1"/>
          <w:szCs w:val="26"/>
        </w:rPr>
        <w:t>manner</w:t>
      </w:r>
      <w:r w:rsidRPr="006F7C82" w:rsidR="00105940">
        <w:rPr>
          <w:rFonts w:eastAsia="Calibri"/>
          <w:color w:val="000000" w:themeColor="text1"/>
          <w:szCs w:val="26"/>
        </w:rPr>
        <w:t xml:space="preserve"> that reflects </w:t>
      </w:r>
      <w:r w:rsidRPr="006F7C82" w:rsidR="001D026A">
        <w:rPr>
          <w:rFonts w:eastAsia="Calibri"/>
          <w:color w:val="000000" w:themeColor="text1"/>
          <w:szCs w:val="26"/>
        </w:rPr>
        <w:t>community income level rather than geographic location</w:t>
      </w:r>
      <w:r w:rsidRPr="006F7C82" w:rsidR="009517C3">
        <w:rPr>
          <w:rFonts w:eastAsia="Calibri"/>
          <w:color w:val="000000" w:themeColor="text1"/>
          <w:szCs w:val="26"/>
        </w:rPr>
        <w:t xml:space="preserve">, noting </w:t>
      </w:r>
      <w:r w:rsidRPr="006F7C82" w:rsidR="00072ACC">
        <w:rPr>
          <w:rFonts w:eastAsia="Calibri"/>
          <w:color w:val="000000" w:themeColor="text1"/>
          <w:szCs w:val="26"/>
        </w:rPr>
        <w:t xml:space="preserve">the concentration of low-income communities is unevenly distributed </w:t>
      </w:r>
      <w:r w:rsidRPr="006F7C82" w:rsidR="00375E66">
        <w:rPr>
          <w:rFonts w:eastAsia="Calibri"/>
          <w:color w:val="000000" w:themeColor="text1"/>
          <w:szCs w:val="26"/>
        </w:rPr>
        <w:t>within the state</w:t>
      </w:r>
      <w:r w:rsidRPr="006F7C82" w:rsidR="00947285">
        <w:rPr>
          <w:rFonts w:eastAsia="Calibri"/>
          <w:color w:val="000000" w:themeColor="text1"/>
          <w:szCs w:val="26"/>
        </w:rPr>
        <w:t>.</w:t>
      </w:r>
      <w:r w:rsidRPr="006F7C82" w:rsidR="00B45929">
        <w:rPr>
          <w:rStyle w:val="FootnoteReference"/>
          <w:rFonts w:eastAsia="Calibri"/>
          <w:color w:val="000000" w:themeColor="text1"/>
          <w:szCs w:val="26"/>
        </w:rPr>
        <w:footnoteReference w:id="32"/>
      </w:r>
      <w:r w:rsidRPr="006F7C82" w:rsidR="00947285">
        <w:rPr>
          <w:rFonts w:eastAsia="Calibri"/>
          <w:color w:val="000000" w:themeColor="text1"/>
          <w:szCs w:val="26"/>
        </w:rPr>
        <w:t xml:space="preserve"> CETF further stresses the importance of conducting outreach to areas with the highest concentrations of poverty, and recommends the Commission mail information to every publicly-subsidized housing complex in the state</w:t>
      </w:r>
      <w:r w:rsidRPr="006F7C82" w:rsidR="003270AA">
        <w:rPr>
          <w:rFonts w:eastAsia="Calibri"/>
          <w:color w:val="000000" w:themeColor="text1"/>
          <w:szCs w:val="26"/>
        </w:rPr>
        <w:t>, of which CSU Chico and CETF have already compiled a comprehensive list</w:t>
      </w:r>
      <w:r w:rsidRPr="006F7C82" w:rsidR="00375E66">
        <w:rPr>
          <w:rFonts w:eastAsia="Calibri"/>
          <w:color w:val="000000" w:themeColor="text1"/>
          <w:szCs w:val="26"/>
        </w:rPr>
        <w:t>.</w:t>
      </w:r>
      <w:r w:rsidRPr="006F7C82" w:rsidR="008B089E">
        <w:rPr>
          <w:rStyle w:val="FootnoteReference"/>
          <w:rFonts w:eastAsia="Calibri"/>
          <w:color w:val="000000" w:themeColor="text1"/>
          <w:szCs w:val="26"/>
        </w:rPr>
        <w:footnoteReference w:id="33"/>
      </w:r>
      <w:r w:rsidRPr="006F7C82" w:rsidR="00375E66">
        <w:rPr>
          <w:rFonts w:eastAsia="Calibri"/>
          <w:color w:val="000000" w:themeColor="text1"/>
          <w:szCs w:val="26"/>
        </w:rPr>
        <w:t xml:space="preserve"> </w:t>
      </w:r>
      <w:r w:rsidRPr="006F7C82" w:rsidR="00114FA2">
        <w:rPr>
          <w:rFonts w:eastAsia="Calibri"/>
          <w:color w:val="000000" w:themeColor="text1"/>
          <w:szCs w:val="26"/>
        </w:rPr>
        <w:t xml:space="preserve">IERBC </w:t>
      </w:r>
      <w:r w:rsidRPr="006F7C82" w:rsidR="00354A94">
        <w:rPr>
          <w:rFonts w:eastAsia="Calibri"/>
          <w:color w:val="000000" w:themeColor="text1"/>
          <w:szCs w:val="26"/>
        </w:rPr>
        <w:t xml:space="preserve">also supports use of the lists developed by CSU Chico and CETF, </w:t>
      </w:r>
      <w:r w:rsidRPr="006F7C82" w:rsidR="00D90854">
        <w:rPr>
          <w:rFonts w:eastAsia="Calibri"/>
          <w:color w:val="000000" w:themeColor="text1"/>
          <w:szCs w:val="26"/>
        </w:rPr>
        <w:t xml:space="preserve">among a number of </w:t>
      </w:r>
      <w:r w:rsidRPr="006F7C82" w:rsidR="004B236E">
        <w:rPr>
          <w:rFonts w:eastAsia="Calibri"/>
          <w:color w:val="000000" w:themeColor="text1"/>
          <w:szCs w:val="26"/>
        </w:rPr>
        <w:t>helpful suggestions.</w:t>
      </w:r>
      <w:r w:rsidRPr="006F7C82" w:rsidR="00012DE5">
        <w:rPr>
          <w:rStyle w:val="FootnoteReference"/>
          <w:rFonts w:eastAsia="Calibri"/>
          <w:color w:val="000000" w:themeColor="text1"/>
          <w:szCs w:val="26"/>
        </w:rPr>
        <w:footnoteReference w:id="34"/>
      </w:r>
    </w:p>
    <w:p w:rsidRPr="006F7C82" w:rsidR="005C009E" w:rsidP="7FDAA6EC" w:rsidRDefault="003E483E" w14:paraId="30A319CC" w14:textId="5170418F">
      <w:pPr>
        <w:pStyle w:val="Standard"/>
        <w:rPr>
          <w:rFonts w:eastAsia="Calibri"/>
          <w:color w:val="000000" w:themeColor="text1"/>
        </w:rPr>
      </w:pPr>
      <w:r w:rsidRPr="006F7C82">
        <w:rPr>
          <w:rFonts w:eastAsia="Calibri"/>
          <w:color w:val="000000" w:themeColor="text1"/>
        </w:rPr>
        <w:t>Also s</w:t>
      </w:r>
      <w:r w:rsidRPr="006F7C82" w:rsidR="00EB1BE2">
        <w:rPr>
          <w:rFonts w:eastAsia="Calibri"/>
          <w:color w:val="000000" w:themeColor="text1"/>
        </w:rPr>
        <w:t xml:space="preserve">imilar to CETF, TURN </w:t>
      </w:r>
      <w:r w:rsidRPr="006F7C82" w:rsidR="00336568">
        <w:rPr>
          <w:rFonts w:eastAsia="Calibri"/>
          <w:color w:val="000000" w:themeColor="text1"/>
        </w:rPr>
        <w:t xml:space="preserve">urges the Commission to </w:t>
      </w:r>
      <w:r w:rsidRPr="006F7C82" w:rsidR="00FE5948">
        <w:rPr>
          <w:rFonts w:eastAsia="Calibri"/>
          <w:color w:val="000000" w:themeColor="text1"/>
        </w:rPr>
        <w:t xml:space="preserve">develop a </w:t>
      </w:r>
      <w:r w:rsidRPr="006F7C82" w:rsidR="00203925">
        <w:rPr>
          <w:rFonts w:eastAsia="Calibri"/>
          <w:color w:val="000000" w:themeColor="text1"/>
        </w:rPr>
        <w:t xml:space="preserve">more holistic </w:t>
      </w:r>
      <w:r w:rsidRPr="006F7C82" w:rsidR="00F149D2">
        <w:rPr>
          <w:rFonts w:eastAsia="Calibri"/>
          <w:color w:val="000000" w:themeColor="text1"/>
        </w:rPr>
        <w:t>process</w:t>
      </w:r>
      <w:r w:rsidRPr="006F7C82" w:rsidR="00F50B96">
        <w:rPr>
          <w:rFonts w:eastAsia="Calibri"/>
          <w:color w:val="000000" w:themeColor="text1"/>
        </w:rPr>
        <w:t xml:space="preserve"> for ensuring equitable distribution of </w:t>
      </w:r>
      <w:r w:rsidRPr="006F7C82" w:rsidR="00C96557">
        <w:rPr>
          <w:rFonts w:eastAsia="Calibri"/>
          <w:color w:val="000000" w:themeColor="text1"/>
        </w:rPr>
        <w:t>Public Housing Account funds</w:t>
      </w:r>
      <w:r w:rsidRPr="006F7C82" w:rsidR="007E714E">
        <w:rPr>
          <w:rFonts w:eastAsia="Calibri"/>
          <w:color w:val="000000" w:themeColor="text1"/>
        </w:rPr>
        <w:t xml:space="preserve">, including </w:t>
      </w:r>
      <w:r w:rsidRPr="006F7C82" w:rsidR="00F149D2">
        <w:rPr>
          <w:rFonts w:eastAsia="Calibri"/>
          <w:color w:val="000000" w:themeColor="text1"/>
        </w:rPr>
        <w:t xml:space="preserve">monitoring the distribution of </w:t>
      </w:r>
      <w:r w:rsidRPr="006F7C82" w:rsidR="00824588">
        <w:rPr>
          <w:rFonts w:eastAsia="Calibri"/>
          <w:color w:val="000000" w:themeColor="text1"/>
        </w:rPr>
        <w:t>applications and grants</w:t>
      </w:r>
      <w:r w:rsidRPr="006F7C82" w:rsidR="00C14645">
        <w:rPr>
          <w:rFonts w:eastAsia="Calibri"/>
          <w:color w:val="000000" w:themeColor="text1"/>
        </w:rPr>
        <w:t xml:space="preserve">, modifying </w:t>
      </w:r>
      <w:r w:rsidRPr="006F7C82" w:rsidR="003D2AB7">
        <w:rPr>
          <w:rFonts w:eastAsia="Calibri"/>
          <w:color w:val="000000" w:themeColor="text1"/>
        </w:rPr>
        <w:t>outreach strategies and program</w:t>
      </w:r>
      <w:r w:rsidRPr="006F7C82" w:rsidR="00C14645">
        <w:rPr>
          <w:rFonts w:eastAsia="Calibri"/>
          <w:color w:val="000000" w:themeColor="text1"/>
        </w:rPr>
        <w:t xml:space="preserve"> rules</w:t>
      </w:r>
      <w:r w:rsidRPr="006F7C82" w:rsidR="00A63064">
        <w:rPr>
          <w:rFonts w:eastAsia="Calibri"/>
          <w:color w:val="000000" w:themeColor="text1"/>
        </w:rPr>
        <w:t xml:space="preserve">, as needed </w:t>
      </w:r>
      <w:r w:rsidRPr="006F7C82" w:rsidR="002B273C">
        <w:rPr>
          <w:rFonts w:eastAsia="Calibri"/>
          <w:color w:val="000000" w:themeColor="text1"/>
        </w:rPr>
        <w:t>to better ensure equitable distribution</w:t>
      </w:r>
      <w:r w:rsidRPr="006F7C82" w:rsidR="004534D7">
        <w:rPr>
          <w:rFonts w:eastAsia="Calibri"/>
          <w:color w:val="000000" w:themeColor="text1"/>
        </w:rPr>
        <w:t xml:space="preserve"> of funds</w:t>
      </w:r>
      <w:r w:rsidRPr="006F7C82" w:rsidR="00BC6A48">
        <w:rPr>
          <w:rFonts w:eastAsia="Calibri"/>
          <w:color w:val="000000" w:themeColor="text1"/>
        </w:rPr>
        <w:t>,</w:t>
      </w:r>
      <w:r w:rsidRPr="006F7C82" w:rsidR="003815F6">
        <w:rPr>
          <w:rFonts w:eastAsia="Calibri"/>
          <w:color w:val="000000" w:themeColor="text1"/>
        </w:rPr>
        <w:t xml:space="preserve"> and adopting safeguards </w:t>
      </w:r>
      <w:r w:rsidRPr="006F7C82" w:rsidR="00EC0CFE">
        <w:rPr>
          <w:rFonts w:eastAsia="Calibri"/>
          <w:color w:val="000000" w:themeColor="text1"/>
        </w:rPr>
        <w:t xml:space="preserve">to ensure </w:t>
      </w:r>
      <w:r w:rsidRPr="006F7C82" w:rsidR="00A9279C">
        <w:rPr>
          <w:rFonts w:eastAsia="Calibri"/>
          <w:color w:val="000000" w:themeColor="text1"/>
        </w:rPr>
        <w:t xml:space="preserve">grant-funded </w:t>
      </w:r>
      <w:r w:rsidRPr="006F7C82" w:rsidR="00E35B02">
        <w:rPr>
          <w:rFonts w:eastAsia="Calibri"/>
          <w:color w:val="000000" w:themeColor="text1"/>
        </w:rPr>
        <w:t>improvements benefit low-income communities into the future.</w:t>
      </w:r>
      <w:r w:rsidRPr="006F7C82" w:rsidR="00B21F24">
        <w:rPr>
          <w:rStyle w:val="FootnoteReference"/>
          <w:rFonts w:eastAsia="Calibri"/>
          <w:color w:val="000000" w:themeColor="text1"/>
        </w:rPr>
        <w:footnoteReference w:id="35"/>
      </w:r>
      <w:r w:rsidRPr="006F7C82" w:rsidR="00BF2F76">
        <w:rPr>
          <w:rFonts w:eastAsia="Calibri"/>
          <w:color w:val="000000" w:themeColor="text1"/>
        </w:rPr>
        <w:t xml:space="preserve"> With respect to </w:t>
      </w:r>
      <w:r w:rsidRPr="006F7C82" w:rsidR="00BF2F76">
        <w:rPr>
          <w:rFonts w:eastAsia="Calibri"/>
          <w:color w:val="000000" w:themeColor="text1"/>
        </w:rPr>
        <w:lastRenderedPageBreak/>
        <w:t>the last element, TURN recommends requiring grantees to attest they will maintain the structure as public housing for a set amount of time after the grant</w:t>
      </w:r>
      <w:r w:rsidR="00013B06">
        <w:rPr>
          <w:rFonts w:eastAsia="Calibri"/>
          <w:color w:val="000000" w:themeColor="text1"/>
        </w:rPr>
        <w:noBreakHyphen/>
      </w:r>
      <w:r w:rsidRPr="006F7C82" w:rsidR="00BF2F76">
        <w:rPr>
          <w:rFonts w:eastAsia="Calibri"/>
          <w:color w:val="000000" w:themeColor="text1"/>
        </w:rPr>
        <w:t>funded improvements are completed.</w:t>
      </w:r>
      <w:r w:rsidRPr="006F7C82" w:rsidR="00A16300">
        <w:rPr>
          <w:rStyle w:val="FootnoteReference"/>
          <w:rFonts w:eastAsia="Calibri"/>
          <w:color w:val="000000" w:themeColor="text1"/>
        </w:rPr>
        <w:footnoteReference w:id="36"/>
      </w:r>
      <w:r w:rsidRPr="006F7C82" w:rsidR="00BC6A48">
        <w:rPr>
          <w:rFonts w:eastAsia="Calibri"/>
          <w:color w:val="000000" w:themeColor="text1"/>
        </w:rPr>
        <w:t xml:space="preserve"> </w:t>
      </w:r>
    </w:p>
    <w:p w:rsidRPr="006F7C82" w:rsidR="7FDAA6EC" w:rsidP="7FDAA6EC" w:rsidRDefault="001E17BF" w14:paraId="68BC62DA" w14:textId="12C0A883">
      <w:pPr>
        <w:pStyle w:val="Standard"/>
        <w:rPr>
          <w:rFonts w:eastAsia="Calibri"/>
          <w:color w:val="000000" w:themeColor="text1"/>
        </w:rPr>
      </w:pPr>
      <w:r w:rsidRPr="006F7C82">
        <w:rPr>
          <w:rFonts w:eastAsia="Calibri"/>
          <w:color w:val="000000" w:themeColor="text1"/>
        </w:rPr>
        <w:t xml:space="preserve">The Commission agrees </w:t>
      </w:r>
      <w:r w:rsidRPr="006F7C82" w:rsidR="00806B52">
        <w:rPr>
          <w:rFonts w:eastAsia="Calibri"/>
          <w:color w:val="000000" w:themeColor="text1"/>
        </w:rPr>
        <w:t xml:space="preserve">that </w:t>
      </w:r>
      <w:r w:rsidRPr="006F7C82" w:rsidR="00131061">
        <w:rPr>
          <w:rFonts w:eastAsia="Calibri"/>
          <w:color w:val="000000" w:themeColor="text1"/>
        </w:rPr>
        <w:t xml:space="preserve">conducting outreach </w:t>
      </w:r>
      <w:r w:rsidRPr="006F7C82" w:rsidR="004564B9">
        <w:rPr>
          <w:rFonts w:eastAsia="Calibri"/>
          <w:color w:val="000000" w:themeColor="text1"/>
        </w:rPr>
        <w:t xml:space="preserve">in areas with the highest concentrations of poverty </w:t>
      </w:r>
      <w:r w:rsidRPr="006F7C82" w:rsidR="00511D98">
        <w:rPr>
          <w:rFonts w:eastAsia="Calibri"/>
          <w:color w:val="000000" w:themeColor="text1"/>
        </w:rPr>
        <w:t xml:space="preserve">should be prioritized, and further that </w:t>
      </w:r>
      <w:r w:rsidRPr="006F7C82" w:rsidR="00BA55A0">
        <w:rPr>
          <w:rFonts w:eastAsia="Calibri"/>
          <w:color w:val="000000" w:themeColor="text1"/>
        </w:rPr>
        <w:t xml:space="preserve">monitoring the distribution of applications and grants is necessary to consider whether </w:t>
      </w:r>
      <w:r w:rsidRPr="006F7C82" w:rsidR="00BE11AB">
        <w:rPr>
          <w:rFonts w:eastAsia="Calibri"/>
          <w:color w:val="000000" w:themeColor="text1"/>
        </w:rPr>
        <w:t xml:space="preserve">outreach </w:t>
      </w:r>
      <w:r w:rsidRPr="006F7C82" w:rsidR="006E5E33">
        <w:rPr>
          <w:rFonts w:eastAsia="Calibri"/>
          <w:color w:val="000000" w:themeColor="text1"/>
        </w:rPr>
        <w:t xml:space="preserve">and </w:t>
      </w:r>
      <w:r w:rsidRPr="006F7C82" w:rsidR="002514E1">
        <w:rPr>
          <w:rFonts w:eastAsia="Calibri"/>
          <w:color w:val="000000" w:themeColor="text1"/>
        </w:rPr>
        <w:t xml:space="preserve">program rules need to be modified to better ensure </w:t>
      </w:r>
      <w:r w:rsidRPr="006F7C82" w:rsidR="00260FAC">
        <w:rPr>
          <w:rFonts w:eastAsia="Calibri"/>
          <w:color w:val="000000" w:themeColor="text1"/>
        </w:rPr>
        <w:t xml:space="preserve">the program </w:t>
      </w:r>
      <w:r w:rsidRPr="006F7C82" w:rsidR="00A21EC3">
        <w:rPr>
          <w:rFonts w:eastAsia="Calibri"/>
          <w:color w:val="000000" w:themeColor="text1"/>
        </w:rPr>
        <w:t>serves those we most intend for it to serve.</w:t>
      </w:r>
      <w:r w:rsidRPr="006F7C82" w:rsidR="00F209CE">
        <w:rPr>
          <w:rFonts w:eastAsia="Calibri"/>
          <w:color w:val="000000" w:themeColor="text1"/>
        </w:rPr>
        <w:t xml:space="preserve"> </w:t>
      </w:r>
      <w:r w:rsidRPr="006F7C82" w:rsidR="00A00062">
        <w:rPr>
          <w:rFonts w:eastAsia="Calibri"/>
          <w:color w:val="000000" w:themeColor="text1"/>
        </w:rPr>
        <w:t xml:space="preserve">We acknowledge and </w:t>
      </w:r>
      <w:r w:rsidRPr="006F7C82" w:rsidR="00B46968">
        <w:rPr>
          <w:rFonts w:eastAsia="Calibri"/>
          <w:color w:val="000000" w:themeColor="text1"/>
        </w:rPr>
        <w:t>con</w:t>
      </w:r>
      <w:r w:rsidRPr="006F7C82" w:rsidR="00722FAE">
        <w:rPr>
          <w:rFonts w:eastAsia="Calibri"/>
          <w:color w:val="000000" w:themeColor="text1"/>
        </w:rPr>
        <w:t xml:space="preserve">firm </w:t>
      </w:r>
      <w:r w:rsidRPr="006F7C82" w:rsidR="00F8203E">
        <w:rPr>
          <w:rFonts w:eastAsia="Calibri"/>
          <w:color w:val="000000" w:themeColor="text1"/>
        </w:rPr>
        <w:t>the Commission’s</w:t>
      </w:r>
      <w:r w:rsidRPr="006F7C82" w:rsidR="00722FAE">
        <w:rPr>
          <w:rFonts w:eastAsia="Calibri"/>
          <w:color w:val="000000" w:themeColor="text1"/>
        </w:rPr>
        <w:t xml:space="preserve"> intent, as stated in D.</w:t>
      </w:r>
      <w:r w:rsidRPr="006F7C82" w:rsidR="00A74B4A">
        <w:rPr>
          <w:rFonts w:eastAsia="Calibri"/>
          <w:color w:val="000000" w:themeColor="text1"/>
        </w:rPr>
        <w:t xml:space="preserve">22-02-026, to </w:t>
      </w:r>
      <w:r w:rsidRPr="006F7C82" w:rsidR="00797CDC">
        <w:rPr>
          <w:rFonts w:eastAsia="Calibri"/>
          <w:color w:val="000000" w:themeColor="text1"/>
        </w:rPr>
        <w:t xml:space="preserve">actively monitor and evaluate outreach efforts to ensure alignment with the Commission’s Environmental and </w:t>
      </w:r>
      <w:r w:rsidRPr="006F7C82" w:rsidR="00B20321">
        <w:rPr>
          <w:rFonts w:eastAsia="Calibri"/>
          <w:color w:val="000000" w:themeColor="text1"/>
        </w:rPr>
        <w:t xml:space="preserve">Social </w:t>
      </w:r>
      <w:r w:rsidRPr="006F7C82" w:rsidR="00797CDC">
        <w:rPr>
          <w:rFonts w:eastAsia="Calibri"/>
          <w:color w:val="000000" w:themeColor="text1"/>
        </w:rPr>
        <w:t xml:space="preserve">Justice </w:t>
      </w:r>
      <w:r w:rsidRPr="006F7C82" w:rsidR="00B20321">
        <w:rPr>
          <w:rFonts w:eastAsia="Calibri"/>
          <w:color w:val="000000" w:themeColor="text1"/>
        </w:rPr>
        <w:t>Action Plan.</w:t>
      </w:r>
    </w:p>
    <w:p w:rsidRPr="006F7C82" w:rsidR="00E35E20" w:rsidP="7FDAA6EC" w:rsidRDefault="00E35E20" w14:paraId="44693A17" w14:textId="3B7F6C19">
      <w:pPr>
        <w:pStyle w:val="Standard"/>
        <w:rPr>
          <w:rFonts w:eastAsia="Calibri"/>
          <w:color w:val="000000" w:themeColor="text1"/>
        </w:rPr>
      </w:pPr>
      <w:r w:rsidRPr="006F7C82">
        <w:rPr>
          <w:rFonts w:eastAsia="Calibri"/>
          <w:color w:val="000000" w:themeColor="text1"/>
        </w:rPr>
        <w:t xml:space="preserve">Regarding TURN’s last </w:t>
      </w:r>
      <w:r w:rsidRPr="006F7C82" w:rsidR="00D55031">
        <w:rPr>
          <w:rFonts w:eastAsia="Calibri"/>
          <w:color w:val="000000" w:themeColor="text1"/>
        </w:rPr>
        <w:t xml:space="preserve">recommendation, </w:t>
      </w:r>
      <w:r w:rsidRPr="006F7C82" w:rsidR="00834A83">
        <w:rPr>
          <w:rFonts w:eastAsia="Calibri"/>
          <w:color w:val="000000" w:themeColor="text1"/>
        </w:rPr>
        <w:t xml:space="preserve">we note </w:t>
      </w:r>
      <w:r w:rsidRPr="006F7C82" w:rsidR="00F370E1">
        <w:rPr>
          <w:rFonts w:eastAsia="Calibri"/>
          <w:color w:val="000000" w:themeColor="text1"/>
        </w:rPr>
        <w:t>the current</w:t>
      </w:r>
      <w:r w:rsidRPr="006F7C82" w:rsidR="00834A83">
        <w:rPr>
          <w:rFonts w:eastAsia="Calibri"/>
          <w:color w:val="000000" w:themeColor="text1"/>
        </w:rPr>
        <w:t xml:space="preserve"> guidelines </w:t>
      </w:r>
      <w:r w:rsidRPr="006F7C82" w:rsidR="007E5298">
        <w:rPr>
          <w:rFonts w:eastAsia="Calibri"/>
          <w:color w:val="000000" w:themeColor="text1"/>
        </w:rPr>
        <w:t>specif</w:t>
      </w:r>
      <w:r w:rsidRPr="006F7C82" w:rsidR="00F370E1">
        <w:rPr>
          <w:rFonts w:eastAsia="Calibri"/>
          <w:color w:val="000000" w:themeColor="text1"/>
        </w:rPr>
        <w:t>y</w:t>
      </w:r>
      <w:r w:rsidRPr="006F7C82" w:rsidR="007E5298">
        <w:rPr>
          <w:rFonts w:eastAsia="Calibri"/>
          <w:color w:val="000000" w:themeColor="text1"/>
        </w:rPr>
        <w:t xml:space="preserve"> that </w:t>
      </w:r>
      <w:r w:rsidRPr="006F7C82" w:rsidR="005F653A">
        <w:rPr>
          <w:rFonts w:eastAsia="Calibri"/>
          <w:color w:val="000000" w:themeColor="text1"/>
        </w:rPr>
        <w:t xml:space="preserve">applicants must attest they expect </w:t>
      </w:r>
      <w:r w:rsidRPr="006F7C82" w:rsidR="00394C13">
        <w:rPr>
          <w:rFonts w:eastAsia="Calibri"/>
          <w:color w:val="000000" w:themeColor="text1"/>
        </w:rPr>
        <w:t xml:space="preserve">the </w:t>
      </w:r>
      <w:r w:rsidRPr="006F7C82" w:rsidR="005F653A">
        <w:rPr>
          <w:rFonts w:eastAsia="Calibri"/>
          <w:color w:val="000000" w:themeColor="text1"/>
        </w:rPr>
        <w:t>property</w:t>
      </w:r>
      <w:r w:rsidRPr="006F7C82" w:rsidR="003421F0">
        <w:rPr>
          <w:rFonts w:eastAsia="Calibri"/>
          <w:color w:val="000000" w:themeColor="text1"/>
        </w:rPr>
        <w:t xml:space="preserve"> to be in residential use</w:t>
      </w:r>
      <w:r w:rsidRPr="006F7C82" w:rsidR="00394C13">
        <w:rPr>
          <w:rFonts w:eastAsia="Calibri"/>
          <w:color w:val="000000" w:themeColor="text1"/>
        </w:rPr>
        <w:t xml:space="preserve"> as public housing </w:t>
      </w:r>
      <w:r w:rsidRPr="006F7C82" w:rsidR="00A2498E">
        <w:rPr>
          <w:rFonts w:eastAsia="Calibri"/>
          <w:color w:val="000000" w:themeColor="text1"/>
        </w:rPr>
        <w:t>for a minimum of ten years</w:t>
      </w:r>
      <w:r w:rsidRPr="006F7C82" w:rsidR="00890A52">
        <w:rPr>
          <w:rFonts w:eastAsia="Calibri"/>
          <w:color w:val="000000" w:themeColor="text1"/>
        </w:rPr>
        <w:t xml:space="preserve">; the Commission agrees to </w:t>
      </w:r>
      <w:r w:rsidRPr="006F7C82" w:rsidR="003421F0">
        <w:rPr>
          <w:rFonts w:eastAsia="Calibri"/>
          <w:color w:val="000000" w:themeColor="text1"/>
        </w:rPr>
        <w:t>retain</w:t>
      </w:r>
      <w:r w:rsidRPr="006F7C82" w:rsidR="006304E2">
        <w:rPr>
          <w:rFonts w:eastAsia="Calibri"/>
          <w:color w:val="000000" w:themeColor="text1"/>
        </w:rPr>
        <w:t xml:space="preserve"> this requirement </w:t>
      </w:r>
      <w:r w:rsidRPr="006F7C82" w:rsidR="00FF2767">
        <w:rPr>
          <w:rFonts w:eastAsia="Calibri"/>
          <w:color w:val="000000" w:themeColor="text1"/>
        </w:rPr>
        <w:t xml:space="preserve">as a basic safeguard </w:t>
      </w:r>
      <w:r w:rsidRPr="006F7C82" w:rsidR="002228FE">
        <w:rPr>
          <w:rFonts w:eastAsia="Calibri"/>
          <w:color w:val="000000" w:themeColor="text1"/>
        </w:rPr>
        <w:t xml:space="preserve">for </w:t>
      </w:r>
      <w:r w:rsidRPr="006F7C82" w:rsidR="00130F74">
        <w:rPr>
          <w:rFonts w:eastAsia="Calibri"/>
          <w:color w:val="000000" w:themeColor="text1"/>
        </w:rPr>
        <w:t>grant-funded improvements to benefit low-in</w:t>
      </w:r>
      <w:r w:rsidRPr="006F7C82" w:rsidR="007A4CE6">
        <w:rPr>
          <w:rFonts w:eastAsia="Calibri"/>
          <w:color w:val="000000" w:themeColor="text1"/>
        </w:rPr>
        <w:t>c</w:t>
      </w:r>
      <w:r w:rsidRPr="006F7C82" w:rsidR="00130F74">
        <w:rPr>
          <w:rFonts w:eastAsia="Calibri"/>
          <w:color w:val="000000" w:themeColor="text1"/>
        </w:rPr>
        <w:t>ome communities into the future.</w:t>
      </w:r>
    </w:p>
    <w:p w:rsidRPr="00FF6FF3" w:rsidR="7FDAA6EC" w:rsidP="00FF6FF3" w:rsidRDefault="7FDAA6EC" w14:paraId="757B676E" w14:textId="48DCFFB2">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How can the Commission identify other low-income communities that would benefit from this program?</w:t>
      </w:r>
    </w:p>
    <w:p w:rsidRPr="006F7C82" w:rsidR="00B20321" w:rsidP="55E90BF0" w:rsidRDefault="006615D9" w14:paraId="4D8B1714" w14:textId="4D7C27A3">
      <w:pPr>
        <w:pStyle w:val="Standard"/>
        <w:rPr>
          <w:rFonts w:eastAsia="Calibri"/>
          <w:color w:val="000000" w:themeColor="text1"/>
          <w:szCs w:val="26"/>
        </w:rPr>
      </w:pPr>
      <w:r w:rsidRPr="006F7C82">
        <w:rPr>
          <w:rFonts w:eastAsia="Calibri"/>
          <w:color w:val="000000" w:themeColor="text1"/>
          <w:szCs w:val="26"/>
        </w:rPr>
        <w:t xml:space="preserve">LAEDC recommends </w:t>
      </w:r>
      <w:r w:rsidRPr="006F7C82" w:rsidR="00DA1177">
        <w:rPr>
          <w:rFonts w:eastAsia="Calibri"/>
          <w:color w:val="000000" w:themeColor="text1"/>
          <w:szCs w:val="26"/>
        </w:rPr>
        <w:t xml:space="preserve">the Commission work with different counties’ Department of Public Social Service </w:t>
      </w:r>
      <w:r w:rsidRPr="006F7C82" w:rsidR="001B4A7E">
        <w:rPr>
          <w:rFonts w:eastAsia="Calibri"/>
          <w:color w:val="000000" w:themeColor="text1"/>
          <w:szCs w:val="26"/>
        </w:rPr>
        <w:t>to identify recipients of California public</w:t>
      </w:r>
      <w:r w:rsidR="00013B06">
        <w:rPr>
          <w:rFonts w:eastAsia="Calibri"/>
          <w:color w:val="000000" w:themeColor="text1"/>
          <w:szCs w:val="26"/>
        </w:rPr>
        <w:t> </w:t>
      </w:r>
      <w:r w:rsidRPr="006F7C82" w:rsidR="001B4A7E">
        <w:rPr>
          <w:rFonts w:eastAsia="Calibri"/>
          <w:color w:val="000000" w:themeColor="text1"/>
          <w:szCs w:val="26"/>
        </w:rPr>
        <w:t>assistance programs such as Cal-Fresh, Medi</w:t>
      </w:r>
      <w:r w:rsidRPr="006F7C82" w:rsidR="006C0D60">
        <w:rPr>
          <w:rFonts w:eastAsia="Calibri"/>
          <w:color w:val="000000" w:themeColor="text1"/>
          <w:szCs w:val="26"/>
        </w:rPr>
        <w:t>-Cal, or the National School Lun</w:t>
      </w:r>
      <w:r w:rsidRPr="006F7C82" w:rsidR="00FE3930">
        <w:rPr>
          <w:rFonts w:eastAsia="Calibri"/>
          <w:color w:val="000000" w:themeColor="text1"/>
          <w:szCs w:val="26"/>
        </w:rPr>
        <w:t>c</w:t>
      </w:r>
      <w:r w:rsidRPr="006F7C82" w:rsidR="006C0D60">
        <w:rPr>
          <w:rFonts w:eastAsia="Calibri"/>
          <w:color w:val="000000" w:themeColor="text1"/>
          <w:szCs w:val="26"/>
        </w:rPr>
        <w:t>h program</w:t>
      </w:r>
      <w:r w:rsidRPr="006F7C82" w:rsidR="00FE3930">
        <w:rPr>
          <w:rFonts w:eastAsia="Calibri"/>
          <w:color w:val="000000" w:themeColor="text1"/>
          <w:szCs w:val="26"/>
        </w:rPr>
        <w:t xml:space="preserve">; LAEDC notes </w:t>
      </w:r>
      <w:r w:rsidRPr="006F7C82" w:rsidR="007473AD">
        <w:rPr>
          <w:rFonts w:eastAsia="Calibri"/>
          <w:color w:val="000000" w:themeColor="text1"/>
          <w:szCs w:val="26"/>
        </w:rPr>
        <w:t xml:space="preserve">these program recipients </w:t>
      </w:r>
      <w:r w:rsidRPr="006F7C82" w:rsidR="005F73CF">
        <w:rPr>
          <w:rFonts w:eastAsia="Calibri"/>
          <w:color w:val="000000" w:themeColor="text1"/>
          <w:szCs w:val="26"/>
        </w:rPr>
        <w:t xml:space="preserve">would also qualify for enrollment </w:t>
      </w:r>
      <w:r w:rsidRPr="006F7C82" w:rsidR="008B43EE">
        <w:rPr>
          <w:rFonts w:eastAsia="Calibri"/>
          <w:color w:val="000000" w:themeColor="text1"/>
          <w:szCs w:val="26"/>
        </w:rPr>
        <w:t xml:space="preserve">in the </w:t>
      </w:r>
      <w:r w:rsidRPr="006F7C82" w:rsidR="00F6317A">
        <w:rPr>
          <w:rFonts w:eastAsia="Calibri"/>
          <w:color w:val="000000" w:themeColor="text1"/>
          <w:szCs w:val="26"/>
        </w:rPr>
        <w:t>ACP</w:t>
      </w:r>
      <w:r w:rsidRPr="006F7C82" w:rsidR="006550E0">
        <w:rPr>
          <w:rFonts w:eastAsia="Calibri"/>
          <w:color w:val="000000" w:themeColor="text1"/>
          <w:szCs w:val="26"/>
        </w:rPr>
        <w:t xml:space="preserve">, so the Commission could </w:t>
      </w:r>
      <w:r w:rsidRPr="006F7C82" w:rsidR="00E03317">
        <w:rPr>
          <w:rFonts w:eastAsia="Calibri"/>
          <w:color w:val="000000" w:themeColor="text1"/>
          <w:szCs w:val="26"/>
        </w:rPr>
        <w:t>support adoption prog</w:t>
      </w:r>
      <w:r w:rsidRPr="006F7C82" w:rsidR="00E431F6">
        <w:rPr>
          <w:rFonts w:eastAsia="Calibri"/>
          <w:color w:val="000000" w:themeColor="text1"/>
          <w:szCs w:val="26"/>
        </w:rPr>
        <w:t>rams to expedite the process for these residents</w:t>
      </w:r>
      <w:r w:rsidRPr="006F7C82" w:rsidR="006C0D60">
        <w:rPr>
          <w:rFonts w:eastAsia="Calibri"/>
          <w:color w:val="000000" w:themeColor="text1"/>
          <w:szCs w:val="26"/>
        </w:rPr>
        <w:t>.</w:t>
      </w:r>
      <w:r w:rsidRPr="006F7C82" w:rsidR="00B86292">
        <w:rPr>
          <w:rStyle w:val="FootnoteReference"/>
          <w:rFonts w:eastAsia="Calibri"/>
          <w:color w:val="000000" w:themeColor="text1"/>
          <w:szCs w:val="26"/>
        </w:rPr>
        <w:footnoteReference w:id="37"/>
      </w:r>
      <w:r w:rsidRPr="006F7C82" w:rsidR="009A48B8">
        <w:rPr>
          <w:rFonts w:eastAsia="Calibri"/>
          <w:color w:val="000000" w:themeColor="text1"/>
          <w:szCs w:val="26"/>
        </w:rPr>
        <w:t xml:space="preserve"> </w:t>
      </w:r>
      <w:r w:rsidRPr="006F7C82" w:rsidR="000F238B">
        <w:rPr>
          <w:rFonts w:eastAsia="Calibri"/>
          <w:color w:val="000000" w:themeColor="text1"/>
          <w:szCs w:val="26"/>
        </w:rPr>
        <w:t xml:space="preserve">TURN and </w:t>
      </w:r>
      <w:r w:rsidRPr="006F7C82" w:rsidR="00961BA8">
        <w:rPr>
          <w:rFonts w:eastAsia="Calibri"/>
          <w:color w:val="000000" w:themeColor="text1"/>
          <w:szCs w:val="26"/>
        </w:rPr>
        <w:t xml:space="preserve">UNITE-LA similarly </w:t>
      </w:r>
      <w:r w:rsidRPr="006F7C82" w:rsidR="00961BA8">
        <w:rPr>
          <w:rFonts w:eastAsia="Calibri"/>
          <w:color w:val="000000" w:themeColor="text1"/>
          <w:szCs w:val="26"/>
        </w:rPr>
        <w:lastRenderedPageBreak/>
        <w:t xml:space="preserve">encourage the Commission to work with other state and local agencies </w:t>
      </w:r>
      <w:r w:rsidRPr="006F7C82" w:rsidR="0018716B">
        <w:rPr>
          <w:rFonts w:eastAsia="Calibri"/>
          <w:color w:val="000000" w:themeColor="text1"/>
          <w:szCs w:val="26"/>
        </w:rPr>
        <w:t xml:space="preserve">to identify participants </w:t>
      </w:r>
      <w:r w:rsidRPr="006F7C82" w:rsidR="00B55AE7">
        <w:rPr>
          <w:rFonts w:eastAsia="Calibri"/>
          <w:color w:val="000000" w:themeColor="text1"/>
          <w:szCs w:val="26"/>
        </w:rPr>
        <w:t>in public assistance programs</w:t>
      </w:r>
      <w:r w:rsidRPr="006F7C82" w:rsidR="00D65863">
        <w:rPr>
          <w:rFonts w:eastAsia="Calibri"/>
          <w:color w:val="000000" w:themeColor="text1"/>
          <w:szCs w:val="26"/>
        </w:rPr>
        <w:t xml:space="preserve">; </w:t>
      </w:r>
      <w:r w:rsidRPr="006F7C82" w:rsidR="0003554F">
        <w:rPr>
          <w:rFonts w:eastAsia="Calibri"/>
          <w:color w:val="000000" w:themeColor="text1"/>
          <w:szCs w:val="26"/>
        </w:rPr>
        <w:t xml:space="preserve">TURN highlights the </w:t>
      </w:r>
      <w:r w:rsidRPr="006F7C82" w:rsidR="001C35ED">
        <w:rPr>
          <w:rFonts w:eastAsia="Calibri"/>
          <w:color w:val="000000" w:themeColor="text1"/>
          <w:szCs w:val="26"/>
        </w:rPr>
        <w:t xml:space="preserve">California Department of Housing and Community Development’s </w:t>
      </w:r>
      <w:r w:rsidRPr="006F7C82" w:rsidR="00D913AF">
        <w:rPr>
          <w:rFonts w:eastAsia="Calibri"/>
          <w:color w:val="000000" w:themeColor="text1"/>
          <w:szCs w:val="26"/>
        </w:rPr>
        <w:t xml:space="preserve">grants to preserve, rehabilitate, and create affordable housing structures that are subject to affordable rent and homeownership requirements as a potentially valuable </w:t>
      </w:r>
      <w:r w:rsidRPr="006F7C82" w:rsidR="00830EA9">
        <w:rPr>
          <w:rFonts w:eastAsia="Calibri"/>
          <w:color w:val="000000" w:themeColor="text1"/>
          <w:szCs w:val="26"/>
        </w:rPr>
        <w:t>information resource</w:t>
      </w:r>
      <w:r w:rsidRPr="006F7C82" w:rsidR="00B55AE7">
        <w:rPr>
          <w:rFonts w:eastAsia="Calibri"/>
          <w:color w:val="000000" w:themeColor="text1"/>
          <w:szCs w:val="26"/>
        </w:rPr>
        <w:t>.</w:t>
      </w:r>
      <w:r w:rsidRPr="006F7C82" w:rsidR="000D3C70">
        <w:rPr>
          <w:rStyle w:val="FootnoteReference"/>
          <w:rFonts w:eastAsia="Calibri"/>
          <w:color w:val="000000" w:themeColor="text1"/>
          <w:szCs w:val="26"/>
        </w:rPr>
        <w:footnoteReference w:id="38"/>
      </w:r>
      <w:r w:rsidRPr="006F7C82" w:rsidR="00B55AE7">
        <w:rPr>
          <w:rFonts w:eastAsia="Calibri"/>
          <w:color w:val="000000" w:themeColor="text1"/>
          <w:szCs w:val="26"/>
        </w:rPr>
        <w:t xml:space="preserve"> </w:t>
      </w:r>
      <w:r w:rsidRPr="006F7C82" w:rsidR="009A48B8">
        <w:rPr>
          <w:rFonts w:eastAsia="Calibri"/>
          <w:color w:val="000000" w:themeColor="text1"/>
          <w:szCs w:val="26"/>
        </w:rPr>
        <w:t xml:space="preserve">CETF recommends </w:t>
      </w:r>
      <w:r w:rsidRPr="006F7C82" w:rsidR="00371601">
        <w:rPr>
          <w:rFonts w:eastAsia="Calibri"/>
          <w:color w:val="000000" w:themeColor="text1"/>
          <w:szCs w:val="26"/>
        </w:rPr>
        <w:t>using the list of all publicly</w:t>
      </w:r>
      <w:r w:rsidR="00013B06">
        <w:rPr>
          <w:rFonts w:eastAsia="Calibri"/>
          <w:color w:val="000000" w:themeColor="text1"/>
          <w:szCs w:val="26"/>
        </w:rPr>
        <w:noBreakHyphen/>
      </w:r>
      <w:r w:rsidRPr="006F7C82" w:rsidR="00371601">
        <w:rPr>
          <w:rFonts w:eastAsia="Calibri"/>
          <w:color w:val="000000" w:themeColor="text1"/>
          <w:szCs w:val="26"/>
        </w:rPr>
        <w:t xml:space="preserve">subsidized housing complexes developed by CSU Chico and CETF, and </w:t>
      </w:r>
      <w:r w:rsidRPr="006F7C82" w:rsidR="00C14378">
        <w:rPr>
          <w:rFonts w:eastAsia="Calibri"/>
          <w:color w:val="000000" w:themeColor="text1"/>
          <w:szCs w:val="26"/>
        </w:rPr>
        <w:t>a</w:t>
      </w:r>
      <w:r w:rsidRPr="006F7C82" w:rsidR="00371601">
        <w:rPr>
          <w:rFonts w:eastAsia="Calibri"/>
          <w:color w:val="000000" w:themeColor="text1"/>
          <w:szCs w:val="26"/>
        </w:rPr>
        <w:t xml:space="preserve"> list of </w:t>
      </w:r>
      <w:r w:rsidRPr="006F7C82" w:rsidR="0018770F">
        <w:rPr>
          <w:rFonts w:eastAsia="Calibri"/>
          <w:color w:val="000000" w:themeColor="text1"/>
          <w:szCs w:val="26"/>
        </w:rPr>
        <w:t xml:space="preserve">high-poverty census tracts </w:t>
      </w:r>
      <w:r w:rsidRPr="006F7C82" w:rsidR="00C14378">
        <w:rPr>
          <w:rFonts w:eastAsia="Calibri"/>
          <w:color w:val="000000" w:themeColor="text1"/>
          <w:szCs w:val="26"/>
        </w:rPr>
        <w:t>that CSU Chico can produce</w:t>
      </w:r>
      <w:r w:rsidRPr="006F7C82" w:rsidR="002372EE">
        <w:rPr>
          <w:rFonts w:eastAsia="Calibri"/>
          <w:color w:val="000000" w:themeColor="text1"/>
          <w:szCs w:val="26"/>
        </w:rPr>
        <w:t xml:space="preserve">; </w:t>
      </w:r>
      <w:r w:rsidRPr="006F7C82" w:rsidR="00540306">
        <w:rPr>
          <w:rFonts w:eastAsia="Calibri"/>
          <w:color w:val="000000" w:themeColor="text1"/>
          <w:szCs w:val="26"/>
        </w:rPr>
        <w:t xml:space="preserve">if the Commission </w:t>
      </w:r>
      <w:r w:rsidRPr="006F7C82" w:rsidR="003C3609">
        <w:rPr>
          <w:rFonts w:eastAsia="Calibri"/>
          <w:color w:val="000000" w:themeColor="text1"/>
          <w:szCs w:val="26"/>
        </w:rPr>
        <w:t xml:space="preserve">succeeds in getting connected </w:t>
      </w:r>
      <w:r w:rsidR="00382961">
        <w:rPr>
          <w:rFonts w:eastAsia="Calibri"/>
          <w:color w:val="000000" w:themeColor="text1"/>
          <w:szCs w:val="26"/>
        </w:rPr>
        <w:t xml:space="preserve">to </w:t>
      </w:r>
      <w:r w:rsidRPr="006F7C82" w:rsidR="003C3609">
        <w:rPr>
          <w:rFonts w:eastAsia="Calibri"/>
          <w:color w:val="000000" w:themeColor="text1"/>
          <w:szCs w:val="26"/>
        </w:rPr>
        <w:t xml:space="preserve">all residents in the communities included in these two lists, </w:t>
      </w:r>
      <w:r w:rsidRPr="006F7C82" w:rsidR="001F620E">
        <w:rPr>
          <w:rFonts w:eastAsia="Calibri"/>
          <w:color w:val="000000" w:themeColor="text1"/>
          <w:szCs w:val="26"/>
        </w:rPr>
        <w:t>the Commission could then focus on other low</w:t>
      </w:r>
      <w:r w:rsidR="00013B06">
        <w:rPr>
          <w:rFonts w:eastAsia="Calibri"/>
          <w:color w:val="000000" w:themeColor="text1"/>
          <w:szCs w:val="26"/>
        </w:rPr>
        <w:noBreakHyphen/>
      </w:r>
      <w:r w:rsidRPr="006F7C82" w:rsidR="001F620E">
        <w:rPr>
          <w:rFonts w:eastAsia="Calibri"/>
          <w:color w:val="000000" w:themeColor="text1"/>
          <w:szCs w:val="26"/>
        </w:rPr>
        <w:t>income communities.</w:t>
      </w:r>
      <w:r w:rsidRPr="006F7C82" w:rsidR="00B004F0">
        <w:rPr>
          <w:rStyle w:val="FootnoteReference"/>
          <w:rFonts w:eastAsia="Calibri"/>
          <w:color w:val="000000" w:themeColor="text1"/>
          <w:szCs w:val="26"/>
        </w:rPr>
        <w:footnoteReference w:id="39"/>
      </w:r>
      <w:r w:rsidRPr="006F7C82" w:rsidR="006C0D60">
        <w:rPr>
          <w:rFonts w:eastAsia="Calibri"/>
          <w:color w:val="000000" w:themeColor="text1"/>
          <w:szCs w:val="26"/>
        </w:rPr>
        <w:t xml:space="preserve"> </w:t>
      </w:r>
    </w:p>
    <w:p w:rsidRPr="006F7C82" w:rsidR="7FDAA6EC" w:rsidP="55E90BF0" w:rsidRDefault="00CC6AB7" w14:paraId="3CE148EA" w14:textId="138F3A9F">
      <w:pPr>
        <w:pStyle w:val="Standard"/>
        <w:rPr>
          <w:rFonts w:eastAsia="Calibri"/>
          <w:color w:val="000000" w:themeColor="text1"/>
        </w:rPr>
      </w:pPr>
      <w:r w:rsidRPr="006F7C82">
        <w:rPr>
          <w:rFonts w:eastAsia="Calibri"/>
          <w:color w:val="000000" w:themeColor="text1"/>
        </w:rPr>
        <w:t xml:space="preserve">The Commission acknowledges and </w:t>
      </w:r>
      <w:r w:rsidRPr="006F7C82" w:rsidR="0061238C">
        <w:rPr>
          <w:rFonts w:eastAsia="Calibri"/>
          <w:color w:val="000000" w:themeColor="text1"/>
        </w:rPr>
        <w:t>agrees</w:t>
      </w:r>
      <w:r w:rsidRPr="006F7C82" w:rsidR="00247EEC">
        <w:rPr>
          <w:rFonts w:eastAsia="Calibri"/>
          <w:color w:val="000000" w:themeColor="text1"/>
        </w:rPr>
        <w:t xml:space="preserve"> generally</w:t>
      </w:r>
      <w:r w:rsidRPr="006F7C82" w:rsidR="0061238C">
        <w:rPr>
          <w:rFonts w:eastAsia="Calibri"/>
          <w:color w:val="000000" w:themeColor="text1"/>
        </w:rPr>
        <w:t xml:space="preserve"> with parties’ recommendations for </w:t>
      </w:r>
      <w:r w:rsidRPr="006F7C82" w:rsidR="0052536B">
        <w:rPr>
          <w:rFonts w:eastAsia="Calibri"/>
          <w:color w:val="000000" w:themeColor="text1"/>
        </w:rPr>
        <w:t>leveraging the expertise of other state agencies</w:t>
      </w:r>
      <w:r w:rsidRPr="006F7C82" w:rsidR="004017D1">
        <w:rPr>
          <w:rFonts w:eastAsia="Calibri"/>
          <w:color w:val="000000" w:themeColor="text1"/>
        </w:rPr>
        <w:t xml:space="preserve"> to better coordinate </w:t>
      </w:r>
      <w:r w:rsidRPr="006F7C82" w:rsidR="00542B27">
        <w:rPr>
          <w:rFonts w:eastAsia="Calibri"/>
          <w:color w:val="000000" w:themeColor="text1"/>
        </w:rPr>
        <w:t xml:space="preserve">outreach and enrollment in </w:t>
      </w:r>
      <w:r w:rsidRPr="006F7C82" w:rsidR="005F1D68">
        <w:rPr>
          <w:rFonts w:eastAsia="Calibri"/>
          <w:color w:val="000000" w:themeColor="text1"/>
        </w:rPr>
        <w:t xml:space="preserve">all assistance programs for which residents are eligible. </w:t>
      </w:r>
      <w:r w:rsidRPr="006F7C82" w:rsidR="00AD1799">
        <w:rPr>
          <w:rFonts w:eastAsia="Calibri"/>
          <w:color w:val="000000" w:themeColor="text1"/>
        </w:rPr>
        <w:t xml:space="preserve">To this end, </w:t>
      </w:r>
      <w:r w:rsidRPr="006F7C82" w:rsidR="005F1D68">
        <w:rPr>
          <w:rFonts w:eastAsia="Calibri"/>
          <w:color w:val="000000" w:themeColor="text1"/>
        </w:rPr>
        <w:t xml:space="preserve">Commission staff intend to </w:t>
      </w:r>
      <w:r w:rsidRPr="006F7C82" w:rsidR="00926E4A">
        <w:rPr>
          <w:rFonts w:eastAsia="Calibri"/>
          <w:color w:val="000000" w:themeColor="text1"/>
        </w:rPr>
        <w:t xml:space="preserve">work both with other state agencies and </w:t>
      </w:r>
      <w:r w:rsidRPr="006F7C82" w:rsidR="00F82F06">
        <w:rPr>
          <w:rFonts w:eastAsia="Calibri"/>
          <w:color w:val="000000" w:themeColor="text1"/>
        </w:rPr>
        <w:t>with</w:t>
      </w:r>
      <w:r w:rsidRPr="006F7C82" w:rsidR="00654E3C">
        <w:rPr>
          <w:rFonts w:eastAsia="Calibri"/>
          <w:color w:val="000000" w:themeColor="text1"/>
        </w:rPr>
        <w:t xml:space="preserve"> </w:t>
      </w:r>
      <w:r w:rsidRPr="006F7C82" w:rsidR="00F82F06">
        <w:rPr>
          <w:rFonts w:eastAsia="Calibri"/>
          <w:color w:val="000000" w:themeColor="text1"/>
        </w:rPr>
        <w:t xml:space="preserve">staff </w:t>
      </w:r>
      <w:r w:rsidRPr="006F7C82" w:rsidR="00430141">
        <w:rPr>
          <w:rFonts w:eastAsia="Calibri"/>
          <w:color w:val="000000" w:themeColor="text1"/>
        </w:rPr>
        <w:t>responsible for</w:t>
      </w:r>
      <w:r w:rsidRPr="006F7C82" w:rsidR="00380182">
        <w:rPr>
          <w:rFonts w:eastAsia="Calibri"/>
          <w:color w:val="000000" w:themeColor="text1"/>
        </w:rPr>
        <w:t xml:space="preserve"> other </w:t>
      </w:r>
      <w:r w:rsidRPr="006F7C82" w:rsidR="0059334A">
        <w:rPr>
          <w:rFonts w:eastAsia="Calibri"/>
          <w:color w:val="000000" w:themeColor="text1"/>
        </w:rPr>
        <w:t>assistance programs overseen or administered by the Commission</w:t>
      </w:r>
      <w:r w:rsidRPr="006F7C82" w:rsidR="00360FD3">
        <w:rPr>
          <w:rFonts w:eastAsia="Calibri"/>
          <w:color w:val="000000" w:themeColor="text1"/>
        </w:rPr>
        <w:t xml:space="preserve">, and the Commission </w:t>
      </w:r>
      <w:r w:rsidRPr="006F7C82" w:rsidR="000D5364">
        <w:rPr>
          <w:rFonts w:eastAsia="Calibri"/>
          <w:color w:val="000000" w:themeColor="text1"/>
        </w:rPr>
        <w:t xml:space="preserve">may </w:t>
      </w:r>
      <w:r w:rsidRPr="006F7C82" w:rsidR="00360FD3">
        <w:rPr>
          <w:rFonts w:eastAsia="Calibri"/>
          <w:color w:val="000000" w:themeColor="text1"/>
        </w:rPr>
        <w:t xml:space="preserve">seek </w:t>
      </w:r>
      <w:r w:rsidRPr="006F7C82" w:rsidR="00183B2F">
        <w:rPr>
          <w:rFonts w:eastAsia="Calibri"/>
          <w:color w:val="000000" w:themeColor="text1"/>
        </w:rPr>
        <w:t>interagency agreements of memoranda of understanding as needed.</w:t>
      </w:r>
    </w:p>
    <w:p w:rsidRPr="00FF6FF3" w:rsidR="7FDAA6EC" w:rsidP="00FF6FF3" w:rsidRDefault="7FDAA6EC" w14:paraId="2B83F080" w14:textId="7964C336">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Prior to SB 156, eligibility was limited to unserved applicants, defined as “a housing development where at least one housing unit within the housing development is not offered broadband Internet service.”</w:t>
      </w:r>
      <w:r w:rsidRPr="00806ADE" w:rsidR="00824790">
        <w:rPr>
          <w:rStyle w:val="FootnoteReference"/>
          <w:rFonts w:eastAsia="Calibri"/>
          <w:i/>
          <w:iCs/>
          <w:color w:val="000000" w:themeColor="text1"/>
        </w:rPr>
        <w:footnoteReference w:id="40"/>
      </w:r>
      <w:r w:rsidRPr="004C2B66" w:rsidR="00F209CE">
        <w:rPr>
          <w:rFonts w:eastAsia="Calibri"/>
          <w:i/>
          <w:iCs/>
          <w:color w:val="000000" w:themeColor="text1"/>
        </w:rPr>
        <w:t xml:space="preserve"> </w:t>
      </w:r>
      <w:r w:rsidRPr="004C2B66">
        <w:rPr>
          <w:rFonts w:eastAsia="Calibri"/>
          <w:i/>
          <w:iCs/>
          <w:color w:val="000000" w:themeColor="text1"/>
        </w:rPr>
        <w:t>The Public Housing Account rules provided ISPs an opportunity to challenge an application by providing evidence to the Commission showing that the ISP serves or has offered to serve the applicant.</w:t>
      </w:r>
      <w:r w:rsidRPr="004C2B66" w:rsidR="00F209CE">
        <w:rPr>
          <w:rFonts w:eastAsia="Calibri"/>
          <w:i/>
          <w:iCs/>
          <w:color w:val="000000" w:themeColor="text1"/>
        </w:rPr>
        <w:t xml:space="preserve"> </w:t>
      </w:r>
      <w:r w:rsidRPr="004C2B66">
        <w:rPr>
          <w:rFonts w:eastAsia="Calibri"/>
          <w:i/>
          <w:iCs/>
          <w:color w:val="000000" w:themeColor="text1"/>
        </w:rPr>
        <w:t xml:space="preserve">However, SB 156 eliminated the </w:t>
      </w:r>
      <w:r w:rsidRPr="004C2B66">
        <w:rPr>
          <w:rFonts w:eastAsia="Calibri"/>
          <w:i/>
          <w:iCs/>
          <w:color w:val="000000" w:themeColor="text1"/>
        </w:rPr>
        <w:lastRenderedPageBreak/>
        <w:t>requirement that applicants be unserved; rather, now a “low</w:t>
      </w:r>
      <w:r w:rsidR="00013B06">
        <w:rPr>
          <w:rFonts w:eastAsia="Calibri"/>
          <w:i/>
          <w:iCs/>
          <w:color w:val="000000" w:themeColor="text1"/>
        </w:rPr>
        <w:noBreakHyphen/>
      </w:r>
      <w:r w:rsidRPr="004C2B66">
        <w:rPr>
          <w:rFonts w:eastAsia="Calibri"/>
          <w:i/>
          <w:iCs/>
          <w:color w:val="000000" w:themeColor="text1"/>
        </w:rPr>
        <w:t>income community may be an eligible applicant if the low</w:t>
      </w:r>
      <w:r w:rsidR="00013B06">
        <w:rPr>
          <w:rFonts w:eastAsia="Calibri"/>
          <w:i/>
          <w:iCs/>
          <w:color w:val="000000" w:themeColor="text1"/>
        </w:rPr>
        <w:noBreakHyphen/>
      </w:r>
      <w:r w:rsidRPr="004C2B66">
        <w:rPr>
          <w:rFonts w:eastAsia="Calibri"/>
          <w:i/>
          <w:iCs/>
          <w:color w:val="000000" w:themeColor="text1"/>
        </w:rPr>
        <w:t>income community does not have access to any broadband service provider that offers free broadband service that meets or exceeds state standards, as determined by the commission, for the residents of the low-income community.”</w:t>
      </w:r>
    </w:p>
    <w:p w:rsidRPr="00806ADE" w:rsidR="00D3501B" w:rsidP="009F11FB" w:rsidRDefault="7FDAA6EC" w14:paraId="34E4E329" w14:textId="6E6F1D0C">
      <w:pPr>
        <w:pStyle w:val="Standard"/>
        <w:numPr>
          <w:ilvl w:val="1"/>
          <w:numId w:val="4"/>
        </w:numPr>
        <w:spacing w:after="120" w:line="240" w:lineRule="auto"/>
        <w:ind w:right="1440"/>
        <w:rPr>
          <w:rFonts w:asciiTheme="minorHAnsi" w:hAnsiTheme="minorHAnsi" w:eastAsiaTheme="minorEastAsia"/>
          <w:i/>
          <w:iCs/>
          <w:color w:val="000000" w:themeColor="text1"/>
          <w:szCs w:val="26"/>
        </w:rPr>
      </w:pPr>
      <w:r w:rsidRPr="004C2B66">
        <w:rPr>
          <w:rFonts w:eastAsia="Calibri"/>
          <w:i/>
          <w:iCs/>
          <w:color w:val="000000" w:themeColor="text1"/>
          <w:szCs w:val="26"/>
        </w:rPr>
        <w:t xml:space="preserve">Should the Commission eliminate the challenge </w:t>
      </w:r>
      <w:proofErr w:type="gramStart"/>
      <w:r w:rsidRPr="004C2B66">
        <w:rPr>
          <w:rFonts w:eastAsia="Calibri"/>
          <w:i/>
          <w:iCs/>
          <w:color w:val="000000" w:themeColor="text1"/>
          <w:szCs w:val="26"/>
        </w:rPr>
        <w:t>process, now that</w:t>
      </w:r>
      <w:proofErr w:type="gramEnd"/>
      <w:r w:rsidRPr="004C2B66">
        <w:rPr>
          <w:rFonts w:eastAsia="Calibri"/>
          <w:i/>
          <w:iCs/>
          <w:color w:val="000000" w:themeColor="text1"/>
          <w:szCs w:val="26"/>
        </w:rPr>
        <w:t xml:space="preserve"> it is no longer required by statute and now that eligible entities are no longer required to be unserved?</w:t>
      </w:r>
      <w:r w:rsidRPr="004C2B66" w:rsidR="00F209CE">
        <w:rPr>
          <w:rFonts w:eastAsia="Calibri"/>
          <w:i/>
          <w:iCs/>
          <w:color w:val="000000" w:themeColor="text1"/>
          <w:szCs w:val="26"/>
        </w:rPr>
        <w:t xml:space="preserve"> </w:t>
      </w:r>
      <w:r w:rsidRPr="004C2B66">
        <w:rPr>
          <w:rFonts w:eastAsia="Calibri"/>
          <w:i/>
          <w:iCs/>
          <w:color w:val="000000" w:themeColor="text1"/>
          <w:szCs w:val="26"/>
        </w:rPr>
        <w:t xml:space="preserve">Why or why </w:t>
      </w:r>
      <w:r w:rsidRPr="00806ADE">
        <w:rPr>
          <w:rFonts w:eastAsia="Calibri"/>
          <w:i/>
          <w:iCs/>
          <w:color w:val="000000" w:themeColor="text1"/>
          <w:szCs w:val="26"/>
        </w:rPr>
        <w:t>not?</w:t>
      </w:r>
    </w:p>
    <w:p w:rsidRPr="006F7C82" w:rsidR="00F74A18" w:rsidRDefault="006B3C2F" w14:paraId="0E26AC95" w14:textId="138D57DD">
      <w:pPr>
        <w:pStyle w:val="Standard"/>
        <w:rPr>
          <w:rFonts w:eastAsia="Calibri"/>
          <w:color w:val="000000" w:themeColor="text1"/>
        </w:rPr>
      </w:pPr>
      <w:r w:rsidRPr="00806ADE">
        <w:rPr>
          <w:rFonts w:eastAsia="Calibri"/>
          <w:color w:val="000000" w:themeColor="text1"/>
        </w:rPr>
        <w:t xml:space="preserve">Most parties addressing this question support eliminating the </w:t>
      </w:r>
      <w:r w:rsidRPr="00806ADE" w:rsidR="00763468">
        <w:rPr>
          <w:rFonts w:eastAsia="Calibri"/>
          <w:color w:val="000000" w:themeColor="text1"/>
        </w:rPr>
        <w:t>challenge</w:t>
      </w:r>
      <w:r w:rsidRPr="006F7C82" w:rsidR="00763468">
        <w:rPr>
          <w:rFonts w:eastAsia="Calibri"/>
          <w:color w:val="000000" w:themeColor="text1"/>
        </w:rPr>
        <w:t xml:space="preserve"> process</w:t>
      </w:r>
      <w:r w:rsidRPr="006F7C82" w:rsidR="001D3340">
        <w:rPr>
          <w:rFonts w:eastAsia="Calibri"/>
          <w:color w:val="000000" w:themeColor="text1"/>
        </w:rPr>
        <w:t>, generally</w:t>
      </w:r>
      <w:r w:rsidRPr="006F7C82" w:rsidR="00084F26">
        <w:rPr>
          <w:rFonts w:eastAsia="Calibri"/>
          <w:color w:val="000000" w:themeColor="text1"/>
        </w:rPr>
        <w:t xml:space="preserve"> asserting this process has often stalled </w:t>
      </w:r>
      <w:r w:rsidRPr="006F7C82" w:rsidR="00720CE4">
        <w:rPr>
          <w:rFonts w:eastAsia="Calibri"/>
          <w:color w:val="000000" w:themeColor="text1"/>
        </w:rPr>
        <w:t xml:space="preserve">proposed applications </w:t>
      </w:r>
      <w:r w:rsidRPr="006F7C82" w:rsidR="000E3F1A">
        <w:rPr>
          <w:rFonts w:eastAsia="Calibri"/>
          <w:color w:val="000000" w:themeColor="text1"/>
        </w:rPr>
        <w:t xml:space="preserve">and has not assisted in connecting more residents. </w:t>
      </w:r>
      <w:r w:rsidRPr="006F7C82" w:rsidR="007F7956">
        <w:rPr>
          <w:rFonts w:eastAsia="Calibri"/>
          <w:color w:val="000000" w:themeColor="text1"/>
        </w:rPr>
        <w:t xml:space="preserve">The Commission acknowledges </w:t>
      </w:r>
      <w:r w:rsidRPr="006F7C82" w:rsidR="00D229AF">
        <w:rPr>
          <w:rFonts w:eastAsia="Calibri"/>
          <w:color w:val="000000" w:themeColor="text1"/>
        </w:rPr>
        <w:t xml:space="preserve">CCTA’s and NDC’s comments </w:t>
      </w:r>
      <w:r w:rsidRPr="006F7C82" w:rsidR="009909C2">
        <w:rPr>
          <w:rFonts w:eastAsia="Calibri"/>
          <w:color w:val="000000" w:themeColor="text1"/>
        </w:rPr>
        <w:t xml:space="preserve">recommending </w:t>
      </w:r>
      <w:r w:rsidR="000A1580">
        <w:rPr>
          <w:rFonts w:eastAsia="Calibri"/>
          <w:color w:val="000000" w:themeColor="text1"/>
        </w:rPr>
        <w:t>that</w:t>
      </w:r>
      <w:r w:rsidRPr="006F7C82" w:rsidR="000A1580">
        <w:rPr>
          <w:rFonts w:eastAsia="Calibri"/>
          <w:color w:val="000000" w:themeColor="text1"/>
        </w:rPr>
        <w:t xml:space="preserve"> </w:t>
      </w:r>
      <w:r w:rsidRPr="006F7C82" w:rsidR="00D229AF">
        <w:rPr>
          <w:rFonts w:eastAsia="Calibri"/>
          <w:color w:val="000000" w:themeColor="text1"/>
        </w:rPr>
        <w:t>the challenge process</w:t>
      </w:r>
      <w:r w:rsidRPr="00582648" w:rsidR="00582648">
        <w:rPr>
          <w:rFonts w:eastAsia="Calibri"/>
          <w:color w:val="000000" w:themeColor="text1"/>
        </w:rPr>
        <w:t xml:space="preserve"> </w:t>
      </w:r>
      <w:r w:rsidR="00582648">
        <w:rPr>
          <w:rFonts w:eastAsia="Calibri"/>
          <w:color w:val="000000" w:themeColor="text1"/>
        </w:rPr>
        <w:t>be re</w:t>
      </w:r>
      <w:r w:rsidRPr="006F7C82" w:rsidR="00582648">
        <w:rPr>
          <w:rFonts w:eastAsia="Calibri"/>
          <w:color w:val="000000" w:themeColor="text1"/>
        </w:rPr>
        <w:t>tain</w:t>
      </w:r>
      <w:r w:rsidR="00582648">
        <w:rPr>
          <w:rFonts w:eastAsia="Calibri"/>
          <w:color w:val="000000" w:themeColor="text1"/>
        </w:rPr>
        <w:t>ed</w:t>
      </w:r>
      <w:r w:rsidRPr="006F7C82" w:rsidR="0096184C">
        <w:rPr>
          <w:rFonts w:eastAsia="Calibri"/>
          <w:color w:val="000000" w:themeColor="text1"/>
        </w:rPr>
        <w:t>.</w:t>
      </w:r>
      <w:r w:rsidRPr="006F7C82" w:rsidR="00633060">
        <w:rPr>
          <w:rStyle w:val="FootnoteReference"/>
          <w:rFonts w:eastAsia="Calibri"/>
          <w:color w:val="000000" w:themeColor="text1"/>
        </w:rPr>
        <w:footnoteReference w:id="41"/>
      </w:r>
      <w:r w:rsidRPr="006F7C82" w:rsidR="0096184C">
        <w:rPr>
          <w:rFonts w:eastAsia="Calibri"/>
          <w:color w:val="000000" w:themeColor="text1"/>
        </w:rPr>
        <w:t xml:space="preserve"> </w:t>
      </w:r>
      <w:r w:rsidRPr="006F7C82" w:rsidR="009C22C9">
        <w:rPr>
          <w:rFonts w:eastAsia="Calibri"/>
          <w:color w:val="000000" w:themeColor="text1"/>
        </w:rPr>
        <w:t xml:space="preserve">We note, however, that </w:t>
      </w:r>
      <w:r w:rsidRPr="006F7C82" w:rsidR="007919F4">
        <w:rPr>
          <w:rFonts w:eastAsia="Calibri"/>
          <w:color w:val="000000" w:themeColor="text1"/>
        </w:rPr>
        <w:t xml:space="preserve">even if a </w:t>
      </w:r>
      <w:r w:rsidRPr="006F7C82" w:rsidR="00504304">
        <w:rPr>
          <w:rFonts w:eastAsia="Calibri"/>
          <w:color w:val="000000" w:themeColor="text1"/>
        </w:rPr>
        <w:t xml:space="preserve">service provider </w:t>
      </w:r>
      <w:r w:rsidRPr="006F7C82" w:rsidR="007F587D">
        <w:rPr>
          <w:rFonts w:eastAsia="Calibri"/>
          <w:color w:val="000000" w:themeColor="text1"/>
        </w:rPr>
        <w:t>provides access to</w:t>
      </w:r>
      <w:r w:rsidRPr="006F7C82" w:rsidR="00504304">
        <w:rPr>
          <w:rFonts w:eastAsia="Calibri"/>
          <w:color w:val="000000" w:themeColor="text1"/>
        </w:rPr>
        <w:t xml:space="preserve"> free broadband service </w:t>
      </w:r>
      <w:r w:rsidRPr="006F7C82" w:rsidR="00F46C1E">
        <w:rPr>
          <w:rFonts w:eastAsia="Calibri"/>
          <w:color w:val="000000" w:themeColor="text1"/>
        </w:rPr>
        <w:t xml:space="preserve">to an eligible community, </w:t>
      </w:r>
      <w:r w:rsidRPr="006F7C82" w:rsidR="00F831CE">
        <w:rPr>
          <w:rFonts w:eastAsia="Calibri"/>
          <w:color w:val="000000" w:themeColor="text1"/>
        </w:rPr>
        <w:t>there is currently no</w:t>
      </w:r>
      <w:r w:rsidRPr="006F7C82" w:rsidR="00AC6E49">
        <w:rPr>
          <w:rFonts w:eastAsia="Calibri"/>
          <w:color w:val="000000" w:themeColor="text1"/>
        </w:rPr>
        <w:t xml:space="preserve"> general requirement</w:t>
      </w:r>
      <w:r w:rsidRPr="006F7C82" w:rsidR="00971DFF">
        <w:rPr>
          <w:rFonts w:eastAsia="Calibri"/>
          <w:color w:val="000000" w:themeColor="text1"/>
        </w:rPr>
        <w:t xml:space="preserve"> that the service provider continue </w:t>
      </w:r>
      <w:r w:rsidRPr="006F7C82" w:rsidR="00B81370">
        <w:rPr>
          <w:rFonts w:eastAsia="Calibri"/>
          <w:color w:val="000000" w:themeColor="text1"/>
        </w:rPr>
        <w:t xml:space="preserve">to </w:t>
      </w:r>
      <w:r w:rsidRPr="006F7C82" w:rsidR="007F587D">
        <w:rPr>
          <w:rFonts w:eastAsia="Calibri"/>
          <w:color w:val="000000" w:themeColor="text1"/>
        </w:rPr>
        <w:t>provide</w:t>
      </w:r>
      <w:r w:rsidRPr="006F7C82" w:rsidR="00B81370">
        <w:rPr>
          <w:rFonts w:eastAsia="Calibri"/>
          <w:color w:val="000000" w:themeColor="text1"/>
        </w:rPr>
        <w:t xml:space="preserve"> such </w:t>
      </w:r>
      <w:r w:rsidRPr="006F7C82" w:rsidR="007F587D">
        <w:rPr>
          <w:rFonts w:eastAsia="Calibri"/>
          <w:color w:val="000000" w:themeColor="text1"/>
        </w:rPr>
        <w:t>access</w:t>
      </w:r>
      <w:r w:rsidRPr="006F7C82" w:rsidR="005E4BA9">
        <w:rPr>
          <w:rFonts w:eastAsia="Calibri"/>
          <w:color w:val="000000" w:themeColor="text1"/>
        </w:rPr>
        <w:t xml:space="preserve"> for any duration </w:t>
      </w:r>
      <w:r w:rsidRPr="006F7C82" w:rsidR="008E1FE9">
        <w:rPr>
          <w:rFonts w:eastAsia="Calibri"/>
          <w:color w:val="000000" w:themeColor="text1"/>
        </w:rPr>
        <w:t>into the future</w:t>
      </w:r>
      <w:r w:rsidRPr="006F7C82" w:rsidR="001A63DE">
        <w:rPr>
          <w:rFonts w:eastAsia="Calibri"/>
          <w:color w:val="000000" w:themeColor="text1"/>
        </w:rPr>
        <w:t>.</w:t>
      </w:r>
      <w:r w:rsidRPr="006F7C82" w:rsidR="00DB6838">
        <w:rPr>
          <w:rFonts w:eastAsia="Calibri"/>
          <w:color w:val="000000" w:themeColor="text1"/>
        </w:rPr>
        <w:t xml:space="preserve"> In this context, the challenge process </w:t>
      </w:r>
      <w:r w:rsidRPr="006F7C82" w:rsidR="002320C2">
        <w:rPr>
          <w:rFonts w:eastAsia="Calibri"/>
          <w:color w:val="000000" w:themeColor="text1"/>
        </w:rPr>
        <w:t xml:space="preserve">poses an obstacle </w:t>
      </w:r>
      <w:r w:rsidRPr="006F7C82" w:rsidR="004308B7">
        <w:rPr>
          <w:rFonts w:eastAsia="Calibri"/>
          <w:color w:val="000000" w:themeColor="text1"/>
        </w:rPr>
        <w:t xml:space="preserve">to </w:t>
      </w:r>
      <w:r w:rsidRPr="006F7C82" w:rsidR="006F5927">
        <w:rPr>
          <w:rFonts w:eastAsia="Calibri"/>
          <w:color w:val="000000" w:themeColor="text1"/>
        </w:rPr>
        <w:t>providing free broadband service to eligible communities</w:t>
      </w:r>
      <w:r w:rsidRPr="006F7C82" w:rsidR="007B16BD">
        <w:rPr>
          <w:rFonts w:eastAsia="Calibri"/>
          <w:color w:val="000000" w:themeColor="text1"/>
        </w:rPr>
        <w:t xml:space="preserve">. </w:t>
      </w:r>
      <w:r w:rsidRPr="006F7C82" w:rsidR="009053A3">
        <w:rPr>
          <w:rFonts w:eastAsia="Calibri"/>
          <w:color w:val="000000" w:themeColor="text1"/>
        </w:rPr>
        <w:t xml:space="preserve">Further, removal of the challenge process does not </w:t>
      </w:r>
      <w:r w:rsidRPr="006F7C82" w:rsidR="00D57697">
        <w:rPr>
          <w:rFonts w:eastAsia="Calibri"/>
          <w:color w:val="000000" w:themeColor="text1"/>
        </w:rPr>
        <w:t>pre</w:t>
      </w:r>
      <w:r w:rsidRPr="006F7C82" w:rsidR="00142933">
        <w:rPr>
          <w:rFonts w:eastAsia="Calibri"/>
          <w:color w:val="000000" w:themeColor="text1"/>
        </w:rPr>
        <w:t>c</w:t>
      </w:r>
      <w:r w:rsidRPr="006F7C82" w:rsidR="00D57697">
        <w:rPr>
          <w:rFonts w:eastAsia="Calibri"/>
          <w:color w:val="000000" w:themeColor="text1"/>
        </w:rPr>
        <w:t>lude a service provider</w:t>
      </w:r>
      <w:r w:rsidRPr="006F7C82" w:rsidR="00142933">
        <w:rPr>
          <w:rFonts w:eastAsia="Calibri"/>
          <w:color w:val="000000" w:themeColor="text1"/>
        </w:rPr>
        <w:t xml:space="preserve"> from </w:t>
      </w:r>
      <w:r w:rsidRPr="006F7C82" w:rsidR="00A7509E">
        <w:rPr>
          <w:rFonts w:eastAsia="Calibri"/>
          <w:color w:val="000000" w:themeColor="text1"/>
        </w:rPr>
        <w:t xml:space="preserve">notifying the Commission or Commission staff that it already provides </w:t>
      </w:r>
      <w:r w:rsidRPr="006F7C82" w:rsidR="000C522C">
        <w:rPr>
          <w:rFonts w:eastAsia="Calibri"/>
          <w:color w:val="000000" w:themeColor="text1"/>
        </w:rPr>
        <w:t>service to a community</w:t>
      </w:r>
      <w:r w:rsidRPr="006F7C82" w:rsidR="00900AB2">
        <w:rPr>
          <w:rFonts w:eastAsia="Calibri"/>
          <w:color w:val="000000" w:themeColor="text1"/>
        </w:rPr>
        <w:t xml:space="preserve"> for which the Commission has received an application. </w:t>
      </w:r>
      <w:r w:rsidRPr="006F7C82" w:rsidR="00736467">
        <w:rPr>
          <w:rFonts w:eastAsia="Calibri"/>
          <w:color w:val="000000" w:themeColor="text1"/>
        </w:rPr>
        <w:t xml:space="preserve">Removal of the </w:t>
      </w:r>
      <w:r w:rsidRPr="006F7C82" w:rsidR="001E1C88">
        <w:rPr>
          <w:rFonts w:eastAsia="Calibri"/>
          <w:color w:val="000000" w:themeColor="text1"/>
        </w:rPr>
        <w:t xml:space="preserve">challenge process simply means </w:t>
      </w:r>
      <w:r w:rsidRPr="006F7C82" w:rsidR="00867E86">
        <w:rPr>
          <w:rFonts w:eastAsia="Calibri"/>
          <w:color w:val="000000" w:themeColor="text1"/>
        </w:rPr>
        <w:t xml:space="preserve">applications </w:t>
      </w:r>
      <w:r w:rsidRPr="006F7C82" w:rsidR="0032660E">
        <w:rPr>
          <w:rFonts w:eastAsia="Calibri"/>
          <w:color w:val="000000" w:themeColor="text1"/>
        </w:rPr>
        <w:t xml:space="preserve">will not automatically be denied </w:t>
      </w:r>
      <w:r w:rsidRPr="006F7C82" w:rsidR="003C2E9A">
        <w:rPr>
          <w:rFonts w:eastAsia="Calibri"/>
          <w:color w:val="000000" w:themeColor="text1"/>
        </w:rPr>
        <w:t>on the basis</w:t>
      </w:r>
      <w:r w:rsidRPr="006F7C82" w:rsidR="00EA1FAB">
        <w:rPr>
          <w:rFonts w:eastAsia="Calibri"/>
          <w:color w:val="000000" w:themeColor="text1"/>
        </w:rPr>
        <w:t xml:space="preserve"> that a service provider </w:t>
      </w:r>
      <w:r w:rsidRPr="006F7C82" w:rsidR="008F7B19">
        <w:rPr>
          <w:rFonts w:eastAsia="Calibri"/>
          <w:color w:val="000000" w:themeColor="text1"/>
        </w:rPr>
        <w:t>already provides access to the community</w:t>
      </w:r>
      <w:r w:rsidRPr="006F7C82" w:rsidR="00244B6E">
        <w:rPr>
          <w:rFonts w:eastAsia="Calibri"/>
          <w:color w:val="000000" w:themeColor="text1"/>
        </w:rPr>
        <w:t xml:space="preserve">, again with no guarantee </w:t>
      </w:r>
      <w:r w:rsidRPr="006F7C82" w:rsidR="002F03FD">
        <w:rPr>
          <w:rFonts w:eastAsia="Calibri"/>
          <w:color w:val="000000" w:themeColor="text1"/>
        </w:rPr>
        <w:t xml:space="preserve">of continued </w:t>
      </w:r>
      <w:r w:rsidRPr="006F7C82" w:rsidR="00713030">
        <w:rPr>
          <w:rFonts w:eastAsia="Calibri"/>
          <w:color w:val="000000" w:themeColor="text1"/>
        </w:rPr>
        <w:t xml:space="preserve">access into the future. </w:t>
      </w:r>
      <w:r w:rsidRPr="006F7C82" w:rsidR="001F1633">
        <w:rPr>
          <w:rFonts w:eastAsia="Calibri"/>
          <w:color w:val="000000" w:themeColor="text1"/>
        </w:rPr>
        <w:t>The Commission</w:t>
      </w:r>
      <w:r w:rsidRPr="006F7C82" w:rsidR="00BF2CA1">
        <w:rPr>
          <w:rFonts w:eastAsia="Calibri"/>
          <w:color w:val="000000" w:themeColor="text1"/>
        </w:rPr>
        <w:t>, however,</w:t>
      </w:r>
      <w:r w:rsidRPr="006F7C82" w:rsidR="001F1633">
        <w:rPr>
          <w:rFonts w:eastAsia="Calibri"/>
          <w:color w:val="000000" w:themeColor="text1"/>
        </w:rPr>
        <w:t xml:space="preserve"> </w:t>
      </w:r>
      <w:r w:rsidRPr="006F7C82" w:rsidR="00EE1B3A">
        <w:rPr>
          <w:rFonts w:eastAsia="Calibri"/>
          <w:color w:val="000000" w:themeColor="text1"/>
        </w:rPr>
        <w:t>maintains</w:t>
      </w:r>
      <w:r w:rsidRPr="006F7C82" w:rsidR="001F1633">
        <w:rPr>
          <w:rFonts w:eastAsia="Calibri"/>
          <w:color w:val="000000" w:themeColor="text1"/>
        </w:rPr>
        <w:t xml:space="preserve"> </w:t>
      </w:r>
      <w:r w:rsidRPr="006F7C82" w:rsidR="00C947E2">
        <w:rPr>
          <w:rFonts w:eastAsia="Calibri"/>
          <w:color w:val="000000" w:themeColor="text1"/>
        </w:rPr>
        <w:t xml:space="preserve">discretion to </w:t>
      </w:r>
      <w:r w:rsidRPr="006F7C82" w:rsidR="00030966">
        <w:rPr>
          <w:rFonts w:eastAsia="Calibri"/>
          <w:color w:val="000000" w:themeColor="text1"/>
        </w:rPr>
        <w:t xml:space="preserve">deny applications </w:t>
      </w:r>
      <w:r w:rsidRPr="006F7C82" w:rsidR="005940C3">
        <w:rPr>
          <w:rFonts w:eastAsia="Calibri"/>
          <w:color w:val="000000" w:themeColor="text1"/>
        </w:rPr>
        <w:t xml:space="preserve">on the basis that a community </w:t>
      </w:r>
      <w:r w:rsidRPr="006F7C82" w:rsidR="003F1296">
        <w:rPr>
          <w:rFonts w:eastAsia="Calibri"/>
          <w:color w:val="000000" w:themeColor="text1"/>
        </w:rPr>
        <w:t>already has access to free broadband service.</w:t>
      </w:r>
      <w:r w:rsidRPr="006F7C82" w:rsidR="00F209CE">
        <w:rPr>
          <w:rFonts w:eastAsia="Calibri"/>
          <w:color w:val="000000" w:themeColor="text1"/>
        </w:rPr>
        <w:t xml:space="preserve"> </w:t>
      </w:r>
    </w:p>
    <w:p w:rsidRPr="00806ADE" w:rsidR="00D3501B" w:rsidP="00F74A18" w:rsidRDefault="00927744" w14:paraId="205E9E02" w14:textId="22D1A8E5">
      <w:pPr>
        <w:pStyle w:val="Standard"/>
        <w:rPr>
          <w:rFonts w:eastAsia="Calibri"/>
          <w:color w:val="000000" w:themeColor="text1"/>
        </w:rPr>
      </w:pPr>
      <w:r w:rsidRPr="006F7C82">
        <w:rPr>
          <w:rFonts w:eastAsia="Calibri"/>
          <w:color w:val="000000" w:themeColor="text1"/>
        </w:rPr>
        <w:lastRenderedPageBreak/>
        <w:t>In favor of removing this obstacle</w:t>
      </w:r>
      <w:r w:rsidRPr="006F7C82" w:rsidR="002E444D">
        <w:rPr>
          <w:rFonts w:eastAsia="Calibri"/>
          <w:color w:val="000000" w:themeColor="text1"/>
        </w:rPr>
        <w:t xml:space="preserve"> to a more expeditious</w:t>
      </w:r>
      <w:r w:rsidRPr="006F7C82" w:rsidR="003164BE">
        <w:rPr>
          <w:rFonts w:eastAsia="Calibri"/>
          <w:color w:val="000000" w:themeColor="text1"/>
        </w:rPr>
        <w:t xml:space="preserve"> process</w:t>
      </w:r>
      <w:r w:rsidRPr="006F7C82">
        <w:rPr>
          <w:rFonts w:eastAsia="Calibri"/>
          <w:color w:val="000000" w:themeColor="text1"/>
        </w:rPr>
        <w:t xml:space="preserve">, the </w:t>
      </w:r>
      <w:r w:rsidRPr="00806ADE">
        <w:rPr>
          <w:rFonts w:eastAsia="Calibri"/>
          <w:color w:val="000000" w:themeColor="text1"/>
        </w:rPr>
        <w:t>Commission adopts this change as shown in Appendix 1</w:t>
      </w:r>
      <w:r w:rsidRPr="00806ADE" w:rsidR="001C3C1B">
        <w:rPr>
          <w:rFonts w:eastAsia="Calibri"/>
          <w:color w:val="000000" w:themeColor="text1"/>
        </w:rPr>
        <w:t>.</w:t>
      </w:r>
    </w:p>
    <w:p w:rsidRPr="00806ADE" w:rsidR="00D3501B" w:rsidP="009F11FB" w:rsidRDefault="7FDAA6EC" w14:paraId="082A379D" w14:textId="78423770">
      <w:pPr>
        <w:pStyle w:val="Standard"/>
        <w:numPr>
          <w:ilvl w:val="1"/>
          <w:numId w:val="4"/>
        </w:numPr>
        <w:spacing w:after="120" w:line="240" w:lineRule="auto"/>
        <w:ind w:right="1440"/>
        <w:rPr>
          <w:rFonts w:eastAsia="Calibri"/>
          <w:i/>
          <w:iCs/>
          <w:color w:val="000000" w:themeColor="text1"/>
          <w:szCs w:val="26"/>
        </w:rPr>
      </w:pPr>
      <w:r w:rsidRPr="00806ADE">
        <w:rPr>
          <w:rFonts w:eastAsia="Calibri"/>
          <w:i/>
          <w:iCs/>
          <w:color w:val="000000" w:themeColor="text1"/>
          <w:szCs w:val="26"/>
        </w:rPr>
        <w:t>How should the Commission verify that the low-income community does not have access to any broadband service</w:t>
      </w:r>
      <w:r w:rsidRPr="004C2B66">
        <w:rPr>
          <w:rFonts w:eastAsia="Calibri"/>
          <w:i/>
          <w:iCs/>
          <w:color w:val="000000" w:themeColor="text1"/>
          <w:szCs w:val="26"/>
        </w:rPr>
        <w:t xml:space="preserve"> provider that offers free service that meets or exceeds state standards?</w:t>
      </w:r>
      <w:r w:rsidRPr="004C2B66" w:rsidR="00F209CE">
        <w:rPr>
          <w:rFonts w:eastAsia="Calibri"/>
          <w:i/>
          <w:iCs/>
          <w:color w:val="000000" w:themeColor="text1"/>
          <w:szCs w:val="26"/>
        </w:rPr>
        <w:t xml:space="preserve"> </w:t>
      </w:r>
      <w:r w:rsidRPr="004C2B66">
        <w:rPr>
          <w:rFonts w:eastAsia="Calibri"/>
          <w:i/>
          <w:iCs/>
          <w:color w:val="000000" w:themeColor="text1"/>
          <w:szCs w:val="26"/>
        </w:rPr>
        <w:t xml:space="preserve">Would an attestation to that factual question be </w:t>
      </w:r>
      <w:r w:rsidRPr="00806ADE">
        <w:rPr>
          <w:rFonts w:eastAsia="Calibri"/>
          <w:i/>
          <w:iCs/>
          <w:color w:val="000000" w:themeColor="text1"/>
          <w:szCs w:val="26"/>
        </w:rPr>
        <w:t>sufficient?</w:t>
      </w:r>
    </w:p>
    <w:p w:rsidRPr="006F7C82" w:rsidR="7FDAA6EC" w:rsidP="006F7C82" w:rsidRDefault="008A33F4" w14:paraId="0A1D620E" w14:textId="06D86228">
      <w:pPr>
        <w:pStyle w:val="Standard"/>
        <w:rPr>
          <w:rFonts w:eastAsia="Calibri"/>
          <w:color w:val="000000" w:themeColor="text1"/>
        </w:rPr>
      </w:pPr>
      <w:r w:rsidRPr="00806ADE">
        <w:rPr>
          <w:rFonts w:eastAsia="Calibri"/>
          <w:color w:val="000000" w:themeColor="text1"/>
        </w:rPr>
        <w:t xml:space="preserve">Parties that support </w:t>
      </w:r>
      <w:r w:rsidRPr="00806ADE" w:rsidR="00F73D1E">
        <w:rPr>
          <w:rFonts w:eastAsia="Calibri"/>
          <w:color w:val="000000" w:themeColor="text1"/>
        </w:rPr>
        <w:t xml:space="preserve">eliminating the </w:t>
      </w:r>
      <w:r w:rsidRPr="00806ADE" w:rsidR="00964B0E">
        <w:rPr>
          <w:rFonts w:eastAsia="Calibri"/>
          <w:color w:val="000000" w:themeColor="text1"/>
        </w:rPr>
        <w:t xml:space="preserve">challenge process </w:t>
      </w:r>
      <w:r w:rsidRPr="00806ADE" w:rsidR="00C35AC9">
        <w:rPr>
          <w:rFonts w:eastAsia="Calibri"/>
          <w:color w:val="000000" w:themeColor="text1"/>
        </w:rPr>
        <w:t xml:space="preserve">assert </w:t>
      </w:r>
      <w:r w:rsidRPr="00806ADE" w:rsidR="00072873">
        <w:rPr>
          <w:rFonts w:eastAsia="Calibri"/>
          <w:color w:val="000000" w:themeColor="text1"/>
        </w:rPr>
        <w:t>a simple</w:t>
      </w:r>
      <w:r w:rsidRPr="006F7C82" w:rsidR="00072873">
        <w:rPr>
          <w:rFonts w:eastAsia="Calibri"/>
          <w:color w:val="000000" w:themeColor="text1"/>
        </w:rPr>
        <w:t xml:space="preserve"> attestation</w:t>
      </w:r>
      <w:r w:rsidRPr="006F7C82" w:rsidR="009909CE">
        <w:rPr>
          <w:rFonts w:eastAsia="Calibri"/>
          <w:color w:val="000000" w:themeColor="text1"/>
        </w:rPr>
        <w:t xml:space="preserve"> </w:t>
      </w:r>
      <w:r w:rsidRPr="006F7C82" w:rsidR="004C4C1D">
        <w:rPr>
          <w:rFonts w:eastAsia="Calibri"/>
          <w:color w:val="000000" w:themeColor="text1"/>
        </w:rPr>
        <w:t>(</w:t>
      </w:r>
      <w:r w:rsidRPr="006F7C82" w:rsidR="0014291E">
        <w:rPr>
          <w:rFonts w:eastAsia="Calibri"/>
          <w:color w:val="000000" w:themeColor="text1"/>
        </w:rPr>
        <w:t xml:space="preserve">with penalty for </w:t>
      </w:r>
      <w:r w:rsidRPr="006F7C82" w:rsidR="002C27FA">
        <w:rPr>
          <w:rFonts w:eastAsia="Calibri"/>
          <w:color w:val="000000" w:themeColor="text1"/>
        </w:rPr>
        <w:t>falsifying information</w:t>
      </w:r>
      <w:r w:rsidRPr="006F7C82" w:rsidR="009528FD">
        <w:rPr>
          <w:rFonts w:eastAsia="Calibri"/>
          <w:color w:val="000000" w:themeColor="text1"/>
        </w:rPr>
        <w:t xml:space="preserve"> </w:t>
      </w:r>
      <w:r w:rsidRPr="006F7C82" w:rsidR="009909CE">
        <w:rPr>
          <w:rFonts w:eastAsia="Calibri"/>
          <w:color w:val="000000" w:themeColor="text1"/>
        </w:rPr>
        <w:t>by applicants</w:t>
      </w:r>
      <w:r w:rsidRPr="006F7C82" w:rsidR="004C4C1D">
        <w:rPr>
          <w:rFonts w:eastAsia="Calibri"/>
          <w:color w:val="000000" w:themeColor="text1"/>
        </w:rPr>
        <w:t>)</w:t>
      </w:r>
      <w:r w:rsidRPr="006F7C82" w:rsidR="008F7AFB">
        <w:rPr>
          <w:rFonts w:eastAsia="Calibri"/>
          <w:color w:val="000000" w:themeColor="text1"/>
        </w:rPr>
        <w:t>,</w:t>
      </w:r>
      <w:r w:rsidRPr="006F7C82" w:rsidR="00FB219C">
        <w:rPr>
          <w:rFonts w:eastAsia="Calibri"/>
          <w:color w:val="000000" w:themeColor="text1"/>
        </w:rPr>
        <w:t xml:space="preserve"> that the low</w:t>
      </w:r>
      <w:r w:rsidR="00013B06">
        <w:rPr>
          <w:rFonts w:eastAsia="Calibri"/>
          <w:color w:val="000000" w:themeColor="text1"/>
        </w:rPr>
        <w:noBreakHyphen/>
      </w:r>
      <w:r w:rsidRPr="006F7C82" w:rsidR="00FB219C">
        <w:rPr>
          <w:rFonts w:eastAsia="Calibri"/>
          <w:color w:val="000000" w:themeColor="text1"/>
        </w:rPr>
        <w:t>income community the project seeks to serve does not have access to free broadband service that meets or exceeds state standards, is sufficient.</w:t>
      </w:r>
      <w:r w:rsidRPr="006F7C82" w:rsidR="00F75681">
        <w:rPr>
          <w:rStyle w:val="FootnoteReference"/>
          <w:rFonts w:eastAsia="Calibri"/>
          <w:color w:val="000000" w:themeColor="text1"/>
        </w:rPr>
        <w:footnoteReference w:id="42"/>
      </w:r>
      <w:r w:rsidRPr="006F7C82" w:rsidR="00FB219C">
        <w:rPr>
          <w:rFonts w:eastAsia="Calibri"/>
          <w:color w:val="000000" w:themeColor="text1"/>
        </w:rPr>
        <w:t xml:space="preserve"> </w:t>
      </w:r>
      <w:r w:rsidRPr="006F7C82" w:rsidR="00D22956">
        <w:rPr>
          <w:rFonts w:eastAsia="Calibri"/>
          <w:color w:val="000000" w:themeColor="text1"/>
        </w:rPr>
        <w:t>The Commission agrees and a</w:t>
      </w:r>
      <w:r w:rsidRPr="006F7C82" w:rsidR="00C174F7">
        <w:rPr>
          <w:rFonts w:eastAsia="Calibri"/>
          <w:color w:val="000000" w:themeColor="text1"/>
        </w:rPr>
        <w:t>d</w:t>
      </w:r>
      <w:r w:rsidRPr="006F7C82" w:rsidR="00D22956">
        <w:rPr>
          <w:rFonts w:eastAsia="Calibri"/>
          <w:color w:val="000000" w:themeColor="text1"/>
        </w:rPr>
        <w:t xml:space="preserve">opts this modification </w:t>
      </w:r>
      <w:r w:rsidRPr="006F7C82" w:rsidR="00C174F7">
        <w:rPr>
          <w:rFonts w:eastAsia="Calibri"/>
          <w:color w:val="000000" w:themeColor="text1"/>
        </w:rPr>
        <w:t xml:space="preserve">as shown in Appendix </w:t>
      </w:r>
      <w:r w:rsidR="006C37EC">
        <w:rPr>
          <w:rFonts w:eastAsia="Calibri"/>
          <w:color w:val="000000" w:themeColor="text1"/>
        </w:rPr>
        <w:t>1</w:t>
      </w:r>
      <w:r w:rsidRPr="006F7C82" w:rsidR="00C174F7">
        <w:rPr>
          <w:rFonts w:eastAsia="Calibri"/>
          <w:color w:val="000000" w:themeColor="text1"/>
        </w:rPr>
        <w:t>.</w:t>
      </w:r>
    </w:p>
    <w:p w:rsidRPr="002A4088" w:rsidR="7FDAA6EC" w:rsidP="002A4088" w:rsidRDefault="7FDAA6EC" w14:paraId="7A52C6BC" w14:textId="3F8D7210">
      <w:pPr>
        <w:pStyle w:val="Heading2"/>
        <w:ind w:left="1080" w:hanging="720"/>
      </w:pPr>
      <w:bookmarkStart w:name="_Toc100132356" w:id="12"/>
      <w:r w:rsidRPr="002A4088">
        <w:t xml:space="preserve">Modification to Project Speed </w:t>
      </w:r>
      <w:r w:rsidR="009F11FB">
        <w:br/>
      </w:r>
      <w:r w:rsidRPr="00806ADE">
        <w:t>Delivery Requirements</w:t>
      </w:r>
      <w:bookmarkEnd w:id="12"/>
    </w:p>
    <w:p w:rsidRPr="006F7C82" w:rsidR="7FDAA6EC" w:rsidP="7FDAA6EC" w:rsidRDefault="7FDAA6EC" w14:paraId="213FCD59" w14:textId="5281A6A2">
      <w:pPr>
        <w:rPr>
          <w:rFonts w:eastAsia="Book Antiqua" w:cs="Book Antiqua"/>
          <w:color w:val="000000" w:themeColor="text1"/>
          <w:szCs w:val="26"/>
          <w:vertAlign w:val="superscript"/>
        </w:rPr>
      </w:pPr>
      <w:r w:rsidRPr="006F7C82">
        <w:rPr>
          <w:rFonts w:eastAsia="Calibri"/>
          <w:color w:val="000000" w:themeColor="text1"/>
        </w:rPr>
        <w:t xml:space="preserve"> </w:t>
      </w:r>
      <w:r w:rsidRPr="006F7C82">
        <w:rPr>
          <w:rFonts w:eastAsia="Book Antiqua" w:cs="Book Antiqua"/>
          <w:color w:val="000000" w:themeColor="text1"/>
        </w:rPr>
        <w:t>Pub</w:t>
      </w:r>
      <w:r w:rsidRPr="006F7C82" w:rsidR="003D40AE">
        <w:rPr>
          <w:rFonts w:eastAsia="Book Antiqua" w:cs="Book Antiqua"/>
          <w:color w:val="000000" w:themeColor="text1"/>
        </w:rPr>
        <w:t>.</w:t>
      </w:r>
      <w:r w:rsidRPr="006F7C82">
        <w:rPr>
          <w:rFonts w:eastAsia="Book Antiqua" w:cs="Book Antiqua"/>
          <w:color w:val="000000" w:themeColor="text1"/>
        </w:rPr>
        <w:t xml:space="preserve"> Util</w:t>
      </w:r>
      <w:r w:rsidRPr="006F7C82" w:rsidR="003D40AE">
        <w:rPr>
          <w:rFonts w:eastAsia="Book Antiqua" w:cs="Book Antiqua"/>
          <w:color w:val="000000" w:themeColor="text1"/>
        </w:rPr>
        <w:t>.</w:t>
      </w:r>
      <w:r w:rsidRPr="006F7C82">
        <w:rPr>
          <w:rFonts w:eastAsia="Book Antiqua" w:cs="Book Antiqua"/>
          <w:color w:val="000000" w:themeColor="text1"/>
        </w:rPr>
        <w:t xml:space="preserve"> Code </w:t>
      </w:r>
      <w:r w:rsidR="00FF0FB4">
        <w:rPr>
          <w:rFonts w:eastAsia="Book Antiqua" w:cs="Book Antiqua"/>
          <w:color w:val="000000" w:themeColor="text1"/>
        </w:rPr>
        <w:t>s</w:t>
      </w:r>
      <w:r w:rsidRPr="006F7C82" w:rsidR="00E422B1">
        <w:rPr>
          <w:rFonts w:eastAsia="Book Antiqua" w:cs="Book Antiqua"/>
          <w:color w:val="000000" w:themeColor="text1"/>
        </w:rPr>
        <w:t>ection</w:t>
      </w:r>
      <w:r w:rsidRPr="006F7C82">
        <w:rPr>
          <w:rFonts w:eastAsia="Book Antiqua" w:cs="Book Antiqua"/>
          <w:color w:val="000000" w:themeColor="text1"/>
        </w:rPr>
        <w:t xml:space="preserve"> 281(</w:t>
      </w:r>
      <w:proofErr w:type="spellStart"/>
      <w:r w:rsidRPr="006F7C82">
        <w:rPr>
          <w:rFonts w:eastAsia="Book Antiqua" w:cs="Book Antiqua"/>
          <w:color w:val="000000" w:themeColor="text1"/>
        </w:rPr>
        <w:t>i</w:t>
      </w:r>
      <w:proofErr w:type="spellEnd"/>
      <w:r w:rsidRPr="006F7C82">
        <w:rPr>
          <w:rFonts w:eastAsia="Book Antiqua" w:cs="Book Antiqua"/>
          <w:color w:val="000000" w:themeColor="text1"/>
        </w:rPr>
        <w:t>)(3) requires Public Housing Account grants to “finance projects to connect broadband networks that offer free broadband service that meets or exceeds state standards, as determined by the commission.”</w:t>
      </w:r>
      <w:r w:rsidRPr="006F7C82" w:rsidR="00F209CE">
        <w:rPr>
          <w:rFonts w:eastAsia="Book Antiqua" w:cs="Book Antiqua"/>
          <w:color w:val="000000" w:themeColor="text1"/>
        </w:rPr>
        <w:t xml:space="preserve"> </w:t>
      </w:r>
      <w:r w:rsidRPr="006F7C82">
        <w:rPr>
          <w:rFonts w:eastAsia="Book Antiqua" w:cs="Book Antiqua"/>
          <w:color w:val="000000" w:themeColor="text1"/>
        </w:rPr>
        <w:t xml:space="preserve">Current program rules allow staff to approve project proposals that, among other requirements, will provide for “download and upload data rate/speed capabilities for an average user within the property at a given time of peak and off-peak hours must meet at least 6 </w:t>
      </w:r>
      <w:r w:rsidRPr="00806ADE" w:rsidR="009F11FB">
        <w:t>megabytes-per-second</w:t>
      </w:r>
      <w:r w:rsidRPr="00806ADE" w:rsidR="009F11FB">
        <w:rPr>
          <w:rFonts w:eastAsia="Book Antiqua" w:cs="Book Antiqua"/>
          <w:color w:val="000000" w:themeColor="text1"/>
        </w:rPr>
        <w:t xml:space="preserve"> (</w:t>
      </w:r>
      <w:r w:rsidRPr="00806ADE">
        <w:rPr>
          <w:rFonts w:eastAsia="Book Antiqua" w:cs="Book Antiqua"/>
          <w:color w:val="000000" w:themeColor="text1"/>
        </w:rPr>
        <w:t>Mbps</w:t>
      </w:r>
      <w:r w:rsidRPr="00806ADE" w:rsidR="009F11FB">
        <w:rPr>
          <w:rFonts w:eastAsia="Book Antiqua" w:cs="Book Antiqua"/>
          <w:color w:val="000000" w:themeColor="text1"/>
        </w:rPr>
        <w:t>)</w:t>
      </w:r>
      <w:r w:rsidRPr="006F7C82">
        <w:rPr>
          <w:rFonts w:eastAsia="Book Antiqua" w:cs="Book Antiqua"/>
          <w:color w:val="000000" w:themeColor="text1"/>
        </w:rPr>
        <w:t xml:space="preserve"> downstream and 1 Mbps upstream.</w:t>
      </w:r>
      <w:r w:rsidRPr="006F7C82">
        <w:rPr>
          <w:rStyle w:val="FootnoteReference"/>
          <w:rFonts w:eastAsia="Calibri"/>
          <w:color w:val="000000" w:themeColor="text1"/>
        </w:rPr>
        <w:footnoteReference w:id="43"/>
      </w:r>
      <w:r w:rsidRPr="006F7C82" w:rsidR="00F209CE">
        <w:rPr>
          <w:rFonts w:eastAsia="Book Antiqua" w:cs="Book Antiqua"/>
          <w:color w:val="000000" w:themeColor="text1"/>
        </w:rPr>
        <w:t xml:space="preserve"> </w:t>
      </w:r>
      <w:r w:rsidRPr="006F7C82">
        <w:rPr>
          <w:rFonts w:eastAsia="Book Antiqua" w:cs="Book Antiqua"/>
          <w:color w:val="000000" w:themeColor="text1"/>
        </w:rPr>
        <w:t>SB 156 updated speed requirements for the Broadband Infrastructure Grant Account to require projects to deliver at least 100 Mbps download and 20 Mbps upload.</w:t>
      </w:r>
    </w:p>
    <w:p w:rsidRPr="00806ADE" w:rsidR="7FDAA6EC" w:rsidP="7FDAA6EC" w:rsidRDefault="7FDAA6EC" w14:paraId="47EE6C45" w14:textId="30706C3D">
      <w:pPr>
        <w:rPr>
          <w:rFonts w:eastAsia="Calibri"/>
          <w:color w:val="000000" w:themeColor="text1"/>
          <w:szCs w:val="26"/>
        </w:rPr>
      </w:pPr>
      <w:r w:rsidRPr="006F7C82">
        <w:rPr>
          <w:rFonts w:eastAsia="Calibri"/>
          <w:color w:val="000000" w:themeColor="text1"/>
          <w:szCs w:val="26"/>
        </w:rPr>
        <w:t xml:space="preserve">The Second Amended Scoping Memo </w:t>
      </w:r>
      <w:r w:rsidR="006665C7">
        <w:rPr>
          <w:rFonts w:eastAsia="Calibri"/>
          <w:color w:val="000000" w:themeColor="text1"/>
          <w:szCs w:val="26"/>
        </w:rPr>
        <w:t>included</w:t>
      </w:r>
      <w:r w:rsidRPr="006F7C82" w:rsidR="006665C7">
        <w:rPr>
          <w:rFonts w:eastAsia="Calibri"/>
          <w:color w:val="000000" w:themeColor="text1"/>
          <w:szCs w:val="26"/>
        </w:rPr>
        <w:t xml:space="preserve"> </w:t>
      </w:r>
      <w:r w:rsidRPr="006F7C82">
        <w:rPr>
          <w:rFonts w:eastAsia="Calibri"/>
          <w:color w:val="000000" w:themeColor="text1"/>
          <w:szCs w:val="26"/>
        </w:rPr>
        <w:t xml:space="preserve">the following issues for party </w:t>
      </w:r>
      <w:r w:rsidRPr="00806ADE">
        <w:rPr>
          <w:rFonts w:eastAsia="Calibri"/>
          <w:color w:val="000000" w:themeColor="text1"/>
          <w:szCs w:val="26"/>
        </w:rPr>
        <w:t>comment:</w:t>
      </w:r>
    </w:p>
    <w:p w:rsidRPr="00806ADE" w:rsidR="7FDAA6EC" w:rsidP="009F11FB" w:rsidRDefault="7FDAA6EC" w14:paraId="417CC4C5" w14:textId="5CEEFF39">
      <w:pPr>
        <w:pStyle w:val="Standard"/>
        <w:numPr>
          <w:ilvl w:val="0"/>
          <w:numId w:val="5"/>
        </w:numPr>
        <w:spacing w:after="120" w:line="240" w:lineRule="auto"/>
        <w:ind w:left="1080" w:right="1440"/>
        <w:rPr>
          <w:rFonts w:eastAsia="Calibri"/>
          <w:i/>
          <w:iCs/>
          <w:color w:val="000000" w:themeColor="text1"/>
        </w:rPr>
      </w:pPr>
      <w:r w:rsidRPr="00806ADE">
        <w:rPr>
          <w:rFonts w:eastAsia="Calibri"/>
          <w:i/>
          <w:iCs/>
          <w:color w:val="000000" w:themeColor="text1"/>
        </w:rPr>
        <w:lastRenderedPageBreak/>
        <w:t>What minimum speeds should the Commission require Public</w:t>
      </w:r>
      <w:r w:rsidRPr="00806ADE" w:rsidR="00013B06">
        <w:rPr>
          <w:rFonts w:eastAsia="Calibri"/>
          <w:i/>
          <w:iCs/>
          <w:color w:val="000000" w:themeColor="text1"/>
        </w:rPr>
        <w:t> </w:t>
      </w:r>
      <w:r w:rsidRPr="00806ADE">
        <w:rPr>
          <w:rFonts w:eastAsia="Calibri"/>
          <w:i/>
          <w:iCs/>
          <w:color w:val="000000" w:themeColor="text1"/>
        </w:rPr>
        <w:t>Housing Account funded projects to deliver?</w:t>
      </w:r>
    </w:p>
    <w:p w:rsidRPr="006F7C82" w:rsidR="005F5A71" w:rsidP="7FDAA6EC" w:rsidRDefault="00E53F21" w14:paraId="08285832" w14:textId="00CB2640">
      <w:pPr>
        <w:pStyle w:val="Standard"/>
        <w:rPr>
          <w:rFonts w:eastAsia="Calibri"/>
          <w:color w:val="000000" w:themeColor="text1"/>
          <w:szCs w:val="26"/>
        </w:rPr>
      </w:pPr>
      <w:r w:rsidRPr="00806ADE">
        <w:rPr>
          <w:rFonts w:eastAsia="Calibri"/>
          <w:color w:val="000000" w:themeColor="text1"/>
          <w:szCs w:val="26"/>
        </w:rPr>
        <w:t>Most parties addressing</w:t>
      </w:r>
      <w:r w:rsidRPr="006F7C82">
        <w:rPr>
          <w:rFonts w:eastAsia="Calibri"/>
          <w:color w:val="000000" w:themeColor="text1"/>
          <w:szCs w:val="26"/>
        </w:rPr>
        <w:t xml:space="preserve"> this </w:t>
      </w:r>
      <w:r w:rsidRPr="006F7C82" w:rsidR="0002585B">
        <w:rPr>
          <w:rFonts w:eastAsia="Calibri"/>
          <w:color w:val="000000" w:themeColor="text1"/>
          <w:szCs w:val="26"/>
        </w:rPr>
        <w:t xml:space="preserve">question </w:t>
      </w:r>
      <w:r w:rsidRPr="006F7C82" w:rsidR="00A96943">
        <w:rPr>
          <w:rFonts w:eastAsia="Calibri"/>
          <w:color w:val="000000" w:themeColor="text1"/>
          <w:szCs w:val="26"/>
        </w:rPr>
        <w:t xml:space="preserve">urge the Commission to </w:t>
      </w:r>
      <w:r w:rsidRPr="006F7C82" w:rsidR="001034CC">
        <w:rPr>
          <w:rFonts w:eastAsia="Calibri"/>
          <w:color w:val="000000" w:themeColor="text1"/>
          <w:szCs w:val="26"/>
        </w:rPr>
        <w:t xml:space="preserve">establish a </w:t>
      </w:r>
      <w:r w:rsidRPr="006F7C82" w:rsidR="00DC3FD0">
        <w:rPr>
          <w:rFonts w:eastAsia="Calibri"/>
          <w:color w:val="000000" w:themeColor="text1"/>
          <w:szCs w:val="26"/>
        </w:rPr>
        <w:t xml:space="preserve">100 </w:t>
      </w:r>
      <w:r w:rsidRPr="00806ADE" w:rsidR="007423E3">
        <w:rPr>
          <w:rFonts w:eastAsia="Calibri"/>
          <w:color w:val="000000" w:themeColor="text1"/>
          <w:szCs w:val="26"/>
        </w:rPr>
        <w:t>Mbps</w:t>
      </w:r>
      <w:r w:rsidR="009F11FB">
        <w:rPr>
          <w:rFonts w:eastAsia="Calibri"/>
          <w:color w:val="000000" w:themeColor="text1"/>
          <w:szCs w:val="26"/>
        </w:rPr>
        <w:t xml:space="preserve"> </w:t>
      </w:r>
      <w:r w:rsidRPr="006F7C82" w:rsidR="00DC3FD0">
        <w:rPr>
          <w:rFonts w:eastAsia="Calibri"/>
          <w:color w:val="000000" w:themeColor="text1"/>
          <w:szCs w:val="26"/>
        </w:rPr>
        <w:t xml:space="preserve">download speed and, at minimum, </w:t>
      </w:r>
      <w:r w:rsidRPr="006F7C82" w:rsidR="007423E3">
        <w:rPr>
          <w:rFonts w:eastAsia="Calibri"/>
          <w:color w:val="000000" w:themeColor="text1"/>
          <w:szCs w:val="26"/>
        </w:rPr>
        <w:t>20 Mbps</w:t>
      </w:r>
      <w:r w:rsidRPr="006F7C82" w:rsidR="002C05DB">
        <w:rPr>
          <w:rFonts w:eastAsia="Calibri"/>
          <w:color w:val="000000" w:themeColor="text1"/>
          <w:szCs w:val="26"/>
        </w:rPr>
        <w:t xml:space="preserve"> upload speed</w:t>
      </w:r>
      <w:r w:rsidRPr="006F7C82" w:rsidR="00C53D21">
        <w:rPr>
          <w:rFonts w:eastAsia="Calibri"/>
          <w:color w:val="000000" w:themeColor="text1"/>
          <w:szCs w:val="26"/>
        </w:rPr>
        <w:t xml:space="preserve"> (</w:t>
      </w:r>
      <w:r w:rsidRPr="006F7C82" w:rsidR="00840A19">
        <w:rPr>
          <w:rFonts w:eastAsia="Calibri"/>
          <w:color w:val="000000" w:themeColor="text1"/>
          <w:szCs w:val="26"/>
        </w:rPr>
        <w:t>100 Mbps down and 20 Mbps up)</w:t>
      </w:r>
      <w:r w:rsidRPr="006F7C82" w:rsidR="002C05DB">
        <w:rPr>
          <w:rFonts w:eastAsia="Calibri"/>
          <w:color w:val="000000" w:themeColor="text1"/>
          <w:szCs w:val="26"/>
        </w:rPr>
        <w:t>, as the state standard</w:t>
      </w:r>
      <w:r w:rsidRPr="006F7C82" w:rsidR="008D033D">
        <w:rPr>
          <w:rFonts w:eastAsia="Calibri"/>
          <w:color w:val="000000" w:themeColor="text1"/>
          <w:szCs w:val="26"/>
        </w:rPr>
        <w:t xml:space="preserve"> in accordance with Pub</w:t>
      </w:r>
      <w:r w:rsidRPr="006F7C82" w:rsidR="00572C3F">
        <w:rPr>
          <w:rFonts w:eastAsia="Calibri"/>
          <w:color w:val="000000" w:themeColor="text1"/>
          <w:szCs w:val="26"/>
        </w:rPr>
        <w:t>.</w:t>
      </w:r>
      <w:r w:rsidRPr="006F7C82" w:rsidR="008D033D">
        <w:rPr>
          <w:rFonts w:eastAsia="Calibri"/>
          <w:color w:val="000000" w:themeColor="text1"/>
          <w:szCs w:val="26"/>
        </w:rPr>
        <w:t xml:space="preserve"> Util</w:t>
      </w:r>
      <w:r w:rsidRPr="006F7C82" w:rsidR="00572C3F">
        <w:rPr>
          <w:rFonts w:eastAsia="Calibri"/>
          <w:color w:val="000000" w:themeColor="text1"/>
          <w:szCs w:val="26"/>
        </w:rPr>
        <w:t>.</w:t>
      </w:r>
      <w:r w:rsidRPr="006F7C82" w:rsidR="008D033D">
        <w:rPr>
          <w:rFonts w:eastAsia="Calibri"/>
          <w:color w:val="000000" w:themeColor="text1"/>
          <w:szCs w:val="26"/>
        </w:rPr>
        <w:t xml:space="preserve"> Code </w:t>
      </w:r>
      <w:r w:rsidR="00FF6FF3">
        <w:rPr>
          <w:rFonts w:eastAsia="Calibri"/>
          <w:color w:val="000000" w:themeColor="text1"/>
          <w:szCs w:val="26"/>
        </w:rPr>
        <w:t>S</w:t>
      </w:r>
      <w:r w:rsidRPr="006F7C82" w:rsidR="008D033D">
        <w:rPr>
          <w:rFonts w:eastAsia="Calibri"/>
          <w:color w:val="000000" w:themeColor="text1"/>
          <w:szCs w:val="26"/>
        </w:rPr>
        <w:t>ection 281(</w:t>
      </w:r>
      <w:proofErr w:type="spellStart"/>
      <w:r w:rsidRPr="006F7C82" w:rsidR="008D033D">
        <w:rPr>
          <w:rFonts w:eastAsia="Calibri"/>
          <w:color w:val="000000" w:themeColor="text1"/>
          <w:szCs w:val="26"/>
        </w:rPr>
        <w:t>i</w:t>
      </w:r>
      <w:proofErr w:type="spellEnd"/>
      <w:r w:rsidRPr="006F7C82" w:rsidR="008D033D">
        <w:rPr>
          <w:rFonts w:eastAsia="Calibri"/>
          <w:color w:val="000000" w:themeColor="text1"/>
          <w:szCs w:val="26"/>
        </w:rPr>
        <w:t>)(3).</w:t>
      </w:r>
      <w:r w:rsidRPr="006F7C82" w:rsidR="00BC1485">
        <w:rPr>
          <w:rStyle w:val="FootnoteReference"/>
          <w:rFonts w:eastAsia="Calibri"/>
          <w:color w:val="000000" w:themeColor="text1"/>
          <w:szCs w:val="26"/>
        </w:rPr>
        <w:footnoteReference w:id="44"/>
      </w:r>
      <w:r w:rsidRPr="006F7C82" w:rsidR="00551746">
        <w:rPr>
          <w:rFonts w:eastAsia="Calibri"/>
          <w:color w:val="000000" w:themeColor="text1"/>
          <w:szCs w:val="26"/>
        </w:rPr>
        <w:t xml:space="preserve"> </w:t>
      </w:r>
      <w:r w:rsidRPr="006F7C82" w:rsidR="00C6056F">
        <w:rPr>
          <w:rFonts w:eastAsia="Calibri"/>
          <w:color w:val="000000" w:themeColor="text1"/>
          <w:szCs w:val="26"/>
        </w:rPr>
        <w:t xml:space="preserve">A major reason </w:t>
      </w:r>
      <w:r w:rsidRPr="006F7C82" w:rsidR="008070DD">
        <w:rPr>
          <w:rFonts w:eastAsia="Calibri"/>
          <w:color w:val="000000" w:themeColor="text1"/>
          <w:szCs w:val="26"/>
        </w:rPr>
        <w:t xml:space="preserve">articulated by these parties </w:t>
      </w:r>
      <w:r w:rsidRPr="006F7C82" w:rsidR="00666CEC">
        <w:rPr>
          <w:rFonts w:eastAsia="Calibri"/>
          <w:color w:val="000000" w:themeColor="text1"/>
          <w:szCs w:val="26"/>
        </w:rPr>
        <w:t xml:space="preserve">is </w:t>
      </w:r>
      <w:r w:rsidRPr="006F7C82" w:rsidR="00D130B7">
        <w:rPr>
          <w:rFonts w:eastAsia="Calibri"/>
          <w:color w:val="000000" w:themeColor="text1"/>
          <w:szCs w:val="26"/>
        </w:rPr>
        <w:t xml:space="preserve">consistency with </w:t>
      </w:r>
      <w:r w:rsidRPr="006F7C82" w:rsidR="00596FAB">
        <w:rPr>
          <w:rFonts w:eastAsia="Calibri"/>
          <w:color w:val="000000" w:themeColor="text1"/>
          <w:szCs w:val="26"/>
        </w:rPr>
        <w:t xml:space="preserve">speed requirements </w:t>
      </w:r>
      <w:r w:rsidRPr="006F7C82" w:rsidR="009C73E0">
        <w:rPr>
          <w:rFonts w:eastAsia="Calibri"/>
          <w:color w:val="000000" w:themeColor="text1"/>
          <w:szCs w:val="26"/>
        </w:rPr>
        <w:t xml:space="preserve">for </w:t>
      </w:r>
      <w:r w:rsidRPr="006F7C82" w:rsidR="00216A16">
        <w:rPr>
          <w:rFonts w:eastAsia="Calibri"/>
          <w:color w:val="000000" w:themeColor="text1"/>
          <w:szCs w:val="26"/>
        </w:rPr>
        <w:t xml:space="preserve">other </w:t>
      </w:r>
      <w:r w:rsidRPr="006F7C82" w:rsidR="0045608A">
        <w:rPr>
          <w:rFonts w:eastAsia="Calibri"/>
          <w:color w:val="000000" w:themeColor="text1"/>
          <w:szCs w:val="26"/>
        </w:rPr>
        <w:t xml:space="preserve">state-supported </w:t>
      </w:r>
      <w:r w:rsidRPr="006F7C82" w:rsidR="009F2C43">
        <w:rPr>
          <w:rFonts w:eastAsia="Calibri"/>
          <w:color w:val="000000" w:themeColor="text1"/>
          <w:szCs w:val="26"/>
        </w:rPr>
        <w:t>efforts (</w:t>
      </w:r>
      <w:r w:rsidRPr="006F7C82" w:rsidR="00CA1670">
        <w:rPr>
          <w:rFonts w:eastAsia="Calibri"/>
          <w:color w:val="000000" w:themeColor="text1"/>
          <w:szCs w:val="26"/>
        </w:rPr>
        <w:t xml:space="preserve">i.e., </w:t>
      </w:r>
      <w:r w:rsidRPr="006F7C82" w:rsidR="009C73E0">
        <w:rPr>
          <w:rFonts w:eastAsia="Calibri"/>
          <w:color w:val="000000" w:themeColor="text1"/>
          <w:szCs w:val="26"/>
        </w:rPr>
        <w:t xml:space="preserve">projects funded through the Broadband Infrastructure Grant </w:t>
      </w:r>
      <w:r w:rsidRPr="006F7C82" w:rsidR="00CD6E9F">
        <w:rPr>
          <w:rFonts w:eastAsia="Calibri"/>
          <w:color w:val="000000" w:themeColor="text1"/>
          <w:szCs w:val="26"/>
        </w:rPr>
        <w:t>Account</w:t>
      </w:r>
      <w:r w:rsidRPr="006F7C82" w:rsidR="009541CA">
        <w:rPr>
          <w:rFonts w:eastAsia="Calibri"/>
          <w:color w:val="000000" w:themeColor="text1"/>
          <w:szCs w:val="26"/>
        </w:rPr>
        <w:t xml:space="preserve">, </w:t>
      </w:r>
      <w:r w:rsidRPr="006F7C82" w:rsidR="00E96499">
        <w:rPr>
          <w:rFonts w:eastAsia="Calibri"/>
          <w:color w:val="000000" w:themeColor="text1"/>
          <w:szCs w:val="26"/>
        </w:rPr>
        <w:t>Federal Funding Account</w:t>
      </w:r>
      <w:r w:rsidRPr="006F7C82" w:rsidR="009541CA">
        <w:rPr>
          <w:rFonts w:eastAsia="Calibri"/>
          <w:color w:val="000000" w:themeColor="text1"/>
          <w:szCs w:val="26"/>
        </w:rPr>
        <w:t xml:space="preserve">, and Executive Order </w:t>
      </w:r>
      <w:r w:rsidRPr="006F7C82" w:rsidR="00BB5E03">
        <w:rPr>
          <w:rFonts w:eastAsia="Calibri"/>
          <w:color w:val="000000" w:themeColor="text1"/>
          <w:szCs w:val="26"/>
        </w:rPr>
        <w:t>N-73-20</w:t>
      </w:r>
      <w:r w:rsidRPr="006F7C82" w:rsidR="00CA1670">
        <w:rPr>
          <w:rFonts w:eastAsia="Calibri"/>
          <w:color w:val="000000" w:themeColor="text1"/>
          <w:szCs w:val="26"/>
        </w:rPr>
        <w:t>)</w:t>
      </w:r>
      <w:r w:rsidRPr="006F7C82" w:rsidR="00CE570C">
        <w:rPr>
          <w:rFonts w:eastAsia="Calibri"/>
          <w:color w:val="000000" w:themeColor="text1"/>
          <w:szCs w:val="26"/>
        </w:rPr>
        <w:t>,</w:t>
      </w:r>
      <w:r w:rsidRPr="006F7C82" w:rsidR="00D264FD">
        <w:rPr>
          <w:rFonts w:eastAsia="Calibri"/>
          <w:color w:val="000000" w:themeColor="text1"/>
          <w:szCs w:val="26"/>
        </w:rPr>
        <w:t xml:space="preserve"> </w:t>
      </w:r>
      <w:r w:rsidRPr="006F7C82" w:rsidR="00CF189E">
        <w:rPr>
          <w:rFonts w:eastAsia="Calibri"/>
          <w:color w:val="000000" w:themeColor="text1"/>
          <w:szCs w:val="26"/>
        </w:rPr>
        <w:t xml:space="preserve">and a </w:t>
      </w:r>
      <w:r w:rsidRPr="006F7C82" w:rsidR="008F4C41">
        <w:rPr>
          <w:rFonts w:eastAsia="Calibri"/>
          <w:color w:val="000000" w:themeColor="text1"/>
          <w:szCs w:val="26"/>
        </w:rPr>
        <w:t xml:space="preserve">corresponding </w:t>
      </w:r>
      <w:r w:rsidRPr="006F7C82" w:rsidR="00D30E6F">
        <w:rPr>
          <w:rFonts w:eastAsia="Calibri"/>
          <w:color w:val="000000" w:themeColor="text1"/>
          <w:szCs w:val="26"/>
        </w:rPr>
        <w:t xml:space="preserve">call for equity </w:t>
      </w:r>
      <w:r w:rsidRPr="006F7C82" w:rsidR="00EE302B">
        <w:rPr>
          <w:rFonts w:eastAsia="Calibri"/>
          <w:color w:val="000000" w:themeColor="text1"/>
          <w:szCs w:val="26"/>
        </w:rPr>
        <w:t>and the need to address historic</w:t>
      </w:r>
      <w:r w:rsidRPr="006F7C82" w:rsidR="0015037B">
        <w:rPr>
          <w:rFonts w:eastAsia="Calibri"/>
          <w:color w:val="000000" w:themeColor="text1"/>
          <w:szCs w:val="26"/>
        </w:rPr>
        <w:t xml:space="preserve"> </w:t>
      </w:r>
      <w:r w:rsidRPr="006F7C82" w:rsidR="00536770">
        <w:rPr>
          <w:rFonts w:eastAsia="Calibri"/>
          <w:color w:val="000000" w:themeColor="text1"/>
          <w:szCs w:val="26"/>
        </w:rPr>
        <w:t xml:space="preserve">disinvestment </w:t>
      </w:r>
      <w:r w:rsidRPr="006F7C82" w:rsidR="00C13E8B">
        <w:rPr>
          <w:rFonts w:eastAsia="Calibri"/>
          <w:color w:val="000000" w:themeColor="text1"/>
          <w:szCs w:val="26"/>
        </w:rPr>
        <w:t xml:space="preserve">by communications providers </w:t>
      </w:r>
      <w:r w:rsidRPr="006F7C82" w:rsidR="006F232A">
        <w:rPr>
          <w:rFonts w:eastAsia="Calibri"/>
          <w:color w:val="000000" w:themeColor="text1"/>
          <w:szCs w:val="26"/>
        </w:rPr>
        <w:t>in low-income communities</w:t>
      </w:r>
      <w:r w:rsidRPr="006F7C82" w:rsidR="00D04205">
        <w:rPr>
          <w:rFonts w:eastAsia="Calibri"/>
          <w:color w:val="000000" w:themeColor="text1"/>
          <w:szCs w:val="26"/>
        </w:rPr>
        <w:t>.</w:t>
      </w:r>
      <w:r w:rsidRPr="006F7C82" w:rsidR="00554A9D">
        <w:rPr>
          <w:rStyle w:val="FootnoteReference"/>
          <w:rFonts w:eastAsia="Calibri"/>
          <w:color w:val="000000" w:themeColor="text1"/>
          <w:szCs w:val="26"/>
        </w:rPr>
        <w:footnoteReference w:id="45"/>
      </w:r>
    </w:p>
    <w:p w:rsidRPr="006F7C82" w:rsidR="0004414B" w:rsidP="002C2CA9" w:rsidRDefault="00133DF5" w14:paraId="4CA9382F" w14:textId="0CAE41E9">
      <w:pPr>
        <w:pStyle w:val="Standard"/>
        <w:rPr>
          <w:rFonts w:eastAsia="Calibri"/>
          <w:color w:val="000000" w:themeColor="text1"/>
        </w:rPr>
      </w:pPr>
      <w:r w:rsidRPr="006F7C82">
        <w:rPr>
          <w:rFonts w:eastAsia="Calibri"/>
          <w:color w:val="000000" w:themeColor="text1"/>
        </w:rPr>
        <w:t>The Commission recognizes the</w:t>
      </w:r>
      <w:r w:rsidRPr="006F7C82" w:rsidR="005E1CD4">
        <w:rPr>
          <w:rFonts w:eastAsia="Calibri"/>
          <w:color w:val="000000" w:themeColor="text1"/>
        </w:rPr>
        <w:t xml:space="preserve"> need to enable low-income communities to </w:t>
      </w:r>
      <w:r w:rsidRPr="006F7C82" w:rsidR="00E1705B">
        <w:rPr>
          <w:rFonts w:eastAsia="Calibri"/>
          <w:color w:val="000000" w:themeColor="text1"/>
        </w:rPr>
        <w:t xml:space="preserve">realize their full potential as a </w:t>
      </w:r>
      <w:r w:rsidRPr="006F7C82" w:rsidR="00087B46">
        <w:rPr>
          <w:rFonts w:eastAsia="Calibri"/>
          <w:color w:val="000000" w:themeColor="text1"/>
        </w:rPr>
        <w:t xml:space="preserve">matter of </w:t>
      </w:r>
      <w:r w:rsidRPr="006F7C82" w:rsidR="00BB589D">
        <w:rPr>
          <w:rFonts w:eastAsia="Calibri"/>
          <w:color w:val="000000" w:themeColor="text1"/>
        </w:rPr>
        <w:t>equity</w:t>
      </w:r>
      <w:r w:rsidRPr="006F7C82" w:rsidR="00143D8B">
        <w:rPr>
          <w:rFonts w:eastAsia="Calibri"/>
          <w:color w:val="000000" w:themeColor="text1"/>
        </w:rPr>
        <w:t xml:space="preserve">. </w:t>
      </w:r>
      <w:r w:rsidRPr="006F7C82" w:rsidR="006B4937">
        <w:rPr>
          <w:rFonts w:eastAsia="Calibri"/>
          <w:color w:val="000000" w:themeColor="text1"/>
        </w:rPr>
        <w:t xml:space="preserve">We are also cognizant </w:t>
      </w:r>
      <w:r w:rsidRPr="006F7C82" w:rsidR="00A71623">
        <w:rPr>
          <w:rFonts w:eastAsia="Calibri"/>
          <w:color w:val="000000" w:themeColor="text1"/>
        </w:rPr>
        <w:t xml:space="preserve">that </w:t>
      </w:r>
      <w:r w:rsidRPr="006F7C82" w:rsidR="00B71016">
        <w:rPr>
          <w:rFonts w:eastAsia="Calibri"/>
          <w:color w:val="000000" w:themeColor="text1"/>
        </w:rPr>
        <w:t xml:space="preserve">setting </w:t>
      </w:r>
      <w:r w:rsidRPr="006F7C82" w:rsidR="00AE4DB7">
        <w:rPr>
          <w:rFonts w:eastAsia="Calibri"/>
          <w:color w:val="000000" w:themeColor="text1"/>
        </w:rPr>
        <w:t xml:space="preserve">a </w:t>
      </w:r>
      <w:r w:rsidRPr="006F7C82" w:rsidR="005666A3">
        <w:rPr>
          <w:rFonts w:eastAsia="Calibri"/>
          <w:color w:val="000000" w:themeColor="text1"/>
        </w:rPr>
        <w:t>minimum speed</w:t>
      </w:r>
      <w:r w:rsidRPr="006F7C82" w:rsidR="00AE4DB7">
        <w:rPr>
          <w:rFonts w:eastAsia="Calibri"/>
          <w:color w:val="000000" w:themeColor="text1"/>
        </w:rPr>
        <w:t xml:space="preserve"> of 100 Mbps up and 20 Mbps down may prove prohibitively costly for many </w:t>
      </w:r>
      <w:r w:rsidRPr="006F7C82" w:rsidR="009A4C71">
        <w:rPr>
          <w:rFonts w:eastAsia="Calibri"/>
          <w:color w:val="000000" w:themeColor="text1"/>
        </w:rPr>
        <w:t>mobile</w:t>
      </w:r>
      <w:r w:rsidR="00B83255">
        <w:rPr>
          <w:rFonts w:eastAsia="Calibri"/>
          <w:color w:val="000000" w:themeColor="text1"/>
        </w:rPr>
        <w:t xml:space="preserve"> </w:t>
      </w:r>
      <w:r w:rsidRPr="006F7C82" w:rsidR="009A4C71">
        <w:rPr>
          <w:rFonts w:eastAsia="Calibri"/>
          <w:color w:val="000000" w:themeColor="text1"/>
        </w:rPr>
        <w:t>home park owners</w:t>
      </w:r>
      <w:r w:rsidR="00C264E3">
        <w:rPr>
          <w:rFonts w:eastAsia="Calibri"/>
          <w:color w:val="000000" w:themeColor="text1"/>
        </w:rPr>
        <w:t xml:space="preserve"> or owners of other low-income developments</w:t>
      </w:r>
      <w:r w:rsidRPr="006F7C82" w:rsidR="009A4C71">
        <w:rPr>
          <w:rFonts w:eastAsia="Calibri"/>
          <w:color w:val="000000" w:themeColor="text1"/>
        </w:rPr>
        <w:t>, who bear the cost of</w:t>
      </w:r>
      <w:r w:rsidRPr="006F7C82" w:rsidR="00BB589D">
        <w:rPr>
          <w:rFonts w:eastAsia="Calibri"/>
          <w:color w:val="000000" w:themeColor="text1"/>
        </w:rPr>
        <w:t xml:space="preserve"> </w:t>
      </w:r>
      <w:r w:rsidRPr="006F7C82" w:rsidR="00DE359A">
        <w:rPr>
          <w:rFonts w:eastAsia="Calibri"/>
          <w:color w:val="000000" w:themeColor="text1"/>
        </w:rPr>
        <w:t>providi</w:t>
      </w:r>
      <w:r w:rsidRPr="006F7C82" w:rsidR="00A5159F">
        <w:rPr>
          <w:rFonts w:eastAsia="Calibri"/>
          <w:color w:val="000000" w:themeColor="text1"/>
        </w:rPr>
        <w:t xml:space="preserve">ng and maintaining </w:t>
      </w:r>
      <w:r w:rsidRPr="006F7C82" w:rsidR="00A46B2C">
        <w:rPr>
          <w:rFonts w:eastAsia="Calibri"/>
          <w:color w:val="000000" w:themeColor="text1"/>
        </w:rPr>
        <w:t xml:space="preserve">Internet service </w:t>
      </w:r>
      <w:r w:rsidRPr="006F7C82" w:rsidR="008F2B21">
        <w:rPr>
          <w:rFonts w:eastAsia="Calibri"/>
          <w:color w:val="000000" w:themeColor="text1"/>
        </w:rPr>
        <w:t>for free to their residents</w:t>
      </w:r>
      <w:r w:rsidRPr="006F7C82" w:rsidR="00BB589D">
        <w:rPr>
          <w:rFonts w:eastAsia="Calibri"/>
          <w:color w:val="000000" w:themeColor="text1"/>
        </w:rPr>
        <w:t xml:space="preserve">. </w:t>
      </w:r>
      <w:r w:rsidRPr="006F7C82" w:rsidR="00667F21">
        <w:rPr>
          <w:rFonts w:eastAsia="Calibri"/>
          <w:color w:val="000000" w:themeColor="text1"/>
        </w:rPr>
        <w:t xml:space="preserve">Establishing a </w:t>
      </w:r>
      <w:r w:rsidRPr="006F7C82" w:rsidR="005666A3">
        <w:rPr>
          <w:rFonts w:eastAsia="Calibri"/>
          <w:color w:val="000000" w:themeColor="text1"/>
        </w:rPr>
        <w:t>minimum speed</w:t>
      </w:r>
      <w:r w:rsidRPr="006F7C82" w:rsidR="00667F21">
        <w:rPr>
          <w:rFonts w:eastAsia="Calibri"/>
          <w:color w:val="000000" w:themeColor="text1"/>
        </w:rPr>
        <w:t xml:space="preserve"> </w:t>
      </w:r>
      <w:r w:rsidRPr="006F7C82" w:rsidR="0038676C">
        <w:rPr>
          <w:rFonts w:eastAsia="Calibri"/>
          <w:color w:val="000000" w:themeColor="text1"/>
        </w:rPr>
        <w:t>of</w:t>
      </w:r>
      <w:r w:rsidRPr="006F7C82" w:rsidR="005565CB">
        <w:rPr>
          <w:rFonts w:eastAsia="Calibri"/>
          <w:color w:val="000000" w:themeColor="text1"/>
        </w:rPr>
        <w:t xml:space="preserve"> 25 Mbps down and 3 Mbps up</w:t>
      </w:r>
      <w:r w:rsidRPr="006F7C82" w:rsidR="00E7192D">
        <w:rPr>
          <w:rFonts w:eastAsia="Calibri"/>
          <w:color w:val="000000" w:themeColor="text1"/>
        </w:rPr>
        <w:t xml:space="preserve"> will better encourage </w:t>
      </w:r>
      <w:r w:rsidRPr="006F7C82" w:rsidR="00DE6617">
        <w:rPr>
          <w:rFonts w:eastAsia="Calibri"/>
          <w:color w:val="000000" w:themeColor="text1"/>
        </w:rPr>
        <w:t>these owners</w:t>
      </w:r>
      <w:r w:rsidRPr="006F7C82" w:rsidR="00167B63">
        <w:rPr>
          <w:rFonts w:eastAsia="Calibri"/>
          <w:color w:val="000000" w:themeColor="text1"/>
        </w:rPr>
        <w:t>, when eligible,</w:t>
      </w:r>
      <w:r w:rsidRPr="006F7C82" w:rsidR="00DE6617">
        <w:rPr>
          <w:rFonts w:eastAsia="Calibri"/>
          <w:color w:val="000000" w:themeColor="text1"/>
        </w:rPr>
        <w:t xml:space="preserve"> to </w:t>
      </w:r>
      <w:r w:rsidRPr="006F7C82" w:rsidR="00BE1B9A">
        <w:rPr>
          <w:rFonts w:eastAsia="Calibri"/>
          <w:color w:val="000000" w:themeColor="text1"/>
        </w:rPr>
        <w:t>seek to provide free Internet service to their residents</w:t>
      </w:r>
      <w:r w:rsidRPr="006F7C82" w:rsidR="005A48E9">
        <w:rPr>
          <w:rFonts w:eastAsia="Calibri"/>
          <w:color w:val="000000" w:themeColor="text1"/>
        </w:rPr>
        <w:t xml:space="preserve">, and </w:t>
      </w:r>
      <w:r w:rsidRPr="006F7C82" w:rsidR="004308CD">
        <w:rPr>
          <w:rFonts w:eastAsia="Calibri"/>
          <w:color w:val="000000" w:themeColor="text1"/>
        </w:rPr>
        <w:t xml:space="preserve">thereby increase the potential reach of </w:t>
      </w:r>
      <w:r w:rsidRPr="006F7C82" w:rsidR="0034525B">
        <w:rPr>
          <w:rFonts w:eastAsia="Calibri"/>
          <w:color w:val="000000" w:themeColor="text1"/>
        </w:rPr>
        <w:t>broadband deployment through the Public Housing Account</w:t>
      </w:r>
      <w:r w:rsidRPr="006F7C82" w:rsidR="005565CB">
        <w:rPr>
          <w:rFonts w:eastAsia="Calibri"/>
          <w:color w:val="000000" w:themeColor="text1"/>
        </w:rPr>
        <w:t>.</w:t>
      </w:r>
      <w:r w:rsidRPr="006F7C82" w:rsidR="002C2CA9">
        <w:rPr>
          <w:rFonts w:eastAsia="Calibri"/>
          <w:color w:val="000000" w:themeColor="text1"/>
        </w:rPr>
        <w:t xml:space="preserve"> </w:t>
      </w:r>
    </w:p>
    <w:p w:rsidRPr="00806ADE" w:rsidR="7FDAA6EC" w:rsidP="002C2CA9" w:rsidRDefault="00C76DDB" w14:paraId="6AB9678E" w14:textId="363A541A">
      <w:pPr>
        <w:pStyle w:val="Standard"/>
        <w:rPr>
          <w:rFonts w:eastAsia="Calibri"/>
          <w:color w:val="000000" w:themeColor="text1"/>
        </w:rPr>
      </w:pPr>
      <w:r w:rsidRPr="006F7C82">
        <w:rPr>
          <w:rFonts w:eastAsia="Calibri"/>
          <w:color w:val="000000" w:themeColor="text1"/>
        </w:rPr>
        <w:t xml:space="preserve">The Commission </w:t>
      </w:r>
      <w:r w:rsidR="00501037">
        <w:rPr>
          <w:rFonts w:eastAsia="Calibri"/>
          <w:color w:val="000000" w:themeColor="text1"/>
        </w:rPr>
        <w:t xml:space="preserve">also </w:t>
      </w:r>
      <w:r w:rsidRPr="006F7C82">
        <w:rPr>
          <w:rFonts w:eastAsia="Calibri"/>
          <w:color w:val="000000" w:themeColor="text1"/>
        </w:rPr>
        <w:t>acknowledges th</w:t>
      </w:r>
      <w:r w:rsidRPr="006F7C82" w:rsidR="0047755C">
        <w:rPr>
          <w:rFonts w:eastAsia="Calibri"/>
          <w:color w:val="000000" w:themeColor="text1"/>
        </w:rPr>
        <w:t xml:space="preserve">at </w:t>
      </w:r>
      <w:r w:rsidR="00C264E3">
        <w:rPr>
          <w:rFonts w:eastAsia="Calibri"/>
          <w:color w:val="000000" w:themeColor="text1"/>
        </w:rPr>
        <w:t xml:space="preserve">average available </w:t>
      </w:r>
      <w:r w:rsidRPr="006F7C82" w:rsidR="00B4543D">
        <w:rPr>
          <w:rFonts w:eastAsia="Calibri"/>
          <w:color w:val="000000" w:themeColor="text1"/>
        </w:rPr>
        <w:t>Internet speeds are cont</w:t>
      </w:r>
      <w:r w:rsidRPr="006F7C82" w:rsidR="00717413">
        <w:rPr>
          <w:rFonts w:eastAsia="Calibri"/>
          <w:color w:val="000000" w:themeColor="text1"/>
        </w:rPr>
        <w:t xml:space="preserve">inually </w:t>
      </w:r>
      <w:proofErr w:type="gramStart"/>
      <w:r w:rsidRPr="006F7C82" w:rsidR="00E10161">
        <w:rPr>
          <w:rFonts w:eastAsia="Calibri"/>
          <w:color w:val="000000" w:themeColor="text1"/>
        </w:rPr>
        <w:t>increasing</w:t>
      </w:r>
      <w:r w:rsidRPr="006F7C82" w:rsidR="009462E0">
        <w:rPr>
          <w:rFonts w:eastAsia="Calibri"/>
          <w:color w:val="000000" w:themeColor="text1"/>
        </w:rPr>
        <w:t>, and</w:t>
      </w:r>
      <w:proofErr w:type="gramEnd"/>
      <w:r w:rsidRPr="006F7C82" w:rsidR="009462E0">
        <w:rPr>
          <w:rFonts w:eastAsia="Calibri"/>
          <w:color w:val="000000" w:themeColor="text1"/>
        </w:rPr>
        <w:t xml:space="preserve"> </w:t>
      </w:r>
      <w:r w:rsidRPr="006F7C82" w:rsidR="00611FC5">
        <w:rPr>
          <w:rFonts w:eastAsia="Calibri"/>
          <w:color w:val="000000" w:themeColor="text1"/>
        </w:rPr>
        <w:t xml:space="preserve">agrees </w:t>
      </w:r>
      <w:r w:rsidRPr="006F7C82" w:rsidR="00F96AE7">
        <w:rPr>
          <w:rFonts w:eastAsia="Calibri"/>
          <w:color w:val="000000" w:themeColor="text1"/>
        </w:rPr>
        <w:t xml:space="preserve">with maintaining consistency </w:t>
      </w:r>
      <w:r w:rsidRPr="006F7C82" w:rsidR="005114BB">
        <w:rPr>
          <w:rFonts w:eastAsia="Calibri"/>
          <w:color w:val="000000" w:themeColor="text1"/>
        </w:rPr>
        <w:t xml:space="preserve">with </w:t>
      </w:r>
      <w:r w:rsidRPr="006F7C82" w:rsidR="00F33AD1">
        <w:rPr>
          <w:rFonts w:eastAsia="Calibri"/>
          <w:color w:val="000000" w:themeColor="text1"/>
        </w:rPr>
        <w:t xml:space="preserve">other </w:t>
      </w:r>
      <w:r w:rsidRPr="006F7C82" w:rsidR="0059760C">
        <w:rPr>
          <w:rFonts w:eastAsia="Calibri"/>
          <w:color w:val="000000" w:themeColor="text1"/>
        </w:rPr>
        <w:t>public</w:t>
      </w:r>
      <w:r w:rsidRPr="006F7C82" w:rsidR="00C90A19">
        <w:rPr>
          <w:rFonts w:eastAsia="Calibri"/>
          <w:color w:val="000000" w:themeColor="text1"/>
        </w:rPr>
        <w:t xml:space="preserve"> benchmarks/</w:t>
      </w:r>
      <w:r w:rsidRPr="006F7C82" w:rsidR="00F33AD1">
        <w:rPr>
          <w:rFonts w:eastAsia="Calibri"/>
          <w:color w:val="000000" w:themeColor="text1"/>
        </w:rPr>
        <w:t>standards</w:t>
      </w:r>
      <w:r w:rsidRPr="006F7C82" w:rsidR="00F941D4">
        <w:rPr>
          <w:rFonts w:eastAsia="Calibri"/>
          <w:color w:val="000000" w:themeColor="text1"/>
        </w:rPr>
        <w:t>.</w:t>
      </w:r>
      <w:r w:rsidRPr="006F7C82" w:rsidR="00F33AD1">
        <w:rPr>
          <w:rFonts w:eastAsia="Calibri"/>
          <w:color w:val="000000" w:themeColor="text1"/>
        </w:rPr>
        <w:t xml:space="preserve"> </w:t>
      </w:r>
      <w:r w:rsidRPr="006F7C82" w:rsidR="00F52A8C">
        <w:rPr>
          <w:rFonts w:eastAsia="Calibri"/>
          <w:color w:val="000000" w:themeColor="text1"/>
        </w:rPr>
        <w:t>T</w:t>
      </w:r>
      <w:r w:rsidRPr="006F7C82" w:rsidR="008D570E">
        <w:rPr>
          <w:rFonts w:eastAsia="Calibri"/>
          <w:color w:val="000000" w:themeColor="text1"/>
        </w:rPr>
        <w:t xml:space="preserve">o </w:t>
      </w:r>
      <w:r w:rsidRPr="006F7C82" w:rsidR="0087132B">
        <w:rPr>
          <w:rFonts w:eastAsia="Calibri"/>
          <w:color w:val="000000" w:themeColor="text1"/>
        </w:rPr>
        <w:t>maintain consistency</w:t>
      </w:r>
      <w:r w:rsidRPr="006F7C82" w:rsidR="008D570E">
        <w:rPr>
          <w:rFonts w:eastAsia="Calibri"/>
          <w:color w:val="000000" w:themeColor="text1"/>
        </w:rPr>
        <w:t>, t</w:t>
      </w:r>
      <w:r w:rsidRPr="006F7C82" w:rsidR="00720000">
        <w:rPr>
          <w:rFonts w:eastAsia="Calibri"/>
          <w:color w:val="000000" w:themeColor="text1"/>
        </w:rPr>
        <w:t xml:space="preserve">he </w:t>
      </w:r>
      <w:r w:rsidRPr="006F7C82" w:rsidR="0073560C">
        <w:rPr>
          <w:rFonts w:eastAsia="Calibri"/>
          <w:color w:val="000000" w:themeColor="text1"/>
        </w:rPr>
        <w:t xml:space="preserve">Commission will </w:t>
      </w:r>
      <w:r w:rsidRPr="006F7C82" w:rsidR="00FA2F84">
        <w:rPr>
          <w:rFonts w:eastAsia="Calibri"/>
          <w:color w:val="000000" w:themeColor="text1"/>
        </w:rPr>
        <w:t xml:space="preserve">set </w:t>
      </w:r>
      <w:r w:rsidRPr="006F7C82" w:rsidR="00FA2F84">
        <w:rPr>
          <w:rFonts w:eastAsia="Calibri"/>
          <w:color w:val="000000" w:themeColor="text1"/>
        </w:rPr>
        <w:lastRenderedPageBreak/>
        <w:t xml:space="preserve">minimum </w:t>
      </w:r>
      <w:r w:rsidRPr="006F7C82" w:rsidR="00426C75">
        <w:rPr>
          <w:rFonts w:eastAsia="Calibri"/>
          <w:color w:val="000000" w:themeColor="text1"/>
        </w:rPr>
        <w:t xml:space="preserve">speed requirements for the Public Housing Account to </w:t>
      </w:r>
      <w:r w:rsidRPr="006F7C82" w:rsidR="003E1040">
        <w:rPr>
          <w:rFonts w:eastAsia="Calibri"/>
          <w:color w:val="000000" w:themeColor="text1"/>
        </w:rPr>
        <w:t>reflect</w:t>
      </w:r>
      <w:r w:rsidRPr="006F7C82" w:rsidR="00426C75">
        <w:rPr>
          <w:rFonts w:eastAsia="Calibri"/>
          <w:color w:val="000000" w:themeColor="text1"/>
        </w:rPr>
        <w:t xml:space="preserve"> the </w:t>
      </w:r>
      <w:r w:rsidRPr="006F7C82" w:rsidR="00C72170">
        <w:rPr>
          <w:rFonts w:eastAsia="Calibri"/>
          <w:color w:val="000000" w:themeColor="text1"/>
        </w:rPr>
        <w:t xml:space="preserve">speed benchmark </w:t>
      </w:r>
      <w:r w:rsidRPr="006F7C82" w:rsidR="009E370E">
        <w:rPr>
          <w:rFonts w:eastAsia="Calibri"/>
          <w:color w:val="000000" w:themeColor="text1"/>
        </w:rPr>
        <w:t xml:space="preserve">specified </w:t>
      </w:r>
      <w:r w:rsidR="006A127F">
        <w:rPr>
          <w:rFonts w:eastAsia="Calibri"/>
          <w:color w:val="000000" w:themeColor="text1"/>
        </w:rPr>
        <w:t xml:space="preserve">as delivering advanced telecommunications capability </w:t>
      </w:r>
      <w:r w:rsidRPr="006F7C82" w:rsidR="009E370E">
        <w:rPr>
          <w:rFonts w:eastAsia="Calibri"/>
          <w:color w:val="000000" w:themeColor="text1"/>
        </w:rPr>
        <w:t xml:space="preserve">in the </w:t>
      </w:r>
      <w:r w:rsidRPr="006F7C82" w:rsidR="00720000">
        <w:rPr>
          <w:rFonts w:eastAsia="Calibri"/>
          <w:color w:val="000000" w:themeColor="text1"/>
        </w:rPr>
        <w:t xml:space="preserve">Federal Communications Commission’s </w:t>
      </w:r>
      <w:r w:rsidRPr="00806ADE" w:rsidR="009F11FB">
        <w:rPr>
          <w:rFonts w:eastAsia="Calibri"/>
          <w:color w:val="000000" w:themeColor="text1"/>
        </w:rPr>
        <w:t>(FCC)</w:t>
      </w:r>
      <w:r w:rsidR="009F11FB">
        <w:rPr>
          <w:rFonts w:eastAsia="Calibri"/>
          <w:color w:val="000000" w:themeColor="text1"/>
        </w:rPr>
        <w:t xml:space="preserve"> </w:t>
      </w:r>
      <w:r w:rsidRPr="006F7C82" w:rsidR="000C4461">
        <w:rPr>
          <w:rFonts w:eastAsia="Calibri"/>
          <w:color w:val="000000" w:themeColor="text1"/>
        </w:rPr>
        <w:t>most recent</w:t>
      </w:r>
      <w:r w:rsidRPr="006F7C82" w:rsidR="004B4456">
        <w:rPr>
          <w:rFonts w:eastAsia="Calibri"/>
          <w:color w:val="000000" w:themeColor="text1"/>
        </w:rPr>
        <w:t xml:space="preserve">ly published </w:t>
      </w:r>
      <w:r w:rsidRPr="006F7C82" w:rsidR="001F523F">
        <w:rPr>
          <w:rFonts w:eastAsia="Calibri"/>
          <w:color w:val="000000" w:themeColor="text1"/>
        </w:rPr>
        <w:t>broadband deployment</w:t>
      </w:r>
      <w:r w:rsidRPr="006F7C82" w:rsidR="00B36FB0">
        <w:rPr>
          <w:rFonts w:eastAsia="Calibri"/>
          <w:color w:val="000000" w:themeColor="text1"/>
        </w:rPr>
        <w:t xml:space="preserve"> </w:t>
      </w:r>
      <w:r w:rsidRPr="006F7C82" w:rsidR="001F523F">
        <w:rPr>
          <w:rFonts w:eastAsia="Calibri"/>
          <w:color w:val="000000" w:themeColor="text1"/>
        </w:rPr>
        <w:t>report</w:t>
      </w:r>
      <w:r w:rsidRPr="006F7C82" w:rsidR="001E23A6">
        <w:rPr>
          <w:rFonts w:eastAsia="Calibri"/>
          <w:color w:val="000000" w:themeColor="text1"/>
        </w:rPr>
        <w:t>.</w:t>
      </w:r>
      <w:r w:rsidRPr="006F7C82" w:rsidR="004642DA">
        <w:rPr>
          <w:rFonts w:eastAsia="Calibri"/>
          <w:color w:val="000000" w:themeColor="text1"/>
        </w:rPr>
        <w:t xml:space="preserve"> </w:t>
      </w:r>
      <w:r w:rsidRPr="006F7C82" w:rsidR="001E23A6">
        <w:rPr>
          <w:rFonts w:eastAsia="Calibri"/>
          <w:color w:val="000000" w:themeColor="text1"/>
        </w:rPr>
        <w:t>A</w:t>
      </w:r>
      <w:r w:rsidRPr="006F7C82" w:rsidR="004642DA">
        <w:rPr>
          <w:rFonts w:eastAsia="Calibri"/>
          <w:color w:val="000000" w:themeColor="text1"/>
        </w:rPr>
        <w:t xml:space="preserve">ccording to </w:t>
      </w:r>
      <w:r w:rsidRPr="006F7C82" w:rsidR="00036339">
        <w:rPr>
          <w:rFonts w:eastAsia="Calibri"/>
          <w:color w:val="000000" w:themeColor="text1"/>
        </w:rPr>
        <w:t xml:space="preserve">the </w:t>
      </w:r>
      <w:r w:rsidRPr="006F7C82" w:rsidR="007871DE">
        <w:rPr>
          <w:rFonts w:eastAsia="Calibri"/>
          <w:color w:val="000000" w:themeColor="text1"/>
        </w:rPr>
        <w:t xml:space="preserve">Fourteenth Broadband Deployment Report, </w:t>
      </w:r>
      <w:r w:rsidRPr="006F7C82" w:rsidR="00810E2D">
        <w:rPr>
          <w:rFonts w:eastAsia="Calibri"/>
          <w:color w:val="000000" w:themeColor="text1"/>
        </w:rPr>
        <w:t xml:space="preserve">the current speed </w:t>
      </w:r>
      <w:r w:rsidRPr="006F7C82" w:rsidR="00617786">
        <w:rPr>
          <w:rFonts w:eastAsia="Calibri"/>
          <w:color w:val="000000" w:themeColor="text1"/>
        </w:rPr>
        <w:t>benchmark is 25</w:t>
      </w:r>
      <w:r w:rsidR="009F11FB">
        <w:rPr>
          <w:rFonts w:eastAsia="Calibri"/>
          <w:color w:val="000000" w:themeColor="text1"/>
        </w:rPr>
        <w:t> </w:t>
      </w:r>
      <w:r w:rsidRPr="006F7C82" w:rsidR="00617786">
        <w:rPr>
          <w:rFonts w:eastAsia="Calibri"/>
          <w:color w:val="000000" w:themeColor="text1"/>
        </w:rPr>
        <w:t>Mbps down and 3 Mbps up</w:t>
      </w:r>
      <w:r w:rsidRPr="006F7C82" w:rsidR="002340B0">
        <w:rPr>
          <w:rFonts w:eastAsia="Calibri"/>
          <w:color w:val="000000" w:themeColor="text1"/>
        </w:rPr>
        <w:t>.</w:t>
      </w:r>
      <w:r w:rsidRPr="006F7C82" w:rsidR="19F98F38">
        <w:rPr>
          <w:rStyle w:val="FootnoteReference"/>
          <w:rFonts w:eastAsia="Calibri"/>
          <w:color w:val="000000" w:themeColor="text1"/>
        </w:rPr>
        <w:footnoteReference w:id="46"/>
      </w:r>
      <w:r w:rsidRPr="006F7C82" w:rsidR="007A5EBB">
        <w:rPr>
          <w:rFonts w:eastAsia="Calibri"/>
          <w:color w:val="000000" w:themeColor="text1"/>
        </w:rPr>
        <w:t xml:space="preserve"> </w:t>
      </w:r>
      <w:r w:rsidRPr="006F7C82" w:rsidR="0080782A">
        <w:rPr>
          <w:rFonts w:eastAsia="Calibri"/>
          <w:color w:val="000000" w:themeColor="text1"/>
        </w:rPr>
        <w:t xml:space="preserve">If and when </w:t>
      </w:r>
      <w:r w:rsidRPr="006F7C82" w:rsidR="004B339A">
        <w:rPr>
          <w:rFonts w:eastAsia="Calibri"/>
          <w:color w:val="000000" w:themeColor="text1"/>
        </w:rPr>
        <w:t xml:space="preserve">an annual broadband deployment report specifies a </w:t>
      </w:r>
      <w:r w:rsidRPr="006F7C82" w:rsidR="00632724">
        <w:rPr>
          <w:rFonts w:eastAsia="Calibri"/>
          <w:color w:val="000000" w:themeColor="text1"/>
        </w:rPr>
        <w:t xml:space="preserve">speed benchmark that is </w:t>
      </w:r>
      <w:r w:rsidR="006A127F">
        <w:rPr>
          <w:rFonts w:eastAsia="Calibri"/>
          <w:color w:val="000000" w:themeColor="text1"/>
        </w:rPr>
        <w:t>faster</w:t>
      </w:r>
      <w:r w:rsidRPr="006F7C82" w:rsidR="006A127F">
        <w:rPr>
          <w:rFonts w:eastAsia="Calibri"/>
          <w:color w:val="000000" w:themeColor="text1"/>
        </w:rPr>
        <w:t xml:space="preserve"> </w:t>
      </w:r>
      <w:r w:rsidRPr="006F7C82" w:rsidR="00632724">
        <w:rPr>
          <w:rFonts w:eastAsia="Calibri"/>
          <w:color w:val="000000" w:themeColor="text1"/>
        </w:rPr>
        <w:t>than 25 Mbps down and 3</w:t>
      </w:r>
      <w:r w:rsidR="009F11FB">
        <w:rPr>
          <w:rFonts w:eastAsia="Calibri"/>
          <w:color w:val="000000" w:themeColor="text1"/>
        </w:rPr>
        <w:t> </w:t>
      </w:r>
      <w:r w:rsidRPr="006F7C82" w:rsidR="00632724">
        <w:rPr>
          <w:rFonts w:eastAsia="Calibri"/>
          <w:color w:val="000000" w:themeColor="text1"/>
        </w:rPr>
        <w:t xml:space="preserve">Mbps up, </w:t>
      </w:r>
      <w:r w:rsidRPr="006F7C82" w:rsidR="00C87A44">
        <w:rPr>
          <w:rFonts w:eastAsia="Calibri"/>
          <w:color w:val="000000" w:themeColor="text1"/>
        </w:rPr>
        <w:t xml:space="preserve">applications submitted </w:t>
      </w:r>
      <w:r w:rsidRPr="006F7C82" w:rsidR="00F22C8B">
        <w:rPr>
          <w:rFonts w:eastAsia="Calibri"/>
          <w:color w:val="000000" w:themeColor="text1"/>
        </w:rPr>
        <w:t xml:space="preserve">three months after the </w:t>
      </w:r>
      <w:r w:rsidRPr="006F7C82" w:rsidR="007F41E5">
        <w:rPr>
          <w:rFonts w:eastAsia="Calibri"/>
          <w:color w:val="000000" w:themeColor="text1"/>
        </w:rPr>
        <w:t xml:space="preserve">issue </w:t>
      </w:r>
      <w:r w:rsidRPr="006F7C82" w:rsidR="00F22C8B">
        <w:rPr>
          <w:rFonts w:eastAsia="Calibri"/>
          <w:color w:val="000000" w:themeColor="text1"/>
        </w:rPr>
        <w:t xml:space="preserve">date of </w:t>
      </w:r>
      <w:r w:rsidRPr="006F7C82" w:rsidR="00D10618">
        <w:rPr>
          <w:rFonts w:eastAsia="Calibri"/>
          <w:color w:val="000000" w:themeColor="text1"/>
        </w:rPr>
        <w:t>that report</w:t>
      </w:r>
      <w:r w:rsidRPr="006F7C82" w:rsidR="00574954">
        <w:rPr>
          <w:rFonts w:eastAsia="Calibri"/>
          <w:color w:val="000000" w:themeColor="text1"/>
        </w:rPr>
        <w:t>, and thereafter,</w:t>
      </w:r>
      <w:r w:rsidRPr="006F7C82" w:rsidR="00D10618">
        <w:rPr>
          <w:rFonts w:eastAsia="Calibri"/>
          <w:color w:val="000000" w:themeColor="text1"/>
        </w:rPr>
        <w:t xml:space="preserve"> must </w:t>
      </w:r>
      <w:r w:rsidRPr="006F7C82" w:rsidR="00B33E61">
        <w:rPr>
          <w:rFonts w:eastAsia="Calibri"/>
          <w:color w:val="000000" w:themeColor="text1"/>
        </w:rPr>
        <w:t xml:space="preserve">meet the speed benchmark </w:t>
      </w:r>
      <w:r w:rsidRPr="006F7C82" w:rsidR="00E700F0">
        <w:rPr>
          <w:rFonts w:eastAsia="Calibri"/>
          <w:color w:val="000000" w:themeColor="text1"/>
        </w:rPr>
        <w:t>specified by that report.</w:t>
      </w:r>
      <w:r w:rsidRPr="006F7C82" w:rsidR="007A47B9">
        <w:rPr>
          <w:rFonts w:eastAsia="Calibri"/>
          <w:color w:val="000000" w:themeColor="text1"/>
        </w:rPr>
        <w:t xml:space="preserve"> </w:t>
      </w:r>
      <w:r w:rsidRPr="006F7C82" w:rsidR="002C2CA9">
        <w:rPr>
          <w:rFonts w:eastAsia="Calibri"/>
          <w:color w:val="000000" w:themeColor="text1"/>
        </w:rPr>
        <w:t xml:space="preserve">The Commission adopts </w:t>
      </w:r>
      <w:r w:rsidRPr="006F7C82" w:rsidR="00984623">
        <w:rPr>
          <w:rFonts w:eastAsia="Calibri"/>
          <w:color w:val="000000" w:themeColor="text1"/>
        </w:rPr>
        <w:t xml:space="preserve">this minimum speed </w:t>
      </w:r>
      <w:r w:rsidRPr="006F7C82" w:rsidR="00E423D0">
        <w:rPr>
          <w:rFonts w:eastAsia="Calibri"/>
          <w:color w:val="000000" w:themeColor="text1"/>
        </w:rPr>
        <w:t xml:space="preserve">requirement </w:t>
      </w:r>
      <w:r w:rsidRPr="006F7C82" w:rsidR="00984623">
        <w:rPr>
          <w:rFonts w:eastAsia="Calibri"/>
          <w:color w:val="000000" w:themeColor="text1"/>
        </w:rPr>
        <w:t xml:space="preserve">as shown in </w:t>
      </w:r>
      <w:r w:rsidRPr="00806ADE" w:rsidR="00984623">
        <w:rPr>
          <w:rFonts w:eastAsia="Calibri"/>
          <w:color w:val="000000" w:themeColor="text1"/>
        </w:rPr>
        <w:t>Appendix 1.</w:t>
      </w:r>
    </w:p>
    <w:p w:rsidRPr="00806ADE" w:rsidR="7FDAA6EC" w:rsidP="009F11FB" w:rsidRDefault="7FDAA6EC" w14:paraId="4A3FC22A" w14:textId="2B6E80C2">
      <w:pPr>
        <w:pStyle w:val="Standard"/>
        <w:numPr>
          <w:ilvl w:val="0"/>
          <w:numId w:val="5"/>
        </w:numPr>
        <w:spacing w:after="120" w:line="240" w:lineRule="auto"/>
        <w:ind w:left="1080" w:right="1440"/>
        <w:rPr>
          <w:rFonts w:eastAsia="Calibri"/>
          <w:i/>
          <w:iCs/>
          <w:color w:val="000000" w:themeColor="text1"/>
        </w:rPr>
      </w:pPr>
      <w:r w:rsidRPr="00806ADE">
        <w:rPr>
          <w:rFonts w:eastAsia="Calibri"/>
          <w:i/>
          <w:iCs/>
          <w:color w:val="000000" w:themeColor="text1"/>
        </w:rPr>
        <w:t>Should the Commission prioritize 802.11ax projects over 802.11n projects?</w:t>
      </w:r>
    </w:p>
    <w:p w:rsidRPr="006F7C82" w:rsidR="7FDAA6EC" w:rsidP="7FDAA6EC" w:rsidRDefault="00881F1D" w14:paraId="6A93470E" w14:textId="2E74AAF9">
      <w:pPr>
        <w:rPr>
          <w:rFonts w:eastAsia="Calibri"/>
          <w:color w:val="000000" w:themeColor="text1"/>
          <w:szCs w:val="26"/>
        </w:rPr>
      </w:pPr>
      <w:r w:rsidRPr="00806ADE">
        <w:rPr>
          <w:rFonts w:eastAsia="Calibri"/>
          <w:color w:val="000000" w:themeColor="text1"/>
        </w:rPr>
        <w:t xml:space="preserve">802.11ax (also referred to as Wi-Fi 6) and 802.11n (Wi-Fi </w:t>
      </w:r>
      <w:r w:rsidRPr="00806ADE" w:rsidR="00C8657B">
        <w:rPr>
          <w:rFonts w:eastAsia="Calibri"/>
          <w:color w:val="000000" w:themeColor="text1"/>
        </w:rPr>
        <w:t>4</w:t>
      </w:r>
      <w:r w:rsidRPr="00806ADE">
        <w:rPr>
          <w:rFonts w:eastAsia="Calibri"/>
          <w:color w:val="000000" w:themeColor="text1"/>
        </w:rPr>
        <w:t xml:space="preserve">) are </w:t>
      </w:r>
      <w:r w:rsidRPr="00806ADE" w:rsidR="00020194">
        <w:rPr>
          <w:rFonts w:eastAsia="Calibri"/>
          <w:color w:val="000000" w:themeColor="text1"/>
        </w:rPr>
        <w:t>protocols</w:t>
      </w:r>
      <w:r w:rsidRPr="006F7C82" w:rsidR="00020194">
        <w:rPr>
          <w:rFonts w:eastAsia="Calibri"/>
          <w:color w:val="000000" w:themeColor="text1"/>
        </w:rPr>
        <w:t xml:space="preserve"> and standards for wireless network devices</w:t>
      </w:r>
      <w:r w:rsidRPr="006F7C82" w:rsidR="00597079">
        <w:rPr>
          <w:rFonts w:eastAsia="Calibri"/>
          <w:color w:val="000000" w:themeColor="text1"/>
        </w:rPr>
        <w:t xml:space="preserve">, which would </w:t>
      </w:r>
      <w:r w:rsidRPr="006F7C82" w:rsidR="00944D6A">
        <w:rPr>
          <w:rFonts w:eastAsia="Calibri"/>
          <w:color w:val="000000" w:themeColor="text1"/>
        </w:rPr>
        <w:t xml:space="preserve">enable a wireless network </w:t>
      </w:r>
      <w:r w:rsidRPr="006F7C82" w:rsidR="00CE4BC0">
        <w:rPr>
          <w:rFonts w:eastAsia="Calibri"/>
          <w:color w:val="000000" w:themeColor="text1"/>
        </w:rPr>
        <w:t xml:space="preserve">in an area with </w:t>
      </w:r>
      <w:r w:rsidRPr="006F7C82" w:rsidR="0025745A">
        <w:rPr>
          <w:rFonts w:eastAsia="Calibri"/>
          <w:color w:val="000000" w:themeColor="text1"/>
        </w:rPr>
        <w:t xml:space="preserve">a broadband service connection. </w:t>
      </w:r>
      <w:r w:rsidRPr="006F7C82" w:rsidR="00D31062">
        <w:rPr>
          <w:rFonts w:eastAsia="Calibri"/>
          <w:color w:val="000000" w:themeColor="text1"/>
        </w:rPr>
        <w:t>CETF</w:t>
      </w:r>
      <w:r w:rsidRPr="006F7C82" w:rsidR="005056F6">
        <w:rPr>
          <w:rFonts w:eastAsia="Calibri"/>
          <w:color w:val="000000" w:themeColor="text1"/>
        </w:rPr>
        <w:t>, LAEDC</w:t>
      </w:r>
      <w:r w:rsidRPr="006F7C82" w:rsidR="00D31062">
        <w:rPr>
          <w:rFonts w:eastAsia="Calibri"/>
          <w:color w:val="000000" w:themeColor="text1"/>
        </w:rPr>
        <w:t xml:space="preserve"> </w:t>
      </w:r>
      <w:r w:rsidRPr="006F7C82" w:rsidR="0042692C">
        <w:rPr>
          <w:rFonts w:eastAsia="Calibri"/>
          <w:color w:val="000000" w:themeColor="text1"/>
        </w:rPr>
        <w:t xml:space="preserve">and NDC </w:t>
      </w:r>
      <w:r w:rsidRPr="006F7C82" w:rsidR="00205E57">
        <w:rPr>
          <w:rFonts w:eastAsia="Calibri"/>
          <w:color w:val="000000" w:themeColor="text1"/>
        </w:rPr>
        <w:t xml:space="preserve">recommend prioritizing </w:t>
      </w:r>
      <w:r w:rsidRPr="006F7C82" w:rsidR="00946D31">
        <w:rPr>
          <w:rFonts w:eastAsia="Calibri"/>
          <w:color w:val="000000" w:themeColor="text1"/>
        </w:rPr>
        <w:t xml:space="preserve">802.11ax projects over 802.11n projects, as </w:t>
      </w:r>
      <w:r w:rsidRPr="006F7C82" w:rsidR="00AF6B09">
        <w:rPr>
          <w:rFonts w:eastAsia="Calibri"/>
          <w:color w:val="000000" w:themeColor="text1"/>
        </w:rPr>
        <w:t>802.11ax</w:t>
      </w:r>
      <w:r w:rsidRPr="006F7C82" w:rsidR="00460246">
        <w:rPr>
          <w:rFonts w:eastAsia="Calibri"/>
          <w:color w:val="000000" w:themeColor="text1"/>
        </w:rPr>
        <w:t xml:space="preserve"> is far superior </w:t>
      </w:r>
      <w:r w:rsidRPr="006F7C82" w:rsidR="006B343D">
        <w:rPr>
          <w:rFonts w:eastAsia="Calibri"/>
          <w:color w:val="000000" w:themeColor="text1"/>
        </w:rPr>
        <w:t xml:space="preserve">to </w:t>
      </w:r>
      <w:r w:rsidRPr="006F7C82" w:rsidR="00AF6B09">
        <w:rPr>
          <w:rFonts w:eastAsia="Calibri"/>
          <w:color w:val="000000" w:themeColor="text1"/>
        </w:rPr>
        <w:t>802.11n</w:t>
      </w:r>
      <w:r w:rsidRPr="006F7C82" w:rsidR="00C12177">
        <w:rPr>
          <w:rFonts w:eastAsia="Calibri"/>
          <w:color w:val="000000" w:themeColor="text1"/>
        </w:rPr>
        <w:t xml:space="preserve">, </w:t>
      </w:r>
      <w:r w:rsidRPr="006F7C82" w:rsidR="00114C57">
        <w:rPr>
          <w:rFonts w:eastAsia="Calibri"/>
          <w:color w:val="000000" w:themeColor="text1"/>
        </w:rPr>
        <w:t>supporting much greater speeds</w:t>
      </w:r>
      <w:r w:rsidRPr="006F7C82" w:rsidR="004F56A8">
        <w:rPr>
          <w:rFonts w:eastAsia="Calibri"/>
          <w:color w:val="000000" w:themeColor="text1"/>
        </w:rPr>
        <w:t xml:space="preserve">, among other </w:t>
      </w:r>
      <w:r w:rsidRPr="006F7C82" w:rsidR="00914D26">
        <w:rPr>
          <w:rFonts w:eastAsia="Calibri"/>
          <w:color w:val="000000" w:themeColor="text1"/>
        </w:rPr>
        <w:t>significant advantages.</w:t>
      </w:r>
      <w:r w:rsidRPr="006F7C82" w:rsidR="00B70FD4">
        <w:rPr>
          <w:rStyle w:val="FootnoteReference"/>
          <w:rFonts w:eastAsia="Calibri"/>
          <w:color w:val="000000" w:themeColor="text1"/>
          <w:szCs w:val="26"/>
        </w:rPr>
        <w:footnoteReference w:id="47"/>
      </w:r>
      <w:r w:rsidRPr="006F7C82" w:rsidR="00914D26">
        <w:rPr>
          <w:rFonts w:eastAsia="Calibri"/>
          <w:color w:val="000000" w:themeColor="text1"/>
        </w:rPr>
        <w:t xml:space="preserve"> </w:t>
      </w:r>
      <w:r w:rsidRPr="006F7C82" w:rsidR="001F5CBF">
        <w:rPr>
          <w:rFonts w:eastAsia="Calibri"/>
          <w:color w:val="000000" w:themeColor="text1"/>
        </w:rPr>
        <w:t xml:space="preserve">NDC recommends prohibiting </w:t>
      </w:r>
      <w:r w:rsidRPr="006F7C82" w:rsidR="00925F3D">
        <w:rPr>
          <w:rFonts w:eastAsia="Calibri"/>
          <w:color w:val="000000" w:themeColor="text1"/>
        </w:rPr>
        <w:t>projects from using 802.11n</w:t>
      </w:r>
      <w:r w:rsidRPr="006F7C82" w:rsidR="0055124D">
        <w:rPr>
          <w:rFonts w:eastAsia="Calibri"/>
          <w:color w:val="000000" w:themeColor="text1"/>
        </w:rPr>
        <w:t xml:space="preserve"> and requiring, at minimum, 802.11AC wave</w:t>
      </w:r>
      <w:r w:rsidRPr="006F7C82" w:rsidR="00042020">
        <w:rPr>
          <w:rFonts w:eastAsia="Calibri"/>
          <w:color w:val="000000" w:themeColor="text1"/>
        </w:rPr>
        <w:t>2.</w:t>
      </w:r>
      <w:r w:rsidRPr="006F7C82" w:rsidR="00042020">
        <w:rPr>
          <w:rStyle w:val="FootnoteReference"/>
          <w:rFonts w:eastAsia="Calibri"/>
          <w:color w:val="000000" w:themeColor="text1"/>
          <w:szCs w:val="26"/>
        </w:rPr>
        <w:footnoteReference w:id="48"/>
      </w:r>
      <w:r w:rsidRPr="006F7C82" w:rsidR="00042020">
        <w:rPr>
          <w:rFonts w:eastAsia="Calibri"/>
          <w:color w:val="000000" w:themeColor="text1"/>
        </w:rPr>
        <w:t xml:space="preserve"> </w:t>
      </w:r>
      <w:r w:rsidRPr="006F7C82" w:rsidR="009D4D97">
        <w:rPr>
          <w:rFonts w:eastAsia="Calibri"/>
          <w:color w:val="000000" w:themeColor="text1"/>
        </w:rPr>
        <w:t xml:space="preserve">CETF does not recommend </w:t>
      </w:r>
      <w:r w:rsidRPr="006F7C82" w:rsidR="003152EC">
        <w:rPr>
          <w:rFonts w:eastAsia="Calibri"/>
          <w:color w:val="000000" w:themeColor="text1"/>
        </w:rPr>
        <w:t>requiring 802.11ax</w:t>
      </w:r>
      <w:r w:rsidRPr="006F7C82" w:rsidR="0046714B">
        <w:rPr>
          <w:rFonts w:eastAsia="Calibri"/>
          <w:color w:val="000000" w:themeColor="text1"/>
        </w:rPr>
        <w:t xml:space="preserve">, </w:t>
      </w:r>
      <w:r w:rsidRPr="006F7C82" w:rsidR="00CC09A6">
        <w:rPr>
          <w:rFonts w:eastAsia="Calibri"/>
          <w:color w:val="000000" w:themeColor="text1"/>
        </w:rPr>
        <w:t xml:space="preserve">which </w:t>
      </w:r>
      <w:r w:rsidRPr="006F7C82" w:rsidR="00556C31">
        <w:rPr>
          <w:rFonts w:eastAsia="Calibri"/>
          <w:color w:val="000000" w:themeColor="text1"/>
        </w:rPr>
        <w:t xml:space="preserve">could have the unintended consequence of </w:t>
      </w:r>
      <w:r w:rsidRPr="006F7C82" w:rsidR="00426B12">
        <w:rPr>
          <w:rFonts w:eastAsia="Calibri"/>
          <w:color w:val="000000" w:themeColor="text1"/>
        </w:rPr>
        <w:t xml:space="preserve">barring applicants who </w:t>
      </w:r>
      <w:r w:rsidRPr="006F7C82" w:rsidR="004D4D22">
        <w:rPr>
          <w:rFonts w:eastAsia="Calibri"/>
          <w:color w:val="000000" w:themeColor="text1"/>
        </w:rPr>
        <w:t xml:space="preserve">had already purchased </w:t>
      </w:r>
      <w:r w:rsidRPr="006F7C82" w:rsidR="00D81DAF">
        <w:rPr>
          <w:rFonts w:eastAsia="Calibri"/>
          <w:color w:val="000000" w:themeColor="text1"/>
        </w:rPr>
        <w:t>802.11n equipment</w:t>
      </w:r>
      <w:r w:rsidRPr="006F7C82" w:rsidR="009D7E9D">
        <w:rPr>
          <w:rFonts w:eastAsia="Calibri"/>
          <w:color w:val="000000" w:themeColor="text1"/>
        </w:rPr>
        <w:t xml:space="preserve">, or </w:t>
      </w:r>
      <w:r w:rsidRPr="006F7C82" w:rsidR="00745467">
        <w:rPr>
          <w:rFonts w:eastAsia="Calibri"/>
          <w:color w:val="000000" w:themeColor="text1"/>
        </w:rPr>
        <w:t xml:space="preserve">of </w:t>
      </w:r>
      <w:r w:rsidRPr="006F7C82" w:rsidR="009D7E9D">
        <w:rPr>
          <w:rFonts w:eastAsia="Calibri"/>
          <w:color w:val="000000" w:themeColor="text1"/>
        </w:rPr>
        <w:lastRenderedPageBreak/>
        <w:t xml:space="preserve">precluding the use of </w:t>
      </w:r>
      <w:r w:rsidRPr="006F7C82" w:rsidR="00EF3D5F">
        <w:rPr>
          <w:rFonts w:eastAsia="Calibri"/>
          <w:color w:val="000000" w:themeColor="text1"/>
        </w:rPr>
        <w:t>devices that do not contain the new Wi-Fi 6 standard</w:t>
      </w:r>
      <w:r w:rsidRPr="006F7C82" w:rsidR="00D9156A">
        <w:rPr>
          <w:rFonts w:eastAsia="Calibri"/>
          <w:color w:val="000000" w:themeColor="text1"/>
        </w:rPr>
        <w:t>.</w:t>
      </w:r>
      <w:r w:rsidRPr="006F7C82" w:rsidR="007F6600">
        <w:rPr>
          <w:rStyle w:val="FootnoteReference"/>
          <w:rFonts w:eastAsia="Calibri"/>
          <w:color w:val="000000" w:themeColor="text1"/>
          <w:szCs w:val="26"/>
        </w:rPr>
        <w:footnoteReference w:id="49"/>
      </w:r>
      <w:r w:rsidRPr="006F7C82" w:rsidR="00D9156A">
        <w:rPr>
          <w:rFonts w:eastAsia="Calibri"/>
          <w:color w:val="000000" w:themeColor="text1"/>
        </w:rPr>
        <w:t xml:space="preserve"> </w:t>
      </w:r>
      <w:r w:rsidRPr="006F7C82" w:rsidR="00DB5BB1">
        <w:rPr>
          <w:rFonts w:eastAsia="Calibri"/>
          <w:color w:val="000000" w:themeColor="text1"/>
        </w:rPr>
        <w:t xml:space="preserve">Similarly, IERBC recommends </w:t>
      </w:r>
      <w:r w:rsidRPr="006F7C82" w:rsidR="001E3C26">
        <w:rPr>
          <w:rFonts w:eastAsia="Calibri"/>
          <w:color w:val="000000" w:themeColor="text1"/>
        </w:rPr>
        <w:t>encouraging 802.11ax but still allowing 802.11n depending on whether the</w:t>
      </w:r>
      <w:r w:rsidRPr="006F7C82" w:rsidR="00B20C75">
        <w:rPr>
          <w:rFonts w:eastAsia="Calibri"/>
          <w:color w:val="000000" w:themeColor="text1"/>
        </w:rPr>
        <w:t xml:space="preserve"> project’s</w:t>
      </w:r>
      <w:r w:rsidRPr="006F7C82" w:rsidR="001E3C26">
        <w:rPr>
          <w:rFonts w:eastAsia="Calibri"/>
          <w:color w:val="000000" w:themeColor="text1"/>
        </w:rPr>
        <w:t xml:space="preserve"> </w:t>
      </w:r>
      <w:r w:rsidRPr="006F7C82" w:rsidR="0068275A">
        <w:rPr>
          <w:rFonts w:eastAsia="Calibri"/>
          <w:color w:val="000000" w:themeColor="text1"/>
        </w:rPr>
        <w:t>site conditions justify the final design and engineering</w:t>
      </w:r>
      <w:r w:rsidRPr="006F7C82" w:rsidR="00B20C75">
        <w:rPr>
          <w:rFonts w:eastAsia="Calibri"/>
          <w:color w:val="000000" w:themeColor="text1"/>
        </w:rPr>
        <w:t>.</w:t>
      </w:r>
      <w:r w:rsidRPr="006F7C82" w:rsidR="008308DE">
        <w:rPr>
          <w:rStyle w:val="FootnoteReference"/>
          <w:rFonts w:eastAsia="Calibri"/>
          <w:color w:val="000000" w:themeColor="text1"/>
          <w:szCs w:val="26"/>
        </w:rPr>
        <w:footnoteReference w:id="50"/>
      </w:r>
    </w:p>
    <w:p w:rsidRPr="006F7C82" w:rsidR="00CF69B8" w:rsidP="7FDAA6EC" w:rsidRDefault="007A3D78" w14:paraId="6891712E" w14:textId="768D1C38">
      <w:pPr>
        <w:rPr>
          <w:rFonts w:eastAsia="Calibri"/>
          <w:color w:val="000000" w:themeColor="text1"/>
        </w:rPr>
      </w:pPr>
      <w:r w:rsidRPr="006F7C82">
        <w:rPr>
          <w:rFonts w:eastAsia="Calibri"/>
          <w:color w:val="000000" w:themeColor="text1"/>
        </w:rPr>
        <w:t xml:space="preserve">The Commission generally </w:t>
      </w:r>
      <w:r w:rsidRPr="006F7C82" w:rsidR="006E0F14">
        <w:rPr>
          <w:rFonts w:eastAsia="Calibri"/>
          <w:color w:val="000000" w:themeColor="text1"/>
        </w:rPr>
        <w:t xml:space="preserve">agrees </w:t>
      </w:r>
      <w:r w:rsidRPr="006F7C82">
        <w:rPr>
          <w:rFonts w:eastAsia="Calibri"/>
          <w:color w:val="000000" w:themeColor="text1"/>
        </w:rPr>
        <w:t xml:space="preserve">with the intent of supporting fast, reliable, and affordable service into the future to the greatest extent practicable. </w:t>
      </w:r>
      <w:r w:rsidRPr="006F7C82" w:rsidR="00B976F4">
        <w:rPr>
          <w:rFonts w:eastAsia="Calibri"/>
          <w:color w:val="000000" w:themeColor="text1"/>
        </w:rPr>
        <w:t>T</w:t>
      </w:r>
      <w:r w:rsidRPr="006F7C82" w:rsidR="00FD52FC">
        <w:rPr>
          <w:rFonts w:eastAsia="Calibri"/>
          <w:color w:val="000000" w:themeColor="text1"/>
        </w:rPr>
        <w:t>he Commission finds</w:t>
      </w:r>
      <w:r w:rsidRPr="006F7C82" w:rsidR="006169CF">
        <w:rPr>
          <w:rFonts w:eastAsia="Calibri"/>
          <w:color w:val="000000" w:themeColor="text1"/>
        </w:rPr>
        <w:t xml:space="preserve"> reason to </w:t>
      </w:r>
      <w:r w:rsidRPr="006F7C82" w:rsidR="00134ACF">
        <w:rPr>
          <w:rFonts w:eastAsia="Calibri"/>
          <w:color w:val="000000" w:themeColor="text1"/>
        </w:rPr>
        <w:t>require that only projects using 802.11</w:t>
      </w:r>
      <w:r w:rsidRPr="006F7C82" w:rsidR="00E11353">
        <w:rPr>
          <w:rFonts w:eastAsia="Calibri"/>
          <w:color w:val="000000" w:themeColor="text1"/>
        </w:rPr>
        <w:t xml:space="preserve">AC wave2 or 802.11ax will be </w:t>
      </w:r>
      <w:r w:rsidRPr="006F7C82" w:rsidR="00B976F4">
        <w:rPr>
          <w:rFonts w:eastAsia="Calibri"/>
          <w:color w:val="000000" w:themeColor="text1"/>
        </w:rPr>
        <w:t>approved</w:t>
      </w:r>
      <w:r w:rsidRPr="006F7C82" w:rsidR="00E11353">
        <w:rPr>
          <w:rFonts w:eastAsia="Calibri"/>
          <w:color w:val="000000" w:themeColor="text1"/>
        </w:rPr>
        <w:t xml:space="preserve">. </w:t>
      </w:r>
      <w:r w:rsidRPr="006F7C82" w:rsidR="00C631F5">
        <w:rPr>
          <w:rFonts w:eastAsia="Calibri"/>
          <w:color w:val="000000" w:themeColor="text1"/>
        </w:rPr>
        <w:t>Both 802.11AC wave2 and 802.11ax are backwards compatible</w:t>
      </w:r>
      <w:r w:rsidRPr="006F7C82" w:rsidR="000D0EE7">
        <w:rPr>
          <w:rFonts w:eastAsia="Calibri"/>
          <w:color w:val="000000" w:themeColor="text1"/>
        </w:rPr>
        <w:t xml:space="preserve"> with 802.11n</w:t>
      </w:r>
      <w:r w:rsidRPr="006F7C82" w:rsidR="00C631F5">
        <w:rPr>
          <w:rFonts w:eastAsia="Calibri"/>
          <w:color w:val="000000" w:themeColor="text1"/>
        </w:rPr>
        <w:t xml:space="preserve">, meaning </w:t>
      </w:r>
      <w:proofErr w:type="gramStart"/>
      <w:r w:rsidRPr="006F7C82" w:rsidR="00AD6A91">
        <w:rPr>
          <w:rFonts w:eastAsia="Calibri"/>
          <w:color w:val="000000" w:themeColor="text1"/>
        </w:rPr>
        <w:t>the vast majority of</w:t>
      </w:r>
      <w:proofErr w:type="gramEnd"/>
      <w:r w:rsidRPr="006F7C82" w:rsidR="00AD6A91">
        <w:rPr>
          <w:rFonts w:eastAsia="Calibri"/>
          <w:color w:val="000000" w:themeColor="text1"/>
        </w:rPr>
        <w:t xml:space="preserve"> Wi-fi products </w:t>
      </w:r>
      <w:r w:rsidRPr="006F7C82" w:rsidR="00F534CA">
        <w:rPr>
          <w:rFonts w:eastAsia="Calibri"/>
          <w:color w:val="000000" w:themeColor="text1"/>
        </w:rPr>
        <w:t xml:space="preserve">will work with those protocols even if they do not support </w:t>
      </w:r>
      <w:r w:rsidRPr="006F7C82" w:rsidR="005468A1">
        <w:rPr>
          <w:rFonts w:eastAsia="Calibri"/>
          <w:color w:val="000000" w:themeColor="text1"/>
        </w:rPr>
        <w:t xml:space="preserve">those protocols. </w:t>
      </w:r>
      <w:r w:rsidRPr="006F7C82" w:rsidR="00AB2679">
        <w:rPr>
          <w:rFonts w:eastAsia="Calibri"/>
          <w:color w:val="000000" w:themeColor="text1"/>
        </w:rPr>
        <w:t>In</w:t>
      </w:r>
      <w:r w:rsidRPr="006F7C82" w:rsidR="00D53DF1">
        <w:rPr>
          <w:rFonts w:eastAsia="Calibri"/>
          <w:color w:val="000000" w:themeColor="text1"/>
        </w:rPr>
        <w:t xml:space="preserve"> cases where an applicant has already </w:t>
      </w:r>
      <w:r w:rsidRPr="006F7C82" w:rsidR="00CC250F">
        <w:rPr>
          <w:rFonts w:eastAsia="Calibri"/>
          <w:color w:val="000000" w:themeColor="text1"/>
        </w:rPr>
        <w:t>purchased 802.11n equipment</w:t>
      </w:r>
      <w:r w:rsidRPr="006F7C82" w:rsidR="00055A45">
        <w:rPr>
          <w:rFonts w:eastAsia="Calibri"/>
          <w:color w:val="000000" w:themeColor="text1"/>
        </w:rPr>
        <w:t xml:space="preserve">, </w:t>
      </w:r>
      <w:r w:rsidRPr="006F7C82" w:rsidR="00270B5A">
        <w:rPr>
          <w:rFonts w:eastAsia="Calibri"/>
          <w:color w:val="000000" w:themeColor="text1"/>
        </w:rPr>
        <w:t xml:space="preserve">they may still apply </w:t>
      </w:r>
      <w:r w:rsidR="000E53B6">
        <w:rPr>
          <w:rFonts w:eastAsia="Calibri"/>
          <w:color w:val="000000" w:themeColor="text1"/>
        </w:rPr>
        <w:t xml:space="preserve">and be eligible for reimbursement of those costs </w:t>
      </w:r>
      <w:r w:rsidRPr="006F7C82" w:rsidR="00270B5A">
        <w:rPr>
          <w:rFonts w:eastAsia="Calibri"/>
          <w:color w:val="000000" w:themeColor="text1"/>
        </w:rPr>
        <w:t xml:space="preserve">if they provide </w:t>
      </w:r>
      <w:r w:rsidRPr="006F7C82" w:rsidR="00E454DB">
        <w:rPr>
          <w:rFonts w:eastAsia="Calibri"/>
          <w:color w:val="000000" w:themeColor="text1"/>
        </w:rPr>
        <w:t xml:space="preserve">documentation </w:t>
      </w:r>
      <w:r w:rsidRPr="006F7C82" w:rsidR="006E44C5">
        <w:rPr>
          <w:rFonts w:eastAsia="Calibri"/>
          <w:color w:val="000000" w:themeColor="text1"/>
        </w:rPr>
        <w:t>that they purchased such equipment</w:t>
      </w:r>
      <w:r w:rsidRPr="006F7C82" w:rsidR="0000344A">
        <w:rPr>
          <w:rFonts w:eastAsia="Calibri"/>
          <w:color w:val="000000" w:themeColor="text1"/>
        </w:rPr>
        <w:t xml:space="preserve"> prior to the issue date of this </w:t>
      </w:r>
      <w:r w:rsidRPr="006F7C82" w:rsidR="00BE53AA">
        <w:rPr>
          <w:rFonts w:eastAsia="Calibri"/>
          <w:color w:val="000000" w:themeColor="text1"/>
        </w:rPr>
        <w:t>proposed decision.</w:t>
      </w:r>
      <w:r w:rsidRPr="006F7C82" w:rsidR="00CC250F">
        <w:rPr>
          <w:rFonts w:eastAsia="Calibri"/>
          <w:color w:val="000000" w:themeColor="text1"/>
        </w:rPr>
        <w:t xml:space="preserve"> </w:t>
      </w:r>
    </w:p>
    <w:p w:rsidRPr="006F7C82" w:rsidR="006E397B" w:rsidP="7FDAA6EC" w:rsidRDefault="00EE44D3" w14:paraId="3FE17D6F" w14:textId="40A004A6">
      <w:pPr>
        <w:rPr>
          <w:rFonts w:eastAsia="Calibri"/>
          <w:color w:val="000000" w:themeColor="text1"/>
        </w:rPr>
      </w:pPr>
      <w:r w:rsidRPr="006F7C82">
        <w:rPr>
          <w:rFonts w:eastAsia="Calibri"/>
          <w:color w:val="000000" w:themeColor="text1"/>
        </w:rPr>
        <w:t>The</w:t>
      </w:r>
      <w:r w:rsidRPr="006F7C82" w:rsidR="00743942">
        <w:rPr>
          <w:rFonts w:eastAsia="Calibri"/>
          <w:color w:val="000000" w:themeColor="text1"/>
        </w:rPr>
        <w:t xml:space="preserve"> </w:t>
      </w:r>
      <w:r w:rsidRPr="006F7C82" w:rsidR="00F6476A">
        <w:rPr>
          <w:rFonts w:eastAsia="Calibri"/>
          <w:color w:val="000000" w:themeColor="text1"/>
        </w:rPr>
        <w:t>Public Housing Account funds costs related to infrastructure</w:t>
      </w:r>
      <w:r w:rsidRPr="006F7C82">
        <w:rPr>
          <w:rFonts w:eastAsia="Calibri"/>
          <w:color w:val="000000" w:themeColor="text1"/>
        </w:rPr>
        <w:t xml:space="preserve"> (</w:t>
      </w:r>
      <w:r w:rsidRPr="006F7C82" w:rsidR="00F6476A">
        <w:rPr>
          <w:rFonts w:eastAsia="Calibri"/>
          <w:color w:val="000000" w:themeColor="text1"/>
        </w:rPr>
        <w:t>but not costs related to operation</w:t>
      </w:r>
      <w:r w:rsidRPr="006F7C82">
        <w:rPr>
          <w:rFonts w:eastAsia="Calibri"/>
          <w:color w:val="000000" w:themeColor="text1"/>
        </w:rPr>
        <w:t xml:space="preserve">), thus it is reasonable to </w:t>
      </w:r>
      <w:r w:rsidRPr="006F7C82" w:rsidR="00C62F34">
        <w:rPr>
          <w:rFonts w:eastAsia="Calibri"/>
          <w:color w:val="000000" w:themeColor="text1"/>
        </w:rPr>
        <w:t>require</w:t>
      </w:r>
      <w:r w:rsidRPr="006F7C82" w:rsidR="000A1E4B">
        <w:rPr>
          <w:rFonts w:eastAsia="Calibri"/>
          <w:color w:val="000000" w:themeColor="text1"/>
        </w:rPr>
        <w:t xml:space="preserve"> deployment of infrastructure that enables </w:t>
      </w:r>
      <w:r w:rsidRPr="006F7C82" w:rsidR="00D85AE9">
        <w:rPr>
          <w:rFonts w:eastAsia="Calibri"/>
          <w:color w:val="000000" w:themeColor="text1"/>
        </w:rPr>
        <w:t xml:space="preserve">throughput of </w:t>
      </w:r>
      <w:r w:rsidRPr="006F7C82" w:rsidR="008A16F6">
        <w:rPr>
          <w:rFonts w:eastAsia="Calibri"/>
          <w:color w:val="000000" w:themeColor="text1"/>
        </w:rPr>
        <w:t>significantly higher speeds</w:t>
      </w:r>
      <w:r w:rsidRPr="006F7C82" w:rsidR="005D0631">
        <w:rPr>
          <w:rFonts w:eastAsia="Calibri"/>
          <w:color w:val="000000" w:themeColor="text1"/>
        </w:rPr>
        <w:t xml:space="preserve"> (500 Mbps for 802.11AC</w:t>
      </w:r>
      <w:r w:rsidRPr="006F7C82" w:rsidR="00E72618">
        <w:rPr>
          <w:rFonts w:eastAsia="Calibri"/>
          <w:color w:val="000000" w:themeColor="text1"/>
        </w:rPr>
        <w:t xml:space="preserve"> </w:t>
      </w:r>
      <w:r w:rsidRPr="006F7C82" w:rsidR="005D0631">
        <w:rPr>
          <w:rFonts w:eastAsia="Calibri"/>
          <w:color w:val="000000" w:themeColor="text1"/>
        </w:rPr>
        <w:t>wave2</w:t>
      </w:r>
      <w:r w:rsidRPr="006F7C82" w:rsidR="00E72618">
        <w:rPr>
          <w:rFonts w:eastAsia="Calibri"/>
          <w:color w:val="000000" w:themeColor="text1"/>
        </w:rPr>
        <w:t xml:space="preserve"> and 1000 Mbps for 802.11ax)</w:t>
      </w:r>
      <w:r w:rsidRPr="006F7C82" w:rsidR="00330455">
        <w:rPr>
          <w:rFonts w:eastAsia="Calibri"/>
          <w:color w:val="000000" w:themeColor="text1"/>
        </w:rPr>
        <w:t xml:space="preserve">, with </w:t>
      </w:r>
      <w:r w:rsidRPr="006F7C82" w:rsidR="00B23C8E">
        <w:rPr>
          <w:rFonts w:eastAsia="Calibri"/>
          <w:color w:val="000000" w:themeColor="text1"/>
        </w:rPr>
        <w:t>anticipation</w:t>
      </w:r>
      <w:r w:rsidRPr="006F7C82" w:rsidR="00330455">
        <w:rPr>
          <w:rFonts w:eastAsia="Calibri"/>
          <w:color w:val="000000" w:themeColor="text1"/>
        </w:rPr>
        <w:t xml:space="preserve"> that </w:t>
      </w:r>
      <w:r w:rsidRPr="006F7C82" w:rsidR="004870CC">
        <w:rPr>
          <w:rFonts w:eastAsia="Calibri"/>
          <w:color w:val="000000" w:themeColor="text1"/>
        </w:rPr>
        <w:t xml:space="preserve">housing development owners </w:t>
      </w:r>
      <w:r w:rsidRPr="006F7C82" w:rsidR="003B7754">
        <w:rPr>
          <w:rFonts w:eastAsia="Calibri"/>
          <w:color w:val="000000" w:themeColor="text1"/>
        </w:rPr>
        <w:t xml:space="preserve">could support higher-speed Internet service </w:t>
      </w:r>
      <w:r w:rsidRPr="006F7C82" w:rsidR="00C5768F">
        <w:rPr>
          <w:rFonts w:eastAsia="Calibri"/>
          <w:color w:val="000000" w:themeColor="text1"/>
        </w:rPr>
        <w:t>for their residents</w:t>
      </w:r>
      <w:r w:rsidRPr="006F7C82" w:rsidR="003B7754">
        <w:rPr>
          <w:rFonts w:eastAsia="Calibri"/>
          <w:color w:val="000000" w:themeColor="text1"/>
        </w:rPr>
        <w:t xml:space="preserve"> over time.</w:t>
      </w:r>
      <w:r w:rsidRPr="006F7C82" w:rsidR="008A16F6">
        <w:rPr>
          <w:rFonts w:eastAsia="Calibri"/>
          <w:color w:val="000000" w:themeColor="text1"/>
        </w:rPr>
        <w:t xml:space="preserve"> </w:t>
      </w:r>
      <w:r w:rsidRPr="006F7C82" w:rsidR="00C5768F">
        <w:rPr>
          <w:rFonts w:eastAsia="Calibri"/>
          <w:color w:val="000000" w:themeColor="text1"/>
        </w:rPr>
        <w:t>These changes are adopted as shown in Appendix 1.</w:t>
      </w:r>
    </w:p>
    <w:p w:rsidRPr="00806ADE" w:rsidR="7FDAA6EC" w:rsidP="002A4088" w:rsidRDefault="7FDAA6EC" w14:paraId="1049DBEE" w14:textId="3EFC9FF4">
      <w:pPr>
        <w:pStyle w:val="Heading2"/>
        <w:ind w:left="1080" w:hanging="720"/>
      </w:pPr>
      <w:bookmarkStart w:name="_Toc100132357" w:id="13"/>
      <w:r w:rsidRPr="00806ADE">
        <w:t xml:space="preserve">Modifications to Standards for </w:t>
      </w:r>
      <w:r w:rsidRPr="00806ADE" w:rsidR="009F11FB">
        <w:br/>
      </w:r>
      <w:r w:rsidRPr="00806ADE">
        <w:t>Expedited (Ministerial) Review</w:t>
      </w:r>
      <w:bookmarkEnd w:id="13"/>
    </w:p>
    <w:p w:rsidRPr="006F7C82" w:rsidR="7FDAA6EC" w:rsidP="7FDAA6EC" w:rsidRDefault="7FDAA6EC" w14:paraId="5B4A3175" w14:textId="0EF24CCB">
      <w:pPr>
        <w:pStyle w:val="Standard"/>
        <w:rPr>
          <w:rFonts w:eastAsia="Calibri"/>
          <w:color w:val="000000" w:themeColor="text1"/>
          <w:szCs w:val="26"/>
        </w:rPr>
      </w:pPr>
      <w:r w:rsidRPr="006F7C82">
        <w:rPr>
          <w:rFonts w:eastAsia="Calibri"/>
          <w:color w:val="000000" w:themeColor="text1"/>
        </w:rPr>
        <w:t xml:space="preserve">Current Public Housing Account rules require project proposals to request no more than $75,000 </w:t>
      </w:r>
      <w:proofErr w:type="gramStart"/>
      <w:r w:rsidRPr="006F7C82">
        <w:rPr>
          <w:rFonts w:eastAsia="Calibri"/>
          <w:color w:val="000000" w:themeColor="text1"/>
        </w:rPr>
        <w:t>in order for</w:t>
      </w:r>
      <w:proofErr w:type="gramEnd"/>
      <w:r w:rsidRPr="006F7C82">
        <w:rPr>
          <w:rFonts w:eastAsia="Calibri"/>
          <w:color w:val="000000" w:themeColor="text1"/>
        </w:rPr>
        <w:t xml:space="preserve"> the project to be eligible for Ministerial </w:t>
      </w:r>
      <w:r w:rsidRPr="006F7C82">
        <w:rPr>
          <w:rFonts w:eastAsia="Calibri"/>
          <w:color w:val="000000" w:themeColor="text1"/>
        </w:rPr>
        <w:lastRenderedPageBreak/>
        <w:t>Review.</w:t>
      </w:r>
      <w:r w:rsidRPr="006F7C82">
        <w:rPr>
          <w:rStyle w:val="FootnoteReference"/>
          <w:rFonts w:eastAsia="Calibri"/>
          <w:color w:val="000000" w:themeColor="text1"/>
        </w:rPr>
        <w:footnoteReference w:id="51"/>
      </w:r>
      <w:r w:rsidRPr="006F7C82" w:rsidR="00F209CE">
        <w:rPr>
          <w:rFonts w:eastAsia="Calibri"/>
          <w:color w:val="000000" w:themeColor="text1"/>
        </w:rPr>
        <w:t xml:space="preserve"> </w:t>
      </w:r>
      <w:r w:rsidRPr="006F7C82">
        <w:rPr>
          <w:rFonts w:eastAsia="Calibri"/>
          <w:color w:val="000000" w:themeColor="text1"/>
        </w:rPr>
        <w:t>Current guidelines also limit the per-unit amount that can be approved ministerially.</w:t>
      </w:r>
      <w:r w:rsidRPr="006F7C82" w:rsidR="00F209CE">
        <w:rPr>
          <w:rFonts w:eastAsia="Calibri"/>
          <w:color w:val="000000" w:themeColor="text1"/>
        </w:rPr>
        <w:t xml:space="preserve"> </w:t>
      </w:r>
      <w:r w:rsidRPr="006F7C82">
        <w:rPr>
          <w:rFonts w:eastAsia="Calibri"/>
          <w:color w:val="000000" w:themeColor="text1"/>
        </w:rPr>
        <w:t xml:space="preserve">However, this overall cap and </w:t>
      </w:r>
      <w:r w:rsidR="00E66350">
        <w:rPr>
          <w:rFonts w:eastAsia="Calibri"/>
          <w:color w:val="000000" w:themeColor="text1"/>
        </w:rPr>
        <w:t xml:space="preserve">the </w:t>
      </w:r>
      <w:r w:rsidRPr="006F7C82">
        <w:rPr>
          <w:rFonts w:eastAsia="Calibri"/>
          <w:color w:val="000000" w:themeColor="text1"/>
        </w:rPr>
        <w:t>per unit caps have not been updated since they were adopted in 2014.</w:t>
      </w:r>
      <w:r w:rsidRPr="006F7C82">
        <w:rPr>
          <w:rStyle w:val="FootnoteReference"/>
          <w:rFonts w:eastAsia="Calibri"/>
          <w:color w:val="000000" w:themeColor="text1"/>
        </w:rPr>
        <w:footnoteReference w:id="52"/>
      </w:r>
      <w:r w:rsidRPr="006F7C82" w:rsidR="00F209CE">
        <w:rPr>
          <w:rFonts w:eastAsia="Calibri"/>
          <w:color w:val="000000" w:themeColor="text1"/>
        </w:rPr>
        <w:t xml:space="preserve"> </w:t>
      </w:r>
      <w:r w:rsidRPr="006F7C82">
        <w:rPr>
          <w:rFonts w:eastAsia="Calibri"/>
          <w:color w:val="000000" w:themeColor="text1"/>
        </w:rPr>
        <w:t>The Second Amended Scoping Memo posed the following issues for party comment:</w:t>
      </w:r>
    </w:p>
    <w:p w:rsidRPr="001F5CEC" w:rsidR="7FDAA6EC" w:rsidP="00FF6FF3" w:rsidRDefault="7FDAA6EC" w14:paraId="38C48571" w14:textId="0D057298">
      <w:pPr>
        <w:pStyle w:val="Standard"/>
        <w:numPr>
          <w:ilvl w:val="0"/>
          <w:numId w:val="5"/>
        </w:numPr>
        <w:spacing w:after="120" w:line="240" w:lineRule="auto"/>
        <w:ind w:left="1080" w:right="1440"/>
        <w:rPr>
          <w:rFonts w:eastAsia="Calibri"/>
          <w:color w:val="000000" w:themeColor="text1"/>
          <w:szCs w:val="26"/>
        </w:rPr>
      </w:pPr>
      <w:r w:rsidRPr="001F5CEC">
        <w:rPr>
          <w:rFonts w:eastAsia="Calibri"/>
          <w:i/>
          <w:iCs/>
          <w:color w:val="000000" w:themeColor="text1"/>
        </w:rPr>
        <w:t>Should the overall project budget cap be increased from $75,000 to $150,000 as shown in Section VII of Appendix 1? Is there justification for a higher or lower cap for applications processed via Ministerial Review?</w:t>
      </w:r>
    </w:p>
    <w:p w:rsidRPr="00806ADE" w:rsidR="7FDAA6EC" w:rsidP="009F11FB" w:rsidRDefault="7FDAA6EC" w14:paraId="77855272" w14:textId="32896B29">
      <w:pPr>
        <w:pStyle w:val="Standard"/>
        <w:numPr>
          <w:ilvl w:val="0"/>
          <w:numId w:val="5"/>
        </w:numPr>
        <w:spacing w:after="120" w:line="240" w:lineRule="auto"/>
        <w:ind w:left="1080" w:right="1440" w:hanging="450"/>
        <w:rPr>
          <w:rFonts w:eastAsia="Calibri"/>
          <w:i/>
          <w:iCs/>
          <w:color w:val="000000" w:themeColor="text1"/>
        </w:rPr>
      </w:pPr>
      <w:r w:rsidRPr="00806ADE">
        <w:rPr>
          <w:rFonts w:eastAsia="Calibri"/>
          <w:i/>
          <w:iCs/>
          <w:color w:val="000000" w:themeColor="text1"/>
        </w:rPr>
        <w:t>Should the per-unit budget caps applied under Ministerial Review be increased as proposed in Appendix 1?</w:t>
      </w:r>
    </w:p>
    <w:p w:rsidRPr="00FF6FF3" w:rsidR="7FDAA6EC" w:rsidP="009F11FB" w:rsidRDefault="7FDAA6EC" w14:paraId="442FC3A2" w14:textId="47CBDEBD">
      <w:pPr>
        <w:pStyle w:val="Standard"/>
        <w:numPr>
          <w:ilvl w:val="0"/>
          <w:numId w:val="5"/>
        </w:numPr>
        <w:spacing w:after="120" w:line="240" w:lineRule="auto"/>
        <w:ind w:left="1080" w:right="1440" w:hanging="450"/>
        <w:rPr>
          <w:rFonts w:eastAsia="Calibri"/>
          <w:i/>
          <w:iCs/>
          <w:color w:val="000000" w:themeColor="text1"/>
        </w:rPr>
      </w:pPr>
      <w:r w:rsidRPr="00806ADE">
        <w:rPr>
          <w:rFonts w:eastAsia="Calibri"/>
          <w:i/>
          <w:iCs/>
          <w:color w:val="000000" w:themeColor="text1"/>
        </w:rPr>
        <w:t>Should the Commission apply per-unit cost caps to all</w:t>
      </w:r>
      <w:r w:rsidRPr="004C2B66">
        <w:rPr>
          <w:rFonts w:eastAsia="Calibri"/>
          <w:i/>
          <w:iCs/>
          <w:color w:val="000000" w:themeColor="text1"/>
        </w:rPr>
        <w:t xml:space="preserve"> Public</w:t>
      </w:r>
      <w:r w:rsidR="00BC0CA4">
        <w:rPr>
          <w:rFonts w:eastAsia="Calibri"/>
          <w:i/>
          <w:iCs/>
          <w:color w:val="000000" w:themeColor="text1"/>
        </w:rPr>
        <w:t> </w:t>
      </w:r>
      <w:r w:rsidRPr="004C2B66">
        <w:rPr>
          <w:rFonts w:eastAsia="Calibri"/>
          <w:i/>
          <w:iCs/>
          <w:color w:val="000000" w:themeColor="text1"/>
        </w:rPr>
        <w:t>Housing Account applicants as a criterion of Ministerial Review?</w:t>
      </w:r>
      <w:r w:rsidRPr="004C2B66" w:rsidR="00F209CE">
        <w:rPr>
          <w:rFonts w:eastAsia="Calibri"/>
          <w:i/>
          <w:iCs/>
          <w:color w:val="000000" w:themeColor="text1"/>
        </w:rPr>
        <w:t xml:space="preserve"> </w:t>
      </w:r>
      <w:r w:rsidRPr="004C2B66">
        <w:rPr>
          <w:rFonts w:eastAsia="Calibri"/>
          <w:i/>
          <w:iCs/>
          <w:color w:val="000000" w:themeColor="text1"/>
        </w:rPr>
        <w:t>Are there justifications for different caps to apply to different applicant types?</w:t>
      </w:r>
      <w:r w:rsidRPr="004C2B66" w:rsidR="00F209CE">
        <w:rPr>
          <w:rFonts w:eastAsia="Calibri"/>
          <w:i/>
          <w:iCs/>
          <w:color w:val="000000" w:themeColor="text1"/>
        </w:rPr>
        <w:t xml:space="preserve"> </w:t>
      </w:r>
      <w:r w:rsidRPr="004C2B66">
        <w:rPr>
          <w:rFonts w:eastAsia="Calibri"/>
          <w:i/>
          <w:iCs/>
          <w:color w:val="000000" w:themeColor="text1"/>
        </w:rPr>
        <w:t xml:space="preserve">If so, why? </w:t>
      </w:r>
    </w:p>
    <w:p w:rsidRPr="006F7C82" w:rsidR="0060248D" w:rsidP="7FDAA6EC" w:rsidRDefault="00544637" w14:paraId="10DCEE18" w14:textId="1A074500">
      <w:pPr>
        <w:pStyle w:val="Standard"/>
        <w:rPr>
          <w:rFonts w:eastAsia="Calibri"/>
          <w:color w:val="000000" w:themeColor="text1"/>
          <w:szCs w:val="26"/>
        </w:rPr>
      </w:pPr>
      <w:r w:rsidRPr="006F7C82">
        <w:rPr>
          <w:rFonts w:eastAsia="Calibri"/>
          <w:color w:val="000000" w:themeColor="text1"/>
        </w:rPr>
        <w:t>CETF</w:t>
      </w:r>
      <w:r w:rsidRPr="006F7C82" w:rsidR="00D61DB4">
        <w:rPr>
          <w:rFonts w:eastAsia="Calibri"/>
          <w:color w:val="000000" w:themeColor="text1"/>
        </w:rPr>
        <w:t>, IERBC</w:t>
      </w:r>
      <w:r w:rsidRPr="006F7C82">
        <w:rPr>
          <w:rFonts w:eastAsia="Calibri"/>
          <w:color w:val="000000" w:themeColor="text1"/>
        </w:rPr>
        <w:t xml:space="preserve"> and LAEDC recommend against </w:t>
      </w:r>
      <w:r w:rsidRPr="006F7C82" w:rsidR="00834A36">
        <w:rPr>
          <w:rFonts w:eastAsia="Calibri"/>
          <w:color w:val="000000" w:themeColor="text1"/>
        </w:rPr>
        <w:t xml:space="preserve">setting </w:t>
      </w:r>
      <w:r w:rsidRPr="006F7C82" w:rsidR="008B29AC">
        <w:rPr>
          <w:rFonts w:eastAsia="Calibri"/>
          <w:color w:val="000000" w:themeColor="text1"/>
        </w:rPr>
        <w:t xml:space="preserve">limits on the amount of </w:t>
      </w:r>
      <w:r w:rsidRPr="006F7C82" w:rsidR="00011BCA">
        <w:rPr>
          <w:rFonts w:eastAsia="Calibri"/>
          <w:color w:val="000000" w:themeColor="text1"/>
        </w:rPr>
        <w:t xml:space="preserve">grant </w:t>
      </w:r>
      <w:r w:rsidRPr="006F7C82" w:rsidR="00422B27">
        <w:rPr>
          <w:rFonts w:eastAsia="Calibri"/>
          <w:color w:val="000000" w:themeColor="text1"/>
        </w:rPr>
        <w:t xml:space="preserve">funds eligible </w:t>
      </w:r>
      <w:r w:rsidRPr="006F7C82" w:rsidR="00924123">
        <w:rPr>
          <w:rFonts w:eastAsia="Calibri"/>
          <w:color w:val="000000" w:themeColor="text1"/>
        </w:rPr>
        <w:t xml:space="preserve">for Ministerial Review. </w:t>
      </w:r>
      <w:r w:rsidRPr="006F7C82" w:rsidR="006E6FDE">
        <w:rPr>
          <w:rFonts w:eastAsia="Calibri"/>
          <w:color w:val="000000" w:themeColor="text1"/>
        </w:rPr>
        <w:t xml:space="preserve">These parties note the wide </w:t>
      </w:r>
      <w:r w:rsidRPr="006F7C82" w:rsidR="00B84904">
        <w:rPr>
          <w:rFonts w:eastAsia="Calibri"/>
          <w:color w:val="000000" w:themeColor="text1"/>
        </w:rPr>
        <w:t>variability of</w:t>
      </w:r>
      <w:r w:rsidRPr="006F7C82" w:rsidR="000C1932">
        <w:rPr>
          <w:rFonts w:eastAsia="Calibri"/>
          <w:color w:val="000000" w:themeColor="text1"/>
        </w:rPr>
        <w:t xml:space="preserve"> </w:t>
      </w:r>
      <w:r w:rsidRPr="006F7C82" w:rsidR="00A03FB7">
        <w:rPr>
          <w:rFonts w:eastAsia="Calibri"/>
          <w:color w:val="000000" w:themeColor="text1"/>
        </w:rPr>
        <w:t>factors</w:t>
      </w:r>
      <w:r w:rsidRPr="006F7C82" w:rsidR="00415BB0">
        <w:rPr>
          <w:rFonts w:eastAsia="Calibri"/>
          <w:color w:val="000000" w:themeColor="text1"/>
        </w:rPr>
        <w:t xml:space="preserve">, such as </w:t>
      </w:r>
      <w:r w:rsidRPr="006F7C82" w:rsidR="004D1C5D">
        <w:rPr>
          <w:rFonts w:eastAsia="Calibri"/>
          <w:color w:val="000000" w:themeColor="text1"/>
        </w:rPr>
        <w:t>property layout and configuration of buildings</w:t>
      </w:r>
      <w:r w:rsidRPr="006F7C82" w:rsidR="00157A7B">
        <w:rPr>
          <w:rFonts w:eastAsia="Calibri"/>
          <w:color w:val="000000" w:themeColor="text1"/>
        </w:rPr>
        <w:t xml:space="preserve">, </w:t>
      </w:r>
      <w:r w:rsidRPr="006F7C82" w:rsidR="00D37828">
        <w:rPr>
          <w:rFonts w:eastAsia="Calibri"/>
          <w:color w:val="000000" w:themeColor="text1"/>
        </w:rPr>
        <w:t xml:space="preserve">and building materials that </w:t>
      </w:r>
      <w:r w:rsidRPr="006F7C82" w:rsidR="008A1C15">
        <w:rPr>
          <w:rFonts w:eastAsia="Calibri"/>
          <w:color w:val="000000" w:themeColor="text1"/>
        </w:rPr>
        <w:t xml:space="preserve">impact the </w:t>
      </w:r>
      <w:r w:rsidRPr="006F7C82" w:rsidR="0077140E">
        <w:rPr>
          <w:rFonts w:eastAsia="Calibri"/>
          <w:color w:val="000000" w:themeColor="text1"/>
        </w:rPr>
        <w:t xml:space="preserve">overall cost </w:t>
      </w:r>
      <w:r w:rsidRPr="006F7C82" w:rsidR="00691E34">
        <w:rPr>
          <w:rFonts w:eastAsia="Calibri"/>
          <w:color w:val="000000" w:themeColor="text1"/>
        </w:rPr>
        <w:t>of connectivity solutions</w:t>
      </w:r>
      <w:r w:rsidRPr="006F7C82" w:rsidR="009F34E5">
        <w:rPr>
          <w:rFonts w:eastAsia="Calibri"/>
          <w:color w:val="000000" w:themeColor="text1"/>
        </w:rPr>
        <w:t>.</w:t>
      </w:r>
      <w:r w:rsidRPr="006F7C82" w:rsidR="004822BD">
        <w:rPr>
          <w:rStyle w:val="FootnoteReference"/>
          <w:rFonts w:eastAsia="Calibri"/>
          <w:color w:val="000000" w:themeColor="text1"/>
          <w:szCs w:val="26"/>
        </w:rPr>
        <w:footnoteReference w:id="53"/>
      </w:r>
      <w:r w:rsidRPr="006F7C82" w:rsidR="009F34E5">
        <w:rPr>
          <w:rFonts w:eastAsia="Calibri"/>
          <w:color w:val="000000" w:themeColor="text1"/>
        </w:rPr>
        <w:t xml:space="preserve"> </w:t>
      </w:r>
      <w:r w:rsidRPr="006F7C82" w:rsidR="004B3B92">
        <w:rPr>
          <w:rFonts w:eastAsia="Calibri"/>
          <w:color w:val="000000" w:themeColor="text1"/>
        </w:rPr>
        <w:t xml:space="preserve">LAEDC stresses that </w:t>
      </w:r>
      <w:r w:rsidRPr="006F7C82" w:rsidR="004D6F2A">
        <w:rPr>
          <w:rFonts w:eastAsia="Calibri"/>
          <w:color w:val="000000" w:themeColor="text1"/>
        </w:rPr>
        <w:t xml:space="preserve">any limits on applications eligible for Ministerial Review </w:t>
      </w:r>
      <w:r w:rsidRPr="006F7C82" w:rsidR="009422EA">
        <w:rPr>
          <w:rFonts w:eastAsia="Calibri"/>
          <w:color w:val="000000" w:themeColor="text1"/>
        </w:rPr>
        <w:t xml:space="preserve">presents a barrier to </w:t>
      </w:r>
      <w:r w:rsidRPr="006F7C82" w:rsidR="00575954">
        <w:rPr>
          <w:rFonts w:eastAsia="Calibri"/>
          <w:color w:val="000000" w:themeColor="text1"/>
        </w:rPr>
        <w:t>the state’s most disadvantaged residents.</w:t>
      </w:r>
      <w:r w:rsidRPr="006F7C82" w:rsidR="00006937">
        <w:rPr>
          <w:rStyle w:val="FootnoteReference"/>
          <w:rFonts w:eastAsia="Calibri"/>
          <w:color w:val="000000" w:themeColor="text1"/>
          <w:szCs w:val="26"/>
        </w:rPr>
        <w:footnoteReference w:id="54"/>
      </w:r>
      <w:r w:rsidRPr="006F7C82" w:rsidR="00575954">
        <w:rPr>
          <w:rFonts w:eastAsia="Calibri"/>
          <w:color w:val="000000" w:themeColor="text1"/>
        </w:rPr>
        <w:t xml:space="preserve"> </w:t>
      </w:r>
      <w:r w:rsidRPr="006F7C82" w:rsidR="00BE0F9B">
        <w:rPr>
          <w:rFonts w:eastAsia="Calibri"/>
          <w:color w:val="000000" w:themeColor="text1"/>
        </w:rPr>
        <w:t xml:space="preserve">The Commission does not disagree, but must </w:t>
      </w:r>
      <w:r w:rsidRPr="006F7C82" w:rsidR="00D82BE2">
        <w:rPr>
          <w:rFonts w:eastAsia="Calibri"/>
          <w:color w:val="000000" w:themeColor="text1"/>
        </w:rPr>
        <w:t xml:space="preserve">provide </w:t>
      </w:r>
      <w:r w:rsidRPr="006F7C82" w:rsidR="00680142">
        <w:rPr>
          <w:rFonts w:eastAsia="Calibri"/>
          <w:color w:val="000000" w:themeColor="text1"/>
        </w:rPr>
        <w:t>clear</w:t>
      </w:r>
      <w:r w:rsidRPr="006F7C82" w:rsidR="00DB3F18">
        <w:rPr>
          <w:rFonts w:eastAsia="Calibri"/>
          <w:color w:val="000000" w:themeColor="text1"/>
        </w:rPr>
        <w:t>,</w:t>
      </w:r>
      <w:r w:rsidRPr="006F7C82" w:rsidR="00680142">
        <w:rPr>
          <w:rFonts w:eastAsia="Calibri"/>
          <w:color w:val="000000" w:themeColor="text1"/>
        </w:rPr>
        <w:t xml:space="preserve"> </w:t>
      </w:r>
      <w:r w:rsidRPr="006F7C82" w:rsidR="00F5590F">
        <w:rPr>
          <w:rFonts w:eastAsia="Calibri"/>
          <w:color w:val="000000" w:themeColor="text1"/>
        </w:rPr>
        <w:t>non</w:t>
      </w:r>
      <w:r w:rsidR="00BC0CA4">
        <w:rPr>
          <w:rFonts w:eastAsia="Calibri"/>
          <w:color w:val="000000" w:themeColor="text1"/>
        </w:rPr>
        <w:noBreakHyphen/>
      </w:r>
      <w:r w:rsidRPr="006F7C82" w:rsidR="00F5590F">
        <w:rPr>
          <w:rFonts w:eastAsia="Calibri"/>
          <w:color w:val="000000" w:themeColor="text1"/>
        </w:rPr>
        <w:t xml:space="preserve">discretionary </w:t>
      </w:r>
      <w:r w:rsidRPr="006F7C82" w:rsidR="00B930A0">
        <w:rPr>
          <w:rFonts w:eastAsia="Calibri"/>
          <w:color w:val="000000" w:themeColor="text1"/>
        </w:rPr>
        <w:t>instructions</w:t>
      </w:r>
      <w:r w:rsidRPr="006F7C82" w:rsidR="00680142">
        <w:rPr>
          <w:rFonts w:eastAsia="Calibri"/>
          <w:color w:val="000000" w:themeColor="text1"/>
        </w:rPr>
        <w:t xml:space="preserve"> to </w:t>
      </w:r>
      <w:r w:rsidRPr="006F7C82" w:rsidR="002B6AF9">
        <w:rPr>
          <w:rFonts w:eastAsia="Calibri"/>
          <w:color w:val="000000" w:themeColor="text1"/>
        </w:rPr>
        <w:t xml:space="preserve">staff when delegating </w:t>
      </w:r>
      <w:r w:rsidRPr="006F7C82" w:rsidR="001E545B">
        <w:rPr>
          <w:rFonts w:eastAsia="Calibri"/>
          <w:color w:val="000000" w:themeColor="text1"/>
        </w:rPr>
        <w:t xml:space="preserve">the task of approving </w:t>
      </w:r>
      <w:r w:rsidRPr="006F7C82" w:rsidR="00197D89">
        <w:rPr>
          <w:rFonts w:eastAsia="Calibri"/>
          <w:color w:val="000000" w:themeColor="text1"/>
        </w:rPr>
        <w:t>requests for funding</w:t>
      </w:r>
      <w:r w:rsidRPr="006F7C82" w:rsidR="007D0866">
        <w:rPr>
          <w:rFonts w:eastAsia="Calibri"/>
          <w:color w:val="000000" w:themeColor="text1"/>
        </w:rPr>
        <w:t>.</w:t>
      </w:r>
    </w:p>
    <w:p w:rsidRPr="006F7C82" w:rsidR="00BA2797" w:rsidP="7FDAA6EC" w:rsidRDefault="7FDAA6EC" w14:paraId="57A129F2" w14:textId="017511C2">
      <w:pPr>
        <w:pStyle w:val="Standard"/>
        <w:rPr>
          <w:rFonts w:eastAsia="Calibri"/>
          <w:color w:val="000000" w:themeColor="text1"/>
          <w:szCs w:val="26"/>
        </w:rPr>
      </w:pPr>
      <w:r w:rsidRPr="006F7C82">
        <w:rPr>
          <w:rFonts w:eastAsia="Calibri"/>
          <w:color w:val="000000" w:themeColor="text1"/>
          <w:szCs w:val="26"/>
        </w:rPr>
        <w:lastRenderedPageBreak/>
        <w:t>Given inflationary factors as well as the increase in required delivered speeds from projects, it is reasonable to increase the cap under which project proposals may be approved ministerially.</w:t>
      </w:r>
      <w:r w:rsidRPr="006F7C82" w:rsidR="00F209CE">
        <w:rPr>
          <w:rFonts w:eastAsia="Calibri"/>
          <w:color w:val="000000" w:themeColor="text1"/>
          <w:szCs w:val="26"/>
        </w:rPr>
        <w:t xml:space="preserve"> </w:t>
      </w:r>
      <w:r w:rsidRPr="006F7C82">
        <w:rPr>
          <w:rFonts w:eastAsia="Calibri"/>
          <w:color w:val="000000" w:themeColor="text1"/>
          <w:szCs w:val="26"/>
        </w:rPr>
        <w:t>Increasing these caps may increase the number of projects that are eligible for Ministerial Review, which would ease the administrative burden for both staff and applicants of issuing and responding to project approvals through the resolution process.</w:t>
      </w:r>
      <w:r w:rsidRPr="006F7C82" w:rsidR="00F209CE">
        <w:rPr>
          <w:rFonts w:eastAsia="Calibri"/>
          <w:color w:val="000000" w:themeColor="text1"/>
          <w:szCs w:val="26"/>
        </w:rPr>
        <w:t xml:space="preserve"> </w:t>
      </w:r>
      <w:r w:rsidRPr="006F7C82" w:rsidR="004922A5">
        <w:rPr>
          <w:rFonts w:eastAsia="Calibri"/>
          <w:color w:val="000000" w:themeColor="text1"/>
          <w:szCs w:val="26"/>
        </w:rPr>
        <w:t xml:space="preserve">In response to party comments, </w:t>
      </w:r>
      <w:r w:rsidRPr="006F7C82" w:rsidR="00FC0E21">
        <w:rPr>
          <w:rFonts w:eastAsia="Calibri"/>
          <w:color w:val="000000" w:themeColor="text1"/>
          <w:szCs w:val="26"/>
        </w:rPr>
        <w:t>the Commission</w:t>
      </w:r>
      <w:r w:rsidRPr="006F7C82" w:rsidR="004922A5">
        <w:rPr>
          <w:rFonts w:eastAsia="Calibri"/>
          <w:color w:val="000000" w:themeColor="text1"/>
          <w:szCs w:val="26"/>
        </w:rPr>
        <w:t xml:space="preserve"> modif</w:t>
      </w:r>
      <w:r w:rsidRPr="006F7C82" w:rsidR="00FC0E21">
        <w:rPr>
          <w:rFonts w:eastAsia="Calibri"/>
          <w:color w:val="000000" w:themeColor="text1"/>
          <w:szCs w:val="26"/>
        </w:rPr>
        <w:t>ies</w:t>
      </w:r>
      <w:r w:rsidRPr="006F7C82" w:rsidR="004922A5">
        <w:rPr>
          <w:rFonts w:eastAsia="Calibri"/>
          <w:color w:val="000000" w:themeColor="text1"/>
          <w:szCs w:val="26"/>
        </w:rPr>
        <w:t xml:space="preserve"> the proposed per-unit </w:t>
      </w:r>
      <w:r w:rsidRPr="006F7C82" w:rsidR="002F36F2">
        <w:rPr>
          <w:rFonts w:eastAsia="Calibri"/>
          <w:color w:val="000000" w:themeColor="text1"/>
          <w:szCs w:val="26"/>
        </w:rPr>
        <w:t xml:space="preserve">budget caps to </w:t>
      </w:r>
      <w:r w:rsidRPr="006F7C82" w:rsidR="00492936">
        <w:rPr>
          <w:rFonts w:eastAsia="Calibri"/>
          <w:color w:val="000000" w:themeColor="text1"/>
          <w:szCs w:val="26"/>
        </w:rPr>
        <w:t xml:space="preserve">provide </w:t>
      </w:r>
      <w:r w:rsidRPr="006F7C82" w:rsidR="00EF10F4">
        <w:rPr>
          <w:rFonts w:eastAsia="Calibri"/>
          <w:color w:val="000000" w:themeColor="text1"/>
          <w:szCs w:val="26"/>
        </w:rPr>
        <w:t>greater flexibility</w:t>
      </w:r>
      <w:r w:rsidRPr="006F7C82" w:rsidR="00BA2797">
        <w:rPr>
          <w:rFonts w:eastAsia="Calibri"/>
          <w:color w:val="000000" w:themeColor="text1"/>
          <w:szCs w:val="26"/>
        </w:rPr>
        <w:t>, as follows:</w:t>
      </w:r>
    </w:p>
    <w:p w:rsidRPr="006F7C82" w:rsidR="00BA2797" w:rsidP="001F5CEC" w:rsidRDefault="00BA2797" w14:paraId="29481351" w14:textId="0C53E22F">
      <w:pPr>
        <w:pStyle w:val="ListBullet"/>
        <w:ind w:left="1080" w:right="1440"/>
      </w:pPr>
      <w:r w:rsidRPr="006F7C82">
        <w:t xml:space="preserve">For projects </w:t>
      </w:r>
      <w:proofErr w:type="gramStart"/>
      <w:r w:rsidRPr="006F7C82">
        <w:t>connecting up</w:t>
      </w:r>
      <w:proofErr w:type="gramEnd"/>
      <w:r w:rsidRPr="006F7C82">
        <w:t xml:space="preserve"> to 50 units, the proposed project costs </w:t>
      </w:r>
      <w:r w:rsidRPr="006F7C82" w:rsidR="002C1FA1">
        <w:t>shall be $1,200 per unit or less</w:t>
      </w:r>
      <w:r w:rsidRPr="006F7C82" w:rsidR="00BB464D">
        <w:t>.</w:t>
      </w:r>
    </w:p>
    <w:p w:rsidRPr="006F7C82" w:rsidR="002C1FA1" w:rsidP="001F5CEC" w:rsidRDefault="002C1FA1" w14:paraId="3EE2184C" w14:textId="3BA10287">
      <w:pPr>
        <w:pStyle w:val="ListBullet"/>
        <w:ind w:left="1080" w:right="1440"/>
      </w:pPr>
      <w:r w:rsidRPr="006F7C82">
        <w:t xml:space="preserve">For projects connecting </w:t>
      </w:r>
      <w:r w:rsidRPr="006F7C82" w:rsidR="00FA6EA4">
        <w:t>51 to 100 units, the proposed project costs shall be $900 per unit or less</w:t>
      </w:r>
      <w:r w:rsidRPr="006F7C82" w:rsidR="00BB464D">
        <w:t>.</w:t>
      </w:r>
    </w:p>
    <w:p w:rsidRPr="006F7C82" w:rsidR="00FA6EA4" w:rsidP="001F5CEC" w:rsidRDefault="00FA6EA4" w14:paraId="5B8C0BCB" w14:textId="4C3F3306">
      <w:pPr>
        <w:pStyle w:val="ListBullet"/>
        <w:ind w:left="1080" w:right="1440"/>
      </w:pPr>
      <w:r w:rsidRPr="006F7C82">
        <w:t>For projects connecting</w:t>
      </w:r>
      <w:r w:rsidRPr="006F7C82" w:rsidR="00BB464D">
        <w:t xml:space="preserve"> more than 100 units, the proposed project costs shall be $600 per unit or less.</w:t>
      </w:r>
    </w:p>
    <w:p w:rsidRPr="006F7C82" w:rsidR="7FDAA6EC" w:rsidP="7FDAA6EC" w:rsidRDefault="7FDAA6EC" w14:paraId="5EF2B9DD" w14:textId="60E1F5D7">
      <w:pPr>
        <w:pStyle w:val="Standard"/>
        <w:rPr>
          <w:rFonts w:eastAsia="Calibri"/>
          <w:color w:val="000000" w:themeColor="text1"/>
          <w:szCs w:val="26"/>
        </w:rPr>
      </w:pPr>
      <w:r w:rsidRPr="006F7C82">
        <w:rPr>
          <w:rFonts w:eastAsia="Calibri"/>
          <w:color w:val="000000" w:themeColor="text1"/>
          <w:szCs w:val="26"/>
        </w:rPr>
        <w:t>The overall cap and per unit caps applied for a project to qualify for ministerial review are adopted as shown in Appendix 1.</w:t>
      </w:r>
    </w:p>
    <w:p w:rsidRPr="006F7C82" w:rsidR="7FDAA6EC" w:rsidP="7FDAA6EC" w:rsidRDefault="7FDAA6EC" w14:paraId="4B6FE4D8" w14:textId="1CD977AA">
      <w:pPr>
        <w:pStyle w:val="Standard"/>
        <w:rPr>
          <w:rFonts w:eastAsia="Calibri"/>
          <w:color w:val="000000" w:themeColor="text1"/>
        </w:rPr>
      </w:pPr>
      <w:r w:rsidRPr="006F7C82">
        <w:rPr>
          <w:rFonts w:eastAsia="Calibri"/>
          <w:color w:val="000000" w:themeColor="text1"/>
        </w:rPr>
        <w:t xml:space="preserve">The per unit project caps continue to allow for standardization </w:t>
      </w:r>
      <w:r w:rsidRPr="006F7C82" w:rsidR="4AE74842">
        <w:rPr>
          <w:rFonts w:eastAsia="Calibri"/>
          <w:color w:val="000000" w:themeColor="text1"/>
        </w:rPr>
        <w:t>of</w:t>
      </w:r>
      <w:r w:rsidRPr="006F7C82">
        <w:rPr>
          <w:rFonts w:eastAsia="Calibri"/>
          <w:color w:val="000000" w:themeColor="text1"/>
        </w:rPr>
        <w:t xml:space="preserve"> grant approvals. </w:t>
      </w:r>
      <w:proofErr w:type="gramStart"/>
      <w:r w:rsidRPr="006F7C82">
        <w:rPr>
          <w:rFonts w:eastAsia="Calibri"/>
          <w:color w:val="000000" w:themeColor="text1"/>
        </w:rPr>
        <w:t>At this time</w:t>
      </w:r>
      <w:proofErr w:type="gramEnd"/>
      <w:r w:rsidRPr="006F7C82">
        <w:rPr>
          <w:rFonts w:eastAsia="Calibri"/>
          <w:color w:val="000000" w:themeColor="text1"/>
        </w:rPr>
        <w:t>, we extend the per unit cost caps to all Public Housing Account applicants seeking ministerial approval.</w:t>
      </w:r>
      <w:r w:rsidRPr="006F7C82" w:rsidR="00F209CE">
        <w:rPr>
          <w:rFonts w:eastAsia="Calibri"/>
          <w:color w:val="000000" w:themeColor="text1"/>
        </w:rPr>
        <w:t xml:space="preserve"> </w:t>
      </w:r>
      <w:r w:rsidRPr="006F7C82">
        <w:rPr>
          <w:rFonts w:eastAsia="Calibri"/>
          <w:color w:val="000000" w:themeColor="text1"/>
        </w:rPr>
        <w:t xml:space="preserve">Commission staff will review project applications and may recommend adjusted per unit caps for different Public Housing Account applicant types via </w:t>
      </w:r>
      <w:r w:rsidRPr="006F7C82" w:rsidR="00A011A0">
        <w:rPr>
          <w:rFonts w:eastAsia="Calibri"/>
          <w:color w:val="000000" w:themeColor="text1"/>
        </w:rPr>
        <w:t>r</w:t>
      </w:r>
      <w:r w:rsidRPr="006F7C82">
        <w:rPr>
          <w:rFonts w:eastAsia="Calibri"/>
          <w:color w:val="000000" w:themeColor="text1"/>
        </w:rPr>
        <w:t>esolution.</w:t>
      </w:r>
    </w:p>
    <w:p w:rsidRPr="006F7C82" w:rsidR="7FDAA6EC" w:rsidP="002A4088" w:rsidRDefault="7FDAA6EC" w14:paraId="14840B84" w14:textId="52F5A644">
      <w:pPr>
        <w:pStyle w:val="Heading2"/>
        <w:ind w:left="1080" w:hanging="720"/>
        <w:rPr>
          <w:color w:val="000000" w:themeColor="text1"/>
        </w:rPr>
      </w:pPr>
      <w:bookmarkStart w:name="_Toc100132358" w:id="14"/>
      <w:r w:rsidRPr="006F7C82">
        <w:rPr>
          <w:color w:val="000000" w:themeColor="text1"/>
        </w:rPr>
        <w:t>Coordination and Overlap with Other Broadband Subsidy or Social Service Programs</w:t>
      </w:r>
      <w:bookmarkEnd w:id="14"/>
    </w:p>
    <w:p w:rsidRPr="006F7C82" w:rsidR="7FDAA6EC" w:rsidP="7FDAA6EC" w:rsidRDefault="7FDAA6EC" w14:paraId="021C2086" w14:textId="5469C636">
      <w:pPr>
        <w:pStyle w:val="Standard"/>
        <w:rPr>
          <w:rFonts w:eastAsia="Calibri"/>
          <w:color w:val="000000" w:themeColor="text1"/>
        </w:rPr>
      </w:pPr>
      <w:r w:rsidRPr="006F7C82">
        <w:rPr>
          <w:rFonts w:eastAsia="Calibri"/>
          <w:color w:val="000000" w:themeColor="text1"/>
        </w:rPr>
        <w:t xml:space="preserve">As noted in the Second Amended Scoping Memo, Pub. Util. Code </w:t>
      </w:r>
      <w:r w:rsidR="001B463B">
        <w:rPr>
          <w:rFonts w:eastAsia="Calibri"/>
          <w:color w:val="000000" w:themeColor="text1"/>
        </w:rPr>
        <w:t>s</w:t>
      </w:r>
      <w:r w:rsidRPr="006F7C82">
        <w:rPr>
          <w:rFonts w:eastAsia="Calibri"/>
          <w:color w:val="000000" w:themeColor="text1"/>
        </w:rPr>
        <w:t>ection</w:t>
      </w:r>
      <w:r w:rsidR="001F5CEC">
        <w:rPr>
          <w:rFonts w:eastAsia="Calibri"/>
          <w:color w:val="000000" w:themeColor="text1"/>
        </w:rPr>
        <w:t> </w:t>
      </w:r>
      <w:r w:rsidRPr="006F7C82">
        <w:rPr>
          <w:rFonts w:eastAsia="Calibri"/>
          <w:color w:val="000000" w:themeColor="text1"/>
        </w:rPr>
        <w:t>281(</w:t>
      </w:r>
      <w:proofErr w:type="spellStart"/>
      <w:r w:rsidRPr="006F7C82">
        <w:rPr>
          <w:rFonts w:eastAsia="Calibri"/>
          <w:color w:val="000000" w:themeColor="text1"/>
        </w:rPr>
        <w:t>i</w:t>
      </w:r>
      <w:proofErr w:type="spellEnd"/>
      <w:r w:rsidRPr="006F7C82">
        <w:rPr>
          <w:rFonts w:eastAsia="Calibri"/>
          <w:color w:val="000000" w:themeColor="text1"/>
        </w:rPr>
        <w:t>)(5) requires the Commission to:</w:t>
      </w:r>
      <w:r w:rsidRPr="006F7C82" w:rsidR="00F209CE">
        <w:rPr>
          <w:rFonts w:eastAsia="Calibri"/>
          <w:color w:val="000000" w:themeColor="text1"/>
        </w:rPr>
        <w:t xml:space="preserve"> </w:t>
      </w:r>
    </w:p>
    <w:p w:rsidRPr="006F7C82" w:rsidR="7FDAA6EC" w:rsidP="001F5CEC" w:rsidRDefault="7FDAA6EC" w14:paraId="0CA65DA1" w14:textId="35DF18B9">
      <w:pPr>
        <w:pStyle w:val="Standard"/>
        <w:spacing w:after="240" w:line="240" w:lineRule="auto"/>
        <w:ind w:left="720" w:right="1440" w:firstLine="0"/>
        <w:rPr>
          <w:rFonts w:eastAsia="Calibri"/>
          <w:color w:val="000000" w:themeColor="text1"/>
        </w:rPr>
      </w:pPr>
      <w:r w:rsidRPr="006F7C82">
        <w:rPr>
          <w:rFonts w:eastAsia="Calibri"/>
          <w:color w:val="000000" w:themeColor="text1"/>
        </w:rPr>
        <w:t xml:space="preserve">consider the availability of other funding sources […], any financial contribution from the broadband service provider to the project, the availability of any other public or private broadband adoption or deployment program, including tax </w:t>
      </w:r>
      <w:r w:rsidRPr="006F7C82">
        <w:rPr>
          <w:rFonts w:eastAsia="Calibri"/>
          <w:color w:val="000000" w:themeColor="text1"/>
        </w:rPr>
        <w:lastRenderedPageBreak/>
        <w:t>credits and other incentives, and whether the applicant has sought funding from, or participated in, any reasonably available program.</w:t>
      </w:r>
      <w:r w:rsidRPr="006F7C82" w:rsidR="00F209CE">
        <w:rPr>
          <w:rFonts w:eastAsia="Calibri"/>
          <w:color w:val="000000" w:themeColor="text1"/>
        </w:rPr>
        <w:t xml:space="preserve"> </w:t>
      </w:r>
      <w:r w:rsidRPr="006F7C82">
        <w:rPr>
          <w:rFonts w:eastAsia="Calibri"/>
          <w:color w:val="000000" w:themeColor="text1"/>
        </w:rPr>
        <w:t xml:space="preserve">The commission may require an applicant to provide match </w:t>
      </w:r>
      <w:proofErr w:type="gramStart"/>
      <w:r w:rsidRPr="006F7C82">
        <w:rPr>
          <w:rFonts w:eastAsia="Calibri"/>
          <w:color w:val="000000" w:themeColor="text1"/>
        </w:rPr>
        <w:t>funding, and</w:t>
      </w:r>
      <w:proofErr w:type="gramEnd"/>
      <w:r w:rsidRPr="006F7C82">
        <w:rPr>
          <w:rFonts w:eastAsia="Calibri"/>
          <w:color w:val="000000" w:themeColor="text1"/>
        </w:rPr>
        <w:t xml:space="preserve"> shall not deny funding for a project solely because the applicant is receiving funding from another source.</w:t>
      </w:r>
    </w:p>
    <w:p w:rsidRPr="006F7C82" w:rsidR="7FDAA6EC" w:rsidP="7FDAA6EC" w:rsidRDefault="7FDAA6EC" w14:paraId="185527FF" w14:textId="7DC1484B">
      <w:pPr>
        <w:pStyle w:val="Standard"/>
        <w:ind w:firstLine="0"/>
        <w:rPr>
          <w:rFonts w:eastAsia="Calibri"/>
          <w:color w:val="000000" w:themeColor="text1"/>
          <w:szCs w:val="26"/>
        </w:rPr>
      </w:pPr>
      <w:r w:rsidRPr="006F7C82">
        <w:rPr>
          <w:rFonts w:eastAsia="Calibri"/>
          <w:color w:val="000000" w:themeColor="text1"/>
          <w:szCs w:val="26"/>
        </w:rPr>
        <w:t>The Second Amended Scoping Memo posed the following questions for party comment:</w:t>
      </w:r>
    </w:p>
    <w:p w:rsidRPr="00FF6FF3" w:rsidR="7FDAA6EC" w:rsidP="00FF6FF3" w:rsidRDefault="7FDAA6EC" w14:paraId="3AF0BE2A" w14:textId="2D3C3D33">
      <w:pPr>
        <w:pStyle w:val="Standard"/>
        <w:numPr>
          <w:ilvl w:val="0"/>
          <w:numId w:val="5"/>
        </w:numPr>
        <w:spacing w:after="120" w:line="240" w:lineRule="auto"/>
        <w:ind w:left="1080" w:right="1440"/>
        <w:rPr>
          <w:rFonts w:eastAsia="Calibri"/>
          <w:i/>
          <w:iCs/>
          <w:color w:val="000000" w:themeColor="text1"/>
        </w:rPr>
      </w:pPr>
      <w:r w:rsidRPr="001F5CEC">
        <w:rPr>
          <w:rFonts w:eastAsia="Calibri"/>
          <w:i/>
          <w:iCs/>
          <w:color w:val="000000" w:themeColor="text1"/>
        </w:rPr>
        <w:t>How should the Commission evaluate and weigh the availability of other funding sources for projects, potential financial contributions from project service providers, the availability of any other public or private broadband adoption or deployment program, including tax credits and other incentives, and whether the applicant has sought funding from, or participated in, any reasonably available program when considering project applications?</w:t>
      </w:r>
    </w:p>
    <w:p w:rsidRPr="00FF6FF3" w:rsidR="7FDAA6EC" w:rsidP="00FF6FF3" w:rsidRDefault="7FDAA6EC" w14:paraId="139FAEAF" w14:textId="366DFB51">
      <w:pPr>
        <w:pStyle w:val="Standard"/>
        <w:numPr>
          <w:ilvl w:val="0"/>
          <w:numId w:val="5"/>
        </w:numPr>
        <w:spacing w:after="120" w:line="240" w:lineRule="auto"/>
        <w:ind w:left="1080" w:right="1440"/>
        <w:rPr>
          <w:rFonts w:eastAsia="Calibri"/>
          <w:i/>
          <w:iCs/>
          <w:color w:val="000000" w:themeColor="text1"/>
        </w:rPr>
      </w:pPr>
      <w:r w:rsidRPr="001F5CEC">
        <w:rPr>
          <w:rFonts w:eastAsia="Calibri"/>
          <w:i/>
          <w:iCs/>
          <w:color w:val="000000" w:themeColor="text1"/>
        </w:rPr>
        <w:t>How can the Public Housing Account program be coordinated with other social service programs?</w:t>
      </w:r>
    </w:p>
    <w:p w:rsidRPr="00FF6FF3" w:rsidR="7FDAA6EC" w:rsidP="00FF6FF3" w:rsidRDefault="7FDAA6EC" w14:paraId="3BF14F5E" w14:textId="3F0175CB">
      <w:pPr>
        <w:pStyle w:val="Standard"/>
        <w:numPr>
          <w:ilvl w:val="0"/>
          <w:numId w:val="5"/>
        </w:numPr>
        <w:spacing w:after="120" w:line="240" w:lineRule="auto"/>
        <w:ind w:left="1080" w:right="1440"/>
        <w:rPr>
          <w:rFonts w:eastAsia="Calibri"/>
          <w:i/>
          <w:iCs/>
          <w:color w:val="000000" w:themeColor="text1"/>
        </w:rPr>
      </w:pPr>
      <w:r w:rsidRPr="001F5CEC">
        <w:rPr>
          <w:rFonts w:eastAsia="Calibri"/>
          <w:i/>
          <w:iCs/>
          <w:color w:val="000000" w:themeColor="text1"/>
        </w:rPr>
        <w:t>How can the Public Housing Account program be coordinated with ongoing telecommunications and broadband subsidy programs, such as the state and federal Lifeline programs and the Affordable</w:t>
      </w:r>
      <w:r w:rsidR="001F5CEC">
        <w:rPr>
          <w:rFonts w:eastAsia="Calibri"/>
          <w:i/>
          <w:iCs/>
          <w:color w:val="000000" w:themeColor="text1"/>
        </w:rPr>
        <w:t> </w:t>
      </w:r>
      <w:r w:rsidRPr="001F5CEC">
        <w:rPr>
          <w:rFonts w:eastAsia="Calibri"/>
          <w:i/>
          <w:iCs/>
          <w:color w:val="000000" w:themeColor="text1"/>
        </w:rPr>
        <w:t>Connectivity Program?</w:t>
      </w:r>
    </w:p>
    <w:p w:rsidRPr="00FF6FF3" w:rsidR="7FDAA6EC" w:rsidP="00FF6FF3" w:rsidRDefault="7FDAA6EC" w14:paraId="5F92A410" w14:textId="657D542E">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Could ongoing telecommunications and broadband subsidy programs, such as the state and federal Lifeline programs and the Affordable Connectivity Program, pay for the ongoing network interconnection and maintenance costs of Public Housing Account projects?</w:t>
      </w:r>
      <w:r w:rsidRPr="004C2B66" w:rsidR="00F209CE">
        <w:rPr>
          <w:rFonts w:eastAsia="Calibri"/>
          <w:i/>
          <w:iCs/>
          <w:color w:val="000000" w:themeColor="text1"/>
        </w:rPr>
        <w:t xml:space="preserve"> </w:t>
      </w:r>
      <w:r w:rsidRPr="004C2B66">
        <w:rPr>
          <w:rFonts w:eastAsia="Calibri"/>
          <w:i/>
          <w:iCs/>
          <w:color w:val="000000" w:themeColor="text1"/>
        </w:rPr>
        <w:t>What modifications to these programs would be required to enable this?</w:t>
      </w:r>
    </w:p>
    <w:p w:rsidRPr="006F7C82" w:rsidR="00730A9F" w:rsidP="006F7C82" w:rsidRDefault="00C201E9" w14:paraId="5B573C0D" w14:textId="60E30737">
      <w:pPr>
        <w:pStyle w:val="Standard"/>
        <w:rPr>
          <w:rFonts w:eastAsia="Calibri"/>
          <w:color w:val="000000" w:themeColor="text1"/>
        </w:rPr>
      </w:pPr>
      <w:r w:rsidRPr="006F7C82">
        <w:rPr>
          <w:rFonts w:eastAsia="Calibri"/>
          <w:color w:val="000000" w:themeColor="text1"/>
        </w:rPr>
        <w:t xml:space="preserve">Parties had somewhat varying </w:t>
      </w:r>
      <w:r w:rsidRPr="006F7C82" w:rsidR="00E06527">
        <w:rPr>
          <w:rFonts w:eastAsia="Calibri"/>
          <w:color w:val="000000" w:themeColor="text1"/>
        </w:rPr>
        <w:t xml:space="preserve">responses </w:t>
      </w:r>
      <w:r w:rsidRPr="006F7C82" w:rsidR="00A65F22">
        <w:rPr>
          <w:rFonts w:eastAsia="Calibri"/>
          <w:color w:val="000000" w:themeColor="text1"/>
        </w:rPr>
        <w:t xml:space="preserve">to how the Commission should evaluate </w:t>
      </w:r>
      <w:r w:rsidRPr="006F7C82" w:rsidR="005E17C8">
        <w:rPr>
          <w:rFonts w:eastAsia="Calibri"/>
          <w:color w:val="000000" w:themeColor="text1"/>
        </w:rPr>
        <w:t>availability of other funding sources</w:t>
      </w:r>
      <w:r w:rsidRPr="006F7C82" w:rsidR="009703A2">
        <w:rPr>
          <w:rFonts w:eastAsia="Calibri"/>
          <w:color w:val="000000" w:themeColor="text1"/>
        </w:rPr>
        <w:t xml:space="preserve">. </w:t>
      </w:r>
      <w:r w:rsidRPr="006F7C82" w:rsidR="00F45986">
        <w:rPr>
          <w:rFonts w:eastAsia="Calibri"/>
          <w:color w:val="000000" w:themeColor="text1"/>
        </w:rPr>
        <w:t xml:space="preserve">CCF </w:t>
      </w:r>
      <w:r w:rsidRPr="006F7C82" w:rsidR="00C7026F">
        <w:rPr>
          <w:rFonts w:eastAsia="Calibri"/>
          <w:color w:val="000000" w:themeColor="text1"/>
        </w:rPr>
        <w:t xml:space="preserve">and UNITE-LA </w:t>
      </w:r>
      <w:r w:rsidRPr="006F7C82" w:rsidR="00F45986">
        <w:rPr>
          <w:rFonts w:eastAsia="Calibri"/>
          <w:color w:val="000000" w:themeColor="text1"/>
        </w:rPr>
        <w:t xml:space="preserve">recommend against </w:t>
      </w:r>
      <w:r w:rsidRPr="006F7C82" w:rsidR="00217511">
        <w:rPr>
          <w:rFonts w:eastAsia="Calibri"/>
          <w:color w:val="000000" w:themeColor="text1"/>
        </w:rPr>
        <w:t xml:space="preserve">weighing </w:t>
      </w:r>
      <w:r w:rsidRPr="006F7C82" w:rsidR="0084091E">
        <w:rPr>
          <w:rFonts w:eastAsia="Calibri"/>
          <w:color w:val="000000" w:themeColor="text1"/>
        </w:rPr>
        <w:t xml:space="preserve">this factor heavily in scoring applications, arguing that communities with </w:t>
      </w:r>
      <w:r w:rsidRPr="006F7C82" w:rsidR="00B55A74">
        <w:rPr>
          <w:rFonts w:eastAsia="Calibri"/>
          <w:color w:val="000000" w:themeColor="text1"/>
        </w:rPr>
        <w:t xml:space="preserve">the greatest need are often those with the least access to </w:t>
      </w:r>
      <w:r w:rsidRPr="006F7C82" w:rsidR="00B55A74">
        <w:rPr>
          <w:rFonts w:eastAsia="Calibri"/>
          <w:color w:val="000000" w:themeColor="text1"/>
        </w:rPr>
        <w:lastRenderedPageBreak/>
        <w:t>funding sources</w:t>
      </w:r>
      <w:r w:rsidRPr="006F7C82" w:rsidR="0084091E">
        <w:rPr>
          <w:rFonts w:eastAsia="Calibri"/>
          <w:color w:val="000000" w:themeColor="text1"/>
        </w:rPr>
        <w:t>.</w:t>
      </w:r>
      <w:r w:rsidRPr="006F7C82" w:rsidR="004E156C">
        <w:rPr>
          <w:rStyle w:val="FootnoteReference"/>
          <w:rFonts w:eastAsia="Calibri"/>
          <w:color w:val="000000" w:themeColor="text1"/>
        </w:rPr>
        <w:footnoteReference w:id="55"/>
      </w:r>
      <w:r w:rsidRPr="006F7C82" w:rsidR="008F3591">
        <w:rPr>
          <w:rFonts w:eastAsia="Calibri"/>
          <w:color w:val="000000" w:themeColor="text1"/>
        </w:rPr>
        <w:t xml:space="preserve"> LAEDC and NDC suggest the Commission should prioritize projects </w:t>
      </w:r>
      <w:r w:rsidRPr="006F7C82" w:rsidR="0005273F">
        <w:rPr>
          <w:rFonts w:eastAsia="Calibri"/>
          <w:color w:val="000000" w:themeColor="text1"/>
        </w:rPr>
        <w:t>that leverage other grant programs or other sources of funding.</w:t>
      </w:r>
      <w:r w:rsidRPr="006F7C82" w:rsidR="003B64D4">
        <w:rPr>
          <w:rStyle w:val="FootnoteReference"/>
          <w:rFonts w:eastAsia="Calibri"/>
          <w:color w:val="000000" w:themeColor="text1"/>
        </w:rPr>
        <w:footnoteReference w:id="56"/>
      </w:r>
      <w:r w:rsidRPr="006F7C82" w:rsidR="0005273F">
        <w:rPr>
          <w:rFonts w:eastAsia="Calibri"/>
          <w:color w:val="000000" w:themeColor="text1"/>
        </w:rPr>
        <w:t xml:space="preserve"> </w:t>
      </w:r>
    </w:p>
    <w:p w:rsidRPr="006F7C82" w:rsidR="00BB7104" w:rsidP="001F5CEC" w:rsidRDefault="00730A9F" w14:paraId="003D5154" w14:textId="38EA60A3">
      <w:pPr>
        <w:pStyle w:val="Standard"/>
        <w:rPr>
          <w:rFonts w:eastAsia="Calibri"/>
          <w:color w:val="000000" w:themeColor="text1"/>
          <w:szCs w:val="26"/>
        </w:rPr>
      </w:pPr>
      <w:r w:rsidRPr="006F7C82">
        <w:rPr>
          <w:rFonts w:eastAsia="Calibri"/>
          <w:color w:val="000000" w:themeColor="text1"/>
        </w:rPr>
        <w:t xml:space="preserve">CETF </w:t>
      </w:r>
      <w:r w:rsidRPr="006F7C82" w:rsidR="002C3CBC">
        <w:rPr>
          <w:rFonts w:eastAsia="Calibri"/>
          <w:color w:val="000000" w:themeColor="text1"/>
        </w:rPr>
        <w:t xml:space="preserve">asserts the Commission should consider only other funding sources </w:t>
      </w:r>
      <w:r w:rsidRPr="006F7C82" w:rsidR="00770A59">
        <w:rPr>
          <w:rFonts w:eastAsia="Calibri"/>
          <w:color w:val="000000" w:themeColor="text1"/>
        </w:rPr>
        <w:t>that it can identify to applicants,</w:t>
      </w:r>
      <w:r w:rsidRPr="006F7C82" w:rsidR="00C36B88">
        <w:rPr>
          <w:rFonts w:eastAsia="Calibri"/>
          <w:color w:val="000000" w:themeColor="text1"/>
        </w:rPr>
        <w:t xml:space="preserve"> </w:t>
      </w:r>
      <w:r w:rsidRPr="006F7C82" w:rsidR="00770A59">
        <w:rPr>
          <w:rFonts w:eastAsia="Calibri"/>
          <w:color w:val="000000" w:themeColor="text1"/>
        </w:rPr>
        <w:t xml:space="preserve">and </w:t>
      </w:r>
      <w:r w:rsidRPr="006F7C82">
        <w:rPr>
          <w:rFonts w:eastAsia="Calibri"/>
          <w:color w:val="000000" w:themeColor="text1"/>
        </w:rPr>
        <w:t xml:space="preserve">encourages the Commission to establish a working relationship with </w:t>
      </w:r>
      <w:r w:rsidRPr="006F7C82" w:rsidR="005F4CCB">
        <w:rPr>
          <w:rFonts w:eastAsia="Calibri"/>
          <w:color w:val="000000" w:themeColor="text1"/>
        </w:rPr>
        <w:t>HUD to obtain reliable information for CASF Public Housing Account applicants to seek other funding</w:t>
      </w:r>
      <w:r w:rsidRPr="006F7C82" w:rsidR="0063306A">
        <w:rPr>
          <w:rFonts w:eastAsia="Calibri"/>
          <w:color w:val="000000" w:themeColor="text1"/>
        </w:rPr>
        <w:t>, rather than expecting applicants to seek out such information.</w:t>
      </w:r>
      <w:r w:rsidRPr="006F7C82" w:rsidR="00C43F0B">
        <w:rPr>
          <w:rStyle w:val="FootnoteReference"/>
          <w:rFonts w:eastAsia="Calibri"/>
          <w:color w:val="000000" w:themeColor="text1"/>
          <w:szCs w:val="26"/>
        </w:rPr>
        <w:footnoteReference w:id="57"/>
      </w:r>
      <w:r w:rsidRPr="006F7C82" w:rsidR="00916380">
        <w:rPr>
          <w:rFonts w:eastAsia="Calibri"/>
          <w:color w:val="000000" w:themeColor="text1"/>
        </w:rPr>
        <w:t xml:space="preserve"> IERBC similarly </w:t>
      </w:r>
      <w:r w:rsidRPr="006F7C82" w:rsidR="001052A4">
        <w:rPr>
          <w:rFonts w:eastAsia="Calibri"/>
          <w:color w:val="000000" w:themeColor="text1"/>
        </w:rPr>
        <w:t xml:space="preserve">recommends the Commission identify other funding sources for broadband installation in publicly subsidized housing, and ask applicants to </w:t>
      </w:r>
      <w:r w:rsidRPr="006F7C82" w:rsidR="00C8750D">
        <w:rPr>
          <w:rFonts w:eastAsia="Calibri"/>
          <w:color w:val="000000" w:themeColor="text1"/>
        </w:rPr>
        <w:t>confirm whether they have sought or received funding through those sources.</w:t>
      </w:r>
      <w:r w:rsidRPr="006F7C82" w:rsidR="004D3C05">
        <w:rPr>
          <w:rStyle w:val="FootnoteReference"/>
          <w:rFonts w:eastAsia="Calibri"/>
          <w:color w:val="000000" w:themeColor="text1"/>
          <w:szCs w:val="26"/>
        </w:rPr>
        <w:footnoteReference w:id="58"/>
      </w:r>
    </w:p>
    <w:p w:rsidRPr="006F7C82" w:rsidR="008E6E12" w:rsidP="001F5CEC" w:rsidRDefault="00BB7104" w14:paraId="59F2BF6E" w14:textId="7EAD362E">
      <w:pPr>
        <w:pStyle w:val="Standard"/>
        <w:rPr>
          <w:rFonts w:eastAsia="Calibri"/>
          <w:color w:val="000000" w:themeColor="text1"/>
        </w:rPr>
      </w:pPr>
      <w:r w:rsidRPr="006F7C82">
        <w:rPr>
          <w:rFonts w:eastAsia="Calibri"/>
          <w:color w:val="000000" w:themeColor="text1"/>
        </w:rPr>
        <w:t xml:space="preserve">Regarding </w:t>
      </w:r>
      <w:r w:rsidRPr="006F7C82" w:rsidR="005C3FD9">
        <w:rPr>
          <w:rFonts w:eastAsia="Calibri"/>
          <w:color w:val="000000" w:themeColor="text1"/>
        </w:rPr>
        <w:t xml:space="preserve">coordination with other social service programs, </w:t>
      </w:r>
      <w:r w:rsidRPr="006F7C82" w:rsidR="00BB10D7">
        <w:rPr>
          <w:rFonts w:eastAsia="Calibri"/>
          <w:color w:val="000000" w:themeColor="text1"/>
        </w:rPr>
        <w:t xml:space="preserve">many parties encourage the Commission to coordinate </w:t>
      </w:r>
      <w:r w:rsidRPr="006F7C82" w:rsidR="00834ADC">
        <w:rPr>
          <w:rFonts w:eastAsia="Calibri"/>
          <w:color w:val="000000" w:themeColor="text1"/>
        </w:rPr>
        <w:t xml:space="preserve">with state agencies that have a </w:t>
      </w:r>
      <w:r w:rsidRPr="006F7C82" w:rsidR="001E5D1E">
        <w:rPr>
          <w:rFonts w:eastAsia="Calibri"/>
          <w:color w:val="000000" w:themeColor="text1"/>
        </w:rPr>
        <w:t xml:space="preserve">role in delivering social services, including the California Department of Social Services and </w:t>
      </w:r>
      <w:r w:rsidRPr="006F7C82" w:rsidR="00556611">
        <w:rPr>
          <w:rFonts w:eastAsia="Calibri"/>
          <w:color w:val="000000" w:themeColor="text1"/>
        </w:rPr>
        <w:t xml:space="preserve">the California Department of Housing and Community Development. </w:t>
      </w:r>
      <w:r w:rsidRPr="006F7C82" w:rsidR="005C3FD9">
        <w:rPr>
          <w:rFonts w:eastAsia="Calibri"/>
          <w:color w:val="000000" w:themeColor="text1"/>
        </w:rPr>
        <w:t xml:space="preserve">TURN provides a novel recommendation that the Commission coordinate with the California Department of Housing and Community Development </w:t>
      </w:r>
      <w:r w:rsidRPr="006F7C82" w:rsidR="0039361E">
        <w:rPr>
          <w:rFonts w:eastAsia="Calibri"/>
          <w:color w:val="000000" w:themeColor="text1"/>
        </w:rPr>
        <w:t xml:space="preserve">grants directed to preserve and rehabilitate public housing structures, </w:t>
      </w:r>
      <w:r w:rsidRPr="006F7C82" w:rsidR="009C4FFD">
        <w:rPr>
          <w:rFonts w:eastAsia="Calibri"/>
          <w:color w:val="000000" w:themeColor="text1"/>
        </w:rPr>
        <w:t xml:space="preserve">comparable to a “dig once” policy so that a housing structure could </w:t>
      </w:r>
      <w:r w:rsidRPr="006F7C82" w:rsidR="00844693">
        <w:rPr>
          <w:rFonts w:eastAsia="Calibri"/>
          <w:color w:val="000000" w:themeColor="text1"/>
        </w:rPr>
        <w:t>be fitted for inside wiring and broadband equipment while it undergoes structural improvements.</w:t>
      </w:r>
      <w:r w:rsidRPr="006F7C82" w:rsidR="00434CA0">
        <w:rPr>
          <w:rStyle w:val="FootnoteReference"/>
          <w:rFonts w:eastAsia="Calibri"/>
          <w:color w:val="000000" w:themeColor="text1"/>
        </w:rPr>
        <w:footnoteReference w:id="59"/>
      </w:r>
      <w:r w:rsidRPr="006F7C82" w:rsidR="00313CB3">
        <w:rPr>
          <w:rFonts w:eastAsia="Calibri"/>
          <w:color w:val="000000" w:themeColor="text1"/>
        </w:rPr>
        <w:t xml:space="preserve"> The Commission agrees and intends to </w:t>
      </w:r>
      <w:r w:rsidRPr="006F7C82" w:rsidR="7602345D">
        <w:rPr>
          <w:rFonts w:eastAsia="Calibri"/>
          <w:color w:val="000000" w:themeColor="text1"/>
        </w:rPr>
        <w:t>engage</w:t>
      </w:r>
      <w:r w:rsidRPr="006F7C82" w:rsidR="538E20F9">
        <w:rPr>
          <w:rFonts w:eastAsia="Calibri"/>
          <w:color w:val="000000" w:themeColor="text1"/>
        </w:rPr>
        <w:t xml:space="preserve"> </w:t>
      </w:r>
      <w:r w:rsidRPr="006F7C82" w:rsidR="7602345D">
        <w:rPr>
          <w:rFonts w:eastAsia="Calibri"/>
          <w:color w:val="000000" w:themeColor="text1"/>
        </w:rPr>
        <w:t>in information sharing</w:t>
      </w:r>
      <w:r w:rsidRPr="006F7C82" w:rsidR="00313CB3">
        <w:rPr>
          <w:rFonts w:eastAsia="Calibri"/>
          <w:color w:val="000000" w:themeColor="text1"/>
        </w:rPr>
        <w:t xml:space="preserve"> with the California Department of Housing and Community Development for this </w:t>
      </w:r>
      <w:r w:rsidRPr="006F7C82" w:rsidR="00313CB3">
        <w:rPr>
          <w:rFonts w:eastAsia="Calibri"/>
          <w:color w:val="000000" w:themeColor="text1"/>
        </w:rPr>
        <w:lastRenderedPageBreak/>
        <w:t>purpose and other opportunities for coordination.</w:t>
      </w:r>
      <w:r w:rsidRPr="006F7C82" w:rsidR="000111CD">
        <w:rPr>
          <w:rFonts w:eastAsia="Calibri"/>
          <w:color w:val="000000" w:themeColor="text1"/>
        </w:rPr>
        <w:t xml:space="preserve"> </w:t>
      </w:r>
      <w:r w:rsidRPr="006F7C82" w:rsidR="000C2E9B">
        <w:rPr>
          <w:rFonts w:eastAsia="Calibri"/>
          <w:color w:val="000000" w:themeColor="text1"/>
        </w:rPr>
        <w:t xml:space="preserve">Similarly, CETF recommends </w:t>
      </w:r>
      <w:r w:rsidRPr="006F7C82" w:rsidR="009066DE">
        <w:rPr>
          <w:rFonts w:eastAsia="Calibri"/>
          <w:color w:val="000000" w:themeColor="text1"/>
        </w:rPr>
        <w:t>the Commission establish a working relationship with HUD</w:t>
      </w:r>
      <w:r w:rsidRPr="006F7C82" w:rsidR="00E446EF">
        <w:rPr>
          <w:rFonts w:eastAsia="Calibri"/>
          <w:color w:val="000000" w:themeColor="text1"/>
        </w:rPr>
        <w:t>, as described in response to Question 12.</w:t>
      </w:r>
      <w:r w:rsidRPr="006F7C82" w:rsidR="00DB37E4">
        <w:rPr>
          <w:rStyle w:val="FootnoteReference"/>
          <w:rFonts w:eastAsia="Calibri"/>
          <w:color w:val="000000" w:themeColor="text1"/>
        </w:rPr>
        <w:footnoteReference w:id="60"/>
      </w:r>
      <w:r w:rsidRPr="006F7C82" w:rsidR="00E446EF">
        <w:rPr>
          <w:rFonts w:eastAsia="Calibri"/>
          <w:color w:val="000000" w:themeColor="text1"/>
        </w:rPr>
        <w:t xml:space="preserve"> </w:t>
      </w:r>
      <w:r w:rsidRPr="006F7C82" w:rsidR="00766744">
        <w:rPr>
          <w:rFonts w:eastAsia="Calibri"/>
          <w:color w:val="000000" w:themeColor="text1"/>
        </w:rPr>
        <w:t xml:space="preserve">The Commission will explore </w:t>
      </w:r>
      <w:r w:rsidRPr="006F7C82" w:rsidR="004C2A01">
        <w:rPr>
          <w:rFonts w:eastAsia="Calibri"/>
          <w:color w:val="000000" w:themeColor="text1"/>
        </w:rPr>
        <w:t xml:space="preserve">the full range of opportunities to coordinate with </w:t>
      </w:r>
      <w:r w:rsidRPr="006F7C82" w:rsidR="00EA6CC2">
        <w:rPr>
          <w:rFonts w:eastAsia="Calibri"/>
          <w:color w:val="000000" w:themeColor="text1"/>
        </w:rPr>
        <w:t xml:space="preserve">federal, </w:t>
      </w:r>
      <w:proofErr w:type="gramStart"/>
      <w:r w:rsidRPr="006F7C82" w:rsidR="004C2A01">
        <w:rPr>
          <w:rFonts w:eastAsia="Calibri"/>
          <w:color w:val="000000" w:themeColor="text1"/>
        </w:rPr>
        <w:t>state</w:t>
      </w:r>
      <w:proofErr w:type="gramEnd"/>
      <w:r w:rsidRPr="006F7C82" w:rsidR="004C2A01">
        <w:rPr>
          <w:rFonts w:eastAsia="Calibri"/>
          <w:color w:val="000000" w:themeColor="text1"/>
        </w:rPr>
        <w:t xml:space="preserve"> and local agencies </w:t>
      </w:r>
      <w:r w:rsidRPr="006F7C82" w:rsidR="00336668">
        <w:rPr>
          <w:rFonts w:eastAsia="Calibri"/>
          <w:color w:val="000000" w:themeColor="text1"/>
        </w:rPr>
        <w:t>that provide low-income individuals with social services</w:t>
      </w:r>
      <w:r w:rsidRPr="006F7C82" w:rsidR="000D0A2C">
        <w:rPr>
          <w:rFonts w:eastAsia="Calibri"/>
          <w:color w:val="000000" w:themeColor="text1"/>
        </w:rPr>
        <w:t xml:space="preserve">, including </w:t>
      </w:r>
      <w:proofErr w:type="spellStart"/>
      <w:r w:rsidRPr="006F7C82" w:rsidR="000D0A2C">
        <w:rPr>
          <w:rFonts w:eastAsia="Calibri"/>
          <w:color w:val="000000" w:themeColor="text1"/>
        </w:rPr>
        <w:t>LifeLine</w:t>
      </w:r>
      <w:proofErr w:type="spellEnd"/>
      <w:r w:rsidRPr="006F7C82" w:rsidR="000D0A2C">
        <w:rPr>
          <w:rFonts w:eastAsia="Calibri"/>
          <w:color w:val="000000" w:themeColor="text1"/>
        </w:rPr>
        <w:t xml:space="preserve"> and ACP</w:t>
      </w:r>
      <w:r w:rsidRPr="006F7C82" w:rsidR="00BF3099">
        <w:rPr>
          <w:rFonts w:eastAsia="Calibri"/>
          <w:color w:val="000000" w:themeColor="text1"/>
        </w:rPr>
        <w:t>.</w:t>
      </w:r>
    </w:p>
    <w:p w:rsidRPr="006F7C82" w:rsidR="00696C1B" w:rsidP="001F5CEC" w:rsidRDefault="004026B1" w14:paraId="069FA348" w14:textId="75B0EDD7">
      <w:pPr>
        <w:pStyle w:val="Standard"/>
        <w:rPr>
          <w:rFonts w:eastAsia="Calibri"/>
          <w:color w:val="000000" w:themeColor="text1"/>
        </w:rPr>
      </w:pPr>
      <w:r w:rsidRPr="006F7C82">
        <w:rPr>
          <w:rFonts w:eastAsia="Calibri"/>
          <w:color w:val="000000" w:themeColor="text1"/>
        </w:rPr>
        <w:t xml:space="preserve">NDC </w:t>
      </w:r>
      <w:r w:rsidRPr="006F7C82" w:rsidR="000B745B">
        <w:rPr>
          <w:rFonts w:eastAsia="Calibri"/>
          <w:color w:val="000000" w:themeColor="text1"/>
        </w:rPr>
        <w:t xml:space="preserve">advocates that customers and households enrolled in </w:t>
      </w:r>
      <w:r w:rsidRPr="006F7C82" w:rsidR="00F37FA9">
        <w:rPr>
          <w:rFonts w:eastAsia="Calibri"/>
          <w:color w:val="000000" w:themeColor="text1"/>
        </w:rPr>
        <w:t xml:space="preserve">other communications subsidy programs like </w:t>
      </w:r>
      <w:proofErr w:type="spellStart"/>
      <w:r w:rsidRPr="006F7C82" w:rsidR="00F37FA9">
        <w:rPr>
          <w:rFonts w:eastAsia="Calibri"/>
          <w:color w:val="000000" w:themeColor="text1"/>
        </w:rPr>
        <w:t>LifeLine</w:t>
      </w:r>
      <w:proofErr w:type="spellEnd"/>
      <w:r w:rsidRPr="006F7C82" w:rsidR="00F37FA9">
        <w:rPr>
          <w:rFonts w:eastAsia="Calibri"/>
          <w:color w:val="000000" w:themeColor="text1"/>
        </w:rPr>
        <w:t xml:space="preserve"> and ACP should be able to participate in </w:t>
      </w:r>
      <w:r w:rsidRPr="006F7C82" w:rsidR="00182153">
        <w:rPr>
          <w:rFonts w:eastAsia="Calibri"/>
          <w:color w:val="000000" w:themeColor="text1"/>
        </w:rPr>
        <w:t>BPHA networks by demonstrating the same eligibility criteria, or simply showing proof of enrollment.</w:t>
      </w:r>
      <w:r w:rsidRPr="006F7C82" w:rsidR="00DB37E4">
        <w:rPr>
          <w:rStyle w:val="FootnoteReference"/>
          <w:rFonts w:eastAsia="Calibri"/>
          <w:color w:val="000000" w:themeColor="text1"/>
          <w:szCs w:val="26"/>
        </w:rPr>
        <w:footnoteReference w:id="61"/>
      </w:r>
      <w:r w:rsidRPr="006F7C82" w:rsidR="00182153">
        <w:rPr>
          <w:rFonts w:eastAsia="Calibri"/>
          <w:color w:val="000000" w:themeColor="text1"/>
        </w:rPr>
        <w:t xml:space="preserve"> </w:t>
      </w:r>
      <w:r w:rsidRPr="006F7C82" w:rsidR="00215A14">
        <w:rPr>
          <w:rFonts w:eastAsia="Calibri"/>
          <w:color w:val="000000" w:themeColor="text1"/>
        </w:rPr>
        <w:t xml:space="preserve">IERBC notes a </w:t>
      </w:r>
      <w:r w:rsidRPr="006F7C82" w:rsidR="00973A17">
        <w:rPr>
          <w:rFonts w:eastAsia="Calibri"/>
          <w:color w:val="000000" w:themeColor="text1"/>
        </w:rPr>
        <w:t xml:space="preserve">likely challenge to such coordination for public housing, which is that </w:t>
      </w:r>
      <w:r w:rsidRPr="006F7C82" w:rsidR="00F67D29">
        <w:rPr>
          <w:rFonts w:eastAsia="Calibri"/>
          <w:color w:val="000000" w:themeColor="text1"/>
        </w:rPr>
        <w:t xml:space="preserve">public housing owners typically </w:t>
      </w:r>
      <w:r w:rsidRPr="006F7C82" w:rsidR="00695DD5">
        <w:rPr>
          <w:rFonts w:eastAsia="Calibri"/>
          <w:color w:val="000000" w:themeColor="text1"/>
        </w:rPr>
        <w:t xml:space="preserve">provide Internet service to tenants as a monthly benefit, meaning tenants do not </w:t>
      </w:r>
      <w:r w:rsidRPr="006F7C82" w:rsidR="00D252E8">
        <w:rPr>
          <w:rFonts w:eastAsia="Calibri"/>
          <w:color w:val="000000" w:themeColor="text1"/>
        </w:rPr>
        <w:t>receive a monthly Internet bill</w:t>
      </w:r>
      <w:r w:rsidRPr="006F7C82" w:rsidR="00860C75">
        <w:rPr>
          <w:rFonts w:eastAsia="Calibri"/>
          <w:color w:val="000000" w:themeColor="text1"/>
        </w:rPr>
        <w:t xml:space="preserve">, making them ineligible for federal </w:t>
      </w:r>
      <w:proofErr w:type="spellStart"/>
      <w:r w:rsidRPr="006F7C82" w:rsidR="00860C75">
        <w:rPr>
          <w:rFonts w:eastAsia="Calibri"/>
          <w:color w:val="000000" w:themeColor="text1"/>
        </w:rPr>
        <w:t>LifeLine</w:t>
      </w:r>
      <w:proofErr w:type="spellEnd"/>
      <w:r w:rsidRPr="006F7C82" w:rsidR="00860C75">
        <w:rPr>
          <w:rFonts w:eastAsia="Calibri"/>
          <w:color w:val="000000" w:themeColor="text1"/>
        </w:rPr>
        <w:t xml:space="preserve"> or ACP discounts.</w:t>
      </w:r>
      <w:r w:rsidRPr="006F7C82" w:rsidR="006E7E32">
        <w:rPr>
          <w:rStyle w:val="FootnoteReference"/>
          <w:rFonts w:eastAsia="Calibri"/>
          <w:color w:val="000000" w:themeColor="text1"/>
          <w:szCs w:val="26"/>
        </w:rPr>
        <w:footnoteReference w:id="62"/>
      </w:r>
      <w:r w:rsidRPr="006F7C82" w:rsidR="00860C75">
        <w:rPr>
          <w:rFonts w:eastAsia="Calibri"/>
          <w:color w:val="000000" w:themeColor="text1"/>
        </w:rPr>
        <w:t xml:space="preserve"> </w:t>
      </w:r>
      <w:r w:rsidRPr="006F7C82" w:rsidR="00D0187B">
        <w:rPr>
          <w:rFonts w:eastAsia="Calibri"/>
          <w:color w:val="000000" w:themeColor="text1"/>
        </w:rPr>
        <w:t xml:space="preserve">UNITE-LA </w:t>
      </w:r>
      <w:r w:rsidRPr="006F7C82" w:rsidR="008C3349">
        <w:rPr>
          <w:rFonts w:eastAsia="Calibri"/>
          <w:color w:val="000000" w:themeColor="text1"/>
        </w:rPr>
        <w:t>advocates for coordination between the Public</w:t>
      </w:r>
      <w:r w:rsidR="00A329A1">
        <w:rPr>
          <w:rFonts w:eastAsia="Calibri"/>
          <w:color w:val="000000" w:themeColor="text1"/>
        </w:rPr>
        <w:t> </w:t>
      </w:r>
      <w:r w:rsidRPr="006F7C82" w:rsidR="008C3349">
        <w:rPr>
          <w:rFonts w:eastAsia="Calibri"/>
          <w:color w:val="000000" w:themeColor="text1"/>
        </w:rPr>
        <w:t>Housing Account and the Adoption Account so that once a project is approved for public housing, an Adoption Account grantee is connected to the beneficiaries of the new project to support enrollment in telecommunications and broadband subsidy programs.</w:t>
      </w:r>
      <w:r w:rsidRPr="006F7C82" w:rsidR="006E7E32">
        <w:rPr>
          <w:rStyle w:val="FootnoteReference"/>
          <w:rFonts w:eastAsia="Calibri"/>
          <w:color w:val="000000" w:themeColor="text1"/>
          <w:szCs w:val="26"/>
        </w:rPr>
        <w:footnoteReference w:id="63"/>
      </w:r>
      <w:r w:rsidRPr="006F7C82" w:rsidR="00504D3E">
        <w:rPr>
          <w:rFonts w:eastAsia="Calibri"/>
          <w:color w:val="000000" w:themeColor="text1"/>
        </w:rPr>
        <w:t xml:space="preserve"> CETF suggests requiring applicants to expl</w:t>
      </w:r>
      <w:r w:rsidRPr="006F7C82" w:rsidR="00046016">
        <w:rPr>
          <w:rFonts w:eastAsia="Calibri"/>
          <w:color w:val="000000" w:themeColor="text1"/>
        </w:rPr>
        <w:t xml:space="preserve">ain how Internet connectivity will enable the coordination of other social services, and that the Commission request relevant state agencies to coordinate the delivery of social services with the publicly-subsidized housing complex </w:t>
      </w:r>
      <w:r w:rsidRPr="006F7C82" w:rsidR="00046016">
        <w:rPr>
          <w:rFonts w:eastAsia="Calibri"/>
          <w:color w:val="000000" w:themeColor="text1"/>
        </w:rPr>
        <w:lastRenderedPageBreak/>
        <w:t>owners.</w:t>
      </w:r>
      <w:r w:rsidRPr="006F7C82" w:rsidR="00477F74">
        <w:rPr>
          <w:rStyle w:val="FootnoteReference"/>
          <w:rFonts w:eastAsia="Calibri"/>
          <w:color w:val="000000" w:themeColor="text1"/>
          <w:szCs w:val="26"/>
        </w:rPr>
        <w:footnoteReference w:id="64"/>
      </w:r>
      <w:r w:rsidRPr="006F7C82" w:rsidR="00F03700">
        <w:rPr>
          <w:rFonts w:eastAsia="Calibri"/>
          <w:color w:val="000000" w:themeColor="text1"/>
        </w:rPr>
        <w:t xml:space="preserve"> Similarly, but more strongly, TURN suggests requiring </w:t>
      </w:r>
      <w:r w:rsidRPr="006F7C82" w:rsidR="008E51B3">
        <w:rPr>
          <w:rFonts w:eastAsia="Calibri"/>
          <w:color w:val="000000" w:themeColor="text1"/>
        </w:rPr>
        <w:t>grant recipients to inform their low-income tenants about other public purpose programs</w:t>
      </w:r>
      <w:r w:rsidRPr="006F7C82" w:rsidR="00A65ECD">
        <w:rPr>
          <w:rFonts w:eastAsia="Calibri"/>
          <w:color w:val="000000" w:themeColor="text1"/>
        </w:rPr>
        <w:t>.</w:t>
      </w:r>
      <w:r w:rsidRPr="006F7C82" w:rsidR="00477F74">
        <w:rPr>
          <w:rStyle w:val="FootnoteReference"/>
          <w:rFonts w:eastAsia="Calibri"/>
          <w:color w:val="000000" w:themeColor="text1"/>
          <w:szCs w:val="26"/>
        </w:rPr>
        <w:footnoteReference w:id="65"/>
      </w:r>
    </w:p>
    <w:p w:rsidRPr="006F7C82" w:rsidR="7FDAA6EC" w:rsidP="001F5CEC" w:rsidRDefault="00046EEC" w14:paraId="614E05A6" w14:textId="7F2A5CB4">
      <w:pPr>
        <w:pStyle w:val="Standard"/>
        <w:rPr>
          <w:rFonts w:eastAsia="Calibri"/>
          <w:color w:val="000000" w:themeColor="text1"/>
        </w:rPr>
      </w:pPr>
      <w:r w:rsidRPr="1E36BC02">
        <w:rPr>
          <w:rFonts w:eastAsia="Calibri"/>
          <w:color w:val="000000" w:themeColor="text1"/>
        </w:rPr>
        <w:t xml:space="preserve">The Commission </w:t>
      </w:r>
      <w:r w:rsidRPr="1E36BC02" w:rsidR="00FD2C63">
        <w:rPr>
          <w:rFonts w:eastAsia="Calibri"/>
          <w:color w:val="000000" w:themeColor="text1"/>
        </w:rPr>
        <w:t>will consider whether a project could leverage other public and private resources</w:t>
      </w:r>
      <w:r w:rsidRPr="1E36BC02" w:rsidR="00C728BC">
        <w:rPr>
          <w:rFonts w:eastAsia="Calibri"/>
          <w:color w:val="000000" w:themeColor="text1"/>
        </w:rPr>
        <w:t xml:space="preserve">, but </w:t>
      </w:r>
      <w:r w:rsidRPr="1E36BC02" w:rsidR="00C37E1C">
        <w:rPr>
          <w:rFonts w:eastAsia="Calibri"/>
          <w:color w:val="000000" w:themeColor="text1"/>
        </w:rPr>
        <w:t xml:space="preserve">applications will not be </w:t>
      </w:r>
      <w:r w:rsidRPr="1E36BC02" w:rsidR="00C52C9F">
        <w:rPr>
          <w:rFonts w:eastAsia="Calibri"/>
          <w:color w:val="000000" w:themeColor="text1"/>
        </w:rPr>
        <w:t xml:space="preserve">rejected </w:t>
      </w:r>
      <w:r w:rsidRPr="1E36BC02" w:rsidR="00C37E1C">
        <w:rPr>
          <w:rFonts w:eastAsia="Calibri"/>
          <w:color w:val="000000" w:themeColor="text1"/>
        </w:rPr>
        <w:t xml:space="preserve">if they do not leverage </w:t>
      </w:r>
      <w:r w:rsidR="0082206A">
        <w:rPr>
          <w:rFonts w:eastAsia="Calibri"/>
          <w:color w:val="000000" w:themeColor="text1"/>
        </w:rPr>
        <w:t xml:space="preserve">these </w:t>
      </w:r>
      <w:r w:rsidRPr="1E36BC02" w:rsidR="00C37E1C">
        <w:rPr>
          <w:rFonts w:eastAsia="Calibri"/>
          <w:color w:val="000000" w:themeColor="text1"/>
        </w:rPr>
        <w:t>other sources</w:t>
      </w:r>
      <w:r w:rsidRPr="1E36BC02" w:rsidR="00FD2C63">
        <w:rPr>
          <w:rFonts w:eastAsia="Calibri"/>
          <w:color w:val="000000" w:themeColor="text1"/>
        </w:rPr>
        <w:t xml:space="preserve">. </w:t>
      </w:r>
      <w:r w:rsidRPr="1E36BC02" w:rsidR="00DE1983">
        <w:rPr>
          <w:rFonts w:eastAsia="Calibri"/>
          <w:color w:val="000000" w:themeColor="text1"/>
        </w:rPr>
        <w:t xml:space="preserve">We agree that </w:t>
      </w:r>
      <w:r w:rsidRPr="1E36BC02" w:rsidR="00061126">
        <w:rPr>
          <w:rFonts w:eastAsia="Calibri"/>
          <w:color w:val="000000" w:themeColor="text1"/>
        </w:rPr>
        <w:t xml:space="preserve">the application form could </w:t>
      </w:r>
      <w:r w:rsidRPr="1E36BC02" w:rsidR="0012339B">
        <w:rPr>
          <w:rFonts w:eastAsia="Calibri"/>
          <w:color w:val="000000" w:themeColor="text1"/>
        </w:rPr>
        <w:t xml:space="preserve">list any </w:t>
      </w:r>
      <w:r w:rsidRPr="1E36BC02" w:rsidR="2EC19858">
        <w:rPr>
          <w:rFonts w:eastAsia="Calibri"/>
          <w:color w:val="000000" w:themeColor="text1"/>
        </w:rPr>
        <w:t>other public or private sources of funding</w:t>
      </w:r>
      <w:r w:rsidRPr="1E36BC02" w:rsidR="0012339B">
        <w:rPr>
          <w:rFonts w:eastAsia="Calibri"/>
          <w:color w:val="000000" w:themeColor="text1"/>
        </w:rPr>
        <w:t xml:space="preserve"> that Commission staff have </w:t>
      </w:r>
      <w:proofErr w:type="gramStart"/>
      <w:r w:rsidRPr="1E36BC02" w:rsidR="0012339B">
        <w:rPr>
          <w:rFonts w:eastAsia="Calibri"/>
          <w:color w:val="000000" w:themeColor="text1"/>
        </w:rPr>
        <w:t>identified, and</w:t>
      </w:r>
      <w:proofErr w:type="gramEnd"/>
      <w:r w:rsidRPr="1E36BC02" w:rsidR="0012339B">
        <w:rPr>
          <w:rFonts w:eastAsia="Calibri"/>
          <w:color w:val="000000" w:themeColor="text1"/>
        </w:rPr>
        <w:t xml:space="preserve"> ask applicants to </w:t>
      </w:r>
      <w:r w:rsidRPr="1E36BC02" w:rsidR="00C728BC">
        <w:rPr>
          <w:rFonts w:eastAsia="Calibri"/>
          <w:color w:val="000000" w:themeColor="text1"/>
        </w:rPr>
        <w:t xml:space="preserve">confirm whether they have </w:t>
      </w:r>
      <w:r w:rsidRPr="1E36BC02" w:rsidR="5CF1B171">
        <w:rPr>
          <w:rFonts w:eastAsia="Calibri"/>
          <w:color w:val="000000" w:themeColor="text1"/>
        </w:rPr>
        <w:t>participated</w:t>
      </w:r>
      <w:r w:rsidRPr="1E36BC02" w:rsidR="00C728BC">
        <w:rPr>
          <w:rFonts w:eastAsia="Calibri"/>
          <w:color w:val="000000" w:themeColor="text1"/>
        </w:rPr>
        <w:t xml:space="preserve"> in these or any other </w:t>
      </w:r>
      <w:r w:rsidRPr="1E36BC02" w:rsidR="00F51577">
        <w:rPr>
          <w:rFonts w:eastAsia="Calibri"/>
          <w:color w:val="000000" w:themeColor="text1"/>
        </w:rPr>
        <w:t>available programs</w:t>
      </w:r>
      <w:r w:rsidRPr="1E36BC02" w:rsidR="00E55625">
        <w:rPr>
          <w:rFonts w:eastAsia="Calibri"/>
          <w:color w:val="000000" w:themeColor="text1"/>
        </w:rPr>
        <w:t xml:space="preserve">, and encourage applicants to seek such resources to the extent they have not already done </w:t>
      </w:r>
      <w:r w:rsidRPr="1E36BC02" w:rsidR="000F2B89">
        <w:rPr>
          <w:rFonts w:eastAsia="Calibri"/>
          <w:color w:val="000000" w:themeColor="text1"/>
        </w:rPr>
        <w:t>so.</w:t>
      </w:r>
      <w:r w:rsidRPr="1E36BC02" w:rsidR="7FDAA6EC">
        <w:rPr>
          <w:rFonts w:eastAsia="Calibri"/>
          <w:color w:val="000000" w:themeColor="text1"/>
        </w:rPr>
        <w:t xml:space="preserve"> </w:t>
      </w:r>
    </w:p>
    <w:p w:rsidRPr="006F7C82" w:rsidR="7FDAA6EC" w:rsidP="001F5CEC" w:rsidRDefault="00E54AC2" w14:paraId="545FA27F" w14:textId="2D5CC81B">
      <w:pPr>
        <w:pStyle w:val="Standard"/>
        <w:rPr>
          <w:rFonts w:eastAsia="Calibri"/>
          <w:color w:val="000000" w:themeColor="text1"/>
          <w:szCs w:val="26"/>
        </w:rPr>
      </w:pPr>
      <w:r w:rsidRPr="006F7C82">
        <w:rPr>
          <w:rFonts w:eastAsia="Calibri"/>
          <w:color w:val="000000" w:themeColor="text1"/>
          <w:szCs w:val="26"/>
        </w:rPr>
        <w:t>The Commission further acknowledges th</w:t>
      </w:r>
      <w:r w:rsidRPr="006F7C82" w:rsidR="00A33898">
        <w:rPr>
          <w:rFonts w:eastAsia="Calibri"/>
          <w:color w:val="000000" w:themeColor="text1"/>
          <w:szCs w:val="26"/>
        </w:rPr>
        <w:t>e benefit</w:t>
      </w:r>
      <w:r w:rsidRPr="006F7C82" w:rsidR="00B76090">
        <w:rPr>
          <w:rFonts w:eastAsia="Calibri"/>
          <w:color w:val="000000" w:themeColor="text1"/>
          <w:szCs w:val="26"/>
        </w:rPr>
        <w:t xml:space="preserve"> of</w:t>
      </w:r>
      <w:r w:rsidRPr="006F7C82" w:rsidR="00A33898">
        <w:rPr>
          <w:rFonts w:eastAsia="Calibri"/>
          <w:color w:val="000000" w:themeColor="text1"/>
          <w:szCs w:val="26"/>
        </w:rPr>
        <w:t>, and indeed the need</w:t>
      </w:r>
      <w:r w:rsidRPr="006F7C82" w:rsidR="00B76090">
        <w:rPr>
          <w:rFonts w:eastAsia="Calibri"/>
          <w:color w:val="000000" w:themeColor="text1"/>
          <w:szCs w:val="26"/>
        </w:rPr>
        <w:t xml:space="preserve"> for</w:t>
      </w:r>
      <w:r w:rsidRPr="006F7C82" w:rsidR="00A33898">
        <w:rPr>
          <w:rFonts w:eastAsia="Calibri"/>
          <w:color w:val="000000" w:themeColor="text1"/>
          <w:szCs w:val="26"/>
        </w:rPr>
        <w:t>, coordinat</w:t>
      </w:r>
      <w:r w:rsidRPr="006F7C82" w:rsidR="00B76090">
        <w:rPr>
          <w:rFonts w:eastAsia="Calibri"/>
          <w:color w:val="000000" w:themeColor="text1"/>
          <w:szCs w:val="26"/>
        </w:rPr>
        <w:t>ing</w:t>
      </w:r>
      <w:r w:rsidRPr="006F7C82" w:rsidR="00A33898">
        <w:rPr>
          <w:rFonts w:eastAsia="Calibri"/>
          <w:color w:val="000000" w:themeColor="text1"/>
          <w:szCs w:val="26"/>
        </w:rPr>
        <w:t xml:space="preserve"> </w:t>
      </w:r>
      <w:r w:rsidRPr="006F7C82" w:rsidR="00B23A60">
        <w:rPr>
          <w:rFonts w:eastAsia="Calibri"/>
          <w:color w:val="000000" w:themeColor="text1"/>
          <w:szCs w:val="26"/>
        </w:rPr>
        <w:t xml:space="preserve">the Public Housing Account with other public assistance programs </w:t>
      </w:r>
      <w:r w:rsidRPr="006F7C82" w:rsidR="002C6151">
        <w:rPr>
          <w:rFonts w:eastAsia="Calibri"/>
          <w:color w:val="000000" w:themeColor="text1"/>
          <w:szCs w:val="26"/>
        </w:rPr>
        <w:t xml:space="preserve">and especially </w:t>
      </w:r>
      <w:r w:rsidRPr="006F7C82" w:rsidR="00F7122E">
        <w:rPr>
          <w:rFonts w:eastAsia="Calibri"/>
          <w:color w:val="000000" w:themeColor="text1"/>
          <w:szCs w:val="26"/>
        </w:rPr>
        <w:t>other telecommunications and broadband support programs</w:t>
      </w:r>
      <w:r w:rsidRPr="006F7C82" w:rsidR="00C37123">
        <w:rPr>
          <w:rFonts w:eastAsia="Calibri"/>
          <w:color w:val="000000" w:themeColor="text1"/>
          <w:szCs w:val="26"/>
        </w:rPr>
        <w:t xml:space="preserve">, to leverage </w:t>
      </w:r>
      <w:r w:rsidRPr="006F7C82" w:rsidR="00104E2B">
        <w:rPr>
          <w:rFonts w:eastAsia="Calibri"/>
          <w:color w:val="000000" w:themeColor="text1"/>
          <w:szCs w:val="26"/>
        </w:rPr>
        <w:t>support for ongoing network connections</w:t>
      </w:r>
      <w:r w:rsidRPr="006F7C82" w:rsidR="00A001D7">
        <w:rPr>
          <w:rFonts w:eastAsia="Calibri"/>
          <w:color w:val="000000" w:themeColor="text1"/>
          <w:szCs w:val="26"/>
        </w:rPr>
        <w:t>,</w:t>
      </w:r>
      <w:r w:rsidRPr="006F7C82" w:rsidR="003E36A7">
        <w:rPr>
          <w:rFonts w:eastAsia="Calibri"/>
          <w:color w:val="000000" w:themeColor="text1"/>
          <w:szCs w:val="26"/>
        </w:rPr>
        <w:t xml:space="preserve"> as well as other programs overseen by the Commission </w:t>
      </w:r>
      <w:r w:rsidRPr="006F7C82" w:rsidR="00A001D7">
        <w:rPr>
          <w:rFonts w:eastAsia="Calibri"/>
          <w:color w:val="000000" w:themeColor="text1"/>
          <w:szCs w:val="26"/>
        </w:rPr>
        <w:t xml:space="preserve">to </w:t>
      </w:r>
      <w:r w:rsidRPr="006F7C82" w:rsidR="00357D4F">
        <w:rPr>
          <w:rFonts w:eastAsia="Calibri"/>
          <w:color w:val="000000" w:themeColor="text1"/>
          <w:szCs w:val="26"/>
        </w:rPr>
        <w:t xml:space="preserve">more effectively target outreach and </w:t>
      </w:r>
      <w:proofErr w:type="gramStart"/>
      <w:r w:rsidRPr="006F7C82" w:rsidR="006308EE">
        <w:rPr>
          <w:rFonts w:eastAsia="Calibri"/>
          <w:color w:val="000000" w:themeColor="text1"/>
          <w:szCs w:val="26"/>
        </w:rPr>
        <w:t xml:space="preserve">provide assistance </w:t>
      </w:r>
      <w:r w:rsidRPr="006F7C82" w:rsidR="00184F79">
        <w:rPr>
          <w:rFonts w:eastAsia="Calibri"/>
          <w:color w:val="000000" w:themeColor="text1"/>
          <w:szCs w:val="26"/>
        </w:rPr>
        <w:t>to</w:t>
      </w:r>
      <w:proofErr w:type="gramEnd"/>
      <w:r w:rsidRPr="006F7C82" w:rsidR="00184F79">
        <w:rPr>
          <w:rFonts w:eastAsia="Calibri"/>
          <w:color w:val="000000" w:themeColor="text1"/>
          <w:szCs w:val="26"/>
        </w:rPr>
        <w:t xml:space="preserve"> eligible entities. </w:t>
      </w:r>
      <w:r w:rsidRPr="006F7C82" w:rsidR="00CC6797">
        <w:rPr>
          <w:rFonts w:eastAsia="Calibri"/>
          <w:color w:val="000000" w:themeColor="text1"/>
          <w:szCs w:val="26"/>
        </w:rPr>
        <w:t xml:space="preserve">Commission staff intends to </w:t>
      </w:r>
      <w:r w:rsidRPr="006F7C82" w:rsidR="000A722B">
        <w:rPr>
          <w:rFonts w:eastAsia="Calibri"/>
          <w:color w:val="000000" w:themeColor="text1"/>
          <w:szCs w:val="26"/>
        </w:rPr>
        <w:t xml:space="preserve">increase outreach to and coordination with </w:t>
      </w:r>
      <w:r w:rsidRPr="006F7C82" w:rsidR="00ED20E5">
        <w:rPr>
          <w:rFonts w:eastAsia="Calibri"/>
          <w:color w:val="000000" w:themeColor="text1"/>
          <w:szCs w:val="26"/>
        </w:rPr>
        <w:t xml:space="preserve">these agencies and programs </w:t>
      </w:r>
      <w:r w:rsidRPr="006F7C82" w:rsidR="006067B3">
        <w:rPr>
          <w:rFonts w:eastAsia="Calibri"/>
          <w:color w:val="000000" w:themeColor="text1"/>
          <w:szCs w:val="26"/>
        </w:rPr>
        <w:t xml:space="preserve">to better serve eligible residents. </w:t>
      </w:r>
    </w:p>
    <w:p w:rsidRPr="006F7C82" w:rsidR="7FDAA6EC" w:rsidP="002A4088" w:rsidRDefault="7FDAA6EC" w14:paraId="6CE21021" w14:textId="22500150">
      <w:pPr>
        <w:pStyle w:val="Heading2"/>
        <w:ind w:left="1080" w:hanging="720"/>
        <w:rPr>
          <w:color w:val="000000" w:themeColor="text1"/>
        </w:rPr>
      </w:pPr>
      <w:bookmarkStart w:name="_Toc100132359" w:id="15"/>
      <w:r w:rsidRPr="006F7C82">
        <w:rPr>
          <w:color w:val="000000" w:themeColor="text1"/>
        </w:rPr>
        <w:t xml:space="preserve">Public Housing Account </w:t>
      </w:r>
      <w:r w:rsidR="00E60882">
        <w:rPr>
          <w:color w:val="000000" w:themeColor="text1"/>
        </w:rPr>
        <w:br/>
      </w:r>
      <w:r w:rsidRPr="00806ADE">
        <w:rPr>
          <w:color w:val="000000" w:themeColor="text1"/>
        </w:rPr>
        <w:t>Technical Requirements</w:t>
      </w:r>
      <w:bookmarkEnd w:id="15"/>
    </w:p>
    <w:p w:rsidRPr="006F7C82" w:rsidR="7FDAA6EC" w:rsidP="7FDAA6EC" w:rsidRDefault="7FDAA6EC" w14:paraId="0B84E0E5" w14:textId="1DF39FF4">
      <w:pPr>
        <w:pStyle w:val="Standard"/>
        <w:rPr>
          <w:rFonts w:eastAsia="Calibri"/>
          <w:color w:val="000000" w:themeColor="text1"/>
        </w:rPr>
      </w:pPr>
      <w:r w:rsidRPr="006F7C82">
        <w:rPr>
          <w:rFonts w:eastAsia="Calibri"/>
          <w:color w:val="000000" w:themeColor="text1"/>
        </w:rPr>
        <w:t>Current Public Housing rules define inside wiring as “[t]</w:t>
      </w:r>
      <w:proofErr w:type="spellStart"/>
      <w:r w:rsidRPr="006F7C82">
        <w:rPr>
          <w:rFonts w:eastAsia="Calibri"/>
          <w:color w:val="000000" w:themeColor="text1"/>
        </w:rPr>
        <w:t>elephone</w:t>
      </w:r>
      <w:proofErr w:type="spellEnd"/>
      <w:r w:rsidRPr="006F7C82">
        <w:rPr>
          <w:rFonts w:eastAsia="Calibri"/>
          <w:color w:val="000000" w:themeColor="text1"/>
        </w:rPr>
        <w:t xml:space="preserve"> wiring inside a residential unit or multi-dwelling unit (MDU) building.”</w:t>
      </w:r>
      <w:r w:rsidRPr="006F7C82">
        <w:rPr>
          <w:rStyle w:val="FootnoteReference"/>
          <w:rFonts w:eastAsia="Calibri"/>
          <w:color w:val="000000" w:themeColor="text1"/>
        </w:rPr>
        <w:footnoteReference w:id="66"/>
      </w:r>
      <w:r w:rsidRPr="006F7C82" w:rsidR="00F209CE">
        <w:rPr>
          <w:rFonts w:eastAsia="Calibri"/>
          <w:color w:val="000000" w:themeColor="text1"/>
        </w:rPr>
        <w:t xml:space="preserve"> </w:t>
      </w:r>
      <w:r w:rsidRPr="006F7C82">
        <w:rPr>
          <w:rFonts w:eastAsia="Calibri"/>
          <w:color w:val="000000" w:themeColor="text1"/>
        </w:rPr>
        <w:t>Public</w:t>
      </w:r>
      <w:r w:rsidR="001F5CEC">
        <w:rPr>
          <w:rFonts w:eastAsia="Calibri"/>
          <w:color w:val="000000" w:themeColor="text1"/>
        </w:rPr>
        <w:t> </w:t>
      </w:r>
      <w:r w:rsidRPr="006F7C82">
        <w:rPr>
          <w:rFonts w:eastAsia="Calibri"/>
          <w:color w:val="000000" w:themeColor="text1"/>
        </w:rPr>
        <w:t>Housing grantees may be reimbursed for the costs of inside wiring installation, as a subset of eligible project costs.</w:t>
      </w:r>
      <w:r w:rsidRPr="006F7C82" w:rsidR="00F209CE">
        <w:rPr>
          <w:rFonts w:eastAsia="Calibri"/>
          <w:color w:val="000000" w:themeColor="text1"/>
        </w:rPr>
        <w:t xml:space="preserve"> </w:t>
      </w:r>
      <w:r w:rsidRPr="006F7C82">
        <w:rPr>
          <w:rFonts w:eastAsia="Calibri"/>
          <w:color w:val="000000" w:themeColor="text1"/>
        </w:rPr>
        <w:t xml:space="preserve">However, given the </w:t>
      </w:r>
      <w:r w:rsidRPr="006F7C82">
        <w:rPr>
          <w:rFonts w:eastAsia="Calibri"/>
          <w:color w:val="000000" w:themeColor="text1"/>
        </w:rPr>
        <w:lastRenderedPageBreak/>
        <w:t>Public</w:t>
      </w:r>
      <w:r w:rsidR="00BC0CA4">
        <w:rPr>
          <w:rFonts w:eastAsia="Calibri"/>
          <w:color w:val="000000" w:themeColor="text1"/>
        </w:rPr>
        <w:t> </w:t>
      </w:r>
      <w:r w:rsidRPr="006F7C82">
        <w:rPr>
          <w:rFonts w:eastAsia="Calibri"/>
          <w:color w:val="000000" w:themeColor="text1"/>
        </w:rPr>
        <w:t xml:space="preserve">Housing Account’s </w:t>
      </w:r>
      <w:r w:rsidRPr="006F7C82" w:rsidR="781234C0">
        <w:rPr>
          <w:rFonts w:eastAsia="Calibri"/>
          <w:color w:val="000000" w:themeColor="text1"/>
        </w:rPr>
        <w:t xml:space="preserve">proposed </w:t>
      </w:r>
      <w:r w:rsidRPr="006F7C82">
        <w:rPr>
          <w:rFonts w:eastAsia="Calibri"/>
          <w:color w:val="000000" w:themeColor="text1"/>
        </w:rPr>
        <w:t xml:space="preserve">expansion in eligibility to include mobile home parks, some </w:t>
      </w:r>
      <w:r w:rsidRPr="006F7C82" w:rsidR="781234C0">
        <w:rPr>
          <w:rFonts w:eastAsia="Calibri"/>
          <w:color w:val="000000" w:themeColor="text1"/>
        </w:rPr>
        <w:t>potentially</w:t>
      </w:r>
      <w:r w:rsidRPr="006F7C82">
        <w:rPr>
          <w:rFonts w:eastAsia="Calibri"/>
          <w:color w:val="000000" w:themeColor="text1"/>
        </w:rPr>
        <w:t xml:space="preserve"> eligible applicants may have a need for “inside wiring” that is not found within a residential unit or an MDU building.</w:t>
      </w:r>
      <w:r w:rsidRPr="006F7C82" w:rsidR="00F209CE">
        <w:rPr>
          <w:rFonts w:eastAsia="Calibri"/>
          <w:color w:val="000000" w:themeColor="text1"/>
        </w:rPr>
        <w:t xml:space="preserve"> </w:t>
      </w:r>
      <w:r w:rsidRPr="006F7C82">
        <w:rPr>
          <w:rFonts w:eastAsia="Calibri"/>
          <w:color w:val="000000" w:themeColor="text1"/>
        </w:rPr>
        <w:t>The Second</w:t>
      </w:r>
      <w:r w:rsidR="00427749">
        <w:rPr>
          <w:rFonts w:eastAsia="Calibri"/>
          <w:color w:val="000000" w:themeColor="text1"/>
        </w:rPr>
        <w:t> </w:t>
      </w:r>
      <w:r w:rsidRPr="006F7C82">
        <w:rPr>
          <w:rFonts w:eastAsia="Calibri"/>
          <w:color w:val="000000" w:themeColor="text1"/>
        </w:rPr>
        <w:t>Amended Scoping Memo posed the following questions for party comment:</w:t>
      </w:r>
    </w:p>
    <w:p w:rsidRPr="00FF6FF3" w:rsidR="7FDAA6EC" w:rsidP="00FF6FF3" w:rsidRDefault="7FDAA6EC" w14:paraId="7001E132" w14:textId="262B4CBB">
      <w:pPr>
        <w:pStyle w:val="Standard"/>
        <w:numPr>
          <w:ilvl w:val="0"/>
          <w:numId w:val="5"/>
        </w:numPr>
        <w:spacing w:after="120" w:line="240" w:lineRule="auto"/>
        <w:ind w:left="1080" w:right="1440"/>
        <w:rPr>
          <w:rFonts w:eastAsia="Calibri"/>
          <w:i/>
          <w:iCs/>
          <w:color w:val="000000" w:themeColor="text1"/>
        </w:rPr>
      </w:pPr>
      <w:r w:rsidRPr="001F5CEC">
        <w:rPr>
          <w:rFonts w:eastAsia="Calibri"/>
          <w:i/>
          <w:iCs/>
          <w:color w:val="000000" w:themeColor="text1"/>
        </w:rPr>
        <w:t xml:space="preserve">Given expansion of the types of entities </w:t>
      </w:r>
      <w:r w:rsidRPr="001F5CEC" w:rsidR="781234C0">
        <w:rPr>
          <w:rFonts w:eastAsia="Calibri"/>
          <w:i/>
          <w:iCs/>
          <w:color w:val="000000" w:themeColor="text1"/>
        </w:rPr>
        <w:t>eligible</w:t>
      </w:r>
      <w:r w:rsidRPr="001F5CEC">
        <w:rPr>
          <w:rFonts w:eastAsia="Calibri"/>
          <w:i/>
          <w:iCs/>
          <w:color w:val="000000" w:themeColor="text1"/>
        </w:rPr>
        <w:t xml:space="preserve"> for Public Housing Account grants, is it necessary for the Commission to update the definition of “inside wiring?”</w:t>
      </w:r>
      <w:r w:rsidRPr="001F5CEC" w:rsidR="00F209CE">
        <w:rPr>
          <w:rFonts w:eastAsia="Calibri"/>
          <w:i/>
          <w:iCs/>
          <w:color w:val="000000" w:themeColor="text1"/>
        </w:rPr>
        <w:t xml:space="preserve"> </w:t>
      </w:r>
      <w:r w:rsidRPr="001F5CEC">
        <w:rPr>
          <w:rFonts w:eastAsia="Calibri"/>
          <w:i/>
          <w:iCs/>
          <w:color w:val="000000" w:themeColor="text1"/>
        </w:rPr>
        <w:t>If so, what should be included in the updated definition?</w:t>
      </w:r>
    </w:p>
    <w:p w:rsidRPr="001F5CEC" w:rsidR="7FDAA6EC" w:rsidP="00FF6FF3" w:rsidRDefault="7FDAA6EC" w14:paraId="059A597E" w14:textId="3DAF0C9F">
      <w:pPr>
        <w:pStyle w:val="Standard"/>
        <w:numPr>
          <w:ilvl w:val="0"/>
          <w:numId w:val="5"/>
        </w:numPr>
        <w:spacing w:after="120" w:line="240" w:lineRule="auto"/>
        <w:ind w:left="1080" w:right="1440"/>
        <w:rPr>
          <w:rFonts w:eastAsia="Calibri"/>
          <w:i/>
          <w:iCs/>
          <w:color w:val="000000" w:themeColor="text1"/>
        </w:rPr>
      </w:pPr>
      <w:r w:rsidRPr="001F5CEC">
        <w:rPr>
          <w:rFonts w:eastAsia="Calibri"/>
          <w:i/>
          <w:iCs/>
          <w:color w:val="000000" w:themeColor="text1"/>
        </w:rPr>
        <w:t>Existing Public Housing Account rules require wireless networking projects equipment to meet at least the 802.11n standard.</w:t>
      </w:r>
      <w:r w:rsidRPr="001F5CEC" w:rsidR="00F209CE">
        <w:rPr>
          <w:rFonts w:eastAsia="Calibri"/>
          <w:i/>
          <w:iCs/>
          <w:color w:val="000000" w:themeColor="text1"/>
        </w:rPr>
        <w:t xml:space="preserve"> </w:t>
      </w:r>
      <w:r w:rsidRPr="001F5CEC">
        <w:rPr>
          <w:rFonts w:eastAsia="Calibri"/>
          <w:i/>
          <w:iCs/>
          <w:color w:val="000000" w:themeColor="text1"/>
        </w:rPr>
        <w:t>Should the Commission update wireless networking project equipment standards to maintain the option for Public Housing Account applicants to use 802.11n standard equipment, while offering priority review to projects that will adopt 802.11ax (Wi-Fi-6/6E)?</w:t>
      </w:r>
      <w:r w:rsidRPr="001F5CEC" w:rsidR="00F209CE">
        <w:rPr>
          <w:rFonts w:eastAsia="Calibri"/>
          <w:i/>
          <w:iCs/>
          <w:color w:val="000000" w:themeColor="text1"/>
        </w:rPr>
        <w:t xml:space="preserve"> </w:t>
      </w:r>
      <w:r w:rsidRPr="001F5CEC">
        <w:rPr>
          <w:rFonts w:eastAsia="Calibri"/>
          <w:i/>
          <w:iCs/>
          <w:color w:val="000000" w:themeColor="text1"/>
        </w:rPr>
        <w:t>Should the Commission mandate use of 802.11ax (Wi-Fi-6/6E) equipment?</w:t>
      </w:r>
    </w:p>
    <w:p w:rsidRPr="00FF6FF3" w:rsidR="7FDAA6EC" w:rsidP="00FF6FF3" w:rsidRDefault="7FDAA6EC" w14:paraId="44A772EA" w14:textId="02B5E01F">
      <w:pPr>
        <w:pStyle w:val="Standard"/>
        <w:numPr>
          <w:ilvl w:val="0"/>
          <w:numId w:val="5"/>
        </w:numPr>
        <w:spacing w:after="120" w:line="240" w:lineRule="auto"/>
        <w:ind w:left="1080" w:right="1440"/>
        <w:rPr>
          <w:rFonts w:eastAsia="Calibri"/>
          <w:i/>
          <w:iCs/>
          <w:color w:val="000000" w:themeColor="text1"/>
        </w:rPr>
      </w:pPr>
      <w:r w:rsidRPr="001F5CEC">
        <w:rPr>
          <w:rFonts w:eastAsia="Calibri"/>
          <w:i/>
          <w:iCs/>
          <w:color w:val="000000" w:themeColor="text1"/>
        </w:rPr>
        <w:t>Should DSL networks still be eligible for funding?</w:t>
      </w:r>
      <w:r w:rsidRPr="001F5CEC" w:rsidR="00F209CE">
        <w:rPr>
          <w:rFonts w:eastAsia="Calibri"/>
          <w:i/>
          <w:iCs/>
          <w:color w:val="000000" w:themeColor="text1"/>
        </w:rPr>
        <w:t xml:space="preserve"> </w:t>
      </w:r>
      <w:r w:rsidRPr="001F5CEC">
        <w:rPr>
          <w:rFonts w:eastAsia="Calibri"/>
          <w:i/>
          <w:iCs/>
          <w:color w:val="000000" w:themeColor="text1"/>
        </w:rPr>
        <w:t>Do any other technical definitions or requirements (e.g., “minimum point of entry,” etc.) in the Public Housing Account guidelines require updating?</w:t>
      </w:r>
    </w:p>
    <w:p w:rsidRPr="006F7C82" w:rsidR="00D82FA1" w:rsidP="00D82FA1" w:rsidRDefault="000A56B1" w14:paraId="5B213025" w14:textId="50CAF258">
      <w:pPr>
        <w:pStyle w:val="Standard"/>
        <w:rPr>
          <w:rFonts w:eastAsia="Calibri"/>
          <w:color w:val="000000" w:themeColor="text1"/>
        </w:rPr>
      </w:pPr>
      <w:r w:rsidRPr="006F7C82">
        <w:rPr>
          <w:rFonts w:eastAsia="Calibri"/>
          <w:color w:val="000000" w:themeColor="text1"/>
        </w:rPr>
        <w:t xml:space="preserve">On the question of defining “inside wiring,” </w:t>
      </w:r>
      <w:r w:rsidRPr="006F7C82" w:rsidR="009B3863">
        <w:rPr>
          <w:rFonts w:eastAsia="Calibri"/>
          <w:color w:val="000000" w:themeColor="text1"/>
        </w:rPr>
        <w:t>CCF</w:t>
      </w:r>
      <w:r w:rsidRPr="006F7C82" w:rsidR="0045478D">
        <w:rPr>
          <w:rFonts w:eastAsia="Calibri"/>
          <w:color w:val="000000" w:themeColor="text1"/>
        </w:rPr>
        <w:t>, IERBC</w:t>
      </w:r>
      <w:r w:rsidRPr="006F7C82" w:rsidR="009B3863">
        <w:rPr>
          <w:rFonts w:eastAsia="Calibri"/>
          <w:color w:val="000000" w:themeColor="text1"/>
        </w:rPr>
        <w:t xml:space="preserve"> and </w:t>
      </w:r>
      <w:r w:rsidRPr="006F7C82" w:rsidR="00094D5A">
        <w:rPr>
          <w:rFonts w:eastAsia="Calibri"/>
          <w:color w:val="000000" w:themeColor="text1"/>
        </w:rPr>
        <w:t xml:space="preserve">NDC </w:t>
      </w:r>
      <w:r w:rsidRPr="006F7C82" w:rsidR="006B745E">
        <w:rPr>
          <w:rFonts w:eastAsia="Calibri"/>
          <w:color w:val="000000" w:themeColor="text1"/>
        </w:rPr>
        <w:t xml:space="preserve">recommend modifications to align </w:t>
      </w:r>
      <w:r w:rsidRPr="006F7C82" w:rsidR="004B1842">
        <w:rPr>
          <w:rFonts w:eastAsia="Calibri"/>
          <w:color w:val="000000" w:themeColor="text1"/>
        </w:rPr>
        <w:t>with the expansion of e</w:t>
      </w:r>
      <w:r w:rsidRPr="006F7C82" w:rsidR="00C9314D">
        <w:rPr>
          <w:rFonts w:eastAsia="Calibri"/>
          <w:color w:val="000000" w:themeColor="text1"/>
        </w:rPr>
        <w:t>ntities eligible to apply for Public Housing Account funding.</w:t>
      </w:r>
      <w:r w:rsidRPr="006F7C82" w:rsidR="00431C6D">
        <w:rPr>
          <w:rStyle w:val="FootnoteReference"/>
          <w:rFonts w:eastAsia="Calibri"/>
          <w:color w:val="000000" w:themeColor="text1"/>
          <w:szCs w:val="26"/>
        </w:rPr>
        <w:footnoteReference w:id="67"/>
      </w:r>
      <w:r w:rsidRPr="006F7C82" w:rsidR="00C9314D">
        <w:rPr>
          <w:rFonts w:eastAsia="Calibri"/>
          <w:color w:val="000000" w:themeColor="text1"/>
        </w:rPr>
        <w:t xml:space="preserve"> </w:t>
      </w:r>
      <w:r w:rsidRPr="006F7C82" w:rsidR="009B3863">
        <w:rPr>
          <w:rFonts w:eastAsia="Calibri"/>
          <w:color w:val="000000" w:themeColor="text1"/>
        </w:rPr>
        <w:t>CCF</w:t>
      </w:r>
      <w:r w:rsidRPr="006F7C82" w:rsidR="00C9314D">
        <w:rPr>
          <w:rFonts w:eastAsia="Calibri"/>
          <w:color w:val="000000" w:themeColor="text1"/>
        </w:rPr>
        <w:t xml:space="preserve"> also </w:t>
      </w:r>
      <w:r w:rsidRPr="006F7C82" w:rsidR="00D34B7D">
        <w:rPr>
          <w:rFonts w:eastAsia="Calibri"/>
          <w:color w:val="000000" w:themeColor="text1"/>
        </w:rPr>
        <w:t xml:space="preserve">seeks to encourage competition </w:t>
      </w:r>
      <w:r w:rsidRPr="006F7C82" w:rsidR="00971640">
        <w:rPr>
          <w:rFonts w:eastAsia="Calibri"/>
          <w:color w:val="000000" w:themeColor="text1"/>
        </w:rPr>
        <w:t xml:space="preserve">within MDU buildings, and to ensure no single service provider controls </w:t>
      </w:r>
      <w:r w:rsidRPr="006F7C82" w:rsidR="00206EFD">
        <w:rPr>
          <w:rFonts w:eastAsia="Calibri"/>
          <w:color w:val="000000" w:themeColor="text1"/>
        </w:rPr>
        <w:t>or can otherwise restrict access to the existing inside wiring.</w:t>
      </w:r>
      <w:r w:rsidRPr="006F7C82" w:rsidR="00431C6D">
        <w:rPr>
          <w:rStyle w:val="FootnoteReference"/>
          <w:rFonts w:eastAsia="Calibri"/>
          <w:color w:val="000000" w:themeColor="text1"/>
          <w:szCs w:val="26"/>
        </w:rPr>
        <w:footnoteReference w:id="68"/>
      </w:r>
      <w:r w:rsidRPr="006F7C82" w:rsidR="00206EFD">
        <w:rPr>
          <w:rFonts w:eastAsia="Calibri"/>
          <w:color w:val="000000" w:themeColor="text1"/>
        </w:rPr>
        <w:t xml:space="preserve"> </w:t>
      </w:r>
      <w:r w:rsidRPr="006F7C82" w:rsidR="00013518">
        <w:rPr>
          <w:rFonts w:eastAsia="Calibri"/>
          <w:color w:val="000000" w:themeColor="text1"/>
        </w:rPr>
        <w:t xml:space="preserve">NDC cites D.20-08-005 </w:t>
      </w:r>
      <w:r w:rsidRPr="006F7C82" w:rsidR="00111F76">
        <w:rPr>
          <w:rFonts w:eastAsia="Calibri"/>
          <w:color w:val="000000" w:themeColor="text1"/>
        </w:rPr>
        <w:t xml:space="preserve">to suggest the Commission intended Public Housing Account funds to cover the </w:t>
      </w:r>
      <w:r w:rsidRPr="006F7C82" w:rsidR="00111F76">
        <w:rPr>
          <w:rFonts w:eastAsia="Calibri"/>
          <w:color w:val="000000" w:themeColor="text1"/>
        </w:rPr>
        <w:lastRenderedPageBreak/>
        <w:t xml:space="preserve">costs </w:t>
      </w:r>
      <w:r w:rsidRPr="006F7C82" w:rsidR="00B4094E">
        <w:rPr>
          <w:rFonts w:eastAsia="Calibri"/>
          <w:color w:val="000000" w:themeColor="text1"/>
        </w:rPr>
        <w:t>of wiring and cabling to provide power and connectivity for broadband network equipment</w:t>
      </w:r>
      <w:r w:rsidRPr="006F7C82" w:rsidR="00B61CBD">
        <w:rPr>
          <w:rFonts w:eastAsia="Calibri"/>
          <w:color w:val="000000" w:themeColor="text1"/>
        </w:rPr>
        <w:t>.</w:t>
      </w:r>
      <w:r w:rsidRPr="006F7C82" w:rsidR="00C44240">
        <w:rPr>
          <w:rStyle w:val="FootnoteReference"/>
          <w:rFonts w:eastAsia="Calibri"/>
          <w:color w:val="000000" w:themeColor="text1"/>
          <w:szCs w:val="26"/>
        </w:rPr>
        <w:footnoteReference w:id="69"/>
      </w:r>
    </w:p>
    <w:p w:rsidRPr="006F7C82" w:rsidR="00B61CBD" w:rsidP="00D82FA1" w:rsidRDefault="00832214" w14:paraId="2ED45DD4" w14:textId="7A7729DF">
      <w:pPr>
        <w:pStyle w:val="Standard"/>
        <w:rPr>
          <w:rFonts w:eastAsia="Calibri"/>
          <w:color w:val="000000" w:themeColor="text1"/>
          <w:szCs w:val="26"/>
        </w:rPr>
      </w:pPr>
      <w:r w:rsidRPr="006F7C82">
        <w:rPr>
          <w:rFonts w:eastAsia="Calibri"/>
          <w:color w:val="000000" w:themeColor="text1"/>
          <w:szCs w:val="26"/>
        </w:rPr>
        <w:t xml:space="preserve">Parties’ comments regarding </w:t>
      </w:r>
      <w:r w:rsidRPr="006F7C82" w:rsidR="001A5896">
        <w:rPr>
          <w:rFonts w:eastAsia="Calibri"/>
          <w:color w:val="000000" w:themeColor="text1"/>
          <w:szCs w:val="26"/>
        </w:rPr>
        <w:t xml:space="preserve">Question 17 are generally consistent with their responses to Question </w:t>
      </w:r>
      <w:r w:rsidRPr="006F7C82" w:rsidR="000C38D5">
        <w:rPr>
          <w:rFonts w:eastAsia="Calibri"/>
          <w:color w:val="000000" w:themeColor="text1"/>
          <w:szCs w:val="26"/>
        </w:rPr>
        <w:t xml:space="preserve">8, regarding </w:t>
      </w:r>
      <w:r w:rsidRPr="006F7C82" w:rsidR="005F064C">
        <w:rPr>
          <w:rFonts w:eastAsia="Calibri"/>
          <w:color w:val="000000" w:themeColor="text1"/>
          <w:szCs w:val="26"/>
        </w:rPr>
        <w:t xml:space="preserve">projects using 802.11n as opposed to 802.11ax. </w:t>
      </w:r>
    </w:p>
    <w:p w:rsidRPr="006F7C82" w:rsidR="001133EC" w:rsidP="00D82FA1" w:rsidRDefault="00D32E54" w14:paraId="72B77474" w14:textId="12B6AF06">
      <w:pPr>
        <w:pStyle w:val="Standard"/>
        <w:rPr>
          <w:rFonts w:eastAsia="Calibri"/>
          <w:color w:val="000000" w:themeColor="text1"/>
        </w:rPr>
      </w:pPr>
      <w:r w:rsidRPr="006F7C82">
        <w:rPr>
          <w:rFonts w:eastAsia="Calibri"/>
          <w:color w:val="000000" w:themeColor="text1"/>
        </w:rPr>
        <w:t>Most parties agree that DSL service is obsolete</w:t>
      </w:r>
      <w:r w:rsidRPr="006F7C82" w:rsidR="00F97F71">
        <w:rPr>
          <w:rFonts w:eastAsia="Calibri"/>
          <w:color w:val="000000" w:themeColor="text1"/>
        </w:rPr>
        <w:t xml:space="preserve">, and </w:t>
      </w:r>
      <w:r w:rsidRPr="006F7C82" w:rsidR="007C1A9E">
        <w:rPr>
          <w:rFonts w:eastAsia="Calibri"/>
          <w:color w:val="000000" w:themeColor="text1"/>
        </w:rPr>
        <w:t>should no longer be eligible for funding.</w:t>
      </w:r>
      <w:r w:rsidRPr="006F7C82" w:rsidR="00B41754">
        <w:rPr>
          <w:rStyle w:val="FootnoteReference"/>
          <w:rFonts w:eastAsia="Calibri"/>
          <w:color w:val="000000" w:themeColor="text1"/>
          <w:szCs w:val="26"/>
        </w:rPr>
        <w:footnoteReference w:id="70"/>
      </w:r>
      <w:r w:rsidRPr="006F7C82" w:rsidR="007C1A9E">
        <w:rPr>
          <w:rFonts w:eastAsia="Calibri"/>
          <w:color w:val="000000" w:themeColor="text1"/>
        </w:rPr>
        <w:t xml:space="preserve"> </w:t>
      </w:r>
      <w:r w:rsidRPr="006F7C82" w:rsidR="007547F6">
        <w:rPr>
          <w:rFonts w:eastAsia="Calibri"/>
          <w:color w:val="000000" w:themeColor="text1"/>
        </w:rPr>
        <w:t>LAEDC recommends that DSL projects should not be given preference.</w:t>
      </w:r>
      <w:r w:rsidRPr="006F7C82" w:rsidR="007547F6">
        <w:rPr>
          <w:rStyle w:val="FootnoteReference"/>
          <w:rFonts w:eastAsia="Calibri"/>
          <w:color w:val="000000" w:themeColor="text1"/>
        </w:rPr>
        <w:footnoteReference w:id="71"/>
      </w:r>
      <w:r w:rsidRPr="006F7C82" w:rsidR="007547F6">
        <w:rPr>
          <w:rFonts w:eastAsia="Calibri"/>
          <w:color w:val="000000" w:themeColor="text1"/>
        </w:rPr>
        <w:t xml:space="preserve"> </w:t>
      </w:r>
      <w:r w:rsidRPr="006F7C82" w:rsidR="007C1A9E">
        <w:rPr>
          <w:rFonts w:eastAsia="Calibri"/>
          <w:color w:val="000000" w:themeColor="text1"/>
        </w:rPr>
        <w:t xml:space="preserve">CETF </w:t>
      </w:r>
      <w:r w:rsidRPr="006F7C82" w:rsidR="006A7723">
        <w:rPr>
          <w:rFonts w:eastAsia="Calibri"/>
          <w:color w:val="000000" w:themeColor="text1"/>
        </w:rPr>
        <w:t xml:space="preserve">does not recommend </w:t>
      </w:r>
      <w:r w:rsidRPr="006F7C82" w:rsidR="00C1126A">
        <w:rPr>
          <w:rFonts w:eastAsia="Calibri"/>
          <w:color w:val="000000" w:themeColor="text1"/>
        </w:rPr>
        <w:t xml:space="preserve">making DSL ineligible, as doing so </w:t>
      </w:r>
      <w:r w:rsidRPr="006F7C82" w:rsidR="00534547">
        <w:rPr>
          <w:rFonts w:eastAsia="Calibri"/>
          <w:color w:val="000000" w:themeColor="text1"/>
        </w:rPr>
        <w:t xml:space="preserve">would contravene a </w:t>
      </w:r>
      <w:r w:rsidRPr="006F7C82" w:rsidR="00AC71C6">
        <w:rPr>
          <w:rFonts w:eastAsia="Calibri"/>
          <w:color w:val="000000" w:themeColor="text1"/>
        </w:rPr>
        <w:t>technology-neutral approach.</w:t>
      </w:r>
      <w:r w:rsidRPr="006F7C82" w:rsidR="007547F6">
        <w:rPr>
          <w:rStyle w:val="FootnoteReference"/>
          <w:rFonts w:eastAsia="Calibri"/>
          <w:color w:val="000000" w:themeColor="text1"/>
          <w:szCs w:val="26"/>
        </w:rPr>
        <w:footnoteReference w:id="72"/>
      </w:r>
      <w:r w:rsidRPr="006F7C82" w:rsidR="00AC71C6">
        <w:rPr>
          <w:rFonts w:eastAsia="Calibri"/>
          <w:color w:val="000000" w:themeColor="text1"/>
        </w:rPr>
        <w:t xml:space="preserve"> </w:t>
      </w:r>
      <w:r w:rsidRPr="006F7C82" w:rsidR="00F51CB3">
        <w:rPr>
          <w:rFonts w:eastAsia="Calibri"/>
          <w:color w:val="000000" w:themeColor="text1"/>
        </w:rPr>
        <w:t xml:space="preserve">IERBC similarly recommends </w:t>
      </w:r>
      <w:r w:rsidRPr="006F7C82" w:rsidR="00DF24BB">
        <w:rPr>
          <w:rFonts w:eastAsia="Calibri"/>
          <w:color w:val="000000" w:themeColor="text1"/>
        </w:rPr>
        <w:t xml:space="preserve">establishing best practices instead of mandating </w:t>
      </w:r>
      <w:r w:rsidRPr="006F7C82" w:rsidR="00061760">
        <w:rPr>
          <w:rFonts w:eastAsia="Calibri"/>
          <w:color w:val="000000" w:themeColor="text1"/>
        </w:rPr>
        <w:t>specific kinds of equipment.</w:t>
      </w:r>
      <w:r w:rsidRPr="006F7C82" w:rsidR="008679C0">
        <w:rPr>
          <w:rStyle w:val="FootnoteReference"/>
          <w:rFonts w:eastAsia="Calibri"/>
          <w:color w:val="000000" w:themeColor="text1"/>
          <w:szCs w:val="26"/>
        </w:rPr>
        <w:footnoteReference w:id="73"/>
      </w:r>
      <w:r w:rsidRPr="006F7C82" w:rsidR="00061760">
        <w:rPr>
          <w:rFonts w:eastAsia="Calibri"/>
          <w:color w:val="000000" w:themeColor="text1"/>
        </w:rPr>
        <w:t xml:space="preserve"> </w:t>
      </w:r>
      <w:r w:rsidRPr="006F7C82" w:rsidR="007C1A9E">
        <w:rPr>
          <w:rFonts w:eastAsia="Calibri"/>
          <w:color w:val="000000" w:themeColor="text1"/>
        </w:rPr>
        <w:t>NDC point</w:t>
      </w:r>
      <w:r w:rsidRPr="006F7C82" w:rsidR="00AC71C6">
        <w:rPr>
          <w:rFonts w:eastAsia="Calibri"/>
          <w:color w:val="000000" w:themeColor="text1"/>
        </w:rPr>
        <w:t>s</w:t>
      </w:r>
      <w:r w:rsidRPr="006F7C82" w:rsidR="007C1A9E">
        <w:rPr>
          <w:rFonts w:eastAsia="Calibri"/>
          <w:color w:val="000000" w:themeColor="text1"/>
        </w:rPr>
        <w:t xml:space="preserve"> out that </w:t>
      </w:r>
      <w:r w:rsidRPr="006F7C82" w:rsidR="002E697F">
        <w:rPr>
          <w:rFonts w:eastAsia="Calibri"/>
          <w:color w:val="000000" w:themeColor="text1"/>
        </w:rPr>
        <w:t xml:space="preserve">some projects may seek to only deploy broadband networks that make existing DSL service more accessible in an area (such as providing free Wi-Fi), </w:t>
      </w:r>
      <w:r w:rsidRPr="006F7C82" w:rsidR="006A7723">
        <w:rPr>
          <w:rFonts w:eastAsia="Calibri"/>
          <w:color w:val="000000" w:themeColor="text1"/>
        </w:rPr>
        <w:t>which remain appropriate as long as they provide customers with appropriately fast service</w:t>
      </w:r>
      <w:r w:rsidRPr="006F7C82" w:rsidR="00936AC9">
        <w:rPr>
          <w:rFonts w:eastAsia="Calibri"/>
          <w:color w:val="000000" w:themeColor="text1"/>
        </w:rPr>
        <w:t xml:space="preserve"> that meets state standards.</w:t>
      </w:r>
      <w:r w:rsidRPr="006F7C82" w:rsidR="009D0197">
        <w:rPr>
          <w:rStyle w:val="FootnoteReference"/>
          <w:rFonts w:eastAsia="Calibri"/>
          <w:color w:val="000000" w:themeColor="text1"/>
          <w:szCs w:val="26"/>
        </w:rPr>
        <w:footnoteReference w:id="74"/>
      </w:r>
      <w:r w:rsidRPr="006F7C82" w:rsidR="001657C9">
        <w:rPr>
          <w:rFonts w:eastAsia="Calibri"/>
          <w:color w:val="000000" w:themeColor="text1"/>
        </w:rPr>
        <w:t xml:space="preserve"> </w:t>
      </w:r>
    </w:p>
    <w:p w:rsidRPr="006F7C82" w:rsidR="00505A9D" w:rsidP="00D82FA1" w:rsidRDefault="005E62E2" w14:paraId="75B24509" w14:textId="1FA14BD7">
      <w:pPr>
        <w:pStyle w:val="Standard"/>
        <w:rPr>
          <w:rFonts w:eastAsia="Calibri"/>
          <w:color w:val="000000" w:themeColor="text1"/>
        </w:rPr>
      </w:pPr>
      <w:r w:rsidRPr="1E36BC02">
        <w:rPr>
          <w:rFonts w:eastAsia="Calibri"/>
          <w:color w:val="000000" w:themeColor="text1"/>
        </w:rPr>
        <w:t xml:space="preserve">Regarding the definition of “inside wiring,” the Commission aims to </w:t>
      </w:r>
      <w:r w:rsidRPr="1E36BC02" w:rsidR="00884B86">
        <w:rPr>
          <w:rFonts w:eastAsia="Calibri"/>
          <w:color w:val="000000" w:themeColor="text1"/>
        </w:rPr>
        <w:t>leverage</w:t>
      </w:r>
      <w:r w:rsidRPr="1E36BC02" w:rsidR="007025C0">
        <w:rPr>
          <w:rFonts w:eastAsia="Calibri"/>
          <w:color w:val="000000" w:themeColor="text1"/>
        </w:rPr>
        <w:t xml:space="preserve"> the cost advantage</w:t>
      </w:r>
      <w:r w:rsidRPr="1E36BC02" w:rsidR="00415C06">
        <w:rPr>
          <w:rFonts w:eastAsia="Calibri"/>
          <w:color w:val="000000" w:themeColor="text1"/>
        </w:rPr>
        <w:t xml:space="preserve"> of </w:t>
      </w:r>
      <w:r w:rsidRPr="1E36BC02" w:rsidR="002A7637">
        <w:rPr>
          <w:rFonts w:eastAsia="Calibri"/>
          <w:color w:val="000000" w:themeColor="text1"/>
        </w:rPr>
        <w:t>utilizing existing copper</w:t>
      </w:r>
      <w:r w:rsidRPr="1E36BC02" w:rsidR="00062607">
        <w:rPr>
          <w:rFonts w:eastAsia="Calibri"/>
          <w:color w:val="000000" w:themeColor="text1"/>
        </w:rPr>
        <w:t xml:space="preserve"> while </w:t>
      </w:r>
      <w:r w:rsidRPr="1E36BC02" w:rsidR="004E4883">
        <w:rPr>
          <w:rFonts w:eastAsia="Calibri"/>
          <w:color w:val="000000" w:themeColor="text1"/>
        </w:rPr>
        <w:t xml:space="preserve">still enabling competition with respect to </w:t>
      </w:r>
      <w:r w:rsidRPr="1E36BC02" w:rsidR="00761C7C">
        <w:rPr>
          <w:rFonts w:eastAsia="Calibri"/>
          <w:color w:val="000000" w:themeColor="text1"/>
        </w:rPr>
        <w:t>outside wiring</w:t>
      </w:r>
      <w:r w:rsidRPr="1E36BC02" w:rsidR="00F352C2">
        <w:rPr>
          <w:rFonts w:eastAsia="Calibri"/>
          <w:color w:val="000000" w:themeColor="text1"/>
        </w:rPr>
        <w:t>.</w:t>
      </w:r>
      <w:r w:rsidRPr="1E36BC02" w:rsidR="00F94E3D">
        <w:rPr>
          <w:rFonts w:eastAsia="Calibri"/>
          <w:color w:val="000000" w:themeColor="text1"/>
        </w:rPr>
        <w:t xml:space="preserve"> </w:t>
      </w:r>
      <w:r w:rsidRPr="1E36BC02" w:rsidR="164971D2">
        <w:rPr>
          <w:rFonts w:eastAsia="Book Antiqua" w:cs="Book Antiqua"/>
          <w:color w:val="000000" w:themeColor="text1"/>
        </w:rPr>
        <w:t>The definition</w:t>
      </w:r>
      <w:r w:rsidRPr="1E36BC02" w:rsidR="415C1424">
        <w:rPr>
          <w:rFonts w:eastAsia="Book Antiqua" w:cs="Book Antiqua"/>
          <w:color w:val="000000" w:themeColor="text1"/>
        </w:rPr>
        <w:t xml:space="preserve"> further</w:t>
      </w:r>
      <w:r w:rsidRPr="1E36BC02" w:rsidR="164971D2">
        <w:rPr>
          <w:rFonts w:eastAsia="Book Antiqua" w:cs="Book Antiqua"/>
          <w:color w:val="000000" w:themeColor="text1"/>
        </w:rPr>
        <w:t xml:space="preserve"> clarifies that the costs of installing inside wiring </w:t>
      </w:r>
      <w:r w:rsidRPr="1E36BC02" w:rsidR="415C1424">
        <w:rPr>
          <w:rFonts w:eastAsia="Book Antiqua" w:cs="Book Antiqua"/>
          <w:color w:val="000000" w:themeColor="text1"/>
        </w:rPr>
        <w:t>are</w:t>
      </w:r>
      <w:r w:rsidRPr="1E36BC02" w:rsidR="164971D2">
        <w:rPr>
          <w:rFonts w:eastAsia="Book Antiqua" w:cs="Book Antiqua"/>
          <w:color w:val="000000" w:themeColor="text1"/>
        </w:rPr>
        <w:t xml:space="preserve"> reimbursable only to the extent that the </w:t>
      </w:r>
      <w:r w:rsidRPr="1E36BC02" w:rsidR="415C1424">
        <w:rPr>
          <w:rFonts w:eastAsia="Book Antiqua" w:cs="Book Antiqua"/>
          <w:color w:val="000000" w:themeColor="text1"/>
        </w:rPr>
        <w:t xml:space="preserve">building or </w:t>
      </w:r>
      <w:r w:rsidRPr="1E36BC02" w:rsidR="164971D2">
        <w:rPr>
          <w:rFonts w:eastAsia="Book Antiqua" w:cs="Book Antiqua"/>
          <w:color w:val="000000" w:themeColor="text1"/>
        </w:rPr>
        <w:t xml:space="preserve">units in which the wiring is installed are owned by the project </w:t>
      </w:r>
      <w:r w:rsidRPr="1E36BC02" w:rsidR="164971D2">
        <w:rPr>
          <w:rFonts w:eastAsia="Book Antiqua" w:cs="Book Antiqua"/>
          <w:color w:val="000000" w:themeColor="text1"/>
        </w:rPr>
        <w:lastRenderedPageBreak/>
        <w:t xml:space="preserve">applicant, rather than residents of the low-income community. </w:t>
      </w:r>
      <w:r w:rsidRPr="1E36BC02" w:rsidR="00F94E3D">
        <w:rPr>
          <w:rFonts w:eastAsia="Calibri"/>
          <w:color w:val="000000" w:themeColor="text1"/>
        </w:rPr>
        <w:t>The</w:t>
      </w:r>
      <w:r w:rsidRPr="1E36BC02" w:rsidR="00E00B83">
        <w:rPr>
          <w:rFonts w:eastAsia="Calibri"/>
          <w:color w:val="000000" w:themeColor="text1"/>
        </w:rPr>
        <w:t xml:space="preserve"> proposed definition is adopted as shown in Appendix 1.</w:t>
      </w:r>
    </w:p>
    <w:p w:rsidRPr="006F7C82" w:rsidR="00E132FC" w:rsidP="00D82FA1" w:rsidRDefault="00E132FC" w14:paraId="001956AC" w14:textId="67C35BDD">
      <w:pPr>
        <w:pStyle w:val="Standard"/>
        <w:rPr>
          <w:rFonts w:eastAsia="Calibri"/>
          <w:color w:val="000000" w:themeColor="text1"/>
        </w:rPr>
      </w:pPr>
      <w:r w:rsidRPr="006F7C82">
        <w:rPr>
          <w:rFonts w:eastAsia="Calibri"/>
          <w:color w:val="000000" w:themeColor="text1"/>
        </w:rPr>
        <w:t>As discussed in Section 3.2 of this decision, the Commission will require that only projects using 802.11AC wave2 or 802.11ax will be approved</w:t>
      </w:r>
      <w:r w:rsidRPr="006F7C82" w:rsidR="00D72BD3">
        <w:rPr>
          <w:rFonts w:eastAsia="Calibri"/>
          <w:color w:val="000000" w:themeColor="text1"/>
        </w:rPr>
        <w:t>, with the intent of supporting fast, reliable, and affordable service into the future to the greatest extent practicable.</w:t>
      </w:r>
    </w:p>
    <w:p w:rsidRPr="006F7C82" w:rsidR="7FDAA6EC" w:rsidP="001F5CEC" w:rsidRDefault="00502460" w14:paraId="236FB4C2" w14:textId="7363D22C">
      <w:pPr>
        <w:pStyle w:val="Standard"/>
        <w:rPr>
          <w:rFonts w:eastAsia="Calibri"/>
          <w:color w:val="000000" w:themeColor="text1"/>
          <w:szCs w:val="26"/>
        </w:rPr>
      </w:pPr>
      <w:r w:rsidRPr="006F7C82">
        <w:rPr>
          <w:rFonts w:eastAsia="Calibri"/>
          <w:color w:val="000000" w:themeColor="text1"/>
        </w:rPr>
        <w:t>The Commission will not make DSL service ineligible for funding</w:t>
      </w:r>
      <w:r w:rsidRPr="006F7C82" w:rsidR="00F01A13">
        <w:rPr>
          <w:rFonts w:eastAsia="Calibri"/>
          <w:color w:val="000000" w:themeColor="text1"/>
        </w:rPr>
        <w:t xml:space="preserve"> at this time</w:t>
      </w:r>
      <w:r w:rsidRPr="006F7C82">
        <w:rPr>
          <w:rFonts w:eastAsia="Calibri"/>
          <w:color w:val="000000" w:themeColor="text1"/>
        </w:rPr>
        <w:t>.</w:t>
      </w:r>
      <w:r w:rsidRPr="006F7C82" w:rsidR="002622E9">
        <w:rPr>
          <w:rFonts w:eastAsia="Calibri"/>
          <w:color w:val="000000" w:themeColor="text1"/>
        </w:rPr>
        <w:t xml:space="preserve"> </w:t>
      </w:r>
      <w:r w:rsidRPr="006F7C82" w:rsidR="00702A88">
        <w:rPr>
          <w:rFonts w:eastAsia="Calibri"/>
          <w:color w:val="000000" w:themeColor="text1"/>
        </w:rPr>
        <w:t>The technical requirements for very high-speed DSL (VDSL) will be maintained.</w:t>
      </w:r>
      <w:r w:rsidRPr="00CD505E" w:rsidR="3C65D110">
        <w:rPr>
          <w:rFonts w:eastAsia="Calibri"/>
          <w:color w:val="000000" w:themeColor="text1"/>
        </w:rPr>
        <w:t xml:space="preserve"> </w:t>
      </w:r>
      <w:proofErr w:type="gramStart"/>
      <w:r w:rsidRPr="00CD505E" w:rsidR="3C65D110">
        <w:rPr>
          <w:rFonts w:eastAsia="Calibri"/>
          <w:color w:val="000000" w:themeColor="text1"/>
        </w:rPr>
        <w:t>If and when</w:t>
      </w:r>
      <w:proofErr w:type="gramEnd"/>
      <w:r w:rsidRPr="00CD505E" w:rsidR="3C65D110">
        <w:rPr>
          <w:rFonts w:eastAsia="Calibri"/>
          <w:color w:val="000000" w:themeColor="text1"/>
        </w:rPr>
        <w:t xml:space="preserve"> the Federal Communications Commission's annual broadband deployment report</w:t>
      </w:r>
      <w:r w:rsidRPr="00EF787E">
        <w:rPr>
          <w:rFonts w:eastAsia="Calibri"/>
          <w:vertAlign w:val="superscript"/>
        </w:rPr>
        <w:footnoteReference w:id="75"/>
      </w:r>
      <w:r w:rsidRPr="00CD505E" w:rsidR="3C65D110">
        <w:rPr>
          <w:rFonts w:eastAsia="Calibri"/>
          <w:color w:val="000000" w:themeColor="text1"/>
        </w:rPr>
        <w:t xml:space="preserve"> specifies a higher than current 25 Mbps down and 3 Mbps up statutory definition of advanced telecommunications capability speed benchmark, applications using DSL technology submitted three months after the issue date of that report, and thereafter, will not be accepted.  </w:t>
      </w:r>
    </w:p>
    <w:p w:rsidRPr="006F7C82" w:rsidR="7FDAA6EC" w:rsidP="002A4088" w:rsidRDefault="7FDAA6EC" w14:paraId="640C0094" w14:textId="63867285">
      <w:pPr>
        <w:pStyle w:val="Heading2"/>
        <w:ind w:left="1080" w:hanging="720"/>
        <w:rPr>
          <w:color w:val="000000" w:themeColor="text1"/>
        </w:rPr>
      </w:pPr>
      <w:bookmarkStart w:name="_Toc100132360" w:id="16"/>
      <w:r w:rsidRPr="006F7C82">
        <w:rPr>
          <w:color w:val="000000" w:themeColor="text1"/>
        </w:rPr>
        <w:t>Any Other Recommended Changes to the Public Housing Account Guidelines?</w:t>
      </w:r>
      <w:bookmarkEnd w:id="16"/>
    </w:p>
    <w:p w:rsidRPr="006F7C82" w:rsidR="7FDAA6EC" w:rsidP="7FDAA6EC" w:rsidRDefault="7FDAA6EC" w14:paraId="1D688381" w14:textId="240D8A93">
      <w:pPr>
        <w:pStyle w:val="Standard"/>
        <w:rPr>
          <w:rFonts w:eastAsia="Calibri"/>
          <w:color w:val="000000" w:themeColor="text1"/>
          <w:szCs w:val="26"/>
        </w:rPr>
      </w:pPr>
      <w:r w:rsidRPr="006F7C82">
        <w:rPr>
          <w:rFonts w:eastAsia="Calibri"/>
          <w:color w:val="000000" w:themeColor="text1"/>
          <w:szCs w:val="26"/>
        </w:rPr>
        <w:t>The Second Amended Scoping Memo included a catch-all question, allowing parties the opportunity to recommend any other proposed changes to the Public Housing Account Guidelines:</w:t>
      </w:r>
    </w:p>
    <w:p w:rsidRPr="004C2B66" w:rsidR="55E90BF0" w:rsidP="0033369D" w:rsidRDefault="7FDAA6EC" w14:paraId="65A27E2D" w14:textId="7DABA47E">
      <w:pPr>
        <w:pStyle w:val="Standard"/>
        <w:numPr>
          <w:ilvl w:val="0"/>
          <w:numId w:val="5"/>
        </w:numPr>
        <w:spacing w:after="240" w:line="240" w:lineRule="auto"/>
        <w:ind w:right="1440"/>
        <w:rPr>
          <w:rFonts w:asciiTheme="minorHAnsi" w:hAnsiTheme="minorHAnsi" w:eastAsiaTheme="minorEastAsia"/>
          <w:i/>
          <w:iCs/>
          <w:color w:val="000000" w:themeColor="text1"/>
        </w:rPr>
      </w:pPr>
      <w:r w:rsidRPr="004C2B66">
        <w:rPr>
          <w:rFonts w:eastAsia="Calibri"/>
          <w:i/>
          <w:iCs/>
          <w:color w:val="000000" w:themeColor="text1"/>
        </w:rPr>
        <w:t>Are there any other Public Housing Account program modifications the Commission should consider at this time?</w:t>
      </w:r>
    </w:p>
    <w:p w:rsidRPr="006F7C82" w:rsidR="00527269" w:rsidP="5D28B777" w:rsidRDefault="00527269" w14:paraId="4DF3A95F" w14:textId="09E73EF7">
      <w:pPr>
        <w:pStyle w:val="Standard"/>
        <w:rPr>
          <w:rFonts w:eastAsia="Calibri"/>
          <w:color w:val="000000" w:themeColor="text1"/>
        </w:rPr>
      </w:pPr>
      <w:r w:rsidRPr="006F7C82">
        <w:rPr>
          <w:rFonts w:eastAsia="Calibri"/>
          <w:color w:val="000000" w:themeColor="text1"/>
        </w:rPr>
        <w:t xml:space="preserve">CETF repeats its overarching </w:t>
      </w:r>
      <w:r w:rsidRPr="006F7C82" w:rsidR="00727E72">
        <w:rPr>
          <w:rFonts w:eastAsia="Calibri"/>
          <w:color w:val="000000" w:themeColor="text1"/>
        </w:rPr>
        <w:t xml:space="preserve">recommendation that the Commission must prioritize grants to </w:t>
      </w:r>
      <w:proofErr w:type="gramStart"/>
      <w:r w:rsidRPr="006F7C82" w:rsidR="00727E72">
        <w:rPr>
          <w:rFonts w:eastAsia="Calibri"/>
          <w:color w:val="000000" w:themeColor="text1"/>
        </w:rPr>
        <w:t>publicly-subsidized</w:t>
      </w:r>
      <w:proofErr w:type="gramEnd"/>
      <w:r w:rsidRPr="006F7C82" w:rsidR="00727E72">
        <w:rPr>
          <w:rFonts w:eastAsia="Calibri"/>
          <w:color w:val="000000" w:themeColor="text1"/>
        </w:rPr>
        <w:t xml:space="preserve"> housing complexes until they all have </w:t>
      </w:r>
      <w:r w:rsidRPr="006F7C82" w:rsidR="00727E72">
        <w:rPr>
          <w:rFonts w:eastAsia="Calibri"/>
          <w:color w:val="000000" w:themeColor="text1"/>
        </w:rPr>
        <w:lastRenderedPageBreak/>
        <w:t>high-speed Internet connectivity.</w:t>
      </w:r>
      <w:r w:rsidRPr="006F7C82" w:rsidR="00DF4C5D">
        <w:rPr>
          <w:rStyle w:val="FootnoteReference"/>
          <w:rFonts w:eastAsia="Calibri"/>
          <w:color w:val="000000" w:themeColor="text1"/>
        </w:rPr>
        <w:footnoteReference w:id="76"/>
      </w:r>
      <w:r w:rsidRPr="006F7C82" w:rsidR="00F209CE">
        <w:rPr>
          <w:rFonts w:eastAsia="Calibri"/>
          <w:color w:val="000000" w:themeColor="text1"/>
        </w:rPr>
        <w:t xml:space="preserve"> </w:t>
      </w:r>
      <w:r w:rsidRPr="006F7C82" w:rsidR="417B38A6">
        <w:rPr>
          <w:rFonts w:eastAsia="Book Antiqua" w:cs="Book Antiqua"/>
          <w:color w:val="000000" w:themeColor="text1"/>
        </w:rPr>
        <w:t xml:space="preserve">However, we agree with other commenters, including </w:t>
      </w:r>
      <w:proofErr w:type="spellStart"/>
      <w:r w:rsidRPr="006F7C82" w:rsidR="417B38A6">
        <w:rPr>
          <w:rFonts w:eastAsia="Book Antiqua" w:cs="Book Antiqua"/>
          <w:color w:val="000000" w:themeColor="text1"/>
        </w:rPr>
        <w:t>CforAT</w:t>
      </w:r>
      <w:proofErr w:type="spellEnd"/>
      <w:r w:rsidRPr="006F7C82" w:rsidR="417B38A6">
        <w:rPr>
          <w:rFonts w:eastAsia="Book Antiqua" w:cs="Book Antiqua"/>
          <w:color w:val="000000" w:themeColor="text1"/>
        </w:rPr>
        <w:t xml:space="preserve"> who note that </w:t>
      </w:r>
      <w:r w:rsidRPr="006F7C82" w:rsidR="4B2240D9">
        <w:rPr>
          <w:rFonts w:eastAsia="Book Antiqua" w:cs="Book Antiqua"/>
          <w:color w:val="000000" w:themeColor="text1"/>
        </w:rPr>
        <w:t xml:space="preserve">SB 156 did not adopt a hierarchy of low-income communities and </w:t>
      </w:r>
      <w:r w:rsidRPr="006F7C82" w:rsidR="417B38A6">
        <w:rPr>
          <w:rFonts w:eastAsia="Book Antiqua" w:cs="Book Antiqua"/>
          <w:color w:val="000000" w:themeColor="text1"/>
        </w:rPr>
        <w:t>we</w:t>
      </w:r>
      <w:r w:rsidRPr="006F7C82" w:rsidR="4B2240D9">
        <w:rPr>
          <w:rFonts w:eastAsia="Book Antiqua" w:cs="Book Antiqua"/>
          <w:color w:val="000000" w:themeColor="text1"/>
        </w:rPr>
        <w:t xml:space="preserve"> </w:t>
      </w:r>
      <w:r w:rsidRPr="006F7C82" w:rsidR="3086EE15">
        <w:rPr>
          <w:rFonts w:eastAsia="Book Antiqua" w:cs="Book Antiqua"/>
          <w:color w:val="000000" w:themeColor="text1"/>
        </w:rPr>
        <w:t>decline</w:t>
      </w:r>
      <w:r w:rsidRPr="006F7C82" w:rsidR="4B2240D9">
        <w:rPr>
          <w:rFonts w:eastAsia="Book Antiqua" w:cs="Book Antiqua"/>
          <w:color w:val="000000" w:themeColor="text1"/>
        </w:rPr>
        <w:t xml:space="preserve"> to adopt such a hierarchy here.</w:t>
      </w:r>
      <w:r w:rsidRPr="006F7C82" w:rsidR="00DF4C5D">
        <w:rPr>
          <w:rStyle w:val="FootnoteReference"/>
          <w:rFonts w:eastAsia="Book Antiqua" w:cs="Book Antiqua"/>
          <w:color w:val="000000" w:themeColor="text1"/>
        </w:rPr>
        <w:footnoteReference w:id="77"/>
      </w:r>
      <w:r w:rsidRPr="006F7C82" w:rsidR="00F209CE">
        <w:rPr>
          <w:rFonts w:eastAsia="Book Antiqua" w:cs="Book Antiqua"/>
          <w:color w:val="000000" w:themeColor="text1"/>
        </w:rPr>
        <w:t xml:space="preserve"> </w:t>
      </w:r>
    </w:p>
    <w:p w:rsidRPr="006F7C82" w:rsidR="00466C52" w:rsidP="1C83D0BA" w:rsidRDefault="3C4C96E0" w14:paraId="219B8A1C" w14:textId="5F56EAB1">
      <w:pPr>
        <w:pStyle w:val="Standard"/>
        <w:rPr>
          <w:rFonts w:eastAsia="Calibri"/>
          <w:color w:val="000000" w:themeColor="text1"/>
        </w:rPr>
      </w:pPr>
      <w:r w:rsidRPr="006F7C82">
        <w:rPr>
          <w:rFonts w:eastAsia="Calibri"/>
          <w:color w:val="000000" w:themeColor="text1"/>
        </w:rPr>
        <w:t xml:space="preserve">CETF further notes the necessity </w:t>
      </w:r>
      <w:r w:rsidRPr="006F7C82" w:rsidR="0A5F266C">
        <w:rPr>
          <w:rFonts w:eastAsia="Calibri"/>
          <w:color w:val="000000" w:themeColor="text1"/>
        </w:rPr>
        <w:t xml:space="preserve">for public housing residents to have a computing device and digital literacy skills to take full advantage of </w:t>
      </w:r>
      <w:r w:rsidRPr="006F7C82" w:rsidR="204D14AF">
        <w:rPr>
          <w:rFonts w:eastAsia="Calibri"/>
          <w:color w:val="000000" w:themeColor="text1"/>
        </w:rPr>
        <w:t xml:space="preserve">an available broadband network, and therefore recommends the Commission consider developing a joint application </w:t>
      </w:r>
      <w:r w:rsidRPr="006F7C82" w:rsidR="0D433C86">
        <w:rPr>
          <w:rFonts w:eastAsia="Calibri"/>
          <w:color w:val="000000" w:themeColor="text1"/>
        </w:rPr>
        <w:t>for funding from both the Public Housing Account and the Adoptions Account for publicly-subsidized housing complex applicants</w:t>
      </w:r>
      <w:r w:rsidRPr="006F7C82" w:rsidR="70DBE1B3">
        <w:rPr>
          <w:rFonts w:eastAsia="Calibri"/>
          <w:color w:val="000000" w:themeColor="text1"/>
        </w:rPr>
        <w:t xml:space="preserve">, and/or otherwise maximize the ease for </w:t>
      </w:r>
      <w:r w:rsidRPr="006F7C82" w:rsidR="6AFE6712">
        <w:rPr>
          <w:rFonts w:eastAsia="Calibri"/>
          <w:color w:val="000000" w:themeColor="text1"/>
        </w:rPr>
        <w:t>publicly-subsidized housing complex owners to get all their residents connected to the Internet and digitally proficient.</w:t>
      </w:r>
      <w:r w:rsidRPr="006F7C82" w:rsidR="00DC68BA">
        <w:rPr>
          <w:rStyle w:val="FootnoteReference"/>
          <w:rFonts w:eastAsia="Calibri"/>
          <w:color w:val="000000" w:themeColor="text1"/>
        </w:rPr>
        <w:footnoteReference w:id="78"/>
      </w:r>
      <w:r w:rsidRPr="006F7C82" w:rsidR="0B6FD263">
        <w:rPr>
          <w:rFonts w:eastAsia="Book Antiqua" w:cs="Book Antiqua"/>
          <w:color w:val="000000" w:themeColor="text1"/>
        </w:rPr>
        <w:t xml:space="preserve"> </w:t>
      </w:r>
      <w:r w:rsidRPr="006F7C82" w:rsidR="007A11EF">
        <w:rPr>
          <w:rFonts w:eastAsia="Calibri"/>
          <w:color w:val="000000" w:themeColor="text1"/>
        </w:rPr>
        <w:t xml:space="preserve">IERBC </w:t>
      </w:r>
      <w:r w:rsidRPr="006F7C82" w:rsidR="00821F56">
        <w:rPr>
          <w:rFonts w:eastAsia="Calibri"/>
          <w:color w:val="000000" w:themeColor="text1"/>
        </w:rPr>
        <w:t>recommends allowing applicants to submit several locations</w:t>
      </w:r>
      <w:r w:rsidRPr="006F7C82" w:rsidR="00B433AD">
        <w:rPr>
          <w:rFonts w:eastAsia="Calibri"/>
          <w:color w:val="000000" w:themeColor="text1"/>
        </w:rPr>
        <w:t xml:space="preserve"> under its ownership in one application, instead of having to submit a separate application for </w:t>
      </w:r>
      <w:r w:rsidRPr="006F7C82" w:rsidR="002929CE">
        <w:rPr>
          <w:rFonts w:eastAsia="Calibri"/>
          <w:color w:val="000000" w:themeColor="text1"/>
        </w:rPr>
        <w:t>each location.</w:t>
      </w:r>
      <w:r w:rsidRPr="006F7C82" w:rsidR="00DC68BA">
        <w:rPr>
          <w:rStyle w:val="FootnoteReference"/>
          <w:rFonts w:eastAsia="Calibri"/>
          <w:color w:val="000000" w:themeColor="text1"/>
        </w:rPr>
        <w:footnoteReference w:id="79"/>
      </w:r>
      <w:r w:rsidRPr="006F7C82" w:rsidR="20517AC5">
        <w:rPr>
          <w:rFonts w:eastAsia="Book Antiqua" w:cs="Book Antiqua"/>
          <w:color w:val="000000" w:themeColor="text1"/>
        </w:rPr>
        <w:t xml:space="preserve"> </w:t>
      </w:r>
      <w:r w:rsidRPr="006F7C82" w:rsidR="417B38A6">
        <w:rPr>
          <w:rFonts w:eastAsia="Book Antiqua" w:cs="Book Antiqua"/>
          <w:color w:val="000000" w:themeColor="text1"/>
        </w:rPr>
        <w:t xml:space="preserve">The Commission may consider combined and/or expanded application scenarios in the future but declines to adopt such changes at this time due to a lack of sufficient record on the potential efficiencies or inefficiencies of such </w:t>
      </w:r>
      <w:r w:rsidRPr="006F7C82" w:rsidR="47949B93">
        <w:rPr>
          <w:rFonts w:eastAsia="Book Antiqua" w:cs="Book Antiqua"/>
          <w:color w:val="000000" w:themeColor="text1"/>
        </w:rPr>
        <w:t>proposals with regards to staff processing</w:t>
      </w:r>
      <w:r w:rsidRPr="006F7C82" w:rsidR="1ECC2A08">
        <w:rPr>
          <w:rFonts w:eastAsia="Book Antiqua" w:cs="Book Antiqua"/>
          <w:color w:val="000000" w:themeColor="text1"/>
        </w:rPr>
        <w:t xml:space="preserve"> of these applications.</w:t>
      </w:r>
    </w:p>
    <w:p w:rsidRPr="006F7C82" w:rsidR="007A11EF" w:rsidP="00727E72" w:rsidRDefault="00CF2C74" w14:paraId="48C25015" w14:textId="579EE60D">
      <w:pPr>
        <w:pStyle w:val="Standard"/>
        <w:rPr>
          <w:rFonts w:eastAsia="Calibri"/>
          <w:color w:val="000000" w:themeColor="text1"/>
        </w:rPr>
      </w:pPr>
      <w:r w:rsidRPr="006F7C82">
        <w:rPr>
          <w:rFonts w:eastAsia="Calibri"/>
          <w:color w:val="000000" w:themeColor="text1"/>
        </w:rPr>
        <w:t xml:space="preserve">IERBC also advocates for allowing </w:t>
      </w:r>
      <w:r w:rsidRPr="006F7C82" w:rsidR="009D6368">
        <w:rPr>
          <w:rFonts w:eastAsia="Calibri"/>
          <w:color w:val="000000" w:themeColor="text1"/>
        </w:rPr>
        <w:t>public housing authorities to apply for a grant through Ministerial Review based on rough conceptual designs and estimates</w:t>
      </w:r>
      <w:r w:rsidRPr="006F7C82" w:rsidR="00BB583C">
        <w:rPr>
          <w:rFonts w:eastAsia="Calibri"/>
          <w:color w:val="000000" w:themeColor="text1"/>
        </w:rPr>
        <w:t xml:space="preserve">, and then </w:t>
      </w:r>
      <w:r w:rsidRPr="006F7C82" w:rsidR="00722E91">
        <w:rPr>
          <w:rFonts w:eastAsia="Calibri"/>
          <w:color w:val="000000" w:themeColor="text1"/>
        </w:rPr>
        <w:t xml:space="preserve">(assuming their application is granted) </w:t>
      </w:r>
      <w:r w:rsidRPr="006F7C82" w:rsidR="00132F52">
        <w:rPr>
          <w:rFonts w:eastAsia="Calibri"/>
          <w:color w:val="000000" w:themeColor="text1"/>
        </w:rPr>
        <w:t>allow these agencies enough time to go through legally required procurement processes</w:t>
      </w:r>
      <w:r w:rsidRPr="006F7C82" w:rsidR="001326E1">
        <w:rPr>
          <w:rFonts w:eastAsia="Calibri"/>
          <w:color w:val="000000" w:themeColor="text1"/>
        </w:rPr>
        <w:t xml:space="preserve"> before </w:t>
      </w:r>
      <w:r w:rsidRPr="006F7C82" w:rsidR="001326E1">
        <w:rPr>
          <w:rFonts w:eastAsia="Calibri"/>
          <w:color w:val="000000" w:themeColor="text1"/>
        </w:rPr>
        <w:lastRenderedPageBreak/>
        <w:t>considering the project to have commenced.</w:t>
      </w:r>
      <w:r w:rsidRPr="006F7C82" w:rsidR="00274190">
        <w:rPr>
          <w:rStyle w:val="FootnoteReference"/>
          <w:rFonts w:eastAsia="Calibri"/>
          <w:color w:val="000000" w:themeColor="text1"/>
        </w:rPr>
        <w:footnoteReference w:id="80"/>
      </w:r>
      <w:r w:rsidRPr="006F7C82" w:rsidR="0CD02347">
        <w:rPr>
          <w:rFonts w:eastAsia="Calibri"/>
          <w:color w:val="000000" w:themeColor="text1"/>
        </w:rPr>
        <w:t xml:space="preserve"> </w:t>
      </w:r>
      <w:r w:rsidRPr="006F7C82" w:rsidR="005A4376">
        <w:rPr>
          <w:rFonts w:eastAsia="Calibri"/>
          <w:color w:val="000000" w:themeColor="text1"/>
          <w:lang w:val="en"/>
        </w:rPr>
        <w:t xml:space="preserve">Not having sufficient design information during application review affects both the proper vetting of the proposed architecture and the ability to form a basis for a grant award. This inefficient process could result in approving projects that were not viable </w:t>
      </w:r>
      <w:r w:rsidR="00D01464">
        <w:rPr>
          <w:rFonts w:eastAsia="Calibri"/>
          <w:color w:val="000000" w:themeColor="text1"/>
          <w:lang w:val="en"/>
        </w:rPr>
        <w:t>or</w:t>
      </w:r>
      <w:r w:rsidRPr="006F7C82" w:rsidR="00D01464">
        <w:rPr>
          <w:rFonts w:eastAsia="Calibri"/>
          <w:color w:val="000000" w:themeColor="text1"/>
          <w:lang w:val="en"/>
        </w:rPr>
        <w:t xml:space="preserve"> </w:t>
      </w:r>
      <w:r w:rsidRPr="006F7C82" w:rsidR="005A4376">
        <w:rPr>
          <w:rFonts w:eastAsia="Calibri"/>
          <w:color w:val="000000" w:themeColor="text1"/>
          <w:lang w:val="en"/>
        </w:rPr>
        <w:t>changes to cost</w:t>
      </w:r>
      <w:r w:rsidR="00D01464">
        <w:rPr>
          <w:rFonts w:eastAsia="Calibri"/>
          <w:color w:val="000000" w:themeColor="text1"/>
          <w:lang w:val="en"/>
        </w:rPr>
        <w:t>s</w:t>
      </w:r>
      <w:r w:rsidRPr="006F7C82" w:rsidR="005A4376">
        <w:rPr>
          <w:rFonts w:eastAsia="Calibri"/>
          <w:color w:val="000000" w:themeColor="text1"/>
          <w:lang w:val="en"/>
        </w:rPr>
        <w:t xml:space="preserve"> that can increase </w:t>
      </w:r>
      <w:r w:rsidR="00D01464">
        <w:rPr>
          <w:rFonts w:eastAsia="Calibri"/>
          <w:color w:val="000000" w:themeColor="text1"/>
          <w:lang w:val="en"/>
        </w:rPr>
        <w:t>total project budgets</w:t>
      </w:r>
      <w:r w:rsidRPr="006F7C82" w:rsidR="005A4376">
        <w:rPr>
          <w:rFonts w:eastAsia="Calibri"/>
          <w:color w:val="000000" w:themeColor="text1"/>
          <w:lang w:val="en"/>
        </w:rPr>
        <w:t xml:space="preserve"> over the approved grant funding. We reject </w:t>
      </w:r>
      <w:r w:rsidR="00474537">
        <w:rPr>
          <w:rFonts w:eastAsia="Calibri"/>
          <w:color w:val="000000" w:themeColor="text1"/>
          <w:lang w:val="en"/>
        </w:rPr>
        <w:t>IERBC</w:t>
      </w:r>
      <w:r w:rsidRPr="006F7C82" w:rsidR="005A4376">
        <w:rPr>
          <w:rFonts w:eastAsia="Calibri"/>
          <w:color w:val="000000" w:themeColor="text1"/>
          <w:lang w:val="en"/>
        </w:rPr>
        <w:t xml:space="preserve">’s recommendation to allow applications to be submitted with rough design and estimates. </w:t>
      </w:r>
    </w:p>
    <w:p w:rsidRPr="006F7C82" w:rsidR="001C60A5" w:rsidP="00727E72" w:rsidRDefault="001C60A5" w14:paraId="37C5DD58" w14:textId="636E9CA9">
      <w:pPr>
        <w:pStyle w:val="Standard"/>
        <w:rPr>
          <w:rFonts w:eastAsia="Calibri"/>
          <w:color w:val="000000" w:themeColor="text1"/>
        </w:rPr>
      </w:pPr>
      <w:r w:rsidRPr="006F7C82">
        <w:rPr>
          <w:rFonts w:eastAsia="Calibri"/>
          <w:color w:val="000000" w:themeColor="text1"/>
        </w:rPr>
        <w:t xml:space="preserve">IERBC further notes </w:t>
      </w:r>
      <w:r w:rsidRPr="006F7C82" w:rsidR="003A1FFB">
        <w:rPr>
          <w:rFonts w:eastAsia="Calibri"/>
          <w:color w:val="000000" w:themeColor="text1"/>
        </w:rPr>
        <w:t xml:space="preserve">that current guidelines do not provide information on the review process or timeline </w:t>
      </w:r>
      <w:r w:rsidRPr="006F7C82" w:rsidR="003F2BCB">
        <w:rPr>
          <w:rFonts w:eastAsia="Calibri"/>
          <w:color w:val="000000" w:themeColor="text1"/>
        </w:rPr>
        <w:t>in cases where applicants must submit an Environmental Assessment</w:t>
      </w:r>
      <w:r w:rsidRPr="006F7C82" w:rsidR="00B11E5C">
        <w:rPr>
          <w:rFonts w:eastAsia="Calibri"/>
          <w:color w:val="000000" w:themeColor="text1"/>
        </w:rPr>
        <w:t xml:space="preserve">, pursuant to California Environmental Quality Act (CEQA) requirements. IERBC </w:t>
      </w:r>
      <w:r w:rsidRPr="006F7C82" w:rsidR="00E04740">
        <w:rPr>
          <w:rFonts w:eastAsia="Calibri"/>
          <w:color w:val="000000" w:themeColor="text1"/>
        </w:rPr>
        <w:t xml:space="preserve">suggests that the Commission clarify a project is not considered to </w:t>
      </w:r>
      <w:r w:rsidRPr="006F7C82" w:rsidR="00005E11">
        <w:rPr>
          <w:rFonts w:eastAsia="Calibri"/>
          <w:color w:val="000000" w:themeColor="text1"/>
        </w:rPr>
        <w:t>have commenced until after CEQA clearance is completed.</w:t>
      </w:r>
      <w:r w:rsidRPr="006F7C82" w:rsidR="00AA27C8">
        <w:rPr>
          <w:rStyle w:val="FootnoteReference"/>
          <w:rFonts w:eastAsia="Calibri"/>
          <w:color w:val="000000" w:themeColor="text1"/>
        </w:rPr>
        <w:footnoteReference w:id="81"/>
      </w:r>
      <w:r w:rsidRPr="006F7C82" w:rsidR="00F209CE">
        <w:rPr>
          <w:rFonts w:eastAsia="Calibri"/>
          <w:color w:val="000000" w:themeColor="text1"/>
        </w:rPr>
        <w:t xml:space="preserve"> </w:t>
      </w:r>
      <w:r w:rsidRPr="006F7C82" w:rsidR="00005E11">
        <w:rPr>
          <w:rFonts w:eastAsia="Calibri"/>
          <w:color w:val="000000" w:themeColor="text1"/>
        </w:rPr>
        <w:t xml:space="preserve">The Commission and the public have an interest in seeing projects proceed in a timely manner, including the permitting phase of project development; adopted timelines by which project milestones need to be completed, including permitting milestones, are necessary for </w:t>
      </w:r>
      <w:r w:rsidRPr="006F7C82" w:rsidR="00B65D51">
        <w:rPr>
          <w:rFonts w:eastAsia="Calibri"/>
          <w:color w:val="000000" w:themeColor="text1"/>
        </w:rPr>
        <w:t xml:space="preserve">the </w:t>
      </w:r>
      <w:r w:rsidRPr="006F7C82" w:rsidR="00005E11">
        <w:rPr>
          <w:rFonts w:eastAsia="Calibri"/>
          <w:color w:val="000000" w:themeColor="text1"/>
        </w:rPr>
        <w:t>Commission to ensure funds dedicated to project</w:t>
      </w:r>
      <w:r w:rsidRPr="006F7C82" w:rsidR="0083461C">
        <w:rPr>
          <w:rFonts w:eastAsia="Calibri"/>
          <w:color w:val="000000" w:themeColor="text1"/>
        </w:rPr>
        <w:t>s</w:t>
      </w:r>
      <w:r w:rsidRPr="006F7C82" w:rsidR="00005E11">
        <w:rPr>
          <w:rFonts w:eastAsia="Calibri"/>
          <w:color w:val="000000" w:themeColor="text1"/>
        </w:rPr>
        <w:t xml:space="preserve"> are quickly used to deploy broadband access.</w:t>
      </w:r>
      <w:r w:rsidRPr="006F7C82" w:rsidR="00F209CE">
        <w:rPr>
          <w:rFonts w:eastAsia="Calibri"/>
          <w:color w:val="000000" w:themeColor="text1"/>
        </w:rPr>
        <w:t xml:space="preserve"> </w:t>
      </w:r>
      <w:r w:rsidRPr="006F7C82" w:rsidR="00005E11">
        <w:rPr>
          <w:rFonts w:eastAsia="Calibri"/>
          <w:color w:val="000000" w:themeColor="text1"/>
        </w:rPr>
        <w:t>We therefor</w:t>
      </w:r>
      <w:r w:rsidRPr="006F7C82" w:rsidR="0083461C">
        <w:rPr>
          <w:rFonts w:eastAsia="Calibri"/>
          <w:color w:val="000000" w:themeColor="text1"/>
        </w:rPr>
        <w:t>e</w:t>
      </w:r>
      <w:r w:rsidRPr="006F7C82" w:rsidR="00005E11">
        <w:rPr>
          <w:rFonts w:eastAsia="Calibri"/>
          <w:color w:val="000000" w:themeColor="text1"/>
        </w:rPr>
        <w:t xml:space="preserve"> reject this request.</w:t>
      </w:r>
    </w:p>
    <w:p w:rsidRPr="006F7C82" w:rsidR="009074E7" w:rsidP="51C774C3" w:rsidRDefault="009074E7" w14:paraId="459DF3B2" w14:textId="5887F96B">
      <w:pPr>
        <w:pStyle w:val="Standard"/>
        <w:rPr>
          <w:rFonts w:eastAsia="Book Antiqua" w:cs="Book Antiqua"/>
          <w:color w:val="000000" w:themeColor="text1"/>
          <w:u w:val="single"/>
        </w:rPr>
      </w:pPr>
      <w:r w:rsidRPr="006F7C82">
        <w:rPr>
          <w:rFonts w:eastAsia="Calibri"/>
          <w:color w:val="000000" w:themeColor="text1"/>
        </w:rPr>
        <w:t xml:space="preserve">IERBC further recommends eliminating the requirement </w:t>
      </w:r>
      <w:r w:rsidRPr="006F7C82" w:rsidR="00133E5B">
        <w:rPr>
          <w:rFonts w:eastAsia="Calibri"/>
          <w:color w:val="000000" w:themeColor="text1"/>
        </w:rPr>
        <w:t xml:space="preserve">for HUD documentation for public housing authorities, noting </w:t>
      </w:r>
      <w:r w:rsidRPr="006F7C82" w:rsidR="00534E13">
        <w:rPr>
          <w:rFonts w:eastAsia="Calibri"/>
          <w:color w:val="000000" w:themeColor="text1"/>
        </w:rPr>
        <w:t xml:space="preserve">that </w:t>
      </w:r>
      <w:r w:rsidRPr="006F7C82" w:rsidR="009667C6">
        <w:rPr>
          <w:rFonts w:eastAsia="Calibri"/>
          <w:color w:val="000000" w:themeColor="text1"/>
        </w:rPr>
        <w:t>not all public housing authorities have HUD authorization (as noted previously) and</w:t>
      </w:r>
      <w:r w:rsidRPr="006F7C82" w:rsidR="00655D1D">
        <w:rPr>
          <w:rFonts w:eastAsia="Calibri"/>
          <w:color w:val="000000" w:themeColor="text1"/>
        </w:rPr>
        <w:t>, even with HUD authorization,</w:t>
      </w:r>
      <w:r w:rsidRPr="006F7C82" w:rsidR="009667C6">
        <w:rPr>
          <w:rFonts w:eastAsia="Calibri"/>
          <w:color w:val="000000" w:themeColor="text1"/>
        </w:rPr>
        <w:t xml:space="preserve"> </w:t>
      </w:r>
      <w:r w:rsidRPr="006F7C82" w:rsidR="00534E13">
        <w:rPr>
          <w:rFonts w:eastAsia="Calibri"/>
          <w:color w:val="000000" w:themeColor="text1"/>
        </w:rPr>
        <w:t xml:space="preserve">not all public housing authorities </w:t>
      </w:r>
      <w:r w:rsidRPr="006F7C82" w:rsidR="00C95597">
        <w:rPr>
          <w:rFonts w:eastAsia="Calibri"/>
          <w:color w:val="000000" w:themeColor="text1"/>
        </w:rPr>
        <w:t>have Public Housing Assessment System (PHAS) scor</w:t>
      </w:r>
      <w:r w:rsidRPr="006F7C82" w:rsidR="00C95597">
        <w:rPr>
          <w:rFonts w:eastAsia="Book Antiqua" w:cs="Book Antiqua"/>
          <w:color w:val="000000" w:themeColor="text1"/>
        </w:rPr>
        <w:t>es</w:t>
      </w:r>
      <w:r w:rsidRPr="006F7C82" w:rsidR="00F06ACC">
        <w:rPr>
          <w:rFonts w:eastAsia="Book Antiqua" w:cs="Book Antiqua"/>
          <w:color w:val="000000" w:themeColor="text1"/>
        </w:rPr>
        <w:t>.</w:t>
      </w:r>
      <w:r w:rsidRPr="006F7C82" w:rsidR="009B025C">
        <w:rPr>
          <w:rStyle w:val="FootnoteReference"/>
          <w:rFonts w:eastAsia="Calibri"/>
          <w:color w:val="000000" w:themeColor="text1"/>
        </w:rPr>
        <w:footnoteReference w:id="82"/>
      </w:r>
      <w:r w:rsidRPr="006F7C82" w:rsidR="00F209CE">
        <w:rPr>
          <w:rFonts w:eastAsia="Book Antiqua" w:cs="Book Antiqua"/>
          <w:color w:val="000000" w:themeColor="text1"/>
        </w:rPr>
        <w:t xml:space="preserve"> This recommendation is reasonable, and </w:t>
      </w:r>
      <w:r w:rsidRPr="006F7C82" w:rsidR="00F209CE">
        <w:rPr>
          <w:rFonts w:eastAsia="Book Antiqua" w:cs="Book Antiqua"/>
          <w:color w:val="000000" w:themeColor="text1"/>
        </w:rPr>
        <w:lastRenderedPageBreak/>
        <w:t>program rules are amended</w:t>
      </w:r>
      <w:r w:rsidRPr="006F7C82" w:rsidR="00F06ACC">
        <w:rPr>
          <w:rFonts w:eastAsia="Book Antiqua" w:cs="Book Antiqua"/>
          <w:color w:val="000000" w:themeColor="text1"/>
        </w:rPr>
        <w:t xml:space="preserve"> to </w:t>
      </w:r>
      <w:r w:rsidRPr="006F7C82" w:rsidR="00F209CE">
        <w:rPr>
          <w:rFonts w:eastAsia="Book Antiqua" w:cs="Book Antiqua"/>
          <w:color w:val="000000" w:themeColor="text1"/>
        </w:rPr>
        <w:t>require a</w:t>
      </w:r>
      <w:r w:rsidRPr="006F7C82" w:rsidR="5A57E20B">
        <w:rPr>
          <w:rFonts w:eastAsia="Book Antiqua" w:cs="Book Antiqua"/>
          <w:color w:val="000000" w:themeColor="text1"/>
          <w:szCs w:val="26"/>
        </w:rPr>
        <w:t xml:space="preserve"> publicly supported housing development that is not in contract with HUD must include in its submission the program details of the publicly supported housing development program, including any applicable income eligibility requirements for the program residents, and the housing development contact or relevant agreement from the source of the public subsidy supporting the development, as shown in Appendix</w:t>
      </w:r>
      <w:r w:rsidR="00B36E67">
        <w:rPr>
          <w:rFonts w:eastAsia="Book Antiqua" w:cs="Book Antiqua"/>
          <w:color w:val="000000" w:themeColor="text1"/>
          <w:szCs w:val="26"/>
        </w:rPr>
        <w:t> </w:t>
      </w:r>
      <w:r w:rsidRPr="006F7C82" w:rsidR="5A57E20B">
        <w:rPr>
          <w:rFonts w:eastAsia="Book Antiqua" w:cs="Book Antiqua"/>
          <w:color w:val="000000" w:themeColor="text1"/>
          <w:szCs w:val="26"/>
        </w:rPr>
        <w:t>1.</w:t>
      </w:r>
    </w:p>
    <w:p w:rsidRPr="006F7C82" w:rsidR="7FDAA6EC" w:rsidP="00B36E67" w:rsidRDefault="00392E15" w14:paraId="3075286B" w14:textId="73785FBA">
      <w:pPr>
        <w:pStyle w:val="Standard"/>
        <w:rPr>
          <w:rFonts w:eastAsia="Calibri"/>
          <w:color w:val="000000" w:themeColor="text1"/>
          <w:szCs w:val="26"/>
        </w:rPr>
      </w:pPr>
      <w:r w:rsidRPr="006F7C82">
        <w:rPr>
          <w:rFonts w:eastAsia="Calibri"/>
          <w:color w:val="000000" w:themeColor="text1"/>
        </w:rPr>
        <w:t>Finally, IERBC recommends the Commission adopt certain practices</w:t>
      </w:r>
      <w:r w:rsidRPr="006F7C82" w:rsidR="004E49B0">
        <w:rPr>
          <w:rFonts w:eastAsia="Calibri"/>
          <w:color w:val="000000" w:themeColor="text1"/>
        </w:rPr>
        <w:t xml:space="preserve"> employed by other state agencies, including providing advance payment of grant funds</w:t>
      </w:r>
      <w:r w:rsidRPr="006F7C82" w:rsidR="0056229C">
        <w:rPr>
          <w:rFonts w:eastAsia="Calibri"/>
          <w:color w:val="000000" w:themeColor="text1"/>
        </w:rPr>
        <w:t>, to be placed in a separate interest-bearing bank account,</w:t>
      </w:r>
      <w:r w:rsidRPr="006F7C82" w:rsidR="00AE2B15">
        <w:rPr>
          <w:rFonts w:eastAsia="Calibri"/>
          <w:color w:val="000000" w:themeColor="text1"/>
        </w:rPr>
        <w:t xml:space="preserve"> and use of a simple spreadsheet report to document </w:t>
      </w:r>
      <w:r w:rsidRPr="006F7C82" w:rsidR="009503C1">
        <w:rPr>
          <w:rFonts w:eastAsia="Calibri"/>
          <w:color w:val="000000" w:themeColor="text1"/>
        </w:rPr>
        <w:t xml:space="preserve">grant payments and what the funds were used for, instead of </w:t>
      </w:r>
      <w:r w:rsidRPr="006F7C82" w:rsidR="00440774">
        <w:rPr>
          <w:rFonts w:eastAsia="Calibri"/>
          <w:color w:val="000000" w:themeColor="text1"/>
        </w:rPr>
        <w:t>more detailed reviews of invoices and backup documentation.</w:t>
      </w:r>
      <w:r w:rsidRPr="006F7C82" w:rsidR="001E07B9">
        <w:rPr>
          <w:rStyle w:val="FootnoteReference"/>
          <w:rFonts w:eastAsia="Calibri"/>
          <w:color w:val="000000" w:themeColor="text1"/>
        </w:rPr>
        <w:footnoteReference w:id="83"/>
      </w:r>
      <w:r w:rsidRPr="006F7C82" w:rsidR="00F209CE">
        <w:rPr>
          <w:rFonts w:eastAsia="Calibri"/>
          <w:color w:val="000000" w:themeColor="text1"/>
        </w:rPr>
        <w:t xml:space="preserve"> </w:t>
      </w:r>
      <w:r w:rsidRPr="006F7C82" w:rsidR="00C56FC6">
        <w:rPr>
          <w:rFonts w:eastAsia="Calibri"/>
          <w:color w:val="000000" w:themeColor="text1"/>
        </w:rPr>
        <w:t>We decline to adopt IERBC’s recommendation at this time since the Commission and State Controller Office process payments in accordance with the State Administrative Manual (SAM).  Pursuant to SAM, “Transactions should be supported by documents such as purchase orders, invoices, billing statements, receiving reports, bank statements, payroll data, and other documents that support and substantiate the transaction.”</w:t>
      </w:r>
      <w:r w:rsidRPr="006F7C82" w:rsidR="00C56FC6">
        <w:rPr>
          <w:rStyle w:val="FootnoteReference"/>
          <w:rFonts w:eastAsia="Calibri"/>
          <w:color w:val="000000" w:themeColor="text1"/>
        </w:rPr>
        <w:footnoteReference w:id="84"/>
      </w:r>
      <w:r w:rsidRPr="006F7C82" w:rsidR="00C56FC6">
        <w:rPr>
          <w:rFonts w:eastAsia="Calibri"/>
          <w:color w:val="000000" w:themeColor="text1"/>
        </w:rPr>
        <w:t xml:space="preserve">  </w:t>
      </w:r>
    </w:p>
    <w:p w:rsidRPr="006F7C82" w:rsidR="005939A5" w:rsidP="00B36E67" w:rsidRDefault="00E90FA5" w14:paraId="04638EFA" w14:textId="745B1FFF">
      <w:pPr>
        <w:pStyle w:val="Heading1"/>
        <w:tabs>
          <w:tab w:val="left" w:pos="4320"/>
          <w:tab w:val="left" w:pos="4500"/>
        </w:tabs>
        <w:ind w:left="360" w:right="4860" w:hanging="360"/>
        <w:rPr>
          <w:color w:val="000000" w:themeColor="text1"/>
        </w:rPr>
      </w:pPr>
      <w:bookmarkStart w:name="_Toc100132361" w:id="17"/>
      <w:r w:rsidRPr="006F7C82">
        <w:rPr>
          <w:color w:val="000000" w:themeColor="text1"/>
        </w:rPr>
        <w:t>Changes to the Adoption Account</w:t>
      </w:r>
      <w:bookmarkEnd w:id="17"/>
    </w:p>
    <w:p w:rsidRPr="006F7C82" w:rsidR="55E90BF0" w:rsidP="00835A5C" w:rsidRDefault="005939A5" w14:paraId="4DBEA849" w14:textId="75A90BA8">
      <w:pPr>
        <w:pStyle w:val="Standard"/>
        <w:rPr>
          <w:color w:val="000000" w:themeColor="text1"/>
        </w:rPr>
      </w:pPr>
      <w:r w:rsidRPr="006F7C82">
        <w:rPr>
          <w:color w:val="000000" w:themeColor="text1"/>
        </w:rPr>
        <w:t>The Second Amended Scoping Memo proposed changes to the Adoption Account and sought comments on related issues, as described below.</w:t>
      </w:r>
    </w:p>
    <w:p w:rsidRPr="006F7C82" w:rsidR="00EA36C6" w:rsidP="00BC0CA4" w:rsidRDefault="55E90BF0" w14:paraId="52F570A0" w14:textId="00280621">
      <w:pPr>
        <w:pStyle w:val="Heading2"/>
        <w:ind w:left="1080" w:right="2880" w:hanging="720"/>
        <w:rPr>
          <w:color w:val="000000" w:themeColor="text1"/>
        </w:rPr>
      </w:pPr>
      <w:bookmarkStart w:name="_Toc100132362" w:id="18"/>
      <w:r w:rsidRPr="006F7C82">
        <w:rPr>
          <w:color w:val="000000" w:themeColor="text1"/>
        </w:rPr>
        <w:lastRenderedPageBreak/>
        <w:t>Modifications to Applicant and Project Eligibility Requirements</w:t>
      </w:r>
      <w:bookmarkEnd w:id="18"/>
    </w:p>
    <w:p w:rsidRPr="006F7C82" w:rsidR="55E90BF0" w:rsidP="55E90BF0" w:rsidRDefault="55E90BF0" w14:paraId="7942A7B4" w14:textId="477A6DF1">
      <w:pPr>
        <w:rPr>
          <w:color w:val="000000" w:themeColor="text1"/>
        </w:rPr>
      </w:pPr>
      <w:r w:rsidRPr="006F7C82">
        <w:rPr>
          <w:color w:val="000000" w:themeColor="text1"/>
        </w:rPr>
        <w:t>As noted in the Second Amended Scoping Memo, for the purposes of the Adoption Account, eligible applicants are local governments, senior centers, schools, public libraries, nonprofit organizations, and community-based organizations with programs to increase publicly available or after school broadband access and digital inclusion, such as digital literacy training programs.</w:t>
      </w:r>
      <w:r w:rsidRPr="006F7C82">
        <w:rPr>
          <w:rStyle w:val="FootnoteReference"/>
          <w:color w:val="000000" w:themeColor="text1"/>
        </w:rPr>
        <w:footnoteReference w:id="85"/>
      </w:r>
      <w:r w:rsidRPr="006F7C82" w:rsidR="00F209CE">
        <w:rPr>
          <w:color w:val="000000" w:themeColor="text1"/>
        </w:rPr>
        <w:t xml:space="preserve"> </w:t>
      </w:r>
      <w:r w:rsidRPr="006F7C82">
        <w:rPr>
          <w:color w:val="000000" w:themeColor="text1"/>
        </w:rPr>
        <w:t>The Seconded Amended Scoping Memo proposed additional criteria for non-profit applicants and applicants for digital literacy projects grants and posed the following questions for party comment:</w:t>
      </w:r>
    </w:p>
    <w:p w:rsidRPr="00FF6FF3" w:rsidR="55E90BF0" w:rsidP="00FF6FF3" w:rsidRDefault="55E90BF0" w14:paraId="607CC04A" w14:textId="24503AEC">
      <w:pPr>
        <w:pStyle w:val="Standard"/>
        <w:numPr>
          <w:ilvl w:val="0"/>
          <w:numId w:val="5"/>
        </w:numPr>
        <w:spacing w:after="120" w:line="240" w:lineRule="auto"/>
        <w:ind w:left="1080" w:right="1440"/>
        <w:rPr>
          <w:rFonts w:eastAsia="Calibri"/>
          <w:i/>
          <w:iCs/>
          <w:color w:val="000000" w:themeColor="text1"/>
        </w:rPr>
      </w:pPr>
      <w:r w:rsidRPr="00B36E67">
        <w:rPr>
          <w:rFonts w:eastAsia="Calibri"/>
          <w:i/>
          <w:iCs/>
          <w:color w:val="000000" w:themeColor="text1"/>
        </w:rPr>
        <w:t>Is it reasonable to add additional criteria nonprofits must meet to be eligible for adoption grants, including, for example, that they must have existed for at least one year prior to eligibility?</w:t>
      </w:r>
      <w:r w:rsidRPr="00B36E67" w:rsidR="00F209CE">
        <w:rPr>
          <w:rFonts w:eastAsia="Calibri"/>
          <w:i/>
          <w:iCs/>
          <w:color w:val="000000" w:themeColor="text1"/>
        </w:rPr>
        <w:t xml:space="preserve"> </w:t>
      </w:r>
      <w:r w:rsidRPr="00B36E67">
        <w:rPr>
          <w:rFonts w:eastAsia="Calibri"/>
          <w:i/>
          <w:iCs/>
          <w:color w:val="000000" w:themeColor="text1"/>
        </w:rPr>
        <w:t>Is it reasonable to require that digital literacy project applicants must have at least one year’s experience conducting such projects or must have completed at least one digital literacy project to be eligible, as proposed in Appendix 2?</w:t>
      </w:r>
      <w:r w:rsidRPr="00B36E67" w:rsidR="00F209CE">
        <w:rPr>
          <w:rFonts w:eastAsia="Calibri"/>
          <w:i/>
          <w:iCs/>
          <w:color w:val="000000" w:themeColor="text1"/>
        </w:rPr>
        <w:t xml:space="preserve"> </w:t>
      </w:r>
      <w:r w:rsidRPr="00B36E67">
        <w:rPr>
          <w:rFonts w:eastAsia="Calibri"/>
          <w:i/>
          <w:iCs/>
          <w:color w:val="000000" w:themeColor="text1"/>
        </w:rPr>
        <w:t>Is it reasonable to require broadband access project applicants to have at least one year’s experience conducting such projects or to have completed one broadband access project to be eligible, as proposed in Appendix</w:t>
      </w:r>
      <w:r w:rsidR="00FF6FF3">
        <w:rPr>
          <w:rFonts w:eastAsia="Calibri"/>
          <w:i/>
          <w:iCs/>
          <w:color w:val="000000" w:themeColor="text1"/>
        </w:rPr>
        <w:t> </w:t>
      </w:r>
      <w:r w:rsidRPr="00B36E67">
        <w:rPr>
          <w:rFonts w:eastAsia="Calibri"/>
          <w:i/>
          <w:iCs/>
          <w:color w:val="000000" w:themeColor="text1"/>
        </w:rPr>
        <w:t>2?</w:t>
      </w:r>
    </w:p>
    <w:p w:rsidRPr="006F7C82" w:rsidR="00913D52" w:rsidP="00C00B63" w:rsidRDefault="00D6412E" w14:paraId="1166F3D4" w14:textId="05EC6EA5">
      <w:pPr>
        <w:rPr>
          <w:color w:val="000000" w:themeColor="text1"/>
        </w:rPr>
      </w:pPr>
      <w:r w:rsidRPr="006F7C82">
        <w:rPr>
          <w:color w:val="000000" w:themeColor="text1"/>
        </w:rPr>
        <w:t xml:space="preserve">Many parties addressing this question </w:t>
      </w:r>
      <w:r w:rsidRPr="006F7C82" w:rsidR="00C73D83">
        <w:rPr>
          <w:color w:val="000000" w:themeColor="text1"/>
        </w:rPr>
        <w:t xml:space="preserve">assert that requiring one year of experience </w:t>
      </w:r>
      <w:r w:rsidRPr="006F7C82" w:rsidR="00726321">
        <w:rPr>
          <w:color w:val="000000" w:themeColor="text1"/>
        </w:rPr>
        <w:t xml:space="preserve">or completion of at least one prior project </w:t>
      </w:r>
      <w:r w:rsidRPr="006F7C82" w:rsidR="00966D99">
        <w:rPr>
          <w:color w:val="000000" w:themeColor="text1"/>
        </w:rPr>
        <w:t>is not necessarily indicative of performance</w:t>
      </w:r>
      <w:r w:rsidRPr="006F7C82" w:rsidR="007B1D09">
        <w:rPr>
          <w:color w:val="000000" w:themeColor="text1"/>
        </w:rPr>
        <w:t xml:space="preserve"> or quality of service.</w:t>
      </w:r>
      <w:r w:rsidRPr="006F7C82" w:rsidR="00966D99">
        <w:rPr>
          <w:color w:val="000000" w:themeColor="text1"/>
        </w:rPr>
        <w:t xml:space="preserve"> </w:t>
      </w:r>
      <w:r w:rsidRPr="006F7C82" w:rsidR="0005512E">
        <w:rPr>
          <w:color w:val="000000" w:themeColor="text1"/>
        </w:rPr>
        <w:t xml:space="preserve">NDC </w:t>
      </w:r>
      <w:r w:rsidRPr="006F7C82" w:rsidR="00C00B63">
        <w:rPr>
          <w:color w:val="000000" w:themeColor="text1"/>
        </w:rPr>
        <w:t xml:space="preserve">suggests </w:t>
      </w:r>
      <w:r w:rsidRPr="006F7C82" w:rsidR="00293834">
        <w:rPr>
          <w:color w:val="000000" w:themeColor="text1"/>
        </w:rPr>
        <w:t xml:space="preserve">the length of existence and prior relevant experience may be appropriate to qualify applicants for </w:t>
      </w:r>
      <w:r w:rsidRPr="006F7C82" w:rsidR="00F016B8">
        <w:rPr>
          <w:color w:val="000000" w:themeColor="text1"/>
        </w:rPr>
        <w:t xml:space="preserve">Ministerial Review, but does not support </w:t>
      </w:r>
      <w:r w:rsidRPr="006F7C82" w:rsidR="0005512E">
        <w:rPr>
          <w:color w:val="000000" w:themeColor="text1"/>
        </w:rPr>
        <w:t xml:space="preserve">barring </w:t>
      </w:r>
      <w:r w:rsidRPr="006F7C82" w:rsidR="00C00B63">
        <w:rPr>
          <w:color w:val="000000" w:themeColor="text1"/>
        </w:rPr>
        <w:t>organizations that do not meet the one</w:t>
      </w:r>
      <w:r w:rsidR="00BC0CA4">
        <w:rPr>
          <w:color w:val="000000" w:themeColor="text1"/>
        </w:rPr>
        <w:noBreakHyphen/>
      </w:r>
      <w:r w:rsidRPr="006F7C82" w:rsidR="00C00B63">
        <w:rPr>
          <w:color w:val="000000" w:themeColor="text1"/>
        </w:rPr>
        <w:t>year criteria</w:t>
      </w:r>
      <w:r w:rsidRPr="006F7C82" w:rsidR="007B1D09">
        <w:rPr>
          <w:color w:val="000000" w:themeColor="text1"/>
        </w:rPr>
        <w:t>.</w:t>
      </w:r>
      <w:r w:rsidRPr="006F7C82" w:rsidR="00BC3666">
        <w:rPr>
          <w:rStyle w:val="FootnoteReference"/>
          <w:color w:val="000000" w:themeColor="text1"/>
        </w:rPr>
        <w:footnoteReference w:id="86"/>
      </w:r>
      <w:r w:rsidRPr="006F7C82" w:rsidR="007B1D09">
        <w:rPr>
          <w:color w:val="000000" w:themeColor="text1"/>
        </w:rPr>
        <w:t xml:space="preserve"> UNITE-LA </w:t>
      </w:r>
      <w:r w:rsidRPr="006F7C82" w:rsidR="00A76D65">
        <w:rPr>
          <w:color w:val="000000" w:themeColor="text1"/>
        </w:rPr>
        <w:t xml:space="preserve">recommends the Commission increase the amount </w:t>
      </w:r>
      <w:r w:rsidRPr="006F7C82" w:rsidR="00A76D65">
        <w:rPr>
          <w:color w:val="000000" w:themeColor="text1"/>
        </w:rPr>
        <w:lastRenderedPageBreak/>
        <w:t xml:space="preserve">that current digital skills training providers </w:t>
      </w:r>
      <w:r w:rsidRPr="006F7C82" w:rsidR="005F7D18">
        <w:rPr>
          <w:color w:val="000000" w:themeColor="text1"/>
        </w:rPr>
        <w:t>may apply for.</w:t>
      </w:r>
      <w:r w:rsidRPr="006F7C82" w:rsidR="004C3913">
        <w:rPr>
          <w:rStyle w:val="FootnoteReference"/>
          <w:color w:val="000000" w:themeColor="text1"/>
        </w:rPr>
        <w:footnoteReference w:id="87"/>
      </w:r>
      <w:r w:rsidRPr="006F7C82" w:rsidR="00654861">
        <w:rPr>
          <w:color w:val="000000" w:themeColor="text1"/>
        </w:rPr>
        <w:t xml:space="preserve"> CETF asserts</w:t>
      </w:r>
      <w:r w:rsidRPr="006F7C82" w:rsidR="002872AF">
        <w:rPr>
          <w:color w:val="000000" w:themeColor="text1"/>
        </w:rPr>
        <w:t xml:space="preserve">, instead of focusing on </w:t>
      </w:r>
      <w:r w:rsidRPr="006F7C82" w:rsidR="0047410A">
        <w:rPr>
          <w:color w:val="000000" w:themeColor="text1"/>
        </w:rPr>
        <w:t>length of existence,</w:t>
      </w:r>
      <w:r w:rsidRPr="006F7C82" w:rsidR="00654861">
        <w:rPr>
          <w:color w:val="000000" w:themeColor="text1"/>
        </w:rPr>
        <w:t xml:space="preserve"> applicants must have a documented track record </w:t>
      </w:r>
      <w:r w:rsidRPr="006F7C82" w:rsidR="00076501">
        <w:rPr>
          <w:color w:val="000000" w:themeColor="text1"/>
        </w:rPr>
        <w:t>of delivering quantifi</w:t>
      </w:r>
      <w:r w:rsidR="00922876">
        <w:rPr>
          <w:color w:val="000000" w:themeColor="text1"/>
        </w:rPr>
        <w:t>able</w:t>
      </w:r>
      <w:r w:rsidRPr="006F7C82" w:rsidR="00076501">
        <w:rPr>
          <w:color w:val="000000" w:themeColor="text1"/>
        </w:rPr>
        <w:t xml:space="preserve"> outcomes with an explicit work plan for integrating digital inclusion into their existing programs to achieve adoptions.</w:t>
      </w:r>
      <w:r w:rsidRPr="006F7C82" w:rsidR="003F0411">
        <w:rPr>
          <w:rStyle w:val="FootnoteReference"/>
          <w:color w:val="000000" w:themeColor="text1"/>
        </w:rPr>
        <w:footnoteReference w:id="88"/>
      </w:r>
      <w:r w:rsidRPr="006F7C82" w:rsidR="00076501">
        <w:rPr>
          <w:color w:val="000000" w:themeColor="text1"/>
        </w:rPr>
        <w:t xml:space="preserve"> </w:t>
      </w:r>
      <w:r w:rsidRPr="006F7C82" w:rsidR="00E327BD">
        <w:rPr>
          <w:color w:val="000000" w:themeColor="text1"/>
        </w:rPr>
        <w:t xml:space="preserve">LAEDC </w:t>
      </w:r>
      <w:r w:rsidRPr="006F7C82" w:rsidR="00485A4D">
        <w:rPr>
          <w:color w:val="000000" w:themeColor="text1"/>
        </w:rPr>
        <w:t xml:space="preserve">urges the Commission </w:t>
      </w:r>
      <w:r w:rsidRPr="006F7C82" w:rsidR="006F2C15">
        <w:rPr>
          <w:color w:val="000000" w:themeColor="text1"/>
        </w:rPr>
        <w:t>not to adopt unnecessarily restrictive criteria that would limit otherwise qualified</w:t>
      </w:r>
      <w:r w:rsidRPr="006F7C82" w:rsidR="00011F15">
        <w:rPr>
          <w:color w:val="000000" w:themeColor="text1"/>
        </w:rPr>
        <w:t xml:space="preserve"> new organizations,</w:t>
      </w:r>
      <w:r w:rsidRPr="006F7C82" w:rsidR="00B61349">
        <w:rPr>
          <w:color w:val="000000" w:themeColor="text1"/>
        </w:rPr>
        <w:t xml:space="preserve"> which LAEDC characterizes as knowledgeable, capable, linguistically and culturally competent, and with sufficient capacity to perform the programs they propose.</w:t>
      </w:r>
      <w:r w:rsidRPr="006F7C82" w:rsidR="00F37802">
        <w:rPr>
          <w:rStyle w:val="FootnoteReference"/>
          <w:color w:val="000000" w:themeColor="text1"/>
        </w:rPr>
        <w:footnoteReference w:id="89"/>
      </w:r>
      <w:r w:rsidRPr="006F7C82" w:rsidR="001F22E5">
        <w:rPr>
          <w:color w:val="000000" w:themeColor="text1"/>
        </w:rPr>
        <w:t xml:space="preserve"> </w:t>
      </w:r>
      <w:proofErr w:type="spellStart"/>
      <w:r w:rsidRPr="006F7C82" w:rsidR="002801A7">
        <w:rPr>
          <w:color w:val="000000" w:themeColor="text1"/>
        </w:rPr>
        <w:t>CforAT</w:t>
      </w:r>
      <w:proofErr w:type="spellEnd"/>
      <w:r w:rsidRPr="006F7C82" w:rsidR="002801A7">
        <w:rPr>
          <w:color w:val="000000" w:themeColor="text1"/>
        </w:rPr>
        <w:t xml:space="preserve"> raises a similar concern as LAEDC, and</w:t>
      </w:r>
      <w:r w:rsidRPr="006F7C82" w:rsidR="00BA50DA">
        <w:rPr>
          <w:color w:val="000000" w:themeColor="text1"/>
        </w:rPr>
        <w:t xml:space="preserve"> urges the Commission to allow community based organizations</w:t>
      </w:r>
      <w:r w:rsidRPr="006F7C82" w:rsidR="005F1CEC">
        <w:rPr>
          <w:color w:val="000000" w:themeColor="text1"/>
        </w:rPr>
        <w:t xml:space="preserve"> (CBO)</w:t>
      </w:r>
      <w:r w:rsidRPr="006F7C82" w:rsidR="00BA50DA">
        <w:rPr>
          <w:color w:val="000000" w:themeColor="text1"/>
        </w:rPr>
        <w:t xml:space="preserve"> applying for digital literacy funding to request a waiver</w:t>
      </w:r>
      <w:r w:rsidRPr="006F7C82" w:rsidR="00041A6E">
        <w:rPr>
          <w:color w:val="000000" w:themeColor="text1"/>
        </w:rPr>
        <w:t xml:space="preserve"> of certain requirements </w:t>
      </w:r>
      <w:r w:rsidRPr="006F7C82" w:rsidR="00564F39">
        <w:rPr>
          <w:color w:val="000000" w:themeColor="text1"/>
        </w:rPr>
        <w:t>on the grounds that the CBO is best suited to offer digital literacy training.</w:t>
      </w:r>
      <w:r w:rsidRPr="006F7C82" w:rsidR="000A7360">
        <w:rPr>
          <w:rStyle w:val="FootnoteReference"/>
          <w:color w:val="000000" w:themeColor="text1"/>
        </w:rPr>
        <w:footnoteReference w:id="90"/>
      </w:r>
      <w:r w:rsidRPr="006F7C82" w:rsidR="00E0272C">
        <w:rPr>
          <w:color w:val="000000" w:themeColor="text1"/>
        </w:rPr>
        <w:t xml:space="preserve"> IERBC does not support </w:t>
      </w:r>
      <w:r w:rsidRPr="006F7C82" w:rsidR="00364D57">
        <w:rPr>
          <w:color w:val="000000" w:themeColor="text1"/>
        </w:rPr>
        <w:t xml:space="preserve">imposing additional criteria </w:t>
      </w:r>
      <w:r w:rsidRPr="006F7C82" w:rsidR="00913D52">
        <w:rPr>
          <w:color w:val="000000" w:themeColor="text1"/>
        </w:rPr>
        <w:t>for non-profits to be eligible for adoption grants</w:t>
      </w:r>
      <w:r w:rsidRPr="006F7C82" w:rsidR="00E77E5B">
        <w:rPr>
          <w:color w:val="000000" w:themeColor="text1"/>
        </w:rPr>
        <w:t xml:space="preserve">; IERBC </w:t>
      </w:r>
      <w:r w:rsidRPr="006F7C82" w:rsidR="00B849D5">
        <w:rPr>
          <w:color w:val="000000" w:themeColor="text1"/>
        </w:rPr>
        <w:t>does agree that qualified applicants should have experience conducting digital literacy training</w:t>
      </w:r>
      <w:r w:rsidRPr="006F7C82" w:rsidR="00913D52">
        <w:rPr>
          <w:color w:val="000000" w:themeColor="text1"/>
        </w:rPr>
        <w:t>.</w:t>
      </w:r>
      <w:r w:rsidRPr="006F7C82" w:rsidR="000A7360">
        <w:rPr>
          <w:rStyle w:val="FootnoteReference"/>
          <w:color w:val="000000" w:themeColor="text1"/>
        </w:rPr>
        <w:footnoteReference w:id="91"/>
      </w:r>
      <w:r w:rsidRPr="006F7C82" w:rsidR="005F1CEC">
        <w:rPr>
          <w:color w:val="000000" w:themeColor="text1"/>
        </w:rPr>
        <w:t xml:space="preserve"> </w:t>
      </w:r>
    </w:p>
    <w:p w:rsidRPr="006F7C82" w:rsidR="00FA5131" w:rsidP="00C00B63" w:rsidRDefault="001F22E5" w14:paraId="4667CABA" w14:textId="60066022">
      <w:pPr>
        <w:rPr>
          <w:color w:val="000000" w:themeColor="text1"/>
        </w:rPr>
      </w:pPr>
      <w:r w:rsidRPr="006F7C82">
        <w:rPr>
          <w:color w:val="000000" w:themeColor="text1"/>
        </w:rPr>
        <w:t xml:space="preserve">TURN recommends </w:t>
      </w:r>
      <w:r w:rsidR="00EB489E">
        <w:rPr>
          <w:color w:val="000000" w:themeColor="text1"/>
        </w:rPr>
        <w:t xml:space="preserve">that </w:t>
      </w:r>
      <w:r w:rsidRPr="006F7C82">
        <w:rPr>
          <w:color w:val="000000" w:themeColor="text1"/>
        </w:rPr>
        <w:t>the Commission require non</w:t>
      </w:r>
      <w:r w:rsidRPr="006F7C82" w:rsidR="007D36C4">
        <w:rPr>
          <w:color w:val="000000" w:themeColor="text1"/>
        </w:rPr>
        <w:t>-</w:t>
      </w:r>
      <w:r w:rsidRPr="006F7C82">
        <w:rPr>
          <w:color w:val="000000" w:themeColor="text1"/>
        </w:rPr>
        <w:t xml:space="preserve">profit applicants to </w:t>
      </w:r>
      <w:r w:rsidRPr="006F7C82" w:rsidR="00B262DA">
        <w:rPr>
          <w:color w:val="000000" w:themeColor="text1"/>
        </w:rPr>
        <w:t xml:space="preserve">submit original documentation of their nonprofit registrations and good standing confirmation from </w:t>
      </w:r>
      <w:r w:rsidRPr="006F7C82" w:rsidR="0042204E">
        <w:rPr>
          <w:color w:val="000000" w:themeColor="text1"/>
        </w:rPr>
        <w:t xml:space="preserve">the </w:t>
      </w:r>
      <w:r w:rsidRPr="006F7C82" w:rsidR="008949A4">
        <w:rPr>
          <w:color w:val="000000" w:themeColor="text1"/>
        </w:rPr>
        <w:t>U</w:t>
      </w:r>
      <w:r w:rsidRPr="006F7C82" w:rsidR="00D37D71">
        <w:rPr>
          <w:color w:val="000000" w:themeColor="text1"/>
        </w:rPr>
        <w:t>.</w:t>
      </w:r>
      <w:r w:rsidRPr="006F7C82" w:rsidR="008949A4">
        <w:rPr>
          <w:color w:val="000000" w:themeColor="text1"/>
        </w:rPr>
        <w:t>S</w:t>
      </w:r>
      <w:r w:rsidRPr="006F7C82" w:rsidR="00D37D71">
        <w:rPr>
          <w:color w:val="000000" w:themeColor="text1"/>
        </w:rPr>
        <w:t>.</w:t>
      </w:r>
      <w:r w:rsidRPr="006F7C82" w:rsidR="008949A4">
        <w:rPr>
          <w:color w:val="000000" w:themeColor="text1"/>
        </w:rPr>
        <w:t xml:space="preserve"> </w:t>
      </w:r>
      <w:r w:rsidRPr="006F7C82" w:rsidR="0042204E">
        <w:rPr>
          <w:color w:val="000000" w:themeColor="text1"/>
        </w:rPr>
        <w:t xml:space="preserve">Internal Revenue Service, the California Secretary of State, </w:t>
      </w:r>
      <w:r w:rsidRPr="006F7C82" w:rsidR="00C60008">
        <w:rPr>
          <w:color w:val="000000" w:themeColor="text1"/>
        </w:rPr>
        <w:t>or the California Department of Justice</w:t>
      </w:r>
      <w:r w:rsidRPr="006F7C82" w:rsidR="0042204E">
        <w:rPr>
          <w:color w:val="000000" w:themeColor="text1"/>
        </w:rPr>
        <w:t>.</w:t>
      </w:r>
      <w:r w:rsidRPr="006F7C82" w:rsidR="003819B6">
        <w:rPr>
          <w:color w:val="000000" w:themeColor="text1"/>
        </w:rPr>
        <w:t xml:space="preserve"> TURN further recommends </w:t>
      </w:r>
      <w:r w:rsidRPr="006F7C82" w:rsidR="006D491C">
        <w:rPr>
          <w:color w:val="000000" w:themeColor="text1"/>
        </w:rPr>
        <w:t>that the Commission factor in the successful digital literacy or broadband access programs’ number of consumers impacted, scale of growth</w:t>
      </w:r>
      <w:r w:rsidRPr="006F7C82" w:rsidR="004B3331">
        <w:rPr>
          <w:color w:val="000000" w:themeColor="text1"/>
        </w:rPr>
        <w:t xml:space="preserve">, </w:t>
      </w:r>
      <w:r w:rsidRPr="006F7C82" w:rsidR="004B3331">
        <w:rPr>
          <w:color w:val="000000" w:themeColor="text1"/>
        </w:rPr>
        <w:lastRenderedPageBreak/>
        <w:t>length of time the program was successful, and any innovative approaches used</w:t>
      </w:r>
      <w:r w:rsidRPr="006F7C82" w:rsidR="00AD3537">
        <w:rPr>
          <w:color w:val="000000" w:themeColor="text1"/>
        </w:rPr>
        <w:t>, as opposed to length of the organization’s existence</w:t>
      </w:r>
      <w:r w:rsidRPr="006F7C82" w:rsidR="004B3331">
        <w:rPr>
          <w:color w:val="000000" w:themeColor="text1"/>
        </w:rPr>
        <w:t>.</w:t>
      </w:r>
      <w:r w:rsidRPr="006F7C82" w:rsidR="006D36FE">
        <w:rPr>
          <w:rStyle w:val="FootnoteReference"/>
          <w:color w:val="000000" w:themeColor="text1"/>
        </w:rPr>
        <w:footnoteReference w:id="92"/>
      </w:r>
    </w:p>
    <w:p w:rsidRPr="006F7C82" w:rsidR="55E90BF0" w:rsidP="51C774C3" w:rsidRDefault="00CD1873" w14:paraId="5BBC86DD" w14:textId="0BBACEC2">
      <w:pPr>
        <w:rPr>
          <w:color w:val="000000" w:themeColor="text1"/>
        </w:rPr>
      </w:pPr>
      <w:r w:rsidRPr="006F7C82">
        <w:rPr>
          <w:color w:val="000000" w:themeColor="text1"/>
        </w:rPr>
        <w:t xml:space="preserve">The Commission agrees </w:t>
      </w:r>
      <w:r w:rsidRPr="006F7C82" w:rsidR="00CD0F59">
        <w:rPr>
          <w:color w:val="000000" w:themeColor="text1"/>
        </w:rPr>
        <w:t xml:space="preserve">that </w:t>
      </w:r>
      <w:r w:rsidRPr="006F7C82" w:rsidR="0081420E">
        <w:rPr>
          <w:color w:val="000000" w:themeColor="text1"/>
        </w:rPr>
        <w:t xml:space="preserve">organizations </w:t>
      </w:r>
      <w:r w:rsidRPr="006F7C82" w:rsidR="00E3265C">
        <w:rPr>
          <w:color w:val="000000" w:themeColor="text1"/>
        </w:rPr>
        <w:t>not meeting the proposed criteria</w:t>
      </w:r>
      <w:r w:rsidRPr="006F7C82" w:rsidR="00DB0ABF">
        <w:rPr>
          <w:color w:val="000000" w:themeColor="text1"/>
        </w:rPr>
        <w:t xml:space="preserve"> should not be barred from </w:t>
      </w:r>
      <w:proofErr w:type="gramStart"/>
      <w:r w:rsidRPr="006F7C82" w:rsidR="00DB0ABF">
        <w:rPr>
          <w:color w:val="000000" w:themeColor="text1"/>
        </w:rPr>
        <w:t>applying</w:t>
      </w:r>
      <w:r w:rsidRPr="006F7C82" w:rsidR="00841DF1">
        <w:rPr>
          <w:color w:val="000000" w:themeColor="text1"/>
        </w:rPr>
        <w:t>, but</w:t>
      </w:r>
      <w:proofErr w:type="gramEnd"/>
      <w:r w:rsidRPr="006F7C82" w:rsidR="00841DF1">
        <w:rPr>
          <w:color w:val="000000" w:themeColor="text1"/>
        </w:rPr>
        <w:t xml:space="preserve"> will </w:t>
      </w:r>
      <w:r w:rsidRPr="006F7C82" w:rsidR="003C3C73">
        <w:rPr>
          <w:color w:val="000000" w:themeColor="text1"/>
        </w:rPr>
        <w:t>maintain the</w:t>
      </w:r>
      <w:r w:rsidRPr="006F7C82" w:rsidR="005B2503">
        <w:rPr>
          <w:color w:val="000000" w:themeColor="text1"/>
        </w:rPr>
        <w:t>se</w:t>
      </w:r>
      <w:r w:rsidRPr="006F7C82" w:rsidR="003C3C73">
        <w:rPr>
          <w:color w:val="000000" w:themeColor="text1"/>
        </w:rPr>
        <w:t xml:space="preserve"> </w:t>
      </w:r>
      <w:r w:rsidRPr="006F7C82" w:rsidR="003D27D8">
        <w:rPr>
          <w:color w:val="000000" w:themeColor="text1"/>
        </w:rPr>
        <w:t>criteri</w:t>
      </w:r>
      <w:r w:rsidRPr="006F7C82" w:rsidR="005B2503">
        <w:rPr>
          <w:color w:val="000000" w:themeColor="text1"/>
        </w:rPr>
        <w:t>a</w:t>
      </w:r>
      <w:r w:rsidRPr="006F7C82" w:rsidR="003D27D8">
        <w:rPr>
          <w:color w:val="000000" w:themeColor="text1"/>
        </w:rPr>
        <w:t xml:space="preserve"> as factor</w:t>
      </w:r>
      <w:r w:rsidRPr="006F7C82" w:rsidR="005B2503">
        <w:rPr>
          <w:color w:val="000000" w:themeColor="text1"/>
        </w:rPr>
        <w:t>s</w:t>
      </w:r>
      <w:r w:rsidRPr="006F7C82" w:rsidR="003D27D8">
        <w:rPr>
          <w:color w:val="000000" w:themeColor="text1"/>
        </w:rPr>
        <w:t xml:space="preserve"> </w:t>
      </w:r>
      <w:r w:rsidRPr="006F7C82" w:rsidR="00494E44">
        <w:rPr>
          <w:color w:val="000000" w:themeColor="text1"/>
        </w:rPr>
        <w:t>that qualif</w:t>
      </w:r>
      <w:r w:rsidRPr="006F7C82" w:rsidR="005B2503">
        <w:rPr>
          <w:color w:val="000000" w:themeColor="text1"/>
        </w:rPr>
        <w:t>y</w:t>
      </w:r>
      <w:r w:rsidRPr="006F7C82" w:rsidR="00494E44">
        <w:rPr>
          <w:color w:val="000000" w:themeColor="text1"/>
        </w:rPr>
        <w:t xml:space="preserve"> an application for Ministerial Review, as NDC suggests.</w:t>
      </w:r>
      <w:r w:rsidRPr="006F7C82" w:rsidR="00F209CE">
        <w:rPr>
          <w:color w:val="000000" w:themeColor="text1"/>
        </w:rPr>
        <w:t xml:space="preserve"> </w:t>
      </w:r>
      <w:r w:rsidRPr="006F7C82" w:rsidR="004F45A4">
        <w:rPr>
          <w:color w:val="000000" w:themeColor="text1"/>
        </w:rPr>
        <w:t>The Commission also finds</w:t>
      </w:r>
      <w:r w:rsidRPr="006F7C82" w:rsidR="007F1F44">
        <w:rPr>
          <w:color w:val="000000" w:themeColor="text1"/>
        </w:rPr>
        <w:t xml:space="preserve"> it reasonable to </w:t>
      </w:r>
      <w:r w:rsidRPr="006F7C82" w:rsidR="001A52AF">
        <w:rPr>
          <w:color w:val="000000" w:themeColor="text1"/>
        </w:rPr>
        <w:t xml:space="preserve">require non-profit applicants </w:t>
      </w:r>
      <w:r w:rsidRPr="006F7C82" w:rsidR="007D36C4">
        <w:rPr>
          <w:color w:val="000000" w:themeColor="text1"/>
        </w:rPr>
        <w:t xml:space="preserve">to submit </w:t>
      </w:r>
      <w:r w:rsidRPr="006F7C82" w:rsidDel="007D36C4">
        <w:rPr>
          <w:color w:val="000000" w:themeColor="text1"/>
        </w:rPr>
        <w:t xml:space="preserve">documentation </w:t>
      </w:r>
      <w:r w:rsidRPr="006F7C82">
        <w:rPr>
          <w:color w:val="000000" w:themeColor="text1"/>
        </w:rPr>
        <w:t>confirming</w:t>
      </w:r>
      <w:r w:rsidRPr="006F7C82" w:rsidDel="00DB6326">
        <w:rPr>
          <w:color w:val="000000" w:themeColor="text1"/>
        </w:rPr>
        <w:t xml:space="preserve"> their good standing with</w:t>
      </w:r>
      <w:r w:rsidRPr="006F7C82" w:rsidR="00B262DA">
        <w:rPr>
          <w:color w:val="000000" w:themeColor="text1"/>
        </w:rPr>
        <w:t xml:space="preserve"> </w:t>
      </w:r>
      <w:r w:rsidRPr="006F7C82" w:rsidR="006A3D0A">
        <w:rPr>
          <w:color w:val="000000" w:themeColor="text1"/>
        </w:rPr>
        <w:t xml:space="preserve">the </w:t>
      </w:r>
      <w:r w:rsidRPr="006F7C82" w:rsidR="007B3BE6">
        <w:rPr>
          <w:color w:val="000000" w:themeColor="text1"/>
        </w:rPr>
        <w:t>U.S.</w:t>
      </w:r>
      <w:r w:rsidRPr="006F7C82" w:rsidR="006A3D0A">
        <w:rPr>
          <w:color w:val="000000" w:themeColor="text1"/>
        </w:rPr>
        <w:t xml:space="preserve"> Internal Revenue Service, </w:t>
      </w:r>
      <w:r w:rsidRPr="006F7C82" w:rsidR="00F72207">
        <w:rPr>
          <w:color w:val="000000" w:themeColor="text1"/>
        </w:rPr>
        <w:t xml:space="preserve">the </w:t>
      </w:r>
      <w:r w:rsidRPr="006F7C82" w:rsidR="006E43C3">
        <w:rPr>
          <w:color w:val="000000" w:themeColor="text1"/>
        </w:rPr>
        <w:t>California Secretary of State, or the California Department of Justice as TURN recommends.</w:t>
      </w:r>
      <w:r w:rsidRPr="006F7C82" w:rsidR="00604565">
        <w:rPr>
          <w:color w:val="000000" w:themeColor="text1"/>
        </w:rPr>
        <w:t xml:space="preserve"> These changes are adopted as shown in Appendix 2.</w:t>
      </w:r>
    </w:p>
    <w:p w:rsidRPr="00FF6FF3" w:rsidR="55E90BF0" w:rsidP="00FF6FF3" w:rsidRDefault="55E90BF0" w14:paraId="5F6C7086" w14:textId="107E01C4">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Is it reasonable to require broadband access projects to provide such access within 6 months of the CASF grant award approval for the project to be eligible for an Adoption Account grant?</w:t>
      </w:r>
    </w:p>
    <w:p w:rsidRPr="006F7C82" w:rsidR="00AC1976" w:rsidP="55E90BF0" w:rsidRDefault="007E21A6" w14:paraId="3A9E3862" w14:textId="5E39A678">
      <w:pPr>
        <w:pStyle w:val="Standard"/>
        <w:rPr>
          <w:rFonts w:eastAsia="Calibri"/>
          <w:color w:val="000000" w:themeColor="text1"/>
          <w:szCs w:val="26"/>
        </w:rPr>
      </w:pPr>
      <w:r w:rsidRPr="006F7C82">
        <w:rPr>
          <w:rFonts w:eastAsia="Calibri"/>
          <w:color w:val="000000" w:themeColor="text1"/>
        </w:rPr>
        <w:t xml:space="preserve">Most parties addressing this question agree </w:t>
      </w:r>
      <w:r w:rsidRPr="006F7C82" w:rsidR="0048172C">
        <w:rPr>
          <w:rFonts w:eastAsia="Calibri"/>
          <w:color w:val="000000" w:themeColor="text1"/>
        </w:rPr>
        <w:t xml:space="preserve">that </w:t>
      </w:r>
      <w:r w:rsidRPr="006F7C82" w:rsidR="00DD0B59">
        <w:rPr>
          <w:rFonts w:eastAsia="Calibri"/>
          <w:color w:val="000000" w:themeColor="text1"/>
        </w:rPr>
        <w:t xml:space="preserve">grantees should deliver results within six months. </w:t>
      </w:r>
      <w:r w:rsidRPr="006F7C82" w:rsidR="006A6160">
        <w:rPr>
          <w:rFonts w:eastAsia="Calibri"/>
          <w:color w:val="000000" w:themeColor="text1"/>
        </w:rPr>
        <w:t xml:space="preserve">IERBC also supports </w:t>
      </w:r>
      <w:r w:rsidRPr="006F7C82" w:rsidR="00016A2D">
        <w:rPr>
          <w:rFonts w:eastAsia="Calibri"/>
          <w:color w:val="000000" w:themeColor="text1"/>
        </w:rPr>
        <w:t>allowing community resource centers</w:t>
      </w:r>
      <w:r w:rsidRPr="006F7C82" w:rsidR="000E7852">
        <w:rPr>
          <w:rFonts w:eastAsia="Calibri"/>
          <w:color w:val="000000" w:themeColor="text1"/>
        </w:rPr>
        <w:t>, on a case-by-case basis,</w:t>
      </w:r>
      <w:r w:rsidRPr="006F7C82" w:rsidR="00016A2D">
        <w:rPr>
          <w:rFonts w:eastAsia="Calibri"/>
          <w:color w:val="000000" w:themeColor="text1"/>
        </w:rPr>
        <w:t xml:space="preserve"> that could be used to start digital training sooner than six months.</w:t>
      </w:r>
      <w:r w:rsidRPr="006F7C82" w:rsidR="0024695A">
        <w:rPr>
          <w:rStyle w:val="FootnoteReference"/>
          <w:rFonts w:eastAsia="Calibri"/>
          <w:color w:val="000000" w:themeColor="text1"/>
          <w:szCs w:val="26"/>
        </w:rPr>
        <w:footnoteReference w:id="93"/>
      </w:r>
    </w:p>
    <w:p w:rsidRPr="006F7C82" w:rsidR="55E90BF0" w:rsidP="000236DD" w:rsidRDefault="55E90BF0" w14:paraId="516392BE" w14:textId="4D846970">
      <w:pPr>
        <w:pStyle w:val="Standard"/>
        <w:rPr>
          <w:rFonts w:eastAsia="Calibri"/>
          <w:color w:val="000000" w:themeColor="text1"/>
          <w:szCs w:val="26"/>
        </w:rPr>
      </w:pPr>
      <w:r w:rsidRPr="006F7C82">
        <w:rPr>
          <w:rFonts w:eastAsia="Calibri"/>
          <w:color w:val="000000" w:themeColor="text1"/>
          <w:szCs w:val="26"/>
        </w:rPr>
        <w:t xml:space="preserve">While current Adoption Account rules require project timelines to include a ramp up period of no more than </w:t>
      </w:r>
      <w:r w:rsidRPr="006F7C82" w:rsidR="0026530E">
        <w:rPr>
          <w:rFonts w:eastAsia="Calibri"/>
          <w:color w:val="000000" w:themeColor="text1"/>
          <w:szCs w:val="26"/>
        </w:rPr>
        <w:t>six</w:t>
      </w:r>
      <w:r w:rsidRPr="006F7C82">
        <w:rPr>
          <w:rFonts w:eastAsia="Calibri"/>
          <w:color w:val="000000" w:themeColor="text1"/>
          <w:szCs w:val="26"/>
        </w:rPr>
        <w:t xml:space="preserve"> months, there is no explicit requirement that broadband access </w:t>
      </w:r>
      <w:proofErr w:type="gramStart"/>
      <w:r w:rsidRPr="006F7C82">
        <w:rPr>
          <w:rFonts w:eastAsia="Calibri"/>
          <w:color w:val="000000" w:themeColor="text1"/>
          <w:szCs w:val="26"/>
        </w:rPr>
        <w:t>actually be</w:t>
      </w:r>
      <w:proofErr w:type="gramEnd"/>
      <w:r w:rsidRPr="006F7C82">
        <w:rPr>
          <w:rFonts w:eastAsia="Calibri"/>
          <w:color w:val="000000" w:themeColor="text1"/>
          <w:szCs w:val="26"/>
        </w:rPr>
        <w:t xml:space="preserve"> delivered within those six months.</w:t>
      </w:r>
      <w:r w:rsidRPr="006F7C82" w:rsidR="00F209CE">
        <w:rPr>
          <w:rFonts w:eastAsia="Calibri"/>
          <w:color w:val="000000" w:themeColor="text1"/>
          <w:szCs w:val="26"/>
        </w:rPr>
        <w:t xml:space="preserve"> </w:t>
      </w:r>
      <w:r w:rsidRPr="006F7C82">
        <w:rPr>
          <w:rFonts w:eastAsia="Calibri"/>
          <w:color w:val="000000" w:themeColor="text1"/>
          <w:szCs w:val="26"/>
        </w:rPr>
        <w:t>To make clear the Commission’s intention that these projects should get off the ground in an expeditious matter, it is reasonable to add such a requirement to Adoption Account rules, as shown in Appendix 2.</w:t>
      </w:r>
      <w:r w:rsidRPr="006F7C82" w:rsidR="00F209CE">
        <w:rPr>
          <w:rFonts w:eastAsia="Calibri"/>
          <w:color w:val="000000" w:themeColor="text1"/>
          <w:szCs w:val="26"/>
        </w:rPr>
        <w:t xml:space="preserve"> </w:t>
      </w:r>
      <w:r w:rsidRPr="006F7C82">
        <w:rPr>
          <w:rFonts w:eastAsia="Calibri"/>
          <w:color w:val="000000" w:themeColor="text1"/>
          <w:szCs w:val="26"/>
        </w:rPr>
        <w:t>Further, and for the reasons listed above, it is reasonable to extend this requirement to digital literacy training classes, such that classes must commence within the six-month ramp up period.</w:t>
      </w:r>
    </w:p>
    <w:p w:rsidRPr="00FF6FF3" w:rsidR="55E90BF0" w:rsidP="00FF6FF3" w:rsidRDefault="55E90BF0" w14:paraId="095083CE" w14:textId="1BE44951">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lastRenderedPageBreak/>
        <w:t>Is it reasonable to require digital literacy training projects to have designated an in-person or virtual space for such training in its project application for the project to be eligible for an Adoption Account grant?</w:t>
      </w:r>
    </w:p>
    <w:p w:rsidRPr="006F7C82" w:rsidR="00F61033" w:rsidP="55E90BF0" w:rsidRDefault="00763181" w14:paraId="34BCE288" w14:textId="066922F4">
      <w:pPr>
        <w:pStyle w:val="Standard"/>
        <w:rPr>
          <w:rFonts w:eastAsia="Calibri"/>
          <w:color w:val="000000" w:themeColor="text1"/>
          <w:szCs w:val="26"/>
        </w:rPr>
      </w:pPr>
      <w:r w:rsidRPr="006F7C82">
        <w:rPr>
          <w:rFonts w:eastAsia="Calibri"/>
          <w:color w:val="000000" w:themeColor="text1"/>
        </w:rPr>
        <w:t xml:space="preserve">NDC </w:t>
      </w:r>
      <w:r w:rsidRPr="006F7C82" w:rsidR="00082E15">
        <w:rPr>
          <w:rFonts w:eastAsia="Calibri"/>
          <w:color w:val="000000" w:themeColor="text1"/>
        </w:rPr>
        <w:t xml:space="preserve">and </w:t>
      </w:r>
      <w:proofErr w:type="spellStart"/>
      <w:r w:rsidRPr="006F7C82" w:rsidR="00082E15">
        <w:rPr>
          <w:rFonts w:eastAsia="Calibri"/>
          <w:color w:val="000000" w:themeColor="text1"/>
        </w:rPr>
        <w:t>CforAT</w:t>
      </w:r>
      <w:proofErr w:type="spellEnd"/>
      <w:r w:rsidRPr="006F7C82" w:rsidR="00082E15">
        <w:rPr>
          <w:rFonts w:eastAsia="Calibri"/>
          <w:color w:val="000000" w:themeColor="text1"/>
        </w:rPr>
        <w:t xml:space="preserve"> suggest it is not reasonable to require </w:t>
      </w:r>
      <w:r w:rsidRPr="006F7C82" w:rsidR="005F7BE4">
        <w:rPr>
          <w:rFonts w:eastAsia="Calibri"/>
          <w:color w:val="000000" w:themeColor="text1"/>
        </w:rPr>
        <w:t xml:space="preserve">digital literacy training projects </w:t>
      </w:r>
      <w:r w:rsidRPr="006F7C82" w:rsidR="00D72B93">
        <w:rPr>
          <w:rFonts w:eastAsia="Calibri"/>
          <w:color w:val="000000" w:themeColor="text1"/>
        </w:rPr>
        <w:t xml:space="preserve">and/or broadband access projects </w:t>
      </w:r>
      <w:r w:rsidRPr="006F7C82" w:rsidR="005F7BE4">
        <w:rPr>
          <w:rFonts w:eastAsia="Calibri"/>
          <w:color w:val="000000" w:themeColor="text1"/>
        </w:rPr>
        <w:t>to</w:t>
      </w:r>
      <w:r w:rsidRPr="006F7C82" w:rsidR="00D72B93">
        <w:rPr>
          <w:rFonts w:eastAsia="Calibri"/>
          <w:color w:val="000000" w:themeColor="text1"/>
        </w:rPr>
        <w:t xml:space="preserve"> have designated </w:t>
      </w:r>
      <w:r w:rsidRPr="006F7C82" w:rsidR="006D07DD">
        <w:rPr>
          <w:rFonts w:eastAsia="Calibri"/>
          <w:color w:val="000000" w:themeColor="text1"/>
        </w:rPr>
        <w:t>an in</w:t>
      </w:r>
      <w:r w:rsidR="00BC0CA4">
        <w:rPr>
          <w:rFonts w:eastAsia="Calibri"/>
          <w:color w:val="000000" w:themeColor="text1"/>
        </w:rPr>
        <w:noBreakHyphen/>
      </w:r>
      <w:r w:rsidRPr="006F7C82" w:rsidR="006D07DD">
        <w:rPr>
          <w:rFonts w:eastAsia="Calibri"/>
          <w:color w:val="000000" w:themeColor="text1"/>
        </w:rPr>
        <w:t>person or virtual space for training in the application.</w:t>
      </w:r>
      <w:r w:rsidRPr="006F7C82" w:rsidR="00FF5FB4">
        <w:rPr>
          <w:rStyle w:val="FootnoteReference"/>
          <w:rFonts w:eastAsia="Calibri"/>
          <w:color w:val="000000" w:themeColor="text1"/>
          <w:szCs w:val="26"/>
        </w:rPr>
        <w:footnoteReference w:id="94"/>
      </w:r>
      <w:r w:rsidRPr="006F7C82" w:rsidR="006D07DD">
        <w:rPr>
          <w:rFonts w:eastAsia="Calibri"/>
          <w:color w:val="000000" w:themeColor="text1"/>
        </w:rPr>
        <w:t xml:space="preserve"> </w:t>
      </w:r>
      <w:proofErr w:type="spellStart"/>
      <w:r w:rsidRPr="006F7C82" w:rsidR="006D07DD">
        <w:rPr>
          <w:rFonts w:eastAsia="Calibri"/>
          <w:color w:val="000000" w:themeColor="text1"/>
        </w:rPr>
        <w:t>CforAT</w:t>
      </w:r>
      <w:proofErr w:type="spellEnd"/>
      <w:r w:rsidRPr="006F7C82" w:rsidR="006D07DD">
        <w:rPr>
          <w:rFonts w:eastAsia="Calibri"/>
          <w:color w:val="000000" w:themeColor="text1"/>
        </w:rPr>
        <w:t xml:space="preserve"> </w:t>
      </w:r>
      <w:r w:rsidRPr="006F7C82" w:rsidR="001A754B">
        <w:rPr>
          <w:rFonts w:eastAsia="Calibri"/>
          <w:color w:val="000000" w:themeColor="text1"/>
        </w:rPr>
        <w:t>observes that CBOs may need to</w:t>
      </w:r>
      <w:r w:rsidRPr="006F7C82" w:rsidR="006157A8">
        <w:rPr>
          <w:rFonts w:eastAsia="Calibri"/>
          <w:color w:val="000000" w:themeColor="text1"/>
        </w:rPr>
        <w:t xml:space="preserve"> ren</w:t>
      </w:r>
      <w:r w:rsidRPr="006F7C82" w:rsidR="001A754B">
        <w:rPr>
          <w:rFonts w:eastAsia="Calibri"/>
          <w:color w:val="000000" w:themeColor="text1"/>
        </w:rPr>
        <w:t>t</w:t>
      </w:r>
      <w:r w:rsidRPr="006F7C82" w:rsidR="006157A8">
        <w:rPr>
          <w:rFonts w:eastAsia="Calibri"/>
          <w:color w:val="000000" w:themeColor="text1"/>
        </w:rPr>
        <w:t xml:space="preserve"> a space or purchas</w:t>
      </w:r>
      <w:r w:rsidRPr="006F7C82" w:rsidR="001A754B">
        <w:rPr>
          <w:rFonts w:eastAsia="Calibri"/>
          <w:color w:val="000000" w:themeColor="text1"/>
        </w:rPr>
        <w:t>e</w:t>
      </w:r>
      <w:r w:rsidRPr="006F7C82" w:rsidR="006157A8">
        <w:rPr>
          <w:rFonts w:eastAsia="Calibri"/>
          <w:color w:val="000000" w:themeColor="text1"/>
        </w:rPr>
        <w:t xml:space="preserve"> equipment without knowing </w:t>
      </w:r>
      <w:r w:rsidRPr="006F7C82" w:rsidR="001A754B">
        <w:rPr>
          <w:rFonts w:eastAsia="Calibri"/>
          <w:color w:val="000000" w:themeColor="text1"/>
        </w:rPr>
        <w:t xml:space="preserve">whether they would receive funding, and </w:t>
      </w:r>
      <w:r w:rsidRPr="006F7C82" w:rsidR="006D07DD">
        <w:rPr>
          <w:rFonts w:eastAsia="Calibri"/>
          <w:color w:val="000000" w:themeColor="text1"/>
        </w:rPr>
        <w:t xml:space="preserve">suggests instead </w:t>
      </w:r>
      <w:r w:rsidRPr="006F7C82" w:rsidR="00E53F0A">
        <w:rPr>
          <w:rFonts w:eastAsia="Calibri"/>
          <w:color w:val="000000" w:themeColor="text1"/>
        </w:rPr>
        <w:t>asking applicants to describe how they intend to obtain appropriate space if they have not designated such a space in their applications</w:t>
      </w:r>
      <w:r w:rsidRPr="006F7C82" w:rsidR="00350E80">
        <w:rPr>
          <w:rFonts w:eastAsia="Calibri"/>
          <w:color w:val="000000" w:themeColor="text1"/>
        </w:rPr>
        <w:t>;</w:t>
      </w:r>
      <w:r w:rsidRPr="006F7C82" w:rsidR="00E53F0A">
        <w:rPr>
          <w:rFonts w:eastAsia="Calibri"/>
          <w:color w:val="000000" w:themeColor="text1"/>
        </w:rPr>
        <w:t xml:space="preserve"> </w:t>
      </w:r>
      <w:r w:rsidRPr="006F7C82" w:rsidR="00350E80">
        <w:rPr>
          <w:rFonts w:eastAsia="Calibri"/>
          <w:color w:val="000000" w:themeColor="text1"/>
        </w:rPr>
        <w:t xml:space="preserve">grantees would be required to </w:t>
      </w:r>
      <w:r w:rsidRPr="006F7C82" w:rsidR="00A97A91">
        <w:rPr>
          <w:rFonts w:eastAsia="Calibri"/>
          <w:color w:val="000000" w:themeColor="text1"/>
        </w:rPr>
        <w:t>provide such a showing</w:t>
      </w:r>
      <w:r w:rsidRPr="006F7C82" w:rsidR="00E24028">
        <w:rPr>
          <w:rFonts w:eastAsia="Calibri"/>
          <w:color w:val="000000" w:themeColor="text1"/>
        </w:rPr>
        <w:t xml:space="preserve"> prior to receipt of funds</w:t>
      </w:r>
      <w:r w:rsidRPr="006F7C82" w:rsidR="006157A8">
        <w:rPr>
          <w:rFonts w:eastAsia="Calibri"/>
          <w:color w:val="000000" w:themeColor="text1"/>
        </w:rPr>
        <w:t>.</w:t>
      </w:r>
      <w:r w:rsidRPr="006F7C82" w:rsidR="00303227">
        <w:rPr>
          <w:rStyle w:val="FootnoteReference"/>
          <w:rFonts w:eastAsia="Calibri"/>
          <w:color w:val="000000" w:themeColor="text1"/>
          <w:szCs w:val="26"/>
        </w:rPr>
        <w:footnoteReference w:id="95"/>
      </w:r>
      <w:r w:rsidRPr="006F7C82" w:rsidR="005F7BE4">
        <w:rPr>
          <w:rFonts w:eastAsia="Calibri"/>
          <w:color w:val="000000" w:themeColor="text1"/>
        </w:rPr>
        <w:t xml:space="preserve"> </w:t>
      </w:r>
      <w:r w:rsidRPr="006F7C82" w:rsidR="00F61033">
        <w:rPr>
          <w:rFonts w:eastAsia="Calibri"/>
          <w:color w:val="000000" w:themeColor="text1"/>
        </w:rPr>
        <w:t>LAEDC similarly suggests it may not be reasonable to require applicants to have secured an in-person or virtual space, and further that the definition of “designated training space” be flexible to allow innovative approaches to delivering training.</w:t>
      </w:r>
      <w:r w:rsidRPr="006F7C82" w:rsidR="004D117E">
        <w:rPr>
          <w:rStyle w:val="FootnoteReference"/>
          <w:rFonts w:eastAsia="Calibri"/>
          <w:color w:val="000000" w:themeColor="text1"/>
          <w:szCs w:val="26"/>
        </w:rPr>
        <w:footnoteReference w:id="96"/>
      </w:r>
      <w:r w:rsidRPr="006F7C82" w:rsidR="008B08BF">
        <w:rPr>
          <w:rFonts w:eastAsia="Calibri"/>
          <w:color w:val="000000" w:themeColor="text1"/>
        </w:rPr>
        <w:t xml:space="preserve"> IERBC also notes that </w:t>
      </w:r>
      <w:r w:rsidRPr="006F7C82" w:rsidR="001C3DBB">
        <w:rPr>
          <w:rFonts w:eastAsia="Calibri"/>
          <w:color w:val="000000" w:themeColor="text1"/>
        </w:rPr>
        <w:t xml:space="preserve">many affordable housing complexes do not have their own community center sites and should have flexibility to use </w:t>
      </w:r>
      <w:r w:rsidRPr="006F7C82" w:rsidR="00431670">
        <w:rPr>
          <w:rFonts w:eastAsia="Calibri"/>
          <w:color w:val="000000" w:themeColor="text1"/>
        </w:rPr>
        <w:t>other spaces to provide training.</w:t>
      </w:r>
      <w:r w:rsidRPr="006F7C82" w:rsidR="0074107B">
        <w:rPr>
          <w:rStyle w:val="FootnoteReference"/>
          <w:rFonts w:eastAsia="Calibri"/>
          <w:color w:val="000000" w:themeColor="text1"/>
          <w:szCs w:val="26"/>
        </w:rPr>
        <w:footnoteReference w:id="97"/>
      </w:r>
    </w:p>
    <w:p w:rsidRPr="006F7C82" w:rsidR="55E90BF0" w:rsidP="55E90BF0" w:rsidRDefault="00D84B7E" w14:paraId="49AD6DBE" w14:textId="521C0667">
      <w:pPr>
        <w:pStyle w:val="Standard"/>
        <w:rPr>
          <w:rFonts w:eastAsia="Calibri"/>
          <w:color w:val="000000" w:themeColor="text1"/>
          <w:szCs w:val="26"/>
        </w:rPr>
      </w:pPr>
      <w:r w:rsidRPr="006F7C82">
        <w:rPr>
          <w:rFonts w:eastAsia="Calibri"/>
          <w:color w:val="000000" w:themeColor="text1"/>
        </w:rPr>
        <w:t xml:space="preserve">The Commission agrees </w:t>
      </w:r>
      <w:r w:rsidRPr="006F7C82" w:rsidR="00F607F4">
        <w:rPr>
          <w:rFonts w:eastAsia="Calibri"/>
          <w:color w:val="000000" w:themeColor="text1"/>
        </w:rPr>
        <w:t>that requiring applicants to have designated an in</w:t>
      </w:r>
      <w:r w:rsidR="00BC0CA4">
        <w:rPr>
          <w:rFonts w:eastAsia="Calibri"/>
          <w:color w:val="000000" w:themeColor="text1"/>
        </w:rPr>
        <w:noBreakHyphen/>
      </w:r>
      <w:r w:rsidRPr="006F7C82" w:rsidR="00F607F4">
        <w:rPr>
          <w:rFonts w:eastAsia="Calibri"/>
          <w:color w:val="000000" w:themeColor="text1"/>
        </w:rPr>
        <w:t xml:space="preserve">person or virtual space for training </w:t>
      </w:r>
      <w:r w:rsidRPr="006F7C82" w:rsidR="008608CA">
        <w:rPr>
          <w:rFonts w:eastAsia="Calibri"/>
          <w:color w:val="000000" w:themeColor="text1"/>
        </w:rPr>
        <w:t xml:space="preserve">places </w:t>
      </w:r>
      <w:r w:rsidRPr="006F7C82" w:rsidR="002A485D">
        <w:rPr>
          <w:rFonts w:eastAsia="Calibri"/>
          <w:color w:val="000000" w:themeColor="text1"/>
        </w:rPr>
        <w:t xml:space="preserve">undue risk on organizations with very limited resources and no </w:t>
      </w:r>
      <w:r w:rsidRPr="006F7C82" w:rsidR="00C02851">
        <w:rPr>
          <w:rFonts w:eastAsia="Calibri"/>
          <w:color w:val="000000" w:themeColor="text1"/>
        </w:rPr>
        <w:t xml:space="preserve">assurance that their application will be granted. </w:t>
      </w:r>
      <w:r w:rsidRPr="006F7C82" w:rsidR="55E90BF0">
        <w:rPr>
          <w:rFonts w:eastAsia="Calibri"/>
          <w:color w:val="000000" w:themeColor="text1"/>
        </w:rPr>
        <w:t>A</w:t>
      </w:r>
      <w:r w:rsidRPr="006F7C82" w:rsidR="00D71256">
        <w:rPr>
          <w:rFonts w:eastAsia="Calibri"/>
          <w:color w:val="000000" w:themeColor="text1"/>
        </w:rPr>
        <w:t>n application</w:t>
      </w:r>
      <w:r w:rsidRPr="006F7C82" w:rsidDel="00136789" w:rsidR="55E90BF0">
        <w:rPr>
          <w:rFonts w:eastAsia="Calibri"/>
          <w:color w:val="000000" w:themeColor="text1"/>
        </w:rPr>
        <w:t xml:space="preserve"> </w:t>
      </w:r>
      <w:r w:rsidRPr="006F7C82" w:rsidR="00136789">
        <w:rPr>
          <w:rFonts w:eastAsia="Calibri"/>
          <w:color w:val="000000" w:themeColor="text1"/>
        </w:rPr>
        <w:t xml:space="preserve">showing </w:t>
      </w:r>
      <w:r w:rsidRPr="006F7C82" w:rsidR="55E90BF0">
        <w:rPr>
          <w:rFonts w:eastAsia="Calibri"/>
          <w:color w:val="000000" w:themeColor="text1"/>
        </w:rPr>
        <w:t xml:space="preserve">that digital or in-person space for digital literacy training </w:t>
      </w:r>
      <w:r w:rsidRPr="006F7C82" w:rsidR="00D71256">
        <w:rPr>
          <w:rFonts w:eastAsia="Calibri"/>
          <w:color w:val="000000" w:themeColor="text1"/>
        </w:rPr>
        <w:t xml:space="preserve">has </w:t>
      </w:r>
      <w:r w:rsidRPr="006F7C82" w:rsidR="55E90BF0">
        <w:rPr>
          <w:rFonts w:eastAsia="Calibri"/>
          <w:color w:val="000000" w:themeColor="text1"/>
        </w:rPr>
        <w:t>be</w:t>
      </w:r>
      <w:r w:rsidRPr="006F7C82" w:rsidR="00D71256">
        <w:rPr>
          <w:rFonts w:eastAsia="Calibri"/>
          <w:color w:val="000000" w:themeColor="text1"/>
        </w:rPr>
        <w:t>en</w:t>
      </w:r>
      <w:r w:rsidRPr="006F7C82" w:rsidR="55E90BF0">
        <w:rPr>
          <w:rFonts w:eastAsia="Calibri"/>
          <w:color w:val="000000" w:themeColor="text1"/>
        </w:rPr>
        <w:t xml:space="preserve"> </w:t>
      </w:r>
      <w:r w:rsidRPr="006F7C82" w:rsidR="00D71256">
        <w:rPr>
          <w:rFonts w:eastAsia="Calibri"/>
          <w:color w:val="000000" w:themeColor="text1"/>
        </w:rPr>
        <w:t xml:space="preserve">designated </w:t>
      </w:r>
      <w:r w:rsidRPr="006F7C82" w:rsidDel="00C850DB" w:rsidR="55E90BF0">
        <w:rPr>
          <w:rFonts w:eastAsia="Calibri"/>
          <w:color w:val="000000" w:themeColor="text1"/>
        </w:rPr>
        <w:t>will</w:t>
      </w:r>
      <w:r w:rsidRPr="006F7C82" w:rsidR="00C850DB">
        <w:rPr>
          <w:rFonts w:eastAsia="Calibri"/>
          <w:color w:val="000000" w:themeColor="text1"/>
        </w:rPr>
        <w:t xml:space="preserve">, however, qualify </w:t>
      </w:r>
      <w:r w:rsidRPr="006F7C82" w:rsidR="00212334">
        <w:rPr>
          <w:rFonts w:eastAsia="Calibri"/>
          <w:color w:val="000000" w:themeColor="text1"/>
        </w:rPr>
        <w:t>for Ministerial Review</w:t>
      </w:r>
      <w:r w:rsidRPr="006F7C82" w:rsidR="006C6A5F">
        <w:rPr>
          <w:rFonts w:eastAsia="Calibri"/>
          <w:color w:val="000000" w:themeColor="text1"/>
        </w:rPr>
        <w:t xml:space="preserve">, as </w:t>
      </w:r>
      <w:r w:rsidRPr="006F7C82" w:rsidR="00670876">
        <w:rPr>
          <w:rFonts w:eastAsia="Calibri"/>
          <w:color w:val="000000" w:themeColor="text1"/>
        </w:rPr>
        <w:t>m</w:t>
      </w:r>
      <w:r w:rsidRPr="006F7C82" w:rsidR="55E90BF0">
        <w:rPr>
          <w:rFonts w:eastAsia="Calibri"/>
          <w:color w:val="000000" w:themeColor="text1"/>
        </w:rPr>
        <w:t xml:space="preserve">any project costs could be dependent upon the space or software used to </w:t>
      </w:r>
      <w:r w:rsidRPr="006F7C82" w:rsidR="55E90BF0">
        <w:rPr>
          <w:rFonts w:eastAsia="Calibri"/>
          <w:color w:val="000000" w:themeColor="text1"/>
        </w:rPr>
        <w:lastRenderedPageBreak/>
        <w:t>deliver services</w:t>
      </w:r>
      <w:r w:rsidRPr="006F7C82" w:rsidR="003B6297">
        <w:rPr>
          <w:rFonts w:eastAsia="Calibri"/>
          <w:color w:val="000000" w:themeColor="text1"/>
        </w:rPr>
        <w:t xml:space="preserve">, and thus </w:t>
      </w:r>
      <w:r w:rsidRPr="006F7C82" w:rsidR="55E90BF0">
        <w:rPr>
          <w:rFonts w:eastAsia="Calibri"/>
          <w:color w:val="000000" w:themeColor="text1"/>
        </w:rPr>
        <w:t>hav</w:t>
      </w:r>
      <w:r w:rsidRPr="006F7C82" w:rsidR="003B6297">
        <w:rPr>
          <w:rFonts w:eastAsia="Calibri"/>
          <w:color w:val="000000" w:themeColor="text1"/>
        </w:rPr>
        <w:t>ing</w:t>
      </w:r>
      <w:r w:rsidRPr="006F7C82" w:rsidR="55E90BF0">
        <w:rPr>
          <w:rFonts w:eastAsia="Calibri"/>
          <w:color w:val="000000" w:themeColor="text1"/>
        </w:rPr>
        <w:t xml:space="preserve"> physical space or software for training identified at the time of the application will allow for more specific and accurate review of actual project costs. </w:t>
      </w:r>
      <w:r w:rsidRPr="006F7C82" w:rsidR="004253E7">
        <w:rPr>
          <w:rFonts w:eastAsia="Calibri"/>
          <w:color w:val="000000" w:themeColor="text1"/>
        </w:rPr>
        <w:t xml:space="preserve">The Commission </w:t>
      </w:r>
      <w:r w:rsidRPr="006F7C82" w:rsidR="00E55DB7">
        <w:rPr>
          <w:rFonts w:eastAsia="Calibri"/>
          <w:color w:val="000000" w:themeColor="text1"/>
        </w:rPr>
        <w:t xml:space="preserve">further agrees </w:t>
      </w:r>
      <w:r w:rsidRPr="006F7C82" w:rsidR="00111181">
        <w:rPr>
          <w:rFonts w:eastAsia="Calibri"/>
          <w:color w:val="000000" w:themeColor="text1"/>
        </w:rPr>
        <w:t>that</w:t>
      </w:r>
      <w:r w:rsidRPr="006F7C82" w:rsidR="00C80500">
        <w:rPr>
          <w:rFonts w:eastAsia="Calibri"/>
          <w:color w:val="000000" w:themeColor="text1"/>
        </w:rPr>
        <w:t>, in lieu of designating a specific training space, applicants</w:t>
      </w:r>
      <w:r w:rsidRPr="006F7C82" w:rsidR="00877190">
        <w:rPr>
          <w:rFonts w:eastAsia="Calibri"/>
          <w:color w:val="000000" w:themeColor="text1"/>
        </w:rPr>
        <w:t xml:space="preserve"> seeking </w:t>
      </w:r>
      <w:r w:rsidRPr="006F7C82" w:rsidR="00601BA2">
        <w:rPr>
          <w:rFonts w:eastAsia="Calibri"/>
          <w:color w:val="000000" w:themeColor="text1"/>
        </w:rPr>
        <w:t>approval via Ministerial Review</w:t>
      </w:r>
      <w:r w:rsidRPr="006F7C82" w:rsidR="00C80500">
        <w:rPr>
          <w:rFonts w:eastAsia="Calibri"/>
          <w:color w:val="000000" w:themeColor="text1"/>
        </w:rPr>
        <w:t xml:space="preserve"> may </w:t>
      </w:r>
      <w:r w:rsidRPr="006F7C82" w:rsidR="00E56543">
        <w:rPr>
          <w:rFonts w:eastAsia="Calibri"/>
          <w:color w:val="000000" w:themeColor="text1"/>
        </w:rPr>
        <w:t>provide information about how they intend to obtain an appropriate space</w:t>
      </w:r>
      <w:r w:rsidRPr="006F7C82" w:rsidR="00601BA2">
        <w:rPr>
          <w:rFonts w:eastAsia="Calibri"/>
          <w:color w:val="000000" w:themeColor="text1"/>
        </w:rPr>
        <w:t xml:space="preserve"> if their application is approved.</w:t>
      </w:r>
      <w:r w:rsidRPr="006F7C82" w:rsidR="55E90BF0">
        <w:rPr>
          <w:rFonts w:eastAsia="Calibri"/>
          <w:color w:val="000000" w:themeColor="text1"/>
        </w:rPr>
        <w:t xml:space="preserve"> Th</w:t>
      </w:r>
      <w:r w:rsidRPr="006F7C82" w:rsidR="00670876">
        <w:rPr>
          <w:rFonts w:eastAsia="Calibri"/>
          <w:color w:val="000000" w:themeColor="text1"/>
        </w:rPr>
        <w:t>e modified</w:t>
      </w:r>
      <w:r w:rsidRPr="006F7C82" w:rsidR="55E90BF0">
        <w:rPr>
          <w:rFonts w:eastAsia="Calibri"/>
          <w:color w:val="000000" w:themeColor="text1"/>
        </w:rPr>
        <w:t xml:space="preserve"> requirement is </w:t>
      </w:r>
      <w:bookmarkStart w:name="_Hlk98941543" w:id="19"/>
      <w:r w:rsidRPr="006F7C82" w:rsidR="55E90BF0">
        <w:rPr>
          <w:rFonts w:eastAsia="Calibri"/>
          <w:color w:val="000000" w:themeColor="text1"/>
        </w:rPr>
        <w:t>adopted as shown in Appendix 2</w:t>
      </w:r>
      <w:bookmarkEnd w:id="19"/>
      <w:r w:rsidRPr="006F7C82" w:rsidR="55E90BF0">
        <w:rPr>
          <w:rFonts w:eastAsia="Calibri"/>
          <w:color w:val="000000" w:themeColor="text1"/>
        </w:rPr>
        <w:t>.</w:t>
      </w:r>
      <w:r w:rsidRPr="006F7C82" w:rsidR="00147028">
        <w:rPr>
          <w:rFonts w:eastAsia="Calibri"/>
          <w:color w:val="000000" w:themeColor="text1"/>
        </w:rPr>
        <w:t xml:space="preserve"> </w:t>
      </w:r>
    </w:p>
    <w:p w:rsidRPr="006F7C82" w:rsidR="55E90BF0" w:rsidP="00BC0CA4" w:rsidRDefault="55E90BF0" w14:paraId="3D2F1350" w14:textId="2AD3C26D">
      <w:pPr>
        <w:pStyle w:val="Heading2"/>
        <w:tabs>
          <w:tab w:val="left" w:pos="6480"/>
        </w:tabs>
        <w:ind w:left="1080" w:hanging="720"/>
        <w:rPr>
          <w:color w:val="000000" w:themeColor="text1"/>
        </w:rPr>
      </w:pPr>
      <w:bookmarkStart w:name="_Toc100132363" w:id="20"/>
      <w:r w:rsidRPr="006F7C82">
        <w:rPr>
          <w:color w:val="000000" w:themeColor="text1"/>
        </w:rPr>
        <w:t>Modifications to Standards for Expedited (Ministerial) Review of Adoption Account Applications</w:t>
      </w:r>
      <w:bookmarkEnd w:id="20"/>
    </w:p>
    <w:p w:rsidRPr="006F7C82" w:rsidR="55E90BF0" w:rsidP="55E90BF0" w:rsidRDefault="55E90BF0" w14:paraId="71035DD4" w14:textId="4BA0C147">
      <w:pPr>
        <w:rPr>
          <w:rFonts w:eastAsia="Calibri"/>
          <w:color w:val="000000" w:themeColor="text1"/>
        </w:rPr>
      </w:pPr>
      <w:r w:rsidRPr="006F7C82">
        <w:rPr>
          <w:rFonts w:eastAsia="Calibri"/>
          <w:color w:val="000000" w:themeColor="text1"/>
        </w:rPr>
        <w:t xml:space="preserve">As noted in the Second Amended Scoping Memo, Adoption Account applications requesting $100,000 or less </w:t>
      </w:r>
      <w:r w:rsidRPr="006F7C82" w:rsidR="004900EE">
        <w:rPr>
          <w:rFonts w:eastAsia="Calibri"/>
          <w:color w:val="000000" w:themeColor="text1"/>
        </w:rPr>
        <w:t xml:space="preserve">per project </w:t>
      </w:r>
      <w:r w:rsidRPr="006F7C82">
        <w:rPr>
          <w:rFonts w:eastAsia="Calibri"/>
          <w:color w:val="000000" w:themeColor="text1"/>
        </w:rPr>
        <w:t>are currently eligible for approval via Ministerial Review.</w:t>
      </w:r>
      <w:r w:rsidRPr="006F7C82">
        <w:rPr>
          <w:rStyle w:val="FootnoteReference"/>
          <w:rFonts w:eastAsia="Calibri"/>
          <w:color w:val="000000" w:themeColor="text1"/>
        </w:rPr>
        <w:footnoteReference w:id="98"/>
      </w:r>
      <w:r w:rsidRPr="006F7C82" w:rsidR="00F209CE">
        <w:rPr>
          <w:rFonts w:eastAsia="Calibri"/>
          <w:color w:val="000000" w:themeColor="text1"/>
        </w:rPr>
        <w:t xml:space="preserve"> </w:t>
      </w:r>
      <w:r w:rsidRPr="006F7C82">
        <w:rPr>
          <w:rFonts w:eastAsia="Calibri"/>
          <w:color w:val="000000" w:themeColor="text1"/>
        </w:rPr>
        <w:t>However, given other recommended program changes set forth in the attached Appendix 2, if adopted, projects may be funded at higher cost per participant rates than previously authorized.</w:t>
      </w:r>
      <w:r w:rsidRPr="006F7C82" w:rsidR="00F209CE">
        <w:rPr>
          <w:rFonts w:eastAsia="Calibri"/>
          <w:color w:val="000000" w:themeColor="text1"/>
        </w:rPr>
        <w:t xml:space="preserve"> </w:t>
      </w:r>
      <w:r w:rsidRPr="006F7C82">
        <w:rPr>
          <w:rFonts w:eastAsia="Calibri"/>
          <w:color w:val="000000" w:themeColor="text1"/>
        </w:rPr>
        <w:t>Additionally, Adoption Account guidelines do not provide criteria related to per-participant caps on Adoption Program budgets.</w:t>
      </w:r>
      <w:r w:rsidRPr="006F7C82" w:rsidR="00F209CE">
        <w:rPr>
          <w:rFonts w:eastAsia="Calibri"/>
          <w:color w:val="000000" w:themeColor="text1"/>
        </w:rPr>
        <w:t xml:space="preserve"> </w:t>
      </w:r>
      <w:r w:rsidRPr="006F7C82">
        <w:rPr>
          <w:rFonts w:eastAsia="Calibri"/>
          <w:color w:val="000000" w:themeColor="text1"/>
        </w:rPr>
        <w:t xml:space="preserve">In practice, staff has adjusted submitted project budgets per each application’s proposed participant count, based on historical average cost-per-participant benchmarks, </w:t>
      </w:r>
      <w:proofErr w:type="gramStart"/>
      <w:r w:rsidRPr="006F7C82">
        <w:rPr>
          <w:rFonts w:eastAsia="Calibri"/>
          <w:color w:val="000000" w:themeColor="text1"/>
        </w:rPr>
        <w:t>in order to</w:t>
      </w:r>
      <w:proofErr w:type="gramEnd"/>
      <w:r w:rsidRPr="006F7C82">
        <w:rPr>
          <w:rFonts w:eastAsia="Calibri"/>
          <w:color w:val="000000" w:themeColor="text1"/>
        </w:rPr>
        <w:t xml:space="preserve"> standardize funding and constrain program expenditures.</w:t>
      </w:r>
      <w:r w:rsidRPr="006F7C82" w:rsidR="00F209CE">
        <w:rPr>
          <w:rFonts w:eastAsia="Calibri"/>
          <w:color w:val="000000" w:themeColor="text1"/>
        </w:rPr>
        <w:t xml:space="preserve"> </w:t>
      </w:r>
      <w:r w:rsidRPr="006F7C82">
        <w:rPr>
          <w:rFonts w:eastAsia="Calibri"/>
          <w:color w:val="000000" w:themeColor="text1"/>
        </w:rPr>
        <w:t>The Second Amended Scoping Memo asks the following questions regarding Ministerial Caps for Adoption</w:t>
      </w:r>
      <w:r w:rsidR="00BC0CA4">
        <w:rPr>
          <w:rFonts w:eastAsia="Calibri"/>
          <w:color w:val="000000" w:themeColor="text1"/>
        </w:rPr>
        <w:t> </w:t>
      </w:r>
      <w:r w:rsidRPr="006F7C82">
        <w:rPr>
          <w:rFonts w:eastAsia="Calibri"/>
          <w:color w:val="000000" w:themeColor="text1"/>
        </w:rPr>
        <w:t>Account application review:</w:t>
      </w:r>
    </w:p>
    <w:p w:rsidRPr="00FF6FF3" w:rsidR="55E90BF0" w:rsidP="00FF6FF3" w:rsidRDefault="55E90BF0" w14:paraId="363006D8" w14:textId="1CEEB8DA">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Is it reasonable to increase the cap to $150,000 or do other program changes suggest a different cap is more reasonable?</w:t>
      </w:r>
    </w:p>
    <w:p w:rsidRPr="00FF6FF3" w:rsidR="55E90BF0" w:rsidP="00FF6FF3" w:rsidRDefault="55E90BF0" w14:paraId="47DDD522" w14:textId="7CA37749">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Should the Commission adopt a per-participant cost cap for Adoption Projects?</w:t>
      </w:r>
      <w:r w:rsidRPr="004C2B66" w:rsidR="00F209CE">
        <w:rPr>
          <w:rFonts w:eastAsia="Calibri"/>
          <w:i/>
          <w:iCs/>
          <w:color w:val="000000" w:themeColor="text1"/>
        </w:rPr>
        <w:t xml:space="preserve"> </w:t>
      </w:r>
      <w:r w:rsidRPr="004C2B66">
        <w:rPr>
          <w:rFonts w:eastAsia="Calibri"/>
          <w:i/>
          <w:iCs/>
          <w:color w:val="000000" w:themeColor="text1"/>
        </w:rPr>
        <w:t>If so, what should be the cap?</w:t>
      </w:r>
      <w:r w:rsidRPr="004C2B66" w:rsidR="00F209CE">
        <w:rPr>
          <w:rFonts w:eastAsia="Calibri"/>
          <w:i/>
          <w:iCs/>
          <w:color w:val="000000" w:themeColor="text1"/>
        </w:rPr>
        <w:t xml:space="preserve"> </w:t>
      </w:r>
      <w:r w:rsidRPr="004C2B66">
        <w:rPr>
          <w:rFonts w:eastAsia="Calibri"/>
          <w:i/>
          <w:iCs/>
          <w:color w:val="000000" w:themeColor="text1"/>
        </w:rPr>
        <w:t xml:space="preserve">Should the cap be a soft cap for Ministerial Review, such that applicants with </w:t>
      </w:r>
      <w:r w:rsidRPr="004C2B66">
        <w:rPr>
          <w:rFonts w:eastAsia="Calibri"/>
          <w:i/>
          <w:iCs/>
          <w:color w:val="000000" w:themeColor="text1"/>
        </w:rPr>
        <w:lastRenderedPageBreak/>
        <w:t>proposed cost-per-participant figures exceeding the Ministerial Review cap could be approved via resolution?</w:t>
      </w:r>
      <w:r w:rsidRPr="004C2B66" w:rsidR="00F209CE">
        <w:rPr>
          <w:rFonts w:eastAsia="Calibri"/>
          <w:i/>
          <w:iCs/>
          <w:color w:val="000000" w:themeColor="text1"/>
        </w:rPr>
        <w:t xml:space="preserve"> </w:t>
      </w:r>
      <w:r w:rsidRPr="004C2B66">
        <w:rPr>
          <w:rFonts w:eastAsia="Calibri"/>
          <w:i/>
          <w:iCs/>
          <w:color w:val="000000" w:themeColor="text1"/>
        </w:rPr>
        <w:t>Should the Commission adopt an overall cost-per-participant cap?</w:t>
      </w:r>
      <w:r w:rsidRPr="004C2B66" w:rsidR="00F209CE">
        <w:rPr>
          <w:rFonts w:eastAsia="Calibri"/>
          <w:i/>
          <w:iCs/>
          <w:color w:val="000000" w:themeColor="text1"/>
        </w:rPr>
        <w:t xml:space="preserve"> </w:t>
      </w:r>
      <w:r w:rsidRPr="004C2B66">
        <w:rPr>
          <w:rFonts w:eastAsia="Calibri"/>
          <w:i/>
          <w:iCs/>
          <w:color w:val="000000" w:themeColor="text1"/>
        </w:rPr>
        <w:t>If caps should be adopted, at what level(s)?</w:t>
      </w:r>
      <w:r w:rsidRPr="004C2B66" w:rsidR="00F209CE">
        <w:rPr>
          <w:rFonts w:eastAsia="Calibri"/>
          <w:i/>
          <w:iCs/>
          <w:color w:val="000000" w:themeColor="text1"/>
        </w:rPr>
        <w:t xml:space="preserve"> </w:t>
      </w:r>
      <w:r w:rsidRPr="004C2B66">
        <w:rPr>
          <w:rFonts w:eastAsia="Calibri"/>
          <w:i/>
          <w:iCs/>
          <w:color w:val="000000" w:themeColor="text1"/>
        </w:rPr>
        <w:t>See Sections 1.7, and 1.10 of Appendix 2 for proposed changes to the rules related to this question.</w:t>
      </w:r>
    </w:p>
    <w:p w:rsidRPr="006F7C82" w:rsidR="00B648CE" w:rsidP="55E90BF0" w:rsidRDefault="008605E5" w14:paraId="2F8443E1" w14:textId="0D60FFF4">
      <w:pPr>
        <w:rPr>
          <w:rFonts w:eastAsia="Calibri"/>
          <w:color w:val="000000" w:themeColor="text1"/>
          <w:szCs w:val="26"/>
        </w:rPr>
      </w:pPr>
      <w:r w:rsidRPr="006F7C82">
        <w:rPr>
          <w:rFonts w:eastAsia="Calibri"/>
          <w:color w:val="000000" w:themeColor="text1"/>
        </w:rPr>
        <w:t xml:space="preserve">On the proposed overall cap of </w:t>
      </w:r>
      <w:r w:rsidRPr="006F7C82" w:rsidR="007A7923">
        <w:rPr>
          <w:rFonts w:eastAsia="Calibri"/>
          <w:color w:val="000000" w:themeColor="text1"/>
        </w:rPr>
        <w:t xml:space="preserve">$150,000, </w:t>
      </w:r>
      <w:r w:rsidRPr="006F7C82" w:rsidR="00B87096">
        <w:rPr>
          <w:rFonts w:eastAsia="Calibri"/>
          <w:color w:val="000000" w:themeColor="text1"/>
        </w:rPr>
        <w:t xml:space="preserve">IERBC and </w:t>
      </w:r>
      <w:r w:rsidRPr="006F7C82" w:rsidR="009B4334">
        <w:rPr>
          <w:rFonts w:eastAsia="Calibri"/>
          <w:color w:val="000000" w:themeColor="text1"/>
        </w:rPr>
        <w:t xml:space="preserve">LAEDC would support an even higher cap, noting </w:t>
      </w:r>
      <w:r w:rsidRPr="006F7C82" w:rsidR="00D86039">
        <w:rPr>
          <w:rFonts w:eastAsia="Calibri"/>
          <w:color w:val="000000" w:themeColor="text1"/>
        </w:rPr>
        <w:t xml:space="preserve">the </w:t>
      </w:r>
      <w:r w:rsidRPr="006F7C82" w:rsidR="009122AE">
        <w:rPr>
          <w:rFonts w:eastAsia="Calibri"/>
          <w:color w:val="000000" w:themeColor="text1"/>
        </w:rPr>
        <w:t xml:space="preserve">varying demands </w:t>
      </w:r>
      <w:r w:rsidRPr="006F7C82" w:rsidR="00BB7DEB">
        <w:rPr>
          <w:rFonts w:eastAsia="Calibri"/>
          <w:color w:val="000000" w:themeColor="text1"/>
        </w:rPr>
        <w:t xml:space="preserve">based on community size and participants’ needs, and the </w:t>
      </w:r>
      <w:r w:rsidRPr="006F7C82" w:rsidR="00D86039">
        <w:rPr>
          <w:rFonts w:eastAsia="Calibri"/>
          <w:color w:val="000000" w:themeColor="text1"/>
        </w:rPr>
        <w:t xml:space="preserve">difficulty </w:t>
      </w:r>
      <w:r w:rsidRPr="006F7C82" w:rsidR="00757B0D">
        <w:rPr>
          <w:rFonts w:eastAsia="Calibri"/>
          <w:color w:val="000000" w:themeColor="text1"/>
        </w:rPr>
        <w:t>the current</w:t>
      </w:r>
      <w:r w:rsidRPr="006F7C82" w:rsidR="00D86039">
        <w:rPr>
          <w:rFonts w:eastAsia="Calibri"/>
          <w:color w:val="000000" w:themeColor="text1"/>
        </w:rPr>
        <w:t xml:space="preserve"> cap imposed on some past applicants</w:t>
      </w:r>
      <w:r w:rsidRPr="006F7C82" w:rsidR="00757B0D">
        <w:rPr>
          <w:rFonts w:eastAsia="Calibri"/>
          <w:color w:val="000000" w:themeColor="text1"/>
        </w:rPr>
        <w:t>.</w:t>
      </w:r>
      <w:r w:rsidRPr="006F7C82" w:rsidR="00C870C2">
        <w:rPr>
          <w:rStyle w:val="FootnoteReference"/>
          <w:rFonts w:eastAsia="Calibri"/>
          <w:color w:val="000000" w:themeColor="text1"/>
          <w:szCs w:val="26"/>
        </w:rPr>
        <w:footnoteReference w:id="99"/>
      </w:r>
      <w:r w:rsidRPr="006F7C82" w:rsidR="00757B0D">
        <w:rPr>
          <w:rFonts w:eastAsia="Calibri"/>
          <w:color w:val="000000" w:themeColor="text1"/>
        </w:rPr>
        <w:t xml:space="preserve"> </w:t>
      </w:r>
      <w:r w:rsidRPr="006F7C82" w:rsidR="00EE1A57">
        <w:rPr>
          <w:rFonts w:eastAsia="Calibri"/>
          <w:color w:val="000000" w:themeColor="text1"/>
        </w:rPr>
        <w:t>NDC is supportive of increasing the overall cap for Ministerial Review eligibility to amounts that are clearly reasonable for such projects.</w:t>
      </w:r>
      <w:r w:rsidRPr="006F7C82" w:rsidR="00394BE3">
        <w:rPr>
          <w:rStyle w:val="FootnoteReference"/>
          <w:rFonts w:eastAsia="Calibri"/>
          <w:color w:val="000000" w:themeColor="text1"/>
          <w:szCs w:val="26"/>
        </w:rPr>
        <w:footnoteReference w:id="100"/>
      </w:r>
    </w:p>
    <w:p w:rsidRPr="006F7C82" w:rsidR="00930955" w:rsidP="55E90BF0" w:rsidRDefault="00B648CE" w14:paraId="049AD1E8" w14:textId="7E910347">
      <w:pPr>
        <w:rPr>
          <w:rFonts w:eastAsia="Calibri"/>
          <w:color w:val="000000" w:themeColor="text1"/>
          <w:szCs w:val="26"/>
        </w:rPr>
      </w:pPr>
      <w:r w:rsidRPr="006F7C82">
        <w:rPr>
          <w:rFonts w:eastAsia="Calibri"/>
          <w:color w:val="000000" w:themeColor="text1"/>
        </w:rPr>
        <w:t xml:space="preserve">In response to both Questions 23 and 24, </w:t>
      </w:r>
      <w:r w:rsidRPr="006F7C82" w:rsidR="00930955">
        <w:rPr>
          <w:rFonts w:eastAsia="Calibri"/>
          <w:color w:val="000000" w:themeColor="text1"/>
        </w:rPr>
        <w:t xml:space="preserve">CETF urges the Commission and </w:t>
      </w:r>
      <w:r w:rsidRPr="006F7C82" w:rsidR="00FC1C84">
        <w:rPr>
          <w:rFonts w:eastAsia="Calibri"/>
          <w:color w:val="000000" w:themeColor="text1"/>
        </w:rPr>
        <w:t xml:space="preserve">staff to </w:t>
      </w:r>
      <w:r w:rsidRPr="006F7C82" w:rsidR="007A7923">
        <w:rPr>
          <w:rFonts w:eastAsia="Calibri"/>
          <w:color w:val="000000" w:themeColor="text1"/>
        </w:rPr>
        <w:t xml:space="preserve">instead </w:t>
      </w:r>
      <w:r w:rsidRPr="006F7C82" w:rsidR="00FC1C84">
        <w:rPr>
          <w:rFonts w:eastAsia="Calibri"/>
          <w:color w:val="000000" w:themeColor="text1"/>
        </w:rPr>
        <w:t xml:space="preserve">think in terms of how many adoptions a prospective grantee </w:t>
      </w:r>
      <w:r w:rsidRPr="006F7C82" w:rsidR="001C455C">
        <w:rPr>
          <w:rFonts w:eastAsia="Calibri"/>
          <w:color w:val="000000" w:themeColor="text1"/>
        </w:rPr>
        <w:t xml:space="preserve">can </w:t>
      </w:r>
      <w:r w:rsidRPr="006F7C82" w:rsidR="00FC1C84">
        <w:rPr>
          <w:rFonts w:eastAsia="Calibri"/>
          <w:color w:val="000000" w:themeColor="text1"/>
        </w:rPr>
        <w:t xml:space="preserve">deliver based on their past track record, and based on its analysis, </w:t>
      </w:r>
      <w:r w:rsidRPr="006F7C82" w:rsidR="001C455C">
        <w:rPr>
          <w:rFonts w:eastAsia="Calibri"/>
          <w:color w:val="000000" w:themeColor="text1"/>
        </w:rPr>
        <w:t xml:space="preserve">CETF </w:t>
      </w:r>
      <w:r w:rsidRPr="006F7C82" w:rsidR="00FC1C84">
        <w:rPr>
          <w:rFonts w:eastAsia="Calibri"/>
          <w:color w:val="000000" w:themeColor="text1"/>
        </w:rPr>
        <w:t xml:space="preserve">suggests </w:t>
      </w:r>
      <w:r w:rsidRPr="006F7C82" w:rsidR="00CB60A7">
        <w:rPr>
          <w:rFonts w:eastAsia="Calibri"/>
          <w:color w:val="000000" w:themeColor="text1"/>
        </w:rPr>
        <w:t>a maximum of $250 per adoption plus an additional $100 for delivering all three</w:t>
      </w:r>
      <w:r w:rsidR="00BC0CA4">
        <w:rPr>
          <w:rFonts w:eastAsia="Calibri"/>
          <w:color w:val="000000" w:themeColor="text1"/>
        </w:rPr>
        <w:t> </w:t>
      </w:r>
      <w:r w:rsidRPr="006F7C82" w:rsidR="00CB60A7">
        <w:rPr>
          <w:rFonts w:eastAsia="Calibri"/>
          <w:color w:val="000000" w:themeColor="text1"/>
        </w:rPr>
        <w:t>elements of digital literacy training (</w:t>
      </w:r>
      <w:r w:rsidRPr="006F7C82" w:rsidR="00D60614">
        <w:rPr>
          <w:rFonts w:eastAsia="Calibri"/>
          <w:color w:val="000000" w:themeColor="text1"/>
        </w:rPr>
        <w:t>cost, relevance, and digital literacy).</w:t>
      </w:r>
      <w:r w:rsidRPr="006F7C82" w:rsidR="0063797C">
        <w:rPr>
          <w:rStyle w:val="FootnoteReference"/>
          <w:rFonts w:eastAsia="Calibri"/>
          <w:color w:val="000000" w:themeColor="text1"/>
          <w:szCs w:val="26"/>
        </w:rPr>
        <w:footnoteReference w:id="101"/>
      </w:r>
      <w:r w:rsidRPr="006F7C82" w:rsidR="00613970">
        <w:rPr>
          <w:rFonts w:eastAsia="Calibri"/>
          <w:color w:val="000000" w:themeColor="text1"/>
        </w:rPr>
        <w:t xml:space="preserve"> </w:t>
      </w:r>
      <w:r w:rsidRPr="006F7C82" w:rsidR="006638D9">
        <w:rPr>
          <w:rFonts w:eastAsia="Calibri"/>
          <w:color w:val="000000" w:themeColor="text1"/>
        </w:rPr>
        <w:t xml:space="preserve">In reply comments, </w:t>
      </w:r>
      <w:proofErr w:type="spellStart"/>
      <w:r w:rsidRPr="006F7C82" w:rsidR="006638D9">
        <w:rPr>
          <w:rFonts w:eastAsia="Calibri"/>
          <w:color w:val="000000" w:themeColor="text1"/>
        </w:rPr>
        <w:t>CforAT</w:t>
      </w:r>
      <w:proofErr w:type="spellEnd"/>
      <w:r w:rsidRPr="006F7C82" w:rsidR="006638D9">
        <w:rPr>
          <w:rFonts w:eastAsia="Calibri"/>
          <w:color w:val="000000" w:themeColor="text1"/>
        </w:rPr>
        <w:t xml:space="preserve"> </w:t>
      </w:r>
      <w:r w:rsidRPr="006F7C82" w:rsidR="00A6403A">
        <w:rPr>
          <w:rFonts w:eastAsia="Calibri"/>
          <w:color w:val="000000" w:themeColor="text1"/>
        </w:rPr>
        <w:t>asserts such an approach</w:t>
      </w:r>
      <w:r w:rsidRPr="006F7C82" w:rsidR="006638D9">
        <w:rPr>
          <w:rFonts w:eastAsia="Calibri"/>
          <w:color w:val="000000" w:themeColor="text1"/>
        </w:rPr>
        <w:t xml:space="preserve"> </w:t>
      </w:r>
      <w:r w:rsidRPr="006F7C82" w:rsidR="008C1405">
        <w:rPr>
          <w:rFonts w:eastAsia="Calibri"/>
          <w:color w:val="000000" w:themeColor="text1"/>
        </w:rPr>
        <w:t xml:space="preserve">would likely prevent communities in sparsely </w:t>
      </w:r>
      <w:r w:rsidRPr="006F7C82" w:rsidR="00F02B95">
        <w:rPr>
          <w:rFonts w:eastAsia="Calibri"/>
          <w:color w:val="000000" w:themeColor="text1"/>
        </w:rPr>
        <w:t xml:space="preserve">populated areas or other “hardest to reach” </w:t>
      </w:r>
      <w:r w:rsidRPr="006F7C82" w:rsidR="004C514A">
        <w:rPr>
          <w:rFonts w:eastAsia="Calibri"/>
          <w:color w:val="000000" w:themeColor="text1"/>
        </w:rPr>
        <w:t>communities from receiving digital literacy training.</w:t>
      </w:r>
      <w:r w:rsidRPr="006F7C82" w:rsidR="009E676B">
        <w:rPr>
          <w:rStyle w:val="FootnoteReference"/>
          <w:rFonts w:eastAsia="Calibri"/>
          <w:color w:val="000000" w:themeColor="text1"/>
          <w:szCs w:val="26"/>
        </w:rPr>
        <w:footnoteReference w:id="102"/>
      </w:r>
      <w:r w:rsidRPr="006F7C82" w:rsidR="004C514A">
        <w:rPr>
          <w:rFonts w:eastAsia="Calibri"/>
          <w:color w:val="000000" w:themeColor="text1"/>
        </w:rPr>
        <w:t xml:space="preserve"> </w:t>
      </w:r>
    </w:p>
    <w:p w:rsidRPr="006F7C82" w:rsidR="00757B0D" w:rsidP="55E90BF0" w:rsidRDefault="0005392E" w14:paraId="33D56345" w14:textId="483AC20A">
      <w:pPr>
        <w:rPr>
          <w:rFonts w:eastAsia="Calibri"/>
          <w:color w:val="000000" w:themeColor="text1"/>
          <w:szCs w:val="26"/>
        </w:rPr>
      </w:pPr>
      <w:r w:rsidRPr="006F7C82">
        <w:rPr>
          <w:rFonts w:eastAsia="Calibri"/>
          <w:color w:val="000000" w:themeColor="text1"/>
        </w:rPr>
        <w:t xml:space="preserve">IERBC and </w:t>
      </w:r>
      <w:r w:rsidRPr="006F7C82" w:rsidR="00C00EA3">
        <w:rPr>
          <w:rFonts w:eastAsia="Calibri"/>
          <w:color w:val="000000" w:themeColor="text1"/>
        </w:rPr>
        <w:t xml:space="preserve">LAEDC do not support a per-participant cost cap </w:t>
      </w:r>
      <w:r w:rsidRPr="006F7C82" w:rsidR="00691A9E">
        <w:rPr>
          <w:rFonts w:eastAsia="Calibri"/>
          <w:color w:val="000000" w:themeColor="text1"/>
        </w:rPr>
        <w:t xml:space="preserve">for </w:t>
      </w:r>
      <w:r w:rsidR="00BC0CA4">
        <w:rPr>
          <w:rFonts w:eastAsia="Calibri"/>
          <w:color w:val="000000" w:themeColor="text1"/>
        </w:rPr>
        <w:t>a</w:t>
      </w:r>
      <w:r w:rsidRPr="006F7C82" w:rsidR="00691A9E">
        <w:rPr>
          <w:rFonts w:eastAsia="Calibri"/>
          <w:color w:val="000000" w:themeColor="text1"/>
        </w:rPr>
        <w:t>doption</w:t>
      </w:r>
      <w:r w:rsidR="00BC0CA4">
        <w:rPr>
          <w:rFonts w:eastAsia="Calibri"/>
          <w:color w:val="000000" w:themeColor="text1"/>
        </w:rPr>
        <w:t> </w:t>
      </w:r>
      <w:r w:rsidRPr="006F7C82" w:rsidR="00691A9E">
        <w:rPr>
          <w:rFonts w:eastAsia="Calibri"/>
          <w:color w:val="000000" w:themeColor="text1"/>
        </w:rPr>
        <w:t>projects</w:t>
      </w:r>
      <w:r w:rsidRPr="006F7C82" w:rsidR="00A24DB9">
        <w:rPr>
          <w:rFonts w:eastAsia="Calibri"/>
          <w:color w:val="000000" w:themeColor="text1"/>
        </w:rPr>
        <w:t xml:space="preserve">, </w:t>
      </w:r>
      <w:r w:rsidRPr="006F7C82" w:rsidR="00E9482B">
        <w:rPr>
          <w:rFonts w:eastAsia="Calibri"/>
          <w:color w:val="000000" w:themeColor="text1"/>
        </w:rPr>
        <w:t xml:space="preserve">asserting </w:t>
      </w:r>
      <w:r w:rsidRPr="006F7C82" w:rsidR="0029708E">
        <w:rPr>
          <w:rFonts w:eastAsia="Calibri"/>
          <w:color w:val="000000" w:themeColor="text1"/>
        </w:rPr>
        <w:t xml:space="preserve">such a cap is administratively burdensome </w:t>
      </w:r>
      <w:r w:rsidRPr="006F7C82" w:rsidR="00BF70A8">
        <w:rPr>
          <w:rFonts w:eastAsia="Calibri"/>
          <w:color w:val="000000" w:themeColor="text1"/>
        </w:rPr>
        <w:t>and does not account for participants’ varying digital literacy needs</w:t>
      </w:r>
      <w:r w:rsidRPr="006F7C82" w:rsidR="001E01F9">
        <w:rPr>
          <w:rFonts w:eastAsia="Calibri"/>
          <w:color w:val="000000" w:themeColor="text1"/>
        </w:rPr>
        <w:t>.</w:t>
      </w:r>
      <w:r w:rsidRPr="006F7C82" w:rsidR="005531B7">
        <w:rPr>
          <w:rStyle w:val="FootnoteReference"/>
          <w:rFonts w:eastAsia="Calibri"/>
          <w:color w:val="000000" w:themeColor="text1"/>
          <w:szCs w:val="26"/>
        </w:rPr>
        <w:footnoteReference w:id="103"/>
      </w:r>
      <w:r w:rsidRPr="006F7C82" w:rsidR="001E01F9">
        <w:rPr>
          <w:rFonts w:eastAsia="Calibri"/>
          <w:color w:val="000000" w:themeColor="text1"/>
        </w:rPr>
        <w:t xml:space="preserve"> LAEDC further asserts </w:t>
      </w:r>
      <w:r w:rsidRPr="006F7C82" w:rsidR="00195349">
        <w:rPr>
          <w:rFonts w:eastAsia="Calibri"/>
          <w:color w:val="000000" w:themeColor="text1"/>
        </w:rPr>
        <w:t xml:space="preserve">such caps do not consider the comprehensive approaches often required </w:t>
      </w:r>
      <w:r w:rsidRPr="006F7C82" w:rsidR="00195349">
        <w:rPr>
          <w:rFonts w:eastAsia="Calibri"/>
          <w:color w:val="000000" w:themeColor="text1"/>
        </w:rPr>
        <w:lastRenderedPageBreak/>
        <w:t xml:space="preserve">to </w:t>
      </w:r>
      <w:r w:rsidRPr="006F7C82" w:rsidR="00322ADC">
        <w:rPr>
          <w:rFonts w:eastAsia="Calibri"/>
          <w:color w:val="000000" w:themeColor="text1"/>
        </w:rPr>
        <w:t>develop programs under more challenging circumstances, which may represent many of the types of projects for which applicants would seek funding.</w:t>
      </w:r>
      <w:r w:rsidRPr="006F7C82" w:rsidR="00065FD7">
        <w:rPr>
          <w:rStyle w:val="FootnoteReference"/>
          <w:rFonts w:eastAsia="Calibri"/>
          <w:color w:val="000000" w:themeColor="text1"/>
          <w:szCs w:val="26"/>
        </w:rPr>
        <w:footnoteReference w:id="104"/>
      </w:r>
      <w:r w:rsidRPr="006F7C82" w:rsidR="00691A9E">
        <w:rPr>
          <w:rFonts w:eastAsia="Calibri"/>
          <w:color w:val="000000" w:themeColor="text1"/>
        </w:rPr>
        <w:t xml:space="preserve"> </w:t>
      </w:r>
      <w:proofErr w:type="spellStart"/>
      <w:r w:rsidRPr="006F7C82" w:rsidR="00C657CB">
        <w:rPr>
          <w:rFonts w:eastAsia="Calibri"/>
          <w:color w:val="000000" w:themeColor="text1"/>
        </w:rPr>
        <w:t>CforAT</w:t>
      </w:r>
      <w:proofErr w:type="spellEnd"/>
      <w:r w:rsidRPr="006F7C82" w:rsidR="00C657CB">
        <w:rPr>
          <w:rFonts w:eastAsia="Calibri"/>
          <w:color w:val="000000" w:themeColor="text1"/>
        </w:rPr>
        <w:t xml:space="preserve"> supports a “soft cap” for Ministerial Review</w:t>
      </w:r>
      <w:r w:rsidRPr="006F7C82" w:rsidR="00AC7F89">
        <w:rPr>
          <w:rFonts w:eastAsia="Calibri"/>
          <w:color w:val="000000" w:themeColor="text1"/>
        </w:rPr>
        <w:t xml:space="preserve">, meaning any applications requesting more than the cap </w:t>
      </w:r>
      <w:r w:rsidRPr="006F7C82" w:rsidR="00615000">
        <w:rPr>
          <w:rFonts w:eastAsia="Calibri"/>
          <w:color w:val="000000" w:themeColor="text1"/>
        </w:rPr>
        <w:t>may be approved via resolution.</w:t>
      </w:r>
      <w:r w:rsidRPr="006F7C82" w:rsidR="0084330C">
        <w:rPr>
          <w:rStyle w:val="FootnoteReference"/>
          <w:rFonts w:eastAsia="Calibri"/>
          <w:color w:val="000000" w:themeColor="text1"/>
          <w:szCs w:val="26"/>
        </w:rPr>
        <w:footnoteReference w:id="105"/>
      </w:r>
      <w:r w:rsidRPr="006F7C82" w:rsidR="004C0A70">
        <w:rPr>
          <w:rFonts w:eastAsia="Calibri"/>
          <w:color w:val="000000" w:themeColor="text1"/>
        </w:rPr>
        <w:t xml:space="preserve"> </w:t>
      </w:r>
    </w:p>
    <w:p w:rsidRPr="006F7C82" w:rsidR="55E90BF0" w:rsidP="55E90BF0" w:rsidRDefault="55E90BF0" w14:paraId="63ABDFEC" w14:textId="4AFBF2BB">
      <w:pPr>
        <w:rPr>
          <w:rFonts w:eastAsia="Calibri"/>
          <w:color w:val="000000" w:themeColor="text1"/>
        </w:rPr>
      </w:pPr>
      <w:r w:rsidRPr="006F7C82">
        <w:rPr>
          <w:rFonts w:eastAsia="Calibri"/>
          <w:color w:val="000000" w:themeColor="text1"/>
        </w:rPr>
        <w:t xml:space="preserve">Given the expansion in eligible program costs noted below and </w:t>
      </w:r>
      <w:proofErr w:type="gramStart"/>
      <w:r w:rsidRPr="006F7C82">
        <w:rPr>
          <w:rFonts w:eastAsia="Calibri"/>
          <w:color w:val="000000" w:themeColor="text1"/>
        </w:rPr>
        <w:t>in light of</w:t>
      </w:r>
      <w:proofErr w:type="gramEnd"/>
      <w:r w:rsidRPr="006F7C82">
        <w:rPr>
          <w:rFonts w:eastAsia="Calibri"/>
          <w:color w:val="000000" w:themeColor="text1"/>
        </w:rPr>
        <w:t xml:space="preserve"> inflationary factors, it is reasonable to increase the overall cap for Ministerial</w:t>
      </w:r>
      <w:r w:rsidR="00BC0CA4">
        <w:rPr>
          <w:rFonts w:eastAsia="Calibri"/>
          <w:color w:val="000000" w:themeColor="text1"/>
        </w:rPr>
        <w:t> </w:t>
      </w:r>
      <w:r w:rsidRPr="006F7C82">
        <w:rPr>
          <w:rFonts w:eastAsia="Calibri"/>
          <w:color w:val="000000" w:themeColor="text1"/>
        </w:rPr>
        <w:t xml:space="preserve">Review to $150,000 </w:t>
      </w:r>
      <w:r w:rsidRPr="006F7C82" w:rsidR="00055AA2">
        <w:rPr>
          <w:rFonts w:eastAsia="Calibri"/>
          <w:color w:val="000000" w:themeColor="text1"/>
        </w:rPr>
        <w:t>per project</w:t>
      </w:r>
      <w:r w:rsidRPr="006F7C82">
        <w:rPr>
          <w:rFonts w:eastAsia="Calibri"/>
          <w:color w:val="000000" w:themeColor="text1"/>
        </w:rPr>
        <w:t xml:space="preserve"> to allow similar numbers of applications to be reviewed ministerially as were reviewed ministerially before eligible costs were </w:t>
      </w:r>
      <w:r w:rsidRPr="006F7C82" w:rsidR="00A31FF0">
        <w:rPr>
          <w:rFonts w:eastAsia="Calibri"/>
          <w:color w:val="000000" w:themeColor="text1"/>
        </w:rPr>
        <w:t>exp</w:t>
      </w:r>
      <w:r w:rsidR="00A31FF0">
        <w:rPr>
          <w:rFonts w:eastAsia="Calibri"/>
          <w:color w:val="000000" w:themeColor="text1"/>
        </w:rPr>
        <w:t>a</w:t>
      </w:r>
      <w:r w:rsidRPr="006F7C82" w:rsidR="00A31FF0">
        <w:rPr>
          <w:rFonts w:eastAsia="Calibri"/>
          <w:color w:val="000000" w:themeColor="text1"/>
        </w:rPr>
        <w:t>nded</w:t>
      </w:r>
      <w:r w:rsidRPr="006F7C82">
        <w:rPr>
          <w:rFonts w:eastAsia="Calibri"/>
          <w:color w:val="000000" w:themeColor="text1"/>
        </w:rPr>
        <w:t>.</w:t>
      </w:r>
      <w:r w:rsidRPr="006F7C82" w:rsidR="00F209CE">
        <w:rPr>
          <w:rFonts w:eastAsia="Calibri"/>
          <w:color w:val="000000" w:themeColor="text1"/>
        </w:rPr>
        <w:t xml:space="preserve"> </w:t>
      </w:r>
      <w:r w:rsidRPr="006F7C82">
        <w:rPr>
          <w:rFonts w:eastAsia="Calibri"/>
          <w:color w:val="000000" w:themeColor="text1"/>
        </w:rPr>
        <w:t>This will ease administrative burdens and increase efficiency.</w:t>
      </w:r>
      <w:r w:rsidRPr="006F7C82" w:rsidR="00AB6791">
        <w:rPr>
          <w:rFonts w:eastAsia="Calibri"/>
          <w:color w:val="000000" w:themeColor="text1"/>
        </w:rPr>
        <w:t xml:space="preserve"> The Commission acknowledges parties’ c</w:t>
      </w:r>
      <w:r w:rsidRPr="006F7C82" w:rsidR="00B40463">
        <w:rPr>
          <w:rFonts w:eastAsia="Calibri"/>
          <w:color w:val="000000" w:themeColor="text1"/>
        </w:rPr>
        <w:t xml:space="preserve">alls for a </w:t>
      </w:r>
      <w:r w:rsidRPr="006F7C82" w:rsidR="00F277EA">
        <w:rPr>
          <w:rFonts w:eastAsia="Calibri"/>
          <w:color w:val="000000" w:themeColor="text1"/>
        </w:rPr>
        <w:t xml:space="preserve">higher </w:t>
      </w:r>
      <w:r w:rsidRPr="006F7C82" w:rsidR="00013CAF">
        <w:rPr>
          <w:rFonts w:eastAsia="Calibri"/>
          <w:color w:val="000000" w:themeColor="text1"/>
        </w:rPr>
        <w:t>overall</w:t>
      </w:r>
      <w:r w:rsidRPr="006F7C82" w:rsidR="00F277EA">
        <w:rPr>
          <w:rFonts w:eastAsia="Calibri"/>
          <w:color w:val="000000" w:themeColor="text1"/>
        </w:rPr>
        <w:t xml:space="preserve"> cap</w:t>
      </w:r>
      <w:r w:rsidRPr="006F7C82" w:rsidR="00832417">
        <w:rPr>
          <w:rFonts w:eastAsia="Calibri"/>
          <w:color w:val="000000" w:themeColor="text1"/>
        </w:rPr>
        <w:t xml:space="preserve">; </w:t>
      </w:r>
      <w:proofErr w:type="gramStart"/>
      <w:r w:rsidRPr="006F7C82" w:rsidR="00832417">
        <w:rPr>
          <w:rFonts w:eastAsia="Calibri"/>
          <w:color w:val="000000" w:themeColor="text1"/>
        </w:rPr>
        <w:t>at this time</w:t>
      </w:r>
      <w:proofErr w:type="gramEnd"/>
      <w:r w:rsidRPr="006F7C82" w:rsidR="00832417">
        <w:rPr>
          <w:rFonts w:eastAsia="Calibri"/>
          <w:color w:val="000000" w:themeColor="text1"/>
        </w:rPr>
        <w:t xml:space="preserve">, we </w:t>
      </w:r>
      <w:r w:rsidRPr="006F7C82" w:rsidR="00D40F78">
        <w:rPr>
          <w:rFonts w:eastAsia="Calibri"/>
          <w:color w:val="000000" w:themeColor="text1"/>
        </w:rPr>
        <w:t xml:space="preserve">find it reasonable to </w:t>
      </w:r>
      <w:r w:rsidRPr="006F7C82" w:rsidR="00A258AA">
        <w:rPr>
          <w:rFonts w:eastAsia="Calibri"/>
          <w:color w:val="000000" w:themeColor="text1"/>
        </w:rPr>
        <w:t xml:space="preserve">adopt a more conservative </w:t>
      </w:r>
      <w:r w:rsidRPr="006F7C82" w:rsidR="007E6AB5">
        <w:rPr>
          <w:rFonts w:eastAsia="Calibri"/>
          <w:color w:val="000000" w:themeColor="text1"/>
        </w:rPr>
        <w:t xml:space="preserve">threshold amount for </w:t>
      </w:r>
      <w:r w:rsidRPr="006F7C82" w:rsidR="00143538">
        <w:rPr>
          <w:rFonts w:eastAsia="Calibri"/>
          <w:color w:val="000000" w:themeColor="text1"/>
        </w:rPr>
        <w:t>Ministerial Review</w:t>
      </w:r>
      <w:r w:rsidRPr="006F7C82" w:rsidR="00A810B4">
        <w:rPr>
          <w:rFonts w:eastAsia="Calibri"/>
          <w:color w:val="000000" w:themeColor="text1"/>
        </w:rPr>
        <w:t>.</w:t>
      </w:r>
      <w:r w:rsidRPr="006F7C82" w:rsidR="00B91900">
        <w:rPr>
          <w:rFonts w:eastAsia="Calibri"/>
          <w:color w:val="000000" w:themeColor="text1"/>
        </w:rPr>
        <w:t xml:space="preserve"> </w:t>
      </w:r>
    </w:p>
    <w:p w:rsidRPr="006F7C82" w:rsidR="55E90BF0" w:rsidP="55E90BF0" w:rsidRDefault="55E90BF0" w14:paraId="6EC470D6" w14:textId="44F4E504">
      <w:pPr>
        <w:pStyle w:val="Standard"/>
        <w:rPr>
          <w:rFonts w:eastAsia="Calibri"/>
          <w:color w:val="000000" w:themeColor="text1"/>
        </w:rPr>
      </w:pPr>
      <w:r w:rsidRPr="006F7C82">
        <w:rPr>
          <w:rFonts w:eastAsia="Calibri"/>
          <w:color w:val="000000" w:themeColor="text1"/>
        </w:rPr>
        <w:t>Adopting per-participant caps for Adoption Projects approved ministerially will allow for standardization of costs and preservation of program funding. Adopting caps will also provide applicants with more certainty and transparency as to staff review processes.</w:t>
      </w:r>
      <w:r w:rsidRPr="006F7C82" w:rsidR="00F209CE">
        <w:rPr>
          <w:rFonts w:eastAsia="Calibri"/>
          <w:color w:val="000000" w:themeColor="text1"/>
        </w:rPr>
        <w:t xml:space="preserve"> </w:t>
      </w:r>
      <w:r w:rsidRPr="006F7C82">
        <w:rPr>
          <w:rFonts w:eastAsia="Calibri"/>
          <w:color w:val="000000" w:themeColor="text1"/>
        </w:rPr>
        <w:t xml:space="preserve">Adopting these caps as criteria for Ministerial Review will preserve program flexibility, allowing applications for projects that exceed the caps the opportunity to be approved via </w:t>
      </w:r>
      <w:r w:rsidRPr="006F7C82" w:rsidR="00F209CE">
        <w:rPr>
          <w:rFonts w:eastAsia="Calibri"/>
          <w:color w:val="000000" w:themeColor="text1"/>
        </w:rPr>
        <w:t>r</w:t>
      </w:r>
      <w:r w:rsidRPr="006F7C82">
        <w:rPr>
          <w:rFonts w:eastAsia="Calibri"/>
          <w:color w:val="000000" w:themeColor="text1"/>
        </w:rPr>
        <w:t>esolution.</w:t>
      </w:r>
      <w:r w:rsidRPr="006F7C82" w:rsidR="00F209CE">
        <w:rPr>
          <w:rFonts w:eastAsia="Calibri"/>
          <w:color w:val="000000" w:themeColor="text1"/>
        </w:rPr>
        <w:t xml:space="preserve"> </w:t>
      </w:r>
      <w:r w:rsidRPr="006F7C82">
        <w:rPr>
          <w:rFonts w:eastAsia="Calibri"/>
          <w:color w:val="000000" w:themeColor="text1"/>
        </w:rPr>
        <w:t>For these reasons, the overall project cost cap for Ministerial Review is increased and per-participant cost caps are established as shown in Appendix 2.</w:t>
      </w:r>
      <w:r w:rsidRPr="006F7C82" w:rsidR="00F209CE">
        <w:rPr>
          <w:rFonts w:eastAsia="Calibri"/>
          <w:color w:val="000000" w:themeColor="text1"/>
        </w:rPr>
        <w:t xml:space="preserve"> </w:t>
      </w:r>
      <w:r w:rsidRPr="006F7C82" w:rsidR="7FDAA6EC">
        <w:rPr>
          <w:rFonts w:eastAsia="Calibri"/>
          <w:color w:val="000000" w:themeColor="text1"/>
        </w:rPr>
        <w:t xml:space="preserve">Commission staff may review project applications and may recommend adjusted per participant caps </w:t>
      </w:r>
      <w:r w:rsidRPr="006F7C82" w:rsidR="000142AF">
        <w:rPr>
          <w:rFonts w:eastAsia="Calibri"/>
          <w:color w:val="000000" w:themeColor="text1"/>
        </w:rPr>
        <w:t xml:space="preserve">that do not meet Ministerial Review criteria </w:t>
      </w:r>
      <w:r w:rsidRPr="006F7C82" w:rsidR="7FDAA6EC">
        <w:rPr>
          <w:rFonts w:eastAsia="Calibri"/>
          <w:color w:val="000000" w:themeColor="text1"/>
        </w:rPr>
        <w:t xml:space="preserve">via </w:t>
      </w:r>
      <w:r w:rsidRPr="006F7C82" w:rsidR="00F209CE">
        <w:rPr>
          <w:rFonts w:eastAsia="Calibri"/>
          <w:color w:val="000000" w:themeColor="text1"/>
        </w:rPr>
        <w:t>r</w:t>
      </w:r>
      <w:r w:rsidRPr="006F7C82" w:rsidR="7FDAA6EC">
        <w:rPr>
          <w:rFonts w:eastAsia="Calibri"/>
          <w:color w:val="000000" w:themeColor="text1"/>
        </w:rPr>
        <w:t>esolution, if necessary.</w:t>
      </w:r>
    </w:p>
    <w:p w:rsidRPr="006F7C82" w:rsidR="55E90BF0" w:rsidP="55E90BF0" w:rsidRDefault="55E90BF0" w14:paraId="571D4C6A" w14:textId="32529A3B">
      <w:pPr>
        <w:rPr>
          <w:rFonts w:eastAsia="Calibri"/>
          <w:color w:val="000000" w:themeColor="text1"/>
          <w:szCs w:val="26"/>
        </w:rPr>
      </w:pPr>
      <w:r w:rsidRPr="006F7C82">
        <w:rPr>
          <w:rFonts w:eastAsia="Calibri"/>
          <w:color w:val="000000" w:themeColor="text1"/>
          <w:szCs w:val="26"/>
        </w:rPr>
        <w:lastRenderedPageBreak/>
        <w:t>Finally, current Adoption Account guidelines provide Ministerial Review criteria for staff approval of Adoption Account applications.</w:t>
      </w:r>
      <w:r w:rsidRPr="006F7C82" w:rsidR="00F209CE">
        <w:rPr>
          <w:rFonts w:eastAsia="Calibri"/>
          <w:color w:val="000000" w:themeColor="text1"/>
          <w:szCs w:val="26"/>
        </w:rPr>
        <w:t xml:space="preserve"> </w:t>
      </w:r>
      <w:r w:rsidRPr="006F7C82">
        <w:rPr>
          <w:rFonts w:eastAsia="Calibri"/>
          <w:color w:val="000000" w:themeColor="text1"/>
          <w:szCs w:val="26"/>
        </w:rPr>
        <w:t>However, there may be situations in which it would be reasonable to reject applications for reasons not listed under current Ministerial Review criteria.</w:t>
      </w:r>
      <w:r w:rsidRPr="006F7C82" w:rsidR="00F209CE">
        <w:rPr>
          <w:rFonts w:eastAsia="Calibri"/>
          <w:color w:val="000000" w:themeColor="text1"/>
          <w:szCs w:val="26"/>
        </w:rPr>
        <w:t xml:space="preserve"> </w:t>
      </w:r>
      <w:r w:rsidRPr="006F7C82">
        <w:rPr>
          <w:rFonts w:eastAsia="Calibri"/>
          <w:color w:val="000000" w:themeColor="text1"/>
          <w:szCs w:val="26"/>
        </w:rPr>
        <w:t>The Second Amended Scoping Memo posed the following question for party comment:</w:t>
      </w:r>
    </w:p>
    <w:p w:rsidRPr="00FF6FF3" w:rsidR="55E90BF0" w:rsidP="00FF6FF3" w:rsidRDefault="55E90BF0" w14:paraId="1E7EE0F4" w14:textId="1D7CD318">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Are there additional circumstances in which staff should be able to reject an Adoption Account grant application that are not currently provided for in Adoption Account Guidelines or proposed in Appendix 2?</w:t>
      </w:r>
      <w:r w:rsidRPr="004C2B66" w:rsidR="00F209CE">
        <w:rPr>
          <w:rFonts w:eastAsia="Calibri"/>
          <w:i/>
          <w:iCs/>
          <w:color w:val="000000" w:themeColor="text1"/>
        </w:rPr>
        <w:t xml:space="preserve"> </w:t>
      </w:r>
      <w:r w:rsidRPr="004C2B66">
        <w:rPr>
          <w:rFonts w:eastAsia="Calibri"/>
          <w:i/>
          <w:iCs/>
          <w:color w:val="000000" w:themeColor="text1"/>
        </w:rPr>
        <w:t>What mechanisms should be adopted to ensure there is transparency around staff’s determinations based on the proposed changes set out in Section 1.10 of Appendix 2, if adopted?</w:t>
      </w:r>
    </w:p>
    <w:p w:rsidRPr="006F7C82" w:rsidR="55E90BF0" w:rsidP="55E90BF0" w:rsidRDefault="55E90BF0" w14:paraId="4BE326D2" w14:textId="37B8F402">
      <w:pPr>
        <w:pStyle w:val="Standard"/>
        <w:ind w:firstLine="0"/>
        <w:rPr>
          <w:rFonts w:eastAsia="Calibri"/>
          <w:color w:val="000000" w:themeColor="text1"/>
          <w:szCs w:val="26"/>
        </w:rPr>
      </w:pPr>
      <w:r w:rsidRPr="006F7C82">
        <w:rPr>
          <w:rFonts w:eastAsia="Calibri"/>
          <w:color w:val="000000" w:themeColor="text1"/>
          <w:szCs w:val="26"/>
        </w:rPr>
        <w:t>Appendix 2 of the Second Amended Scoping Memo listed the following proposed addition to the Adoption Account Guidelines:</w:t>
      </w:r>
    </w:p>
    <w:p w:rsidRPr="006F7C82" w:rsidR="55E90BF0" w:rsidP="00B36E67" w:rsidRDefault="55E90BF0" w14:paraId="42C8F5E4" w14:textId="4A92EB98">
      <w:pPr>
        <w:pStyle w:val="Standard"/>
        <w:spacing w:after="120" w:line="240" w:lineRule="auto"/>
        <w:ind w:left="720" w:right="720" w:firstLine="0"/>
        <w:rPr>
          <w:rFonts w:eastAsia="Calibri"/>
          <w:color w:val="000000" w:themeColor="text1"/>
          <w:szCs w:val="26"/>
        </w:rPr>
      </w:pPr>
      <w:r w:rsidRPr="006F7C82">
        <w:rPr>
          <w:rFonts w:eastAsia="Calibri"/>
          <w:color w:val="000000" w:themeColor="text1"/>
          <w:szCs w:val="26"/>
        </w:rPr>
        <w:t xml:space="preserve">The Commission further assigns to staff the task of rejecting applications that meet any of the following criteria: </w:t>
      </w:r>
    </w:p>
    <w:p w:rsidRPr="00A225AC" w:rsidR="55E90BF0" w:rsidP="00E60882" w:rsidRDefault="55E90BF0" w14:paraId="703103E2" w14:textId="649DF6DF">
      <w:pPr>
        <w:pStyle w:val="ListAlpha"/>
        <w:ind w:right="1440"/>
        <w:rPr>
          <w:rFonts w:eastAsia="Calibri"/>
          <w:color w:val="000000" w:themeColor="text1"/>
          <w:szCs w:val="26"/>
        </w:rPr>
      </w:pPr>
      <w:r w:rsidRPr="00B36E67">
        <w:rPr>
          <w:rFonts w:eastAsia="Calibri"/>
          <w:color w:val="000000" w:themeColor="text1"/>
          <w:szCs w:val="26"/>
        </w:rPr>
        <w:t xml:space="preserve">The applicant submitted an incomplete application and has not responded to a follow-up request for the missing </w:t>
      </w:r>
      <w:r w:rsidRPr="00A225AC">
        <w:rPr>
          <w:rFonts w:eastAsia="Calibri"/>
          <w:color w:val="000000" w:themeColor="text1"/>
          <w:szCs w:val="26"/>
        </w:rPr>
        <w:t>material, sent to the designated contact on the application.</w:t>
      </w:r>
    </w:p>
    <w:p w:rsidRPr="006F7C82" w:rsidR="55E90BF0" w:rsidP="55E90BF0" w:rsidRDefault="55E90BF0" w14:paraId="3B2029D8" w14:textId="2D145F89">
      <w:pPr>
        <w:rPr>
          <w:rFonts w:eastAsia="Calibri"/>
          <w:color w:val="000000" w:themeColor="text1"/>
          <w:szCs w:val="26"/>
        </w:rPr>
      </w:pPr>
      <w:r w:rsidRPr="00A225AC">
        <w:rPr>
          <w:rFonts w:eastAsia="Calibri"/>
          <w:color w:val="000000" w:themeColor="text1"/>
          <w:szCs w:val="26"/>
        </w:rPr>
        <w:t>This additional criterion will preserve staff resources and can help ensure</w:t>
      </w:r>
      <w:r w:rsidRPr="006F7C82">
        <w:rPr>
          <w:rFonts w:eastAsia="Calibri"/>
          <w:color w:val="000000" w:themeColor="text1"/>
          <w:szCs w:val="26"/>
        </w:rPr>
        <w:t xml:space="preserve"> project funds are awarded to organized and reliable candidates.</w:t>
      </w:r>
      <w:r w:rsidRPr="006F7C82" w:rsidR="00F209CE">
        <w:rPr>
          <w:rFonts w:eastAsia="Calibri"/>
          <w:color w:val="000000" w:themeColor="text1"/>
          <w:szCs w:val="26"/>
        </w:rPr>
        <w:t xml:space="preserve"> </w:t>
      </w:r>
      <w:r w:rsidRPr="006F7C82">
        <w:rPr>
          <w:rFonts w:eastAsia="Calibri"/>
          <w:color w:val="000000" w:themeColor="text1"/>
          <w:szCs w:val="26"/>
        </w:rPr>
        <w:t>Two additional criteria were proposed in the Second Amended Scoping Memo with regards to the Public Housing Account and are adopted as reasonable additional criteria under which staff must reject Adoption Account applications:</w:t>
      </w:r>
    </w:p>
    <w:p w:rsidRPr="006F7C82" w:rsidR="55E90BF0" w:rsidP="00B36E67" w:rsidRDefault="55E90BF0" w14:paraId="53FEE20E" w14:textId="2638F662">
      <w:pPr>
        <w:pStyle w:val="ListAlpha"/>
        <w:ind w:right="1440"/>
        <w:rPr>
          <w:rFonts w:eastAsia="Calibri"/>
          <w:color w:val="000000" w:themeColor="text1"/>
          <w:szCs w:val="26"/>
        </w:rPr>
      </w:pPr>
      <w:r w:rsidRPr="006F7C82">
        <w:rPr>
          <w:rFonts w:eastAsia="Calibri"/>
          <w:color w:val="000000" w:themeColor="text1"/>
          <w:szCs w:val="26"/>
        </w:rPr>
        <w:t xml:space="preserve">The applicant has previously had a Commission grant award rescinded for violation of Commission or program </w:t>
      </w:r>
      <w:proofErr w:type="gramStart"/>
      <w:r w:rsidRPr="006F7C82">
        <w:rPr>
          <w:rFonts w:eastAsia="Calibri"/>
          <w:color w:val="000000" w:themeColor="text1"/>
          <w:szCs w:val="26"/>
        </w:rPr>
        <w:t>rules;</w:t>
      </w:r>
      <w:proofErr w:type="gramEnd"/>
    </w:p>
    <w:p w:rsidRPr="006F7C82" w:rsidR="55E90BF0" w:rsidP="00B36E67" w:rsidRDefault="55E90BF0" w14:paraId="4F533868" w14:textId="5300E06A">
      <w:pPr>
        <w:pStyle w:val="ListAlpha"/>
        <w:ind w:right="1440"/>
        <w:rPr>
          <w:rFonts w:eastAsia="Calibri"/>
          <w:color w:val="000000" w:themeColor="text1"/>
          <w:szCs w:val="26"/>
        </w:rPr>
      </w:pPr>
      <w:r w:rsidRPr="006F7C82">
        <w:rPr>
          <w:rFonts w:eastAsia="Calibri"/>
          <w:color w:val="000000" w:themeColor="text1"/>
          <w:szCs w:val="26"/>
        </w:rPr>
        <w:t>The applicant has made false statements to the Commission or to the Federal Communications Commission (FCC).</w:t>
      </w:r>
    </w:p>
    <w:p w:rsidRPr="006F7C82" w:rsidR="008F3E40" w:rsidP="006E0572" w:rsidRDefault="00981434" w14:paraId="26E28704" w14:textId="713AF128">
      <w:pPr>
        <w:rPr>
          <w:rFonts w:eastAsia="Calibri"/>
          <w:color w:val="000000" w:themeColor="text1"/>
        </w:rPr>
      </w:pPr>
      <w:r w:rsidRPr="006F7C82">
        <w:rPr>
          <w:rFonts w:eastAsia="Calibri"/>
          <w:color w:val="000000" w:themeColor="text1"/>
        </w:rPr>
        <w:lastRenderedPageBreak/>
        <w:t xml:space="preserve">NDC supports the proposed criteria and recommends including the requirements applicable to </w:t>
      </w:r>
      <w:r w:rsidRPr="006F7C82" w:rsidR="006E0572">
        <w:rPr>
          <w:rFonts w:eastAsia="Calibri"/>
          <w:color w:val="000000" w:themeColor="text1"/>
        </w:rPr>
        <w:t xml:space="preserve">the Consortia Account regarding </w:t>
      </w:r>
      <w:r w:rsidRPr="006F7C82" w:rsidR="00B83758">
        <w:rPr>
          <w:rFonts w:eastAsia="Calibri"/>
          <w:color w:val="000000" w:themeColor="text1"/>
        </w:rPr>
        <w:t>past bankruptcy or sanctions</w:t>
      </w:r>
      <w:r w:rsidRPr="006F7C82" w:rsidR="00E17C48">
        <w:rPr>
          <w:rFonts w:eastAsia="Calibri"/>
          <w:color w:val="000000" w:themeColor="text1"/>
        </w:rPr>
        <w:t xml:space="preserve"> or other legal actions taken against the organization’s officers or members.</w:t>
      </w:r>
      <w:r w:rsidRPr="006F7C82" w:rsidR="002B22A0">
        <w:rPr>
          <w:rFonts w:eastAsia="Calibri"/>
          <w:color w:val="000000" w:themeColor="text1"/>
        </w:rPr>
        <w:t xml:space="preserve"> NDC also recommends disqualification of applicants </w:t>
      </w:r>
      <w:r w:rsidRPr="006F7C82" w:rsidR="00D20169">
        <w:rPr>
          <w:rFonts w:eastAsia="Calibri"/>
          <w:color w:val="000000" w:themeColor="text1"/>
        </w:rPr>
        <w:t xml:space="preserve">that have previously completed projects funded by Commission grants and were found by evaluation reports to have </w:t>
      </w:r>
      <w:r w:rsidRPr="006F7C82" w:rsidR="00B364D7">
        <w:rPr>
          <w:rFonts w:eastAsia="Calibri"/>
          <w:color w:val="000000" w:themeColor="text1"/>
        </w:rPr>
        <w:t>shown poor performance.</w:t>
      </w:r>
      <w:r w:rsidRPr="006F7C82" w:rsidR="00BA1486">
        <w:rPr>
          <w:rStyle w:val="FootnoteReference"/>
          <w:rFonts w:eastAsia="Calibri"/>
          <w:color w:val="000000" w:themeColor="text1"/>
          <w:szCs w:val="26"/>
        </w:rPr>
        <w:footnoteReference w:id="106"/>
      </w:r>
    </w:p>
    <w:p w:rsidRPr="006F7C82" w:rsidR="007C2AE6" w:rsidP="006E0572" w:rsidRDefault="007C2AE6" w14:paraId="0F0A51AB" w14:textId="1803E8AC">
      <w:pPr>
        <w:rPr>
          <w:rFonts w:eastAsia="Calibri"/>
          <w:color w:val="000000" w:themeColor="text1"/>
          <w:szCs w:val="26"/>
        </w:rPr>
      </w:pPr>
      <w:r w:rsidRPr="006F7C82">
        <w:rPr>
          <w:rFonts w:eastAsia="Calibri"/>
          <w:color w:val="000000" w:themeColor="text1"/>
        </w:rPr>
        <w:t xml:space="preserve">LAEDC does not address the proposed criteria, but advocates for clear guidelines </w:t>
      </w:r>
      <w:r w:rsidRPr="006F7C82" w:rsidR="00BF5871">
        <w:rPr>
          <w:rFonts w:eastAsia="Calibri"/>
          <w:color w:val="000000" w:themeColor="text1"/>
        </w:rPr>
        <w:t>that enable applicants to determine if their application meets the requirements of the Adoption Account criteria</w:t>
      </w:r>
      <w:r w:rsidRPr="006F7C82" w:rsidR="008022B5">
        <w:rPr>
          <w:rFonts w:eastAsia="Calibri"/>
          <w:color w:val="000000" w:themeColor="text1"/>
        </w:rPr>
        <w:t xml:space="preserve">, and </w:t>
      </w:r>
      <w:r w:rsidRPr="006F7C82" w:rsidR="0017437D">
        <w:rPr>
          <w:rFonts w:eastAsia="Calibri"/>
          <w:color w:val="000000" w:themeColor="text1"/>
        </w:rPr>
        <w:t xml:space="preserve">a </w:t>
      </w:r>
      <w:r w:rsidRPr="006F7C82" w:rsidR="008022B5">
        <w:rPr>
          <w:rFonts w:eastAsia="Calibri"/>
          <w:color w:val="000000" w:themeColor="text1"/>
        </w:rPr>
        <w:t>structured process to inform rejected applicants of the reason(s) for rejection</w:t>
      </w:r>
      <w:r w:rsidRPr="006F7C82" w:rsidR="0017437D">
        <w:rPr>
          <w:rFonts w:eastAsia="Calibri"/>
          <w:color w:val="000000" w:themeColor="text1"/>
        </w:rPr>
        <w:t>, with an opportunity to revise and resubmit</w:t>
      </w:r>
      <w:r w:rsidRPr="006F7C82" w:rsidR="008022B5">
        <w:rPr>
          <w:rFonts w:eastAsia="Calibri"/>
          <w:color w:val="000000" w:themeColor="text1"/>
        </w:rPr>
        <w:t>.</w:t>
      </w:r>
      <w:r w:rsidRPr="006F7C82" w:rsidR="005E594A">
        <w:rPr>
          <w:rStyle w:val="FootnoteReference"/>
          <w:rFonts w:eastAsia="Calibri"/>
          <w:color w:val="000000" w:themeColor="text1"/>
          <w:szCs w:val="26"/>
        </w:rPr>
        <w:footnoteReference w:id="107"/>
      </w:r>
      <w:r w:rsidRPr="006F7C82" w:rsidR="00F62C7B">
        <w:rPr>
          <w:rFonts w:eastAsia="Calibri"/>
          <w:color w:val="000000" w:themeColor="text1"/>
        </w:rPr>
        <w:t xml:space="preserve"> IERBC also recommends </w:t>
      </w:r>
      <w:r w:rsidRPr="006F7C82" w:rsidR="003F521C">
        <w:rPr>
          <w:rFonts w:eastAsia="Calibri"/>
          <w:color w:val="000000" w:themeColor="text1"/>
        </w:rPr>
        <w:t>sending both a letter and an e</w:t>
      </w:r>
      <w:r w:rsidR="00FF6FF3">
        <w:rPr>
          <w:rFonts w:eastAsia="Calibri"/>
          <w:color w:val="000000" w:themeColor="text1"/>
        </w:rPr>
        <w:noBreakHyphen/>
      </w:r>
      <w:r w:rsidRPr="006F7C82" w:rsidR="003F521C">
        <w:rPr>
          <w:rFonts w:eastAsia="Calibri"/>
          <w:color w:val="000000" w:themeColor="text1"/>
        </w:rPr>
        <w:t xml:space="preserve">mail for rejected applications, with a clear </w:t>
      </w:r>
      <w:r w:rsidRPr="006F7C82" w:rsidR="00560442">
        <w:rPr>
          <w:rFonts w:eastAsia="Calibri"/>
          <w:color w:val="000000" w:themeColor="text1"/>
        </w:rPr>
        <w:t>(future) date by which</w:t>
      </w:r>
      <w:r w:rsidRPr="006F7C82" w:rsidR="00664A83">
        <w:rPr>
          <w:rFonts w:eastAsia="Calibri"/>
          <w:color w:val="000000" w:themeColor="text1"/>
        </w:rPr>
        <w:t xml:space="preserve"> those applications will be rejected due to non-responsiveness, and that the Commission</w:t>
      </w:r>
      <w:r w:rsidRPr="006F7C82" w:rsidR="00F62CD6">
        <w:rPr>
          <w:rFonts w:eastAsia="Calibri"/>
          <w:color w:val="000000" w:themeColor="text1"/>
        </w:rPr>
        <w:t xml:space="preserve"> post all applications received on its CASF Adoption website with monthly status updates.</w:t>
      </w:r>
      <w:r w:rsidRPr="006F7C82" w:rsidR="00C833EA">
        <w:rPr>
          <w:rStyle w:val="FootnoteReference"/>
          <w:rFonts w:eastAsia="Calibri"/>
          <w:color w:val="000000" w:themeColor="text1"/>
          <w:szCs w:val="26"/>
        </w:rPr>
        <w:footnoteReference w:id="108"/>
      </w:r>
    </w:p>
    <w:p w:rsidRPr="006F7C82" w:rsidR="00975558" w:rsidP="006E0572" w:rsidRDefault="00975558" w14:paraId="06AF238F" w14:textId="0434D3CB">
      <w:pPr>
        <w:rPr>
          <w:color w:val="000000" w:themeColor="text1"/>
        </w:rPr>
      </w:pPr>
      <w:r w:rsidRPr="006F7C82">
        <w:rPr>
          <w:rFonts w:eastAsia="Calibri"/>
          <w:color w:val="000000" w:themeColor="text1"/>
        </w:rPr>
        <w:t>TURN recommends the Commission reject applications for non</w:t>
      </w:r>
      <w:r w:rsidRPr="006F7C82" w:rsidR="009E7C07">
        <w:rPr>
          <w:rFonts w:eastAsia="Calibri"/>
          <w:color w:val="000000" w:themeColor="text1"/>
        </w:rPr>
        <w:t>-</w:t>
      </w:r>
      <w:r w:rsidRPr="006F7C82">
        <w:rPr>
          <w:rFonts w:eastAsia="Calibri"/>
          <w:color w:val="000000" w:themeColor="text1"/>
        </w:rPr>
        <w:t>profit applic</w:t>
      </w:r>
      <w:r w:rsidRPr="006F7C82" w:rsidR="008949A4">
        <w:rPr>
          <w:rFonts w:eastAsia="Calibri"/>
          <w:color w:val="000000" w:themeColor="text1"/>
        </w:rPr>
        <w:t xml:space="preserve">ants who are not registered with, or are not in good standing with, the </w:t>
      </w:r>
      <w:r w:rsidRPr="006F7C82" w:rsidR="007B3BE6">
        <w:rPr>
          <w:color w:val="000000" w:themeColor="text1"/>
        </w:rPr>
        <w:t>U.S.</w:t>
      </w:r>
      <w:r w:rsidR="00B36E67">
        <w:rPr>
          <w:color w:val="000000" w:themeColor="text1"/>
        </w:rPr>
        <w:t> </w:t>
      </w:r>
      <w:r w:rsidRPr="006F7C82" w:rsidR="008949A4">
        <w:rPr>
          <w:color w:val="000000" w:themeColor="text1"/>
        </w:rPr>
        <w:t>Internal Revenue Service, the California Secretary of State, or the California</w:t>
      </w:r>
      <w:r w:rsidR="00B36E67">
        <w:rPr>
          <w:color w:val="000000" w:themeColor="text1"/>
        </w:rPr>
        <w:t> </w:t>
      </w:r>
      <w:r w:rsidRPr="006F7C82" w:rsidR="008949A4">
        <w:rPr>
          <w:color w:val="000000" w:themeColor="text1"/>
        </w:rPr>
        <w:t>Department of Justice</w:t>
      </w:r>
      <w:r w:rsidRPr="006F7C82" w:rsidR="00F53551">
        <w:rPr>
          <w:color w:val="000000" w:themeColor="text1"/>
        </w:rPr>
        <w:t>.</w:t>
      </w:r>
      <w:r w:rsidRPr="006F7C82" w:rsidR="00FB0379">
        <w:rPr>
          <w:rStyle w:val="FootnoteReference"/>
          <w:color w:val="000000" w:themeColor="text1"/>
        </w:rPr>
        <w:footnoteReference w:id="109"/>
      </w:r>
    </w:p>
    <w:p w:rsidRPr="006F7C82" w:rsidR="55E90BF0" w:rsidP="00B36E67" w:rsidRDefault="00B41DF8" w14:paraId="14975503" w14:textId="4AE1BC9F">
      <w:pPr>
        <w:rPr>
          <w:rFonts w:eastAsia="Calibri"/>
          <w:color w:val="000000" w:themeColor="text1"/>
          <w:szCs w:val="26"/>
        </w:rPr>
      </w:pPr>
      <w:r w:rsidRPr="006F7C82">
        <w:rPr>
          <w:color w:val="000000" w:themeColor="text1"/>
        </w:rPr>
        <w:t xml:space="preserve">The Commission agrees with </w:t>
      </w:r>
      <w:r w:rsidRPr="006F7C82" w:rsidR="00B306EA">
        <w:rPr>
          <w:color w:val="000000" w:themeColor="text1"/>
        </w:rPr>
        <w:t>NDC’s recommendation to adopt the same criteria</w:t>
      </w:r>
      <w:r w:rsidRPr="006F7C82" w:rsidR="009E7FEC">
        <w:rPr>
          <w:color w:val="000000" w:themeColor="text1"/>
        </w:rPr>
        <w:t xml:space="preserve"> that apply to Consortia</w:t>
      </w:r>
      <w:r w:rsidRPr="006F7C82" w:rsidDel="009E7FEC">
        <w:rPr>
          <w:color w:val="000000" w:themeColor="text1"/>
        </w:rPr>
        <w:t xml:space="preserve"> </w:t>
      </w:r>
      <w:r w:rsidRPr="006F7C82" w:rsidR="009E7FEC">
        <w:rPr>
          <w:color w:val="000000" w:themeColor="text1"/>
        </w:rPr>
        <w:t>Account applicants,</w:t>
      </w:r>
      <w:r w:rsidRPr="006F7C82" w:rsidR="002C73DA">
        <w:rPr>
          <w:color w:val="000000" w:themeColor="text1"/>
        </w:rPr>
        <w:t xml:space="preserve"> including </w:t>
      </w:r>
      <w:r w:rsidRPr="006F7C82" w:rsidR="00C977BD">
        <w:rPr>
          <w:color w:val="000000" w:themeColor="text1"/>
        </w:rPr>
        <w:t xml:space="preserve">that </w:t>
      </w:r>
      <w:r w:rsidR="00F62FF7">
        <w:rPr>
          <w:color w:val="000000" w:themeColor="text1"/>
        </w:rPr>
        <w:t xml:space="preserve">an application be rejected if </w:t>
      </w:r>
      <w:r w:rsidRPr="006F7C82" w:rsidR="00C977BD">
        <w:rPr>
          <w:color w:val="000000" w:themeColor="text1"/>
        </w:rPr>
        <w:t>the applicant has previously had a Commission award rescinded</w:t>
      </w:r>
      <w:r w:rsidRPr="006F7C82" w:rsidR="00CF2B90">
        <w:rPr>
          <w:color w:val="000000" w:themeColor="text1"/>
        </w:rPr>
        <w:t xml:space="preserve"> </w:t>
      </w:r>
      <w:r w:rsidRPr="006F7C82" w:rsidR="00CF2B90">
        <w:rPr>
          <w:color w:val="000000" w:themeColor="text1"/>
        </w:rPr>
        <w:lastRenderedPageBreak/>
        <w:t>for violation of Commission or program rules and/or the applicant made false statements to the Commission or to the Federal Communications Commission.</w:t>
      </w:r>
      <w:r w:rsidRPr="006F7C82" w:rsidR="00F209CE">
        <w:rPr>
          <w:color w:val="000000" w:themeColor="text1"/>
        </w:rPr>
        <w:t xml:space="preserve"> </w:t>
      </w:r>
      <w:r w:rsidRPr="006F7C82" w:rsidR="3C459681">
        <w:rPr>
          <w:color w:val="000000" w:themeColor="text1"/>
        </w:rPr>
        <w:t xml:space="preserve">As shown in Appendix 2, the recommendations will be incorporated into Adoption Account guidelines in the same manner as in Consortia Account guidelines, with </w:t>
      </w:r>
      <w:r w:rsidR="00DD49B2">
        <w:rPr>
          <w:color w:val="000000" w:themeColor="text1"/>
        </w:rPr>
        <w:t xml:space="preserve">an </w:t>
      </w:r>
      <w:r w:rsidRPr="006F7C82" w:rsidR="3C459681">
        <w:rPr>
          <w:color w:val="000000" w:themeColor="text1"/>
        </w:rPr>
        <w:t>applicant required to attest to certain statements in its application for</w:t>
      </w:r>
      <w:r w:rsidRPr="006F7C82" w:rsidR="7929498E">
        <w:rPr>
          <w:color w:val="000000" w:themeColor="text1"/>
        </w:rPr>
        <w:t xml:space="preserve"> </w:t>
      </w:r>
      <w:r w:rsidRPr="006F7C82" w:rsidR="3C459681">
        <w:rPr>
          <w:color w:val="000000" w:themeColor="text1"/>
        </w:rPr>
        <w:t>an application to be deemed complete, while other disqualifying criteria will be confirmed or excluded by staff.</w:t>
      </w:r>
      <w:r w:rsidRPr="006F7C82" w:rsidR="00F209CE">
        <w:rPr>
          <w:color w:val="000000" w:themeColor="text1"/>
        </w:rPr>
        <w:t xml:space="preserve"> </w:t>
      </w:r>
      <w:r w:rsidRPr="006F7C82" w:rsidR="00EC04A8">
        <w:rPr>
          <w:color w:val="000000" w:themeColor="text1"/>
        </w:rPr>
        <w:t xml:space="preserve">The Commission also agrees that staff should </w:t>
      </w:r>
      <w:r w:rsidRPr="006F7C82" w:rsidR="009E7C07">
        <w:rPr>
          <w:color w:val="000000" w:themeColor="text1"/>
        </w:rPr>
        <w:t xml:space="preserve">be able to reject applications </w:t>
      </w:r>
      <w:r w:rsidRPr="006F7C82" w:rsidR="002A1423">
        <w:rPr>
          <w:color w:val="000000" w:themeColor="text1"/>
        </w:rPr>
        <w:t xml:space="preserve">of non-profit </w:t>
      </w:r>
      <w:r w:rsidRPr="006F7C82" w:rsidR="005B47EC">
        <w:rPr>
          <w:color w:val="000000" w:themeColor="text1"/>
        </w:rPr>
        <w:t>organizations</w:t>
      </w:r>
      <w:r w:rsidRPr="006F7C82" w:rsidR="002A1423">
        <w:rPr>
          <w:color w:val="000000" w:themeColor="text1"/>
        </w:rPr>
        <w:t xml:space="preserve"> that </w:t>
      </w:r>
      <w:r w:rsidRPr="006F7C82" w:rsidR="005B47EC">
        <w:rPr>
          <w:color w:val="000000" w:themeColor="text1"/>
        </w:rPr>
        <w:t>fail to provide documentation</w:t>
      </w:r>
      <w:r w:rsidRPr="006F7C82" w:rsidR="002A1423">
        <w:rPr>
          <w:color w:val="000000" w:themeColor="text1"/>
        </w:rPr>
        <w:t xml:space="preserve"> </w:t>
      </w:r>
      <w:r w:rsidRPr="006F7C82" w:rsidR="000D6E9C">
        <w:rPr>
          <w:color w:val="000000" w:themeColor="text1"/>
        </w:rPr>
        <w:t>of</w:t>
      </w:r>
      <w:r w:rsidRPr="006F7C82" w:rsidR="006E4380">
        <w:rPr>
          <w:color w:val="000000" w:themeColor="text1"/>
        </w:rPr>
        <w:t xml:space="preserve"> </w:t>
      </w:r>
      <w:r w:rsidRPr="006F7C82" w:rsidR="000D6E9C">
        <w:rPr>
          <w:color w:val="000000" w:themeColor="text1"/>
        </w:rPr>
        <w:t xml:space="preserve">their non-profit registration or documentation </w:t>
      </w:r>
      <w:r w:rsidRPr="006F7C82" w:rsidR="006E4380">
        <w:rPr>
          <w:color w:val="000000" w:themeColor="text1"/>
        </w:rPr>
        <w:t xml:space="preserve">showing </w:t>
      </w:r>
      <w:r w:rsidRPr="006F7C82" w:rsidR="002A1423">
        <w:rPr>
          <w:color w:val="000000" w:themeColor="text1"/>
        </w:rPr>
        <w:t xml:space="preserve">good standing with the </w:t>
      </w:r>
      <w:r w:rsidRPr="006F7C82" w:rsidR="00CB045E">
        <w:rPr>
          <w:color w:val="000000" w:themeColor="text1"/>
        </w:rPr>
        <w:t>U.S.</w:t>
      </w:r>
      <w:r w:rsidRPr="006F7C82" w:rsidR="002A1423">
        <w:rPr>
          <w:color w:val="000000" w:themeColor="text1"/>
        </w:rPr>
        <w:t xml:space="preserve"> Internal Revenue Service and the Californi</w:t>
      </w:r>
      <w:r w:rsidRPr="006F7C82" w:rsidR="008A6E03">
        <w:rPr>
          <w:color w:val="000000" w:themeColor="text1"/>
        </w:rPr>
        <w:t xml:space="preserve">a Secretary of State. To LAEDC’s point, we note that Adoption Account guidelines are attached to this decision as </w:t>
      </w:r>
      <w:r w:rsidRPr="006F7C82" w:rsidR="001E1682">
        <w:rPr>
          <w:color w:val="000000" w:themeColor="text1"/>
        </w:rPr>
        <w:t>Appendix</w:t>
      </w:r>
      <w:r w:rsidR="00A329A1">
        <w:rPr>
          <w:color w:val="000000" w:themeColor="text1"/>
        </w:rPr>
        <w:t> </w:t>
      </w:r>
      <w:r w:rsidRPr="006F7C82" w:rsidR="008A6E03">
        <w:rPr>
          <w:color w:val="000000" w:themeColor="text1"/>
        </w:rPr>
        <w:t xml:space="preserve">2 and that these guidelines will be posted to the Commission’s website.  </w:t>
      </w:r>
    </w:p>
    <w:p w:rsidRPr="006F7C82" w:rsidR="55E90BF0" w:rsidP="002A4088" w:rsidRDefault="55E90BF0" w14:paraId="053F895A" w14:textId="0E083B2E">
      <w:pPr>
        <w:pStyle w:val="Heading2"/>
        <w:ind w:left="1080" w:hanging="720"/>
        <w:rPr>
          <w:color w:val="000000" w:themeColor="text1"/>
        </w:rPr>
      </w:pPr>
      <w:bookmarkStart w:name="_Toc100132364" w:id="21"/>
      <w:r w:rsidRPr="006F7C82">
        <w:rPr>
          <w:color w:val="000000" w:themeColor="text1"/>
        </w:rPr>
        <w:t xml:space="preserve">Adoption </w:t>
      </w:r>
      <w:r w:rsidRPr="006F7C82" w:rsidR="00D613DA">
        <w:rPr>
          <w:color w:val="000000" w:themeColor="text1"/>
        </w:rPr>
        <w:t>Account</w:t>
      </w:r>
      <w:r w:rsidRPr="006F7C82" w:rsidR="005D7660">
        <w:rPr>
          <w:color w:val="000000" w:themeColor="text1"/>
        </w:rPr>
        <w:t xml:space="preserve"> Project</w:t>
      </w:r>
      <w:r w:rsidRPr="006F7C82" w:rsidR="00D613DA">
        <w:rPr>
          <w:color w:val="000000" w:themeColor="text1"/>
        </w:rPr>
        <w:t xml:space="preserve"> </w:t>
      </w:r>
      <w:r w:rsidR="00E60882">
        <w:rPr>
          <w:color w:val="000000" w:themeColor="text1"/>
        </w:rPr>
        <w:br/>
      </w:r>
      <w:r w:rsidRPr="00A225AC">
        <w:rPr>
          <w:color w:val="000000" w:themeColor="text1"/>
        </w:rPr>
        <w:t>Budget Requirements</w:t>
      </w:r>
      <w:bookmarkEnd w:id="21"/>
    </w:p>
    <w:p w:rsidRPr="006F7C82" w:rsidR="55E90BF0" w:rsidP="55E90BF0" w:rsidRDefault="55E90BF0" w14:paraId="01B919EA" w14:textId="4B5206DC">
      <w:pPr>
        <w:pStyle w:val="Standard"/>
        <w:rPr>
          <w:rFonts w:eastAsia="Calibri"/>
          <w:color w:val="000000" w:themeColor="text1"/>
          <w:szCs w:val="26"/>
        </w:rPr>
      </w:pPr>
      <w:r w:rsidRPr="006F7C82">
        <w:rPr>
          <w:rFonts w:eastAsia="Calibri"/>
          <w:color w:val="000000" w:themeColor="text1"/>
        </w:rPr>
        <w:t>As discussed in the Second Amended Scoping Memo, existing rules cap Adoption Account grant reimbursement at 85 percent of eligible program costs.</w:t>
      </w:r>
      <w:r w:rsidRPr="006F7C82">
        <w:rPr>
          <w:rStyle w:val="FootnoteReference"/>
          <w:rFonts w:eastAsia="Calibri"/>
          <w:color w:val="000000" w:themeColor="text1"/>
        </w:rPr>
        <w:footnoteReference w:id="110"/>
      </w:r>
      <w:r w:rsidR="00CB2832">
        <w:rPr>
          <w:rFonts w:eastAsia="Calibri"/>
          <w:color w:val="000000" w:themeColor="text1"/>
        </w:rPr>
        <w:t xml:space="preserve"> </w:t>
      </w:r>
      <w:r w:rsidRPr="006F7C82">
        <w:rPr>
          <w:rFonts w:eastAsia="Calibri"/>
          <w:color w:val="000000" w:themeColor="text1"/>
        </w:rPr>
        <w:t>This cap applies both to individual budget line items as well as to the overall adopted program budget.</w:t>
      </w:r>
      <w:r w:rsidRPr="006F7C82">
        <w:rPr>
          <w:rStyle w:val="FootnoteReference"/>
          <w:rFonts w:eastAsia="Calibri"/>
          <w:color w:val="000000" w:themeColor="text1"/>
        </w:rPr>
        <w:footnoteReference w:id="111"/>
      </w:r>
      <w:r w:rsidRPr="006F7C82" w:rsidR="00F209CE">
        <w:rPr>
          <w:rFonts w:eastAsia="Calibri"/>
          <w:color w:val="000000" w:themeColor="text1"/>
        </w:rPr>
        <w:t xml:space="preserve"> </w:t>
      </w:r>
      <w:r w:rsidRPr="006F7C82">
        <w:rPr>
          <w:rFonts w:eastAsia="Calibri"/>
          <w:color w:val="000000" w:themeColor="text1"/>
        </w:rPr>
        <w:t>Project budgets are approved by Commission staff, and changes to the amounts projected in each budget line currently must be approved by staff or the program would risk not being reimbursed for costs that differ from those projected, despite being reasonable costs.</w:t>
      </w:r>
      <w:r w:rsidRPr="006F7C82" w:rsidR="00F209CE">
        <w:rPr>
          <w:rFonts w:eastAsia="Calibri"/>
          <w:color w:val="000000" w:themeColor="text1"/>
        </w:rPr>
        <w:t xml:space="preserve"> </w:t>
      </w:r>
      <w:r w:rsidRPr="006F7C82">
        <w:rPr>
          <w:rFonts w:eastAsia="Calibri"/>
          <w:color w:val="000000" w:themeColor="text1"/>
        </w:rPr>
        <w:t>The Second Amended Scoping Memo posed the following questions for comment:</w:t>
      </w:r>
    </w:p>
    <w:p w:rsidRPr="00FF6FF3" w:rsidR="55E90BF0" w:rsidP="00FF6FF3" w:rsidRDefault="55E90BF0" w14:paraId="78B8C7D7" w14:textId="09628A45">
      <w:pPr>
        <w:pStyle w:val="Standard"/>
        <w:numPr>
          <w:ilvl w:val="0"/>
          <w:numId w:val="5"/>
        </w:numPr>
        <w:spacing w:after="120" w:line="240" w:lineRule="auto"/>
        <w:ind w:left="1080" w:right="1440"/>
        <w:rPr>
          <w:rFonts w:eastAsia="Calibri"/>
          <w:i/>
          <w:iCs/>
          <w:color w:val="000000" w:themeColor="text1"/>
        </w:rPr>
      </w:pPr>
      <w:proofErr w:type="gramStart"/>
      <w:r w:rsidRPr="004C2B66">
        <w:rPr>
          <w:rFonts w:eastAsia="Calibri"/>
          <w:i/>
          <w:iCs/>
          <w:color w:val="000000" w:themeColor="text1"/>
        </w:rPr>
        <w:lastRenderedPageBreak/>
        <w:t>In order to</w:t>
      </w:r>
      <w:proofErr w:type="gramEnd"/>
      <w:r w:rsidRPr="004C2B66">
        <w:rPr>
          <w:rFonts w:eastAsia="Calibri"/>
          <w:i/>
          <w:iCs/>
          <w:color w:val="000000" w:themeColor="text1"/>
        </w:rPr>
        <w:t xml:space="preserve"> allow grantees flexibility in project implementation, should the Commission remove the 85 percent cap per budget line item (maintaining the cap on all approved costs)?</w:t>
      </w:r>
      <w:r w:rsidRPr="004C2B66" w:rsidR="00F209CE">
        <w:rPr>
          <w:rFonts w:eastAsia="Calibri"/>
          <w:i/>
          <w:iCs/>
          <w:color w:val="000000" w:themeColor="text1"/>
        </w:rPr>
        <w:t xml:space="preserve"> </w:t>
      </w:r>
      <w:r w:rsidRPr="004C2B66">
        <w:rPr>
          <w:rFonts w:eastAsia="Calibri"/>
          <w:i/>
          <w:iCs/>
          <w:color w:val="000000" w:themeColor="text1"/>
        </w:rPr>
        <w:t>Additionally, should the Commission allow grantees to make modifications to their approved budgets not to exceed authorized grant funding and to make changes to their milestone/activity timelines within the approved project timeline given that they provide the Commission notice of such changes?</w:t>
      </w:r>
      <w:r w:rsidRPr="004C2B66" w:rsidR="00F209CE">
        <w:rPr>
          <w:rFonts w:eastAsia="Calibri"/>
          <w:i/>
          <w:iCs/>
          <w:color w:val="000000" w:themeColor="text1"/>
        </w:rPr>
        <w:t xml:space="preserve"> </w:t>
      </w:r>
      <w:r w:rsidRPr="004C2B66">
        <w:rPr>
          <w:rFonts w:eastAsia="Calibri"/>
          <w:i/>
          <w:iCs/>
          <w:color w:val="000000" w:themeColor="text1"/>
        </w:rPr>
        <w:t>Is the proposed language in Section 1.15 of Appendix 2 clear?</w:t>
      </w:r>
      <w:r w:rsidRPr="004C2B66" w:rsidR="00F209CE">
        <w:rPr>
          <w:rFonts w:eastAsia="Calibri"/>
          <w:i/>
          <w:iCs/>
          <w:color w:val="000000" w:themeColor="text1"/>
        </w:rPr>
        <w:t xml:space="preserve"> </w:t>
      </w:r>
      <w:r w:rsidRPr="004C2B66">
        <w:rPr>
          <w:rFonts w:eastAsia="Calibri"/>
          <w:i/>
          <w:iCs/>
          <w:color w:val="000000" w:themeColor="text1"/>
        </w:rPr>
        <w:t xml:space="preserve">Are there other ways the Commission can increase budget flexibility for the benefit of Adoption grantee programs? </w:t>
      </w:r>
    </w:p>
    <w:p w:rsidRPr="006F7C82" w:rsidR="003700FC" w:rsidP="003700FC" w:rsidRDefault="005166B2" w14:paraId="552B9B5A" w14:textId="5A5D7553">
      <w:pPr>
        <w:pStyle w:val="Standard"/>
        <w:rPr>
          <w:rFonts w:eastAsia="Calibri"/>
          <w:color w:val="000000" w:themeColor="text1"/>
          <w:szCs w:val="26"/>
        </w:rPr>
      </w:pPr>
      <w:r w:rsidRPr="006F7C82">
        <w:rPr>
          <w:rFonts w:eastAsia="Calibri"/>
          <w:color w:val="000000" w:themeColor="text1"/>
        </w:rPr>
        <w:t>NDC</w:t>
      </w:r>
      <w:r w:rsidRPr="006F7C82" w:rsidR="00C922F6">
        <w:rPr>
          <w:rFonts w:eastAsia="Calibri"/>
          <w:color w:val="000000" w:themeColor="text1"/>
        </w:rPr>
        <w:t xml:space="preserve">, </w:t>
      </w:r>
      <w:r w:rsidRPr="006F7C82" w:rsidR="008547CD">
        <w:rPr>
          <w:rFonts w:eastAsia="Calibri"/>
          <w:color w:val="000000" w:themeColor="text1"/>
        </w:rPr>
        <w:t xml:space="preserve">IERBC, </w:t>
      </w:r>
      <w:r w:rsidRPr="006F7C82" w:rsidR="00C97CE7">
        <w:rPr>
          <w:rFonts w:eastAsia="Calibri"/>
          <w:color w:val="000000" w:themeColor="text1"/>
        </w:rPr>
        <w:t>LAEDC</w:t>
      </w:r>
      <w:r w:rsidRPr="006F7C82">
        <w:rPr>
          <w:rFonts w:eastAsia="Calibri"/>
          <w:color w:val="000000" w:themeColor="text1"/>
        </w:rPr>
        <w:t xml:space="preserve"> </w:t>
      </w:r>
      <w:r w:rsidRPr="006F7C82" w:rsidR="008424EB">
        <w:rPr>
          <w:rFonts w:eastAsia="Calibri"/>
          <w:color w:val="000000" w:themeColor="text1"/>
        </w:rPr>
        <w:t xml:space="preserve">and CETF </w:t>
      </w:r>
      <w:r w:rsidRPr="006F7C82" w:rsidR="00A21DCE">
        <w:rPr>
          <w:rFonts w:eastAsia="Calibri"/>
          <w:color w:val="000000" w:themeColor="text1"/>
        </w:rPr>
        <w:t>support removing the 85 percent cap per budget line item</w:t>
      </w:r>
      <w:r w:rsidRPr="006F7C82" w:rsidR="00C922F6">
        <w:rPr>
          <w:rFonts w:eastAsia="Calibri"/>
          <w:color w:val="000000" w:themeColor="text1"/>
        </w:rPr>
        <w:t xml:space="preserve"> to provide more flexibility to grantees</w:t>
      </w:r>
      <w:r w:rsidRPr="006F7C82" w:rsidR="00A21DCE">
        <w:rPr>
          <w:rFonts w:eastAsia="Calibri"/>
          <w:color w:val="000000" w:themeColor="text1"/>
        </w:rPr>
        <w:t>.</w:t>
      </w:r>
      <w:r w:rsidRPr="006F7C82" w:rsidR="00E8282D">
        <w:rPr>
          <w:rStyle w:val="FootnoteReference"/>
          <w:rFonts w:eastAsia="Calibri"/>
          <w:color w:val="000000" w:themeColor="text1"/>
          <w:szCs w:val="26"/>
        </w:rPr>
        <w:footnoteReference w:id="112"/>
      </w:r>
      <w:r w:rsidRPr="006F7C82" w:rsidR="00A21DCE">
        <w:rPr>
          <w:rFonts w:eastAsia="Calibri"/>
          <w:color w:val="000000" w:themeColor="text1"/>
        </w:rPr>
        <w:t xml:space="preserve"> NDC </w:t>
      </w:r>
      <w:r w:rsidRPr="006F7C82">
        <w:rPr>
          <w:rFonts w:eastAsia="Calibri"/>
          <w:color w:val="000000" w:themeColor="text1"/>
        </w:rPr>
        <w:t xml:space="preserve">supports the proposed changes as </w:t>
      </w:r>
      <w:r w:rsidRPr="006F7C82" w:rsidR="00EB69E0">
        <w:rPr>
          <w:rFonts w:eastAsia="Calibri"/>
          <w:color w:val="000000" w:themeColor="text1"/>
        </w:rPr>
        <w:t>specified in Appendix 2</w:t>
      </w:r>
      <w:r w:rsidR="00CB2832">
        <w:rPr>
          <w:rFonts w:eastAsia="Calibri"/>
          <w:color w:val="000000" w:themeColor="text1"/>
        </w:rPr>
        <w:t xml:space="preserve"> to the Second Amended Scoping Memo</w:t>
      </w:r>
      <w:r w:rsidRPr="006F7C82" w:rsidR="00544E0E">
        <w:rPr>
          <w:rFonts w:eastAsia="Calibri"/>
          <w:color w:val="000000" w:themeColor="text1"/>
        </w:rPr>
        <w:t>.</w:t>
      </w:r>
      <w:r w:rsidRPr="006F7C82" w:rsidR="00E8282D">
        <w:rPr>
          <w:rStyle w:val="FootnoteReference"/>
          <w:rFonts w:eastAsia="Calibri"/>
          <w:color w:val="000000" w:themeColor="text1"/>
          <w:szCs w:val="26"/>
        </w:rPr>
        <w:footnoteReference w:id="113"/>
      </w:r>
      <w:r w:rsidRPr="006F7C82" w:rsidR="00544E0E">
        <w:rPr>
          <w:rFonts w:eastAsia="Calibri"/>
          <w:color w:val="000000" w:themeColor="text1"/>
        </w:rPr>
        <w:t xml:space="preserve"> </w:t>
      </w:r>
      <w:r w:rsidRPr="006F7C82" w:rsidR="00DB1863">
        <w:rPr>
          <w:rFonts w:eastAsia="Calibri"/>
          <w:color w:val="000000" w:themeColor="text1"/>
        </w:rPr>
        <w:t xml:space="preserve">IERBC also </w:t>
      </w:r>
      <w:r w:rsidRPr="006F7C82" w:rsidR="003431A3">
        <w:rPr>
          <w:rFonts w:eastAsia="Calibri"/>
          <w:color w:val="000000" w:themeColor="text1"/>
        </w:rPr>
        <w:t xml:space="preserve">suggests allowing grantees to modify their approved budgets and their </w:t>
      </w:r>
      <w:r w:rsidRPr="006F7C82" w:rsidR="000522BD">
        <w:rPr>
          <w:rFonts w:eastAsia="Calibri"/>
          <w:color w:val="000000" w:themeColor="text1"/>
        </w:rPr>
        <w:t xml:space="preserve">milestones/activity timelines, within the </w:t>
      </w:r>
      <w:r w:rsidRPr="006F7C82" w:rsidR="00A43A05">
        <w:rPr>
          <w:rFonts w:eastAsia="Calibri"/>
          <w:color w:val="000000" w:themeColor="text1"/>
        </w:rPr>
        <w:t>overall approved limits and given they provide notice to the Co</w:t>
      </w:r>
      <w:r w:rsidRPr="006F7C82" w:rsidR="005D761F">
        <w:rPr>
          <w:rFonts w:eastAsia="Calibri"/>
          <w:color w:val="000000" w:themeColor="text1"/>
        </w:rPr>
        <w:t xml:space="preserve">mmission of such changes; IERBC also </w:t>
      </w:r>
      <w:r w:rsidRPr="006F7C82" w:rsidR="00CC008C">
        <w:rPr>
          <w:rFonts w:eastAsia="Calibri"/>
          <w:color w:val="000000" w:themeColor="text1"/>
        </w:rPr>
        <w:t>asks the Commission to consider providing advance payment</w:t>
      </w:r>
      <w:r w:rsidRPr="006F7C82" w:rsidR="006A6111">
        <w:rPr>
          <w:rFonts w:eastAsia="Calibri"/>
          <w:color w:val="000000" w:themeColor="text1"/>
        </w:rPr>
        <w:t xml:space="preserve"> of a portion of the grant at the beginning of the grant period, and quarterly payments thereafter.</w:t>
      </w:r>
      <w:r w:rsidRPr="006F7C82" w:rsidR="000200DE">
        <w:rPr>
          <w:rStyle w:val="FootnoteReference"/>
          <w:rFonts w:eastAsia="Calibri"/>
          <w:color w:val="000000" w:themeColor="text1"/>
          <w:szCs w:val="26"/>
        </w:rPr>
        <w:footnoteReference w:id="114"/>
      </w:r>
      <w:r w:rsidRPr="006F7C82" w:rsidR="000522BD">
        <w:rPr>
          <w:rFonts w:eastAsia="Calibri"/>
          <w:color w:val="000000" w:themeColor="text1"/>
        </w:rPr>
        <w:t xml:space="preserve"> </w:t>
      </w:r>
      <w:r w:rsidRPr="006F7C82" w:rsidR="003700FC">
        <w:rPr>
          <w:rFonts w:eastAsia="Calibri"/>
          <w:color w:val="000000" w:themeColor="text1"/>
        </w:rPr>
        <w:t>CETF urges the Commission to eliminate the reimbursement process whereby grants are paid at “85 percent of eligible program costs,” arguing this process is time-consuming, labor</w:t>
      </w:r>
      <w:r w:rsidR="00BC0CA4">
        <w:rPr>
          <w:rFonts w:eastAsia="Calibri"/>
          <w:color w:val="000000" w:themeColor="text1"/>
        </w:rPr>
        <w:noBreakHyphen/>
      </w:r>
      <w:r w:rsidRPr="006F7C82" w:rsidR="003700FC">
        <w:rPr>
          <w:rFonts w:eastAsia="Calibri"/>
          <w:color w:val="000000" w:themeColor="text1"/>
        </w:rPr>
        <w:t xml:space="preserve">intensive, and irrelevant to actual deliverables and outcomes. CETF advocates for paying grantees a set amount per adoption, plus additional </w:t>
      </w:r>
      <w:r w:rsidR="00CB2832">
        <w:rPr>
          <w:rFonts w:eastAsia="Calibri"/>
          <w:color w:val="000000" w:themeColor="text1"/>
        </w:rPr>
        <w:t xml:space="preserve">for </w:t>
      </w:r>
      <w:r w:rsidRPr="006F7C82" w:rsidR="003700FC">
        <w:rPr>
          <w:rFonts w:eastAsia="Calibri"/>
          <w:color w:val="000000" w:themeColor="text1"/>
        </w:rPr>
        <w:t xml:space="preserve">digital literacy training, and that </w:t>
      </w:r>
      <w:r w:rsidR="00CB2832">
        <w:rPr>
          <w:rFonts w:eastAsia="Calibri"/>
          <w:color w:val="000000" w:themeColor="text1"/>
        </w:rPr>
        <w:t>a</w:t>
      </w:r>
      <w:r w:rsidRPr="006F7C82" w:rsidR="003700FC">
        <w:rPr>
          <w:rFonts w:eastAsia="Calibri"/>
          <w:color w:val="000000" w:themeColor="text1"/>
        </w:rPr>
        <w:t xml:space="preserve"> 15 percent </w:t>
      </w:r>
      <w:r w:rsidRPr="006F7C82" w:rsidR="003700FC">
        <w:rPr>
          <w:rFonts w:eastAsia="Calibri"/>
          <w:color w:val="000000" w:themeColor="text1"/>
        </w:rPr>
        <w:lastRenderedPageBreak/>
        <w:t>required match be on top of the amount paid per adoption and simply documented by grantees.</w:t>
      </w:r>
      <w:r w:rsidRPr="006F7C82" w:rsidR="00BB1BDB">
        <w:rPr>
          <w:rStyle w:val="FootnoteReference"/>
          <w:rFonts w:eastAsia="Calibri"/>
          <w:color w:val="000000" w:themeColor="text1"/>
          <w:szCs w:val="26"/>
        </w:rPr>
        <w:footnoteReference w:id="115"/>
      </w:r>
      <w:r w:rsidRPr="006F7C82" w:rsidR="003700FC">
        <w:rPr>
          <w:rFonts w:eastAsia="Calibri"/>
          <w:color w:val="000000" w:themeColor="text1"/>
        </w:rPr>
        <w:t xml:space="preserve"> </w:t>
      </w:r>
    </w:p>
    <w:p w:rsidRPr="006F7C82" w:rsidR="55E90BF0" w:rsidP="00B36E67" w:rsidRDefault="00196AEA" w14:paraId="4E2962C7" w14:textId="6280F4F8">
      <w:pPr>
        <w:pStyle w:val="Standard"/>
        <w:rPr>
          <w:rFonts w:eastAsia="Calibri"/>
          <w:color w:val="000000" w:themeColor="text1"/>
          <w:szCs w:val="26"/>
        </w:rPr>
      </w:pPr>
      <w:r w:rsidRPr="006F7C82">
        <w:rPr>
          <w:rFonts w:eastAsia="Calibri"/>
          <w:color w:val="000000" w:themeColor="text1"/>
        </w:rPr>
        <w:t>In the interest of providing greater flexibility for project implementation, t</w:t>
      </w:r>
      <w:r w:rsidRPr="006F7C82" w:rsidR="00D367AA">
        <w:rPr>
          <w:rFonts w:eastAsia="Calibri"/>
          <w:color w:val="000000" w:themeColor="text1"/>
        </w:rPr>
        <w:t xml:space="preserve">he Commission </w:t>
      </w:r>
      <w:r w:rsidRPr="006F7C82" w:rsidR="00DC2219">
        <w:rPr>
          <w:rFonts w:eastAsia="Calibri"/>
          <w:color w:val="000000" w:themeColor="text1"/>
        </w:rPr>
        <w:t>finds it reasonable to remove the 85 percent cap per budget line item</w:t>
      </w:r>
      <w:r w:rsidRPr="006F7C82" w:rsidR="085C8075">
        <w:rPr>
          <w:rFonts w:eastAsia="Calibri"/>
          <w:color w:val="000000" w:themeColor="text1"/>
        </w:rPr>
        <w:t xml:space="preserve">, </w:t>
      </w:r>
      <w:r w:rsidRPr="006F7C82" w:rsidR="004628FE">
        <w:rPr>
          <w:rFonts w:eastAsia="Calibri"/>
          <w:color w:val="000000" w:themeColor="text1"/>
        </w:rPr>
        <w:t>to permit grantees to modify</w:t>
      </w:r>
      <w:r w:rsidRPr="006F7C82" w:rsidR="009F7165">
        <w:rPr>
          <w:rFonts w:eastAsia="Calibri"/>
          <w:color w:val="000000" w:themeColor="text1"/>
        </w:rPr>
        <w:t xml:space="preserve"> </w:t>
      </w:r>
      <w:r w:rsidRPr="006F7C82" w:rsidR="00245C42">
        <w:rPr>
          <w:rFonts w:eastAsia="Calibri"/>
          <w:color w:val="000000" w:themeColor="text1"/>
        </w:rPr>
        <w:t xml:space="preserve">line items within </w:t>
      </w:r>
      <w:r w:rsidRPr="006F7C82" w:rsidR="004628FE">
        <w:rPr>
          <w:rFonts w:eastAsia="Calibri"/>
          <w:color w:val="000000" w:themeColor="text1"/>
        </w:rPr>
        <w:t>their</w:t>
      </w:r>
      <w:r w:rsidRPr="006F7C82" w:rsidR="009F7165">
        <w:rPr>
          <w:rFonts w:eastAsia="Calibri"/>
          <w:color w:val="000000" w:themeColor="text1"/>
        </w:rPr>
        <w:t xml:space="preserve"> approved budgets </w:t>
      </w:r>
      <w:r w:rsidRPr="006F7C82" w:rsidR="5D338D1E">
        <w:rPr>
          <w:rFonts w:eastAsia="Calibri"/>
          <w:color w:val="000000" w:themeColor="text1"/>
        </w:rPr>
        <w:t xml:space="preserve">and to make changes to </w:t>
      </w:r>
      <w:r w:rsidRPr="006F7C82" w:rsidR="071A0B23">
        <w:rPr>
          <w:rFonts w:eastAsia="Calibri"/>
          <w:color w:val="000000" w:themeColor="text1"/>
        </w:rPr>
        <w:t>their milestone/activity timelines</w:t>
      </w:r>
      <w:r w:rsidRPr="006F7C82" w:rsidR="5D338D1E">
        <w:rPr>
          <w:rFonts w:eastAsia="Calibri"/>
          <w:color w:val="000000" w:themeColor="text1"/>
        </w:rPr>
        <w:t xml:space="preserve"> </w:t>
      </w:r>
      <w:r w:rsidR="00553559">
        <w:rPr>
          <w:rFonts w:eastAsia="Calibri"/>
          <w:color w:val="000000" w:themeColor="text1"/>
        </w:rPr>
        <w:t>so long as</w:t>
      </w:r>
      <w:r w:rsidRPr="006F7C82" w:rsidR="00AF5301">
        <w:rPr>
          <w:rFonts w:eastAsia="Calibri"/>
          <w:color w:val="000000" w:themeColor="text1"/>
        </w:rPr>
        <w:t xml:space="preserve"> those modifications </w:t>
      </w:r>
      <w:r w:rsidR="005E7D73">
        <w:rPr>
          <w:rFonts w:eastAsia="Calibri"/>
          <w:color w:val="000000" w:themeColor="text1"/>
        </w:rPr>
        <w:t xml:space="preserve">do not cause the project budget to exceed the overall adopted project </w:t>
      </w:r>
      <w:r w:rsidRPr="006F7C82" w:rsidR="00AF5301">
        <w:rPr>
          <w:rFonts w:eastAsia="Calibri"/>
          <w:color w:val="000000" w:themeColor="text1"/>
        </w:rPr>
        <w:t>budget and</w:t>
      </w:r>
      <w:r w:rsidR="00A8697B">
        <w:rPr>
          <w:rFonts w:eastAsia="Calibri"/>
          <w:color w:val="000000" w:themeColor="text1"/>
        </w:rPr>
        <w:t xml:space="preserve"> so long as the proposed budget modifications are unrelated to the budgets for classroom or take-home devices, including hotspots</w:t>
      </w:r>
      <w:r w:rsidR="00694032">
        <w:rPr>
          <w:rFonts w:eastAsia="Calibri"/>
          <w:color w:val="000000" w:themeColor="text1"/>
        </w:rPr>
        <w:t>. Grantees may</w:t>
      </w:r>
      <w:r w:rsidRPr="006F7C82" w:rsidR="00AF5301">
        <w:rPr>
          <w:rFonts w:eastAsia="Calibri"/>
          <w:color w:val="000000" w:themeColor="text1"/>
        </w:rPr>
        <w:t xml:space="preserve"> change milestone/activity timelines </w:t>
      </w:r>
      <w:r w:rsidR="00C22FE0">
        <w:rPr>
          <w:rFonts w:eastAsia="Calibri"/>
          <w:color w:val="000000" w:themeColor="text1"/>
        </w:rPr>
        <w:t xml:space="preserve">without prior authorization, so long as those modifications do not cause the </w:t>
      </w:r>
      <w:r w:rsidR="00066988">
        <w:rPr>
          <w:rFonts w:eastAsia="Calibri"/>
          <w:color w:val="000000" w:themeColor="text1"/>
        </w:rPr>
        <w:t>project timeframe to exceed the overall</w:t>
      </w:r>
      <w:r w:rsidRPr="006F7C82" w:rsidR="00AF5301">
        <w:rPr>
          <w:rFonts w:eastAsia="Calibri"/>
          <w:color w:val="000000" w:themeColor="text1"/>
        </w:rPr>
        <w:t xml:space="preserve"> </w:t>
      </w:r>
      <w:r w:rsidR="00066988">
        <w:rPr>
          <w:rFonts w:eastAsia="Calibri"/>
          <w:color w:val="000000" w:themeColor="text1"/>
        </w:rPr>
        <w:t>adopted</w:t>
      </w:r>
      <w:r w:rsidRPr="006F7C82" w:rsidR="00066988">
        <w:rPr>
          <w:rFonts w:eastAsia="Calibri"/>
          <w:color w:val="000000" w:themeColor="text1"/>
        </w:rPr>
        <w:t xml:space="preserve"> </w:t>
      </w:r>
      <w:r w:rsidRPr="006F7C82" w:rsidR="00AF5301">
        <w:rPr>
          <w:rFonts w:eastAsia="Calibri"/>
          <w:color w:val="000000" w:themeColor="text1"/>
        </w:rPr>
        <w:t>project timeframe</w:t>
      </w:r>
      <w:r w:rsidRPr="006F7C82" w:rsidR="00A63D5F">
        <w:rPr>
          <w:rFonts w:eastAsia="Calibri"/>
          <w:color w:val="000000" w:themeColor="text1"/>
        </w:rPr>
        <w:t>.</w:t>
      </w:r>
      <w:r w:rsidRPr="006F7C82" w:rsidR="00C01241">
        <w:rPr>
          <w:rFonts w:eastAsia="Calibri"/>
          <w:color w:val="000000" w:themeColor="text1"/>
        </w:rPr>
        <w:t xml:space="preserve"> </w:t>
      </w:r>
      <w:r w:rsidRPr="006F7C82" w:rsidR="00926259">
        <w:rPr>
          <w:rFonts w:eastAsia="Calibri"/>
          <w:color w:val="000000" w:themeColor="text1"/>
        </w:rPr>
        <w:t xml:space="preserve">Grantees must provide notice prior to </w:t>
      </w:r>
      <w:r w:rsidRPr="006F7C82" w:rsidR="00DA21A7">
        <w:rPr>
          <w:rFonts w:eastAsia="Calibri"/>
          <w:color w:val="000000" w:themeColor="text1"/>
        </w:rPr>
        <w:t xml:space="preserve">making </w:t>
      </w:r>
      <w:r w:rsidRPr="006F7C82" w:rsidR="005C3533">
        <w:rPr>
          <w:rFonts w:eastAsia="Calibri"/>
          <w:color w:val="000000" w:themeColor="text1"/>
        </w:rPr>
        <w:t>any such adjustment</w:t>
      </w:r>
      <w:r w:rsidRPr="006F7C82" w:rsidR="00FD0787">
        <w:rPr>
          <w:rFonts w:eastAsia="Calibri"/>
          <w:color w:val="000000" w:themeColor="text1"/>
        </w:rPr>
        <w:t xml:space="preserve">. </w:t>
      </w:r>
      <w:r w:rsidRPr="006F7C82" w:rsidR="00E31BAB">
        <w:rPr>
          <w:rFonts w:eastAsia="Calibri"/>
          <w:color w:val="000000" w:themeColor="text1"/>
        </w:rPr>
        <w:t xml:space="preserve">The Commission acknowledges </w:t>
      </w:r>
      <w:r w:rsidRPr="006F7C82" w:rsidR="458D750F">
        <w:rPr>
          <w:rFonts w:eastAsia="Calibri"/>
          <w:color w:val="000000" w:themeColor="text1"/>
        </w:rPr>
        <w:t>IERBC</w:t>
      </w:r>
      <w:r w:rsidRPr="006F7C82" w:rsidR="00750AA9">
        <w:rPr>
          <w:rFonts w:eastAsia="Calibri"/>
          <w:color w:val="000000" w:themeColor="text1"/>
        </w:rPr>
        <w:t>’s</w:t>
      </w:r>
      <w:r w:rsidRPr="006F7C82" w:rsidR="458D750F">
        <w:rPr>
          <w:rFonts w:eastAsia="Calibri"/>
          <w:color w:val="000000" w:themeColor="text1"/>
        </w:rPr>
        <w:t xml:space="preserve"> and </w:t>
      </w:r>
      <w:r w:rsidRPr="006F7C82" w:rsidR="001901C7">
        <w:rPr>
          <w:rFonts w:eastAsia="Calibri"/>
          <w:color w:val="000000" w:themeColor="text1"/>
        </w:rPr>
        <w:t>CETF’s</w:t>
      </w:r>
      <w:r w:rsidRPr="006F7C82" w:rsidR="00E31BAB">
        <w:rPr>
          <w:rFonts w:eastAsia="Calibri"/>
          <w:color w:val="000000" w:themeColor="text1"/>
        </w:rPr>
        <w:t xml:space="preserve"> calls for </w:t>
      </w:r>
      <w:r w:rsidRPr="006F7C82" w:rsidR="00580F18">
        <w:rPr>
          <w:rFonts w:eastAsia="Calibri"/>
          <w:color w:val="000000" w:themeColor="text1"/>
        </w:rPr>
        <w:t>more fundamental</w:t>
      </w:r>
      <w:r w:rsidRPr="006F7C82" w:rsidR="00E31BAB">
        <w:rPr>
          <w:rFonts w:eastAsia="Calibri"/>
          <w:color w:val="000000" w:themeColor="text1"/>
        </w:rPr>
        <w:t xml:space="preserve"> </w:t>
      </w:r>
      <w:r w:rsidRPr="006F7C82" w:rsidR="001F0D87">
        <w:rPr>
          <w:rFonts w:eastAsia="Calibri"/>
          <w:color w:val="000000" w:themeColor="text1"/>
        </w:rPr>
        <w:t xml:space="preserve">changes to </w:t>
      </w:r>
      <w:r w:rsidRPr="006F7C82" w:rsidR="002E329F">
        <w:rPr>
          <w:rFonts w:eastAsia="Calibri"/>
          <w:color w:val="000000" w:themeColor="text1"/>
        </w:rPr>
        <w:t xml:space="preserve">how budgets are </w:t>
      </w:r>
      <w:proofErr w:type="gramStart"/>
      <w:r w:rsidRPr="006F7C82" w:rsidR="002E329F">
        <w:rPr>
          <w:rFonts w:eastAsia="Calibri"/>
          <w:color w:val="000000" w:themeColor="text1"/>
        </w:rPr>
        <w:t>set</w:t>
      </w:r>
      <w:proofErr w:type="gramEnd"/>
      <w:r w:rsidRPr="006F7C82" w:rsidR="002E329F">
        <w:rPr>
          <w:rFonts w:eastAsia="Calibri"/>
          <w:color w:val="000000" w:themeColor="text1"/>
        </w:rPr>
        <w:t xml:space="preserve"> and grantees are paid</w:t>
      </w:r>
      <w:r w:rsidRPr="006F7C82" w:rsidR="00DE64BE">
        <w:rPr>
          <w:rFonts w:eastAsia="Calibri"/>
          <w:color w:val="000000" w:themeColor="text1"/>
        </w:rPr>
        <w:t xml:space="preserve"> but declines to consider</w:t>
      </w:r>
      <w:r w:rsidRPr="006F7C82" w:rsidR="00DE40C6">
        <w:rPr>
          <w:rFonts w:eastAsia="Calibri"/>
          <w:color w:val="000000" w:themeColor="text1"/>
        </w:rPr>
        <w:t xml:space="preserve"> </w:t>
      </w:r>
      <w:r w:rsidRPr="006F7C82" w:rsidR="00866EE2">
        <w:rPr>
          <w:rFonts w:eastAsia="Calibri"/>
          <w:color w:val="000000" w:themeColor="text1"/>
        </w:rPr>
        <w:t xml:space="preserve">such changes at this time </w:t>
      </w:r>
      <w:r w:rsidRPr="006F7C82" w:rsidR="00CE2E94">
        <w:rPr>
          <w:rFonts w:eastAsia="Calibri"/>
          <w:color w:val="000000" w:themeColor="text1"/>
        </w:rPr>
        <w:t>in favor of a</w:t>
      </w:r>
      <w:r w:rsidRPr="006F7C82" w:rsidR="00082BF5">
        <w:rPr>
          <w:rFonts w:eastAsia="Calibri"/>
          <w:color w:val="000000" w:themeColor="text1"/>
        </w:rPr>
        <w:t>n established process for</w:t>
      </w:r>
      <w:r w:rsidRPr="006F7C82" w:rsidR="00CE2E94">
        <w:rPr>
          <w:rFonts w:eastAsia="Calibri"/>
          <w:color w:val="000000" w:themeColor="text1"/>
        </w:rPr>
        <w:t xml:space="preserve"> </w:t>
      </w:r>
      <w:r w:rsidRPr="006F7C82" w:rsidR="008F12A5">
        <w:rPr>
          <w:rFonts w:eastAsia="Calibri"/>
          <w:color w:val="000000" w:themeColor="text1"/>
        </w:rPr>
        <w:t xml:space="preserve">responsible disbursement of public funds. </w:t>
      </w:r>
      <w:r w:rsidRPr="006F7C82" w:rsidR="00C01241">
        <w:rPr>
          <w:rFonts w:eastAsia="Calibri"/>
          <w:color w:val="000000" w:themeColor="text1"/>
        </w:rPr>
        <w:t>The</w:t>
      </w:r>
      <w:r w:rsidRPr="006F7C82" w:rsidR="008F12A5">
        <w:rPr>
          <w:rFonts w:eastAsia="Calibri"/>
          <w:color w:val="000000" w:themeColor="text1"/>
        </w:rPr>
        <w:t xml:space="preserve"> adopted </w:t>
      </w:r>
      <w:r w:rsidRPr="006F7C82" w:rsidR="00C01241">
        <w:rPr>
          <w:rFonts w:eastAsia="Calibri"/>
          <w:color w:val="000000" w:themeColor="text1"/>
        </w:rPr>
        <w:t>changes are as shown in Appendix 2.</w:t>
      </w:r>
    </w:p>
    <w:p w:rsidRPr="006F7C82" w:rsidR="55E90BF0" w:rsidP="002A4088" w:rsidRDefault="55E90BF0" w14:paraId="40A584F5" w14:textId="657C5447">
      <w:pPr>
        <w:pStyle w:val="Heading2"/>
        <w:ind w:left="1080" w:hanging="720"/>
        <w:rPr>
          <w:color w:val="000000" w:themeColor="text1"/>
        </w:rPr>
      </w:pPr>
      <w:bookmarkStart w:name="_Toc100132365" w:id="22"/>
      <w:r w:rsidRPr="006F7C82">
        <w:rPr>
          <w:color w:val="000000" w:themeColor="text1"/>
        </w:rPr>
        <w:t>Per Device Subsidy Levels</w:t>
      </w:r>
      <w:bookmarkEnd w:id="22"/>
    </w:p>
    <w:p w:rsidRPr="006F7C82" w:rsidR="55E90BF0" w:rsidP="55E90BF0" w:rsidRDefault="55E90BF0" w14:paraId="1CA4C1A5" w14:textId="4E06A9B0">
      <w:pPr>
        <w:pStyle w:val="Standard"/>
        <w:rPr>
          <w:rFonts w:eastAsia="Calibri"/>
          <w:color w:val="000000" w:themeColor="text1"/>
          <w:szCs w:val="26"/>
        </w:rPr>
      </w:pPr>
      <w:r w:rsidRPr="006F7C82">
        <w:rPr>
          <w:rFonts w:eastAsia="Calibri"/>
          <w:color w:val="000000" w:themeColor="text1"/>
        </w:rPr>
        <w:t xml:space="preserve">The Adoption Account </w:t>
      </w:r>
      <w:proofErr w:type="gramStart"/>
      <w:r w:rsidRPr="006F7C82">
        <w:rPr>
          <w:rFonts w:eastAsia="Calibri"/>
          <w:color w:val="000000" w:themeColor="text1"/>
        </w:rPr>
        <w:t>rules currently</w:t>
      </w:r>
      <w:proofErr w:type="gramEnd"/>
      <w:r w:rsidRPr="006F7C82">
        <w:rPr>
          <w:rFonts w:eastAsia="Calibri"/>
          <w:color w:val="000000" w:themeColor="text1"/>
        </w:rPr>
        <w:t xml:space="preserve"> cap reimbursement of eligible take</w:t>
      </w:r>
      <w:r w:rsidR="00BC0CA4">
        <w:rPr>
          <w:rFonts w:eastAsia="Calibri"/>
          <w:color w:val="000000" w:themeColor="text1"/>
        </w:rPr>
        <w:noBreakHyphen/>
      </w:r>
      <w:r w:rsidRPr="006F7C82">
        <w:rPr>
          <w:rFonts w:eastAsia="Calibri"/>
          <w:color w:val="000000" w:themeColor="text1"/>
        </w:rPr>
        <w:t>home devices to $150 per device, limited to one computing device per eligible household, and limited to $10,000 per application/project location.</w:t>
      </w:r>
      <w:r w:rsidRPr="006F7C82">
        <w:rPr>
          <w:rStyle w:val="FootnoteReference"/>
          <w:rFonts w:eastAsia="Calibri"/>
          <w:color w:val="000000" w:themeColor="text1"/>
        </w:rPr>
        <w:footnoteReference w:id="116"/>
      </w:r>
      <w:r w:rsidRPr="006F7C82" w:rsidR="00F209CE">
        <w:rPr>
          <w:rFonts w:eastAsia="Calibri"/>
          <w:color w:val="000000" w:themeColor="text1"/>
        </w:rPr>
        <w:t xml:space="preserve"> </w:t>
      </w:r>
      <w:r w:rsidRPr="006F7C82">
        <w:rPr>
          <w:rFonts w:eastAsia="Calibri"/>
          <w:color w:val="000000" w:themeColor="text1"/>
        </w:rPr>
        <w:t>The Second</w:t>
      </w:r>
      <w:r w:rsidR="00B36E67">
        <w:rPr>
          <w:rFonts w:eastAsia="Calibri"/>
          <w:color w:val="000000" w:themeColor="text1"/>
        </w:rPr>
        <w:t> </w:t>
      </w:r>
      <w:r w:rsidRPr="006F7C82">
        <w:rPr>
          <w:rFonts w:eastAsia="Calibri"/>
          <w:color w:val="000000" w:themeColor="text1"/>
        </w:rPr>
        <w:t>Amended Scoping Memo posed the following question related to take</w:t>
      </w:r>
      <w:r w:rsidR="00B84FA0">
        <w:rPr>
          <w:rFonts w:eastAsia="Calibri"/>
          <w:color w:val="000000" w:themeColor="text1"/>
        </w:rPr>
        <w:noBreakHyphen/>
      </w:r>
      <w:r w:rsidRPr="006F7C82">
        <w:rPr>
          <w:rFonts w:eastAsia="Calibri"/>
          <w:color w:val="000000" w:themeColor="text1"/>
        </w:rPr>
        <w:t>home device costs:</w:t>
      </w:r>
    </w:p>
    <w:p w:rsidRPr="00FF6FF3" w:rsidR="55E90BF0" w:rsidP="00FF6FF3" w:rsidRDefault="55E90BF0" w14:paraId="6573AA3B" w14:textId="3CA48C49">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lastRenderedPageBreak/>
        <w:t>Should the Commission increase the allowable reimbursement amount for take-home devices?</w:t>
      </w:r>
      <w:r w:rsidRPr="004C2B66" w:rsidR="00F209CE">
        <w:rPr>
          <w:rFonts w:eastAsia="Calibri"/>
          <w:i/>
          <w:iCs/>
          <w:color w:val="000000" w:themeColor="text1"/>
        </w:rPr>
        <w:t xml:space="preserve"> </w:t>
      </w:r>
      <w:r w:rsidRPr="004C2B66">
        <w:rPr>
          <w:rFonts w:eastAsia="Calibri"/>
          <w:i/>
          <w:iCs/>
          <w:color w:val="000000" w:themeColor="text1"/>
        </w:rPr>
        <w:t>Is an increase in the amount eligible for reimbursement to $300 per device and increasing the total amount available or reimbursement for eligible device costs to $20,000 per application/project locations reasonable?</w:t>
      </w:r>
    </w:p>
    <w:p w:rsidRPr="006F7C82" w:rsidR="00CF7BA6" w:rsidP="00CF7BA6" w:rsidRDefault="00992206" w14:paraId="7EDBCEBD" w14:textId="111F1B9D">
      <w:pPr>
        <w:pStyle w:val="Standard"/>
        <w:rPr>
          <w:rFonts w:eastAsia="Calibri"/>
          <w:color w:val="000000" w:themeColor="text1"/>
          <w:szCs w:val="26"/>
        </w:rPr>
      </w:pPr>
      <w:r w:rsidRPr="006F7C82">
        <w:rPr>
          <w:rFonts w:eastAsia="Calibri"/>
          <w:color w:val="000000" w:themeColor="text1"/>
        </w:rPr>
        <w:t xml:space="preserve">IERBC, </w:t>
      </w:r>
      <w:r w:rsidRPr="006F7C82" w:rsidR="0078764C">
        <w:rPr>
          <w:rFonts w:eastAsia="Calibri"/>
          <w:color w:val="000000" w:themeColor="text1"/>
        </w:rPr>
        <w:t>NDC</w:t>
      </w:r>
      <w:r w:rsidRPr="006F7C82" w:rsidR="00723A0D">
        <w:rPr>
          <w:rFonts w:eastAsia="Calibri"/>
          <w:color w:val="000000" w:themeColor="text1"/>
        </w:rPr>
        <w:t>,</w:t>
      </w:r>
      <w:r w:rsidRPr="006F7C82" w:rsidR="0078764C">
        <w:rPr>
          <w:rFonts w:eastAsia="Calibri"/>
          <w:color w:val="000000" w:themeColor="text1"/>
        </w:rPr>
        <w:t xml:space="preserve"> </w:t>
      </w:r>
      <w:r w:rsidRPr="006F7C82" w:rsidR="00421B9E">
        <w:rPr>
          <w:rFonts w:eastAsia="Calibri"/>
          <w:color w:val="000000" w:themeColor="text1"/>
        </w:rPr>
        <w:t xml:space="preserve">LAEDC, </w:t>
      </w:r>
      <w:r w:rsidRPr="006F7C82" w:rsidR="0078764C">
        <w:rPr>
          <w:rFonts w:eastAsia="Calibri"/>
          <w:color w:val="000000" w:themeColor="text1"/>
        </w:rPr>
        <w:t xml:space="preserve">UNITE-LA </w:t>
      </w:r>
      <w:r w:rsidRPr="006F7C82" w:rsidR="00723A0D">
        <w:rPr>
          <w:rFonts w:eastAsia="Calibri"/>
          <w:color w:val="000000" w:themeColor="text1"/>
        </w:rPr>
        <w:t xml:space="preserve">and Cal Advocates </w:t>
      </w:r>
      <w:r w:rsidRPr="006F7C82" w:rsidR="0078764C">
        <w:rPr>
          <w:rFonts w:eastAsia="Calibri"/>
          <w:color w:val="000000" w:themeColor="text1"/>
        </w:rPr>
        <w:t xml:space="preserve">are </w:t>
      </w:r>
      <w:r w:rsidRPr="006F7C82" w:rsidR="001D0024">
        <w:rPr>
          <w:rFonts w:eastAsia="Calibri"/>
          <w:color w:val="000000" w:themeColor="text1"/>
        </w:rPr>
        <w:t xml:space="preserve">generally </w:t>
      </w:r>
      <w:r w:rsidRPr="006F7C82" w:rsidR="0078764C">
        <w:rPr>
          <w:rFonts w:eastAsia="Calibri"/>
          <w:color w:val="000000" w:themeColor="text1"/>
        </w:rPr>
        <w:t xml:space="preserve">supportive of the proposed </w:t>
      </w:r>
      <w:r w:rsidRPr="006F7C82" w:rsidR="00FE700C">
        <w:rPr>
          <w:rFonts w:eastAsia="Calibri"/>
          <w:color w:val="000000" w:themeColor="text1"/>
        </w:rPr>
        <w:t xml:space="preserve">per-device </w:t>
      </w:r>
      <w:r w:rsidRPr="006F7C82" w:rsidR="003B0C74">
        <w:rPr>
          <w:rFonts w:eastAsia="Calibri"/>
          <w:color w:val="000000" w:themeColor="text1"/>
        </w:rPr>
        <w:t>cap</w:t>
      </w:r>
      <w:r w:rsidRPr="006F7C82" w:rsidR="004D4114">
        <w:rPr>
          <w:rFonts w:eastAsia="Calibri"/>
          <w:color w:val="000000" w:themeColor="text1"/>
        </w:rPr>
        <w:t>; IERBC supports removing the cap altogether</w:t>
      </w:r>
      <w:r w:rsidRPr="006F7C82" w:rsidR="00FE700C">
        <w:rPr>
          <w:rFonts w:eastAsia="Calibri"/>
          <w:color w:val="000000" w:themeColor="text1"/>
        </w:rPr>
        <w:t>.</w:t>
      </w:r>
      <w:r w:rsidRPr="006F7C82" w:rsidR="007233F8">
        <w:rPr>
          <w:rStyle w:val="FootnoteReference"/>
          <w:rFonts w:eastAsia="Calibri"/>
          <w:color w:val="000000" w:themeColor="text1"/>
          <w:szCs w:val="26"/>
        </w:rPr>
        <w:footnoteReference w:id="117"/>
      </w:r>
      <w:r w:rsidRPr="006F7C82" w:rsidR="00723A0D">
        <w:rPr>
          <w:rFonts w:eastAsia="Calibri"/>
          <w:color w:val="000000" w:themeColor="text1"/>
        </w:rPr>
        <w:t xml:space="preserve"> Cal Advocates recommends </w:t>
      </w:r>
      <w:r w:rsidRPr="006F7C82" w:rsidR="00C747A6">
        <w:rPr>
          <w:rFonts w:eastAsia="Calibri"/>
          <w:color w:val="000000" w:themeColor="text1"/>
        </w:rPr>
        <w:t xml:space="preserve">raising the cap on the number of </w:t>
      </w:r>
      <w:proofErr w:type="gramStart"/>
      <w:r w:rsidRPr="006F7C82" w:rsidR="00C747A6">
        <w:rPr>
          <w:rFonts w:eastAsia="Calibri"/>
          <w:color w:val="000000" w:themeColor="text1"/>
        </w:rPr>
        <w:t>take</w:t>
      </w:r>
      <w:proofErr w:type="gramEnd"/>
      <w:r w:rsidR="00BC0CA4">
        <w:rPr>
          <w:rFonts w:eastAsia="Calibri"/>
          <w:color w:val="000000" w:themeColor="text1"/>
        </w:rPr>
        <w:noBreakHyphen/>
      </w:r>
      <w:r w:rsidRPr="006F7C82" w:rsidR="00C747A6">
        <w:rPr>
          <w:rFonts w:eastAsia="Calibri"/>
          <w:color w:val="000000" w:themeColor="text1"/>
        </w:rPr>
        <w:t>home devices per household</w:t>
      </w:r>
      <w:r w:rsidRPr="006F7C82" w:rsidR="00FE700C">
        <w:rPr>
          <w:rFonts w:eastAsia="Calibri"/>
          <w:color w:val="000000" w:themeColor="text1"/>
        </w:rPr>
        <w:t>, and a corresponding increase of</w:t>
      </w:r>
      <w:r w:rsidRPr="006F7C82" w:rsidR="00B44500">
        <w:rPr>
          <w:rFonts w:eastAsia="Calibri"/>
          <w:color w:val="000000" w:themeColor="text1"/>
        </w:rPr>
        <w:t xml:space="preserve"> the application/project location cap</w:t>
      </w:r>
      <w:r w:rsidRPr="006F7C82" w:rsidR="00FE700C">
        <w:rPr>
          <w:rFonts w:eastAsia="Calibri"/>
          <w:color w:val="000000" w:themeColor="text1"/>
        </w:rPr>
        <w:t>,</w:t>
      </w:r>
      <w:r w:rsidRPr="006F7C82" w:rsidR="00B44500">
        <w:rPr>
          <w:rFonts w:eastAsia="Calibri"/>
          <w:color w:val="000000" w:themeColor="text1"/>
        </w:rPr>
        <w:t xml:space="preserve"> to $40,000</w:t>
      </w:r>
      <w:r w:rsidRPr="006F7C82" w:rsidR="003B0C74">
        <w:rPr>
          <w:rFonts w:eastAsia="Calibri"/>
          <w:color w:val="000000" w:themeColor="text1"/>
        </w:rPr>
        <w:t xml:space="preserve">. </w:t>
      </w:r>
      <w:r w:rsidRPr="006F7C82" w:rsidR="00FE700C">
        <w:rPr>
          <w:rFonts w:eastAsia="Calibri"/>
          <w:color w:val="000000" w:themeColor="text1"/>
        </w:rPr>
        <w:t xml:space="preserve">Cal Advocates cites </w:t>
      </w:r>
      <w:r w:rsidRPr="006F7C82" w:rsidR="00BA3AB5">
        <w:rPr>
          <w:rFonts w:eastAsia="Calibri"/>
          <w:color w:val="000000" w:themeColor="text1"/>
        </w:rPr>
        <w:t xml:space="preserve">Census data </w:t>
      </w:r>
      <w:r w:rsidRPr="006F7C82" w:rsidR="004E03CF">
        <w:rPr>
          <w:rFonts w:eastAsia="Calibri"/>
          <w:color w:val="000000" w:themeColor="text1"/>
        </w:rPr>
        <w:t xml:space="preserve">suggesting most households that lack a desktop or computer also have more than one </w:t>
      </w:r>
      <w:r w:rsidRPr="006F7C82" w:rsidR="007B0AC7">
        <w:rPr>
          <w:rFonts w:eastAsia="Calibri"/>
          <w:color w:val="000000" w:themeColor="text1"/>
        </w:rPr>
        <w:t xml:space="preserve">person, coupled with studies </w:t>
      </w:r>
      <w:r w:rsidRPr="006F7C82" w:rsidR="00D77D14">
        <w:rPr>
          <w:rFonts w:eastAsia="Calibri"/>
          <w:color w:val="000000" w:themeColor="text1"/>
        </w:rPr>
        <w:t xml:space="preserve">analyzing </w:t>
      </w:r>
      <w:r w:rsidRPr="006F7C82" w:rsidR="00941E25">
        <w:rPr>
          <w:rFonts w:eastAsia="Calibri"/>
          <w:color w:val="000000" w:themeColor="text1"/>
        </w:rPr>
        <w:t xml:space="preserve">the unequal outcomes </w:t>
      </w:r>
      <w:r w:rsidRPr="006F7C82" w:rsidR="002344DE">
        <w:rPr>
          <w:rFonts w:eastAsia="Calibri"/>
          <w:color w:val="000000" w:themeColor="text1"/>
        </w:rPr>
        <w:t>for</w:t>
      </w:r>
      <w:r w:rsidRPr="006F7C82" w:rsidR="00941E25">
        <w:rPr>
          <w:rFonts w:eastAsia="Calibri"/>
          <w:color w:val="000000" w:themeColor="text1"/>
        </w:rPr>
        <w:t xml:space="preserve"> students </w:t>
      </w:r>
      <w:r w:rsidRPr="006F7C82" w:rsidR="00F66102">
        <w:rPr>
          <w:rFonts w:eastAsia="Calibri"/>
          <w:color w:val="000000" w:themeColor="text1"/>
        </w:rPr>
        <w:t>lacking access to a home computer</w:t>
      </w:r>
      <w:r w:rsidRPr="006F7C82" w:rsidR="002344DE">
        <w:rPr>
          <w:rFonts w:eastAsia="Calibri"/>
          <w:color w:val="000000" w:themeColor="text1"/>
        </w:rPr>
        <w:t xml:space="preserve">, compared with students </w:t>
      </w:r>
      <w:r w:rsidRPr="006F7C82" w:rsidR="00CF2798">
        <w:rPr>
          <w:rFonts w:eastAsia="Calibri"/>
          <w:color w:val="000000" w:themeColor="text1"/>
        </w:rPr>
        <w:t>with access to a home computer.</w:t>
      </w:r>
      <w:r w:rsidRPr="006F7C82" w:rsidR="00A5615B">
        <w:rPr>
          <w:rStyle w:val="FootnoteReference"/>
          <w:rFonts w:eastAsia="Calibri"/>
          <w:color w:val="000000" w:themeColor="text1"/>
          <w:szCs w:val="26"/>
        </w:rPr>
        <w:footnoteReference w:id="118"/>
      </w:r>
      <w:r w:rsidRPr="006F7C82" w:rsidR="00F66102">
        <w:rPr>
          <w:rFonts w:eastAsia="Calibri"/>
          <w:color w:val="000000" w:themeColor="text1"/>
        </w:rPr>
        <w:t xml:space="preserve"> </w:t>
      </w:r>
      <w:proofErr w:type="spellStart"/>
      <w:r w:rsidRPr="006F7C82" w:rsidR="001D0024">
        <w:rPr>
          <w:rFonts w:eastAsia="Calibri"/>
          <w:color w:val="000000" w:themeColor="text1"/>
        </w:rPr>
        <w:t>CforAT</w:t>
      </w:r>
      <w:proofErr w:type="spellEnd"/>
      <w:r w:rsidRPr="006F7C82" w:rsidR="00CF7BA6">
        <w:rPr>
          <w:rFonts w:eastAsia="Calibri"/>
          <w:color w:val="000000" w:themeColor="text1"/>
        </w:rPr>
        <w:t xml:space="preserve"> does not comment on the specific amounts, but urges the Commission to ensure that reimbursement amounts for take-home devices are sufficient to ensure individuals with disabilities are able to obtain any necessary assistive technology.</w:t>
      </w:r>
      <w:r w:rsidRPr="006F7C82" w:rsidR="00674E3E">
        <w:rPr>
          <w:rStyle w:val="FootnoteReference"/>
          <w:rFonts w:eastAsia="Calibri"/>
          <w:color w:val="000000" w:themeColor="text1"/>
          <w:szCs w:val="26"/>
        </w:rPr>
        <w:footnoteReference w:id="119"/>
      </w:r>
      <w:r w:rsidRPr="006F7C82" w:rsidR="00B577EE">
        <w:rPr>
          <w:rFonts w:eastAsia="Calibri"/>
          <w:color w:val="000000" w:themeColor="text1"/>
        </w:rPr>
        <w:t xml:space="preserve"> In reply comments, </w:t>
      </w:r>
      <w:proofErr w:type="spellStart"/>
      <w:r w:rsidRPr="006F7C82" w:rsidR="00B577EE">
        <w:rPr>
          <w:rFonts w:eastAsia="Calibri"/>
          <w:color w:val="000000" w:themeColor="text1"/>
        </w:rPr>
        <w:t>CforAT</w:t>
      </w:r>
      <w:proofErr w:type="spellEnd"/>
      <w:r w:rsidRPr="006F7C82" w:rsidR="00B577EE">
        <w:rPr>
          <w:rFonts w:eastAsia="Calibri"/>
          <w:color w:val="000000" w:themeColor="text1"/>
        </w:rPr>
        <w:t xml:space="preserve"> expresses support for increasing per-device subsidy levels for take-home devices, eliminating the cap on the number of devices per designated space/project, and expanding eligible equipment costs.</w:t>
      </w:r>
      <w:r w:rsidRPr="006F7C82" w:rsidR="00840620">
        <w:rPr>
          <w:rStyle w:val="FootnoteReference"/>
          <w:rFonts w:eastAsia="Calibri"/>
          <w:color w:val="000000" w:themeColor="text1"/>
          <w:szCs w:val="26"/>
        </w:rPr>
        <w:footnoteReference w:id="120"/>
      </w:r>
    </w:p>
    <w:p w:rsidRPr="006F7C82" w:rsidR="0030178C" w:rsidP="00CF7BA6" w:rsidRDefault="00B04314" w14:paraId="6CEF55AA" w14:textId="6FDE4D02">
      <w:pPr>
        <w:pStyle w:val="Standard"/>
        <w:rPr>
          <w:rFonts w:eastAsia="Calibri"/>
          <w:color w:val="000000" w:themeColor="text1"/>
          <w:szCs w:val="26"/>
        </w:rPr>
      </w:pPr>
      <w:r w:rsidRPr="006F7C82">
        <w:rPr>
          <w:rFonts w:eastAsia="Calibri"/>
          <w:color w:val="000000" w:themeColor="text1"/>
        </w:rPr>
        <w:t xml:space="preserve">CETF asserts the Commission (or the State) should not be buying and giving away computers, but rather convening all ISPs to ensure they agree to offer the ACP device benefit, and then providing any supplemental funding for a </w:t>
      </w:r>
      <w:r w:rsidRPr="006F7C82">
        <w:rPr>
          <w:rFonts w:eastAsia="Calibri"/>
          <w:color w:val="000000" w:themeColor="text1"/>
        </w:rPr>
        <w:lastRenderedPageBreak/>
        <w:t xml:space="preserve">device with Adoption Account funds. </w:t>
      </w:r>
      <w:r w:rsidRPr="006F7C82" w:rsidR="00581383">
        <w:rPr>
          <w:rFonts w:eastAsia="Calibri"/>
          <w:color w:val="000000" w:themeColor="text1"/>
        </w:rPr>
        <w:t xml:space="preserve">CETF emphasizes </w:t>
      </w:r>
      <w:r w:rsidRPr="006F7C82" w:rsidR="00770027">
        <w:rPr>
          <w:rFonts w:eastAsia="Calibri"/>
          <w:color w:val="000000" w:themeColor="text1"/>
        </w:rPr>
        <w:t>t</w:t>
      </w:r>
      <w:r w:rsidRPr="006F7C82" w:rsidR="00282FB4">
        <w:rPr>
          <w:rFonts w:eastAsia="Calibri"/>
          <w:color w:val="000000" w:themeColor="text1"/>
        </w:rPr>
        <w:t>hat only about 40</w:t>
      </w:r>
      <w:r w:rsidR="00A329A1">
        <w:rPr>
          <w:rFonts w:eastAsia="Calibri"/>
          <w:color w:val="000000" w:themeColor="text1"/>
        </w:rPr>
        <w:t> </w:t>
      </w:r>
      <w:r w:rsidRPr="006F7C82" w:rsidR="00282FB4">
        <w:rPr>
          <w:rFonts w:eastAsia="Calibri"/>
          <w:color w:val="000000" w:themeColor="text1"/>
        </w:rPr>
        <w:t>percent of households that are eligible for ACP are aware of affordable offers</w:t>
      </w:r>
      <w:r w:rsidRPr="006F7C82" w:rsidR="0043632E">
        <w:rPr>
          <w:rFonts w:eastAsia="Calibri"/>
          <w:color w:val="000000" w:themeColor="text1"/>
        </w:rPr>
        <w:t xml:space="preserve">, and </w:t>
      </w:r>
      <w:r w:rsidRPr="006F7C82" w:rsidR="00770027">
        <w:rPr>
          <w:rFonts w:eastAsia="Calibri"/>
          <w:color w:val="000000" w:themeColor="text1"/>
        </w:rPr>
        <w:t>that</w:t>
      </w:r>
      <w:r w:rsidRPr="006F7C82" w:rsidR="0043632E">
        <w:rPr>
          <w:rFonts w:eastAsia="Calibri"/>
          <w:color w:val="000000" w:themeColor="text1"/>
        </w:rPr>
        <w:t xml:space="preserve"> </w:t>
      </w:r>
      <w:r w:rsidRPr="006F7C82" w:rsidR="008B3544">
        <w:rPr>
          <w:rFonts w:eastAsia="Calibri"/>
          <w:color w:val="000000" w:themeColor="text1"/>
        </w:rPr>
        <w:t>computer labs are not the optimal way to deliver an adoption for unconnected residents</w:t>
      </w:r>
      <w:r w:rsidRPr="006F7C82" w:rsidR="00282FB4">
        <w:rPr>
          <w:rFonts w:eastAsia="Calibri"/>
          <w:color w:val="000000" w:themeColor="text1"/>
        </w:rPr>
        <w:t>.</w:t>
      </w:r>
      <w:r w:rsidRPr="006F7C82" w:rsidR="005E53D4">
        <w:rPr>
          <w:rStyle w:val="FootnoteReference"/>
          <w:rFonts w:eastAsia="Calibri"/>
          <w:color w:val="000000" w:themeColor="text1"/>
          <w:szCs w:val="26"/>
        </w:rPr>
        <w:footnoteReference w:id="121"/>
      </w:r>
    </w:p>
    <w:p w:rsidRPr="006F7C82" w:rsidR="55E90BF0" w:rsidP="00E8255F" w:rsidRDefault="00E72822" w14:paraId="1984E068" w14:textId="3FB32667">
      <w:pPr>
        <w:pStyle w:val="Standard"/>
        <w:rPr>
          <w:rFonts w:eastAsia="Calibri"/>
          <w:color w:val="000000" w:themeColor="text1"/>
        </w:rPr>
      </w:pPr>
      <w:r w:rsidRPr="006F7C82">
        <w:rPr>
          <w:rFonts w:eastAsia="Calibri"/>
          <w:color w:val="000000" w:themeColor="text1"/>
        </w:rPr>
        <w:t xml:space="preserve">The Commission finds it reasonable to increase </w:t>
      </w:r>
      <w:r w:rsidRPr="006F7C82" w:rsidR="000E480F">
        <w:rPr>
          <w:rFonts w:eastAsia="Calibri"/>
          <w:color w:val="000000" w:themeColor="text1"/>
        </w:rPr>
        <w:t xml:space="preserve">the allowable reimbursement for take-home devices, as proposed in the Second Amended Scoping </w:t>
      </w:r>
      <w:r w:rsidRPr="006F7C82" w:rsidR="00934F26">
        <w:rPr>
          <w:rFonts w:eastAsia="Calibri"/>
          <w:color w:val="000000" w:themeColor="text1"/>
        </w:rPr>
        <w:t>Memo</w:t>
      </w:r>
      <w:r w:rsidRPr="006F7C82" w:rsidR="000E480F">
        <w:rPr>
          <w:rFonts w:eastAsia="Calibri"/>
          <w:color w:val="000000" w:themeColor="text1"/>
        </w:rPr>
        <w:t xml:space="preserve">. </w:t>
      </w:r>
      <w:r w:rsidRPr="006F7C82" w:rsidR="00883CCB">
        <w:rPr>
          <w:rFonts w:eastAsia="Calibri"/>
          <w:color w:val="000000" w:themeColor="text1"/>
        </w:rPr>
        <w:t xml:space="preserve">We acknowledge </w:t>
      </w:r>
      <w:r w:rsidR="00CA418C">
        <w:rPr>
          <w:rFonts w:eastAsia="Calibri"/>
          <w:color w:val="000000" w:themeColor="text1"/>
        </w:rPr>
        <w:t xml:space="preserve">and support </w:t>
      </w:r>
      <w:r w:rsidRPr="006F7C82" w:rsidR="00883CCB">
        <w:rPr>
          <w:rFonts w:eastAsia="Calibri"/>
          <w:color w:val="000000" w:themeColor="text1"/>
        </w:rPr>
        <w:t xml:space="preserve">Cal Advocates’ </w:t>
      </w:r>
      <w:r w:rsidRPr="006F7C82" w:rsidR="00E97664">
        <w:rPr>
          <w:rFonts w:eastAsia="Calibri"/>
          <w:color w:val="000000" w:themeColor="text1"/>
        </w:rPr>
        <w:t xml:space="preserve">recommendation to also increase the cap on the number of devices per household, </w:t>
      </w:r>
      <w:r w:rsidRPr="006F7C82" w:rsidR="00335C3F">
        <w:rPr>
          <w:rFonts w:eastAsia="Calibri"/>
          <w:color w:val="000000" w:themeColor="text1"/>
        </w:rPr>
        <w:t xml:space="preserve">in recognition that many eligible households have </w:t>
      </w:r>
      <w:r w:rsidRPr="006F7C82" w:rsidR="00DC6132">
        <w:rPr>
          <w:rFonts w:eastAsia="Calibri"/>
          <w:color w:val="000000" w:themeColor="text1"/>
        </w:rPr>
        <w:t xml:space="preserve">two or more people, each with their own </w:t>
      </w:r>
      <w:r w:rsidRPr="006F7C82" w:rsidR="00E70B07">
        <w:rPr>
          <w:rFonts w:eastAsia="Calibri"/>
          <w:color w:val="000000" w:themeColor="text1"/>
        </w:rPr>
        <w:t xml:space="preserve">needs for accessing the Internet. </w:t>
      </w:r>
      <w:r w:rsidRPr="006F7C82" w:rsidR="00F2166B">
        <w:rPr>
          <w:rFonts w:eastAsia="Calibri"/>
          <w:color w:val="000000" w:themeColor="text1"/>
        </w:rPr>
        <w:t>Given limited resources, there is a tension between maximizing the number of people</w:t>
      </w:r>
      <w:r w:rsidRPr="006F7C82" w:rsidR="00AA6246">
        <w:rPr>
          <w:rFonts w:eastAsia="Calibri"/>
          <w:color w:val="000000" w:themeColor="text1"/>
        </w:rPr>
        <w:t xml:space="preserve"> who may receive their own devices and maximizing the number of households that can</w:t>
      </w:r>
      <w:r w:rsidRPr="006F7C82" w:rsidR="0094213E">
        <w:rPr>
          <w:rFonts w:eastAsia="Calibri"/>
          <w:color w:val="000000" w:themeColor="text1"/>
        </w:rPr>
        <w:t xml:space="preserve"> benefit from this program. At this time, the Commission </w:t>
      </w:r>
      <w:r w:rsidRPr="006F7C82" w:rsidR="00CF7EE3">
        <w:rPr>
          <w:rFonts w:eastAsia="Calibri"/>
          <w:color w:val="000000" w:themeColor="text1"/>
        </w:rPr>
        <w:t xml:space="preserve">determines to increase </w:t>
      </w:r>
      <w:r w:rsidRPr="006F7C82" w:rsidR="004669B9">
        <w:rPr>
          <w:rFonts w:eastAsia="Calibri"/>
          <w:color w:val="000000" w:themeColor="text1"/>
        </w:rPr>
        <w:t xml:space="preserve">the </w:t>
      </w:r>
      <w:r w:rsidRPr="006F7C82" w:rsidR="00E80B9A">
        <w:rPr>
          <w:rFonts w:eastAsia="Calibri"/>
          <w:color w:val="000000" w:themeColor="text1"/>
        </w:rPr>
        <w:t>per-household cap to two</w:t>
      </w:r>
      <w:r w:rsidR="00BC0CA4">
        <w:rPr>
          <w:rFonts w:eastAsia="Calibri"/>
          <w:color w:val="000000" w:themeColor="text1"/>
        </w:rPr>
        <w:t> </w:t>
      </w:r>
      <w:r w:rsidRPr="006F7C82" w:rsidR="00E80B9A">
        <w:rPr>
          <w:rFonts w:eastAsia="Calibri"/>
          <w:color w:val="000000" w:themeColor="text1"/>
        </w:rPr>
        <w:t>devices</w:t>
      </w:r>
      <w:r w:rsidRPr="006F7C82" w:rsidR="003B6C9F">
        <w:rPr>
          <w:rFonts w:eastAsia="Calibri"/>
          <w:color w:val="000000" w:themeColor="text1"/>
        </w:rPr>
        <w:t xml:space="preserve"> </w:t>
      </w:r>
      <w:r w:rsidRPr="006F7C82" w:rsidR="000F2D5B">
        <w:rPr>
          <w:rFonts w:eastAsia="Calibri"/>
          <w:color w:val="000000" w:themeColor="text1"/>
        </w:rPr>
        <w:t xml:space="preserve">(with no per </w:t>
      </w:r>
      <w:r w:rsidRPr="006F7C82" w:rsidR="003A23DA">
        <w:rPr>
          <w:rFonts w:eastAsia="Calibri"/>
          <w:color w:val="000000" w:themeColor="text1"/>
        </w:rPr>
        <w:t>device cost cap)</w:t>
      </w:r>
      <w:r w:rsidRPr="006F7C82" w:rsidR="003B6C9F">
        <w:rPr>
          <w:rFonts w:eastAsia="Calibri"/>
          <w:color w:val="000000" w:themeColor="text1"/>
        </w:rPr>
        <w:t xml:space="preserve"> and to increase the </w:t>
      </w:r>
      <w:r w:rsidRPr="006F7C82" w:rsidR="00B75FD0">
        <w:rPr>
          <w:rFonts w:eastAsia="Calibri"/>
          <w:color w:val="000000" w:themeColor="text1"/>
        </w:rPr>
        <w:t xml:space="preserve">total </w:t>
      </w:r>
      <w:r w:rsidRPr="006F7C82" w:rsidR="00772F64">
        <w:rPr>
          <w:rFonts w:eastAsia="Calibri"/>
          <w:color w:val="000000" w:themeColor="text1"/>
        </w:rPr>
        <w:t>project</w:t>
      </w:r>
      <w:r w:rsidRPr="006F7C82" w:rsidR="00B75FD0">
        <w:rPr>
          <w:rFonts w:eastAsia="Calibri"/>
          <w:color w:val="000000" w:themeColor="text1"/>
        </w:rPr>
        <w:t xml:space="preserve"> cap </w:t>
      </w:r>
      <w:r w:rsidRPr="006F7C82" w:rsidR="00F37055">
        <w:rPr>
          <w:rFonts w:eastAsia="Calibri"/>
          <w:color w:val="000000" w:themeColor="text1"/>
        </w:rPr>
        <w:t>to $40,000</w:t>
      </w:r>
      <w:r w:rsidRPr="006F7C82" w:rsidR="003A23DA">
        <w:rPr>
          <w:rFonts w:eastAsia="Calibri"/>
          <w:color w:val="000000" w:themeColor="text1"/>
        </w:rPr>
        <w:t xml:space="preserve"> (with no cap on specific number </w:t>
      </w:r>
      <w:r w:rsidRPr="006F7C82" w:rsidR="00516E6E">
        <w:rPr>
          <w:rFonts w:eastAsia="Calibri"/>
          <w:color w:val="000000" w:themeColor="text1"/>
        </w:rPr>
        <w:t>of devices)</w:t>
      </w:r>
      <w:r w:rsidRPr="006F7C82" w:rsidR="005277F7">
        <w:rPr>
          <w:rFonts w:eastAsia="Calibri"/>
          <w:color w:val="000000" w:themeColor="text1"/>
        </w:rPr>
        <w:t xml:space="preserve"> </w:t>
      </w:r>
      <w:r w:rsidRPr="006F7C82" w:rsidR="0094213E">
        <w:rPr>
          <w:rFonts w:eastAsia="Calibri"/>
          <w:color w:val="000000" w:themeColor="text1"/>
        </w:rPr>
        <w:t xml:space="preserve">while also </w:t>
      </w:r>
      <w:r w:rsidRPr="006F7C82" w:rsidR="00C775D8">
        <w:rPr>
          <w:rFonts w:eastAsia="Calibri"/>
          <w:color w:val="000000" w:themeColor="text1"/>
        </w:rPr>
        <w:t>advancing a strategy</w:t>
      </w:r>
      <w:r w:rsidRPr="006F7C82" w:rsidR="00CD5AFF">
        <w:rPr>
          <w:rFonts w:eastAsia="Calibri"/>
          <w:color w:val="000000" w:themeColor="text1"/>
        </w:rPr>
        <w:t>, as CETF recommends,</w:t>
      </w:r>
      <w:r w:rsidRPr="006F7C82" w:rsidR="00C775D8">
        <w:rPr>
          <w:rFonts w:eastAsia="Calibri"/>
          <w:color w:val="000000" w:themeColor="text1"/>
        </w:rPr>
        <w:t xml:space="preserve"> of </w:t>
      </w:r>
      <w:r w:rsidRPr="006F7C82" w:rsidR="00ED4DB1">
        <w:rPr>
          <w:rFonts w:eastAsia="Calibri"/>
          <w:color w:val="000000" w:themeColor="text1"/>
        </w:rPr>
        <w:t xml:space="preserve">encouraging </w:t>
      </w:r>
      <w:r w:rsidRPr="006F7C82" w:rsidR="0095368E">
        <w:rPr>
          <w:rFonts w:eastAsia="Calibri"/>
          <w:color w:val="000000" w:themeColor="text1"/>
        </w:rPr>
        <w:t>all eligible California</w:t>
      </w:r>
      <w:r w:rsidRPr="006F7C82" w:rsidR="00A922DF">
        <w:rPr>
          <w:rFonts w:eastAsia="Calibri"/>
          <w:color w:val="000000" w:themeColor="text1"/>
        </w:rPr>
        <w:t xml:space="preserve"> households</w:t>
      </w:r>
      <w:r w:rsidRPr="006F7C82" w:rsidR="0095368E">
        <w:rPr>
          <w:rFonts w:eastAsia="Calibri"/>
          <w:color w:val="000000" w:themeColor="text1"/>
        </w:rPr>
        <w:t xml:space="preserve"> to </w:t>
      </w:r>
      <w:r w:rsidRPr="006F7C82" w:rsidR="001430EA">
        <w:rPr>
          <w:rFonts w:eastAsia="Calibri"/>
          <w:color w:val="000000" w:themeColor="text1"/>
        </w:rPr>
        <w:t xml:space="preserve">enroll in the ACP, which provides a discount of up to $100 </w:t>
      </w:r>
      <w:r w:rsidRPr="006F7C82" w:rsidR="009A2EBA">
        <w:rPr>
          <w:rFonts w:eastAsia="Calibri"/>
          <w:color w:val="000000" w:themeColor="text1"/>
        </w:rPr>
        <w:t>to purchase a laptop, desktop computer, or tablet</w:t>
      </w:r>
      <w:r w:rsidRPr="006F7C82" w:rsidR="00130D10">
        <w:rPr>
          <w:rFonts w:eastAsia="Calibri"/>
          <w:color w:val="000000" w:themeColor="text1"/>
        </w:rPr>
        <w:t xml:space="preserve"> for participants who </w:t>
      </w:r>
      <w:r w:rsidRPr="006F7C82" w:rsidR="002D4DF9">
        <w:rPr>
          <w:rFonts w:eastAsia="Calibri"/>
          <w:color w:val="000000" w:themeColor="text1"/>
        </w:rPr>
        <w:t xml:space="preserve">contribute at </w:t>
      </w:r>
      <w:r w:rsidRPr="006F7C82" w:rsidR="006D1F85">
        <w:rPr>
          <w:rFonts w:eastAsia="Calibri"/>
          <w:color w:val="000000" w:themeColor="text1"/>
        </w:rPr>
        <w:t>least $10</w:t>
      </w:r>
      <w:r w:rsidR="00BC0CA4">
        <w:rPr>
          <w:rFonts w:eastAsia="Calibri"/>
          <w:color w:val="000000" w:themeColor="text1"/>
        </w:rPr>
        <w:t> </w:t>
      </w:r>
      <w:r w:rsidRPr="006F7C82" w:rsidR="005741EB">
        <w:rPr>
          <w:rFonts w:eastAsia="Calibri"/>
          <w:color w:val="000000" w:themeColor="text1"/>
        </w:rPr>
        <w:t>toward the purchase price</w:t>
      </w:r>
      <w:r w:rsidRPr="006F7C82" w:rsidR="003D0212">
        <w:rPr>
          <w:rFonts w:eastAsia="Calibri"/>
          <w:color w:val="000000" w:themeColor="text1"/>
        </w:rPr>
        <w:t>.</w:t>
      </w:r>
      <w:r w:rsidRPr="006F7C82" w:rsidR="00242273">
        <w:rPr>
          <w:rStyle w:val="FootnoteReference"/>
          <w:rFonts w:eastAsia="Calibri"/>
          <w:color w:val="000000" w:themeColor="text1"/>
        </w:rPr>
        <w:footnoteReference w:id="122"/>
      </w:r>
      <w:r w:rsidRPr="006F7C82" w:rsidR="009856B7">
        <w:rPr>
          <w:rFonts w:eastAsia="Calibri"/>
          <w:color w:val="000000" w:themeColor="text1"/>
        </w:rPr>
        <w:t xml:space="preserve"> While CETF urges the Commission </w:t>
      </w:r>
      <w:r w:rsidRPr="006F7C82" w:rsidR="007D0321">
        <w:rPr>
          <w:rFonts w:eastAsia="Calibri"/>
          <w:color w:val="000000" w:themeColor="text1"/>
        </w:rPr>
        <w:t>to only promote enrollment in the A</w:t>
      </w:r>
      <w:r w:rsidRPr="006F7C82" w:rsidR="00046D5E">
        <w:rPr>
          <w:rFonts w:eastAsia="Calibri"/>
          <w:color w:val="000000" w:themeColor="text1"/>
        </w:rPr>
        <w:t>CP and not provide take-home devices, we note that doing so would also limit</w:t>
      </w:r>
      <w:r w:rsidRPr="006F7C82" w:rsidR="00F94B7C">
        <w:rPr>
          <w:rFonts w:eastAsia="Calibri"/>
          <w:color w:val="000000" w:themeColor="text1"/>
        </w:rPr>
        <w:t xml:space="preserve"> support to a single device per household</w:t>
      </w:r>
      <w:r w:rsidRPr="006F7C82" w:rsidR="009573FD">
        <w:rPr>
          <w:rFonts w:eastAsia="Calibri"/>
          <w:color w:val="000000" w:themeColor="text1"/>
        </w:rPr>
        <w:t>, per the current rules of the ACP.</w:t>
      </w:r>
      <w:r w:rsidRPr="006F7C82" w:rsidR="005348CF">
        <w:rPr>
          <w:rFonts w:eastAsia="Calibri"/>
          <w:color w:val="000000" w:themeColor="text1"/>
        </w:rPr>
        <w:t xml:space="preserve"> The Commission adopts the</w:t>
      </w:r>
      <w:r w:rsidRPr="006F7C82" w:rsidR="0025710D">
        <w:rPr>
          <w:rFonts w:eastAsia="Calibri"/>
          <w:color w:val="000000" w:themeColor="text1"/>
        </w:rPr>
        <w:t xml:space="preserve"> per-device subsidy levels</w:t>
      </w:r>
      <w:r w:rsidRPr="006F7C82" w:rsidR="00880888">
        <w:rPr>
          <w:rFonts w:eastAsia="Calibri"/>
          <w:color w:val="000000" w:themeColor="text1"/>
        </w:rPr>
        <w:t xml:space="preserve"> </w:t>
      </w:r>
      <w:r w:rsidRPr="006F7C82" w:rsidR="0025710D">
        <w:rPr>
          <w:rFonts w:eastAsia="Calibri"/>
          <w:color w:val="000000" w:themeColor="text1"/>
        </w:rPr>
        <w:t xml:space="preserve">proposed by the Second Amended Scoping </w:t>
      </w:r>
      <w:proofErr w:type="gramStart"/>
      <w:r w:rsidRPr="006F7C82" w:rsidR="00934F26">
        <w:rPr>
          <w:rFonts w:eastAsia="Calibri"/>
          <w:color w:val="000000" w:themeColor="text1"/>
        </w:rPr>
        <w:t>Memo</w:t>
      </w:r>
      <w:r w:rsidRPr="006F7C82" w:rsidR="0025710D">
        <w:rPr>
          <w:rFonts w:eastAsia="Calibri"/>
          <w:color w:val="000000" w:themeColor="text1"/>
        </w:rPr>
        <w:t xml:space="preserve">, </w:t>
      </w:r>
      <w:bookmarkStart w:name="_Hlk98943163" w:id="23"/>
      <w:r w:rsidRPr="006F7C82" w:rsidR="00880888">
        <w:rPr>
          <w:rFonts w:eastAsia="Calibri"/>
          <w:color w:val="000000" w:themeColor="text1"/>
        </w:rPr>
        <w:t>and</w:t>
      </w:r>
      <w:proofErr w:type="gramEnd"/>
      <w:r w:rsidRPr="006F7C82" w:rsidR="00880888">
        <w:rPr>
          <w:rFonts w:eastAsia="Calibri"/>
          <w:color w:val="000000" w:themeColor="text1"/>
        </w:rPr>
        <w:t xml:space="preserve"> increases the </w:t>
      </w:r>
      <w:r w:rsidRPr="006F7C82" w:rsidR="00880888">
        <w:rPr>
          <w:rFonts w:eastAsia="Calibri"/>
          <w:color w:val="000000" w:themeColor="text1"/>
        </w:rPr>
        <w:lastRenderedPageBreak/>
        <w:t>per</w:t>
      </w:r>
      <w:r w:rsidR="00BC0CA4">
        <w:rPr>
          <w:rFonts w:eastAsia="Calibri"/>
          <w:color w:val="000000" w:themeColor="text1"/>
        </w:rPr>
        <w:noBreakHyphen/>
      </w:r>
      <w:r w:rsidRPr="006F7C82" w:rsidR="00880888">
        <w:rPr>
          <w:rFonts w:eastAsia="Calibri"/>
          <w:color w:val="000000" w:themeColor="text1"/>
        </w:rPr>
        <w:t xml:space="preserve">household and </w:t>
      </w:r>
      <w:r w:rsidRPr="006F7C82" w:rsidR="00015174">
        <w:rPr>
          <w:rFonts w:eastAsia="Calibri"/>
          <w:color w:val="000000" w:themeColor="text1"/>
        </w:rPr>
        <w:t xml:space="preserve">total application/project location cap, </w:t>
      </w:r>
      <w:r w:rsidRPr="006F7C82" w:rsidR="0025710D">
        <w:rPr>
          <w:rFonts w:eastAsia="Calibri"/>
          <w:color w:val="000000" w:themeColor="text1"/>
        </w:rPr>
        <w:t>as shown in Appendix</w:t>
      </w:r>
      <w:r w:rsidR="00BC0CA4">
        <w:rPr>
          <w:rFonts w:eastAsia="Calibri"/>
          <w:color w:val="000000" w:themeColor="text1"/>
        </w:rPr>
        <w:t> </w:t>
      </w:r>
      <w:r w:rsidRPr="006F7C82" w:rsidR="0025710D">
        <w:rPr>
          <w:rFonts w:eastAsia="Calibri"/>
          <w:color w:val="000000" w:themeColor="text1"/>
        </w:rPr>
        <w:t>2</w:t>
      </w:r>
      <w:bookmarkEnd w:id="23"/>
      <w:r w:rsidRPr="006F7C82" w:rsidR="0025710D">
        <w:rPr>
          <w:rFonts w:eastAsia="Calibri"/>
          <w:color w:val="000000" w:themeColor="text1"/>
        </w:rPr>
        <w:t>.</w:t>
      </w:r>
    </w:p>
    <w:p w:rsidRPr="006F7C82" w:rsidR="55E90BF0" w:rsidP="55E90BF0" w:rsidRDefault="55E90BF0" w14:paraId="370F7336" w14:textId="55C3C725">
      <w:pPr>
        <w:pStyle w:val="Standard"/>
        <w:rPr>
          <w:rFonts w:eastAsia="Calibri"/>
          <w:color w:val="000000" w:themeColor="text1"/>
          <w:szCs w:val="26"/>
        </w:rPr>
      </w:pPr>
      <w:r w:rsidRPr="006F7C82">
        <w:rPr>
          <w:rFonts w:eastAsia="Calibri"/>
          <w:color w:val="000000" w:themeColor="text1"/>
        </w:rPr>
        <w:t>Adoption Account rules also currently cap reimbursement for computing devices used in classrooms, community centers, and other public locations at $750 per device, with a cap of 15 devices per designated space or project.</w:t>
      </w:r>
      <w:r w:rsidRPr="006F7C82">
        <w:rPr>
          <w:rStyle w:val="FootnoteReference"/>
          <w:rFonts w:eastAsia="Calibri"/>
          <w:color w:val="000000" w:themeColor="text1"/>
        </w:rPr>
        <w:footnoteReference w:id="123"/>
      </w:r>
      <w:r w:rsidRPr="006F7C82" w:rsidR="00F209CE">
        <w:rPr>
          <w:rFonts w:eastAsia="Calibri"/>
          <w:color w:val="000000" w:themeColor="text1"/>
        </w:rPr>
        <w:t xml:space="preserve"> </w:t>
      </w:r>
      <w:r w:rsidRPr="006F7C82">
        <w:rPr>
          <w:rFonts w:eastAsia="Calibri"/>
          <w:color w:val="000000" w:themeColor="text1"/>
        </w:rPr>
        <w:t>The Second Amended Scoping Memo posed the following question related to reimbursement for the costs of devices used on-site by Adoption Account programs:</w:t>
      </w:r>
    </w:p>
    <w:p w:rsidRPr="00FF6FF3" w:rsidR="55E90BF0" w:rsidP="00FF6FF3" w:rsidRDefault="55E90BF0" w14:paraId="5150929F" w14:textId="2BF6B4F4">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Should the Commission eliminate the cap on the number of devices per designated space or project in favor of a total device reimbursement amount?</w:t>
      </w:r>
      <w:r w:rsidRPr="004C2B66" w:rsidR="00F209CE">
        <w:rPr>
          <w:rFonts w:eastAsia="Calibri"/>
          <w:i/>
          <w:iCs/>
          <w:color w:val="000000" w:themeColor="text1"/>
        </w:rPr>
        <w:t xml:space="preserve"> </w:t>
      </w:r>
      <w:r w:rsidRPr="004C2B66">
        <w:rPr>
          <w:rFonts w:eastAsia="Calibri"/>
          <w:i/>
          <w:iCs/>
          <w:color w:val="000000" w:themeColor="text1"/>
        </w:rPr>
        <w:t>If so, is $11,250 a reasonable limit?</w:t>
      </w:r>
      <w:r w:rsidRPr="004C2B66" w:rsidR="00F209CE">
        <w:rPr>
          <w:rFonts w:eastAsia="Calibri"/>
          <w:i/>
          <w:iCs/>
          <w:color w:val="000000" w:themeColor="text1"/>
        </w:rPr>
        <w:t xml:space="preserve"> </w:t>
      </w:r>
      <w:r w:rsidRPr="004C2B66">
        <w:rPr>
          <w:rFonts w:eastAsia="Calibri"/>
          <w:i/>
          <w:iCs/>
          <w:color w:val="000000" w:themeColor="text1"/>
        </w:rPr>
        <w:t>Would such a proposed change provide flexibility, and could this flexibility better serve participant needs?</w:t>
      </w:r>
    </w:p>
    <w:p w:rsidRPr="006F7C82" w:rsidR="00FD6F44" w:rsidP="001F333E" w:rsidRDefault="00CF4D14" w14:paraId="77C8F835" w14:textId="731F76C0">
      <w:pPr>
        <w:pStyle w:val="Standard"/>
        <w:rPr>
          <w:rFonts w:eastAsia="Calibri"/>
          <w:color w:val="000000" w:themeColor="text1"/>
          <w:szCs w:val="26"/>
        </w:rPr>
      </w:pPr>
      <w:r w:rsidRPr="006F7C82">
        <w:rPr>
          <w:rFonts w:eastAsia="Calibri"/>
          <w:color w:val="000000" w:themeColor="text1"/>
        </w:rPr>
        <w:t xml:space="preserve">IERBC, </w:t>
      </w:r>
      <w:r w:rsidRPr="006F7C82" w:rsidR="00FD6F44">
        <w:rPr>
          <w:rFonts w:eastAsia="Calibri"/>
          <w:color w:val="000000" w:themeColor="text1"/>
        </w:rPr>
        <w:t>NDC</w:t>
      </w:r>
      <w:r w:rsidRPr="006F7C82" w:rsidR="000C6024">
        <w:rPr>
          <w:rFonts w:eastAsia="Calibri"/>
          <w:color w:val="000000" w:themeColor="text1"/>
        </w:rPr>
        <w:t>, LAEDC</w:t>
      </w:r>
      <w:r w:rsidRPr="006F7C82" w:rsidR="00FD6F44">
        <w:rPr>
          <w:rFonts w:eastAsia="Calibri"/>
          <w:color w:val="000000" w:themeColor="text1"/>
        </w:rPr>
        <w:t xml:space="preserve"> and UNITE-LA are generally supportive of eliminating the cap on the number of devices </w:t>
      </w:r>
      <w:r w:rsidRPr="006F7C82" w:rsidR="001A0CE9">
        <w:rPr>
          <w:rFonts w:eastAsia="Calibri"/>
          <w:color w:val="000000" w:themeColor="text1"/>
        </w:rPr>
        <w:t>per designated space.</w:t>
      </w:r>
      <w:r w:rsidRPr="006F7C82" w:rsidR="006D72AA">
        <w:rPr>
          <w:rStyle w:val="FootnoteReference"/>
          <w:rFonts w:eastAsia="Calibri"/>
          <w:color w:val="000000" w:themeColor="text1"/>
          <w:szCs w:val="26"/>
        </w:rPr>
        <w:footnoteReference w:id="124"/>
      </w:r>
      <w:r w:rsidRPr="006F7C82" w:rsidR="001A0CE9">
        <w:rPr>
          <w:rFonts w:eastAsia="Calibri"/>
          <w:color w:val="000000" w:themeColor="text1"/>
        </w:rPr>
        <w:t xml:space="preserve"> </w:t>
      </w:r>
      <w:r w:rsidRPr="006F7C82" w:rsidR="004A716B">
        <w:rPr>
          <w:rFonts w:eastAsia="Calibri"/>
          <w:color w:val="000000" w:themeColor="text1"/>
        </w:rPr>
        <w:t xml:space="preserve">IERBC </w:t>
      </w:r>
      <w:r w:rsidRPr="006F7C82" w:rsidR="00AF6E05">
        <w:rPr>
          <w:rFonts w:eastAsia="Calibri"/>
          <w:color w:val="000000" w:themeColor="text1"/>
        </w:rPr>
        <w:t>states</w:t>
      </w:r>
      <w:r w:rsidRPr="006F7C82" w:rsidR="004A716B">
        <w:rPr>
          <w:rFonts w:eastAsia="Calibri"/>
          <w:color w:val="000000" w:themeColor="text1"/>
        </w:rPr>
        <w:t xml:space="preserve"> the Commission could </w:t>
      </w:r>
      <w:r w:rsidRPr="006F7C82" w:rsidR="00B15C82">
        <w:rPr>
          <w:rFonts w:eastAsia="Calibri"/>
          <w:color w:val="000000" w:themeColor="text1"/>
        </w:rPr>
        <w:t>suggest an amount but allow applicants to propose what they think</w:t>
      </w:r>
      <w:r w:rsidRPr="006F7C82" w:rsidR="00FA6CD6">
        <w:rPr>
          <w:rFonts w:eastAsia="Calibri"/>
          <w:color w:val="000000" w:themeColor="text1"/>
        </w:rPr>
        <w:t xml:space="preserve"> their program will need to be successful.</w:t>
      </w:r>
      <w:r w:rsidRPr="006F7C82" w:rsidR="006C710B">
        <w:rPr>
          <w:rStyle w:val="FootnoteReference"/>
          <w:rFonts w:eastAsia="Calibri"/>
          <w:color w:val="000000" w:themeColor="text1"/>
          <w:szCs w:val="26"/>
        </w:rPr>
        <w:footnoteReference w:id="125"/>
      </w:r>
      <w:r w:rsidRPr="006F7C82" w:rsidR="00FA6CD6">
        <w:rPr>
          <w:rFonts w:eastAsia="Calibri"/>
          <w:color w:val="000000" w:themeColor="text1"/>
        </w:rPr>
        <w:t xml:space="preserve"> </w:t>
      </w:r>
      <w:r w:rsidRPr="006F7C82" w:rsidR="001A0CE9">
        <w:rPr>
          <w:rFonts w:eastAsia="Calibri"/>
          <w:color w:val="000000" w:themeColor="text1"/>
        </w:rPr>
        <w:t xml:space="preserve">NDC states the proposed </w:t>
      </w:r>
      <w:r w:rsidRPr="006F7C82" w:rsidR="008F2D05">
        <w:rPr>
          <w:rFonts w:eastAsia="Calibri"/>
          <w:color w:val="000000" w:themeColor="text1"/>
        </w:rPr>
        <w:t xml:space="preserve">limit on total device reimbursement </w:t>
      </w:r>
      <w:r w:rsidRPr="006F7C82" w:rsidR="004717FB">
        <w:rPr>
          <w:rFonts w:eastAsia="Calibri"/>
          <w:color w:val="000000" w:themeColor="text1"/>
        </w:rPr>
        <w:t>of $11,250 is reasonable.</w:t>
      </w:r>
      <w:r w:rsidRPr="006F7C82" w:rsidR="00D4223B">
        <w:rPr>
          <w:rStyle w:val="FootnoteReference"/>
          <w:rFonts w:eastAsia="Calibri"/>
          <w:color w:val="000000" w:themeColor="text1"/>
          <w:szCs w:val="26"/>
        </w:rPr>
        <w:footnoteReference w:id="126"/>
      </w:r>
      <w:r w:rsidRPr="006F7C82" w:rsidR="004717FB">
        <w:rPr>
          <w:rFonts w:eastAsia="Calibri"/>
          <w:color w:val="000000" w:themeColor="text1"/>
        </w:rPr>
        <w:t xml:space="preserve"> CETF </w:t>
      </w:r>
      <w:r w:rsidRPr="006F7C82" w:rsidR="00D455AB">
        <w:rPr>
          <w:rFonts w:eastAsia="Calibri"/>
          <w:color w:val="000000" w:themeColor="text1"/>
        </w:rPr>
        <w:t>asserts that a</w:t>
      </w:r>
      <w:r w:rsidRPr="006F7C82" w:rsidR="00EC2557">
        <w:rPr>
          <w:rFonts w:eastAsia="Calibri"/>
          <w:color w:val="000000" w:themeColor="text1"/>
        </w:rPr>
        <w:t>n assumed cost/limit of $750 per device is exorbitant</w:t>
      </w:r>
      <w:r w:rsidRPr="006F7C82" w:rsidR="000F1807">
        <w:rPr>
          <w:rFonts w:eastAsia="Calibri"/>
          <w:color w:val="000000" w:themeColor="text1"/>
        </w:rPr>
        <w:t xml:space="preserve">, and repeats its position that purchasing devices </w:t>
      </w:r>
      <w:r w:rsidRPr="006F7C82" w:rsidR="001F333E">
        <w:rPr>
          <w:rFonts w:eastAsia="Calibri"/>
          <w:color w:val="000000" w:themeColor="text1"/>
        </w:rPr>
        <w:t xml:space="preserve">to give to unconnected Californians is less optimal than </w:t>
      </w:r>
      <w:r w:rsidRPr="006F7C82" w:rsidR="006E7655">
        <w:rPr>
          <w:rFonts w:eastAsia="Calibri"/>
          <w:color w:val="000000" w:themeColor="text1"/>
        </w:rPr>
        <w:t>maximizing use of the ACP device benefit.</w:t>
      </w:r>
      <w:r w:rsidRPr="006F7C82" w:rsidR="003050F0">
        <w:rPr>
          <w:rStyle w:val="FootnoteReference"/>
          <w:rFonts w:eastAsia="Calibri"/>
          <w:color w:val="000000" w:themeColor="text1"/>
          <w:szCs w:val="26"/>
        </w:rPr>
        <w:footnoteReference w:id="127"/>
      </w:r>
      <w:r w:rsidRPr="006F7C82" w:rsidR="009B2575">
        <w:rPr>
          <w:rFonts w:eastAsia="Calibri"/>
          <w:color w:val="000000" w:themeColor="text1"/>
        </w:rPr>
        <w:t xml:space="preserve"> In reply comments, </w:t>
      </w:r>
      <w:proofErr w:type="spellStart"/>
      <w:r w:rsidRPr="006F7C82" w:rsidR="009B2575">
        <w:rPr>
          <w:rFonts w:eastAsia="Calibri"/>
          <w:color w:val="000000" w:themeColor="text1"/>
        </w:rPr>
        <w:t>CforAT</w:t>
      </w:r>
      <w:proofErr w:type="spellEnd"/>
      <w:r w:rsidRPr="006F7C82" w:rsidR="009B2575">
        <w:rPr>
          <w:rFonts w:eastAsia="Calibri"/>
          <w:color w:val="000000" w:themeColor="text1"/>
        </w:rPr>
        <w:t xml:space="preserve"> </w:t>
      </w:r>
      <w:r w:rsidRPr="006F7C82" w:rsidR="00C13862">
        <w:rPr>
          <w:rFonts w:eastAsia="Calibri"/>
          <w:color w:val="000000" w:themeColor="text1"/>
        </w:rPr>
        <w:t xml:space="preserve">asserts CETF’s </w:t>
      </w:r>
      <w:r w:rsidRPr="006F7C82" w:rsidR="00AA28DB">
        <w:rPr>
          <w:rFonts w:eastAsia="Calibri"/>
          <w:color w:val="000000" w:themeColor="text1"/>
        </w:rPr>
        <w:t xml:space="preserve">suggested </w:t>
      </w:r>
      <w:r w:rsidRPr="006F7C82" w:rsidR="00362731">
        <w:rPr>
          <w:rFonts w:eastAsia="Calibri"/>
          <w:color w:val="000000" w:themeColor="text1"/>
        </w:rPr>
        <w:t xml:space="preserve">$250 subsidy for take-home devices </w:t>
      </w:r>
      <w:r w:rsidRPr="006F7C82" w:rsidR="00E960F9">
        <w:rPr>
          <w:rFonts w:eastAsia="Calibri"/>
          <w:color w:val="000000" w:themeColor="text1"/>
        </w:rPr>
        <w:t xml:space="preserve">would </w:t>
      </w:r>
      <w:r w:rsidRPr="006F7C82" w:rsidR="001B15F2">
        <w:rPr>
          <w:rFonts w:eastAsia="Calibri"/>
          <w:color w:val="000000" w:themeColor="text1"/>
        </w:rPr>
        <w:lastRenderedPageBreak/>
        <w:t xml:space="preserve">effectively </w:t>
      </w:r>
      <w:r w:rsidRPr="006F7C82" w:rsidR="00E960F9">
        <w:rPr>
          <w:rFonts w:eastAsia="Calibri"/>
          <w:color w:val="000000" w:themeColor="text1"/>
        </w:rPr>
        <w:t>limit</w:t>
      </w:r>
      <w:r w:rsidRPr="006F7C82" w:rsidR="001B15F2">
        <w:rPr>
          <w:rFonts w:eastAsia="Calibri"/>
          <w:color w:val="000000" w:themeColor="text1"/>
        </w:rPr>
        <w:t xml:space="preserve"> </w:t>
      </w:r>
      <w:r w:rsidRPr="006F7C82" w:rsidR="00F073FA">
        <w:rPr>
          <w:rFonts w:eastAsia="Calibri"/>
          <w:color w:val="000000" w:themeColor="text1"/>
        </w:rPr>
        <w:t xml:space="preserve">Adoption Account participants </w:t>
      </w:r>
      <w:r w:rsidRPr="006F7C82" w:rsidR="00485130">
        <w:rPr>
          <w:rFonts w:eastAsia="Calibri"/>
          <w:color w:val="000000" w:themeColor="text1"/>
        </w:rPr>
        <w:t xml:space="preserve">to </w:t>
      </w:r>
      <w:r w:rsidRPr="006F7C82" w:rsidR="003021E2">
        <w:rPr>
          <w:rFonts w:eastAsia="Calibri"/>
          <w:color w:val="000000" w:themeColor="text1"/>
        </w:rPr>
        <w:t xml:space="preserve">purchasing refurbished or older devices </w:t>
      </w:r>
      <w:r w:rsidRPr="006F7C82" w:rsidR="002E2B2A">
        <w:rPr>
          <w:rFonts w:eastAsia="Calibri"/>
          <w:color w:val="000000" w:themeColor="text1"/>
        </w:rPr>
        <w:t>with lower standards of hardware specifications</w:t>
      </w:r>
      <w:r w:rsidRPr="006F7C82" w:rsidR="00FC2269">
        <w:rPr>
          <w:rFonts w:eastAsia="Calibri"/>
          <w:color w:val="000000" w:themeColor="text1"/>
        </w:rPr>
        <w:t xml:space="preserve">, which goes against </w:t>
      </w:r>
      <w:r w:rsidRPr="006F7C82" w:rsidR="00001199">
        <w:rPr>
          <w:rFonts w:eastAsia="Calibri"/>
          <w:color w:val="000000" w:themeColor="text1"/>
        </w:rPr>
        <w:t xml:space="preserve">an objective of </w:t>
      </w:r>
      <w:r w:rsidRPr="006F7C82" w:rsidR="00DC02E8">
        <w:rPr>
          <w:rFonts w:eastAsia="Calibri"/>
          <w:color w:val="000000" w:themeColor="text1"/>
        </w:rPr>
        <w:t xml:space="preserve">providing </w:t>
      </w:r>
      <w:r w:rsidRPr="006F7C82" w:rsidR="00B22F9E">
        <w:rPr>
          <w:rFonts w:eastAsia="Calibri"/>
          <w:color w:val="000000" w:themeColor="text1"/>
        </w:rPr>
        <w:t xml:space="preserve">more future-proof </w:t>
      </w:r>
      <w:r w:rsidRPr="006F7C82" w:rsidR="00396C08">
        <w:rPr>
          <w:rFonts w:eastAsia="Calibri"/>
          <w:color w:val="000000" w:themeColor="text1"/>
        </w:rPr>
        <w:t>technology and devices.</w:t>
      </w:r>
      <w:r w:rsidRPr="006F7C82" w:rsidR="006B578B">
        <w:rPr>
          <w:rStyle w:val="FootnoteReference"/>
          <w:rFonts w:eastAsia="Calibri"/>
          <w:color w:val="000000" w:themeColor="text1"/>
          <w:szCs w:val="26"/>
        </w:rPr>
        <w:footnoteReference w:id="128"/>
      </w:r>
    </w:p>
    <w:p w:rsidRPr="002A4088" w:rsidR="55E90BF0" w:rsidP="002A4088" w:rsidRDefault="00AC5D10" w14:paraId="22FD6F07" w14:textId="3E3D42A2">
      <w:pPr>
        <w:pStyle w:val="Standard"/>
        <w:rPr>
          <w:rFonts w:eastAsia="Calibri"/>
          <w:color w:val="000000" w:themeColor="text1"/>
        </w:rPr>
      </w:pPr>
      <w:r w:rsidRPr="006F7C82">
        <w:rPr>
          <w:rFonts w:eastAsia="Calibri"/>
          <w:color w:val="000000" w:themeColor="text1"/>
        </w:rPr>
        <w:t>The Commission finds it reasonable to eliminate the cap on the number of devices per designated space or project</w:t>
      </w:r>
      <w:r w:rsidRPr="006F7C82" w:rsidR="00162513">
        <w:rPr>
          <w:rFonts w:eastAsia="Calibri"/>
          <w:color w:val="000000" w:themeColor="text1"/>
        </w:rPr>
        <w:t xml:space="preserve">, in favor of a total device reimbursement limit as proposed in the Second Amended Scoping </w:t>
      </w:r>
      <w:r w:rsidRPr="006F7C82" w:rsidR="00934F26">
        <w:rPr>
          <w:rFonts w:eastAsia="Calibri"/>
          <w:color w:val="000000" w:themeColor="text1"/>
        </w:rPr>
        <w:t>Memo</w:t>
      </w:r>
      <w:r w:rsidRPr="006F7C82" w:rsidR="00162513">
        <w:rPr>
          <w:rFonts w:eastAsia="Calibri"/>
          <w:color w:val="000000" w:themeColor="text1"/>
        </w:rPr>
        <w:t xml:space="preserve">. </w:t>
      </w:r>
      <w:r w:rsidRPr="006F7C82" w:rsidR="00880DFE">
        <w:rPr>
          <w:rFonts w:eastAsia="Calibri"/>
          <w:color w:val="000000" w:themeColor="text1"/>
        </w:rPr>
        <w:t xml:space="preserve">This change </w:t>
      </w:r>
      <w:r w:rsidRPr="006F7C82" w:rsidR="00A00B80">
        <w:rPr>
          <w:rFonts w:eastAsia="Calibri"/>
          <w:color w:val="000000" w:themeColor="text1"/>
        </w:rPr>
        <w:t>affords greater flexibility</w:t>
      </w:r>
      <w:r w:rsidRPr="006F7C82" w:rsidR="00973530">
        <w:rPr>
          <w:rFonts w:eastAsia="Calibri"/>
          <w:color w:val="000000" w:themeColor="text1"/>
        </w:rPr>
        <w:t xml:space="preserve"> for project implementation</w:t>
      </w:r>
      <w:r w:rsidRPr="006F7C82" w:rsidR="00276C99">
        <w:rPr>
          <w:rFonts w:eastAsia="Calibri"/>
          <w:color w:val="000000" w:themeColor="text1"/>
        </w:rPr>
        <w:t xml:space="preserve">, while still </w:t>
      </w:r>
      <w:r w:rsidRPr="006F7C82" w:rsidR="00B63BD6">
        <w:rPr>
          <w:rFonts w:eastAsia="Calibri"/>
          <w:color w:val="000000" w:themeColor="text1"/>
        </w:rPr>
        <w:t>controlling for overall device expenditures.</w:t>
      </w:r>
      <w:r w:rsidRPr="006F7C82" w:rsidR="00066EA8">
        <w:rPr>
          <w:rFonts w:eastAsia="Calibri"/>
          <w:color w:val="000000" w:themeColor="text1"/>
        </w:rPr>
        <w:t xml:space="preserve"> </w:t>
      </w:r>
      <w:r w:rsidRPr="006F7C82" w:rsidR="00B63BD6">
        <w:rPr>
          <w:rFonts w:eastAsia="Calibri"/>
          <w:color w:val="000000" w:themeColor="text1"/>
        </w:rPr>
        <w:t>We decline to adopt IERBC’s recommendation to not impose a cost cap, as this would render every review discretionary, slowing processing timelines.</w:t>
      </w:r>
      <w:r w:rsidRPr="006F7C82" w:rsidR="00066EA8">
        <w:rPr>
          <w:rFonts w:eastAsia="Calibri"/>
          <w:color w:val="000000" w:themeColor="text1"/>
        </w:rPr>
        <w:t xml:space="preserve"> These changes are adopted as shown in Appendix 2.</w:t>
      </w:r>
    </w:p>
    <w:p w:rsidRPr="006F7C82" w:rsidR="55E90BF0" w:rsidP="002A4088" w:rsidRDefault="55E90BF0" w14:paraId="2EED0B6B" w14:textId="6D8713F7">
      <w:pPr>
        <w:pStyle w:val="Heading2"/>
        <w:ind w:left="1080" w:hanging="720"/>
        <w:rPr>
          <w:color w:val="000000" w:themeColor="text1"/>
        </w:rPr>
      </w:pPr>
      <w:bookmarkStart w:name="_Toc100132366" w:id="24"/>
      <w:r w:rsidRPr="006F7C82">
        <w:rPr>
          <w:color w:val="000000" w:themeColor="text1"/>
        </w:rPr>
        <w:t>Expansion of Eligible Program Costs</w:t>
      </w:r>
      <w:bookmarkEnd w:id="24"/>
    </w:p>
    <w:p w:rsidRPr="006F7C82" w:rsidR="55E90BF0" w:rsidP="55E90BF0" w:rsidRDefault="55E90BF0" w14:paraId="14F7C247" w14:textId="11A0758D">
      <w:pPr>
        <w:pStyle w:val="Standard"/>
        <w:rPr>
          <w:rFonts w:eastAsia="Calibri"/>
          <w:color w:val="000000" w:themeColor="text1"/>
        </w:rPr>
      </w:pPr>
      <w:r w:rsidRPr="006F7C82">
        <w:rPr>
          <w:rFonts w:eastAsia="Calibri"/>
          <w:color w:val="000000" w:themeColor="text1"/>
        </w:rPr>
        <w:t>As discussed in the Second Amended Scoping Memo, current rules limit</w:t>
      </w:r>
      <w:r w:rsidR="00BC0CA4">
        <w:rPr>
          <w:rFonts w:eastAsia="Calibri"/>
          <w:color w:val="000000" w:themeColor="text1"/>
        </w:rPr>
        <w:t> </w:t>
      </w:r>
      <w:r w:rsidRPr="006F7C82">
        <w:rPr>
          <w:rFonts w:eastAsia="Calibri"/>
          <w:color w:val="000000" w:themeColor="text1"/>
        </w:rPr>
        <w:t>program costs eligible for reimbursement.</w:t>
      </w:r>
      <w:r w:rsidRPr="006F7C82">
        <w:rPr>
          <w:rStyle w:val="FootnoteReference"/>
          <w:rFonts w:eastAsia="Calibri"/>
          <w:color w:val="000000" w:themeColor="text1"/>
        </w:rPr>
        <w:footnoteReference w:id="129"/>
      </w:r>
      <w:r w:rsidRPr="006F7C82" w:rsidR="00F209CE">
        <w:rPr>
          <w:rFonts w:eastAsia="Calibri"/>
          <w:color w:val="000000" w:themeColor="text1"/>
        </w:rPr>
        <w:t xml:space="preserve"> </w:t>
      </w:r>
      <w:r w:rsidRPr="006F7C82">
        <w:rPr>
          <w:rFonts w:eastAsia="Calibri"/>
          <w:color w:val="000000" w:themeColor="text1"/>
        </w:rPr>
        <w:t>Currently, hotspots, switches, modems, and computer warranties are not considered costs eligible for reimbursement.</w:t>
      </w:r>
      <w:r w:rsidRPr="006F7C82" w:rsidR="00F209CE">
        <w:rPr>
          <w:rFonts w:eastAsia="Calibri"/>
          <w:color w:val="000000" w:themeColor="text1"/>
        </w:rPr>
        <w:t xml:space="preserve"> </w:t>
      </w:r>
      <w:r w:rsidRPr="006F7C82">
        <w:rPr>
          <w:rFonts w:eastAsia="Calibri"/>
          <w:color w:val="000000" w:themeColor="text1"/>
        </w:rPr>
        <w:t>The following questions were posed for comment in the Second</w:t>
      </w:r>
      <w:r w:rsidR="00A329A1">
        <w:rPr>
          <w:rFonts w:eastAsia="Calibri"/>
          <w:color w:val="000000" w:themeColor="text1"/>
        </w:rPr>
        <w:t> </w:t>
      </w:r>
      <w:r w:rsidRPr="006F7C82">
        <w:rPr>
          <w:rFonts w:eastAsia="Calibri"/>
          <w:color w:val="000000" w:themeColor="text1"/>
        </w:rPr>
        <w:t>Amended Scoping Memo:</w:t>
      </w:r>
    </w:p>
    <w:p w:rsidRPr="00FF6FF3" w:rsidR="55E90BF0" w:rsidP="00FF6FF3" w:rsidRDefault="55E90BF0" w14:paraId="0BE9AF15" w14:textId="5F37379F">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 xml:space="preserve">Should the Commission expand eligible program costs to include hotspots, modems, </w:t>
      </w:r>
      <w:proofErr w:type="gramStart"/>
      <w:r w:rsidRPr="004C2B66">
        <w:rPr>
          <w:rFonts w:eastAsia="Calibri"/>
          <w:i/>
          <w:iCs/>
          <w:color w:val="000000" w:themeColor="text1"/>
        </w:rPr>
        <w:t>switches</w:t>
      </w:r>
      <w:proofErr w:type="gramEnd"/>
      <w:r w:rsidRPr="004C2B66">
        <w:rPr>
          <w:rFonts w:eastAsia="Calibri"/>
          <w:i/>
          <w:iCs/>
          <w:color w:val="000000" w:themeColor="text1"/>
        </w:rPr>
        <w:t xml:space="preserve"> and warranties for computers as reimbursable costs?</w:t>
      </w:r>
      <w:r w:rsidRPr="004C2B66" w:rsidR="00F209CE">
        <w:rPr>
          <w:rFonts w:eastAsia="Calibri"/>
          <w:i/>
          <w:iCs/>
          <w:color w:val="000000" w:themeColor="text1"/>
        </w:rPr>
        <w:t xml:space="preserve"> </w:t>
      </w:r>
      <w:r w:rsidRPr="004C2B66">
        <w:rPr>
          <w:rFonts w:eastAsia="Calibri"/>
          <w:i/>
          <w:iCs/>
          <w:color w:val="000000" w:themeColor="text1"/>
        </w:rPr>
        <w:t>Should there be caps for reimbursement on these items?</w:t>
      </w:r>
      <w:r w:rsidRPr="004C2B66" w:rsidR="00F209CE">
        <w:rPr>
          <w:rFonts w:eastAsia="Calibri"/>
          <w:i/>
          <w:iCs/>
          <w:color w:val="000000" w:themeColor="text1"/>
        </w:rPr>
        <w:t xml:space="preserve"> </w:t>
      </w:r>
      <w:r w:rsidRPr="004C2B66">
        <w:rPr>
          <w:rFonts w:eastAsia="Calibri"/>
          <w:i/>
          <w:iCs/>
          <w:color w:val="000000" w:themeColor="text1"/>
        </w:rPr>
        <w:t>If so, what should the caps be?</w:t>
      </w:r>
      <w:r w:rsidRPr="004C2B66" w:rsidR="00F209CE">
        <w:rPr>
          <w:rFonts w:eastAsia="Calibri"/>
          <w:i/>
          <w:iCs/>
          <w:color w:val="000000" w:themeColor="text1"/>
        </w:rPr>
        <w:t xml:space="preserve"> </w:t>
      </w:r>
      <w:r w:rsidRPr="004C2B66">
        <w:rPr>
          <w:rFonts w:eastAsia="Calibri"/>
          <w:i/>
          <w:iCs/>
          <w:color w:val="000000" w:themeColor="text1"/>
        </w:rPr>
        <w:t>Should reimbursement for these items be excluded from and authorized above the $11,250 cap proposed for publicly used devices, as set forth in Appendix 2?</w:t>
      </w:r>
    </w:p>
    <w:p w:rsidRPr="00FF6FF3" w:rsidR="55E90BF0" w:rsidP="00FF6FF3" w:rsidRDefault="55E90BF0" w14:paraId="0A558132" w14:textId="4475E888">
      <w:pPr>
        <w:pStyle w:val="Standard"/>
        <w:numPr>
          <w:ilvl w:val="0"/>
          <w:numId w:val="5"/>
        </w:numPr>
        <w:spacing w:after="120" w:line="240" w:lineRule="auto"/>
        <w:ind w:left="1080" w:right="1440"/>
        <w:rPr>
          <w:rFonts w:eastAsia="Calibri"/>
          <w:i/>
          <w:iCs/>
          <w:color w:val="000000" w:themeColor="text1"/>
        </w:rPr>
      </w:pPr>
      <w:r w:rsidRPr="00B84FA0">
        <w:rPr>
          <w:rFonts w:eastAsia="Calibri"/>
          <w:i/>
          <w:iCs/>
          <w:color w:val="000000" w:themeColor="text1"/>
        </w:rPr>
        <w:t xml:space="preserve">Are there costs other than those for modems, switches, </w:t>
      </w:r>
      <w:proofErr w:type="gramStart"/>
      <w:r w:rsidRPr="00B84FA0">
        <w:rPr>
          <w:rFonts w:eastAsia="Calibri"/>
          <w:i/>
          <w:iCs/>
          <w:color w:val="000000" w:themeColor="text1"/>
        </w:rPr>
        <w:t>hotspots</w:t>
      </w:r>
      <w:proofErr w:type="gramEnd"/>
      <w:r w:rsidRPr="00B84FA0">
        <w:rPr>
          <w:rFonts w:eastAsia="Calibri"/>
          <w:i/>
          <w:iCs/>
          <w:color w:val="000000" w:themeColor="text1"/>
        </w:rPr>
        <w:t xml:space="preserve"> and computer warranties that should be added to the list of costs eligible for reimbursement?</w:t>
      </w:r>
    </w:p>
    <w:p w:rsidRPr="006F7C82" w:rsidR="00D7538E" w:rsidP="00D7538E" w:rsidRDefault="00296061" w14:paraId="3262420E" w14:textId="12BF974A">
      <w:pPr>
        <w:pStyle w:val="Standard"/>
        <w:rPr>
          <w:rFonts w:eastAsia="Calibri"/>
          <w:color w:val="000000" w:themeColor="text1"/>
          <w:szCs w:val="26"/>
        </w:rPr>
      </w:pPr>
      <w:r w:rsidRPr="006F7C82">
        <w:rPr>
          <w:rFonts w:eastAsia="Calibri"/>
          <w:color w:val="000000" w:themeColor="text1"/>
        </w:rPr>
        <w:lastRenderedPageBreak/>
        <w:t xml:space="preserve">IERBC, </w:t>
      </w:r>
      <w:r w:rsidRPr="006F7C82" w:rsidR="00E05391">
        <w:rPr>
          <w:rFonts w:eastAsia="Calibri"/>
          <w:color w:val="000000" w:themeColor="text1"/>
        </w:rPr>
        <w:t xml:space="preserve">LAEDC </w:t>
      </w:r>
      <w:r w:rsidRPr="006F7C82" w:rsidR="00D20BFF">
        <w:rPr>
          <w:rFonts w:eastAsia="Calibri"/>
          <w:color w:val="000000" w:themeColor="text1"/>
        </w:rPr>
        <w:t xml:space="preserve">and </w:t>
      </w:r>
      <w:r w:rsidRPr="006F7C82" w:rsidR="00EA095B">
        <w:rPr>
          <w:rFonts w:eastAsia="Calibri"/>
          <w:color w:val="000000" w:themeColor="text1"/>
        </w:rPr>
        <w:t xml:space="preserve">NDC </w:t>
      </w:r>
      <w:r w:rsidRPr="006F7C82" w:rsidR="00D20BFF">
        <w:rPr>
          <w:rFonts w:eastAsia="Calibri"/>
          <w:color w:val="000000" w:themeColor="text1"/>
        </w:rPr>
        <w:t>are</w:t>
      </w:r>
      <w:r w:rsidRPr="006F7C82" w:rsidR="005126EA">
        <w:rPr>
          <w:rFonts w:eastAsia="Calibri"/>
          <w:color w:val="000000" w:themeColor="text1"/>
        </w:rPr>
        <w:t xml:space="preserve"> supportive of </w:t>
      </w:r>
      <w:r w:rsidRPr="006F7C82" w:rsidR="00BC253E">
        <w:rPr>
          <w:rFonts w:eastAsia="Calibri"/>
          <w:color w:val="000000" w:themeColor="text1"/>
        </w:rPr>
        <w:t>expanding eligible program costs to connect computers to broadband networks</w:t>
      </w:r>
      <w:r w:rsidRPr="006F7C82" w:rsidR="004A2FE2">
        <w:rPr>
          <w:rFonts w:eastAsia="Calibri"/>
          <w:color w:val="000000" w:themeColor="text1"/>
        </w:rPr>
        <w:t>.</w:t>
      </w:r>
      <w:r w:rsidRPr="006F7C82" w:rsidR="00C25106">
        <w:rPr>
          <w:rStyle w:val="FootnoteReference"/>
          <w:rFonts w:eastAsia="Calibri"/>
          <w:color w:val="000000" w:themeColor="text1"/>
          <w:szCs w:val="26"/>
        </w:rPr>
        <w:footnoteReference w:id="130"/>
      </w:r>
      <w:r w:rsidRPr="006F7C82" w:rsidR="00D20BFF">
        <w:rPr>
          <w:rFonts w:eastAsia="Calibri"/>
          <w:color w:val="000000" w:themeColor="text1"/>
        </w:rPr>
        <w:t xml:space="preserve"> </w:t>
      </w:r>
      <w:r w:rsidRPr="006F7C82" w:rsidR="002D1A38">
        <w:rPr>
          <w:rFonts w:eastAsia="Calibri"/>
          <w:color w:val="000000" w:themeColor="text1"/>
        </w:rPr>
        <w:t xml:space="preserve">LAEDC </w:t>
      </w:r>
      <w:r w:rsidRPr="006F7C82" w:rsidR="00A1225D">
        <w:rPr>
          <w:rFonts w:eastAsia="Calibri"/>
          <w:color w:val="000000" w:themeColor="text1"/>
        </w:rPr>
        <w:t xml:space="preserve">supports </w:t>
      </w:r>
      <w:r w:rsidRPr="006F7C82" w:rsidR="000C20B3">
        <w:rPr>
          <w:rFonts w:eastAsia="Calibri"/>
          <w:color w:val="000000" w:themeColor="text1"/>
        </w:rPr>
        <w:t xml:space="preserve">reimbursing </w:t>
      </w:r>
      <w:r w:rsidRPr="006F7C82" w:rsidR="000D76F0">
        <w:rPr>
          <w:rFonts w:eastAsia="Calibri"/>
          <w:color w:val="000000" w:themeColor="text1"/>
        </w:rPr>
        <w:t>technical support for distributed devices</w:t>
      </w:r>
      <w:r w:rsidRPr="006F7C82" w:rsidR="001F316A">
        <w:rPr>
          <w:rFonts w:eastAsia="Calibri"/>
          <w:color w:val="000000" w:themeColor="text1"/>
        </w:rPr>
        <w:t>.</w:t>
      </w:r>
      <w:r w:rsidRPr="006F7C82" w:rsidR="008B54DA">
        <w:rPr>
          <w:rStyle w:val="FootnoteReference"/>
          <w:rFonts w:eastAsia="Calibri"/>
          <w:color w:val="000000" w:themeColor="text1"/>
          <w:szCs w:val="26"/>
        </w:rPr>
        <w:footnoteReference w:id="131"/>
      </w:r>
      <w:r w:rsidRPr="006F7C82" w:rsidR="001F316A">
        <w:rPr>
          <w:rFonts w:eastAsia="Calibri"/>
          <w:color w:val="000000" w:themeColor="text1"/>
        </w:rPr>
        <w:t xml:space="preserve"> </w:t>
      </w:r>
      <w:r w:rsidRPr="006F7C82" w:rsidR="004A2FE2">
        <w:rPr>
          <w:rFonts w:eastAsia="Calibri"/>
          <w:color w:val="000000" w:themeColor="text1"/>
        </w:rPr>
        <w:t>N</w:t>
      </w:r>
      <w:r w:rsidRPr="006F7C82" w:rsidR="002E3DD7">
        <w:rPr>
          <w:rFonts w:eastAsia="Calibri"/>
          <w:color w:val="000000" w:themeColor="text1"/>
        </w:rPr>
        <w:t>ot</w:t>
      </w:r>
      <w:r w:rsidRPr="006F7C82" w:rsidR="004A2FE2">
        <w:rPr>
          <w:rFonts w:eastAsia="Calibri"/>
          <w:color w:val="000000" w:themeColor="text1"/>
        </w:rPr>
        <w:t>ing that</w:t>
      </w:r>
      <w:r w:rsidRPr="006F7C82" w:rsidR="002E3DD7">
        <w:rPr>
          <w:rFonts w:eastAsia="Calibri"/>
          <w:color w:val="000000" w:themeColor="text1"/>
        </w:rPr>
        <w:t xml:space="preserve"> a goal of the Adoption Account is to promote Internet literacy and access</w:t>
      </w:r>
      <w:r w:rsidRPr="006F7C82" w:rsidR="004A2FE2">
        <w:rPr>
          <w:rFonts w:eastAsia="Calibri"/>
          <w:color w:val="000000" w:themeColor="text1"/>
        </w:rPr>
        <w:t>,</w:t>
      </w:r>
      <w:r w:rsidRPr="006F7C82" w:rsidR="002E3DD7">
        <w:rPr>
          <w:rFonts w:eastAsia="Calibri"/>
          <w:color w:val="000000" w:themeColor="text1"/>
        </w:rPr>
        <w:t xml:space="preserve"> NDC </w:t>
      </w:r>
      <w:r w:rsidRPr="006F7C82" w:rsidR="00236AA2">
        <w:rPr>
          <w:rFonts w:eastAsia="Calibri"/>
          <w:color w:val="000000" w:themeColor="text1"/>
        </w:rPr>
        <w:t xml:space="preserve">also supports reimbursing costs for software and cloud </w:t>
      </w:r>
      <w:proofErr w:type="gramStart"/>
      <w:r w:rsidRPr="006F7C82" w:rsidR="00236AA2">
        <w:rPr>
          <w:rFonts w:eastAsia="Calibri"/>
          <w:color w:val="000000" w:themeColor="text1"/>
        </w:rPr>
        <w:t>services</w:t>
      </w:r>
      <w:r w:rsidRPr="006F7C82" w:rsidR="005C3723">
        <w:rPr>
          <w:rFonts w:eastAsia="Calibri"/>
          <w:color w:val="000000" w:themeColor="text1"/>
        </w:rPr>
        <w:t>, and</w:t>
      </w:r>
      <w:proofErr w:type="gramEnd"/>
      <w:r w:rsidRPr="006F7C82" w:rsidR="005C3723">
        <w:rPr>
          <w:rFonts w:eastAsia="Calibri"/>
          <w:color w:val="000000" w:themeColor="text1"/>
        </w:rPr>
        <w:t xml:space="preserve"> setting reasonable cost caps for these items based on market data</w:t>
      </w:r>
      <w:r w:rsidRPr="006F7C82" w:rsidR="005205DE">
        <w:rPr>
          <w:rFonts w:eastAsia="Calibri"/>
          <w:color w:val="000000" w:themeColor="text1"/>
        </w:rPr>
        <w:t xml:space="preserve">. </w:t>
      </w:r>
      <w:r w:rsidRPr="006F7C82" w:rsidR="00A9596F">
        <w:rPr>
          <w:rFonts w:eastAsia="Calibri"/>
          <w:color w:val="000000" w:themeColor="text1"/>
        </w:rPr>
        <w:t>NDC asserts s</w:t>
      </w:r>
      <w:r w:rsidRPr="006F7C82" w:rsidR="005205DE">
        <w:rPr>
          <w:rFonts w:eastAsia="Calibri"/>
          <w:color w:val="000000" w:themeColor="text1"/>
        </w:rPr>
        <w:t xml:space="preserve">ubscription-based costs, which are typical for </w:t>
      </w:r>
      <w:r w:rsidRPr="006F7C82" w:rsidR="00A9596F">
        <w:rPr>
          <w:rFonts w:eastAsia="Calibri"/>
          <w:color w:val="000000" w:themeColor="text1"/>
        </w:rPr>
        <w:t>some software licenses, should not be part of the $11,250</w:t>
      </w:r>
      <w:r w:rsidR="00BC0CA4">
        <w:rPr>
          <w:rFonts w:eastAsia="Calibri"/>
          <w:color w:val="000000" w:themeColor="text1"/>
        </w:rPr>
        <w:t> </w:t>
      </w:r>
      <w:r w:rsidRPr="006F7C82" w:rsidR="00A9596F">
        <w:rPr>
          <w:rFonts w:eastAsia="Calibri"/>
          <w:color w:val="000000" w:themeColor="text1"/>
        </w:rPr>
        <w:t>cap.</w:t>
      </w:r>
      <w:r w:rsidRPr="006F7C82" w:rsidR="00712D2B">
        <w:rPr>
          <w:rStyle w:val="FootnoteReference"/>
          <w:rFonts w:eastAsia="Calibri"/>
          <w:color w:val="000000" w:themeColor="text1"/>
          <w:szCs w:val="26"/>
        </w:rPr>
        <w:footnoteReference w:id="132"/>
      </w:r>
      <w:r w:rsidRPr="006F7C82" w:rsidR="00886C2A">
        <w:rPr>
          <w:rFonts w:eastAsia="Calibri"/>
          <w:color w:val="000000" w:themeColor="text1"/>
        </w:rPr>
        <w:t xml:space="preserve"> </w:t>
      </w:r>
      <w:r w:rsidRPr="006F7C82" w:rsidR="00E36B42">
        <w:rPr>
          <w:rFonts w:eastAsia="Calibri"/>
          <w:color w:val="000000" w:themeColor="text1"/>
        </w:rPr>
        <w:t xml:space="preserve">IERBC </w:t>
      </w:r>
      <w:r w:rsidRPr="006F7C82" w:rsidR="00AF3611">
        <w:rPr>
          <w:rFonts w:eastAsia="Calibri"/>
          <w:color w:val="000000" w:themeColor="text1"/>
        </w:rPr>
        <w:t xml:space="preserve">recommends that the Commission allow applicants to suggest items </w:t>
      </w:r>
      <w:r w:rsidRPr="006F7C82" w:rsidR="000C583B">
        <w:rPr>
          <w:rFonts w:eastAsia="Calibri"/>
          <w:color w:val="000000" w:themeColor="text1"/>
        </w:rPr>
        <w:t>that are not explicitly identified as eligible for reimbursement</w:t>
      </w:r>
      <w:r w:rsidRPr="006F7C82" w:rsidR="008E53A1">
        <w:rPr>
          <w:rFonts w:eastAsia="Calibri"/>
          <w:color w:val="000000" w:themeColor="text1"/>
        </w:rPr>
        <w:t xml:space="preserve"> and to explain their value to the program.</w:t>
      </w:r>
      <w:r w:rsidRPr="006F7C82" w:rsidR="004F2DDC">
        <w:rPr>
          <w:rStyle w:val="FootnoteReference"/>
          <w:rFonts w:eastAsia="Calibri"/>
          <w:color w:val="000000" w:themeColor="text1"/>
          <w:szCs w:val="26"/>
        </w:rPr>
        <w:footnoteReference w:id="133"/>
      </w:r>
      <w:r w:rsidRPr="006F7C82" w:rsidR="008E53A1">
        <w:rPr>
          <w:rFonts w:eastAsia="Calibri"/>
          <w:color w:val="000000" w:themeColor="text1"/>
        </w:rPr>
        <w:t xml:space="preserve"> </w:t>
      </w:r>
      <w:r w:rsidRPr="006F7C82" w:rsidR="00886C2A">
        <w:rPr>
          <w:rFonts w:eastAsia="Calibri"/>
          <w:color w:val="000000" w:themeColor="text1"/>
        </w:rPr>
        <w:t>UNITE-LA argues generally for flexibility in program costs</w:t>
      </w:r>
      <w:r w:rsidRPr="006F7C82" w:rsidR="00EF2BD8">
        <w:rPr>
          <w:rFonts w:eastAsia="Calibri"/>
          <w:color w:val="000000" w:themeColor="text1"/>
        </w:rPr>
        <w:t>.</w:t>
      </w:r>
      <w:r w:rsidRPr="006F7C82" w:rsidR="00DB2D17">
        <w:rPr>
          <w:rStyle w:val="FootnoteReference"/>
          <w:rFonts w:eastAsia="Calibri"/>
          <w:color w:val="000000" w:themeColor="text1"/>
          <w:szCs w:val="26"/>
        </w:rPr>
        <w:footnoteReference w:id="134"/>
      </w:r>
      <w:r w:rsidRPr="006F7C82" w:rsidR="00EF2BD8">
        <w:rPr>
          <w:rFonts w:eastAsia="Calibri"/>
          <w:color w:val="000000" w:themeColor="text1"/>
        </w:rPr>
        <w:t xml:space="preserve"> CETF repeats its recommendation that the Commission focus on achieving adoptions</w:t>
      </w:r>
      <w:r w:rsidRPr="006F7C82" w:rsidR="00D17231">
        <w:rPr>
          <w:rFonts w:eastAsia="Calibri"/>
          <w:color w:val="000000" w:themeColor="text1"/>
        </w:rPr>
        <w:t xml:space="preserve"> through the Adoption Account, and not funding devices or other associated equipment for connecting to the Internet.</w:t>
      </w:r>
      <w:r w:rsidRPr="006F7C82" w:rsidR="004D0237">
        <w:rPr>
          <w:rStyle w:val="FootnoteReference"/>
          <w:rFonts w:eastAsia="Calibri"/>
          <w:color w:val="000000" w:themeColor="text1"/>
          <w:szCs w:val="26"/>
        </w:rPr>
        <w:footnoteReference w:id="135"/>
      </w:r>
      <w:r w:rsidRPr="006F7C82" w:rsidR="005D17C4">
        <w:rPr>
          <w:rFonts w:eastAsia="Calibri"/>
          <w:color w:val="000000" w:themeColor="text1"/>
        </w:rPr>
        <w:t xml:space="preserve"> </w:t>
      </w:r>
    </w:p>
    <w:p w:rsidRPr="006F7C82" w:rsidR="00377A88" w:rsidP="00D7538E" w:rsidRDefault="005D17C4" w14:paraId="1AFEA74A" w14:textId="42F33472">
      <w:pPr>
        <w:pStyle w:val="Standard"/>
        <w:rPr>
          <w:rFonts w:eastAsia="Calibri"/>
          <w:color w:val="000000" w:themeColor="text1"/>
          <w:szCs w:val="26"/>
        </w:rPr>
      </w:pPr>
      <w:proofErr w:type="spellStart"/>
      <w:r w:rsidRPr="006F7C82">
        <w:rPr>
          <w:rFonts w:eastAsia="Calibri"/>
          <w:color w:val="000000" w:themeColor="text1"/>
        </w:rPr>
        <w:t>CforAT</w:t>
      </w:r>
      <w:proofErr w:type="spellEnd"/>
      <w:r w:rsidRPr="006F7C82">
        <w:rPr>
          <w:rFonts w:eastAsia="Calibri"/>
          <w:color w:val="000000" w:themeColor="text1"/>
        </w:rPr>
        <w:t xml:space="preserve"> recommends the Commission explicitly add costs for making digital inclusion projects accessible</w:t>
      </w:r>
      <w:r w:rsidRPr="006F7C82" w:rsidR="00416C1F">
        <w:rPr>
          <w:rFonts w:eastAsia="Calibri"/>
          <w:color w:val="000000" w:themeColor="text1"/>
        </w:rPr>
        <w:t xml:space="preserve"> to the list of costs eligible for reimbursement, noting that many individuals with disabilities need assistive technology to operate off-the-shelf computers </w:t>
      </w:r>
      <w:r w:rsidRPr="006F7C82" w:rsidR="00377A88">
        <w:rPr>
          <w:rFonts w:eastAsia="Calibri"/>
          <w:color w:val="000000" w:themeColor="text1"/>
        </w:rPr>
        <w:t>and other devices.</w:t>
      </w:r>
      <w:r w:rsidRPr="006F7C82" w:rsidR="002E3DD7">
        <w:rPr>
          <w:rFonts w:eastAsia="Calibri"/>
          <w:color w:val="000000" w:themeColor="text1"/>
        </w:rPr>
        <w:t xml:space="preserve"> </w:t>
      </w:r>
      <w:proofErr w:type="spellStart"/>
      <w:r w:rsidRPr="006F7C82" w:rsidR="006979A1">
        <w:rPr>
          <w:rFonts w:eastAsia="Calibri"/>
          <w:color w:val="000000" w:themeColor="text1"/>
        </w:rPr>
        <w:t>CforAT</w:t>
      </w:r>
      <w:proofErr w:type="spellEnd"/>
      <w:r w:rsidRPr="006F7C82" w:rsidR="006979A1">
        <w:rPr>
          <w:rFonts w:eastAsia="Calibri"/>
          <w:color w:val="000000" w:themeColor="text1"/>
        </w:rPr>
        <w:t xml:space="preserve"> further recommends clarifying that reimbursable education and outreach expenses include marketing, </w:t>
      </w:r>
      <w:r w:rsidRPr="006F7C82" w:rsidR="006979A1">
        <w:rPr>
          <w:rFonts w:eastAsia="Calibri"/>
          <w:color w:val="000000" w:themeColor="text1"/>
        </w:rPr>
        <w:lastRenderedPageBreak/>
        <w:t>education and outreach communications in accessible formats such as large</w:t>
      </w:r>
      <w:r w:rsidR="00BC0CA4">
        <w:rPr>
          <w:rFonts w:eastAsia="Calibri"/>
          <w:color w:val="000000" w:themeColor="text1"/>
        </w:rPr>
        <w:t> </w:t>
      </w:r>
      <w:r w:rsidRPr="006F7C82" w:rsidR="006979A1">
        <w:rPr>
          <w:rFonts w:eastAsia="Calibri"/>
          <w:color w:val="000000" w:themeColor="text1"/>
        </w:rPr>
        <w:t xml:space="preserve">print, </w:t>
      </w:r>
      <w:proofErr w:type="gramStart"/>
      <w:r w:rsidR="00BC0CA4">
        <w:rPr>
          <w:rFonts w:eastAsia="Calibri"/>
          <w:color w:val="000000" w:themeColor="text1"/>
        </w:rPr>
        <w:t>b</w:t>
      </w:r>
      <w:r w:rsidRPr="006F7C82" w:rsidR="006979A1">
        <w:rPr>
          <w:rFonts w:eastAsia="Calibri"/>
          <w:color w:val="000000" w:themeColor="text1"/>
        </w:rPr>
        <w:t>raille</w:t>
      </w:r>
      <w:proofErr w:type="gramEnd"/>
      <w:r w:rsidRPr="006F7C82" w:rsidR="006979A1">
        <w:rPr>
          <w:rFonts w:eastAsia="Calibri"/>
          <w:color w:val="000000" w:themeColor="text1"/>
        </w:rPr>
        <w:t xml:space="preserve"> and audio</w:t>
      </w:r>
      <w:r w:rsidRPr="006F7C82" w:rsidR="00EC0B21">
        <w:rPr>
          <w:rFonts w:eastAsia="Calibri"/>
          <w:color w:val="000000" w:themeColor="text1"/>
        </w:rPr>
        <w:t>.</w:t>
      </w:r>
      <w:r w:rsidRPr="006F7C82" w:rsidR="0036119C">
        <w:rPr>
          <w:rStyle w:val="FootnoteReference"/>
          <w:rFonts w:eastAsia="Calibri"/>
          <w:color w:val="000000" w:themeColor="text1"/>
          <w:szCs w:val="26"/>
        </w:rPr>
        <w:footnoteReference w:id="136"/>
      </w:r>
    </w:p>
    <w:p w:rsidRPr="006F7C82" w:rsidR="55E90BF0" w:rsidP="00B84FA0" w:rsidRDefault="004A50AB" w14:paraId="02A12E6A" w14:textId="7A667D3F">
      <w:pPr>
        <w:pStyle w:val="Standard"/>
        <w:rPr>
          <w:rFonts w:eastAsia="Calibri"/>
          <w:color w:val="000000" w:themeColor="text1"/>
          <w:szCs w:val="26"/>
        </w:rPr>
      </w:pPr>
      <w:r w:rsidRPr="006F7C82">
        <w:rPr>
          <w:rFonts w:eastAsia="Calibri"/>
          <w:color w:val="000000" w:themeColor="text1"/>
        </w:rPr>
        <w:t xml:space="preserve">The Commission finds it reasonable to </w:t>
      </w:r>
      <w:r w:rsidRPr="006F7C82" w:rsidR="001D289F">
        <w:rPr>
          <w:rFonts w:eastAsia="Calibri"/>
          <w:color w:val="000000" w:themeColor="text1"/>
        </w:rPr>
        <w:t xml:space="preserve">expand eligible program costs to include </w:t>
      </w:r>
      <w:r w:rsidRPr="006F7C82" w:rsidR="00AB1155">
        <w:rPr>
          <w:rFonts w:eastAsia="Calibri"/>
          <w:color w:val="000000" w:themeColor="text1"/>
        </w:rPr>
        <w:t xml:space="preserve">hotspots, modems, </w:t>
      </w:r>
      <w:proofErr w:type="gramStart"/>
      <w:r w:rsidRPr="006F7C82" w:rsidR="00AB1155">
        <w:rPr>
          <w:rFonts w:eastAsia="Calibri"/>
          <w:color w:val="000000" w:themeColor="text1"/>
        </w:rPr>
        <w:t>switches</w:t>
      </w:r>
      <w:proofErr w:type="gramEnd"/>
      <w:r w:rsidRPr="006F7C82" w:rsidR="00AB1155">
        <w:rPr>
          <w:rFonts w:eastAsia="Calibri"/>
          <w:color w:val="000000" w:themeColor="text1"/>
        </w:rPr>
        <w:t xml:space="preserve"> and computer warranties, as proposed by the Second Amended Scoping </w:t>
      </w:r>
      <w:r w:rsidRPr="006F7C82" w:rsidR="00934F26">
        <w:rPr>
          <w:rFonts w:eastAsia="Calibri"/>
          <w:color w:val="000000" w:themeColor="text1"/>
        </w:rPr>
        <w:t>Memo</w:t>
      </w:r>
      <w:r w:rsidRPr="006F7C82" w:rsidR="00AB1155">
        <w:rPr>
          <w:rFonts w:eastAsia="Calibri"/>
          <w:color w:val="000000" w:themeColor="text1"/>
        </w:rPr>
        <w:t xml:space="preserve">. </w:t>
      </w:r>
      <w:r w:rsidRPr="006F7C82" w:rsidR="00AB1155">
        <w:rPr>
          <w:rFonts w:eastAsia="Book Antiqua" w:cs="Book Antiqua"/>
          <w:color w:val="000000" w:themeColor="text1"/>
        </w:rPr>
        <w:t>Technical support for subsidized devices and</w:t>
      </w:r>
      <w:r w:rsidRPr="006F7C82" w:rsidR="00AB1155">
        <w:rPr>
          <w:rFonts w:eastAsia="Calibri"/>
          <w:color w:val="000000" w:themeColor="text1"/>
        </w:rPr>
        <w:t xml:space="preserve"> </w:t>
      </w:r>
      <w:r w:rsidRPr="00B84FA0" w:rsidR="00AB1155">
        <w:rPr>
          <w:rFonts w:eastAsia="Calibri"/>
          <w:color w:val="000000" w:themeColor="text1"/>
          <w:shd w:val="clear" w:color="auto" w:fill="FFFFFF" w:themeFill="background1"/>
        </w:rPr>
        <w:t>s</w:t>
      </w:r>
      <w:r w:rsidRPr="00B84FA0" w:rsidR="00AB1155">
        <w:rPr>
          <w:rFonts w:eastAsia="Book Antiqua" w:cs="Book Antiqua"/>
          <w:color w:val="000000" w:themeColor="text1"/>
          <w:shd w:val="clear" w:color="auto" w:fill="FFFFFF" w:themeFill="background1"/>
        </w:rPr>
        <w:t>oftware are already-eligible program costs.</w:t>
      </w:r>
      <w:r w:rsidRPr="006F7C82" w:rsidR="00F209CE">
        <w:rPr>
          <w:rFonts w:eastAsia="Calibri"/>
          <w:color w:val="000000" w:themeColor="text1"/>
        </w:rPr>
        <w:t xml:space="preserve"> </w:t>
      </w:r>
      <w:r w:rsidRPr="006F7C82" w:rsidR="000437E8">
        <w:rPr>
          <w:rFonts w:eastAsia="Calibri"/>
          <w:color w:val="000000" w:themeColor="text1"/>
        </w:rPr>
        <w:t xml:space="preserve">The Commission declines to </w:t>
      </w:r>
      <w:r w:rsidRPr="006F7C82" w:rsidR="00AF1AF9">
        <w:rPr>
          <w:rFonts w:eastAsia="Calibri"/>
          <w:color w:val="000000" w:themeColor="text1"/>
        </w:rPr>
        <w:t xml:space="preserve">include those </w:t>
      </w:r>
      <w:r w:rsidRPr="006F7C82" w:rsidR="004E790C">
        <w:rPr>
          <w:rFonts w:eastAsia="Calibri"/>
          <w:color w:val="000000" w:themeColor="text1"/>
        </w:rPr>
        <w:t xml:space="preserve">items recommended by </w:t>
      </w:r>
      <w:r w:rsidRPr="006F7C82" w:rsidR="00777B14">
        <w:rPr>
          <w:rFonts w:eastAsia="Calibri"/>
          <w:color w:val="000000" w:themeColor="text1"/>
        </w:rPr>
        <w:t>IERBC, as requests for reimbursement of costs not included on an approved list would render the approval discretionary, requiring Commission resolution</w:t>
      </w:r>
      <w:r w:rsidRPr="006F7C82" w:rsidR="00473CE1">
        <w:rPr>
          <w:rFonts w:eastAsia="Calibri"/>
          <w:color w:val="000000" w:themeColor="text1"/>
        </w:rPr>
        <w:t xml:space="preserve">. </w:t>
      </w:r>
      <w:r w:rsidRPr="006F7C82" w:rsidR="00EF3DC9">
        <w:rPr>
          <w:rFonts w:eastAsia="Calibri"/>
          <w:color w:val="000000" w:themeColor="text1"/>
        </w:rPr>
        <w:t>The Commission agree</w:t>
      </w:r>
      <w:r w:rsidRPr="006F7C82" w:rsidR="004368FA">
        <w:rPr>
          <w:rFonts w:eastAsia="Calibri"/>
          <w:color w:val="000000" w:themeColor="text1"/>
        </w:rPr>
        <w:t>s</w:t>
      </w:r>
      <w:r w:rsidRPr="006F7C82" w:rsidR="00EF3DC9">
        <w:rPr>
          <w:rFonts w:eastAsia="Calibri"/>
          <w:color w:val="000000" w:themeColor="text1"/>
        </w:rPr>
        <w:t xml:space="preserve"> with </w:t>
      </w:r>
      <w:proofErr w:type="spellStart"/>
      <w:r w:rsidRPr="006F7C82" w:rsidR="00EF3DC9">
        <w:rPr>
          <w:rFonts w:eastAsia="Calibri"/>
          <w:color w:val="000000" w:themeColor="text1"/>
        </w:rPr>
        <w:t>CforAT’s</w:t>
      </w:r>
      <w:proofErr w:type="spellEnd"/>
      <w:r w:rsidRPr="006F7C82" w:rsidR="00EF3DC9">
        <w:rPr>
          <w:rFonts w:eastAsia="Calibri"/>
          <w:color w:val="000000" w:themeColor="text1"/>
        </w:rPr>
        <w:t xml:space="preserve"> recommendation to explicitly include</w:t>
      </w:r>
      <w:r w:rsidRPr="006F7C82" w:rsidR="00FC0AEF">
        <w:rPr>
          <w:rFonts w:eastAsia="Calibri"/>
          <w:color w:val="000000" w:themeColor="text1"/>
        </w:rPr>
        <w:t xml:space="preserve"> costs for </w:t>
      </w:r>
      <w:r w:rsidRPr="006F7C82" w:rsidR="002F40A6">
        <w:rPr>
          <w:rFonts w:eastAsia="Calibri"/>
          <w:color w:val="000000" w:themeColor="text1"/>
        </w:rPr>
        <w:t xml:space="preserve">making digital inclusion projects accessible, and to clarify that reimbursable education and outreach expenses include marketing, </w:t>
      </w:r>
      <w:r w:rsidRPr="006F7C82" w:rsidR="00A9773F">
        <w:rPr>
          <w:rFonts w:eastAsia="Calibri"/>
          <w:color w:val="000000" w:themeColor="text1"/>
        </w:rPr>
        <w:t xml:space="preserve">education and outreach communications in accessible formats such as large print, </w:t>
      </w:r>
      <w:proofErr w:type="gramStart"/>
      <w:r w:rsidRPr="006F7C82" w:rsidR="00A9773F">
        <w:rPr>
          <w:rFonts w:eastAsia="Calibri"/>
          <w:color w:val="000000" w:themeColor="text1"/>
        </w:rPr>
        <w:t>Braille</w:t>
      </w:r>
      <w:proofErr w:type="gramEnd"/>
      <w:r w:rsidRPr="006F7C82" w:rsidR="00A9773F">
        <w:rPr>
          <w:rFonts w:eastAsia="Calibri"/>
          <w:color w:val="000000" w:themeColor="text1"/>
        </w:rPr>
        <w:t xml:space="preserve"> and audio.</w:t>
      </w:r>
      <w:r w:rsidRPr="006F7C82" w:rsidR="00EF3DC9">
        <w:rPr>
          <w:rFonts w:eastAsia="Calibri"/>
          <w:color w:val="000000" w:themeColor="text1"/>
        </w:rPr>
        <w:t xml:space="preserve"> </w:t>
      </w:r>
      <w:r w:rsidRPr="006F7C82" w:rsidR="003519A3">
        <w:rPr>
          <w:rFonts w:eastAsia="Calibri"/>
          <w:color w:val="000000" w:themeColor="text1"/>
        </w:rPr>
        <w:t>These changes are adopted as shown in Appendix 2.</w:t>
      </w:r>
    </w:p>
    <w:p w:rsidRPr="00A225AC" w:rsidR="55E90BF0" w:rsidP="002A4088" w:rsidRDefault="55E90BF0" w14:paraId="3B2FF155" w14:textId="4DF3ED11">
      <w:pPr>
        <w:pStyle w:val="Heading2"/>
        <w:ind w:left="1080" w:hanging="720"/>
        <w:rPr>
          <w:color w:val="000000" w:themeColor="text1"/>
        </w:rPr>
      </w:pPr>
      <w:bookmarkStart w:name="_Toc100132367" w:id="25"/>
      <w:r w:rsidRPr="006F7C82">
        <w:rPr>
          <w:color w:val="000000" w:themeColor="text1"/>
        </w:rPr>
        <w:t xml:space="preserve">Application of Cap on Reimbursement </w:t>
      </w:r>
      <w:r w:rsidR="00C202D5">
        <w:rPr>
          <w:color w:val="000000" w:themeColor="text1"/>
        </w:rPr>
        <w:br/>
      </w:r>
      <w:r w:rsidRPr="00A225AC">
        <w:rPr>
          <w:color w:val="000000" w:themeColor="text1"/>
        </w:rPr>
        <w:t>for Administrative Costs</w:t>
      </w:r>
      <w:bookmarkEnd w:id="25"/>
    </w:p>
    <w:p w:rsidRPr="006F7C82" w:rsidR="55E90BF0" w:rsidP="55E90BF0" w:rsidRDefault="55E90BF0" w14:paraId="02722F97" w14:textId="143E273E">
      <w:pPr>
        <w:pStyle w:val="Standard"/>
        <w:rPr>
          <w:rFonts w:eastAsia="Calibri"/>
          <w:color w:val="000000" w:themeColor="text1"/>
          <w:szCs w:val="26"/>
        </w:rPr>
      </w:pPr>
      <w:r w:rsidRPr="006F7C82">
        <w:rPr>
          <w:rFonts w:eastAsia="Calibri"/>
          <w:color w:val="000000" w:themeColor="text1"/>
        </w:rPr>
        <w:t>The Second Amended Scoping Memo proposed limiting reimbursement for eligible administrative costs</w:t>
      </w:r>
      <w:r w:rsidRPr="006F7C82">
        <w:rPr>
          <w:rStyle w:val="FootnoteReference"/>
          <w:rFonts w:eastAsia="Calibri"/>
          <w:color w:val="000000" w:themeColor="text1"/>
        </w:rPr>
        <w:footnoteReference w:id="137"/>
      </w:r>
      <w:r w:rsidRPr="006F7C82">
        <w:rPr>
          <w:rFonts w:eastAsia="Calibri"/>
          <w:color w:val="000000" w:themeColor="text1"/>
        </w:rPr>
        <w:t xml:space="preserve"> to 15</w:t>
      </w:r>
      <w:r w:rsidRPr="006F7C82" w:rsidR="00930294">
        <w:rPr>
          <w:rFonts w:eastAsia="Calibri"/>
          <w:color w:val="000000" w:themeColor="text1"/>
        </w:rPr>
        <w:t xml:space="preserve"> percent</w:t>
      </w:r>
      <w:r w:rsidRPr="006F7C82">
        <w:rPr>
          <w:rFonts w:eastAsia="Calibri"/>
          <w:color w:val="000000" w:themeColor="text1"/>
        </w:rPr>
        <w:t xml:space="preserve"> of the total proposed Adoption Program budget.</w:t>
      </w:r>
      <w:r w:rsidRPr="006F7C82" w:rsidR="00F209CE">
        <w:rPr>
          <w:rFonts w:eastAsia="Calibri"/>
          <w:color w:val="000000" w:themeColor="text1"/>
        </w:rPr>
        <w:t xml:space="preserve"> </w:t>
      </w:r>
      <w:r w:rsidRPr="006F7C82">
        <w:rPr>
          <w:rFonts w:eastAsia="Calibri"/>
          <w:color w:val="000000" w:themeColor="text1"/>
        </w:rPr>
        <w:t>The Second Amended Scoping Memo posed the following question related to reimbursement of administrative costs:</w:t>
      </w:r>
    </w:p>
    <w:p w:rsidRPr="00FF6FF3" w:rsidR="55E90BF0" w:rsidP="00FF6FF3" w:rsidRDefault="55E90BF0" w14:paraId="69D9F012" w14:textId="1C3F2C6D">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lastRenderedPageBreak/>
        <w:t>Should the rules be amended to limit reimbursement for administrative costs (as listed in the definition [in note 19]) to administrative costs representing 15 percent or less of the overall approved budget (for allowable expenses as listed in Section 1.5 of Appendix 2)?</w:t>
      </w:r>
      <w:r w:rsidRPr="004C2B66" w:rsidR="00F209CE">
        <w:rPr>
          <w:rFonts w:eastAsia="Calibri"/>
          <w:i/>
          <w:iCs/>
          <w:color w:val="000000" w:themeColor="text1"/>
        </w:rPr>
        <w:t xml:space="preserve"> </w:t>
      </w:r>
      <w:r w:rsidRPr="004C2B66">
        <w:rPr>
          <w:rFonts w:eastAsia="Calibri"/>
          <w:i/>
          <w:iCs/>
          <w:color w:val="000000" w:themeColor="text1"/>
        </w:rPr>
        <w:t>Are modifications to application requirements needed to effectuate changes to this requirement?</w:t>
      </w:r>
      <w:r w:rsidRPr="004C2B66" w:rsidR="00F209CE">
        <w:rPr>
          <w:rFonts w:eastAsia="Calibri"/>
          <w:i/>
          <w:iCs/>
          <w:color w:val="000000" w:themeColor="text1"/>
        </w:rPr>
        <w:t xml:space="preserve"> </w:t>
      </w:r>
      <w:r w:rsidRPr="004C2B66">
        <w:rPr>
          <w:rFonts w:eastAsia="Calibri"/>
          <w:i/>
          <w:iCs/>
          <w:color w:val="000000" w:themeColor="text1"/>
        </w:rPr>
        <w:t>See Section 1.5 of Appendix 2.</w:t>
      </w:r>
    </w:p>
    <w:p w:rsidRPr="006F7C82" w:rsidR="00BE2EDA" w:rsidP="00E81F66" w:rsidRDefault="00BB5660" w14:paraId="0A621070" w14:textId="3865EE93">
      <w:pPr>
        <w:pStyle w:val="Standard"/>
        <w:rPr>
          <w:rFonts w:eastAsia="Calibri"/>
          <w:color w:val="000000" w:themeColor="text1"/>
        </w:rPr>
      </w:pPr>
      <w:r w:rsidRPr="006F7C82">
        <w:rPr>
          <w:rFonts w:eastAsia="Calibri"/>
          <w:color w:val="000000" w:themeColor="text1"/>
        </w:rPr>
        <w:t xml:space="preserve">IERBC and NDC </w:t>
      </w:r>
      <w:r w:rsidRPr="006F7C82" w:rsidR="009A21F2">
        <w:rPr>
          <w:rFonts w:eastAsia="Calibri"/>
          <w:color w:val="000000" w:themeColor="text1"/>
        </w:rPr>
        <w:t>are</w:t>
      </w:r>
      <w:r w:rsidRPr="006F7C82">
        <w:rPr>
          <w:rFonts w:eastAsia="Calibri"/>
          <w:color w:val="000000" w:themeColor="text1"/>
        </w:rPr>
        <w:t xml:space="preserve"> generally supportive of the proposed limit on reimbursable administrative costs.</w:t>
      </w:r>
      <w:r w:rsidRPr="006F7C82" w:rsidR="002246BF">
        <w:rPr>
          <w:rStyle w:val="FootnoteReference"/>
          <w:rFonts w:eastAsia="Calibri"/>
          <w:color w:val="000000" w:themeColor="text1"/>
        </w:rPr>
        <w:footnoteReference w:id="138"/>
      </w:r>
      <w:r w:rsidRPr="006F7C82">
        <w:rPr>
          <w:rFonts w:eastAsia="Calibri"/>
          <w:color w:val="000000" w:themeColor="text1"/>
        </w:rPr>
        <w:t xml:space="preserve"> </w:t>
      </w:r>
      <w:r w:rsidRPr="006F7C82" w:rsidR="000F5CAA">
        <w:rPr>
          <w:rFonts w:eastAsia="Calibri"/>
          <w:color w:val="000000" w:themeColor="text1"/>
        </w:rPr>
        <w:t xml:space="preserve">LAEDC </w:t>
      </w:r>
      <w:r w:rsidRPr="006F7C82" w:rsidR="001A3621">
        <w:rPr>
          <w:rFonts w:eastAsia="Calibri"/>
          <w:color w:val="000000" w:themeColor="text1"/>
        </w:rPr>
        <w:t xml:space="preserve">recommends the Commission continue </w:t>
      </w:r>
      <w:r w:rsidRPr="006F7C82" w:rsidR="001E0A5F">
        <w:rPr>
          <w:rFonts w:eastAsia="Calibri"/>
          <w:color w:val="000000" w:themeColor="text1"/>
        </w:rPr>
        <w:t>the existing rules of not capping reimbursement</w:t>
      </w:r>
      <w:r w:rsidRPr="006F7C82" w:rsidR="00A1460A">
        <w:rPr>
          <w:rFonts w:eastAsia="Calibri"/>
          <w:color w:val="000000" w:themeColor="text1"/>
        </w:rPr>
        <w:t xml:space="preserve"> on eligible administrative costs, noting </w:t>
      </w:r>
      <w:r w:rsidRPr="006F7C82" w:rsidR="005833E0">
        <w:rPr>
          <w:rFonts w:eastAsia="Calibri"/>
          <w:color w:val="000000" w:themeColor="text1"/>
        </w:rPr>
        <w:t xml:space="preserve">this </w:t>
      </w:r>
      <w:r w:rsidRPr="006F7C82" w:rsidR="003824B7">
        <w:rPr>
          <w:rFonts w:eastAsia="Calibri"/>
          <w:color w:val="000000" w:themeColor="text1"/>
        </w:rPr>
        <w:t>could further constrain</w:t>
      </w:r>
      <w:r w:rsidRPr="006F7C82" w:rsidR="00364458">
        <w:rPr>
          <w:rFonts w:eastAsia="Calibri"/>
          <w:color w:val="000000" w:themeColor="text1"/>
        </w:rPr>
        <w:t xml:space="preserve"> CBO partners </w:t>
      </w:r>
      <w:r w:rsidRPr="006F7C82" w:rsidR="003966EA">
        <w:rPr>
          <w:rFonts w:eastAsia="Calibri"/>
          <w:color w:val="000000" w:themeColor="text1"/>
        </w:rPr>
        <w:t xml:space="preserve">whose resources are already </w:t>
      </w:r>
      <w:r w:rsidRPr="006F7C82" w:rsidR="003B7F85">
        <w:rPr>
          <w:rFonts w:eastAsia="Calibri"/>
          <w:color w:val="000000" w:themeColor="text1"/>
        </w:rPr>
        <w:t>constrained</w:t>
      </w:r>
      <w:r w:rsidRPr="006F7C82" w:rsidR="00F66BD7">
        <w:rPr>
          <w:rFonts w:eastAsia="Calibri"/>
          <w:color w:val="000000" w:themeColor="text1"/>
        </w:rPr>
        <w:t xml:space="preserve">. LAEDC also </w:t>
      </w:r>
      <w:r w:rsidRPr="006F7C82" w:rsidR="00D4297B">
        <w:rPr>
          <w:rFonts w:eastAsia="Calibri"/>
          <w:color w:val="000000" w:themeColor="text1"/>
        </w:rPr>
        <w:t>encourages the Commission to look to expand the scope of allowable activities,</w:t>
      </w:r>
      <w:r w:rsidRPr="006F7C82" w:rsidR="00B17CC1">
        <w:rPr>
          <w:rFonts w:eastAsia="Calibri"/>
          <w:color w:val="000000" w:themeColor="text1"/>
        </w:rPr>
        <w:t xml:space="preserve"> </w:t>
      </w:r>
      <w:r w:rsidRPr="006F7C82" w:rsidR="00161A9C">
        <w:rPr>
          <w:rFonts w:eastAsia="Calibri"/>
          <w:color w:val="000000" w:themeColor="text1"/>
        </w:rPr>
        <w:t>for instance to</w:t>
      </w:r>
      <w:r w:rsidRPr="006F7C82" w:rsidR="00C730AB">
        <w:rPr>
          <w:rFonts w:eastAsia="Calibri"/>
          <w:color w:val="000000" w:themeColor="text1"/>
        </w:rPr>
        <w:t xml:space="preserve"> development of marketing collaterals,</w:t>
      </w:r>
      <w:r w:rsidRPr="006F7C82" w:rsidR="00F209CE">
        <w:rPr>
          <w:rFonts w:eastAsia="Calibri"/>
          <w:color w:val="000000" w:themeColor="text1"/>
        </w:rPr>
        <w:t xml:space="preserve"> </w:t>
      </w:r>
      <w:r w:rsidRPr="006F7C82" w:rsidR="00A56B8F">
        <w:rPr>
          <w:rFonts w:eastAsia="Calibri"/>
          <w:color w:val="000000" w:themeColor="text1"/>
        </w:rPr>
        <w:t>incentive programs, and other activities to encourage participation.</w:t>
      </w:r>
      <w:r w:rsidRPr="006F7C82" w:rsidR="0099711D">
        <w:rPr>
          <w:rStyle w:val="FootnoteReference"/>
          <w:rFonts w:eastAsia="Calibri"/>
          <w:color w:val="000000" w:themeColor="text1"/>
        </w:rPr>
        <w:footnoteReference w:id="139"/>
      </w:r>
      <w:r w:rsidRPr="006F7C82" w:rsidR="00E81F66">
        <w:rPr>
          <w:rFonts w:eastAsia="Calibri"/>
          <w:color w:val="000000" w:themeColor="text1"/>
        </w:rPr>
        <w:t xml:space="preserve"> </w:t>
      </w:r>
      <w:r w:rsidRPr="006F7C82" w:rsidR="00A64E51">
        <w:rPr>
          <w:rFonts w:eastAsia="Calibri"/>
          <w:color w:val="000000" w:themeColor="text1"/>
        </w:rPr>
        <w:t>CETF repeats its recommendation</w:t>
      </w:r>
      <w:r w:rsidRPr="006F7C82" w:rsidR="00A478FE">
        <w:rPr>
          <w:rFonts w:eastAsia="Calibri"/>
          <w:color w:val="000000" w:themeColor="text1"/>
        </w:rPr>
        <w:t>s for performance-based grants, with a set amount per adoption and additional digital literacy training.</w:t>
      </w:r>
      <w:r w:rsidRPr="006F7C82" w:rsidR="0099711D">
        <w:rPr>
          <w:rStyle w:val="FootnoteReference"/>
          <w:rFonts w:eastAsia="Calibri"/>
          <w:color w:val="000000" w:themeColor="text1"/>
        </w:rPr>
        <w:footnoteReference w:id="140"/>
      </w:r>
      <w:r w:rsidRPr="006F7C82" w:rsidR="00A64E51">
        <w:rPr>
          <w:rFonts w:eastAsia="Calibri"/>
          <w:color w:val="000000" w:themeColor="text1"/>
        </w:rPr>
        <w:t xml:space="preserve"> </w:t>
      </w:r>
    </w:p>
    <w:p w:rsidRPr="006F7C82" w:rsidR="55E90BF0" w:rsidP="005A50F9" w:rsidRDefault="00BE2EDA" w14:paraId="26F8B0B6" w14:textId="549B9751">
      <w:pPr>
        <w:pStyle w:val="Standard"/>
        <w:rPr>
          <w:rFonts w:eastAsia="Calibri"/>
          <w:color w:val="000000" w:themeColor="text1"/>
          <w:szCs w:val="26"/>
        </w:rPr>
      </w:pPr>
      <w:r w:rsidRPr="006F7C82">
        <w:rPr>
          <w:rFonts w:eastAsia="Calibri"/>
          <w:color w:val="000000" w:themeColor="text1"/>
        </w:rPr>
        <w:t>The Commission finds it reasonable, and consistent with</w:t>
      </w:r>
      <w:r w:rsidRPr="006F7C82" w:rsidR="008F2640">
        <w:rPr>
          <w:rFonts w:eastAsia="Calibri"/>
          <w:color w:val="000000" w:themeColor="text1"/>
        </w:rPr>
        <w:t xml:space="preserve"> other CASF programs/accounts, to limit reimbursable administrative costs to 15 percent of total project costs.</w:t>
      </w:r>
      <w:r w:rsidRPr="006F7C82" w:rsidR="00EB0054">
        <w:rPr>
          <w:rFonts w:eastAsia="Calibri"/>
          <w:color w:val="000000" w:themeColor="text1"/>
        </w:rPr>
        <w:t xml:space="preserve"> This requirement is adopted as shown in Appendix 2.</w:t>
      </w:r>
      <w:r w:rsidRPr="006F7C82" w:rsidR="00F209CE">
        <w:rPr>
          <w:rFonts w:eastAsia="Calibri"/>
          <w:color w:val="000000" w:themeColor="text1"/>
        </w:rPr>
        <w:t xml:space="preserve"> </w:t>
      </w:r>
    </w:p>
    <w:p w:rsidRPr="006F7C82" w:rsidR="55E90BF0" w:rsidP="002A4088" w:rsidRDefault="55E90BF0" w14:paraId="0480A815" w14:textId="1A79DB4B">
      <w:pPr>
        <w:pStyle w:val="Heading2"/>
        <w:ind w:left="1080" w:hanging="720"/>
        <w:rPr>
          <w:color w:val="000000" w:themeColor="text1"/>
        </w:rPr>
      </w:pPr>
      <w:bookmarkStart w:name="_Toc100132368" w:id="26"/>
      <w:r w:rsidRPr="006F7C82">
        <w:rPr>
          <w:color w:val="000000" w:themeColor="text1"/>
        </w:rPr>
        <w:t>Payment Schedules</w:t>
      </w:r>
      <w:bookmarkEnd w:id="26"/>
    </w:p>
    <w:p w:rsidRPr="006F7C82" w:rsidR="55E90BF0" w:rsidP="55E90BF0" w:rsidRDefault="55E90BF0" w14:paraId="3AE027F7" w14:textId="247799A4">
      <w:pPr>
        <w:pStyle w:val="Standard"/>
        <w:rPr>
          <w:rFonts w:eastAsia="Calibri"/>
          <w:color w:val="000000" w:themeColor="text1"/>
          <w:szCs w:val="26"/>
        </w:rPr>
      </w:pPr>
      <w:r w:rsidRPr="006F7C82">
        <w:rPr>
          <w:rFonts w:eastAsia="Calibri"/>
          <w:color w:val="000000" w:themeColor="text1"/>
        </w:rPr>
        <w:t>Current Adoption Account rules tie project reimbursement to a reporting schedule that requires a Ramp Up report, a Year 1 report, and a Year 2 Completion Report.</w:t>
      </w:r>
      <w:r w:rsidRPr="006F7C82">
        <w:rPr>
          <w:rStyle w:val="FootnoteReference"/>
          <w:rFonts w:eastAsia="Calibri"/>
          <w:color w:val="000000" w:themeColor="text1"/>
        </w:rPr>
        <w:footnoteReference w:id="141"/>
      </w:r>
      <w:r w:rsidRPr="006F7C82" w:rsidR="00F209CE">
        <w:rPr>
          <w:rFonts w:eastAsia="Calibri"/>
          <w:color w:val="000000" w:themeColor="text1"/>
        </w:rPr>
        <w:t xml:space="preserve"> </w:t>
      </w:r>
      <w:r w:rsidRPr="006F7C82">
        <w:rPr>
          <w:rFonts w:eastAsia="Calibri"/>
          <w:color w:val="000000" w:themeColor="text1"/>
        </w:rPr>
        <w:t>The Second Amended Scoping Memo posed the following questions related to the timing of project reimbursements:</w:t>
      </w:r>
    </w:p>
    <w:p w:rsidRPr="00FF6FF3" w:rsidR="55E90BF0" w:rsidP="00FF6FF3" w:rsidRDefault="55E90BF0" w14:paraId="5CCB8066" w14:textId="64499EAC">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lastRenderedPageBreak/>
        <w:t>Should the Commission separate the reporting requirements referenced above from reimbursement timelines, as proposed in Section 1.14 of Appendix 2?</w:t>
      </w:r>
      <w:r w:rsidRPr="004C2B66" w:rsidR="00F209CE">
        <w:rPr>
          <w:rFonts w:eastAsia="Calibri"/>
          <w:i/>
          <w:iCs/>
          <w:color w:val="000000" w:themeColor="text1"/>
        </w:rPr>
        <w:t xml:space="preserve"> </w:t>
      </w:r>
      <w:r w:rsidRPr="004C2B66">
        <w:rPr>
          <w:rFonts w:eastAsia="Calibri"/>
          <w:i/>
          <w:iCs/>
          <w:color w:val="000000" w:themeColor="text1"/>
        </w:rPr>
        <w:t xml:space="preserve">That is, should grantees continue to be required to submit the reports tied to the calendar year schedule noted above </w:t>
      </w:r>
      <w:proofErr w:type="gramStart"/>
      <w:r w:rsidRPr="004C2B66">
        <w:rPr>
          <w:rFonts w:eastAsia="Calibri"/>
          <w:i/>
          <w:iCs/>
          <w:color w:val="000000" w:themeColor="text1"/>
        </w:rPr>
        <w:t>in order for</w:t>
      </w:r>
      <w:proofErr w:type="gramEnd"/>
      <w:r w:rsidRPr="004C2B66">
        <w:rPr>
          <w:rFonts w:eastAsia="Calibri"/>
          <w:i/>
          <w:iCs/>
          <w:color w:val="000000" w:themeColor="text1"/>
        </w:rPr>
        <w:t xml:space="preserve"> the Commission to ensure that projects are rolling out in a timely fashion, while being allowed to submit requests for reimbursement of already-incurred costs outside of the reporting cycle, totaling no more than three requests for reimbursement in total?</w:t>
      </w:r>
    </w:p>
    <w:p w:rsidRPr="00FF6FF3" w:rsidR="55E90BF0" w:rsidP="00FF6FF3" w:rsidRDefault="55E90BF0" w14:paraId="67215A59" w14:textId="2C105B30">
      <w:pPr>
        <w:pStyle w:val="Standard"/>
        <w:numPr>
          <w:ilvl w:val="0"/>
          <w:numId w:val="5"/>
        </w:numPr>
        <w:spacing w:after="120" w:line="240" w:lineRule="auto"/>
        <w:ind w:left="1080" w:right="1440"/>
        <w:rPr>
          <w:rFonts w:eastAsia="Calibri"/>
          <w:i/>
          <w:iCs/>
          <w:color w:val="000000" w:themeColor="text1"/>
        </w:rPr>
      </w:pPr>
      <w:r w:rsidRPr="002A4088">
        <w:rPr>
          <w:rFonts w:eastAsia="Calibri"/>
          <w:i/>
          <w:iCs/>
          <w:color w:val="000000" w:themeColor="text1"/>
        </w:rPr>
        <w:t>Does the proposed revised payment scheme allow programs sufficient flexibility to request reimbursement when needed?</w:t>
      </w:r>
      <w:r w:rsidRPr="002A4088" w:rsidR="00F209CE">
        <w:rPr>
          <w:rFonts w:eastAsia="Calibri"/>
          <w:i/>
          <w:iCs/>
          <w:color w:val="000000" w:themeColor="text1"/>
        </w:rPr>
        <w:t xml:space="preserve"> </w:t>
      </w:r>
      <w:r w:rsidRPr="002A4088">
        <w:rPr>
          <w:rFonts w:eastAsia="Calibri"/>
          <w:i/>
          <w:iCs/>
          <w:color w:val="000000" w:themeColor="text1"/>
        </w:rPr>
        <w:t>Does the proposed revised payment procedure retain sufficient safeguards to ensure Adoption projects are implemented in a timely fashion and according to their respective authorized budgets?</w:t>
      </w:r>
    </w:p>
    <w:p w:rsidRPr="006F7C82" w:rsidR="004B3ECF" w:rsidP="00146B42" w:rsidRDefault="00653F02" w14:paraId="39990969" w14:textId="0B9B03DA">
      <w:pPr>
        <w:pStyle w:val="Standard"/>
        <w:rPr>
          <w:rFonts w:eastAsia="Calibri"/>
          <w:color w:val="000000" w:themeColor="text1"/>
        </w:rPr>
      </w:pPr>
      <w:r w:rsidRPr="006F7C82">
        <w:rPr>
          <w:rFonts w:eastAsia="Calibri"/>
          <w:color w:val="000000" w:themeColor="text1"/>
        </w:rPr>
        <w:t xml:space="preserve">LAEDC </w:t>
      </w:r>
      <w:r w:rsidRPr="006F7C82" w:rsidR="00FD4FFF">
        <w:rPr>
          <w:rFonts w:eastAsia="Calibri"/>
          <w:color w:val="000000" w:themeColor="text1"/>
        </w:rPr>
        <w:t xml:space="preserve">advocates generally for </w:t>
      </w:r>
      <w:r w:rsidRPr="006F7C82" w:rsidR="003D1DDE">
        <w:rPr>
          <w:rFonts w:eastAsia="Calibri"/>
          <w:color w:val="000000" w:themeColor="text1"/>
        </w:rPr>
        <w:t xml:space="preserve">flexibility to request reimbursement </w:t>
      </w:r>
      <w:r w:rsidRPr="006F7C82" w:rsidR="00CC1072">
        <w:rPr>
          <w:rFonts w:eastAsia="Calibri"/>
          <w:color w:val="000000" w:themeColor="text1"/>
        </w:rPr>
        <w:t xml:space="preserve">when needed, and </w:t>
      </w:r>
      <w:r w:rsidRPr="006F7C82" w:rsidR="00087004">
        <w:rPr>
          <w:rFonts w:eastAsia="Calibri"/>
          <w:color w:val="000000" w:themeColor="text1"/>
        </w:rPr>
        <w:t xml:space="preserve">supports separating the reporting requirements from reimbursement timelines, </w:t>
      </w:r>
      <w:r w:rsidRPr="006F7C82" w:rsidR="00A66C3C">
        <w:rPr>
          <w:rFonts w:eastAsia="Calibri"/>
          <w:color w:val="000000" w:themeColor="text1"/>
        </w:rPr>
        <w:t xml:space="preserve">and further </w:t>
      </w:r>
      <w:r w:rsidRPr="006F7C82" w:rsidR="006F067C">
        <w:rPr>
          <w:rFonts w:eastAsia="Calibri"/>
          <w:color w:val="000000" w:themeColor="text1"/>
        </w:rPr>
        <w:t xml:space="preserve">to prioritize advanced payments </w:t>
      </w:r>
      <w:r w:rsidRPr="006F7C82" w:rsidR="00B203FD">
        <w:rPr>
          <w:rFonts w:eastAsia="Calibri"/>
          <w:color w:val="000000" w:themeColor="text1"/>
        </w:rPr>
        <w:t>over reimbursement of costs</w:t>
      </w:r>
      <w:r w:rsidRPr="006F7C82" w:rsidR="009C36C1">
        <w:rPr>
          <w:rFonts w:eastAsia="Calibri"/>
          <w:color w:val="000000" w:themeColor="text1"/>
        </w:rPr>
        <w:t xml:space="preserve">, which would encourage more CBOs </w:t>
      </w:r>
      <w:r w:rsidRPr="006F7C82" w:rsidR="00C878D8">
        <w:rPr>
          <w:rFonts w:eastAsia="Calibri"/>
          <w:color w:val="000000" w:themeColor="text1"/>
        </w:rPr>
        <w:t>to par</w:t>
      </w:r>
      <w:r w:rsidRPr="006F7C82" w:rsidR="00623419">
        <w:rPr>
          <w:rFonts w:eastAsia="Calibri"/>
          <w:color w:val="000000" w:themeColor="text1"/>
        </w:rPr>
        <w:t>ticipate.</w:t>
      </w:r>
      <w:r w:rsidRPr="006F7C82" w:rsidR="00466863">
        <w:rPr>
          <w:rStyle w:val="FootnoteReference"/>
          <w:rFonts w:eastAsia="Calibri"/>
          <w:color w:val="000000" w:themeColor="text1"/>
        </w:rPr>
        <w:footnoteReference w:id="142"/>
      </w:r>
      <w:r w:rsidRPr="006F7C82" w:rsidR="00623419">
        <w:rPr>
          <w:rFonts w:eastAsia="Calibri"/>
          <w:color w:val="000000" w:themeColor="text1"/>
        </w:rPr>
        <w:t xml:space="preserve"> </w:t>
      </w:r>
      <w:r w:rsidRPr="006F7C82" w:rsidR="004E32E8">
        <w:rPr>
          <w:rFonts w:eastAsia="Calibri"/>
          <w:color w:val="000000" w:themeColor="text1"/>
        </w:rPr>
        <w:t xml:space="preserve">NDC </w:t>
      </w:r>
      <w:r w:rsidRPr="006F7C82" w:rsidR="002C0FF3">
        <w:rPr>
          <w:rFonts w:eastAsia="Calibri"/>
          <w:color w:val="000000" w:themeColor="text1"/>
        </w:rPr>
        <w:t xml:space="preserve">identifies several concerns with the proposed language in Appendix 2, most notably the </w:t>
      </w:r>
      <w:r w:rsidRPr="006F7C82" w:rsidR="0018354E">
        <w:rPr>
          <w:rFonts w:eastAsia="Calibri"/>
          <w:color w:val="000000" w:themeColor="text1"/>
        </w:rPr>
        <w:t>limit of three payment requests</w:t>
      </w:r>
      <w:r w:rsidRPr="006F7C82" w:rsidR="004D4CD3">
        <w:rPr>
          <w:rFonts w:eastAsia="Calibri"/>
          <w:color w:val="000000" w:themeColor="text1"/>
        </w:rPr>
        <w:t xml:space="preserve"> and </w:t>
      </w:r>
      <w:r w:rsidRPr="006F7C82" w:rsidR="00DF5C0F">
        <w:rPr>
          <w:rFonts w:eastAsia="Calibri"/>
          <w:color w:val="000000" w:themeColor="text1"/>
        </w:rPr>
        <w:t xml:space="preserve">the apparent </w:t>
      </w:r>
      <w:r w:rsidRPr="006F7C82" w:rsidR="00614235">
        <w:rPr>
          <w:rFonts w:eastAsia="Calibri"/>
          <w:color w:val="000000" w:themeColor="text1"/>
        </w:rPr>
        <w:t>requir</w:t>
      </w:r>
      <w:r w:rsidRPr="006F7C82" w:rsidR="00DF5C0F">
        <w:rPr>
          <w:rFonts w:eastAsia="Calibri"/>
          <w:color w:val="000000" w:themeColor="text1"/>
        </w:rPr>
        <w:t>ement for</w:t>
      </w:r>
      <w:r w:rsidRPr="006F7C82" w:rsidR="00614235">
        <w:rPr>
          <w:rFonts w:eastAsia="Calibri"/>
          <w:color w:val="000000" w:themeColor="text1"/>
        </w:rPr>
        <w:t xml:space="preserve"> payment requests to </w:t>
      </w:r>
      <w:r w:rsidRPr="006F7C82" w:rsidR="005C4335">
        <w:rPr>
          <w:rFonts w:eastAsia="Calibri"/>
          <w:color w:val="000000" w:themeColor="text1"/>
        </w:rPr>
        <w:t xml:space="preserve">accompany the </w:t>
      </w:r>
      <w:r w:rsidRPr="006F7C82" w:rsidR="008A6C78">
        <w:rPr>
          <w:rFonts w:eastAsia="Calibri"/>
          <w:color w:val="000000" w:themeColor="text1"/>
        </w:rPr>
        <w:t xml:space="preserve">required reports, which would </w:t>
      </w:r>
      <w:r w:rsidRPr="006F7C82" w:rsidR="005B3F59">
        <w:rPr>
          <w:rFonts w:eastAsia="Calibri"/>
          <w:color w:val="000000" w:themeColor="text1"/>
        </w:rPr>
        <w:t xml:space="preserve">require carriers to carry costs for </w:t>
      </w:r>
      <w:r w:rsidRPr="006F7C82" w:rsidR="00146B42">
        <w:rPr>
          <w:rFonts w:eastAsia="Calibri"/>
          <w:color w:val="000000" w:themeColor="text1"/>
        </w:rPr>
        <w:t xml:space="preserve">six to </w:t>
      </w:r>
      <w:r w:rsidR="00C73029">
        <w:rPr>
          <w:rFonts w:eastAsia="Calibri"/>
          <w:color w:val="000000" w:themeColor="text1"/>
        </w:rPr>
        <w:t>twelve</w:t>
      </w:r>
      <w:r w:rsidRPr="006F7C82" w:rsidR="00146B42">
        <w:rPr>
          <w:rFonts w:eastAsia="Calibri"/>
          <w:color w:val="000000" w:themeColor="text1"/>
        </w:rPr>
        <w:t xml:space="preserve"> months. NDC agrees that </w:t>
      </w:r>
      <w:r w:rsidRPr="006F7C82" w:rsidR="00FE26DF">
        <w:rPr>
          <w:rFonts w:eastAsia="Calibri"/>
          <w:color w:val="000000" w:themeColor="text1"/>
        </w:rPr>
        <w:t xml:space="preserve">payment requests should </w:t>
      </w:r>
      <w:r w:rsidRPr="006F7C82" w:rsidR="008C33B9">
        <w:rPr>
          <w:rFonts w:eastAsia="Calibri"/>
          <w:color w:val="000000" w:themeColor="text1"/>
        </w:rPr>
        <w:t xml:space="preserve">not be required </w:t>
      </w:r>
      <w:r w:rsidRPr="006F7C82" w:rsidR="00A07EBC">
        <w:rPr>
          <w:rFonts w:eastAsia="Calibri"/>
          <w:color w:val="000000" w:themeColor="text1"/>
        </w:rPr>
        <w:t xml:space="preserve">to accompany the calendar year reports, but instead, should </w:t>
      </w:r>
      <w:r w:rsidRPr="006F7C82" w:rsidR="00E9772C">
        <w:rPr>
          <w:rFonts w:eastAsia="Calibri"/>
          <w:color w:val="000000" w:themeColor="text1"/>
        </w:rPr>
        <w:t xml:space="preserve">be limited to once </w:t>
      </w:r>
      <w:r w:rsidRPr="006F7C82" w:rsidR="0050763E">
        <w:rPr>
          <w:rFonts w:eastAsia="Calibri"/>
          <w:color w:val="000000" w:themeColor="text1"/>
        </w:rPr>
        <w:t xml:space="preserve">(or one request) </w:t>
      </w:r>
      <w:r w:rsidRPr="006F7C82" w:rsidR="00E9772C">
        <w:rPr>
          <w:rFonts w:eastAsia="Calibri"/>
          <w:color w:val="000000" w:themeColor="text1"/>
        </w:rPr>
        <w:t>every three months</w:t>
      </w:r>
      <w:r w:rsidRPr="006F7C82" w:rsidR="0050763E">
        <w:rPr>
          <w:rFonts w:eastAsia="Calibri"/>
          <w:color w:val="000000" w:themeColor="text1"/>
        </w:rPr>
        <w:t>.</w:t>
      </w:r>
      <w:r w:rsidRPr="006F7C82" w:rsidR="007F5A9A">
        <w:rPr>
          <w:rStyle w:val="FootnoteReference"/>
          <w:rFonts w:eastAsia="Calibri"/>
          <w:color w:val="000000" w:themeColor="text1"/>
        </w:rPr>
        <w:footnoteReference w:id="143"/>
      </w:r>
    </w:p>
    <w:p w:rsidRPr="006F7C82" w:rsidR="00E91AE9" w:rsidP="00146B42" w:rsidRDefault="00E91AE9" w14:paraId="45F8AB85" w14:textId="29470C29">
      <w:pPr>
        <w:pStyle w:val="Standard"/>
        <w:rPr>
          <w:rFonts w:eastAsia="Calibri"/>
          <w:color w:val="000000" w:themeColor="text1"/>
          <w:szCs w:val="26"/>
        </w:rPr>
      </w:pPr>
      <w:r w:rsidRPr="006F7C82">
        <w:rPr>
          <w:rFonts w:eastAsia="Calibri"/>
          <w:color w:val="000000" w:themeColor="text1"/>
        </w:rPr>
        <w:t xml:space="preserve">CETF </w:t>
      </w:r>
      <w:r w:rsidRPr="006F7C82" w:rsidR="009B26AE">
        <w:rPr>
          <w:rFonts w:eastAsia="Calibri"/>
          <w:color w:val="000000" w:themeColor="text1"/>
        </w:rPr>
        <w:t xml:space="preserve">asserts the current </w:t>
      </w:r>
      <w:r w:rsidRPr="006F7C82" w:rsidR="00AD0690">
        <w:rPr>
          <w:rFonts w:eastAsia="Calibri"/>
          <w:color w:val="000000" w:themeColor="text1"/>
        </w:rPr>
        <w:t xml:space="preserve">payment framework, which is based on reimbursement of </w:t>
      </w:r>
      <w:r w:rsidRPr="006F7C82" w:rsidR="0078666F">
        <w:rPr>
          <w:rFonts w:eastAsia="Calibri"/>
          <w:color w:val="000000" w:themeColor="text1"/>
        </w:rPr>
        <w:t>incurred expenses</w:t>
      </w:r>
      <w:r w:rsidRPr="006F7C82" w:rsidR="00203FFA">
        <w:rPr>
          <w:rFonts w:eastAsia="Calibri"/>
          <w:color w:val="000000" w:themeColor="text1"/>
        </w:rPr>
        <w:t xml:space="preserve">, is </w:t>
      </w:r>
      <w:r w:rsidRPr="006F7C82" w:rsidR="00971BDF">
        <w:rPr>
          <w:rFonts w:eastAsia="Calibri"/>
          <w:color w:val="000000" w:themeColor="text1"/>
        </w:rPr>
        <w:t xml:space="preserve">too infrequent and </w:t>
      </w:r>
      <w:r w:rsidRPr="006F7C82" w:rsidR="00876597">
        <w:rPr>
          <w:rFonts w:eastAsia="Calibri"/>
          <w:color w:val="000000" w:themeColor="text1"/>
        </w:rPr>
        <w:t xml:space="preserve">the Commission should consider </w:t>
      </w:r>
      <w:r w:rsidRPr="006F7C82" w:rsidR="004E4023">
        <w:rPr>
          <w:rFonts w:eastAsia="Calibri"/>
          <w:color w:val="000000" w:themeColor="text1"/>
        </w:rPr>
        <w:t xml:space="preserve">implementing </w:t>
      </w:r>
      <w:r w:rsidRPr="006F7C82" w:rsidR="009F330C">
        <w:rPr>
          <w:rFonts w:eastAsia="Calibri"/>
          <w:color w:val="000000" w:themeColor="text1"/>
        </w:rPr>
        <w:t>a monthly or quarterly payment schedule</w:t>
      </w:r>
      <w:r w:rsidRPr="006F7C82" w:rsidR="00D85075">
        <w:rPr>
          <w:rFonts w:eastAsia="Calibri"/>
          <w:color w:val="000000" w:themeColor="text1"/>
        </w:rPr>
        <w:t xml:space="preserve"> as </w:t>
      </w:r>
      <w:r w:rsidRPr="006F7C82" w:rsidR="006832B6">
        <w:rPr>
          <w:rFonts w:eastAsia="Calibri"/>
          <w:color w:val="000000" w:themeColor="text1"/>
        </w:rPr>
        <w:lastRenderedPageBreak/>
        <w:t xml:space="preserve">immediately as possible. </w:t>
      </w:r>
      <w:r w:rsidRPr="006F7C82" w:rsidR="007E19F6">
        <w:rPr>
          <w:rFonts w:eastAsia="Calibri"/>
          <w:color w:val="000000" w:themeColor="text1"/>
        </w:rPr>
        <w:t xml:space="preserve">More generally, </w:t>
      </w:r>
      <w:r w:rsidRPr="006F7C82" w:rsidR="00340814">
        <w:rPr>
          <w:rFonts w:eastAsia="Calibri"/>
          <w:color w:val="000000" w:themeColor="text1"/>
        </w:rPr>
        <w:t xml:space="preserve">CETF asserts even the proposed </w:t>
      </w:r>
      <w:r w:rsidRPr="006F7C82" w:rsidR="00937819">
        <w:rPr>
          <w:rFonts w:eastAsia="Calibri"/>
          <w:color w:val="000000" w:themeColor="text1"/>
        </w:rPr>
        <w:t xml:space="preserve">revisions are </w:t>
      </w:r>
      <w:r w:rsidRPr="006F7C82" w:rsidR="00203FFA">
        <w:rPr>
          <w:rFonts w:eastAsia="Calibri"/>
          <w:color w:val="000000" w:themeColor="text1"/>
        </w:rPr>
        <w:t xml:space="preserve">unworkable </w:t>
      </w:r>
      <w:r w:rsidRPr="006F7C82" w:rsidR="00645D8C">
        <w:rPr>
          <w:rFonts w:eastAsia="Calibri"/>
          <w:color w:val="000000" w:themeColor="text1"/>
        </w:rPr>
        <w:t xml:space="preserve">and </w:t>
      </w:r>
      <w:r w:rsidRPr="006F7C82" w:rsidR="00941AF4">
        <w:rPr>
          <w:rFonts w:eastAsia="Calibri"/>
          <w:color w:val="000000" w:themeColor="text1"/>
        </w:rPr>
        <w:t xml:space="preserve">the Commission </w:t>
      </w:r>
      <w:r w:rsidRPr="006F7C82" w:rsidR="00645D8C">
        <w:rPr>
          <w:rFonts w:eastAsia="Calibri"/>
          <w:color w:val="000000" w:themeColor="text1"/>
        </w:rPr>
        <w:t xml:space="preserve">should </w:t>
      </w:r>
      <w:r w:rsidRPr="006F7C82" w:rsidR="00941AF4">
        <w:rPr>
          <w:rFonts w:eastAsia="Calibri"/>
          <w:color w:val="000000" w:themeColor="text1"/>
        </w:rPr>
        <w:t>instead move to a</w:t>
      </w:r>
      <w:r w:rsidRPr="006F7C82" w:rsidR="001812C7">
        <w:rPr>
          <w:rFonts w:eastAsia="Calibri"/>
          <w:color w:val="000000" w:themeColor="text1"/>
        </w:rPr>
        <w:t xml:space="preserve"> performance</w:t>
      </w:r>
      <w:r w:rsidRPr="006F7C82" w:rsidR="00941AF4">
        <w:rPr>
          <w:rFonts w:eastAsia="Calibri"/>
          <w:color w:val="000000" w:themeColor="text1"/>
        </w:rPr>
        <w:t>-based approach for paying grantees</w:t>
      </w:r>
      <w:r w:rsidRPr="006F7C82" w:rsidR="00C43D64">
        <w:rPr>
          <w:rFonts w:eastAsia="Calibri"/>
          <w:color w:val="000000" w:themeColor="text1"/>
        </w:rPr>
        <w:t xml:space="preserve">, </w:t>
      </w:r>
      <w:r w:rsidRPr="006F7C82" w:rsidR="00C94169">
        <w:rPr>
          <w:rFonts w:eastAsia="Calibri"/>
          <w:color w:val="000000" w:themeColor="text1"/>
        </w:rPr>
        <w:t xml:space="preserve">i.e., a set amount per </w:t>
      </w:r>
      <w:r w:rsidRPr="006F7C82" w:rsidR="00E8686C">
        <w:rPr>
          <w:rFonts w:eastAsia="Calibri"/>
          <w:color w:val="000000" w:themeColor="text1"/>
        </w:rPr>
        <w:t>adoption achieved.</w:t>
      </w:r>
      <w:r w:rsidRPr="006F7C82" w:rsidR="007533B1">
        <w:rPr>
          <w:rFonts w:eastAsia="Calibri"/>
          <w:color w:val="000000" w:themeColor="text1"/>
        </w:rPr>
        <w:t xml:space="preserve"> CETF urges the Commission to convene </w:t>
      </w:r>
      <w:r w:rsidRPr="006F7C82" w:rsidR="002C738F">
        <w:rPr>
          <w:rFonts w:eastAsia="Calibri"/>
          <w:color w:val="000000" w:themeColor="text1"/>
        </w:rPr>
        <w:t xml:space="preserve">current and past grantees to </w:t>
      </w:r>
      <w:r w:rsidRPr="006F7C82" w:rsidR="00B43AF5">
        <w:rPr>
          <w:rFonts w:eastAsia="Calibri"/>
          <w:color w:val="000000" w:themeColor="text1"/>
        </w:rPr>
        <w:t xml:space="preserve">receive direct feedback on </w:t>
      </w:r>
      <w:r w:rsidRPr="006F7C82" w:rsidR="00442A95">
        <w:rPr>
          <w:rFonts w:eastAsia="Calibri"/>
          <w:color w:val="000000" w:themeColor="text1"/>
        </w:rPr>
        <w:t>the current payment schedule.</w:t>
      </w:r>
      <w:r w:rsidRPr="006F7C82" w:rsidR="008A6259">
        <w:rPr>
          <w:rStyle w:val="FootnoteReference"/>
          <w:rFonts w:eastAsia="Calibri"/>
          <w:color w:val="000000" w:themeColor="text1"/>
          <w:szCs w:val="26"/>
        </w:rPr>
        <w:footnoteReference w:id="144"/>
      </w:r>
    </w:p>
    <w:p w:rsidRPr="006F7C82" w:rsidR="003C2991" w:rsidP="00146B42" w:rsidRDefault="003C2991" w14:paraId="1BBF42CB" w14:textId="0E7FEAA0">
      <w:pPr>
        <w:pStyle w:val="Standard"/>
        <w:rPr>
          <w:rFonts w:eastAsia="Calibri"/>
          <w:color w:val="000000" w:themeColor="text1"/>
          <w:szCs w:val="26"/>
        </w:rPr>
      </w:pPr>
      <w:r w:rsidRPr="006F7C82">
        <w:rPr>
          <w:rFonts w:eastAsia="Calibri"/>
          <w:color w:val="000000" w:themeColor="text1"/>
        </w:rPr>
        <w:t xml:space="preserve">IERBC expresses similar </w:t>
      </w:r>
      <w:r w:rsidRPr="006F7C82" w:rsidR="00CA3B76">
        <w:rPr>
          <w:rFonts w:eastAsia="Calibri"/>
          <w:color w:val="000000" w:themeColor="text1"/>
        </w:rPr>
        <w:t xml:space="preserve">concerns with the current payment framework, </w:t>
      </w:r>
      <w:r w:rsidRPr="006F7C82" w:rsidR="00B82983">
        <w:rPr>
          <w:rFonts w:eastAsia="Calibri"/>
          <w:color w:val="000000" w:themeColor="text1"/>
        </w:rPr>
        <w:t>stress</w:t>
      </w:r>
      <w:r w:rsidRPr="006F7C82" w:rsidR="00EF1A7F">
        <w:rPr>
          <w:rFonts w:eastAsia="Calibri"/>
          <w:color w:val="000000" w:themeColor="text1"/>
        </w:rPr>
        <w:t>ing</w:t>
      </w:r>
      <w:r w:rsidRPr="006F7C82" w:rsidR="00B82983">
        <w:rPr>
          <w:rFonts w:eastAsia="Calibri"/>
          <w:color w:val="000000" w:themeColor="text1"/>
        </w:rPr>
        <w:t xml:space="preserve"> the significant challenge the current payment framework poses to non</w:t>
      </w:r>
      <w:r w:rsidR="00F90D7B">
        <w:rPr>
          <w:rFonts w:eastAsia="Calibri"/>
          <w:color w:val="000000" w:themeColor="text1"/>
        </w:rPr>
        <w:noBreakHyphen/>
      </w:r>
      <w:r w:rsidRPr="006F7C82" w:rsidR="00B82983">
        <w:rPr>
          <w:rFonts w:eastAsia="Calibri"/>
          <w:color w:val="000000" w:themeColor="text1"/>
        </w:rPr>
        <w:t xml:space="preserve">profit organizations working in disadvantaged, low-income communities to cover the cash flow needed for these types of projects, </w:t>
      </w:r>
      <w:r w:rsidRPr="006F7C82" w:rsidR="00CA3B76">
        <w:rPr>
          <w:rFonts w:eastAsia="Calibri"/>
          <w:color w:val="000000" w:themeColor="text1"/>
        </w:rPr>
        <w:t xml:space="preserve">and asks the Commission to advance 50 to 80 percent </w:t>
      </w:r>
      <w:r w:rsidRPr="006F7C82" w:rsidR="008D2491">
        <w:rPr>
          <w:rFonts w:eastAsia="Calibri"/>
          <w:color w:val="000000" w:themeColor="text1"/>
        </w:rPr>
        <w:t xml:space="preserve">of funding and use reporting to show what the funds were spent on, and then </w:t>
      </w:r>
      <w:r w:rsidRPr="006F7C82" w:rsidR="005A34B2">
        <w:rPr>
          <w:rFonts w:eastAsia="Calibri"/>
          <w:color w:val="000000" w:themeColor="text1"/>
        </w:rPr>
        <w:t>allow quarterly payment requests as needed</w:t>
      </w:r>
      <w:r w:rsidRPr="006F7C82" w:rsidR="00835C2B">
        <w:rPr>
          <w:rFonts w:eastAsia="Calibri"/>
          <w:color w:val="000000" w:themeColor="text1"/>
        </w:rPr>
        <w:t>.</w:t>
      </w:r>
      <w:r w:rsidRPr="006F7C82" w:rsidR="000E0933">
        <w:rPr>
          <w:rStyle w:val="FootnoteReference"/>
          <w:rFonts w:eastAsia="Calibri"/>
          <w:color w:val="000000" w:themeColor="text1"/>
          <w:szCs w:val="26"/>
        </w:rPr>
        <w:footnoteReference w:id="145"/>
      </w:r>
    </w:p>
    <w:p w:rsidRPr="006F7C82" w:rsidR="55E90BF0" w:rsidP="002A4088" w:rsidRDefault="6B7B6B3F" w14:paraId="284C6B95" w14:textId="0A870B25">
      <w:pPr>
        <w:pStyle w:val="Standard"/>
        <w:rPr>
          <w:rFonts w:eastAsia="Calibri"/>
          <w:color w:val="000000" w:themeColor="text1"/>
          <w:szCs w:val="26"/>
        </w:rPr>
      </w:pPr>
      <w:r w:rsidRPr="006F7C82">
        <w:rPr>
          <w:rFonts w:eastAsia="Calibri"/>
          <w:color w:val="000000" w:themeColor="text1"/>
        </w:rPr>
        <w:t xml:space="preserve">The Commission acknowledges party comments </w:t>
      </w:r>
      <w:r w:rsidRPr="006F7C82" w:rsidR="71B14420">
        <w:rPr>
          <w:rFonts w:eastAsia="Calibri"/>
          <w:color w:val="000000" w:themeColor="text1"/>
        </w:rPr>
        <w:t>asking for greater flexibility, including</w:t>
      </w:r>
      <w:r w:rsidRPr="006F7C82" w:rsidR="6FF4861D">
        <w:rPr>
          <w:rFonts w:eastAsia="Calibri"/>
          <w:color w:val="000000" w:themeColor="text1"/>
        </w:rPr>
        <w:t xml:space="preserve"> requests for base funding and/or advance payments</w:t>
      </w:r>
      <w:r w:rsidRPr="006F7C82" w:rsidR="47C5D16D">
        <w:rPr>
          <w:rFonts w:eastAsia="Calibri"/>
          <w:color w:val="000000" w:themeColor="text1"/>
        </w:rPr>
        <w:t>, but must</w:t>
      </w:r>
      <w:r w:rsidRPr="006F7C82" w:rsidR="6FF4861D">
        <w:rPr>
          <w:rFonts w:eastAsia="Calibri"/>
          <w:color w:val="000000" w:themeColor="text1"/>
        </w:rPr>
        <w:t xml:space="preserve"> </w:t>
      </w:r>
      <w:r w:rsidRPr="006F7C82" w:rsidR="47C5D16D">
        <w:rPr>
          <w:rFonts w:eastAsia="Calibri"/>
          <w:color w:val="000000" w:themeColor="text1"/>
        </w:rPr>
        <w:t>execute the role of disbursing public funds responsibly</w:t>
      </w:r>
      <w:r w:rsidRPr="006F7C82" w:rsidR="7B35E447">
        <w:rPr>
          <w:rFonts w:eastAsia="Calibri"/>
          <w:color w:val="000000" w:themeColor="text1"/>
        </w:rPr>
        <w:t xml:space="preserve"> and </w:t>
      </w:r>
      <w:r w:rsidRPr="006F7C82" w:rsidR="09483B20">
        <w:rPr>
          <w:rFonts w:eastAsia="Calibri"/>
          <w:color w:val="000000" w:themeColor="text1"/>
        </w:rPr>
        <w:t xml:space="preserve">seek to </w:t>
      </w:r>
      <w:r w:rsidRPr="006F7C82" w:rsidR="1ABC5400">
        <w:rPr>
          <w:rFonts w:eastAsia="Calibri"/>
          <w:color w:val="000000" w:themeColor="text1"/>
        </w:rPr>
        <w:t xml:space="preserve">optimize administrative burdens between grantees and </w:t>
      </w:r>
      <w:r w:rsidRPr="006F7C82" w:rsidR="47AF1AA8">
        <w:rPr>
          <w:rFonts w:eastAsia="Calibri"/>
          <w:color w:val="000000" w:themeColor="text1"/>
        </w:rPr>
        <w:t xml:space="preserve">Commission staff </w:t>
      </w:r>
      <w:r w:rsidRPr="006F7C82" w:rsidR="1ECA05FB">
        <w:rPr>
          <w:rFonts w:eastAsia="Calibri"/>
          <w:color w:val="000000" w:themeColor="text1"/>
        </w:rPr>
        <w:t xml:space="preserve">who are </w:t>
      </w:r>
      <w:r w:rsidRPr="006F7C82" w:rsidR="47AF1AA8">
        <w:rPr>
          <w:rFonts w:eastAsia="Calibri"/>
          <w:color w:val="000000" w:themeColor="text1"/>
        </w:rPr>
        <w:t xml:space="preserve">responsible for overseeing </w:t>
      </w:r>
      <w:r w:rsidRPr="006F7C82" w:rsidR="688AB7C4">
        <w:rPr>
          <w:rFonts w:eastAsia="Calibri"/>
          <w:color w:val="000000" w:themeColor="text1"/>
        </w:rPr>
        <w:t>funds disbursement and processing each request for payment</w:t>
      </w:r>
      <w:r w:rsidRPr="006F7C82" w:rsidR="03BC0ABD">
        <w:rPr>
          <w:rFonts w:eastAsia="Calibri"/>
          <w:color w:val="000000" w:themeColor="text1"/>
        </w:rPr>
        <w:t xml:space="preserve">. </w:t>
      </w:r>
      <w:r w:rsidRPr="006F7C82" w:rsidR="4855C2A9">
        <w:rPr>
          <w:rFonts w:eastAsia="Calibri"/>
          <w:color w:val="000000" w:themeColor="text1"/>
        </w:rPr>
        <w:t xml:space="preserve">We </w:t>
      </w:r>
      <w:r w:rsidRPr="006F7C82" w:rsidR="6C1268AE">
        <w:rPr>
          <w:rFonts w:eastAsia="Calibri"/>
          <w:color w:val="000000" w:themeColor="text1"/>
        </w:rPr>
        <w:t xml:space="preserve">aim to increase flexibility where it is feasible to do so in the near term, </w:t>
      </w:r>
      <w:proofErr w:type="gramStart"/>
      <w:r w:rsidRPr="006F7C82" w:rsidR="6C1268AE">
        <w:rPr>
          <w:rFonts w:eastAsia="Calibri"/>
          <w:color w:val="000000" w:themeColor="text1"/>
        </w:rPr>
        <w:t>in order to</w:t>
      </w:r>
      <w:proofErr w:type="gramEnd"/>
      <w:r w:rsidRPr="006F7C82" w:rsidR="6C1268AE">
        <w:rPr>
          <w:rFonts w:eastAsia="Calibri"/>
          <w:color w:val="000000" w:themeColor="text1"/>
        </w:rPr>
        <w:t xml:space="preserve"> begin accepting new applications; this includes </w:t>
      </w:r>
      <w:r w:rsidRPr="006F7C82" w:rsidR="17A983A5">
        <w:rPr>
          <w:rFonts w:eastAsia="Calibri"/>
          <w:color w:val="000000" w:themeColor="text1"/>
        </w:rPr>
        <w:t>separat</w:t>
      </w:r>
      <w:r w:rsidRPr="006F7C82" w:rsidR="6C1268AE">
        <w:rPr>
          <w:rFonts w:eastAsia="Calibri"/>
          <w:color w:val="000000" w:themeColor="text1"/>
        </w:rPr>
        <w:t>ing</w:t>
      </w:r>
      <w:r w:rsidRPr="006F7C82" w:rsidR="17A983A5">
        <w:rPr>
          <w:rFonts w:eastAsia="Calibri"/>
          <w:color w:val="000000" w:themeColor="text1"/>
        </w:rPr>
        <w:t xml:space="preserve"> reporting requirements from payment requests</w:t>
      </w:r>
      <w:r w:rsidRPr="006F7C82" w:rsidR="4DD343A3">
        <w:rPr>
          <w:rFonts w:eastAsia="Calibri"/>
          <w:color w:val="000000" w:themeColor="text1"/>
        </w:rPr>
        <w:t xml:space="preserve">. </w:t>
      </w:r>
      <w:r w:rsidRPr="006F7C82" w:rsidR="3F7B4899">
        <w:rPr>
          <w:rFonts w:eastAsia="Calibri"/>
          <w:color w:val="000000" w:themeColor="text1"/>
        </w:rPr>
        <w:t>Therefore,</w:t>
      </w:r>
      <w:r w:rsidRPr="006F7C82" w:rsidR="4DD343A3">
        <w:rPr>
          <w:rFonts w:eastAsia="Calibri"/>
          <w:color w:val="000000" w:themeColor="text1"/>
        </w:rPr>
        <w:t xml:space="preserve"> </w:t>
      </w:r>
      <w:r w:rsidR="0034528E">
        <w:rPr>
          <w:rFonts w:eastAsia="Calibri"/>
          <w:color w:val="000000" w:themeColor="text1"/>
        </w:rPr>
        <w:t xml:space="preserve">the </w:t>
      </w:r>
      <w:r w:rsidRPr="006F7C82" w:rsidR="4DD343A3">
        <w:rPr>
          <w:rFonts w:eastAsia="Calibri"/>
          <w:color w:val="000000" w:themeColor="text1"/>
        </w:rPr>
        <w:t xml:space="preserve">Commission finds it reasonable to adopt the </w:t>
      </w:r>
      <w:r w:rsidRPr="006F7C82" w:rsidR="6218F99F">
        <w:rPr>
          <w:rFonts w:eastAsia="Calibri"/>
          <w:color w:val="000000" w:themeColor="text1"/>
        </w:rPr>
        <w:t>proposed changes shown in Appendix 2.</w:t>
      </w:r>
    </w:p>
    <w:p w:rsidRPr="006F7C82" w:rsidR="7FDAA6EC" w:rsidP="002A4088" w:rsidRDefault="7FDAA6EC" w14:paraId="7178479E" w14:textId="4E2B5209">
      <w:pPr>
        <w:pStyle w:val="Heading2"/>
        <w:ind w:left="1080" w:hanging="720"/>
        <w:rPr>
          <w:color w:val="000000" w:themeColor="text1"/>
        </w:rPr>
      </w:pPr>
      <w:bookmarkStart w:name="_Toc100132369" w:id="27"/>
      <w:r w:rsidRPr="006F7C82">
        <w:rPr>
          <w:color w:val="000000" w:themeColor="text1"/>
        </w:rPr>
        <w:lastRenderedPageBreak/>
        <w:t>Any Other Recommended Changes to the Adoption Account Guidelines</w:t>
      </w:r>
      <w:bookmarkEnd w:id="27"/>
    </w:p>
    <w:p w:rsidRPr="006F7C82" w:rsidR="7FDAA6EC" w:rsidP="55E90BF0" w:rsidRDefault="7FDAA6EC" w14:paraId="6AE84DA2" w14:textId="207D2646">
      <w:pPr>
        <w:pStyle w:val="Standard"/>
        <w:rPr>
          <w:rFonts w:eastAsia="Calibri"/>
          <w:color w:val="000000" w:themeColor="text1"/>
          <w:szCs w:val="26"/>
        </w:rPr>
      </w:pPr>
      <w:r w:rsidRPr="006F7C82">
        <w:rPr>
          <w:rFonts w:eastAsia="Calibri"/>
          <w:color w:val="000000" w:themeColor="text1"/>
          <w:szCs w:val="26"/>
        </w:rPr>
        <w:t>The Second Amended Scoping Memo included a catch-all question, allowing parties the opportunity to recommend any other proposed changes to the Adoption Account Guidelines:</w:t>
      </w:r>
    </w:p>
    <w:p w:rsidRPr="002A4088" w:rsidR="55E90BF0" w:rsidP="0033369D" w:rsidRDefault="7FDAA6EC" w14:paraId="45BA1663" w14:textId="2DEB1618">
      <w:pPr>
        <w:pStyle w:val="Standard"/>
        <w:numPr>
          <w:ilvl w:val="0"/>
          <w:numId w:val="5"/>
        </w:numPr>
        <w:spacing w:after="120" w:line="240" w:lineRule="auto"/>
        <w:ind w:left="1080" w:right="1440"/>
        <w:rPr>
          <w:rFonts w:eastAsia="Calibri"/>
          <w:color w:val="000000" w:themeColor="text1"/>
          <w:szCs w:val="26"/>
        </w:rPr>
      </w:pPr>
      <w:r w:rsidRPr="002A4088">
        <w:rPr>
          <w:rFonts w:eastAsia="Calibri"/>
          <w:color w:val="000000" w:themeColor="text1"/>
        </w:rPr>
        <w:t xml:space="preserve"> </w:t>
      </w:r>
      <w:r w:rsidRPr="002A4088">
        <w:rPr>
          <w:rFonts w:eastAsia="Calibri"/>
          <w:i/>
          <w:iCs/>
          <w:color w:val="000000" w:themeColor="text1"/>
        </w:rPr>
        <w:t>Are there any other Adoption Account program modifications the Commission should consider at this time?</w:t>
      </w:r>
    </w:p>
    <w:p w:rsidRPr="006F7C82" w:rsidR="00910260" w:rsidP="00BF0638" w:rsidRDefault="00FE7126" w14:paraId="08DF0BF2" w14:textId="77777777">
      <w:pPr>
        <w:pStyle w:val="Standard"/>
        <w:rPr>
          <w:rFonts w:eastAsia="Calibri"/>
          <w:color w:val="000000" w:themeColor="text1"/>
          <w:szCs w:val="26"/>
        </w:rPr>
      </w:pPr>
      <w:r w:rsidRPr="006F7C82">
        <w:rPr>
          <w:rFonts w:eastAsia="Calibri"/>
          <w:color w:val="000000" w:themeColor="text1"/>
          <w:szCs w:val="26"/>
        </w:rPr>
        <w:t xml:space="preserve">CETF </w:t>
      </w:r>
      <w:r w:rsidRPr="006F7C82" w:rsidR="008C6BCB">
        <w:rPr>
          <w:rFonts w:eastAsia="Calibri"/>
          <w:color w:val="000000" w:themeColor="text1"/>
          <w:szCs w:val="26"/>
        </w:rPr>
        <w:t xml:space="preserve">and LAEDC </w:t>
      </w:r>
      <w:r w:rsidRPr="006F7C82" w:rsidR="003A4CC4">
        <w:rPr>
          <w:rFonts w:eastAsia="Calibri"/>
          <w:color w:val="000000" w:themeColor="text1"/>
          <w:szCs w:val="26"/>
        </w:rPr>
        <w:t xml:space="preserve">provide </w:t>
      </w:r>
      <w:proofErr w:type="gramStart"/>
      <w:r w:rsidRPr="006F7C82" w:rsidR="003A4CC4">
        <w:rPr>
          <w:rFonts w:eastAsia="Calibri"/>
          <w:color w:val="000000" w:themeColor="text1"/>
          <w:szCs w:val="26"/>
        </w:rPr>
        <w:t>a number of</w:t>
      </w:r>
      <w:proofErr w:type="gramEnd"/>
      <w:r w:rsidRPr="006F7C82" w:rsidR="003A4CC4">
        <w:rPr>
          <w:rFonts w:eastAsia="Calibri"/>
          <w:color w:val="000000" w:themeColor="text1"/>
          <w:szCs w:val="26"/>
        </w:rPr>
        <w:t xml:space="preserve"> recommendations</w:t>
      </w:r>
      <w:r w:rsidRPr="006F7C82" w:rsidR="004E174F">
        <w:rPr>
          <w:rFonts w:eastAsia="Calibri"/>
          <w:color w:val="000000" w:themeColor="text1"/>
          <w:szCs w:val="26"/>
        </w:rPr>
        <w:t xml:space="preserve"> for significant </w:t>
      </w:r>
      <w:r w:rsidRPr="006F7C82" w:rsidR="00FA420D">
        <w:rPr>
          <w:rFonts w:eastAsia="Calibri"/>
          <w:color w:val="000000" w:themeColor="text1"/>
          <w:szCs w:val="26"/>
        </w:rPr>
        <w:t>process and rule reforms for the Adoption Account</w:t>
      </w:r>
      <w:r w:rsidRPr="006F7C82" w:rsidR="00910260">
        <w:rPr>
          <w:rFonts w:eastAsia="Calibri"/>
          <w:color w:val="000000" w:themeColor="text1"/>
          <w:szCs w:val="26"/>
        </w:rPr>
        <w:t>, including:</w:t>
      </w:r>
    </w:p>
    <w:p w:rsidRPr="006F7C82" w:rsidR="000C0E7A" w:rsidP="002A4088" w:rsidRDefault="00886AFC" w14:paraId="02F6C751" w14:textId="7648AEE1">
      <w:pPr>
        <w:pStyle w:val="ListBullet"/>
        <w:ind w:left="1080" w:right="1440"/>
      </w:pPr>
      <w:r w:rsidRPr="006F7C82">
        <w:t>Conven</w:t>
      </w:r>
      <w:r w:rsidRPr="006F7C82" w:rsidR="00866631">
        <w:t>e</w:t>
      </w:r>
      <w:r w:rsidRPr="006F7C82">
        <w:t xml:space="preserve"> periodic “Learning Community Grantee Workshops” </w:t>
      </w:r>
      <w:r w:rsidRPr="006F7C82" w:rsidR="00A745BE">
        <w:t>for grantees to share experiences and lessons</w:t>
      </w:r>
      <w:r w:rsidRPr="006F7C82" w:rsidR="00760E94">
        <w:t xml:space="preserve"> </w:t>
      </w:r>
      <w:r w:rsidRPr="006F7C82" w:rsidR="00A745BE">
        <w:t>learned</w:t>
      </w:r>
      <w:r w:rsidRPr="006F7C82" w:rsidR="00866631">
        <w:t xml:space="preserve">; and provide a stipend </w:t>
      </w:r>
      <w:r w:rsidRPr="006F7C82" w:rsidR="00AA72F8">
        <w:t>for grantees to attend</w:t>
      </w:r>
      <w:r w:rsidRPr="006F7C82" w:rsidR="000537A0">
        <w:t>.</w:t>
      </w:r>
      <w:r w:rsidRPr="006F7C82" w:rsidR="00015825">
        <w:rPr>
          <w:rStyle w:val="FootnoteReference"/>
          <w:rFonts w:eastAsia="Calibri"/>
          <w:color w:val="000000" w:themeColor="text1"/>
        </w:rPr>
        <w:footnoteReference w:id="146"/>
      </w:r>
      <w:r w:rsidRPr="006F7C82" w:rsidR="000537A0">
        <w:t xml:space="preserve"> In reply comments, SANDAG </w:t>
      </w:r>
      <w:r w:rsidRPr="006F7C82" w:rsidR="00F90559">
        <w:t>expresses support for</w:t>
      </w:r>
      <w:r w:rsidRPr="006F7C82" w:rsidR="00FC519B">
        <w:t xml:space="preserve"> </w:t>
      </w:r>
      <w:r w:rsidRPr="006F7C82" w:rsidR="00AF4F06">
        <w:t>this recommendation.</w:t>
      </w:r>
      <w:r w:rsidRPr="006F7C82" w:rsidR="009B73AD">
        <w:rPr>
          <w:rStyle w:val="FootnoteReference"/>
          <w:rFonts w:eastAsia="Calibri"/>
          <w:color w:val="000000" w:themeColor="text1"/>
        </w:rPr>
        <w:footnoteReference w:id="147"/>
      </w:r>
    </w:p>
    <w:p w:rsidRPr="006F7C82" w:rsidR="00AF4F06" w:rsidP="002A4088" w:rsidRDefault="00AC53FA" w14:paraId="0667C4D9" w14:textId="7628F5CF">
      <w:pPr>
        <w:pStyle w:val="ListBullet"/>
        <w:ind w:left="1080" w:right="1440"/>
      </w:pPr>
      <w:r w:rsidRPr="006F7C82">
        <w:t>Eliminate reimbursement-based payment</w:t>
      </w:r>
      <w:r w:rsidRPr="006F7C82" w:rsidR="00371C70">
        <w:t xml:space="preserve"> </w:t>
      </w:r>
      <w:r w:rsidRPr="006F7C82">
        <w:t>of</w:t>
      </w:r>
      <w:r w:rsidRPr="006F7C82" w:rsidR="00371C70">
        <w:t xml:space="preserve"> grants in favor of “performance-based</w:t>
      </w:r>
      <w:r w:rsidRPr="006F7C82" w:rsidR="00074E3B">
        <w:t>” payment</w:t>
      </w:r>
      <w:r w:rsidRPr="006F7C82" w:rsidR="008105EB">
        <w:t>.</w:t>
      </w:r>
      <w:r w:rsidRPr="006F7C82" w:rsidR="00680B5C">
        <w:rPr>
          <w:rStyle w:val="FootnoteReference"/>
          <w:rFonts w:eastAsia="Calibri"/>
          <w:color w:val="000000" w:themeColor="text1"/>
        </w:rPr>
        <w:footnoteReference w:id="148"/>
      </w:r>
    </w:p>
    <w:p w:rsidRPr="006F7C82" w:rsidR="009723C9" w:rsidP="002A4088" w:rsidRDefault="009723C9" w14:paraId="7704CDDE" w14:textId="11837F4E">
      <w:pPr>
        <w:pStyle w:val="ListBullet"/>
        <w:ind w:left="1080" w:right="1440"/>
      </w:pPr>
      <w:r w:rsidRPr="006F7C82">
        <w:t>Provide financial support for</w:t>
      </w:r>
      <w:r w:rsidRPr="006F7C82" w:rsidR="00E94B18">
        <w:t xml:space="preserve"> collection of measurement and evaluation data of grantees’ projects.</w:t>
      </w:r>
      <w:r w:rsidRPr="006F7C82" w:rsidR="006870E0">
        <w:rPr>
          <w:rStyle w:val="FootnoteReference"/>
          <w:rFonts w:eastAsia="Calibri"/>
          <w:color w:val="000000" w:themeColor="text1"/>
        </w:rPr>
        <w:footnoteReference w:id="149"/>
      </w:r>
    </w:p>
    <w:p w:rsidRPr="006F7C82" w:rsidR="00CB07AE" w:rsidP="002A4088" w:rsidRDefault="00CB07AE" w14:paraId="7C85A0D2" w14:textId="6A96613F">
      <w:pPr>
        <w:pStyle w:val="ListBullet"/>
        <w:ind w:left="1080" w:right="1440"/>
      </w:pPr>
      <w:r w:rsidRPr="006F7C82">
        <w:t xml:space="preserve">Authorize </w:t>
      </w:r>
      <w:r w:rsidRPr="006F7C82" w:rsidR="005523C0">
        <w:t>an</w:t>
      </w:r>
      <w:r w:rsidRPr="006F7C82" w:rsidR="00DF6CCA">
        <w:t>d</w:t>
      </w:r>
      <w:r w:rsidRPr="006F7C82" w:rsidR="005523C0">
        <w:t xml:space="preserve"> invite applications to award one or more grants for management of collaboratives of </w:t>
      </w:r>
      <w:r w:rsidRPr="006F7C82" w:rsidR="00B641C0">
        <w:t>multiple</w:t>
      </w:r>
      <w:r w:rsidRPr="006F7C82" w:rsidR="005523C0">
        <w:t xml:space="preserve"> eligible </w:t>
      </w:r>
      <w:r w:rsidRPr="006F7C82" w:rsidR="00B641C0">
        <w:t>non-profit CBOs with programs designed</w:t>
      </w:r>
      <w:r w:rsidRPr="006F7C82" w:rsidR="00E15BAA">
        <w:t xml:space="preserve"> </w:t>
      </w:r>
      <w:r w:rsidRPr="006F7C82" w:rsidR="00B641C0">
        <w:t>to increase broadband Internet adoption</w:t>
      </w:r>
      <w:r w:rsidRPr="006F7C82" w:rsidR="00253945">
        <w:t>.</w:t>
      </w:r>
      <w:r w:rsidRPr="006F7C82" w:rsidR="00424926">
        <w:rPr>
          <w:rStyle w:val="FootnoteReference"/>
          <w:rFonts w:eastAsia="Calibri"/>
          <w:color w:val="000000" w:themeColor="text1"/>
        </w:rPr>
        <w:footnoteReference w:id="150"/>
      </w:r>
    </w:p>
    <w:p w:rsidRPr="006F7C82" w:rsidR="003C53ED" w:rsidP="00BF0638" w:rsidRDefault="003429B5" w14:paraId="57EDEA43" w14:textId="20F57C81">
      <w:pPr>
        <w:pStyle w:val="Standard"/>
        <w:rPr>
          <w:rFonts w:eastAsia="Calibri"/>
          <w:color w:val="000000" w:themeColor="text1"/>
          <w:szCs w:val="26"/>
        </w:rPr>
      </w:pPr>
      <w:r w:rsidRPr="006F7C82">
        <w:rPr>
          <w:rFonts w:eastAsia="Calibri"/>
          <w:color w:val="000000" w:themeColor="text1"/>
        </w:rPr>
        <w:lastRenderedPageBreak/>
        <w:t xml:space="preserve">The City of Los Angeles Office of the Mayor </w:t>
      </w:r>
      <w:r w:rsidRPr="006F7C82" w:rsidR="004326AA">
        <w:rPr>
          <w:rFonts w:eastAsia="Calibri"/>
          <w:color w:val="000000" w:themeColor="text1"/>
        </w:rPr>
        <w:t xml:space="preserve">requests </w:t>
      </w:r>
      <w:r w:rsidRPr="006F7C82" w:rsidR="003C53ED">
        <w:rPr>
          <w:rFonts w:eastAsia="Calibri"/>
          <w:color w:val="000000" w:themeColor="text1"/>
        </w:rPr>
        <w:t>that the Commission hold a</w:t>
      </w:r>
      <w:r w:rsidRPr="006F7C82" w:rsidR="00BA0A8F">
        <w:rPr>
          <w:rFonts w:eastAsia="Calibri"/>
          <w:color w:val="000000" w:themeColor="text1"/>
        </w:rPr>
        <w:t xml:space="preserve"> workshop and listening session </w:t>
      </w:r>
      <w:r w:rsidRPr="006F7C82" w:rsidR="00E75455">
        <w:rPr>
          <w:rFonts w:eastAsia="Calibri"/>
          <w:color w:val="000000" w:themeColor="text1"/>
        </w:rPr>
        <w:t xml:space="preserve">with Los Angeles </w:t>
      </w:r>
      <w:r w:rsidRPr="006F7C82" w:rsidR="00215244">
        <w:rPr>
          <w:rFonts w:eastAsia="Calibri"/>
          <w:color w:val="000000" w:themeColor="text1"/>
        </w:rPr>
        <w:t xml:space="preserve">area organizations </w:t>
      </w:r>
      <w:r w:rsidRPr="006F7C82" w:rsidR="008B363C">
        <w:rPr>
          <w:rFonts w:eastAsia="Calibri"/>
          <w:color w:val="000000" w:themeColor="text1"/>
        </w:rPr>
        <w:t xml:space="preserve">on how </w:t>
      </w:r>
      <w:r w:rsidRPr="006F7C82" w:rsidR="009D5092">
        <w:rPr>
          <w:rFonts w:eastAsia="Calibri"/>
          <w:color w:val="000000" w:themeColor="text1"/>
        </w:rPr>
        <w:t>the CASF can</w:t>
      </w:r>
      <w:r w:rsidRPr="006F7C82" w:rsidR="008B363C">
        <w:rPr>
          <w:rFonts w:eastAsia="Calibri"/>
          <w:color w:val="000000" w:themeColor="text1"/>
        </w:rPr>
        <w:t xml:space="preserve"> better </w:t>
      </w:r>
      <w:r w:rsidRPr="006F7C82" w:rsidR="009D5092">
        <w:rPr>
          <w:rFonts w:eastAsia="Calibri"/>
          <w:color w:val="000000" w:themeColor="text1"/>
        </w:rPr>
        <w:t xml:space="preserve">address </w:t>
      </w:r>
      <w:r w:rsidRPr="006F7C82" w:rsidR="002B7BD0">
        <w:rPr>
          <w:rFonts w:eastAsia="Calibri"/>
          <w:color w:val="000000" w:themeColor="text1"/>
        </w:rPr>
        <w:t>the digital divide</w:t>
      </w:r>
      <w:r w:rsidRPr="006F7C82" w:rsidR="00D248EA">
        <w:rPr>
          <w:rFonts w:eastAsia="Calibri"/>
          <w:color w:val="000000" w:themeColor="text1"/>
        </w:rPr>
        <w:t xml:space="preserve"> in the Los Angeles area</w:t>
      </w:r>
      <w:r w:rsidRPr="006F7C82" w:rsidR="006F00B2">
        <w:rPr>
          <w:rFonts w:eastAsia="Calibri"/>
          <w:color w:val="000000" w:themeColor="text1"/>
        </w:rPr>
        <w:t>.</w:t>
      </w:r>
      <w:r w:rsidRPr="006F7C82" w:rsidR="00DF41A7">
        <w:rPr>
          <w:rStyle w:val="FootnoteReference"/>
          <w:rFonts w:eastAsia="Calibri"/>
          <w:color w:val="000000" w:themeColor="text1"/>
        </w:rPr>
        <w:footnoteReference w:id="151"/>
      </w:r>
    </w:p>
    <w:p w:rsidRPr="006F7C82" w:rsidR="55E90BF0" w:rsidP="002A4088" w:rsidRDefault="008F5094" w14:paraId="5FF8D61F" w14:textId="572ADAF8">
      <w:pPr>
        <w:pStyle w:val="Standard"/>
        <w:rPr>
          <w:rFonts w:eastAsia="Calibri"/>
          <w:color w:val="000000" w:themeColor="text1"/>
          <w:szCs w:val="26"/>
        </w:rPr>
      </w:pPr>
      <w:r w:rsidRPr="006F7C82">
        <w:rPr>
          <w:rFonts w:eastAsia="Calibri"/>
          <w:color w:val="000000" w:themeColor="text1"/>
        </w:rPr>
        <w:t xml:space="preserve">The Commission acknowledges </w:t>
      </w:r>
      <w:r w:rsidRPr="006F7C82" w:rsidR="000551C3">
        <w:rPr>
          <w:rFonts w:eastAsia="Calibri"/>
          <w:color w:val="000000" w:themeColor="text1"/>
        </w:rPr>
        <w:t xml:space="preserve">parties’ recommendations for </w:t>
      </w:r>
      <w:r w:rsidRPr="006F7C82" w:rsidR="003653DD">
        <w:rPr>
          <w:rFonts w:eastAsia="Calibri"/>
          <w:color w:val="000000" w:themeColor="text1"/>
        </w:rPr>
        <w:t xml:space="preserve">further Adoption Account reforms, </w:t>
      </w:r>
      <w:r w:rsidRPr="006F7C82" w:rsidR="00E809BB">
        <w:rPr>
          <w:rFonts w:eastAsia="Calibri"/>
          <w:color w:val="000000" w:themeColor="text1"/>
        </w:rPr>
        <w:t xml:space="preserve">many of which would require </w:t>
      </w:r>
      <w:r w:rsidRPr="006F7C82" w:rsidR="003267C0">
        <w:rPr>
          <w:rFonts w:eastAsia="Calibri"/>
          <w:color w:val="000000" w:themeColor="text1"/>
        </w:rPr>
        <w:t xml:space="preserve">much greater consideration than </w:t>
      </w:r>
      <w:r w:rsidRPr="006F7C82" w:rsidR="00336358">
        <w:rPr>
          <w:rFonts w:eastAsia="Calibri"/>
          <w:color w:val="000000" w:themeColor="text1"/>
        </w:rPr>
        <w:t xml:space="preserve">allowed by our intent to </w:t>
      </w:r>
      <w:r w:rsidRPr="006F7C82" w:rsidR="005E61E7">
        <w:rPr>
          <w:rFonts w:eastAsia="Calibri"/>
          <w:color w:val="000000" w:themeColor="text1"/>
        </w:rPr>
        <w:t>begin accepting applications as expediently as possible.</w:t>
      </w:r>
      <w:r w:rsidRPr="006F7C82" w:rsidR="008467A3">
        <w:rPr>
          <w:rFonts w:eastAsia="Calibri"/>
          <w:color w:val="000000" w:themeColor="text1"/>
        </w:rPr>
        <w:t xml:space="preserve"> </w:t>
      </w:r>
      <w:r w:rsidRPr="006F7C82" w:rsidR="66F37A72">
        <w:rPr>
          <w:color w:val="000000" w:themeColor="text1"/>
        </w:rPr>
        <w:t xml:space="preserve">In lieu of workshops, the Commission </w:t>
      </w:r>
      <w:r w:rsidRPr="006F7C82" w:rsidR="009E5E8C">
        <w:rPr>
          <w:color w:val="000000" w:themeColor="text1"/>
        </w:rPr>
        <w:t>may</w:t>
      </w:r>
      <w:r w:rsidRPr="006F7C82" w:rsidR="66F37A72">
        <w:rPr>
          <w:color w:val="000000" w:themeColor="text1"/>
        </w:rPr>
        <w:t xml:space="preserve"> </w:t>
      </w:r>
      <w:r w:rsidRPr="006F7C82" w:rsidR="009E5E8C">
        <w:rPr>
          <w:color w:val="000000" w:themeColor="text1"/>
        </w:rPr>
        <w:t xml:space="preserve">meet </w:t>
      </w:r>
      <w:r w:rsidRPr="006F7C82" w:rsidR="66F37A72">
        <w:rPr>
          <w:color w:val="000000" w:themeColor="text1"/>
        </w:rPr>
        <w:t xml:space="preserve">with grantees, as needed, </w:t>
      </w:r>
      <w:proofErr w:type="gramStart"/>
      <w:r w:rsidRPr="006F7C82" w:rsidR="66F37A72">
        <w:rPr>
          <w:color w:val="000000" w:themeColor="text1"/>
        </w:rPr>
        <w:t>in order to</w:t>
      </w:r>
      <w:proofErr w:type="gramEnd"/>
      <w:r w:rsidRPr="006F7C82" w:rsidR="66F37A72">
        <w:rPr>
          <w:color w:val="000000" w:themeColor="text1"/>
        </w:rPr>
        <w:t xml:space="preserve"> share best practices, to receive feedback from grantees, and to provide information to grantees specific to program procedures and other relevant information. Additionally, in response to comments, the Commission will encourage Adoption Account grantees to inform participants about affordable home Internet service offers (such as the ACP).  </w:t>
      </w:r>
    </w:p>
    <w:p w:rsidRPr="006F7C82" w:rsidR="00E90FA5" w:rsidP="002A4088" w:rsidRDefault="00E90FA5" w14:paraId="005DAA73" w14:textId="4B0ECB41">
      <w:pPr>
        <w:pStyle w:val="Heading1"/>
        <w:ind w:left="360" w:hanging="360"/>
        <w:rPr>
          <w:color w:val="000000" w:themeColor="text1"/>
        </w:rPr>
      </w:pPr>
      <w:bookmarkStart w:name="_Toc100132370" w:id="28"/>
      <w:bookmarkStart w:name="_Toc8123721" w:id="29"/>
      <w:r w:rsidRPr="006F7C82">
        <w:rPr>
          <w:color w:val="000000" w:themeColor="text1"/>
        </w:rPr>
        <w:t>Changes to the Consortia Account</w:t>
      </w:r>
      <w:bookmarkEnd w:id="28"/>
    </w:p>
    <w:p w:rsidRPr="006F7C82" w:rsidR="005939A5" w:rsidP="55E90BF0" w:rsidRDefault="005939A5" w14:paraId="0CAC523C" w14:textId="391E2019">
      <w:pPr>
        <w:pStyle w:val="Standard"/>
        <w:rPr>
          <w:color w:val="000000" w:themeColor="text1"/>
        </w:rPr>
      </w:pPr>
      <w:r w:rsidRPr="006F7C82">
        <w:rPr>
          <w:color w:val="000000" w:themeColor="text1"/>
        </w:rPr>
        <w:t>The Second Amended Scoping Memo proposed changes to the Consortia Account and sought comments on those proposed changes and related issues, as described below.</w:t>
      </w:r>
    </w:p>
    <w:p w:rsidRPr="006F7C82" w:rsidR="55E90BF0" w:rsidP="002A4088" w:rsidRDefault="55E90BF0" w14:paraId="58BFAB44" w14:textId="24845AAF">
      <w:pPr>
        <w:pStyle w:val="Heading2"/>
        <w:ind w:left="1080" w:hanging="720"/>
        <w:rPr>
          <w:color w:val="000000" w:themeColor="text1"/>
        </w:rPr>
      </w:pPr>
      <w:bookmarkStart w:name="_Toc100132371" w:id="30"/>
      <w:r w:rsidRPr="006F7C82">
        <w:rPr>
          <w:color w:val="000000" w:themeColor="text1"/>
        </w:rPr>
        <w:t>Allowable Consortia Activities</w:t>
      </w:r>
      <w:bookmarkEnd w:id="30"/>
    </w:p>
    <w:p w:rsidRPr="006F7C82" w:rsidR="55E90BF0" w:rsidP="55E90BF0" w:rsidRDefault="55E90BF0" w14:paraId="33C69971" w14:textId="118D7EE2">
      <w:pPr>
        <w:pStyle w:val="Standard"/>
        <w:rPr>
          <w:rFonts w:eastAsia="Calibri"/>
          <w:color w:val="000000" w:themeColor="text1"/>
        </w:rPr>
      </w:pPr>
      <w:r w:rsidRPr="006F7C82">
        <w:rPr>
          <w:rFonts w:eastAsia="Calibri"/>
          <w:color w:val="000000" w:themeColor="text1"/>
        </w:rPr>
        <w:t>The Second Amended Scoping Memo noted that implementation of additional programs created by SB 156, including the Local Agency Technical Assistance grant program, the Broadband Loan Loss Reserve Fund, and the Federal Funding Account, will create opportunities for additional Consortia engagement.</w:t>
      </w:r>
      <w:r w:rsidRPr="006F7C82" w:rsidR="00F209CE">
        <w:rPr>
          <w:rFonts w:eastAsia="Calibri"/>
          <w:color w:val="000000" w:themeColor="text1"/>
        </w:rPr>
        <w:t xml:space="preserve"> </w:t>
      </w:r>
      <w:r w:rsidRPr="006F7C82">
        <w:rPr>
          <w:rFonts w:eastAsia="Calibri"/>
          <w:color w:val="000000" w:themeColor="text1"/>
        </w:rPr>
        <w:t xml:space="preserve">However, current Consortia Account rules limit eligible Consortia activities to assistance with CASF infrastructure </w:t>
      </w:r>
      <w:r w:rsidRPr="006F7C82" w:rsidR="005037D0">
        <w:rPr>
          <w:rFonts w:eastAsia="Calibri"/>
          <w:color w:val="000000" w:themeColor="text1"/>
        </w:rPr>
        <w:t xml:space="preserve">applicants project development </w:t>
      </w:r>
      <w:r w:rsidRPr="006F7C82" w:rsidR="005037D0">
        <w:rPr>
          <w:rFonts w:eastAsia="Calibri"/>
          <w:color w:val="000000" w:themeColor="text1"/>
        </w:rPr>
        <w:lastRenderedPageBreak/>
        <w:t xml:space="preserve">or </w:t>
      </w:r>
      <w:r w:rsidRPr="006F7C82">
        <w:rPr>
          <w:rFonts w:eastAsia="Calibri"/>
          <w:color w:val="000000" w:themeColor="text1"/>
        </w:rPr>
        <w:t>grant applications.</w:t>
      </w:r>
      <w:r w:rsidRPr="006F7C82">
        <w:rPr>
          <w:rStyle w:val="FootnoteReference"/>
          <w:rFonts w:eastAsia="Calibri"/>
          <w:color w:val="000000" w:themeColor="text1"/>
        </w:rPr>
        <w:footnoteReference w:id="152"/>
      </w:r>
      <w:r w:rsidRPr="006F7C82" w:rsidR="00F209CE">
        <w:rPr>
          <w:rFonts w:eastAsia="Calibri"/>
          <w:color w:val="000000" w:themeColor="text1"/>
        </w:rPr>
        <w:t xml:space="preserve"> </w:t>
      </w:r>
      <w:r w:rsidRPr="006F7C82">
        <w:rPr>
          <w:rFonts w:eastAsia="Calibri"/>
          <w:color w:val="000000" w:themeColor="text1"/>
        </w:rPr>
        <w:t>The Second Amended Scoping Memo posed the following questions for comment:</w:t>
      </w:r>
    </w:p>
    <w:p w:rsidRPr="00FF6FF3" w:rsidR="55E90BF0" w:rsidP="0033369D" w:rsidRDefault="55E90BF0" w14:paraId="77CFBDA7" w14:textId="674C5F58">
      <w:pPr>
        <w:pStyle w:val="Standard"/>
        <w:numPr>
          <w:ilvl w:val="0"/>
          <w:numId w:val="5"/>
        </w:numPr>
        <w:spacing w:after="120" w:line="240" w:lineRule="auto"/>
        <w:ind w:left="1080" w:right="1440"/>
        <w:rPr>
          <w:rFonts w:eastAsia="Calibri"/>
          <w:i/>
          <w:iCs/>
          <w:color w:val="000000" w:themeColor="text1"/>
        </w:rPr>
      </w:pPr>
      <w:r w:rsidRPr="002A4088">
        <w:rPr>
          <w:rFonts w:eastAsia="Calibri"/>
          <w:i/>
          <w:iCs/>
          <w:color w:val="000000" w:themeColor="text1"/>
        </w:rPr>
        <w:t>Should the Commission expand the scope of allowable Consortia activities by adding references to “broadband deployment projects” related to new programs created under SB 156 and AB</w:t>
      </w:r>
      <w:r w:rsidR="002A4088">
        <w:rPr>
          <w:rFonts w:eastAsia="Calibri"/>
          <w:i/>
          <w:iCs/>
          <w:color w:val="000000" w:themeColor="text1"/>
        </w:rPr>
        <w:t> </w:t>
      </w:r>
      <w:r w:rsidRPr="002A4088">
        <w:rPr>
          <w:rFonts w:eastAsia="Calibri"/>
          <w:i/>
          <w:iCs/>
          <w:color w:val="000000" w:themeColor="text1"/>
        </w:rPr>
        <w:t>164, as set forth in Appendix 3?</w:t>
      </w:r>
    </w:p>
    <w:p w:rsidRPr="00FF6FF3" w:rsidR="006C550C" w:rsidP="00FF6FF3" w:rsidRDefault="55E90BF0" w14:paraId="2AE3E218" w14:textId="2C29A713">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Do the proposed allowable Consortia activities set forth in Appendix 3 encompass the roles Consortia should undertake with regards to new programs created under SB 156 and AB 164?</w:t>
      </w:r>
      <w:r w:rsidRPr="004C2B66" w:rsidR="00F209CE">
        <w:rPr>
          <w:rFonts w:eastAsia="Calibri"/>
          <w:i/>
          <w:iCs/>
          <w:color w:val="000000" w:themeColor="text1"/>
        </w:rPr>
        <w:t xml:space="preserve"> </w:t>
      </w:r>
      <w:r w:rsidRPr="004C2B66">
        <w:rPr>
          <w:rFonts w:eastAsia="Calibri"/>
          <w:i/>
          <w:iCs/>
          <w:color w:val="000000" w:themeColor="text1"/>
        </w:rPr>
        <w:t>If not, what modifications to allowable Consortia activities should the Commission adopt?</w:t>
      </w:r>
      <w:r w:rsidRPr="004C2B66" w:rsidR="00F209CE">
        <w:rPr>
          <w:rFonts w:eastAsia="Calibri"/>
          <w:i/>
          <w:iCs/>
          <w:color w:val="000000" w:themeColor="text1"/>
        </w:rPr>
        <w:t xml:space="preserve"> </w:t>
      </w:r>
    </w:p>
    <w:p w:rsidRPr="006F7C82" w:rsidR="00736CB2" w:rsidP="55E90BF0" w:rsidRDefault="00CC534D" w14:paraId="64BA805B" w14:textId="7809E82C">
      <w:pPr>
        <w:pStyle w:val="Standard"/>
        <w:rPr>
          <w:rFonts w:eastAsia="Calibri"/>
          <w:color w:val="000000" w:themeColor="text1"/>
          <w:szCs w:val="26"/>
        </w:rPr>
      </w:pPr>
      <w:r w:rsidRPr="006F7C82">
        <w:rPr>
          <w:rFonts w:eastAsia="Calibri"/>
          <w:color w:val="000000" w:themeColor="text1"/>
        </w:rPr>
        <w:t>CCF</w:t>
      </w:r>
      <w:r w:rsidRPr="006F7C82" w:rsidR="00E53B89">
        <w:rPr>
          <w:rFonts w:eastAsia="Calibri"/>
          <w:color w:val="000000" w:themeColor="text1"/>
        </w:rPr>
        <w:t>,</w:t>
      </w:r>
      <w:r w:rsidRPr="006F7C82">
        <w:rPr>
          <w:rFonts w:eastAsia="Calibri"/>
          <w:color w:val="000000" w:themeColor="text1"/>
        </w:rPr>
        <w:t xml:space="preserve"> </w:t>
      </w:r>
      <w:r w:rsidRPr="006F7C82" w:rsidR="00DE4D71">
        <w:rPr>
          <w:rFonts w:eastAsia="Calibri"/>
          <w:color w:val="000000" w:themeColor="text1"/>
        </w:rPr>
        <w:t>CETF</w:t>
      </w:r>
      <w:r w:rsidRPr="006F7C82" w:rsidR="00653EE9">
        <w:rPr>
          <w:rFonts w:eastAsia="Calibri"/>
          <w:color w:val="000000" w:themeColor="text1"/>
        </w:rPr>
        <w:t>, IERBC</w:t>
      </w:r>
      <w:r w:rsidRPr="006F7C82" w:rsidR="008A19A5">
        <w:rPr>
          <w:rFonts w:eastAsia="Calibri"/>
          <w:color w:val="000000" w:themeColor="text1"/>
        </w:rPr>
        <w:t>,</w:t>
      </w:r>
      <w:r w:rsidRPr="006F7C82" w:rsidR="00E53B89">
        <w:rPr>
          <w:rFonts w:eastAsia="Calibri"/>
          <w:color w:val="000000" w:themeColor="text1"/>
        </w:rPr>
        <w:t xml:space="preserve"> LAEDC</w:t>
      </w:r>
      <w:r w:rsidRPr="006F7C82" w:rsidR="00DE4D71">
        <w:rPr>
          <w:rFonts w:eastAsia="Calibri"/>
          <w:color w:val="000000" w:themeColor="text1"/>
        </w:rPr>
        <w:t xml:space="preserve"> </w:t>
      </w:r>
      <w:r w:rsidRPr="006F7C82" w:rsidR="00E53B89">
        <w:rPr>
          <w:rFonts w:eastAsia="Calibri"/>
          <w:color w:val="000000" w:themeColor="text1"/>
        </w:rPr>
        <w:t xml:space="preserve">and </w:t>
      </w:r>
      <w:r w:rsidRPr="006F7C82" w:rsidR="008A19A5">
        <w:rPr>
          <w:rFonts w:eastAsia="Calibri"/>
          <w:color w:val="000000" w:themeColor="text1"/>
        </w:rPr>
        <w:t>SANDAG</w:t>
      </w:r>
      <w:r w:rsidRPr="006F7C82" w:rsidR="00DE4D71">
        <w:rPr>
          <w:rFonts w:eastAsia="Calibri"/>
          <w:color w:val="000000" w:themeColor="text1"/>
        </w:rPr>
        <w:t xml:space="preserve"> </w:t>
      </w:r>
      <w:r w:rsidRPr="006F7C82" w:rsidR="009A6114">
        <w:rPr>
          <w:rFonts w:eastAsia="Calibri"/>
          <w:color w:val="000000" w:themeColor="text1"/>
        </w:rPr>
        <w:t xml:space="preserve">advocate for </w:t>
      </w:r>
      <w:r w:rsidRPr="006F7C82" w:rsidR="00D56735">
        <w:rPr>
          <w:rFonts w:eastAsia="Calibri"/>
          <w:color w:val="000000" w:themeColor="text1"/>
        </w:rPr>
        <w:t xml:space="preserve">expanding the scope of allowable </w:t>
      </w:r>
      <w:r w:rsidRPr="006F7C82" w:rsidR="003A34B5">
        <w:rPr>
          <w:rFonts w:eastAsia="Calibri"/>
          <w:color w:val="000000" w:themeColor="text1"/>
        </w:rPr>
        <w:t xml:space="preserve">Consortia activities to include </w:t>
      </w:r>
      <w:r w:rsidRPr="006F7C82" w:rsidR="00DB4FD6">
        <w:rPr>
          <w:rFonts w:eastAsia="Calibri"/>
          <w:color w:val="000000" w:themeColor="text1"/>
        </w:rPr>
        <w:t xml:space="preserve">outreach and technical assistance, </w:t>
      </w:r>
      <w:r w:rsidRPr="006F7C82" w:rsidR="00EA1EFF">
        <w:rPr>
          <w:rFonts w:eastAsia="Calibri"/>
          <w:color w:val="000000" w:themeColor="text1"/>
        </w:rPr>
        <w:t xml:space="preserve">and </w:t>
      </w:r>
      <w:r w:rsidRPr="006F7C82" w:rsidR="00CE5662">
        <w:rPr>
          <w:rFonts w:eastAsia="Calibri"/>
          <w:color w:val="000000" w:themeColor="text1"/>
        </w:rPr>
        <w:t xml:space="preserve">to support applications </w:t>
      </w:r>
      <w:r w:rsidRPr="006F7C82" w:rsidR="006E2577">
        <w:rPr>
          <w:rFonts w:eastAsia="Calibri"/>
          <w:color w:val="000000" w:themeColor="text1"/>
        </w:rPr>
        <w:t xml:space="preserve">for project funding to close </w:t>
      </w:r>
      <w:r w:rsidRPr="006F7C82" w:rsidR="00DD63D1">
        <w:rPr>
          <w:rFonts w:eastAsia="Calibri"/>
          <w:color w:val="000000" w:themeColor="text1"/>
        </w:rPr>
        <w:t>broadband access, adoption, and digital literacy gap</w:t>
      </w:r>
      <w:r w:rsidRPr="006F7C82" w:rsidR="00EA1EFF">
        <w:rPr>
          <w:rFonts w:eastAsia="Calibri"/>
          <w:color w:val="000000" w:themeColor="text1"/>
        </w:rPr>
        <w:t>s</w:t>
      </w:r>
      <w:r w:rsidRPr="006F7C82" w:rsidR="00534A76">
        <w:rPr>
          <w:rFonts w:eastAsia="Calibri"/>
          <w:color w:val="000000" w:themeColor="text1"/>
        </w:rPr>
        <w:t>.</w:t>
      </w:r>
      <w:r w:rsidRPr="006F7C82" w:rsidR="00603218">
        <w:rPr>
          <w:rStyle w:val="FootnoteReference"/>
          <w:rFonts w:eastAsia="Calibri"/>
          <w:color w:val="000000" w:themeColor="text1"/>
          <w:szCs w:val="26"/>
        </w:rPr>
        <w:footnoteReference w:id="153"/>
      </w:r>
      <w:r w:rsidRPr="006F7C82" w:rsidR="00EA1EFF">
        <w:rPr>
          <w:rFonts w:eastAsia="Calibri"/>
          <w:color w:val="000000" w:themeColor="text1"/>
        </w:rPr>
        <w:t xml:space="preserve"> </w:t>
      </w:r>
      <w:r w:rsidRPr="006F7C82" w:rsidR="00736CB2">
        <w:rPr>
          <w:rFonts w:eastAsia="Calibri"/>
          <w:color w:val="000000" w:themeColor="text1"/>
        </w:rPr>
        <w:t>LAEDC asks for more detail on what constitutes activities “that assist the Commission in promoting broadband deployment in California,” and urges the Commission to apply a broad scope to enable broadband adoption and digital literacy.</w:t>
      </w:r>
      <w:r w:rsidRPr="006F7C82" w:rsidR="005F2A5A">
        <w:rPr>
          <w:rStyle w:val="FootnoteReference"/>
          <w:rFonts w:eastAsia="Calibri"/>
          <w:color w:val="000000" w:themeColor="text1"/>
          <w:szCs w:val="26"/>
        </w:rPr>
        <w:footnoteReference w:id="154"/>
      </w:r>
      <w:r w:rsidRPr="006F7C82" w:rsidR="00736CB2">
        <w:rPr>
          <w:rFonts w:eastAsia="Calibri"/>
          <w:color w:val="000000" w:themeColor="text1"/>
        </w:rPr>
        <w:t xml:space="preserve"> </w:t>
      </w:r>
    </w:p>
    <w:p w:rsidRPr="006F7C82" w:rsidR="00736CB2" w:rsidP="55E90BF0" w:rsidRDefault="00F0749B" w14:paraId="17DB99E3" w14:textId="1EB9EF82">
      <w:pPr>
        <w:pStyle w:val="Standard"/>
        <w:rPr>
          <w:rFonts w:eastAsia="Calibri"/>
          <w:color w:val="000000" w:themeColor="text1"/>
          <w:szCs w:val="26"/>
        </w:rPr>
      </w:pPr>
      <w:r w:rsidRPr="006F7C82">
        <w:rPr>
          <w:rFonts w:eastAsia="Calibri"/>
          <w:color w:val="000000" w:themeColor="text1"/>
        </w:rPr>
        <w:t xml:space="preserve">UNITE-LA similarly </w:t>
      </w:r>
      <w:r w:rsidRPr="006F7C82" w:rsidR="00582BF6">
        <w:rPr>
          <w:rFonts w:eastAsia="Calibri"/>
          <w:color w:val="000000" w:themeColor="text1"/>
        </w:rPr>
        <w:t xml:space="preserve">advocates for a more holistic </w:t>
      </w:r>
      <w:r w:rsidRPr="006F7C82" w:rsidR="00685424">
        <w:rPr>
          <w:rFonts w:eastAsia="Calibri"/>
          <w:color w:val="000000" w:themeColor="text1"/>
        </w:rPr>
        <w:t xml:space="preserve">view </w:t>
      </w:r>
      <w:r w:rsidRPr="006F7C82" w:rsidR="00412235">
        <w:rPr>
          <w:rFonts w:eastAsia="Calibri"/>
          <w:color w:val="000000" w:themeColor="text1"/>
        </w:rPr>
        <w:t>of broadband deployment</w:t>
      </w:r>
      <w:r w:rsidRPr="006F7C82" w:rsidR="003376C1">
        <w:rPr>
          <w:rFonts w:eastAsia="Calibri"/>
          <w:color w:val="000000" w:themeColor="text1"/>
        </w:rPr>
        <w:t xml:space="preserve"> </w:t>
      </w:r>
      <w:r w:rsidRPr="006F7C82" w:rsidR="00D23C88">
        <w:rPr>
          <w:rFonts w:eastAsia="Calibri"/>
          <w:color w:val="000000" w:themeColor="text1"/>
        </w:rPr>
        <w:t xml:space="preserve">and </w:t>
      </w:r>
      <w:r w:rsidRPr="006F7C82" w:rsidR="0052334C">
        <w:rPr>
          <w:rFonts w:eastAsia="Calibri"/>
          <w:color w:val="000000" w:themeColor="text1"/>
        </w:rPr>
        <w:t xml:space="preserve">achieving adoption and digital literacy, and </w:t>
      </w:r>
      <w:r w:rsidRPr="006F7C82" w:rsidR="007C220F">
        <w:rPr>
          <w:rFonts w:eastAsia="Calibri"/>
          <w:color w:val="000000" w:themeColor="text1"/>
        </w:rPr>
        <w:t>asserts the</w:t>
      </w:r>
      <w:r w:rsidRPr="006F7C82" w:rsidR="00C5690F">
        <w:rPr>
          <w:rFonts w:eastAsia="Calibri"/>
          <w:color w:val="000000" w:themeColor="text1"/>
        </w:rPr>
        <w:t xml:space="preserve"> current scope limits </w:t>
      </w:r>
      <w:r w:rsidRPr="006F7C82" w:rsidR="005F4CEA">
        <w:rPr>
          <w:rFonts w:eastAsia="Calibri"/>
          <w:color w:val="000000" w:themeColor="text1"/>
        </w:rPr>
        <w:t xml:space="preserve">a Consortium’s ability to leverage </w:t>
      </w:r>
      <w:r w:rsidRPr="006F7C82" w:rsidR="007203ED">
        <w:rPr>
          <w:rFonts w:eastAsia="Calibri"/>
          <w:color w:val="000000" w:themeColor="text1"/>
        </w:rPr>
        <w:t xml:space="preserve">other resources that </w:t>
      </w:r>
      <w:r w:rsidRPr="006F7C82" w:rsidR="0031163B">
        <w:rPr>
          <w:rFonts w:eastAsia="Calibri"/>
          <w:color w:val="000000" w:themeColor="text1"/>
        </w:rPr>
        <w:t xml:space="preserve">would </w:t>
      </w:r>
      <w:r w:rsidRPr="006F7C82" w:rsidR="003537E3">
        <w:rPr>
          <w:rFonts w:eastAsia="Calibri"/>
          <w:color w:val="000000" w:themeColor="text1"/>
        </w:rPr>
        <w:t xml:space="preserve">advance the goal </w:t>
      </w:r>
      <w:r w:rsidRPr="006F7C82" w:rsidR="004C2463">
        <w:rPr>
          <w:rFonts w:eastAsia="Calibri"/>
          <w:color w:val="000000" w:themeColor="text1"/>
        </w:rPr>
        <w:t>of providing access to 98 percent of California households.</w:t>
      </w:r>
      <w:r w:rsidRPr="006F7C82" w:rsidR="00A703B5">
        <w:rPr>
          <w:rStyle w:val="FootnoteReference"/>
          <w:rFonts w:eastAsia="Calibri"/>
          <w:color w:val="000000" w:themeColor="text1"/>
          <w:szCs w:val="26"/>
        </w:rPr>
        <w:footnoteReference w:id="155"/>
      </w:r>
    </w:p>
    <w:p w:rsidRPr="006F7C82" w:rsidR="00A640B6" w:rsidP="55E90BF0" w:rsidRDefault="00EA1EFF" w14:paraId="6AEFCAC0" w14:textId="18BCFAC4">
      <w:pPr>
        <w:pStyle w:val="Standard"/>
        <w:rPr>
          <w:rFonts w:eastAsia="Calibri"/>
          <w:color w:val="000000" w:themeColor="text1"/>
          <w:szCs w:val="26"/>
        </w:rPr>
      </w:pPr>
      <w:r w:rsidRPr="006F7C82">
        <w:rPr>
          <w:rFonts w:eastAsia="Calibri"/>
          <w:color w:val="000000" w:themeColor="text1"/>
        </w:rPr>
        <w:lastRenderedPageBreak/>
        <w:t>CETF</w:t>
      </w:r>
      <w:r w:rsidRPr="006F7C82" w:rsidR="00675880">
        <w:rPr>
          <w:rFonts w:eastAsia="Calibri"/>
          <w:color w:val="000000" w:themeColor="text1"/>
        </w:rPr>
        <w:t xml:space="preserve">, acknowledging </w:t>
      </w:r>
      <w:r w:rsidRPr="006F7C82" w:rsidR="001F3A3F">
        <w:rPr>
          <w:rFonts w:eastAsia="Calibri"/>
          <w:color w:val="000000" w:themeColor="text1"/>
        </w:rPr>
        <w:t xml:space="preserve">the statutory limit on the scope </w:t>
      </w:r>
      <w:r w:rsidRPr="006F7C82" w:rsidR="007126D4">
        <w:rPr>
          <w:rFonts w:eastAsia="Calibri"/>
          <w:color w:val="000000" w:themeColor="text1"/>
        </w:rPr>
        <w:t xml:space="preserve">of activities </w:t>
      </w:r>
      <w:r w:rsidRPr="006F7C82" w:rsidR="00DA09C0">
        <w:rPr>
          <w:rFonts w:eastAsia="Calibri"/>
          <w:color w:val="000000" w:themeColor="text1"/>
        </w:rPr>
        <w:t xml:space="preserve">in which Consortia are authorized to engage, </w:t>
      </w:r>
      <w:r w:rsidRPr="006F7C82" w:rsidR="001F29F2">
        <w:rPr>
          <w:rFonts w:eastAsia="Calibri"/>
          <w:color w:val="000000" w:themeColor="text1"/>
        </w:rPr>
        <w:t xml:space="preserve">recommends the Commission </w:t>
      </w:r>
      <w:r w:rsidRPr="006F7C82" w:rsidR="00E56DCF">
        <w:rPr>
          <w:rFonts w:eastAsia="Calibri"/>
          <w:color w:val="000000" w:themeColor="text1"/>
        </w:rPr>
        <w:t xml:space="preserve">seek </w:t>
      </w:r>
      <w:r w:rsidRPr="006F7C82" w:rsidR="000C2744">
        <w:rPr>
          <w:rFonts w:eastAsia="Calibri"/>
          <w:color w:val="000000" w:themeColor="text1"/>
        </w:rPr>
        <w:t xml:space="preserve">reforms to </w:t>
      </w:r>
      <w:r w:rsidRPr="006F7C82" w:rsidR="00C70E3D">
        <w:rPr>
          <w:rFonts w:eastAsia="Calibri"/>
          <w:color w:val="000000" w:themeColor="text1"/>
        </w:rPr>
        <w:t xml:space="preserve">explicitly expand </w:t>
      </w:r>
      <w:r w:rsidRPr="006F7C82" w:rsidR="00044040">
        <w:rPr>
          <w:rFonts w:eastAsia="Calibri"/>
          <w:color w:val="000000" w:themeColor="text1"/>
        </w:rPr>
        <w:t>the role of Consortia.</w:t>
      </w:r>
      <w:r w:rsidRPr="006F7C82" w:rsidR="002E5CB4">
        <w:rPr>
          <w:rStyle w:val="FootnoteReference"/>
          <w:rFonts w:eastAsia="Calibri"/>
          <w:color w:val="000000" w:themeColor="text1"/>
          <w:szCs w:val="26"/>
        </w:rPr>
        <w:footnoteReference w:id="156"/>
      </w:r>
      <w:r w:rsidRPr="006F7C82" w:rsidR="00534A76">
        <w:rPr>
          <w:rFonts w:eastAsia="Calibri"/>
          <w:color w:val="000000" w:themeColor="text1"/>
        </w:rPr>
        <w:t xml:space="preserve"> </w:t>
      </w:r>
    </w:p>
    <w:p w:rsidRPr="006F7C82" w:rsidR="55E90BF0" w:rsidP="55E90BF0" w:rsidRDefault="00410455" w14:paraId="00C470ED" w14:textId="0842A889">
      <w:pPr>
        <w:pStyle w:val="Standard"/>
        <w:rPr>
          <w:rFonts w:eastAsia="Calibri"/>
          <w:color w:val="000000" w:themeColor="text1"/>
        </w:rPr>
      </w:pPr>
      <w:r w:rsidRPr="006F7C82">
        <w:rPr>
          <w:rFonts w:eastAsia="Calibri"/>
          <w:color w:val="000000" w:themeColor="text1"/>
        </w:rPr>
        <w:t xml:space="preserve">The Commission </w:t>
      </w:r>
      <w:r w:rsidRPr="006F7C82" w:rsidR="00BA36FF">
        <w:rPr>
          <w:rFonts w:eastAsia="Calibri"/>
          <w:color w:val="000000" w:themeColor="text1"/>
        </w:rPr>
        <w:t>acknowledges parties’</w:t>
      </w:r>
      <w:r w:rsidRPr="006F7C82">
        <w:rPr>
          <w:rFonts w:eastAsia="Calibri"/>
          <w:color w:val="000000" w:themeColor="text1"/>
        </w:rPr>
        <w:t xml:space="preserve"> comments on including assistance for adoption and public housing projects and other projects beyond new programs created under SB 156 and AB 164 as allowable Consortia activities. </w:t>
      </w:r>
      <w:r w:rsidRPr="006F7C82" w:rsidR="00C93116">
        <w:rPr>
          <w:rFonts w:eastAsia="Calibri"/>
          <w:color w:val="000000" w:themeColor="text1"/>
        </w:rPr>
        <w:t>A</w:t>
      </w:r>
      <w:r w:rsidRPr="006F7C82" w:rsidR="00993A73">
        <w:rPr>
          <w:rFonts w:eastAsia="Calibri"/>
          <w:color w:val="000000" w:themeColor="text1"/>
        </w:rPr>
        <w:t xml:space="preserve">s CETF acknowledges, </w:t>
      </w:r>
      <w:r w:rsidRPr="006F7C82">
        <w:rPr>
          <w:rFonts w:eastAsia="Calibri"/>
          <w:color w:val="000000" w:themeColor="text1"/>
        </w:rPr>
        <w:t>Pub. Util. Code</w:t>
      </w:r>
      <w:r w:rsidRPr="006F7C82" w:rsidR="003033B4">
        <w:rPr>
          <w:rFonts w:eastAsia="Calibri"/>
          <w:color w:val="000000" w:themeColor="text1"/>
        </w:rPr>
        <w:t xml:space="preserve"> </w:t>
      </w:r>
      <w:r w:rsidR="00E76111">
        <w:rPr>
          <w:rFonts w:eastAsia="Calibri"/>
          <w:color w:val="000000" w:themeColor="text1"/>
        </w:rPr>
        <w:t>s</w:t>
      </w:r>
      <w:r w:rsidRPr="006F7C82" w:rsidR="003033B4">
        <w:rPr>
          <w:rFonts w:eastAsia="Calibri"/>
          <w:color w:val="000000" w:themeColor="text1"/>
        </w:rPr>
        <w:t>ection</w:t>
      </w:r>
      <w:r w:rsidRPr="006F7C82">
        <w:rPr>
          <w:rFonts w:eastAsia="Calibri"/>
          <w:color w:val="000000" w:themeColor="text1"/>
        </w:rPr>
        <w:t xml:space="preserve"> 281(g)(1)</w:t>
      </w:r>
      <w:r w:rsidRPr="006F7C82" w:rsidR="00E84657">
        <w:rPr>
          <w:rFonts w:eastAsia="Calibri"/>
          <w:color w:val="000000" w:themeColor="text1"/>
        </w:rPr>
        <w:t xml:space="preserve"> provides that</w:t>
      </w:r>
      <w:r w:rsidRPr="006F7C82">
        <w:rPr>
          <w:rFonts w:eastAsia="Calibri"/>
          <w:color w:val="000000" w:themeColor="text1"/>
        </w:rPr>
        <w:t xml:space="preserve"> the Consortia Account no longer funds adoption activities</w:t>
      </w:r>
      <w:r w:rsidRPr="006F7C82" w:rsidR="003E0003">
        <w:rPr>
          <w:rFonts w:eastAsia="Calibri"/>
          <w:color w:val="000000" w:themeColor="text1"/>
        </w:rPr>
        <w:t>, therefore the Commission declines to extend Consortia responsibility beyond assistance with deployment</w:t>
      </w:r>
      <w:r w:rsidR="00F90D7B">
        <w:rPr>
          <w:rFonts w:eastAsia="Calibri"/>
          <w:color w:val="000000" w:themeColor="text1"/>
        </w:rPr>
        <w:noBreakHyphen/>
      </w:r>
      <w:r w:rsidRPr="006F7C82" w:rsidR="003E0003">
        <w:rPr>
          <w:rFonts w:eastAsia="Calibri"/>
          <w:color w:val="000000" w:themeColor="text1"/>
        </w:rPr>
        <w:t>geared applications</w:t>
      </w:r>
      <w:r w:rsidRPr="006F7C82">
        <w:rPr>
          <w:rFonts w:eastAsia="Calibri"/>
          <w:color w:val="000000" w:themeColor="text1"/>
        </w:rPr>
        <w:t xml:space="preserve">. Any eligible applicants interested in CASF funding for </w:t>
      </w:r>
      <w:r w:rsidRPr="006F7C82" w:rsidDel="00CA4BB4">
        <w:rPr>
          <w:rFonts w:eastAsia="Calibri"/>
          <w:color w:val="000000" w:themeColor="text1"/>
        </w:rPr>
        <w:t>Adoption and Public Housing Account</w:t>
      </w:r>
      <w:r w:rsidRPr="006F7C82">
        <w:rPr>
          <w:rFonts w:eastAsia="Calibri"/>
          <w:color w:val="000000" w:themeColor="text1"/>
        </w:rPr>
        <w:t xml:space="preserve"> </w:t>
      </w:r>
      <w:r w:rsidR="00130AEC">
        <w:rPr>
          <w:rFonts w:eastAsia="Calibri"/>
          <w:color w:val="000000" w:themeColor="text1"/>
        </w:rPr>
        <w:t xml:space="preserve">assistance </w:t>
      </w:r>
      <w:r w:rsidRPr="006F7C82">
        <w:rPr>
          <w:rFonts w:eastAsia="Calibri"/>
          <w:color w:val="000000" w:themeColor="text1"/>
        </w:rPr>
        <w:t xml:space="preserve">may apply to </w:t>
      </w:r>
      <w:r w:rsidRPr="006F7C82" w:rsidR="00CA4BB4">
        <w:rPr>
          <w:rFonts w:eastAsia="Calibri"/>
          <w:color w:val="000000" w:themeColor="text1"/>
        </w:rPr>
        <w:t>those accounts</w:t>
      </w:r>
      <w:r w:rsidRPr="006F7C82">
        <w:rPr>
          <w:rFonts w:eastAsia="Calibri"/>
          <w:color w:val="000000" w:themeColor="text1"/>
        </w:rPr>
        <w:t xml:space="preserve">. Consortia may choose to assist other projects beyond the programs created under SB 156 and AB 164, but these activities are not within the scope of the Consortia Account and will not be reimbursed by the Consortia Account. </w:t>
      </w:r>
      <w:r w:rsidRPr="006F7C82" w:rsidR="00866A40">
        <w:rPr>
          <w:rFonts w:eastAsia="Calibri"/>
          <w:color w:val="000000" w:themeColor="text1"/>
        </w:rPr>
        <w:t xml:space="preserve">In response to LAEDC’s request for </w:t>
      </w:r>
      <w:r w:rsidRPr="006F7C82" w:rsidR="00871152">
        <w:rPr>
          <w:rFonts w:eastAsia="Calibri"/>
          <w:color w:val="000000" w:themeColor="text1"/>
        </w:rPr>
        <w:t>specification</w:t>
      </w:r>
      <w:r w:rsidRPr="006F7C82" w:rsidR="00411907">
        <w:rPr>
          <w:rFonts w:eastAsia="Calibri"/>
          <w:color w:val="000000" w:themeColor="text1"/>
        </w:rPr>
        <w:t xml:space="preserve"> </w:t>
      </w:r>
      <w:r w:rsidRPr="006F7C82" w:rsidR="005F1E33">
        <w:rPr>
          <w:rFonts w:eastAsia="Calibri"/>
          <w:color w:val="000000" w:themeColor="text1"/>
        </w:rPr>
        <w:t xml:space="preserve">of activities that </w:t>
      </w:r>
      <w:r w:rsidRPr="006F7C82" w:rsidR="006D2A71">
        <w:rPr>
          <w:rFonts w:eastAsia="Calibri"/>
          <w:color w:val="000000" w:themeColor="text1"/>
        </w:rPr>
        <w:t xml:space="preserve">assist the Commission in promoting broadband deployment, </w:t>
      </w:r>
      <w:r w:rsidRPr="006F7C82" w:rsidR="00BF3D9E">
        <w:rPr>
          <w:rFonts w:eastAsia="Calibri"/>
          <w:color w:val="000000" w:themeColor="text1"/>
        </w:rPr>
        <w:t>Appendix 3 specifies</w:t>
      </w:r>
      <w:r w:rsidRPr="006F7C82" w:rsidR="000D38D2">
        <w:rPr>
          <w:rFonts w:eastAsia="Calibri"/>
          <w:color w:val="000000" w:themeColor="text1"/>
        </w:rPr>
        <w:t xml:space="preserve"> that such activities include </w:t>
      </w:r>
      <w:r w:rsidRPr="006F7C82" w:rsidR="000D0E12">
        <w:rPr>
          <w:rFonts w:eastAsia="Calibri"/>
          <w:color w:val="000000" w:themeColor="text1"/>
        </w:rPr>
        <w:t xml:space="preserve">Consortia activities directly related to and in support of Federal Funding Account applicants and CASF infrastructure applicants, and other programs including Middle-Mile, Broadband Loan Loss Reserve, and Local Agency Technical Assistance created under SB 156 and AB 164. </w:t>
      </w:r>
      <w:r w:rsidRPr="006F7C82" w:rsidR="000D0E12">
        <w:rPr>
          <w:rFonts w:eastAsia="Book Antiqua" w:cs="Book Antiqua"/>
          <w:color w:val="000000" w:themeColor="text1"/>
        </w:rPr>
        <w:t xml:space="preserve">This includes identifying potential applicants and assisting them with applications, as described in </w:t>
      </w:r>
      <w:r w:rsidR="00FF6FF3">
        <w:rPr>
          <w:rFonts w:eastAsia="Book Antiqua" w:cs="Book Antiqua"/>
          <w:color w:val="000000" w:themeColor="text1"/>
        </w:rPr>
        <w:t>S</w:t>
      </w:r>
      <w:r w:rsidRPr="006F7C82" w:rsidR="000D0E12">
        <w:rPr>
          <w:rFonts w:eastAsia="Book Antiqua" w:cs="Book Antiqua"/>
          <w:color w:val="000000" w:themeColor="text1"/>
        </w:rPr>
        <w:t>ection</w:t>
      </w:r>
      <w:r w:rsidR="00FF6FF3">
        <w:rPr>
          <w:rFonts w:eastAsia="Book Antiqua" w:cs="Book Antiqua"/>
          <w:color w:val="000000" w:themeColor="text1"/>
        </w:rPr>
        <w:t> </w:t>
      </w:r>
      <w:r w:rsidRPr="006F7C82" w:rsidR="000D0E12">
        <w:rPr>
          <w:rFonts w:eastAsia="Book Antiqua" w:cs="Book Antiqua"/>
          <w:color w:val="000000" w:themeColor="text1"/>
        </w:rPr>
        <w:t>1.4 of Appendix 3.</w:t>
      </w:r>
    </w:p>
    <w:p w:rsidRPr="006F7C82" w:rsidR="55E90BF0" w:rsidP="002A4088" w:rsidRDefault="55E90BF0" w14:paraId="597EDEE7" w14:textId="2B3E36FD">
      <w:pPr>
        <w:pStyle w:val="Heading2"/>
        <w:ind w:left="1170" w:hanging="810"/>
        <w:rPr>
          <w:rFonts w:asciiTheme="minorHAnsi" w:hAnsiTheme="minorHAnsi" w:eastAsiaTheme="minorEastAsia" w:cstheme="minorBidi"/>
          <w:color w:val="000000" w:themeColor="text1"/>
        </w:rPr>
      </w:pPr>
      <w:bookmarkStart w:name="_Toc100132372" w:id="31"/>
      <w:r w:rsidRPr="006F7C82">
        <w:rPr>
          <w:color w:val="000000" w:themeColor="text1"/>
        </w:rPr>
        <w:lastRenderedPageBreak/>
        <w:t xml:space="preserve">Annual Maximum Funding Amount </w:t>
      </w:r>
      <w:r w:rsidR="006D2B27">
        <w:rPr>
          <w:color w:val="000000" w:themeColor="text1"/>
        </w:rPr>
        <w:br/>
      </w:r>
      <w:r w:rsidRPr="00C73029">
        <w:rPr>
          <w:color w:val="000000" w:themeColor="text1"/>
        </w:rPr>
        <w:t>per Consortia Grant</w:t>
      </w:r>
      <w:bookmarkEnd w:id="31"/>
    </w:p>
    <w:p w:rsidRPr="006F7C82" w:rsidR="55E90BF0" w:rsidP="55E90BF0" w:rsidRDefault="55E90BF0" w14:paraId="0776D559" w14:textId="715CEDE1">
      <w:pPr>
        <w:pStyle w:val="Standard"/>
        <w:rPr>
          <w:rFonts w:eastAsia="Calibri"/>
          <w:color w:val="000000" w:themeColor="text1"/>
        </w:rPr>
      </w:pPr>
      <w:r w:rsidRPr="006F7C82">
        <w:rPr>
          <w:rFonts w:eastAsia="Calibri"/>
          <w:color w:val="000000" w:themeColor="text1"/>
        </w:rPr>
        <w:t>Consortia grants are currently limited to $150,000 per year per Consortium.</w:t>
      </w:r>
      <w:r w:rsidRPr="006F7C82">
        <w:rPr>
          <w:rStyle w:val="FootnoteReference"/>
          <w:rFonts w:eastAsia="Calibri"/>
          <w:color w:val="000000" w:themeColor="text1"/>
        </w:rPr>
        <w:footnoteReference w:id="157"/>
      </w:r>
      <w:r w:rsidRPr="006F7C82" w:rsidR="00F209CE">
        <w:rPr>
          <w:rFonts w:eastAsia="Calibri"/>
          <w:color w:val="000000" w:themeColor="text1"/>
        </w:rPr>
        <w:t xml:space="preserve"> </w:t>
      </w:r>
      <w:r w:rsidRPr="006F7C82">
        <w:rPr>
          <w:rFonts w:eastAsia="Calibri"/>
          <w:color w:val="000000" w:themeColor="text1"/>
        </w:rPr>
        <w:t>The Second Amended Scoping Memo proposed increasing the annual Consortia grant limit to $200,000 and asked the following question for party comment:</w:t>
      </w:r>
    </w:p>
    <w:p w:rsidRPr="00FF6FF3" w:rsidR="55E90BF0" w:rsidP="00FF6FF3" w:rsidRDefault="55E90BF0" w14:paraId="455F5468" w14:textId="0B9A6ACA">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Should the Commission increase the annual funding cap per Consortia to $200,000?</w:t>
      </w:r>
      <w:r w:rsidRPr="004C2B66" w:rsidR="00F209CE">
        <w:rPr>
          <w:rFonts w:eastAsia="Calibri"/>
          <w:i/>
          <w:iCs/>
          <w:color w:val="000000" w:themeColor="text1"/>
        </w:rPr>
        <w:t xml:space="preserve"> </w:t>
      </w:r>
      <w:r w:rsidRPr="004C2B66">
        <w:rPr>
          <w:rFonts w:eastAsia="Calibri"/>
          <w:i/>
          <w:iCs/>
          <w:color w:val="000000" w:themeColor="text1"/>
        </w:rPr>
        <w:t>Is the proposed annual funding cap reasonable, given the expansion of Consortia allowable activities and accounting for inflation?</w:t>
      </w:r>
      <w:r w:rsidRPr="004C2B66" w:rsidR="00F209CE">
        <w:rPr>
          <w:rFonts w:eastAsia="Calibri"/>
          <w:i/>
          <w:iCs/>
          <w:color w:val="000000" w:themeColor="text1"/>
        </w:rPr>
        <w:t xml:space="preserve"> </w:t>
      </w:r>
      <w:r w:rsidRPr="004C2B66">
        <w:rPr>
          <w:rFonts w:eastAsia="Calibri"/>
          <w:i/>
          <w:iCs/>
          <w:color w:val="000000" w:themeColor="text1"/>
        </w:rPr>
        <w:t>If not, why?</w:t>
      </w:r>
      <w:r w:rsidRPr="004C2B66" w:rsidR="00F209CE">
        <w:rPr>
          <w:rFonts w:eastAsia="Calibri"/>
          <w:i/>
          <w:iCs/>
          <w:color w:val="000000" w:themeColor="text1"/>
        </w:rPr>
        <w:t xml:space="preserve"> </w:t>
      </w:r>
    </w:p>
    <w:p w:rsidRPr="006F7C82" w:rsidR="00FA6ACD" w:rsidP="009567B1" w:rsidRDefault="00FA6ACD" w14:paraId="628F394E" w14:textId="2D820F9A">
      <w:pPr>
        <w:pStyle w:val="Standard"/>
        <w:rPr>
          <w:rFonts w:eastAsia="Calibri"/>
          <w:color w:val="000000" w:themeColor="text1"/>
        </w:rPr>
      </w:pPr>
      <w:r w:rsidRPr="006F7C82">
        <w:rPr>
          <w:rFonts w:eastAsia="Calibri"/>
          <w:color w:val="000000" w:themeColor="text1"/>
        </w:rPr>
        <w:t xml:space="preserve">SCAG is supportive of </w:t>
      </w:r>
      <w:r w:rsidRPr="006F7C82" w:rsidR="004E6192">
        <w:rPr>
          <w:rFonts w:eastAsia="Calibri"/>
          <w:color w:val="000000" w:themeColor="text1"/>
        </w:rPr>
        <w:t>increasing the annual funding cap</w:t>
      </w:r>
      <w:r w:rsidRPr="006F7C82" w:rsidR="000247A3">
        <w:rPr>
          <w:rFonts w:eastAsia="Calibri"/>
          <w:color w:val="000000" w:themeColor="text1"/>
        </w:rPr>
        <w:t xml:space="preserve"> per Consortium to $200,000.</w:t>
      </w:r>
      <w:r w:rsidRPr="006F7C82" w:rsidR="00CE0E5D">
        <w:rPr>
          <w:rStyle w:val="FootnoteReference"/>
          <w:rFonts w:eastAsia="Calibri"/>
          <w:color w:val="000000" w:themeColor="text1"/>
        </w:rPr>
        <w:footnoteReference w:id="158"/>
      </w:r>
    </w:p>
    <w:p w:rsidRPr="006F7C82" w:rsidR="00D029F0" w:rsidP="004A24FF" w:rsidRDefault="00DE2749" w14:paraId="30CA019D" w14:textId="59FE5F20">
      <w:pPr>
        <w:pStyle w:val="Standard"/>
        <w:rPr>
          <w:rFonts w:eastAsia="Calibri"/>
          <w:color w:val="000000" w:themeColor="text1"/>
        </w:rPr>
      </w:pPr>
      <w:r w:rsidRPr="006F7C82">
        <w:rPr>
          <w:rFonts w:eastAsia="Calibri"/>
          <w:color w:val="000000" w:themeColor="text1"/>
        </w:rPr>
        <w:t>CCF</w:t>
      </w:r>
      <w:r w:rsidRPr="006F7C82" w:rsidR="00C362AD">
        <w:rPr>
          <w:rFonts w:eastAsia="Calibri"/>
          <w:color w:val="000000" w:themeColor="text1"/>
        </w:rPr>
        <w:t>,</w:t>
      </w:r>
      <w:r w:rsidRPr="006F7C82">
        <w:rPr>
          <w:rFonts w:eastAsia="Calibri"/>
          <w:color w:val="000000" w:themeColor="text1"/>
        </w:rPr>
        <w:t xml:space="preserve"> </w:t>
      </w:r>
      <w:r w:rsidRPr="006F7C82" w:rsidR="00B954BB">
        <w:rPr>
          <w:rFonts w:eastAsia="Calibri"/>
          <w:color w:val="000000" w:themeColor="text1"/>
        </w:rPr>
        <w:t>CETF</w:t>
      </w:r>
      <w:r w:rsidRPr="006F7C82" w:rsidR="003D5701">
        <w:rPr>
          <w:rFonts w:eastAsia="Calibri"/>
          <w:color w:val="000000" w:themeColor="text1"/>
        </w:rPr>
        <w:t xml:space="preserve">, </w:t>
      </w:r>
      <w:r w:rsidRPr="006F7C82" w:rsidR="00D26738">
        <w:rPr>
          <w:rFonts w:eastAsia="Calibri"/>
          <w:color w:val="000000" w:themeColor="text1"/>
        </w:rPr>
        <w:t xml:space="preserve">IERBC, </w:t>
      </w:r>
      <w:r w:rsidRPr="006F7C82" w:rsidR="003D5701">
        <w:rPr>
          <w:rFonts w:eastAsia="Calibri"/>
          <w:color w:val="000000" w:themeColor="text1"/>
        </w:rPr>
        <w:t>LAEDC</w:t>
      </w:r>
      <w:r w:rsidRPr="006F7C82" w:rsidR="005613FD">
        <w:rPr>
          <w:rFonts w:eastAsia="Calibri"/>
          <w:color w:val="000000" w:themeColor="text1"/>
        </w:rPr>
        <w:t>,</w:t>
      </w:r>
      <w:r w:rsidRPr="006F7C82" w:rsidR="00B954BB">
        <w:rPr>
          <w:rFonts w:eastAsia="Calibri"/>
          <w:color w:val="000000" w:themeColor="text1"/>
        </w:rPr>
        <w:t xml:space="preserve"> and </w:t>
      </w:r>
      <w:r w:rsidRPr="006F7C82" w:rsidR="00BD38DA">
        <w:rPr>
          <w:rFonts w:eastAsia="Calibri"/>
          <w:color w:val="000000" w:themeColor="text1"/>
        </w:rPr>
        <w:t>UNITE-LA</w:t>
      </w:r>
      <w:r w:rsidRPr="006F7C82" w:rsidR="005613FD">
        <w:rPr>
          <w:rFonts w:eastAsia="Calibri"/>
          <w:color w:val="000000" w:themeColor="text1"/>
        </w:rPr>
        <w:t xml:space="preserve"> </w:t>
      </w:r>
      <w:r w:rsidRPr="006F7C82">
        <w:rPr>
          <w:rFonts w:eastAsia="Calibri"/>
          <w:color w:val="000000" w:themeColor="text1"/>
        </w:rPr>
        <w:t xml:space="preserve">urge the Commission to </w:t>
      </w:r>
      <w:r w:rsidRPr="006F7C82" w:rsidR="00541EBC">
        <w:rPr>
          <w:rFonts w:eastAsia="Calibri"/>
          <w:color w:val="000000" w:themeColor="text1"/>
        </w:rPr>
        <w:t>raise the annual funding cap to at least $300,000 per year per Consortium</w:t>
      </w:r>
      <w:r w:rsidRPr="006F7C82" w:rsidR="008F0FC0">
        <w:rPr>
          <w:rFonts w:eastAsia="Calibri"/>
          <w:color w:val="000000" w:themeColor="text1"/>
        </w:rPr>
        <w:t xml:space="preserve">, and CETF asserts the </w:t>
      </w:r>
      <w:r w:rsidRPr="006F7C82" w:rsidR="00D64DEF">
        <w:rPr>
          <w:rFonts w:eastAsia="Calibri"/>
          <w:color w:val="000000" w:themeColor="text1"/>
        </w:rPr>
        <w:t>base funding for Consortia should be $1 million</w:t>
      </w:r>
      <w:r w:rsidRPr="006F7C82" w:rsidR="00D3110B">
        <w:rPr>
          <w:rFonts w:eastAsia="Calibri"/>
          <w:color w:val="000000" w:themeColor="text1"/>
        </w:rPr>
        <w:t>.</w:t>
      </w:r>
      <w:r w:rsidRPr="006F7C82" w:rsidR="00F746B1">
        <w:rPr>
          <w:rStyle w:val="FootnoteReference"/>
          <w:rFonts w:eastAsia="Calibri"/>
          <w:color w:val="000000" w:themeColor="text1"/>
        </w:rPr>
        <w:footnoteReference w:id="159"/>
      </w:r>
      <w:r w:rsidRPr="006F7C82" w:rsidR="00D3110B">
        <w:rPr>
          <w:rFonts w:eastAsia="Calibri"/>
          <w:color w:val="000000" w:themeColor="text1"/>
        </w:rPr>
        <w:t xml:space="preserve"> CCF</w:t>
      </w:r>
      <w:r w:rsidRPr="006F7C82" w:rsidR="008B07B5">
        <w:rPr>
          <w:rFonts w:eastAsia="Calibri"/>
          <w:color w:val="000000" w:themeColor="text1"/>
        </w:rPr>
        <w:t>,</w:t>
      </w:r>
      <w:r w:rsidRPr="006F7C82" w:rsidR="00D3110B">
        <w:rPr>
          <w:rFonts w:eastAsia="Calibri"/>
          <w:color w:val="000000" w:themeColor="text1"/>
        </w:rPr>
        <w:t xml:space="preserve"> </w:t>
      </w:r>
      <w:r w:rsidRPr="006F7C82" w:rsidR="00855754">
        <w:rPr>
          <w:rFonts w:eastAsia="Calibri"/>
          <w:color w:val="000000" w:themeColor="text1"/>
        </w:rPr>
        <w:t>LAEDC</w:t>
      </w:r>
      <w:r w:rsidRPr="006F7C82" w:rsidR="008B07B5">
        <w:rPr>
          <w:rFonts w:eastAsia="Calibri"/>
          <w:color w:val="000000" w:themeColor="text1"/>
        </w:rPr>
        <w:t xml:space="preserve"> and UNITE-LA</w:t>
      </w:r>
      <w:r w:rsidRPr="006F7C82" w:rsidR="00855754">
        <w:rPr>
          <w:rFonts w:eastAsia="Calibri"/>
          <w:color w:val="000000" w:themeColor="text1"/>
        </w:rPr>
        <w:t xml:space="preserve"> </w:t>
      </w:r>
      <w:r w:rsidRPr="006F7C82" w:rsidR="006E179D">
        <w:rPr>
          <w:rFonts w:eastAsia="Calibri"/>
          <w:color w:val="000000" w:themeColor="text1"/>
        </w:rPr>
        <w:t>recommend the Commission</w:t>
      </w:r>
      <w:r w:rsidRPr="006F7C82" w:rsidR="00541EBC">
        <w:rPr>
          <w:rFonts w:eastAsia="Calibri"/>
          <w:color w:val="000000" w:themeColor="text1"/>
        </w:rPr>
        <w:t xml:space="preserve"> develop a </w:t>
      </w:r>
      <w:r w:rsidRPr="006F7C82" w:rsidR="005D3A53">
        <w:rPr>
          <w:rFonts w:eastAsia="Calibri"/>
          <w:color w:val="000000" w:themeColor="text1"/>
        </w:rPr>
        <w:t xml:space="preserve">formula for funding </w:t>
      </w:r>
      <w:r w:rsidRPr="006F7C82" w:rsidR="003A34B5">
        <w:rPr>
          <w:rFonts w:eastAsia="Calibri"/>
          <w:color w:val="000000" w:themeColor="text1"/>
        </w:rPr>
        <w:t>C</w:t>
      </w:r>
      <w:r w:rsidRPr="006F7C82" w:rsidR="005D3A53">
        <w:rPr>
          <w:rFonts w:eastAsia="Calibri"/>
          <w:color w:val="000000" w:themeColor="text1"/>
        </w:rPr>
        <w:t>onsortia based on size of the region and number of people who are underserved or unserved.</w:t>
      </w:r>
      <w:r w:rsidRPr="006F7C82" w:rsidR="00FE7C69">
        <w:rPr>
          <w:rStyle w:val="FootnoteReference"/>
          <w:rFonts w:eastAsia="Calibri"/>
          <w:color w:val="000000" w:themeColor="text1"/>
        </w:rPr>
        <w:footnoteReference w:id="160"/>
      </w:r>
      <w:r w:rsidRPr="006F7C82" w:rsidR="005D3A53">
        <w:rPr>
          <w:rFonts w:eastAsia="Calibri"/>
          <w:color w:val="000000" w:themeColor="text1"/>
        </w:rPr>
        <w:t xml:space="preserve"> </w:t>
      </w:r>
    </w:p>
    <w:p w:rsidRPr="006F7C82" w:rsidR="55E90BF0" w:rsidP="55E90BF0" w:rsidRDefault="009E6FE2" w14:paraId="0E3E6495" w14:textId="23285AB4">
      <w:pPr>
        <w:pStyle w:val="Standard"/>
        <w:rPr>
          <w:rFonts w:eastAsia="Calibri"/>
          <w:color w:val="000000" w:themeColor="text1"/>
          <w:szCs w:val="26"/>
        </w:rPr>
      </w:pPr>
      <w:r w:rsidRPr="006F7C82">
        <w:rPr>
          <w:rFonts w:eastAsia="Calibri"/>
          <w:color w:val="000000" w:themeColor="text1"/>
        </w:rPr>
        <w:t>The proposed annual funding cap of $200,000 is comparable with the expansion of Consortia Account allowable activities</w:t>
      </w:r>
      <w:r w:rsidRPr="006F7C82" w:rsidR="00316B71">
        <w:rPr>
          <w:rFonts w:eastAsia="Calibri"/>
          <w:color w:val="000000" w:themeColor="text1"/>
        </w:rPr>
        <w:t xml:space="preserve">, therefore </w:t>
      </w:r>
      <w:r w:rsidRPr="006F7C82" w:rsidR="0036507D">
        <w:rPr>
          <w:rFonts w:eastAsia="Calibri"/>
          <w:color w:val="000000" w:themeColor="text1"/>
        </w:rPr>
        <w:t xml:space="preserve">the Commission finds it reasonable to </w:t>
      </w:r>
      <w:r w:rsidRPr="006F7C82" w:rsidR="00972B67">
        <w:rPr>
          <w:rFonts w:eastAsia="Calibri"/>
          <w:color w:val="000000" w:themeColor="text1"/>
        </w:rPr>
        <w:t>adopt this proposal</w:t>
      </w:r>
      <w:r w:rsidRPr="006F7C82">
        <w:rPr>
          <w:rFonts w:eastAsia="Calibri"/>
          <w:color w:val="000000" w:themeColor="text1"/>
        </w:rPr>
        <w:t xml:space="preserve">. </w:t>
      </w:r>
      <w:r w:rsidRPr="006F7C82" w:rsidR="000643BA">
        <w:rPr>
          <w:rFonts w:eastAsia="Calibri"/>
          <w:color w:val="000000" w:themeColor="text1"/>
        </w:rPr>
        <w:t xml:space="preserve">The Commission </w:t>
      </w:r>
      <w:r w:rsidRPr="006F7C82" w:rsidR="002E1CC8">
        <w:rPr>
          <w:rFonts w:eastAsia="Calibri"/>
          <w:color w:val="000000" w:themeColor="text1"/>
        </w:rPr>
        <w:t xml:space="preserve">acknowledges </w:t>
      </w:r>
      <w:r w:rsidRPr="006F7C82" w:rsidR="00FA2530">
        <w:rPr>
          <w:rFonts w:eastAsia="Calibri"/>
          <w:color w:val="000000" w:themeColor="text1"/>
        </w:rPr>
        <w:t xml:space="preserve">but </w:t>
      </w:r>
      <w:r w:rsidRPr="006F7C82" w:rsidR="00FA2530">
        <w:rPr>
          <w:rFonts w:eastAsia="Calibri"/>
          <w:color w:val="000000" w:themeColor="text1"/>
        </w:rPr>
        <w:lastRenderedPageBreak/>
        <w:t xml:space="preserve">declines </w:t>
      </w:r>
      <w:r w:rsidRPr="006F7C82" w:rsidR="002E1CC8">
        <w:rPr>
          <w:rFonts w:eastAsia="Calibri"/>
          <w:color w:val="000000" w:themeColor="text1"/>
        </w:rPr>
        <w:t>parties’</w:t>
      </w:r>
      <w:r w:rsidRPr="006F7C82" w:rsidR="000643BA">
        <w:rPr>
          <w:rFonts w:eastAsia="Calibri"/>
          <w:color w:val="000000" w:themeColor="text1"/>
        </w:rPr>
        <w:t xml:space="preserve"> </w:t>
      </w:r>
      <w:r w:rsidRPr="006F7C82" w:rsidR="00222295">
        <w:rPr>
          <w:rFonts w:eastAsia="Calibri"/>
          <w:color w:val="000000" w:themeColor="text1"/>
        </w:rPr>
        <w:t>requests to</w:t>
      </w:r>
      <w:r w:rsidRPr="006F7C82" w:rsidR="000643BA">
        <w:rPr>
          <w:rFonts w:eastAsia="Calibri"/>
          <w:color w:val="000000" w:themeColor="text1"/>
        </w:rPr>
        <w:t xml:space="preserve"> increas</w:t>
      </w:r>
      <w:r w:rsidRPr="006F7C82" w:rsidR="00222295">
        <w:rPr>
          <w:rFonts w:eastAsia="Calibri"/>
          <w:color w:val="000000" w:themeColor="text1"/>
        </w:rPr>
        <w:t>e</w:t>
      </w:r>
      <w:r w:rsidRPr="006F7C82" w:rsidR="000643BA">
        <w:rPr>
          <w:rFonts w:eastAsia="Calibri"/>
          <w:color w:val="000000" w:themeColor="text1"/>
        </w:rPr>
        <w:t xml:space="preserve"> the annual funding cap to at least $300,000 or more per year per </w:t>
      </w:r>
      <w:r w:rsidRPr="006F7C82" w:rsidR="00AF16F0">
        <w:rPr>
          <w:rFonts w:eastAsia="Calibri"/>
          <w:color w:val="000000" w:themeColor="text1"/>
        </w:rPr>
        <w:t>C</w:t>
      </w:r>
      <w:r w:rsidRPr="006F7C82" w:rsidR="000643BA">
        <w:rPr>
          <w:rFonts w:eastAsia="Calibri"/>
          <w:color w:val="000000" w:themeColor="text1"/>
        </w:rPr>
        <w:t>onsortium</w:t>
      </w:r>
      <w:r w:rsidRPr="006F7C82" w:rsidR="00AF16F0">
        <w:rPr>
          <w:rFonts w:eastAsia="Calibri"/>
          <w:color w:val="000000" w:themeColor="text1"/>
        </w:rPr>
        <w:t xml:space="preserve">, </w:t>
      </w:r>
      <w:r w:rsidRPr="006F7C82" w:rsidR="00EC6569">
        <w:rPr>
          <w:rFonts w:eastAsia="Calibri"/>
          <w:color w:val="000000" w:themeColor="text1"/>
        </w:rPr>
        <w:t>and</w:t>
      </w:r>
      <w:r w:rsidRPr="006F7C82" w:rsidR="003A2562">
        <w:rPr>
          <w:rFonts w:eastAsia="Calibri"/>
          <w:color w:val="000000" w:themeColor="text1"/>
        </w:rPr>
        <w:t>/or</w:t>
      </w:r>
      <w:r w:rsidRPr="006F7C82" w:rsidR="00CA2D8A">
        <w:rPr>
          <w:rFonts w:eastAsia="Calibri"/>
          <w:color w:val="000000" w:themeColor="text1"/>
        </w:rPr>
        <w:t xml:space="preserve"> </w:t>
      </w:r>
      <w:r w:rsidRPr="006F7C82" w:rsidR="003A2562">
        <w:rPr>
          <w:rFonts w:eastAsia="Calibri"/>
          <w:color w:val="000000" w:themeColor="text1"/>
        </w:rPr>
        <w:t>to</w:t>
      </w:r>
      <w:r w:rsidRPr="006F7C82" w:rsidR="000643BA">
        <w:rPr>
          <w:rFonts w:eastAsia="Calibri"/>
          <w:color w:val="000000" w:themeColor="text1"/>
        </w:rPr>
        <w:t xml:space="preserve"> utiliz</w:t>
      </w:r>
      <w:r w:rsidRPr="006F7C82" w:rsidR="003A2562">
        <w:rPr>
          <w:rFonts w:eastAsia="Calibri"/>
          <w:color w:val="000000" w:themeColor="text1"/>
        </w:rPr>
        <w:t>e</w:t>
      </w:r>
      <w:r w:rsidRPr="006F7C82" w:rsidR="000643BA">
        <w:rPr>
          <w:rFonts w:eastAsia="Calibri"/>
          <w:color w:val="000000" w:themeColor="text1"/>
        </w:rPr>
        <w:t xml:space="preserve"> a formula </w:t>
      </w:r>
      <w:r w:rsidRPr="006F7C82" w:rsidR="006F4305">
        <w:rPr>
          <w:rFonts w:eastAsia="Calibri"/>
          <w:color w:val="000000" w:themeColor="text1"/>
        </w:rPr>
        <w:t>to set funding amounts</w:t>
      </w:r>
      <w:r w:rsidRPr="006F7C82" w:rsidR="000643BA">
        <w:rPr>
          <w:rFonts w:eastAsia="Calibri"/>
          <w:color w:val="000000" w:themeColor="text1"/>
        </w:rPr>
        <w:t xml:space="preserve">. </w:t>
      </w:r>
      <w:r w:rsidRPr="006F7C82" w:rsidR="002B4ABE">
        <w:rPr>
          <w:rFonts w:eastAsia="Calibri"/>
          <w:color w:val="000000" w:themeColor="text1"/>
        </w:rPr>
        <w:t>Such a formula</w:t>
      </w:r>
      <w:r w:rsidRPr="006F7C82" w:rsidR="004612AF">
        <w:rPr>
          <w:rFonts w:eastAsia="Calibri"/>
          <w:color w:val="000000" w:themeColor="text1"/>
        </w:rPr>
        <w:t xml:space="preserve">, if </w:t>
      </w:r>
      <w:r w:rsidRPr="006F7C82" w:rsidR="002A2C38">
        <w:rPr>
          <w:rFonts w:eastAsia="Calibri"/>
          <w:color w:val="000000" w:themeColor="text1"/>
        </w:rPr>
        <w:t>practicable,</w:t>
      </w:r>
      <w:r w:rsidRPr="006F7C82" w:rsidR="002B4ABE">
        <w:rPr>
          <w:rFonts w:eastAsia="Calibri"/>
          <w:color w:val="000000" w:themeColor="text1"/>
        </w:rPr>
        <w:t xml:space="preserve"> would require </w:t>
      </w:r>
      <w:r w:rsidRPr="006F7C82" w:rsidR="00D17F77">
        <w:rPr>
          <w:rFonts w:eastAsia="Calibri"/>
          <w:color w:val="000000" w:themeColor="text1"/>
        </w:rPr>
        <w:t>careful consideration</w:t>
      </w:r>
      <w:r w:rsidRPr="006F7C82" w:rsidR="000643BA">
        <w:rPr>
          <w:rFonts w:eastAsia="Calibri"/>
          <w:color w:val="000000" w:themeColor="text1"/>
        </w:rPr>
        <w:t xml:space="preserve"> </w:t>
      </w:r>
      <w:r w:rsidRPr="006F7C82" w:rsidR="004F7E46">
        <w:rPr>
          <w:rFonts w:eastAsia="Calibri"/>
          <w:color w:val="000000" w:themeColor="text1"/>
        </w:rPr>
        <w:t xml:space="preserve">that would likely </w:t>
      </w:r>
      <w:r w:rsidRPr="006F7C82" w:rsidR="004C6568">
        <w:rPr>
          <w:rFonts w:eastAsia="Calibri"/>
          <w:color w:val="000000" w:themeColor="text1"/>
        </w:rPr>
        <w:t xml:space="preserve">delay </w:t>
      </w:r>
      <w:r w:rsidRPr="006F7C82" w:rsidR="00EF7857">
        <w:rPr>
          <w:rFonts w:eastAsia="Calibri"/>
          <w:color w:val="000000" w:themeColor="text1"/>
        </w:rPr>
        <w:t>acceptance</w:t>
      </w:r>
      <w:r w:rsidRPr="006F7C82" w:rsidR="004C6568">
        <w:rPr>
          <w:rFonts w:eastAsia="Calibri"/>
          <w:color w:val="000000" w:themeColor="text1"/>
        </w:rPr>
        <w:t xml:space="preserve"> and awarding of new applications, </w:t>
      </w:r>
      <w:r w:rsidRPr="006F7C82" w:rsidR="00EF7857">
        <w:rPr>
          <w:rFonts w:eastAsia="Calibri"/>
          <w:color w:val="000000" w:themeColor="text1"/>
        </w:rPr>
        <w:t xml:space="preserve">which the Commission chooses to prioritize </w:t>
      </w:r>
      <w:r w:rsidRPr="006F7C82" w:rsidR="00023FB9">
        <w:rPr>
          <w:rFonts w:eastAsia="Calibri"/>
          <w:color w:val="000000" w:themeColor="text1"/>
        </w:rPr>
        <w:t>at this time.</w:t>
      </w:r>
      <w:r w:rsidRPr="006F7C82" w:rsidR="000643BA">
        <w:rPr>
          <w:rFonts w:eastAsia="Calibri"/>
          <w:color w:val="000000" w:themeColor="text1"/>
        </w:rPr>
        <w:t xml:space="preserve"> </w:t>
      </w:r>
      <w:r w:rsidRPr="006F7C82" w:rsidR="00023FB9">
        <w:rPr>
          <w:rFonts w:eastAsia="Calibri"/>
          <w:color w:val="000000" w:themeColor="text1"/>
        </w:rPr>
        <w:t>Commission staff may provide recommendations regarding changing the annual funding cap if reasonable following administration of future applications cycles.</w:t>
      </w:r>
      <w:r w:rsidRPr="006F7C82" w:rsidR="000643BA">
        <w:rPr>
          <w:rFonts w:eastAsia="Calibri"/>
          <w:color w:val="000000" w:themeColor="text1"/>
        </w:rPr>
        <w:t xml:space="preserve"> </w:t>
      </w:r>
    </w:p>
    <w:p w:rsidRPr="006F7C82" w:rsidR="55E90BF0" w:rsidP="002A4088" w:rsidRDefault="55E90BF0" w14:paraId="4500BE66" w14:textId="34A94920">
      <w:pPr>
        <w:pStyle w:val="Heading2"/>
        <w:ind w:left="1080" w:hanging="720"/>
        <w:rPr>
          <w:color w:val="000000" w:themeColor="text1"/>
        </w:rPr>
      </w:pPr>
      <w:bookmarkStart w:name="_Toc100132373" w:id="32"/>
      <w:r w:rsidRPr="006F7C82">
        <w:rPr>
          <w:color w:val="000000" w:themeColor="text1"/>
        </w:rPr>
        <w:t xml:space="preserve">Clarifying Consortia Regional </w:t>
      </w:r>
      <w:r w:rsidR="006D2B27">
        <w:rPr>
          <w:color w:val="000000" w:themeColor="text1"/>
        </w:rPr>
        <w:br/>
      </w:r>
      <w:r w:rsidRPr="00C73029">
        <w:rPr>
          <w:color w:val="000000" w:themeColor="text1"/>
        </w:rPr>
        <w:t>Boundary Requirements</w:t>
      </w:r>
      <w:bookmarkEnd w:id="32"/>
    </w:p>
    <w:p w:rsidRPr="006F7C82" w:rsidR="55E90BF0" w:rsidP="55E90BF0" w:rsidRDefault="55E90BF0" w14:paraId="3F358779" w14:textId="2E512895">
      <w:pPr>
        <w:pStyle w:val="Standard"/>
        <w:rPr>
          <w:rFonts w:eastAsia="Calibri"/>
          <w:color w:val="000000" w:themeColor="text1"/>
          <w:szCs w:val="26"/>
        </w:rPr>
      </w:pPr>
      <w:r w:rsidRPr="006F7C82">
        <w:rPr>
          <w:rFonts w:eastAsia="Calibri"/>
          <w:color w:val="000000" w:themeColor="text1"/>
          <w:szCs w:val="26"/>
        </w:rPr>
        <w:t>The Second Amended Scoping Memo proposed a new definition for Consortia Boundaries and requested comment on that proposed definition, as follows:</w:t>
      </w:r>
    </w:p>
    <w:p w:rsidRPr="00FF6FF3" w:rsidR="00AF57AF" w:rsidP="0033369D" w:rsidRDefault="55E90BF0" w14:paraId="3E80042B" w14:textId="7A9E0AA8">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Should the Commission revise the definition of “Consortia region” to “a California region with boundaries largely consistent with county boundaries or the boundaries of multiple counties, or other geographic lines due to geographic characteristics/barriers, such as mountains and basins, for hard</w:t>
      </w:r>
      <w:r w:rsidR="00F90D7B">
        <w:rPr>
          <w:rFonts w:eastAsia="Calibri"/>
          <w:i/>
          <w:iCs/>
          <w:color w:val="000000" w:themeColor="text1"/>
        </w:rPr>
        <w:noBreakHyphen/>
      </w:r>
      <w:r w:rsidRPr="004C2B66">
        <w:rPr>
          <w:rFonts w:eastAsia="Calibri"/>
          <w:i/>
          <w:iCs/>
          <w:color w:val="000000" w:themeColor="text1"/>
        </w:rPr>
        <w:t xml:space="preserve">to-serve areas, </w:t>
      </w:r>
      <w:proofErr w:type="gramStart"/>
      <w:r w:rsidRPr="004C2B66">
        <w:rPr>
          <w:rFonts w:eastAsia="Calibri"/>
          <w:i/>
          <w:iCs/>
          <w:color w:val="000000" w:themeColor="text1"/>
        </w:rPr>
        <w:t>as long as</w:t>
      </w:r>
      <w:proofErr w:type="gramEnd"/>
      <w:r w:rsidRPr="004C2B66">
        <w:rPr>
          <w:rFonts w:eastAsia="Calibri"/>
          <w:i/>
          <w:iCs/>
          <w:color w:val="000000" w:themeColor="text1"/>
        </w:rPr>
        <w:t xml:space="preserve"> the areas do not overlap with other Consortia regions?” </w:t>
      </w:r>
    </w:p>
    <w:p w:rsidRPr="00FF6FF3" w:rsidR="00AF57AF" w:rsidP="0033369D" w:rsidRDefault="55E90BF0" w14:paraId="5EBCEEEB" w14:textId="029F3923">
      <w:pPr>
        <w:pStyle w:val="Standard"/>
        <w:numPr>
          <w:ilvl w:val="0"/>
          <w:numId w:val="5"/>
        </w:numPr>
        <w:spacing w:after="120" w:line="240" w:lineRule="auto"/>
        <w:ind w:left="1080" w:right="1440"/>
        <w:rPr>
          <w:rFonts w:eastAsia="Calibri"/>
          <w:i/>
          <w:iCs/>
          <w:color w:val="000000" w:themeColor="text1"/>
        </w:rPr>
      </w:pPr>
      <w:r w:rsidRPr="002A4088">
        <w:rPr>
          <w:rFonts w:eastAsia="Calibri"/>
          <w:i/>
          <w:iCs/>
          <w:color w:val="000000" w:themeColor="text1"/>
        </w:rPr>
        <w:t>Is it reasonable to require Consortia boundaries to coincide with county boundaries in most cases?</w:t>
      </w:r>
      <w:r w:rsidRPr="002A4088" w:rsidR="00F209CE">
        <w:rPr>
          <w:rFonts w:eastAsia="Calibri"/>
          <w:i/>
          <w:iCs/>
          <w:color w:val="000000" w:themeColor="text1"/>
        </w:rPr>
        <w:t xml:space="preserve"> </w:t>
      </w:r>
      <w:r w:rsidRPr="002A4088">
        <w:rPr>
          <w:rFonts w:eastAsia="Calibri"/>
          <w:i/>
          <w:iCs/>
          <w:color w:val="000000" w:themeColor="text1"/>
        </w:rPr>
        <w:t>If so, in which cases should Consortia be authorized to have boundaries that do not coincide with county boundaries?</w:t>
      </w:r>
      <w:r w:rsidRPr="002A4088" w:rsidR="00F209CE">
        <w:rPr>
          <w:rFonts w:eastAsia="Calibri"/>
          <w:i/>
          <w:iCs/>
          <w:color w:val="000000" w:themeColor="text1"/>
        </w:rPr>
        <w:t xml:space="preserve"> </w:t>
      </w:r>
      <w:r w:rsidRPr="002A4088">
        <w:rPr>
          <w:rFonts w:eastAsia="Calibri"/>
          <w:i/>
          <w:iCs/>
          <w:color w:val="000000" w:themeColor="text1"/>
        </w:rPr>
        <w:t xml:space="preserve">How should applicants be required to demonstrate the reasonableness of proposed Consortia boundaries that do not coincide with county boundaries? </w:t>
      </w:r>
    </w:p>
    <w:p w:rsidRPr="002A4088" w:rsidR="00807F50" w:rsidP="0033369D" w:rsidRDefault="55E90BF0" w14:paraId="313DF382" w14:textId="72206673">
      <w:pPr>
        <w:pStyle w:val="Standard"/>
        <w:numPr>
          <w:ilvl w:val="0"/>
          <w:numId w:val="5"/>
        </w:numPr>
        <w:spacing w:after="120" w:line="240" w:lineRule="auto"/>
        <w:ind w:left="1080" w:right="1440"/>
        <w:rPr>
          <w:rFonts w:eastAsia="Calibri"/>
          <w:i/>
          <w:iCs/>
          <w:color w:val="000000" w:themeColor="text1"/>
        </w:rPr>
      </w:pPr>
      <w:r w:rsidRPr="004C2B66">
        <w:rPr>
          <w:rFonts w:eastAsia="Calibri"/>
          <w:i/>
          <w:iCs/>
          <w:color w:val="000000" w:themeColor="text1"/>
        </w:rPr>
        <w:t>When requesting to represent only a portion of a county, what additional information, if any, should the consortium applicant provide to the Commission, other than the following:</w:t>
      </w:r>
      <w:r w:rsidR="00F90D7B">
        <w:rPr>
          <w:rFonts w:eastAsia="Calibri"/>
          <w:i/>
          <w:iCs/>
          <w:color w:val="000000" w:themeColor="text1"/>
        </w:rPr>
        <w:t xml:space="preserve"> </w:t>
      </w:r>
      <w:r w:rsidRPr="004C2B66">
        <w:rPr>
          <w:rFonts w:eastAsia="Calibri"/>
          <w:i/>
          <w:iCs/>
          <w:color w:val="000000" w:themeColor="text1"/>
        </w:rPr>
        <w:t xml:space="preserve">(1) its justifications and reasons for the request, with supporting data and facts (e.g., shapefile geodata), (2) a clear definition of the areas within the county it wishes to represent, including a description of the area(s) and a map, (3) a jointly signed agreement letter with any other consortia representing the same county, and (4) demonstration that there will be no geographic </w:t>
      </w:r>
      <w:r w:rsidRPr="004C2B66">
        <w:rPr>
          <w:rFonts w:eastAsia="Calibri"/>
          <w:i/>
          <w:iCs/>
          <w:color w:val="000000" w:themeColor="text1"/>
        </w:rPr>
        <w:lastRenderedPageBreak/>
        <w:t>overlap with other consortia, including a map showing no boundary overlap?</w:t>
      </w:r>
      <w:r w:rsidRPr="004C2B66" w:rsidR="00F209CE">
        <w:rPr>
          <w:rFonts w:eastAsia="Calibri"/>
          <w:i/>
          <w:iCs/>
          <w:color w:val="000000" w:themeColor="text1"/>
        </w:rPr>
        <w:t xml:space="preserve"> </w:t>
      </w:r>
      <w:r w:rsidRPr="004C2B66">
        <w:rPr>
          <w:rFonts w:eastAsia="Calibri"/>
          <w:i/>
          <w:iCs/>
          <w:color w:val="000000" w:themeColor="text1"/>
        </w:rPr>
        <w:t xml:space="preserve">Is this information sufficient to allow consideration of such proposals? </w:t>
      </w:r>
    </w:p>
    <w:p w:rsidRPr="006F7C82" w:rsidR="0038125D" w:rsidP="00DA1382" w:rsidRDefault="00296B61" w14:paraId="46CD3D4D" w14:textId="24243C41">
      <w:pPr>
        <w:pStyle w:val="Standard"/>
        <w:rPr>
          <w:rFonts w:eastAsia="Calibri"/>
          <w:color w:val="000000" w:themeColor="text1"/>
          <w:szCs w:val="26"/>
        </w:rPr>
      </w:pPr>
      <w:r w:rsidRPr="006F7C82">
        <w:rPr>
          <w:rFonts w:eastAsia="Calibri"/>
          <w:color w:val="000000" w:themeColor="text1"/>
        </w:rPr>
        <w:t>CCF</w:t>
      </w:r>
      <w:r w:rsidRPr="006F7C82" w:rsidR="00134684">
        <w:rPr>
          <w:rFonts w:eastAsia="Calibri"/>
          <w:color w:val="000000" w:themeColor="text1"/>
        </w:rPr>
        <w:t>,</w:t>
      </w:r>
      <w:r w:rsidRPr="006F7C82">
        <w:rPr>
          <w:rFonts w:eastAsia="Calibri"/>
          <w:color w:val="000000" w:themeColor="text1"/>
        </w:rPr>
        <w:t xml:space="preserve"> </w:t>
      </w:r>
      <w:r w:rsidRPr="006F7C82" w:rsidR="00E35783">
        <w:rPr>
          <w:rFonts w:eastAsia="Calibri"/>
          <w:color w:val="000000" w:themeColor="text1"/>
        </w:rPr>
        <w:t>CETF</w:t>
      </w:r>
      <w:r w:rsidRPr="006F7C82" w:rsidR="00134684">
        <w:rPr>
          <w:rFonts w:eastAsia="Calibri"/>
          <w:color w:val="000000" w:themeColor="text1"/>
        </w:rPr>
        <w:t xml:space="preserve">, </w:t>
      </w:r>
      <w:r w:rsidRPr="006F7C82" w:rsidR="002D61D1">
        <w:rPr>
          <w:rFonts w:eastAsia="Calibri"/>
          <w:color w:val="000000" w:themeColor="text1"/>
        </w:rPr>
        <w:t xml:space="preserve">IERBC, </w:t>
      </w:r>
      <w:r w:rsidRPr="006F7C82" w:rsidR="00134684">
        <w:rPr>
          <w:rFonts w:eastAsia="Calibri"/>
          <w:color w:val="000000" w:themeColor="text1"/>
        </w:rPr>
        <w:t>LAEDC</w:t>
      </w:r>
      <w:r w:rsidRPr="006F7C82" w:rsidR="00026AED">
        <w:rPr>
          <w:rFonts w:eastAsia="Calibri"/>
          <w:color w:val="000000" w:themeColor="text1"/>
        </w:rPr>
        <w:t xml:space="preserve"> and UNITE-LA</w:t>
      </w:r>
      <w:r w:rsidRPr="006F7C82" w:rsidR="00E35783">
        <w:rPr>
          <w:rFonts w:eastAsia="Calibri"/>
          <w:color w:val="000000" w:themeColor="text1"/>
        </w:rPr>
        <w:t xml:space="preserve"> </w:t>
      </w:r>
      <w:r w:rsidRPr="006F7C82" w:rsidR="00873FDC">
        <w:rPr>
          <w:rFonts w:eastAsia="Calibri"/>
          <w:color w:val="000000" w:themeColor="text1"/>
        </w:rPr>
        <w:t xml:space="preserve">support </w:t>
      </w:r>
      <w:r w:rsidRPr="006F7C82" w:rsidR="00AA5967">
        <w:rPr>
          <w:rFonts w:eastAsia="Calibri"/>
          <w:color w:val="000000" w:themeColor="text1"/>
        </w:rPr>
        <w:t>keeping</w:t>
      </w:r>
      <w:r w:rsidRPr="006F7C82" w:rsidR="0023001B">
        <w:rPr>
          <w:rFonts w:eastAsia="Calibri"/>
          <w:color w:val="000000" w:themeColor="text1"/>
        </w:rPr>
        <w:t xml:space="preserve"> Consortia region boundaries </w:t>
      </w:r>
      <w:r w:rsidRPr="006F7C82" w:rsidR="00AA5967">
        <w:rPr>
          <w:rFonts w:eastAsia="Calibri"/>
          <w:color w:val="000000" w:themeColor="text1"/>
        </w:rPr>
        <w:t>consistent with county boundaries</w:t>
      </w:r>
      <w:r w:rsidRPr="006F7C82" w:rsidR="004A3BF7">
        <w:rPr>
          <w:rFonts w:eastAsia="Calibri"/>
          <w:color w:val="000000" w:themeColor="text1"/>
        </w:rPr>
        <w:t>.</w:t>
      </w:r>
      <w:r w:rsidRPr="006F7C82" w:rsidR="005B5719">
        <w:rPr>
          <w:rStyle w:val="FootnoteReference"/>
          <w:rFonts w:eastAsia="Calibri"/>
          <w:color w:val="000000" w:themeColor="text1"/>
          <w:szCs w:val="26"/>
        </w:rPr>
        <w:footnoteReference w:id="161"/>
      </w:r>
      <w:r w:rsidRPr="006F7C82" w:rsidR="000C4769">
        <w:rPr>
          <w:rFonts w:eastAsia="Calibri"/>
          <w:color w:val="000000" w:themeColor="text1"/>
        </w:rPr>
        <w:t xml:space="preserve"> </w:t>
      </w:r>
    </w:p>
    <w:p w:rsidRPr="006F7C82" w:rsidR="00AB289D" w:rsidP="00DA1382" w:rsidRDefault="00AB289D" w14:paraId="68795934" w14:textId="10676735">
      <w:pPr>
        <w:pStyle w:val="Standard"/>
        <w:rPr>
          <w:rFonts w:eastAsia="Calibri"/>
          <w:color w:val="000000" w:themeColor="text1"/>
        </w:rPr>
      </w:pPr>
      <w:r w:rsidRPr="006F7C82">
        <w:rPr>
          <w:rFonts w:eastAsia="Calibri"/>
          <w:color w:val="000000" w:themeColor="text1"/>
        </w:rPr>
        <w:t xml:space="preserve">In cases of a special project area </w:t>
      </w:r>
      <w:r w:rsidRPr="006F7C82" w:rsidR="00701FAD">
        <w:rPr>
          <w:rFonts w:eastAsia="Calibri"/>
          <w:color w:val="000000" w:themeColor="text1"/>
        </w:rPr>
        <w:t>that is within a county or is shared by two</w:t>
      </w:r>
      <w:r w:rsidR="00F90D7B">
        <w:rPr>
          <w:rFonts w:eastAsia="Calibri"/>
          <w:color w:val="000000" w:themeColor="text1"/>
        </w:rPr>
        <w:t> </w:t>
      </w:r>
      <w:r w:rsidRPr="006F7C82" w:rsidR="00701FAD">
        <w:rPr>
          <w:rFonts w:eastAsia="Calibri"/>
          <w:color w:val="000000" w:themeColor="text1"/>
        </w:rPr>
        <w:t>counties across b</w:t>
      </w:r>
      <w:r w:rsidRPr="006F7C82" w:rsidR="002650A1">
        <w:rPr>
          <w:rFonts w:eastAsia="Calibri"/>
          <w:color w:val="000000" w:themeColor="text1"/>
        </w:rPr>
        <w:t xml:space="preserve">oundaries, CETF </w:t>
      </w:r>
      <w:r w:rsidRPr="006F7C82" w:rsidR="000A5D9E">
        <w:rPr>
          <w:rFonts w:eastAsia="Calibri"/>
          <w:color w:val="000000" w:themeColor="text1"/>
        </w:rPr>
        <w:t>recommends</w:t>
      </w:r>
      <w:r w:rsidRPr="006F7C82" w:rsidR="002650A1">
        <w:rPr>
          <w:rFonts w:eastAsia="Calibri"/>
          <w:color w:val="000000" w:themeColor="text1"/>
        </w:rPr>
        <w:t xml:space="preserve"> the Commission </w:t>
      </w:r>
      <w:r w:rsidRPr="006F7C82" w:rsidR="00A51A7E">
        <w:rPr>
          <w:rFonts w:eastAsia="Calibri"/>
          <w:color w:val="000000" w:themeColor="text1"/>
        </w:rPr>
        <w:t>support the relevant existing Consortia</w:t>
      </w:r>
      <w:r w:rsidRPr="006F7C82" w:rsidR="00283EAA">
        <w:rPr>
          <w:rFonts w:eastAsia="Calibri"/>
          <w:color w:val="000000" w:themeColor="text1"/>
        </w:rPr>
        <w:t xml:space="preserve"> rather than create a new </w:t>
      </w:r>
      <w:r w:rsidRPr="006F7C82" w:rsidR="00927D81">
        <w:rPr>
          <w:rFonts w:eastAsia="Calibri"/>
          <w:color w:val="000000" w:themeColor="text1"/>
        </w:rPr>
        <w:t>one.</w:t>
      </w:r>
      <w:r w:rsidRPr="006F7C82" w:rsidR="00EF20D9">
        <w:rPr>
          <w:rStyle w:val="FootnoteReference"/>
          <w:rFonts w:eastAsia="Calibri"/>
          <w:color w:val="000000" w:themeColor="text1"/>
        </w:rPr>
        <w:footnoteReference w:id="162"/>
      </w:r>
      <w:r w:rsidRPr="006F7C82" w:rsidR="00927D81">
        <w:rPr>
          <w:rFonts w:eastAsia="Calibri"/>
          <w:color w:val="000000" w:themeColor="text1"/>
        </w:rPr>
        <w:t xml:space="preserve"> </w:t>
      </w:r>
      <w:r w:rsidRPr="006F7C82" w:rsidR="00D13BFE">
        <w:rPr>
          <w:rFonts w:eastAsia="Calibri"/>
          <w:color w:val="000000" w:themeColor="text1"/>
        </w:rPr>
        <w:t>IERBC notes that</w:t>
      </w:r>
      <w:r w:rsidRPr="006F7C82" w:rsidR="00DF1B78">
        <w:rPr>
          <w:rFonts w:eastAsia="Calibri"/>
          <w:color w:val="000000" w:themeColor="text1"/>
        </w:rPr>
        <w:t xml:space="preserve"> it has addressed a situation </w:t>
      </w:r>
      <w:r w:rsidRPr="006F7C82" w:rsidR="00BB1189">
        <w:rPr>
          <w:rFonts w:eastAsia="Calibri"/>
          <w:color w:val="000000" w:themeColor="text1"/>
        </w:rPr>
        <w:t xml:space="preserve">where </w:t>
      </w:r>
      <w:r w:rsidRPr="006F7C82" w:rsidR="00FA0276">
        <w:rPr>
          <w:rFonts w:eastAsia="Calibri"/>
          <w:color w:val="000000" w:themeColor="text1"/>
        </w:rPr>
        <w:t xml:space="preserve">a particular community </w:t>
      </w:r>
      <w:proofErr w:type="gramStart"/>
      <w:r w:rsidRPr="006F7C82" w:rsidR="00BB1189">
        <w:rPr>
          <w:rFonts w:eastAsia="Calibri"/>
          <w:color w:val="000000" w:themeColor="text1"/>
        </w:rPr>
        <w:t>was located in</w:t>
      </w:r>
      <w:proofErr w:type="gramEnd"/>
      <w:r w:rsidRPr="006F7C82" w:rsidR="00BB1189">
        <w:rPr>
          <w:rFonts w:eastAsia="Calibri"/>
          <w:color w:val="000000" w:themeColor="text1"/>
        </w:rPr>
        <w:t xml:space="preserve"> a different county, by </w:t>
      </w:r>
      <w:r w:rsidRPr="006F7C82" w:rsidR="004C7881">
        <w:rPr>
          <w:rFonts w:eastAsia="Calibri"/>
          <w:color w:val="000000" w:themeColor="text1"/>
        </w:rPr>
        <w:t>actively participating in the neighboring county Consortia activities.</w:t>
      </w:r>
      <w:r w:rsidRPr="006F7C82" w:rsidR="00F5741A">
        <w:rPr>
          <w:rStyle w:val="FootnoteReference"/>
          <w:rFonts w:eastAsia="Calibri"/>
          <w:color w:val="000000" w:themeColor="text1"/>
        </w:rPr>
        <w:footnoteReference w:id="163"/>
      </w:r>
    </w:p>
    <w:p w:rsidRPr="006F7C82" w:rsidR="00F839EB" w:rsidP="00DA1382" w:rsidRDefault="00E7529C" w14:paraId="7C93A8F1" w14:textId="5077E2C2">
      <w:pPr>
        <w:pStyle w:val="Standard"/>
        <w:rPr>
          <w:rFonts w:eastAsia="Calibri"/>
          <w:color w:val="000000" w:themeColor="text1"/>
          <w:szCs w:val="26"/>
        </w:rPr>
      </w:pPr>
      <w:r w:rsidRPr="006F7C82">
        <w:rPr>
          <w:rFonts w:eastAsia="Calibri"/>
          <w:color w:val="000000" w:themeColor="text1"/>
        </w:rPr>
        <w:t xml:space="preserve">In cases </w:t>
      </w:r>
      <w:r w:rsidRPr="006F7C82" w:rsidR="002E57EC">
        <w:rPr>
          <w:rFonts w:eastAsia="Calibri"/>
          <w:color w:val="000000" w:themeColor="text1"/>
        </w:rPr>
        <w:t xml:space="preserve">of communities </w:t>
      </w:r>
      <w:r w:rsidRPr="006F7C82" w:rsidR="002841BE">
        <w:rPr>
          <w:rFonts w:eastAsia="Calibri"/>
          <w:color w:val="000000" w:themeColor="text1"/>
        </w:rPr>
        <w:t xml:space="preserve">within geographic proximity </w:t>
      </w:r>
      <w:r w:rsidRPr="006F7C82" w:rsidR="00B45FE2">
        <w:rPr>
          <w:rFonts w:eastAsia="Calibri"/>
          <w:color w:val="000000" w:themeColor="text1"/>
        </w:rPr>
        <w:t xml:space="preserve">and </w:t>
      </w:r>
      <w:r w:rsidRPr="006F7C82" w:rsidR="005A71C9">
        <w:rPr>
          <w:rFonts w:eastAsia="Calibri"/>
          <w:color w:val="000000" w:themeColor="text1"/>
        </w:rPr>
        <w:t xml:space="preserve">not being served by a Consortium, </w:t>
      </w:r>
      <w:r w:rsidRPr="006F7C82">
        <w:rPr>
          <w:rFonts w:eastAsia="Calibri"/>
          <w:color w:val="000000" w:themeColor="text1"/>
        </w:rPr>
        <w:t xml:space="preserve">LAEDC </w:t>
      </w:r>
      <w:r w:rsidRPr="006F7C82" w:rsidR="000A2B5C">
        <w:rPr>
          <w:rFonts w:eastAsia="Calibri"/>
          <w:color w:val="000000" w:themeColor="text1"/>
        </w:rPr>
        <w:t xml:space="preserve">supports </w:t>
      </w:r>
      <w:r w:rsidRPr="006F7C82" w:rsidR="007D5845">
        <w:rPr>
          <w:rFonts w:eastAsia="Calibri"/>
          <w:color w:val="000000" w:themeColor="text1"/>
        </w:rPr>
        <w:t>enabling an existing Consortium to request to extend its boundaries to serve these residents</w:t>
      </w:r>
      <w:r w:rsidRPr="006F7C82" w:rsidR="00EE4A5F">
        <w:rPr>
          <w:rFonts w:eastAsia="Calibri"/>
          <w:color w:val="000000" w:themeColor="text1"/>
        </w:rPr>
        <w:t>.</w:t>
      </w:r>
      <w:r w:rsidRPr="006F7C82" w:rsidR="0009745B">
        <w:rPr>
          <w:rStyle w:val="FootnoteReference"/>
          <w:rFonts w:eastAsia="Calibri"/>
          <w:color w:val="000000" w:themeColor="text1"/>
          <w:szCs w:val="26"/>
        </w:rPr>
        <w:footnoteReference w:id="164"/>
      </w:r>
      <w:r w:rsidRPr="006F7C82" w:rsidR="00EE4A5F">
        <w:rPr>
          <w:rFonts w:eastAsia="Calibri"/>
          <w:color w:val="000000" w:themeColor="text1"/>
        </w:rPr>
        <w:t xml:space="preserve"> Similarly,</w:t>
      </w:r>
      <w:r w:rsidRPr="006F7C82">
        <w:rPr>
          <w:rFonts w:eastAsia="Calibri"/>
          <w:color w:val="000000" w:themeColor="text1"/>
        </w:rPr>
        <w:t xml:space="preserve"> </w:t>
      </w:r>
      <w:r w:rsidRPr="006F7C82" w:rsidR="00006BFA">
        <w:rPr>
          <w:rFonts w:eastAsia="Calibri"/>
          <w:color w:val="000000" w:themeColor="text1"/>
        </w:rPr>
        <w:t xml:space="preserve">UNITE-LA notes that </w:t>
      </w:r>
      <w:r w:rsidRPr="006F7C82" w:rsidR="00BE33DD">
        <w:rPr>
          <w:rFonts w:eastAsia="Calibri"/>
          <w:color w:val="000000" w:themeColor="text1"/>
        </w:rPr>
        <w:t xml:space="preserve">if a region is not being served by a Consortium, </w:t>
      </w:r>
      <w:r w:rsidRPr="006F7C82" w:rsidR="001C159D">
        <w:rPr>
          <w:rFonts w:eastAsia="Calibri"/>
          <w:color w:val="000000" w:themeColor="text1"/>
        </w:rPr>
        <w:t xml:space="preserve">it may be reasonable </w:t>
      </w:r>
      <w:r w:rsidRPr="006F7C82" w:rsidR="00362D6A">
        <w:rPr>
          <w:rFonts w:eastAsia="Calibri"/>
          <w:color w:val="000000" w:themeColor="text1"/>
        </w:rPr>
        <w:t xml:space="preserve">for a Consortium to have multiple regions </w:t>
      </w:r>
      <w:r w:rsidRPr="006F7C82" w:rsidR="00C533EB">
        <w:rPr>
          <w:rFonts w:eastAsia="Calibri"/>
          <w:color w:val="000000" w:themeColor="text1"/>
        </w:rPr>
        <w:t>if those regions are contiguous.</w:t>
      </w:r>
      <w:r w:rsidRPr="006F7C82" w:rsidR="006A2093">
        <w:rPr>
          <w:rStyle w:val="FootnoteReference"/>
          <w:rFonts w:eastAsia="Calibri"/>
          <w:color w:val="000000" w:themeColor="text1"/>
          <w:szCs w:val="26"/>
        </w:rPr>
        <w:footnoteReference w:id="165"/>
      </w:r>
    </w:p>
    <w:p w:rsidRPr="006F7C82" w:rsidR="00807F50" w:rsidP="00DA1382" w:rsidRDefault="00B639EE" w14:paraId="762941D4" w14:textId="6554DD31">
      <w:pPr>
        <w:pStyle w:val="Standard"/>
        <w:rPr>
          <w:rFonts w:eastAsia="Calibri"/>
          <w:color w:val="000000" w:themeColor="text1"/>
          <w:szCs w:val="26"/>
        </w:rPr>
      </w:pPr>
      <w:r w:rsidRPr="006F7C82">
        <w:rPr>
          <w:rFonts w:eastAsia="Calibri"/>
          <w:color w:val="000000" w:themeColor="text1"/>
        </w:rPr>
        <w:t>CETF and LAEDC support</w:t>
      </w:r>
      <w:r w:rsidRPr="006F7C82" w:rsidR="000C4769">
        <w:rPr>
          <w:rFonts w:eastAsia="Calibri"/>
          <w:color w:val="000000" w:themeColor="text1"/>
        </w:rPr>
        <w:t xml:space="preserve"> </w:t>
      </w:r>
      <w:r w:rsidRPr="006F7C82" w:rsidR="00DC4910">
        <w:rPr>
          <w:rFonts w:eastAsia="Calibri"/>
          <w:color w:val="000000" w:themeColor="text1"/>
        </w:rPr>
        <w:t>maintaining a rule of a single Consortium for each county</w:t>
      </w:r>
      <w:r w:rsidRPr="006F7C82" w:rsidR="003577DC">
        <w:rPr>
          <w:rFonts w:eastAsia="Calibri"/>
          <w:color w:val="000000" w:themeColor="text1"/>
        </w:rPr>
        <w:t>.</w:t>
      </w:r>
      <w:r w:rsidRPr="006F7C82" w:rsidR="007200B1">
        <w:rPr>
          <w:rStyle w:val="FootnoteReference"/>
          <w:rFonts w:eastAsia="Calibri"/>
          <w:color w:val="000000" w:themeColor="text1"/>
          <w:szCs w:val="26"/>
        </w:rPr>
        <w:footnoteReference w:id="166"/>
      </w:r>
      <w:r w:rsidRPr="006F7C82" w:rsidR="0016213B">
        <w:rPr>
          <w:rFonts w:eastAsia="Calibri"/>
          <w:color w:val="000000" w:themeColor="text1"/>
        </w:rPr>
        <w:t xml:space="preserve"> UNITE-LA </w:t>
      </w:r>
      <w:r w:rsidRPr="006F7C82" w:rsidR="00C83E7B">
        <w:rPr>
          <w:rFonts w:eastAsia="Calibri"/>
          <w:color w:val="000000" w:themeColor="text1"/>
        </w:rPr>
        <w:t xml:space="preserve">advocates </w:t>
      </w:r>
      <w:r w:rsidRPr="006F7C82" w:rsidR="003D02FF">
        <w:rPr>
          <w:rFonts w:eastAsia="Calibri"/>
          <w:color w:val="000000" w:themeColor="text1"/>
        </w:rPr>
        <w:t>for giving preference to applications that serve an entire county as opposed to a portion of a county</w:t>
      </w:r>
      <w:r w:rsidRPr="006F7C82" w:rsidR="00DA1382">
        <w:rPr>
          <w:rFonts w:eastAsia="Calibri"/>
          <w:color w:val="000000" w:themeColor="text1"/>
        </w:rPr>
        <w:t>.</w:t>
      </w:r>
      <w:r w:rsidRPr="006F7C82" w:rsidR="00B2295F">
        <w:rPr>
          <w:rStyle w:val="FootnoteReference"/>
          <w:rFonts w:eastAsia="Calibri"/>
          <w:color w:val="000000" w:themeColor="text1"/>
          <w:szCs w:val="26"/>
        </w:rPr>
        <w:footnoteReference w:id="167"/>
      </w:r>
    </w:p>
    <w:p w:rsidRPr="006D2B27" w:rsidR="00E3277C" w:rsidP="00DA1382" w:rsidRDefault="000E4E77" w14:paraId="4E419AF6" w14:textId="5E2C7917">
      <w:pPr>
        <w:pStyle w:val="Standard"/>
        <w:rPr>
          <w:rFonts w:eastAsia="Calibri"/>
          <w:color w:val="000000" w:themeColor="text1"/>
          <w:highlight w:val="yellow"/>
        </w:rPr>
      </w:pPr>
      <w:r w:rsidRPr="1E36BC02">
        <w:rPr>
          <w:rFonts w:eastAsia="Calibri"/>
          <w:color w:val="000000" w:themeColor="text1"/>
        </w:rPr>
        <w:lastRenderedPageBreak/>
        <w:t xml:space="preserve">With respect to Question 38, the Commission clarifies that </w:t>
      </w:r>
      <w:r w:rsidRPr="1E36BC02" w:rsidR="00E216A3">
        <w:rPr>
          <w:rFonts w:eastAsia="Calibri"/>
          <w:color w:val="000000" w:themeColor="text1"/>
        </w:rPr>
        <w:t xml:space="preserve">the proposed </w:t>
      </w:r>
      <w:r w:rsidRPr="1E36BC02" w:rsidR="00757417">
        <w:rPr>
          <w:rFonts w:eastAsia="Calibri"/>
          <w:color w:val="000000" w:themeColor="text1"/>
        </w:rPr>
        <w:t>revised definition</w:t>
      </w:r>
      <w:r w:rsidRPr="1E36BC02">
        <w:rPr>
          <w:rFonts w:eastAsia="Calibri"/>
          <w:color w:val="000000" w:themeColor="text1"/>
        </w:rPr>
        <w:t xml:space="preserve"> does not eliminate the option for Consortia applicants to represent a Consortia region consistent with county boundaries. </w:t>
      </w:r>
      <w:r w:rsidRPr="1E36BC02" w:rsidR="00D56540">
        <w:rPr>
          <w:rFonts w:eastAsia="Calibri"/>
          <w:color w:val="000000" w:themeColor="text1"/>
        </w:rPr>
        <w:t>Although</w:t>
      </w:r>
      <w:r w:rsidRPr="1E36BC02" w:rsidR="008E69EF">
        <w:rPr>
          <w:rFonts w:eastAsia="Calibri"/>
          <w:color w:val="000000" w:themeColor="text1"/>
        </w:rPr>
        <w:t xml:space="preserve"> the Commission agrees that Consortia boundaries should coincide with county boundaries in most cases, </w:t>
      </w:r>
      <w:r w:rsidRPr="1E36BC02" w:rsidR="00B942A6">
        <w:rPr>
          <w:rFonts w:eastAsia="Calibri"/>
          <w:color w:val="000000" w:themeColor="text1"/>
        </w:rPr>
        <w:t xml:space="preserve">and further that preference should be given to applications that serve an entire county or several entire counties (as opposed to a portion of a county), </w:t>
      </w:r>
      <w:r w:rsidRPr="1E36BC02" w:rsidR="008E69EF">
        <w:rPr>
          <w:rFonts w:eastAsia="Calibri"/>
          <w:color w:val="000000" w:themeColor="text1"/>
        </w:rPr>
        <w:t>we do not find good reason to prohibit Consortia boundaries that do not coincide with county boundaries</w:t>
      </w:r>
      <w:r w:rsidRPr="1E36BC02" w:rsidR="004148D6">
        <w:rPr>
          <w:rFonts w:eastAsia="Calibri"/>
          <w:color w:val="000000" w:themeColor="text1"/>
        </w:rPr>
        <w:t xml:space="preserve">, or single </w:t>
      </w:r>
      <w:r w:rsidRPr="1E36BC02" w:rsidR="009E5DC4">
        <w:rPr>
          <w:rFonts w:eastAsia="Calibri"/>
          <w:color w:val="000000" w:themeColor="text1"/>
        </w:rPr>
        <w:t>sub-county areas</w:t>
      </w:r>
      <w:r w:rsidRPr="1E36BC02" w:rsidR="00BD2ED4">
        <w:rPr>
          <w:rFonts w:eastAsia="Calibri"/>
          <w:color w:val="000000" w:themeColor="text1"/>
        </w:rPr>
        <w:t>,</w:t>
      </w:r>
      <w:r w:rsidRPr="1E36BC02" w:rsidR="008E69EF">
        <w:rPr>
          <w:rFonts w:eastAsia="Calibri"/>
          <w:color w:val="000000" w:themeColor="text1"/>
        </w:rPr>
        <w:t xml:space="preserve"> in the future.</w:t>
      </w:r>
      <w:r w:rsidRPr="1E36BC02">
        <w:rPr>
          <w:rFonts w:eastAsia="Calibri"/>
          <w:color w:val="000000" w:themeColor="text1"/>
        </w:rPr>
        <w:t xml:space="preserve"> </w:t>
      </w:r>
      <w:r w:rsidRPr="1E36BC02" w:rsidR="0060267B">
        <w:rPr>
          <w:rFonts w:eastAsia="Calibri"/>
          <w:color w:val="000000" w:themeColor="text1"/>
        </w:rPr>
        <w:t xml:space="preserve">As </w:t>
      </w:r>
      <w:r w:rsidRPr="1E36BC02" w:rsidR="00C60699">
        <w:rPr>
          <w:rFonts w:eastAsia="Calibri"/>
          <w:color w:val="000000" w:themeColor="text1"/>
        </w:rPr>
        <w:t>CETF and IERBC acknowledge, t</w:t>
      </w:r>
      <w:r w:rsidRPr="1E36BC02">
        <w:rPr>
          <w:rFonts w:eastAsia="Calibri"/>
          <w:color w:val="000000" w:themeColor="text1"/>
        </w:rPr>
        <w:t xml:space="preserve">here may exist a need to </w:t>
      </w:r>
      <w:r w:rsidRPr="1E36BC02" w:rsidR="00577F1E">
        <w:rPr>
          <w:rFonts w:eastAsia="Calibri"/>
          <w:color w:val="000000" w:themeColor="text1"/>
        </w:rPr>
        <w:t>support</w:t>
      </w:r>
      <w:r w:rsidRPr="1E36BC02">
        <w:rPr>
          <w:rFonts w:eastAsia="Calibri"/>
          <w:color w:val="000000" w:themeColor="text1"/>
        </w:rPr>
        <w:t xml:space="preserve"> a portion of a county. It will be the responsibility of each Consortium applicant to assemble its own membership and to delineate its geographical region of responsibility. The Commission will not predetermine geographic region or mandate the precise number of </w:t>
      </w:r>
      <w:r w:rsidRPr="1E36BC02" w:rsidR="00877FAA">
        <w:rPr>
          <w:rFonts w:eastAsia="Calibri"/>
          <w:color w:val="000000" w:themeColor="text1"/>
        </w:rPr>
        <w:t>C</w:t>
      </w:r>
      <w:r w:rsidRPr="1E36BC02">
        <w:rPr>
          <w:rFonts w:eastAsia="Calibri"/>
          <w:color w:val="000000" w:themeColor="text1"/>
        </w:rPr>
        <w:t xml:space="preserve">onsortia to receive CASF </w:t>
      </w:r>
      <w:proofErr w:type="gramStart"/>
      <w:r w:rsidRPr="1E36BC02">
        <w:rPr>
          <w:rFonts w:eastAsia="Calibri"/>
          <w:color w:val="000000" w:themeColor="text1"/>
        </w:rPr>
        <w:t>grants</w:t>
      </w:r>
      <w:r w:rsidRPr="1E36BC02" w:rsidR="00446ABF">
        <w:rPr>
          <w:rFonts w:eastAsia="Calibri"/>
          <w:color w:val="000000" w:themeColor="text1"/>
        </w:rPr>
        <w:t>, but</w:t>
      </w:r>
      <w:proofErr w:type="gramEnd"/>
      <w:r w:rsidRPr="1E36BC02" w:rsidR="00446ABF">
        <w:rPr>
          <w:rFonts w:eastAsia="Calibri"/>
          <w:color w:val="000000" w:themeColor="text1"/>
        </w:rPr>
        <w:t xml:space="preserve"> confirms</w:t>
      </w:r>
      <w:r w:rsidRPr="1E36BC02" w:rsidR="00B92032">
        <w:rPr>
          <w:rFonts w:eastAsia="Calibri"/>
          <w:color w:val="000000" w:themeColor="text1"/>
        </w:rPr>
        <w:t xml:space="preserve"> that CASF Consortia grants will be awarded only to one Consortium per geographic region</w:t>
      </w:r>
      <w:r w:rsidRPr="1E36BC02">
        <w:rPr>
          <w:rFonts w:eastAsia="Calibri"/>
          <w:color w:val="000000" w:themeColor="text1"/>
        </w:rPr>
        <w:t xml:space="preserve">. The Commission will not organize Consortia but will select eligible Consortia among those submitting applications, and award grants </w:t>
      </w:r>
      <w:r w:rsidRPr="1E36BC02" w:rsidR="00A7137F">
        <w:rPr>
          <w:rFonts w:eastAsia="Calibri"/>
          <w:color w:val="000000" w:themeColor="text1"/>
        </w:rPr>
        <w:t>via</w:t>
      </w:r>
      <w:r w:rsidRPr="1E36BC02">
        <w:rPr>
          <w:rFonts w:eastAsia="Calibri"/>
          <w:color w:val="000000" w:themeColor="text1"/>
        </w:rPr>
        <w:t xml:space="preserve"> resolution based on </w:t>
      </w:r>
      <w:r w:rsidRPr="1E36BC02" w:rsidR="00234CEC">
        <w:rPr>
          <w:rFonts w:eastAsia="Calibri"/>
          <w:color w:val="000000" w:themeColor="text1"/>
        </w:rPr>
        <w:t xml:space="preserve">the identified </w:t>
      </w:r>
      <w:r w:rsidRPr="1E36BC02">
        <w:rPr>
          <w:rFonts w:eastAsia="Calibri"/>
          <w:color w:val="000000" w:themeColor="text1"/>
        </w:rPr>
        <w:t xml:space="preserve">criteria. The application requirements for describing a proposed Consortia boundary and justifying proposed boundaries that do not coincide with county boundaries are adopted as stated in </w:t>
      </w:r>
      <w:r w:rsidRPr="00C73029">
        <w:rPr>
          <w:rFonts w:eastAsia="Calibri"/>
          <w:color w:val="000000" w:themeColor="text1"/>
        </w:rPr>
        <w:t>Appendix</w:t>
      </w:r>
      <w:r w:rsidRPr="00C73029" w:rsidR="00B718A2">
        <w:rPr>
          <w:rFonts w:eastAsia="Calibri"/>
          <w:color w:val="000000" w:themeColor="text1"/>
        </w:rPr>
        <w:t> </w:t>
      </w:r>
      <w:r w:rsidRPr="00C73029">
        <w:rPr>
          <w:rFonts w:eastAsia="Calibri"/>
          <w:color w:val="000000" w:themeColor="text1"/>
        </w:rPr>
        <w:t>3.</w:t>
      </w:r>
    </w:p>
    <w:p w:rsidRPr="006F7C82" w:rsidR="7FDAA6EC" w:rsidP="00B718A2" w:rsidRDefault="7FDAA6EC" w14:paraId="5BCBE78E" w14:textId="069D97AB">
      <w:pPr>
        <w:pStyle w:val="Heading2"/>
        <w:ind w:left="1080" w:hanging="720"/>
        <w:rPr>
          <w:color w:val="000000" w:themeColor="text1"/>
        </w:rPr>
      </w:pPr>
      <w:bookmarkStart w:name="_Toc100132374" w:id="33"/>
      <w:r w:rsidRPr="00C73029">
        <w:rPr>
          <w:color w:val="000000" w:themeColor="text1"/>
        </w:rPr>
        <w:t>Any Other Recommended Changes to the</w:t>
      </w:r>
      <w:r w:rsidRPr="006F7C82">
        <w:rPr>
          <w:color w:val="000000" w:themeColor="text1"/>
        </w:rPr>
        <w:t xml:space="preserve"> Consortia Account Guidelines</w:t>
      </w:r>
      <w:bookmarkEnd w:id="33"/>
    </w:p>
    <w:p w:rsidRPr="006F7C82" w:rsidR="7FDAA6EC" w:rsidP="55E90BF0" w:rsidRDefault="7FDAA6EC" w14:paraId="0C84D422" w14:textId="17B8EF63">
      <w:pPr>
        <w:pStyle w:val="Standard"/>
        <w:rPr>
          <w:rFonts w:eastAsia="Calibri"/>
          <w:color w:val="000000" w:themeColor="text1"/>
          <w:szCs w:val="26"/>
        </w:rPr>
      </w:pPr>
      <w:r w:rsidRPr="006F7C82">
        <w:rPr>
          <w:rFonts w:eastAsia="Calibri"/>
          <w:color w:val="000000" w:themeColor="text1"/>
          <w:szCs w:val="26"/>
        </w:rPr>
        <w:t>The Second Amended Scoping Memo included a catch-all question, allowing parties the opportunity to recommend any other proposed changes to the Consortia Account Guidelines:</w:t>
      </w:r>
    </w:p>
    <w:p w:rsidRPr="00B718A2" w:rsidR="55E90BF0" w:rsidP="0033369D" w:rsidRDefault="7FDAA6EC" w14:paraId="33E64976" w14:textId="0477EFF5">
      <w:pPr>
        <w:pStyle w:val="Standard"/>
        <w:numPr>
          <w:ilvl w:val="0"/>
          <w:numId w:val="5"/>
        </w:numPr>
        <w:spacing w:after="120" w:line="240" w:lineRule="auto"/>
        <w:ind w:left="1080" w:right="1440"/>
        <w:rPr>
          <w:rFonts w:eastAsia="Calibri"/>
          <w:color w:val="000000" w:themeColor="text1"/>
          <w:szCs w:val="26"/>
        </w:rPr>
      </w:pPr>
      <w:r w:rsidRPr="00B718A2">
        <w:rPr>
          <w:rFonts w:eastAsia="Calibri"/>
          <w:color w:val="000000" w:themeColor="text1"/>
        </w:rPr>
        <w:t xml:space="preserve"> </w:t>
      </w:r>
      <w:r w:rsidRPr="00B718A2">
        <w:rPr>
          <w:rFonts w:eastAsia="Calibri"/>
          <w:i/>
          <w:iCs/>
          <w:color w:val="000000" w:themeColor="text1"/>
        </w:rPr>
        <w:t>Are there any other Consortia Account program modifications the Commission should consider at this time?</w:t>
      </w:r>
    </w:p>
    <w:p w:rsidRPr="006F7C82" w:rsidR="006C4FE4" w:rsidP="008B4714" w:rsidRDefault="006C4FE4" w14:paraId="7365F97F" w14:textId="016D2091">
      <w:pPr>
        <w:pStyle w:val="Standard"/>
        <w:rPr>
          <w:rFonts w:eastAsia="Calibri"/>
          <w:color w:val="000000" w:themeColor="text1"/>
          <w:szCs w:val="26"/>
        </w:rPr>
      </w:pPr>
      <w:r w:rsidRPr="006F7C82">
        <w:rPr>
          <w:rFonts w:eastAsia="Calibri"/>
          <w:color w:val="000000" w:themeColor="text1"/>
        </w:rPr>
        <w:lastRenderedPageBreak/>
        <w:t xml:space="preserve">CCTA recommends </w:t>
      </w:r>
      <w:r w:rsidRPr="006F7C82" w:rsidR="000D297A">
        <w:rPr>
          <w:rFonts w:eastAsia="Calibri"/>
          <w:color w:val="000000" w:themeColor="text1"/>
        </w:rPr>
        <w:t xml:space="preserve">retaining </w:t>
      </w:r>
      <w:r w:rsidRPr="006F7C82" w:rsidR="0063730D">
        <w:rPr>
          <w:rFonts w:eastAsia="Calibri"/>
          <w:color w:val="000000" w:themeColor="text1"/>
        </w:rPr>
        <w:t>reference to the statutory goal</w:t>
      </w:r>
      <w:r w:rsidRPr="006F7C82" w:rsidR="00C22EC1">
        <w:rPr>
          <w:rFonts w:eastAsia="Calibri"/>
          <w:color w:val="000000" w:themeColor="text1"/>
        </w:rPr>
        <w:t>, to ensure broadband access to no less than 98 percent of California households in each Consortia region.</w:t>
      </w:r>
      <w:r w:rsidRPr="006F7C82" w:rsidR="00796D97">
        <w:rPr>
          <w:rStyle w:val="FootnoteReference"/>
          <w:rFonts w:eastAsia="Calibri"/>
          <w:color w:val="000000" w:themeColor="text1"/>
          <w:szCs w:val="26"/>
        </w:rPr>
        <w:footnoteReference w:id="168"/>
      </w:r>
    </w:p>
    <w:p w:rsidRPr="006F7C82" w:rsidR="00134125" w:rsidP="008B4714" w:rsidRDefault="00EB5061" w14:paraId="41F33226" w14:textId="44714005">
      <w:pPr>
        <w:pStyle w:val="Standard"/>
        <w:rPr>
          <w:rFonts w:eastAsia="Calibri"/>
          <w:color w:val="000000" w:themeColor="text1"/>
          <w:szCs w:val="26"/>
        </w:rPr>
      </w:pPr>
      <w:r w:rsidRPr="006F7C82">
        <w:rPr>
          <w:rFonts w:eastAsia="Calibri"/>
          <w:color w:val="000000" w:themeColor="text1"/>
        </w:rPr>
        <w:t xml:space="preserve">IERBC </w:t>
      </w:r>
      <w:r w:rsidRPr="006F7C82" w:rsidR="003B509E">
        <w:rPr>
          <w:rFonts w:eastAsia="Calibri"/>
          <w:color w:val="000000" w:themeColor="text1"/>
        </w:rPr>
        <w:t xml:space="preserve">recommends the Commission provide experienced Consortia </w:t>
      </w:r>
      <w:r w:rsidRPr="006F7C82" w:rsidR="00C10D1F">
        <w:rPr>
          <w:rFonts w:eastAsia="Calibri"/>
          <w:color w:val="000000" w:themeColor="text1"/>
        </w:rPr>
        <w:t>an opportunity to be funded annually based on a simple application update</w:t>
      </w:r>
      <w:r w:rsidRPr="006F7C82" w:rsidR="00134125">
        <w:rPr>
          <w:rFonts w:eastAsia="Calibri"/>
          <w:color w:val="000000" w:themeColor="text1"/>
        </w:rPr>
        <w:t xml:space="preserve"> that can be approved via Ministerial Review.</w:t>
      </w:r>
      <w:r w:rsidRPr="006F7C82" w:rsidR="00EA4BA8">
        <w:rPr>
          <w:rStyle w:val="FootnoteReference"/>
          <w:rFonts w:eastAsia="Calibri"/>
          <w:color w:val="000000" w:themeColor="text1"/>
          <w:szCs w:val="26"/>
        </w:rPr>
        <w:footnoteReference w:id="169"/>
      </w:r>
    </w:p>
    <w:p w:rsidRPr="006F7C82" w:rsidR="008B4714" w:rsidP="008B4714" w:rsidRDefault="008515CA" w14:paraId="0B850301" w14:textId="723CE105">
      <w:pPr>
        <w:pStyle w:val="Standard"/>
        <w:rPr>
          <w:rFonts w:eastAsia="Calibri"/>
          <w:color w:val="000000" w:themeColor="text1"/>
        </w:rPr>
      </w:pPr>
      <w:r w:rsidRPr="006F7C82">
        <w:rPr>
          <w:rFonts w:eastAsia="Calibri"/>
          <w:color w:val="000000" w:themeColor="text1"/>
        </w:rPr>
        <w:t xml:space="preserve">CETF and SCAG call for more sweeping </w:t>
      </w:r>
      <w:r w:rsidRPr="006F7C82" w:rsidR="008B4714">
        <w:rPr>
          <w:rFonts w:eastAsia="Calibri"/>
          <w:color w:val="000000" w:themeColor="text1"/>
        </w:rPr>
        <w:t>reforms</w:t>
      </w:r>
      <w:r w:rsidRPr="006F7C82" w:rsidR="009B3D3D">
        <w:rPr>
          <w:rFonts w:eastAsia="Calibri"/>
          <w:color w:val="000000" w:themeColor="text1"/>
        </w:rPr>
        <w:t>, including:</w:t>
      </w:r>
    </w:p>
    <w:p w:rsidRPr="006F7C82" w:rsidR="00F03D4B" w:rsidP="00B718A2" w:rsidRDefault="00F03D4B" w14:paraId="6536060B" w14:textId="29F0EDDE">
      <w:pPr>
        <w:pStyle w:val="ListBullet"/>
        <w:ind w:left="1080" w:right="1440"/>
      </w:pPr>
      <w:r w:rsidRPr="006F7C82">
        <w:t xml:space="preserve">Provide </w:t>
      </w:r>
      <w:r w:rsidRPr="006F7C82" w:rsidR="005A08D1">
        <w:t>an initial advance grant payment and a quarterly grant payment schedule to ensure adequate cash flow</w:t>
      </w:r>
      <w:r w:rsidRPr="006F7C82" w:rsidR="002B2EE7">
        <w:t>.</w:t>
      </w:r>
    </w:p>
    <w:p w:rsidRPr="006F7C82" w:rsidR="002B2EE7" w:rsidP="00B718A2" w:rsidRDefault="00FE0F71" w14:paraId="6F6CB6A3" w14:textId="06CC92E5">
      <w:pPr>
        <w:pStyle w:val="ListBullet"/>
        <w:ind w:left="1080" w:right="1440"/>
      </w:pPr>
      <w:r w:rsidRPr="006F7C82">
        <w:t xml:space="preserve">Invite existing Consortia that have successfully completed their past grants to renew funding at a base $1 million </w:t>
      </w:r>
      <w:r w:rsidRPr="006F7C82" w:rsidR="00493BA7">
        <w:t>level over three years with a simple amendment to the existing grant agreement</w:t>
      </w:r>
      <w:r w:rsidRPr="006F7C82" w:rsidR="000A080A">
        <w:t>.</w:t>
      </w:r>
    </w:p>
    <w:p w:rsidRPr="006F7C82" w:rsidR="00996E1D" w:rsidP="00B718A2" w:rsidRDefault="00D44DE5" w14:paraId="733ABCCB" w14:textId="24916AD0">
      <w:pPr>
        <w:pStyle w:val="ListBullet"/>
        <w:ind w:left="1080" w:right="1440"/>
      </w:pPr>
      <w:r w:rsidRPr="006F7C82">
        <w:t xml:space="preserve">Provide a simple application to focus on accelerating assistance </w:t>
      </w:r>
      <w:r w:rsidRPr="006F7C82" w:rsidR="0086386B">
        <w:t>for broadband deployment for both middle-mile and last-mile projects and for engaging local governments to achieve adoption by all low-income households.</w:t>
      </w:r>
      <w:r w:rsidRPr="006F7C82" w:rsidR="00DA4712">
        <w:rPr>
          <w:rStyle w:val="FootnoteReference"/>
          <w:rFonts w:eastAsia="Calibri"/>
          <w:color w:val="000000" w:themeColor="text1"/>
        </w:rPr>
        <w:footnoteReference w:id="170"/>
      </w:r>
    </w:p>
    <w:p w:rsidRPr="006F7C82" w:rsidR="00331AEF" w:rsidP="008B4714" w:rsidRDefault="00C22EC1" w14:paraId="15700D2E" w14:textId="6304669C">
      <w:pPr>
        <w:pStyle w:val="Standard"/>
        <w:rPr>
          <w:rFonts w:eastAsia="Calibri"/>
          <w:color w:val="000000" w:themeColor="text1"/>
          <w:szCs w:val="26"/>
        </w:rPr>
      </w:pPr>
      <w:r w:rsidRPr="006F7C82">
        <w:rPr>
          <w:rFonts w:eastAsia="Calibri"/>
          <w:color w:val="000000" w:themeColor="text1"/>
          <w:szCs w:val="26"/>
        </w:rPr>
        <w:t xml:space="preserve">In response to CCTA’s </w:t>
      </w:r>
      <w:r w:rsidRPr="006F7C82" w:rsidR="00331AEF">
        <w:rPr>
          <w:rFonts w:eastAsia="Calibri"/>
          <w:color w:val="000000" w:themeColor="text1"/>
          <w:szCs w:val="26"/>
        </w:rPr>
        <w:t xml:space="preserve">comments, we note that the </w:t>
      </w:r>
      <w:r w:rsidRPr="006F7C82" w:rsidR="001B52D1">
        <w:rPr>
          <w:rFonts w:eastAsia="Calibri"/>
          <w:color w:val="000000" w:themeColor="text1"/>
          <w:szCs w:val="26"/>
        </w:rPr>
        <w:t>program rules</w:t>
      </w:r>
      <w:r w:rsidRPr="006F7C82" w:rsidR="00F209CE">
        <w:rPr>
          <w:rFonts w:eastAsia="Calibri"/>
          <w:color w:val="000000" w:themeColor="text1"/>
          <w:szCs w:val="26"/>
        </w:rPr>
        <w:t xml:space="preserve"> </w:t>
      </w:r>
      <w:r w:rsidRPr="006F7C82" w:rsidR="00F028F2">
        <w:rPr>
          <w:rFonts w:eastAsia="Calibri"/>
          <w:color w:val="000000" w:themeColor="text1"/>
          <w:szCs w:val="26"/>
        </w:rPr>
        <w:t xml:space="preserve">still reference the statutory goal </w:t>
      </w:r>
      <w:r w:rsidRPr="006F7C82" w:rsidR="002B4F58">
        <w:rPr>
          <w:rFonts w:eastAsia="Calibri"/>
          <w:color w:val="000000" w:themeColor="text1"/>
          <w:szCs w:val="26"/>
        </w:rPr>
        <w:t xml:space="preserve">of 98 percent </w:t>
      </w:r>
      <w:r w:rsidRPr="006F7C82" w:rsidR="00845B87">
        <w:rPr>
          <w:rFonts w:eastAsia="Calibri"/>
          <w:color w:val="000000" w:themeColor="text1"/>
          <w:szCs w:val="26"/>
        </w:rPr>
        <w:t xml:space="preserve">of California households </w:t>
      </w:r>
      <w:r w:rsidRPr="006F7C82" w:rsidR="002C459B">
        <w:rPr>
          <w:rFonts w:eastAsia="Calibri"/>
          <w:color w:val="000000" w:themeColor="text1"/>
          <w:szCs w:val="26"/>
        </w:rPr>
        <w:t>in each Consortia</w:t>
      </w:r>
      <w:r w:rsidRPr="006F7C82" w:rsidR="00C32125">
        <w:rPr>
          <w:rFonts w:eastAsia="Calibri"/>
          <w:color w:val="000000" w:themeColor="text1"/>
          <w:szCs w:val="26"/>
        </w:rPr>
        <w:t>,</w:t>
      </w:r>
      <w:r w:rsidRPr="006F7C82" w:rsidR="00612B6D">
        <w:rPr>
          <w:rFonts w:eastAsia="Calibri"/>
          <w:color w:val="000000" w:themeColor="text1"/>
          <w:szCs w:val="26"/>
        </w:rPr>
        <w:t xml:space="preserve"> in </w:t>
      </w:r>
      <w:r w:rsidR="00FF6FF3">
        <w:rPr>
          <w:rFonts w:eastAsia="Calibri"/>
          <w:color w:val="000000" w:themeColor="text1"/>
          <w:szCs w:val="26"/>
        </w:rPr>
        <w:t>S</w:t>
      </w:r>
      <w:r w:rsidRPr="006F7C82" w:rsidR="00612B6D">
        <w:rPr>
          <w:rFonts w:eastAsia="Calibri"/>
          <w:color w:val="000000" w:themeColor="text1"/>
          <w:szCs w:val="26"/>
        </w:rPr>
        <w:t xml:space="preserve">ection 1.4 </w:t>
      </w:r>
      <w:r w:rsidRPr="006F7C82" w:rsidR="00991A3A">
        <w:rPr>
          <w:rFonts w:eastAsia="Calibri"/>
          <w:color w:val="000000" w:themeColor="text1"/>
          <w:szCs w:val="26"/>
        </w:rPr>
        <w:t>of Appendix 3</w:t>
      </w:r>
      <w:r w:rsidRPr="006F7C82" w:rsidR="00546BEE">
        <w:rPr>
          <w:rFonts w:eastAsia="Calibri"/>
          <w:color w:val="000000" w:themeColor="text1"/>
          <w:szCs w:val="26"/>
        </w:rPr>
        <w:t xml:space="preserve"> (Account Objective and</w:t>
      </w:r>
      <w:r w:rsidRPr="006F7C82" w:rsidR="00F209CE">
        <w:rPr>
          <w:rFonts w:eastAsia="Calibri"/>
          <w:color w:val="000000" w:themeColor="text1"/>
          <w:szCs w:val="26"/>
        </w:rPr>
        <w:t xml:space="preserve"> </w:t>
      </w:r>
      <w:r w:rsidRPr="006F7C82" w:rsidR="00546BEE">
        <w:rPr>
          <w:rFonts w:eastAsia="Calibri"/>
          <w:color w:val="000000" w:themeColor="text1"/>
          <w:szCs w:val="26"/>
        </w:rPr>
        <w:t>Allowable Activities)</w:t>
      </w:r>
      <w:r w:rsidRPr="006F7C82" w:rsidR="0085365F">
        <w:rPr>
          <w:rFonts w:eastAsia="Calibri"/>
          <w:color w:val="000000" w:themeColor="text1"/>
          <w:szCs w:val="26"/>
        </w:rPr>
        <w:t xml:space="preserve">; </w:t>
      </w:r>
      <w:r w:rsidRPr="006F7C82" w:rsidR="00FC0FC6">
        <w:rPr>
          <w:rFonts w:eastAsia="Calibri"/>
          <w:color w:val="000000" w:themeColor="text1"/>
          <w:szCs w:val="26"/>
        </w:rPr>
        <w:t>deletion of this language</w:t>
      </w:r>
      <w:r w:rsidRPr="006F7C82" w:rsidR="0085365F">
        <w:rPr>
          <w:rFonts w:eastAsia="Calibri"/>
          <w:color w:val="000000" w:themeColor="text1"/>
          <w:szCs w:val="26"/>
        </w:rPr>
        <w:t xml:space="preserve"> </w:t>
      </w:r>
      <w:r w:rsidRPr="006F7C82" w:rsidR="00F11435">
        <w:rPr>
          <w:rFonts w:eastAsia="Calibri"/>
          <w:color w:val="000000" w:themeColor="text1"/>
          <w:szCs w:val="26"/>
        </w:rPr>
        <w:t xml:space="preserve">in </w:t>
      </w:r>
      <w:r w:rsidR="00FF6FF3">
        <w:rPr>
          <w:rFonts w:eastAsia="Calibri"/>
          <w:color w:val="000000" w:themeColor="text1"/>
          <w:szCs w:val="26"/>
        </w:rPr>
        <w:t>S</w:t>
      </w:r>
      <w:r w:rsidRPr="006F7C82" w:rsidR="00F11435">
        <w:rPr>
          <w:rFonts w:eastAsia="Calibri"/>
          <w:color w:val="000000" w:themeColor="text1"/>
          <w:szCs w:val="26"/>
        </w:rPr>
        <w:t xml:space="preserve">ection 1.1 </w:t>
      </w:r>
      <w:r w:rsidRPr="006F7C82" w:rsidR="00956AE2">
        <w:rPr>
          <w:rFonts w:eastAsia="Calibri"/>
          <w:color w:val="000000" w:themeColor="text1"/>
          <w:szCs w:val="26"/>
        </w:rPr>
        <w:t xml:space="preserve">(Background) was </w:t>
      </w:r>
      <w:r w:rsidRPr="006F7C82" w:rsidR="00B04856">
        <w:rPr>
          <w:rFonts w:eastAsia="Calibri"/>
          <w:color w:val="000000" w:themeColor="text1"/>
          <w:szCs w:val="26"/>
        </w:rPr>
        <w:t xml:space="preserve">primarily to remove reference to the outdated </w:t>
      </w:r>
      <w:r w:rsidRPr="006F7C82" w:rsidR="004554DD">
        <w:rPr>
          <w:rFonts w:eastAsia="Calibri"/>
          <w:color w:val="000000" w:themeColor="text1"/>
          <w:szCs w:val="26"/>
        </w:rPr>
        <w:t>target date.</w:t>
      </w:r>
    </w:p>
    <w:p w:rsidRPr="006F7C82" w:rsidR="55E90BF0" w:rsidP="00B718A2" w:rsidRDefault="00301560" w14:paraId="575A7990" w14:textId="0FA396F6">
      <w:pPr>
        <w:pStyle w:val="Standard"/>
        <w:rPr>
          <w:rFonts w:eastAsia="Calibri"/>
          <w:color w:val="000000" w:themeColor="text1"/>
          <w:szCs w:val="26"/>
        </w:rPr>
      </w:pPr>
      <w:r w:rsidRPr="006F7C82">
        <w:rPr>
          <w:rFonts w:eastAsia="Calibri"/>
          <w:color w:val="000000" w:themeColor="text1"/>
          <w:szCs w:val="26"/>
        </w:rPr>
        <w:t xml:space="preserve">The Commission </w:t>
      </w:r>
      <w:r w:rsidRPr="006F7C82" w:rsidR="00DA629F">
        <w:rPr>
          <w:rFonts w:eastAsia="Calibri"/>
          <w:color w:val="000000" w:themeColor="text1"/>
          <w:szCs w:val="26"/>
        </w:rPr>
        <w:t xml:space="preserve">declines to </w:t>
      </w:r>
      <w:r w:rsidRPr="006F7C82" w:rsidR="008861D5">
        <w:rPr>
          <w:rFonts w:eastAsia="Calibri"/>
          <w:color w:val="000000" w:themeColor="text1"/>
          <w:szCs w:val="26"/>
        </w:rPr>
        <w:t xml:space="preserve">consider </w:t>
      </w:r>
      <w:r w:rsidRPr="006F7C82" w:rsidR="0087660C">
        <w:rPr>
          <w:rFonts w:eastAsia="Calibri"/>
          <w:color w:val="000000" w:themeColor="text1"/>
          <w:szCs w:val="26"/>
        </w:rPr>
        <w:t xml:space="preserve">parties’ </w:t>
      </w:r>
      <w:r w:rsidRPr="006F7C82" w:rsidR="00CB422D">
        <w:rPr>
          <w:rFonts w:eastAsia="Calibri"/>
          <w:color w:val="000000" w:themeColor="text1"/>
          <w:szCs w:val="26"/>
        </w:rPr>
        <w:t>recommendations</w:t>
      </w:r>
      <w:r w:rsidRPr="006F7C82">
        <w:rPr>
          <w:rFonts w:eastAsia="Calibri"/>
          <w:color w:val="000000" w:themeColor="text1"/>
          <w:szCs w:val="26"/>
        </w:rPr>
        <w:t xml:space="preserve"> </w:t>
      </w:r>
      <w:r w:rsidRPr="006F7C82" w:rsidR="000F54DC">
        <w:rPr>
          <w:rFonts w:eastAsia="Calibri"/>
          <w:color w:val="000000" w:themeColor="text1"/>
          <w:szCs w:val="26"/>
        </w:rPr>
        <w:t xml:space="preserve">for more fundamental changes to </w:t>
      </w:r>
      <w:r w:rsidRPr="006F7C82" w:rsidR="009E0EC9">
        <w:rPr>
          <w:rFonts w:eastAsia="Calibri"/>
          <w:color w:val="000000" w:themeColor="text1"/>
          <w:szCs w:val="26"/>
        </w:rPr>
        <w:t>administration of</w:t>
      </w:r>
      <w:r w:rsidRPr="006F7C82" w:rsidR="000F54DC">
        <w:rPr>
          <w:rFonts w:eastAsia="Calibri"/>
          <w:color w:val="000000" w:themeColor="text1"/>
          <w:szCs w:val="26"/>
        </w:rPr>
        <w:t xml:space="preserve"> the Consortia Account</w:t>
      </w:r>
      <w:r w:rsidRPr="006F7C82" w:rsidR="000F2968">
        <w:rPr>
          <w:rFonts w:eastAsia="Calibri"/>
          <w:color w:val="000000" w:themeColor="text1"/>
          <w:szCs w:val="26"/>
        </w:rPr>
        <w:t>.</w:t>
      </w:r>
      <w:r w:rsidRPr="006F7C82">
        <w:rPr>
          <w:rFonts w:eastAsia="Calibri"/>
          <w:color w:val="000000" w:themeColor="text1"/>
          <w:szCs w:val="26"/>
        </w:rPr>
        <w:t xml:space="preserve"> The Consortia Account has a competitive grant process</w:t>
      </w:r>
      <w:r w:rsidRPr="006F7C82" w:rsidR="002943F1">
        <w:rPr>
          <w:rFonts w:eastAsia="Calibri"/>
          <w:color w:val="000000" w:themeColor="text1"/>
          <w:szCs w:val="26"/>
        </w:rPr>
        <w:t xml:space="preserve">, based on established criteria, </w:t>
      </w:r>
      <w:r w:rsidRPr="006F7C82" w:rsidR="000F346F">
        <w:rPr>
          <w:rFonts w:eastAsia="Calibri"/>
          <w:color w:val="000000" w:themeColor="text1"/>
          <w:szCs w:val="26"/>
        </w:rPr>
        <w:t xml:space="preserve">to ensure </w:t>
      </w:r>
      <w:r w:rsidRPr="006F7C82" w:rsidR="000F346F">
        <w:rPr>
          <w:rFonts w:eastAsia="Calibri"/>
          <w:color w:val="000000" w:themeColor="text1"/>
          <w:szCs w:val="26"/>
        </w:rPr>
        <w:lastRenderedPageBreak/>
        <w:t xml:space="preserve">responsible use of </w:t>
      </w:r>
      <w:r w:rsidRPr="006F7C82" w:rsidR="00EA213E">
        <w:rPr>
          <w:rFonts w:eastAsia="Calibri"/>
          <w:color w:val="000000" w:themeColor="text1"/>
          <w:szCs w:val="26"/>
        </w:rPr>
        <w:t>public funds</w:t>
      </w:r>
      <w:r w:rsidRPr="006F7C82">
        <w:rPr>
          <w:rFonts w:eastAsia="Calibri"/>
          <w:color w:val="000000" w:themeColor="text1"/>
          <w:szCs w:val="26"/>
        </w:rPr>
        <w:t xml:space="preserve">. </w:t>
      </w:r>
      <w:r w:rsidRPr="006F7C82" w:rsidR="00FF2485">
        <w:rPr>
          <w:rFonts w:eastAsia="Calibri"/>
          <w:color w:val="000000" w:themeColor="text1"/>
          <w:szCs w:val="26"/>
        </w:rPr>
        <w:t xml:space="preserve">We note that </w:t>
      </w:r>
      <w:r w:rsidRPr="006F7C82">
        <w:rPr>
          <w:rFonts w:eastAsia="Calibri"/>
          <w:color w:val="000000" w:themeColor="text1"/>
          <w:szCs w:val="26"/>
        </w:rPr>
        <w:t xml:space="preserve">the Consortia Account usually awards grants for a period of </w:t>
      </w:r>
      <w:r w:rsidRPr="006F7C82" w:rsidR="00923169">
        <w:rPr>
          <w:rFonts w:eastAsia="Calibri"/>
          <w:color w:val="000000" w:themeColor="text1"/>
          <w:szCs w:val="26"/>
        </w:rPr>
        <w:t>two</w:t>
      </w:r>
      <w:r w:rsidRPr="006F7C82">
        <w:rPr>
          <w:rFonts w:eastAsia="Calibri"/>
          <w:color w:val="000000" w:themeColor="text1"/>
          <w:szCs w:val="26"/>
        </w:rPr>
        <w:t xml:space="preserve"> to </w:t>
      </w:r>
      <w:r w:rsidRPr="006F7C82" w:rsidR="00923169">
        <w:rPr>
          <w:rFonts w:eastAsia="Calibri"/>
          <w:color w:val="000000" w:themeColor="text1"/>
          <w:szCs w:val="26"/>
        </w:rPr>
        <w:t>three</w:t>
      </w:r>
      <w:r w:rsidRPr="006F7C82">
        <w:rPr>
          <w:rFonts w:eastAsia="Calibri"/>
          <w:color w:val="000000" w:themeColor="text1"/>
          <w:szCs w:val="26"/>
        </w:rPr>
        <w:t xml:space="preserve"> year</w:t>
      </w:r>
      <w:r w:rsidRPr="006F7C82" w:rsidR="00995E38">
        <w:rPr>
          <w:rFonts w:eastAsia="Calibri"/>
          <w:color w:val="000000" w:themeColor="text1"/>
          <w:szCs w:val="26"/>
        </w:rPr>
        <w:t>s</w:t>
      </w:r>
      <w:r w:rsidRPr="006F7C82">
        <w:rPr>
          <w:rFonts w:eastAsia="Calibri"/>
          <w:color w:val="000000" w:themeColor="text1"/>
          <w:szCs w:val="26"/>
        </w:rPr>
        <w:t xml:space="preserve">, without a need for annual renewal. In addition, Consortia grantees </w:t>
      </w:r>
      <w:r w:rsidRPr="006F7C82" w:rsidR="00923169">
        <w:rPr>
          <w:rFonts w:eastAsia="Calibri"/>
          <w:color w:val="000000" w:themeColor="text1"/>
          <w:szCs w:val="26"/>
        </w:rPr>
        <w:t>may</w:t>
      </w:r>
      <w:r w:rsidRPr="006F7C82">
        <w:rPr>
          <w:rFonts w:eastAsia="Calibri"/>
          <w:color w:val="000000" w:themeColor="text1"/>
          <w:szCs w:val="26"/>
        </w:rPr>
        <w:t xml:space="preserve"> request an initial start-up costs payment, up to 25</w:t>
      </w:r>
      <w:r w:rsidRPr="006F7C82" w:rsidR="00923169">
        <w:rPr>
          <w:rFonts w:eastAsia="Calibri"/>
          <w:color w:val="000000" w:themeColor="text1"/>
          <w:szCs w:val="26"/>
        </w:rPr>
        <w:t xml:space="preserve"> percent</w:t>
      </w:r>
      <w:r w:rsidRPr="006F7C82">
        <w:rPr>
          <w:rFonts w:eastAsia="Calibri"/>
          <w:color w:val="000000" w:themeColor="text1"/>
          <w:szCs w:val="26"/>
        </w:rPr>
        <w:t xml:space="preserve"> of </w:t>
      </w:r>
      <w:r w:rsidRPr="006F7C82" w:rsidR="00923169">
        <w:rPr>
          <w:rFonts w:eastAsia="Calibri"/>
          <w:color w:val="000000" w:themeColor="text1"/>
          <w:szCs w:val="26"/>
        </w:rPr>
        <w:t xml:space="preserve">the </w:t>
      </w:r>
      <w:r w:rsidRPr="006F7C82">
        <w:rPr>
          <w:rFonts w:eastAsia="Calibri"/>
          <w:color w:val="000000" w:themeColor="text1"/>
          <w:szCs w:val="26"/>
        </w:rPr>
        <w:t xml:space="preserve">entire grant. </w:t>
      </w:r>
    </w:p>
    <w:p w:rsidRPr="006F7C82" w:rsidR="003C7AAD" w:rsidP="00B718A2" w:rsidRDefault="003C7AAD" w14:paraId="385451FD" w14:textId="017C23EF">
      <w:pPr>
        <w:pStyle w:val="Heading1"/>
        <w:ind w:left="360" w:hanging="360"/>
        <w:rPr>
          <w:color w:val="000000" w:themeColor="text1"/>
        </w:rPr>
      </w:pPr>
      <w:bookmarkStart w:name="_Toc100132375" w:id="34"/>
      <w:r w:rsidRPr="006F7C82">
        <w:rPr>
          <w:color w:val="000000" w:themeColor="text1"/>
        </w:rPr>
        <w:t xml:space="preserve">Program </w:t>
      </w:r>
      <w:r w:rsidR="00B718A2">
        <w:rPr>
          <w:color w:val="000000" w:themeColor="text1"/>
        </w:rPr>
        <w:t>B</w:t>
      </w:r>
      <w:r w:rsidRPr="006F7C82">
        <w:rPr>
          <w:color w:val="000000" w:themeColor="text1"/>
        </w:rPr>
        <w:t xml:space="preserve">udget and </w:t>
      </w:r>
      <w:r w:rsidR="00B718A2">
        <w:rPr>
          <w:color w:val="000000" w:themeColor="text1"/>
        </w:rPr>
        <w:t>S</w:t>
      </w:r>
      <w:r w:rsidRPr="006F7C82">
        <w:rPr>
          <w:color w:val="000000" w:themeColor="text1"/>
        </w:rPr>
        <w:t xml:space="preserve">ubaccount </w:t>
      </w:r>
      <w:r w:rsidR="00B718A2">
        <w:rPr>
          <w:color w:val="000000" w:themeColor="text1"/>
        </w:rPr>
        <w:t>B</w:t>
      </w:r>
      <w:r w:rsidRPr="006F7C82">
        <w:rPr>
          <w:color w:val="000000" w:themeColor="text1"/>
        </w:rPr>
        <w:t xml:space="preserve">udget </w:t>
      </w:r>
      <w:r w:rsidR="00B718A2">
        <w:rPr>
          <w:color w:val="000000" w:themeColor="text1"/>
        </w:rPr>
        <w:br/>
        <w:t>A</w:t>
      </w:r>
      <w:r w:rsidRPr="006F7C82">
        <w:rPr>
          <w:color w:val="000000" w:themeColor="text1"/>
        </w:rPr>
        <w:t xml:space="preserve">llocations for </w:t>
      </w:r>
      <w:r w:rsidRPr="006F7C82" w:rsidR="00C873D6">
        <w:rPr>
          <w:color w:val="000000" w:themeColor="text1"/>
        </w:rPr>
        <w:t>f</w:t>
      </w:r>
      <w:r w:rsidRPr="006F7C82">
        <w:rPr>
          <w:color w:val="000000" w:themeColor="text1"/>
        </w:rPr>
        <w:t xml:space="preserve">iscal </w:t>
      </w:r>
      <w:r w:rsidR="00B718A2">
        <w:rPr>
          <w:color w:val="000000" w:themeColor="text1"/>
        </w:rPr>
        <w:t>Y</w:t>
      </w:r>
      <w:r w:rsidRPr="006F7C82">
        <w:rPr>
          <w:color w:val="000000" w:themeColor="text1"/>
        </w:rPr>
        <w:t>ear 2022-2023</w:t>
      </w:r>
      <w:bookmarkEnd w:id="34"/>
    </w:p>
    <w:p w:rsidRPr="006F7C82" w:rsidR="00D666B5" w:rsidP="55E90BF0" w:rsidRDefault="00D666B5" w14:paraId="058C17F6" w14:textId="124415BB">
      <w:pPr>
        <w:pStyle w:val="Standard"/>
        <w:rPr>
          <w:rFonts w:eastAsia="Calibri"/>
          <w:color w:val="000000" w:themeColor="text1"/>
          <w:szCs w:val="26"/>
        </w:rPr>
      </w:pPr>
      <w:r w:rsidRPr="006F7C82">
        <w:rPr>
          <w:rFonts w:eastAsia="Calibri"/>
          <w:color w:val="000000" w:themeColor="text1"/>
        </w:rPr>
        <w:t xml:space="preserve">Cal Advocates recommends </w:t>
      </w:r>
      <w:r w:rsidRPr="006F7C82" w:rsidR="00255BFC">
        <w:rPr>
          <w:rFonts w:eastAsia="Calibri"/>
          <w:color w:val="000000" w:themeColor="text1"/>
        </w:rPr>
        <w:t>reallocating funds proposed for the Line</w:t>
      </w:r>
      <w:r w:rsidR="00F90D7B">
        <w:rPr>
          <w:rFonts w:eastAsia="Calibri"/>
          <w:color w:val="000000" w:themeColor="text1"/>
        </w:rPr>
        <w:t> </w:t>
      </w:r>
      <w:r w:rsidRPr="006F7C82" w:rsidR="00255BFC">
        <w:rPr>
          <w:rFonts w:eastAsia="Calibri"/>
          <w:color w:val="000000" w:themeColor="text1"/>
        </w:rPr>
        <w:t xml:space="preserve">Extension Program to </w:t>
      </w:r>
      <w:r w:rsidRPr="006F7C82" w:rsidR="00715D66">
        <w:rPr>
          <w:rFonts w:eastAsia="Calibri"/>
          <w:color w:val="000000" w:themeColor="text1"/>
        </w:rPr>
        <w:t xml:space="preserve">the Tribal Technical Assistance Program, </w:t>
      </w:r>
      <w:r w:rsidRPr="006F7C82" w:rsidR="00964DE5">
        <w:rPr>
          <w:rFonts w:eastAsia="Calibri"/>
          <w:color w:val="000000" w:themeColor="text1"/>
        </w:rPr>
        <w:t xml:space="preserve">asserting the Commission has already allocated the </w:t>
      </w:r>
      <w:r w:rsidRPr="006F7C82" w:rsidR="007F17E3">
        <w:rPr>
          <w:rFonts w:eastAsia="Calibri"/>
          <w:color w:val="000000" w:themeColor="text1"/>
        </w:rPr>
        <w:t>maximum amount set in statute, pursuant to D.19-04-022.</w:t>
      </w:r>
      <w:r w:rsidRPr="006F7C82" w:rsidR="00537326">
        <w:rPr>
          <w:rStyle w:val="FootnoteReference"/>
          <w:rFonts w:eastAsia="Calibri"/>
          <w:color w:val="000000" w:themeColor="text1"/>
          <w:szCs w:val="26"/>
        </w:rPr>
        <w:footnoteReference w:id="171"/>
      </w:r>
    </w:p>
    <w:p w:rsidRPr="006F7C82" w:rsidR="008925E5" w:rsidP="55E90BF0" w:rsidRDefault="00956A23" w14:paraId="295DEEA6" w14:textId="486A8D1B">
      <w:pPr>
        <w:pStyle w:val="Standard"/>
        <w:rPr>
          <w:rFonts w:eastAsia="Calibri"/>
          <w:color w:val="000000" w:themeColor="text1"/>
          <w:szCs w:val="26"/>
        </w:rPr>
      </w:pPr>
      <w:r w:rsidRPr="006F7C82">
        <w:rPr>
          <w:rFonts w:eastAsia="Calibri"/>
          <w:color w:val="000000" w:themeColor="text1"/>
          <w:szCs w:val="26"/>
        </w:rPr>
        <w:t>CETF</w:t>
      </w:r>
      <w:r w:rsidRPr="006F7C82" w:rsidR="004B1EDF">
        <w:rPr>
          <w:rFonts w:eastAsia="Calibri"/>
          <w:color w:val="000000" w:themeColor="text1"/>
          <w:szCs w:val="26"/>
        </w:rPr>
        <w:t>, IERBC</w:t>
      </w:r>
      <w:r w:rsidRPr="006F7C82">
        <w:rPr>
          <w:rFonts w:eastAsia="Calibri"/>
          <w:color w:val="000000" w:themeColor="text1"/>
          <w:szCs w:val="26"/>
        </w:rPr>
        <w:t xml:space="preserve"> and SCAG urge the Commission </w:t>
      </w:r>
      <w:r w:rsidRPr="006F7C82" w:rsidR="001E721A">
        <w:rPr>
          <w:rFonts w:eastAsia="Calibri"/>
          <w:color w:val="000000" w:themeColor="text1"/>
          <w:szCs w:val="26"/>
        </w:rPr>
        <w:t>to immediately allocate a minimum of $</w:t>
      </w:r>
      <w:r w:rsidRPr="006F7C82" w:rsidR="0087657E">
        <w:rPr>
          <w:rFonts w:eastAsia="Calibri"/>
          <w:color w:val="000000" w:themeColor="text1"/>
          <w:szCs w:val="26"/>
        </w:rPr>
        <w:t>225 million over the next three ye</w:t>
      </w:r>
      <w:r w:rsidRPr="006F7C82" w:rsidR="00BA0A51">
        <w:rPr>
          <w:rFonts w:eastAsia="Calibri"/>
          <w:color w:val="000000" w:themeColor="text1"/>
          <w:szCs w:val="26"/>
        </w:rPr>
        <w:t>ars, as follows:</w:t>
      </w:r>
    </w:p>
    <w:p w:rsidRPr="00C73029" w:rsidR="00BA0A51" w:rsidP="006D2B27" w:rsidRDefault="00BA0A51" w14:paraId="704736D1" w14:textId="0C6B39BF">
      <w:pPr>
        <w:pStyle w:val="Standard"/>
        <w:numPr>
          <w:ilvl w:val="0"/>
          <w:numId w:val="6"/>
        </w:numPr>
        <w:ind w:left="1080" w:right="1440"/>
        <w:rPr>
          <w:rFonts w:eastAsia="Calibri"/>
          <w:color w:val="000000" w:themeColor="text1"/>
          <w:szCs w:val="26"/>
        </w:rPr>
      </w:pPr>
      <w:r w:rsidRPr="00C73029">
        <w:rPr>
          <w:rFonts w:eastAsia="Calibri"/>
          <w:color w:val="000000" w:themeColor="text1"/>
          <w:szCs w:val="26"/>
        </w:rPr>
        <w:t xml:space="preserve">$75 million to the Public Housing </w:t>
      </w:r>
      <w:proofErr w:type="gramStart"/>
      <w:r w:rsidRPr="00C73029">
        <w:rPr>
          <w:rFonts w:eastAsia="Calibri"/>
          <w:color w:val="000000" w:themeColor="text1"/>
          <w:szCs w:val="26"/>
        </w:rPr>
        <w:t>Account;</w:t>
      </w:r>
      <w:proofErr w:type="gramEnd"/>
    </w:p>
    <w:p w:rsidRPr="00C73029" w:rsidR="00BA0A51" w:rsidP="006D2B27" w:rsidRDefault="00BA0A51" w14:paraId="7B8421EA" w14:textId="0F9F0B91">
      <w:pPr>
        <w:pStyle w:val="Standard"/>
        <w:numPr>
          <w:ilvl w:val="0"/>
          <w:numId w:val="6"/>
        </w:numPr>
        <w:ind w:left="1080" w:right="1440"/>
        <w:rPr>
          <w:rFonts w:eastAsia="Calibri"/>
          <w:color w:val="000000" w:themeColor="text1"/>
          <w:szCs w:val="26"/>
        </w:rPr>
      </w:pPr>
      <w:r w:rsidRPr="00C73029">
        <w:rPr>
          <w:rFonts w:eastAsia="Calibri"/>
          <w:color w:val="000000" w:themeColor="text1"/>
          <w:szCs w:val="26"/>
        </w:rPr>
        <w:t>$100 million to the Adoptions Account; and</w:t>
      </w:r>
    </w:p>
    <w:p w:rsidRPr="00C73029" w:rsidR="00BA0A51" w:rsidP="00C73029" w:rsidRDefault="00BA0A51" w14:paraId="151F5AEF" w14:textId="7DAA7C7E">
      <w:pPr>
        <w:pStyle w:val="Standard"/>
        <w:numPr>
          <w:ilvl w:val="0"/>
          <w:numId w:val="6"/>
        </w:numPr>
        <w:spacing w:after="120" w:line="240" w:lineRule="auto"/>
        <w:ind w:left="1080" w:right="1440"/>
        <w:rPr>
          <w:rFonts w:eastAsia="Calibri"/>
          <w:color w:val="000000" w:themeColor="text1"/>
        </w:rPr>
      </w:pPr>
      <w:r w:rsidRPr="00C73029">
        <w:rPr>
          <w:rFonts w:eastAsia="Calibri"/>
          <w:color w:val="000000" w:themeColor="text1"/>
        </w:rPr>
        <w:t>$50 million to the Regional Broadband Consortia Account.</w:t>
      </w:r>
      <w:r w:rsidRPr="00C73029" w:rsidR="00F56597">
        <w:rPr>
          <w:rStyle w:val="FootnoteReference"/>
          <w:rFonts w:eastAsia="Calibri"/>
          <w:color w:val="000000" w:themeColor="text1"/>
          <w:szCs w:val="26"/>
        </w:rPr>
        <w:footnoteReference w:id="172"/>
      </w:r>
    </w:p>
    <w:p w:rsidRPr="006F7C82" w:rsidR="007F17E3" w:rsidP="55E90BF0" w:rsidRDefault="00A80E56" w14:paraId="31BD97DA" w14:textId="3A3FBBB2">
      <w:pPr>
        <w:pStyle w:val="Standard"/>
        <w:rPr>
          <w:rFonts w:eastAsia="Calibri"/>
          <w:color w:val="000000" w:themeColor="text1"/>
          <w:szCs w:val="26"/>
        </w:rPr>
      </w:pPr>
      <w:r w:rsidRPr="006F7C82">
        <w:rPr>
          <w:rFonts w:eastAsia="Calibri"/>
          <w:color w:val="000000" w:themeColor="text1"/>
        </w:rPr>
        <w:t xml:space="preserve">CCTA urges the Commission to wait until at least the third quarter </w:t>
      </w:r>
      <w:r w:rsidRPr="006F7C82" w:rsidR="007B5C0D">
        <w:rPr>
          <w:rFonts w:eastAsia="Calibri"/>
          <w:color w:val="000000" w:themeColor="text1"/>
        </w:rPr>
        <w:t>of 2022 to set the 2023-2024 CASF budget, and to reassess allocations based on documented need to address remaining broadband access and adoption gaps.</w:t>
      </w:r>
      <w:r w:rsidRPr="006F7C82" w:rsidR="001D3CD9">
        <w:rPr>
          <w:rStyle w:val="FootnoteReference"/>
          <w:rFonts w:eastAsia="Calibri"/>
          <w:color w:val="000000" w:themeColor="text1"/>
          <w:szCs w:val="26"/>
        </w:rPr>
        <w:footnoteReference w:id="173"/>
      </w:r>
    </w:p>
    <w:p w:rsidRPr="006F7C82" w:rsidR="55E90BF0" w:rsidP="55E90BF0" w:rsidRDefault="00B647D3" w14:paraId="57429D72" w14:textId="6A9BB4E9">
      <w:pPr>
        <w:pStyle w:val="Standard"/>
        <w:rPr>
          <w:rFonts w:eastAsia="Calibri"/>
          <w:color w:val="000000" w:themeColor="text1"/>
          <w:szCs w:val="26"/>
        </w:rPr>
      </w:pPr>
      <w:r w:rsidRPr="006F7C82">
        <w:rPr>
          <w:rFonts w:eastAsia="Calibri"/>
          <w:color w:val="000000" w:themeColor="text1"/>
        </w:rPr>
        <w:t xml:space="preserve">The Commission acknowledges </w:t>
      </w:r>
      <w:r w:rsidRPr="006F7C82" w:rsidR="00B61873">
        <w:rPr>
          <w:rFonts w:eastAsia="Calibri"/>
          <w:color w:val="000000" w:themeColor="text1"/>
        </w:rPr>
        <w:t>the statutory limit on</w:t>
      </w:r>
      <w:r w:rsidRPr="006F7C82">
        <w:rPr>
          <w:rFonts w:eastAsia="Calibri"/>
          <w:color w:val="000000" w:themeColor="text1"/>
        </w:rPr>
        <w:t xml:space="preserve"> </w:t>
      </w:r>
      <w:r w:rsidRPr="006F7C82" w:rsidR="00E55564">
        <w:rPr>
          <w:rFonts w:eastAsia="Calibri"/>
          <w:color w:val="000000" w:themeColor="text1"/>
        </w:rPr>
        <w:t xml:space="preserve">funds to be allocated to the </w:t>
      </w:r>
      <w:r w:rsidRPr="006F7C82" w:rsidR="00F5285F">
        <w:rPr>
          <w:rFonts w:eastAsia="Calibri"/>
          <w:color w:val="000000" w:themeColor="text1"/>
        </w:rPr>
        <w:t>Line Extension Program, as noted by Cal Advocates</w:t>
      </w:r>
      <w:r w:rsidRPr="006F7C82" w:rsidR="00D12395">
        <w:rPr>
          <w:rFonts w:eastAsia="Calibri"/>
          <w:color w:val="000000" w:themeColor="text1"/>
        </w:rPr>
        <w:t xml:space="preserve">. With </w:t>
      </w:r>
      <w:r w:rsidRPr="006F7C82" w:rsidR="00355728">
        <w:rPr>
          <w:rFonts w:eastAsia="Calibri"/>
          <w:color w:val="000000" w:themeColor="text1"/>
        </w:rPr>
        <w:t xml:space="preserve">remaining funds still available </w:t>
      </w:r>
      <w:r w:rsidRPr="006F7C82" w:rsidR="00486095">
        <w:rPr>
          <w:rFonts w:eastAsia="Calibri"/>
          <w:color w:val="000000" w:themeColor="text1"/>
        </w:rPr>
        <w:t xml:space="preserve">for the Tribal Technical Assistance Program, </w:t>
      </w:r>
      <w:r w:rsidRPr="006F7C82" w:rsidR="00D65AA7">
        <w:rPr>
          <w:rFonts w:eastAsia="Calibri"/>
          <w:color w:val="000000" w:themeColor="text1"/>
        </w:rPr>
        <w:t xml:space="preserve">combined with </w:t>
      </w:r>
      <w:r w:rsidRPr="006F7C82" w:rsidR="001F7FB2">
        <w:rPr>
          <w:rFonts w:eastAsia="Calibri"/>
          <w:color w:val="000000" w:themeColor="text1"/>
        </w:rPr>
        <w:t xml:space="preserve">funds that will be available to tribes under the Local Agency Technical </w:t>
      </w:r>
      <w:r w:rsidRPr="006F7C82" w:rsidR="001F7FB2">
        <w:rPr>
          <w:rFonts w:eastAsia="Calibri"/>
          <w:color w:val="000000" w:themeColor="text1"/>
        </w:rPr>
        <w:lastRenderedPageBreak/>
        <w:t xml:space="preserve">Assistance Program, </w:t>
      </w:r>
      <w:r w:rsidRPr="006F7C82" w:rsidR="00E9023C">
        <w:rPr>
          <w:rFonts w:eastAsia="Calibri"/>
          <w:color w:val="000000" w:themeColor="text1"/>
        </w:rPr>
        <w:t>and an</w:t>
      </w:r>
      <w:r w:rsidRPr="006F7C82" w:rsidR="00D13DDC">
        <w:rPr>
          <w:rFonts w:eastAsia="Calibri"/>
          <w:color w:val="000000" w:themeColor="text1"/>
        </w:rPr>
        <w:t xml:space="preserve"> </w:t>
      </w:r>
      <w:r w:rsidRPr="006F7C82" w:rsidR="00E9023C">
        <w:rPr>
          <w:rFonts w:eastAsia="Calibri"/>
          <w:color w:val="000000" w:themeColor="text1"/>
        </w:rPr>
        <w:t>anticipated</w:t>
      </w:r>
      <w:r w:rsidRPr="006F7C82" w:rsidR="00D13DDC">
        <w:rPr>
          <w:rFonts w:eastAsia="Calibri"/>
          <w:color w:val="000000" w:themeColor="text1"/>
        </w:rPr>
        <w:t xml:space="preserve"> greater</w:t>
      </w:r>
      <w:r w:rsidRPr="006F7C82" w:rsidR="00E9023C">
        <w:rPr>
          <w:rFonts w:eastAsia="Calibri"/>
          <w:color w:val="000000" w:themeColor="text1"/>
        </w:rPr>
        <w:t xml:space="preserve"> </w:t>
      </w:r>
      <w:r w:rsidRPr="006F7C82" w:rsidR="00307B50">
        <w:rPr>
          <w:rFonts w:eastAsia="Calibri"/>
          <w:color w:val="000000" w:themeColor="text1"/>
        </w:rPr>
        <w:t xml:space="preserve">increase in </w:t>
      </w:r>
      <w:r w:rsidRPr="006F7C82" w:rsidR="00536BFB">
        <w:rPr>
          <w:rFonts w:eastAsia="Calibri"/>
          <w:color w:val="000000" w:themeColor="text1"/>
        </w:rPr>
        <w:t xml:space="preserve">Adoption Account </w:t>
      </w:r>
      <w:r w:rsidRPr="006F7C82" w:rsidR="00817488">
        <w:rPr>
          <w:rFonts w:eastAsia="Calibri"/>
          <w:color w:val="000000" w:themeColor="text1"/>
        </w:rPr>
        <w:t xml:space="preserve">applications, </w:t>
      </w:r>
      <w:r w:rsidRPr="006F7C82" w:rsidR="001A40D8">
        <w:rPr>
          <w:rFonts w:eastAsia="Calibri"/>
          <w:color w:val="000000" w:themeColor="text1"/>
        </w:rPr>
        <w:t xml:space="preserve">the Commission determines to </w:t>
      </w:r>
      <w:r w:rsidRPr="006F7C82" w:rsidR="00414834">
        <w:rPr>
          <w:rFonts w:eastAsia="Calibri"/>
          <w:color w:val="000000" w:themeColor="text1"/>
        </w:rPr>
        <w:t xml:space="preserve">allocate the portion </w:t>
      </w:r>
      <w:r w:rsidRPr="006F7C82" w:rsidR="00383883">
        <w:rPr>
          <w:rFonts w:eastAsia="Calibri"/>
          <w:color w:val="000000" w:themeColor="text1"/>
        </w:rPr>
        <w:t xml:space="preserve">of funds </w:t>
      </w:r>
      <w:r w:rsidRPr="006F7C82" w:rsidR="003A7390">
        <w:rPr>
          <w:rFonts w:eastAsia="Calibri"/>
          <w:color w:val="000000" w:themeColor="text1"/>
        </w:rPr>
        <w:t xml:space="preserve">proposed for the Line Extension Program to the Adoption </w:t>
      </w:r>
      <w:r w:rsidRPr="006F7C82" w:rsidR="00C3433C">
        <w:rPr>
          <w:rFonts w:eastAsia="Calibri"/>
          <w:color w:val="000000" w:themeColor="text1"/>
        </w:rPr>
        <w:t xml:space="preserve">Account. </w:t>
      </w:r>
      <w:r w:rsidRPr="006F7C82" w:rsidR="003E04EB">
        <w:rPr>
          <w:rFonts w:eastAsia="Calibri"/>
          <w:color w:val="000000" w:themeColor="text1"/>
        </w:rPr>
        <w:t xml:space="preserve">As of </w:t>
      </w:r>
      <w:r w:rsidRPr="006F7C82" w:rsidR="008A543A">
        <w:rPr>
          <w:rFonts w:eastAsia="Calibri"/>
          <w:color w:val="000000" w:themeColor="text1"/>
        </w:rPr>
        <w:t>March</w:t>
      </w:r>
      <w:r w:rsidR="00F170B0">
        <w:rPr>
          <w:rFonts w:eastAsia="Calibri"/>
          <w:color w:val="000000" w:themeColor="text1"/>
        </w:rPr>
        <w:t> </w:t>
      </w:r>
      <w:r w:rsidRPr="006F7C82" w:rsidR="00160D5B">
        <w:rPr>
          <w:rFonts w:eastAsia="Calibri"/>
          <w:color w:val="000000" w:themeColor="text1"/>
        </w:rPr>
        <w:t>30</w:t>
      </w:r>
      <w:r w:rsidRPr="006F7C82" w:rsidR="00FE5103">
        <w:rPr>
          <w:rFonts w:eastAsia="Calibri"/>
          <w:color w:val="000000" w:themeColor="text1"/>
        </w:rPr>
        <w:t>, 2022</w:t>
      </w:r>
      <w:r w:rsidRPr="006F7C82" w:rsidR="005E1401">
        <w:rPr>
          <w:rFonts w:eastAsia="Calibri"/>
          <w:color w:val="000000" w:themeColor="text1"/>
        </w:rPr>
        <w:t xml:space="preserve">, </w:t>
      </w:r>
      <w:r w:rsidRPr="006F7C82" w:rsidR="009D795B">
        <w:rPr>
          <w:rFonts w:eastAsia="Calibri"/>
          <w:color w:val="000000" w:themeColor="text1"/>
        </w:rPr>
        <w:t xml:space="preserve">the Commission has only awarded </w:t>
      </w:r>
      <w:r w:rsidRPr="006F7C82" w:rsidR="00A42E3E">
        <w:rPr>
          <w:rFonts w:eastAsia="Calibri"/>
          <w:color w:val="000000" w:themeColor="text1"/>
        </w:rPr>
        <w:t>$297,778</w:t>
      </w:r>
      <w:r w:rsidRPr="006F7C82" w:rsidR="009544D0">
        <w:rPr>
          <w:rFonts w:eastAsia="Calibri"/>
          <w:color w:val="000000" w:themeColor="text1"/>
        </w:rPr>
        <w:t xml:space="preserve"> </w:t>
      </w:r>
      <w:r w:rsidRPr="006F7C82" w:rsidR="00AD7BED">
        <w:rPr>
          <w:rFonts w:eastAsia="Calibri"/>
          <w:color w:val="000000" w:themeColor="text1"/>
        </w:rPr>
        <w:t xml:space="preserve">in the Line Extension Program, with </w:t>
      </w:r>
      <w:r w:rsidRPr="006F7C82" w:rsidR="005E1401">
        <w:rPr>
          <w:rFonts w:eastAsia="Calibri"/>
          <w:color w:val="000000" w:themeColor="text1"/>
        </w:rPr>
        <w:t>approximately $</w:t>
      </w:r>
      <w:r w:rsidRPr="006F7C82" w:rsidR="003834A8">
        <w:rPr>
          <w:rFonts w:eastAsia="Calibri"/>
          <w:color w:val="000000" w:themeColor="text1"/>
        </w:rPr>
        <w:t>4</w:t>
      </w:r>
      <w:r w:rsidRPr="006F7C82" w:rsidR="00FE5103">
        <w:rPr>
          <w:rFonts w:eastAsia="Calibri"/>
          <w:color w:val="000000" w:themeColor="text1"/>
        </w:rPr>
        <w:t xml:space="preserve">.7 million </w:t>
      </w:r>
      <w:r w:rsidRPr="006F7C82" w:rsidR="005E1401">
        <w:rPr>
          <w:rFonts w:eastAsia="Calibri"/>
          <w:color w:val="000000" w:themeColor="text1"/>
        </w:rPr>
        <w:t>remain</w:t>
      </w:r>
      <w:r w:rsidRPr="006F7C82" w:rsidR="00AD7BED">
        <w:rPr>
          <w:rFonts w:eastAsia="Calibri"/>
          <w:color w:val="000000" w:themeColor="text1"/>
        </w:rPr>
        <w:t>ing</w:t>
      </w:r>
      <w:r w:rsidRPr="006F7C82" w:rsidR="00722CBC">
        <w:rPr>
          <w:rFonts w:eastAsia="Calibri"/>
          <w:color w:val="000000" w:themeColor="text1"/>
        </w:rPr>
        <w:t>.</w:t>
      </w:r>
      <w:r w:rsidRPr="006F7C82" w:rsidR="008C2709">
        <w:rPr>
          <w:rStyle w:val="FootnoteReference"/>
          <w:rFonts w:eastAsia="Calibri"/>
          <w:color w:val="000000" w:themeColor="text1"/>
          <w:szCs w:val="26"/>
        </w:rPr>
        <w:footnoteReference w:id="174"/>
      </w:r>
    </w:p>
    <w:p w:rsidRPr="006F7C82" w:rsidR="00AF0957" w:rsidP="55E90BF0" w:rsidRDefault="00AF0957" w14:paraId="358BE074" w14:textId="42B75B28">
      <w:pPr>
        <w:pStyle w:val="Standard"/>
        <w:rPr>
          <w:rFonts w:eastAsia="Calibri"/>
          <w:color w:val="000000" w:themeColor="text1"/>
        </w:rPr>
      </w:pPr>
      <w:r w:rsidRPr="1E36BC02">
        <w:rPr>
          <w:rFonts w:eastAsia="Calibri"/>
          <w:color w:val="000000" w:themeColor="text1"/>
        </w:rPr>
        <w:t xml:space="preserve">The Commission acknowledges </w:t>
      </w:r>
      <w:r w:rsidRPr="1E36BC02" w:rsidR="00F73AE0">
        <w:rPr>
          <w:rFonts w:eastAsia="Calibri"/>
          <w:color w:val="000000" w:themeColor="text1"/>
        </w:rPr>
        <w:t xml:space="preserve">parties’ comments, both for </w:t>
      </w:r>
      <w:r w:rsidRPr="1E36BC02" w:rsidR="00787EAD">
        <w:rPr>
          <w:rFonts w:eastAsia="Calibri"/>
          <w:color w:val="000000" w:themeColor="text1"/>
        </w:rPr>
        <w:t xml:space="preserve">greater </w:t>
      </w:r>
      <w:r w:rsidRPr="1E36BC02" w:rsidR="00280DBB">
        <w:rPr>
          <w:rFonts w:eastAsia="Calibri"/>
          <w:color w:val="000000" w:themeColor="text1"/>
        </w:rPr>
        <w:t xml:space="preserve">commitments to </w:t>
      </w:r>
      <w:r w:rsidRPr="1E36BC02" w:rsidR="00221334">
        <w:rPr>
          <w:rFonts w:eastAsia="Calibri"/>
          <w:color w:val="000000" w:themeColor="text1"/>
        </w:rPr>
        <w:t>the</w:t>
      </w:r>
      <w:r w:rsidRPr="1E36BC02" w:rsidR="00280DBB">
        <w:rPr>
          <w:rFonts w:eastAsia="Calibri"/>
          <w:color w:val="000000" w:themeColor="text1"/>
        </w:rPr>
        <w:t xml:space="preserve"> </w:t>
      </w:r>
      <w:r w:rsidRPr="1E36BC02" w:rsidR="002F282D">
        <w:rPr>
          <w:rFonts w:eastAsia="Calibri"/>
          <w:color w:val="000000" w:themeColor="text1"/>
        </w:rPr>
        <w:t xml:space="preserve">Public Housing, Adoptions and </w:t>
      </w:r>
      <w:r w:rsidRPr="1E36BC02" w:rsidR="00221334">
        <w:rPr>
          <w:rFonts w:eastAsia="Calibri"/>
          <w:color w:val="000000" w:themeColor="text1"/>
        </w:rPr>
        <w:t xml:space="preserve">Consortia </w:t>
      </w:r>
      <w:r w:rsidRPr="1E36BC02" w:rsidR="00DD5B0B">
        <w:rPr>
          <w:rFonts w:eastAsia="Calibri"/>
          <w:color w:val="000000" w:themeColor="text1"/>
        </w:rPr>
        <w:t>A</w:t>
      </w:r>
      <w:r w:rsidRPr="1E36BC02" w:rsidR="00221334">
        <w:rPr>
          <w:rFonts w:eastAsia="Calibri"/>
          <w:color w:val="000000" w:themeColor="text1"/>
        </w:rPr>
        <w:t>ccounts</w:t>
      </w:r>
      <w:r w:rsidRPr="1E36BC02" w:rsidR="00C66345">
        <w:rPr>
          <w:rFonts w:eastAsia="Calibri"/>
          <w:color w:val="000000" w:themeColor="text1"/>
        </w:rPr>
        <w:t xml:space="preserve">, and </w:t>
      </w:r>
      <w:r w:rsidRPr="1E36BC02" w:rsidR="00B05BC0">
        <w:rPr>
          <w:rFonts w:eastAsia="Calibri"/>
          <w:color w:val="000000" w:themeColor="text1"/>
        </w:rPr>
        <w:t xml:space="preserve">CCTA’s urging </w:t>
      </w:r>
      <w:r w:rsidRPr="1E36BC02" w:rsidR="00E65B85">
        <w:rPr>
          <w:rFonts w:eastAsia="Calibri"/>
          <w:color w:val="000000" w:themeColor="text1"/>
        </w:rPr>
        <w:t xml:space="preserve">not to </w:t>
      </w:r>
      <w:r w:rsidRPr="1E36BC02" w:rsidR="00627FB1">
        <w:rPr>
          <w:rFonts w:eastAsia="Calibri"/>
          <w:color w:val="000000" w:themeColor="text1"/>
        </w:rPr>
        <w:t xml:space="preserve">establish future funding levels </w:t>
      </w:r>
      <w:proofErr w:type="gramStart"/>
      <w:r w:rsidRPr="1E36BC02" w:rsidR="009F2CE0">
        <w:rPr>
          <w:rFonts w:eastAsia="Calibri"/>
          <w:color w:val="000000" w:themeColor="text1"/>
        </w:rPr>
        <w:t>at this time</w:t>
      </w:r>
      <w:proofErr w:type="gramEnd"/>
      <w:r w:rsidRPr="1E36BC02" w:rsidR="00E00A43">
        <w:rPr>
          <w:rFonts w:eastAsia="Calibri"/>
          <w:color w:val="000000" w:themeColor="text1"/>
        </w:rPr>
        <w:t xml:space="preserve">. </w:t>
      </w:r>
      <w:r w:rsidRPr="1E36BC02" w:rsidR="00D91E6E">
        <w:rPr>
          <w:rFonts w:eastAsia="Calibri"/>
          <w:color w:val="000000" w:themeColor="text1"/>
        </w:rPr>
        <w:t xml:space="preserve">The allocations and amounts proposed in the </w:t>
      </w:r>
      <w:r w:rsidRPr="1E36BC02" w:rsidR="0097249C">
        <w:rPr>
          <w:rFonts w:eastAsia="Calibri"/>
          <w:color w:val="000000" w:themeColor="text1"/>
        </w:rPr>
        <w:t xml:space="preserve">Second Amended Scoping </w:t>
      </w:r>
      <w:r w:rsidRPr="1E36BC02" w:rsidR="00934F26">
        <w:rPr>
          <w:rFonts w:eastAsia="Calibri"/>
          <w:color w:val="000000" w:themeColor="text1"/>
        </w:rPr>
        <w:t>Memo</w:t>
      </w:r>
      <w:r w:rsidRPr="1E36BC02" w:rsidR="0097249C">
        <w:rPr>
          <w:rFonts w:eastAsia="Calibri"/>
          <w:color w:val="000000" w:themeColor="text1"/>
        </w:rPr>
        <w:t xml:space="preserve"> </w:t>
      </w:r>
      <w:r w:rsidRPr="1E36BC02" w:rsidR="00C40092">
        <w:rPr>
          <w:rFonts w:eastAsia="Calibri"/>
          <w:color w:val="000000" w:themeColor="text1"/>
        </w:rPr>
        <w:t>are</w:t>
      </w:r>
      <w:r w:rsidRPr="1E36BC02" w:rsidR="0097249C">
        <w:rPr>
          <w:rFonts w:eastAsia="Calibri"/>
          <w:color w:val="000000" w:themeColor="text1"/>
        </w:rPr>
        <w:t xml:space="preserve"> reflective of </w:t>
      </w:r>
      <w:r w:rsidRPr="1E36BC02" w:rsidR="00381748">
        <w:rPr>
          <w:rFonts w:eastAsia="Calibri"/>
          <w:color w:val="000000" w:themeColor="text1"/>
        </w:rPr>
        <w:t xml:space="preserve">past </w:t>
      </w:r>
      <w:r w:rsidRPr="1E36BC02" w:rsidR="006A6063">
        <w:rPr>
          <w:rFonts w:eastAsia="Calibri"/>
          <w:color w:val="000000" w:themeColor="text1"/>
        </w:rPr>
        <w:t>applications</w:t>
      </w:r>
      <w:r w:rsidRPr="1E36BC02" w:rsidR="008D3350">
        <w:rPr>
          <w:rFonts w:eastAsia="Calibri"/>
          <w:color w:val="000000" w:themeColor="text1"/>
        </w:rPr>
        <w:t xml:space="preserve"> and anticipated </w:t>
      </w:r>
      <w:r w:rsidRPr="1E36BC02" w:rsidR="00B214FC">
        <w:rPr>
          <w:rFonts w:eastAsia="Calibri"/>
          <w:color w:val="000000" w:themeColor="text1"/>
        </w:rPr>
        <w:t xml:space="preserve">increases in </w:t>
      </w:r>
      <w:r w:rsidRPr="1E36BC02" w:rsidR="00B64DE2">
        <w:rPr>
          <w:rFonts w:eastAsia="Calibri"/>
          <w:color w:val="000000" w:themeColor="text1"/>
        </w:rPr>
        <w:t xml:space="preserve">grant amounts </w:t>
      </w:r>
      <w:r w:rsidRPr="1E36BC02" w:rsidR="00B27C26">
        <w:rPr>
          <w:rFonts w:eastAsia="Calibri"/>
          <w:color w:val="000000" w:themeColor="text1"/>
        </w:rPr>
        <w:t xml:space="preserve">due to proposed </w:t>
      </w:r>
      <w:r w:rsidRPr="1E36BC02" w:rsidR="003E2C51">
        <w:rPr>
          <w:rFonts w:eastAsia="Calibri"/>
          <w:color w:val="000000" w:themeColor="text1"/>
        </w:rPr>
        <w:t xml:space="preserve">rule changes, such as </w:t>
      </w:r>
      <w:r w:rsidRPr="1E36BC02" w:rsidR="001E54B4">
        <w:rPr>
          <w:rFonts w:eastAsia="Calibri"/>
          <w:color w:val="000000" w:themeColor="text1"/>
        </w:rPr>
        <w:t>additional allowable costs</w:t>
      </w:r>
      <w:r w:rsidRPr="1E36BC02" w:rsidR="006E10B2">
        <w:rPr>
          <w:rFonts w:eastAsia="Calibri"/>
          <w:color w:val="000000" w:themeColor="text1"/>
        </w:rPr>
        <w:t xml:space="preserve">, </w:t>
      </w:r>
      <w:r w:rsidRPr="1E36BC02" w:rsidR="00D84817">
        <w:rPr>
          <w:rFonts w:eastAsia="Calibri"/>
          <w:color w:val="000000" w:themeColor="text1"/>
        </w:rPr>
        <w:t xml:space="preserve">and </w:t>
      </w:r>
      <w:r w:rsidRPr="1E36BC02" w:rsidR="00107CF4">
        <w:rPr>
          <w:rFonts w:eastAsia="Calibri"/>
          <w:color w:val="000000" w:themeColor="text1"/>
        </w:rPr>
        <w:t xml:space="preserve">basic assumptions </w:t>
      </w:r>
      <w:r w:rsidRPr="1E36BC02" w:rsidR="00526728">
        <w:rPr>
          <w:rFonts w:eastAsia="Calibri"/>
          <w:color w:val="000000" w:themeColor="text1"/>
        </w:rPr>
        <w:t xml:space="preserve">such as </w:t>
      </w:r>
      <w:r w:rsidRPr="1E36BC02" w:rsidR="00FB319F">
        <w:rPr>
          <w:rFonts w:eastAsia="Calibri"/>
          <w:color w:val="000000" w:themeColor="text1"/>
        </w:rPr>
        <w:t>two rounds of application cycles for the Public Housing Account</w:t>
      </w:r>
      <w:r w:rsidRPr="1E36BC02" w:rsidR="00D74518">
        <w:rPr>
          <w:rFonts w:eastAsia="Calibri"/>
          <w:color w:val="000000" w:themeColor="text1"/>
        </w:rPr>
        <w:t>. The Commission agrees g</w:t>
      </w:r>
      <w:r w:rsidRPr="1E36BC02" w:rsidR="003B2A16">
        <w:rPr>
          <w:rFonts w:eastAsia="Calibri"/>
          <w:color w:val="000000" w:themeColor="text1"/>
        </w:rPr>
        <w:t xml:space="preserve">enerally with CCTA that </w:t>
      </w:r>
      <w:r w:rsidRPr="1E36BC02" w:rsidR="00ED467D">
        <w:rPr>
          <w:rFonts w:eastAsia="Calibri"/>
          <w:color w:val="000000" w:themeColor="text1"/>
        </w:rPr>
        <w:t xml:space="preserve">budgets </w:t>
      </w:r>
      <w:r w:rsidRPr="1E36BC02" w:rsidR="000142CD">
        <w:rPr>
          <w:rFonts w:eastAsia="Calibri"/>
          <w:color w:val="000000" w:themeColor="text1"/>
        </w:rPr>
        <w:t xml:space="preserve">beyond </w:t>
      </w:r>
      <w:r w:rsidRPr="1E36BC02" w:rsidR="00C873D6">
        <w:rPr>
          <w:rFonts w:eastAsia="Calibri"/>
          <w:color w:val="000000" w:themeColor="text1"/>
        </w:rPr>
        <w:t>f</w:t>
      </w:r>
      <w:r w:rsidRPr="1E36BC02" w:rsidR="000142CD">
        <w:rPr>
          <w:rFonts w:eastAsia="Calibri"/>
          <w:color w:val="000000" w:themeColor="text1"/>
        </w:rPr>
        <w:t xml:space="preserve">iscal </w:t>
      </w:r>
      <w:r w:rsidRPr="1E36BC02" w:rsidR="00C873D6">
        <w:rPr>
          <w:rFonts w:eastAsia="Calibri"/>
          <w:color w:val="000000" w:themeColor="text1"/>
        </w:rPr>
        <w:t>y</w:t>
      </w:r>
      <w:r w:rsidRPr="1E36BC02" w:rsidR="000142CD">
        <w:rPr>
          <w:rFonts w:eastAsia="Calibri"/>
          <w:color w:val="000000" w:themeColor="text1"/>
        </w:rPr>
        <w:t>ear 2022</w:t>
      </w:r>
      <w:r w:rsidR="00F170B0">
        <w:rPr>
          <w:rFonts w:eastAsia="Calibri"/>
          <w:color w:val="000000" w:themeColor="text1"/>
        </w:rPr>
        <w:noBreakHyphen/>
      </w:r>
      <w:r w:rsidRPr="1E36BC02" w:rsidR="000142CD">
        <w:rPr>
          <w:rFonts w:eastAsia="Calibri"/>
          <w:color w:val="000000" w:themeColor="text1"/>
        </w:rPr>
        <w:t xml:space="preserve">2023 should be based on </w:t>
      </w:r>
      <w:r w:rsidRPr="1E36BC02" w:rsidR="0088445B">
        <w:rPr>
          <w:rFonts w:eastAsia="Calibri"/>
          <w:color w:val="000000" w:themeColor="text1"/>
        </w:rPr>
        <w:t xml:space="preserve">actual </w:t>
      </w:r>
      <w:r w:rsidRPr="1E36BC02" w:rsidR="008F2695">
        <w:rPr>
          <w:rFonts w:eastAsia="Calibri"/>
          <w:color w:val="000000" w:themeColor="text1"/>
        </w:rPr>
        <w:t>activity for each program</w:t>
      </w:r>
      <w:r w:rsidRPr="1E36BC02" w:rsidR="00462731">
        <w:rPr>
          <w:rFonts w:eastAsia="Calibri"/>
          <w:color w:val="000000" w:themeColor="text1"/>
        </w:rPr>
        <w:t>.</w:t>
      </w:r>
      <w:r w:rsidRPr="1E36BC02" w:rsidR="00C85598">
        <w:rPr>
          <w:rFonts w:eastAsia="Calibri"/>
          <w:color w:val="000000" w:themeColor="text1"/>
        </w:rPr>
        <w:t xml:space="preserve"> The Commission d</w:t>
      </w:r>
      <w:r w:rsidRPr="384CAAE5" w:rsidR="0005546C">
        <w:rPr>
          <w:rFonts w:eastAsia="Calibri"/>
          <w:color w:val="000000" w:themeColor="text1"/>
        </w:rPr>
        <w:t>irects</w:t>
      </w:r>
      <w:r w:rsidRPr="1E36BC02" w:rsidR="00C85598">
        <w:rPr>
          <w:rFonts w:eastAsia="Calibri"/>
          <w:color w:val="000000" w:themeColor="text1"/>
        </w:rPr>
        <w:t xml:space="preserve"> </w:t>
      </w:r>
      <w:r w:rsidRPr="1E36BC02" w:rsidR="00B47DEC">
        <w:rPr>
          <w:rFonts w:eastAsia="Calibri"/>
          <w:color w:val="000000" w:themeColor="text1"/>
        </w:rPr>
        <w:t xml:space="preserve">staff </w:t>
      </w:r>
      <w:r w:rsidRPr="1E36BC02" w:rsidR="002E34BD">
        <w:rPr>
          <w:rFonts w:eastAsia="Calibri"/>
          <w:color w:val="000000" w:themeColor="text1"/>
        </w:rPr>
        <w:t>to propose</w:t>
      </w:r>
      <w:r w:rsidRPr="384CAAE5" w:rsidR="0005546C">
        <w:rPr>
          <w:rFonts w:eastAsia="Calibri"/>
          <w:color w:val="000000" w:themeColor="text1"/>
        </w:rPr>
        <w:t xml:space="preserve"> to the Commission</w:t>
      </w:r>
      <w:r w:rsidRPr="1E36BC02" w:rsidR="00844D0B">
        <w:rPr>
          <w:rFonts w:eastAsia="Calibri"/>
          <w:color w:val="000000" w:themeColor="text1"/>
        </w:rPr>
        <w:t>, via resolutio</w:t>
      </w:r>
      <w:r w:rsidRPr="0011759B" w:rsidR="00844D0B">
        <w:rPr>
          <w:rFonts w:eastAsia="Book Antiqua" w:cs="Book Antiqua"/>
          <w:color w:val="000000" w:themeColor="text1"/>
        </w:rPr>
        <w:t>n,</w:t>
      </w:r>
      <w:r w:rsidRPr="0011759B" w:rsidR="002E34BD">
        <w:rPr>
          <w:rFonts w:eastAsia="Book Antiqua" w:cs="Book Antiqua"/>
          <w:color w:val="000000" w:themeColor="text1"/>
        </w:rPr>
        <w:t xml:space="preserve"> CASF</w:t>
      </w:r>
      <w:r w:rsidRPr="384CAAE5" w:rsidR="002E34BD">
        <w:rPr>
          <w:rFonts w:eastAsia="Calibri"/>
          <w:color w:val="000000" w:themeColor="text1"/>
        </w:rPr>
        <w:t xml:space="preserve"> </w:t>
      </w:r>
      <w:r w:rsidRPr="1E36BC02" w:rsidR="00E32F61">
        <w:rPr>
          <w:rFonts w:eastAsia="Calibri"/>
          <w:color w:val="000000" w:themeColor="text1"/>
        </w:rPr>
        <w:t>budget</w:t>
      </w:r>
      <w:r w:rsidRPr="384CAAE5" w:rsidR="00E32F61">
        <w:rPr>
          <w:rFonts w:eastAsia="Calibri"/>
          <w:color w:val="000000" w:themeColor="text1"/>
        </w:rPr>
        <w:t xml:space="preserve"> allocations and </w:t>
      </w:r>
      <w:r w:rsidR="00381393">
        <w:rPr>
          <w:rFonts w:eastAsia="Calibri"/>
          <w:color w:val="000000" w:themeColor="text1"/>
        </w:rPr>
        <w:t xml:space="preserve">any </w:t>
      </w:r>
      <w:r w:rsidRPr="384CAAE5" w:rsidR="00E32F61">
        <w:rPr>
          <w:rFonts w:eastAsia="Calibri"/>
          <w:color w:val="000000" w:themeColor="text1"/>
        </w:rPr>
        <w:t>changes to allocations</w:t>
      </w:r>
      <w:r w:rsidRPr="1E36BC02" w:rsidR="00E32F61">
        <w:rPr>
          <w:rFonts w:eastAsia="Calibri"/>
          <w:color w:val="000000" w:themeColor="text1"/>
        </w:rPr>
        <w:t xml:space="preserve"> </w:t>
      </w:r>
      <w:r w:rsidRPr="1E36BC02" w:rsidR="00BF17EC">
        <w:rPr>
          <w:rFonts w:eastAsia="Calibri"/>
          <w:color w:val="000000" w:themeColor="text1"/>
        </w:rPr>
        <w:t>for Commission approval.</w:t>
      </w:r>
      <w:r w:rsidRPr="1E36BC02" w:rsidR="008700FE">
        <w:rPr>
          <w:rFonts w:eastAsia="Calibri"/>
          <w:color w:val="000000" w:themeColor="text1"/>
        </w:rPr>
        <w:t xml:space="preserve"> </w:t>
      </w:r>
    </w:p>
    <w:p w:rsidRPr="006F7C82" w:rsidR="005E18F6" w:rsidP="693A4047" w:rsidRDefault="00B366C2" w14:paraId="795F8F09" w14:textId="08C0C24F">
      <w:pPr>
        <w:pStyle w:val="Standard"/>
        <w:rPr>
          <w:rStyle w:val="FootnoteReference"/>
          <w:rFonts w:eastAsia="Calibri"/>
          <w:color w:val="000000" w:themeColor="text1"/>
        </w:rPr>
      </w:pPr>
      <w:r w:rsidRPr="009F2F16">
        <w:t>The assigned Commissioner’s office may hold an all-party meeting to hear from parties regarding CASF program participation, party budget allocation</w:t>
      </w:r>
      <w:r>
        <w:t xml:space="preserve"> </w:t>
      </w:r>
      <w:r w:rsidRPr="009F2F16">
        <w:t xml:space="preserve">recommendations, and related community outreach for each of the </w:t>
      </w:r>
      <w:r>
        <w:t>accounts</w:t>
      </w:r>
      <w:r w:rsidR="005F7CA4">
        <w:t>, prior to the end of January 2023, unless a later date is deemed more appropriate by the assigned Commissioner</w:t>
      </w:r>
      <w:r>
        <w:t>.</w:t>
      </w:r>
    </w:p>
    <w:p w:rsidR="00550582" w:rsidP="55E90BF0" w:rsidRDefault="00550582" w14:paraId="0C5FC935" w14:textId="4A7AF82D">
      <w:pPr>
        <w:pStyle w:val="Standard"/>
        <w:rPr>
          <w:rFonts w:eastAsia="Calibri"/>
          <w:color w:val="000000" w:themeColor="text1"/>
          <w:szCs w:val="26"/>
        </w:rPr>
      </w:pPr>
      <w:r w:rsidRPr="006F7C82">
        <w:rPr>
          <w:rFonts w:eastAsia="Calibri"/>
          <w:color w:val="000000" w:themeColor="text1"/>
          <w:szCs w:val="26"/>
        </w:rPr>
        <w:t xml:space="preserve">The </w:t>
      </w:r>
      <w:r w:rsidRPr="006F7C82" w:rsidR="00C873D6">
        <w:rPr>
          <w:rFonts w:eastAsia="Calibri"/>
          <w:color w:val="000000" w:themeColor="text1"/>
          <w:szCs w:val="26"/>
        </w:rPr>
        <w:t>f</w:t>
      </w:r>
      <w:r w:rsidRPr="006F7C82" w:rsidR="00552BB7">
        <w:rPr>
          <w:rFonts w:eastAsia="Calibri"/>
          <w:color w:val="000000" w:themeColor="text1"/>
          <w:szCs w:val="26"/>
        </w:rPr>
        <w:t xml:space="preserve">iscal </w:t>
      </w:r>
      <w:r w:rsidRPr="006F7C82" w:rsidR="00C873D6">
        <w:rPr>
          <w:rFonts w:eastAsia="Calibri"/>
          <w:color w:val="000000" w:themeColor="text1"/>
          <w:szCs w:val="26"/>
        </w:rPr>
        <w:t>y</w:t>
      </w:r>
      <w:r w:rsidRPr="006F7C82" w:rsidR="00552BB7">
        <w:rPr>
          <w:rFonts w:eastAsia="Calibri"/>
          <w:color w:val="000000" w:themeColor="text1"/>
          <w:szCs w:val="26"/>
        </w:rPr>
        <w:t xml:space="preserve">ear </w:t>
      </w:r>
      <w:r w:rsidRPr="006F7C82" w:rsidR="00250301">
        <w:rPr>
          <w:rFonts w:eastAsia="Calibri"/>
          <w:color w:val="000000" w:themeColor="text1"/>
          <w:szCs w:val="26"/>
        </w:rPr>
        <w:t xml:space="preserve">2022-2023 </w:t>
      </w:r>
      <w:r w:rsidRPr="006F7C82" w:rsidR="00552BB7">
        <w:rPr>
          <w:rFonts w:eastAsia="Calibri"/>
          <w:color w:val="000000" w:themeColor="text1"/>
          <w:szCs w:val="26"/>
        </w:rPr>
        <w:t xml:space="preserve">budget and </w:t>
      </w:r>
      <w:r w:rsidRPr="006F7C82" w:rsidR="00250301">
        <w:rPr>
          <w:rFonts w:eastAsia="Calibri"/>
          <w:color w:val="000000" w:themeColor="text1"/>
          <w:szCs w:val="26"/>
        </w:rPr>
        <w:t xml:space="preserve">allocation </w:t>
      </w:r>
      <w:r w:rsidRPr="006F7C82" w:rsidR="00BA43AF">
        <w:rPr>
          <w:rFonts w:eastAsia="Calibri"/>
          <w:color w:val="000000" w:themeColor="text1"/>
          <w:szCs w:val="26"/>
        </w:rPr>
        <w:t>is adopted as shown in Table 1</w:t>
      </w:r>
      <w:r w:rsidRPr="006F7C82" w:rsidR="00200442">
        <w:rPr>
          <w:rFonts w:eastAsia="Calibri"/>
          <w:color w:val="000000" w:themeColor="text1"/>
          <w:szCs w:val="26"/>
        </w:rPr>
        <w:t>, below.</w:t>
      </w:r>
    </w:p>
    <w:p w:rsidRPr="006F7C82" w:rsidR="00B6349C" w:rsidP="004A532A" w:rsidRDefault="00B6349C" w14:paraId="0ED438E0" w14:textId="06DCD5FC">
      <w:pPr>
        <w:pStyle w:val="Standard"/>
        <w:keepNext/>
        <w:keepLines/>
        <w:ind w:firstLine="0"/>
        <w:jc w:val="center"/>
        <w:rPr>
          <w:rFonts w:eastAsia="Calibri"/>
          <w:b/>
          <w:color w:val="000000" w:themeColor="text1"/>
          <w:szCs w:val="26"/>
        </w:rPr>
      </w:pPr>
      <w:r w:rsidRPr="693A4047">
        <w:rPr>
          <w:rFonts w:eastAsia="Calibri"/>
          <w:b/>
          <w:bCs/>
          <w:color w:val="000000" w:themeColor="text1"/>
        </w:rPr>
        <w:lastRenderedPageBreak/>
        <w:t>Table 1</w:t>
      </w:r>
      <w:r w:rsidRPr="693A4047" w:rsidR="00265D5C">
        <w:rPr>
          <w:rFonts w:eastAsia="Calibri"/>
          <w:b/>
          <w:bCs/>
          <w:color w:val="000000" w:themeColor="text1"/>
        </w:rPr>
        <w:t>: Fiscal Year 2022-2023 Allocation of CASF Budget</w:t>
      </w:r>
      <w:r w:rsidRPr="693A4047" w:rsidR="00265D5C">
        <w:rPr>
          <w:rStyle w:val="FootnoteReference"/>
          <w:b/>
          <w:bCs/>
          <w:color w:val="000000" w:themeColor="text1"/>
          <w:sz w:val="24"/>
          <w:szCs w:val="24"/>
        </w:rPr>
        <w:footnoteReference w:id="175"/>
      </w:r>
    </w:p>
    <w:tbl>
      <w:tblPr>
        <w:tblStyle w:val="TableGrid"/>
        <w:tblW w:w="0" w:type="auto"/>
        <w:tblCellMar>
          <w:left w:w="29" w:type="dxa"/>
          <w:right w:w="29" w:type="dxa"/>
        </w:tblCellMar>
        <w:tblLook w:val="04A0" w:firstRow="1" w:lastRow="0" w:firstColumn="1" w:lastColumn="0" w:noHBand="0" w:noVBand="1"/>
      </w:tblPr>
      <w:tblGrid>
        <w:gridCol w:w="1069"/>
        <w:gridCol w:w="1000"/>
        <w:gridCol w:w="1009"/>
        <w:gridCol w:w="1017"/>
        <w:gridCol w:w="2087"/>
        <w:gridCol w:w="1099"/>
        <w:gridCol w:w="1086"/>
        <w:gridCol w:w="983"/>
      </w:tblGrid>
      <w:tr w:rsidRPr="006F7C82" w:rsidR="006F7C82" w:rsidTr="693A4047" w14:paraId="0D1C1BE7" w14:textId="77777777">
        <w:tc>
          <w:tcPr>
            <w:tcW w:w="0" w:type="auto"/>
            <w:tcBorders>
              <w:top w:val="single" w:color="auto" w:sz="4" w:space="0"/>
              <w:left w:val="single" w:color="auto" w:sz="4" w:space="0"/>
              <w:bottom w:val="single" w:color="auto" w:sz="4" w:space="0"/>
              <w:right w:val="single" w:color="auto" w:sz="4" w:space="0"/>
            </w:tcBorders>
            <w:shd w:val="clear" w:color="auto" w:fill="auto"/>
            <w:vAlign w:val="center"/>
            <w:hideMark/>
          </w:tcPr>
          <w:p w:rsidRPr="00CD55F2" w:rsidR="00B6349C" w:rsidP="004A532A" w:rsidRDefault="00265D5C" w14:paraId="0BB1CA2B" w14:textId="2011AE0A">
            <w:pPr>
              <w:keepNext/>
              <w:keepLines/>
              <w:spacing w:line="240" w:lineRule="auto"/>
              <w:ind w:firstLine="0"/>
              <w:jc w:val="center"/>
              <w:rPr>
                <w:color w:val="000000" w:themeColor="text1"/>
                <w:sz w:val="22"/>
              </w:rPr>
            </w:pPr>
            <w:r w:rsidRPr="00CD55F2">
              <w:rPr>
                <w:color w:val="000000" w:themeColor="text1"/>
                <w:sz w:val="22"/>
              </w:rPr>
              <w:t>$000s</w:t>
            </w:r>
          </w:p>
        </w:tc>
        <w:tc>
          <w:tcPr>
            <w:tcW w:w="862"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3EA57E41" w14:textId="77777777">
            <w:pPr>
              <w:pStyle w:val="Standard"/>
              <w:keepNext/>
              <w:keepLines/>
              <w:spacing w:line="240" w:lineRule="auto"/>
              <w:ind w:firstLine="0"/>
              <w:jc w:val="center"/>
              <w:rPr>
                <w:color w:val="000000" w:themeColor="text1"/>
                <w:sz w:val="22"/>
              </w:rPr>
            </w:pPr>
            <w:r w:rsidRPr="00CD55F2">
              <w:rPr>
                <w:color w:val="000000" w:themeColor="text1"/>
                <w:sz w:val="22"/>
              </w:rPr>
              <w:t>Adoption</w:t>
            </w:r>
          </w:p>
        </w:tc>
        <w:tc>
          <w:tcPr>
            <w:tcW w:w="870"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6DE96B03" w14:textId="77777777">
            <w:pPr>
              <w:pStyle w:val="Standard"/>
              <w:keepNext/>
              <w:keepLines/>
              <w:spacing w:line="240" w:lineRule="auto"/>
              <w:ind w:firstLine="0"/>
              <w:jc w:val="center"/>
              <w:rPr>
                <w:color w:val="000000" w:themeColor="text1"/>
                <w:sz w:val="22"/>
              </w:rPr>
            </w:pPr>
            <w:r w:rsidRPr="00CD55F2">
              <w:rPr>
                <w:color w:val="000000" w:themeColor="text1"/>
                <w:sz w:val="22"/>
              </w:rPr>
              <w:t>Consortia</w:t>
            </w:r>
          </w:p>
        </w:tc>
        <w:tc>
          <w:tcPr>
            <w:tcW w:w="876"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2EBB4568" w14:textId="77777777">
            <w:pPr>
              <w:pStyle w:val="Standard"/>
              <w:keepNext/>
              <w:keepLines/>
              <w:spacing w:line="240" w:lineRule="auto"/>
              <w:ind w:firstLine="0"/>
              <w:jc w:val="center"/>
              <w:rPr>
                <w:color w:val="000000" w:themeColor="text1"/>
                <w:sz w:val="22"/>
              </w:rPr>
            </w:pPr>
            <w:r w:rsidRPr="00CD55F2">
              <w:rPr>
                <w:color w:val="000000" w:themeColor="text1"/>
                <w:sz w:val="22"/>
              </w:rPr>
              <w:t>Line Extension</w:t>
            </w:r>
          </w:p>
        </w:tc>
        <w:tc>
          <w:tcPr>
            <w:tcW w:w="2800"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61626F3C" w14:textId="77777777">
            <w:pPr>
              <w:pStyle w:val="Standard"/>
              <w:keepNext/>
              <w:keepLines/>
              <w:spacing w:line="240" w:lineRule="auto"/>
              <w:ind w:firstLine="0"/>
              <w:jc w:val="center"/>
              <w:rPr>
                <w:color w:val="000000" w:themeColor="text1"/>
                <w:sz w:val="22"/>
              </w:rPr>
            </w:pPr>
            <w:r w:rsidRPr="00CD55F2">
              <w:rPr>
                <w:color w:val="000000" w:themeColor="text1"/>
                <w:sz w:val="22"/>
              </w:rPr>
              <w:t>Infrastructure</w:t>
            </w:r>
          </w:p>
        </w:tc>
        <w:tc>
          <w:tcPr>
            <w:tcW w:w="1307"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18524371" w14:textId="77777777">
            <w:pPr>
              <w:pStyle w:val="Standard"/>
              <w:keepNext/>
              <w:keepLines/>
              <w:spacing w:line="240" w:lineRule="auto"/>
              <w:ind w:firstLine="0"/>
              <w:jc w:val="center"/>
              <w:rPr>
                <w:color w:val="000000" w:themeColor="text1"/>
                <w:sz w:val="22"/>
              </w:rPr>
            </w:pPr>
            <w:r w:rsidRPr="00CD55F2">
              <w:rPr>
                <w:color w:val="000000" w:themeColor="text1"/>
                <w:sz w:val="22"/>
              </w:rPr>
              <w:t>Public Housing</w:t>
            </w:r>
          </w:p>
        </w:tc>
        <w:tc>
          <w:tcPr>
            <w:tcW w:w="935"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26F1F615" w14:textId="77777777">
            <w:pPr>
              <w:pStyle w:val="Standard"/>
              <w:keepNext/>
              <w:keepLines/>
              <w:spacing w:line="240" w:lineRule="auto"/>
              <w:ind w:firstLine="0"/>
              <w:jc w:val="center"/>
              <w:rPr>
                <w:color w:val="000000" w:themeColor="text1"/>
                <w:sz w:val="22"/>
              </w:rPr>
            </w:pPr>
            <w:r w:rsidRPr="00CD55F2">
              <w:rPr>
                <w:color w:val="000000" w:themeColor="text1"/>
                <w:sz w:val="22"/>
              </w:rPr>
              <w:t>Tribal Technical Assistance</w:t>
            </w:r>
          </w:p>
        </w:tc>
        <w:tc>
          <w:tcPr>
            <w:tcW w:w="847"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2B7A47AA" w14:textId="77777777">
            <w:pPr>
              <w:pStyle w:val="Standard"/>
              <w:keepNext/>
              <w:keepLines/>
              <w:spacing w:line="240" w:lineRule="auto"/>
              <w:ind w:firstLine="0"/>
              <w:jc w:val="center"/>
              <w:rPr>
                <w:color w:val="000000" w:themeColor="text1"/>
                <w:sz w:val="22"/>
              </w:rPr>
            </w:pPr>
            <w:r w:rsidRPr="00CD55F2">
              <w:rPr>
                <w:color w:val="000000" w:themeColor="text1"/>
                <w:sz w:val="22"/>
              </w:rPr>
              <w:t>Total</w:t>
            </w:r>
          </w:p>
        </w:tc>
      </w:tr>
      <w:tr w:rsidRPr="006F7C82" w:rsidR="006F7C82" w:rsidTr="693A4047" w14:paraId="170F33A4" w14:textId="77777777">
        <w:tc>
          <w:tcPr>
            <w:tcW w:w="921" w:type="dxa"/>
            <w:tcBorders>
              <w:top w:val="single" w:color="auto" w:sz="4" w:space="0"/>
              <w:left w:val="single" w:color="auto" w:sz="4" w:space="0"/>
              <w:bottom w:val="single" w:color="auto" w:sz="4" w:space="0"/>
              <w:right w:val="single" w:color="auto" w:sz="4" w:space="0"/>
            </w:tcBorders>
            <w:hideMark/>
          </w:tcPr>
          <w:p w:rsidRPr="00CD55F2" w:rsidR="00B6349C" w:rsidP="004A532A" w:rsidRDefault="00B6349C" w14:paraId="0A6729EA" w14:textId="77777777">
            <w:pPr>
              <w:pStyle w:val="Standard"/>
              <w:keepNext/>
              <w:keepLines/>
              <w:spacing w:line="240" w:lineRule="auto"/>
              <w:ind w:firstLine="0"/>
              <w:jc w:val="center"/>
              <w:rPr>
                <w:color w:val="000000" w:themeColor="text1"/>
                <w:sz w:val="22"/>
              </w:rPr>
            </w:pPr>
            <w:r w:rsidRPr="00CD55F2">
              <w:rPr>
                <w:color w:val="000000" w:themeColor="text1"/>
                <w:sz w:val="22"/>
              </w:rPr>
              <w:t>Allocation (%)</w:t>
            </w:r>
          </w:p>
        </w:tc>
        <w:tc>
          <w:tcPr>
            <w:tcW w:w="862"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32BFA3F1" w14:textId="12D87963">
            <w:pPr>
              <w:pStyle w:val="Standard"/>
              <w:keepNext/>
              <w:keepLines/>
              <w:spacing w:line="240" w:lineRule="auto"/>
              <w:ind w:firstLine="0"/>
              <w:jc w:val="center"/>
              <w:rPr>
                <w:color w:val="000000" w:themeColor="text1"/>
                <w:sz w:val="22"/>
              </w:rPr>
            </w:pPr>
            <w:r w:rsidRPr="00CD55F2">
              <w:rPr>
                <w:rFonts w:eastAsia="Book Antiqua" w:cs="Book Antiqua"/>
                <w:color w:val="000000" w:themeColor="text1"/>
                <w:sz w:val="22"/>
              </w:rPr>
              <w:t>2</w:t>
            </w:r>
            <w:r w:rsidR="008A441F">
              <w:rPr>
                <w:rFonts w:eastAsia="Book Antiqua" w:cs="Book Antiqua"/>
                <w:color w:val="000000" w:themeColor="text1"/>
                <w:sz w:val="22"/>
              </w:rPr>
              <w:t>7</w:t>
            </w:r>
            <w:r w:rsidRPr="00CD55F2">
              <w:rPr>
                <w:rFonts w:eastAsia="Book Antiqua" w:cs="Book Antiqua"/>
                <w:color w:val="000000" w:themeColor="text1"/>
                <w:sz w:val="22"/>
              </w:rPr>
              <w:t>.</w:t>
            </w:r>
            <w:r w:rsidR="008A441F">
              <w:rPr>
                <w:rFonts w:eastAsia="Book Antiqua" w:cs="Book Antiqua"/>
                <w:color w:val="000000" w:themeColor="text1"/>
                <w:sz w:val="22"/>
              </w:rPr>
              <w:t>6</w:t>
            </w:r>
            <w:r w:rsidRPr="00CD55F2">
              <w:rPr>
                <w:rFonts w:eastAsia="Book Antiqua" w:cs="Book Antiqua"/>
                <w:color w:val="000000" w:themeColor="text1"/>
                <w:sz w:val="22"/>
              </w:rPr>
              <w:t>%</w:t>
            </w:r>
          </w:p>
        </w:tc>
        <w:tc>
          <w:tcPr>
            <w:tcW w:w="870"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7D011549" w14:textId="15B58988">
            <w:pPr>
              <w:pStyle w:val="Standard"/>
              <w:keepNext/>
              <w:keepLines/>
              <w:spacing w:line="240" w:lineRule="auto"/>
              <w:ind w:firstLine="0"/>
              <w:jc w:val="center"/>
              <w:rPr>
                <w:color w:val="000000" w:themeColor="text1"/>
                <w:sz w:val="22"/>
              </w:rPr>
            </w:pPr>
            <w:r w:rsidRPr="00CD55F2">
              <w:rPr>
                <w:rFonts w:eastAsia="Book Antiqua" w:cs="Book Antiqua"/>
                <w:color w:val="000000" w:themeColor="text1"/>
                <w:sz w:val="22"/>
              </w:rPr>
              <w:t>14.</w:t>
            </w:r>
            <w:r w:rsidR="00E13781">
              <w:rPr>
                <w:rFonts w:eastAsia="Book Antiqua" w:cs="Book Antiqua"/>
                <w:color w:val="000000" w:themeColor="text1"/>
                <w:sz w:val="22"/>
              </w:rPr>
              <w:t>8</w:t>
            </w:r>
            <w:r w:rsidRPr="00CD55F2">
              <w:rPr>
                <w:rFonts w:eastAsia="Book Antiqua" w:cs="Book Antiqua"/>
                <w:color w:val="000000" w:themeColor="text1"/>
                <w:sz w:val="22"/>
              </w:rPr>
              <w:t>%</w:t>
            </w:r>
          </w:p>
        </w:tc>
        <w:tc>
          <w:tcPr>
            <w:tcW w:w="876"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265D5C" w14:paraId="2D9A8F53" w14:textId="71F2E0F3">
            <w:pPr>
              <w:pStyle w:val="Standard"/>
              <w:keepNext/>
              <w:keepLines/>
              <w:spacing w:line="240" w:lineRule="auto"/>
              <w:ind w:firstLine="0"/>
              <w:jc w:val="center"/>
              <w:rPr>
                <w:color w:val="000000" w:themeColor="text1"/>
                <w:sz w:val="22"/>
              </w:rPr>
            </w:pPr>
            <w:r w:rsidRPr="00CD55F2">
              <w:rPr>
                <w:color w:val="000000" w:themeColor="text1"/>
                <w:sz w:val="22"/>
              </w:rPr>
              <w:t>0</w:t>
            </w:r>
            <w:r w:rsidRPr="00CD55F2" w:rsidR="00B6349C">
              <w:rPr>
                <w:color w:val="000000" w:themeColor="text1"/>
                <w:sz w:val="22"/>
              </w:rPr>
              <w:t>%</w:t>
            </w:r>
          </w:p>
        </w:tc>
        <w:tc>
          <w:tcPr>
            <w:tcW w:w="2800"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AF5D69" w14:paraId="1D793C18" w14:textId="2BB2786B">
            <w:pPr>
              <w:pStyle w:val="Standard"/>
              <w:keepNext/>
              <w:keepLines/>
              <w:spacing w:line="240" w:lineRule="auto"/>
              <w:ind w:firstLine="0"/>
              <w:jc w:val="center"/>
              <w:rPr>
                <w:color w:val="000000" w:themeColor="text1"/>
                <w:sz w:val="22"/>
              </w:rPr>
            </w:pPr>
            <w:r>
              <w:rPr>
                <w:rFonts w:eastAsia="Book Antiqua" w:cs="Book Antiqua"/>
                <w:color w:val="000000" w:themeColor="text1"/>
                <w:sz w:val="22"/>
              </w:rPr>
              <w:t>3</w:t>
            </w:r>
            <w:r w:rsidR="008A441F">
              <w:rPr>
                <w:rFonts w:eastAsia="Book Antiqua" w:cs="Book Antiqua"/>
                <w:color w:val="000000" w:themeColor="text1"/>
                <w:sz w:val="22"/>
              </w:rPr>
              <w:t>4</w:t>
            </w:r>
            <w:r w:rsidRPr="00CD55F2" w:rsidR="1E49EF88">
              <w:rPr>
                <w:rFonts w:eastAsia="Book Antiqua" w:cs="Book Antiqua"/>
                <w:color w:val="000000" w:themeColor="text1"/>
                <w:sz w:val="22"/>
              </w:rPr>
              <w:t>.</w:t>
            </w:r>
            <w:r w:rsidR="008A441F">
              <w:rPr>
                <w:rFonts w:eastAsia="Book Antiqua" w:cs="Book Antiqua"/>
                <w:color w:val="000000" w:themeColor="text1"/>
                <w:sz w:val="22"/>
              </w:rPr>
              <w:t>2</w:t>
            </w:r>
            <w:r w:rsidRPr="00CD55F2" w:rsidR="00B6349C">
              <w:rPr>
                <w:rFonts w:eastAsia="Book Antiqua" w:cs="Book Antiqua"/>
                <w:color w:val="000000" w:themeColor="text1"/>
                <w:sz w:val="22"/>
              </w:rPr>
              <w:t>%</w:t>
            </w:r>
          </w:p>
        </w:tc>
        <w:tc>
          <w:tcPr>
            <w:tcW w:w="1307"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E13781" w14:paraId="4F032F7F" w14:textId="52FF626F">
            <w:pPr>
              <w:pStyle w:val="Standard"/>
              <w:keepNext/>
              <w:keepLines/>
              <w:spacing w:line="240" w:lineRule="auto"/>
              <w:ind w:firstLine="0"/>
              <w:jc w:val="center"/>
              <w:rPr>
                <w:color w:val="000000" w:themeColor="text1"/>
                <w:sz w:val="22"/>
              </w:rPr>
            </w:pPr>
            <w:r>
              <w:rPr>
                <w:rFonts w:eastAsia="Book Antiqua" w:cs="Book Antiqua"/>
                <w:color w:val="000000" w:themeColor="text1"/>
                <w:sz w:val="22"/>
              </w:rPr>
              <w:t>20</w:t>
            </w:r>
            <w:r w:rsidRPr="00CD55F2" w:rsidR="00B6349C">
              <w:rPr>
                <w:rFonts w:eastAsia="Book Antiqua" w:cs="Book Antiqua"/>
                <w:color w:val="000000" w:themeColor="text1"/>
                <w:sz w:val="22"/>
              </w:rPr>
              <w:t>.</w:t>
            </w:r>
            <w:r>
              <w:rPr>
                <w:rFonts w:eastAsia="Book Antiqua" w:cs="Book Antiqua"/>
                <w:color w:val="000000" w:themeColor="text1"/>
                <w:sz w:val="22"/>
              </w:rPr>
              <w:t>7</w:t>
            </w:r>
            <w:r w:rsidRPr="00CD55F2" w:rsidR="00B6349C">
              <w:rPr>
                <w:rFonts w:eastAsia="Book Antiqua" w:cs="Book Antiqua"/>
                <w:color w:val="000000" w:themeColor="text1"/>
                <w:sz w:val="22"/>
              </w:rPr>
              <w:t>%</w:t>
            </w:r>
          </w:p>
        </w:tc>
        <w:tc>
          <w:tcPr>
            <w:tcW w:w="935"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4841FF9E" w14:textId="77777777">
            <w:pPr>
              <w:pStyle w:val="Standard"/>
              <w:keepNext/>
              <w:keepLines/>
              <w:spacing w:line="240" w:lineRule="auto"/>
              <w:ind w:firstLine="0"/>
              <w:jc w:val="center"/>
              <w:rPr>
                <w:color w:val="000000" w:themeColor="text1"/>
                <w:sz w:val="22"/>
              </w:rPr>
            </w:pPr>
            <w:r w:rsidRPr="00CD55F2">
              <w:rPr>
                <w:rFonts w:eastAsia="Book Antiqua" w:cs="Book Antiqua"/>
                <w:color w:val="000000" w:themeColor="text1"/>
                <w:sz w:val="22"/>
              </w:rPr>
              <w:t>2.8%</w:t>
            </w:r>
          </w:p>
        </w:tc>
        <w:tc>
          <w:tcPr>
            <w:tcW w:w="847" w:type="dxa"/>
            <w:tcBorders>
              <w:top w:val="single" w:color="auto" w:sz="4" w:space="0"/>
              <w:left w:val="single" w:color="auto" w:sz="4" w:space="0"/>
              <w:bottom w:val="single" w:color="auto" w:sz="4" w:space="0"/>
              <w:right w:val="single" w:color="auto" w:sz="4" w:space="0"/>
            </w:tcBorders>
            <w:vAlign w:val="center"/>
          </w:tcPr>
          <w:p w:rsidRPr="00CD55F2" w:rsidR="00B6349C" w:rsidP="004A532A" w:rsidRDefault="00B6349C" w14:paraId="26F81A21" w14:textId="77777777">
            <w:pPr>
              <w:pStyle w:val="Standard"/>
              <w:keepNext/>
              <w:keepLines/>
              <w:spacing w:line="240" w:lineRule="auto"/>
              <w:ind w:firstLine="0"/>
              <w:jc w:val="center"/>
              <w:rPr>
                <w:color w:val="000000" w:themeColor="text1"/>
                <w:sz w:val="22"/>
              </w:rPr>
            </w:pPr>
          </w:p>
        </w:tc>
      </w:tr>
      <w:tr w:rsidRPr="006F7C82" w:rsidR="006F7C82" w:rsidTr="693A4047" w14:paraId="2B9CC49D" w14:textId="77777777">
        <w:tc>
          <w:tcPr>
            <w:tcW w:w="921" w:type="dxa"/>
            <w:tcBorders>
              <w:top w:val="single" w:color="auto" w:sz="4" w:space="0"/>
              <w:left w:val="single" w:color="auto" w:sz="4" w:space="0"/>
              <w:bottom w:val="single" w:color="auto" w:sz="4" w:space="0"/>
              <w:right w:val="single" w:color="auto" w:sz="4" w:space="0"/>
            </w:tcBorders>
            <w:hideMark/>
          </w:tcPr>
          <w:p w:rsidRPr="00CD55F2" w:rsidR="00B6349C" w:rsidP="004A532A" w:rsidRDefault="00B6349C" w14:paraId="3D3CD147" w14:textId="77777777">
            <w:pPr>
              <w:pStyle w:val="Standard"/>
              <w:keepNext/>
              <w:keepLines/>
              <w:spacing w:line="276" w:lineRule="auto"/>
              <w:ind w:firstLine="0"/>
              <w:jc w:val="center"/>
              <w:rPr>
                <w:color w:val="000000" w:themeColor="text1"/>
                <w:sz w:val="22"/>
              </w:rPr>
            </w:pPr>
            <w:r w:rsidRPr="00CD55F2">
              <w:rPr>
                <w:color w:val="000000" w:themeColor="text1"/>
                <w:sz w:val="22"/>
              </w:rPr>
              <w:t>Allocation ($)</w:t>
            </w:r>
          </w:p>
        </w:tc>
        <w:tc>
          <w:tcPr>
            <w:tcW w:w="862"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61355B32" w14:textId="2A7017AA">
            <w:pPr>
              <w:pStyle w:val="Standard"/>
              <w:keepNext/>
              <w:keepLines/>
              <w:spacing w:line="276" w:lineRule="auto"/>
              <w:ind w:firstLine="0"/>
              <w:jc w:val="center"/>
              <w:rPr>
                <w:rFonts w:eastAsia="Book Antiqua" w:cs="Book Antiqua"/>
                <w:color w:val="000000" w:themeColor="text1"/>
                <w:sz w:val="22"/>
              </w:rPr>
            </w:pPr>
            <w:r w:rsidRPr="00CD55F2">
              <w:rPr>
                <w:rFonts w:eastAsia="Book Antiqua" w:cs="Book Antiqua"/>
                <w:color w:val="000000" w:themeColor="text1"/>
                <w:sz w:val="22"/>
              </w:rPr>
              <w:t>$</w:t>
            </w:r>
            <w:r w:rsidR="00CB5141">
              <w:rPr>
                <w:rFonts w:eastAsia="Book Antiqua" w:cs="Book Antiqua"/>
                <w:color w:val="000000" w:themeColor="text1"/>
                <w:sz w:val="22"/>
              </w:rPr>
              <w:t>20</w:t>
            </w:r>
            <w:r w:rsidRPr="00CD55F2">
              <w:rPr>
                <w:rFonts w:eastAsia="Book Antiqua" w:cs="Book Antiqua"/>
                <w:color w:val="000000" w:themeColor="text1"/>
                <w:sz w:val="22"/>
              </w:rPr>
              <w:t>,024</w:t>
            </w:r>
          </w:p>
        </w:tc>
        <w:tc>
          <w:tcPr>
            <w:tcW w:w="870"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56F8752A" w14:textId="77777777">
            <w:pPr>
              <w:pStyle w:val="Standard"/>
              <w:keepNext/>
              <w:keepLines/>
              <w:spacing w:line="276" w:lineRule="auto"/>
              <w:ind w:firstLine="0"/>
              <w:jc w:val="center"/>
              <w:rPr>
                <w:color w:val="000000" w:themeColor="text1"/>
                <w:sz w:val="22"/>
              </w:rPr>
            </w:pPr>
            <w:r w:rsidRPr="00CD55F2">
              <w:rPr>
                <w:rFonts w:eastAsia="Book Antiqua" w:cs="Book Antiqua"/>
                <w:color w:val="000000" w:themeColor="text1"/>
                <w:sz w:val="22"/>
              </w:rPr>
              <w:t>$10,710</w:t>
            </w:r>
          </w:p>
        </w:tc>
        <w:tc>
          <w:tcPr>
            <w:tcW w:w="876"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1662EA26" w14:paraId="14B3AA98" w14:textId="17E0C0E7">
            <w:pPr>
              <w:pStyle w:val="Standard"/>
              <w:keepNext/>
              <w:keepLines/>
              <w:spacing w:line="276" w:lineRule="auto"/>
              <w:ind w:firstLine="0"/>
              <w:jc w:val="center"/>
              <w:rPr>
                <w:color w:val="000000" w:themeColor="text1"/>
                <w:sz w:val="22"/>
              </w:rPr>
            </w:pPr>
            <w:r w:rsidRPr="00CD55F2">
              <w:rPr>
                <w:rFonts w:eastAsia="Book Antiqua" w:cs="Book Antiqua"/>
                <w:color w:val="000000" w:themeColor="text1"/>
                <w:sz w:val="22"/>
              </w:rPr>
              <w:t>$0</w:t>
            </w:r>
          </w:p>
        </w:tc>
        <w:tc>
          <w:tcPr>
            <w:tcW w:w="2800"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5801E034" w14:paraId="4BA456FE" w14:textId="61093BA9">
            <w:pPr>
              <w:pStyle w:val="Standard"/>
              <w:keepNext/>
              <w:keepLines/>
              <w:spacing w:line="276" w:lineRule="auto"/>
              <w:ind w:firstLine="0"/>
              <w:jc w:val="center"/>
              <w:rPr>
                <w:rFonts w:eastAsia="Book Antiqua" w:cs="Book Antiqua"/>
                <w:color w:val="000000" w:themeColor="text1"/>
                <w:sz w:val="22"/>
              </w:rPr>
            </w:pPr>
            <w:r w:rsidRPr="00CD55F2">
              <w:rPr>
                <w:rFonts w:eastAsia="Book Antiqua" w:cs="Book Antiqua"/>
                <w:color w:val="000000" w:themeColor="text1"/>
                <w:sz w:val="22"/>
              </w:rPr>
              <w:t>$</w:t>
            </w:r>
            <w:r w:rsidR="000302B1">
              <w:rPr>
                <w:rFonts w:eastAsia="Book Antiqua" w:cs="Book Antiqua"/>
                <w:color w:val="000000" w:themeColor="text1"/>
                <w:sz w:val="22"/>
              </w:rPr>
              <w:t>2</w:t>
            </w:r>
            <w:r w:rsidR="00AE3F71">
              <w:rPr>
                <w:rFonts w:eastAsia="Book Antiqua" w:cs="Book Antiqua"/>
                <w:color w:val="000000" w:themeColor="text1"/>
                <w:sz w:val="22"/>
              </w:rPr>
              <w:t>4</w:t>
            </w:r>
            <w:r w:rsidRPr="00CD55F2">
              <w:rPr>
                <w:rFonts w:eastAsia="Book Antiqua" w:cs="Book Antiqua"/>
                <w:color w:val="000000" w:themeColor="text1"/>
                <w:sz w:val="22"/>
              </w:rPr>
              <w:t>,860</w:t>
            </w:r>
          </w:p>
        </w:tc>
        <w:tc>
          <w:tcPr>
            <w:tcW w:w="1307"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7AAA3CF0" w14:textId="3A42BE7A">
            <w:pPr>
              <w:pStyle w:val="Standard"/>
              <w:keepNext/>
              <w:keepLines/>
              <w:spacing w:line="276" w:lineRule="auto"/>
              <w:ind w:firstLine="0"/>
              <w:jc w:val="center"/>
              <w:rPr>
                <w:color w:val="000000" w:themeColor="text1"/>
                <w:sz w:val="22"/>
              </w:rPr>
            </w:pPr>
            <w:r w:rsidRPr="00CD55F2">
              <w:rPr>
                <w:rFonts w:eastAsia="Book Antiqua" w:cs="Book Antiqua"/>
                <w:color w:val="000000" w:themeColor="text1"/>
                <w:sz w:val="22"/>
              </w:rPr>
              <w:t>$1</w:t>
            </w:r>
            <w:r w:rsidR="00EB153F">
              <w:rPr>
                <w:rFonts w:eastAsia="Book Antiqua" w:cs="Book Antiqua"/>
                <w:color w:val="000000" w:themeColor="text1"/>
                <w:sz w:val="22"/>
              </w:rPr>
              <w:t>5</w:t>
            </w:r>
            <w:r w:rsidRPr="00CD55F2">
              <w:rPr>
                <w:rFonts w:eastAsia="Book Antiqua" w:cs="Book Antiqua"/>
                <w:color w:val="000000" w:themeColor="text1"/>
                <w:sz w:val="22"/>
              </w:rPr>
              <w:t>,000</w:t>
            </w:r>
          </w:p>
        </w:tc>
        <w:tc>
          <w:tcPr>
            <w:tcW w:w="935"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6FF0CE40" w14:textId="77777777">
            <w:pPr>
              <w:pStyle w:val="Standard"/>
              <w:keepNext/>
              <w:keepLines/>
              <w:spacing w:line="276" w:lineRule="auto"/>
              <w:ind w:firstLine="0"/>
              <w:jc w:val="center"/>
              <w:rPr>
                <w:color w:val="000000" w:themeColor="text1"/>
                <w:sz w:val="22"/>
              </w:rPr>
            </w:pPr>
            <w:r w:rsidRPr="00CD55F2">
              <w:rPr>
                <w:rFonts w:eastAsia="Book Antiqua" w:cs="Book Antiqua"/>
                <w:color w:val="000000" w:themeColor="text1"/>
                <w:sz w:val="22"/>
              </w:rPr>
              <w:t>$2,000</w:t>
            </w:r>
          </w:p>
        </w:tc>
        <w:tc>
          <w:tcPr>
            <w:tcW w:w="847" w:type="dxa"/>
            <w:tcBorders>
              <w:top w:val="single" w:color="auto" w:sz="4" w:space="0"/>
              <w:left w:val="single" w:color="auto" w:sz="4" w:space="0"/>
              <w:bottom w:val="single" w:color="auto" w:sz="4" w:space="0"/>
              <w:right w:val="single" w:color="auto" w:sz="4" w:space="0"/>
            </w:tcBorders>
            <w:vAlign w:val="center"/>
            <w:hideMark/>
          </w:tcPr>
          <w:p w:rsidRPr="00CD55F2" w:rsidR="00B6349C" w:rsidP="004A532A" w:rsidRDefault="00B6349C" w14:paraId="04257240" w14:textId="77777777">
            <w:pPr>
              <w:pStyle w:val="Standard"/>
              <w:keepNext/>
              <w:keepLines/>
              <w:spacing w:line="276" w:lineRule="auto"/>
              <w:ind w:firstLine="0"/>
              <w:jc w:val="center"/>
              <w:rPr>
                <w:color w:val="000000" w:themeColor="text1"/>
                <w:sz w:val="22"/>
              </w:rPr>
            </w:pPr>
            <w:r w:rsidRPr="693A4047">
              <w:rPr>
                <w:rFonts w:eastAsia="Book Antiqua" w:cs="Book Antiqua"/>
                <w:color w:val="000000" w:themeColor="text1"/>
                <w:sz w:val="22"/>
              </w:rPr>
              <w:t>$72,611</w:t>
            </w:r>
            <w:r w:rsidRPr="693A4047">
              <w:rPr>
                <w:rStyle w:val="FootnoteReference"/>
                <w:rFonts w:eastAsia="Book Antiqua" w:cs="Book Antiqua"/>
                <w:color w:val="000000" w:themeColor="text1"/>
                <w:sz w:val="22"/>
              </w:rPr>
              <w:footnoteReference w:id="176"/>
            </w:r>
          </w:p>
        </w:tc>
      </w:tr>
    </w:tbl>
    <w:p w:rsidRPr="006F7C82" w:rsidR="005939A5" w:rsidP="00394667" w:rsidRDefault="005939A5" w14:paraId="31B3592E" w14:textId="77777777">
      <w:pPr>
        <w:pStyle w:val="Heading1"/>
        <w:spacing w:before="240"/>
        <w:ind w:left="360" w:hanging="360"/>
        <w:rPr>
          <w:color w:val="000000" w:themeColor="text1"/>
        </w:rPr>
      </w:pPr>
      <w:bookmarkStart w:name="_Toc8123723" w:id="35"/>
      <w:bookmarkStart w:name="_Toc100132376" w:id="36"/>
      <w:bookmarkEnd w:id="29"/>
      <w:r w:rsidRPr="006F7C82">
        <w:rPr>
          <w:color w:val="000000" w:themeColor="text1"/>
        </w:rPr>
        <w:t>Comments on Proposed Decision</w:t>
      </w:r>
      <w:bookmarkEnd w:id="35"/>
      <w:bookmarkEnd w:id="36"/>
    </w:p>
    <w:p w:rsidR="00F359A1" w:rsidP="005C58FA" w:rsidRDefault="005C58FA" w14:paraId="2AF1CC1D" w14:textId="1D796568">
      <w:pPr>
        <w:pStyle w:val="Standard"/>
        <w:rPr>
          <w:color w:val="000000" w:themeColor="text1"/>
        </w:rPr>
      </w:pPr>
      <w:r w:rsidRPr="384CAAE5">
        <w:rPr>
          <w:color w:val="000000" w:themeColor="text1"/>
        </w:rPr>
        <w:t xml:space="preserve">The proposed decision of Commissioner </w:t>
      </w:r>
      <w:r w:rsidRPr="384CAAE5" w:rsidR="008D3227">
        <w:rPr>
          <w:color w:val="000000" w:themeColor="text1"/>
        </w:rPr>
        <w:t>Darcie L. Houck</w:t>
      </w:r>
      <w:r w:rsidRPr="384CAAE5">
        <w:rPr>
          <w:color w:val="000000" w:themeColor="text1"/>
        </w:rPr>
        <w:t xml:space="preserve"> in this matter was mailed to the parties in accordance with Section 311 of the Public Utilities Code and comments were allowed under Rule 14.3 of the Commission’s Rules of Practice and Procedure.</w:t>
      </w:r>
      <w:r w:rsidRPr="384CAAE5" w:rsidR="00F209CE">
        <w:rPr>
          <w:color w:val="000000" w:themeColor="text1"/>
        </w:rPr>
        <w:t xml:space="preserve"> </w:t>
      </w:r>
      <w:r w:rsidRPr="384CAAE5">
        <w:rPr>
          <w:color w:val="000000" w:themeColor="text1"/>
        </w:rPr>
        <w:t xml:space="preserve">Comments were filed on </w:t>
      </w:r>
      <w:r w:rsidRPr="384CAAE5" w:rsidR="00C86E97">
        <w:rPr>
          <w:color w:val="000000" w:themeColor="text1"/>
        </w:rPr>
        <w:t xml:space="preserve">May 3, </w:t>
      </w:r>
      <w:proofErr w:type="gramStart"/>
      <w:r w:rsidRPr="384CAAE5" w:rsidR="00C86E97">
        <w:rPr>
          <w:color w:val="000000" w:themeColor="text1"/>
        </w:rPr>
        <w:t>2022</w:t>
      </w:r>
      <w:proofErr w:type="gramEnd"/>
      <w:r w:rsidRPr="384CAAE5" w:rsidR="00C86E97">
        <w:rPr>
          <w:color w:val="000000" w:themeColor="text1"/>
        </w:rPr>
        <w:t xml:space="preserve"> by </w:t>
      </w:r>
      <w:r w:rsidRPr="384CAAE5" w:rsidR="00B15795">
        <w:rPr>
          <w:color w:val="000000" w:themeColor="text1"/>
        </w:rPr>
        <w:t>CCTA, CETF and NDC</w:t>
      </w:r>
      <w:r w:rsidRPr="384CAAE5">
        <w:rPr>
          <w:color w:val="000000" w:themeColor="text1"/>
        </w:rPr>
        <w:t xml:space="preserve">, and reply comments were filed on </w:t>
      </w:r>
      <w:r w:rsidRPr="384CAAE5" w:rsidR="00CE360A">
        <w:rPr>
          <w:color w:val="000000" w:themeColor="text1"/>
        </w:rPr>
        <w:t xml:space="preserve">May 9, 2022 </w:t>
      </w:r>
      <w:r w:rsidRPr="384CAAE5">
        <w:rPr>
          <w:color w:val="000000" w:themeColor="text1"/>
        </w:rPr>
        <w:t xml:space="preserve">by </w:t>
      </w:r>
      <w:proofErr w:type="spellStart"/>
      <w:r w:rsidRPr="384CAAE5" w:rsidR="00897215">
        <w:rPr>
          <w:color w:val="000000" w:themeColor="text1"/>
        </w:rPr>
        <w:t>CforAT</w:t>
      </w:r>
      <w:proofErr w:type="spellEnd"/>
      <w:r w:rsidRPr="384CAAE5" w:rsidR="00897215">
        <w:rPr>
          <w:color w:val="000000" w:themeColor="text1"/>
        </w:rPr>
        <w:t xml:space="preserve">, CCTA, NDC and TURN. </w:t>
      </w:r>
    </w:p>
    <w:p w:rsidR="00087208" w:rsidP="00795D18" w:rsidRDefault="00653199" w14:paraId="2E5D0F19" w14:textId="2A6447D4">
      <w:pPr>
        <w:pStyle w:val="Standard"/>
        <w:rPr>
          <w:color w:val="000000" w:themeColor="text1"/>
        </w:rPr>
      </w:pPr>
      <w:r w:rsidRPr="69AE4807">
        <w:rPr>
          <w:color w:val="000000" w:themeColor="text1"/>
        </w:rPr>
        <w:t xml:space="preserve">In response to CETF’s recommendation to shift funds from the Infrastructure Account, we acknowledge </w:t>
      </w:r>
      <w:r w:rsidRPr="69AE4807" w:rsidR="00D6559A">
        <w:rPr>
          <w:color w:val="000000" w:themeColor="text1"/>
        </w:rPr>
        <w:t xml:space="preserve">the significant investments </w:t>
      </w:r>
      <w:r w:rsidRPr="69AE4807" w:rsidR="00DB6FCA">
        <w:rPr>
          <w:color w:val="000000" w:themeColor="text1"/>
        </w:rPr>
        <w:t xml:space="preserve">in broadband infrastructure </w:t>
      </w:r>
      <w:r w:rsidRPr="69AE4807" w:rsidR="00097E32">
        <w:rPr>
          <w:color w:val="000000" w:themeColor="text1"/>
        </w:rPr>
        <w:t xml:space="preserve">committed by both the state and federal government, as CETF details, and therefore determine to allocate </w:t>
      </w:r>
      <w:r w:rsidRPr="69AE4807" w:rsidR="00625163">
        <w:rPr>
          <w:color w:val="000000" w:themeColor="text1"/>
        </w:rPr>
        <w:t>an additional $</w:t>
      </w:r>
      <w:r w:rsidR="00E27AB2">
        <w:rPr>
          <w:color w:val="000000" w:themeColor="text1"/>
        </w:rPr>
        <w:t>5</w:t>
      </w:r>
      <w:r w:rsidRPr="69AE4807" w:rsidR="00625163">
        <w:rPr>
          <w:color w:val="000000" w:themeColor="text1"/>
        </w:rPr>
        <w:t xml:space="preserve"> million from the Infrastructure Account to the Public Housing Account</w:t>
      </w:r>
      <w:r w:rsidRPr="69AE4807" w:rsidR="00FE3A89">
        <w:rPr>
          <w:color w:val="000000" w:themeColor="text1"/>
        </w:rPr>
        <w:t xml:space="preserve"> </w:t>
      </w:r>
      <w:r w:rsidR="000C6789">
        <w:rPr>
          <w:color w:val="000000" w:themeColor="text1"/>
        </w:rPr>
        <w:t xml:space="preserve">and an additional $1 million </w:t>
      </w:r>
      <w:r w:rsidR="00205862">
        <w:rPr>
          <w:color w:val="000000" w:themeColor="text1"/>
        </w:rPr>
        <w:t xml:space="preserve">from the Infrastructure Account to the Adoption Account </w:t>
      </w:r>
      <w:r w:rsidRPr="69AE4807" w:rsidR="00FE3A89">
        <w:rPr>
          <w:color w:val="000000" w:themeColor="text1"/>
        </w:rPr>
        <w:t>for fiscal year 2022-2023</w:t>
      </w:r>
      <w:r w:rsidRPr="69AE4807" w:rsidR="00625163">
        <w:rPr>
          <w:color w:val="000000" w:themeColor="text1"/>
        </w:rPr>
        <w:t xml:space="preserve">. </w:t>
      </w:r>
      <w:r w:rsidRPr="69AE4807">
        <w:rPr>
          <w:color w:val="000000" w:themeColor="text1"/>
        </w:rPr>
        <w:t xml:space="preserve">As the proposed decision explains, the proposed allocations for fiscal year 2022-2023 are based on past applications, with additions made to program allocations when reimbursable costs or total project budgets for those programs have been increased, and we defer establishing </w:t>
      </w:r>
      <w:r w:rsidRPr="69AE4807">
        <w:rPr>
          <w:color w:val="000000" w:themeColor="text1"/>
        </w:rPr>
        <w:lastRenderedPageBreak/>
        <w:t>allocations beyond fiscal year 2022-2023 so that staff may later propose allocations that are responsive to the most recent trends in funding applications.</w:t>
      </w:r>
      <w:r w:rsidRPr="69AE4807" w:rsidR="00463BC0">
        <w:rPr>
          <w:color w:val="000000" w:themeColor="text1"/>
        </w:rPr>
        <w:t xml:space="preserve"> To further address parties’ concerns regarding sufficiency of budget allocations, the </w:t>
      </w:r>
      <w:r w:rsidR="00CA3EB6">
        <w:rPr>
          <w:color w:val="000000" w:themeColor="text1"/>
        </w:rPr>
        <w:t>proposed decision</w:t>
      </w:r>
      <w:r w:rsidRPr="69AE4807" w:rsidR="00463BC0">
        <w:rPr>
          <w:color w:val="000000" w:themeColor="text1"/>
        </w:rPr>
        <w:t xml:space="preserve"> is also revised to permit staff to propose budget allocation changes via resolution in addition to permitting staff to propose future years’ allocations via resolution. This delegation will allow flexibility to allocate funds to the </w:t>
      </w:r>
      <w:r w:rsidR="00315FDD">
        <w:rPr>
          <w:color w:val="000000" w:themeColor="text1"/>
        </w:rPr>
        <w:t>accounts</w:t>
      </w:r>
      <w:r w:rsidRPr="69AE4807" w:rsidR="00463BC0">
        <w:rPr>
          <w:color w:val="000000" w:themeColor="text1"/>
        </w:rPr>
        <w:t xml:space="preserve"> most needed at a time when new programs and new program rules make gauging program interest difficult. Beyond these changes, t</w:t>
      </w:r>
      <w:r w:rsidRPr="69AE4807" w:rsidR="006C1B99">
        <w:rPr>
          <w:color w:val="000000" w:themeColor="text1"/>
        </w:rPr>
        <w:t xml:space="preserve">he Commission does not make </w:t>
      </w:r>
      <w:r w:rsidRPr="69AE4807" w:rsidR="00F359A1">
        <w:rPr>
          <w:color w:val="000000" w:themeColor="text1"/>
        </w:rPr>
        <w:t>any revisions to the proposed decision in response to party comments</w:t>
      </w:r>
      <w:r w:rsidR="00087208">
        <w:rPr>
          <w:color w:val="000000" w:themeColor="text1"/>
        </w:rPr>
        <w:t xml:space="preserve">. </w:t>
      </w:r>
    </w:p>
    <w:p w:rsidR="00F21D6E" w:rsidP="002C7F94" w:rsidRDefault="00621B06" w14:paraId="69FFBE03" w14:textId="7B75C942">
      <w:pPr>
        <w:pStyle w:val="Standard"/>
        <w:rPr>
          <w:color w:val="000000" w:themeColor="text1"/>
        </w:rPr>
      </w:pPr>
      <w:r>
        <w:rPr>
          <w:color w:val="000000" w:themeColor="text1"/>
        </w:rPr>
        <w:t xml:space="preserve">In response to CCTA’s comments, </w:t>
      </w:r>
      <w:r w:rsidR="0096534D">
        <w:rPr>
          <w:color w:val="000000" w:themeColor="text1"/>
        </w:rPr>
        <w:t>opposing elimination of the challenge process</w:t>
      </w:r>
      <w:r w:rsidR="00037810">
        <w:rPr>
          <w:color w:val="000000" w:themeColor="text1"/>
        </w:rPr>
        <w:t xml:space="preserve"> for the Public Housing Account</w:t>
      </w:r>
      <w:r w:rsidR="00335853">
        <w:rPr>
          <w:color w:val="000000" w:themeColor="text1"/>
        </w:rPr>
        <w:t xml:space="preserve"> (and supported </w:t>
      </w:r>
      <w:r w:rsidR="004A464A">
        <w:rPr>
          <w:color w:val="000000" w:themeColor="text1"/>
        </w:rPr>
        <w:t>by NDC’s reply comments)</w:t>
      </w:r>
      <w:r w:rsidR="00037810">
        <w:rPr>
          <w:color w:val="000000" w:themeColor="text1"/>
        </w:rPr>
        <w:t xml:space="preserve">, </w:t>
      </w:r>
      <w:r w:rsidR="006D4EE5">
        <w:rPr>
          <w:color w:val="000000" w:themeColor="text1"/>
        </w:rPr>
        <w:t>this decision confirms the Commission</w:t>
      </w:r>
      <w:r w:rsidR="002C3056">
        <w:rPr>
          <w:color w:val="000000" w:themeColor="text1"/>
        </w:rPr>
        <w:t xml:space="preserve"> ha</w:t>
      </w:r>
      <w:r w:rsidR="006D4EE5">
        <w:rPr>
          <w:color w:val="000000" w:themeColor="text1"/>
        </w:rPr>
        <w:t xml:space="preserve">s discretion </w:t>
      </w:r>
      <w:r w:rsidR="00C76FB8">
        <w:rPr>
          <w:color w:val="000000" w:themeColor="text1"/>
        </w:rPr>
        <w:t>over</w:t>
      </w:r>
      <w:r w:rsidR="00495712">
        <w:rPr>
          <w:color w:val="000000" w:themeColor="text1"/>
        </w:rPr>
        <w:t xml:space="preserve"> how to determine </w:t>
      </w:r>
      <w:r w:rsidR="00734C67">
        <w:rPr>
          <w:color w:val="000000" w:themeColor="text1"/>
        </w:rPr>
        <w:t>whether free broadband service, meeting the minimum speed requirements, is already available to a publicly supported community</w:t>
      </w:r>
      <w:r w:rsidR="003649FB">
        <w:rPr>
          <w:color w:val="000000" w:themeColor="text1"/>
        </w:rPr>
        <w:t>.</w:t>
      </w:r>
      <w:r w:rsidR="00327AD9">
        <w:rPr>
          <w:color w:val="000000" w:themeColor="text1"/>
        </w:rPr>
        <w:t xml:space="preserve"> </w:t>
      </w:r>
      <w:r w:rsidR="003649FB">
        <w:rPr>
          <w:color w:val="000000" w:themeColor="text1"/>
        </w:rPr>
        <w:t>T</w:t>
      </w:r>
      <w:r w:rsidR="00495712">
        <w:rPr>
          <w:color w:val="000000" w:themeColor="text1"/>
        </w:rPr>
        <w:t xml:space="preserve">he proposed decision </w:t>
      </w:r>
      <w:r w:rsidR="0028060B">
        <w:rPr>
          <w:color w:val="000000" w:themeColor="text1"/>
        </w:rPr>
        <w:t>requires</w:t>
      </w:r>
      <w:r w:rsidR="00495712">
        <w:rPr>
          <w:color w:val="000000" w:themeColor="text1"/>
        </w:rPr>
        <w:t xml:space="preserve"> a</w:t>
      </w:r>
      <w:r w:rsidR="00CC2938">
        <w:rPr>
          <w:color w:val="000000" w:themeColor="text1"/>
        </w:rPr>
        <w:t xml:space="preserve">n applicant attestation </w:t>
      </w:r>
      <w:r w:rsidR="001B148E">
        <w:rPr>
          <w:color w:val="000000" w:themeColor="text1"/>
        </w:rPr>
        <w:t>(i.e., that such service is not available)</w:t>
      </w:r>
      <w:r w:rsidR="003671AA">
        <w:rPr>
          <w:color w:val="000000" w:themeColor="text1"/>
        </w:rPr>
        <w:t xml:space="preserve">, and </w:t>
      </w:r>
      <w:r w:rsidR="003649FB">
        <w:rPr>
          <w:color w:val="000000" w:themeColor="text1"/>
        </w:rPr>
        <w:t xml:space="preserve">further </w:t>
      </w:r>
      <w:r w:rsidR="00312BE8">
        <w:rPr>
          <w:color w:val="000000" w:themeColor="text1"/>
        </w:rPr>
        <w:t>observes</w:t>
      </w:r>
      <w:r w:rsidR="003649FB">
        <w:rPr>
          <w:color w:val="000000" w:themeColor="text1"/>
        </w:rPr>
        <w:t xml:space="preserve"> that </w:t>
      </w:r>
      <w:r w:rsidR="00312BE8">
        <w:rPr>
          <w:color w:val="000000" w:themeColor="text1"/>
        </w:rPr>
        <w:t xml:space="preserve">a service provider may still notify the Commission </w:t>
      </w:r>
      <w:r w:rsidR="00E7706C">
        <w:rPr>
          <w:color w:val="000000" w:themeColor="text1"/>
        </w:rPr>
        <w:t>that it already provides service to a community</w:t>
      </w:r>
      <w:r w:rsidR="0022240F">
        <w:rPr>
          <w:color w:val="000000" w:themeColor="text1"/>
        </w:rPr>
        <w:t>;</w:t>
      </w:r>
      <w:r w:rsidR="00E7706C">
        <w:rPr>
          <w:color w:val="000000" w:themeColor="text1"/>
        </w:rPr>
        <w:t xml:space="preserve"> </w:t>
      </w:r>
      <w:r w:rsidR="003671AA">
        <w:rPr>
          <w:color w:val="000000" w:themeColor="text1"/>
        </w:rPr>
        <w:t xml:space="preserve">we </w:t>
      </w:r>
      <w:r w:rsidR="00FD5ADF">
        <w:rPr>
          <w:color w:val="000000" w:themeColor="text1"/>
        </w:rPr>
        <w:t>find t</w:t>
      </w:r>
      <w:r w:rsidR="00F55C25">
        <w:rPr>
          <w:color w:val="000000" w:themeColor="text1"/>
        </w:rPr>
        <w:t>hese provisions reasonable for determining whether service is available</w:t>
      </w:r>
      <w:r w:rsidR="003671AA">
        <w:rPr>
          <w:color w:val="000000" w:themeColor="text1"/>
        </w:rPr>
        <w:t xml:space="preserve">. </w:t>
      </w:r>
    </w:p>
    <w:p w:rsidRPr="006F7C82" w:rsidR="002C7F94" w:rsidP="002C7F94" w:rsidRDefault="002C7F94" w14:paraId="1547E097" w14:textId="7C4B3027">
      <w:pPr>
        <w:pStyle w:val="Standard"/>
        <w:rPr>
          <w:color w:val="000000" w:themeColor="text1"/>
        </w:rPr>
      </w:pPr>
      <w:r w:rsidRPr="384CAAE5">
        <w:rPr>
          <w:color w:val="000000" w:themeColor="text1"/>
        </w:rPr>
        <w:t>In response to NDC’s recommendation to move the requirement that non-profit</w:t>
      </w:r>
      <w:r w:rsidRPr="384CAAE5" w:rsidR="00CC259F">
        <w:rPr>
          <w:color w:val="000000" w:themeColor="text1"/>
        </w:rPr>
        <w:t xml:space="preserve"> organization</w:t>
      </w:r>
      <w:r w:rsidRPr="384CAAE5">
        <w:rPr>
          <w:color w:val="000000" w:themeColor="text1"/>
        </w:rPr>
        <w:t xml:space="preserve">s must have existed for one year to be eligible for Adoption </w:t>
      </w:r>
      <w:r w:rsidRPr="384CAAE5" w:rsidR="00516C5F">
        <w:rPr>
          <w:color w:val="000000" w:themeColor="text1"/>
        </w:rPr>
        <w:t xml:space="preserve">Account </w:t>
      </w:r>
      <w:r w:rsidRPr="384CAAE5">
        <w:rPr>
          <w:color w:val="000000" w:themeColor="text1"/>
        </w:rPr>
        <w:t xml:space="preserve">grants to Ministerial Review, </w:t>
      </w:r>
      <w:r w:rsidRPr="384CAAE5" w:rsidR="00CC259F">
        <w:rPr>
          <w:color w:val="000000" w:themeColor="text1"/>
        </w:rPr>
        <w:t>we</w:t>
      </w:r>
      <w:r w:rsidRPr="384CAAE5" w:rsidR="0022684C">
        <w:rPr>
          <w:color w:val="000000" w:themeColor="text1"/>
        </w:rPr>
        <w:t xml:space="preserve"> confirm the proposed decision </w:t>
      </w:r>
      <w:r w:rsidRPr="384CAAE5" w:rsidR="00057104">
        <w:rPr>
          <w:color w:val="000000" w:themeColor="text1"/>
        </w:rPr>
        <w:t xml:space="preserve">does in fact identify this criterion as part of the Ministerial Review </w:t>
      </w:r>
      <w:proofErr w:type="gramStart"/>
      <w:r w:rsidRPr="384CAAE5" w:rsidR="00057104">
        <w:rPr>
          <w:color w:val="000000" w:themeColor="text1"/>
        </w:rPr>
        <w:t>process, and</w:t>
      </w:r>
      <w:proofErr w:type="gramEnd"/>
      <w:r w:rsidRPr="384CAAE5" w:rsidR="00057104">
        <w:rPr>
          <w:color w:val="000000" w:themeColor="text1"/>
        </w:rPr>
        <w:t xml:space="preserve"> enables non-profit</w:t>
      </w:r>
      <w:r w:rsidRPr="384CAAE5" w:rsidR="00CC259F">
        <w:rPr>
          <w:color w:val="000000" w:themeColor="text1"/>
        </w:rPr>
        <w:t xml:space="preserve"> organization</w:t>
      </w:r>
      <w:r w:rsidRPr="384CAAE5" w:rsidR="00057104">
        <w:rPr>
          <w:color w:val="000000" w:themeColor="text1"/>
        </w:rPr>
        <w:t xml:space="preserve">s </w:t>
      </w:r>
      <w:r w:rsidRPr="384CAAE5" w:rsidR="002A590D">
        <w:rPr>
          <w:color w:val="000000" w:themeColor="text1"/>
        </w:rPr>
        <w:t xml:space="preserve">that have existed for less than one year to apply and </w:t>
      </w:r>
      <w:r w:rsidRPr="384CAAE5" w:rsidR="003D410D">
        <w:rPr>
          <w:color w:val="000000" w:themeColor="text1"/>
        </w:rPr>
        <w:t>seek approval via resolution</w:t>
      </w:r>
      <w:r w:rsidRPr="384CAAE5" w:rsidR="00986256">
        <w:rPr>
          <w:color w:val="000000" w:themeColor="text1"/>
        </w:rPr>
        <w:t xml:space="preserve"> (Appendix 2, Section </w:t>
      </w:r>
      <w:r w:rsidRPr="384CAAE5" w:rsidR="00B4387C">
        <w:rPr>
          <w:color w:val="000000" w:themeColor="text1"/>
        </w:rPr>
        <w:t xml:space="preserve">IV. Eligible Applicants </w:t>
      </w:r>
      <w:r w:rsidRPr="384CAAE5" w:rsidR="00986256">
        <w:rPr>
          <w:color w:val="000000" w:themeColor="text1"/>
        </w:rPr>
        <w:t>and Section X</w:t>
      </w:r>
      <w:r w:rsidRPr="384CAAE5" w:rsidR="00B4387C">
        <w:rPr>
          <w:color w:val="000000" w:themeColor="text1"/>
        </w:rPr>
        <w:t>. Ministerial Review).</w:t>
      </w:r>
    </w:p>
    <w:p w:rsidRPr="006F7C82" w:rsidR="00F03A6A" w:rsidP="002C7F94" w:rsidRDefault="00E32815" w14:paraId="0E493BE1" w14:textId="642459E5">
      <w:pPr>
        <w:pStyle w:val="Standard"/>
        <w:rPr>
          <w:color w:val="000000" w:themeColor="text1"/>
        </w:rPr>
      </w:pPr>
      <w:r w:rsidRPr="384CAAE5">
        <w:rPr>
          <w:color w:val="000000" w:themeColor="text1"/>
        </w:rPr>
        <w:lastRenderedPageBreak/>
        <w:t xml:space="preserve">In response to comments, </w:t>
      </w:r>
      <w:r w:rsidRPr="384CAAE5" w:rsidR="00C0123F">
        <w:rPr>
          <w:color w:val="000000" w:themeColor="text1"/>
        </w:rPr>
        <w:t xml:space="preserve">the </w:t>
      </w:r>
      <w:proofErr w:type="gramStart"/>
      <w:r w:rsidRPr="384CAAE5" w:rsidR="00C0123F">
        <w:rPr>
          <w:color w:val="000000" w:themeColor="text1"/>
        </w:rPr>
        <w:t xml:space="preserve">above </w:t>
      </w:r>
      <w:r w:rsidRPr="384CAAE5" w:rsidR="00F06302">
        <w:rPr>
          <w:color w:val="000000" w:themeColor="text1"/>
        </w:rPr>
        <w:t>described</w:t>
      </w:r>
      <w:proofErr w:type="gramEnd"/>
      <w:r w:rsidRPr="384CAAE5" w:rsidR="00F06302">
        <w:rPr>
          <w:color w:val="000000" w:themeColor="text1"/>
        </w:rPr>
        <w:t xml:space="preserve"> </w:t>
      </w:r>
      <w:r w:rsidRPr="384CAAE5">
        <w:rPr>
          <w:color w:val="000000" w:themeColor="text1"/>
        </w:rPr>
        <w:t xml:space="preserve">changes have been made </w:t>
      </w:r>
      <w:r w:rsidRPr="384CAAE5" w:rsidR="00F06302">
        <w:rPr>
          <w:color w:val="000000" w:themeColor="text1"/>
        </w:rPr>
        <w:t xml:space="preserve">as well as </w:t>
      </w:r>
      <w:r w:rsidRPr="384CAAE5" w:rsidR="00392BD7">
        <w:rPr>
          <w:color w:val="000000" w:themeColor="text1"/>
        </w:rPr>
        <w:t xml:space="preserve">minor changes </w:t>
      </w:r>
      <w:r w:rsidRPr="384CAAE5">
        <w:rPr>
          <w:color w:val="000000" w:themeColor="text1"/>
        </w:rPr>
        <w:t>throughout the decision to improve clarity.</w:t>
      </w:r>
    </w:p>
    <w:p w:rsidRPr="006F7C82" w:rsidR="005939A5" w:rsidP="00B718A2" w:rsidRDefault="005939A5" w14:paraId="30DD4B40" w14:textId="77777777">
      <w:pPr>
        <w:pStyle w:val="Heading1"/>
        <w:ind w:left="360" w:hanging="360"/>
        <w:rPr>
          <w:color w:val="000000" w:themeColor="text1"/>
        </w:rPr>
      </w:pPr>
      <w:bookmarkStart w:name="_Toc8123724" w:id="37"/>
      <w:bookmarkStart w:name="_Toc100132377" w:id="38"/>
      <w:r w:rsidRPr="006F7C82">
        <w:rPr>
          <w:color w:val="000000" w:themeColor="text1"/>
        </w:rPr>
        <w:t>Assignment of Proceeding</w:t>
      </w:r>
      <w:bookmarkEnd w:id="37"/>
      <w:bookmarkEnd w:id="38"/>
    </w:p>
    <w:p w:rsidRPr="006F7C82" w:rsidR="005939A5" w:rsidP="006E6574" w:rsidRDefault="00541813" w14:paraId="349C9C02" w14:textId="5FC1743D">
      <w:pPr>
        <w:pStyle w:val="Standard"/>
        <w:rPr>
          <w:color w:val="000000" w:themeColor="text1"/>
        </w:rPr>
      </w:pPr>
      <w:r w:rsidRPr="006F7C82">
        <w:rPr>
          <w:color w:val="000000" w:themeColor="text1"/>
        </w:rPr>
        <w:t>Darcie L. Houck</w:t>
      </w:r>
      <w:r w:rsidRPr="006F7C82" w:rsidR="005939A5">
        <w:rPr>
          <w:color w:val="000000" w:themeColor="text1"/>
        </w:rPr>
        <w:t xml:space="preserve"> is the assigned Commissioner and </w:t>
      </w:r>
      <w:r w:rsidRPr="006F7C82">
        <w:rPr>
          <w:color w:val="000000" w:themeColor="text1"/>
        </w:rPr>
        <w:t>Valerie U. Kao</w:t>
      </w:r>
      <w:r w:rsidRPr="006F7C82" w:rsidR="005939A5">
        <w:rPr>
          <w:color w:val="000000" w:themeColor="text1"/>
        </w:rPr>
        <w:t xml:space="preserve"> is the assigned Administrative Law </w:t>
      </w:r>
      <w:r w:rsidRPr="0005268F" w:rsidR="006D2B27">
        <w:rPr>
          <w:color w:val="000000" w:themeColor="text1"/>
        </w:rPr>
        <w:t>Judge</w:t>
      </w:r>
      <w:r w:rsidR="006D2B27">
        <w:rPr>
          <w:color w:val="000000" w:themeColor="text1"/>
        </w:rPr>
        <w:t xml:space="preserve"> </w:t>
      </w:r>
      <w:r w:rsidRPr="006F7C82" w:rsidR="005939A5">
        <w:rPr>
          <w:color w:val="000000" w:themeColor="text1"/>
        </w:rPr>
        <w:t>in this proceeding.</w:t>
      </w:r>
    </w:p>
    <w:p w:rsidRPr="006F7C82" w:rsidR="005939A5" w:rsidP="005939A5" w:rsidRDefault="005939A5" w14:paraId="7719D6AF" w14:textId="77777777">
      <w:pPr>
        <w:pStyle w:val="Dummy"/>
        <w:rPr>
          <w:color w:val="000000" w:themeColor="text1"/>
        </w:rPr>
      </w:pPr>
      <w:bookmarkStart w:name="_Toc8123725" w:id="39"/>
      <w:bookmarkStart w:name="_Toc100132378" w:id="40"/>
      <w:r w:rsidRPr="006F7C82">
        <w:rPr>
          <w:color w:val="000000" w:themeColor="text1"/>
        </w:rPr>
        <w:t>Findings of Fact</w:t>
      </w:r>
      <w:bookmarkEnd w:id="39"/>
      <w:bookmarkEnd w:id="40"/>
    </w:p>
    <w:p w:rsidRPr="00F170B0" w:rsidR="00F62B7A" w:rsidP="00F170B0" w:rsidRDefault="00C873D6" w14:paraId="354DEF3C" w14:textId="561DE349">
      <w:pPr>
        <w:pStyle w:val="CoL"/>
        <w:numPr>
          <w:ilvl w:val="0"/>
          <w:numId w:val="8"/>
        </w:numPr>
        <w:ind w:firstLine="547"/>
      </w:pPr>
      <w:r w:rsidRPr="00F170B0">
        <w:t xml:space="preserve">SB 156, AB </w:t>
      </w:r>
      <w:proofErr w:type="gramStart"/>
      <w:r w:rsidRPr="00F170B0">
        <w:t>164</w:t>
      </w:r>
      <w:proofErr w:type="gramEnd"/>
      <w:r w:rsidRPr="00F170B0">
        <w:t xml:space="preserve"> and AB 14 enacted changes that impact program administration of the CASF through creation of new CASF subaccounts, adoption of individual program modifications, or through increase or extension of total program funding.</w:t>
      </w:r>
    </w:p>
    <w:p w:rsidRPr="00F170B0" w:rsidR="00DC0BF3" w:rsidP="00F170B0" w:rsidRDefault="0077396B" w14:paraId="6DA9DF35" w14:textId="4BA0B0D0">
      <w:pPr>
        <w:pStyle w:val="CoL"/>
        <w:numPr>
          <w:ilvl w:val="0"/>
          <w:numId w:val="8"/>
        </w:numPr>
        <w:ind w:firstLine="547"/>
      </w:pPr>
      <w:r w:rsidRPr="00F170B0">
        <w:t xml:space="preserve">The assigned Commissioner provided notice and opportunity </w:t>
      </w:r>
      <w:r w:rsidRPr="00F170B0" w:rsidR="00C7212D">
        <w:t>to comment on proposed changes to program rules of the Public Housing Account, Adoption</w:t>
      </w:r>
      <w:r w:rsidR="00F90D7B">
        <w:t> </w:t>
      </w:r>
      <w:r w:rsidRPr="00F170B0" w:rsidR="00C7212D">
        <w:t>Account and Consortia Account</w:t>
      </w:r>
      <w:r w:rsidRPr="00F170B0" w:rsidR="00DC0BF3">
        <w:t>,</w:t>
      </w:r>
      <w:r w:rsidRPr="00F170B0">
        <w:t xml:space="preserve"> </w:t>
      </w:r>
      <w:r w:rsidRPr="00F170B0" w:rsidR="00DC0BF3">
        <w:t>and on the fiscal year 2022-2023 CASF budget and subaccount allocations.</w:t>
      </w:r>
    </w:p>
    <w:p w:rsidRPr="00F170B0" w:rsidR="00ED104D" w:rsidP="00F170B0" w:rsidRDefault="00026224" w14:paraId="5412ED7C" w14:textId="17F170F5">
      <w:pPr>
        <w:pStyle w:val="CoL"/>
        <w:numPr>
          <w:ilvl w:val="0"/>
          <w:numId w:val="8"/>
        </w:numPr>
        <w:ind w:firstLine="547"/>
      </w:pPr>
      <w:r w:rsidRPr="00F170B0">
        <w:t xml:space="preserve"> Farmworker housing </w:t>
      </w:r>
      <w:r w:rsidRPr="00F170B0" w:rsidR="00ED104D">
        <w:t>has historically been ignored in policy and regulations.</w:t>
      </w:r>
    </w:p>
    <w:p w:rsidRPr="00F170B0" w:rsidR="001846D5" w:rsidP="00F170B0" w:rsidRDefault="001846D5" w14:paraId="28CED8F8" w14:textId="5664B896">
      <w:pPr>
        <w:pStyle w:val="CoL"/>
        <w:numPr>
          <w:ilvl w:val="0"/>
          <w:numId w:val="8"/>
        </w:numPr>
        <w:ind w:firstLine="547"/>
      </w:pPr>
      <w:r w:rsidRPr="00F170B0">
        <w:t xml:space="preserve">Establishment of Public Housing Account program rules for eligibility, verification of eligibility, and protections for tenants of non-publicly supported housing developments requires </w:t>
      </w:r>
      <w:r w:rsidRPr="00F170B0" w:rsidR="0056370F">
        <w:t>deliberation beyond what was provided for by the Second</w:t>
      </w:r>
      <w:r w:rsidR="0056370F">
        <w:t> </w:t>
      </w:r>
      <w:r w:rsidRPr="00F170B0" w:rsidR="0056370F">
        <w:t xml:space="preserve">Amended Scoping Memo </w:t>
      </w:r>
      <w:r w:rsidR="0056370F">
        <w:t xml:space="preserve">and may require </w:t>
      </w:r>
      <w:r w:rsidRPr="00F170B0">
        <w:t>consultation with staff who oversee the ESA program.</w:t>
      </w:r>
    </w:p>
    <w:p w:rsidRPr="006F7C82" w:rsidR="005939A5" w:rsidP="005939A5" w:rsidRDefault="005939A5" w14:paraId="4D963D43" w14:textId="77777777">
      <w:pPr>
        <w:pStyle w:val="Dummy"/>
        <w:rPr>
          <w:color w:val="000000" w:themeColor="text1"/>
        </w:rPr>
      </w:pPr>
      <w:bookmarkStart w:name="_Toc8123726" w:id="41"/>
      <w:bookmarkStart w:name="_Toc100132379" w:id="42"/>
      <w:r w:rsidRPr="006F7C82">
        <w:rPr>
          <w:color w:val="000000" w:themeColor="text1"/>
        </w:rPr>
        <w:t>Conclusions of Law</w:t>
      </w:r>
      <w:bookmarkEnd w:id="41"/>
      <w:bookmarkEnd w:id="42"/>
    </w:p>
    <w:p w:rsidRPr="00B718A2" w:rsidR="00085216" w:rsidP="00F170B0" w:rsidRDefault="00085216" w14:paraId="0BF277D9" w14:textId="3B3D06C6">
      <w:pPr>
        <w:pStyle w:val="CoL"/>
        <w:numPr>
          <w:ilvl w:val="0"/>
          <w:numId w:val="56"/>
        </w:numPr>
      </w:pPr>
      <w:r w:rsidRPr="00B718A2">
        <w:t xml:space="preserve">It is reasonable to </w:t>
      </w:r>
      <w:r w:rsidRPr="00B718A2" w:rsidR="00D3026D">
        <w:t xml:space="preserve">modify program rules of the </w:t>
      </w:r>
      <w:r w:rsidRPr="00B718A2" w:rsidR="00E95A01">
        <w:t>Public Housing Account as shown in Appendix 1 of this decision.</w:t>
      </w:r>
    </w:p>
    <w:p w:rsidRPr="00B718A2" w:rsidR="00E95A01" w:rsidP="00F170B0" w:rsidRDefault="00E95A01" w14:paraId="6DE91C91" w14:textId="78B5AA45">
      <w:pPr>
        <w:pStyle w:val="CoL"/>
        <w:numPr>
          <w:ilvl w:val="0"/>
          <w:numId w:val="56"/>
        </w:numPr>
        <w:ind w:firstLine="547"/>
      </w:pPr>
      <w:r w:rsidRPr="00B718A2">
        <w:t>It is reasonable to modify program rules of the Adoption Account as shown in Appendix 2 of this decision.</w:t>
      </w:r>
    </w:p>
    <w:p w:rsidRPr="00B718A2" w:rsidR="00E95A01" w:rsidP="00F170B0" w:rsidRDefault="00E95A01" w14:paraId="25C378F1" w14:textId="3C2A5983">
      <w:pPr>
        <w:pStyle w:val="CoL"/>
        <w:numPr>
          <w:ilvl w:val="0"/>
          <w:numId w:val="56"/>
        </w:numPr>
        <w:ind w:firstLine="547"/>
      </w:pPr>
      <w:r w:rsidRPr="00B718A2">
        <w:lastRenderedPageBreak/>
        <w:t>It is reasonable to modify program rules of the Consortia Account as shown in Appendix 3 of this decision.</w:t>
      </w:r>
    </w:p>
    <w:p w:rsidRPr="00B718A2" w:rsidR="00DF7DDB" w:rsidP="00F170B0" w:rsidRDefault="00DF7DDB" w14:paraId="09FD913D" w14:textId="4875F383">
      <w:pPr>
        <w:pStyle w:val="CoL"/>
        <w:numPr>
          <w:ilvl w:val="0"/>
          <w:numId w:val="56"/>
        </w:numPr>
        <w:ind w:firstLine="547"/>
      </w:pPr>
      <w:r w:rsidRPr="00B718A2">
        <w:t xml:space="preserve">It is reasonable to </w:t>
      </w:r>
      <w:r w:rsidRPr="00B718A2" w:rsidR="00C3329E">
        <w:t>adopt a fiscal year 2022-2023 CASF budget and subaccount allocations as shown in Table 1 of this decision.</w:t>
      </w:r>
    </w:p>
    <w:p w:rsidRPr="00B718A2" w:rsidR="008F143D" w:rsidP="00F170B0" w:rsidRDefault="00111729" w14:paraId="014D9BFB" w14:textId="7E0C9236">
      <w:pPr>
        <w:pStyle w:val="CoL"/>
        <w:numPr>
          <w:ilvl w:val="0"/>
          <w:numId w:val="56"/>
        </w:numPr>
        <w:ind w:firstLine="547"/>
      </w:pPr>
      <w:r w:rsidRPr="00B718A2">
        <w:t xml:space="preserve">The Commission’s Communications Division staff </w:t>
      </w:r>
      <w:r w:rsidRPr="00B718A2" w:rsidR="00ED3A1B">
        <w:t xml:space="preserve">should have the authority to prepare resolutions </w:t>
      </w:r>
      <w:r w:rsidRPr="00B718A2" w:rsidR="008F057E">
        <w:t>for</w:t>
      </w:r>
      <w:r w:rsidRPr="00B718A2" w:rsidR="00DF7DDB">
        <w:t xml:space="preserve"> </w:t>
      </w:r>
      <w:r w:rsidRPr="00B718A2" w:rsidR="00ED3A1B">
        <w:t>administrative changes to the Public Housing Account, Adoption Account, and Consortia Account program rules</w:t>
      </w:r>
      <w:r w:rsidRPr="00B718A2" w:rsidR="00085216">
        <w:t>, and present these resolutions to the full Commission</w:t>
      </w:r>
      <w:r w:rsidRPr="00B718A2" w:rsidR="00ED3A1B">
        <w:t xml:space="preserve"> </w:t>
      </w:r>
      <w:r w:rsidRPr="00B718A2" w:rsidR="00085216">
        <w:t>for a vote.</w:t>
      </w:r>
    </w:p>
    <w:p w:rsidRPr="006F7C82" w:rsidR="00BB0243" w:rsidP="000A6E05" w:rsidRDefault="005939A5" w14:paraId="1965A8A7" w14:textId="77777777">
      <w:pPr>
        <w:pStyle w:val="Mainex"/>
        <w:rPr>
          <w:color w:val="000000" w:themeColor="text1"/>
        </w:rPr>
      </w:pPr>
      <w:bookmarkStart w:name="_Toc100132380" w:id="43"/>
      <w:r w:rsidRPr="006F7C82">
        <w:rPr>
          <w:color w:val="000000" w:themeColor="text1"/>
        </w:rPr>
        <w:t>O</w:t>
      </w:r>
      <w:r w:rsidRPr="006F7C82" w:rsidR="00722850">
        <w:rPr>
          <w:color w:val="000000" w:themeColor="text1"/>
        </w:rPr>
        <w:t>RDER</w:t>
      </w:r>
      <w:bookmarkEnd w:id="43"/>
    </w:p>
    <w:p w:rsidRPr="006F7C82" w:rsidR="00BB0243" w:rsidP="000A6E05" w:rsidRDefault="00BB0243" w14:paraId="6C03D88C" w14:textId="77777777">
      <w:pPr>
        <w:keepNext/>
        <w:rPr>
          <w:color w:val="000000" w:themeColor="text1"/>
        </w:rPr>
      </w:pPr>
      <w:r w:rsidRPr="006F7C82">
        <w:rPr>
          <w:b/>
          <w:color w:val="000000" w:themeColor="text1"/>
        </w:rPr>
        <w:t>IT IS ORDERED</w:t>
      </w:r>
      <w:r w:rsidRPr="006F7C82">
        <w:rPr>
          <w:color w:val="000000" w:themeColor="text1"/>
        </w:rPr>
        <w:t xml:space="preserve"> that:</w:t>
      </w:r>
    </w:p>
    <w:p w:rsidRPr="00B718A2" w:rsidR="00E05091" w:rsidP="0033369D" w:rsidRDefault="00CC05DD" w14:paraId="72E9E7EC" w14:textId="4BD916D5">
      <w:pPr>
        <w:pStyle w:val="CoL"/>
        <w:numPr>
          <w:ilvl w:val="0"/>
          <w:numId w:val="9"/>
        </w:numPr>
      </w:pPr>
      <w:r w:rsidRPr="00B718A2">
        <w:t>California Public Utilities</w:t>
      </w:r>
      <w:r w:rsidRPr="00B718A2" w:rsidR="00B45B6A">
        <w:t xml:space="preserve"> Commissio</w:t>
      </w:r>
      <w:r w:rsidRPr="00B718A2" w:rsidR="00796D8A">
        <w:t>n</w:t>
      </w:r>
      <w:r w:rsidRPr="00B718A2" w:rsidR="00B45B6A">
        <w:t xml:space="preserve"> Communications Division staff </w:t>
      </w:r>
      <w:r w:rsidR="000A0A80">
        <w:t>shall prepare</w:t>
      </w:r>
      <w:r w:rsidRPr="00B718A2" w:rsidR="00CF5E32">
        <w:t xml:space="preserve"> a staff proposal </w:t>
      </w:r>
      <w:r w:rsidRPr="00B718A2" w:rsidR="00DB7C7F">
        <w:t xml:space="preserve">for establishing </w:t>
      </w:r>
      <w:r w:rsidRPr="00B718A2" w:rsidR="00E05091">
        <w:t xml:space="preserve">Broadband Public Housing Account </w:t>
      </w:r>
      <w:r w:rsidRPr="00B718A2" w:rsidR="005D29CE">
        <w:t>eligibility, verification of eligibility, and protections for tenants of non</w:t>
      </w:r>
      <w:r w:rsidR="00F90D7B">
        <w:noBreakHyphen/>
      </w:r>
      <w:r w:rsidRPr="00B718A2" w:rsidR="005D29CE">
        <w:t xml:space="preserve">publicly </w:t>
      </w:r>
      <w:r w:rsidRPr="00B718A2" w:rsidR="005D0EFF">
        <w:t>supported housing developments, as specified in Section 3.1 of this decision.</w:t>
      </w:r>
    </w:p>
    <w:p w:rsidRPr="00B718A2" w:rsidR="00932865" w:rsidP="0033369D" w:rsidRDefault="00794830" w14:paraId="6A975BF2" w14:textId="4DD55984">
      <w:pPr>
        <w:pStyle w:val="CoL"/>
        <w:numPr>
          <w:ilvl w:val="0"/>
          <w:numId w:val="9"/>
        </w:numPr>
      </w:pPr>
      <w:r w:rsidRPr="00B718A2">
        <w:t>The Broadband Public Housing Account program rules</w:t>
      </w:r>
      <w:r w:rsidRPr="00B718A2" w:rsidR="00E85BC1">
        <w:t>,</w:t>
      </w:r>
      <w:r w:rsidRPr="00B718A2">
        <w:t xml:space="preserve"> </w:t>
      </w:r>
      <w:r w:rsidRPr="00B718A2" w:rsidR="002754D1">
        <w:t xml:space="preserve">adopted </w:t>
      </w:r>
      <w:r w:rsidRPr="00B718A2" w:rsidR="00E85BC1">
        <w:t xml:space="preserve">as shown in Appendix 1 of </w:t>
      </w:r>
      <w:r w:rsidRPr="00B718A2" w:rsidR="002754D1">
        <w:t>this decision</w:t>
      </w:r>
      <w:r w:rsidRPr="00B718A2" w:rsidR="00E85BC1">
        <w:t>,</w:t>
      </w:r>
      <w:r w:rsidRPr="00B718A2" w:rsidR="0054733B">
        <w:t xml:space="preserve"> are effective as of the issue date of this decision</w:t>
      </w:r>
      <w:r w:rsidRPr="00B718A2" w:rsidR="000A6E05">
        <w:t>.</w:t>
      </w:r>
    </w:p>
    <w:p w:rsidRPr="00B718A2" w:rsidR="00E85BC1" w:rsidP="0033369D" w:rsidRDefault="00E85BC1" w14:paraId="560CB6A8" w14:textId="0FB82DCC">
      <w:pPr>
        <w:pStyle w:val="CoL"/>
        <w:numPr>
          <w:ilvl w:val="0"/>
          <w:numId w:val="9"/>
        </w:numPr>
      </w:pPr>
      <w:r w:rsidRPr="00B718A2">
        <w:t>The Adoption Account program rules, adopted as shown in Appendix 2 of this decision, are effective as of the issue date of this decision.</w:t>
      </w:r>
    </w:p>
    <w:p w:rsidRPr="00B718A2" w:rsidR="00E85BC1" w:rsidP="0033369D" w:rsidRDefault="00E85BC1" w14:paraId="0D7ACD84" w14:textId="16C6C3CE">
      <w:pPr>
        <w:pStyle w:val="CoL"/>
        <w:numPr>
          <w:ilvl w:val="0"/>
          <w:numId w:val="9"/>
        </w:numPr>
      </w:pPr>
      <w:r w:rsidRPr="00B718A2">
        <w:t xml:space="preserve">The </w:t>
      </w:r>
      <w:r w:rsidRPr="00B718A2" w:rsidR="00352F8C">
        <w:t>Rural and Urban Regional Consortia Account program rules, adopted as shown in Appendix</w:t>
      </w:r>
      <w:r w:rsidRPr="00B718A2" w:rsidR="00E53BC9">
        <w:t xml:space="preserve"> </w:t>
      </w:r>
      <w:r w:rsidRPr="00B718A2" w:rsidR="004C2B66">
        <w:t>3</w:t>
      </w:r>
      <w:r w:rsidRPr="00B718A2" w:rsidR="00352F8C">
        <w:t xml:space="preserve"> of this decision, are effective as of the issue date of this decision.</w:t>
      </w:r>
    </w:p>
    <w:p w:rsidRPr="00B718A2" w:rsidR="003A471C" w:rsidP="0033369D" w:rsidRDefault="003A471C" w14:paraId="04E59E41" w14:textId="0627A398">
      <w:pPr>
        <w:pStyle w:val="CoL"/>
        <w:numPr>
          <w:ilvl w:val="0"/>
          <w:numId w:val="9"/>
        </w:numPr>
      </w:pPr>
      <w:r w:rsidRPr="00B718A2">
        <w:t xml:space="preserve">The fiscal year 2022-2023 </w:t>
      </w:r>
      <w:r w:rsidRPr="00B718A2" w:rsidR="00A71864">
        <w:t>California Advanced Services Fund budget and account allocations are adopted as shown in Table 1 of this decision.</w:t>
      </w:r>
    </w:p>
    <w:p w:rsidRPr="00B718A2" w:rsidR="008B33FE" w:rsidP="0033369D" w:rsidRDefault="00093C27" w14:paraId="5D46ECCB" w14:textId="624DCE88">
      <w:pPr>
        <w:pStyle w:val="CoL"/>
        <w:numPr>
          <w:ilvl w:val="0"/>
          <w:numId w:val="9"/>
        </w:numPr>
      </w:pPr>
      <w:r w:rsidRPr="00B718A2">
        <w:t xml:space="preserve">California Public Utilities Commission Communications Division staff </w:t>
      </w:r>
      <w:r w:rsidR="003E432E">
        <w:t>may propose</w:t>
      </w:r>
      <w:r w:rsidRPr="00B718A2" w:rsidR="00480F76">
        <w:t xml:space="preserve"> administrative changes to the Broadband Public Housing Account, </w:t>
      </w:r>
      <w:r w:rsidRPr="00B718A2" w:rsidR="00480F76">
        <w:lastRenderedPageBreak/>
        <w:t xml:space="preserve">Adoption Account, and Rural and Urban Regional Consortia Account program rules via resolution for full Commission </w:t>
      </w:r>
      <w:r w:rsidRPr="00B718A2" w:rsidR="008B33FE">
        <w:t>review and approval of those changes.</w:t>
      </w:r>
    </w:p>
    <w:p w:rsidRPr="00B718A2" w:rsidR="00F6397D" w:rsidP="0033369D" w:rsidRDefault="00E23CBB" w14:paraId="4BAF367E" w14:textId="6156E2C8">
      <w:pPr>
        <w:pStyle w:val="CoL"/>
        <w:numPr>
          <w:ilvl w:val="0"/>
          <w:numId w:val="9"/>
        </w:numPr>
      </w:pPr>
      <w:r w:rsidRPr="00B718A2">
        <w:t>Rulemaking</w:t>
      </w:r>
      <w:r w:rsidRPr="00B718A2" w:rsidR="00541813">
        <w:t xml:space="preserve"> 20-08-021 remains open</w:t>
      </w:r>
      <w:r w:rsidRPr="00B718A2">
        <w:t>.</w:t>
      </w:r>
    </w:p>
    <w:p w:rsidRPr="006F7C82" w:rsidR="008F0116" w:rsidP="008F0116" w:rsidRDefault="008F0116" w14:paraId="1BCA68FA" w14:textId="77777777">
      <w:pPr>
        <w:rPr>
          <w:color w:val="000000" w:themeColor="text1"/>
        </w:rPr>
      </w:pPr>
      <w:r w:rsidRPr="006F7C82">
        <w:rPr>
          <w:color w:val="000000" w:themeColor="text1"/>
        </w:rPr>
        <w:t>This order is effective today.</w:t>
      </w:r>
    </w:p>
    <w:p w:rsidR="009015BD" w:rsidP="00394667" w:rsidRDefault="008F0116" w14:paraId="4417BA6B" w14:textId="77777777">
      <w:pPr>
        <w:pStyle w:val="Standard"/>
      </w:pPr>
      <w:r w:rsidRPr="006F7C82">
        <w:t xml:space="preserve">Dated </w:t>
      </w:r>
      <w:r w:rsidRPr="001D49D4" w:rsidR="001D49D4">
        <w:t>May 19, 2022</w:t>
      </w:r>
      <w:r w:rsidRPr="006F7C82">
        <w:t xml:space="preserve">, at </w:t>
      </w:r>
      <w:r w:rsidR="00226EC6">
        <w:t>Sacramento</w:t>
      </w:r>
      <w:r w:rsidRPr="006F7C82">
        <w:t>, California</w:t>
      </w:r>
      <w:r w:rsidR="00081EFC">
        <w:t>.</w:t>
      </w:r>
      <w:bookmarkStart w:name="_Hlk99358121" w:id="44"/>
    </w:p>
    <w:p w:rsidR="001D49D4" w:rsidP="00394667" w:rsidRDefault="001D49D4" w14:paraId="7F884B6A" w14:textId="77777777">
      <w:pPr>
        <w:pStyle w:val="Standard"/>
      </w:pPr>
    </w:p>
    <w:p w:rsidRPr="001D49D4" w:rsidR="001D49D4" w:rsidP="001D49D4" w:rsidRDefault="001D49D4" w14:paraId="696DEB30" w14:textId="77777777">
      <w:pPr>
        <w:autoSpaceDE w:val="0"/>
        <w:autoSpaceDN w:val="0"/>
        <w:adjustRightInd w:val="0"/>
        <w:spacing w:line="240" w:lineRule="auto"/>
        <w:ind w:left="5040" w:firstLine="0"/>
        <w:jc w:val="both"/>
        <w:rPr>
          <w:rFonts w:eastAsia="Times New Roman" w:cs="Times New Roman"/>
          <w:szCs w:val="20"/>
        </w:rPr>
      </w:pPr>
      <w:bookmarkStart w:name="_Hlk17215919" w:id="45"/>
      <w:r w:rsidRPr="001D49D4">
        <w:rPr>
          <w:rFonts w:eastAsia="Times New Roman" w:cs="Times New Roman"/>
          <w:szCs w:val="20"/>
        </w:rPr>
        <w:t>ALICE REYNOLDS</w:t>
      </w:r>
    </w:p>
    <w:p w:rsidRPr="001D49D4" w:rsidR="001D49D4" w:rsidP="001D49D4" w:rsidRDefault="001D49D4" w14:paraId="38E4827B" w14:textId="77777777">
      <w:pPr>
        <w:autoSpaceDE w:val="0"/>
        <w:autoSpaceDN w:val="0"/>
        <w:adjustRightInd w:val="0"/>
        <w:spacing w:line="240" w:lineRule="auto"/>
        <w:ind w:left="720"/>
        <w:jc w:val="both"/>
        <w:rPr>
          <w:rFonts w:eastAsia="Times New Roman" w:cs="Times New Roman"/>
          <w:szCs w:val="20"/>
        </w:rPr>
      </w:pPr>
      <w:r w:rsidRPr="001D49D4">
        <w:rPr>
          <w:rFonts w:eastAsia="Times New Roman" w:cs="Times New Roman"/>
          <w:szCs w:val="20"/>
        </w:rPr>
        <w:tab/>
      </w:r>
      <w:r w:rsidRPr="001D49D4">
        <w:rPr>
          <w:rFonts w:eastAsia="Times New Roman" w:cs="Times New Roman"/>
          <w:szCs w:val="20"/>
        </w:rPr>
        <w:tab/>
      </w:r>
      <w:r w:rsidRPr="001D49D4">
        <w:rPr>
          <w:rFonts w:eastAsia="Times New Roman" w:cs="Times New Roman"/>
          <w:szCs w:val="20"/>
        </w:rPr>
        <w:tab/>
      </w:r>
      <w:r w:rsidRPr="001D49D4">
        <w:rPr>
          <w:rFonts w:eastAsia="Times New Roman" w:cs="Times New Roman"/>
          <w:szCs w:val="20"/>
        </w:rPr>
        <w:tab/>
      </w:r>
      <w:r w:rsidRPr="001D49D4">
        <w:rPr>
          <w:rFonts w:eastAsia="Times New Roman" w:cs="Times New Roman"/>
          <w:szCs w:val="20"/>
        </w:rPr>
        <w:tab/>
        <w:t xml:space="preserve">                       President</w:t>
      </w:r>
    </w:p>
    <w:p w:rsidRPr="001D49D4" w:rsidR="001D49D4" w:rsidP="001D49D4" w:rsidRDefault="001D49D4" w14:paraId="316E6DB2" w14:textId="77777777">
      <w:pPr>
        <w:autoSpaceDE w:val="0"/>
        <w:autoSpaceDN w:val="0"/>
        <w:adjustRightInd w:val="0"/>
        <w:spacing w:line="240" w:lineRule="auto"/>
        <w:ind w:left="5040" w:firstLine="0"/>
        <w:jc w:val="both"/>
        <w:rPr>
          <w:rFonts w:eastAsia="Times New Roman" w:cs="Times New Roman"/>
          <w:szCs w:val="20"/>
        </w:rPr>
      </w:pPr>
      <w:r w:rsidRPr="001D49D4">
        <w:rPr>
          <w:rFonts w:eastAsia="Times New Roman" w:cs="Times New Roman"/>
          <w:szCs w:val="20"/>
        </w:rPr>
        <w:t>CLIFFORD RECHTSCHAFFEN</w:t>
      </w:r>
    </w:p>
    <w:p w:rsidRPr="001D49D4" w:rsidR="001D49D4" w:rsidP="001D49D4" w:rsidRDefault="001D49D4" w14:paraId="7473044D" w14:textId="77777777">
      <w:pPr>
        <w:autoSpaceDE w:val="0"/>
        <w:autoSpaceDN w:val="0"/>
        <w:adjustRightInd w:val="0"/>
        <w:spacing w:line="240" w:lineRule="auto"/>
        <w:ind w:left="5040" w:firstLine="0"/>
        <w:jc w:val="both"/>
        <w:rPr>
          <w:rFonts w:eastAsia="Times New Roman" w:cs="Times New Roman"/>
          <w:szCs w:val="20"/>
        </w:rPr>
      </w:pPr>
      <w:r w:rsidRPr="001D49D4">
        <w:rPr>
          <w:rFonts w:eastAsia="Times New Roman" w:cs="Times New Roman"/>
          <w:szCs w:val="20"/>
        </w:rPr>
        <w:t>GENEVIEVE SHIROMA</w:t>
      </w:r>
    </w:p>
    <w:p w:rsidRPr="001D49D4" w:rsidR="001D49D4" w:rsidP="001D49D4" w:rsidRDefault="001D49D4" w14:paraId="7B78F87A" w14:textId="77777777">
      <w:pPr>
        <w:autoSpaceDE w:val="0"/>
        <w:autoSpaceDN w:val="0"/>
        <w:adjustRightInd w:val="0"/>
        <w:spacing w:line="240" w:lineRule="auto"/>
        <w:ind w:left="4320"/>
        <w:jc w:val="both"/>
        <w:rPr>
          <w:rFonts w:eastAsia="Times New Roman" w:cs="Times New Roman"/>
          <w:szCs w:val="20"/>
        </w:rPr>
      </w:pPr>
      <w:r w:rsidRPr="001D49D4">
        <w:rPr>
          <w:rFonts w:eastAsia="Times New Roman" w:cs="Times New Roman"/>
          <w:szCs w:val="20"/>
        </w:rPr>
        <w:t>DARCIE L. HOUCK</w:t>
      </w:r>
    </w:p>
    <w:p w:rsidRPr="001D49D4" w:rsidR="001D49D4" w:rsidP="001D49D4" w:rsidRDefault="001D49D4" w14:paraId="6AE15FEC" w14:textId="77777777">
      <w:pPr>
        <w:autoSpaceDE w:val="0"/>
        <w:autoSpaceDN w:val="0"/>
        <w:adjustRightInd w:val="0"/>
        <w:spacing w:line="240" w:lineRule="auto"/>
        <w:ind w:left="4320"/>
        <w:jc w:val="both"/>
        <w:rPr>
          <w:rFonts w:eastAsia="Times New Roman" w:cs="Times New Roman"/>
          <w:szCs w:val="20"/>
        </w:rPr>
      </w:pPr>
      <w:r w:rsidRPr="001D49D4">
        <w:rPr>
          <w:rFonts w:eastAsia="Times New Roman" w:cs="Times New Roman"/>
          <w:szCs w:val="20"/>
        </w:rPr>
        <w:t>JOHN R.D. REYNOLDS</w:t>
      </w:r>
    </w:p>
    <w:p w:rsidRPr="001D49D4" w:rsidR="001D49D4" w:rsidP="001D49D4" w:rsidRDefault="001D49D4" w14:paraId="6329C776" w14:textId="77777777">
      <w:pPr>
        <w:autoSpaceDE w:val="0"/>
        <w:autoSpaceDN w:val="0"/>
        <w:adjustRightInd w:val="0"/>
        <w:spacing w:line="240" w:lineRule="auto"/>
        <w:ind w:left="5040"/>
        <w:jc w:val="both"/>
        <w:rPr>
          <w:rFonts w:eastAsia="Times New Roman" w:cs="Times New Roman"/>
          <w:szCs w:val="20"/>
        </w:rPr>
      </w:pPr>
      <w:r w:rsidRPr="001D49D4">
        <w:rPr>
          <w:rFonts w:eastAsia="Times New Roman" w:cs="Times New Roman"/>
          <w:szCs w:val="20"/>
        </w:rPr>
        <w:t xml:space="preserve">            Commissioners</w:t>
      </w:r>
    </w:p>
    <w:bookmarkEnd w:id="45"/>
    <w:p w:rsidR="001D49D4" w:rsidP="00394667" w:rsidRDefault="001D49D4" w14:paraId="736EF070" w14:textId="77777777">
      <w:pPr>
        <w:pStyle w:val="Standard"/>
      </w:pPr>
    </w:p>
    <w:p w:rsidR="001D49D4" w:rsidP="00394667" w:rsidRDefault="001D49D4" w14:paraId="79FDF45E" w14:textId="77777777">
      <w:pPr>
        <w:pStyle w:val="Standard"/>
      </w:pPr>
    </w:p>
    <w:p w:rsidR="001D49D4" w:rsidP="00394667" w:rsidRDefault="001D49D4" w14:paraId="4A0E9F55" w14:textId="77777777">
      <w:pPr>
        <w:pStyle w:val="Standard"/>
      </w:pPr>
    </w:p>
    <w:p w:rsidR="001D49D4" w:rsidP="00394667" w:rsidRDefault="001D49D4" w14:paraId="54617950" w14:textId="77777777">
      <w:pPr>
        <w:pStyle w:val="Standard"/>
      </w:pPr>
    </w:p>
    <w:p w:rsidR="001D49D4" w:rsidP="00394667" w:rsidRDefault="001D49D4" w14:paraId="2237BEAF" w14:textId="77777777">
      <w:pPr>
        <w:pStyle w:val="Standard"/>
      </w:pPr>
    </w:p>
    <w:p w:rsidR="001D49D4" w:rsidP="00394667" w:rsidRDefault="001D49D4" w14:paraId="0AE0380E" w14:textId="77777777">
      <w:pPr>
        <w:pStyle w:val="Standard"/>
      </w:pPr>
    </w:p>
    <w:p w:rsidR="001D49D4" w:rsidP="00394667" w:rsidRDefault="001D49D4" w14:paraId="7F258359" w14:textId="77777777">
      <w:pPr>
        <w:pStyle w:val="Standard"/>
      </w:pPr>
    </w:p>
    <w:p w:rsidR="001D49D4" w:rsidP="00394667" w:rsidRDefault="001D49D4" w14:paraId="3175699D" w14:textId="56D331AC">
      <w:pPr>
        <w:pStyle w:val="Standard"/>
        <w:sectPr w:rsidR="001D49D4" w:rsidSect="005F130B">
          <w:footerReference w:type="default" r:id="rId15"/>
          <w:footnotePr>
            <w:numRestart w:val="eachSect"/>
          </w:footnotePr>
          <w:pgSz w:w="12240" w:h="15840"/>
          <w:pgMar w:top="1440" w:right="1440" w:bottom="1440" w:left="1440" w:header="720" w:footer="720" w:gutter="0"/>
          <w:pgNumType w:start="2"/>
          <w:cols w:space="720"/>
          <w:docGrid w:linePitch="360"/>
        </w:sectPr>
      </w:pPr>
    </w:p>
    <w:p w:rsidRPr="00676C3A" w:rsidR="00081EFC" w:rsidP="00676C3A" w:rsidRDefault="00081EFC" w14:paraId="58C1180D" w14:textId="63F71F8E">
      <w:pPr>
        <w:pStyle w:val="Dummy"/>
        <w:jc w:val="center"/>
        <w:rPr>
          <w:rFonts w:ascii="Book Antiqua" w:hAnsi="Book Antiqua"/>
          <w:color w:val="000000" w:themeColor="text1"/>
        </w:rPr>
      </w:pPr>
      <w:r w:rsidRPr="00676C3A">
        <w:rPr>
          <w:rFonts w:ascii="Book Antiqua" w:hAnsi="Book Antiqua"/>
          <w:color w:val="000000" w:themeColor="text1"/>
        </w:rPr>
        <w:lastRenderedPageBreak/>
        <w:t xml:space="preserve">APPENDIX </w:t>
      </w:r>
      <w:r w:rsidRPr="00676C3A" w:rsidR="00F4291F">
        <w:rPr>
          <w:rFonts w:ascii="Book Antiqua" w:hAnsi="Book Antiqua"/>
          <w:color w:val="000000" w:themeColor="text1"/>
        </w:rPr>
        <w:t>1</w:t>
      </w:r>
    </w:p>
    <w:p w:rsidR="00081EFC" w:rsidP="00676C3A" w:rsidRDefault="00081EFC" w14:paraId="02C48444" w14:textId="77777777">
      <w:pPr>
        <w:ind w:firstLine="0"/>
        <w:jc w:val="center"/>
        <w:rPr>
          <w:rFonts w:eastAsia="Book Antiqua" w:cs="Book Antiqua"/>
          <w:b/>
          <w:bCs/>
          <w:szCs w:val="26"/>
        </w:rPr>
      </w:pPr>
      <w:r w:rsidRPr="539137C4">
        <w:rPr>
          <w:rFonts w:eastAsia="Book Antiqua" w:cs="Book Antiqua"/>
          <w:b/>
          <w:bCs/>
          <w:szCs w:val="26"/>
        </w:rPr>
        <w:t xml:space="preserve">Broadband Public Housing Account </w:t>
      </w:r>
    </w:p>
    <w:p w:rsidRPr="0019177F" w:rsidR="00081EFC" w:rsidP="00676C3A" w:rsidRDefault="00081EFC" w14:paraId="4812DA80" w14:textId="77777777">
      <w:pPr>
        <w:ind w:firstLine="0"/>
        <w:jc w:val="center"/>
        <w:rPr>
          <w:rFonts w:eastAsia="Book Antiqua" w:cs="Book Antiqua"/>
          <w:b/>
          <w:bCs/>
          <w:szCs w:val="26"/>
        </w:rPr>
      </w:pPr>
      <w:r w:rsidRPr="539137C4">
        <w:rPr>
          <w:rFonts w:eastAsia="Book Antiqua" w:cs="Book Antiqua"/>
          <w:b/>
          <w:bCs/>
          <w:szCs w:val="26"/>
        </w:rPr>
        <w:t>Revised Application Requirements and Guidelines</w:t>
      </w:r>
    </w:p>
    <w:bookmarkEnd w:id="44"/>
    <w:p w:rsidR="00081EFC" w:rsidP="00081EFC" w:rsidRDefault="00081EFC" w14:paraId="16554A61" w14:textId="77777777">
      <w:pPr>
        <w:pStyle w:val="BodyText"/>
        <w:spacing w:before="4"/>
        <w:rPr>
          <w:b/>
          <w:sz w:val="40"/>
        </w:rPr>
      </w:pPr>
    </w:p>
    <w:p w:rsidRPr="006208FC" w:rsidR="00081EFC" w:rsidP="0033369D" w:rsidRDefault="00081EFC" w14:paraId="6113289A" w14:textId="77777777">
      <w:pPr>
        <w:pStyle w:val="ListParagraph"/>
        <w:numPr>
          <w:ilvl w:val="0"/>
          <w:numId w:val="10"/>
        </w:numPr>
        <w:tabs>
          <w:tab w:val="left" w:pos="560"/>
        </w:tabs>
        <w:ind w:hanging="361"/>
        <w:rPr>
          <w:b/>
          <w:sz w:val="26"/>
        </w:rPr>
      </w:pPr>
      <w:r>
        <w:rPr>
          <w:b/>
          <w:sz w:val="26"/>
        </w:rPr>
        <w:t>Background</w:t>
      </w:r>
    </w:p>
    <w:p w:rsidRPr="0019177F" w:rsidR="00081EFC" w:rsidP="00081EFC" w:rsidRDefault="00081EFC" w14:paraId="37099315" w14:textId="77777777">
      <w:pPr>
        <w:pStyle w:val="BodyText"/>
        <w:spacing w:before="118"/>
        <w:ind w:left="199" w:right="169"/>
      </w:pPr>
      <w:r w:rsidRPr="0019177F">
        <w:t>Senate Bill (SB) 156 was signed into law on July 20, 2021.</w:t>
      </w:r>
      <w:r w:rsidRPr="0019177F">
        <w:rPr>
          <w:rStyle w:val="FootnoteReference"/>
        </w:rPr>
        <w:footnoteReference w:id="177"/>
      </w:r>
      <w:r w:rsidRPr="0019177F">
        <w:t xml:space="preserve">  SB 156 made significant changes to the Broadband Public Housing Account (BPHA) that require funds be made available for grants and loans to finance projects to build broadband networks offering free broadband service for residents of low-income communities.</w:t>
      </w:r>
    </w:p>
    <w:p w:rsidR="00081EFC" w:rsidP="00081EFC" w:rsidRDefault="00081EFC" w14:paraId="055C5F21" w14:textId="77777777">
      <w:pPr>
        <w:pStyle w:val="BodyText"/>
      </w:pPr>
    </w:p>
    <w:p w:rsidRPr="00676C3A" w:rsidR="00081EFC" w:rsidP="00676C3A" w:rsidRDefault="00081EFC" w14:paraId="43BA27F1" w14:textId="77777777">
      <w:pPr>
        <w:pStyle w:val="ListParagraph"/>
        <w:numPr>
          <w:ilvl w:val="0"/>
          <w:numId w:val="10"/>
        </w:numPr>
        <w:tabs>
          <w:tab w:val="left" w:pos="560"/>
        </w:tabs>
        <w:ind w:hanging="361"/>
        <w:rPr>
          <w:b/>
          <w:sz w:val="26"/>
        </w:rPr>
      </w:pPr>
      <w:r w:rsidRPr="00676C3A">
        <w:rPr>
          <w:b/>
          <w:sz w:val="26"/>
        </w:rPr>
        <w:t xml:space="preserve">Grant Funding </w:t>
      </w:r>
    </w:p>
    <w:p w:rsidR="00081EFC" w:rsidP="00081EFC" w:rsidRDefault="00081EFC" w14:paraId="579B0FCE" w14:textId="77777777">
      <w:pPr>
        <w:pStyle w:val="BodyText"/>
        <w:ind w:left="202"/>
        <w:contextualSpacing/>
      </w:pPr>
    </w:p>
    <w:p w:rsidR="00081EFC" w:rsidP="00081EFC" w:rsidRDefault="00081EFC" w14:paraId="72BA4812" w14:textId="77777777">
      <w:pPr>
        <w:pStyle w:val="BodyText"/>
        <w:ind w:left="199" w:right="554"/>
        <w:jc w:val="both"/>
      </w:pPr>
      <w:r>
        <w:t>The</w:t>
      </w:r>
      <w:r>
        <w:rPr>
          <w:spacing w:val="-4"/>
        </w:rPr>
        <w:t xml:space="preserve"> </w:t>
      </w:r>
      <w:r>
        <w:t>Commission</w:t>
      </w:r>
      <w:r>
        <w:rPr>
          <w:spacing w:val="-3"/>
        </w:rPr>
        <w:t xml:space="preserve"> </w:t>
      </w:r>
      <w:r>
        <w:t>will</w:t>
      </w:r>
      <w:r>
        <w:rPr>
          <w:spacing w:val="-4"/>
        </w:rPr>
        <w:t xml:space="preserve"> </w:t>
      </w:r>
      <w:r>
        <w:t>award grants</w:t>
      </w:r>
      <w:r>
        <w:rPr>
          <w:spacing w:val="-4"/>
        </w:rPr>
        <w:t xml:space="preserve"> </w:t>
      </w:r>
      <w:r>
        <w:t>to</w:t>
      </w:r>
      <w:r>
        <w:rPr>
          <w:spacing w:val="-1"/>
        </w:rPr>
        <w:t xml:space="preserve"> </w:t>
      </w:r>
      <w:r>
        <w:t>finance</w:t>
      </w:r>
      <w:r>
        <w:rPr>
          <w:spacing w:val="-2"/>
        </w:rPr>
        <w:t xml:space="preserve"> </w:t>
      </w:r>
      <w:r>
        <w:t>up</w:t>
      </w:r>
      <w:r>
        <w:rPr>
          <w:spacing w:val="-3"/>
        </w:rPr>
        <w:t xml:space="preserve"> </w:t>
      </w:r>
      <w:r>
        <w:t>to</w:t>
      </w:r>
      <w:r>
        <w:rPr>
          <w:spacing w:val="-2"/>
        </w:rPr>
        <w:t xml:space="preserve"> </w:t>
      </w:r>
      <w:r>
        <w:t>100</w:t>
      </w:r>
      <w:r>
        <w:rPr>
          <w:spacing w:val="-3"/>
        </w:rPr>
        <w:t xml:space="preserve"> </w:t>
      </w:r>
      <w:r>
        <w:t>percent</w:t>
      </w:r>
      <w:r>
        <w:rPr>
          <w:spacing w:val="-3"/>
        </w:rPr>
        <w:t xml:space="preserve"> </w:t>
      </w:r>
      <w:r>
        <w:t>of</w:t>
      </w:r>
      <w:r>
        <w:rPr>
          <w:spacing w:val="-3"/>
        </w:rPr>
        <w:t xml:space="preserve"> </w:t>
      </w:r>
      <w:r>
        <w:t>the</w:t>
      </w:r>
      <w:r>
        <w:rPr>
          <w:spacing w:val="-4"/>
        </w:rPr>
        <w:t xml:space="preserve"> </w:t>
      </w:r>
      <w:r>
        <w:t>costs</w:t>
      </w:r>
      <w:r>
        <w:rPr>
          <w:spacing w:val="-3"/>
        </w:rPr>
        <w:t xml:space="preserve"> </w:t>
      </w:r>
      <w:r>
        <w:t>to</w:t>
      </w:r>
      <w:r>
        <w:rPr>
          <w:spacing w:val="-63"/>
        </w:rPr>
        <w:t xml:space="preserve"> </w:t>
      </w:r>
      <w:r>
        <w:t>install inside wiring</w:t>
      </w:r>
      <w:r>
        <w:rPr>
          <w:position w:val="6"/>
          <w:sz w:val="17"/>
        </w:rPr>
        <w:t xml:space="preserve"> </w:t>
      </w:r>
      <w:r>
        <w:t>and broadband network equipment but will not finance</w:t>
      </w:r>
      <w:r>
        <w:rPr>
          <w:spacing w:val="1"/>
        </w:rPr>
        <w:t xml:space="preserve"> </w:t>
      </w:r>
      <w:r>
        <w:t>operations</w:t>
      </w:r>
      <w:r>
        <w:rPr>
          <w:spacing w:val="-1"/>
        </w:rPr>
        <w:t xml:space="preserve"> </w:t>
      </w:r>
      <w:r>
        <w:t>and</w:t>
      </w:r>
      <w:r>
        <w:rPr>
          <w:spacing w:val="-1"/>
        </w:rPr>
        <w:t xml:space="preserve"> </w:t>
      </w:r>
      <w:r>
        <w:t>maintenance</w:t>
      </w:r>
      <w:r>
        <w:rPr>
          <w:spacing w:val="-1"/>
        </w:rPr>
        <w:t xml:space="preserve"> </w:t>
      </w:r>
      <w:r>
        <w:t xml:space="preserve">costs </w:t>
      </w:r>
      <w:r w:rsidRPr="001D7472">
        <w:t>through this program.</w:t>
      </w:r>
    </w:p>
    <w:p w:rsidRPr="00934190" w:rsidR="00081EFC" w:rsidP="00081EFC" w:rsidRDefault="00081EFC" w14:paraId="6F6BCC81" w14:textId="77777777">
      <w:pPr>
        <w:pStyle w:val="BodyText"/>
        <w:ind w:left="199" w:right="554"/>
        <w:jc w:val="both"/>
      </w:pPr>
    </w:p>
    <w:p w:rsidR="00081EFC" w:rsidP="00081EFC" w:rsidRDefault="00081EFC" w14:paraId="15915558" w14:textId="77777777">
      <w:pPr>
        <w:pStyle w:val="BodyText"/>
        <w:ind w:left="202"/>
        <w:contextualSpacing/>
      </w:pPr>
      <w:r>
        <w:t>The</w:t>
      </w:r>
      <w:r>
        <w:rPr>
          <w:spacing w:val="-4"/>
        </w:rPr>
        <w:t xml:space="preserve"> </w:t>
      </w:r>
      <w:r>
        <w:t>Commission</w:t>
      </w:r>
      <w:r>
        <w:rPr>
          <w:spacing w:val="-3"/>
        </w:rPr>
        <w:t xml:space="preserve"> </w:t>
      </w:r>
      <w:r>
        <w:t>will</w:t>
      </w:r>
      <w:r>
        <w:rPr>
          <w:spacing w:val="-5"/>
        </w:rPr>
        <w:t xml:space="preserve"> </w:t>
      </w:r>
      <w:r>
        <w:t>reimburse</w:t>
      </w:r>
      <w:r>
        <w:rPr>
          <w:spacing w:val="-3"/>
        </w:rPr>
        <w:t xml:space="preserve"> </w:t>
      </w:r>
      <w:r>
        <w:t>the</w:t>
      </w:r>
      <w:r>
        <w:rPr>
          <w:spacing w:val="-3"/>
        </w:rPr>
        <w:t xml:space="preserve"> </w:t>
      </w:r>
      <w:r>
        <w:t>following</w:t>
      </w:r>
      <w:r>
        <w:rPr>
          <w:spacing w:val="-3"/>
        </w:rPr>
        <w:t xml:space="preserve"> </w:t>
      </w:r>
      <w:r>
        <w:t>project-related</w:t>
      </w:r>
      <w:r>
        <w:rPr>
          <w:spacing w:val="-1"/>
        </w:rPr>
        <w:t xml:space="preserve"> </w:t>
      </w:r>
      <w:r>
        <w:t>expenses</w:t>
      </w:r>
      <w:r>
        <w:rPr>
          <w:spacing w:val="-2"/>
        </w:rPr>
        <w:t xml:space="preserve"> </w:t>
      </w:r>
      <w:r>
        <w:t>after</w:t>
      </w:r>
      <w:r>
        <w:rPr>
          <w:spacing w:val="-3"/>
        </w:rPr>
        <w:t xml:space="preserve"> </w:t>
      </w:r>
      <w:r>
        <w:t>a review</w:t>
      </w:r>
      <w:r>
        <w:rPr>
          <w:spacing w:val="-5"/>
        </w:rPr>
        <w:t xml:space="preserve"> </w:t>
      </w:r>
      <w:r>
        <w:t>of</w:t>
      </w:r>
      <w:r>
        <w:rPr>
          <w:spacing w:val="-4"/>
        </w:rPr>
        <w:t xml:space="preserve"> </w:t>
      </w:r>
      <w:r>
        <w:t>the</w:t>
      </w:r>
      <w:r>
        <w:rPr>
          <w:spacing w:val="-1"/>
        </w:rPr>
        <w:t xml:space="preserve"> </w:t>
      </w:r>
      <w:r>
        <w:t>project</w:t>
      </w:r>
      <w:r>
        <w:rPr>
          <w:spacing w:val="-2"/>
        </w:rPr>
        <w:t xml:space="preserve"> </w:t>
      </w:r>
      <w:r>
        <w:t>progress</w:t>
      </w:r>
      <w:r>
        <w:rPr>
          <w:spacing w:val="-5"/>
        </w:rPr>
        <w:t xml:space="preserve"> </w:t>
      </w:r>
      <w:r>
        <w:t>or</w:t>
      </w:r>
      <w:r>
        <w:rPr>
          <w:spacing w:val="-3"/>
        </w:rPr>
        <w:t xml:space="preserve"> </w:t>
      </w:r>
      <w:r>
        <w:t>completion</w:t>
      </w:r>
      <w:r>
        <w:rPr>
          <w:spacing w:val="-4"/>
        </w:rPr>
        <w:t xml:space="preserve"> </w:t>
      </w:r>
      <w:r>
        <w:t>reports</w:t>
      </w:r>
      <w:r>
        <w:rPr>
          <w:spacing w:val="-4"/>
        </w:rPr>
        <w:t xml:space="preserve"> </w:t>
      </w:r>
      <w:r>
        <w:t>and</w:t>
      </w:r>
      <w:r>
        <w:rPr>
          <w:spacing w:val="-4"/>
        </w:rPr>
        <w:t xml:space="preserve"> </w:t>
      </w:r>
      <w:r>
        <w:t>supporting</w:t>
      </w:r>
      <w:r>
        <w:rPr>
          <w:spacing w:val="-62"/>
        </w:rPr>
        <w:t xml:space="preserve"> </w:t>
      </w:r>
      <w:r>
        <w:t>documentation:</w:t>
      </w:r>
    </w:p>
    <w:p w:rsidR="00081EFC" w:rsidP="0033369D" w:rsidRDefault="00081EFC" w14:paraId="0383DAC7" w14:textId="77777777">
      <w:pPr>
        <w:pStyle w:val="ListParagraph"/>
        <w:numPr>
          <w:ilvl w:val="1"/>
          <w:numId w:val="10"/>
        </w:numPr>
        <w:tabs>
          <w:tab w:val="left" w:pos="919"/>
          <w:tab w:val="left" w:pos="920"/>
        </w:tabs>
        <w:spacing w:before="2"/>
        <w:ind w:right="372"/>
        <w:rPr>
          <w:sz w:val="26"/>
        </w:rPr>
      </w:pPr>
      <w:r>
        <w:rPr>
          <w:sz w:val="26"/>
        </w:rPr>
        <w:t>All</w:t>
      </w:r>
      <w:r>
        <w:rPr>
          <w:spacing w:val="-5"/>
          <w:sz w:val="26"/>
        </w:rPr>
        <w:t xml:space="preserve"> </w:t>
      </w:r>
      <w:r>
        <w:rPr>
          <w:sz w:val="26"/>
        </w:rPr>
        <w:t>broadband</w:t>
      </w:r>
      <w:r>
        <w:rPr>
          <w:spacing w:val="-4"/>
          <w:sz w:val="26"/>
        </w:rPr>
        <w:t xml:space="preserve"> </w:t>
      </w:r>
      <w:r>
        <w:rPr>
          <w:sz w:val="26"/>
        </w:rPr>
        <w:t>networking</w:t>
      </w:r>
      <w:r>
        <w:rPr>
          <w:spacing w:val="-4"/>
          <w:sz w:val="26"/>
        </w:rPr>
        <w:t xml:space="preserve"> </w:t>
      </w:r>
      <w:r>
        <w:rPr>
          <w:sz w:val="26"/>
        </w:rPr>
        <w:t>equipment</w:t>
      </w:r>
      <w:r>
        <w:rPr>
          <w:spacing w:val="-4"/>
          <w:sz w:val="26"/>
        </w:rPr>
        <w:t xml:space="preserve"> </w:t>
      </w:r>
      <w:r>
        <w:rPr>
          <w:sz w:val="26"/>
        </w:rPr>
        <w:t>(hardware</w:t>
      </w:r>
      <w:r>
        <w:rPr>
          <w:spacing w:val="-3"/>
          <w:sz w:val="26"/>
        </w:rPr>
        <w:t xml:space="preserve"> </w:t>
      </w:r>
      <w:r>
        <w:rPr>
          <w:sz w:val="26"/>
        </w:rPr>
        <w:t>and</w:t>
      </w:r>
      <w:r>
        <w:rPr>
          <w:spacing w:val="-4"/>
          <w:sz w:val="26"/>
        </w:rPr>
        <w:t xml:space="preserve"> </w:t>
      </w:r>
      <w:r>
        <w:rPr>
          <w:sz w:val="26"/>
        </w:rPr>
        <w:t>software),</w:t>
      </w:r>
      <w:r>
        <w:rPr>
          <w:spacing w:val="-4"/>
          <w:sz w:val="26"/>
        </w:rPr>
        <w:t xml:space="preserve"> </w:t>
      </w:r>
      <w:r>
        <w:rPr>
          <w:sz w:val="26"/>
        </w:rPr>
        <w:t>wireless</w:t>
      </w:r>
      <w:r>
        <w:rPr>
          <w:spacing w:val="-62"/>
          <w:sz w:val="26"/>
        </w:rPr>
        <w:t xml:space="preserve">   </w:t>
      </w:r>
      <w:r>
        <w:rPr>
          <w:sz w:val="26"/>
        </w:rPr>
        <w:t>access points, wireless bridge(s), modem(s), switches, router(s), and</w:t>
      </w:r>
      <w:r>
        <w:rPr>
          <w:spacing w:val="1"/>
          <w:sz w:val="26"/>
        </w:rPr>
        <w:t xml:space="preserve"> </w:t>
      </w:r>
      <w:r>
        <w:rPr>
          <w:sz w:val="26"/>
        </w:rPr>
        <w:t>firewall(s) for network security but not personal computers, laptops,</w:t>
      </w:r>
      <w:r>
        <w:rPr>
          <w:spacing w:val="1"/>
          <w:sz w:val="26"/>
        </w:rPr>
        <w:t xml:space="preserve"> </w:t>
      </w:r>
      <w:proofErr w:type="gramStart"/>
      <w:r>
        <w:rPr>
          <w:sz w:val="26"/>
        </w:rPr>
        <w:t>handheld</w:t>
      </w:r>
      <w:proofErr w:type="gramEnd"/>
      <w:r>
        <w:rPr>
          <w:spacing w:val="-2"/>
          <w:sz w:val="26"/>
        </w:rPr>
        <w:t xml:space="preserve"> </w:t>
      </w:r>
      <w:r>
        <w:rPr>
          <w:sz w:val="26"/>
        </w:rPr>
        <w:t>or</w:t>
      </w:r>
      <w:r>
        <w:rPr>
          <w:spacing w:val="-1"/>
          <w:sz w:val="26"/>
        </w:rPr>
        <w:t xml:space="preserve"> </w:t>
      </w:r>
      <w:r>
        <w:rPr>
          <w:sz w:val="26"/>
        </w:rPr>
        <w:t>human</w:t>
      </w:r>
      <w:r>
        <w:rPr>
          <w:spacing w:val="-1"/>
          <w:sz w:val="26"/>
        </w:rPr>
        <w:t xml:space="preserve"> </w:t>
      </w:r>
      <w:r>
        <w:rPr>
          <w:sz w:val="26"/>
        </w:rPr>
        <w:t>interface devices.</w:t>
      </w:r>
    </w:p>
    <w:p w:rsidR="00081EFC" w:rsidP="693A4047" w:rsidRDefault="00081EFC" w14:paraId="746CB48B" w14:textId="77777777">
      <w:pPr>
        <w:pStyle w:val="ListParagraph"/>
        <w:numPr>
          <w:ilvl w:val="1"/>
          <w:numId w:val="10"/>
        </w:numPr>
        <w:tabs>
          <w:tab w:val="left" w:pos="919"/>
          <w:tab w:val="left" w:pos="920"/>
        </w:tabs>
        <w:ind w:right="337"/>
        <w:rPr>
          <w:sz w:val="26"/>
          <w:szCs w:val="26"/>
        </w:rPr>
      </w:pPr>
      <w:r w:rsidRPr="693A4047">
        <w:rPr>
          <w:sz w:val="26"/>
          <w:szCs w:val="26"/>
        </w:rPr>
        <w:t>Low voltage contracting work including the installation of inside wiring,</w:t>
      </w:r>
      <w:r w:rsidRPr="693A4047">
        <w:rPr>
          <w:spacing w:val="-62"/>
          <w:sz w:val="26"/>
          <w:szCs w:val="26"/>
        </w:rPr>
        <w:t xml:space="preserve"> </w:t>
      </w:r>
      <w:r w:rsidRPr="693A4047">
        <w:rPr>
          <w:sz w:val="26"/>
          <w:szCs w:val="26"/>
        </w:rPr>
        <w:t>network cabinets, NEMA boxes,</w:t>
      </w:r>
      <w:r>
        <w:rPr>
          <w:rStyle w:val="FootnoteReference"/>
        </w:rPr>
        <w:footnoteReference w:id="178"/>
      </w:r>
      <w:r w:rsidRPr="693A4047">
        <w:rPr>
          <w:sz w:val="26"/>
          <w:szCs w:val="26"/>
        </w:rPr>
        <w:t xml:space="preserve"> conduits, patch panels, cable tray or</w:t>
      </w:r>
      <w:r w:rsidRPr="693A4047">
        <w:rPr>
          <w:spacing w:val="1"/>
          <w:sz w:val="26"/>
          <w:szCs w:val="26"/>
        </w:rPr>
        <w:t xml:space="preserve"> </w:t>
      </w:r>
      <w:r w:rsidRPr="693A4047">
        <w:rPr>
          <w:sz w:val="26"/>
          <w:szCs w:val="26"/>
        </w:rPr>
        <w:t>ladders, and other cabling requirements to provide power and</w:t>
      </w:r>
      <w:r w:rsidRPr="693A4047">
        <w:rPr>
          <w:spacing w:val="1"/>
          <w:sz w:val="26"/>
          <w:szCs w:val="26"/>
        </w:rPr>
        <w:t xml:space="preserve"> </w:t>
      </w:r>
      <w:r w:rsidRPr="693A4047">
        <w:rPr>
          <w:sz w:val="26"/>
          <w:szCs w:val="26"/>
        </w:rPr>
        <w:t>connectivity for the broadband network equipment funded as part of the</w:t>
      </w:r>
      <w:r w:rsidRPr="693A4047">
        <w:rPr>
          <w:spacing w:val="-62"/>
          <w:sz w:val="26"/>
          <w:szCs w:val="26"/>
        </w:rPr>
        <w:t xml:space="preserve"> </w:t>
      </w:r>
      <w:r w:rsidRPr="693A4047">
        <w:rPr>
          <w:sz w:val="26"/>
          <w:szCs w:val="26"/>
        </w:rPr>
        <w:t>project.</w:t>
      </w:r>
      <w:r w:rsidRPr="693A4047">
        <w:rPr>
          <w:spacing w:val="58"/>
          <w:sz w:val="26"/>
          <w:szCs w:val="26"/>
        </w:rPr>
        <w:t xml:space="preserve"> </w:t>
      </w:r>
      <w:r w:rsidRPr="693A4047">
        <w:rPr>
          <w:sz w:val="26"/>
          <w:szCs w:val="26"/>
        </w:rPr>
        <w:t>Major</w:t>
      </w:r>
      <w:r w:rsidRPr="693A4047">
        <w:rPr>
          <w:spacing w:val="-4"/>
          <w:sz w:val="26"/>
          <w:szCs w:val="26"/>
        </w:rPr>
        <w:t xml:space="preserve"> </w:t>
      </w:r>
      <w:r w:rsidRPr="693A4047">
        <w:rPr>
          <w:sz w:val="26"/>
          <w:szCs w:val="26"/>
        </w:rPr>
        <w:t>rehabilitation,</w:t>
      </w:r>
      <w:r w:rsidRPr="693A4047">
        <w:rPr>
          <w:spacing w:val="-4"/>
          <w:sz w:val="26"/>
          <w:szCs w:val="26"/>
        </w:rPr>
        <w:t xml:space="preserve"> </w:t>
      </w:r>
      <w:r w:rsidRPr="693A4047">
        <w:rPr>
          <w:sz w:val="26"/>
          <w:szCs w:val="26"/>
        </w:rPr>
        <w:t>demolition</w:t>
      </w:r>
      <w:r w:rsidRPr="693A4047">
        <w:rPr>
          <w:spacing w:val="-4"/>
          <w:sz w:val="26"/>
          <w:szCs w:val="26"/>
        </w:rPr>
        <w:t xml:space="preserve"> </w:t>
      </w:r>
      <w:r w:rsidRPr="693A4047">
        <w:rPr>
          <w:sz w:val="26"/>
          <w:szCs w:val="26"/>
        </w:rPr>
        <w:t>or</w:t>
      </w:r>
      <w:r w:rsidRPr="693A4047">
        <w:rPr>
          <w:spacing w:val="-3"/>
          <w:sz w:val="26"/>
          <w:szCs w:val="26"/>
        </w:rPr>
        <w:t xml:space="preserve"> </w:t>
      </w:r>
      <w:r w:rsidRPr="693A4047">
        <w:rPr>
          <w:sz w:val="26"/>
          <w:szCs w:val="26"/>
        </w:rPr>
        <w:t>construction</w:t>
      </w:r>
      <w:r w:rsidRPr="693A4047">
        <w:rPr>
          <w:spacing w:val="-3"/>
          <w:sz w:val="26"/>
          <w:szCs w:val="26"/>
        </w:rPr>
        <w:t xml:space="preserve"> </w:t>
      </w:r>
      <w:r w:rsidRPr="693A4047">
        <w:rPr>
          <w:sz w:val="26"/>
          <w:szCs w:val="26"/>
        </w:rPr>
        <w:t>work</w:t>
      </w:r>
      <w:r w:rsidRPr="693A4047">
        <w:rPr>
          <w:spacing w:val="-2"/>
          <w:sz w:val="26"/>
          <w:szCs w:val="26"/>
        </w:rPr>
        <w:t xml:space="preserve"> </w:t>
      </w:r>
      <w:r w:rsidRPr="693A4047">
        <w:rPr>
          <w:sz w:val="26"/>
          <w:szCs w:val="26"/>
        </w:rPr>
        <w:t>will</w:t>
      </w:r>
      <w:r w:rsidRPr="693A4047">
        <w:rPr>
          <w:spacing w:val="-5"/>
          <w:sz w:val="26"/>
          <w:szCs w:val="26"/>
        </w:rPr>
        <w:t xml:space="preserve"> </w:t>
      </w:r>
      <w:r w:rsidRPr="693A4047">
        <w:rPr>
          <w:sz w:val="26"/>
          <w:szCs w:val="26"/>
        </w:rPr>
        <w:t>not</w:t>
      </w:r>
      <w:r w:rsidRPr="693A4047">
        <w:rPr>
          <w:spacing w:val="-4"/>
          <w:sz w:val="26"/>
          <w:szCs w:val="26"/>
        </w:rPr>
        <w:t xml:space="preserve"> </w:t>
      </w:r>
      <w:r w:rsidRPr="693A4047">
        <w:rPr>
          <w:sz w:val="26"/>
          <w:szCs w:val="26"/>
        </w:rPr>
        <w:t>be</w:t>
      </w:r>
      <w:r w:rsidRPr="693A4047">
        <w:rPr>
          <w:spacing w:val="-62"/>
          <w:sz w:val="26"/>
          <w:szCs w:val="26"/>
        </w:rPr>
        <w:t xml:space="preserve"> </w:t>
      </w:r>
      <w:r w:rsidRPr="693A4047">
        <w:rPr>
          <w:sz w:val="26"/>
          <w:szCs w:val="26"/>
        </w:rPr>
        <w:t>funded.</w:t>
      </w:r>
    </w:p>
    <w:p w:rsidR="00081EFC" w:rsidP="0033369D" w:rsidRDefault="00081EFC" w14:paraId="095737CE" w14:textId="77777777">
      <w:pPr>
        <w:pStyle w:val="ListParagraph"/>
        <w:numPr>
          <w:ilvl w:val="1"/>
          <w:numId w:val="10"/>
        </w:numPr>
        <w:tabs>
          <w:tab w:val="left" w:pos="919"/>
          <w:tab w:val="left" w:pos="920"/>
        </w:tabs>
        <w:spacing w:line="334" w:lineRule="exact"/>
        <w:ind w:hanging="541"/>
        <w:rPr>
          <w:sz w:val="26"/>
        </w:rPr>
      </w:pPr>
      <w:r>
        <w:rPr>
          <w:sz w:val="26"/>
        </w:rPr>
        <w:t>Broadband</w:t>
      </w:r>
      <w:r>
        <w:rPr>
          <w:spacing w:val="-5"/>
          <w:sz w:val="26"/>
        </w:rPr>
        <w:t xml:space="preserve"> </w:t>
      </w:r>
      <w:r>
        <w:rPr>
          <w:sz w:val="26"/>
        </w:rPr>
        <w:t>network</w:t>
      </w:r>
      <w:r>
        <w:rPr>
          <w:spacing w:val="-3"/>
          <w:sz w:val="26"/>
        </w:rPr>
        <w:t xml:space="preserve"> </w:t>
      </w:r>
      <w:r>
        <w:rPr>
          <w:sz w:val="26"/>
        </w:rPr>
        <w:t>engineering</w:t>
      </w:r>
      <w:r>
        <w:rPr>
          <w:spacing w:val="-5"/>
          <w:sz w:val="26"/>
        </w:rPr>
        <w:t xml:space="preserve"> </w:t>
      </w:r>
      <w:r>
        <w:rPr>
          <w:sz w:val="26"/>
        </w:rPr>
        <w:t>and</w:t>
      </w:r>
      <w:r>
        <w:rPr>
          <w:spacing w:val="-5"/>
          <w:sz w:val="26"/>
        </w:rPr>
        <w:t xml:space="preserve"> </w:t>
      </w:r>
      <w:r>
        <w:rPr>
          <w:sz w:val="26"/>
        </w:rPr>
        <w:t>designing</w:t>
      </w:r>
      <w:r>
        <w:rPr>
          <w:spacing w:val="-5"/>
          <w:sz w:val="26"/>
        </w:rPr>
        <w:t xml:space="preserve"> </w:t>
      </w:r>
      <w:r>
        <w:rPr>
          <w:sz w:val="26"/>
        </w:rPr>
        <w:t>documentation.</w:t>
      </w:r>
    </w:p>
    <w:p w:rsidR="00081EFC" w:rsidP="0033369D" w:rsidRDefault="00081EFC" w14:paraId="72047E53" w14:textId="77777777">
      <w:pPr>
        <w:pStyle w:val="ListParagraph"/>
        <w:numPr>
          <w:ilvl w:val="1"/>
          <w:numId w:val="10"/>
        </w:numPr>
        <w:tabs>
          <w:tab w:val="left" w:pos="919"/>
          <w:tab w:val="left" w:pos="920"/>
        </w:tabs>
        <w:spacing w:before="1" w:line="334" w:lineRule="exact"/>
        <w:ind w:hanging="541"/>
        <w:rPr>
          <w:sz w:val="26"/>
        </w:rPr>
      </w:pPr>
      <w:r>
        <w:rPr>
          <w:sz w:val="26"/>
        </w:rPr>
        <w:t>Hardware</w:t>
      </w:r>
      <w:r>
        <w:rPr>
          <w:spacing w:val="-2"/>
          <w:sz w:val="26"/>
        </w:rPr>
        <w:t xml:space="preserve"> </w:t>
      </w:r>
      <w:r>
        <w:rPr>
          <w:sz w:val="26"/>
        </w:rPr>
        <w:t>warranty</w:t>
      </w:r>
      <w:r>
        <w:rPr>
          <w:spacing w:val="-1"/>
          <w:sz w:val="26"/>
        </w:rPr>
        <w:t xml:space="preserve"> </w:t>
      </w:r>
      <w:r>
        <w:rPr>
          <w:sz w:val="26"/>
        </w:rPr>
        <w:t>of</w:t>
      </w:r>
      <w:r>
        <w:rPr>
          <w:spacing w:val="-3"/>
          <w:sz w:val="26"/>
        </w:rPr>
        <w:t xml:space="preserve"> </w:t>
      </w:r>
      <w:r>
        <w:rPr>
          <w:sz w:val="26"/>
        </w:rPr>
        <w:t>broadband</w:t>
      </w:r>
      <w:r>
        <w:rPr>
          <w:spacing w:val="-2"/>
          <w:sz w:val="26"/>
        </w:rPr>
        <w:t xml:space="preserve"> </w:t>
      </w:r>
      <w:r>
        <w:rPr>
          <w:sz w:val="26"/>
        </w:rPr>
        <w:t>network</w:t>
      </w:r>
      <w:r>
        <w:rPr>
          <w:spacing w:val="-3"/>
          <w:sz w:val="26"/>
        </w:rPr>
        <w:t xml:space="preserve"> </w:t>
      </w:r>
      <w:r>
        <w:rPr>
          <w:sz w:val="26"/>
        </w:rPr>
        <w:t>equipment</w:t>
      </w:r>
      <w:r>
        <w:rPr>
          <w:spacing w:val="-2"/>
          <w:sz w:val="26"/>
        </w:rPr>
        <w:t xml:space="preserve"> </w:t>
      </w:r>
      <w:r>
        <w:rPr>
          <w:sz w:val="26"/>
        </w:rPr>
        <w:t>as</w:t>
      </w:r>
      <w:r>
        <w:rPr>
          <w:spacing w:val="-3"/>
          <w:sz w:val="26"/>
        </w:rPr>
        <w:t xml:space="preserve"> </w:t>
      </w:r>
      <w:r>
        <w:rPr>
          <w:sz w:val="26"/>
        </w:rPr>
        <w:t>needed.</w:t>
      </w:r>
    </w:p>
    <w:p w:rsidR="00081EFC" w:rsidP="0033369D" w:rsidRDefault="00081EFC" w14:paraId="316F219A" w14:textId="77777777">
      <w:pPr>
        <w:pStyle w:val="ListParagraph"/>
        <w:numPr>
          <w:ilvl w:val="1"/>
          <w:numId w:val="10"/>
        </w:numPr>
        <w:tabs>
          <w:tab w:val="left" w:pos="919"/>
          <w:tab w:val="left" w:pos="920"/>
        </w:tabs>
        <w:ind w:right="166"/>
        <w:rPr>
          <w:sz w:val="26"/>
        </w:rPr>
      </w:pPr>
      <w:r>
        <w:rPr>
          <w:sz w:val="26"/>
        </w:rPr>
        <w:lastRenderedPageBreak/>
        <w:t>Installation, provisioning, and configuration labor costs at the Minimum</w:t>
      </w:r>
      <w:r>
        <w:rPr>
          <w:spacing w:val="1"/>
          <w:sz w:val="26"/>
        </w:rPr>
        <w:t xml:space="preserve"> </w:t>
      </w:r>
      <w:r>
        <w:rPr>
          <w:sz w:val="26"/>
        </w:rPr>
        <w:t>Point of Entry (MPOE), MDFs (Main Distribution Frame), IDFs</w:t>
      </w:r>
      <w:r>
        <w:rPr>
          <w:spacing w:val="1"/>
          <w:sz w:val="26"/>
        </w:rPr>
        <w:t xml:space="preserve"> </w:t>
      </w:r>
      <w:r>
        <w:rPr>
          <w:sz w:val="26"/>
        </w:rPr>
        <w:t>(Intermediate</w:t>
      </w:r>
      <w:r>
        <w:rPr>
          <w:spacing w:val="2"/>
          <w:sz w:val="26"/>
        </w:rPr>
        <w:t xml:space="preserve"> </w:t>
      </w:r>
      <w:r>
        <w:rPr>
          <w:sz w:val="26"/>
        </w:rPr>
        <w:t>Distribution</w:t>
      </w:r>
      <w:r>
        <w:rPr>
          <w:spacing w:val="6"/>
          <w:sz w:val="26"/>
        </w:rPr>
        <w:t xml:space="preserve"> </w:t>
      </w:r>
      <w:r>
        <w:rPr>
          <w:sz w:val="26"/>
        </w:rPr>
        <w:t>Frame),</w:t>
      </w:r>
      <w:r>
        <w:rPr>
          <w:spacing w:val="6"/>
          <w:sz w:val="26"/>
        </w:rPr>
        <w:t xml:space="preserve"> </w:t>
      </w:r>
      <w:r>
        <w:rPr>
          <w:sz w:val="26"/>
        </w:rPr>
        <w:t>WAPs</w:t>
      </w:r>
      <w:r>
        <w:rPr>
          <w:spacing w:val="5"/>
          <w:sz w:val="26"/>
        </w:rPr>
        <w:t xml:space="preserve"> </w:t>
      </w:r>
      <w:r>
        <w:rPr>
          <w:sz w:val="26"/>
        </w:rPr>
        <w:t>(Wireless</w:t>
      </w:r>
      <w:r>
        <w:rPr>
          <w:spacing w:val="3"/>
          <w:sz w:val="26"/>
        </w:rPr>
        <w:t xml:space="preserve"> </w:t>
      </w:r>
      <w:r>
        <w:rPr>
          <w:sz w:val="26"/>
        </w:rPr>
        <w:t>Access</w:t>
      </w:r>
      <w:r>
        <w:rPr>
          <w:spacing w:val="6"/>
          <w:sz w:val="26"/>
        </w:rPr>
        <w:t xml:space="preserve"> </w:t>
      </w:r>
      <w:r>
        <w:rPr>
          <w:sz w:val="26"/>
        </w:rPr>
        <w:t>Point),</w:t>
      </w:r>
      <w:r>
        <w:rPr>
          <w:spacing w:val="1"/>
          <w:sz w:val="26"/>
        </w:rPr>
        <w:t xml:space="preserve"> </w:t>
      </w:r>
      <w:r>
        <w:rPr>
          <w:sz w:val="26"/>
        </w:rPr>
        <w:t>Wireless Bridges such as P2P and P2MP (Point to Point and Point to Multi-</w:t>
      </w:r>
      <w:r>
        <w:rPr>
          <w:spacing w:val="-62"/>
          <w:sz w:val="26"/>
        </w:rPr>
        <w:t xml:space="preserve"> </w:t>
      </w:r>
      <w:r>
        <w:rPr>
          <w:sz w:val="26"/>
        </w:rPr>
        <w:t xml:space="preserve">point) Radios, Switched Ethernet, and </w:t>
      </w:r>
      <w:proofErr w:type="spellStart"/>
      <w:r>
        <w:rPr>
          <w:sz w:val="26"/>
        </w:rPr>
        <w:t>xDSL</w:t>
      </w:r>
      <w:proofErr w:type="spellEnd"/>
      <w:r>
        <w:rPr>
          <w:sz w:val="26"/>
        </w:rPr>
        <w:t xml:space="preserve"> (Digital Subscriber Line)</w:t>
      </w:r>
      <w:r>
        <w:rPr>
          <w:spacing w:val="1"/>
          <w:sz w:val="26"/>
        </w:rPr>
        <w:t xml:space="preserve"> </w:t>
      </w:r>
      <w:r>
        <w:rPr>
          <w:sz w:val="26"/>
        </w:rPr>
        <w:t>modems.</w:t>
      </w:r>
    </w:p>
    <w:p w:rsidRPr="00D07E28" w:rsidR="00081EFC" w:rsidP="0033369D" w:rsidRDefault="00081EFC" w14:paraId="0F68D6B5" w14:textId="77777777">
      <w:pPr>
        <w:pStyle w:val="ListParagraph"/>
        <w:numPr>
          <w:ilvl w:val="1"/>
          <w:numId w:val="10"/>
        </w:numPr>
        <w:tabs>
          <w:tab w:val="left" w:pos="933"/>
          <w:tab w:val="left" w:pos="934"/>
        </w:tabs>
        <w:spacing w:before="1"/>
        <w:ind w:left="934" w:right="226" w:hanging="548"/>
        <w:rPr>
          <w:sz w:val="26"/>
        </w:rPr>
      </w:pPr>
      <w:r>
        <w:rPr>
          <w:sz w:val="26"/>
        </w:rPr>
        <w:t>Taxes,</w:t>
      </w:r>
      <w:r>
        <w:rPr>
          <w:spacing w:val="-4"/>
          <w:sz w:val="26"/>
        </w:rPr>
        <w:t xml:space="preserve"> </w:t>
      </w:r>
      <w:proofErr w:type="gramStart"/>
      <w:r>
        <w:rPr>
          <w:sz w:val="26"/>
        </w:rPr>
        <w:t>shipping</w:t>
      </w:r>
      <w:proofErr w:type="gramEnd"/>
      <w:r>
        <w:rPr>
          <w:spacing w:val="-3"/>
          <w:sz w:val="26"/>
        </w:rPr>
        <w:t xml:space="preserve"> </w:t>
      </w:r>
      <w:r>
        <w:rPr>
          <w:sz w:val="26"/>
        </w:rPr>
        <w:t>and</w:t>
      </w:r>
      <w:r>
        <w:rPr>
          <w:spacing w:val="-3"/>
          <w:sz w:val="26"/>
        </w:rPr>
        <w:t xml:space="preserve"> </w:t>
      </w:r>
      <w:r>
        <w:rPr>
          <w:sz w:val="26"/>
        </w:rPr>
        <w:t>insurance</w:t>
      </w:r>
      <w:r>
        <w:rPr>
          <w:spacing w:val="-4"/>
          <w:sz w:val="26"/>
        </w:rPr>
        <w:t xml:space="preserve"> </w:t>
      </w:r>
      <w:r>
        <w:rPr>
          <w:sz w:val="26"/>
        </w:rPr>
        <w:t>costs</w:t>
      </w:r>
      <w:r>
        <w:rPr>
          <w:spacing w:val="-3"/>
          <w:sz w:val="26"/>
        </w:rPr>
        <w:t xml:space="preserve"> </w:t>
      </w:r>
      <w:r>
        <w:rPr>
          <w:sz w:val="26"/>
        </w:rPr>
        <w:t>(if</w:t>
      </w:r>
      <w:r>
        <w:rPr>
          <w:spacing w:val="-3"/>
          <w:sz w:val="26"/>
        </w:rPr>
        <w:t xml:space="preserve"> </w:t>
      </w:r>
      <w:r>
        <w:rPr>
          <w:sz w:val="26"/>
        </w:rPr>
        <w:t>applicable)</w:t>
      </w:r>
      <w:r>
        <w:rPr>
          <w:spacing w:val="-4"/>
          <w:sz w:val="26"/>
        </w:rPr>
        <w:t xml:space="preserve"> </w:t>
      </w:r>
      <w:r>
        <w:rPr>
          <w:sz w:val="26"/>
        </w:rPr>
        <w:t>that</w:t>
      </w:r>
      <w:r>
        <w:rPr>
          <w:spacing w:val="-3"/>
          <w:sz w:val="26"/>
        </w:rPr>
        <w:t xml:space="preserve"> </w:t>
      </w:r>
      <w:r>
        <w:rPr>
          <w:sz w:val="26"/>
        </w:rPr>
        <w:t>are</w:t>
      </w:r>
      <w:r>
        <w:rPr>
          <w:spacing w:val="-2"/>
          <w:sz w:val="26"/>
        </w:rPr>
        <w:t xml:space="preserve"> </w:t>
      </w:r>
      <w:r>
        <w:rPr>
          <w:sz w:val="26"/>
        </w:rPr>
        <w:t>directly</w:t>
      </w:r>
      <w:r>
        <w:rPr>
          <w:spacing w:val="-4"/>
          <w:sz w:val="26"/>
        </w:rPr>
        <w:t xml:space="preserve"> </w:t>
      </w:r>
      <w:r>
        <w:rPr>
          <w:sz w:val="26"/>
        </w:rPr>
        <w:t>related</w:t>
      </w:r>
      <w:r>
        <w:rPr>
          <w:spacing w:val="-62"/>
          <w:sz w:val="26"/>
        </w:rPr>
        <w:t xml:space="preserve"> </w:t>
      </w:r>
      <w:r>
        <w:rPr>
          <w:sz w:val="26"/>
        </w:rPr>
        <w:t>to</w:t>
      </w:r>
      <w:r>
        <w:rPr>
          <w:spacing w:val="-2"/>
          <w:sz w:val="26"/>
        </w:rPr>
        <w:t xml:space="preserve"> </w:t>
      </w:r>
      <w:r>
        <w:rPr>
          <w:sz w:val="26"/>
        </w:rPr>
        <w:t>broadband</w:t>
      </w:r>
      <w:r>
        <w:rPr>
          <w:spacing w:val="-2"/>
          <w:sz w:val="26"/>
        </w:rPr>
        <w:t xml:space="preserve"> </w:t>
      </w:r>
      <w:r>
        <w:rPr>
          <w:sz w:val="26"/>
        </w:rPr>
        <w:t>network</w:t>
      </w:r>
      <w:r>
        <w:rPr>
          <w:spacing w:val="-1"/>
          <w:sz w:val="26"/>
        </w:rPr>
        <w:t xml:space="preserve"> </w:t>
      </w:r>
      <w:r>
        <w:rPr>
          <w:sz w:val="26"/>
        </w:rPr>
        <w:t>equipment</w:t>
      </w:r>
      <w:r>
        <w:rPr>
          <w:spacing w:val="-2"/>
          <w:sz w:val="26"/>
        </w:rPr>
        <w:t xml:space="preserve"> </w:t>
      </w:r>
      <w:r>
        <w:rPr>
          <w:sz w:val="26"/>
        </w:rPr>
        <w:t>deployed</w:t>
      </w:r>
      <w:r>
        <w:rPr>
          <w:spacing w:val="-2"/>
          <w:sz w:val="26"/>
        </w:rPr>
        <w:t xml:space="preserve"> </w:t>
      </w:r>
      <w:r>
        <w:rPr>
          <w:sz w:val="26"/>
        </w:rPr>
        <w:t>under</w:t>
      </w:r>
      <w:r>
        <w:rPr>
          <w:spacing w:val="1"/>
          <w:sz w:val="26"/>
        </w:rPr>
        <w:t xml:space="preserve"> </w:t>
      </w:r>
      <w:r>
        <w:rPr>
          <w:sz w:val="26"/>
        </w:rPr>
        <w:t>the</w:t>
      </w:r>
      <w:r>
        <w:rPr>
          <w:spacing w:val="-2"/>
          <w:sz w:val="26"/>
        </w:rPr>
        <w:t xml:space="preserve"> </w:t>
      </w:r>
      <w:r>
        <w:rPr>
          <w:sz w:val="26"/>
        </w:rPr>
        <w:t>BPHA.</w:t>
      </w:r>
    </w:p>
    <w:p w:rsidR="00081EFC" w:rsidP="00081EFC" w:rsidRDefault="00081EFC" w14:paraId="4401955A" w14:textId="77777777">
      <w:pPr>
        <w:pStyle w:val="BodyText"/>
        <w:spacing w:before="119"/>
        <w:ind w:left="180" w:right="820"/>
      </w:pPr>
      <w:r>
        <w:t>For wireless networking projects, equipment must meet at least the 802.11AC Wave2 (WiFi-5 wave2)</w:t>
      </w:r>
      <w:r>
        <w:rPr>
          <w:spacing w:val="-62"/>
        </w:rPr>
        <w:t xml:space="preserve"> </w:t>
      </w:r>
      <w:r w:rsidRPr="1D7C24D6">
        <w:rPr>
          <w:rStyle w:val="FootnoteReference"/>
        </w:rPr>
        <w:footnoteReference w:id="179"/>
      </w:r>
      <w:r>
        <w:rPr>
          <w:spacing w:val="-62"/>
        </w:rPr>
        <w:t xml:space="preserve">  </w:t>
      </w:r>
      <w:r>
        <w:t>or 802.11ax standard.</w:t>
      </w:r>
      <w:r>
        <w:rPr>
          <w:rStyle w:val="FootnoteReference"/>
        </w:rPr>
        <w:footnoteReference w:id="180"/>
      </w:r>
      <w:r w:rsidRPr="26BC2664">
        <w:rPr>
          <w:rStyle w:val="FootnoteReference"/>
        </w:rPr>
        <w:t xml:space="preserve">  </w:t>
      </w:r>
      <w:r>
        <w:t>Staff will accept applications that rely on 802.11n technology</w:t>
      </w:r>
      <w:r w:rsidRPr="049644BE">
        <w:rPr>
          <w:rStyle w:val="FootnoteReference"/>
        </w:rPr>
        <w:footnoteReference w:id="181"/>
      </w:r>
      <w:r>
        <w:t xml:space="preserve"> to the extent that the applicant</w:t>
      </w:r>
      <w:r w:rsidDel="113E1980">
        <w:t xml:space="preserve"> can demonstrate that this equipment was purchased prior to the </w:t>
      </w:r>
      <w:r>
        <w:t xml:space="preserve">issue date of the decision adopting these Guidelines.  </w:t>
      </w:r>
      <w:r>
        <w:rPr>
          <w:spacing w:val="-3"/>
        </w:rPr>
        <w:t>For</w:t>
      </w:r>
      <w:r>
        <w:t xml:space="preserve"> </w:t>
      </w:r>
      <w:r>
        <w:rPr>
          <w:spacing w:val="-4"/>
        </w:rPr>
        <w:t>wireline</w:t>
      </w:r>
      <w:r>
        <w:t xml:space="preserve"> </w:t>
      </w:r>
      <w:r>
        <w:rPr>
          <w:spacing w:val="-4"/>
        </w:rPr>
        <w:t>networking</w:t>
      </w:r>
      <w:r>
        <w:t xml:space="preserve"> </w:t>
      </w:r>
      <w:r>
        <w:rPr>
          <w:spacing w:val="-2"/>
        </w:rPr>
        <w:t>projects,</w:t>
      </w:r>
      <w:r>
        <w:t xml:space="preserve"> </w:t>
      </w:r>
      <w:r>
        <w:rPr>
          <w:spacing w:val="-2"/>
        </w:rPr>
        <w:t>equipment</w:t>
      </w:r>
      <w:r>
        <w:t xml:space="preserve"> </w:t>
      </w:r>
      <w:r>
        <w:rPr>
          <w:spacing w:val="-4"/>
        </w:rPr>
        <w:t>must</w:t>
      </w:r>
      <w:r>
        <w:t xml:space="preserve"> </w:t>
      </w:r>
      <w:r>
        <w:rPr>
          <w:spacing w:val="-3"/>
        </w:rPr>
        <w:t>meet</w:t>
      </w:r>
      <w:r>
        <w:t xml:space="preserve"> </w:t>
      </w:r>
      <w:r>
        <w:rPr>
          <w:spacing w:val="-2"/>
        </w:rPr>
        <w:t>at least DOCSIS 3.1,</w:t>
      </w:r>
      <w:r>
        <w:rPr>
          <w:rStyle w:val="FootnoteReference"/>
          <w:spacing w:val="-2"/>
        </w:rPr>
        <w:footnoteReference w:id="182"/>
      </w:r>
      <w:r>
        <w:rPr>
          <w:spacing w:val="-2"/>
        </w:rPr>
        <w:t xml:space="preserve"> VDSL</w:t>
      </w:r>
      <w:r>
        <w:rPr>
          <w:rStyle w:val="FootnoteReference"/>
          <w:spacing w:val="-2"/>
        </w:rPr>
        <w:footnoteReference w:id="183"/>
      </w:r>
      <w:r w:rsidRPr="049644BE">
        <w:rPr>
          <w:spacing w:val="22"/>
          <w:position w:val="6"/>
        </w:rPr>
        <w:t xml:space="preserve"> </w:t>
      </w:r>
      <w:r>
        <w:rPr>
          <w:spacing w:val="-2"/>
        </w:rPr>
        <w:lastRenderedPageBreak/>
        <w:t>or</w:t>
      </w:r>
      <w:r>
        <w:t xml:space="preserve"> </w:t>
      </w:r>
      <w:r>
        <w:rPr>
          <w:spacing w:val="-1"/>
        </w:rPr>
        <w:t>the</w:t>
      </w:r>
      <w:r>
        <w:t xml:space="preserve"> </w:t>
      </w:r>
      <w:r w:rsidRPr="00523785">
        <w:t>100BASE-X</w:t>
      </w:r>
      <w:r>
        <w:t xml:space="preserve"> standard.</w:t>
      </w:r>
      <w:r w:rsidRPr="049644BE">
        <w:rPr>
          <w:rStyle w:val="FootnoteReference"/>
        </w:rPr>
        <w:footnoteReference w:id="184"/>
      </w:r>
      <w:r>
        <w:t xml:space="preserve"> If and when the FCC</w:t>
      </w:r>
      <w:r w:rsidRPr="2DE79F0A">
        <w:rPr>
          <w:rStyle w:val="FootnoteReference"/>
        </w:rPr>
        <w:footnoteReference w:id="185"/>
      </w:r>
      <w:r>
        <w:t xml:space="preserve"> specifies a higher speed benchmark than the current 25 Mbps down and 3 Mbps up statutory definition of advanced telecommunications capability speed benchmark, applications using DSL technology submitted three months after the issue date of that report, and thereafter, </w:t>
      </w:r>
      <w:r w:rsidDel="113E1980">
        <w:t xml:space="preserve">will not be accepted. </w:t>
      </w:r>
    </w:p>
    <w:p w:rsidR="00081EFC" w:rsidP="00081EFC" w:rsidRDefault="00081EFC" w14:paraId="166DE330" w14:textId="77777777">
      <w:pPr>
        <w:pStyle w:val="BodyText"/>
        <w:spacing w:before="119"/>
        <w:ind w:right="820"/>
      </w:pPr>
    </w:p>
    <w:p w:rsidRPr="00676C3A" w:rsidR="00081EFC" w:rsidP="00676C3A" w:rsidRDefault="00081EFC" w14:paraId="10B164E8" w14:textId="77777777">
      <w:pPr>
        <w:pStyle w:val="ListParagraph"/>
        <w:numPr>
          <w:ilvl w:val="0"/>
          <w:numId w:val="10"/>
        </w:numPr>
        <w:tabs>
          <w:tab w:val="left" w:pos="560"/>
        </w:tabs>
        <w:ind w:hanging="361"/>
        <w:rPr>
          <w:b/>
          <w:sz w:val="26"/>
        </w:rPr>
      </w:pPr>
      <w:r w:rsidRPr="00676C3A">
        <w:rPr>
          <w:b/>
          <w:sz w:val="26"/>
        </w:rPr>
        <w:t>Definitions</w:t>
      </w:r>
    </w:p>
    <w:p w:rsidR="00081EFC" w:rsidP="00081EFC" w:rsidRDefault="00081EFC" w14:paraId="0078E22A" w14:textId="77777777">
      <w:pPr>
        <w:pStyle w:val="BodyText"/>
        <w:keepNext/>
        <w:keepLines/>
        <w:rPr>
          <w:rStyle w:val="normaltextrun"/>
          <w:rFonts w:cs="Segoe UI"/>
          <w:shd w:val="clear" w:color="auto" w:fill="FFFFFF"/>
        </w:rPr>
      </w:pPr>
      <w:r w:rsidRPr="00EF02E4">
        <w:rPr>
          <w:rStyle w:val="normaltextrun"/>
          <w:rFonts w:cs="Segoe UI"/>
          <w:shd w:val="clear" w:color="auto" w:fill="FFFFFF"/>
        </w:rPr>
        <w:t>A “dwelling unit” is a structure or the part of a structure that is used as a home, residence, or sleeping place by one person who maintains a household or by two or more persons who maintain a common household.</w:t>
      </w:r>
      <w:r w:rsidRPr="00EF02E4">
        <w:rPr>
          <w:rStyle w:val="contextualspellingandgrammarerror"/>
          <w:rFonts w:cs="Segoe UI"/>
          <w:shd w:val="clear" w:color="auto" w:fill="FFFFFF"/>
        </w:rPr>
        <w:t>  Also</w:t>
      </w:r>
      <w:r w:rsidRPr="00EF02E4">
        <w:rPr>
          <w:rStyle w:val="normaltextrun"/>
          <w:rFonts w:cs="Segoe UI"/>
          <w:shd w:val="clear" w:color="auto" w:fill="FFFFFF"/>
        </w:rPr>
        <w:t xml:space="preserve"> referred to as a residential unit throughout.</w:t>
      </w:r>
    </w:p>
    <w:p w:rsidR="00081EFC" w:rsidP="00081EFC" w:rsidRDefault="00081EFC" w14:paraId="38891C7B" w14:textId="77777777">
      <w:pPr>
        <w:pStyle w:val="BodyText"/>
        <w:spacing w:line="322" w:lineRule="exact"/>
        <w:rPr>
          <w:rStyle w:val="normaltextrun"/>
          <w:rFonts w:cs="Segoe UI"/>
          <w:shd w:val="clear" w:color="auto" w:fill="FFFFFF"/>
        </w:rPr>
      </w:pPr>
    </w:p>
    <w:p w:rsidRPr="00EF02E4" w:rsidR="00081EFC" w:rsidP="00081EFC" w:rsidRDefault="00081EFC" w14:paraId="7F166F80" w14:textId="737D3F22">
      <w:pPr>
        <w:pStyle w:val="BodyText"/>
        <w:spacing w:line="322" w:lineRule="exact"/>
        <w:rPr>
          <w:rStyle w:val="normaltextrun"/>
          <w:shd w:val="clear" w:color="auto" w:fill="FFFFFF"/>
        </w:rPr>
      </w:pPr>
      <w:r>
        <w:rPr>
          <w:rStyle w:val="normaltextrun"/>
          <w:rFonts w:cs="Segoe UI"/>
          <w:shd w:val="clear" w:color="auto" w:fill="FFFFFF"/>
        </w:rPr>
        <w:t xml:space="preserve">“Farmworker housing” is housing that is consistent with the definition of “farmworker housing” </w:t>
      </w:r>
      <w:r w:rsidRPr="00B27951">
        <w:t xml:space="preserve">set forth in California Health and Safety Code </w:t>
      </w:r>
      <w:r w:rsidR="00FF6FF3">
        <w:t>S</w:t>
      </w:r>
      <w:r w:rsidRPr="00B27951">
        <w:t>ection 50199.7 (h), which includes the requirement that “farmworker housing” means housing in which at least 50 percent of the units are available to, and occupied by, farmworkers and their households.</w:t>
      </w:r>
      <w:r>
        <w:rPr>
          <w:u w:val="single"/>
        </w:rPr>
        <w:t xml:space="preserve">  </w:t>
      </w:r>
    </w:p>
    <w:p w:rsidR="00081EFC" w:rsidP="00081EFC" w:rsidRDefault="00081EFC" w14:paraId="1AC07E7C" w14:textId="77777777">
      <w:pPr>
        <w:pStyle w:val="BodyText"/>
        <w:spacing w:line="322" w:lineRule="exact"/>
        <w:rPr>
          <w:rStyle w:val="normaltextrun"/>
          <w:color w:val="3333FF"/>
          <w:u w:val="single"/>
          <w:shd w:val="clear" w:color="auto" w:fill="FFFFFF"/>
        </w:rPr>
      </w:pPr>
    </w:p>
    <w:p w:rsidR="00081EFC" w:rsidP="00081EFC" w:rsidRDefault="00081EFC" w14:paraId="65C10D9F" w14:textId="77777777">
      <w:pPr>
        <w:pStyle w:val="BodyText"/>
        <w:spacing w:line="322" w:lineRule="exact"/>
        <w:rPr>
          <w:rStyle w:val="normaltextrun"/>
          <w:color w:val="000000"/>
          <w:shd w:val="clear" w:color="auto" w:fill="FFFFFF"/>
        </w:rPr>
      </w:pPr>
      <w:r w:rsidRPr="00837ACE">
        <w:rPr>
          <w:rStyle w:val="normaltextrun"/>
          <w:shd w:val="clear" w:color="auto" w:fill="FFFFFF"/>
        </w:rPr>
        <w:t xml:space="preserve">“Free broadband service” </w:t>
      </w:r>
      <w:r w:rsidRPr="00837ACE">
        <w:rPr>
          <w:rStyle w:val="normaltextrun"/>
          <w:color w:val="000000"/>
          <w:shd w:val="clear" w:color="auto" w:fill="FFFFFF"/>
        </w:rPr>
        <w:t>means</w:t>
      </w:r>
      <w:r>
        <w:rPr>
          <w:rStyle w:val="normaltextrun"/>
          <w:color w:val="000000"/>
          <w:shd w:val="clear" w:color="auto" w:fill="FFFFFF"/>
        </w:rPr>
        <w:t xml:space="preserve"> broadband service that meets or exceeds state standards for the residents of a low-income community, and for which residents of the low-income community do not pay out-of-pocket costs, and provided that all residents of the low-income community have access to that service.</w:t>
      </w:r>
    </w:p>
    <w:p w:rsidRPr="007C7B15" w:rsidR="00081EFC" w:rsidP="00081EFC" w:rsidRDefault="00081EFC" w14:paraId="3A347DE7" w14:textId="77777777">
      <w:pPr>
        <w:pStyle w:val="BodyText"/>
        <w:spacing w:line="322" w:lineRule="exact"/>
        <w:rPr>
          <w:color w:val="3333FF"/>
          <w:u w:val="single"/>
          <w:shd w:val="clear" w:color="auto" w:fill="FFFFFF"/>
        </w:rPr>
      </w:pPr>
    </w:p>
    <w:p w:rsidR="00081EFC" w:rsidP="00394667" w:rsidRDefault="00081EFC" w14:paraId="0ACEEB66" w14:textId="77777777">
      <w:pPr>
        <w:spacing w:line="240" w:lineRule="auto"/>
        <w:ind w:firstLine="0"/>
        <w:rPr>
          <w:rStyle w:val="normaltextrun"/>
          <w:rFonts w:eastAsia="Book Antiqua" w:cs="Book Antiqua"/>
          <w:szCs w:val="26"/>
          <w:shd w:val="clear" w:color="auto" w:fill="FFFFFF"/>
        </w:rPr>
      </w:pPr>
      <w:r w:rsidRPr="00B26B40">
        <w:rPr>
          <w:rStyle w:val="normaltextrun"/>
          <w:szCs w:val="26"/>
          <w:shd w:val="clear" w:color="auto" w:fill="FFFFFF"/>
        </w:rPr>
        <w:t>“Inside Wiring” means telephone wiring inside a residential unit or multi-dwelling unit (MDU) building.</w:t>
      </w:r>
      <w:r>
        <w:rPr>
          <w:rStyle w:val="normaltextrun"/>
          <w:szCs w:val="26"/>
          <w:shd w:val="clear" w:color="auto" w:fill="FFFFFF"/>
        </w:rPr>
        <w:t xml:space="preserve">  To the extent that this definition is applied to a </w:t>
      </w:r>
      <w:proofErr w:type="spellStart"/>
      <w:r>
        <w:rPr>
          <w:rStyle w:val="normaltextrun"/>
          <w:szCs w:val="26"/>
          <w:shd w:val="clear" w:color="auto" w:fill="FFFFFF"/>
        </w:rPr>
        <w:t>mobilehome</w:t>
      </w:r>
      <w:proofErr w:type="spellEnd"/>
      <w:r>
        <w:rPr>
          <w:rStyle w:val="normaltextrun"/>
          <w:szCs w:val="26"/>
          <w:shd w:val="clear" w:color="auto" w:fill="FFFFFF"/>
        </w:rPr>
        <w:t xml:space="preserve"> park or other development that may have resident-owned units, this inside wiring definition excludes any inside telephone wiring installed in a </w:t>
      </w:r>
      <w:r>
        <w:rPr>
          <w:rStyle w:val="normaltextrun"/>
          <w:szCs w:val="26"/>
          <w:shd w:val="clear" w:color="auto" w:fill="FFFFFF"/>
        </w:rPr>
        <w:lastRenderedPageBreak/>
        <w:t xml:space="preserve">residential unit or MDU building that is not owned by the </w:t>
      </w:r>
      <w:proofErr w:type="spellStart"/>
      <w:r>
        <w:rPr>
          <w:rStyle w:val="normaltextrun"/>
          <w:szCs w:val="26"/>
          <w:shd w:val="clear" w:color="auto" w:fill="FFFFFF"/>
        </w:rPr>
        <w:t>mobilehome</w:t>
      </w:r>
      <w:proofErr w:type="spellEnd"/>
      <w:r>
        <w:rPr>
          <w:rStyle w:val="normaltextrun"/>
          <w:szCs w:val="26"/>
          <w:shd w:val="clear" w:color="auto" w:fill="FFFFFF"/>
        </w:rPr>
        <w:t xml:space="preserve"> park or other development.</w:t>
      </w:r>
    </w:p>
    <w:p w:rsidR="00FB5038" w:rsidP="00FB5038" w:rsidRDefault="00FB5038" w14:paraId="601BAC7F" w14:textId="77777777">
      <w:pPr>
        <w:spacing w:line="240" w:lineRule="auto"/>
        <w:ind w:firstLine="0"/>
        <w:rPr>
          <w:rStyle w:val="normaltextrun"/>
          <w:szCs w:val="26"/>
          <w:shd w:val="clear" w:color="auto" w:fill="FFFFFF"/>
        </w:rPr>
      </w:pPr>
    </w:p>
    <w:p w:rsidR="00081EFC" w:rsidP="00394667" w:rsidRDefault="00081EFC" w14:paraId="3F2971C9" w14:textId="537F9248">
      <w:pPr>
        <w:spacing w:line="240" w:lineRule="auto"/>
        <w:ind w:firstLine="0"/>
        <w:rPr>
          <w:rStyle w:val="normaltextrun"/>
          <w:szCs w:val="26"/>
          <w:shd w:val="clear" w:color="auto" w:fill="FFFFFF"/>
        </w:rPr>
      </w:pPr>
      <w:r>
        <w:rPr>
          <w:rStyle w:val="normaltextrun"/>
          <w:szCs w:val="26"/>
          <w:shd w:val="clear" w:color="auto" w:fill="FFFFFF"/>
        </w:rPr>
        <w:t>A “low-income community” is a publicly supported housing development or farmworker housing, as defined herein.</w:t>
      </w:r>
    </w:p>
    <w:p w:rsidR="00FB5038" w:rsidP="00FB5038" w:rsidRDefault="00FB5038" w14:paraId="29D934EF" w14:textId="77777777">
      <w:pPr>
        <w:spacing w:line="240" w:lineRule="auto"/>
        <w:ind w:firstLine="0"/>
        <w:rPr>
          <w:rStyle w:val="normaltextrun"/>
          <w:szCs w:val="26"/>
          <w:shd w:val="clear" w:color="auto" w:fill="FFFFFF"/>
        </w:rPr>
      </w:pPr>
    </w:p>
    <w:p w:rsidR="00081EFC" w:rsidP="00394667" w:rsidRDefault="00081EFC" w14:paraId="33FEFBAB" w14:textId="6F339B49">
      <w:pPr>
        <w:spacing w:line="240" w:lineRule="auto"/>
        <w:ind w:firstLine="0"/>
        <w:rPr>
          <w:rStyle w:val="normaltextrun"/>
          <w:szCs w:val="26"/>
          <w:shd w:val="clear" w:color="auto" w:fill="FFFFFF"/>
        </w:rPr>
      </w:pPr>
      <w:r>
        <w:rPr>
          <w:rStyle w:val="normaltextrun"/>
          <w:szCs w:val="26"/>
          <w:shd w:val="clear" w:color="auto" w:fill="FFFFFF"/>
        </w:rPr>
        <w:t>A “minimum point of entry” (MPOE) is either the closest practicable point to where wiring crosses a property line or the closet practicable point to where the wiring enters a MDU building or buildings.</w:t>
      </w:r>
    </w:p>
    <w:p w:rsidR="00FB5038" w:rsidP="00FB5038" w:rsidRDefault="00FB5038" w14:paraId="00419988" w14:textId="77777777">
      <w:pPr>
        <w:spacing w:line="240" w:lineRule="auto"/>
        <w:ind w:firstLine="0"/>
        <w:rPr>
          <w:szCs w:val="26"/>
        </w:rPr>
      </w:pPr>
    </w:p>
    <w:p w:rsidRPr="00971731" w:rsidR="00081EFC" w:rsidP="00394667" w:rsidRDefault="00081EFC" w14:paraId="5809AC2E" w14:textId="1A38632E">
      <w:pPr>
        <w:spacing w:line="240" w:lineRule="auto"/>
        <w:ind w:firstLine="0"/>
        <w:rPr>
          <w:szCs w:val="26"/>
        </w:rPr>
      </w:pPr>
      <w:r>
        <w:rPr>
          <w:szCs w:val="26"/>
        </w:rPr>
        <w:t xml:space="preserve">“Project” </w:t>
      </w:r>
      <w:r w:rsidRPr="00971731">
        <w:rPr>
          <w:szCs w:val="26"/>
        </w:rPr>
        <w:t xml:space="preserve">means the work to connect a broadband network to a low-income community, as defined herein, that is requesting or has been authorized funds for a grant under one application from the BPHA. </w:t>
      </w:r>
    </w:p>
    <w:p w:rsidR="00A92CA7" w:rsidP="00394667" w:rsidRDefault="00A92CA7" w14:paraId="3A43B1FA" w14:textId="77777777">
      <w:pPr>
        <w:spacing w:line="240" w:lineRule="auto"/>
        <w:ind w:firstLine="0"/>
        <w:rPr>
          <w:szCs w:val="26"/>
        </w:rPr>
      </w:pPr>
    </w:p>
    <w:p w:rsidRPr="00971731" w:rsidR="00081EFC" w:rsidP="00394667" w:rsidRDefault="00081EFC" w14:paraId="061F517B" w14:textId="320D10A1">
      <w:pPr>
        <w:spacing w:line="240" w:lineRule="auto"/>
        <w:ind w:firstLine="0"/>
        <w:rPr>
          <w:szCs w:val="26"/>
        </w:rPr>
      </w:pPr>
      <w:r w:rsidRPr="00971731">
        <w:rPr>
          <w:szCs w:val="26"/>
        </w:rPr>
        <w:t>A “service connection” means wire or cable or wireless transmission equipment, and associated supporting structure, from the point of connection from the provider’s distribution facilities to the customer premises network interface device.  A service connection serves only the property on which it is located.</w:t>
      </w:r>
    </w:p>
    <w:p w:rsidR="00703F8E" w:rsidP="00703F8E" w:rsidRDefault="00703F8E" w14:paraId="6F3C0038" w14:textId="77777777">
      <w:pPr>
        <w:spacing w:line="240" w:lineRule="auto"/>
        <w:ind w:firstLine="0"/>
        <w:rPr>
          <w:szCs w:val="26"/>
        </w:rPr>
      </w:pPr>
    </w:p>
    <w:p w:rsidR="00081EFC" w:rsidP="00394667" w:rsidRDefault="00081EFC" w14:paraId="7A859D51" w14:textId="1FFAAFEE">
      <w:pPr>
        <w:spacing w:line="240" w:lineRule="auto"/>
        <w:ind w:firstLine="0"/>
        <w:rPr>
          <w:szCs w:val="26"/>
        </w:rPr>
      </w:pPr>
      <w:r w:rsidRPr="693A4047">
        <w:t xml:space="preserve">For the purposes of the BPHA, the “state standard” for broadband service is a network that is able to provide a minimum of 25 Mbps download and 3 Mbps upload service for an average user during </w:t>
      </w:r>
      <w:r w:rsidRPr="1E2F67BB">
        <w:rPr>
          <w:rFonts w:eastAsia="Book Antiqua" w:cs="Book Antiqua"/>
          <w:color w:val="000000" w:themeColor="text1"/>
          <w:sz w:val="25"/>
          <w:szCs w:val="25"/>
        </w:rPr>
        <w:t>peak and off-peak hours</w:t>
      </w:r>
      <w:r w:rsidRPr="049644BE">
        <w:rPr>
          <w:szCs w:val="26"/>
        </w:rPr>
        <w:t>.</w:t>
      </w:r>
      <w:r w:rsidRPr="769BBAF9">
        <w:rPr>
          <w:rStyle w:val="FootnoteReference"/>
        </w:rPr>
        <w:footnoteReference w:id="186"/>
      </w:r>
      <w:r w:rsidRPr="170A57B9">
        <w:rPr>
          <w:szCs w:val="26"/>
        </w:rPr>
        <w:t xml:space="preserve">  </w:t>
      </w:r>
      <w:r w:rsidRPr="693A4047">
        <w:t>If and when</w:t>
      </w:r>
      <w:r w:rsidRPr="170A57B9">
        <w:rPr>
          <w:szCs w:val="26"/>
        </w:rPr>
        <w:t xml:space="preserve"> </w:t>
      </w:r>
      <w:r w:rsidRPr="693A4047">
        <w:t>the Federal Communications Commission's annual broadband deployment report</w:t>
      </w:r>
      <w:r w:rsidRPr="049644BE">
        <w:rPr>
          <w:rStyle w:val="FootnoteReference"/>
        </w:rPr>
        <w:footnoteReference w:id="187"/>
      </w:r>
      <w:r w:rsidRPr="693A4047">
        <w:t xml:space="preserve"> specifies a higher speed benchmark than the current 25 Mbps down and 3 Mbps up statutory definition of advanced telecommunications capability speed benchmark, applications submitted three months after the issue date of that report, and thereafter, must, at minimum,</w:t>
      </w:r>
      <w:r w:rsidRPr="049644BE">
        <w:rPr>
          <w:szCs w:val="26"/>
        </w:rPr>
        <w:t xml:space="preserve"> </w:t>
      </w:r>
      <w:r w:rsidRPr="693A4047">
        <w:t>meet the speed benchmark specified by that report as the "state standard".</w:t>
      </w:r>
    </w:p>
    <w:p w:rsidR="00703F8E" w:rsidP="00703F8E" w:rsidRDefault="00703F8E" w14:paraId="256AC0F3" w14:textId="77777777">
      <w:pPr>
        <w:spacing w:line="240" w:lineRule="auto"/>
        <w:ind w:firstLine="0"/>
        <w:rPr>
          <w:szCs w:val="26"/>
        </w:rPr>
      </w:pPr>
    </w:p>
    <w:p w:rsidR="00081EFC" w:rsidP="00394667" w:rsidRDefault="00081EFC" w14:paraId="72F1311F" w14:textId="27F2B732">
      <w:pPr>
        <w:spacing w:line="240" w:lineRule="auto"/>
        <w:ind w:firstLine="0"/>
        <w:rPr>
          <w:szCs w:val="26"/>
        </w:rPr>
      </w:pPr>
      <w:r w:rsidRPr="00971731">
        <w:rPr>
          <w:szCs w:val="26"/>
        </w:rPr>
        <w:lastRenderedPageBreak/>
        <w:t>“Publicly supported” means either that the housing development receives financial assistance from the United States Department of Housing and Urban Development (HUD) pursuant to an annual contribution contract or is financed with low-income housing tax credits, tax-exempt mortgage revenue bonds, general obligation bonds, or local, state, or federal loans or grants and the rents of the occupants, who are lower-income households,</w:t>
      </w:r>
      <w:r>
        <w:rPr>
          <w:szCs w:val="26"/>
        </w:rPr>
        <w:t xml:space="preserve"> </w:t>
      </w:r>
      <w:r w:rsidRPr="00E715E2">
        <w:rPr>
          <w:szCs w:val="26"/>
        </w:rPr>
        <w:t>do not exceed those prescribed by deed restrictions or regulatory agreements pursuant to the terms of the financing or financial assistance.</w:t>
      </w:r>
    </w:p>
    <w:p w:rsidR="00703F8E" w:rsidP="00081EFC" w:rsidRDefault="00703F8E" w14:paraId="594FA914" w14:textId="77777777">
      <w:pPr>
        <w:pStyle w:val="BodyText"/>
        <w:spacing w:line="322" w:lineRule="exact"/>
      </w:pPr>
    </w:p>
    <w:p w:rsidRPr="00403D7D" w:rsidR="00081EFC" w:rsidP="00081EFC" w:rsidRDefault="00081EFC" w14:paraId="29F6667A" w14:textId="55C74930">
      <w:pPr>
        <w:pStyle w:val="BodyText"/>
        <w:spacing w:line="322" w:lineRule="exact"/>
      </w:pPr>
      <w:r w:rsidRPr="00403D7D">
        <w:t>“Publicly</w:t>
      </w:r>
      <w:r w:rsidRPr="00403D7D">
        <w:rPr>
          <w:spacing w:val="-5"/>
        </w:rPr>
        <w:t xml:space="preserve"> </w:t>
      </w:r>
      <w:r w:rsidRPr="00403D7D">
        <w:t>supported</w:t>
      </w:r>
      <w:r w:rsidRPr="00403D7D">
        <w:rPr>
          <w:spacing w:val="-2"/>
        </w:rPr>
        <w:t xml:space="preserve"> </w:t>
      </w:r>
      <w:r>
        <w:t>housing development</w:t>
      </w:r>
      <w:r w:rsidRPr="00403D7D">
        <w:t>”</w:t>
      </w:r>
      <w:r w:rsidRPr="00403D7D">
        <w:rPr>
          <w:spacing w:val="-4"/>
        </w:rPr>
        <w:t xml:space="preserve"> </w:t>
      </w:r>
      <w:r w:rsidRPr="00403D7D">
        <w:t>is</w:t>
      </w:r>
      <w:r w:rsidRPr="00403D7D">
        <w:rPr>
          <w:spacing w:val="-2"/>
        </w:rPr>
        <w:t xml:space="preserve"> </w:t>
      </w:r>
      <w:r w:rsidRPr="00403D7D">
        <w:t>a</w:t>
      </w:r>
      <w:r w:rsidRPr="00403D7D">
        <w:rPr>
          <w:spacing w:val="-4"/>
        </w:rPr>
        <w:t xml:space="preserve"> </w:t>
      </w:r>
      <w:r w:rsidRPr="00403D7D">
        <w:t>publicly</w:t>
      </w:r>
      <w:r w:rsidRPr="00403D7D">
        <w:rPr>
          <w:spacing w:val="-5"/>
        </w:rPr>
        <w:t xml:space="preserve"> </w:t>
      </w:r>
      <w:r w:rsidRPr="00403D7D">
        <w:t>s</w:t>
      </w:r>
      <w:r>
        <w:t>upported</w:t>
      </w:r>
      <w:r w:rsidRPr="00403D7D">
        <w:rPr>
          <w:spacing w:val="-4"/>
        </w:rPr>
        <w:t xml:space="preserve"> </w:t>
      </w:r>
      <w:r>
        <w:t xml:space="preserve">multi-unit </w:t>
      </w:r>
      <w:r w:rsidRPr="00403D7D">
        <w:t>housing</w:t>
      </w:r>
      <w:r w:rsidRPr="00403D7D">
        <w:rPr>
          <w:spacing w:val="-3"/>
        </w:rPr>
        <w:t xml:space="preserve"> </w:t>
      </w:r>
      <w:r w:rsidRPr="00403D7D">
        <w:t>development</w:t>
      </w:r>
      <w:r>
        <w:t xml:space="preserve"> </w:t>
      </w:r>
      <w:r w:rsidRPr="00403D7D">
        <w:t>that</w:t>
      </w:r>
      <w:r w:rsidRPr="00403D7D">
        <w:rPr>
          <w:spacing w:val="-2"/>
        </w:rPr>
        <w:t xml:space="preserve"> </w:t>
      </w:r>
      <w:r w:rsidRPr="00403D7D">
        <w:t>is</w:t>
      </w:r>
      <w:r w:rsidRPr="00403D7D">
        <w:rPr>
          <w:spacing w:val="-5"/>
        </w:rPr>
        <w:t xml:space="preserve"> </w:t>
      </w:r>
      <w:r w:rsidRPr="00403D7D">
        <w:t>wholly</w:t>
      </w:r>
      <w:r w:rsidRPr="00403D7D">
        <w:rPr>
          <w:spacing w:val="-4"/>
        </w:rPr>
        <w:t xml:space="preserve"> </w:t>
      </w:r>
      <w:r w:rsidRPr="00403D7D">
        <w:t>owned</w:t>
      </w:r>
      <w:r w:rsidRPr="00403D7D">
        <w:rPr>
          <w:spacing w:val="-4"/>
        </w:rPr>
        <w:t xml:space="preserve"> </w:t>
      </w:r>
      <w:r w:rsidRPr="00403D7D">
        <w:t>by</w:t>
      </w:r>
      <w:r w:rsidRPr="00403D7D">
        <w:rPr>
          <w:spacing w:val="-4"/>
        </w:rPr>
        <w:t xml:space="preserve"> </w:t>
      </w:r>
      <w:r w:rsidRPr="00403D7D">
        <w:t>either</w:t>
      </w:r>
      <w:r w:rsidRPr="00403D7D">
        <w:rPr>
          <w:spacing w:val="-3"/>
        </w:rPr>
        <w:t xml:space="preserve"> </w:t>
      </w:r>
      <w:r w:rsidRPr="00403D7D">
        <w:t>of</w:t>
      </w:r>
      <w:r w:rsidRPr="00403D7D">
        <w:rPr>
          <w:spacing w:val="-2"/>
        </w:rPr>
        <w:t xml:space="preserve"> </w:t>
      </w:r>
      <w:r w:rsidRPr="00403D7D">
        <w:t>the</w:t>
      </w:r>
      <w:r w:rsidRPr="00403D7D">
        <w:rPr>
          <w:spacing w:val="-4"/>
        </w:rPr>
        <w:t xml:space="preserve"> </w:t>
      </w:r>
      <w:r w:rsidRPr="00403D7D">
        <w:t>following:</w:t>
      </w:r>
    </w:p>
    <w:p w:rsidRPr="00403D7D" w:rsidR="00081EFC" w:rsidP="00081EFC" w:rsidRDefault="00081EFC" w14:paraId="6CC625AB" w14:textId="77777777">
      <w:pPr>
        <w:pStyle w:val="BodyText"/>
        <w:spacing w:line="322" w:lineRule="exact"/>
        <w:ind w:left="199"/>
      </w:pPr>
    </w:p>
    <w:p w:rsidRPr="00403D7D" w:rsidR="00081EFC" w:rsidP="0033369D" w:rsidRDefault="00081EFC" w14:paraId="089FF8AD" w14:textId="77777777">
      <w:pPr>
        <w:pStyle w:val="ListParagraph"/>
        <w:numPr>
          <w:ilvl w:val="0"/>
          <w:numId w:val="11"/>
        </w:numPr>
        <w:tabs>
          <w:tab w:val="left" w:pos="1232"/>
        </w:tabs>
        <w:spacing w:before="1"/>
        <w:ind w:right="154" w:firstLine="0"/>
        <w:rPr>
          <w:sz w:val="26"/>
        </w:rPr>
      </w:pPr>
      <w:r w:rsidRPr="00403D7D">
        <w:rPr>
          <w:sz w:val="26"/>
        </w:rPr>
        <w:t>A public housing agency that has been chartered by the state, or by any</w:t>
      </w:r>
      <w:r w:rsidRPr="00403D7D">
        <w:rPr>
          <w:spacing w:val="1"/>
          <w:sz w:val="26"/>
        </w:rPr>
        <w:t xml:space="preserve"> </w:t>
      </w:r>
      <w:r w:rsidRPr="00403D7D">
        <w:rPr>
          <w:sz w:val="26"/>
        </w:rPr>
        <w:t>city</w:t>
      </w:r>
      <w:r w:rsidRPr="00403D7D">
        <w:rPr>
          <w:spacing w:val="-3"/>
          <w:sz w:val="26"/>
        </w:rPr>
        <w:t xml:space="preserve"> </w:t>
      </w:r>
      <w:r w:rsidRPr="00403D7D">
        <w:rPr>
          <w:sz w:val="26"/>
        </w:rPr>
        <w:t>or</w:t>
      </w:r>
      <w:r w:rsidRPr="00403D7D">
        <w:rPr>
          <w:spacing w:val="-3"/>
          <w:sz w:val="26"/>
        </w:rPr>
        <w:t xml:space="preserve"> </w:t>
      </w:r>
      <w:r w:rsidRPr="00403D7D">
        <w:rPr>
          <w:sz w:val="26"/>
        </w:rPr>
        <w:t>county</w:t>
      </w:r>
      <w:r w:rsidRPr="00403D7D">
        <w:rPr>
          <w:spacing w:val="-3"/>
          <w:sz w:val="26"/>
        </w:rPr>
        <w:t xml:space="preserve"> </w:t>
      </w:r>
      <w:r w:rsidRPr="00403D7D">
        <w:rPr>
          <w:sz w:val="26"/>
        </w:rPr>
        <w:t>in the state.</w:t>
      </w:r>
    </w:p>
    <w:p w:rsidRPr="00F9177B" w:rsidR="00081EFC" w:rsidP="00081EFC" w:rsidRDefault="00081EFC" w14:paraId="7C13B985" w14:textId="77777777">
      <w:pPr>
        <w:pStyle w:val="BodyText"/>
        <w:spacing w:before="2"/>
        <w:rPr>
          <w:sz w:val="13"/>
          <w:szCs w:val="13"/>
        </w:rPr>
      </w:pPr>
    </w:p>
    <w:p w:rsidR="00081EFC" w:rsidP="0033369D" w:rsidRDefault="00081EFC" w14:paraId="1BC117C2" w14:textId="77777777">
      <w:pPr>
        <w:pStyle w:val="ListParagraph"/>
        <w:numPr>
          <w:ilvl w:val="0"/>
          <w:numId w:val="11"/>
        </w:numPr>
        <w:tabs>
          <w:tab w:val="left" w:pos="1309"/>
        </w:tabs>
        <w:ind w:right="215" w:firstLine="0"/>
        <w:rPr>
          <w:sz w:val="26"/>
          <w:szCs w:val="26"/>
        </w:rPr>
      </w:pPr>
      <w:r w:rsidRPr="049644BE">
        <w:rPr>
          <w:sz w:val="26"/>
          <w:szCs w:val="26"/>
        </w:rPr>
        <w:t>An incorporated nonprofit organization as described in Section 501</w:t>
      </w:r>
      <w:r w:rsidRPr="049644BE">
        <w:rPr>
          <w:spacing w:val="1"/>
          <w:sz w:val="26"/>
          <w:szCs w:val="26"/>
        </w:rPr>
        <w:t xml:space="preserve"> </w:t>
      </w:r>
      <w:r w:rsidRPr="049644BE">
        <w:rPr>
          <w:sz w:val="26"/>
          <w:szCs w:val="26"/>
        </w:rPr>
        <w:t>(c)(3)</w:t>
      </w:r>
      <w:r w:rsidRPr="049644BE">
        <w:rPr>
          <w:spacing w:val="-3"/>
          <w:sz w:val="26"/>
          <w:szCs w:val="26"/>
        </w:rPr>
        <w:t xml:space="preserve"> </w:t>
      </w:r>
      <w:r w:rsidRPr="049644BE">
        <w:rPr>
          <w:sz w:val="26"/>
          <w:szCs w:val="26"/>
        </w:rPr>
        <w:t>of</w:t>
      </w:r>
      <w:r w:rsidRPr="049644BE">
        <w:rPr>
          <w:spacing w:val="-2"/>
          <w:sz w:val="26"/>
          <w:szCs w:val="26"/>
        </w:rPr>
        <w:t xml:space="preserve"> </w:t>
      </w:r>
      <w:r w:rsidRPr="049644BE">
        <w:rPr>
          <w:sz w:val="26"/>
          <w:szCs w:val="26"/>
        </w:rPr>
        <w:t>the Internal</w:t>
      </w:r>
      <w:r w:rsidRPr="049644BE">
        <w:rPr>
          <w:spacing w:val="-1"/>
          <w:sz w:val="26"/>
          <w:szCs w:val="26"/>
        </w:rPr>
        <w:t xml:space="preserve"> </w:t>
      </w:r>
      <w:r w:rsidRPr="049644BE">
        <w:rPr>
          <w:sz w:val="26"/>
          <w:szCs w:val="26"/>
        </w:rPr>
        <w:t>Revenue</w:t>
      </w:r>
      <w:r w:rsidRPr="049644BE">
        <w:rPr>
          <w:spacing w:val="-2"/>
          <w:sz w:val="26"/>
          <w:szCs w:val="26"/>
        </w:rPr>
        <w:t xml:space="preserve"> </w:t>
      </w:r>
      <w:r w:rsidRPr="049644BE">
        <w:rPr>
          <w:sz w:val="26"/>
          <w:szCs w:val="26"/>
        </w:rPr>
        <w:t>Code</w:t>
      </w:r>
      <w:r w:rsidRPr="049644BE">
        <w:rPr>
          <w:spacing w:val="-2"/>
          <w:sz w:val="26"/>
          <w:szCs w:val="26"/>
        </w:rPr>
        <w:t xml:space="preserve"> </w:t>
      </w:r>
      <w:r w:rsidRPr="049644BE">
        <w:rPr>
          <w:sz w:val="26"/>
          <w:szCs w:val="26"/>
        </w:rPr>
        <w:t>(26 U.S.C.</w:t>
      </w:r>
      <w:r w:rsidRPr="049644BE">
        <w:rPr>
          <w:spacing w:val="-3"/>
          <w:sz w:val="26"/>
          <w:szCs w:val="26"/>
        </w:rPr>
        <w:t xml:space="preserve"> </w:t>
      </w:r>
      <w:r w:rsidRPr="049644BE">
        <w:rPr>
          <w:sz w:val="26"/>
          <w:szCs w:val="26"/>
        </w:rPr>
        <w:t>Sec.</w:t>
      </w:r>
      <w:r w:rsidRPr="049644BE">
        <w:rPr>
          <w:spacing w:val="-2"/>
          <w:sz w:val="26"/>
          <w:szCs w:val="26"/>
        </w:rPr>
        <w:t xml:space="preserve"> </w:t>
      </w:r>
      <w:r w:rsidRPr="049644BE">
        <w:rPr>
          <w:sz w:val="26"/>
          <w:szCs w:val="26"/>
        </w:rPr>
        <w:t>501(c)(3))</w:t>
      </w:r>
      <w:r w:rsidRPr="049644BE">
        <w:rPr>
          <w:rStyle w:val="FootnoteReference"/>
        </w:rPr>
        <w:footnoteReference w:id="188"/>
      </w:r>
      <w:r w:rsidRPr="049644BE">
        <w:rPr>
          <w:sz w:val="26"/>
          <w:szCs w:val="26"/>
        </w:rPr>
        <w:t xml:space="preserve"> that</w:t>
      </w:r>
      <w:r w:rsidRPr="049644BE">
        <w:rPr>
          <w:spacing w:val="-3"/>
          <w:sz w:val="26"/>
          <w:szCs w:val="26"/>
        </w:rPr>
        <w:t xml:space="preserve"> </w:t>
      </w:r>
      <w:r w:rsidRPr="049644BE">
        <w:rPr>
          <w:sz w:val="26"/>
          <w:szCs w:val="26"/>
        </w:rPr>
        <w:t>is</w:t>
      </w:r>
      <w:r w:rsidRPr="049644BE">
        <w:rPr>
          <w:spacing w:val="-2"/>
          <w:sz w:val="26"/>
          <w:szCs w:val="26"/>
        </w:rPr>
        <w:t xml:space="preserve"> </w:t>
      </w:r>
      <w:r w:rsidRPr="049644BE">
        <w:rPr>
          <w:sz w:val="26"/>
          <w:szCs w:val="26"/>
        </w:rPr>
        <w:t>exempt</w:t>
      </w:r>
      <w:r w:rsidRPr="049644BE">
        <w:rPr>
          <w:spacing w:val="-62"/>
          <w:sz w:val="26"/>
          <w:szCs w:val="26"/>
        </w:rPr>
        <w:t xml:space="preserve"> </w:t>
      </w:r>
      <w:r w:rsidRPr="049644BE">
        <w:rPr>
          <w:sz w:val="26"/>
          <w:szCs w:val="26"/>
        </w:rPr>
        <w:t>from taxation under Section 501 (a) of that code (16 U.S.C. Sec. 501(a)) and</w:t>
      </w:r>
      <w:r w:rsidRPr="049644BE">
        <w:rPr>
          <w:spacing w:val="-62"/>
          <w:sz w:val="26"/>
          <w:szCs w:val="26"/>
        </w:rPr>
        <w:t xml:space="preserve"> </w:t>
      </w:r>
      <w:r w:rsidRPr="049644BE">
        <w:rPr>
          <w:sz w:val="26"/>
          <w:szCs w:val="26"/>
        </w:rPr>
        <w:t>that has received public funding to subsidize the construction or</w:t>
      </w:r>
      <w:r w:rsidRPr="049644BE">
        <w:rPr>
          <w:spacing w:val="1"/>
          <w:sz w:val="26"/>
          <w:szCs w:val="26"/>
        </w:rPr>
        <w:t xml:space="preserve"> </w:t>
      </w:r>
      <w:r w:rsidRPr="049644BE">
        <w:rPr>
          <w:sz w:val="26"/>
          <w:szCs w:val="26"/>
        </w:rPr>
        <w:t>maintenance of housing occupied by residents whose annual income</w:t>
      </w:r>
      <w:r w:rsidRPr="049644BE">
        <w:rPr>
          <w:spacing w:val="1"/>
          <w:sz w:val="26"/>
          <w:szCs w:val="26"/>
        </w:rPr>
        <w:t xml:space="preserve"> </w:t>
      </w:r>
      <w:r w:rsidRPr="049644BE">
        <w:rPr>
          <w:sz w:val="26"/>
          <w:szCs w:val="26"/>
        </w:rPr>
        <w:t>qualifies as “low” or “very low” income according to federal poverty</w:t>
      </w:r>
      <w:r w:rsidRPr="049644BE">
        <w:rPr>
          <w:spacing w:val="1"/>
          <w:sz w:val="26"/>
          <w:szCs w:val="26"/>
        </w:rPr>
        <w:t xml:space="preserve"> </w:t>
      </w:r>
      <w:r w:rsidRPr="049644BE">
        <w:rPr>
          <w:sz w:val="26"/>
          <w:szCs w:val="26"/>
        </w:rPr>
        <w:t>guidelines.</w:t>
      </w:r>
    </w:p>
    <w:p w:rsidRPr="00E74D95" w:rsidR="00081EFC" w:rsidP="00081EFC" w:rsidRDefault="00081EFC" w14:paraId="59B92B71" w14:textId="77777777">
      <w:pPr>
        <w:pStyle w:val="ListParagraph"/>
        <w:tabs>
          <w:tab w:val="left" w:pos="1309"/>
        </w:tabs>
        <w:ind w:right="215" w:firstLine="0"/>
        <w:rPr>
          <w:sz w:val="26"/>
          <w:szCs w:val="26"/>
        </w:rPr>
      </w:pPr>
    </w:p>
    <w:p w:rsidRPr="00676C3A" w:rsidR="00081EFC" w:rsidP="00676C3A" w:rsidRDefault="00081EFC" w14:paraId="2FC47035" w14:textId="77777777">
      <w:pPr>
        <w:pStyle w:val="ListParagraph"/>
        <w:numPr>
          <w:ilvl w:val="0"/>
          <w:numId w:val="10"/>
        </w:numPr>
        <w:tabs>
          <w:tab w:val="left" w:pos="560"/>
        </w:tabs>
        <w:ind w:hanging="361"/>
        <w:rPr>
          <w:b/>
          <w:sz w:val="26"/>
        </w:rPr>
      </w:pPr>
      <w:r w:rsidRPr="00676C3A">
        <w:rPr>
          <w:b/>
          <w:sz w:val="26"/>
        </w:rPr>
        <w:t>Eligible Applicants</w:t>
      </w:r>
    </w:p>
    <w:p w:rsidR="007D6281" w:rsidP="007D6281" w:rsidRDefault="007D6281" w14:paraId="70B10E67" w14:textId="77777777">
      <w:pPr>
        <w:spacing w:line="240" w:lineRule="auto"/>
        <w:ind w:firstLine="0"/>
      </w:pPr>
    </w:p>
    <w:p w:rsidR="00081EFC" w:rsidP="0011759B" w:rsidRDefault="00081EFC" w14:paraId="1E117926" w14:textId="182F7BE7">
      <w:pPr>
        <w:spacing w:line="240" w:lineRule="auto"/>
        <w:ind w:firstLine="0"/>
        <w:rPr>
          <w:szCs w:val="26"/>
        </w:rPr>
      </w:pPr>
      <w:r w:rsidRPr="693A4047">
        <w:t>An applicant is eligible for a BPHA award if it is a low-income community as defined in Section III above and if it does not have access to any broadband service provider that offers free broadband service that meets or exceeds state standards for the residents of the low-income community, also as defined in Section III.</w:t>
      </w:r>
      <w:r>
        <w:rPr>
          <w:rStyle w:val="FootnoteReference"/>
        </w:rPr>
        <w:footnoteReference w:id="189"/>
      </w:r>
    </w:p>
    <w:p w:rsidR="00081EFC" w:rsidP="00081EFC" w:rsidRDefault="00081EFC" w14:paraId="1F615CC1" w14:textId="77777777">
      <w:pPr>
        <w:spacing w:line="240" w:lineRule="auto"/>
        <w:rPr>
          <w:szCs w:val="26"/>
        </w:rPr>
      </w:pPr>
    </w:p>
    <w:p w:rsidRPr="00676C3A" w:rsidR="00081EFC" w:rsidP="00860E5F" w:rsidRDefault="00081EFC" w14:paraId="7530298F" w14:textId="77777777">
      <w:pPr>
        <w:pStyle w:val="ListParagraph"/>
        <w:keepNext/>
        <w:keepLines/>
        <w:numPr>
          <w:ilvl w:val="0"/>
          <w:numId w:val="10"/>
        </w:numPr>
        <w:tabs>
          <w:tab w:val="left" w:pos="560"/>
        </w:tabs>
        <w:ind w:hanging="361"/>
        <w:rPr>
          <w:b/>
          <w:sz w:val="26"/>
        </w:rPr>
      </w:pPr>
      <w:r w:rsidRPr="00676C3A">
        <w:rPr>
          <w:b/>
          <w:sz w:val="26"/>
        </w:rPr>
        <w:lastRenderedPageBreak/>
        <w:t>Information Required from Applicants</w:t>
      </w:r>
    </w:p>
    <w:p w:rsidR="00081EFC" w:rsidP="00860E5F" w:rsidRDefault="00081EFC" w14:paraId="53B73DCC" w14:textId="77777777">
      <w:pPr>
        <w:pStyle w:val="BodyText"/>
        <w:keepNext/>
        <w:keepLines/>
        <w:spacing w:before="118"/>
      </w:pPr>
      <w:r w:rsidRPr="004016A2">
        <w:t>Applicants must submit the following information</w:t>
      </w:r>
      <w:r>
        <w:t xml:space="preserve"> to</w:t>
      </w:r>
      <w:r>
        <w:rPr>
          <w:spacing w:val="1"/>
        </w:rPr>
        <w:t xml:space="preserve"> </w:t>
      </w:r>
      <w:r>
        <w:t>the Commission for each proposed project. Application forms can be found on</w:t>
      </w:r>
      <w:r>
        <w:rPr>
          <w:spacing w:val="1"/>
        </w:rPr>
        <w:t xml:space="preserve"> </w:t>
      </w:r>
      <w:r>
        <w:t>the CASF BPHA webpage.</w:t>
      </w:r>
      <w:r>
        <w:rPr>
          <w:spacing w:val="1"/>
        </w:rPr>
        <w:t xml:space="preserve"> </w:t>
      </w:r>
      <w:r>
        <w:t>Applications and supporting material must be</w:t>
      </w:r>
      <w:r>
        <w:rPr>
          <w:spacing w:val="1"/>
        </w:rPr>
        <w:t xml:space="preserve"> </w:t>
      </w:r>
      <w:r>
        <w:t>submitted online.  Staff</w:t>
      </w:r>
      <w:r>
        <w:rPr>
          <w:spacing w:val="-3"/>
        </w:rPr>
        <w:t xml:space="preserve"> </w:t>
      </w:r>
      <w:r>
        <w:t>will</w:t>
      </w:r>
      <w:r>
        <w:rPr>
          <w:spacing w:val="-4"/>
        </w:rPr>
        <w:t xml:space="preserve"> </w:t>
      </w:r>
      <w:r>
        <w:t>post</w:t>
      </w:r>
      <w:r>
        <w:rPr>
          <w:spacing w:val="-1"/>
        </w:rPr>
        <w:t xml:space="preserve"> </w:t>
      </w:r>
      <w:r>
        <w:t>a</w:t>
      </w:r>
      <w:r>
        <w:rPr>
          <w:spacing w:val="-62"/>
        </w:rPr>
        <w:t xml:space="preserve"> </w:t>
      </w:r>
      <w:r>
        <w:t>list</w:t>
      </w:r>
      <w:r>
        <w:rPr>
          <w:spacing w:val="-1"/>
        </w:rPr>
        <w:t xml:space="preserve"> </w:t>
      </w:r>
      <w:r>
        <w:t>of</w:t>
      </w:r>
      <w:r>
        <w:rPr>
          <w:spacing w:val="-1"/>
        </w:rPr>
        <w:t xml:space="preserve"> </w:t>
      </w:r>
      <w:r>
        <w:t>applications</w:t>
      </w:r>
      <w:r>
        <w:rPr>
          <w:spacing w:val="-1"/>
        </w:rPr>
        <w:t xml:space="preserve"> </w:t>
      </w:r>
      <w:r>
        <w:t>submitted</w:t>
      </w:r>
      <w:r>
        <w:rPr>
          <w:spacing w:val="-2"/>
        </w:rPr>
        <w:t xml:space="preserve"> </w:t>
      </w:r>
      <w:r>
        <w:t>by the</w:t>
      </w:r>
      <w:r>
        <w:rPr>
          <w:spacing w:val="-2"/>
        </w:rPr>
        <w:t xml:space="preserve"> </w:t>
      </w:r>
      <w:r>
        <w:t>deadline</w:t>
      </w:r>
      <w:r>
        <w:rPr>
          <w:spacing w:val="-1"/>
        </w:rPr>
        <w:t xml:space="preserve"> </w:t>
      </w:r>
      <w:r>
        <w:t>on</w:t>
      </w:r>
      <w:r>
        <w:rPr>
          <w:spacing w:val="-3"/>
        </w:rPr>
        <w:t xml:space="preserve"> </w:t>
      </w:r>
      <w:r>
        <w:t>the</w:t>
      </w:r>
      <w:r>
        <w:rPr>
          <w:spacing w:val="-1"/>
        </w:rPr>
        <w:t xml:space="preserve"> </w:t>
      </w:r>
      <w:r>
        <w:t>CASF</w:t>
      </w:r>
      <w:r>
        <w:rPr>
          <w:spacing w:val="1"/>
        </w:rPr>
        <w:t xml:space="preserve"> </w:t>
      </w:r>
      <w:r>
        <w:t>webpage.</w:t>
      </w:r>
    </w:p>
    <w:p w:rsidRPr="004358F6" w:rsidR="00081EFC" w:rsidP="00081EFC" w:rsidRDefault="00081EFC" w14:paraId="37CA95D9" w14:textId="77777777">
      <w:pPr>
        <w:pStyle w:val="BodyText"/>
        <w:ind w:right="259"/>
        <w:rPr>
          <w:spacing w:val="1"/>
        </w:rPr>
      </w:pPr>
    </w:p>
    <w:p w:rsidRPr="004016A2" w:rsidR="00081EFC" w:rsidP="00394667" w:rsidRDefault="00081EFC" w14:paraId="71E37E65" w14:textId="77777777">
      <w:pPr>
        <w:pStyle w:val="BodyText"/>
        <w:spacing w:after="240"/>
      </w:pPr>
      <w:r w:rsidRPr="004016A2">
        <w:t>Applicants are required to provide the following information as part of their respective applications.  Applications that do not include each item listed below will not be considered for approv</w:t>
      </w:r>
      <w:r>
        <w:t>al</w:t>
      </w:r>
      <w:r w:rsidRPr="004016A2">
        <w:t>.</w:t>
      </w:r>
    </w:p>
    <w:p w:rsidRPr="00B33455" w:rsidR="00081EFC" w:rsidP="0033369D" w:rsidRDefault="00081EFC" w14:paraId="3F74DD5B" w14:textId="77777777">
      <w:pPr>
        <w:pStyle w:val="ListParagraph"/>
        <w:numPr>
          <w:ilvl w:val="0"/>
          <w:numId w:val="12"/>
        </w:numPr>
        <w:rPr>
          <w:b/>
          <w:bCs/>
          <w:sz w:val="26"/>
          <w:szCs w:val="26"/>
        </w:rPr>
      </w:pPr>
      <w:r w:rsidRPr="00B33455">
        <w:rPr>
          <w:b/>
          <w:bCs/>
          <w:sz w:val="26"/>
          <w:szCs w:val="26"/>
        </w:rPr>
        <w:t>Funds Requested</w:t>
      </w:r>
    </w:p>
    <w:p w:rsidR="00081EFC" w:rsidP="00081EFC" w:rsidRDefault="00081EFC" w14:paraId="015CBEDC" w14:textId="77777777">
      <w:pPr>
        <w:pStyle w:val="BodyText"/>
        <w:spacing w:line="320" w:lineRule="exact"/>
        <w:jc w:val="both"/>
      </w:pPr>
      <w:r>
        <w:t>The</w:t>
      </w:r>
      <w:r>
        <w:rPr>
          <w:spacing w:val="-4"/>
        </w:rPr>
        <w:t xml:space="preserve"> </w:t>
      </w:r>
      <w:r>
        <w:t>applicant</w:t>
      </w:r>
      <w:r>
        <w:rPr>
          <w:spacing w:val="-3"/>
        </w:rPr>
        <w:t xml:space="preserve"> </w:t>
      </w:r>
      <w:r>
        <w:t>must</w:t>
      </w:r>
      <w:r>
        <w:rPr>
          <w:spacing w:val="-3"/>
        </w:rPr>
        <w:t xml:space="preserve"> </w:t>
      </w:r>
      <w:r>
        <w:t>indicate the</w:t>
      </w:r>
      <w:r>
        <w:rPr>
          <w:spacing w:val="-2"/>
        </w:rPr>
        <w:t xml:space="preserve"> </w:t>
      </w:r>
      <w:r>
        <w:t>amount</w:t>
      </w:r>
      <w:r>
        <w:rPr>
          <w:spacing w:val="-2"/>
        </w:rPr>
        <w:t xml:space="preserve"> </w:t>
      </w:r>
      <w:r>
        <w:t>of</w:t>
      </w:r>
      <w:r>
        <w:rPr>
          <w:spacing w:val="-3"/>
        </w:rPr>
        <w:t xml:space="preserve"> </w:t>
      </w:r>
      <w:r>
        <w:t>funding</w:t>
      </w:r>
      <w:r>
        <w:rPr>
          <w:spacing w:val="-3"/>
        </w:rPr>
        <w:t xml:space="preserve"> </w:t>
      </w:r>
      <w:r>
        <w:t>requested.</w:t>
      </w:r>
    </w:p>
    <w:p w:rsidRPr="005269DE" w:rsidR="00081EFC" w:rsidP="00081EFC" w:rsidRDefault="00081EFC" w14:paraId="5E12A662" w14:textId="77777777">
      <w:pPr>
        <w:pStyle w:val="ListParagraph"/>
        <w:ind w:left="720" w:firstLine="0"/>
        <w:rPr>
          <w:sz w:val="26"/>
          <w:szCs w:val="26"/>
        </w:rPr>
      </w:pPr>
    </w:p>
    <w:p w:rsidR="00081EFC" w:rsidP="0033369D" w:rsidRDefault="00081EFC" w14:paraId="0C85DABE" w14:textId="77777777">
      <w:pPr>
        <w:pStyle w:val="ListParagraph"/>
        <w:numPr>
          <w:ilvl w:val="0"/>
          <w:numId w:val="12"/>
        </w:numPr>
        <w:rPr>
          <w:b/>
          <w:bCs/>
          <w:sz w:val="26"/>
          <w:szCs w:val="26"/>
        </w:rPr>
      </w:pPr>
      <w:r w:rsidRPr="00B33455">
        <w:rPr>
          <w:b/>
          <w:bCs/>
          <w:sz w:val="26"/>
          <w:szCs w:val="26"/>
        </w:rPr>
        <w:t>Project Location</w:t>
      </w:r>
    </w:p>
    <w:p w:rsidR="00081EFC" w:rsidP="00081EFC" w:rsidRDefault="00081EFC" w14:paraId="06256180" w14:textId="77777777">
      <w:pPr>
        <w:pStyle w:val="BodyText"/>
        <w:jc w:val="both"/>
      </w:pPr>
      <w:r>
        <w:t>The</w:t>
      </w:r>
      <w:r>
        <w:rPr>
          <w:spacing w:val="-4"/>
        </w:rPr>
        <w:t xml:space="preserve"> </w:t>
      </w:r>
      <w:r>
        <w:t>applicant</w:t>
      </w:r>
      <w:r>
        <w:rPr>
          <w:spacing w:val="-4"/>
        </w:rPr>
        <w:t xml:space="preserve"> </w:t>
      </w:r>
      <w:r>
        <w:t>must</w:t>
      </w:r>
      <w:r>
        <w:rPr>
          <w:spacing w:val="-3"/>
        </w:rPr>
        <w:t xml:space="preserve"> </w:t>
      </w:r>
      <w:r>
        <w:t>include</w:t>
      </w:r>
      <w:r>
        <w:rPr>
          <w:spacing w:val="-1"/>
        </w:rPr>
        <w:t xml:space="preserve"> </w:t>
      </w:r>
      <w:r>
        <w:t>a</w:t>
      </w:r>
      <w:r>
        <w:rPr>
          <w:spacing w:val="-2"/>
        </w:rPr>
        <w:t xml:space="preserve"> </w:t>
      </w:r>
      <w:r>
        <w:t>physical</w:t>
      </w:r>
      <w:r>
        <w:rPr>
          <w:spacing w:val="-5"/>
        </w:rPr>
        <w:t xml:space="preserve"> </w:t>
      </w:r>
      <w:r>
        <w:t>address</w:t>
      </w:r>
      <w:r>
        <w:rPr>
          <w:spacing w:val="-3"/>
        </w:rPr>
        <w:t xml:space="preserve"> </w:t>
      </w:r>
      <w:r>
        <w:t>for</w:t>
      </w:r>
      <w:r>
        <w:rPr>
          <w:spacing w:val="-2"/>
        </w:rPr>
        <w:t xml:space="preserve"> </w:t>
      </w:r>
      <w:r>
        <w:t>each</w:t>
      </w:r>
      <w:r>
        <w:rPr>
          <w:spacing w:val="-3"/>
        </w:rPr>
        <w:t xml:space="preserve"> </w:t>
      </w:r>
      <w:r>
        <w:t>project</w:t>
      </w:r>
      <w:r>
        <w:rPr>
          <w:spacing w:val="-1"/>
        </w:rPr>
        <w:t xml:space="preserve"> </w:t>
      </w:r>
      <w:r>
        <w:t>location</w:t>
      </w:r>
      <w:r>
        <w:rPr>
          <w:spacing w:val="-63"/>
        </w:rPr>
        <w:t xml:space="preserve"> </w:t>
      </w:r>
      <w:r>
        <w:t>along with an image of the location on the map.</w:t>
      </w:r>
      <w:r>
        <w:rPr>
          <w:spacing w:val="1"/>
        </w:rPr>
        <w:t xml:space="preserve"> </w:t>
      </w:r>
      <w:r>
        <w:t>The Commission will</w:t>
      </w:r>
      <w:r>
        <w:rPr>
          <w:spacing w:val="1"/>
        </w:rPr>
        <w:t xml:space="preserve"> </w:t>
      </w:r>
      <w:r>
        <w:t>accept</w:t>
      </w:r>
      <w:r>
        <w:rPr>
          <w:spacing w:val="-2"/>
        </w:rPr>
        <w:t xml:space="preserve"> </w:t>
      </w:r>
      <w:r>
        <w:t>a</w:t>
      </w:r>
      <w:r>
        <w:rPr>
          <w:spacing w:val="-2"/>
        </w:rPr>
        <w:t xml:space="preserve"> </w:t>
      </w:r>
      <w:r>
        <w:t>screenshot image</w:t>
      </w:r>
      <w:r>
        <w:rPr>
          <w:spacing w:val="-2"/>
        </w:rPr>
        <w:t xml:space="preserve"> </w:t>
      </w:r>
      <w:r>
        <w:t>from</w:t>
      </w:r>
      <w:r>
        <w:rPr>
          <w:spacing w:val="-1"/>
        </w:rPr>
        <w:t xml:space="preserve"> </w:t>
      </w:r>
      <w:r>
        <w:t>online</w:t>
      </w:r>
      <w:r>
        <w:rPr>
          <w:spacing w:val="1"/>
        </w:rPr>
        <w:t xml:space="preserve"> </w:t>
      </w:r>
      <w:r>
        <w:t>maps</w:t>
      </w:r>
      <w:r>
        <w:rPr>
          <w:spacing w:val="-2"/>
        </w:rPr>
        <w:t xml:space="preserve"> </w:t>
      </w:r>
      <w:r>
        <w:t>or</w:t>
      </w:r>
      <w:r>
        <w:rPr>
          <w:spacing w:val="-1"/>
        </w:rPr>
        <w:t xml:space="preserve"> </w:t>
      </w:r>
      <w:r>
        <w:t>similar images.</w:t>
      </w:r>
    </w:p>
    <w:p w:rsidRPr="00B33455" w:rsidR="00081EFC" w:rsidP="00081EFC" w:rsidRDefault="00081EFC" w14:paraId="631A20FF" w14:textId="77777777">
      <w:pPr>
        <w:rPr>
          <w:szCs w:val="26"/>
        </w:rPr>
      </w:pPr>
    </w:p>
    <w:p w:rsidR="00081EFC" w:rsidP="0033369D" w:rsidRDefault="00081EFC" w14:paraId="7C70CAFF" w14:textId="77777777">
      <w:pPr>
        <w:pStyle w:val="ListParagraph"/>
        <w:numPr>
          <w:ilvl w:val="0"/>
          <w:numId w:val="12"/>
        </w:numPr>
        <w:rPr>
          <w:b/>
          <w:bCs/>
          <w:sz w:val="26"/>
          <w:szCs w:val="26"/>
        </w:rPr>
      </w:pPr>
      <w:r w:rsidRPr="00B33455">
        <w:rPr>
          <w:b/>
          <w:bCs/>
          <w:sz w:val="26"/>
          <w:szCs w:val="26"/>
        </w:rPr>
        <w:t>Key Project Contact Information</w:t>
      </w:r>
    </w:p>
    <w:p w:rsidR="00081EFC" w:rsidP="0033369D" w:rsidRDefault="00081EFC" w14:paraId="0E289C37" w14:textId="77777777">
      <w:pPr>
        <w:pStyle w:val="ListParagraph"/>
        <w:numPr>
          <w:ilvl w:val="0"/>
          <w:numId w:val="13"/>
        </w:numPr>
        <w:tabs>
          <w:tab w:val="left" w:pos="1279"/>
          <w:tab w:val="left" w:pos="1280"/>
        </w:tabs>
        <w:spacing w:line="334" w:lineRule="exact"/>
        <w:ind w:left="1080"/>
        <w:rPr>
          <w:sz w:val="26"/>
        </w:rPr>
      </w:pPr>
      <w:r w:rsidRPr="00B33455">
        <w:rPr>
          <w:sz w:val="26"/>
        </w:rPr>
        <w:t>First</w:t>
      </w:r>
      <w:r w:rsidRPr="00B33455">
        <w:rPr>
          <w:spacing w:val="-7"/>
          <w:sz w:val="26"/>
        </w:rPr>
        <w:t xml:space="preserve"> </w:t>
      </w:r>
      <w:r w:rsidRPr="00B33455">
        <w:rPr>
          <w:sz w:val="26"/>
        </w:rPr>
        <w:t>name</w:t>
      </w:r>
    </w:p>
    <w:p w:rsidR="00081EFC" w:rsidP="0033369D" w:rsidRDefault="00081EFC" w14:paraId="46FD9BF5" w14:textId="77777777">
      <w:pPr>
        <w:pStyle w:val="ListParagraph"/>
        <w:numPr>
          <w:ilvl w:val="0"/>
          <w:numId w:val="13"/>
        </w:numPr>
        <w:tabs>
          <w:tab w:val="left" w:pos="1279"/>
          <w:tab w:val="left" w:pos="1280"/>
        </w:tabs>
        <w:spacing w:line="334" w:lineRule="exact"/>
        <w:ind w:left="1080"/>
        <w:rPr>
          <w:sz w:val="26"/>
        </w:rPr>
      </w:pPr>
      <w:r w:rsidRPr="00B33455">
        <w:rPr>
          <w:sz w:val="26"/>
        </w:rPr>
        <w:t>Last</w:t>
      </w:r>
      <w:r w:rsidRPr="00B33455">
        <w:rPr>
          <w:spacing w:val="-4"/>
          <w:sz w:val="26"/>
        </w:rPr>
        <w:t xml:space="preserve"> </w:t>
      </w:r>
      <w:r w:rsidRPr="00B33455">
        <w:rPr>
          <w:sz w:val="26"/>
        </w:rPr>
        <w:t>name</w:t>
      </w:r>
    </w:p>
    <w:p w:rsidR="00081EFC" w:rsidP="0033369D" w:rsidRDefault="00081EFC" w14:paraId="0A54E5C4" w14:textId="77777777">
      <w:pPr>
        <w:pStyle w:val="ListParagraph"/>
        <w:numPr>
          <w:ilvl w:val="0"/>
          <w:numId w:val="13"/>
        </w:numPr>
        <w:tabs>
          <w:tab w:val="left" w:pos="1279"/>
          <w:tab w:val="left" w:pos="1280"/>
        </w:tabs>
        <w:spacing w:line="334" w:lineRule="exact"/>
        <w:ind w:left="1080"/>
        <w:rPr>
          <w:sz w:val="26"/>
        </w:rPr>
      </w:pPr>
      <w:r w:rsidRPr="00B33455">
        <w:rPr>
          <w:sz w:val="26"/>
        </w:rPr>
        <w:t>Physical</w:t>
      </w:r>
      <w:r w:rsidRPr="00B33455">
        <w:rPr>
          <w:spacing w:val="-3"/>
          <w:sz w:val="26"/>
        </w:rPr>
        <w:t xml:space="preserve"> </w:t>
      </w:r>
      <w:r w:rsidRPr="00B33455">
        <w:rPr>
          <w:sz w:val="26"/>
        </w:rPr>
        <w:t>mailing</w:t>
      </w:r>
      <w:r w:rsidRPr="00B33455">
        <w:rPr>
          <w:spacing w:val="-3"/>
          <w:sz w:val="26"/>
        </w:rPr>
        <w:t xml:space="preserve"> </w:t>
      </w:r>
      <w:r w:rsidRPr="00B33455">
        <w:rPr>
          <w:sz w:val="26"/>
        </w:rPr>
        <w:t>address</w:t>
      </w:r>
    </w:p>
    <w:p w:rsidR="00081EFC" w:rsidP="0033369D" w:rsidRDefault="00081EFC" w14:paraId="75FF48EC" w14:textId="333C66B7">
      <w:pPr>
        <w:pStyle w:val="ListParagraph"/>
        <w:numPr>
          <w:ilvl w:val="0"/>
          <w:numId w:val="13"/>
        </w:numPr>
        <w:tabs>
          <w:tab w:val="left" w:pos="1279"/>
          <w:tab w:val="left" w:pos="1280"/>
        </w:tabs>
        <w:spacing w:line="334" w:lineRule="exact"/>
        <w:ind w:left="1080"/>
        <w:rPr>
          <w:sz w:val="26"/>
        </w:rPr>
      </w:pPr>
      <w:r w:rsidRPr="00B33455">
        <w:rPr>
          <w:sz w:val="26"/>
        </w:rPr>
        <w:t>E</w:t>
      </w:r>
      <w:r w:rsidR="00FF6FF3">
        <w:rPr>
          <w:sz w:val="26"/>
        </w:rPr>
        <w:t>-</w:t>
      </w:r>
      <w:r w:rsidRPr="00B33455">
        <w:rPr>
          <w:sz w:val="26"/>
        </w:rPr>
        <w:t>mail</w:t>
      </w:r>
      <w:r w:rsidRPr="00B33455">
        <w:rPr>
          <w:spacing w:val="-2"/>
          <w:sz w:val="26"/>
        </w:rPr>
        <w:t xml:space="preserve"> </w:t>
      </w:r>
      <w:r>
        <w:rPr>
          <w:sz w:val="26"/>
        </w:rPr>
        <w:t>address</w:t>
      </w:r>
    </w:p>
    <w:p w:rsidR="00081EFC" w:rsidP="0033369D" w:rsidRDefault="00081EFC" w14:paraId="5D9D72D4" w14:textId="77777777">
      <w:pPr>
        <w:pStyle w:val="ListParagraph"/>
        <w:numPr>
          <w:ilvl w:val="0"/>
          <w:numId w:val="13"/>
        </w:numPr>
        <w:tabs>
          <w:tab w:val="left" w:pos="1279"/>
          <w:tab w:val="left" w:pos="1280"/>
        </w:tabs>
        <w:spacing w:line="334" w:lineRule="exact"/>
        <w:ind w:left="1080"/>
        <w:rPr>
          <w:sz w:val="26"/>
        </w:rPr>
      </w:pPr>
      <w:r w:rsidRPr="00B33455">
        <w:rPr>
          <w:sz w:val="26"/>
        </w:rPr>
        <w:t>Phone</w:t>
      </w:r>
      <w:r w:rsidRPr="00B33455">
        <w:rPr>
          <w:spacing w:val="-6"/>
          <w:sz w:val="26"/>
        </w:rPr>
        <w:t xml:space="preserve"> </w:t>
      </w:r>
      <w:r w:rsidRPr="00B33455">
        <w:rPr>
          <w:sz w:val="26"/>
        </w:rPr>
        <w:t>number(s)</w:t>
      </w:r>
    </w:p>
    <w:p w:rsidRPr="0077170B" w:rsidR="00081EFC" w:rsidP="00081EFC" w:rsidRDefault="00081EFC" w14:paraId="7C4B1AD6" w14:textId="77777777">
      <w:pPr>
        <w:pStyle w:val="ListParagraph"/>
        <w:tabs>
          <w:tab w:val="left" w:pos="1279"/>
          <w:tab w:val="left" w:pos="1280"/>
        </w:tabs>
        <w:ind w:left="1080" w:firstLine="0"/>
        <w:rPr>
          <w:sz w:val="20"/>
          <w:szCs w:val="20"/>
        </w:rPr>
      </w:pPr>
    </w:p>
    <w:p w:rsidR="00081EFC" w:rsidP="0033369D" w:rsidRDefault="00081EFC" w14:paraId="68516C31" w14:textId="77777777">
      <w:pPr>
        <w:pStyle w:val="ListParagraph"/>
        <w:numPr>
          <w:ilvl w:val="0"/>
          <w:numId w:val="12"/>
        </w:numPr>
        <w:rPr>
          <w:b/>
          <w:bCs/>
          <w:sz w:val="26"/>
          <w:szCs w:val="26"/>
        </w:rPr>
      </w:pPr>
      <w:r w:rsidRPr="00B33455">
        <w:rPr>
          <w:b/>
          <w:bCs/>
          <w:sz w:val="26"/>
          <w:szCs w:val="26"/>
        </w:rPr>
        <w:t>Key Management Contact Information</w:t>
      </w:r>
    </w:p>
    <w:p w:rsidRPr="00B33455" w:rsidR="00081EFC" w:rsidP="0033369D" w:rsidRDefault="00081EFC" w14:paraId="16B075BC" w14:textId="77777777">
      <w:pPr>
        <w:pStyle w:val="ListParagraph"/>
        <w:numPr>
          <w:ilvl w:val="0"/>
          <w:numId w:val="14"/>
        </w:numPr>
        <w:rPr>
          <w:sz w:val="26"/>
          <w:szCs w:val="26"/>
        </w:rPr>
      </w:pPr>
      <w:r w:rsidRPr="00B33455">
        <w:rPr>
          <w:sz w:val="26"/>
          <w:szCs w:val="26"/>
        </w:rPr>
        <w:t>First name</w:t>
      </w:r>
    </w:p>
    <w:p w:rsidRPr="00B33455" w:rsidR="00081EFC" w:rsidP="0033369D" w:rsidRDefault="00081EFC" w14:paraId="0AA17049" w14:textId="77777777">
      <w:pPr>
        <w:pStyle w:val="ListParagraph"/>
        <w:numPr>
          <w:ilvl w:val="0"/>
          <w:numId w:val="14"/>
        </w:numPr>
        <w:rPr>
          <w:sz w:val="26"/>
          <w:szCs w:val="26"/>
        </w:rPr>
      </w:pPr>
      <w:r w:rsidRPr="00B33455">
        <w:rPr>
          <w:sz w:val="26"/>
          <w:szCs w:val="26"/>
        </w:rPr>
        <w:t>Last name</w:t>
      </w:r>
    </w:p>
    <w:p w:rsidRPr="00B33455" w:rsidR="00081EFC" w:rsidP="0033369D" w:rsidRDefault="00081EFC" w14:paraId="6E5D62D4" w14:textId="77777777">
      <w:pPr>
        <w:pStyle w:val="ListParagraph"/>
        <w:numPr>
          <w:ilvl w:val="0"/>
          <w:numId w:val="14"/>
        </w:numPr>
        <w:rPr>
          <w:sz w:val="26"/>
          <w:szCs w:val="26"/>
        </w:rPr>
      </w:pPr>
      <w:r>
        <w:rPr>
          <w:sz w:val="26"/>
          <w:szCs w:val="26"/>
        </w:rPr>
        <w:t>Position title</w:t>
      </w:r>
    </w:p>
    <w:p w:rsidRPr="00B33455" w:rsidR="00081EFC" w:rsidP="0033369D" w:rsidRDefault="00081EFC" w14:paraId="0FA555B5" w14:textId="2F3D3FDE">
      <w:pPr>
        <w:pStyle w:val="ListParagraph"/>
        <w:numPr>
          <w:ilvl w:val="0"/>
          <w:numId w:val="14"/>
        </w:numPr>
        <w:rPr>
          <w:sz w:val="26"/>
          <w:szCs w:val="26"/>
        </w:rPr>
      </w:pPr>
      <w:r w:rsidRPr="00B33455">
        <w:rPr>
          <w:sz w:val="26"/>
          <w:szCs w:val="26"/>
        </w:rPr>
        <w:t>E</w:t>
      </w:r>
      <w:r w:rsidR="00FF6FF3">
        <w:rPr>
          <w:sz w:val="26"/>
          <w:szCs w:val="26"/>
        </w:rPr>
        <w:t>-</w:t>
      </w:r>
      <w:r w:rsidRPr="00B33455">
        <w:rPr>
          <w:sz w:val="26"/>
          <w:szCs w:val="26"/>
        </w:rPr>
        <w:t xml:space="preserve">mail </w:t>
      </w:r>
      <w:r>
        <w:rPr>
          <w:sz w:val="26"/>
          <w:szCs w:val="26"/>
        </w:rPr>
        <w:t>address</w:t>
      </w:r>
    </w:p>
    <w:p w:rsidRPr="00B33455" w:rsidR="00081EFC" w:rsidP="0033369D" w:rsidRDefault="00081EFC" w14:paraId="54D5A970" w14:textId="77777777">
      <w:pPr>
        <w:pStyle w:val="ListParagraph"/>
        <w:numPr>
          <w:ilvl w:val="0"/>
          <w:numId w:val="14"/>
        </w:numPr>
        <w:rPr>
          <w:sz w:val="26"/>
          <w:szCs w:val="26"/>
        </w:rPr>
      </w:pPr>
      <w:r w:rsidRPr="00B33455">
        <w:rPr>
          <w:sz w:val="26"/>
          <w:szCs w:val="26"/>
        </w:rPr>
        <w:t>Phone number(s)</w:t>
      </w:r>
    </w:p>
    <w:p w:rsidRPr="00B33455" w:rsidR="00081EFC" w:rsidP="00081EFC" w:rsidRDefault="00081EFC" w14:paraId="23D21FBB" w14:textId="77777777">
      <w:pPr>
        <w:pStyle w:val="ListParagraph"/>
        <w:ind w:left="1080" w:firstLine="0"/>
        <w:rPr>
          <w:b/>
          <w:bCs/>
          <w:sz w:val="26"/>
          <w:szCs w:val="26"/>
        </w:rPr>
      </w:pPr>
    </w:p>
    <w:p w:rsidR="00081EFC" w:rsidP="0033369D" w:rsidRDefault="00081EFC" w14:paraId="4F180DF1" w14:textId="77777777">
      <w:pPr>
        <w:pStyle w:val="ListParagraph"/>
        <w:numPr>
          <w:ilvl w:val="0"/>
          <w:numId w:val="12"/>
        </w:numPr>
        <w:rPr>
          <w:b/>
          <w:bCs/>
          <w:sz w:val="26"/>
          <w:szCs w:val="26"/>
        </w:rPr>
      </w:pPr>
      <w:r w:rsidRPr="00B33455">
        <w:rPr>
          <w:b/>
          <w:bCs/>
          <w:sz w:val="26"/>
          <w:szCs w:val="26"/>
        </w:rPr>
        <w:t>Key Vendor Contact Information (if applicant has identified vendor)</w:t>
      </w:r>
    </w:p>
    <w:p w:rsidRPr="00EC3916" w:rsidR="00081EFC" w:rsidP="0033369D" w:rsidRDefault="00081EFC" w14:paraId="68DBBB8D" w14:textId="77777777">
      <w:pPr>
        <w:pStyle w:val="ListParagraph"/>
        <w:numPr>
          <w:ilvl w:val="0"/>
          <w:numId w:val="15"/>
        </w:numPr>
        <w:rPr>
          <w:sz w:val="26"/>
          <w:szCs w:val="26"/>
        </w:rPr>
      </w:pPr>
      <w:r w:rsidRPr="00EC3916">
        <w:rPr>
          <w:sz w:val="26"/>
          <w:szCs w:val="26"/>
        </w:rPr>
        <w:t>First name</w:t>
      </w:r>
    </w:p>
    <w:p w:rsidRPr="00EC3916" w:rsidR="00081EFC" w:rsidP="0033369D" w:rsidRDefault="00081EFC" w14:paraId="50B70ABB" w14:textId="77777777">
      <w:pPr>
        <w:pStyle w:val="ListParagraph"/>
        <w:numPr>
          <w:ilvl w:val="0"/>
          <w:numId w:val="15"/>
        </w:numPr>
        <w:rPr>
          <w:sz w:val="26"/>
          <w:szCs w:val="26"/>
        </w:rPr>
      </w:pPr>
      <w:r w:rsidRPr="00EC3916">
        <w:rPr>
          <w:sz w:val="26"/>
          <w:szCs w:val="26"/>
        </w:rPr>
        <w:t>Last name</w:t>
      </w:r>
    </w:p>
    <w:p w:rsidRPr="00EC3916" w:rsidR="00081EFC" w:rsidP="0033369D" w:rsidRDefault="00081EFC" w14:paraId="1923811A" w14:textId="77777777">
      <w:pPr>
        <w:pStyle w:val="ListParagraph"/>
        <w:numPr>
          <w:ilvl w:val="0"/>
          <w:numId w:val="15"/>
        </w:numPr>
        <w:rPr>
          <w:sz w:val="26"/>
          <w:szCs w:val="26"/>
        </w:rPr>
      </w:pPr>
      <w:r w:rsidRPr="00EC3916">
        <w:rPr>
          <w:sz w:val="26"/>
          <w:szCs w:val="26"/>
        </w:rPr>
        <w:t>Position title</w:t>
      </w:r>
    </w:p>
    <w:p w:rsidRPr="00EC3916" w:rsidR="00081EFC" w:rsidP="0033369D" w:rsidRDefault="00081EFC" w14:paraId="021C7BC5" w14:textId="77777777">
      <w:pPr>
        <w:pStyle w:val="ListParagraph"/>
        <w:numPr>
          <w:ilvl w:val="0"/>
          <w:numId w:val="15"/>
        </w:numPr>
        <w:rPr>
          <w:sz w:val="26"/>
          <w:szCs w:val="26"/>
        </w:rPr>
      </w:pPr>
      <w:r w:rsidRPr="00EC3916">
        <w:rPr>
          <w:sz w:val="26"/>
          <w:szCs w:val="26"/>
        </w:rPr>
        <w:t>Company name</w:t>
      </w:r>
    </w:p>
    <w:p w:rsidRPr="00EC3916" w:rsidR="00081EFC" w:rsidP="0033369D" w:rsidRDefault="00081EFC" w14:paraId="19C4E652" w14:textId="77777777">
      <w:pPr>
        <w:pStyle w:val="ListParagraph"/>
        <w:numPr>
          <w:ilvl w:val="0"/>
          <w:numId w:val="15"/>
        </w:numPr>
        <w:rPr>
          <w:sz w:val="26"/>
          <w:szCs w:val="26"/>
        </w:rPr>
      </w:pPr>
      <w:r w:rsidRPr="00EC3916">
        <w:rPr>
          <w:sz w:val="26"/>
          <w:szCs w:val="26"/>
        </w:rPr>
        <w:t>Physical mailing address</w:t>
      </w:r>
    </w:p>
    <w:p w:rsidRPr="00EC3916" w:rsidR="00081EFC" w:rsidP="0033369D" w:rsidRDefault="00081EFC" w14:paraId="31C4A2A5" w14:textId="5BC7E2C4">
      <w:pPr>
        <w:pStyle w:val="ListParagraph"/>
        <w:numPr>
          <w:ilvl w:val="0"/>
          <w:numId w:val="15"/>
        </w:numPr>
        <w:rPr>
          <w:sz w:val="26"/>
          <w:szCs w:val="26"/>
        </w:rPr>
      </w:pPr>
      <w:r w:rsidRPr="00EC3916">
        <w:rPr>
          <w:sz w:val="26"/>
          <w:szCs w:val="26"/>
        </w:rPr>
        <w:lastRenderedPageBreak/>
        <w:t>E</w:t>
      </w:r>
      <w:r w:rsidR="00FF6FF3">
        <w:rPr>
          <w:sz w:val="26"/>
          <w:szCs w:val="26"/>
        </w:rPr>
        <w:t>-</w:t>
      </w:r>
      <w:r w:rsidRPr="00EC3916">
        <w:rPr>
          <w:sz w:val="26"/>
          <w:szCs w:val="26"/>
        </w:rPr>
        <w:t>mail address</w:t>
      </w:r>
    </w:p>
    <w:p w:rsidRPr="00EC3916" w:rsidR="00081EFC" w:rsidP="0033369D" w:rsidRDefault="00081EFC" w14:paraId="5FA07007" w14:textId="77777777">
      <w:pPr>
        <w:pStyle w:val="ListParagraph"/>
        <w:numPr>
          <w:ilvl w:val="0"/>
          <w:numId w:val="15"/>
        </w:numPr>
        <w:rPr>
          <w:sz w:val="26"/>
          <w:szCs w:val="26"/>
        </w:rPr>
      </w:pPr>
      <w:r w:rsidRPr="00EC3916">
        <w:rPr>
          <w:sz w:val="26"/>
          <w:szCs w:val="26"/>
        </w:rPr>
        <w:t>Phone number(s)</w:t>
      </w:r>
    </w:p>
    <w:p w:rsidRPr="00B33455" w:rsidR="00081EFC" w:rsidP="00081EFC" w:rsidRDefault="00081EFC" w14:paraId="28F69F73" w14:textId="77777777">
      <w:pPr>
        <w:pStyle w:val="ListParagraph"/>
        <w:ind w:left="1080" w:firstLine="0"/>
        <w:rPr>
          <w:b/>
          <w:bCs/>
          <w:sz w:val="26"/>
          <w:szCs w:val="26"/>
        </w:rPr>
      </w:pPr>
    </w:p>
    <w:p w:rsidR="00081EFC" w:rsidP="0033369D" w:rsidRDefault="00081EFC" w14:paraId="184FCFA1" w14:textId="77777777">
      <w:pPr>
        <w:pStyle w:val="ListParagraph"/>
        <w:numPr>
          <w:ilvl w:val="0"/>
          <w:numId w:val="12"/>
        </w:numPr>
        <w:rPr>
          <w:b/>
          <w:bCs/>
          <w:sz w:val="26"/>
          <w:szCs w:val="26"/>
        </w:rPr>
      </w:pPr>
      <w:r w:rsidRPr="00EC3916">
        <w:rPr>
          <w:b/>
          <w:bCs/>
          <w:sz w:val="26"/>
          <w:szCs w:val="26"/>
        </w:rPr>
        <w:t>Assertion of Community need for Affordable Broadband Service that Meets State Standards</w:t>
      </w:r>
    </w:p>
    <w:p w:rsidR="00081EFC" w:rsidP="00022C32" w:rsidRDefault="00081EFC" w14:paraId="48DD0697" w14:textId="5991DB3F">
      <w:pPr>
        <w:pStyle w:val="BodyText"/>
        <w:jc w:val="both"/>
      </w:pPr>
      <w:r w:rsidRPr="00EC3916">
        <w:t>An applicant must attest to whether the low-income community that will be connected through the proposed project has access to a broadband internet service provider that offers the community residents free broadband service that meets or exceeds state standards, as defined in Section III.</w:t>
      </w:r>
    </w:p>
    <w:p w:rsidRPr="00EC3916" w:rsidR="00022C32" w:rsidP="00394667" w:rsidRDefault="00022C32" w14:paraId="4B94D3CE" w14:textId="77777777">
      <w:pPr>
        <w:pStyle w:val="BodyText"/>
        <w:jc w:val="both"/>
      </w:pPr>
    </w:p>
    <w:p w:rsidR="00081EFC" w:rsidP="0033369D" w:rsidRDefault="00081EFC" w14:paraId="6252A40C" w14:textId="77777777">
      <w:pPr>
        <w:pStyle w:val="ListParagraph"/>
        <w:numPr>
          <w:ilvl w:val="0"/>
          <w:numId w:val="12"/>
        </w:numPr>
        <w:rPr>
          <w:b/>
          <w:bCs/>
          <w:sz w:val="26"/>
          <w:szCs w:val="26"/>
        </w:rPr>
      </w:pPr>
      <w:r w:rsidRPr="00EC3916">
        <w:rPr>
          <w:b/>
          <w:bCs/>
          <w:sz w:val="26"/>
          <w:szCs w:val="26"/>
        </w:rPr>
        <w:t>Proposed Project Description</w:t>
      </w:r>
    </w:p>
    <w:p w:rsidR="00081EFC" w:rsidP="00394667" w:rsidRDefault="00081EFC" w14:paraId="176C4E5B" w14:textId="77777777">
      <w:pPr>
        <w:pStyle w:val="BodyText"/>
        <w:jc w:val="both"/>
      </w:pPr>
      <w:r>
        <w:t>An</w:t>
      </w:r>
      <w:r w:rsidRPr="00394667">
        <w:t xml:space="preserve"> </w:t>
      </w:r>
      <w:r>
        <w:t>applicant</w:t>
      </w:r>
      <w:r w:rsidRPr="00394667">
        <w:t xml:space="preserve"> </w:t>
      </w:r>
      <w:r>
        <w:t>must</w:t>
      </w:r>
      <w:r w:rsidRPr="00394667">
        <w:t xml:space="preserve"> </w:t>
      </w:r>
      <w:r>
        <w:t>provide</w:t>
      </w:r>
      <w:r w:rsidRPr="00394667">
        <w:t xml:space="preserve"> </w:t>
      </w:r>
      <w:r>
        <w:t>a</w:t>
      </w:r>
      <w:r w:rsidRPr="00394667">
        <w:t xml:space="preserve"> </w:t>
      </w:r>
      <w:r>
        <w:t>detailed</w:t>
      </w:r>
      <w:r w:rsidRPr="00394667">
        <w:t xml:space="preserve"> </w:t>
      </w:r>
      <w:r>
        <w:t>description</w:t>
      </w:r>
      <w:r w:rsidRPr="00394667">
        <w:t xml:space="preserve"> </w:t>
      </w:r>
      <w:r>
        <w:t>of</w:t>
      </w:r>
      <w:r w:rsidRPr="00394667">
        <w:t xml:space="preserve"> </w:t>
      </w:r>
      <w:r>
        <w:t>the</w:t>
      </w:r>
      <w:r w:rsidRPr="00394667">
        <w:t xml:space="preserve"> </w:t>
      </w:r>
      <w:r>
        <w:t>broadband</w:t>
      </w:r>
      <w:r w:rsidRPr="00394667">
        <w:t xml:space="preserve"> </w:t>
      </w:r>
      <w:r>
        <w:t>project</w:t>
      </w:r>
      <w:r w:rsidRPr="00394667">
        <w:t xml:space="preserve"> </w:t>
      </w:r>
      <w:r>
        <w:t>that will be funded under the CASF BPHA program, including but not</w:t>
      </w:r>
      <w:r w:rsidRPr="00394667">
        <w:t xml:space="preserve"> </w:t>
      </w:r>
      <w:r>
        <w:t>limited</w:t>
      </w:r>
      <w:r w:rsidRPr="00394667">
        <w:t xml:space="preserve"> </w:t>
      </w:r>
      <w:r>
        <w:t>to</w:t>
      </w:r>
      <w:r w:rsidRPr="00394667">
        <w:t xml:space="preserve"> </w:t>
      </w:r>
      <w:r>
        <w:t>the</w:t>
      </w:r>
      <w:r w:rsidRPr="00394667">
        <w:t xml:space="preserve"> </w:t>
      </w:r>
      <w:r>
        <w:t>elements</w:t>
      </w:r>
      <w:r w:rsidRPr="00394667">
        <w:t xml:space="preserve"> </w:t>
      </w:r>
      <w:r>
        <w:t>listed</w:t>
      </w:r>
      <w:r w:rsidRPr="00394667">
        <w:t xml:space="preserve"> </w:t>
      </w:r>
      <w:r>
        <w:t>below.</w:t>
      </w:r>
    </w:p>
    <w:p w:rsidR="00081EFC" w:rsidP="00081EFC" w:rsidRDefault="00081EFC" w14:paraId="3106C569" w14:textId="77777777">
      <w:pPr>
        <w:pStyle w:val="BodyText"/>
        <w:ind w:left="-90" w:right="99"/>
      </w:pPr>
    </w:p>
    <w:p w:rsidR="00081EFC" w:rsidP="0033369D" w:rsidRDefault="00081EFC" w14:paraId="6BD02A81" w14:textId="77777777">
      <w:pPr>
        <w:pStyle w:val="BodyText"/>
        <w:numPr>
          <w:ilvl w:val="0"/>
          <w:numId w:val="17"/>
        </w:numPr>
        <w:jc w:val="both"/>
      </w:pPr>
      <w:r>
        <w:t>Detailed</w:t>
      </w:r>
      <w:r>
        <w:rPr>
          <w:spacing w:val="-5"/>
        </w:rPr>
        <w:t xml:space="preserve"> </w:t>
      </w:r>
      <w:r>
        <w:t>broadband</w:t>
      </w:r>
      <w:r>
        <w:rPr>
          <w:spacing w:val="-2"/>
        </w:rPr>
        <w:t xml:space="preserve"> </w:t>
      </w:r>
      <w:r>
        <w:t>project</w:t>
      </w:r>
      <w:r>
        <w:rPr>
          <w:spacing w:val="-4"/>
        </w:rPr>
        <w:t xml:space="preserve"> </w:t>
      </w:r>
      <w:r>
        <w:t>plan</w:t>
      </w:r>
      <w:r>
        <w:rPr>
          <w:spacing w:val="-4"/>
        </w:rPr>
        <w:t xml:space="preserve"> </w:t>
      </w:r>
      <w:r>
        <w:t>proposal</w:t>
      </w:r>
      <w:r>
        <w:rPr>
          <w:spacing w:val="-3"/>
        </w:rPr>
        <w:t xml:space="preserve"> </w:t>
      </w:r>
      <w:r>
        <w:t>that</w:t>
      </w:r>
      <w:r>
        <w:rPr>
          <w:spacing w:val="-2"/>
        </w:rPr>
        <w:t xml:space="preserve"> </w:t>
      </w:r>
      <w:r>
        <w:t>includes:</w:t>
      </w:r>
    </w:p>
    <w:p w:rsidRPr="00EC3916" w:rsidR="00081EFC" w:rsidP="0033369D" w:rsidRDefault="00081EFC" w14:paraId="2BFB7D24" w14:textId="77777777">
      <w:pPr>
        <w:pStyle w:val="ListParagraph"/>
        <w:numPr>
          <w:ilvl w:val="0"/>
          <w:numId w:val="16"/>
        </w:numPr>
        <w:rPr>
          <w:sz w:val="26"/>
          <w:szCs w:val="26"/>
        </w:rPr>
      </w:pPr>
      <w:r w:rsidRPr="00EC3916">
        <w:rPr>
          <w:sz w:val="26"/>
          <w:szCs w:val="26"/>
        </w:rPr>
        <w:t>The type of technology that will be used on the project with all technical specifications, network topology, schematic diagram, engineering, and design documentation.</w:t>
      </w:r>
    </w:p>
    <w:p w:rsidR="00081EFC" w:rsidP="0033369D" w:rsidRDefault="00081EFC" w14:paraId="69FCA5AB" w14:textId="77777777">
      <w:pPr>
        <w:pStyle w:val="ListParagraph"/>
        <w:numPr>
          <w:ilvl w:val="0"/>
          <w:numId w:val="16"/>
        </w:numPr>
        <w:rPr>
          <w:sz w:val="26"/>
          <w:szCs w:val="26"/>
        </w:rPr>
      </w:pPr>
      <w:r>
        <w:rPr>
          <w:sz w:val="26"/>
          <w:szCs w:val="26"/>
        </w:rPr>
        <w:t>Project plan showing the number of residential units in the low-income community to be connected.</w:t>
      </w:r>
    </w:p>
    <w:p w:rsidRPr="00EC3916" w:rsidR="00081EFC" w:rsidP="0033369D" w:rsidRDefault="00081EFC" w14:paraId="1C6C77ED" w14:textId="77777777">
      <w:pPr>
        <w:pStyle w:val="ListParagraph"/>
        <w:numPr>
          <w:ilvl w:val="0"/>
          <w:numId w:val="16"/>
        </w:numPr>
        <w:rPr>
          <w:sz w:val="26"/>
          <w:szCs w:val="26"/>
        </w:rPr>
      </w:pPr>
      <w:r w:rsidRPr="00EC3916">
        <w:rPr>
          <w:sz w:val="26"/>
          <w:szCs w:val="26"/>
        </w:rPr>
        <w:t>Entities that will provide broadband Internet service on the project site (E.g., The type of Internet service and the bandwidth offered by a named ISP)</w:t>
      </w:r>
    </w:p>
    <w:p w:rsidRPr="00EC3916" w:rsidR="00081EFC" w:rsidP="0033369D" w:rsidRDefault="00081EFC" w14:paraId="08417AAB" w14:textId="77777777">
      <w:pPr>
        <w:pStyle w:val="ListParagraph"/>
        <w:numPr>
          <w:ilvl w:val="0"/>
          <w:numId w:val="16"/>
        </w:numPr>
        <w:rPr>
          <w:sz w:val="26"/>
          <w:szCs w:val="26"/>
        </w:rPr>
      </w:pPr>
      <w:r w:rsidRPr="5811989D">
        <w:rPr>
          <w:sz w:val="26"/>
          <w:szCs w:val="26"/>
        </w:rPr>
        <w:t>Download and upload data rate/speed capabilities for an average user within the property at a given time of peak and off-peak hours must meet at least 25 Mbps downstream and 3 Mbps upstream (for an average user) or current state standard.</w:t>
      </w:r>
    </w:p>
    <w:p w:rsidRPr="004358F6" w:rsidR="00081EFC" w:rsidP="0033369D" w:rsidRDefault="00081EFC" w14:paraId="530BB51B" w14:textId="77777777">
      <w:pPr>
        <w:pStyle w:val="ListParagraph"/>
        <w:numPr>
          <w:ilvl w:val="0"/>
          <w:numId w:val="16"/>
        </w:numPr>
        <w:rPr>
          <w:sz w:val="26"/>
          <w:szCs w:val="26"/>
        </w:rPr>
      </w:pPr>
      <w:r w:rsidRPr="004358F6">
        <w:rPr>
          <w:sz w:val="26"/>
          <w:szCs w:val="26"/>
        </w:rPr>
        <w:t>Project budget outlining all the budget costs, both actual line items and the matching funds.</w:t>
      </w:r>
    </w:p>
    <w:p w:rsidR="00081EFC" w:rsidP="0033369D" w:rsidRDefault="00081EFC" w14:paraId="032FB57D" w14:textId="77777777">
      <w:pPr>
        <w:pStyle w:val="ListParagraph"/>
        <w:numPr>
          <w:ilvl w:val="0"/>
          <w:numId w:val="17"/>
        </w:numPr>
        <w:rPr>
          <w:sz w:val="26"/>
          <w:szCs w:val="26"/>
        </w:rPr>
      </w:pPr>
      <w:r w:rsidRPr="004358F6">
        <w:rPr>
          <w:sz w:val="26"/>
          <w:szCs w:val="26"/>
        </w:rPr>
        <w:t>Actual budget cost line items proposed to be funded by the grant, including:</w:t>
      </w:r>
    </w:p>
    <w:p w:rsidRPr="004358F6" w:rsidR="00081EFC" w:rsidP="0033369D" w:rsidRDefault="00081EFC" w14:paraId="5852265E" w14:textId="77777777">
      <w:pPr>
        <w:pStyle w:val="ListParagraph"/>
        <w:numPr>
          <w:ilvl w:val="0"/>
          <w:numId w:val="18"/>
        </w:numPr>
        <w:ind w:left="1080"/>
        <w:rPr>
          <w:sz w:val="26"/>
          <w:szCs w:val="26"/>
        </w:rPr>
      </w:pPr>
      <w:r w:rsidRPr="004358F6">
        <w:rPr>
          <w:sz w:val="26"/>
          <w:szCs w:val="26"/>
        </w:rPr>
        <w:t>The cost for all eligible equipment as listed in Section II.</w:t>
      </w:r>
    </w:p>
    <w:p w:rsidRPr="004358F6" w:rsidR="00081EFC" w:rsidP="0033369D" w:rsidRDefault="00081EFC" w14:paraId="6296D990" w14:textId="77777777">
      <w:pPr>
        <w:pStyle w:val="ListParagraph"/>
        <w:numPr>
          <w:ilvl w:val="0"/>
          <w:numId w:val="18"/>
        </w:numPr>
        <w:ind w:left="1080"/>
        <w:rPr>
          <w:sz w:val="26"/>
          <w:szCs w:val="26"/>
        </w:rPr>
      </w:pPr>
      <w:r w:rsidRPr="004358F6">
        <w:rPr>
          <w:sz w:val="26"/>
          <w:szCs w:val="26"/>
        </w:rPr>
        <w:t>The cost for low voltage contracting work as described in Section II.</w:t>
      </w:r>
    </w:p>
    <w:p w:rsidRPr="004358F6" w:rsidR="00081EFC" w:rsidP="0033369D" w:rsidRDefault="00081EFC" w14:paraId="50254BFE" w14:textId="77777777">
      <w:pPr>
        <w:pStyle w:val="ListParagraph"/>
        <w:numPr>
          <w:ilvl w:val="0"/>
          <w:numId w:val="18"/>
        </w:numPr>
        <w:ind w:left="1080"/>
        <w:rPr>
          <w:sz w:val="26"/>
          <w:szCs w:val="26"/>
        </w:rPr>
      </w:pPr>
      <w:r w:rsidRPr="004358F6">
        <w:rPr>
          <w:sz w:val="26"/>
          <w:szCs w:val="26"/>
        </w:rPr>
        <w:t>Broadband network engineering and designing cost with required supporting documentation.</w:t>
      </w:r>
    </w:p>
    <w:p w:rsidR="00081EFC" w:rsidP="0033369D" w:rsidRDefault="00081EFC" w14:paraId="41E13194" w14:textId="77777777">
      <w:pPr>
        <w:pStyle w:val="ListParagraph"/>
        <w:numPr>
          <w:ilvl w:val="0"/>
          <w:numId w:val="18"/>
        </w:numPr>
        <w:ind w:left="1080"/>
        <w:rPr>
          <w:sz w:val="26"/>
          <w:szCs w:val="26"/>
        </w:rPr>
      </w:pPr>
      <w:r>
        <w:rPr>
          <w:sz w:val="26"/>
          <w:szCs w:val="26"/>
        </w:rPr>
        <w:t>The cost of any required hardware warranty for broadband network equipment.</w:t>
      </w:r>
    </w:p>
    <w:p w:rsidR="00081EFC" w:rsidP="0033369D" w:rsidRDefault="00081EFC" w14:paraId="7737E097" w14:textId="77777777">
      <w:pPr>
        <w:pStyle w:val="ListParagraph"/>
        <w:numPr>
          <w:ilvl w:val="0"/>
          <w:numId w:val="18"/>
        </w:numPr>
        <w:ind w:left="1080"/>
        <w:rPr>
          <w:sz w:val="26"/>
          <w:szCs w:val="26"/>
        </w:rPr>
      </w:pPr>
      <w:r>
        <w:rPr>
          <w:sz w:val="26"/>
          <w:szCs w:val="26"/>
        </w:rPr>
        <w:t xml:space="preserve">The cost of installation, provisioning, and configuration labor as </w:t>
      </w:r>
      <w:r>
        <w:rPr>
          <w:sz w:val="26"/>
          <w:szCs w:val="26"/>
        </w:rPr>
        <w:lastRenderedPageBreak/>
        <w:t>described in Section II.</w:t>
      </w:r>
    </w:p>
    <w:p w:rsidRPr="000C1FF7" w:rsidR="00081EFC" w:rsidP="0033369D" w:rsidRDefault="00081EFC" w14:paraId="35AFFB4A" w14:textId="77777777">
      <w:pPr>
        <w:pStyle w:val="ListParagraph"/>
        <w:numPr>
          <w:ilvl w:val="0"/>
          <w:numId w:val="18"/>
        </w:numPr>
        <w:ind w:left="1080"/>
        <w:rPr>
          <w:sz w:val="26"/>
          <w:szCs w:val="26"/>
        </w:rPr>
      </w:pPr>
      <w:r w:rsidRPr="000C1FF7">
        <w:rPr>
          <w:sz w:val="26"/>
          <w:szCs w:val="26"/>
        </w:rPr>
        <w:t>Any applicable taxes, shipping, and insurance costs that are directly related to broadband network equipment deployed under the BPHA.</w:t>
      </w:r>
    </w:p>
    <w:p w:rsidR="00081EFC" w:rsidP="0033369D" w:rsidRDefault="00081EFC" w14:paraId="3B48183B" w14:textId="77777777">
      <w:pPr>
        <w:pStyle w:val="ListParagraph"/>
        <w:numPr>
          <w:ilvl w:val="0"/>
          <w:numId w:val="17"/>
        </w:numPr>
        <w:rPr>
          <w:sz w:val="26"/>
          <w:szCs w:val="26"/>
        </w:rPr>
      </w:pPr>
      <w:r>
        <w:rPr>
          <w:sz w:val="26"/>
          <w:szCs w:val="26"/>
        </w:rPr>
        <w:t>Matching Funds to be provided by the application that include:</w:t>
      </w:r>
    </w:p>
    <w:p w:rsidRPr="000C1FF7" w:rsidR="00081EFC" w:rsidP="0033369D" w:rsidRDefault="00081EFC" w14:paraId="57D65ACF" w14:textId="77777777">
      <w:pPr>
        <w:pStyle w:val="ListParagraph"/>
        <w:numPr>
          <w:ilvl w:val="0"/>
          <w:numId w:val="19"/>
        </w:numPr>
        <w:ind w:left="1080"/>
        <w:rPr>
          <w:sz w:val="26"/>
          <w:szCs w:val="26"/>
        </w:rPr>
      </w:pPr>
      <w:r w:rsidRPr="000C1FF7">
        <w:rPr>
          <w:sz w:val="26"/>
          <w:szCs w:val="26"/>
        </w:rPr>
        <w:t>Monthly recurring Internet bandwidth cost for the five-year project period, post-project completion.</w:t>
      </w:r>
    </w:p>
    <w:p w:rsidRPr="000C1FF7" w:rsidR="00081EFC" w:rsidP="0033369D" w:rsidRDefault="00081EFC" w14:paraId="5566AD0F" w14:textId="77777777">
      <w:pPr>
        <w:pStyle w:val="ListParagraph"/>
        <w:numPr>
          <w:ilvl w:val="0"/>
          <w:numId w:val="19"/>
        </w:numPr>
        <w:ind w:left="1080"/>
        <w:rPr>
          <w:sz w:val="26"/>
          <w:szCs w:val="26"/>
        </w:rPr>
      </w:pPr>
      <w:r w:rsidRPr="000C1FF7">
        <w:rPr>
          <w:sz w:val="26"/>
          <w:szCs w:val="26"/>
        </w:rPr>
        <w:t>Operations and Maintenance (O&amp;M) cost to ensure the network and broadband services are operational for at least five years post completion of the project.</w:t>
      </w:r>
    </w:p>
    <w:p w:rsidR="00081EFC" w:rsidP="0033369D" w:rsidRDefault="00081EFC" w14:paraId="5F0A0DEF" w14:textId="77777777">
      <w:pPr>
        <w:pStyle w:val="ListParagraph"/>
        <w:numPr>
          <w:ilvl w:val="0"/>
          <w:numId w:val="17"/>
        </w:numPr>
        <w:rPr>
          <w:sz w:val="26"/>
          <w:szCs w:val="26"/>
        </w:rPr>
      </w:pPr>
      <w:r w:rsidRPr="00575D28">
        <w:rPr>
          <w:sz w:val="26"/>
          <w:szCs w:val="26"/>
        </w:rPr>
        <w:t>Project milestones with a delineated deployment schedule that includes:</w:t>
      </w:r>
    </w:p>
    <w:p w:rsidRPr="00575D28" w:rsidR="00081EFC" w:rsidP="0033369D" w:rsidRDefault="00081EFC" w14:paraId="1FC582D6" w14:textId="77777777">
      <w:pPr>
        <w:pStyle w:val="ListParagraph"/>
        <w:numPr>
          <w:ilvl w:val="0"/>
          <w:numId w:val="20"/>
        </w:numPr>
        <w:ind w:left="1080"/>
        <w:rPr>
          <w:sz w:val="26"/>
          <w:szCs w:val="26"/>
        </w:rPr>
      </w:pPr>
      <w:r w:rsidRPr="00575D28">
        <w:rPr>
          <w:sz w:val="26"/>
          <w:szCs w:val="26"/>
        </w:rPr>
        <w:t>A commitment timeline to complete the project within 12 months of Commission approval of the application.</w:t>
      </w:r>
    </w:p>
    <w:p w:rsidRPr="00575D28" w:rsidR="00081EFC" w:rsidP="0033369D" w:rsidRDefault="00081EFC" w14:paraId="77390CA1" w14:textId="77777777">
      <w:pPr>
        <w:pStyle w:val="ListParagraph"/>
        <w:numPr>
          <w:ilvl w:val="0"/>
          <w:numId w:val="20"/>
        </w:numPr>
        <w:rPr>
          <w:sz w:val="26"/>
          <w:szCs w:val="26"/>
        </w:rPr>
      </w:pPr>
      <w:r w:rsidRPr="00575D28">
        <w:rPr>
          <w:sz w:val="26"/>
          <w:szCs w:val="26"/>
        </w:rPr>
        <w:t>The schedule identifying major prerequisites such as a detailed project plan with a timeline including low voltage construction, network installation, provisioning and configuration, testing, submission of closeout package with project completion report, and any other milestones that can be verified by the Commission staff.</w:t>
      </w:r>
    </w:p>
    <w:p w:rsidRPr="00575D28" w:rsidR="00081EFC" w:rsidP="0033369D" w:rsidRDefault="00081EFC" w14:paraId="62A661DD" w14:textId="77777777">
      <w:pPr>
        <w:pStyle w:val="ListParagraph"/>
        <w:numPr>
          <w:ilvl w:val="0"/>
          <w:numId w:val="20"/>
        </w:numPr>
        <w:rPr>
          <w:sz w:val="26"/>
          <w:szCs w:val="26"/>
        </w:rPr>
      </w:pPr>
      <w:r w:rsidRPr="00575D28">
        <w:rPr>
          <w:sz w:val="26"/>
          <w:szCs w:val="26"/>
        </w:rPr>
        <w:t>While developing the schedule, the applicant must include the timeline required for California Environmental Quality Act (CEQA) or other relevant government agency permit review, if needed.</w:t>
      </w:r>
    </w:p>
    <w:p w:rsidRPr="00515354" w:rsidR="00081EFC" w:rsidP="0033369D" w:rsidRDefault="00081EFC" w14:paraId="24055259" w14:textId="77777777">
      <w:pPr>
        <w:pStyle w:val="ListParagraph"/>
        <w:numPr>
          <w:ilvl w:val="0"/>
          <w:numId w:val="20"/>
        </w:numPr>
        <w:rPr>
          <w:sz w:val="26"/>
          <w:szCs w:val="26"/>
        </w:rPr>
      </w:pPr>
      <w:r w:rsidRPr="00515354">
        <w:rPr>
          <w:sz w:val="26"/>
          <w:szCs w:val="26"/>
        </w:rPr>
        <w:t>While developing the schedule, the applicant must include the timeline required for California Environmental Quality Act (CEQA) or other relevant government agency permit review, if needed.</w:t>
      </w:r>
    </w:p>
    <w:p w:rsidRPr="000C1FF7" w:rsidR="00081EFC" w:rsidP="00081EFC" w:rsidRDefault="00081EFC" w14:paraId="7B34EBDB" w14:textId="77777777">
      <w:pPr>
        <w:pStyle w:val="ListParagraph"/>
        <w:ind w:left="1170" w:firstLine="0"/>
        <w:rPr>
          <w:sz w:val="26"/>
          <w:szCs w:val="26"/>
        </w:rPr>
      </w:pPr>
    </w:p>
    <w:p w:rsidR="00081EFC" w:rsidP="0033369D" w:rsidRDefault="00081EFC" w14:paraId="3849345C" w14:textId="77777777">
      <w:pPr>
        <w:pStyle w:val="ListParagraph"/>
        <w:numPr>
          <w:ilvl w:val="0"/>
          <w:numId w:val="12"/>
        </w:numPr>
        <w:rPr>
          <w:b/>
          <w:bCs/>
          <w:sz w:val="26"/>
          <w:szCs w:val="26"/>
        </w:rPr>
      </w:pPr>
      <w:r>
        <w:rPr>
          <w:sz w:val="26"/>
          <w:szCs w:val="26"/>
        </w:rPr>
        <w:t xml:space="preserve"> </w:t>
      </w:r>
      <w:r w:rsidRPr="00515354">
        <w:rPr>
          <w:b/>
          <w:bCs/>
          <w:sz w:val="26"/>
          <w:szCs w:val="26"/>
        </w:rPr>
        <w:t>Organizational Chart and Background</w:t>
      </w:r>
    </w:p>
    <w:p w:rsidR="00081EFC" w:rsidP="00081EFC" w:rsidRDefault="00081EFC" w14:paraId="6B6A7460" w14:textId="77777777">
      <w:pPr>
        <w:pStyle w:val="BodyText"/>
      </w:pPr>
      <w:r>
        <w:t>The applicant must submit an organizational chart showing the parent</w:t>
      </w:r>
      <w:r w:rsidRPr="00394667">
        <w:t xml:space="preserve"> </w:t>
      </w:r>
      <w:r>
        <w:t>organization,</w:t>
      </w:r>
      <w:r w:rsidRPr="00394667">
        <w:t xml:space="preserve"> </w:t>
      </w:r>
      <w:r>
        <w:t>subsidiaries,</w:t>
      </w:r>
      <w:r w:rsidRPr="00394667">
        <w:t xml:space="preserve"> </w:t>
      </w:r>
      <w:r>
        <w:t>and</w:t>
      </w:r>
      <w:r w:rsidRPr="00394667">
        <w:t xml:space="preserve"> </w:t>
      </w:r>
      <w:r>
        <w:t>affiliates.</w:t>
      </w:r>
    </w:p>
    <w:p w:rsidRPr="00515354" w:rsidR="00081EFC" w:rsidP="00860E5F" w:rsidRDefault="00081EFC" w14:paraId="6DFF8799" w14:textId="77777777">
      <w:pPr>
        <w:spacing w:line="240" w:lineRule="auto"/>
        <w:rPr>
          <w:b/>
          <w:bCs/>
          <w:szCs w:val="26"/>
        </w:rPr>
      </w:pPr>
    </w:p>
    <w:p w:rsidR="00081EFC" w:rsidP="00394667" w:rsidRDefault="00081EFC" w14:paraId="7F01FB2E" w14:textId="77777777">
      <w:pPr>
        <w:pStyle w:val="ListParagraph"/>
        <w:keepNext/>
        <w:keepLines/>
        <w:numPr>
          <w:ilvl w:val="0"/>
          <w:numId w:val="12"/>
        </w:numPr>
        <w:rPr>
          <w:b/>
          <w:bCs/>
          <w:sz w:val="26"/>
          <w:szCs w:val="26"/>
        </w:rPr>
      </w:pPr>
      <w:r w:rsidRPr="00515354">
        <w:rPr>
          <w:b/>
          <w:bCs/>
          <w:sz w:val="26"/>
          <w:szCs w:val="26"/>
        </w:rPr>
        <w:t>Economic Useful Life of Assets to be Funded</w:t>
      </w:r>
    </w:p>
    <w:p w:rsidR="00081EFC" w:rsidP="00394667" w:rsidRDefault="00081EFC" w14:paraId="0A0E04A2" w14:textId="16152C15">
      <w:pPr>
        <w:pStyle w:val="BodyText"/>
        <w:keepNext/>
        <w:keepLines/>
        <w:spacing w:before="1"/>
      </w:pPr>
      <w:r>
        <w:t>The</w:t>
      </w:r>
      <w:r>
        <w:rPr>
          <w:spacing w:val="-5"/>
        </w:rPr>
        <w:t xml:space="preserve"> </w:t>
      </w:r>
      <w:r>
        <w:t>applicant</w:t>
      </w:r>
      <w:r>
        <w:rPr>
          <w:spacing w:val="-4"/>
        </w:rPr>
        <w:t xml:space="preserve"> </w:t>
      </w:r>
      <w:r>
        <w:t>must</w:t>
      </w:r>
      <w:r>
        <w:rPr>
          <w:spacing w:val="-4"/>
        </w:rPr>
        <w:t xml:space="preserve"> </w:t>
      </w:r>
      <w:r>
        <w:t>identify</w:t>
      </w:r>
      <w:r>
        <w:rPr>
          <w:spacing w:val="-2"/>
        </w:rPr>
        <w:t xml:space="preserve"> </w:t>
      </w:r>
      <w:r>
        <w:t>the</w:t>
      </w:r>
      <w:r>
        <w:rPr>
          <w:spacing w:val="-4"/>
        </w:rPr>
        <w:t xml:space="preserve"> </w:t>
      </w:r>
      <w:r>
        <w:t>expected</w:t>
      </w:r>
      <w:r>
        <w:rPr>
          <w:spacing w:val="-2"/>
        </w:rPr>
        <w:t xml:space="preserve"> </w:t>
      </w:r>
      <w:r>
        <w:t>economic</w:t>
      </w:r>
      <w:r>
        <w:rPr>
          <w:spacing w:val="-4"/>
        </w:rPr>
        <w:t xml:space="preserve"> </w:t>
      </w:r>
      <w:r>
        <w:t>useful</w:t>
      </w:r>
      <w:r>
        <w:rPr>
          <w:spacing w:val="-5"/>
        </w:rPr>
        <w:t xml:space="preserve"> </w:t>
      </w:r>
      <w:r>
        <w:t>life</w:t>
      </w:r>
      <w:r>
        <w:rPr>
          <w:spacing w:val="5"/>
        </w:rPr>
        <w:t xml:space="preserve"> </w:t>
      </w:r>
      <w:r>
        <w:t>of</w:t>
      </w:r>
      <w:r>
        <w:rPr>
          <w:spacing w:val="-4"/>
        </w:rPr>
        <w:t xml:space="preserve"> </w:t>
      </w:r>
      <w:r>
        <w:t>the</w:t>
      </w:r>
      <w:r>
        <w:rPr>
          <w:spacing w:val="-4"/>
        </w:rPr>
        <w:t xml:space="preserve"> </w:t>
      </w:r>
      <w:r>
        <w:t>assets</w:t>
      </w:r>
      <w:r w:rsidR="00B10E07">
        <w:t xml:space="preserve"> </w:t>
      </w:r>
      <w:r>
        <w:t>funded</w:t>
      </w:r>
      <w:r>
        <w:rPr>
          <w:spacing w:val="-2"/>
        </w:rPr>
        <w:t xml:space="preserve"> </w:t>
      </w:r>
      <w:r>
        <w:t>by</w:t>
      </w:r>
      <w:r>
        <w:rPr>
          <w:spacing w:val="-1"/>
        </w:rPr>
        <w:t xml:space="preserve"> </w:t>
      </w:r>
      <w:r>
        <w:t>the</w:t>
      </w:r>
      <w:r>
        <w:rPr>
          <w:spacing w:val="2"/>
        </w:rPr>
        <w:t xml:space="preserve"> </w:t>
      </w:r>
      <w:r>
        <w:t>BPHA</w:t>
      </w:r>
      <w:r>
        <w:rPr>
          <w:spacing w:val="1"/>
        </w:rPr>
        <w:t xml:space="preserve"> </w:t>
      </w:r>
      <w:r>
        <w:t>grant.</w:t>
      </w:r>
    </w:p>
    <w:p w:rsidRPr="00515354" w:rsidR="00081EFC" w:rsidP="00081EFC" w:rsidRDefault="00081EFC" w14:paraId="56D46423" w14:textId="77777777">
      <w:pPr>
        <w:pStyle w:val="BodyText"/>
        <w:spacing w:before="1"/>
        <w:ind w:right="169"/>
      </w:pPr>
    </w:p>
    <w:p w:rsidR="00081EFC" w:rsidP="0033369D" w:rsidRDefault="00081EFC" w14:paraId="2D126FC7" w14:textId="77777777">
      <w:pPr>
        <w:pStyle w:val="ListParagraph"/>
        <w:keepNext/>
        <w:keepLines/>
        <w:numPr>
          <w:ilvl w:val="0"/>
          <w:numId w:val="12"/>
        </w:numPr>
        <w:rPr>
          <w:b/>
          <w:bCs/>
          <w:sz w:val="26"/>
          <w:szCs w:val="26"/>
        </w:rPr>
      </w:pPr>
      <w:r w:rsidRPr="00515354">
        <w:rPr>
          <w:b/>
          <w:bCs/>
          <w:sz w:val="26"/>
          <w:szCs w:val="26"/>
        </w:rPr>
        <w:t>Commitment to Providing Broadband Service at No-Cost-to-Residents</w:t>
      </w:r>
    </w:p>
    <w:p w:rsidR="00081EFC" w:rsidP="00394667" w:rsidRDefault="00081EFC" w14:paraId="3756EFB3" w14:textId="77777777">
      <w:pPr>
        <w:keepNext/>
        <w:keepLines/>
        <w:spacing w:line="240" w:lineRule="auto"/>
        <w:ind w:firstLine="0"/>
        <w:rPr>
          <w:szCs w:val="26"/>
        </w:rPr>
      </w:pPr>
      <w:r w:rsidRPr="00515354">
        <w:rPr>
          <w:szCs w:val="26"/>
        </w:rPr>
        <w:t xml:space="preserve">The applicant must attest to </w:t>
      </w:r>
      <w:r>
        <w:rPr>
          <w:szCs w:val="26"/>
        </w:rPr>
        <w:t>committing to offer</w:t>
      </w:r>
      <w:r w:rsidRPr="00515354">
        <w:rPr>
          <w:szCs w:val="26"/>
        </w:rPr>
        <w:t xml:space="preserve"> broadband service that meets or exceeds state standards</w:t>
      </w:r>
      <w:r>
        <w:rPr>
          <w:szCs w:val="26"/>
        </w:rPr>
        <w:t xml:space="preserve"> as defined by these Guidelines</w:t>
      </w:r>
      <w:r w:rsidRPr="00515354">
        <w:rPr>
          <w:szCs w:val="26"/>
        </w:rPr>
        <w:t xml:space="preserve"> </w:t>
      </w:r>
      <w:r>
        <w:rPr>
          <w:szCs w:val="26"/>
        </w:rPr>
        <w:t xml:space="preserve">at no cost </w:t>
      </w:r>
      <w:r w:rsidRPr="00515354">
        <w:rPr>
          <w:szCs w:val="26"/>
        </w:rPr>
        <w:t>to residents of the low-income community(</w:t>
      </w:r>
      <w:proofErr w:type="spellStart"/>
      <w:r w:rsidRPr="00515354">
        <w:rPr>
          <w:szCs w:val="26"/>
        </w:rPr>
        <w:t>ies</w:t>
      </w:r>
      <w:proofErr w:type="spellEnd"/>
      <w:r w:rsidRPr="00515354">
        <w:rPr>
          <w:szCs w:val="26"/>
        </w:rPr>
        <w:t xml:space="preserve">).   </w:t>
      </w:r>
    </w:p>
    <w:p w:rsidRPr="00515354" w:rsidR="00081EFC" w:rsidP="00081EFC" w:rsidRDefault="00081EFC" w14:paraId="1D3667AB" w14:textId="77777777">
      <w:pPr>
        <w:keepNext/>
        <w:keepLines/>
        <w:spacing w:line="240" w:lineRule="auto"/>
        <w:rPr>
          <w:szCs w:val="26"/>
        </w:rPr>
      </w:pPr>
    </w:p>
    <w:p w:rsidR="00081EFC" w:rsidP="0033369D" w:rsidRDefault="00081EFC" w14:paraId="4B33C318" w14:textId="77777777">
      <w:pPr>
        <w:pStyle w:val="ListParagraph"/>
        <w:numPr>
          <w:ilvl w:val="0"/>
          <w:numId w:val="12"/>
        </w:numPr>
        <w:rPr>
          <w:b/>
          <w:bCs/>
          <w:sz w:val="26"/>
          <w:szCs w:val="26"/>
        </w:rPr>
      </w:pPr>
      <w:r w:rsidRPr="00515354">
        <w:rPr>
          <w:b/>
          <w:bCs/>
          <w:sz w:val="26"/>
          <w:szCs w:val="26"/>
        </w:rPr>
        <w:t>Permitting Compliance</w:t>
      </w:r>
    </w:p>
    <w:p w:rsidR="00081EFC" w:rsidP="00081EFC" w:rsidRDefault="00081EFC" w14:paraId="1BD03D7F" w14:textId="77777777">
      <w:pPr>
        <w:pStyle w:val="BodyText"/>
      </w:pPr>
      <w:r>
        <w:t>The applicant should state whether the project is statutorily or</w:t>
      </w:r>
      <w:r>
        <w:rPr>
          <w:spacing w:val="1"/>
        </w:rPr>
        <w:t xml:space="preserve"> </w:t>
      </w:r>
      <w:r>
        <w:t xml:space="preserve">categorically </w:t>
      </w:r>
      <w:r>
        <w:lastRenderedPageBreak/>
        <w:t>exempt from CEQA requirements and cite the relevant</w:t>
      </w:r>
      <w:r>
        <w:rPr>
          <w:spacing w:val="1"/>
        </w:rPr>
        <w:t xml:space="preserve"> </w:t>
      </w:r>
      <w:r>
        <w:t>authority,</w:t>
      </w:r>
      <w:r>
        <w:rPr>
          <w:spacing w:val="-4"/>
        </w:rPr>
        <w:t xml:space="preserve"> </w:t>
      </w:r>
      <w:r>
        <w:t>as</w:t>
      </w:r>
      <w:r>
        <w:rPr>
          <w:spacing w:val="-3"/>
        </w:rPr>
        <w:t xml:space="preserve"> </w:t>
      </w:r>
      <w:r>
        <w:t>applicable.</w:t>
      </w:r>
      <w:r>
        <w:rPr>
          <w:spacing w:val="59"/>
        </w:rPr>
        <w:t xml:space="preserve"> </w:t>
      </w:r>
      <w:r>
        <w:t>If</w:t>
      </w:r>
      <w:r>
        <w:rPr>
          <w:spacing w:val="-4"/>
        </w:rPr>
        <w:t xml:space="preserve"> </w:t>
      </w:r>
      <w:r>
        <w:t>a</w:t>
      </w:r>
      <w:r>
        <w:rPr>
          <w:spacing w:val="-1"/>
        </w:rPr>
        <w:t xml:space="preserve"> </w:t>
      </w:r>
      <w:r>
        <w:t>project</w:t>
      </w:r>
      <w:r>
        <w:rPr>
          <w:spacing w:val="-2"/>
        </w:rPr>
        <w:t xml:space="preserve"> </w:t>
      </w:r>
      <w:r>
        <w:t>does require</w:t>
      </w:r>
      <w:r>
        <w:rPr>
          <w:spacing w:val="-4"/>
        </w:rPr>
        <w:t xml:space="preserve"> </w:t>
      </w:r>
      <w:r>
        <w:t>review</w:t>
      </w:r>
      <w:r>
        <w:rPr>
          <w:spacing w:val="-3"/>
        </w:rPr>
        <w:t xml:space="preserve"> </w:t>
      </w:r>
      <w:r>
        <w:t>under CEQA,</w:t>
      </w:r>
      <w:r>
        <w:rPr>
          <w:spacing w:val="-3"/>
        </w:rPr>
        <w:t xml:space="preserve"> </w:t>
      </w:r>
      <w:r>
        <w:t>the</w:t>
      </w:r>
      <w:r>
        <w:rPr>
          <w:spacing w:val="-62"/>
        </w:rPr>
        <w:t xml:space="preserve"> </w:t>
      </w:r>
      <w:r>
        <w:t>grantee must provide the Proponent’s Environmental Assessment (PEA)</w:t>
      </w:r>
      <w:r>
        <w:rPr>
          <w:spacing w:val="1"/>
        </w:rPr>
        <w:t xml:space="preserve"> </w:t>
      </w:r>
      <w:r>
        <w:t>prior</w:t>
      </w:r>
      <w:r>
        <w:rPr>
          <w:spacing w:val="-3"/>
        </w:rPr>
        <w:t xml:space="preserve"> </w:t>
      </w:r>
      <w:r>
        <w:t>to</w:t>
      </w:r>
      <w:r>
        <w:rPr>
          <w:spacing w:val="-4"/>
        </w:rPr>
        <w:t xml:space="preserve"> </w:t>
      </w:r>
      <w:r>
        <w:t>the</w:t>
      </w:r>
      <w:r>
        <w:rPr>
          <w:spacing w:val="-2"/>
        </w:rPr>
        <w:t xml:space="preserve"> </w:t>
      </w:r>
      <w:r>
        <w:t>first</w:t>
      </w:r>
      <w:r>
        <w:rPr>
          <w:spacing w:val="-4"/>
        </w:rPr>
        <w:t xml:space="preserve"> </w:t>
      </w:r>
      <w:r>
        <w:t>25</w:t>
      </w:r>
      <w:r>
        <w:rPr>
          <w:spacing w:val="-4"/>
        </w:rPr>
        <w:t xml:space="preserve"> </w:t>
      </w:r>
      <w:r>
        <w:t>percent</w:t>
      </w:r>
      <w:r>
        <w:rPr>
          <w:spacing w:val="-3"/>
        </w:rPr>
        <w:t xml:space="preserve"> </w:t>
      </w:r>
      <w:r>
        <w:t>payment.</w:t>
      </w:r>
      <w:r>
        <w:rPr>
          <w:spacing w:val="59"/>
        </w:rPr>
        <w:t xml:space="preserve"> </w:t>
      </w:r>
      <w:r>
        <w:t>The</w:t>
      </w:r>
      <w:r>
        <w:rPr>
          <w:spacing w:val="-1"/>
        </w:rPr>
        <w:t xml:space="preserve"> </w:t>
      </w:r>
      <w:r>
        <w:t>PEA</w:t>
      </w:r>
      <w:r>
        <w:rPr>
          <w:spacing w:val="-4"/>
        </w:rPr>
        <w:t xml:space="preserve"> </w:t>
      </w:r>
      <w:r>
        <w:t>submission</w:t>
      </w:r>
      <w:r>
        <w:rPr>
          <w:spacing w:val="-3"/>
        </w:rPr>
        <w:t xml:space="preserve"> </w:t>
      </w:r>
      <w:r>
        <w:t>should</w:t>
      </w:r>
      <w:r>
        <w:rPr>
          <w:spacing w:val="-2"/>
        </w:rPr>
        <w:t xml:space="preserve"> </w:t>
      </w:r>
      <w:r>
        <w:t>include</w:t>
      </w:r>
      <w:r>
        <w:rPr>
          <w:spacing w:val="-62"/>
        </w:rPr>
        <w:t xml:space="preserve"> </w:t>
      </w:r>
      <w:r>
        <w:t>information on any land crossing sites requiring discretionary or</w:t>
      </w:r>
      <w:r>
        <w:rPr>
          <w:spacing w:val="1"/>
        </w:rPr>
        <w:t xml:space="preserve"> </w:t>
      </w:r>
      <w:r>
        <w:t>mandatory permits or environmental review pursuant to CEQA (include</w:t>
      </w:r>
      <w:r>
        <w:rPr>
          <w:spacing w:val="1"/>
        </w:rPr>
        <w:t xml:space="preserve"> </w:t>
      </w:r>
      <w:r>
        <w:t>the type of permit required, the name of the permitting agency/agencies</w:t>
      </w:r>
      <w:r>
        <w:rPr>
          <w:spacing w:val="1"/>
        </w:rPr>
        <w:t xml:space="preserve"> </w:t>
      </w:r>
      <w:r>
        <w:t>and</w:t>
      </w:r>
      <w:r>
        <w:rPr>
          <w:spacing w:val="-2"/>
        </w:rPr>
        <w:t xml:space="preserve"> </w:t>
      </w:r>
      <w:r>
        <w:t>the</w:t>
      </w:r>
      <w:r>
        <w:rPr>
          <w:spacing w:val="-1"/>
        </w:rPr>
        <w:t xml:space="preserve"> </w:t>
      </w:r>
      <w:r>
        <w:t>Lead</w:t>
      </w:r>
      <w:r>
        <w:rPr>
          <w:spacing w:val="1"/>
        </w:rPr>
        <w:t xml:space="preserve"> </w:t>
      </w:r>
      <w:r>
        <w:t>Agency if</w:t>
      </w:r>
      <w:r>
        <w:rPr>
          <w:spacing w:val="-1"/>
        </w:rPr>
        <w:t xml:space="preserve"> </w:t>
      </w:r>
      <w:r>
        <w:t>an</w:t>
      </w:r>
      <w:r>
        <w:rPr>
          <w:spacing w:val="-2"/>
        </w:rPr>
        <w:t xml:space="preserve"> </w:t>
      </w:r>
      <w:r>
        <w:t>environmental</w:t>
      </w:r>
      <w:r>
        <w:rPr>
          <w:spacing w:val="1"/>
        </w:rPr>
        <w:t xml:space="preserve"> </w:t>
      </w:r>
      <w:r>
        <w:t>review</w:t>
      </w:r>
      <w:r>
        <w:rPr>
          <w:spacing w:val="-2"/>
        </w:rPr>
        <w:t xml:space="preserve"> </w:t>
      </w:r>
      <w:r>
        <w:t>is</w:t>
      </w:r>
      <w:r>
        <w:rPr>
          <w:spacing w:val="-2"/>
        </w:rPr>
        <w:t xml:space="preserve"> </w:t>
      </w:r>
      <w:r>
        <w:t>required).</w:t>
      </w:r>
    </w:p>
    <w:p w:rsidR="00081EFC" w:rsidP="00081EFC" w:rsidRDefault="00081EFC" w14:paraId="1ED3F972" w14:textId="77777777">
      <w:pPr>
        <w:pStyle w:val="BodyText"/>
        <w:ind w:right="346"/>
      </w:pPr>
    </w:p>
    <w:p w:rsidR="00081EFC" w:rsidP="00081EFC" w:rsidRDefault="00081EFC" w14:paraId="451548C1" w14:textId="77777777">
      <w:pPr>
        <w:pStyle w:val="BodyText"/>
      </w:pPr>
      <w:r>
        <w:t>Additionally, applicants must include any applicable permit review</w:t>
      </w:r>
      <w:r>
        <w:rPr>
          <w:spacing w:val="1"/>
        </w:rPr>
        <w:t xml:space="preserve"> </w:t>
      </w:r>
      <w:r>
        <w:t>timeline</w:t>
      </w:r>
      <w:r>
        <w:rPr>
          <w:spacing w:val="-4"/>
        </w:rPr>
        <w:t xml:space="preserve"> </w:t>
      </w:r>
      <w:r>
        <w:t>in</w:t>
      </w:r>
      <w:r>
        <w:rPr>
          <w:spacing w:val="-2"/>
        </w:rPr>
        <w:t xml:space="preserve"> </w:t>
      </w:r>
      <w:r>
        <w:t>its</w:t>
      </w:r>
      <w:r>
        <w:rPr>
          <w:spacing w:val="-4"/>
        </w:rPr>
        <w:t xml:space="preserve"> </w:t>
      </w:r>
      <w:r>
        <w:t>construction</w:t>
      </w:r>
      <w:r>
        <w:rPr>
          <w:spacing w:val="-2"/>
        </w:rPr>
        <w:t xml:space="preserve"> </w:t>
      </w:r>
      <w:r>
        <w:t>schedule,</w:t>
      </w:r>
      <w:r>
        <w:rPr>
          <w:spacing w:val="-4"/>
        </w:rPr>
        <w:t xml:space="preserve"> </w:t>
      </w:r>
      <w:r>
        <w:t>with</w:t>
      </w:r>
      <w:r>
        <w:rPr>
          <w:spacing w:val="-5"/>
        </w:rPr>
        <w:t xml:space="preserve"> </w:t>
      </w:r>
      <w:r>
        <w:t>a</w:t>
      </w:r>
      <w:r>
        <w:rPr>
          <w:spacing w:val="-5"/>
        </w:rPr>
        <w:t xml:space="preserve"> </w:t>
      </w:r>
      <w:r>
        <w:t>reference</w:t>
      </w:r>
      <w:r>
        <w:rPr>
          <w:spacing w:val="-4"/>
        </w:rPr>
        <w:t xml:space="preserve"> </w:t>
      </w:r>
      <w:r>
        <w:t>to</w:t>
      </w:r>
      <w:r>
        <w:rPr>
          <w:spacing w:val="-5"/>
        </w:rPr>
        <w:t xml:space="preserve"> </w:t>
      </w:r>
      <w:r>
        <w:t>the</w:t>
      </w:r>
      <w:r>
        <w:rPr>
          <w:spacing w:val="-3"/>
        </w:rPr>
        <w:t xml:space="preserve"> </w:t>
      </w:r>
      <w:r>
        <w:t>government agencies that will issue the permits.</w:t>
      </w:r>
      <w:r>
        <w:rPr>
          <w:spacing w:val="1"/>
        </w:rPr>
        <w:t xml:space="preserve"> </w:t>
      </w:r>
      <w:r>
        <w:t>Grantees must provide staff with</w:t>
      </w:r>
      <w:r>
        <w:rPr>
          <w:spacing w:val="1"/>
        </w:rPr>
        <w:t xml:space="preserve"> </w:t>
      </w:r>
      <w:r>
        <w:t>proof</w:t>
      </w:r>
      <w:r>
        <w:rPr>
          <w:spacing w:val="-2"/>
        </w:rPr>
        <w:t xml:space="preserve"> </w:t>
      </w:r>
      <w:r>
        <w:t>of</w:t>
      </w:r>
      <w:r>
        <w:rPr>
          <w:spacing w:val="-2"/>
        </w:rPr>
        <w:t xml:space="preserve"> </w:t>
      </w:r>
      <w:r>
        <w:t>permit</w:t>
      </w:r>
      <w:r>
        <w:rPr>
          <w:spacing w:val="-2"/>
        </w:rPr>
        <w:t xml:space="preserve"> </w:t>
      </w:r>
      <w:r>
        <w:t>approvals</w:t>
      </w:r>
      <w:r>
        <w:rPr>
          <w:spacing w:val="-2"/>
        </w:rPr>
        <w:t xml:space="preserve"> </w:t>
      </w:r>
      <w:r>
        <w:t>before</w:t>
      </w:r>
      <w:r>
        <w:rPr>
          <w:spacing w:val="-2"/>
        </w:rPr>
        <w:t xml:space="preserve"> </w:t>
      </w:r>
      <w:r>
        <w:t>seeking</w:t>
      </w:r>
      <w:r>
        <w:rPr>
          <w:spacing w:val="1"/>
        </w:rPr>
        <w:t xml:space="preserve"> </w:t>
      </w:r>
      <w:r>
        <w:t>reimbursement.</w:t>
      </w:r>
    </w:p>
    <w:p w:rsidRPr="00515354" w:rsidR="00081EFC" w:rsidP="00081EFC" w:rsidRDefault="00081EFC" w14:paraId="5C94F2BF" w14:textId="77777777">
      <w:pPr>
        <w:rPr>
          <w:b/>
          <w:bCs/>
          <w:szCs w:val="26"/>
        </w:rPr>
      </w:pPr>
    </w:p>
    <w:p w:rsidR="00081EFC" w:rsidP="00394667" w:rsidRDefault="00081EFC" w14:paraId="59317309" w14:textId="77777777">
      <w:pPr>
        <w:pStyle w:val="ListParagraph"/>
        <w:keepNext/>
        <w:keepLines/>
        <w:numPr>
          <w:ilvl w:val="0"/>
          <w:numId w:val="12"/>
        </w:numPr>
        <w:rPr>
          <w:b/>
          <w:bCs/>
          <w:sz w:val="26"/>
          <w:szCs w:val="26"/>
        </w:rPr>
      </w:pPr>
      <w:r w:rsidRPr="00515354">
        <w:rPr>
          <w:b/>
          <w:bCs/>
          <w:sz w:val="26"/>
          <w:szCs w:val="26"/>
        </w:rPr>
        <w:t>Affidavit</w:t>
      </w:r>
    </w:p>
    <w:p w:rsidR="00081EFC" w:rsidP="00394667" w:rsidRDefault="00081EFC" w14:paraId="5916FE74" w14:textId="77777777">
      <w:pPr>
        <w:keepNext/>
        <w:keepLines/>
        <w:spacing w:after="240" w:line="240" w:lineRule="auto"/>
        <w:ind w:firstLine="0"/>
        <w:rPr>
          <w:szCs w:val="26"/>
        </w:rPr>
      </w:pPr>
      <w:r w:rsidRPr="00515354">
        <w:rPr>
          <w:szCs w:val="26"/>
        </w:rPr>
        <w:t>An applicant must submit an affidavit</w:t>
      </w:r>
      <w:r>
        <w:rPr>
          <w:szCs w:val="26"/>
        </w:rPr>
        <w:t>, under penalty of perjury, containing at minimum the following attestations, the final form of which will be made available on the Commission’s website:</w:t>
      </w:r>
    </w:p>
    <w:p w:rsidRPr="00515354" w:rsidR="00081EFC" w:rsidP="0033369D" w:rsidRDefault="00081EFC" w14:paraId="622C8E57" w14:textId="77777777">
      <w:pPr>
        <w:pStyle w:val="ListParagraph"/>
        <w:numPr>
          <w:ilvl w:val="0"/>
          <w:numId w:val="21"/>
        </w:numPr>
        <w:rPr>
          <w:sz w:val="26"/>
          <w:szCs w:val="26"/>
        </w:rPr>
      </w:pPr>
      <w:r w:rsidRPr="00515354">
        <w:rPr>
          <w:sz w:val="26"/>
          <w:szCs w:val="26"/>
        </w:rPr>
        <w:t xml:space="preserve">Applicant agrees that by receiving a CASF grant, the grantee agrees to comply with the terms, conditions, and requirements of the grant and thus submits to the jurisdiction of the Commission with respect to the disbursement and administration of the grant. </w:t>
      </w:r>
    </w:p>
    <w:p w:rsidRPr="00515354" w:rsidR="00081EFC" w:rsidP="0033369D" w:rsidRDefault="00081EFC" w14:paraId="625D9684" w14:textId="77777777">
      <w:pPr>
        <w:pStyle w:val="ListParagraph"/>
        <w:numPr>
          <w:ilvl w:val="0"/>
          <w:numId w:val="21"/>
        </w:numPr>
        <w:rPr>
          <w:sz w:val="26"/>
          <w:szCs w:val="26"/>
        </w:rPr>
      </w:pPr>
      <w:r w:rsidRPr="00515354">
        <w:rPr>
          <w:sz w:val="26"/>
          <w:szCs w:val="26"/>
        </w:rPr>
        <w:t>Applicant agrees to abide by the CASF program rules the Commission established as well as all other applicable state and federal rules and regulations concerning broadband services.</w:t>
      </w:r>
    </w:p>
    <w:p w:rsidR="00081EFC" w:rsidP="0033369D" w:rsidRDefault="00081EFC" w14:paraId="3B6429E8" w14:textId="619983C6">
      <w:pPr>
        <w:pStyle w:val="ListParagraph"/>
        <w:numPr>
          <w:ilvl w:val="0"/>
          <w:numId w:val="21"/>
        </w:numPr>
        <w:rPr>
          <w:sz w:val="26"/>
          <w:szCs w:val="26"/>
        </w:rPr>
      </w:pPr>
      <w:r w:rsidRPr="049644BE">
        <w:rPr>
          <w:sz w:val="26"/>
          <w:szCs w:val="26"/>
        </w:rPr>
        <w:t xml:space="preserve">Applicant agrees to abide by the Commission’s Rules of Practice and Procedure and applicable statutes, and to be subject to Public Utilities Code </w:t>
      </w:r>
      <w:r w:rsidR="008C47B0">
        <w:rPr>
          <w:sz w:val="26"/>
          <w:szCs w:val="26"/>
        </w:rPr>
        <w:t>s</w:t>
      </w:r>
      <w:r w:rsidRPr="049644BE">
        <w:rPr>
          <w:sz w:val="26"/>
          <w:szCs w:val="26"/>
        </w:rPr>
        <w:t>ections 2108 and 2111.</w:t>
      </w:r>
    </w:p>
    <w:p w:rsidR="00081EFC" w:rsidP="0033369D" w:rsidRDefault="00081EFC" w14:paraId="0CA88EF6" w14:textId="77777777">
      <w:pPr>
        <w:pStyle w:val="ListParagraph"/>
        <w:numPr>
          <w:ilvl w:val="0"/>
          <w:numId w:val="21"/>
        </w:numPr>
        <w:rPr>
          <w:rFonts w:asciiTheme="minorHAnsi" w:hAnsiTheme="minorHAnsi" w:eastAsiaTheme="minorEastAsia" w:cstheme="minorBidi"/>
          <w:sz w:val="26"/>
          <w:szCs w:val="26"/>
        </w:rPr>
      </w:pPr>
      <w:r w:rsidRPr="1D7C24D6">
        <w:rPr>
          <w:sz w:val="26"/>
          <w:szCs w:val="26"/>
        </w:rPr>
        <w:t>Applicant agrees that no officer, director, or partner of the Applicant or its Fiscal Agent has: 1) filed for bankruptcy; 2) was sanctioned by the Federal Communications Commission or any state regulatory agency for failure to comply with any regulatory statute, rule, or order; nor 3) has been found either civilly or criminally liable by a court of appropriate jurisdiction for violation of § 1700 et. seq. of the California Business and Professions Code, or for any action which involved misrepresentations to consumers, nor is currently under investigation for similar violations.</w:t>
      </w:r>
    </w:p>
    <w:p w:rsidRPr="00515354" w:rsidR="00081EFC" w:rsidP="0033369D" w:rsidRDefault="00081EFC" w14:paraId="39813980" w14:textId="77777777">
      <w:pPr>
        <w:pStyle w:val="ListParagraph"/>
        <w:numPr>
          <w:ilvl w:val="0"/>
          <w:numId w:val="21"/>
        </w:numPr>
        <w:rPr>
          <w:rFonts w:asciiTheme="minorHAnsi" w:hAnsiTheme="minorHAnsi" w:eastAsiaTheme="minorEastAsia" w:cstheme="minorBidi"/>
          <w:sz w:val="26"/>
          <w:szCs w:val="26"/>
        </w:rPr>
      </w:pPr>
      <w:r w:rsidRPr="1D7C24D6">
        <w:rPr>
          <w:sz w:val="26"/>
          <w:szCs w:val="26"/>
        </w:rPr>
        <w:t xml:space="preserve">Applicant affirms </w:t>
      </w:r>
      <w:r w:rsidRPr="1D7C24D6">
        <w:rPr>
          <w:color w:val="000000" w:themeColor="text1"/>
          <w:sz w:val="25"/>
          <w:szCs w:val="25"/>
        </w:rPr>
        <w:t xml:space="preserve">that the low-income community the project seeks to serve does not have access to free broadband service that meets or exceeds state </w:t>
      </w:r>
      <w:r w:rsidRPr="1D7C24D6">
        <w:rPr>
          <w:color w:val="000000" w:themeColor="text1"/>
          <w:sz w:val="25"/>
          <w:szCs w:val="25"/>
        </w:rPr>
        <w:lastRenderedPageBreak/>
        <w:t>standards as defined in these Guidelines.</w:t>
      </w:r>
      <w:r w:rsidRPr="1D7C24D6">
        <w:rPr>
          <w:sz w:val="26"/>
          <w:szCs w:val="26"/>
        </w:rPr>
        <w:t xml:space="preserve"> </w:t>
      </w:r>
    </w:p>
    <w:p w:rsidRPr="00515354" w:rsidR="00081EFC" w:rsidP="0033369D" w:rsidRDefault="00081EFC" w14:paraId="2D87BDF1" w14:textId="77777777">
      <w:pPr>
        <w:pStyle w:val="ListParagraph"/>
        <w:numPr>
          <w:ilvl w:val="0"/>
          <w:numId w:val="21"/>
        </w:numPr>
        <w:rPr>
          <w:sz w:val="26"/>
          <w:szCs w:val="26"/>
        </w:rPr>
      </w:pPr>
      <w:r w:rsidRPr="1D7C24D6">
        <w:rPr>
          <w:sz w:val="26"/>
          <w:szCs w:val="26"/>
        </w:rPr>
        <w:t>Applicant agrees to provide broadband service that meets or exceeds state standards as defined by these Guidelines at no cost to residents of the low-income community the project is intended to serve upon project completion.</w:t>
      </w:r>
    </w:p>
    <w:p w:rsidR="00081EFC" w:rsidP="00081EFC" w:rsidRDefault="00081EFC" w14:paraId="4B8E833E" w14:textId="77777777">
      <w:pPr>
        <w:rPr>
          <w:rFonts w:eastAsia="Book Antiqua" w:cs="Book Antiqua"/>
          <w:szCs w:val="26"/>
        </w:rPr>
      </w:pPr>
    </w:p>
    <w:p w:rsidR="00081EFC" w:rsidP="0033369D" w:rsidRDefault="00081EFC" w14:paraId="354DC04F" w14:textId="77777777">
      <w:pPr>
        <w:pStyle w:val="ListParagraph"/>
        <w:numPr>
          <w:ilvl w:val="0"/>
          <w:numId w:val="12"/>
        </w:numPr>
        <w:rPr>
          <w:b/>
          <w:bCs/>
          <w:sz w:val="26"/>
          <w:szCs w:val="26"/>
        </w:rPr>
      </w:pPr>
      <w:r w:rsidRPr="00C561FB">
        <w:rPr>
          <w:b/>
          <w:bCs/>
          <w:sz w:val="26"/>
          <w:szCs w:val="26"/>
        </w:rPr>
        <w:t xml:space="preserve">Applicant-Specific Documents </w:t>
      </w:r>
      <w:r>
        <w:rPr>
          <w:b/>
          <w:bCs/>
          <w:sz w:val="26"/>
          <w:szCs w:val="26"/>
        </w:rPr>
        <w:t xml:space="preserve">and Information </w:t>
      </w:r>
      <w:r w:rsidRPr="00C561FB">
        <w:rPr>
          <w:b/>
          <w:bCs/>
          <w:sz w:val="26"/>
          <w:szCs w:val="26"/>
        </w:rPr>
        <w:t xml:space="preserve">Required </w:t>
      </w:r>
    </w:p>
    <w:p w:rsidRPr="007C7B15" w:rsidR="00081EFC" w:rsidP="00081EFC" w:rsidRDefault="00081EFC" w14:paraId="02D767ED" w14:textId="77777777">
      <w:pPr>
        <w:pStyle w:val="BodyText"/>
      </w:pPr>
      <w:r w:rsidRPr="00C561FB">
        <w:t xml:space="preserve">A </w:t>
      </w:r>
      <w:r>
        <w:t>publicly supported housing development</w:t>
      </w:r>
      <w:r w:rsidRPr="00C561FB">
        <w:t xml:space="preserve"> applying for BPHA funds must include in its</w:t>
      </w:r>
      <w:r w:rsidRPr="00C561FB">
        <w:rPr>
          <w:spacing w:val="1"/>
        </w:rPr>
        <w:t xml:space="preserve"> </w:t>
      </w:r>
      <w:r w:rsidRPr="00C561FB">
        <w:t>submission</w:t>
      </w:r>
      <w:r w:rsidRPr="00C561FB">
        <w:rPr>
          <w:spacing w:val="-4"/>
        </w:rPr>
        <w:t xml:space="preserve"> </w:t>
      </w:r>
      <w:r w:rsidRPr="00C561FB">
        <w:t>the</w:t>
      </w:r>
      <w:r w:rsidRPr="00C561FB">
        <w:rPr>
          <w:spacing w:val="-1"/>
        </w:rPr>
        <w:t xml:space="preserve"> </w:t>
      </w:r>
      <w:r w:rsidRPr="00C561FB">
        <w:t>Annual</w:t>
      </w:r>
      <w:r w:rsidRPr="00C561FB">
        <w:rPr>
          <w:spacing w:val="-5"/>
        </w:rPr>
        <w:t xml:space="preserve"> </w:t>
      </w:r>
      <w:r w:rsidRPr="00C561FB">
        <w:t>HUD</w:t>
      </w:r>
      <w:r w:rsidRPr="00C561FB">
        <w:rPr>
          <w:spacing w:val="-3"/>
        </w:rPr>
        <w:t xml:space="preserve"> </w:t>
      </w:r>
      <w:r w:rsidRPr="00C561FB">
        <w:t>Contributions</w:t>
      </w:r>
      <w:r w:rsidRPr="00C561FB">
        <w:rPr>
          <w:spacing w:val="-3"/>
        </w:rPr>
        <w:t xml:space="preserve"> </w:t>
      </w:r>
      <w:r w:rsidRPr="00C561FB">
        <w:t>Contract</w:t>
      </w:r>
      <w:r w:rsidRPr="00C561FB">
        <w:rPr>
          <w:spacing w:val="-3"/>
        </w:rPr>
        <w:t xml:space="preserve"> </w:t>
      </w:r>
      <w:r w:rsidRPr="00C561FB">
        <w:t>and</w:t>
      </w:r>
      <w:r w:rsidRPr="00C561FB">
        <w:rPr>
          <w:spacing w:val="-2"/>
        </w:rPr>
        <w:t xml:space="preserve"> </w:t>
      </w:r>
      <w:r w:rsidRPr="00C561FB">
        <w:t>HA</w:t>
      </w:r>
      <w:r w:rsidRPr="00C561FB">
        <w:rPr>
          <w:spacing w:val="-1"/>
        </w:rPr>
        <w:t xml:space="preserve"> </w:t>
      </w:r>
      <w:r w:rsidRPr="00C561FB">
        <w:t>Code,</w:t>
      </w:r>
      <w:r w:rsidRPr="00C561FB">
        <w:rPr>
          <w:spacing w:val="-4"/>
        </w:rPr>
        <w:t xml:space="preserve"> </w:t>
      </w:r>
      <w:r w:rsidRPr="00C561FB">
        <w:t>allowi</w:t>
      </w:r>
      <w:r w:rsidRPr="007C7B15">
        <w:t>ng</w:t>
      </w:r>
      <w:r w:rsidRPr="007C7B15">
        <w:rPr>
          <w:spacing w:val="-62"/>
        </w:rPr>
        <w:t xml:space="preserve"> </w:t>
      </w:r>
      <w:r w:rsidRPr="007C7B15">
        <w:t>staff to verify its certification along with its most recent HUD Public Housing</w:t>
      </w:r>
      <w:r w:rsidRPr="007C7B15">
        <w:rPr>
          <w:spacing w:val="-62"/>
        </w:rPr>
        <w:t xml:space="preserve"> </w:t>
      </w:r>
      <w:r w:rsidRPr="007C7B15">
        <w:t>Assessment</w:t>
      </w:r>
      <w:r w:rsidRPr="007C7B15">
        <w:rPr>
          <w:spacing w:val="-2"/>
        </w:rPr>
        <w:t xml:space="preserve"> </w:t>
      </w:r>
      <w:r w:rsidRPr="007C7B15">
        <w:t>System</w:t>
      </w:r>
      <w:r w:rsidRPr="007C7B15">
        <w:rPr>
          <w:spacing w:val="-1"/>
        </w:rPr>
        <w:t xml:space="preserve"> </w:t>
      </w:r>
      <w:r w:rsidRPr="007C7B15">
        <w:t>(PHAS)</w:t>
      </w:r>
      <w:r w:rsidRPr="007C7B15">
        <w:rPr>
          <w:spacing w:val="-1"/>
        </w:rPr>
        <w:t xml:space="preserve"> </w:t>
      </w:r>
      <w:r w:rsidRPr="007C7B15">
        <w:t>score. A publicly supported housing development that is not in contract with HUD must include in its submission the program details of the publicly supported housing development, including any applicable income eligibility requirements for the program residents, and any housing development contracts or agreements between the applicant and the source of the public subsidy, as defined above.</w:t>
      </w:r>
    </w:p>
    <w:p w:rsidRPr="007C7B15" w:rsidR="00081EFC" w:rsidP="00081EFC" w:rsidRDefault="00081EFC" w14:paraId="1CBA9EAE" w14:textId="77777777">
      <w:pPr>
        <w:pStyle w:val="BodyText"/>
        <w:ind w:right="586"/>
      </w:pPr>
    </w:p>
    <w:p w:rsidRPr="007C7B15" w:rsidR="00081EFC" w:rsidP="00081EFC" w:rsidRDefault="00081EFC" w14:paraId="3E6639CD" w14:textId="77777777">
      <w:pPr>
        <w:pStyle w:val="BodyText"/>
      </w:pPr>
      <w:r w:rsidRPr="007C7B15">
        <w:t>If staff is unable to confirm the eligibility of a publicly supported housing development that is not in contract with HUD using the documents and information submitted pursuant to the paragraph above, the application will not be approved ministerially and will instead be subject to resolution review.</w:t>
      </w:r>
    </w:p>
    <w:p w:rsidRPr="00C561FB" w:rsidR="00081EFC" w:rsidP="00081EFC" w:rsidRDefault="00081EFC" w14:paraId="72C44DFA" w14:textId="77777777">
      <w:pPr>
        <w:pStyle w:val="BodyText"/>
        <w:spacing w:before="12"/>
        <w:rPr>
          <w:sz w:val="25"/>
        </w:rPr>
      </w:pPr>
    </w:p>
    <w:p w:rsidR="00081EFC" w:rsidP="00081EFC" w:rsidRDefault="00081EFC" w14:paraId="6FF06E39" w14:textId="77777777">
      <w:pPr>
        <w:pStyle w:val="BodyText"/>
        <w:spacing w:before="12"/>
      </w:pPr>
      <w:r w:rsidRPr="00C561FB">
        <w:t>Non-profit</w:t>
      </w:r>
      <w:r w:rsidRPr="00C561FB">
        <w:rPr>
          <w:spacing w:val="-2"/>
        </w:rPr>
        <w:t xml:space="preserve"> </w:t>
      </w:r>
      <w:r w:rsidRPr="00C561FB">
        <w:t>applicants</w:t>
      </w:r>
      <w:r w:rsidRPr="00C561FB">
        <w:rPr>
          <w:spacing w:val="-4"/>
        </w:rPr>
        <w:t xml:space="preserve"> </w:t>
      </w:r>
      <w:r w:rsidRPr="00C561FB">
        <w:t>must</w:t>
      </w:r>
      <w:r w:rsidRPr="00C561FB">
        <w:rPr>
          <w:spacing w:val="-4"/>
        </w:rPr>
        <w:t xml:space="preserve"> </w:t>
      </w:r>
      <w:r w:rsidRPr="00C561FB">
        <w:t>submit</w:t>
      </w:r>
      <w:r w:rsidRPr="00C561FB">
        <w:rPr>
          <w:spacing w:val="-4"/>
        </w:rPr>
        <w:t xml:space="preserve"> </w:t>
      </w:r>
      <w:r w:rsidRPr="00C561FB">
        <w:t>an</w:t>
      </w:r>
      <w:r w:rsidRPr="00C561FB">
        <w:rPr>
          <w:spacing w:val="-2"/>
        </w:rPr>
        <w:t xml:space="preserve"> </w:t>
      </w:r>
      <w:r w:rsidRPr="00C561FB">
        <w:t>IRS letter</w:t>
      </w:r>
      <w:r w:rsidRPr="00C561FB">
        <w:rPr>
          <w:spacing w:val="-3"/>
        </w:rPr>
        <w:t xml:space="preserve"> </w:t>
      </w:r>
      <w:r w:rsidRPr="00C561FB">
        <w:t>approving</w:t>
      </w:r>
      <w:r w:rsidRPr="00C561FB">
        <w:rPr>
          <w:spacing w:val="-1"/>
        </w:rPr>
        <w:t xml:space="preserve"> </w:t>
      </w:r>
      <w:r w:rsidRPr="00C561FB">
        <w:t>the</w:t>
      </w:r>
      <w:r w:rsidRPr="00C561FB">
        <w:rPr>
          <w:spacing w:val="-1"/>
        </w:rPr>
        <w:t xml:space="preserve"> </w:t>
      </w:r>
      <w:r w:rsidRPr="00C561FB">
        <w:t>applicant’s</w:t>
      </w:r>
      <w:r w:rsidRPr="00C561FB">
        <w:rPr>
          <w:spacing w:val="-4"/>
        </w:rPr>
        <w:t xml:space="preserve"> </w:t>
      </w:r>
      <w:r w:rsidRPr="00C561FB">
        <w:t>status</w:t>
      </w:r>
      <w:r w:rsidRPr="00C561FB">
        <w:rPr>
          <w:spacing w:val="-62"/>
        </w:rPr>
        <w:t xml:space="preserve"> </w:t>
      </w:r>
      <w:r w:rsidRPr="00C561FB">
        <w:t>as a 501(c)(3) entity incorporated for the purposes of providing affordable</w:t>
      </w:r>
      <w:r w:rsidRPr="00C561FB">
        <w:rPr>
          <w:spacing w:val="1"/>
        </w:rPr>
        <w:t xml:space="preserve"> </w:t>
      </w:r>
      <w:r w:rsidRPr="00C561FB">
        <w:t>housing, which must include the applicant’s Tax Identification Number, along</w:t>
      </w:r>
      <w:r w:rsidRPr="00C561FB">
        <w:rPr>
          <w:spacing w:val="1"/>
        </w:rPr>
        <w:t xml:space="preserve"> </w:t>
      </w:r>
      <w:r w:rsidRPr="00C561FB">
        <w:t>with an award letter from a public agency such as the California Tax Credit</w:t>
      </w:r>
      <w:r w:rsidRPr="00C561FB">
        <w:rPr>
          <w:spacing w:val="1"/>
        </w:rPr>
        <w:t xml:space="preserve"> </w:t>
      </w:r>
      <w:r w:rsidRPr="00C561FB">
        <w:t>Allocation Committee (TCAC), proving its receipt of public funding for</w:t>
      </w:r>
      <w:r w:rsidRPr="00C561FB">
        <w:rPr>
          <w:spacing w:val="1"/>
        </w:rPr>
        <w:t xml:space="preserve"> </w:t>
      </w:r>
      <w:r w:rsidRPr="00C561FB">
        <w:t>affordable</w:t>
      </w:r>
      <w:r w:rsidRPr="00C561FB">
        <w:rPr>
          <w:spacing w:val="-2"/>
        </w:rPr>
        <w:t xml:space="preserve"> </w:t>
      </w:r>
      <w:r w:rsidRPr="00C561FB">
        <w:t>housing</w:t>
      </w:r>
      <w:r w:rsidRPr="00C561FB">
        <w:rPr>
          <w:spacing w:val="2"/>
        </w:rPr>
        <w:t xml:space="preserve"> </w:t>
      </w:r>
      <w:r w:rsidRPr="00C561FB">
        <w:t>purposes.</w:t>
      </w:r>
    </w:p>
    <w:p w:rsidR="00081EFC" w:rsidP="00081EFC" w:rsidRDefault="00081EFC" w14:paraId="75C16B07" w14:textId="77777777">
      <w:pPr>
        <w:pStyle w:val="BodyText"/>
        <w:spacing w:before="12"/>
      </w:pPr>
    </w:p>
    <w:p w:rsidR="00081EFC" w:rsidP="00081EFC" w:rsidRDefault="00081EFC" w14:paraId="1977E0B1" w14:textId="0289E9D1">
      <w:pPr>
        <w:pStyle w:val="BodyText"/>
        <w:spacing w:before="12"/>
      </w:pPr>
      <w:r>
        <w:t>Applicants representing farmworker housing must provide (1) the total number of units in the housing development and (2) the number of units available to and occupied by farmworkers at the time the application is submitted.</w:t>
      </w:r>
    </w:p>
    <w:p w:rsidR="00081EFC" w:rsidP="00676C3A" w:rsidRDefault="00081EFC" w14:paraId="26F396B5" w14:textId="77777777">
      <w:pPr>
        <w:pStyle w:val="Standard"/>
      </w:pPr>
    </w:p>
    <w:p w:rsidRPr="00676C3A" w:rsidR="00081EFC" w:rsidP="00676C3A" w:rsidRDefault="00081EFC" w14:paraId="69E95E44" w14:textId="77777777">
      <w:pPr>
        <w:pStyle w:val="ListParagraph"/>
        <w:numPr>
          <w:ilvl w:val="0"/>
          <w:numId w:val="10"/>
        </w:numPr>
        <w:tabs>
          <w:tab w:val="left" w:pos="560"/>
        </w:tabs>
        <w:ind w:hanging="361"/>
        <w:rPr>
          <w:b/>
          <w:sz w:val="26"/>
        </w:rPr>
      </w:pPr>
      <w:r w:rsidRPr="00676C3A">
        <w:rPr>
          <w:b/>
          <w:sz w:val="26"/>
        </w:rPr>
        <w:t>Submission and Timelines</w:t>
      </w:r>
    </w:p>
    <w:p w:rsidR="00081EFC" w:rsidP="00394667" w:rsidRDefault="00081EFC" w14:paraId="74DEDC2C" w14:textId="273C9F0C">
      <w:pPr>
        <w:pStyle w:val="BodyText"/>
        <w:spacing w:before="12"/>
        <w:rPr>
          <w:bCs/>
        </w:rPr>
      </w:pPr>
      <w:r w:rsidRPr="00477543">
        <w:t>Applicants must electronically file their completed applications using the</w:t>
      </w:r>
      <w:r w:rsidRPr="005E2B48" w:rsidR="005E2B48">
        <w:t xml:space="preserve"> </w:t>
      </w:r>
      <w:r w:rsidRPr="00477543">
        <w:t>Commission’s FTP file server</w:t>
      </w:r>
      <w:r w:rsidRPr="005E2B48" w:rsidR="005E2B48">
        <w:t xml:space="preserve"> </w:t>
      </w:r>
      <w:r w:rsidRPr="00477543">
        <w:t>(</w:t>
      </w:r>
      <w:hyperlink w:history="1" r:id="rId16">
        <w:r w:rsidRPr="00545368">
          <w:rPr>
            <w:rStyle w:val="Hyperlink"/>
          </w:rPr>
          <w:t>https://kwftp.cpuc.ca.gov</w:t>
        </w:r>
      </w:hyperlink>
      <w:r w:rsidRPr="00477543">
        <w:t>).</w:t>
      </w:r>
    </w:p>
    <w:p w:rsidRPr="005E2B48" w:rsidR="00081EFC" w:rsidP="00394667" w:rsidRDefault="00081EFC" w14:paraId="24B16D09" w14:textId="77777777">
      <w:pPr>
        <w:pStyle w:val="BodyText"/>
        <w:spacing w:before="12"/>
      </w:pPr>
    </w:p>
    <w:p w:rsidRPr="005E2B48" w:rsidR="00081EFC" w:rsidP="00394667" w:rsidRDefault="00081EFC" w14:paraId="45B0BF39" w14:textId="77777777">
      <w:pPr>
        <w:pStyle w:val="BodyText"/>
        <w:spacing w:before="12"/>
      </w:pPr>
      <w:r>
        <w:t xml:space="preserve">Because applications are not filed with the Commission’s Docket Office, they will </w:t>
      </w:r>
      <w:r>
        <w:lastRenderedPageBreak/>
        <w:t>not be assigned proceeding numbers.</w:t>
      </w:r>
    </w:p>
    <w:p w:rsidR="00081EFC" w:rsidP="00676C3A" w:rsidRDefault="00081EFC" w14:paraId="28A4B617" w14:textId="77777777">
      <w:pPr>
        <w:pStyle w:val="Standard"/>
        <w:spacing w:line="240" w:lineRule="auto"/>
      </w:pPr>
    </w:p>
    <w:p w:rsidR="00081EFC" w:rsidP="00081EFC" w:rsidRDefault="00081EFC" w14:paraId="51EA55AA" w14:textId="77777777">
      <w:pPr>
        <w:pStyle w:val="BodyText"/>
      </w:pPr>
      <w:r>
        <w:t>Applications</w:t>
      </w:r>
      <w:r>
        <w:rPr>
          <w:spacing w:val="-1"/>
        </w:rPr>
        <w:t xml:space="preserve"> </w:t>
      </w:r>
      <w:r>
        <w:t>may</w:t>
      </w:r>
      <w:r>
        <w:rPr>
          <w:spacing w:val="-3"/>
        </w:rPr>
        <w:t xml:space="preserve"> </w:t>
      </w:r>
      <w:r>
        <w:t>be submitted</w:t>
      </w:r>
      <w:r>
        <w:rPr>
          <w:spacing w:val="-3"/>
        </w:rPr>
        <w:t xml:space="preserve"> </w:t>
      </w:r>
      <w:r>
        <w:t>at</w:t>
      </w:r>
      <w:r>
        <w:rPr>
          <w:spacing w:val="-3"/>
        </w:rPr>
        <w:t xml:space="preserve"> </w:t>
      </w:r>
      <w:r>
        <w:t>any</w:t>
      </w:r>
      <w:r>
        <w:rPr>
          <w:spacing w:val="-2"/>
        </w:rPr>
        <w:t xml:space="preserve"> </w:t>
      </w:r>
      <w:r>
        <w:t>time.</w:t>
      </w:r>
      <w:r>
        <w:rPr>
          <w:spacing w:val="1"/>
        </w:rPr>
        <w:t xml:space="preserve"> </w:t>
      </w:r>
      <w:r>
        <w:t>However, staff will consider</w:t>
      </w:r>
      <w:r>
        <w:rPr>
          <w:spacing w:val="1"/>
        </w:rPr>
        <w:t xml:space="preserve"> </w:t>
      </w:r>
      <w:r>
        <w:t>applications</w:t>
      </w:r>
      <w:r>
        <w:rPr>
          <w:spacing w:val="-1"/>
        </w:rPr>
        <w:t xml:space="preserve"> </w:t>
      </w:r>
      <w:r>
        <w:t>submitted</w:t>
      </w:r>
      <w:r>
        <w:rPr>
          <w:spacing w:val="-2"/>
        </w:rPr>
        <w:t xml:space="preserve"> </w:t>
      </w:r>
      <w:r>
        <w:t>on</w:t>
      </w:r>
      <w:r>
        <w:rPr>
          <w:spacing w:val="-1"/>
        </w:rPr>
        <w:t xml:space="preserve"> </w:t>
      </w:r>
      <w:r>
        <w:t>or</w:t>
      </w:r>
      <w:r>
        <w:rPr>
          <w:spacing w:val="-1"/>
        </w:rPr>
        <w:t xml:space="preserve"> </w:t>
      </w:r>
      <w:r>
        <w:t>before</w:t>
      </w:r>
      <w:r>
        <w:rPr>
          <w:spacing w:val="-2"/>
        </w:rPr>
        <w:t xml:space="preserve"> </w:t>
      </w:r>
      <w:r>
        <w:t>each</w:t>
      </w:r>
      <w:r>
        <w:rPr>
          <w:spacing w:val="1"/>
        </w:rPr>
        <w:t xml:space="preserve"> </w:t>
      </w:r>
      <w:r>
        <w:t>deadline</w:t>
      </w:r>
      <w:r>
        <w:rPr>
          <w:spacing w:val="-1"/>
        </w:rPr>
        <w:t xml:space="preserve"> </w:t>
      </w:r>
      <w:r>
        <w:t>listed</w:t>
      </w:r>
      <w:r>
        <w:rPr>
          <w:spacing w:val="-2"/>
        </w:rPr>
        <w:t xml:space="preserve"> </w:t>
      </w:r>
      <w:r>
        <w:t>below</w:t>
      </w:r>
      <w:r>
        <w:rPr>
          <w:spacing w:val="-2"/>
        </w:rPr>
        <w:t xml:space="preserve"> </w:t>
      </w:r>
      <w:r>
        <w:t>as</w:t>
      </w:r>
      <w:r>
        <w:rPr>
          <w:spacing w:val="-2"/>
        </w:rPr>
        <w:t xml:space="preserve"> </w:t>
      </w:r>
      <w:r>
        <w:t>a</w:t>
      </w:r>
      <w:r>
        <w:rPr>
          <w:spacing w:val="-2"/>
        </w:rPr>
        <w:t xml:space="preserve"> </w:t>
      </w:r>
      <w:r>
        <w:t>batch.</w:t>
      </w:r>
    </w:p>
    <w:p w:rsidR="00081EFC" w:rsidP="00081EFC" w:rsidRDefault="00081EFC" w14:paraId="25E53546" w14:textId="77777777">
      <w:pPr>
        <w:pStyle w:val="BodyText"/>
      </w:pPr>
    </w:p>
    <w:p w:rsidR="00081EFC" w:rsidP="00081EFC" w:rsidRDefault="00081EFC" w14:paraId="65398217" w14:textId="77777777">
      <w:pPr>
        <w:pStyle w:val="BodyText"/>
      </w:pPr>
      <w:r>
        <w:t>Staff</w:t>
      </w:r>
      <w:r>
        <w:rPr>
          <w:spacing w:val="-4"/>
        </w:rPr>
        <w:t xml:space="preserve"> </w:t>
      </w:r>
      <w:r>
        <w:t>shall</w:t>
      </w:r>
      <w:r>
        <w:rPr>
          <w:spacing w:val="-4"/>
        </w:rPr>
        <w:t xml:space="preserve"> </w:t>
      </w:r>
      <w:r>
        <w:t>notify</w:t>
      </w:r>
      <w:r>
        <w:rPr>
          <w:spacing w:val="-2"/>
        </w:rPr>
        <w:t xml:space="preserve"> </w:t>
      </w:r>
      <w:r>
        <w:t>an</w:t>
      </w:r>
      <w:r>
        <w:rPr>
          <w:spacing w:val="-3"/>
        </w:rPr>
        <w:t xml:space="preserve"> </w:t>
      </w:r>
      <w:r>
        <w:t>applicant</w:t>
      </w:r>
      <w:r>
        <w:rPr>
          <w:spacing w:val="-3"/>
        </w:rPr>
        <w:t xml:space="preserve"> </w:t>
      </w:r>
      <w:r>
        <w:t>by</w:t>
      </w:r>
      <w:r>
        <w:rPr>
          <w:spacing w:val="-4"/>
        </w:rPr>
        <w:t xml:space="preserve"> </w:t>
      </w:r>
      <w:r>
        <w:t>a letter</w:t>
      </w:r>
      <w:r>
        <w:rPr>
          <w:spacing w:val="-2"/>
        </w:rPr>
        <w:t xml:space="preserve"> </w:t>
      </w:r>
      <w:r>
        <w:t>specifying</w:t>
      </w:r>
      <w:r>
        <w:rPr>
          <w:spacing w:val="-4"/>
        </w:rPr>
        <w:t xml:space="preserve"> </w:t>
      </w:r>
      <w:r>
        <w:t>reasons</w:t>
      </w:r>
      <w:r>
        <w:rPr>
          <w:spacing w:val="-2"/>
        </w:rPr>
        <w:t xml:space="preserve"> </w:t>
      </w:r>
      <w:r>
        <w:t>for</w:t>
      </w:r>
      <w:r>
        <w:rPr>
          <w:spacing w:val="-1"/>
        </w:rPr>
        <w:t xml:space="preserve"> </w:t>
      </w:r>
      <w:r>
        <w:t>rejection</w:t>
      </w:r>
      <w:r>
        <w:rPr>
          <w:spacing w:val="-3"/>
        </w:rPr>
        <w:t xml:space="preserve"> </w:t>
      </w:r>
      <w:r>
        <w:t xml:space="preserve">should </w:t>
      </w:r>
      <w:r>
        <w:rPr>
          <w:spacing w:val="-62"/>
        </w:rPr>
        <w:t>an</w:t>
      </w:r>
      <w:r>
        <w:rPr>
          <w:spacing w:val="-2"/>
        </w:rPr>
        <w:t xml:space="preserve"> </w:t>
      </w:r>
      <w:r>
        <w:t>application</w:t>
      </w:r>
      <w:r>
        <w:rPr>
          <w:spacing w:val="-1"/>
        </w:rPr>
        <w:t xml:space="preserve"> </w:t>
      </w:r>
      <w:r>
        <w:t>fail</w:t>
      </w:r>
      <w:r>
        <w:rPr>
          <w:spacing w:val="-2"/>
        </w:rPr>
        <w:t xml:space="preserve"> </w:t>
      </w:r>
      <w:r>
        <w:t>to</w:t>
      </w:r>
      <w:r>
        <w:rPr>
          <w:spacing w:val="-1"/>
        </w:rPr>
        <w:t xml:space="preserve"> </w:t>
      </w:r>
      <w:r>
        <w:t>meet</w:t>
      </w:r>
      <w:r>
        <w:rPr>
          <w:spacing w:val="-2"/>
        </w:rPr>
        <w:t xml:space="preserve"> </w:t>
      </w:r>
      <w:r>
        <w:t>the</w:t>
      </w:r>
      <w:r>
        <w:rPr>
          <w:spacing w:val="2"/>
        </w:rPr>
        <w:t xml:space="preserve"> </w:t>
      </w:r>
      <w:r>
        <w:t>BPHA</w:t>
      </w:r>
      <w:r>
        <w:rPr>
          <w:spacing w:val="-2"/>
        </w:rPr>
        <w:t xml:space="preserve"> </w:t>
      </w:r>
      <w:r>
        <w:t>eligibility</w:t>
      </w:r>
      <w:r>
        <w:rPr>
          <w:spacing w:val="-1"/>
        </w:rPr>
        <w:t xml:space="preserve"> </w:t>
      </w:r>
      <w:r>
        <w:t>criteria.</w:t>
      </w:r>
    </w:p>
    <w:p w:rsidR="00081EFC" w:rsidP="00081EFC" w:rsidRDefault="00081EFC" w14:paraId="6A408704" w14:textId="77777777">
      <w:pPr>
        <w:pStyle w:val="BodyText"/>
        <w:ind w:right="346"/>
      </w:pPr>
    </w:p>
    <w:p w:rsidR="00081EFC" w:rsidP="00081EFC" w:rsidRDefault="00081EFC" w14:paraId="48889C6A" w14:textId="77777777">
      <w:pPr>
        <w:pStyle w:val="BodyText"/>
        <w:ind w:right="346"/>
      </w:pPr>
      <w:r>
        <w:t>Deadlines:</w:t>
      </w:r>
    </w:p>
    <w:p w:rsidR="00081EFC" w:rsidP="00081EFC" w:rsidRDefault="00081EFC" w14:paraId="3BE560EE" w14:textId="77777777">
      <w:pPr>
        <w:pStyle w:val="BodyText"/>
      </w:pPr>
    </w:p>
    <w:p w:rsidRPr="00477543" w:rsidR="00081EFC" w:rsidP="0033369D" w:rsidRDefault="00081EFC" w14:paraId="69C45CCE" w14:textId="77777777">
      <w:pPr>
        <w:pStyle w:val="ListParagraph"/>
        <w:numPr>
          <w:ilvl w:val="0"/>
          <w:numId w:val="22"/>
        </w:numPr>
        <w:tabs>
          <w:tab w:val="left" w:pos="650"/>
          <w:tab w:val="left" w:pos="651"/>
        </w:tabs>
        <w:spacing w:before="1"/>
        <w:ind w:hanging="361"/>
        <w:rPr>
          <w:sz w:val="26"/>
        </w:rPr>
      </w:pPr>
      <w:r w:rsidRPr="00477543">
        <w:rPr>
          <w:sz w:val="26"/>
        </w:rPr>
        <w:t>July 1, 2022</w:t>
      </w:r>
    </w:p>
    <w:p w:rsidRPr="00477543" w:rsidR="00081EFC" w:rsidP="0033369D" w:rsidRDefault="00081EFC" w14:paraId="2D293C94" w14:textId="77777777">
      <w:pPr>
        <w:pStyle w:val="ListParagraph"/>
        <w:numPr>
          <w:ilvl w:val="0"/>
          <w:numId w:val="22"/>
        </w:numPr>
        <w:tabs>
          <w:tab w:val="left" w:pos="650"/>
          <w:tab w:val="left" w:pos="651"/>
        </w:tabs>
        <w:spacing w:before="1"/>
        <w:ind w:hanging="361"/>
        <w:rPr>
          <w:sz w:val="26"/>
        </w:rPr>
      </w:pPr>
      <w:r w:rsidRPr="00477543">
        <w:rPr>
          <w:sz w:val="26"/>
        </w:rPr>
        <w:t>January 1, 2023</w:t>
      </w:r>
    </w:p>
    <w:p w:rsidRPr="00477543" w:rsidR="00081EFC" w:rsidP="0033369D" w:rsidRDefault="00081EFC" w14:paraId="2205C944" w14:textId="77777777">
      <w:pPr>
        <w:pStyle w:val="ListParagraph"/>
        <w:numPr>
          <w:ilvl w:val="0"/>
          <w:numId w:val="22"/>
        </w:numPr>
        <w:tabs>
          <w:tab w:val="left" w:pos="650"/>
          <w:tab w:val="left" w:pos="651"/>
        </w:tabs>
        <w:spacing w:before="1"/>
        <w:ind w:hanging="361"/>
        <w:rPr>
          <w:sz w:val="26"/>
        </w:rPr>
      </w:pPr>
      <w:r w:rsidRPr="00477543">
        <w:rPr>
          <w:sz w:val="26"/>
        </w:rPr>
        <w:t>July 1, 2023</w:t>
      </w:r>
    </w:p>
    <w:p w:rsidRPr="00477543" w:rsidR="00081EFC" w:rsidP="0033369D" w:rsidRDefault="00081EFC" w14:paraId="530704D4" w14:textId="77777777">
      <w:pPr>
        <w:pStyle w:val="ListParagraph"/>
        <w:numPr>
          <w:ilvl w:val="0"/>
          <w:numId w:val="22"/>
        </w:numPr>
        <w:tabs>
          <w:tab w:val="left" w:pos="650"/>
          <w:tab w:val="left" w:pos="651"/>
        </w:tabs>
        <w:spacing w:before="1"/>
        <w:ind w:hanging="361"/>
        <w:rPr>
          <w:sz w:val="26"/>
        </w:rPr>
      </w:pPr>
      <w:r w:rsidRPr="00477543">
        <w:rPr>
          <w:sz w:val="26"/>
        </w:rPr>
        <w:t>January 1, 2024</w:t>
      </w:r>
    </w:p>
    <w:p w:rsidR="00081EFC" w:rsidP="0033369D" w:rsidRDefault="00081EFC" w14:paraId="4F510BA9" w14:textId="77777777">
      <w:pPr>
        <w:pStyle w:val="ListParagraph"/>
        <w:numPr>
          <w:ilvl w:val="0"/>
          <w:numId w:val="22"/>
        </w:numPr>
        <w:tabs>
          <w:tab w:val="left" w:pos="650"/>
          <w:tab w:val="left" w:pos="651"/>
        </w:tabs>
        <w:spacing w:before="1"/>
        <w:ind w:hanging="361"/>
        <w:rPr>
          <w:sz w:val="26"/>
        </w:rPr>
      </w:pPr>
      <w:r w:rsidRPr="00477543">
        <w:rPr>
          <w:sz w:val="26"/>
        </w:rPr>
        <w:t>July 1, 2024</w:t>
      </w:r>
    </w:p>
    <w:p w:rsidRPr="00477543" w:rsidR="00081EFC" w:rsidP="00081EFC" w:rsidRDefault="00081EFC" w14:paraId="733939A5" w14:textId="77777777">
      <w:pPr>
        <w:pStyle w:val="ListParagraph"/>
        <w:tabs>
          <w:tab w:val="left" w:pos="650"/>
          <w:tab w:val="left" w:pos="651"/>
        </w:tabs>
        <w:spacing w:before="1"/>
        <w:ind w:left="650" w:firstLine="0"/>
        <w:rPr>
          <w:sz w:val="26"/>
        </w:rPr>
      </w:pPr>
    </w:p>
    <w:p w:rsidR="00081EFC" w:rsidP="00081EFC" w:rsidRDefault="00081EFC" w14:paraId="75655451" w14:textId="77777777">
      <w:pPr>
        <w:pStyle w:val="BodyText"/>
      </w:pPr>
      <w:r>
        <w:t>Any</w:t>
      </w:r>
      <w:r>
        <w:rPr>
          <w:spacing w:val="-3"/>
        </w:rPr>
        <w:t xml:space="preserve"> </w:t>
      </w:r>
      <w:r>
        <w:t>deadline</w:t>
      </w:r>
      <w:r>
        <w:rPr>
          <w:spacing w:val="-2"/>
        </w:rPr>
        <w:t xml:space="preserve"> </w:t>
      </w:r>
      <w:r>
        <w:t>falling</w:t>
      </w:r>
      <w:r>
        <w:rPr>
          <w:spacing w:val="-1"/>
        </w:rPr>
        <w:t xml:space="preserve"> </w:t>
      </w:r>
      <w:r>
        <w:t>on</w:t>
      </w:r>
      <w:r>
        <w:rPr>
          <w:spacing w:val="-3"/>
        </w:rPr>
        <w:t xml:space="preserve"> </w:t>
      </w:r>
      <w:r>
        <w:t>a</w:t>
      </w:r>
      <w:r>
        <w:rPr>
          <w:spacing w:val="-2"/>
        </w:rPr>
        <w:t xml:space="preserve"> </w:t>
      </w:r>
      <w:proofErr w:type="gramStart"/>
      <w:r>
        <w:t>holiday</w:t>
      </w:r>
      <w:proofErr w:type="gramEnd"/>
      <w:r>
        <w:rPr>
          <w:spacing w:val="-2"/>
        </w:rPr>
        <w:t xml:space="preserve"> </w:t>
      </w:r>
      <w:r>
        <w:t>or</w:t>
      </w:r>
      <w:r>
        <w:rPr>
          <w:spacing w:val="-2"/>
        </w:rPr>
        <w:t xml:space="preserve"> </w:t>
      </w:r>
      <w:r>
        <w:t>a</w:t>
      </w:r>
      <w:r>
        <w:rPr>
          <w:spacing w:val="-2"/>
        </w:rPr>
        <w:t xml:space="preserve"> </w:t>
      </w:r>
      <w:r>
        <w:t>weekend will</w:t>
      </w:r>
      <w:r>
        <w:rPr>
          <w:spacing w:val="-4"/>
        </w:rPr>
        <w:t xml:space="preserve"> </w:t>
      </w:r>
      <w:r>
        <w:t>be</w:t>
      </w:r>
      <w:r>
        <w:rPr>
          <w:spacing w:val="-2"/>
        </w:rPr>
        <w:t xml:space="preserve"> </w:t>
      </w:r>
      <w:r>
        <w:t>extended</w:t>
      </w:r>
      <w:r>
        <w:rPr>
          <w:spacing w:val="-3"/>
        </w:rPr>
        <w:t xml:space="preserve"> </w:t>
      </w:r>
      <w:r>
        <w:t>to</w:t>
      </w:r>
      <w:r>
        <w:rPr>
          <w:spacing w:val="-2"/>
        </w:rPr>
        <w:t xml:space="preserve"> </w:t>
      </w:r>
      <w:r>
        <w:t>the</w:t>
      </w:r>
      <w:r>
        <w:rPr>
          <w:spacing w:val="-3"/>
        </w:rPr>
        <w:t xml:space="preserve"> </w:t>
      </w:r>
      <w:r>
        <w:t>following</w:t>
      </w:r>
      <w:r>
        <w:rPr>
          <w:spacing w:val="-62"/>
        </w:rPr>
        <w:t xml:space="preserve"> </w:t>
      </w:r>
      <w:r>
        <w:t>business day.</w:t>
      </w:r>
    </w:p>
    <w:p w:rsidR="00081EFC" w:rsidP="00081EFC" w:rsidRDefault="00081EFC" w14:paraId="4B609E7D" w14:textId="77777777">
      <w:pPr>
        <w:pStyle w:val="BodyText"/>
      </w:pPr>
    </w:p>
    <w:p w:rsidR="00081EFC" w:rsidP="00394667" w:rsidRDefault="00081EFC" w14:paraId="090D707F" w14:textId="7A2DA7B8">
      <w:pPr>
        <w:pStyle w:val="BodyText"/>
      </w:pPr>
      <w:r>
        <w:t>Additionally,</w:t>
      </w:r>
      <w:r>
        <w:rPr>
          <w:spacing w:val="-4"/>
        </w:rPr>
        <w:t xml:space="preserve"> </w:t>
      </w:r>
      <w:r>
        <w:t>after</w:t>
      </w:r>
      <w:r>
        <w:rPr>
          <w:spacing w:val="-3"/>
        </w:rPr>
        <w:t xml:space="preserve"> </w:t>
      </w:r>
      <w:r>
        <w:t>each</w:t>
      </w:r>
      <w:r>
        <w:rPr>
          <w:spacing w:val="-3"/>
        </w:rPr>
        <w:t xml:space="preserve"> </w:t>
      </w:r>
      <w:r>
        <w:t>deadline,</w:t>
      </w:r>
      <w:r>
        <w:rPr>
          <w:spacing w:val="-4"/>
        </w:rPr>
        <w:t xml:space="preserve"> </w:t>
      </w:r>
      <w:r>
        <w:t>staff</w:t>
      </w:r>
      <w:r>
        <w:rPr>
          <w:spacing w:val="-1"/>
        </w:rPr>
        <w:t xml:space="preserve"> </w:t>
      </w:r>
      <w:r>
        <w:t>will</w:t>
      </w:r>
      <w:r>
        <w:rPr>
          <w:spacing w:val="-4"/>
        </w:rPr>
        <w:t xml:space="preserve"> </w:t>
      </w:r>
      <w:r>
        <w:t>post</w:t>
      </w:r>
      <w:r w:rsidRPr="00587965">
        <w:t xml:space="preserve"> notice of all applications received on the Commission’s website</w:t>
      </w:r>
      <w:r>
        <w:t>.</w:t>
      </w:r>
    </w:p>
    <w:p w:rsidRPr="00477543" w:rsidR="00860E5F" w:rsidP="00394667" w:rsidRDefault="00860E5F" w14:paraId="300737DB" w14:textId="77777777">
      <w:pPr>
        <w:pStyle w:val="BodyText"/>
      </w:pPr>
    </w:p>
    <w:p w:rsidRPr="00676C3A" w:rsidR="00081EFC" w:rsidP="000169E8" w:rsidRDefault="00081EFC" w14:paraId="63A17AE5" w14:textId="77777777">
      <w:pPr>
        <w:pStyle w:val="ListParagraph"/>
        <w:keepNext/>
        <w:keepLines/>
        <w:numPr>
          <w:ilvl w:val="0"/>
          <w:numId w:val="10"/>
        </w:numPr>
        <w:tabs>
          <w:tab w:val="left" w:pos="560"/>
        </w:tabs>
        <w:ind w:hanging="361"/>
        <w:rPr>
          <w:b/>
          <w:sz w:val="26"/>
        </w:rPr>
      </w:pPr>
      <w:r w:rsidRPr="00676C3A">
        <w:rPr>
          <w:b/>
          <w:sz w:val="26"/>
        </w:rPr>
        <w:t>Ministerial Review</w:t>
      </w:r>
    </w:p>
    <w:p w:rsidRPr="00676C3A" w:rsidR="00081EFC" w:rsidP="000169E8" w:rsidRDefault="00081EFC" w14:paraId="44F49D53" w14:textId="77777777">
      <w:pPr>
        <w:pStyle w:val="BodyText"/>
        <w:keepNext/>
        <w:keepLines/>
      </w:pPr>
      <w:r w:rsidRPr="00FF6FF3">
        <w:t xml:space="preserve">The Commission assigns to staff the task of approving applications that meet </w:t>
      </w:r>
      <w:proofErr w:type="gramStart"/>
      <w:r w:rsidRPr="00FF6FF3">
        <w:t>all of</w:t>
      </w:r>
      <w:proofErr w:type="gramEnd"/>
      <w:r w:rsidRPr="00FF6FF3">
        <w:t xml:space="preserve"> the following criteria:</w:t>
      </w:r>
    </w:p>
    <w:p w:rsidRPr="00FF6FF3" w:rsidR="00081EFC" w:rsidP="00394667" w:rsidRDefault="00081EFC" w14:paraId="774455D6" w14:textId="44883EB8">
      <w:pPr>
        <w:pStyle w:val="ListParagraph"/>
        <w:keepNext/>
        <w:keepLines/>
        <w:numPr>
          <w:ilvl w:val="0"/>
          <w:numId w:val="23"/>
        </w:numPr>
        <w:tabs>
          <w:tab w:val="left" w:pos="919"/>
          <w:tab w:val="left" w:pos="920"/>
        </w:tabs>
        <w:spacing w:before="2"/>
        <w:rPr>
          <w:sz w:val="26"/>
        </w:rPr>
      </w:pPr>
      <w:r w:rsidRPr="00FF6FF3">
        <w:rPr>
          <w:sz w:val="26"/>
        </w:rPr>
        <w:t>Applicant</w:t>
      </w:r>
      <w:r w:rsidRPr="00FF6FF3">
        <w:rPr>
          <w:spacing w:val="-3"/>
          <w:sz w:val="26"/>
        </w:rPr>
        <w:t xml:space="preserve"> </w:t>
      </w:r>
      <w:r w:rsidRPr="00FF6FF3">
        <w:rPr>
          <w:sz w:val="26"/>
        </w:rPr>
        <w:t>meets</w:t>
      </w:r>
      <w:r w:rsidRPr="00FF6FF3">
        <w:rPr>
          <w:spacing w:val="-5"/>
          <w:sz w:val="26"/>
        </w:rPr>
        <w:t xml:space="preserve"> </w:t>
      </w:r>
      <w:r w:rsidRPr="00FF6FF3">
        <w:rPr>
          <w:sz w:val="26"/>
        </w:rPr>
        <w:t>the</w:t>
      </w:r>
      <w:r w:rsidRPr="00FF6FF3">
        <w:rPr>
          <w:spacing w:val="-2"/>
          <w:sz w:val="26"/>
        </w:rPr>
        <w:t xml:space="preserve"> </w:t>
      </w:r>
      <w:r w:rsidRPr="00FF6FF3">
        <w:rPr>
          <w:sz w:val="26"/>
        </w:rPr>
        <w:t>eligibility</w:t>
      </w:r>
      <w:r w:rsidRPr="00FF6FF3">
        <w:rPr>
          <w:spacing w:val="-4"/>
          <w:sz w:val="26"/>
        </w:rPr>
        <w:t xml:space="preserve"> </w:t>
      </w:r>
      <w:r w:rsidRPr="00FF6FF3">
        <w:rPr>
          <w:sz w:val="26"/>
        </w:rPr>
        <w:t>requirements</w:t>
      </w:r>
      <w:r w:rsidRPr="00FF6FF3">
        <w:rPr>
          <w:spacing w:val="-5"/>
          <w:sz w:val="26"/>
        </w:rPr>
        <w:t xml:space="preserve"> </w:t>
      </w:r>
      <w:r w:rsidRPr="00FF6FF3">
        <w:rPr>
          <w:sz w:val="26"/>
        </w:rPr>
        <w:t>under</w:t>
      </w:r>
      <w:r w:rsidRPr="00FF6FF3">
        <w:rPr>
          <w:spacing w:val="-3"/>
          <w:sz w:val="26"/>
        </w:rPr>
        <w:t xml:space="preserve"> </w:t>
      </w:r>
      <w:r w:rsidRPr="00FF6FF3">
        <w:rPr>
          <w:sz w:val="26"/>
        </w:rPr>
        <w:t>Pub.</w:t>
      </w:r>
      <w:r w:rsidRPr="00FF6FF3">
        <w:rPr>
          <w:spacing w:val="-4"/>
          <w:sz w:val="26"/>
        </w:rPr>
        <w:t xml:space="preserve"> </w:t>
      </w:r>
      <w:r w:rsidRPr="00FF6FF3">
        <w:rPr>
          <w:sz w:val="26"/>
        </w:rPr>
        <w:t>Util.</w:t>
      </w:r>
      <w:r w:rsidRPr="00FF6FF3">
        <w:rPr>
          <w:spacing w:val="-3"/>
          <w:sz w:val="26"/>
        </w:rPr>
        <w:t xml:space="preserve"> </w:t>
      </w:r>
      <w:r w:rsidRPr="00FF6FF3">
        <w:rPr>
          <w:sz w:val="26"/>
        </w:rPr>
        <w:t>Code,</w:t>
      </w:r>
      <w:r w:rsidRPr="00FF6FF3">
        <w:rPr>
          <w:spacing w:val="-4"/>
          <w:sz w:val="26"/>
        </w:rPr>
        <w:t xml:space="preserve"> </w:t>
      </w:r>
      <w:proofErr w:type="gramStart"/>
      <w:r w:rsidRPr="00FF6FF3">
        <w:rPr>
          <w:sz w:val="26"/>
        </w:rPr>
        <w:t>§</w:t>
      </w:r>
      <w:r w:rsidR="00950ECE">
        <w:rPr>
          <w:sz w:val="26"/>
        </w:rPr>
        <w:t> </w:t>
      </w:r>
      <w:r w:rsidR="00EB77B1">
        <w:rPr>
          <w:spacing w:val="-62"/>
          <w:sz w:val="26"/>
        </w:rPr>
        <w:t> </w:t>
      </w:r>
      <w:r w:rsidRPr="00FF6FF3">
        <w:rPr>
          <w:sz w:val="26"/>
        </w:rPr>
        <w:t>281</w:t>
      </w:r>
      <w:proofErr w:type="gramEnd"/>
      <w:r w:rsidRPr="00FF6FF3">
        <w:rPr>
          <w:sz w:val="26"/>
        </w:rPr>
        <w:t>(</w:t>
      </w:r>
      <w:proofErr w:type="spellStart"/>
      <w:r w:rsidRPr="00FF6FF3">
        <w:rPr>
          <w:sz w:val="26"/>
        </w:rPr>
        <w:t>i</w:t>
      </w:r>
      <w:proofErr w:type="spellEnd"/>
      <w:r w:rsidRPr="00FF6FF3">
        <w:rPr>
          <w:sz w:val="26"/>
        </w:rPr>
        <w:t>)(1),</w:t>
      </w:r>
      <w:r w:rsidRPr="00FF6FF3">
        <w:rPr>
          <w:spacing w:val="-2"/>
          <w:sz w:val="26"/>
        </w:rPr>
        <w:t xml:space="preserve"> </w:t>
      </w:r>
      <w:r w:rsidRPr="00FF6FF3">
        <w:rPr>
          <w:sz w:val="26"/>
        </w:rPr>
        <w:t>§</w:t>
      </w:r>
      <w:r w:rsidRPr="00FF6FF3">
        <w:rPr>
          <w:spacing w:val="-1"/>
          <w:sz w:val="26"/>
        </w:rPr>
        <w:t xml:space="preserve"> </w:t>
      </w:r>
      <w:r w:rsidRPr="00FF6FF3">
        <w:rPr>
          <w:sz w:val="26"/>
        </w:rPr>
        <w:t>281(</w:t>
      </w:r>
      <w:proofErr w:type="spellStart"/>
      <w:r w:rsidRPr="00FF6FF3">
        <w:rPr>
          <w:sz w:val="26"/>
        </w:rPr>
        <w:t>i</w:t>
      </w:r>
      <w:proofErr w:type="spellEnd"/>
      <w:r w:rsidRPr="00FF6FF3">
        <w:rPr>
          <w:sz w:val="26"/>
        </w:rPr>
        <w:t>)(2)</w:t>
      </w:r>
      <w:r w:rsidRPr="00FF6FF3">
        <w:rPr>
          <w:spacing w:val="2"/>
          <w:sz w:val="26"/>
        </w:rPr>
        <w:t xml:space="preserve"> </w:t>
      </w:r>
      <w:r w:rsidRPr="00FF6FF3">
        <w:rPr>
          <w:sz w:val="26"/>
        </w:rPr>
        <w:t>and</w:t>
      </w:r>
      <w:r w:rsidRPr="00FF6FF3">
        <w:rPr>
          <w:spacing w:val="-1"/>
          <w:sz w:val="26"/>
        </w:rPr>
        <w:t xml:space="preserve"> </w:t>
      </w:r>
      <w:r w:rsidRPr="00FF6FF3">
        <w:rPr>
          <w:sz w:val="26"/>
        </w:rPr>
        <w:t>(</w:t>
      </w:r>
      <w:proofErr w:type="spellStart"/>
      <w:r w:rsidRPr="00FF6FF3">
        <w:rPr>
          <w:sz w:val="26"/>
        </w:rPr>
        <w:t>i</w:t>
      </w:r>
      <w:proofErr w:type="spellEnd"/>
      <w:r w:rsidRPr="00FF6FF3">
        <w:rPr>
          <w:sz w:val="26"/>
        </w:rPr>
        <w:t>)(3)</w:t>
      </w:r>
    </w:p>
    <w:p w:rsidRPr="00676C3A" w:rsidR="00081EFC" w:rsidP="00676C3A" w:rsidRDefault="00081EFC" w14:paraId="139DE709" w14:textId="77777777">
      <w:pPr>
        <w:pStyle w:val="ListParagraph"/>
        <w:keepNext/>
        <w:keepLines/>
        <w:numPr>
          <w:ilvl w:val="0"/>
          <w:numId w:val="23"/>
        </w:numPr>
        <w:tabs>
          <w:tab w:val="left" w:pos="919"/>
          <w:tab w:val="left" w:pos="920"/>
        </w:tabs>
        <w:spacing w:before="2"/>
        <w:rPr>
          <w:sz w:val="26"/>
        </w:rPr>
      </w:pPr>
      <w:r w:rsidRPr="00676C3A">
        <w:rPr>
          <w:sz w:val="26"/>
        </w:rPr>
        <w:t>Applicant attests that no broadband service provider offers free service that meets state standards, as defined in Section III, to the subject low-income community</w:t>
      </w:r>
    </w:p>
    <w:p w:rsidRPr="00FF6FF3" w:rsidR="00081EFC" w:rsidP="0033369D" w:rsidRDefault="00081EFC" w14:paraId="2BB4F426" w14:textId="77777777">
      <w:pPr>
        <w:pStyle w:val="ListParagraph"/>
        <w:numPr>
          <w:ilvl w:val="0"/>
          <w:numId w:val="23"/>
        </w:numPr>
        <w:tabs>
          <w:tab w:val="left" w:pos="919"/>
          <w:tab w:val="left" w:pos="920"/>
        </w:tabs>
        <w:rPr>
          <w:sz w:val="26"/>
          <w:szCs w:val="26"/>
        </w:rPr>
      </w:pPr>
      <w:r w:rsidRPr="00FF6FF3">
        <w:rPr>
          <w:sz w:val="26"/>
          <w:szCs w:val="26"/>
        </w:rPr>
        <w:t>Applicant</w:t>
      </w:r>
      <w:r w:rsidRPr="00FF6FF3">
        <w:rPr>
          <w:spacing w:val="-4"/>
          <w:sz w:val="26"/>
          <w:szCs w:val="26"/>
        </w:rPr>
        <w:t xml:space="preserve"> </w:t>
      </w:r>
      <w:r w:rsidRPr="00FF6FF3">
        <w:rPr>
          <w:sz w:val="26"/>
          <w:szCs w:val="26"/>
        </w:rPr>
        <w:t>requests</w:t>
      </w:r>
      <w:r w:rsidRPr="00FF6FF3">
        <w:rPr>
          <w:spacing w:val="-4"/>
          <w:sz w:val="26"/>
          <w:szCs w:val="26"/>
        </w:rPr>
        <w:t xml:space="preserve"> </w:t>
      </w:r>
      <w:r w:rsidRPr="00FF6FF3">
        <w:rPr>
          <w:sz w:val="26"/>
          <w:szCs w:val="26"/>
        </w:rPr>
        <w:t>a</w:t>
      </w:r>
      <w:r w:rsidRPr="00FF6FF3">
        <w:rPr>
          <w:spacing w:val="-2"/>
          <w:sz w:val="26"/>
          <w:szCs w:val="26"/>
        </w:rPr>
        <w:t xml:space="preserve"> </w:t>
      </w:r>
      <w:r w:rsidRPr="00FF6FF3">
        <w:rPr>
          <w:sz w:val="26"/>
          <w:szCs w:val="26"/>
        </w:rPr>
        <w:t>grant</w:t>
      </w:r>
      <w:r w:rsidRPr="00FF6FF3">
        <w:rPr>
          <w:spacing w:val="-4"/>
          <w:sz w:val="26"/>
          <w:szCs w:val="26"/>
        </w:rPr>
        <w:t xml:space="preserve"> </w:t>
      </w:r>
      <w:r w:rsidRPr="00FF6FF3">
        <w:rPr>
          <w:sz w:val="26"/>
          <w:szCs w:val="26"/>
        </w:rPr>
        <w:t>of</w:t>
      </w:r>
      <w:r w:rsidRPr="00FF6FF3">
        <w:rPr>
          <w:spacing w:val="-2"/>
          <w:sz w:val="26"/>
          <w:szCs w:val="26"/>
        </w:rPr>
        <w:t xml:space="preserve"> </w:t>
      </w:r>
      <w:r w:rsidRPr="00FF6FF3">
        <w:rPr>
          <w:sz w:val="26"/>
          <w:szCs w:val="26"/>
        </w:rPr>
        <w:t>up to</w:t>
      </w:r>
      <w:r w:rsidRPr="00FF6FF3">
        <w:rPr>
          <w:spacing w:val="-3"/>
          <w:sz w:val="26"/>
          <w:szCs w:val="26"/>
        </w:rPr>
        <w:t xml:space="preserve"> </w:t>
      </w:r>
      <w:r w:rsidRPr="00FF6FF3">
        <w:rPr>
          <w:sz w:val="26"/>
          <w:szCs w:val="26"/>
        </w:rPr>
        <w:t>$150,000 in</w:t>
      </w:r>
      <w:r w:rsidRPr="00FF6FF3">
        <w:rPr>
          <w:spacing w:val="-1"/>
          <w:sz w:val="26"/>
          <w:szCs w:val="26"/>
        </w:rPr>
        <w:t xml:space="preserve"> </w:t>
      </w:r>
      <w:r w:rsidRPr="00FF6FF3">
        <w:rPr>
          <w:sz w:val="26"/>
          <w:szCs w:val="26"/>
        </w:rPr>
        <w:t>BPHA</w:t>
      </w:r>
      <w:r w:rsidRPr="00FF6FF3">
        <w:rPr>
          <w:spacing w:val="-2"/>
          <w:sz w:val="26"/>
          <w:szCs w:val="26"/>
        </w:rPr>
        <w:t xml:space="preserve"> </w:t>
      </w:r>
      <w:r w:rsidRPr="00FF6FF3">
        <w:rPr>
          <w:sz w:val="26"/>
          <w:szCs w:val="26"/>
        </w:rPr>
        <w:t>infrastructure</w:t>
      </w:r>
      <w:r w:rsidRPr="00FF6FF3">
        <w:rPr>
          <w:spacing w:val="-62"/>
          <w:sz w:val="26"/>
          <w:szCs w:val="26"/>
        </w:rPr>
        <w:t xml:space="preserve"> </w:t>
      </w:r>
      <w:r w:rsidRPr="00FF6FF3">
        <w:rPr>
          <w:sz w:val="26"/>
          <w:szCs w:val="26"/>
        </w:rPr>
        <w:t>grant</w:t>
      </w:r>
      <w:r w:rsidRPr="00FF6FF3">
        <w:rPr>
          <w:spacing w:val="-2"/>
          <w:sz w:val="26"/>
          <w:szCs w:val="26"/>
        </w:rPr>
        <w:t xml:space="preserve"> </w:t>
      </w:r>
      <w:r w:rsidRPr="00FF6FF3">
        <w:rPr>
          <w:sz w:val="26"/>
          <w:szCs w:val="26"/>
        </w:rPr>
        <w:t>funds</w:t>
      </w:r>
      <w:r w:rsidRPr="00FF6FF3">
        <w:rPr>
          <w:spacing w:val="-1"/>
          <w:sz w:val="26"/>
          <w:szCs w:val="26"/>
        </w:rPr>
        <w:t xml:space="preserve"> </w:t>
      </w:r>
      <w:r w:rsidRPr="00FF6FF3">
        <w:rPr>
          <w:sz w:val="26"/>
          <w:szCs w:val="26"/>
        </w:rPr>
        <w:t>per project.</w:t>
      </w:r>
    </w:p>
    <w:p w:rsidRPr="00FF6FF3" w:rsidR="00081EFC" w:rsidP="0033369D" w:rsidRDefault="00081EFC" w14:paraId="58073244" w14:textId="77777777">
      <w:pPr>
        <w:pStyle w:val="ListParagraph"/>
        <w:numPr>
          <w:ilvl w:val="0"/>
          <w:numId w:val="25"/>
        </w:numPr>
        <w:tabs>
          <w:tab w:val="left" w:pos="919"/>
          <w:tab w:val="left" w:pos="920"/>
        </w:tabs>
        <w:rPr>
          <w:sz w:val="26"/>
          <w:szCs w:val="26"/>
        </w:rPr>
      </w:pPr>
      <w:r w:rsidRPr="00FF6FF3">
        <w:rPr>
          <w:sz w:val="26"/>
          <w:szCs w:val="26"/>
        </w:rPr>
        <w:t>For</w:t>
      </w:r>
      <w:r w:rsidRPr="00FF6FF3">
        <w:rPr>
          <w:spacing w:val="-3"/>
          <w:sz w:val="26"/>
          <w:szCs w:val="26"/>
        </w:rPr>
        <w:t xml:space="preserve"> </w:t>
      </w:r>
      <w:r w:rsidRPr="00FF6FF3">
        <w:rPr>
          <w:sz w:val="26"/>
          <w:szCs w:val="26"/>
        </w:rPr>
        <w:t>projects</w:t>
      </w:r>
      <w:r w:rsidRPr="00FF6FF3">
        <w:rPr>
          <w:spacing w:val="-3"/>
          <w:sz w:val="26"/>
          <w:szCs w:val="26"/>
        </w:rPr>
        <w:t xml:space="preserve"> </w:t>
      </w:r>
      <w:r w:rsidRPr="00FF6FF3">
        <w:rPr>
          <w:sz w:val="26"/>
          <w:szCs w:val="26"/>
        </w:rPr>
        <w:t>connecting</w:t>
      </w:r>
      <w:r w:rsidRPr="00FF6FF3">
        <w:rPr>
          <w:spacing w:val="-4"/>
          <w:sz w:val="26"/>
          <w:szCs w:val="26"/>
        </w:rPr>
        <w:t xml:space="preserve"> </w:t>
      </w:r>
      <w:r w:rsidRPr="00FF6FF3">
        <w:rPr>
          <w:sz w:val="26"/>
          <w:szCs w:val="26"/>
        </w:rPr>
        <w:t>50</w:t>
      </w:r>
      <w:r w:rsidRPr="00FF6FF3">
        <w:rPr>
          <w:spacing w:val="-3"/>
          <w:sz w:val="26"/>
          <w:szCs w:val="26"/>
        </w:rPr>
        <w:t xml:space="preserve"> </w:t>
      </w:r>
      <w:r w:rsidRPr="00FF6FF3">
        <w:rPr>
          <w:sz w:val="26"/>
          <w:szCs w:val="26"/>
        </w:rPr>
        <w:t>units</w:t>
      </w:r>
      <w:r w:rsidRPr="00FF6FF3">
        <w:rPr>
          <w:spacing w:val="-3"/>
          <w:sz w:val="26"/>
          <w:szCs w:val="26"/>
        </w:rPr>
        <w:t xml:space="preserve"> </w:t>
      </w:r>
      <w:r w:rsidRPr="00FF6FF3">
        <w:rPr>
          <w:sz w:val="26"/>
          <w:szCs w:val="26"/>
        </w:rPr>
        <w:t>or less,</w:t>
      </w:r>
      <w:r w:rsidRPr="00FF6FF3">
        <w:rPr>
          <w:spacing w:val="-4"/>
          <w:sz w:val="26"/>
          <w:szCs w:val="26"/>
        </w:rPr>
        <w:t xml:space="preserve"> </w:t>
      </w:r>
      <w:r w:rsidRPr="00FF6FF3">
        <w:rPr>
          <w:sz w:val="26"/>
          <w:szCs w:val="26"/>
        </w:rPr>
        <w:t>the</w:t>
      </w:r>
      <w:r w:rsidRPr="00FF6FF3">
        <w:rPr>
          <w:spacing w:val="-3"/>
          <w:sz w:val="26"/>
          <w:szCs w:val="26"/>
        </w:rPr>
        <w:t xml:space="preserve"> </w:t>
      </w:r>
      <w:r w:rsidRPr="00FF6FF3">
        <w:rPr>
          <w:sz w:val="26"/>
          <w:szCs w:val="26"/>
        </w:rPr>
        <w:t>proposed</w:t>
      </w:r>
      <w:r w:rsidRPr="00FF6FF3">
        <w:rPr>
          <w:spacing w:val="-4"/>
          <w:sz w:val="26"/>
          <w:szCs w:val="26"/>
        </w:rPr>
        <w:t xml:space="preserve"> </w:t>
      </w:r>
      <w:r w:rsidRPr="00FF6FF3">
        <w:rPr>
          <w:sz w:val="26"/>
          <w:szCs w:val="26"/>
        </w:rPr>
        <w:t>project</w:t>
      </w:r>
      <w:r w:rsidRPr="00FF6FF3">
        <w:rPr>
          <w:spacing w:val="-3"/>
          <w:sz w:val="26"/>
          <w:szCs w:val="26"/>
        </w:rPr>
        <w:t xml:space="preserve"> </w:t>
      </w:r>
      <w:r w:rsidRPr="00FF6FF3">
        <w:rPr>
          <w:sz w:val="26"/>
          <w:szCs w:val="26"/>
        </w:rPr>
        <w:t xml:space="preserve">costs </w:t>
      </w:r>
      <w:r w:rsidRPr="00FF6FF3">
        <w:rPr>
          <w:spacing w:val="-3"/>
          <w:sz w:val="26"/>
          <w:szCs w:val="26"/>
        </w:rPr>
        <w:t xml:space="preserve">$1,200 </w:t>
      </w:r>
      <w:r w:rsidRPr="00FF6FF3">
        <w:rPr>
          <w:sz w:val="26"/>
          <w:szCs w:val="26"/>
        </w:rPr>
        <w:t>per</w:t>
      </w:r>
      <w:r w:rsidRPr="00FF6FF3">
        <w:rPr>
          <w:spacing w:val="-2"/>
          <w:sz w:val="26"/>
          <w:szCs w:val="26"/>
        </w:rPr>
        <w:t xml:space="preserve"> </w:t>
      </w:r>
      <w:r w:rsidRPr="00FF6FF3">
        <w:rPr>
          <w:sz w:val="26"/>
          <w:szCs w:val="26"/>
        </w:rPr>
        <w:t>unit</w:t>
      </w:r>
      <w:r w:rsidRPr="00FF6FF3">
        <w:rPr>
          <w:spacing w:val="-3"/>
          <w:sz w:val="26"/>
          <w:szCs w:val="26"/>
        </w:rPr>
        <w:t xml:space="preserve"> </w:t>
      </w:r>
      <w:r w:rsidRPr="00FF6FF3">
        <w:rPr>
          <w:sz w:val="26"/>
          <w:szCs w:val="26"/>
        </w:rPr>
        <w:t>or less.</w:t>
      </w:r>
    </w:p>
    <w:p w:rsidRPr="00816D94" w:rsidR="00081EFC" w:rsidP="0033369D" w:rsidRDefault="00081EFC" w14:paraId="27203A17" w14:textId="77777777">
      <w:pPr>
        <w:pStyle w:val="ListParagraph"/>
        <w:numPr>
          <w:ilvl w:val="0"/>
          <w:numId w:val="25"/>
        </w:numPr>
        <w:tabs>
          <w:tab w:val="left" w:pos="919"/>
          <w:tab w:val="left" w:pos="920"/>
        </w:tabs>
        <w:rPr>
          <w:sz w:val="26"/>
          <w:szCs w:val="26"/>
        </w:rPr>
      </w:pPr>
      <w:r w:rsidRPr="00FF6FF3">
        <w:rPr>
          <w:sz w:val="26"/>
        </w:rPr>
        <w:t>For projects connecting</w:t>
      </w:r>
      <w:r w:rsidRPr="00816D94">
        <w:rPr>
          <w:sz w:val="26"/>
        </w:rPr>
        <w:t xml:space="preserve"> 51-100 units, the proposed project costs $900 per unit</w:t>
      </w:r>
      <w:r w:rsidRPr="00816D94">
        <w:rPr>
          <w:spacing w:val="-1"/>
          <w:sz w:val="26"/>
        </w:rPr>
        <w:t xml:space="preserve"> </w:t>
      </w:r>
      <w:r w:rsidRPr="00816D94">
        <w:rPr>
          <w:sz w:val="26"/>
        </w:rPr>
        <w:t>or</w:t>
      </w:r>
      <w:r w:rsidRPr="00816D94">
        <w:rPr>
          <w:spacing w:val="2"/>
          <w:sz w:val="26"/>
        </w:rPr>
        <w:t xml:space="preserve"> </w:t>
      </w:r>
      <w:r w:rsidRPr="00816D94">
        <w:rPr>
          <w:sz w:val="26"/>
        </w:rPr>
        <w:t>less.</w:t>
      </w:r>
    </w:p>
    <w:p w:rsidRPr="00816D94" w:rsidR="00081EFC" w:rsidP="0033369D" w:rsidRDefault="00081EFC" w14:paraId="1A61409A" w14:textId="77777777">
      <w:pPr>
        <w:pStyle w:val="ListParagraph"/>
        <w:numPr>
          <w:ilvl w:val="0"/>
          <w:numId w:val="25"/>
        </w:numPr>
        <w:tabs>
          <w:tab w:val="left" w:pos="919"/>
          <w:tab w:val="left" w:pos="920"/>
        </w:tabs>
        <w:rPr>
          <w:sz w:val="26"/>
          <w:szCs w:val="26"/>
        </w:rPr>
      </w:pPr>
      <w:r w:rsidRPr="00816D94">
        <w:rPr>
          <w:sz w:val="26"/>
        </w:rPr>
        <w:t>For</w:t>
      </w:r>
      <w:r w:rsidRPr="00816D94">
        <w:rPr>
          <w:spacing w:val="-3"/>
          <w:sz w:val="26"/>
        </w:rPr>
        <w:t xml:space="preserve"> </w:t>
      </w:r>
      <w:r w:rsidRPr="00816D94">
        <w:rPr>
          <w:sz w:val="26"/>
        </w:rPr>
        <w:t>projects</w:t>
      </w:r>
      <w:r w:rsidRPr="00816D94">
        <w:rPr>
          <w:spacing w:val="-4"/>
          <w:sz w:val="26"/>
        </w:rPr>
        <w:t xml:space="preserve"> </w:t>
      </w:r>
      <w:r w:rsidRPr="00816D94">
        <w:rPr>
          <w:sz w:val="26"/>
        </w:rPr>
        <w:t>connecting</w:t>
      </w:r>
      <w:r w:rsidRPr="00816D94">
        <w:rPr>
          <w:spacing w:val="-4"/>
          <w:sz w:val="26"/>
        </w:rPr>
        <w:t xml:space="preserve"> </w:t>
      </w:r>
      <w:r w:rsidRPr="00816D94">
        <w:rPr>
          <w:sz w:val="26"/>
        </w:rPr>
        <w:t>101</w:t>
      </w:r>
      <w:r w:rsidRPr="00816D94">
        <w:rPr>
          <w:spacing w:val="-4"/>
          <w:sz w:val="26"/>
        </w:rPr>
        <w:t xml:space="preserve"> </w:t>
      </w:r>
      <w:r w:rsidRPr="00816D94">
        <w:rPr>
          <w:sz w:val="26"/>
        </w:rPr>
        <w:t>units</w:t>
      </w:r>
      <w:r w:rsidRPr="00816D94">
        <w:rPr>
          <w:spacing w:val="-1"/>
          <w:sz w:val="26"/>
        </w:rPr>
        <w:t xml:space="preserve"> </w:t>
      </w:r>
      <w:r w:rsidRPr="00816D94">
        <w:rPr>
          <w:sz w:val="26"/>
        </w:rPr>
        <w:t>or</w:t>
      </w:r>
      <w:r w:rsidRPr="00816D94">
        <w:rPr>
          <w:spacing w:val="-3"/>
          <w:sz w:val="26"/>
        </w:rPr>
        <w:t xml:space="preserve"> </w:t>
      </w:r>
      <w:r w:rsidRPr="00816D94">
        <w:rPr>
          <w:sz w:val="26"/>
        </w:rPr>
        <w:t>more,</w:t>
      </w:r>
      <w:r w:rsidRPr="00816D94">
        <w:rPr>
          <w:spacing w:val="-4"/>
          <w:sz w:val="26"/>
        </w:rPr>
        <w:t xml:space="preserve"> </w:t>
      </w:r>
      <w:r w:rsidRPr="00816D94">
        <w:rPr>
          <w:sz w:val="26"/>
        </w:rPr>
        <w:t>the</w:t>
      </w:r>
      <w:r w:rsidRPr="00816D94">
        <w:rPr>
          <w:spacing w:val="-3"/>
          <w:sz w:val="26"/>
        </w:rPr>
        <w:t xml:space="preserve"> </w:t>
      </w:r>
      <w:r w:rsidRPr="00816D94">
        <w:rPr>
          <w:sz w:val="26"/>
        </w:rPr>
        <w:t>proposed</w:t>
      </w:r>
      <w:r w:rsidRPr="00816D94">
        <w:rPr>
          <w:spacing w:val="-1"/>
          <w:sz w:val="26"/>
        </w:rPr>
        <w:t xml:space="preserve"> </w:t>
      </w:r>
      <w:r w:rsidRPr="00816D94">
        <w:rPr>
          <w:sz w:val="26"/>
        </w:rPr>
        <w:t>project</w:t>
      </w:r>
      <w:r w:rsidRPr="00816D94">
        <w:rPr>
          <w:spacing w:val="-3"/>
          <w:sz w:val="26"/>
        </w:rPr>
        <w:t xml:space="preserve"> </w:t>
      </w:r>
      <w:r w:rsidRPr="00816D94">
        <w:rPr>
          <w:sz w:val="26"/>
        </w:rPr>
        <w:t xml:space="preserve">costs </w:t>
      </w:r>
      <w:r w:rsidRPr="00816D94">
        <w:rPr>
          <w:spacing w:val="-3"/>
        </w:rPr>
        <w:t>$</w:t>
      </w:r>
      <w:r w:rsidRPr="00816D94">
        <w:rPr>
          <w:spacing w:val="-3"/>
          <w:sz w:val="26"/>
          <w:szCs w:val="26"/>
        </w:rPr>
        <w:t xml:space="preserve">600 </w:t>
      </w:r>
      <w:r w:rsidRPr="00816D94">
        <w:rPr>
          <w:sz w:val="26"/>
          <w:szCs w:val="26"/>
        </w:rPr>
        <w:t>per</w:t>
      </w:r>
      <w:r w:rsidRPr="00816D94">
        <w:rPr>
          <w:spacing w:val="-2"/>
          <w:sz w:val="26"/>
          <w:szCs w:val="26"/>
        </w:rPr>
        <w:t xml:space="preserve"> </w:t>
      </w:r>
      <w:r w:rsidRPr="00816D94">
        <w:rPr>
          <w:sz w:val="26"/>
          <w:szCs w:val="26"/>
        </w:rPr>
        <w:t>unit</w:t>
      </w:r>
      <w:r w:rsidRPr="00816D94">
        <w:rPr>
          <w:spacing w:val="-3"/>
          <w:sz w:val="26"/>
          <w:szCs w:val="26"/>
        </w:rPr>
        <w:t xml:space="preserve"> </w:t>
      </w:r>
      <w:r w:rsidRPr="00816D94">
        <w:rPr>
          <w:sz w:val="26"/>
          <w:szCs w:val="26"/>
        </w:rPr>
        <w:t>or less.</w:t>
      </w:r>
    </w:p>
    <w:p w:rsidRPr="00816D94" w:rsidR="00081EFC" w:rsidP="0033369D" w:rsidRDefault="00081EFC" w14:paraId="1FF808EC" w14:textId="77777777">
      <w:pPr>
        <w:pStyle w:val="ListParagraph"/>
        <w:numPr>
          <w:ilvl w:val="0"/>
          <w:numId w:val="26"/>
        </w:numPr>
        <w:tabs>
          <w:tab w:val="left" w:pos="919"/>
          <w:tab w:val="left" w:pos="920"/>
        </w:tabs>
        <w:rPr>
          <w:sz w:val="26"/>
          <w:szCs w:val="26"/>
        </w:rPr>
      </w:pPr>
      <w:r w:rsidRPr="049644BE">
        <w:rPr>
          <w:sz w:val="26"/>
          <w:szCs w:val="26"/>
        </w:rPr>
        <w:t>Applicant</w:t>
      </w:r>
      <w:r w:rsidRPr="049644BE">
        <w:rPr>
          <w:spacing w:val="-2"/>
          <w:sz w:val="26"/>
          <w:szCs w:val="26"/>
        </w:rPr>
        <w:t xml:space="preserve"> </w:t>
      </w:r>
      <w:r w:rsidRPr="049644BE">
        <w:rPr>
          <w:sz w:val="26"/>
          <w:szCs w:val="26"/>
        </w:rPr>
        <w:t>must</w:t>
      </w:r>
      <w:r w:rsidRPr="049644BE">
        <w:rPr>
          <w:spacing w:val="-4"/>
          <w:sz w:val="26"/>
          <w:szCs w:val="26"/>
        </w:rPr>
        <w:t xml:space="preserve"> </w:t>
      </w:r>
      <w:r w:rsidRPr="049644BE">
        <w:rPr>
          <w:sz w:val="26"/>
          <w:szCs w:val="26"/>
        </w:rPr>
        <w:t>attest</w:t>
      </w:r>
      <w:r w:rsidRPr="049644BE">
        <w:rPr>
          <w:spacing w:val="-3"/>
          <w:sz w:val="26"/>
          <w:szCs w:val="26"/>
        </w:rPr>
        <w:t xml:space="preserve"> </w:t>
      </w:r>
      <w:r w:rsidRPr="049644BE">
        <w:rPr>
          <w:sz w:val="26"/>
          <w:szCs w:val="26"/>
        </w:rPr>
        <w:t>that</w:t>
      </w:r>
      <w:r w:rsidRPr="049644BE">
        <w:rPr>
          <w:spacing w:val="-2"/>
          <w:sz w:val="26"/>
          <w:szCs w:val="26"/>
        </w:rPr>
        <w:t xml:space="preserve"> </w:t>
      </w:r>
      <w:r w:rsidRPr="049644BE">
        <w:rPr>
          <w:sz w:val="26"/>
          <w:szCs w:val="26"/>
        </w:rPr>
        <w:t>it</w:t>
      </w:r>
      <w:r w:rsidRPr="049644BE">
        <w:rPr>
          <w:spacing w:val="-4"/>
          <w:sz w:val="26"/>
          <w:szCs w:val="26"/>
        </w:rPr>
        <w:t xml:space="preserve"> </w:t>
      </w:r>
      <w:r w:rsidRPr="049644BE">
        <w:rPr>
          <w:sz w:val="26"/>
          <w:szCs w:val="26"/>
        </w:rPr>
        <w:t>expects</w:t>
      </w:r>
      <w:r w:rsidRPr="049644BE">
        <w:rPr>
          <w:spacing w:val="-3"/>
          <w:sz w:val="26"/>
          <w:szCs w:val="26"/>
        </w:rPr>
        <w:t xml:space="preserve"> </w:t>
      </w:r>
      <w:r w:rsidRPr="049644BE">
        <w:rPr>
          <w:sz w:val="26"/>
          <w:szCs w:val="26"/>
        </w:rPr>
        <w:t>the</w:t>
      </w:r>
      <w:r w:rsidRPr="049644BE">
        <w:rPr>
          <w:spacing w:val="-4"/>
          <w:sz w:val="26"/>
          <w:szCs w:val="26"/>
        </w:rPr>
        <w:t xml:space="preserve"> </w:t>
      </w:r>
      <w:r w:rsidRPr="049644BE">
        <w:rPr>
          <w:sz w:val="26"/>
          <w:szCs w:val="26"/>
        </w:rPr>
        <w:t>property</w:t>
      </w:r>
      <w:r w:rsidRPr="049644BE">
        <w:rPr>
          <w:spacing w:val="-4"/>
          <w:sz w:val="26"/>
          <w:szCs w:val="26"/>
        </w:rPr>
        <w:t xml:space="preserve"> </w:t>
      </w:r>
      <w:r w:rsidRPr="049644BE">
        <w:rPr>
          <w:sz w:val="26"/>
          <w:szCs w:val="26"/>
        </w:rPr>
        <w:t>to</w:t>
      </w:r>
      <w:r w:rsidRPr="049644BE">
        <w:rPr>
          <w:spacing w:val="-3"/>
          <w:sz w:val="26"/>
          <w:szCs w:val="26"/>
        </w:rPr>
        <w:t xml:space="preserve"> </w:t>
      </w:r>
      <w:r w:rsidRPr="049644BE">
        <w:rPr>
          <w:sz w:val="26"/>
          <w:szCs w:val="26"/>
        </w:rPr>
        <w:t>be</w:t>
      </w:r>
      <w:r w:rsidRPr="049644BE">
        <w:rPr>
          <w:spacing w:val="-3"/>
          <w:sz w:val="26"/>
          <w:szCs w:val="26"/>
        </w:rPr>
        <w:t xml:space="preserve"> </w:t>
      </w:r>
      <w:r w:rsidRPr="049644BE">
        <w:rPr>
          <w:sz w:val="26"/>
          <w:szCs w:val="26"/>
        </w:rPr>
        <w:t>in</w:t>
      </w:r>
      <w:r w:rsidRPr="049644BE">
        <w:rPr>
          <w:spacing w:val="-4"/>
          <w:sz w:val="26"/>
          <w:szCs w:val="26"/>
        </w:rPr>
        <w:t xml:space="preserve"> </w:t>
      </w:r>
      <w:r w:rsidRPr="049644BE">
        <w:rPr>
          <w:sz w:val="26"/>
          <w:szCs w:val="26"/>
        </w:rPr>
        <w:t>residential</w:t>
      </w:r>
      <w:r w:rsidRPr="049644BE">
        <w:rPr>
          <w:spacing w:val="-4"/>
          <w:sz w:val="26"/>
          <w:szCs w:val="26"/>
        </w:rPr>
        <w:t xml:space="preserve"> </w:t>
      </w:r>
      <w:r w:rsidRPr="049644BE">
        <w:rPr>
          <w:sz w:val="26"/>
          <w:szCs w:val="26"/>
        </w:rPr>
        <w:t xml:space="preserve">use as </w:t>
      </w:r>
      <w:r w:rsidRPr="049644BE">
        <w:rPr>
          <w:sz w:val="26"/>
          <w:szCs w:val="26"/>
        </w:rPr>
        <w:lastRenderedPageBreak/>
        <w:t>a low-income community</w:t>
      </w:r>
      <w:r w:rsidRPr="049644BE">
        <w:rPr>
          <w:spacing w:val="-3"/>
          <w:sz w:val="26"/>
          <w:szCs w:val="26"/>
        </w:rPr>
        <w:t xml:space="preserve"> </w:t>
      </w:r>
      <w:r w:rsidRPr="049644BE">
        <w:rPr>
          <w:sz w:val="26"/>
          <w:szCs w:val="26"/>
        </w:rPr>
        <w:t>as defined above for at least</w:t>
      </w:r>
      <w:r w:rsidRPr="049644BE">
        <w:rPr>
          <w:spacing w:val="-1"/>
          <w:sz w:val="26"/>
          <w:szCs w:val="26"/>
        </w:rPr>
        <w:t xml:space="preserve"> </w:t>
      </w:r>
      <w:r w:rsidRPr="049644BE">
        <w:rPr>
          <w:sz w:val="26"/>
          <w:szCs w:val="26"/>
        </w:rPr>
        <w:t>the next</w:t>
      </w:r>
      <w:r w:rsidRPr="049644BE">
        <w:rPr>
          <w:spacing w:val="-2"/>
          <w:sz w:val="26"/>
          <w:szCs w:val="26"/>
        </w:rPr>
        <w:t xml:space="preserve"> </w:t>
      </w:r>
      <w:r w:rsidRPr="049644BE">
        <w:rPr>
          <w:sz w:val="26"/>
          <w:szCs w:val="26"/>
        </w:rPr>
        <w:t>10</w:t>
      </w:r>
      <w:r w:rsidRPr="049644BE">
        <w:rPr>
          <w:spacing w:val="-1"/>
          <w:sz w:val="26"/>
          <w:szCs w:val="26"/>
        </w:rPr>
        <w:t xml:space="preserve"> </w:t>
      </w:r>
      <w:r w:rsidRPr="049644BE">
        <w:rPr>
          <w:sz w:val="26"/>
          <w:szCs w:val="26"/>
        </w:rPr>
        <w:t>years.</w:t>
      </w:r>
    </w:p>
    <w:p w:rsidR="00081EFC" w:rsidP="0033369D" w:rsidRDefault="00081EFC" w14:paraId="097B0953" w14:textId="77777777">
      <w:pPr>
        <w:pStyle w:val="ListParagraph"/>
        <w:numPr>
          <w:ilvl w:val="0"/>
          <w:numId w:val="26"/>
        </w:numPr>
        <w:tabs>
          <w:tab w:val="left" w:pos="919"/>
          <w:tab w:val="left" w:pos="920"/>
        </w:tabs>
        <w:spacing w:line="335" w:lineRule="exact"/>
        <w:rPr>
          <w:sz w:val="26"/>
        </w:rPr>
      </w:pPr>
      <w:r>
        <w:rPr>
          <w:sz w:val="26"/>
        </w:rPr>
        <w:t>The</w:t>
      </w:r>
      <w:r>
        <w:rPr>
          <w:spacing w:val="-4"/>
          <w:sz w:val="26"/>
        </w:rPr>
        <w:t xml:space="preserve"> </w:t>
      </w:r>
      <w:r>
        <w:rPr>
          <w:sz w:val="26"/>
        </w:rPr>
        <w:t>property</w:t>
      </w:r>
      <w:r>
        <w:rPr>
          <w:spacing w:val="-4"/>
          <w:sz w:val="26"/>
        </w:rPr>
        <w:t xml:space="preserve"> </w:t>
      </w:r>
      <w:r>
        <w:rPr>
          <w:sz w:val="26"/>
        </w:rPr>
        <w:t>qualifies</w:t>
      </w:r>
      <w:r>
        <w:rPr>
          <w:spacing w:val="-4"/>
          <w:sz w:val="26"/>
        </w:rPr>
        <w:t xml:space="preserve"> </w:t>
      </w:r>
      <w:r>
        <w:rPr>
          <w:sz w:val="26"/>
        </w:rPr>
        <w:t>for</w:t>
      </w:r>
      <w:r>
        <w:rPr>
          <w:spacing w:val="-2"/>
          <w:sz w:val="26"/>
        </w:rPr>
        <w:t xml:space="preserve"> </w:t>
      </w:r>
      <w:r>
        <w:rPr>
          <w:sz w:val="26"/>
        </w:rPr>
        <w:t>an</w:t>
      </w:r>
      <w:r>
        <w:rPr>
          <w:spacing w:val="-4"/>
          <w:sz w:val="26"/>
        </w:rPr>
        <w:t xml:space="preserve"> </w:t>
      </w:r>
      <w:r>
        <w:rPr>
          <w:sz w:val="26"/>
        </w:rPr>
        <w:t>exemption</w:t>
      </w:r>
      <w:r>
        <w:rPr>
          <w:spacing w:val="-4"/>
          <w:sz w:val="26"/>
        </w:rPr>
        <w:t xml:space="preserve"> </w:t>
      </w:r>
      <w:r>
        <w:rPr>
          <w:sz w:val="26"/>
        </w:rPr>
        <w:t>pursuant</w:t>
      </w:r>
      <w:r>
        <w:rPr>
          <w:spacing w:val="-4"/>
          <w:sz w:val="26"/>
        </w:rPr>
        <w:t xml:space="preserve"> </w:t>
      </w:r>
      <w:r>
        <w:rPr>
          <w:sz w:val="26"/>
        </w:rPr>
        <w:t>to</w:t>
      </w:r>
      <w:r>
        <w:rPr>
          <w:spacing w:val="-4"/>
          <w:sz w:val="26"/>
        </w:rPr>
        <w:t xml:space="preserve"> </w:t>
      </w:r>
      <w:r>
        <w:rPr>
          <w:sz w:val="26"/>
        </w:rPr>
        <w:t>CEQA</w:t>
      </w:r>
      <w:r>
        <w:rPr>
          <w:spacing w:val="-1"/>
          <w:sz w:val="26"/>
        </w:rPr>
        <w:t xml:space="preserve"> </w:t>
      </w:r>
      <w:r>
        <w:rPr>
          <w:sz w:val="26"/>
        </w:rPr>
        <w:t>Guidelines.</w:t>
      </w:r>
    </w:p>
    <w:p w:rsidR="00081EFC" w:rsidP="0033369D" w:rsidRDefault="00081EFC" w14:paraId="5021627C" w14:textId="77777777">
      <w:pPr>
        <w:pStyle w:val="ListParagraph"/>
        <w:numPr>
          <w:ilvl w:val="0"/>
          <w:numId w:val="26"/>
        </w:numPr>
        <w:tabs>
          <w:tab w:val="left" w:pos="919"/>
          <w:tab w:val="left" w:pos="920"/>
        </w:tabs>
        <w:spacing w:line="335" w:lineRule="exact"/>
        <w:rPr>
          <w:sz w:val="26"/>
          <w:szCs w:val="26"/>
        </w:rPr>
      </w:pPr>
      <w:r w:rsidRPr="5811989D">
        <w:rPr>
          <w:sz w:val="26"/>
          <w:szCs w:val="26"/>
        </w:rPr>
        <w:t>For wireless networking projects, the equipment must meet at least the 802.11AC Wave2 (WiFi-5 wave2) standard or 802.11ax (WiFi-6/6E) standard. Staff will accept, for Ministerial Review, applications that rely on 802.11n technology to the extent that the applicant can demonstrate that this equipment was purchased prior to the issue date of the decision adopting these Guidelines.</w:t>
      </w:r>
    </w:p>
    <w:p w:rsidR="00081EFC" w:rsidP="0033369D" w:rsidRDefault="00081EFC" w14:paraId="2BCC04C4" w14:textId="77777777">
      <w:pPr>
        <w:pStyle w:val="ListParagraph"/>
        <w:numPr>
          <w:ilvl w:val="0"/>
          <w:numId w:val="26"/>
        </w:numPr>
        <w:tabs>
          <w:tab w:val="left" w:pos="919"/>
          <w:tab w:val="left" w:pos="920"/>
        </w:tabs>
        <w:spacing w:line="335" w:lineRule="exact"/>
        <w:rPr>
          <w:sz w:val="26"/>
        </w:rPr>
      </w:pPr>
      <w:r>
        <w:rPr>
          <w:sz w:val="26"/>
        </w:rPr>
        <w:t>For wireline networking projects, the equipment must meet at least DOCSIS 3.1, VDSL, or 100 BASE-X standards.</w:t>
      </w:r>
    </w:p>
    <w:p w:rsidR="00081EFC" w:rsidP="0033369D" w:rsidRDefault="00081EFC" w14:paraId="4CDFA540" w14:textId="77777777">
      <w:pPr>
        <w:pStyle w:val="ListParagraph"/>
        <w:numPr>
          <w:ilvl w:val="0"/>
          <w:numId w:val="24"/>
        </w:numPr>
        <w:spacing w:before="2"/>
        <w:ind w:left="720"/>
        <w:rPr>
          <w:sz w:val="26"/>
        </w:rPr>
      </w:pPr>
      <w:r>
        <w:rPr>
          <w:sz w:val="26"/>
        </w:rPr>
        <w:t>Applicant attests that it will operate and maintain project equipment, broadband technology, and internet services for at least five years after</w:t>
      </w:r>
      <w:r w:rsidRPr="006E3989">
        <w:t xml:space="preserve"> </w:t>
      </w:r>
      <w:r>
        <w:rPr>
          <w:sz w:val="26"/>
        </w:rPr>
        <w:t>successful completion of the project and that it has sufficient funds to do</w:t>
      </w:r>
      <w:r>
        <w:rPr>
          <w:spacing w:val="1"/>
          <w:sz w:val="26"/>
        </w:rPr>
        <w:t xml:space="preserve"> </w:t>
      </w:r>
      <w:r>
        <w:rPr>
          <w:sz w:val="26"/>
        </w:rPr>
        <w:t>so.</w:t>
      </w:r>
      <w:r>
        <w:rPr>
          <w:spacing w:val="1"/>
          <w:sz w:val="26"/>
        </w:rPr>
        <w:t xml:space="preserve"> </w:t>
      </w:r>
      <w:r>
        <w:rPr>
          <w:sz w:val="26"/>
        </w:rPr>
        <w:t>In addition, the Applicant attests that it will acquire the necessary</w:t>
      </w:r>
      <w:r>
        <w:rPr>
          <w:spacing w:val="1"/>
          <w:sz w:val="26"/>
        </w:rPr>
        <w:t xml:space="preserve"> </w:t>
      </w:r>
      <w:r>
        <w:rPr>
          <w:sz w:val="26"/>
        </w:rPr>
        <w:t>hardware</w:t>
      </w:r>
      <w:r>
        <w:rPr>
          <w:spacing w:val="-3"/>
          <w:sz w:val="26"/>
        </w:rPr>
        <w:t xml:space="preserve"> </w:t>
      </w:r>
      <w:r>
        <w:rPr>
          <w:sz w:val="26"/>
        </w:rPr>
        <w:t>warranty</w:t>
      </w:r>
      <w:r>
        <w:rPr>
          <w:spacing w:val="-1"/>
          <w:sz w:val="26"/>
        </w:rPr>
        <w:t xml:space="preserve"> </w:t>
      </w:r>
      <w:r>
        <w:rPr>
          <w:sz w:val="26"/>
        </w:rPr>
        <w:t>and</w:t>
      </w:r>
      <w:r>
        <w:rPr>
          <w:spacing w:val="-3"/>
          <w:sz w:val="26"/>
        </w:rPr>
        <w:t xml:space="preserve"> </w:t>
      </w:r>
      <w:r>
        <w:rPr>
          <w:sz w:val="26"/>
        </w:rPr>
        <w:t>service</w:t>
      </w:r>
      <w:r>
        <w:rPr>
          <w:spacing w:val="-3"/>
          <w:sz w:val="26"/>
        </w:rPr>
        <w:t xml:space="preserve"> </w:t>
      </w:r>
      <w:r>
        <w:rPr>
          <w:sz w:val="26"/>
        </w:rPr>
        <w:t>agreement</w:t>
      </w:r>
      <w:r>
        <w:rPr>
          <w:spacing w:val="-3"/>
          <w:sz w:val="26"/>
        </w:rPr>
        <w:t xml:space="preserve"> </w:t>
      </w:r>
      <w:r>
        <w:rPr>
          <w:sz w:val="26"/>
        </w:rPr>
        <w:t>to</w:t>
      </w:r>
      <w:r>
        <w:rPr>
          <w:spacing w:val="-3"/>
          <w:sz w:val="26"/>
        </w:rPr>
        <w:t xml:space="preserve"> </w:t>
      </w:r>
      <w:r>
        <w:rPr>
          <w:sz w:val="26"/>
        </w:rPr>
        <w:t>support</w:t>
      </w:r>
      <w:r>
        <w:rPr>
          <w:spacing w:val="-3"/>
          <w:sz w:val="26"/>
        </w:rPr>
        <w:t xml:space="preserve"> </w:t>
      </w:r>
      <w:r>
        <w:rPr>
          <w:sz w:val="26"/>
        </w:rPr>
        <w:t>the</w:t>
      </w:r>
      <w:r>
        <w:rPr>
          <w:spacing w:val="-3"/>
          <w:sz w:val="26"/>
        </w:rPr>
        <w:t xml:space="preserve"> </w:t>
      </w:r>
      <w:r>
        <w:rPr>
          <w:sz w:val="26"/>
        </w:rPr>
        <w:t>operation</w:t>
      </w:r>
      <w:r>
        <w:rPr>
          <w:spacing w:val="-3"/>
          <w:sz w:val="26"/>
        </w:rPr>
        <w:t xml:space="preserve"> </w:t>
      </w:r>
      <w:r>
        <w:rPr>
          <w:sz w:val="26"/>
        </w:rPr>
        <w:t>of</w:t>
      </w:r>
      <w:r>
        <w:rPr>
          <w:spacing w:val="-3"/>
          <w:sz w:val="26"/>
        </w:rPr>
        <w:t xml:space="preserve"> </w:t>
      </w:r>
      <w:r>
        <w:rPr>
          <w:sz w:val="26"/>
        </w:rPr>
        <w:t>the</w:t>
      </w:r>
      <w:r>
        <w:rPr>
          <w:spacing w:val="-62"/>
          <w:sz w:val="26"/>
        </w:rPr>
        <w:t xml:space="preserve"> </w:t>
      </w:r>
      <w:r>
        <w:rPr>
          <w:sz w:val="26"/>
        </w:rPr>
        <w:t>proposed</w:t>
      </w:r>
      <w:r>
        <w:rPr>
          <w:spacing w:val="-2"/>
          <w:sz w:val="26"/>
        </w:rPr>
        <w:t xml:space="preserve"> </w:t>
      </w:r>
      <w:r>
        <w:rPr>
          <w:sz w:val="26"/>
        </w:rPr>
        <w:t>network</w:t>
      </w:r>
      <w:r>
        <w:rPr>
          <w:spacing w:val="-1"/>
          <w:sz w:val="26"/>
        </w:rPr>
        <w:t xml:space="preserve"> </w:t>
      </w:r>
      <w:r>
        <w:rPr>
          <w:sz w:val="26"/>
        </w:rPr>
        <w:t>for the</w:t>
      </w:r>
      <w:r>
        <w:rPr>
          <w:spacing w:val="-1"/>
          <w:sz w:val="26"/>
        </w:rPr>
        <w:t xml:space="preserve"> </w:t>
      </w:r>
      <w:r>
        <w:rPr>
          <w:sz w:val="26"/>
        </w:rPr>
        <w:t>five-year</w:t>
      </w:r>
      <w:r>
        <w:rPr>
          <w:spacing w:val="-1"/>
          <w:sz w:val="26"/>
        </w:rPr>
        <w:t xml:space="preserve"> </w:t>
      </w:r>
      <w:r>
        <w:rPr>
          <w:sz w:val="26"/>
        </w:rPr>
        <w:t>period.</w:t>
      </w:r>
    </w:p>
    <w:p w:rsidR="00081EFC" w:rsidP="0033369D" w:rsidRDefault="00081EFC" w14:paraId="3AD35E1E" w14:textId="77777777">
      <w:pPr>
        <w:pStyle w:val="ListParagraph"/>
        <w:numPr>
          <w:ilvl w:val="0"/>
          <w:numId w:val="24"/>
        </w:numPr>
        <w:ind w:left="720"/>
        <w:rPr>
          <w:sz w:val="26"/>
          <w:szCs w:val="26"/>
        </w:rPr>
      </w:pPr>
      <w:r w:rsidRPr="40EA785A">
        <w:rPr>
          <w:sz w:val="26"/>
          <w:szCs w:val="26"/>
        </w:rPr>
        <w:t xml:space="preserve">The proposed project network </w:t>
      </w:r>
      <w:proofErr w:type="gramStart"/>
      <w:r w:rsidRPr="40EA785A">
        <w:rPr>
          <w:sz w:val="26"/>
          <w:szCs w:val="26"/>
        </w:rPr>
        <w:t>is capable of providing</w:t>
      </w:r>
      <w:proofErr w:type="gramEnd"/>
      <w:r w:rsidRPr="40EA785A">
        <w:rPr>
          <w:sz w:val="26"/>
          <w:szCs w:val="26"/>
        </w:rPr>
        <w:t xml:space="preserve"> broadband internet</w:t>
      </w:r>
      <w:r w:rsidRPr="40EA785A">
        <w:rPr>
          <w:spacing w:val="-63"/>
          <w:sz w:val="26"/>
          <w:szCs w:val="26"/>
        </w:rPr>
        <w:t xml:space="preserve"> </w:t>
      </w:r>
      <w:r w:rsidRPr="40EA785A">
        <w:rPr>
          <w:sz w:val="26"/>
          <w:szCs w:val="26"/>
        </w:rPr>
        <w:t xml:space="preserve">service speeds of at least 25 Mbps downstream and 3 Mbps upstream for an average user </w:t>
      </w:r>
      <w:r w:rsidRPr="4B40BE1C">
        <w:rPr>
          <w:sz w:val="26"/>
          <w:szCs w:val="26"/>
        </w:rPr>
        <w:t xml:space="preserve">during </w:t>
      </w:r>
      <w:r w:rsidRPr="24A7C4BA">
        <w:rPr>
          <w:sz w:val="26"/>
          <w:szCs w:val="26"/>
        </w:rPr>
        <w:t>peak and off-peak hours</w:t>
      </w:r>
      <w:r w:rsidRPr="40EA785A">
        <w:rPr>
          <w:sz w:val="26"/>
          <w:szCs w:val="26"/>
        </w:rPr>
        <w:t>, or current state standard, whichever is higher (supported</w:t>
      </w:r>
      <w:r w:rsidRPr="40EA785A">
        <w:rPr>
          <w:spacing w:val="-2"/>
          <w:sz w:val="26"/>
          <w:szCs w:val="26"/>
        </w:rPr>
        <w:t xml:space="preserve"> </w:t>
      </w:r>
      <w:r w:rsidRPr="40EA785A">
        <w:rPr>
          <w:sz w:val="26"/>
          <w:szCs w:val="26"/>
        </w:rPr>
        <w:t>by</w:t>
      </w:r>
      <w:r w:rsidRPr="40EA785A">
        <w:rPr>
          <w:spacing w:val="-1"/>
          <w:sz w:val="26"/>
          <w:szCs w:val="26"/>
        </w:rPr>
        <w:t xml:space="preserve"> </w:t>
      </w:r>
      <w:r w:rsidRPr="40EA785A">
        <w:rPr>
          <w:sz w:val="26"/>
          <w:szCs w:val="26"/>
        </w:rPr>
        <w:t>submitted</w:t>
      </w:r>
      <w:r w:rsidRPr="40EA785A">
        <w:rPr>
          <w:spacing w:val="-1"/>
          <w:sz w:val="26"/>
          <w:szCs w:val="26"/>
        </w:rPr>
        <w:t xml:space="preserve"> </w:t>
      </w:r>
      <w:r w:rsidRPr="40EA785A">
        <w:rPr>
          <w:sz w:val="26"/>
          <w:szCs w:val="26"/>
        </w:rPr>
        <w:t>documentation).</w:t>
      </w:r>
    </w:p>
    <w:p w:rsidR="00081EFC" w:rsidP="0033369D" w:rsidRDefault="00081EFC" w14:paraId="59CE84E1" w14:textId="77777777">
      <w:pPr>
        <w:pStyle w:val="ListParagraph"/>
        <w:numPr>
          <w:ilvl w:val="0"/>
          <w:numId w:val="26"/>
        </w:numPr>
        <w:tabs>
          <w:tab w:val="left" w:pos="919"/>
          <w:tab w:val="left" w:pos="920"/>
        </w:tabs>
        <w:spacing w:line="335" w:lineRule="exact"/>
        <w:rPr>
          <w:sz w:val="26"/>
        </w:rPr>
      </w:pPr>
      <w:r>
        <w:rPr>
          <w:sz w:val="26"/>
        </w:rPr>
        <w:t>Applicant attests that it will not charge residents for broadband internet services.</w:t>
      </w:r>
    </w:p>
    <w:p w:rsidRPr="006E3989" w:rsidR="00081EFC" w:rsidP="0033369D" w:rsidRDefault="00081EFC" w14:paraId="62CC9FBA" w14:textId="77777777">
      <w:pPr>
        <w:pStyle w:val="ListParagraph"/>
        <w:numPr>
          <w:ilvl w:val="0"/>
          <w:numId w:val="26"/>
        </w:numPr>
        <w:rPr>
          <w:sz w:val="26"/>
          <w:szCs w:val="26"/>
        </w:rPr>
      </w:pPr>
      <w:r w:rsidRPr="5811989D">
        <w:rPr>
          <w:sz w:val="26"/>
          <w:szCs w:val="26"/>
        </w:rPr>
        <w:t>Applicant has signed an affidavit agreeing that the statements and representations made in the application are true and correct, agrees that no officer, director, or partner of the Applicant or its Fiscal Agent has: 1) filed for bankruptcy; 2) was sanctioned by the Federal Communications  Commission or any state regulatory agency for failure to comply with any regulatory statute, rule, or order, nor 3) has been found either civilly or criminally liable by a court of appropriate jurisdiction for violation of §1700 et. seq. of the California Business and Professions Code, or for any action which involved misrepresentations to consumers, nor is currently under investigation for similar violations, and to abide by the CASF program rules established by the Commission, Commission rules of practice and procedure and statutes, and Pub. Util. Codes, §§ 2111 and 2108.</w:t>
      </w:r>
    </w:p>
    <w:p w:rsidR="00081EFC" w:rsidP="0033369D" w:rsidRDefault="00081EFC" w14:paraId="5F18834D" w14:textId="77777777">
      <w:pPr>
        <w:pStyle w:val="ListParagraph"/>
        <w:numPr>
          <w:ilvl w:val="0"/>
          <w:numId w:val="26"/>
        </w:numPr>
        <w:tabs>
          <w:tab w:val="left" w:pos="919"/>
          <w:tab w:val="left" w:pos="920"/>
        </w:tabs>
        <w:rPr>
          <w:sz w:val="26"/>
        </w:rPr>
      </w:pPr>
      <w:r>
        <w:rPr>
          <w:sz w:val="26"/>
        </w:rPr>
        <w:t>Applicant</w:t>
      </w:r>
      <w:r>
        <w:rPr>
          <w:spacing w:val="-4"/>
          <w:sz w:val="26"/>
        </w:rPr>
        <w:t xml:space="preserve"> </w:t>
      </w:r>
      <w:r>
        <w:rPr>
          <w:sz w:val="26"/>
        </w:rPr>
        <w:t>agrees</w:t>
      </w:r>
      <w:r>
        <w:rPr>
          <w:spacing w:val="-2"/>
          <w:sz w:val="26"/>
        </w:rPr>
        <w:t xml:space="preserve"> </w:t>
      </w:r>
      <w:r>
        <w:rPr>
          <w:sz w:val="26"/>
        </w:rPr>
        <w:t>to</w:t>
      </w:r>
      <w:r>
        <w:rPr>
          <w:spacing w:val="-4"/>
          <w:sz w:val="26"/>
        </w:rPr>
        <w:t xml:space="preserve"> </w:t>
      </w:r>
      <w:r>
        <w:rPr>
          <w:sz w:val="26"/>
        </w:rPr>
        <w:t>complete</w:t>
      </w:r>
      <w:r>
        <w:rPr>
          <w:spacing w:val="-3"/>
          <w:sz w:val="26"/>
        </w:rPr>
        <w:t xml:space="preserve"> </w:t>
      </w:r>
      <w:r>
        <w:rPr>
          <w:sz w:val="26"/>
        </w:rPr>
        <w:t>the</w:t>
      </w:r>
      <w:r>
        <w:rPr>
          <w:spacing w:val="-4"/>
          <w:sz w:val="26"/>
        </w:rPr>
        <w:t xml:space="preserve"> </w:t>
      </w:r>
      <w:r>
        <w:rPr>
          <w:sz w:val="26"/>
        </w:rPr>
        <w:t>project</w:t>
      </w:r>
      <w:r>
        <w:rPr>
          <w:spacing w:val="-1"/>
          <w:sz w:val="26"/>
        </w:rPr>
        <w:t xml:space="preserve"> </w:t>
      </w:r>
      <w:r>
        <w:rPr>
          <w:sz w:val="26"/>
        </w:rPr>
        <w:t>within</w:t>
      </w:r>
      <w:r>
        <w:rPr>
          <w:spacing w:val="-4"/>
          <w:sz w:val="26"/>
        </w:rPr>
        <w:t xml:space="preserve"> </w:t>
      </w:r>
      <w:r>
        <w:rPr>
          <w:sz w:val="26"/>
        </w:rPr>
        <w:t>12 months</w:t>
      </w:r>
      <w:r>
        <w:rPr>
          <w:spacing w:val="-4"/>
          <w:sz w:val="26"/>
        </w:rPr>
        <w:t xml:space="preserve"> </w:t>
      </w:r>
      <w:r>
        <w:rPr>
          <w:sz w:val="26"/>
        </w:rPr>
        <w:t>from</w:t>
      </w:r>
      <w:r>
        <w:rPr>
          <w:spacing w:val="-3"/>
          <w:sz w:val="26"/>
        </w:rPr>
        <w:t xml:space="preserve"> </w:t>
      </w:r>
      <w:r>
        <w:rPr>
          <w:sz w:val="26"/>
        </w:rPr>
        <w:t>the</w:t>
      </w:r>
      <w:r>
        <w:rPr>
          <w:spacing w:val="-4"/>
          <w:sz w:val="26"/>
        </w:rPr>
        <w:t xml:space="preserve"> </w:t>
      </w:r>
      <w:r>
        <w:rPr>
          <w:sz w:val="26"/>
        </w:rPr>
        <w:t>date</w:t>
      </w:r>
      <w:r>
        <w:rPr>
          <w:spacing w:val="-62"/>
          <w:sz w:val="26"/>
        </w:rPr>
        <w:t xml:space="preserve"> </w:t>
      </w:r>
      <w:r>
        <w:rPr>
          <w:sz w:val="26"/>
        </w:rPr>
        <w:t>of</w:t>
      </w:r>
      <w:r>
        <w:rPr>
          <w:spacing w:val="-2"/>
          <w:sz w:val="26"/>
        </w:rPr>
        <w:t xml:space="preserve"> </w:t>
      </w:r>
      <w:r>
        <w:rPr>
          <w:sz w:val="26"/>
        </w:rPr>
        <w:t>the</w:t>
      </w:r>
      <w:r>
        <w:rPr>
          <w:spacing w:val="-1"/>
          <w:sz w:val="26"/>
        </w:rPr>
        <w:t xml:space="preserve"> </w:t>
      </w:r>
      <w:r>
        <w:rPr>
          <w:sz w:val="26"/>
        </w:rPr>
        <w:t>Commission</w:t>
      </w:r>
      <w:r>
        <w:rPr>
          <w:spacing w:val="-1"/>
          <w:sz w:val="26"/>
        </w:rPr>
        <w:t xml:space="preserve"> </w:t>
      </w:r>
      <w:r>
        <w:rPr>
          <w:sz w:val="26"/>
        </w:rPr>
        <w:t>approval.</w:t>
      </w:r>
    </w:p>
    <w:p w:rsidR="00081EFC" w:rsidP="0033369D" w:rsidRDefault="00081EFC" w14:paraId="4A720DEB" w14:textId="77777777">
      <w:pPr>
        <w:pStyle w:val="ListParagraph"/>
        <w:numPr>
          <w:ilvl w:val="0"/>
          <w:numId w:val="26"/>
        </w:numPr>
        <w:tabs>
          <w:tab w:val="left" w:pos="919"/>
          <w:tab w:val="left" w:pos="920"/>
        </w:tabs>
        <w:rPr>
          <w:sz w:val="26"/>
          <w:szCs w:val="26"/>
        </w:rPr>
      </w:pPr>
      <w:r w:rsidRPr="539137C4">
        <w:rPr>
          <w:sz w:val="26"/>
          <w:szCs w:val="26"/>
        </w:rPr>
        <w:t>Applicant</w:t>
      </w:r>
      <w:r w:rsidRPr="539137C4">
        <w:rPr>
          <w:spacing w:val="-4"/>
          <w:sz w:val="26"/>
          <w:szCs w:val="26"/>
        </w:rPr>
        <w:t xml:space="preserve"> </w:t>
      </w:r>
      <w:r w:rsidRPr="539137C4">
        <w:rPr>
          <w:sz w:val="26"/>
          <w:szCs w:val="26"/>
        </w:rPr>
        <w:t>has</w:t>
      </w:r>
      <w:r w:rsidRPr="539137C4">
        <w:rPr>
          <w:spacing w:val="-4"/>
          <w:sz w:val="26"/>
          <w:szCs w:val="26"/>
        </w:rPr>
        <w:t xml:space="preserve"> </w:t>
      </w:r>
      <w:r w:rsidRPr="539137C4">
        <w:rPr>
          <w:sz w:val="26"/>
          <w:szCs w:val="26"/>
        </w:rPr>
        <w:t>an</w:t>
      </w:r>
      <w:r w:rsidRPr="539137C4">
        <w:rPr>
          <w:spacing w:val="-2"/>
          <w:sz w:val="26"/>
          <w:szCs w:val="26"/>
        </w:rPr>
        <w:t xml:space="preserve"> </w:t>
      </w:r>
      <w:r w:rsidRPr="539137C4">
        <w:rPr>
          <w:sz w:val="26"/>
          <w:szCs w:val="26"/>
        </w:rPr>
        <w:t>identified</w:t>
      </w:r>
      <w:r w:rsidRPr="539137C4">
        <w:rPr>
          <w:spacing w:val="-4"/>
          <w:sz w:val="26"/>
          <w:szCs w:val="26"/>
        </w:rPr>
        <w:t xml:space="preserve"> </w:t>
      </w:r>
      <w:r w:rsidRPr="539137C4">
        <w:rPr>
          <w:sz w:val="26"/>
          <w:szCs w:val="26"/>
        </w:rPr>
        <w:t>internet service provider with the required</w:t>
      </w:r>
      <w:r w:rsidRPr="539137C4">
        <w:rPr>
          <w:spacing w:val="-1"/>
          <w:sz w:val="26"/>
          <w:szCs w:val="26"/>
        </w:rPr>
        <w:t xml:space="preserve"> </w:t>
      </w:r>
      <w:r w:rsidRPr="539137C4">
        <w:rPr>
          <w:sz w:val="26"/>
          <w:szCs w:val="26"/>
        </w:rPr>
        <w:lastRenderedPageBreak/>
        <w:t>internet</w:t>
      </w:r>
      <w:r w:rsidRPr="539137C4">
        <w:rPr>
          <w:spacing w:val="-4"/>
          <w:sz w:val="26"/>
          <w:szCs w:val="26"/>
        </w:rPr>
        <w:t xml:space="preserve"> </w:t>
      </w:r>
      <w:r w:rsidRPr="539137C4">
        <w:rPr>
          <w:sz w:val="26"/>
          <w:szCs w:val="26"/>
        </w:rPr>
        <w:t>bandwidth capacity</w:t>
      </w:r>
      <w:r w:rsidRPr="539137C4">
        <w:rPr>
          <w:spacing w:val="-2"/>
          <w:sz w:val="26"/>
          <w:szCs w:val="26"/>
        </w:rPr>
        <w:t xml:space="preserve"> </w:t>
      </w:r>
      <w:r w:rsidRPr="539137C4">
        <w:rPr>
          <w:sz w:val="26"/>
          <w:szCs w:val="26"/>
        </w:rPr>
        <w:t>at the</w:t>
      </w:r>
      <w:r w:rsidRPr="539137C4">
        <w:rPr>
          <w:spacing w:val="-1"/>
          <w:sz w:val="26"/>
          <w:szCs w:val="26"/>
        </w:rPr>
        <w:t xml:space="preserve"> </w:t>
      </w:r>
      <w:r w:rsidRPr="539137C4">
        <w:rPr>
          <w:sz w:val="26"/>
          <w:szCs w:val="26"/>
        </w:rPr>
        <w:t>MPOE.</w:t>
      </w:r>
    </w:p>
    <w:p w:rsidR="00081EFC" w:rsidP="0033369D" w:rsidRDefault="00081EFC" w14:paraId="148CCE42" w14:textId="77777777">
      <w:pPr>
        <w:pStyle w:val="ListParagraph"/>
        <w:numPr>
          <w:ilvl w:val="0"/>
          <w:numId w:val="26"/>
        </w:numPr>
        <w:tabs>
          <w:tab w:val="left" w:pos="919"/>
          <w:tab w:val="left" w:pos="920"/>
        </w:tabs>
        <w:rPr>
          <w:sz w:val="26"/>
        </w:rPr>
      </w:pPr>
      <w:r>
        <w:rPr>
          <w:sz w:val="26"/>
        </w:rPr>
        <w:t>Applicant</w:t>
      </w:r>
      <w:r>
        <w:rPr>
          <w:spacing w:val="-4"/>
          <w:sz w:val="26"/>
        </w:rPr>
        <w:t xml:space="preserve"> </w:t>
      </w:r>
      <w:r>
        <w:rPr>
          <w:sz w:val="26"/>
        </w:rPr>
        <w:t>agrees</w:t>
      </w:r>
      <w:r>
        <w:rPr>
          <w:spacing w:val="-2"/>
          <w:sz w:val="26"/>
        </w:rPr>
        <w:t xml:space="preserve"> </w:t>
      </w:r>
      <w:r>
        <w:rPr>
          <w:sz w:val="26"/>
        </w:rPr>
        <w:t>to</w:t>
      </w:r>
      <w:r>
        <w:rPr>
          <w:spacing w:val="-4"/>
          <w:sz w:val="26"/>
        </w:rPr>
        <w:t xml:space="preserve"> </w:t>
      </w:r>
      <w:r>
        <w:rPr>
          <w:sz w:val="26"/>
        </w:rPr>
        <w:t>secure</w:t>
      </w:r>
      <w:r>
        <w:rPr>
          <w:spacing w:val="-3"/>
          <w:sz w:val="26"/>
        </w:rPr>
        <w:t xml:space="preserve"> </w:t>
      </w:r>
      <w:r>
        <w:rPr>
          <w:sz w:val="26"/>
        </w:rPr>
        <w:t>project</w:t>
      </w:r>
      <w:r>
        <w:rPr>
          <w:spacing w:val="-4"/>
          <w:sz w:val="26"/>
        </w:rPr>
        <w:t xml:space="preserve"> </w:t>
      </w:r>
      <w:r>
        <w:rPr>
          <w:sz w:val="26"/>
        </w:rPr>
        <w:t>funded hardware</w:t>
      </w:r>
      <w:r>
        <w:rPr>
          <w:spacing w:val="-3"/>
          <w:sz w:val="26"/>
        </w:rPr>
        <w:t xml:space="preserve"> </w:t>
      </w:r>
      <w:r>
        <w:rPr>
          <w:sz w:val="26"/>
        </w:rPr>
        <w:t>to</w:t>
      </w:r>
      <w:r>
        <w:rPr>
          <w:spacing w:val="-3"/>
          <w:sz w:val="26"/>
        </w:rPr>
        <w:t xml:space="preserve"> </w:t>
      </w:r>
      <w:r>
        <w:rPr>
          <w:sz w:val="26"/>
        </w:rPr>
        <w:t>prevent</w:t>
      </w:r>
      <w:r>
        <w:rPr>
          <w:spacing w:val="-2"/>
          <w:sz w:val="26"/>
        </w:rPr>
        <w:t xml:space="preserve"> </w:t>
      </w:r>
      <w:r>
        <w:rPr>
          <w:sz w:val="26"/>
        </w:rPr>
        <w:t>theft</w:t>
      </w:r>
      <w:r>
        <w:rPr>
          <w:spacing w:val="-3"/>
          <w:sz w:val="26"/>
        </w:rPr>
        <w:t xml:space="preserve"> </w:t>
      </w:r>
      <w:r>
        <w:rPr>
          <w:sz w:val="26"/>
        </w:rPr>
        <w:t>and</w:t>
      </w:r>
      <w:r>
        <w:rPr>
          <w:spacing w:val="-62"/>
          <w:sz w:val="26"/>
        </w:rPr>
        <w:t xml:space="preserve"> </w:t>
      </w:r>
      <w:r>
        <w:rPr>
          <w:sz w:val="26"/>
        </w:rPr>
        <w:t>vandalism.</w:t>
      </w:r>
    </w:p>
    <w:p w:rsidR="00081EFC" w:rsidP="00081EFC" w:rsidRDefault="00081EFC" w14:paraId="78D1844D" w14:textId="77777777">
      <w:pPr>
        <w:pStyle w:val="ListParagraph"/>
        <w:tabs>
          <w:tab w:val="left" w:pos="919"/>
          <w:tab w:val="left" w:pos="920"/>
        </w:tabs>
        <w:ind w:left="720" w:right="439" w:firstLine="0"/>
        <w:rPr>
          <w:sz w:val="26"/>
        </w:rPr>
      </w:pPr>
    </w:p>
    <w:p w:rsidRPr="00656BA1" w:rsidR="00081EFC" w:rsidP="00676C3A" w:rsidRDefault="00081EFC" w14:paraId="18CD855F" w14:textId="77777777">
      <w:pPr>
        <w:pStyle w:val="BodyText"/>
        <w:spacing w:before="119"/>
      </w:pPr>
      <w:r w:rsidRPr="00394667">
        <w:t>Applications not meeting the above ministerial review criteria may only be approved by the Commission via Resolution.</w:t>
      </w:r>
    </w:p>
    <w:p w:rsidRPr="00656BA1" w:rsidR="00081EFC" w:rsidP="00676C3A" w:rsidRDefault="00081EFC" w14:paraId="1F8249AE" w14:textId="77777777">
      <w:pPr>
        <w:pStyle w:val="BodyText"/>
        <w:spacing w:before="119" w:after="120"/>
      </w:pPr>
      <w:r w:rsidRPr="00394667">
        <w:t>The Commission assigns to staff the task of rejecting applications that meet any of the following criteria:</w:t>
      </w:r>
    </w:p>
    <w:p w:rsidRPr="00394667" w:rsidR="00081EFC" w:rsidP="00394667" w:rsidRDefault="00081EFC" w14:paraId="64516C94" w14:textId="77777777">
      <w:pPr>
        <w:pStyle w:val="ListParagraph"/>
        <w:numPr>
          <w:ilvl w:val="0"/>
          <w:numId w:val="26"/>
        </w:numPr>
        <w:tabs>
          <w:tab w:val="left" w:pos="919"/>
          <w:tab w:val="left" w:pos="920"/>
        </w:tabs>
      </w:pPr>
      <w:r w:rsidRPr="00394667">
        <w:rPr>
          <w:sz w:val="26"/>
        </w:rPr>
        <w:t xml:space="preserve">The applicant has previously had a Commission grant award rescinded for violation of Commission or program </w:t>
      </w:r>
      <w:proofErr w:type="gramStart"/>
      <w:r w:rsidRPr="00394667">
        <w:rPr>
          <w:sz w:val="26"/>
          <w:szCs w:val="26"/>
        </w:rPr>
        <w:t>rules;</w:t>
      </w:r>
      <w:proofErr w:type="gramEnd"/>
    </w:p>
    <w:p w:rsidRPr="00394667" w:rsidR="00081EFC" w:rsidP="00394667" w:rsidRDefault="00081EFC" w14:paraId="22BF57D6" w14:textId="77777777">
      <w:pPr>
        <w:pStyle w:val="ListParagraph"/>
        <w:numPr>
          <w:ilvl w:val="0"/>
          <w:numId w:val="26"/>
        </w:numPr>
        <w:tabs>
          <w:tab w:val="left" w:pos="919"/>
          <w:tab w:val="left" w:pos="920"/>
        </w:tabs>
        <w:rPr>
          <w:sz w:val="26"/>
        </w:rPr>
      </w:pPr>
      <w:r w:rsidRPr="00394667">
        <w:rPr>
          <w:sz w:val="26"/>
        </w:rPr>
        <w:t>The applicant has made false statements to the Commission or to the Federal Communications Commission (FCC).</w:t>
      </w:r>
    </w:p>
    <w:p w:rsidRPr="00397825" w:rsidR="00081EFC" w:rsidP="00394667" w:rsidRDefault="00081EFC" w14:paraId="18D2BF0E" w14:textId="6EE2A3A8">
      <w:pPr>
        <w:pStyle w:val="ListParagraph"/>
        <w:numPr>
          <w:ilvl w:val="0"/>
          <w:numId w:val="26"/>
        </w:numPr>
        <w:tabs>
          <w:tab w:val="left" w:pos="919"/>
          <w:tab w:val="left" w:pos="920"/>
        </w:tabs>
        <w:spacing w:after="240"/>
        <w:rPr>
          <w:szCs w:val="26"/>
        </w:rPr>
      </w:pPr>
      <w:r w:rsidRPr="00394667">
        <w:rPr>
          <w:sz w:val="26"/>
        </w:rPr>
        <w:t>The applicant submitted an incomplete application and has not responded to a follow-up request sent to the designated contact on the application to provide missing material.</w:t>
      </w:r>
    </w:p>
    <w:p w:rsidRPr="00AC093A" w:rsidR="00081EFC" w:rsidP="00081EFC" w:rsidRDefault="00081EFC" w14:paraId="67F83C5F" w14:textId="77777777">
      <w:pPr>
        <w:pStyle w:val="BodyText"/>
        <w:spacing w:before="119"/>
      </w:pPr>
      <w:r w:rsidRPr="00AC093A">
        <w:t>All</w:t>
      </w:r>
      <w:r w:rsidRPr="00AC093A">
        <w:rPr>
          <w:spacing w:val="-4"/>
        </w:rPr>
        <w:t xml:space="preserve"> </w:t>
      </w:r>
      <w:r w:rsidRPr="00AC093A">
        <w:t>applications</w:t>
      </w:r>
      <w:r w:rsidRPr="00AC093A">
        <w:rPr>
          <w:spacing w:val="-4"/>
        </w:rPr>
        <w:t xml:space="preserve"> </w:t>
      </w:r>
      <w:r w:rsidRPr="00AC093A">
        <w:t>shall</w:t>
      </w:r>
      <w:r w:rsidRPr="00AC093A">
        <w:rPr>
          <w:spacing w:val="-5"/>
        </w:rPr>
        <w:t xml:space="preserve"> </w:t>
      </w:r>
      <w:r w:rsidRPr="00AC093A">
        <w:t>be</w:t>
      </w:r>
      <w:r w:rsidRPr="00AC093A">
        <w:rPr>
          <w:spacing w:val="-3"/>
        </w:rPr>
        <w:t xml:space="preserve"> </w:t>
      </w:r>
      <w:r w:rsidRPr="00AC093A">
        <w:t>approved,</w:t>
      </w:r>
      <w:r w:rsidRPr="00AC093A">
        <w:rPr>
          <w:spacing w:val="-62"/>
        </w:rPr>
        <w:t xml:space="preserve"> </w:t>
      </w:r>
      <w:r w:rsidRPr="00AC093A">
        <w:t>denied,</w:t>
      </w:r>
      <w:r w:rsidRPr="00AC093A">
        <w:rPr>
          <w:spacing w:val="-4"/>
        </w:rPr>
        <w:t xml:space="preserve"> </w:t>
      </w:r>
      <w:r w:rsidRPr="00AC093A">
        <w:t>or marked</w:t>
      </w:r>
      <w:r w:rsidRPr="00AC093A">
        <w:rPr>
          <w:spacing w:val="-3"/>
        </w:rPr>
        <w:t xml:space="preserve"> </w:t>
      </w:r>
      <w:r w:rsidRPr="00AC093A">
        <w:t>for</w:t>
      </w:r>
      <w:r w:rsidRPr="00AC093A">
        <w:rPr>
          <w:spacing w:val="-3"/>
        </w:rPr>
        <w:t xml:space="preserve"> </w:t>
      </w:r>
      <w:r w:rsidRPr="00AC093A">
        <w:t>further</w:t>
      </w:r>
      <w:r w:rsidRPr="00AC093A">
        <w:rPr>
          <w:spacing w:val="-2"/>
        </w:rPr>
        <w:t xml:space="preserve"> </w:t>
      </w:r>
      <w:r w:rsidRPr="00AC093A">
        <w:t>review</w:t>
      </w:r>
      <w:r w:rsidRPr="00AC093A">
        <w:rPr>
          <w:spacing w:val="-4"/>
        </w:rPr>
        <w:t xml:space="preserve"> </w:t>
      </w:r>
      <w:r w:rsidRPr="00AC093A">
        <w:t>by</w:t>
      </w:r>
      <w:r w:rsidRPr="00AC093A">
        <w:rPr>
          <w:spacing w:val="-1"/>
        </w:rPr>
        <w:t xml:space="preserve"> </w:t>
      </w:r>
      <w:r w:rsidRPr="00AC093A">
        <w:t>the</w:t>
      </w:r>
      <w:r w:rsidRPr="00AC093A">
        <w:rPr>
          <w:spacing w:val="-2"/>
        </w:rPr>
        <w:t xml:space="preserve"> </w:t>
      </w:r>
      <w:r w:rsidRPr="00AC093A">
        <w:t>Commission</w:t>
      </w:r>
      <w:r w:rsidRPr="00AC093A">
        <w:rPr>
          <w:spacing w:val="-1"/>
        </w:rPr>
        <w:t xml:space="preserve"> </w:t>
      </w:r>
      <w:r w:rsidRPr="00AC093A">
        <w:t>through</w:t>
      </w:r>
      <w:r w:rsidRPr="00AC093A">
        <w:rPr>
          <w:spacing w:val="-3"/>
        </w:rPr>
        <w:t xml:space="preserve"> </w:t>
      </w:r>
      <w:r w:rsidRPr="00AC093A">
        <w:t>a</w:t>
      </w:r>
      <w:r w:rsidRPr="00AC093A">
        <w:rPr>
          <w:spacing w:val="-4"/>
        </w:rPr>
        <w:t xml:space="preserve"> </w:t>
      </w:r>
      <w:r w:rsidRPr="00AC093A">
        <w:t>Resolution.</w:t>
      </w:r>
    </w:p>
    <w:p w:rsidRPr="00893B50" w:rsidR="00537CA5" w:rsidP="00081EFC" w:rsidRDefault="00081EFC" w14:paraId="4850B226" w14:textId="2F8198CF">
      <w:pPr>
        <w:pStyle w:val="BodyText"/>
        <w:spacing w:before="119"/>
      </w:pPr>
      <w:r w:rsidRPr="00893B50">
        <w:rPr>
          <w:rStyle w:val="normaltextrun"/>
          <w:shd w:val="clear" w:color="auto" w:fill="FFFFFF"/>
        </w:rPr>
        <w:t>The Communications Division Director will notify grantees of awards made via ministerial review by letter.  Award letters will be regularly posted to the Commission’s website.</w:t>
      </w:r>
      <w:r w:rsidRPr="00893B50">
        <w:rPr>
          <w:rStyle w:val="eop"/>
          <w:shd w:val="clear" w:color="auto" w:fill="FFFFFF"/>
        </w:rPr>
        <w:t> </w:t>
      </w:r>
    </w:p>
    <w:p w:rsidR="00081EFC" w:rsidP="00394667" w:rsidRDefault="00081EFC" w14:paraId="2847F03E" w14:textId="77777777">
      <w:pPr>
        <w:pStyle w:val="BodyText"/>
        <w:spacing w:before="119"/>
      </w:pPr>
    </w:p>
    <w:p w:rsidRPr="00676C3A" w:rsidR="00081EFC" w:rsidP="00676C3A" w:rsidRDefault="00081EFC" w14:paraId="6AD83C15" w14:textId="77777777">
      <w:pPr>
        <w:pStyle w:val="ListParagraph"/>
        <w:numPr>
          <w:ilvl w:val="0"/>
          <w:numId w:val="10"/>
        </w:numPr>
        <w:tabs>
          <w:tab w:val="left" w:pos="560"/>
        </w:tabs>
        <w:ind w:hanging="361"/>
        <w:rPr>
          <w:b/>
          <w:sz w:val="26"/>
        </w:rPr>
      </w:pPr>
      <w:r w:rsidRPr="00676C3A">
        <w:rPr>
          <w:b/>
          <w:sz w:val="26"/>
        </w:rPr>
        <w:t>Project Status and Reporting</w:t>
      </w:r>
    </w:p>
    <w:p w:rsidR="00081EFC" w:rsidP="00081EFC" w:rsidRDefault="00081EFC" w14:paraId="0485EF5D" w14:textId="77777777">
      <w:pPr>
        <w:pStyle w:val="BodyText"/>
        <w:spacing w:before="119"/>
      </w:pPr>
      <w:r w:rsidRPr="00893B50">
        <w:rPr>
          <w:spacing w:val="-3"/>
        </w:rPr>
        <w:t xml:space="preserve">BPHA </w:t>
      </w:r>
      <w:r w:rsidRPr="00893B50">
        <w:t>project</w:t>
      </w:r>
      <w:r w:rsidRPr="00893B50">
        <w:rPr>
          <w:spacing w:val="-2"/>
        </w:rPr>
        <w:t xml:space="preserve"> </w:t>
      </w:r>
      <w:r w:rsidRPr="00893B50">
        <w:t>grantees</w:t>
      </w:r>
      <w:r w:rsidRPr="00893B50">
        <w:rPr>
          <w:spacing w:val="-4"/>
        </w:rPr>
        <w:t xml:space="preserve"> </w:t>
      </w:r>
      <w:r w:rsidRPr="00893B50">
        <w:t>are</w:t>
      </w:r>
      <w:r w:rsidRPr="00893B50">
        <w:rPr>
          <w:spacing w:val="-4"/>
        </w:rPr>
        <w:t xml:space="preserve"> </w:t>
      </w:r>
      <w:r w:rsidRPr="00893B50">
        <w:t>required</w:t>
      </w:r>
      <w:r w:rsidRPr="00893B50">
        <w:rPr>
          <w:spacing w:val="-4"/>
        </w:rPr>
        <w:t xml:space="preserve"> </w:t>
      </w:r>
      <w:r w:rsidRPr="00893B50">
        <w:t>to</w:t>
      </w:r>
      <w:r w:rsidRPr="00893B50">
        <w:rPr>
          <w:spacing w:val="-4"/>
        </w:rPr>
        <w:t xml:space="preserve"> </w:t>
      </w:r>
      <w:r w:rsidRPr="00893B50">
        <w:t>submit</w:t>
      </w:r>
      <w:r w:rsidRPr="00893B50">
        <w:rPr>
          <w:spacing w:val="-4"/>
        </w:rPr>
        <w:t xml:space="preserve"> </w:t>
      </w:r>
      <w:r w:rsidRPr="00893B50">
        <w:t>a</w:t>
      </w:r>
      <w:r w:rsidRPr="00893B50">
        <w:rPr>
          <w:spacing w:val="-4"/>
        </w:rPr>
        <w:t xml:space="preserve"> </w:t>
      </w:r>
      <w:r w:rsidRPr="00893B50">
        <w:t>project</w:t>
      </w:r>
      <w:r w:rsidRPr="00893B50">
        <w:rPr>
          <w:spacing w:val="-2"/>
        </w:rPr>
        <w:t xml:space="preserve"> </w:t>
      </w:r>
      <w:r w:rsidRPr="00893B50">
        <w:t>status</w:t>
      </w:r>
      <w:r w:rsidRPr="00893B50">
        <w:rPr>
          <w:spacing w:val="-4"/>
        </w:rPr>
        <w:t xml:space="preserve"> </w:t>
      </w:r>
      <w:r w:rsidRPr="00893B50">
        <w:t>report</w:t>
      </w:r>
      <w:r w:rsidRPr="00893B50">
        <w:rPr>
          <w:spacing w:val="-62"/>
        </w:rPr>
        <w:t xml:space="preserve"> </w:t>
      </w:r>
      <w:r>
        <w:rPr>
          <w:spacing w:val="-62"/>
        </w:rPr>
        <w:t xml:space="preserve">  </w:t>
      </w:r>
      <w:r w:rsidRPr="00893B50">
        <w:t>within six months of the project award date if the project has not been</w:t>
      </w:r>
      <w:r w:rsidRPr="00893B50">
        <w:rPr>
          <w:spacing w:val="1"/>
        </w:rPr>
        <w:t xml:space="preserve"> </w:t>
      </w:r>
      <w:r w:rsidRPr="00893B50">
        <w:t xml:space="preserve">completed, irrespective of whether </w:t>
      </w:r>
      <w:r>
        <w:t>the grantee requests reimbursement or</w:t>
      </w:r>
      <w:r>
        <w:rPr>
          <w:spacing w:val="1"/>
        </w:rPr>
        <w:t xml:space="preserve"> </w:t>
      </w:r>
      <w:r>
        <w:t>payment.</w:t>
      </w:r>
      <w:r>
        <w:rPr>
          <w:spacing w:val="62"/>
        </w:rPr>
        <w:t xml:space="preserve"> </w:t>
      </w:r>
      <w:r>
        <w:t>The</w:t>
      </w:r>
      <w:r>
        <w:rPr>
          <w:spacing w:val="-2"/>
        </w:rPr>
        <w:t xml:space="preserve"> </w:t>
      </w:r>
      <w:r>
        <w:t>project</w:t>
      </w:r>
      <w:r>
        <w:rPr>
          <w:spacing w:val="-2"/>
        </w:rPr>
        <w:t xml:space="preserve"> </w:t>
      </w:r>
      <w:r>
        <w:t>status</w:t>
      </w:r>
      <w:r>
        <w:rPr>
          <w:spacing w:val="-2"/>
        </w:rPr>
        <w:t xml:space="preserve"> </w:t>
      </w:r>
      <w:r>
        <w:t>report</w:t>
      </w:r>
      <w:r>
        <w:rPr>
          <w:spacing w:val="-2"/>
        </w:rPr>
        <w:t xml:space="preserve"> </w:t>
      </w:r>
      <w:r>
        <w:t>must</w:t>
      </w:r>
      <w:r>
        <w:rPr>
          <w:spacing w:val="1"/>
        </w:rPr>
        <w:t xml:space="preserve"> </w:t>
      </w:r>
      <w:r>
        <w:t>include</w:t>
      </w:r>
      <w:r>
        <w:rPr>
          <w:spacing w:val="1"/>
        </w:rPr>
        <w:t xml:space="preserve"> </w:t>
      </w:r>
      <w:r>
        <w:t>the</w:t>
      </w:r>
      <w:r>
        <w:rPr>
          <w:spacing w:val="-2"/>
        </w:rPr>
        <w:t xml:space="preserve"> </w:t>
      </w:r>
      <w:r>
        <w:t>following:</w:t>
      </w:r>
    </w:p>
    <w:p w:rsidR="00081EFC" w:rsidP="0033369D" w:rsidRDefault="00081EFC" w14:paraId="213C6E78" w14:textId="77777777">
      <w:pPr>
        <w:pStyle w:val="ListParagraph"/>
        <w:numPr>
          <w:ilvl w:val="1"/>
          <w:numId w:val="28"/>
        </w:numPr>
        <w:tabs>
          <w:tab w:val="left" w:pos="919"/>
          <w:tab w:val="left" w:pos="920"/>
        </w:tabs>
        <w:spacing w:before="2"/>
        <w:ind w:left="540" w:right="677"/>
        <w:rPr>
          <w:sz w:val="26"/>
        </w:rPr>
      </w:pPr>
      <w:r>
        <w:rPr>
          <w:sz w:val="26"/>
        </w:rPr>
        <w:t>Project</w:t>
      </w:r>
      <w:r>
        <w:rPr>
          <w:spacing w:val="-3"/>
          <w:sz w:val="26"/>
        </w:rPr>
        <w:t xml:space="preserve"> </w:t>
      </w:r>
      <w:r>
        <w:rPr>
          <w:sz w:val="26"/>
        </w:rPr>
        <w:t>Plan</w:t>
      </w:r>
      <w:r>
        <w:rPr>
          <w:spacing w:val="-1"/>
          <w:sz w:val="26"/>
        </w:rPr>
        <w:t xml:space="preserve"> </w:t>
      </w:r>
      <w:r>
        <w:rPr>
          <w:sz w:val="26"/>
        </w:rPr>
        <w:t>and</w:t>
      </w:r>
      <w:r>
        <w:rPr>
          <w:spacing w:val="-4"/>
          <w:sz w:val="26"/>
        </w:rPr>
        <w:t xml:space="preserve"> </w:t>
      </w:r>
      <w:r>
        <w:rPr>
          <w:sz w:val="26"/>
        </w:rPr>
        <w:t>deployment</w:t>
      </w:r>
      <w:r>
        <w:rPr>
          <w:spacing w:val="-5"/>
          <w:sz w:val="26"/>
        </w:rPr>
        <w:t xml:space="preserve"> </w:t>
      </w:r>
      <w:r>
        <w:rPr>
          <w:sz w:val="26"/>
        </w:rPr>
        <w:t>schedule</w:t>
      </w:r>
      <w:r>
        <w:rPr>
          <w:spacing w:val="-4"/>
          <w:sz w:val="26"/>
        </w:rPr>
        <w:t xml:space="preserve"> </w:t>
      </w:r>
      <w:r>
        <w:rPr>
          <w:sz w:val="26"/>
        </w:rPr>
        <w:t>showing</w:t>
      </w:r>
      <w:r>
        <w:rPr>
          <w:spacing w:val="-1"/>
          <w:sz w:val="26"/>
        </w:rPr>
        <w:t xml:space="preserve"> </w:t>
      </w:r>
      <w:r>
        <w:rPr>
          <w:sz w:val="26"/>
        </w:rPr>
        <w:t>major</w:t>
      </w:r>
      <w:r>
        <w:rPr>
          <w:spacing w:val="-3"/>
          <w:sz w:val="26"/>
        </w:rPr>
        <w:t xml:space="preserve"> </w:t>
      </w:r>
      <w:r>
        <w:rPr>
          <w:sz w:val="26"/>
        </w:rPr>
        <w:t>milestones</w:t>
      </w:r>
      <w:r>
        <w:rPr>
          <w:spacing w:val="-4"/>
          <w:sz w:val="26"/>
        </w:rPr>
        <w:t xml:space="preserve"> </w:t>
      </w:r>
      <w:r>
        <w:rPr>
          <w:sz w:val="26"/>
        </w:rPr>
        <w:t>with</w:t>
      </w:r>
      <w:r>
        <w:rPr>
          <w:spacing w:val="-62"/>
          <w:sz w:val="26"/>
        </w:rPr>
        <w:t xml:space="preserve"> </w:t>
      </w:r>
      <w:r>
        <w:rPr>
          <w:sz w:val="26"/>
        </w:rPr>
        <w:t>planned</w:t>
      </w:r>
      <w:r>
        <w:rPr>
          <w:spacing w:val="-2"/>
          <w:sz w:val="26"/>
        </w:rPr>
        <w:t xml:space="preserve"> </w:t>
      </w:r>
      <w:r>
        <w:rPr>
          <w:sz w:val="26"/>
        </w:rPr>
        <w:t>and</w:t>
      </w:r>
      <w:r>
        <w:rPr>
          <w:spacing w:val="-1"/>
          <w:sz w:val="26"/>
        </w:rPr>
        <w:t xml:space="preserve"> </w:t>
      </w:r>
      <w:r>
        <w:rPr>
          <w:sz w:val="26"/>
        </w:rPr>
        <w:t>actual</w:t>
      </w:r>
      <w:r>
        <w:rPr>
          <w:spacing w:val="-2"/>
          <w:sz w:val="26"/>
        </w:rPr>
        <w:t xml:space="preserve"> </w:t>
      </w:r>
      <w:r>
        <w:rPr>
          <w:sz w:val="26"/>
        </w:rPr>
        <w:t>completion</w:t>
      </w:r>
      <w:r>
        <w:rPr>
          <w:spacing w:val="2"/>
          <w:sz w:val="26"/>
        </w:rPr>
        <w:t xml:space="preserve"> </w:t>
      </w:r>
      <w:r>
        <w:rPr>
          <w:sz w:val="26"/>
        </w:rPr>
        <w:t>dates.</w:t>
      </w:r>
    </w:p>
    <w:p w:rsidR="00081EFC" w:rsidP="0033369D" w:rsidRDefault="00081EFC" w14:paraId="2666C777" w14:textId="77777777">
      <w:pPr>
        <w:pStyle w:val="ListParagraph"/>
        <w:numPr>
          <w:ilvl w:val="1"/>
          <w:numId w:val="28"/>
        </w:numPr>
        <w:tabs>
          <w:tab w:val="left" w:pos="919"/>
          <w:tab w:val="left" w:pos="920"/>
        </w:tabs>
        <w:ind w:left="540" w:right="756"/>
        <w:rPr>
          <w:sz w:val="26"/>
        </w:rPr>
      </w:pPr>
      <w:r>
        <w:rPr>
          <w:sz w:val="26"/>
        </w:rPr>
        <w:t>Any</w:t>
      </w:r>
      <w:r>
        <w:rPr>
          <w:spacing w:val="-4"/>
          <w:sz w:val="26"/>
        </w:rPr>
        <w:t xml:space="preserve"> </w:t>
      </w:r>
      <w:r>
        <w:rPr>
          <w:sz w:val="26"/>
        </w:rPr>
        <w:t>variance</w:t>
      </w:r>
      <w:r>
        <w:rPr>
          <w:spacing w:val="-2"/>
          <w:sz w:val="26"/>
        </w:rPr>
        <w:t xml:space="preserve"> </w:t>
      </w:r>
      <w:r>
        <w:rPr>
          <w:sz w:val="26"/>
        </w:rPr>
        <w:t>between</w:t>
      </w:r>
      <w:r>
        <w:rPr>
          <w:spacing w:val="-3"/>
          <w:sz w:val="26"/>
        </w:rPr>
        <w:t xml:space="preserve"> </w:t>
      </w:r>
      <w:r>
        <w:rPr>
          <w:sz w:val="26"/>
        </w:rPr>
        <w:t>planned</w:t>
      </w:r>
      <w:r>
        <w:rPr>
          <w:spacing w:val="-3"/>
          <w:sz w:val="26"/>
        </w:rPr>
        <w:t xml:space="preserve"> </w:t>
      </w:r>
      <w:r>
        <w:rPr>
          <w:sz w:val="26"/>
        </w:rPr>
        <w:t>and</w:t>
      </w:r>
      <w:r>
        <w:rPr>
          <w:spacing w:val="-3"/>
          <w:sz w:val="26"/>
        </w:rPr>
        <w:t xml:space="preserve"> </w:t>
      </w:r>
      <w:r>
        <w:rPr>
          <w:sz w:val="26"/>
        </w:rPr>
        <w:t>actual</w:t>
      </w:r>
      <w:r>
        <w:rPr>
          <w:spacing w:val="-3"/>
          <w:sz w:val="26"/>
        </w:rPr>
        <w:t xml:space="preserve"> </w:t>
      </w:r>
      <w:r>
        <w:rPr>
          <w:sz w:val="26"/>
        </w:rPr>
        <w:t>dates</w:t>
      </w:r>
      <w:r>
        <w:rPr>
          <w:spacing w:val="-3"/>
          <w:sz w:val="26"/>
        </w:rPr>
        <w:t xml:space="preserve"> </w:t>
      </w:r>
      <w:r>
        <w:rPr>
          <w:sz w:val="26"/>
        </w:rPr>
        <w:t>need</w:t>
      </w:r>
      <w:r>
        <w:rPr>
          <w:spacing w:val="-3"/>
          <w:sz w:val="26"/>
        </w:rPr>
        <w:t xml:space="preserve"> </w:t>
      </w:r>
      <w:r>
        <w:rPr>
          <w:sz w:val="26"/>
        </w:rPr>
        <w:t>to</w:t>
      </w:r>
      <w:r>
        <w:rPr>
          <w:spacing w:val="-3"/>
          <w:sz w:val="26"/>
        </w:rPr>
        <w:t xml:space="preserve"> </w:t>
      </w:r>
      <w:r>
        <w:rPr>
          <w:sz w:val="26"/>
        </w:rPr>
        <w:t>support</w:t>
      </w:r>
      <w:r>
        <w:rPr>
          <w:spacing w:val="-3"/>
          <w:sz w:val="26"/>
        </w:rPr>
        <w:t xml:space="preserve"> </w:t>
      </w:r>
      <w:r>
        <w:rPr>
          <w:sz w:val="26"/>
        </w:rPr>
        <w:t>with</w:t>
      </w:r>
      <w:r>
        <w:rPr>
          <w:spacing w:val="-62"/>
          <w:sz w:val="26"/>
        </w:rPr>
        <w:t xml:space="preserve"> </w:t>
      </w:r>
      <w:r>
        <w:rPr>
          <w:sz w:val="26"/>
        </w:rPr>
        <w:t>proper</w:t>
      </w:r>
      <w:r>
        <w:rPr>
          <w:spacing w:val="-1"/>
          <w:sz w:val="26"/>
        </w:rPr>
        <w:t xml:space="preserve"> </w:t>
      </w:r>
      <w:r>
        <w:rPr>
          <w:sz w:val="26"/>
        </w:rPr>
        <w:t>reasoning.</w:t>
      </w:r>
    </w:p>
    <w:p w:rsidR="00081EFC" w:rsidP="0033369D" w:rsidRDefault="00081EFC" w14:paraId="4FFED9DA" w14:textId="77777777">
      <w:pPr>
        <w:pStyle w:val="ListParagraph"/>
        <w:numPr>
          <w:ilvl w:val="1"/>
          <w:numId w:val="28"/>
        </w:numPr>
        <w:tabs>
          <w:tab w:val="left" w:pos="919"/>
          <w:tab w:val="left" w:pos="920"/>
        </w:tabs>
        <w:spacing w:line="335" w:lineRule="exact"/>
        <w:ind w:left="540" w:hanging="361"/>
        <w:rPr>
          <w:sz w:val="17"/>
          <w:szCs w:val="17"/>
        </w:rPr>
      </w:pPr>
      <w:r w:rsidRPr="049644BE">
        <w:rPr>
          <w:spacing w:val="-1"/>
          <w:sz w:val="26"/>
          <w:szCs w:val="26"/>
        </w:rPr>
        <w:t>Project</w:t>
      </w:r>
      <w:r w:rsidRPr="049644BE">
        <w:rPr>
          <w:sz w:val="26"/>
          <w:szCs w:val="26"/>
        </w:rPr>
        <w:t xml:space="preserve"> </w:t>
      </w:r>
      <w:r w:rsidRPr="049644BE">
        <w:rPr>
          <w:spacing w:val="-1"/>
          <w:sz w:val="26"/>
          <w:szCs w:val="26"/>
        </w:rPr>
        <w:t>Risk</w:t>
      </w:r>
      <w:r w:rsidRPr="049644BE">
        <w:rPr>
          <w:spacing w:val="4"/>
          <w:sz w:val="26"/>
          <w:szCs w:val="26"/>
        </w:rPr>
        <w:t xml:space="preserve"> </w:t>
      </w:r>
      <w:r w:rsidRPr="049644BE">
        <w:rPr>
          <w:spacing w:val="-1"/>
          <w:sz w:val="26"/>
          <w:szCs w:val="26"/>
        </w:rPr>
        <w:t>Mitigation</w:t>
      </w:r>
      <w:r w:rsidRPr="049644BE">
        <w:rPr>
          <w:sz w:val="26"/>
          <w:szCs w:val="26"/>
        </w:rPr>
        <w:t xml:space="preserve"> plan.</w:t>
      </w:r>
      <w:r w:rsidRPr="0011759B">
        <w:rPr>
          <w:sz w:val="26"/>
          <w:szCs w:val="26"/>
          <w:vertAlign w:val="superscript"/>
        </w:rPr>
        <w:footnoteReference w:id="190"/>
      </w:r>
    </w:p>
    <w:p w:rsidR="00081EFC" w:rsidP="00394667" w:rsidRDefault="00081EFC" w14:paraId="7EF84DD1" w14:textId="77777777">
      <w:pPr>
        <w:pStyle w:val="ListParagraph"/>
        <w:numPr>
          <w:ilvl w:val="1"/>
          <w:numId w:val="28"/>
        </w:numPr>
        <w:tabs>
          <w:tab w:val="left" w:pos="919"/>
          <w:tab w:val="left" w:pos="920"/>
        </w:tabs>
        <w:spacing w:after="240"/>
        <w:ind w:left="533"/>
        <w:rPr>
          <w:sz w:val="26"/>
        </w:rPr>
      </w:pPr>
      <w:r>
        <w:rPr>
          <w:sz w:val="26"/>
        </w:rPr>
        <w:lastRenderedPageBreak/>
        <w:t>Budget</w:t>
      </w:r>
      <w:r>
        <w:rPr>
          <w:spacing w:val="-2"/>
          <w:sz w:val="26"/>
        </w:rPr>
        <w:t xml:space="preserve"> </w:t>
      </w:r>
      <w:r>
        <w:rPr>
          <w:sz w:val="26"/>
        </w:rPr>
        <w:t>Plan with</w:t>
      </w:r>
      <w:r>
        <w:rPr>
          <w:spacing w:val="-2"/>
          <w:sz w:val="26"/>
        </w:rPr>
        <w:t xml:space="preserve"> </w:t>
      </w:r>
      <w:r>
        <w:rPr>
          <w:sz w:val="26"/>
        </w:rPr>
        <w:t>a</w:t>
      </w:r>
      <w:r>
        <w:rPr>
          <w:spacing w:val="-3"/>
          <w:sz w:val="26"/>
        </w:rPr>
        <w:t xml:space="preserve"> </w:t>
      </w:r>
      <w:r>
        <w:rPr>
          <w:sz w:val="26"/>
        </w:rPr>
        <w:t>cost</w:t>
      </w:r>
      <w:r>
        <w:rPr>
          <w:spacing w:val="-3"/>
          <w:sz w:val="26"/>
        </w:rPr>
        <w:t xml:space="preserve"> </w:t>
      </w:r>
      <w:r>
        <w:rPr>
          <w:sz w:val="26"/>
        </w:rPr>
        <w:t>line</w:t>
      </w:r>
      <w:r>
        <w:rPr>
          <w:spacing w:val="-2"/>
          <w:sz w:val="26"/>
        </w:rPr>
        <w:t xml:space="preserve"> </w:t>
      </w:r>
      <w:r>
        <w:rPr>
          <w:sz w:val="26"/>
        </w:rPr>
        <w:t>item</w:t>
      </w:r>
      <w:r>
        <w:rPr>
          <w:spacing w:val="-1"/>
          <w:sz w:val="26"/>
        </w:rPr>
        <w:t xml:space="preserve"> </w:t>
      </w:r>
      <w:r>
        <w:rPr>
          <w:sz w:val="26"/>
        </w:rPr>
        <w:t>matched</w:t>
      </w:r>
      <w:r>
        <w:rPr>
          <w:spacing w:val="-3"/>
          <w:sz w:val="26"/>
        </w:rPr>
        <w:t xml:space="preserve"> </w:t>
      </w:r>
      <w:r>
        <w:rPr>
          <w:sz w:val="26"/>
        </w:rPr>
        <w:t>with</w:t>
      </w:r>
      <w:r>
        <w:rPr>
          <w:spacing w:val="-3"/>
          <w:sz w:val="26"/>
        </w:rPr>
        <w:t xml:space="preserve"> </w:t>
      </w:r>
      <w:r>
        <w:rPr>
          <w:sz w:val="26"/>
        </w:rPr>
        <w:t>the</w:t>
      </w:r>
      <w:r>
        <w:rPr>
          <w:spacing w:val="-2"/>
          <w:sz w:val="26"/>
        </w:rPr>
        <w:t xml:space="preserve"> </w:t>
      </w:r>
      <w:r>
        <w:rPr>
          <w:sz w:val="26"/>
        </w:rPr>
        <w:t>application.</w:t>
      </w:r>
    </w:p>
    <w:p w:rsidR="00081EFC" w:rsidP="00081EFC" w:rsidRDefault="00081EFC" w14:paraId="16CE5206" w14:textId="77777777">
      <w:pPr>
        <w:pStyle w:val="BodyText"/>
        <w:spacing w:before="118"/>
      </w:pPr>
      <w:r>
        <w:t>Grantees</w:t>
      </w:r>
      <w:r>
        <w:rPr>
          <w:spacing w:val="-4"/>
        </w:rPr>
        <w:t xml:space="preserve"> </w:t>
      </w:r>
      <w:r>
        <w:t>must</w:t>
      </w:r>
      <w:r>
        <w:rPr>
          <w:spacing w:val="-3"/>
        </w:rPr>
        <w:t xml:space="preserve"> </w:t>
      </w:r>
      <w:r>
        <w:t>certify</w:t>
      </w:r>
      <w:r>
        <w:rPr>
          <w:spacing w:val="-3"/>
        </w:rPr>
        <w:t xml:space="preserve"> </w:t>
      </w:r>
      <w:r>
        <w:t>that</w:t>
      </w:r>
      <w:r>
        <w:rPr>
          <w:spacing w:val="-3"/>
        </w:rPr>
        <w:t xml:space="preserve"> </w:t>
      </w:r>
      <w:r>
        <w:t>each</w:t>
      </w:r>
      <w:r>
        <w:rPr>
          <w:spacing w:val="-3"/>
        </w:rPr>
        <w:t xml:space="preserve"> </w:t>
      </w:r>
      <w:r>
        <w:t>project</w:t>
      </w:r>
      <w:r>
        <w:rPr>
          <w:spacing w:val="-3"/>
        </w:rPr>
        <w:t xml:space="preserve"> </w:t>
      </w:r>
      <w:r>
        <w:t>status</w:t>
      </w:r>
      <w:r>
        <w:rPr>
          <w:spacing w:val="-3"/>
        </w:rPr>
        <w:t xml:space="preserve"> </w:t>
      </w:r>
      <w:r>
        <w:t>report</w:t>
      </w:r>
      <w:r>
        <w:rPr>
          <w:spacing w:val="-3"/>
        </w:rPr>
        <w:t xml:space="preserve"> </w:t>
      </w:r>
      <w:r>
        <w:t>submitted</w:t>
      </w:r>
      <w:r>
        <w:rPr>
          <w:spacing w:val="-3"/>
        </w:rPr>
        <w:t xml:space="preserve"> </w:t>
      </w:r>
      <w:r>
        <w:t>is</w:t>
      </w:r>
      <w:r>
        <w:rPr>
          <w:spacing w:val="-3"/>
        </w:rPr>
        <w:t xml:space="preserve"> </w:t>
      </w:r>
      <w:r>
        <w:t>true</w:t>
      </w:r>
      <w:r>
        <w:rPr>
          <w:spacing w:val="-4"/>
        </w:rPr>
        <w:t xml:space="preserve"> </w:t>
      </w:r>
      <w:r>
        <w:t>and</w:t>
      </w:r>
      <w:r>
        <w:rPr>
          <w:spacing w:val="-3"/>
        </w:rPr>
        <w:t xml:space="preserve"> </w:t>
      </w:r>
      <w:r>
        <w:t>correct</w:t>
      </w:r>
      <w:r>
        <w:rPr>
          <w:spacing w:val="-62"/>
        </w:rPr>
        <w:t xml:space="preserve"> </w:t>
      </w:r>
      <w:r>
        <w:t>under penalty</w:t>
      </w:r>
      <w:r>
        <w:rPr>
          <w:spacing w:val="-1"/>
        </w:rPr>
        <w:t xml:space="preserve"> </w:t>
      </w:r>
      <w:r>
        <w:t>of</w:t>
      </w:r>
      <w:r>
        <w:rPr>
          <w:spacing w:val="-1"/>
        </w:rPr>
        <w:t xml:space="preserve"> </w:t>
      </w:r>
      <w:r>
        <w:t>perjury.</w:t>
      </w:r>
    </w:p>
    <w:p w:rsidR="00081EFC" w:rsidP="00394667" w:rsidRDefault="00081EFC" w14:paraId="042D76D7" w14:textId="77777777">
      <w:pPr>
        <w:spacing w:line="240" w:lineRule="auto"/>
      </w:pPr>
    </w:p>
    <w:p w:rsidRPr="00893B50" w:rsidR="00081EFC" w:rsidP="000169E8" w:rsidRDefault="00081EFC" w14:paraId="5F34D498" w14:textId="77777777">
      <w:pPr>
        <w:pStyle w:val="BodyText"/>
      </w:pPr>
      <w:r w:rsidRPr="00893B50">
        <w:t xml:space="preserve">BPHA project grantees must submit a project completion report with all required supporting documentation </w:t>
      </w:r>
      <w:proofErr w:type="gramStart"/>
      <w:r w:rsidRPr="00893B50">
        <w:t>in order to</w:t>
      </w:r>
      <w:proofErr w:type="gramEnd"/>
      <w:r w:rsidRPr="00893B50">
        <w:t xml:space="preserve"> receive final payment. The project completion report contains, total project cost, project cost summary breakdown, project milestone deployment details, </w:t>
      </w:r>
      <w:proofErr w:type="spellStart"/>
      <w:r w:rsidRPr="00893B50">
        <w:t>CalSPEE</w:t>
      </w:r>
      <w:r>
        <w:t>D</w:t>
      </w:r>
      <w:proofErr w:type="spellEnd"/>
      <w:r w:rsidRPr="0011759B">
        <w:rPr>
          <w:vertAlign w:val="superscript"/>
        </w:rPr>
        <w:footnoteReference w:id="191"/>
      </w:r>
      <w:r w:rsidRPr="00893B50">
        <w:t xml:space="preserve"> test results, bill of materials (BOM), invoices supporting BOM, network and low-voltage engineering and design documentation, installation and commissioning checklist, provisioning and configuration files, as-built documentation with pictures showing labels and annotations, and project expenses summary. The project completion report template can be found on the BPHA website.</w:t>
      </w:r>
    </w:p>
    <w:p w:rsidR="00081EFC" w:rsidP="00676C3A" w:rsidRDefault="00081EFC" w14:paraId="08CCB7CB" w14:textId="77777777">
      <w:pPr>
        <w:pStyle w:val="Standard"/>
      </w:pPr>
    </w:p>
    <w:p w:rsidR="00081EFC" w:rsidP="00A60D58" w:rsidRDefault="00081EFC" w14:paraId="30B3A1CA" w14:textId="71FBC547">
      <w:pPr>
        <w:pStyle w:val="BodyText"/>
        <w:spacing w:before="118"/>
      </w:pPr>
      <w:r w:rsidRPr="00394667">
        <w:t>BPHA</w:t>
      </w:r>
      <w:r w:rsidRPr="00893B50">
        <w:t xml:space="preserve"> project grantees are required to maintain the broadband network</w:t>
      </w:r>
      <w:r w:rsidRPr="00394667">
        <w:t xml:space="preserve"> </w:t>
      </w:r>
      <w:r w:rsidRPr="00893B50">
        <w:t>for a period of five years after the network is installed and internet services</w:t>
      </w:r>
      <w:r w:rsidRPr="00394667">
        <w:t xml:space="preserve"> </w:t>
      </w:r>
      <w:r w:rsidRPr="00893B50">
        <w:t>turned on for residential use.</w:t>
      </w:r>
      <w:r w:rsidRPr="00394667">
        <w:t xml:space="preserve"> </w:t>
      </w:r>
      <w:r w:rsidRPr="00893B50">
        <w:t>From the date broadband network and internet</w:t>
      </w:r>
      <w:r w:rsidRPr="00394667">
        <w:t xml:space="preserve"> </w:t>
      </w:r>
      <w:r w:rsidRPr="00893B50">
        <w:t>services are turned on the grantees are required to submit a KPI (Key</w:t>
      </w:r>
      <w:r w:rsidRPr="00394667">
        <w:t xml:space="preserve"> </w:t>
      </w:r>
      <w:r w:rsidRPr="00893B50">
        <w:t>Performance Indicator)</w:t>
      </w:r>
      <w:r w:rsidRPr="00394667">
        <w:t xml:space="preserve"> </w:t>
      </w:r>
      <w:r w:rsidRPr="00893B50">
        <w:t>report</w:t>
      </w:r>
      <w:r w:rsidRPr="00394667">
        <w:t xml:space="preserve"> </w:t>
      </w:r>
      <w:r w:rsidRPr="00893B50">
        <w:t>bi-annually for</w:t>
      </w:r>
      <w:r w:rsidRPr="00394667">
        <w:t xml:space="preserve"> </w:t>
      </w:r>
      <w:r w:rsidRPr="00893B50">
        <w:t>a</w:t>
      </w:r>
      <w:r w:rsidRPr="00394667">
        <w:t xml:space="preserve"> </w:t>
      </w:r>
      <w:r w:rsidRPr="00893B50">
        <w:t>period</w:t>
      </w:r>
      <w:r w:rsidRPr="00394667">
        <w:t xml:space="preserve"> </w:t>
      </w:r>
      <w:r w:rsidRPr="00893B50">
        <w:t>of</w:t>
      </w:r>
      <w:r w:rsidRPr="00394667">
        <w:t xml:space="preserve"> </w:t>
      </w:r>
      <w:r w:rsidRPr="00893B50">
        <w:t>five</w:t>
      </w:r>
      <w:r w:rsidRPr="00394667">
        <w:t xml:space="preserve"> </w:t>
      </w:r>
      <w:r w:rsidRPr="00893B50">
        <w:t>years.</w:t>
      </w:r>
      <w:r w:rsidRPr="0011759B">
        <w:rPr>
          <w:vertAlign w:val="superscript"/>
        </w:rPr>
        <w:footnoteReference w:id="192"/>
      </w:r>
      <w:r w:rsidRPr="00394667">
        <w:t xml:space="preserve"> </w:t>
      </w:r>
      <w:r w:rsidRPr="00893B50">
        <w:t>The</w:t>
      </w:r>
      <w:r w:rsidRPr="00394667">
        <w:t xml:space="preserve"> </w:t>
      </w:r>
      <w:r w:rsidRPr="00893B50">
        <w:t>KPI</w:t>
      </w:r>
      <w:r w:rsidRPr="00394667">
        <w:t xml:space="preserve"> </w:t>
      </w:r>
      <w:r w:rsidRPr="00893B50">
        <w:t>report</w:t>
      </w:r>
      <w:r w:rsidRPr="00394667">
        <w:t xml:space="preserve"> </w:t>
      </w:r>
      <w:r w:rsidRPr="00893B50">
        <w:t>and</w:t>
      </w:r>
      <w:r w:rsidRPr="00394667">
        <w:t xml:space="preserve"> </w:t>
      </w:r>
      <w:r w:rsidRPr="00893B50">
        <w:t>its</w:t>
      </w:r>
      <w:r w:rsidRPr="00394667">
        <w:t xml:space="preserve"> </w:t>
      </w:r>
      <w:r w:rsidRPr="00893B50">
        <w:t>supporting</w:t>
      </w:r>
      <w:r w:rsidRPr="00394667">
        <w:t xml:space="preserve"> </w:t>
      </w:r>
      <w:r w:rsidRPr="00893B50">
        <w:t>system</w:t>
      </w:r>
      <w:r w:rsidRPr="00394667">
        <w:t xml:space="preserve"> </w:t>
      </w:r>
      <w:r w:rsidRPr="00893B50">
        <w:t>data</w:t>
      </w:r>
      <w:r w:rsidRPr="00394667">
        <w:t xml:space="preserve"> </w:t>
      </w:r>
      <w:r w:rsidRPr="00893B50">
        <w:t>can</w:t>
      </w:r>
      <w:r w:rsidRPr="00394667">
        <w:t xml:space="preserve"> </w:t>
      </w:r>
      <w:r w:rsidRPr="00893B50">
        <w:t>be</w:t>
      </w:r>
      <w:r w:rsidRPr="00394667">
        <w:t xml:space="preserve"> </w:t>
      </w:r>
      <w:r w:rsidRPr="00893B50">
        <w:t>submitted</w:t>
      </w:r>
      <w:r w:rsidRPr="00394667">
        <w:t xml:space="preserve"> </w:t>
      </w:r>
      <w:r w:rsidRPr="00893B50">
        <w:t>through</w:t>
      </w:r>
      <w:r w:rsidRPr="00394667">
        <w:t xml:space="preserve"> </w:t>
      </w:r>
      <w:r w:rsidRPr="00893B50">
        <w:t>an</w:t>
      </w:r>
      <w:r w:rsidRPr="00394667">
        <w:t xml:space="preserve"> </w:t>
      </w:r>
      <w:r w:rsidRPr="00893B50">
        <w:t>online</w:t>
      </w:r>
      <w:r w:rsidRPr="00394667">
        <w:t xml:space="preserve"> </w:t>
      </w:r>
      <w:r w:rsidRPr="00893B50">
        <w:t>portal</w:t>
      </w:r>
      <w:r w:rsidRPr="00394667">
        <w:t xml:space="preserve"> </w:t>
      </w:r>
      <w:r w:rsidRPr="00893B50">
        <w:t>that</w:t>
      </w:r>
      <w:r w:rsidRPr="00394667">
        <w:t xml:space="preserve"> </w:t>
      </w:r>
      <w:r w:rsidRPr="00893B50">
        <w:t>can</w:t>
      </w:r>
      <w:r w:rsidRPr="00394667">
        <w:t xml:space="preserve"> </w:t>
      </w:r>
      <w:r w:rsidRPr="00893B50">
        <w:t>be</w:t>
      </w:r>
      <w:r w:rsidRPr="00394667">
        <w:t xml:space="preserve"> </w:t>
      </w:r>
      <w:r w:rsidRPr="00893B50">
        <w:t>found</w:t>
      </w:r>
      <w:r w:rsidRPr="00394667">
        <w:t xml:space="preserve"> </w:t>
      </w:r>
      <w:r w:rsidRPr="00893B50">
        <w:t>on the</w:t>
      </w:r>
      <w:r w:rsidRPr="00394667">
        <w:t xml:space="preserve"> </w:t>
      </w:r>
      <w:r w:rsidRPr="00893B50">
        <w:t>Commission</w:t>
      </w:r>
      <w:r w:rsidRPr="00394667">
        <w:t xml:space="preserve"> </w:t>
      </w:r>
      <w:r w:rsidRPr="00893B50">
        <w:t>website</w:t>
      </w:r>
      <w:r w:rsidRPr="00394667">
        <w:t xml:space="preserve"> </w:t>
      </w:r>
      <w:r w:rsidRPr="00893B50">
        <w:t>under</w:t>
      </w:r>
      <w:r w:rsidRPr="00394667">
        <w:t xml:space="preserve"> </w:t>
      </w:r>
      <w:r w:rsidRPr="00893B50">
        <w:t>the</w:t>
      </w:r>
      <w:r w:rsidRPr="00394667">
        <w:t xml:space="preserve"> </w:t>
      </w:r>
      <w:r w:rsidRPr="00893B50">
        <w:t>CASF BPHA</w:t>
      </w:r>
      <w:r w:rsidRPr="00394667">
        <w:t xml:space="preserve"> </w:t>
      </w:r>
      <w:r w:rsidRPr="00893B50">
        <w:t>hyperlink.</w:t>
      </w:r>
    </w:p>
    <w:p w:rsidR="003603C6" w:rsidP="000169E8" w:rsidRDefault="003603C6" w14:paraId="62CC2FD3" w14:textId="77777777">
      <w:pPr>
        <w:pStyle w:val="BodyText"/>
      </w:pPr>
    </w:p>
    <w:p w:rsidR="00081EFC" w:rsidP="00081EFC" w:rsidRDefault="00081EFC" w14:paraId="7652A150" w14:textId="77777777">
      <w:pPr>
        <w:pStyle w:val="BodyText"/>
        <w:spacing w:before="1"/>
      </w:pPr>
      <w:r>
        <w:t>The</w:t>
      </w:r>
      <w:r>
        <w:rPr>
          <w:spacing w:val="-4"/>
        </w:rPr>
        <w:t xml:space="preserve"> </w:t>
      </w:r>
      <w:r>
        <w:t>KPI</w:t>
      </w:r>
      <w:r>
        <w:rPr>
          <w:spacing w:val="-4"/>
        </w:rPr>
        <w:t xml:space="preserve"> </w:t>
      </w:r>
      <w:r>
        <w:t>report</w:t>
      </w:r>
      <w:r>
        <w:rPr>
          <w:spacing w:val="-2"/>
        </w:rPr>
        <w:t xml:space="preserve"> </w:t>
      </w:r>
      <w:r>
        <w:t>includes</w:t>
      </w:r>
      <w:r>
        <w:rPr>
          <w:spacing w:val="-2"/>
        </w:rPr>
        <w:t xml:space="preserve"> </w:t>
      </w:r>
      <w:r>
        <w:t>the</w:t>
      </w:r>
      <w:r>
        <w:rPr>
          <w:spacing w:val="-4"/>
        </w:rPr>
        <w:t xml:space="preserve"> </w:t>
      </w:r>
      <w:r>
        <w:t>following:</w:t>
      </w:r>
    </w:p>
    <w:p w:rsidR="00081EFC" w:rsidP="0033369D" w:rsidRDefault="00081EFC" w14:paraId="5B037F95" w14:textId="77777777">
      <w:pPr>
        <w:pStyle w:val="ListParagraph"/>
        <w:numPr>
          <w:ilvl w:val="0"/>
          <w:numId w:val="29"/>
        </w:numPr>
        <w:tabs>
          <w:tab w:val="left" w:pos="560"/>
        </w:tabs>
        <w:spacing w:before="1" w:line="322" w:lineRule="exact"/>
        <w:ind w:hanging="361"/>
        <w:rPr>
          <w:sz w:val="26"/>
        </w:rPr>
      </w:pPr>
      <w:r>
        <w:rPr>
          <w:sz w:val="26"/>
        </w:rPr>
        <w:t>Monthly</w:t>
      </w:r>
      <w:r>
        <w:rPr>
          <w:spacing w:val="-4"/>
          <w:sz w:val="26"/>
        </w:rPr>
        <w:t xml:space="preserve"> </w:t>
      </w:r>
      <w:r>
        <w:rPr>
          <w:sz w:val="26"/>
        </w:rPr>
        <w:t>Percentage Uptime</w:t>
      </w:r>
      <w:r>
        <w:rPr>
          <w:spacing w:val="-3"/>
          <w:sz w:val="26"/>
        </w:rPr>
        <w:t xml:space="preserve"> </w:t>
      </w:r>
      <w:r>
        <w:rPr>
          <w:sz w:val="26"/>
        </w:rPr>
        <w:t>of</w:t>
      </w:r>
      <w:r>
        <w:rPr>
          <w:spacing w:val="-2"/>
          <w:sz w:val="26"/>
        </w:rPr>
        <w:t xml:space="preserve"> </w:t>
      </w:r>
      <w:r>
        <w:rPr>
          <w:sz w:val="26"/>
        </w:rPr>
        <w:t>network</w:t>
      </w:r>
      <w:r>
        <w:rPr>
          <w:spacing w:val="-3"/>
          <w:sz w:val="26"/>
        </w:rPr>
        <w:t xml:space="preserve"> </w:t>
      </w:r>
      <w:r>
        <w:rPr>
          <w:sz w:val="26"/>
        </w:rPr>
        <w:t>and</w:t>
      </w:r>
      <w:r>
        <w:rPr>
          <w:spacing w:val="-3"/>
          <w:sz w:val="26"/>
        </w:rPr>
        <w:t xml:space="preserve"> </w:t>
      </w:r>
      <w:r>
        <w:rPr>
          <w:sz w:val="26"/>
        </w:rPr>
        <w:t>internet</w:t>
      </w:r>
      <w:r>
        <w:rPr>
          <w:spacing w:val="-3"/>
          <w:sz w:val="26"/>
        </w:rPr>
        <w:t xml:space="preserve"> </w:t>
      </w:r>
      <w:r>
        <w:rPr>
          <w:sz w:val="26"/>
        </w:rPr>
        <w:t>services</w:t>
      </w:r>
    </w:p>
    <w:p w:rsidR="00081EFC" w:rsidP="0033369D" w:rsidRDefault="00081EFC" w14:paraId="30426B58" w14:textId="77777777">
      <w:pPr>
        <w:pStyle w:val="ListParagraph"/>
        <w:numPr>
          <w:ilvl w:val="0"/>
          <w:numId w:val="29"/>
        </w:numPr>
        <w:tabs>
          <w:tab w:val="left" w:pos="560"/>
        </w:tabs>
        <w:ind w:right="299"/>
        <w:rPr>
          <w:sz w:val="26"/>
        </w:rPr>
      </w:pPr>
      <w:r>
        <w:rPr>
          <w:sz w:val="26"/>
        </w:rPr>
        <w:t>Monthly</w:t>
      </w:r>
      <w:r>
        <w:rPr>
          <w:spacing w:val="-4"/>
          <w:sz w:val="26"/>
        </w:rPr>
        <w:t xml:space="preserve"> </w:t>
      </w:r>
      <w:r>
        <w:rPr>
          <w:sz w:val="26"/>
        </w:rPr>
        <w:t>Bandwidth</w:t>
      </w:r>
      <w:r>
        <w:rPr>
          <w:spacing w:val="-1"/>
          <w:sz w:val="26"/>
        </w:rPr>
        <w:t xml:space="preserve"> </w:t>
      </w:r>
      <w:r>
        <w:rPr>
          <w:sz w:val="26"/>
        </w:rPr>
        <w:t>Utilization</w:t>
      </w:r>
      <w:r>
        <w:rPr>
          <w:spacing w:val="-4"/>
          <w:sz w:val="26"/>
        </w:rPr>
        <w:t xml:space="preserve"> </w:t>
      </w:r>
      <w:r>
        <w:rPr>
          <w:sz w:val="26"/>
        </w:rPr>
        <w:t>by</w:t>
      </w:r>
      <w:r>
        <w:rPr>
          <w:spacing w:val="-3"/>
          <w:sz w:val="26"/>
        </w:rPr>
        <w:t xml:space="preserve"> </w:t>
      </w:r>
      <w:r>
        <w:rPr>
          <w:sz w:val="26"/>
        </w:rPr>
        <w:t>the</w:t>
      </w:r>
      <w:r>
        <w:rPr>
          <w:spacing w:val="-4"/>
          <w:sz w:val="26"/>
        </w:rPr>
        <w:t xml:space="preserve"> </w:t>
      </w:r>
      <w:r>
        <w:rPr>
          <w:sz w:val="26"/>
        </w:rPr>
        <w:t>residents</w:t>
      </w:r>
      <w:r>
        <w:rPr>
          <w:spacing w:val="-3"/>
          <w:sz w:val="26"/>
        </w:rPr>
        <w:t xml:space="preserve"> </w:t>
      </w:r>
      <w:r>
        <w:rPr>
          <w:sz w:val="26"/>
        </w:rPr>
        <w:t>(the amount</w:t>
      </w:r>
      <w:r>
        <w:rPr>
          <w:spacing w:val="-4"/>
          <w:sz w:val="26"/>
        </w:rPr>
        <w:t xml:space="preserve"> </w:t>
      </w:r>
      <w:r>
        <w:rPr>
          <w:sz w:val="26"/>
        </w:rPr>
        <w:t>of</w:t>
      </w:r>
      <w:r>
        <w:rPr>
          <w:spacing w:val="-3"/>
          <w:sz w:val="26"/>
        </w:rPr>
        <w:t xml:space="preserve"> </w:t>
      </w:r>
      <w:r>
        <w:rPr>
          <w:sz w:val="26"/>
        </w:rPr>
        <w:t>internet</w:t>
      </w:r>
      <w:r>
        <w:rPr>
          <w:spacing w:val="-4"/>
          <w:sz w:val="26"/>
        </w:rPr>
        <w:t xml:space="preserve"> </w:t>
      </w:r>
      <w:r>
        <w:rPr>
          <w:sz w:val="26"/>
        </w:rPr>
        <w:t>data</w:t>
      </w:r>
      <w:r>
        <w:rPr>
          <w:spacing w:val="-62"/>
          <w:sz w:val="26"/>
        </w:rPr>
        <w:t xml:space="preserve"> </w:t>
      </w:r>
      <w:r>
        <w:rPr>
          <w:sz w:val="26"/>
        </w:rPr>
        <w:t>transferred</w:t>
      </w:r>
      <w:r>
        <w:rPr>
          <w:spacing w:val="-2"/>
          <w:sz w:val="26"/>
        </w:rPr>
        <w:t xml:space="preserve"> </w:t>
      </w:r>
      <w:r>
        <w:rPr>
          <w:sz w:val="26"/>
        </w:rPr>
        <w:t>or the</w:t>
      </w:r>
      <w:r>
        <w:rPr>
          <w:spacing w:val="-1"/>
          <w:sz w:val="26"/>
        </w:rPr>
        <w:t xml:space="preserve"> </w:t>
      </w:r>
      <w:r>
        <w:rPr>
          <w:sz w:val="26"/>
        </w:rPr>
        <w:t>usage</w:t>
      </w:r>
      <w:r>
        <w:rPr>
          <w:spacing w:val="-2"/>
          <w:sz w:val="26"/>
        </w:rPr>
        <w:t xml:space="preserve"> </w:t>
      </w:r>
      <w:r>
        <w:rPr>
          <w:sz w:val="26"/>
        </w:rPr>
        <w:t>in</w:t>
      </w:r>
      <w:r>
        <w:rPr>
          <w:spacing w:val="-1"/>
          <w:sz w:val="26"/>
        </w:rPr>
        <w:t xml:space="preserve"> </w:t>
      </w:r>
      <w:r>
        <w:rPr>
          <w:sz w:val="26"/>
        </w:rPr>
        <w:t>gigabytes</w:t>
      </w:r>
      <w:r>
        <w:rPr>
          <w:spacing w:val="-2"/>
          <w:sz w:val="26"/>
        </w:rPr>
        <w:t xml:space="preserve"> </w:t>
      </w:r>
      <w:r>
        <w:rPr>
          <w:sz w:val="26"/>
        </w:rPr>
        <w:t>on the</w:t>
      </w:r>
      <w:r>
        <w:rPr>
          <w:spacing w:val="-1"/>
          <w:sz w:val="26"/>
        </w:rPr>
        <w:t xml:space="preserve"> </w:t>
      </w:r>
      <w:r>
        <w:rPr>
          <w:sz w:val="26"/>
        </w:rPr>
        <w:t>network)</w:t>
      </w:r>
    </w:p>
    <w:p w:rsidR="00081EFC" w:rsidP="0033369D" w:rsidRDefault="00081EFC" w14:paraId="7F1CDE3D" w14:textId="77777777">
      <w:pPr>
        <w:pStyle w:val="ListParagraph"/>
        <w:numPr>
          <w:ilvl w:val="0"/>
          <w:numId w:val="29"/>
        </w:numPr>
        <w:tabs>
          <w:tab w:val="left" w:pos="560"/>
        </w:tabs>
        <w:ind w:right="874"/>
        <w:rPr>
          <w:sz w:val="26"/>
        </w:rPr>
      </w:pPr>
      <w:r>
        <w:rPr>
          <w:sz w:val="26"/>
        </w:rPr>
        <w:t>Monthly</w:t>
      </w:r>
      <w:r>
        <w:rPr>
          <w:spacing w:val="-4"/>
          <w:sz w:val="26"/>
        </w:rPr>
        <w:t xml:space="preserve"> </w:t>
      </w:r>
      <w:r>
        <w:rPr>
          <w:sz w:val="26"/>
        </w:rPr>
        <w:t>Number</w:t>
      </w:r>
      <w:r>
        <w:rPr>
          <w:spacing w:val="-2"/>
          <w:sz w:val="26"/>
        </w:rPr>
        <w:t xml:space="preserve"> </w:t>
      </w:r>
      <w:r>
        <w:rPr>
          <w:sz w:val="26"/>
        </w:rPr>
        <w:t>of</w:t>
      </w:r>
      <w:r>
        <w:rPr>
          <w:spacing w:val="-1"/>
          <w:sz w:val="26"/>
        </w:rPr>
        <w:t xml:space="preserve"> </w:t>
      </w:r>
      <w:r>
        <w:rPr>
          <w:sz w:val="26"/>
        </w:rPr>
        <w:t>Unique</w:t>
      </w:r>
      <w:r>
        <w:rPr>
          <w:spacing w:val="-2"/>
          <w:sz w:val="26"/>
        </w:rPr>
        <w:t xml:space="preserve"> </w:t>
      </w:r>
      <w:r>
        <w:rPr>
          <w:sz w:val="26"/>
        </w:rPr>
        <w:t>User</w:t>
      </w:r>
      <w:r>
        <w:rPr>
          <w:spacing w:val="-2"/>
          <w:sz w:val="26"/>
        </w:rPr>
        <w:t xml:space="preserve"> </w:t>
      </w:r>
      <w:r>
        <w:rPr>
          <w:sz w:val="26"/>
        </w:rPr>
        <w:t>Devices</w:t>
      </w:r>
      <w:r>
        <w:rPr>
          <w:spacing w:val="-1"/>
          <w:sz w:val="26"/>
        </w:rPr>
        <w:t xml:space="preserve"> </w:t>
      </w:r>
      <w:r>
        <w:rPr>
          <w:sz w:val="26"/>
        </w:rPr>
        <w:t>Logged-in</w:t>
      </w:r>
      <w:r>
        <w:rPr>
          <w:spacing w:val="-3"/>
          <w:sz w:val="26"/>
        </w:rPr>
        <w:t xml:space="preserve"> </w:t>
      </w:r>
      <w:r>
        <w:rPr>
          <w:sz w:val="26"/>
        </w:rPr>
        <w:t>by</w:t>
      </w:r>
      <w:r>
        <w:rPr>
          <w:spacing w:val="-3"/>
          <w:sz w:val="26"/>
        </w:rPr>
        <w:t xml:space="preserve"> </w:t>
      </w:r>
      <w:r>
        <w:rPr>
          <w:sz w:val="26"/>
        </w:rPr>
        <w:t>the</w:t>
      </w:r>
      <w:r>
        <w:rPr>
          <w:spacing w:val="-4"/>
          <w:sz w:val="26"/>
        </w:rPr>
        <w:t xml:space="preserve"> </w:t>
      </w:r>
      <w:r>
        <w:rPr>
          <w:sz w:val="26"/>
        </w:rPr>
        <w:t>residents</w:t>
      </w:r>
      <w:r>
        <w:rPr>
          <w:spacing w:val="-3"/>
          <w:sz w:val="26"/>
        </w:rPr>
        <w:t xml:space="preserve"> </w:t>
      </w:r>
      <w:r>
        <w:rPr>
          <w:sz w:val="26"/>
        </w:rPr>
        <w:t>to</w:t>
      </w:r>
      <w:r>
        <w:rPr>
          <w:spacing w:val="-62"/>
          <w:sz w:val="26"/>
        </w:rPr>
        <w:t xml:space="preserve"> </w:t>
      </w:r>
      <w:r>
        <w:rPr>
          <w:sz w:val="26"/>
        </w:rPr>
        <w:t>access</w:t>
      </w:r>
      <w:r>
        <w:rPr>
          <w:spacing w:val="-1"/>
          <w:sz w:val="26"/>
        </w:rPr>
        <w:t xml:space="preserve"> </w:t>
      </w:r>
      <w:r>
        <w:rPr>
          <w:sz w:val="26"/>
        </w:rPr>
        <w:t>the</w:t>
      </w:r>
      <w:r>
        <w:rPr>
          <w:spacing w:val="-1"/>
          <w:sz w:val="26"/>
        </w:rPr>
        <w:t xml:space="preserve"> </w:t>
      </w:r>
      <w:r>
        <w:rPr>
          <w:sz w:val="26"/>
        </w:rPr>
        <w:t>broadband</w:t>
      </w:r>
      <w:r>
        <w:rPr>
          <w:spacing w:val="-2"/>
          <w:sz w:val="26"/>
        </w:rPr>
        <w:t xml:space="preserve"> </w:t>
      </w:r>
      <w:r>
        <w:rPr>
          <w:sz w:val="26"/>
        </w:rPr>
        <w:t>network</w:t>
      </w:r>
      <w:r>
        <w:rPr>
          <w:spacing w:val="-1"/>
          <w:sz w:val="26"/>
        </w:rPr>
        <w:t xml:space="preserve"> </w:t>
      </w:r>
      <w:r>
        <w:rPr>
          <w:sz w:val="26"/>
        </w:rPr>
        <w:t>for</w:t>
      </w:r>
      <w:r>
        <w:rPr>
          <w:spacing w:val="1"/>
          <w:sz w:val="26"/>
        </w:rPr>
        <w:t xml:space="preserve"> </w:t>
      </w:r>
      <w:r>
        <w:rPr>
          <w:sz w:val="26"/>
        </w:rPr>
        <w:t>internet</w:t>
      </w:r>
      <w:r>
        <w:rPr>
          <w:spacing w:val="-1"/>
          <w:sz w:val="26"/>
        </w:rPr>
        <w:t xml:space="preserve"> </w:t>
      </w:r>
      <w:r>
        <w:rPr>
          <w:sz w:val="26"/>
        </w:rPr>
        <w:t>services</w:t>
      </w:r>
    </w:p>
    <w:p w:rsidR="00081EFC" w:rsidP="00081EFC" w:rsidRDefault="00081EFC" w14:paraId="1186D11C" w14:textId="77777777">
      <w:pPr>
        <w:pStyle w:val="BodyText"/>
        <w:spacing w:before="11"/>
        <w:rPr>
          <w:sz w:val="25"/>
        </w:rPr>
      </w:pPr>
    </w:p>
    <w:p w:rsidR="00081EFC" w:rsidP="00081EFC" w:rsidRDefault="00081EFC" w14:paraId="7C10D7E4" w14:textId="77777777">
      <w:pPr>
        <w:pStyle w:val="BodyText"/>
        <w:ind w:left="90" w:right="346"/>
      </w:pPr>
      <w:r>
        <w:t>To</w:t>
      </w:r>
      <w:r>
        <w:rPr>
          <w:spacing w:val="-5"/>
        </w:rPr>
        <w:t xml:space="preserve"> </w:t>
      </w:r>
      <w:r>
        <w:t>support</w:t>
      </w:r>
      <w:r>
        <w:rPr>
          <w:spacing w:val="-2"/>
        </w:rPr>
        <w:t xml:space="preserve"> </w:t>
      </w:r>
      <w:r>
        <w:t>the</w:t>
      </w:r>
      <w:r>
        <w:rPr>
          <w:spacing w:val="-4"/>
        </w:rPr>
        <w:t xml:space="preserve"> </w:t>
      </w:r>
      <w:r>
        <w:t>above</w:t>
      </w:r>
      <w:r>
        <w:rPr>
          <w:spacing w:val="-1"/>
        </w:rPr>
        <w:t xml:space="preserve"> </w:t>
      </w:r>
      <w:r>
        <w:t>KPI</w:t>
      </w:r>
      <w:r>
        <w:rPr>
          <w:spacing w:val="-5"/>
        </w:rPr>
        <w:t xml:space="preserve"> </w:t>
      </w:r>
      <w:r>
        <w:t>report</w:t>
      </w:r>
      <w:r>
        <w:rPr>
          <w:spacing w:val="-4"/>
        </w:rPr>
        <w:t xml:space="preserve"> </w:t>
      </w:r>
      <w:r>
        <w:t>information,</w:t>
      </w:r>
      <w:r>
        <w:rPr>
          <w:spacing w:val="-4"/>
        </w:rPr>
        <w:t xml:space="preserve"> </w:t>
      </w:r>
      <w:r>
        <w:t>the</w:t>
      </w:r>
      <w:r>
        <w:rPr>
          <w:spacing w:val="-4"/>
        </w:rPr>
        <w:t xml:space="preserve"> </w:t>
      </w:r>
      <w:r>
        <w:t>grantee</w:t>
      </w:r>
      <w:r>
        <w:rPr>
          <w:spacing w:val="-1"/>
        </w:rPr>
        <w:t xml:space="preserve"> </w:t>
      </w:r>
      <w:r>
        <w:t>must submit</w:t>
      </w:r>
      <w:r>
        <w:rPr>
          <w:spacing w:val="-4"/>
        </w:rPr>
        <w:t xml:space="preserve"> </w:t>
      </w:r>
      <w:r>
        <w:t>the</w:t>
      </w:r>
      <w:r>
        <w:rPr>
          <w:spacing w:val="-62"/>
        </w:rPr>
        <w:t xml:space="preserve"> </w:t>
      </w:r>
      <w:r>
        <w:t>system</w:t>
      </w:r>
      <w:r>
        <w:rPr>
          <w:spacing w:val="-2"/>
        </w:rPr>
        <w:t xml:space="preserve"> </w:t>
      </w:r>
      <w:r>
        <w:t>data</w:t>
      </w:r>
      <w:r>
        <w:rPr>
          <w:spacing w:val="-1"/>
        </w:rPr>
        <w:t xml:space="preserve"> </w:t>
      </w:r>
      <w:r>
        <w:t>obtained</w:t>
      </w:r>
      <w:r>
        <w:rPr>
          <w:spacing w:val="1"/>
        </w:rPr>
        <w:t xml:space="preserve"> </w:t>
      </w:r>
      <w:r>
        <w:t>from</w:t>
      </w:r>
      <w:r>
        <w:rPr>
          <w:spacing w:val="-2"/>
        </w:rPr>
        <w:t xml:space="preserve"> </w:t>
      </w:r>
      <w:r>
        <w:t>the</w:t>
      </w:r>
      <w:r>
        <w:rPr>
          <w:spacing w:val="-1"/>
        </w:rPr>
        <w:t xml:space="preserve"> </w:t>
      </w:r>
      <w:r>
        <w:t>network.</w:t>
      </w:r>
    </w:p>
    <w:p w:rsidRPr="00893B50" w:rsidR="00081EFC" w:rsidP="00081EFC" w:rsidRDefault="00081EFC" w14:paraId="2D3732ED" w14:textId="77777777">
      <w:pPr>
        <w:pStyle w:val="BodyText"/>
        <w:ind w:left="90" w:right="346"/>
      </w:pPr>
    </w:p>
    <w:p w:rsidRPr="00676C3A" w:rsidR="00081EFC" w:rsidP="00676C3A" w:rsidRDefault="00081EFC" w14:paraId="39A9738F" w14:textId="77777777">
      <w:pPr>
        <w:pStyle w:val="ListParagraph"/>
        <w:numPr>
          <w:ilvl w:val="0"/>
          <w:numId w:val="10"/>
        </w:numPr>
        <w:tabs>
          <w:tab w:val="left" w:pos="560"/>
        </w:tabs>
        <w:ind w:hanging="361"/>
        <w:rPr>
          <w:b/>
          <w:sz w:val="26"/>
        </w:rPr>
      </w:pPr>
      <w:r w:rsidRPr="00676C3A">
        <w:rPr>
          <w:b/>
          <w:sz w:val="26"/>
        </w:rPr>
        <w:t>Sale or Transfer of Assets</w:t>
      </w:r>
    </w:p>
    <w:p w:rsidR="00081EFC" w:rsidP="00081EFC" w:rsidRDefault="00081EFC" w14:paraId="34C2F709" w14:textId="77777777">
      <w:pPr>
        <w:pStyle w:val="BodyText"/>
        <w:keepNext/>
        <w:keepLines/>
        <w:spacing w:before="119"/>
        <w:ind w:right="260"/>
      </w:pPr>
      <w:r w:rsidRPr="00A06DE1">
        <w:rPr>
          <w:spacing w:val="-4"/>
        </w:rPr>
        <w:t xml:space="preserve">BPHA </w:t>
      </w:r>
      <w:r w:rsidRPr="00A06DE1">
        <w:t>project</w:t>
      </w:r>
      <w:r w:rsidRPr="00A06DE1">
        <w:rPr>
          <w:spacing w:val="-2"/>
        </w:rPr>
        <w:t xml:space="preserve"> </w:t>
      </w:r>
      <w:r>
        <w:t>grantees</w:t>
      </w:r>
      <w:r>
        <w:rPr>
          <w:spacing w:val="-5"/>
        </w:rPr>
        <w:t xml:space="preserve"> </w:t>
      </w:r>
      <w:r>
        <w:t>must</w:t>
      </w:r>
      <w:r>
        <w:rPr>
          <w:spacing w:val="-4"/>
        </w:rPr>
        <w:t xml:space="preserve"> </w:t>
      </w:r>
      <w:r>
        <w:t>notify</w:t>
      </w:r>
      <w:r>
        <w:rPr>
          <w:spacing w:val="-2"/>
        </w:rPr>
        <w:t xml:space="preserve"> </w:t>
      </w:r>
      <w:r>
        <w:t>the</w:t>
      </w:r>
      <w:r>
        <w:rPr>
          <w:spacing w:val="-5"/>
        </w:rPr>
        <w:t xml:space="preserve"> </w:t>
      </w:r>
      <w:r>
        <w:t>Commission</w:t>
      </w:r>
      <w:r>
        <w:rPr>
          <w:spacing w:val="-4"/>
        </w:rPr>
        <w:t xml:space="preserve"> </w:t>
      </w:r>
      <w:r>
        <w:t>about</w:t>
      </w:r>
      <w:r>
        <w:rPr>
          <w:spacing w:val="-4"/>
        </w:rPr>
        <w:t xml:space="preserve"> </w:t>
      </w:r>
      <w:r>
        <w:t>any</w:t>
      </w:r>
      <w:r>
        <w:rPr>
          <w:spacing w:val="-4"/>
        </w:rPr>
        <w:t xml:space="preserve"> </w:t>
      </w:r>
      <w:r>
        <w:t>proposed</w:t>
      </w:r>
      <w:r>
        <w:rPr>
          <w:spacing w:val="-62"/>
        </w:rPr>
        <w:t xml:space="preserve"> </w:t>
      </w:r>
      <w:r>
        <w:t>sale or transfer of ownership of the project property that occurs prior to the</w:t>
      </w:r>
      <w:r>
        <w:rPr>
          <w:spacing w:val="1"/>
        </w:rPr>
        <w:t xml:space="preserve"> </w:t>
      </w:r>
      <w:r>
        <w:t>completion of the five-year requirement.</w:t>
      </w:r>
      <w:r>
        <w:rPr>
          <w:spacing w:val="1"/>
        </w:rPr>
        <w:t xml:space="preserve"> </w:t>
      </w:r>
      <w:r>
        <w:t>The grantee must require the new</w:t>
      </w:r>
      <w:r>
        <w:rPr>
          <w:spacing w:val="1"/>
        </w:rPr>
        <w:t xml:space="preserve"> </w:t>
      </w:r>
      <w:r>
        <w:t>owner to assume grant obligations of operating and maintaining the broadband</w:t>
      </w:r>
      <w:r>
        <w:rPr>
          <w:spacing w:val="-62"/>
        </w:rPr>
        <w:t xml:space="preserve"> </w:t>
      </w:r>
      <w:r>
        <w:t>internet services for the remaining period of the five years term.</w:t>
      </w:r>
      <w:r>
        <w:rPr>
          <w:spacing w:val="1"/>
        </w:rPr>
        <w:t xml:space="preserve"> </w:t>
      </w:r>
      <w:r>
        <w:t>The grantee</w:t>
      </w:r>
      <w:r>
        <w:rPr>
          <w:spacing w:val="1"/>
        </w:rPr>
        <w:t xml:space="preserve"> </w:t>
      </w:r>
      <w:r>
        <w:t>shall notify the Director of the Communication's Division in writing of its intent</w:t>
      </w:r>
      <w:r>
        <w:rPr>
          <w:spacing w:val="-62"/>
        </w:rPr>
        <w:t xml:space="preserve"> </w:t>
      </w:r>
      <w:r>
        <w:t>to</w:t>
      </w:r>
      <w:r>
        <w:rPr>
          <w:spacing w:val="-3"/>
        </w:rPr>
        <w:t xml:space="preserve"> </w:t>
      </w:r>
      <w:r>
        <w:t>sell</w:t>
      </w:r>
      <w:r>
        <w:rPr>
          <w:spacing w:val="-2"/>
        </w:rPr>
        <w:t xml:space="preserve"> </w:t>
      </w:r>
      <w:r>
        <w:t>or</w:t>
      </w:r>
      <w:r>
        <w:rPr>
          <w:spacing w:val="-1"/>
        </w:rPr>
        <w:t xml:space="preserve"> </w:t>
      </w:r>
      <w:r>
        <w:t>transfer</w:t>
      </w:r>
      <w:r>
        <w:rPr>
          <w:spacing w:val="-1"/>
        </w:rPr>
        <w:t xml:space="preserve"> </w:t>
      </w:r>
      <w:r>
        <w:t>its assets</w:t>
      </w:r>
      <w:r>
        <w:rPr>
          <w:spacing w:val="-3"/>
        </w:rPr>
        <w:t xml:space="preserve"> </w:t>
      </w:r>
      <w:r>
        <w:t>within</w:t>
      </w:r>
      <w:r>
        <w:rPr>
          <w:spacing w:val="-2"/>
        </w:rPr>
        <w:t xml:space="preserve"> </w:t>
      </w:r>
      <w:r>
        <w:t>five</w:t>
      </w:r>
      <w:r>
        <w:rPr>
          <w:spacing w:val="-3"/>
        </w:rPr>
        <w:t xml:space="preserve"> </w:t>
      </w:r>
      <w:r>
        <w:t>days</w:t>
      </w:r>
      <w:r>
        <w:rPr>
          <w:spacing w:val="-3"/>
        </w:rPr>
        <w:t xml:space="preserve"> </w:t>
      </w:r>
      <w:r>
        <w:t>of</w:t>
      </w:r>
      <w:r>
        <w:rPr>
          <w:spacing w:val="-2"/>
        </w:rPr>
        <w:t xml:space="preserve"> </w:t>
      </w:r>
      <w:r>
        <w:t>becoming</w:t>
      </w:r>
      <w:r>
        <w:rPr>
          <w:spacing w:val="-3"/>
        </w:rPr>
        <w:t xml:space="preserve"> </w:t>
      </w:r>
      <w:r>
        <w:t>aware</w:t>
      </w:r>
      <w:r>
        <w:rPr>
          <w:spacing w:val="-2"/>
        </w:rPr>
        <w:t xml:space="preserve"> </w:t>
      </w:r>
      <w:r>
        <w:t>of</w:t>
      </w:r>
      <w:r>
        <w:rPr>
          <w:spacing w:val="-2"/>
        </w:rPr>
        <w:t xml:space="preserve"> </w:t>
      </w:r>
      <w:r>
        <w:t>these</w:t>
      </w:r>
      <w:r>
        <w:rPr>
          <w:spacing w:val="-2"/>
        </w:rPr>
        <w:t xml:space="preserve"> </w:t>
      </w:r>
      <w:r>
        <w:t>plans.</w:t>
      </w:r>
    </w:p>
    <w:p w:rsidR="00081EFC" w:rsidP="00081EFC" w:rsidRDefault="00081EFC" w14:paraId="368BF60D" w14:textId="77777777">
      <w:pPr>
        <w:pStyle w:val="BodyText"/>
        <w:ind w:right="118"/>
      </w:pPr>
    </w:p>
    <w:p w:rsidR="00081EFC" w:rsidP="00081EFC" w:rsidRDefault="00081EFC" w14:paraId="326B2C23" w14:textId="77777777">
      <w:pPr>
        <w:pStyle w:val="BodyText"/>
        <w:ind w:right="118"/>
      </w:pPr>
      <w:r>
        <w:t>The</w:t>
      </w:r>
      <w:r>
        <w:rPr>
          <w:spacing w:val="-4"/>
        </w:rPr>
        <w:t xml:space="preserve"> </w:t>
      </w:r>
      <w:r>
        <w:t>grantee</w:t>
      </w:r>
      <w:r>
        <w:rPr>
          <w:spacing w:val="-3"/>
        </w:rPr>
        <w:t xml:space="preserve"> </w:t>
      </w:r>
      <w:r>
        <w:t>shall</w:t>
      </w:r>
      <w:r>
        <w:rPr>
          <w:spacing w:val="-5"/>
        </w:rPr>
        <w:t xml:space="preserve"> </w:t>
      </w:r>
      <w:r>
        <w:t>also</w:t>
      </w:r>
      <w:r>
        <w:rPr>
          <w:spacing w:val="-4"/>
        </w:rPr>
        <w:t xml:space="preserve"> </w:t>
      </w:r>
      <w:r>
        <w:t>provide</w:t>
      </w:r>
      <w:r>
        <w:rPr>
          <w:spacing w:val="-4"/>
        </w:rPr>
        <w:t xml:space="preserve"> </w:t>
      </w:r>
      <w:r>
        <w:t>documentation,</w:t>
      </w:r>
      <w:r>
        <w:rPr>
          <w:spacing w:val="-1"/>
        </w:rPr>
        <w:t xml:space="preserve"> </w:t>
      </w:r>
      <w:r>
        <w:t>including</w:t>
      </w:r>
      <w:r>
        <w:rPr>
          <w:spacing w:val="-4"/>
        </w:rPr>
        <w:t xml:space="preserve"> </w:t>
      </w:r>
      <w:r>
        <w:t>an</w:t>
      </w:r>
      <w:r>
        <w:rPr>
          <w:spacing w:val="-1"/>
        </w:rPr>
        <w:t xml:space="preserve"> </w:t>
      </w:r>
      <w:r>
        <w:t>affidavit,</w:t>
      </w:r>
      <w:r>
        <w:rPr>
          <w:spacing w:val="-4"/>
        </w:rPr>
        <w:t xml:space="preserve"> </w:t>
      </w:r>
      <w:r>
        <w:t>stating</w:t>
      </w:r>
      <w:r>
        <w:rPr>
          <w:spacing w:val="-4"/>
        </w:rPr>
        <w:t xml:space="preserve"> </w:t>
      </w:r>
      <w:r>
        <w:t>that</w:t>
      </w:r>
      <w:r>
        <w:rPr>
          <w:spacing w:val="-62"/>
        </w:rPr>
        <w:t xml:space="preserve"> </w:t>
      </w:r>
      <w:r>
        <w:t>the new entity or owner will take full responsibility and ownership to comply</w:t>
      </w:r>
      <w:r>
        <w:rPr>
          <w:spacing w:val="1"/>
        </w:rPr>
        <w:t xml:space="preserve"> </w:t>
      </w:r>
      <w:r>
        <w:t>with the terms of the CASF grant award.</w:t>
      </w:r>
      <w:r>
        <w:rPr>
          <w:spacing w:val="1"/>
        </w:rPr>
        <w:t xml:space="preserve"> </w:t>
      </w:r>
      <w:r>
        <w:t>The new entity shall agree in writing to</w:t>
      </w:r>
      <w:r>
        <w:rPr>
          <w:spacing w:val="-63"/>
        </w:rPr>
        <w:t xml:space="preserve"> </w:t>
      </w:r>
      <w:r>
        <w:t>such.</w:t>
      </w:r>
    </w:p>
    <w:p w:rsidR="00081EFC" w:rsidP="00676C3A" w:rsidRDefault="00081EFC" w14:paraId="54890544" w14:textId="77777777">
      <w:pPr>
        <w:pStyle w:val="Standard"/>
      </w:pPr>
    </w:p>
    <w:p w:rsidRPr="00676C3A" w:rsidR="00081EFC" w:rsidP="000169E8" w:rsidRDefault="00081EFC" w14:paraId="279BF7A4" w14:textId="77777777">
      <w:pPr>
        <w:pStyle w:val="ListParagraph"/>
        <w:keepNext/>
        <w:keepLines/>
        <w:numPr>
          <w:ilvl w:val="0"/>
          <w:numId w:val="10"/>
        </w:numPr>
        <w:tabs>
          <w:tab w:val="left" w:pos="560"/>
        </w:tabs>
        <w:ind w:left="562"/>
        <w:rPr>
          <w:b/>
          <w:sz w:val="26"/>
        </w:rPr>
      </w:pPr>
      <w:r w:rsidRPr="00676C3A">
        <w:rPr>
          <w:b/>
          <w:sz w:val="26"/>
        </w:rPr>
        <w:t>Payment Terms</w:t>
      </w:r>
    </w:p>
    <w:p w:rsidR="00081EFC" w:rsidP="00081EFC" w:rsidRDefault="00081EFC" w14:paraId="257824AC" w14:textId="77777777">
      <w:pPr>
        <w:pStyle w:val="BodyText"/>
        <w:spacing w:before="121"/>
        <w:ind w:right="169"/>
      </w:pPr>
      <w:r w:rsidRPr="007846CA">
        <w:t xml:space="preserve">BPHA project </w:t>
      </w:r>
      <w:r>
        <w:t>grantees are eligible to request the payment for the</w:t>
      </w:r>
      <w:r>
        <w:rPr>
          <w:spacing w:val="1"/>
        </w:rPr>
        <w:t xml:space="preserve"> </w:t>
      </w:r>
      <w:r>
        <w:t>expenditures incurred during the first six months if the grantee submits a six-</w:t>
      </w:r>
      <w:r>
        <w:rPr>
          <w:spacing w:val="1"/>
        </w:rPr>
        <w:t xml:space="preserve"> </w:t>
      </w:r>
      <w:r>
        <w:t>month</w:t>
      </w:r>
      <w:r>
        <w:rPr>
          <w:spacing w:val="-4"/>
        </w:rPr>
        <w:t xml:space="preserve"> </w:t>
      </w:r>
      <w:r>
        <w:t>project</w:t>
      </w:r>
      <w:r>
        <w:rPr>
          <w:spacing w:val="-3"/>
        </w:rPr>
        <w:t xml:space="preserve"> </w:t>
      </w:r>
      <w:r>
        <w:t>status</w:t>
      </w:r>
      <w:r>
        <w:rPr>
          <w:spacing w:val="-1"/>
        </w:rPr>
        <w:t xml:space="preserve"> </w:t>
      </w:r>
      <w:r>
        <w:t>report</w:t>
      </w:r>
      <w:r>
        <w:rPr>
          <w:spacing w:val="-3"/>
        </w:rPr>
        <w:t xml:space="preserve"> </w:t>
      </w:r>
      <w:r>
        <w:t>and</w:t>
      </w:r>
      <w:r>
        <w:rPr>
          <w:spacing w:val="-1"/>
        </w:rPr>
        <w:t xml:space="preserve"> </w:t>
      </w:r>
      <w:r>
        <w:t>certifies</w:t>
      </w:r>
      <w:r>
        <w:rPr>
          <w:spacing w:val="-3"/>
        </w:rPr>
        <w:t xml:space="preserve"> </w:t>
      </w:r>
      <w:r>
        <w:t>that</w:t>
      </w:r>
      <w:r>
        <w:rPr>
          <w:spacing w:val="-3"/>
        </w:rPr>
        <w:t xml:space="preserve"> </w:t>
      </w:r>
      <w:r>
        <w:t>the</w:t>
      </w:r>
      <w:r>
        <w:rPr>
          <w:spacing w:val="-3"/>
        </w:rPr>
        <w:t xml:space="preserve"> </w:t>
      </w:r>
      <w:r>
        <w:t>status</w:t>
      </w:r>
      <w:r>
        <w:rPr>
          <w:spacing w:val="-4"/>
        </w:rPr>
        <w:t xml:space="preserve"> </w:t>
      </w:r>
      <w:r>
        <w:t>report</w:t>
      </w:r>
      <w:r>
        <w:rPr>
          <w:spacing w:val="-1"/>
        </w:rPr>
        <w:t xml:space="preserve"> </w:t>
      </w:r>
      <w:r>
        <w:t>is</w:t>
      </w:r>
      <w:r>
        <w:rPr>
          <w:spacing w:val="-3"/>
        </w:rPr>
        <w:t xml:space="preserve"> </w:t>
      </w:r>
      <w:r>
        <w:t>true</w:t>
      </w:r>
      <w:r>
        <w:rPr>
          <w:spacing w:val="-4"/>
        </w:rPr>
        <w:t xml:space="preserve"> </w:t>
      </w:r>
      <w:r>
        <w:t>and</w:t>
      </w:r>
      <w:r>
        <w:rPr>
          <w:spacing w:val="-3"/>
        </w:rPr>
        <w:t xml:space="preserve"> </w:t>
      </w:r>
      <w:r>
        <w:t>correct</w:t>
      </w:r>
      <w:r>
        <w:rPr>
          <w:spacing w:val="-62"/>
        </w:rPr>
        <w:t xml:space="preserve"> </w:t>
      </w:r>
      <w:r>
        <w:t>under penalty</w:t>
      </w:r>
      <w:r>
        <w:rPr>
          <w:spacing w:val="-1"/>
        </w:rPr>
        <w:t xml:space="preserve"> </w:t>
      </w:r>
      <w:r>
        <w:t>of</w:t>
      </w:r>
      <w:r>
        <w:rPr>
          <w:spacing w:val="-1"/>
        </w:rPr>
        <w:t xml:space="preserve"> </w:t>
      </w:r>
      <w:r>
        <w:t>perjury.</w:t>
      </w:r>
    </w:p>
    <w:p w:rsidR="00081EFC" w:rsidP="00081EFC" w:rsidRDefault="00081EFC" w14:paraId="0D23A903" w14:textId="77777777">
      <w:pPr>
        <w:pStyle w:val="BodyText"/>
      </w:pPr>
    </w:p>
    <w:p w:rsidR="00081EFC" w:rsidP="00081EFC" w:rsidRDefault="00081EFC" w14:paraId="2C17995B" w14:textId="77777777">
      <w:pPr>
        <w:pStyle w:val="BodyText"/>
      </w:pPr>
      <w:r>
        <w:t>Grantees shall submit final requests for payment no later than 90 days after</w:t>
      </w:r>
      <w:r w:rsidRPr="00A06DE1">
        <w:rPr>
          <w:spacing w:val="1"/>
        </w:rPr>
        <w:t xml:space="preserve"> </w:t>
      </w:r>
      <w:r>
        <w:t>completion of the project.</w:t>
      </w:r>
      <w:r w:rsidRPr="00A06DE1">
        <w:rPr>
          <w:spacing w:val="1"/>
        </w:rPr>
        <w:t xml:space="preserve"> </w:t>
      </w:r>
      <w:r>
        <w:t>If the grantee cannot complete the project within the</w:t>
      </w:r>
      <w:r w:rsidRPr="00A06DE1">
        <w:rPr>
          <w:spacing w:val="1"/>
        </w:rPr>
        <w:t xml:space="preserve"> </w:t>
      </w:r>
      <w:r>
        <w:t>12-month timeline, the grantee must notify the Director of</w:t>
      </w:r>
      <w:r w:rsidRPr="00A06DE1">
        <w:rPr>
          <w:spacing w:val="1"/>
        </w:rPr>
        <w:t xml:space="preserve"> </w:t>
      </w:r>
      <w:r>
        <w:t>Communications</w:t>
      </w:r>
      <w:r w:rsidRPr="00A06DE1">
        <w:rPr>
          <w:spacing w:val="-3"/>
        </w:rPr>
        <w:t xml:space="preserve"> </w:t>
      </w:r>
      <w:r>
        <w:t>Division</w:t>
      </w:r>
      <w:r w:rsidRPr="00A06DE1">
        <w:rPr>
          <w:spacing w:val="-2"/>
        </w:rPr>
        <w:t xml:space="preserve"> </w:t>
      </w:r>
      <w:r>
        <w:t>as</w:t>
      </w:r>
      <w:r w:rsidRPr="00A06DE1">
        <w:rPr>
          <w:spacing w:val="-4"/>
        </w:rPr>
        <w:t xml:space="preserve"> </w:t>
      </w:r>
      <w:r>
        <w:t>soon</w:t>
      </w:r>
      <w:r w:rsidRPr="00A06DE1">
        <w:rPr>
          <w:spacing w:val="-4"/>
        </w:rPr>
        <w:t xml:space="preserve"> </w:t>
      </w:r>
      <w:r>
        <w:t>as</w:t>
      </w:r>
      <w:r w:rsidRPr="00A06DE1">
        <w:rPr>
          <w:spacing w:val="-1"/>
        </w:rPr>
        <w:t xml:space="preserve"> </w:t>
      </w:r>
      <w:r>
        <w:t>they</w:t>
      </w:r>
      <w:r w:rsidRPr="00A06DE1">
        <w:rPr>
          <w:spacing w:val="-4"/>
        </w:rPr>
        <w:t xml:space="preserve"> </w:t>
      </w:r>
      <w:r>
        <w:t>become</w:t>
      </w:r>
      <w:r w:rsidRPr="00A06DE1">
        <w:rPr>
          <w:spacing w:val="-4"/>
        </w:rPr>
        <w:t xml:space="preserve"> </w:t>
      </w:r>
      <w:r>
        <w:t>aware</w:t>
      </w:r>
      <w:r w:rsidRPr="00A06DE1">
        <w:rPr>
          <w:spacing w:val="-3"/>
        </w:rPr>
        <w:t xml:space="preserve"> </w:t>
      </w:r>
      <w:r>
        <w:t>that</w:t>
      </w:r>
      <w:r w:rsidRPr="00A06DE1">
        <w:rPr>
          <w:spacing w:val="-2"/>
        </w:rPr>
        <w:t xml:space="preserve"> </w:t>
      </w:r>
      <w:r>
        <w:t>they</w:t>
      </w:r>
      <w:r w:rsidRPr="00A06DE1">
        <w:rPr>
          <w:spacing w:val="-3"/>
        </w:rPr>
        <w:t xml:space="preserve"> </w:t>
      </w:r>
      <w:r>
        <w:t>may</w:t>
      </w:r>
      <w:r w:rsidRPr="00A06DE1">
        <w:rPr>
          <w:spacing w:val="-4"/>
        </w:rPr>
        <w:t xml:space="preserve"> </w:t>
      </w:r>
      <w:r>
        <w:t>not</w:t>
      </w:r>
      <w:r w:rsidRPr="00A06DE1">
        <w:rPr>
          <w:spacing w:val="-2"/>
        </w:rPr>
        <w:t xml:space="preserve"> </w:t>
      </w:r>
      <w:r>
        <w:t>meet</w:t>
      </w:r>
      <w:r w:rsidRPr="00A06DE1">
        <w:rPr>
          <w:spacing w:val="-62"/>
        </w:rPr>
        <w:t xml:space="preserve"> </w:t>
      </w:r>
      <w:r>
        <w:t>the project timeline.</w:t>
      </w:r>
      <w:r w:rsidRPr="00A06DE1">
        <w:rPr>
          <w:spacing w:val="1"/>
        </w:rPr>
        <w:t xml:space="preserve"> </w:t>
      </w:r>
      <w:r>
        <w:t>In the event the grantee fails to notify the Director of Communications Division, the Commission may withhold or reduce</w:t>
      </w:r>
      <w:r w:rsidRPr="00A06DE1">
        <w:rPr>
          <w:spacing w:val="1"/>
        </w:rPr>
        <w:t xml:space="preserve"> </w:t>
      </w:r>
      <w:r>
        <w:t>payment.</w:t>
      </w:r>
    </w:p>
    <w:p w:rsidR="00081EFC" w:rsidP="00081EFC" w:rsidRDefault="00081EFC" w14:paraId="2062F38E" w14:textId="77777777">
      <w:pPr>
        <w:pStyle w:val="BodyText"/>
      </w:pPr>
    </w:p>
    <w:p w:rsidR="00081EFC" w:rsidP="00081EFC" w:rsidRDefault="00081EFC" w14:paraId="0F264A9B" w14:textId="77777777">
      <w:pPr>
        <w:pStyle w:val="BodyText"/>
      </w:pPr>
      <w:r>
        <w:t>Grantees</w:t>
      </w:r>
      <w:r w:rsidRPr="00A06DE1">
        <w:rPr>
          <w:spacing w:val="-4"/>
        </w:rPr>
        <w:t xml:space="preserve"> </w:t>
      </w:r>
      <w:r>
        <w:t>must</w:t>
      </w:r>
      <w:r w:rsidRPr="00A06DE1">
        <w:rPr>
          <w:spacing w:val="-3"/>
        </w:rPr>
        <w:t xml:space="preserve"> </w:t>
      </w:r>
      <w:r>
        <w:t>submit</w:t>
      </w:r>
      <w:r w:rsidRPr="00A06DE1">
        <w:rPr>
          <w:spacing w:val="-4"/>
        </w:rPr>
        <w:t xml:space="preserve"> </w:t>
      </w:r>
      <w:r>
        <w:t>the</w:t>
      </w:r>
      <w:r w:rsidRPr="00A06DE1">
        <w:rPr>
          <w:spacing w:val="-2"/>
        </w:rPr>
        <w:t xml:space="preserve"> </w:t>
      </w:r>
      <w:r>
        <w:t>project</w:t>
      </w:r>
      <w:r w:rsidRPr="00A06DE1">
        <w:rPr>
          <w:spacing w:val="-4"/>
        </w:rPr>
        <w:t xml:space="preserve"> </w:t>
      </w:r>
      <w:r>
        <w:t>status</w:t>
      </w:r>
      <w:r w:rsidRPr="00A06DE1">
        <w:rPr>
          <w:spacing w:val="-3"/>
        </w:rPr>
        <w:t xml:space="preserve"> </w:t>
      </w:r>
      <w:r>
        <w:t>and</w:t>
      </w:r>
      <w:r w:rsidRPr="00A06DE1">
        <w:rPr>
          <w:spacing w:val="-4"/>
        </w:rPr>
        <w:t xml:space="preserve"> </w:t>
      </w:r>
      <w:r>
        <w:t>completion</w:t>
      </w:r>
      <w:r w:rsidRPr="00A06DE1">
        <w:rPr>
          <w:spacing w:val="-3"/>
        </w:rPr>
        <w:t xml:space="preserve"> </w:t>
      </w:r>
      <w:r>
        <w:t>reports</w:t>
      </w:r>
      <w:r w:rsidRPr="00A06DE1">
        <w:rPr>
          <w:spacing w:val="-2"/>
        </w:rPr>
        <w:t xml:space="preserve"> </w:t>
      </w:r>
      <w:r>
        <w:t>with</w:t>
      </w:r>
      <w:r w:rsidRPr="00A06DE1">
        <w:rPr>
          <w:spacing w:val="-1"/>
        </w:rPr>
        <w:t xml:space="preserve"> </w:t>
      </w:r>
      <w:r>
        <w:t>all</w:t>
      </w:r>
      <w:r w:rsidRPr="00A06DE1">
        <w:rPr>
          <w:spacing w:val="-5"/>
        </w:rPr>
        <w:t xml:space="preserve"> </w:t>
      </w:r>
      <w:r>
        <w:t>required</w:t>
      </w:r>
      <w:r w:rsidRPr="00A06DE1">
        <w:rPr>
          <w:spacing w:val="-62"/>
        </w:rPr>
        <w:t xml:space="preserve"> </w:t>
      </w:r>
      <w:r>
        <w:t>supporting</w:t>
      </w:r>
      <w:r w:rsidRPr="00A06DE1">
        <w:rPr>
          <w:spacing w:val="-3"/>
        </w:rPr>
        <w:t xml:space="preserve"> </w:t>
      </w:r>
      <w:r>
        <w:t>documentation</w:t>
      </w:r>
      <w:r w:rsidRPr="00A06DE1">
        <w:rPr>
          <w:spacing w:val="-3"/>
        </w:rPr>
        <w:t xml:space="preserve"> </w:t>
      </w:r>
      <w:r>
        <w:t>for</w:t>
      </w:r>
      <w:r w:rsidRPr="00A06DE1">
        <w:rPr>
          <w:spacing w:val="-2"/>
        </w:rPr>
        <w:t xml:space="preserve"> </w:t>
      </w:r>
      <w:r>
        <w:t>the</w:t>
      </w:r>
      <w:r w:rsidRPr="00A06DE1">
        <w:rPr>
          <w:spacing w:val="-2"/>
        </w:rPr>
        <w:t xml:space="preserve"> </w:t>
      </w:r>
      <w:r>
        <w:t>staff</w:t>
      </w:r>
      <w:r w:rsidRPr="00A06DE1">
        <w:rPr>
          <w:spacing w:val="-3"/>
        </w:rPr>
        <w:t xml:space="preserve"> </w:t>
      </w:r>
      <w:r>
        <w:t>to</w:t>
      </w:r>
      <w:r w:rsidRPr="00A06DE1">
        <w:rPr>
          <w:spacing w:val="-1"/>
        </w:rPr>
        <w:t xml:space="preserve"> </w:t>
      </w:r>
      <w:r>
        <w:t>review</w:t>
      </w:r>
      <w:r w:rsidRPr="00A06DE1">
        <w:rPr>
          <w:spacing w:val="-2"/>
        </w:rPr>
        <w:t xml:space="preserve"> </w:t>
      </w:r>
      <w:proofErr w:type="gramStart"/>
      <w:r>
        <w:t>in order</w:t>
      </w:r>
      <w:r w:rsidRPr="00A06DE1">
        <w:rPr>
          <w:spacing w:val="-1"/>
        </w:rPr>
        <w:t xml:space="preserve"> </w:t>
      </w:r>
      <w:r>
        <w:t>to</w:t>
      </w:r>
      <w:proofErr w:type="gramEnd"/>
      <w:r w:rsidRPr="00A06DE1">
        <w:rPr>
          <w:spacing w:val="-3"/>
        </w:rPr>
        <w:t xml:space="preserve"> </w:t>
      </w:r>
      <w:r>
        <w:t>receive</w:t>
      </w:r>
      <w:r w:rsidRPr="00A06DE1">
        <w:rPr>
          <w:spacing w:val="-2"/>
        </w:rPr>
        <w:t xml:space="preserve"> </w:t>
      </w:r>
      <w:r>
        <w:t>payment.</w:t>
      </w:r>
    </w:p>
    <w:p w:rsidR="00081EFC" w:rsidP="00081EFC" w:rsidRDefault="00081EFC" w14:paraId="4B08E2BE" w14:textId="77777777">
      <w:pPr>
        <w:pStyle w:val="BodyText"/>
        <w:spacing w:before="10"/>
        <w:rPr>
          <w:sz w:val="25"/>
        </w:rPr>
      </w:pPr>
    </w:p>
    <w:p w:rsidRPr="00A06DE1" w:rsidR="00081EFC" w:rsidP="00081EFC" w:rsidRDefault="00081EFC" w14:paraId="2EEF62F9" w14:textId="77777777">
      <w:pPr>
        <w:pStyle w:val="BodyText"/>
        <w:spacing w:before="10"/>
        <w:rPr>
          <w:sz w:val="25"/>
        </w:rPr>
      </w:pPr>
      <w:r>
        <w:t>Payments are based on submitted receipts, invoices and other supporting</w:t>
      </w:r>
      <w:r w:rsidRPr="00A06DE1">
        <w:rPr>
          <w:spacing w:val="1"/>
        </w:rPr>
        <w:t xml:space="preserve"> </w:t>
      </w:r>
      <w:r>
        <w:t>documentation</w:t>
      </w:r>
      <w:r w:rsidRPr="00A06DE1">
        <w:rPr>
          <w:spacing w:val="-4"/>
        </w:rPr>
        <w:t xml:space="preserve"> </w:t>
      </w:r>
      <w:r>
        <w:t>showing</w:t>
      </w:r>
      <w:r w:rsidRPr="00A06DE1">
        <w:rPr>
          <w:spacing w:val="-4"/>
        </w:rPr>
        <w:t xml:space="preserve"> </w:t>
      </w:r>
      <w:r>
        <w:t>expenditures</w:t>
      </w:r>
      <w:r w:rsidRPr="00A06DE1">
        <w:rPr>
          <w:spacing w:val="-3"/>
        </w:rPr>
        <w:t xml:space="preserve"> </w:t>
      </w:r>
      <w:r>
        <w:t>incurred</w:t>
      </w:r>
      <w:r w:rsidRPr="00A06DE1">
        <w:rPr>
          <w:spacing w:val="-3"/>
        </w:rPr>
        <w:t xml:space="preserve"> </w:t>
      </w:r>
      <w:r>
        <w:t>and</w:t>
      </w:r>
      <w:r w:rsidRPr="00A06DE1">
        <w:rPr>
          <w:spacing w:val="-4"/>
        </w:rPr>
        <w:t xml:space="preserve"> </w:t>
      </w:r>
      <w:r>
        <w:t>work</w:t>
      </w:r>
      <w:r w:rsidRPr="00A06DE1">
        <w:rPr>
          <w:spacing w:val="-4"/>
        </w:rPr>
        <w:t xml:space="preserve"> </w:t>
      </w:r>
      <w:r>
        <w:t>done</w:t>
      </w:r>
      <w:r w:rsidRPr="00A06DE1">
        <w:rPr>
          <w:spacing w:val="-3"/>
        </w:rPr>
        <w:t xml:space="preserve"> </w:t>
      </w:r>
      <w:r>
        <w:t>on</w:t>
      </w:r>
      <w:r w:rsidRPr="00A06DE1">
        <w:rPr>
          <w:spacing w:val="-3"/>
        </w:rPr>
        <w:t xml:space="preserve"> </w:t>
      </w:r>
      <w:r>
        <w:t>the</w:t>
      </w:r>
      <w:r w:rsidRPr="00A06DE1">
        <w:rPr>
          <w:spacing w:val="-4"/>
        </w:rPr>
        <w:t xml:space="preserve"> </w:t>
      </w:r>
      <w:r>
        <w:t>project</w:t>
      </w:r>
      <w:r w:rsidRPr="00A06DE1">
        <w:rPr>
          <w:spacing w:val="-1"/>
        </w:rPr>
        <w:t xml:space="preserve"> </w:t>
      </w:r>
      <w:r>
        <w:t>in</w:t>
      </w:r>
      <w:r w:rsidRPr="00A06DE1">
        <w:rPr>
          <w:spacing w:val="-62"/>
        </w:rPr>
        <w:t xml:space="preserve"> </w:t>
      </w:r>
      <w:r>
        <w:t>accordance with the approved CASF funding budget included in the grantee’s</w:t>
      </w:r>
      <w:r w:rsidRPr="00A06DE1">
        <w:rPr>
          <w:spacing w:val="1"/>
        </w:rPr>
        <w:t xml:space="preserve"> </w:t>
      </w:r>
      <w:r>
        <w:t>application.</w:t>
      </w:r>
    </w:p>
    <w:p w:rsidR="00081EFC" w:rsidP="00081EFC" w:rsidRDefault="00081EFC" w14:paraId="30B4BD07" w14:textId="77777777">
      <w:pPr>
        <w:pStyle w:val="BodyText"/>
        <w:spacing w:before="2"/>
      </w:pPr>
    </w:p>
    <w:p w:rsidR="00081EFC" w:rsidP="00081EFC" w:rsidRDefault="00081EFC" w14:paraId="20C495D4" w14:textId="77777777">
      <w:pPr>
        <w:pStyle w:val="BodyText"/>
        <w:spacing w:before="2"/>
      </w:pPr>
      <w:r>
        <w:t>Payment</w:t>
      </w:r>
      <w:r w:rsidRPr="00A06DE1">
        <w:rPr>
          <w:spacing w:val="-4"/>
        </w:rPr>
        <w:t xml:space="preserve"> </w:t>
      </w:r>
      <w:r>
        <w:t>in</w:t>
      </w:r>
      <w:r w:rsidRPr="00A06DE1">
        <w:rPr>
          <w:spacing w:val="-1"/>
        </w:rPr>
        <w:t xml:space="preserve"> </w:t>
      </w:r>
      <w:r>
        <w:t>full</w:t>
      </w:r>
      <w:r w:rsidRPr="00A06DE1">
        <w:rPr>
          <w:spacing w:val="-4"/>
        </w:rPr>
        <w:t xml:space="preserve"> </w:t>
      </w:r>
      <w:r>
        <w:t>can</w:t>
      </w:r>
      <w:r w:rsidRPr="00A06DE1">
        <w:rPr>
          <w:spacing w:val="-1"/>
        </w:rPr>
        <w:t xml:space="preserve"> </w:t>
      </w:r>
      <w:r>
        <w:t>be</w:t>
      </w:r>
      <w:r w:rsidRPr="00A06DE1">
        <w:rPr>
          <w:spacing w:val="-3"/>
        </w:rPr>
        <w:t xml:space="preserve"> </w:t>
      </w:r>
      <w:r>
        <w:t>made</w:t>
      </w:r>
      <w:r w:rsidRPr="00A06DE1">
        <w:rPr>
          <w:spacing w:val="-3"/>
        </w:rPr>
        <w:t xml:space="preserve"> </w:t>
      </w:r>
      <w:r>
        <w:t>for</w:t>
      </w:r>
      <w:r w:rsidRPr="00A06DE1">
        <w:rPr>
          <w:spacing w:val="-3"/>
        </w:rPr>
        <w:t xml:space="preserve"> </w:t>
      </w:r>
      <w:r>
        <w:t>the</w:t>
      </w:r>
      <w:r w:rsidRPr="00A06DE1">
        <w:rPr>
          <w:spacing w:val="-3"/>
        </w:rPr>
        <w:t xml:space="preserve"> </w:t>
      </w:r>
      <w:r>
        <w:t>entire</w:t>
      </w:r>
      <w:r w:rsidRPr="00A06DE1">
        <w:rPr>
          <w:spacing w:val="-1"/>
        </w:rPr>
        <w:t xml:space="preserve"> </w:t>
      </w:r>
      <w:r>
        <w:t>project</w:t>
      </w:r>
      <w:r w:rsidRPr="00A06DE1">
        <w:rPr>
          <w:spacing w:val="-4"/>
        </w:rPr>
        <w:t xml:space="preserve"> </w:t>
      </w:r>
      <w:r>
        <w:t>upon</w:t>
      </w:r>
      <w:r w:rsidRPr="00A06DE1">
        <w:rPr>
          <w:spacing w:val="-1"/>
        </w:rPr>
        <w:t xml:space="preserve"> </w:t>
      </w:r>
      <w:r>
        <w:t>review</w:t>
      </w:r>
      <w:r w:rsidRPr="00A06DE1">
        <w:rPr>
          <w:spacing w:val="-2"/>
        </w:rPr>
        <w:t xml:space="preserve"> </w:t>
      </w:r>
      <w:r>
        <w:t>of</w:t>
      </w:r>
      <w:r w:rsidRPr="00A06DE1">
        <w:rPr>
          <w:spacing w:val="-4"/>
        </w:rPr>
        <w:t xml:space="preserve"> </w:t>
      </w:r>
      <w:r>
        <w:t>the</w:t>
      </w:r>
      <w:r w:rsidRPr="00A06DE1">
        <w:rPr>
          <w:spacing w:val="3"/>
        </w:rPr>
        <w:t xml:space="preserve"> </w:t>
      </w:r>
      <w:r>
        <w:t>submitted</w:t>
      </w:r>
      <w:r w:rsidRPr="00A06DE1">
        <w:rPr>
          <w:spacing w:val="-62"/>
        </w:rPr>
        <w:t xml:space="preserve"> </w:t>
      </w:r>
      <w:r>
        <w:lastRenderedPageBreak/>
        <w:t>project completion report and supporting documentation and after staff</w:t>
      </w:r>
      <w:r w:rsidRPr="00A06DE1">
        <w:rPr>
          <w:spacing w:val="1"/>
        </w:rPr>
        <w:t xml:space="preserve"> </w:t>
      </w:r>
      <w:r>
        <w:t>approvals.</w:t>
      </w:r>
    </w:p>
    <w:p w:rsidR="00081EFC" w:rsidP="00081EFC" w:rsidRDefault="00081EFC" w14:paraId="30B4A927" w14:textId="77777777">
      <w:pPr>
        <w:pStyle w:val="BodyText"/>
        <w:spacing w:before="11"/>
        <w:rPr>
          <w:sz w:val="25"/>
        </w:rPr>
      </w:pPr>
    </w:p>
    <w:p w:rsidRPr="00A06DE1" w:rsidR="00081EFC" w:rsidP="00081EFC" w:rsidRDefault="00081EFC" w14:paraId="1DCA0D6B" w14:textId="77777777">
      <w:pPr>
        <w:pStyle w:val="BodyText"/>
        <w:spacing w:before="11"/>
        <w:rPr>
          <w:sz w:val="25"/>
        </w:rPr>
      </w:pPr>
      <w:r>
        <w:t>The</w:t>
      </w:r>
      <w:r w:rsidRPr="00A06DE1">
        <w:rPr>
          <w:spacing w:val="-3"/>
        </w:rPr>
        <w:t xml:space="preserve"> </w:t>
      </w:r>
      <w:r>
        <w:t>payments</w:t>
      </w:r>
      <w:r w:rsidRPr="00A06DE1">
        <w:rPr>
          <w:spacing w:val="-3"/>
        </w:rPr>
        <w:t xml:space="preserve"> </w:t>
      </w:r>
      <w:r>
        <w:t>will</w:t>
      </w:r>
      <w:r w:rsidRPr="00A06DE1">
        <w:rPr>
          <w:spacing w:val="-4"/>
        </w:rPr>
        <w:t xml:space="preserve"> </w:t>
      </w:r>
      <w:r>
        <w:t>be</w:t>
      </w:r>
      <w:r w:rsidRPr="00A06DE1">
        <w:rPr>
          <w:spacing w:val="-3"/>
        </w:rPr>
        <w:t xml:space="preserve"> </w:t>
      </w:r>
      <w:r>
        <w:t>made</w:t>
      </w:r>
      <w:r w:rsidRPr="00A06DE1">
        <w:rPr>
          <w:spacing w:val="-3"/>
        </w:rPr>
        <w:t xml:space="preserve"> </w:t>
      </w:r>
      <w:r>
        <w:t>in</w:t>
      </w:r>
      <w:r w:rsidRPr="00A06DE1">
        <w:rPr>
          <w:spacing w:val="-3"/>
        </w:rPr>
        <w:t xml:space="preserve"> </w:t>
      </w:r>
      <w:r>
        <w:t>accordance</w:t>
      </w:r>
      <w:r w:rsidRPr="00A06DE1">
        <w:rPr>
          <w:spacing w:val="-3"/>
        </w:rPr>
        <w:t xml:space="preserve"> </w:t>
      </w:r>
      <w:r>
        <w:t>with, and</w:t>
      </w:r>
      <w:r w:rsidRPr="00A06DE1">
        <w:rPr>
          <w:spacing w:val="-3"/>
        </w:rPr>
        <w:t xml:space="preserve"> </w:t>
      </w:r>
      <w:r>
        <w:t>within</w:t>
      </w:r>
      <w:r w:rsidRPr="00A06DE1">
        <w:rPr>
          <w:spacing w:val="-3"/>
        </w:rPr>
        <w:t xml:space="preserve"> </w:t>
      </w:r>
      <w:r>
        <w:t>the</w:t>
      </w:r>
      <w:r w:rsidRPr="00A06DE1">
        <w:rPr>
          <w:spacing w:val="-2"/>
        </w:rPr>
        <w:t xml:space="preserve"> </w:t>
      </w:r>
      <w:r>
        <w:t>time</w:t>
      </w:r>
      <w:r w:rsidRPr="00A06DE1">
        <w:rPr>
          <w:spacing w:val="-3"/>
        </w:rPr>
        <w:t xml:space="preserve"> </w:t>
      </w:r>
      <w:r>
        <w:t>specified</w:t>
      </w:r>
      <w:r w:rsidRPr="00A06DE1">
        <w:rPr>
          <w:spacing w:val="-3"/>
        </w:rPr>
        <w:t xml:space="preserve"> </w:t>
      </w:r>
      <w:r>
        <w:t>in</w:t>
      </w:r>
      <w:r w:rsidRPr="00A06DE1">
        <w:rPr>
          <w:spacing w:val="-62"/>
        </w:rPr>
        <w:t xml:space="preserve"> </w:t>
      </w:r>
      <w:r>
        <w:t>California Government</w:t>
      </w:r>
      <w:r w:rsidRPr="00A06DE1">
        <w:rPr>
          <w:spacing w:val="-1"/>
        </w:rPr>
        <w:t xml:space="preserve"> </w:t>
      </w:r>
      <w:r>
        <w:t>Code</w:t>
      </w:r>
      <w:r w:rsidRPr="00A06DE1">
        <w:rPr>
          <w:spacing w:val="-1"/>
        </w:rPr>
        <w:t xml:space="preserve"> </w:t>
      </w:r>
      <w:r>
        <w:t>§</w:t>
      </w:r>
      <w:r w:rsidRPr="00A06DE1">
        <w:rPr>
          <w:spacing w:val="-1"/>
        </w:rPr>
        <w:t xml:space="preserve"> </w:t>
      </w:r>
      <w:r>
        <w:t>927</w:t>
      </w:r>
      <w:r w:rsidRPr="00A06DE1">
        <w:rPr>
          <w:spacing w:val="-1"/>
        </w:rPr>
        <w:t xml:space="preserve"> </w:t>
      </w:r>
      <w:r>
        <w:t>et</w:t>
      </w:r>
      <w:r w:rsidRPr="00A06DE1">
        <w:rPr>
          <w:spacing w:val="-2"/>
        </w:rPr>
        <w:t xml:space="preserve"> </w:t>
      </w:r>
      <w:r>
        <w:t>seq.</w:t>
      </w:r>
    </w:p>
    <w:p w:rsidR="00081EFC" w:rsidP="00081EFC" w:rsidRDefault="00081EFC" w14:paraId="6B7189F3" w14:textId="77777777">
      <w:pPr>
        <w:pStyle w:val="BodyText"/>
        <w:spacing w:before="1"/>
      </w:pPr>
    </w:p>
    <w:p w:rsidR="00081EFC" w:rsidP="00081EFC" w:rsidRDefault="00081EFC" w14:paraId="7DC62570" w14:textId="77777777">
      <w:pPr>
        <w:pStyle w:val="BodyText"/>
        <w:spacing w:before="1"/>
      </w:pPr>
      <w:r>
        <w:t>Grantees are required to maintain records such as files, invoices, and other</w:t>
      </w:r>
      <w:r w:rsidRPr="00A06DE1">
        <w:rPr>
          <w:spacing w:val="1"/>
        </w:rPr>
        <w:t xml:space="preserve"> </w:t>
      </w:r>
      <w:r>
        <w:t>related documentation for three years after final payment.</w:t>
      </w:r>
      <w:r w:rsidRPr="00A06DE1">
        <w:rPr>
          <w:spacing w:val="1"/>
        </w:rPr>
        <w:t xml:space="preserve"> </w:t>
      </w:r>
      <w:r>
        <w:t>Grantee shall make</w:t>
      </w:r>
      <w:r w:rsidRPr="00A06DE1">
        <w:rPr>
          <w:spacing w:val="1"/>
        </w:rPr>
        <w:t xml:space="preserve"> </w:t>
      </w:r>
      <w:r>
        <w:t>these</w:t>
      </w:r>
      <w:r w:rsidRPr="00A06DE1">
        <w:rPr>
          <w:spacing w:val="-4"/>
        </w:rPr>
        <w:t xml:space="preserve"> </w:t>
      </w:r>
      <w:r>
        <w:t>records</w:t>
      </w:r>
      <w:r w:rsidRPr="00A06DE1">
        <w:rPr>
          <w:spacing w:val="-2"/>
        </w:rPr>
        <w:t xml:space="preserve"> </w:t>
      </w:r>
      <w:r>
        <w:t>and</w:t>
      </w:r>
      <w:r w:rsidRPr="00A06DE1">
        <w:rPr>
          <w:spacing w:val="-3"/>
        </w:rPr>
        <w:t xml:space="preserve"> </w:t>
      </w:r>
      <w:r>
        <w:t>invoices</w:t>
      </w:r>
      <w:r w:rsidRPr="00A06DE1">
        <w:rPr>
          <w:spacing w:val="-1"/>
        </w:rPr>
        <w:t xml:space="preserve"> </w:t>
      </w:r>
      <w:r>
        <w:t>available</w:t>
      </w:r>
      <w:r w:rsidRPr="00A06DE1">
        <w:rPr>
          <w:spacing w:val="-4"/>
        </w:rPr>
        <w:t xml:space="preserve"> </w:t>
      </w:r>
      <w:r>
        <w:t>to</w:t>
      </w:r>
      <w:r w:rsidRPr="00A06DE1">
        <w:rPr>
          <w:spacing w:val="-3"/>
        </w:rPr>
        <w:t xml:space="preserve"> </w:t>
      </w:r>
      <w:r>
        <w:t>the</w:t>
      </w:r>
      <w:r w:rsidRPr="00A06DE1">
        <w:rPr>
          <w:spacing w:val="-4"/>
        </w:rPr>
        <w:t xml:space="preserve"> </w:t>
      </w:r>
      <w:r>
        <w:t>Commission</w:t>
      </w:r>
      <w:r w:rsidRPr="00A06DE1">
        <w:rPr>
          <w:spacing w:val="-1"/>
        </w:rPr>
        <w:t xml:space="preserve"> </w:t>
      </w:r>
      <w:r>
        <w:t>upon request</w:t>
      </w:r>
      <w:r w:rsidRPr="00A06DE1">
        <w:rPr>
          <w:spacing w:val="-4"/>
        </w:rPr>
        <w:t xml:space="preserve"> </w:t>
      </w:r>
      <w:r>
        <w:t>and</w:t>
      </w:r>
      <w:r w:rsidRPr="00A06DE1">
        <w:rPr>
          <w:spacing w:val="-4"/>
        </w:rPr>
        <w:t xml:space="preserve"> </w:t>
      </w:r>
      <w:r>
        <w:t>agrees</w:t>
      </w:r>
      <w:r w:rsidRPr="00A06DE1">
        <w:rPr>
          <w:spacing w:val="-62"/>
        </w:rPr>
        <w:t xml:space="preserve"> </w:t>
      </w:r>
      <w:r>
        <w:t>that these records are subject to a financial audit by the Commission at any time</w:t>
      </w:r>
      <w:r w:rsidRPr="00A06DE1">
        <w:rPr>
          <w:spacing w:val="1"/>
        </w:rPr>
        <w:t xml:space="preserve"> </w:t>
      </w:r>
      <w:r>
        <w:t>within</w:t>
      </w:r>
      <w:r w:rsidRPr="00A06DE1">
        <w:rPr>
          <w:spacing w:val="-2"/>
        </w:rPr>
        <w:t xml:space="preserve"> </w:t>
      </w:r>
      <w:r>
        <w:t>three</w:t>
      </w:r>
      <w:r w:rsidRPr="00A06DE1">
        <w:rPr>
          <w:spacing w:val="-1"/>
        </w:rPr>
        <w:t xml:space="preserve"> </w:t>
      </w:r>
      <w:r>
        <w:t>years</w:t>
      </w:r>
      <w:r w:rsidRPr="00A06DE1">
        <w:rPr>
          <w:spacing w:val="-2"/>
        </w:rPr>
        <w:t xml:space="preserve"> </w:t>
      </w:r>
      <w:r>
        <w:t>after the</w:t>
      </w:r>
      <w:r w:rsidRPr="00A06DE1">
        <w:rPr>
          <w:spacing w:val="2"/>
        </w:rPr>
        <w:t xml:space="preserve"> </w:t>
      </w:r>
      <w:r>
        <w:t>final</w:t>
      </w:r>
      <w:r w:rsidRPr="00A06DE1">
        <w:rPr>
          <w:spacing w:val="-3"/>
        </w:rPr>
        <w:t xml:space="preserve"> </w:t>
      </w:r>
      <w:r>
        <w:t>payment made</w:t>
      </w:r>
      <w:r w:rsidRPr="00A06DE1">
        <w:rPr>
          <w:spacing w:val="-2"/>
        </w:rPr>
        <w:t xml:space="preserve"> </w:t>
      </w:r>
      <w:r>
        <w:t>to</w:t>
      </w:r>
      <w:r w:rsidRPr="00A06DE1">
        <w:rPr>
          <w:spacing w:val="2"/>
        </w:rPr>
        <w:t xml:space="preserve"> </w:t>
      </w:r>
      <w:r>
        <w:t>the</w:t>
      </w:r>
      <w:r w:rsidRPr="00A06DE1">
        <w:rPr>
          <w:spacing w:val="3"/>
        </w:rPr>
        <w:t xml:space="preserve"> </w:t>
      </w:r>
      <w:r>
        <w:t>Grantee.</w:t>
      </w:r>
    </w:p>
    <w:p w:rsidR="00081EFC" w:rsidP="00081EFC" w:rsidRDefault="00081EFC" w14:paraId="359724C3" w14:textId="77777777">
      <w:pPr>
        <w:pStyle w:val="BodyText"/>
        <w:spacing w:before="1"/>
      </w:pPr>
    </w:p>
    <w:p w:rsidR="00081EFC" w:rsidP="00081EFC" w:rsidRDefault="00081EFC" w14:paraId="026A160D" w14:textId="77777777">
      <w:pPr>
        <w:pStyle w:val="BodyText"/>
        <w:spacing w:before="90"/>
        <w:ind w:right="99"/>
      </w:pPr>
      <w:r>
        <w:t>The Commission has the right to conduct any necessary audit, quality check,</w:t>
      </w:r>
      <w:r>
        <w:rPr>
          <w:spacing w:val="1"/>
        </w:rPr>
        <w:t xml:space="preserve"> </w:t>
      </w:r>
      <w:r>
        <w:t>verification, and discovery during project implementation and post-project</w:t>
      </w:r>
      <w:r>
        <w:rPr>
          <w:spacing w:val="1"/>
        </w:rPr>
        <w:t xml:space="preserve"> </w:t>
      </w:r>
      <w:r>
        <w:t>completion to ensure that CASF funds are spent in accordance with the terms of</w:t>
      </w:r>
      <w:r>
        <w:rPr>
          <w:spacing w:val="1"/>
        </w:rPr>
        <w:t xml:space="preserve"> </w:t>
      </w:r>
      <w:r>
        <w:t>approval granted by the Commission.</w:t>
      </w:r>
      <w:r>
        <w:rPr>
          <w:spacing w:val="1"/>
        </w:rPr>
        <w:t xml:space="preserve"> </w:t>
      </w:r>
      <w:r>
        <w:t>Invoices submitted will be subject to</w:t>
      </w:r>
      <w:r>
        <w:rPr>
          <w:spacing w:val="1"/>
        </w:rPr>
        <w:t xml:space="preserve"> </w:t>
      </w:r>
      <w:r>
        <w:t>financial</w:t>
      </w:r>
      <w:r>
        <w:rPr>
          <w:spacing w:val="-5"/>
        </w:rPr>
        <w:t xml:space="preserve"> </w:t>
      </w:r>
      <w:r>
        <w:t>audit</w:t>
      </w:r>
      <w:r>
        <w:rPr>
          <w:spacing w:val="-4"/>
        </w:rPr>
        <w:t xml:space="preserve"> </w:t>
      </w:r>
      <w:r>
        <w:t>by</w:t>
      </w:r>
      <w:r>
        <w:rPr>
          <w:spacing w:val="-2"/>
        </w:rPr>
        <w:t xml:space="preserve"> </w:t>
      </w:r>
      <w:r>
        <w:t>the Commission</w:t>
      </w:r>
      <w:r>
        <w:rPr>
          <w:spacing w:val="-1"/>
        </w:rPr>
        <w:t xml:space="preserve"> </w:t>
      </w:r>
      <w:r>
        <w:t>at</w:t>
      </w:r>
      <w:r>
        <w:rPr>
          <w:spacing w:val="-4"/>
        </w:rPr>
        <w:t xml:space="preserve"> </w:t>
      </w:r>
      <w:r>
        <w:t>any</w:t>
      </w:r>
      <w:r>
        <w:rPr>
          <w:spacing w:val="-4"/>
        </w:rPr>
        <w:t xml:space="preserve"> </w:t>
      </w:r>
      <w:r>
        <w:t>time within</w:t>
      </w:r>
      <w:r>
        <w:rPr>
          <w:spacing w:val="-4"/>
        </w:rPr>
        <w:t xml:space="preserve"> </w:t>
      </w:r>
      <w:r>
        <w:t>5</w:t>
      </w:r>
      <w:r>
        <w:rPr>
          <w:spacing w:val="-1"/>
        </w:rPr>
        <w:t xml:space="preserve"> </w:t>
      </w:r>
      <w:r>
        <w:t>years</w:t>
      </w:r>
      <w:r>
        <w:rPr>
          <w:spacing w:val="-4"/>
        </w:rPr>
        <w:t xml:space="preserve"> </w:t>
      </w:r>
      <w:r>
        <w:t>of the</w:t>
      </w:r>
      <w:r>
        <w:rPr>
          <w:spacing w:val="-4"/>
        </w:rPr>
        <w:t xml:space="preserve"> </w:t>
      </w:r>
      <w:r>
        <w:t>release</w:t>
      </w:r>
      <w:r>
        <w:rPr>
          <w:spacing w:val="-3"/>
        </w:rPr>
        <w:t xml:space="preserve"> </w:t>
      </w:r>
      <w:r>
        <w:t>of</w:t>
      </w:r>
      <w:r>
        <w:rPr>
          <w:spacing w:val="-4"/>
        </w:rPr>
        <w:t xml:space="preserve"> </w:t>
      </w:r>
      <w:r>
        <w:t>the</w:t>
      </w:r>
      <w:r>
        <w:rPr>
          <w:spacing w:val="-62"/>
        </w:rPr>
        <w:t xml:space="preserve"> </w:t>
      </w:r>
      <w:r>
        <w:t>final payment.</w:t>
      </w:r>
    </w:p>
    <w:p w:rsidR="00081EFC" w:rsidP="00081EFC" w:rsidRDefault="00081EFC" w14:paraId="3ADC8F98" w14:textId="77777777">
      <w:pPr>
        <w:pStyle w:val="BodyText"/>
        <w:spacing w:before="12"/>
        <w:rPr>
          <w:sz w:val="25"/>
        </w:rPr>
      </w:pPr>
    </w:p>
    <w:p w:rsidR="00081EFC" w:rsidP="00081EFC" w:rsidRDefault="00081EFC" w14:paraId="3A7D8DC4" w14:textId="77777777">
      <w:pPr>
        <w:pStyle w:val="BodyText"/>
        <w:ind w:right="346"/>
      </w:pPr>
      <w:r>
        <w:t>If</w:t>
      </w:r>
      <w:r>
        <w:rPr>
          <w:spacing w:val="-4"/>
        </w:rPr>
        <w:t xml:space="preserve"> </w:t>
      </w:r>
      <w:r>
        <w:t>any</w:t>
      </w:r>
      <w:r>
        <w:rPr>
          <w:spacing w:val="-3"/>
        </w:rPr>
        <w:t xml:space="preserve"> </w:t>
      </w:r>
      <w:r>
        <w:t>portion</w:t>
      </w:r>
      <w:r>
        <w:rPr>
          <w:spacing w:val="-1"/>
        </w:rPr>
        <w:t xml:space="preserve"> </w:t>
      </w:r>
      <w:r>
        <w:t>of</w:t>
      </w:r>
      <w:r>
        <w:rPr>
          <w:spacing w:val="-3"/>
        </w:rPr>
        <w:t xml:space="preserve"> </w:t>
      </w:r>
      <w:r>
        <w:t>reimbursement</w:t>
      </w:r>
      <w:r>
        <w:rPr>
          <w:spacing w:val="-1"/>
        </w:rPr>
        <w:t xml:space="preserve"> </w:t>
      </w:r>
      <w:r>
        <w:t>is</w:t>
      </w:r>
      <w:r>
        <w:rPr>
          <w:spacing w:val="-4"/>
        </w:rPr>
        <w:t xml:space="preserve"> </w:t>
      </w:r>
      <w:r>
        <w:t>found</w:t>
      </w:r>
      <w:r>
        <w:rPr>
          <w:spacing w:val="-3"/>
        </w:rPr>
        <w:t xml:space="preserve"> </w:t>
      </w:r>
      <w:r>
        <w:t>to</w:t>
      </w:r>
      <w:r>
        <w:rPr>
          <w:spacing w:val="-4"/>
        </w:rPr>
        <w:t xml:space="preserve"> </w:t>
      </w:r>
      <w:r>
        <w:t>be</w:t>
      </w:r>
      <w:r>
        <w:rPr>
          <w:spacing w:val="-2"/>
        </w:rPr>
        <w:t xml:space="preserve"> </w:t>
      </w:r>
      <w:r>
        <w:t>out</w:t>
      </w:r>
      <w:r>
        <w:rPr>
          <w:spacing w:val="-3"/>
        </w:rPr>
        <w:t xml:space="preserve"> </w:t>
      </w:r>
      <w:r>
        <w:t>of</w:t>
      </w:r>
      <w:r>
        <w:rPr>
          <w:spacing w:val="-4"/>
        </w:rPr>
        <w:t xml:space="preserve"> </w:t>
      </w:r>
      <w:r>
        <w:t>compliance,</w:t>
      </w:r>
      <w:r>
        <w:rPr>
          <w:spacing w:val="-3"/>
        </w:rPr>
        <w:t xml:space="preserve"> </w:t>
      </w:r>
      <w:r>
        <w:t>grantees</w:t>
      </w:r>
      <w:r>
        <w:rPr>
          <w:spacing w:val="-3"/>
        </w:rPr>
        <w:t xml:space="preserve"> </w:t>
      </w:r>
      <w:r>
        <w:t>will</w:t>
      </w:r>
      <w:r>
        <w:rPr>
          <w:spacing w:val="-62"/>
        </w:rPr>
        <w:t xml:space="preserve"> </w:t>
      </w:r>
      <w:r>
        <w:t>be responsible for refunding any disallowed amount along with appropriate</w:t>
      </w:r>
      <w:r>
        <w:rPr>
          <w:spacing w:val="1"/>
        </w:rPr>
        <w:t xml:space="preserve"> </w:t>
      </w:r>
      <w:r>
        <w:t>interest</w:t>
      </w:r>
      <w:r>
        <w:rPr>
          <w:spacing w:val="-4"/>
        </w:rPr>
        <w:t xml:space="preserve"> </w:t>
      </w:r>
      <w:r>
        <w:t>rates</w:t>
      </w:r>
      <w:r>
        <w:rPr>
          <w:spacing w:val="-3"/>
        </w:rPr>
        <w:t xml:space="preserve"> </w:t>
      </w:r>
      <w:r>
        <w:t>determined</w:t>
      </w:r>
      <w:r>
        <w:rPr>
          <w:spacing w:val="-4"/>
        </w:rPr>
        <w:t xml:space="preserve"> </w:t>
      </w:r>
      <w:r>
        <w:t>in</w:t>
      </w:r>
      <w:r>
        <w:rPr>
          <w:spacing w:val="-4"/>
        </w:rPr>
        <w:t xml:space="preserve"> </w:t>
      </w:r>
      <w:r>
        <w:t>accordance</w:t>
      </w:r>
      <w:r>
        <w:rPr>
          <w:spacing w:val="-3"/>
        </w:rPr>
        <w:t xml:space="preserve"> </w:t>
      </w:r>
      <w:r>
        <w:t>with</w:t>
      </w:r>
      <w:r>
        <w:rPr>
          <w:spacing w:val="-4"/>
        </w:rPr>
        <w:t xml:space="preserve"> </w:t>
      </w:r>
      <w:r>
        <w:t>applicable</w:t>
      </w:r>
      <w:r>
        <w:rPr>
          <w:spacing w:val="-3"/>
        </w:rPr>
        <w:t xml:space="preserve"> </w:t>
      </w:r>
      <w:r>
        <w:t>Commission</w:t>
      </w:r>
      <w:r>
        <w:rPr>
          <w:spacing w:val="-4"/>
        </w:rPr>
        <w:t xml:space="preserve"> </w:t>
      </w:r>
      <w:r>
        <w:t>decisions.</w:t>
      </w:r>
    </w:p>
    <w:p w:rsidR="00081EFC" w:rsidP="00081EFC" w:rsidRDefault="00081EFC" w14:paraId="7DB476FC" w14:textId="77777777">
      <w:pPr>
        <w:pStyle w:val="BodyText"/>
        <w:spacing w:before="1"/>
      </w:pPr>
    </w:p>
    <w:p w:rsidRPr="00676C3A" w:rsidR="00081EFC" w:rsidP="00676C3A" w:rsidRDefault="00081EFC" w14:paraId="0F459923" w14:textId="77777777">
      <w:pPr>
        <w:pStyle w:val="ListParagraph"/>
        <w:numPr>
          <w:ilvl w:val="0"/>
          <w:numId w:val="10"/>
        </w:numPr>
        <w:tabs>
          <w:tab w:val="left" w:pos="560"/>
        </w:tabs>
        <w:ind w:hanging="361"/>
        <w:rPr>
          <w:b/>
          <w:sz w:val="26"/>
        </w:rPr>
      </w:pPr>
      <w:r w:rsidRPr="00676C3A">
        <w:rPr>
          <w:b/>
          <w:sz w:val="26"/>
        </w:rPr>
        <w:t>Execution and Performance</w:t>
      </w:r>
    </w:p>
    <w:p w:rsidRPr="00461233" w:rsidR="00081EFC" w:rsidP="00081EFC" w:rsidRDefault="00081EFC" w14:paraId="7C10834A" w14:textId="77777777">
      <w:pPr>
        <w:pStyle w:val="BodyText"/>
        <w:spacing w:before="121"/>
        <w:ind w:right="164"/>
      </w:pPr>
      <w:r w:rsidRPr="00461233">
        <w:t>The BPHA project grantee shall start the project within 30 days upon</w:t>
      </w:r>
      <w:r w:rsidRPr="00461233">
        <w:rPr>
          <w:spacing w:val="1"/>
        </w:rPr>
        <w:t xml:space="preserve"> </w:t>
      </w:r>
      <w:r w:rsidRPr="00461233">
        <w:t>grant approval and complete the project execution within a 12-month timeframe.</w:t>
      </w:r>
      <w:r w:rsidRPr="00461233">
        <w:rPr>
          <w:spacing w:val="-63"/>
        </w:rPr>
        <w:t xml:space="preserve"> </w:t>
      </w:r>
      <w:r w:rsidRPr="00461233">
        <w:t>Should the grantee or Contractor fail to commence work within 30 days of grant</w:t>
      </w:r>
      <w:r w:rsidRPr="00461233">
        <w:rPr>
          <w:spacing w:val="1"/>
        </w:rPr>
        <w:t xml:space="preserve"> </w:t>
      </w:r>
      <w:r w:rsidRPr="00461233">
        <w:t>approval,</w:t>
      </w:r>
      <w:r w:rsidRPr="00461233">
        <w:rPr>
          <w:spacing w:val="-2"/>
        </w:rPr>
        <w:t xml:space="preserve"> </w:t>
      </w:r>
      <w:r w:rsidRPr="00461233">
        <w:t>the</w:t>
      </w:r>
      <w:r w:rsidRPr="00461233">
        <w:rPr>
          <w:spacing w:val="-3"/>
        </w:rPr>
        <w:t xml:space="preserve"> </w:t>
      </w:r>
      <w:r w:rsidRPr="00461233">
        <w:t>Commission</w:t>
      </w:r>
      <w:r w:rsidRPr="00461233">
        <w:rPr>
          <w:spacing w:val="-3"/>
        </w:rPr>
        <w:t xml:space="preserve"> </w:t>
      </w:r>
      <w:r w:rsidRPr="00461233">
        <w:t>or</w:t>
      </w:r>
      <w:r w:rsidRPr="00461233">
        <w:rPr>
          <w:spacing w:val="-3"/>
        </w:rPr>
        <w:t xml:space="preserve"> </w:t>
      </w:r>
      <w:r w:rsidRPr="00461233">
        <w:t>Director</w:t>
      </w:r>
      <w:r w:rsidRPr="00461233">
        <w:rPr>
          <w:spacing w:val="-2"/>
        </w:rPr>
        <w:t xml:space="preserve"> </w:t>
      </w:r>
      <w:r w:rsidRPr="00461233">
        <w:t>of Communications</w:t>
      </w:r>
      <w:r w:rsidRPr="00461233">
        <w:rPr>
          <w:spacing w:val="-3"/>
        </w:rPr>
        <w:t xml:space="preserve"> </w:t>
      </w:r>
      <w:r w:rsidRPr="00461233">
        <w:t>Division,</w:t>
      </w:r>
      <w:r w:rsidRPr="00461233">
        <w:rPr>
          <w:spacing w:val="-1"/>
        </w:rPr>
        <w:t xml:space="preserve"> </w:t>
      </w:r>
      <w:r w:rsidRPr="00461233">
        <w:t>upon</w:t>
      </w:r>
      <w:r w:rsidRPr="00461233">
        <w:rPr>
          <w:spacing w:val="-3"/>
        </w:rPr>
        <w:t xml:space="preserve"> </w:t>
      </w:r>
      <w:r w:rsidRPr="00461233">
        <w:t>five (5) days written notice to the CASF recipient, reserves the right to terminate the</w:t>
      </w:r>
      <w:r w:rsidRPr="00461233">
        <w:rPr>
          <w:spacing w:val="1"/>
        </w:rPr>
        <w:t xml:space="preserve"> </w:t>
      </w:r>
      <w:r w:rsidRPr="00461233">
        <w:t>award.</w:t>
      </w:r>
      <w:r w:rsidRPr="00461233">
        <w:rPr>
          <w:spacing w:val="1"/>
        </w:rPr>
        <w:t xml:space="preserve"> </w:t>
      </w:r>
      <w:r w:rsidRPr="00461233">
        <w:t>If the grantee is unable to complete the proposed project within the</w:t>
      </w:r>
      <w:r w:rsidRPr="00461233">
        <w:rPr>
          <w:spacing w:val="1"/>
        </w:rPr>
        <w:t xml:space="preserve"> </w:t>
      </w:r>
      <w:r w:rsidRPr="00461233">
        <w:t>required 12-month timeframe, it must notify the Commission as soon as it</w:t>
      </w:r>
      <w:r w:rsidRPr="00461233">
        <w:rPr>
          <w:spacing w:val="1"/>
        </w:rPr>
        <w:t xml:space="preserve"> </w:t>
      </w:r>
      <w:r w:rsidRPr="00461233">
        <w:t>becomes aware of this prospect.</w:t>
      </w:r>
      <w:r w:rsidRPr="00461233">
        <w:rPr>
          <w:spacing w:val="1"/>
        </w:rPr>
        <w:t xml:space="preserve"> </w:t>
      </w:r>
      <w:r w:rsidRPr="00461233">
        <w:t>The Commission reserves the right to reduce or</w:t>
      </w:r>
      <w:r w:rsidRPr="00461233">
        <w:rPr>
          <w:spacing w:val="1"/>
        </w:rPr>
        <w:t xml:space="preserve"> </w:t>
      </w:r>
      <w:r w:rsidRPr="00461233">
        <w:t>withhold</w:t>
      </w:r>
      <w:r w:rsidRPr="00461233">
        <w:rPr>
          <w:spacing w:val="-5"/>
        </w:rPr>
        <w:t xml:space="preserve"> </w:t>
      </w:r>
      <w:r w:rsidRPr="00461233">
        <w:t>payment</w:t>
      </w:r>
      <w:r w:rsidRPr="00461233">
        <w:rPr>
          <w:spacing w:val="-4"/>
        </w:rPr>
        <w:t xml:space="preserve"> </w:t>
      </w:r>
      <w:r w:rsidRPr="00461233">
        <w:t>failure</w:t>
      </w:r>
      <w:r w:rsidRPr="00461233">
        <w:rPr>
          <w:spacing w:val="-1"/>
        </w:rPr>
        <w:t xml:space="preserve"> </w:t>
      </w:r>
      <w:r w:rsidRPr="00461233">
        <w:t>to</w:t>
      </w:r>
      <w:r w:rsidRPr="00461233">
        <w:rPr>
          <w:spacing w:val="-4"/>
        </w:rPr>
        <w:t xml:space="preserve"> </w:t>
      </w:r>
      <w:r w:rsidRPr="00461233">
        <w:t>satisfy</w:t>
      </w:r>
      <w:r w:rsidRPr="00461233">
        <w:rPr>
          <w:spacing w:val="-5"/>
        </w:rPr>
        <w:t xml:space="preserve"> </w:t>
      </w:r>
      <w:r w:rsidRPr="00461233">
        <w:t>this</w:t>
      </w:r>
      <w:r w:rsidRPr="00461233">
        <w:rPr>
          <w:spacing w:val="-4"/>
        </w:rPr>
        <w:t xml:space="preserve"> </w:t>
      </w:r>
      <w:r w:rsidRPr="00461233">
        <w:t>requirement.</w:t>
      </w:r>
      <w:r w:rsidRPr="00461233">
        <w:rPr>
          <w:spacing w:val="59"/>
        </w:rPr>
        <w:t xml:space="preserve"> </w:t>
      </w:r>
      <w:r w:rsidRPr="00461233">
        <w:t>Grantees</w:t>
      </w:r>
      <w:r w:rsidRPr="00461233">
        <w:rPr>
          <w:spacing w:val="-1"/>
        </w:rPr>
        <w:t xml:space="preserve"> </w:t>
      </w:r>
      <w:r w:rsidRPr="00461233">
        <w:t>must</w:t>
      </w:r>
      <w:r w:rsidRPr="00461233">
        <w:rPr>
          <w:spacing w:val="-2"/>
        </w:rPr>
        <w:t xml:space="preserve"> </w:t>
      </w:r>
      <w:r w:rsidRPr="00461233">
        <w:t>operate</w:t>
      </w:r>
      <w:r w:rsidRPr="00461233">
        <w:rPr>
          <w:spacing w:val="-4"/>
        </w:rPr>
        <w:t xml:space="preserve"> </w:t>
      </w:r>
      <w:r w:rsidRPr="00461233">
        <w:t>and</w:t>
      </w:r>
      <w:r w:rsidRPr="00461233">
        <w:rPr>
          <w:spacing w:val="-62"/>
        </w:rPr>
        <w:t xml:space="preserve"> </w:t>
      </w:r>
      <w:r w:rsidRPr="00461233">
        <w:t>maintain</w:t>
      </w:r>
      <w:r w:rsidRPr="00461233">
        <w:rPr>
          <w:spacing w:val="-3"/>
        </w:rPr>
        <w:t xml:space="preserve"> </w:t>
      </w:r>
      <w:r w:rsidRPr="00461233">
        <w:t>the</w:t>
      </w:r>
      <w:r w:rsidRPr="00461233">
        <w:rPr>
          <w:spacing w:val="-2"/>
        </w:rPr>
        <w:t xml:space="preserve"> </w:t>
      </w:r>
      <w:r w:rsidRPr="00461233">
        <w:t>network</w:t>
      </w:r>
      <w:r w:rsidRPr="00461233">
        <w:rPr>
          <w:spacing w:val="-3"/>
        </w:rPr>
        <w:t xml:space="preserve"> </w:t>
      </w:r>
      <w:r w:rsidRPr="00461233">
        <w:t>for</w:t>
      </w:r>
      <w:r w:rsidRPr="00461233">
        <w:rPr>
          <w:spacing w:val="-1"/>
        </w:rPr>
        <w:t xml:space="preserve"> </w:t>
      </w:r>
      <w:r w:rsidRPr="00461233">
        <w:t>a</w:t>
      </w:r>
      <w:r w:rsidRPr="00461233">
        <w:rPr>
          <w:spacing w:val="-3"/>
        </w:rPr>
        <w:t xml:space="preserve"> </w:t>
      </w:r>
      <w:r w:rsidRPr="00461233">
        <w:t>minimum</w:t>
      </w:r>
      <w:r w:rsidRPr="00461233">
        <w:rPr>
          <w:spacing w:val="-3"/>
        </w:rPr>
        <w:t xml:space="preserve"> </w:t>
      </w:r>
      <w:r w:rsidRPr="00461233">
        <w:t>of five</w:t>
      </w:r>
      <w:r w:rsidRPr="00461233">
        <w:rPr>
          <w:spacing w:val="2"/>
        </w:rPr>
        <w:t xml:space="preserve"> </w:t>
      </w:r>
      <w:r w:rsidRPr="00461233">
        <w:t>years</w:t>
      </w:r>
      <w:r w:rsidRPr="00461233">
        <w:rPr>
          <w:spacing w:val="-2"/>
        </w:rPr>
        <w:t xml:space="preserve"> </w:t>
      </w:r>
      <w:r w:rsidRPr="00461233">
        <w:t>after</w:t>
      </w:r>
      <w:r w:rsidRPr="00461233">
        <w:rPr>
          <w:spacing w:val="1"/>
        </w:rPr>
        <w:t xml:space="preserve"> </w:t>
      </w:r>
      <w:r w:rsidRPr="00461233">
        <w:t>it</w:t>
      </w:r>
      <w:r w:rsidRPr="00461233">
        <w:rPr>
          <w:spacing w:val="-3"/>
        </w:rPr>
        <w:t xml:space="preserve"> </w:t>
      </w:r>
      <w:r w:rsidRPr="00461233">
        <w:t>has been</w:t>
      </w:r>
      <w:r w:rsidRPr="00461233">
        <w:rPr>
          <w:spacing w:val="-2"/>
        </w:rPr>
        <w:t xml:space="preserve"> </w:t>
      </w:r>
      <w:r w:rsidRPr="00461233">
        <w:t>installed.</w:t>
      </w:r>
    </w:p>
    <w:p w:rsidR="00081EFC" w:rsidP="00081EFC" w:rsidRDefault="00081EFC" w14:paraId="2089BB33" w14:textId="77777777">
      <w:pPr>
        <w:pStyle w:val="BodyText"/>
      </w:pPr>
    </w:p>
    <w:p w:rsidR="00081EFC" w:rsidP="00081EFC" w:rsidRDefault="00081EFC" w14:paraId="5EDF5D2E" w14:textId="77777777">
      <w:pPr>
        <w:pStyle w:val="BodyText"/>
        <w:spacing w:before="1"/>
        <w:ind w:right="169"/>
      </w:pPr>
      <w:r>
        <w:t>The grantee must complete all the performance on the project before the</w:t>
      </w:r>
      <w:r>
        <w:rPr>
          <w:spacing w:val="1"/>
        </w:rPr>
        <w:t xml:space="preserve"> </w:t>
      </w:r>
      <w:r>
        <w:t>termination date in accordance with the terms of approval granted by the</w:t>
      </w:r>
      <w:r>
        <w:rPr>
          <w:spacing w:val="1"/>
        </w:rPr>
        <w:t xml:space="preserve"> </w:t>
      </w:r>
      <w:r>
        <w:lastRenderedPageBreak/>
        <w:t>Commission.</w:t>
      </w:r>
      <w:r>
        <w:rPr>
          <w:spacing w:val="1"/>
        </w:rPr>
        <w:t xml:space="preserve"> </w:t>
      </w:r>
      <w:proofErr w:type="gramStart"/>
      <w:r>
        <w:t>In the event that</w:t>
      </w:r>
      <w:proofErr w:type="gramEnd"/>
      <w:r>
        <w:t xml:space="preserve"> the grantee fails to complete the project or</w:t>
      </w:r>
      <w:r>
        <w:rPr>
          <w:spacing w:val="1"/>
        </w:rPr>
        <w:t xml:space="preserve"> </w:t>
      </w:r>
      <w:r>
        <w:t>subsequently operate and maintain the network service in accordance with the</w:t>
      </w:r>
      <w:r>
        <w:rPr>
          <w:spacing w:val="1"/>
        </w:rPr>
        <w:t xml:space="preserve"> </w:t>
      </w:r>
      <w:r>
        <w:t>terms of approval granted by the Commission and compliance with CASF</w:t>
      </w:r>
      <w:r>
        <w:rPr>
          <w:spacing w:val="1"/>
        </w:rPr>
        <w:t xml:space="preserve"> </w:t>
      </w:r>
      <w:r>
        <w:t>program</w:t>
      </w:r>
      <w:r>
        <w:rPr>
          <w:spacing w:val="-4"/>
        </w:rPr>
        <w:t xml:space="preserve"> </w:t>
      </w:r>
      <w:r>
        <w:t>guidelines,</w:t>
      </w:r>
      <w:r>
        <w:rPr>
          <w:spacing w:val="-1"/>
        </w:rPr>
        <w:t xml:space="preserve"> </w:t>
      </w:r>
      <w:r>
        <w:t>the</w:t>
      </w:r>
      <w:r>
        <w:rPr>
          <w:spacing w:val="-3"/>
        </w:rPr>
        <w:t xml:space="preserve"> </w:t>
      </w:r>
      <w:r>
        <w:t>grantee</w:t>
      </w:r>
      <w:r>
        <w:rPr>
          <w:spacing w:val="-1"/>
        </w:rPr>
        <w:t xml:space="preserve"> </w:t>
      </w:r>
      <w:r>
        <w:t>must</w:t>
      </w:r>
      <w:r>
        <w:rPr>
          <w:spacing w:val="-3"/>
        </w:rPr>
        <w:t xml:space="preserve"> </w:t>
      </w:r>
      <w:r>
        <w:t>reimburse</w:t>
      </w:r>
      <w:r>
        <w:rPr>
          <w:spacing w:val="-3"/>
        </w:rPr>
        <w:t xml:space="preserve"> </w:t>
      </w:r>
      <w:r>
        <w:t>some</w:t>
      </w:r>
      <w:r>
        <w:rPr>
          <w:spacing w:val="-3"/>
        </w:rPr>
        <w:t xml:space="preserve"> </w:t>
      </w:r>
      <w:r>
        <w:t>or</w:t>
      </w:r>
      <w:r>
        <w:rPr>
          <w:spacing w:val="-3"/>
        </w:rPr>
        <w:t xml:space="preserve"> </w:t>
      </w:r>
      <w:r>
        <w:t>all</w:t>
      </w:r>
      <w:r>
        <w:rPr>
          <w:spacing w:val="-4"/>
        </w:rPr>
        <w:t xml:space="preserve"> </w:t>
      </w:r>
      <w:r>
        <w:t>of</w:t>
      </w:r>
      <w:r>
        <w:rPr>
          <w:spacing w:val="-4"/>
        </w:rPr>
        <w:t xml:space="preserve"> </w:t>
      </w:r>
      <w:r>
        <w:t>the</w:t>
      </w:r>
      <w:r>
        <w:rPr>
          <w:spacing w:val="-3"/>
        </w:rPr>
        <w:t xml:space="preserve"> </w:t>
      </w:r>
      <w:r>
        <w:t>CASF</w:t>
      </w:r>
      <w:r>
        <w:rPr>
          <w:spacing w:val="-4"/>
        </w:rPr>
        <w:t xml:space="preserve"> </w:t>
      </w:r>
      <w:r>
        <w:t>BPHA</w:t>
      </w:r>
      <w:r>
        <w:rPr>
          <w:spacing w:val="-62"/>
        </w:rPr>
        <w:t xml:space="preserve"> </w:t>
      </w:r>
      <w:r>
        <w:t>funds</w:t>
      </w:r>
      <w:r>
        <w:rPr>
          <w:spacing w:val="-2"/>
        </w:rPr>
        <w:t xml:space="preserve"> </w:t>
      </w:r>
      <w:r>
        <w:t>that</w:t>
      </w:r>
      <w:r>
        <w:rPr>
          <w:spacing w:val="-1"/>
        </w:rPr>
        <w:t xml:space="preserve"> </w:t>
      </w:r>
      <w:r>
        <w:t>it</w:t>
      </w:r>
      <w:r>
        <w:rPr>
          <w:spacing w:val="-1"/>
        </w:rPr>
        <w:t xml:space="preserve"> </w:t>
      </w:r>
      <w:r>
        <w:t>has</w:t>
      </w:r>
      <w:r>
        <w:rPr>
          <w:spacing w:val="-1"/>
        </w:rPr>
        <w:t xml:space="preserve"> </w:t>
      </w:r>
      <w:r>
        <w:t>received.</w:t>
      </w:r>
    </w:p>
    <w:p w:rsidR="00081EFC" w:rsidP="00081EFC" w:rsidRDefault="00081EFC" w14:paraId="3A069CC1" w14:textId="77777777">
      <w:pPr>
        <w:pStyle w:val="BodyText"/>
        <w:spacing w:before="1"/>
        <w:ind w:right="169"/>
      </w:pPr>
    </w:p>
    <w:p w:rsidR="00081EFC" w:rsidP="000169E8" w:rsidRDefault="00081EFC" w14:paraId="2AB8794C" w14:textId="1E535F1C">
      <w:pPr>
        <w:pStyle w:val="BodyText"/>
        <w:keepNext/>
        <w:keepLines/>
      </w:pPr>
      <w:r>
        <w:t>Material</w:t>
      </w:r>
      <w:r>
        <w:rPr>
          <w:spacing w:val="-6"/>
        </w:rPr>
        <w:t xml:space="preserve"> </w:t>
      </w:r>
      <w:r>
        <w:t>changes</w:t>
      </w:r>
      <w:r>
        <w:rPr>
          <w:spacing w:val="-3"/>
        </w:rPr>
        <w:t xml:space="preserve"> </w:t>
      </w:r>
      <w:r>
        <w:t>in</w:t>
      </w:r>
      <w:r>
        <w:rPr>
          <w:spacing w:val="-2"/>
        </w:rPr>
        <w:t xml:space="preserve"> </w:t>
      </w:r>
      <w:r>
        <w:t>the</w:t>
      </w:r>
      <w:r>
        <w:rPr>
          <w:spacing w:val="-3"/>
        </w:rPr>
        <w:t xml:space="preserve"> </w:t>
      </w:r>
      <w:r>
        <w:t>entries</w:t>
      </w:r>
      <w:r>
        <w:rPr>
          <w:spacing w:val="-5"/>
        </w:rPr>
        <w:t xml:space="preserve"> </w:t>
      </w:r>
      <w:r>
        <w:t>for</w:t>
      </w:r>
      <w:r>
        <w:rPr>
          <w:spacing w:val="-3"/>
        </w:rPr>
        <w:t xml:space="preserve"> </w:t>
      </w:r>
      <w:r>
        <w:t>this</w:t>
      </w:r>
      <w:r>
        <w:rPr>
          <w:spacing w:val="-4"/>
        </w:rPr>
        <w:t xml:space="preserve"> </w:t>
      </w:r>
      <w:r>
        <w:t>application,</w:t>
      </w:r>
      <w:r>
        <w:rPr>
          <w:spacing w:val="-5"/>
        </w:rPr>
        <w:t xml:space="preserve"> </w:t>
      </w:r>
      <w:r>
        <w:t>such</w:t>
      </w:r>
      <w:r>
        <w:rPr>
          <w:spacing w:val="-4"/>
        </w:rPr>
        <w:t xml:space="preserve"> </w:t>
      </w:r>
      <w:r>
        <w:t>as</w:t>
      </w:r>
      <w:r>
        <w:rPr>
          <w:spacing w:val="-2"/>
        </w:rPr>
        <w:t xml:space="preserve"> </w:t>
      </w:r>
      <w:r>
        <w:t>discontinuing</w:t>
      </w:r>
      <w:r w:rsidRPr="049644BE">
        <w:rPr>
          <w:sz w:val="19"/>
          <w:szCs w:val="19"/>
        </w:rPr>
        <w:t xml:space="preserve"> </w:t>
      </w:r>
      <w:r>
        <w:t>operation or bankruptcy, or change of name (DBA</w:t>
      </w:r>
      <w:r>
        <w:rPr>
          <w:rStyle w:val="FootnoteReference"/>
        </w:rPr>
        <w:footnoteReference w:id="193"/>
      </w:r>
      <w:r>
        <w:t>), change of address, telephone,</w:t>
      </w:r>
      <w:r>
        <w:rPr>
          <w:spacing w:val="-4"/>
        </w:rPr>
        <w:t xml:space="preserve"> </w:t>
      </w:r>
      <w:r>
        <w:t>fax</w:t>
      </w:r>
      <w:r>
        <w:rPr>
          <w:spacing w:val="-4"/>
        </w:rPr>
        <w:t xml:space="preserve"> </w:t>
      </w:r>
      <w:r>
        <w:t>number</w:t>
      </w:r>
      <w:r>
        <w:rPr>
          <w:spacing w:val="-2"/>
        </w:rPr>
        <w:t xml:space="preserve"> </w:t>
      </w:r>
      <w:r>
        <w:t>or</w:t>
      </w:r>
      <w:r>
        <w:rPr>
          <w:spacing w:val="-3"/>
        </w:rPr>
        <w:t xml:space="preserve"> </w:t>
      </w:r>
      <w:r>
        <w:t>e</w:t>
      </w:r>
      <w:r w:rsidR="00FF6FF3">
        <w:t>-</w:t>
      </w:r>
      <w:r>
        <w:t>mail</w:t>
      </w:r>
      <w:r>
        <w:rPr>
          <w:spacing w:val="-5"/>
        </w:rPr>
        <w:t xml:space="preserve"> </w:t>
      </w:r>
      <w:r>
        <w:t>address must</w:t>
      </w:r>
      <w:r>
        <w:rPr>
          <w:spacing w:val="-4"/>
        </w:rPr>
        <w:t xml:space="preserve"> </w:t>
      </w:r>
      <w:r>
        <w:t>be</w:t>
      </w:r>
      <w:r>
        <w:rPr>
          <w:spacing w:val="-3"/>
        </w:rPr>
        <w:t xml:space="preserve"> </w:t>
      </w:r>
      <w:r>
        <w:t>reported</w:t>
      </w:r>
      <w:r>
        <w:rPr>
          <w:spacing w:val="-1"/>
        </w:rPr>
        <w:t xml:space="preserve"> </w:t>
      </w:r>
      <w:r>
        <w:t>immediately</w:t>
      </w:r>
      <w:r>
        <w:rPr>
          <w:spacing w:val="-2"/>
        </w:rPr>
        <w:t xml:space="preserve"> </w:t>
      </w:r>
      <w:r>
        <w:t>by</w:t>
      </w:r>
      <w:r>
        <w:rPr>
          <w:spacing w:val="-4"/>
        </w:rPr>
        <w:t xml:space="preserve"> </w:t>
      </w:r>
      <w:r>
        <w:t>a</w:t>
      </w:r>
      <w:r>
        <w:rPr>
          <w:spacing w:val="-1"/>
        </w:rPr>
        <w:t xml:space="preserve"> </w:t>
      </w:r>
      <w:r>
        <w:t>letter</w:t>
      </w:r>
      <w:r>
        <w:rPr>
          <w:spacing w:val="-62"/>
        </w:rPr>
        <w:t xml:space="preserve"> </w:t>
      </w:r>
      <w:r>
        <w:t>to the CPUC, Director of the Communications Division, 505 Van Ness Avenue,</w:t>
      </w:r>
      <w:r>
        <w:rPr>
          <w:spacing w:val="1"/>
        </w:rPr>
        <w:t xml:space="preserve"> </w:t>
      </w:r>
      <w:r>
        <w:t>San</w:t>
      </w:r>
      <w:r>
        <w:rPr>
          <w:spacing w:val="-1"/>
        </w:rPr>
        <w:t xml:space="preserve"> </w:t>
      </w:r>
      <w:r>
        <w:t>Francisco,</w:t>
      </w:r>
      <w:r>
        <w:rPr>
          <w:spacing w:val="-1"/>
        </w:rPr>
        <w:t xml:space="preserve"> </w:t>
      </w:r>
      <w:r>
        <w:t>CA</w:t>
      </w:r>
      <w:r>
        <w:rPr>
          <w:spacing w:val="2"/>
        </w:rPr>
        <w:t xml:space="preserve"> </w:t>
      </w:r>
      <w:r>
        <w:t>94102.</w:t>
      </w:r>
    </w:p>
    <w:p w:rsidR="000169E8" w:rsidP="00081EFC" w:rsidRDefault="000169E8" w14:paraId="2DFCA7E3" w14:textId="77777777">
      <w:pPr>
        <w:pStyle w:val="BodyText"/>
      </w:pPr>
    </w:p>
    <w:p w:rsidR="00081EFC" w:rsidP="00081EFC" w:rsidRDefault="00081EFC" w14:paraId="0CC7B2BE" w14:textId="3A537001">
      <w:pPr>
        <w:pStyle w:val="BodyText"/>
      </w:pPr>
      <w:r>
        <w:t xml:space="preserve">In addition, a scanned electronic copy should be sent to </w:t>
      </w:r>
      <w:r w:rsidRPr="00E74D95">
        <w:rPr>
          <w:color w:val="0000FF"/>
          <w:u w:val="single"/>
        </w:rPr>
        <w:t>cpuc_housing@cpuc.ca.gov</w:t>
      </w:r>
      <w:r>
        <w:rPr>
          <w:color w:val="0000FF"/>
          <w:u w:val="single"/>
        </w:rPr>
        <w:t>.</w:t>
      </w:r>
    </w:p>
    <w:p w:rsidR="00081EFC" w:rsidP="00676C3A" w:rsidRDefault="00081EFC" w14:paraId="58D50C0E" w14:textId="77777777">
      <w:pPr>
        <w:pStyle w:val="Standard"/>
      </w:pPr>
    </w:p>
    <w:p w:rsidRPr="00676C3A" w:rsidR="00081EFC" w:rsidP="00676C3A" w:rsidRDefault="00081EFC" w14:paraId="003C5D04" w14:textId="77777777">
      <w:pPr>
        <w:pStyle w:val="ListParagraph"/>
        <w:numPr>
          <w:ilvl w:val="0"/>
          <w:numId w:val="10"/>
        </w:numPr>
        <w:tabs>
          <w:tab w:val="left" w:pos="560"/>
        </w:tabs>
        <w:ind w:hanging="361"/>
        <w:rPr>
          <w:b/>
          <w:sz w:val="26"/>
        </w:rPr>
      </w:pPr>
      <w:r w:rsidRPr="00676C3A">
        <w:rPr>
          <w:b/>
          <w:sz w:val="26"/>
        </w:rPr>
        <w:t>Consent Form</w:t>
      </w:r>
    </w:p>
    <w:p w:rsidRPr="007846CA" w:rsidR="00081EFC" w:rsidP="00081EFC" w:rsidRDefault="00081EFC" w14:paraId="26C91375" w14:textId="77777777">
      <w:pPr>
        <w:pStyle w:val="BodyText"/>
        <w:spacing w:before="122"/>
        <w:ind w:right="169"/>
      </w:pPr>
      <w:r w:rsidRPr="00461233">
        <w:t>All grantees are required to sign a consent form within 30 days from the date of the award agreeing to the terms stated in the resolution or award letter</w:t>
      </w:r>
      <w:r w:rsidRPr="00461233">
        <w:rPr>
          <w:spacing w:val="-3"/>
        </w:rPr>
        <w:t xml:space="preserve"> </w:t>
      </w:r>
      <w:r w:rsidRPr="00461233">
        <w:t>authorizing the</w:t>
      </w:r>
      <w:r w:rsidRPr="00461233">
        <w:rPr>
          <w:spacing w:val="-4"/>
        </w:rPr>
        <w:t xml:space="preserve"> </w:t>
      </w:r>
      <w:r w:rsidRPr="00461233">
        <w:t>CASF</w:t>
      </w:r>
      <w:r w:rsidRPr="00461233">
        <w:rPr>
          <w:spacing w:val="-3"/>
        </w:rPr>
        <w:t xml:space="preserve"> </w:t>
      </w:r>
      <w:r w:rsidRPr="00461233">
        <w:t>award.</w:t>
      </w:r>
      <w:r w:rsidRPr="00461233">
        <w:rPr>
          <w:spacing w:val="61"/>
        </w:rPr>
        <w:t xml:space="preserve"> </w:t>
      </w:r>
      <w:r w:rsidRPr="00461233">
        <w:t>The</w:t>
      </w:r>
      <w:r w:rsidRPr="00461233">
        <w:rPr>
          <w:spacing w:val="-4"/>
        </w:rPr>
        <w:t xml:space="preserve"> </w:t>
      </w:r>
      <w:r w:rsidRPr="00461233">
        <w:t>agreement</w:t>
      </w:r>
      <w:r w:rsidRPr="00461233">
        <w:rPr>
          <w:spacing w:val="-3"/>
        </w:rPr>
        <w:t xml:space="preserve"> </w:t>
      </w:r>
      <w:r w:rsidRPr="00461233">
        <w:t>will</w:t>
      </w:r>
      <w:r w:rsidRPr="00461233">
        <w:rPr>
          <w:spacing w:val="-62"/>
        </w:rPr>
        <w:t xml:space="preserve"> </w:t>
      </w:r>
      <w:r w:rsidRPr="00461233">
        <w:t>provide the name of the grantee, names of officers, and must be signed by the</w:t>
      </w:r>
      <w:r w:rsidRPr="00461233">
        <w:rPr>
          <w:spacing w:val="1"/>
        </w:rPr>
        <w:t xml:space="preserve"> </w:t>
      </w:r>
      <w:r w:rsidRPr="00461233">
        <w:t>grantee.</w:t>
      </w:r>
      <w:r w:rsidRPr="00461233">
        <w:rPr>
          <w:spacing w:val="1"/>
        </w:rPr>
        <w:t xml:space="preserve"> </w:t>
      </w:r>
      <w:r w:rsidRPr="00461233">
        <w:rPr>
          <w:rStyle w:val="normaltextrun"/>
          <w:bdr w:val="none" w:color="auto" w:sz="0" w:space="0" w:frame="1"/>
        </w:rPr>
        <w:t>Should the grantee not accept the award through failure to submit the consent form within 30 calendar days from the date of the award, the Commission will deem the grant null and void.</w:t>
      </w:r>
      <w:r w:rsidRPr="00461233">
        <w:t xml:space="preserve"> The proposed wording of the consent form will be made available on the BPHA website</w:t>
      </w:r>
      <w:r>
        <w:t>.</w:t>
      </w:r>
    </w:p>
    <w:p w:rsidR="00081EFC" w:rsidP="00676C3A" w:rsidRDefault="00081EFC" w14:paraId="0AFC4168" w14:textId="77777777">
      <w:pPr>
        <w:pStyle w:val="Standard"/>
      </w:pPr>
    </w:p>
    <w:p w:rsidRPr="00676C3A" w:rsidR="00081EFC" w:rsidP="00676C3A" w:rsidRDefault="00081EFC" w14:paraId="0A65E2BD" w14:textId="77777777">
      <w:pPr>
        <w:pStyle w:val="ListParagraph"/>
        <w:numPr>
          <w:ilvl w:val="0"/>
          <w:numId w:val="10"/>
        </w:numPr>
        <w:tabs>
          <w:tab w:val="left" w:pos="560"/>
        </w:tabs>
        <w:ind w:hanging="361"/>
        <w:rPr>
          <w:b/>
          <w:sz w:val="26"/>
        </w:rPr>
      </w:pPr>
      <w:r w:rsidRPr="00676C3A">
        <w:rPr>
          <w:b/>
          <w:sz w:val="26"/>
        </w:rPr>
        <w:t>Penalties</w:t>
      </w:r>
    </w:p>
    <w:p w:rsidR="00081EFC" w:rsidP="00394667" w:rsidRDefault="00081EFC" w14:paraId="01B829BB" w14:textId="77777777">
      <w:pPr>
        <w:pStyle w:val="BodyText"/>
        <w:keepNext/>
        <w:keepLines/>
        <w:spacing w:before="118"/>
        <w:ind w:right="169"/>
      </w:pPr>
      <w:r>
        <w:t>As noted above, grantees</w:t>
      </w:r>
      <w:r>
        <w:rPr>
          <w:spacing w:val="-4"/>
        </w:rPr>
        <w:t xml:space="preserve"> </w:t>
      </w:r>
      <w:r>
        <w:t>must</w:t>
      </w:r>
      <w:r>
        <w:rPr>
          <w:spacing w:val="-4"/>
        </w:rPr>
        <w:t xml:space="preserve"> </w:t>
      </w:r>
      <w:r>
        <w:t>agree</w:t>
      </w:r>
      <w:r>
        <w:rPr>
          <w:spacing w:val="-4"/>
        </w:rPr>
        <w:t xml:space="preserve"> </w:t>
      </w:r>
      <w:r>
        <w:t>to</w:t>
      </w:r>
      <w:r>
        <w:rPr>
          <w:spacing w:val="-4"/>
        </w:rPr>
        <w:t xml:space="preserve"> </w:t>
      </w:r>
      <w:r>
        <w:t>the</w:t>
      </w:r>
      <w:r>
        <w:rPr>
          <w:spacing w:val="-4"/>
        </w:rPr>
        <w:t xml:space="preserve"> </w:t>
      </w:r>
      <w:r>
        <w:t>following</w:t>
      </w:r>
      <w:r>
        <w:rPr>
          <w:spacing w:val="-4"/>
        </w:rPr>
        <w:t xml:space="preserve"> </w:t>
      </w:r>
      <w:r w:rsidRPr="007846CA">
        <w:t>language</w:t>
      </w:r>
      <w:r w:rsidRPr="007846CA">
        <w:rPr>
          <w:spacing w:val="-4"/>
        </w:rPr>
        <w:t xml:space="preserve"> </w:t>
      </w:r>
      <w:r w:rsidRPr="007846CA">
        <w:t>in</w:t>
      </w:r>
      <w:r w:rsidRPr="007846CA">
        <w:rPr>
          <w:spacing w:val="-1"/>
        </w:rPr>
        <w:t xml:space="preserve"> </w:t>
      </w:r>
      <w:r w:rsidRPr="007846CA">
        <w:rPr>
          <w:spacing w:val="-4"/>
        </w:rPr>
        <w:t xml:space="preserve">an </w:t>
      </w:r>
      <w:r w:rsidRPr="007846CA">
        <w:t>affidavit</w:t>
      </w:r>
      <w:r>
        <w:rPr>
          <w:spacing w:val="-2"/>
        </w:rPr>
        <w:t>.</w:t>
      </w:r>
    </w:p>
    <w:p w:rsidR="00081EFC" w:rsidP="00081EFC" w:rsidRDefault="00081EFC" w14:paraId="11259FD6" w14:textId="77777777">
      <w:pPr>
        <w:pStyle w:val="BodyText"/>
        <w:spacing w:before="2"/>
        <w:rPr>
          <w:i/>
        </w:rPr>
      </w:pPr>
    </w:p>
    <w:p w:rsidRPr="007846CA" w:rsidR="00081EFC" w:rsidP="00081EFC" w:rsidRDefault="00081EFC" w14:paraId="6B71915C" w14:textId="15DFF1D7">
      <w:pPr>
        <w:pStyle w:val="BodyText"/>
        <w:spacing w:before="2"/>
      </w:pPr>
      <w:r w:rsidRPr="007846CA">
        <w:rPr>
          <w:i/>
        </w:rPr>
        <w:t>If [Grantee Name] violates the terms and conditions of a CASF award or other program</w:t>
      </w:r>
      <w:r w:rsidRPr="007846CA">
        <w:rPr>
          <w:i/>
          <w:spacing w:val="1"/>
        </w:rPr>
        <w:t xml:space="preserve"> </w:t>
      </w:r>
      <w:r w:rsidRPr="007846CA">
        <w:rPr>
          <w:i/>
        </w:rPr>
        <w:t xml:space="preserve">and project compliance requirements, it shall be subject to Public Utilities Code </w:t>
      </w:r>
      <w:r w:rsidR="00FF6FF3">
        <w:rPr>
          <w:i/>
        </w:rPr>
        <w:t>S</w:t>
      </w:r>
      <w:r w:rsidRPr="007846CA">
        <w:rPr>
          <w:i/>
        </w:rPr>
        <w:t>ections</w:t>
      </w:r>
      <w:r w:rsidRPr="007846CA">
        <w:rPr>
          <w:i/>
          <w:spacing w:val="-62"/>
        </w:rPr>
        <w:t xml:space="preserve"> </w:t>
      </w:r>
      <w:r w:rsidRPr="007846CA">
        <w:rPr>
          <w:i/>
        </w:rPr>
        <w:t>2108 and 2111.</w:t>
      </w:r>
      <w:r w:rsidRPr="007846CA">
        <w:rPr>
          <w:i/>
          <w:spacing w:val="1"/>
        </w:rPr>
        <w:t xml:space="preserve"> </w:t>
      </w:r>
      <w:r w:rsidRPr="007846CA">
        <w:rPr>
          <w:i/>
        </w:rPr>
        <w:t>The Commission may impose the maximum penalties allowed under</w:t>
      </w:r>
      <w:r w:rsidRPr="007846CA">
        <w:rPr>
          <w:i/>
          <w:spacing w:val="1"/>
        </w:rPr>
        <w:t xml:space="preserve"> </w:t>
      </w:r>
      <w:r w:rsidRPr="007846CA">
        <w:rPr>
          <w:i/>
        </w:rPr>
        <w:t>Public</w:t>
      </w:r>
      <w:r w:rsidRPr="007846CA">
        <w:rPr>
          <w:i/>
          <w:spacing w:val="-3"/>
        </w:rPr>
        <w:t xml:space="preserve"> </w:t>
      </w:r>
      <w:r w:rsidRPr="007846CA">
        <w:rPr>
          <w:i/>
        </w:rPr>
        <w:t>Utilities</w:t>
      </w:r>
      <w:r w:rsidRPr="007846CA">
        <w:rPr>
          <w:i/>
          <w:spacing w:val="-3"/>
        </w:rPr>
        <w:t xml:space="preserve"> </w:t>
      </w:r>
      <w:r w:rsidRPr="007846CA">
        <w:rPr>
          <w:i/>
        </w:rPr>
        <w:t>Code</w:t>
      </w:r>
      <w:r w:rsidRPr="007846CA">
        <w:rPr>
          <w:i/>
          <w:spacing w:val="-3"/>
        </w:rPr>
        <w:t xml:space="preserve"> </w:t>
      </w:r>
      <w:r w:rsidR="00FF6FF3">
        <w:rPr>
          <w:i/>
        </w:rPr>
        <w:t>S</w:t>
      </w:r>
      <w:r w:rsidRPr="007846CA">
        <w:rPr>
          <w:i/>
        </w:rPr>
        <w:t>ections</w:t>
      </w:r>
      <w:r w:rsidRPr="007846CA">
        <w:rPr>
          <w:i/>
          <w:spacing w:val="-2"/>
        </w:rPr>
        <w:t xml:space="preserve"> </w:t>
      </w:r>
      <w:r w:rsidRPr="007846CA">
        <w:rPr>
          <w:i/>
        </w:rPr>
        <w:t>2108</w:t>
      </w:r>
      <w:r w:rsidRPr="007846CA">
        <w:rPr>
          <w:i/>
          <w:spacing w:val="-3"/>
        </w:rPr>
        <w:t xml:space="preserve"> </w:t>
      </w:r>
      <w:r w:rsidRPr="007846CA">
        <w:rPr>
          <w:i/>
        </w:rPr>
        <w:t>and</w:t>
      </w:r>
      <w:r w:rsidRPr="007846CA">
        <w:rPr>
          <w:i/>
          <w:spacing w:val="-1"/>
        </w:rPr>
        <w:t xml:space="preserve"> </w:t>
      </w:r>
      <w:r w:rsidRPr="007846CA">
        <w:rPr>
          <w:i/>
        </w:rPr>
        <w:t>2111</w:t>
      </w:r>
      <w:r w:rsidRPr="007846CA">
        <w:rPr>
          <w:i/>
          <w:spacing w:val="-1"/>
        </w:rPr>
        <w:t xml:space="preserve"> </w:t>
      </w:r>
      <w:r w:rsidRPr="007846CA">
        <w:rPr>
          <w:i/>
        </w:rPr>
        <w:t>for</w:t>
      </w:r>
      <w:r w:rsidRPr="007846CA">
        <w:rPr>
          <w:i/>
          <w:spacing w:val="-3"/>
        </w:rPr>
        <w:t xml:space="preserve"> </w:t>
      </w:r>
      <w:r w:rsidRPr="007846CA">
        <w:rPr>
          <w:i/>
        </w:rPr>
        <w:t>failure to</w:t>
      </w:r>
      <w:r w:rsidRPr="007846CA">
        <w:rPr>
          <w:i/>
          <w:spacing w:val="-3"/>
        </w:rPr>
        <w:t xml:space="preserve"> </w:t>
      </w:r>
      <w:r w:rsidRPr="007846CA">
        <w:rPr>
          <w:i/>
        </w:rPr>
        <w:t>meet</w:t>
      </w:r>
      <w:r w:rsidRPr="007846CA">
        <w:rPr>
          <w:i/>
          <w:spacing w:val="-1"/>
        </w:rPr>
        <w:t xml:space="preserve"> </w:t>
      </w:r>
      <w:r w:rsidRPr="007846CA">
        <w:rPr>
          <w:i/>
        </w:rPr>
        <w:t>the</w:t>
      </w:r>
      <w:r w:rsidRPr="007846CA">
        <w:rPr>
          <w:i/>
          <w:spacing w:val="-3"/>
        </w:rPr>
        <w:t xml:space="preserve"> </w:t>
      </w:r>
      <w:r w:rsidRPr="007846CA">
        <w:rPr>
          <w:i/>
        </w:rPr>
        <w:t>program</w:t>
      </w:r>
      <w:r w:rsidRPr="007846CA">
        <w:rPr>
          <w:i/>
          <w:spacing w:val="-2"/>
        </w:rPr>
        <w:t xml:space="preserve"> </w:t>
      </w:r>
      <w:r w:rsidRPr="007846CA">
        <w:rPr>
          <w:i/>
        </w:rPr>
        <w:t>and</w:t>
      </w:r>
      <w:r w:rsidRPr="007846CA">
        <w:rPr>
          <w:i/>
          <w:spacing w:val="-3"/>
        </w:rPr>
        <w:t xml:space="preserve"> </w:t>
      </w:r>
      <w:r w:rsidRPr="007846CA">
        <w:rPr>
          <w:i/>
        </w:rPr>
        <w:t>project</w:t>
      </w:r>
      <w:r w:rsidRPr="007846CA">
        <w:rPr>
          <w:i/>
          <w:spacing w:val="-62"/>
        </w:rPr>
        <w:t xml:space="preserve"> </w:t>
      </w:r>
      <w:r w:rsidRPr="007846CA">
        <w:rPr>
          <w:i/>
        </w:rPr>
        <w:t>compliance</w:t>
      </w:r>
      <w:r w:rsidRPr="007846CA">
        <w:rPr>
          <w:i/>
          <w:spacing w:val="1"/>
        </w:rPr>
        <w:t xml:space="preserve"> </w:t>
      </w:r>
      <w:r w:rsidRPr="007846CA">
        <w:rPr>
          <w:i/>
        </w:rPr>
        <w:t>requirements, as determined by the</w:t>
      </w:r>
      <w:r w:rsidRPr="007846CA">
        <w:rPr>
          <w:i/>
          <w:spacing w:val="-1"/>
        </w:rPr>
        <w:t xml:space="preserve"> </w:t>
      </w:r>
      <w:r w:rsidRPr="007846CA">
        <w:rPr>
          <w:i/>
        </w:rPr>
        <w:t>Commission.</w:t>
      </w:r>
    </w:p>
    <w:p w:rsidR="00081EFC" w:rsidP="00081EFC" w:rsidRDefault="00081EFC" w14:paraId="7EE2653D" w14:textId="77777777">
      <w:pPr>
        <w:pStyle w:val="BodyText"/>
        <w:spacing w:before="9"/>
      </w:pPr>
    </w:p>
    <w:p w:rsidRPr="007846CA" w:rsidR="00081EFC" w:rsidP="00081EFC" w:rsidRDefault="00081EFC" w14:paraId="4E52C7E0" w14:textId="77777777">
      <w:pPr>
        <w:pStyle w:val="BodyText"/>
        <w:spacing w:before="9"/>
        <w:rPr>
          <w:i/>
        </w:rPr>
      </w:pPr>
      <w:r>
        <w:lastRenderedPageBreak/>
        <w:t>Submit</w:t>
      </w:r>
      <w:r w:rsidRPr="007846CA">
        <w:rPr>
          <w:spacing w:val="-7"/>
        </w:rPr>
        <w:t xml:space="preserve"> </w:t>
      </w:r>
      <w:r>
        <w:t>completed</w:t>
      </w:r>
      <w:r w:rsidRPr="007846CA">
        <w:rPr>
          <w:spacing w:val="-6"/>
        </w:rPr>
        <w:t xml:space="preserve"> </w:t>
      </w:r>
      <w:r>
        <w:t>applications</w:t>
      </w:r>
      <w:r w:rsidRPr="007846CA">
        <w:rPr>
          <w:spacing w:val="-6"/>
        </w:rPr>
        <w:t xml:space="preserve"> </w:t>
      </w:r>
      <w:r>
        <w:t>online</w:t>
      </w:r>
      <w:r w:rsidRPr="007846CA">
        <w:rPr>
          <w:spacing w:val="-5"/>
        </w:rPr>
        <w:t xml:space="preserve"> </w:t>
      </w:r>
      <w:r>
        <w:t>at</w:t>
      </w:r>
      <w:r w:rsidRPr="007846CA">
        <w:rPr>
          <w:spacing w:val="-4"/>
        </w:rPr>
        <w:t xml:space="preserve"> </w:t>
      </w:r>
      <w:r w:rsidRPr="00AD0FEA">
        <w:rPr>
          <w:color w:val="0000FF"/>
          <w:u w:val="single"/>
        </w:rPr>
        <w:t>https://kwftp.cpuc.ca.gov</w:t>
      </w:r>
    </w:p>
    <w:p w:rsidR="00375609" w:rsidP="00081EFC" w:rsidRDefault="00375609" w14:paraId="16FBB127" w14:textId="77777777">
      <w:pPr>
        <w:spacing w:before="95" w:line="313" w:lineRule="exact"/>
        <w:ind w:left="1454" w:right="1398"/>
        <w:jc w:val="center"/>
        <w:rPr>
          <w:rFonts w:eastAsia="Book Antiqua" w:cs="Book Antiqua"/>
          <w:b/>
          <w:bCs/>
          <w:szCs w:val="26"/>
        </w:rPr>
      </w:pPr>
    </w:p>
    <w:p w:rsidR="00553B00" w:rsidP="00553B00" w:rsidRDefault="00081EFC" w14:paraId="61D14E1B" w14:textId="53BFD19D">
      <w:pPr>
        <w:spacing w:before="95" w:line="313" w:lineRule="exact"/>
        <w:ind w:left="1454" w:right="1398"/>
        <w:jc w:val="center"/>
        <w:rPr>
          <w:b/>
          <w:szCs w:val="26"/>
        </w:rPr>
        <w:sectPr w:rsidR="00553B00" w:rsidSect="00081EFC">
          <w:headerReference w:type="default" r:id="rId17"/>
          <w:footnotePr>
            <w:numRestart w:val="eachSect"/>
          </w:footnotePr>
          <w:pgSz w:w="12240" w:h="15840"/>
          <w:pgMar w:top="1440" w:right="1440" w:bottom="1440" w:left="1440" w:header="720" w:footer="720" w:gutter="0"/>
          <w:pgNumType w:start="1"/>
          <w:cols w:space="720"/>
          <w:docGrid w:linePitch="360"/>
        </w:sectPr>
      </w:pPr>
      <w:r>
        <w:rPr>
          <w:rFonts w:eastAsia="Book Antiqua" w:cs="Book Antiqua"/>
          <w:b/>
          <w:bCs/>
          <w:szCs w:val="26"/>
        </w:rPr>
        <w:t xml:space="preserve">(END </w:t>
      </w:r>
      <w:r w:rsidRPr="539137C4">
        <w:rPr>
          <w:rFonts w:eastAsia="Book Antiqua" w:cs="Book Antiqua"/>
          <w:b/>
          <w:bCs/>
          <w:szCs w:val="26"/>
        </w:rPr>
        <w:t>APPENDIX</w:t>
      </w:r>
      <w:r w:rsidRPr="539137C4">
        <w:rPr>
          <w:rFonts w:eastAsia="Book Antiqua" w:cs="Book Antiqua"/>
          <w:b/>
          <w:bCs/>
          <w:spacing w:val="-3"/>
          <w:szCs w:val="26"/>
        </w:rPr>
        <w:t xml:space="preserve"> </w:t>
      </w:r>
      <w:r w:rsidR="00F4291F">
        <w:rPr>
          <w:rFonts w:eastAsia="Book Antiqua" w:cs="Book Antiqua"/>
          <w:b/>
          <w:bCs/>
          <w:spacing w:val="-3"/>
          <w:szCs w:val="26"/>
        </w:rPr>
        <w:t>1</w:t>
      </w:r>
      <w:r>
        <w:rPr>
          <w:rFonts w:eastAsia="Book Antiqua" w:cs="Book Antiqua"/>
          <w:b/>
          <w:bCs/>
          <w:spacing w:val="-3"/>
          <w:szCs w:val="26"/>
        </w:rPr>
        <w:t>)</w:t>
      </w:r>
    </w:p>
    <w:p w:rsidRPr="00676C3A" w:rsidR="00081EFC" w:rsidP="00676C3A" w:rsidRDefault="00081EFC" w14:paraId="02135B15" w14:textId="766E5DC0">
      <w:pPr>
        <w:pStyle w:val="Dummy"/>
        <w:jc w:val="center"/>
        <w:rPr>
          <w:rFonts w:ascii="Book Antiqua" w:hAnsi="Book Antiqua"/>
          <w:color w:val="000000" w:themeColor="text1"/>
        </w:rPr>
      </w:pPr>
      <w:r w:rsidRPr="00676C3A">
        <w:rPr>
          <w:rFonts w:ascii="Book Antiqua" w:hAnsi="Book Antiqua"/>
          <w:color w:val="000000" w:themeColor="text1"/>
        </w:rPr>
        <w:lastRenderedPageBreak/>
        <w:t xml:space="preserve">APPENDIX </w:t>
      </w:r>
      <w:r w:rsidRPr="00676C3A" w:rsidR="00F4291F">
        <w:rPr>
          <w:rFonts w:ascii="Book Antiqua" w:hAnsi="Book Antiqua"/>
          <w:color w:val="000000" w:themeColor="text1"/>
        </w:rPr>
        <w:t>2</w:t>
      </w:r>
    </w:p>
    <w:p w:rsidRPr="005118AA" w:rsidR="00081EFC" w:rsidP="00394667" w:rsidRDefault="00081EFC" w14:paraId="3B99E316" w14:textId="77777777">
      <w:pPr>
        <w:spacing w:before="1" w:line="240" w:lineRule="auto"/>
        <w:ind w:hanging="14"/>
        <w:jc w:val="center"/>
        <w:rPr>
          <w:b/>
          <w:szCs w:val="26"/>
        </w:rPr>
      </w:pPr>
      <w:r w:rsidRPr="005118AA">
        <w:rPr>
          <w:b/>
          <w:szCs w:val="26"/>
        </w:rPr>
        <w:t>Broadband</w:t>
      </w:r>
      <w:r w:rsidRPr="005118AA">
        <w:rPr>
          <w:b/>
          <w:spacing w:val="-2"/>
          <w:szCs w:val="26"/>
        </w:rPr>
        <w:t xml:space="preserve"> </w:t>
      </w:r>
      <w:r w:rsidRPr="005118AA">
        <w:rPr>
          <w:b/>
          <w:szCs w:val="26"/>
        </w:rPr>
        <w:t>Adoption</w:t>
      </w:r>
      <w:r w:rsidRPr="005118AA">
        <w:rPr>
          <w:b/>
          <w:spacing w:val="-2"/>
          <w:szCs w:val="26"/>
        </w:rPr>
        <w:t xml:space="preserve"> </w:t>
      </w:r>
      <w:r w:rsidRPr="005118AA">
        <w:rPr>
          <w:b/>
          <w:szCs w:val="26"/>
        </w:rPr>
        <w:t>Account</w:t>
      </w:r>
    </w:p>
    <w:p w:rsidR="00081EFC" w:rsidP="00002710" w:rsidRDefault="00081EFC" w14:paraId="19A98E26" w14:textId="1D74CE40">
      <w:pPr>
        <w:spacing w:line="240" w:lineRule="auto"/>
        <w:ind w:hanging="14"/>
        <w:jc w:val="center"/>
        <w:rPr>
          <w:b/>
          <w:szCs w:val="26"/>
        </w:rPr>
      </w:pPr>
      <w:r w:rsidRPr="005118AA">
        <w:rPr>
          <w:b/>
          <w:szCs w:val="26"/>
        </w:rPr>
        <w:t>Application</w:t>
      </w:r>
      <w:r w:rsidRPr="005118AA">
        <w:rPr>
          <w:b/>
          <w:spacing w:val="-4"/>
          <w:szCs w:val="26"/>
        </w:rPr>
        <w:t xml:space="preserve"> </w:t>
      </w:r>
      <w:r w:rsidRPr="005118AA">
        <w:rPr>
          <w:b/>
          <w:szCs w:val="26"/>
        </w:rPr>
        <w:t>Requirements</w:t>
      </w:r>
      <w:r w:rsidRPr="005118AA">
        <w:rPr>
          <w:b/>
          <w:spacing w:val="-4"/>
          <w:szCs w:val="26"/>
        </w:rPr>
        <w:t xml:space="preserve"> </w:t>
      </w:r>
      <w:r w:rsidRPr="005118AA">
        <w:rPr>
          <w:b/>
          <w:szCs w:val="26"/>
        </w:rPr>
        <w:t>and</w:t>
      </w:r>
      <w:r w:rsidRPr="005118AA">
        <w:rPr>
          <w:b/>
          <w:spacing w:val="-4"/>
          <w:szCs w:val="26"/>
        </w:rPr>
        <w:t xml:space="preserve"> </w:t>
      </w:r>
      <w:r w:rsidRPr="005118AA">
        <w:rPr>
          <w:b/>
          <w:szCs w:val="26"/>
        </w:rPr>
        <w:t>Guidelines</w:t>
      </w:r>
    </w:p>
    <w:p w:rsidRPr="005118AA" w:rsidR="00002710" w:rsidP="00394667" w:rsidRDefault="00002710" w14:paraId="25191DCE" w14:textId="77777777">
      <w:pPr>
        <w:spacing w:line="240" w:lineRule="auto"/>
        <w:ind w:hanging="14"/>
        <w:jc w:val="center"/>
        <w:rPr>
          <w:b/>
          <w:szCs w:val="26"/>
        </w:rPr>
      </w:pPr>
    </w:p>
    <w:p w:rsidRPr="005118AA" w:rsidR="00081EFC" w:rsidP="0033369D" w:rsidRDefault="00081EFC" w14:paraId="18BF1968" w14:textId="77777777">
      <w:pPr>
        <w:pStyle w:val="ListParagraph"/>
        <w:numPr>
          <w:ilvl w:val="0"/>
          <w:numId w:val="30"/>
        </w:numPr>
        <w:ind w:right="2432"/>
        <w:rPr>
          <w:b/>
          <w:sz w:val="26"/>
          <w:szCs w:val="26"/>
        </w:rPr>
      </w:pPr>
      <w:r w:rsidRPr="005118AA">
        <w:rPr>
          <w:b/>
          <w:sz w:val="26"/>
          <w:szCs w:val="26"/>
        </w:rPr>
        <w:t>Background</w:t>
      </w:r>
    </w:p>
    <w:p w:rsidRPr="00394667" w:rsidR="00081EFC" w:rsidP="00394667" w:rsidRDefault="00081EFC" w14:paraId="763E56D6" w14:textId="0298A9B1">
      <w:pPr>
        <w:spacing w:line="240" w:lineRule="auto"/>
        <w:ind w:firstLine="0"/>
        <w:rPr>
          <w:rFonts w:eastAsia="Palatino Linotype" w:cs="Palatino Linotype"/>
          <w:szCs w:val="26"/>
        </w:rPr>
      </w:pPr>
      <w:r w:rsidRPr="693A4047">
        <w:rPr>
          <w:rFonts w:eastAsia="Palatino Linotype" w:cs="Palatino Linotype"/>
        </w:rPr>
        <w:t>Pursuant to Public Utilities (</w:t>
      </w:r>
      <w:r w:rsidRPr="693A4047" w:rsidR="005D2B16">
        <w:rPr>
          <w:rFonts w:eastAsia="Palatino Linotype" w:cs="Palatino Linotype"/>
        </w:rPr>
        <w:t>Pub.</w:t>
      </w:r>
      <w:r w:rsidR="0056615B">
        <w:rPr>
          <w:rFonts w:eastAsia="Palatino Linotype" w:cs="Palatino Linotype"/>
        </w:rPr>
        <w:t xml:space="preserve"> </w:t>
      </w:r>
      <w:r w:rsidRPr="693A4047">
        <w:rPr>
          <w:rFonts w:eastAsia="Palatino Linotype" w:cs="Palatino Linotype"/>
        </w:rPr>
        <w:t xml:space="preserve">Util.) Code </w:t>
      </w:r>
      <w:r w:rsidR="0056615B">
        <w:rPr>
          <w:rFonts w:eastAsia="Palatino Linotype" w:cs="Palatino Linotype"/>
        </w:rPr>
        <w:t>s</w:t>
      </w:r>
      <w:r w:rsidRPr="693A4047">
        <w:rPr>
          <w:rFonts w:eastAsia="Palatino Linotype" w:cs="Palatino Linotype"/>
        </w:rPr>
        <w:t>ection 281, moneys in the Broadband Adoption Account are available to the Commission to award grants to increase publicly available or after-school broadband access and digital inclusion, such as grants for digital literacy training programs and public education to communities with limited broadband adoption, including low-income communities, senior communities, and communities facing socioeconomic barriers to broadband adoption. Moneys in the Broadband Adoption Account shall not be used to subsidize the costs of providing broadband service to households.</w:t>
      </w:r>
      <w:r w:rsidRPr="00394667">
        <w:rPr>
          <w:rFonts w:eastAsia="Palatino Linotype" w:cs="Palatino Linotype"/>
        </w:rPr>
        <w:footnoteReference w:id="194"/>
      </w:r>
      <w:r w:rsidRPr="693A4047">
        <w:rPr>
          <w:rFonts w:eastAsia="Palatino Linotype" w:cs="Palatino Linotype"/>
          <w:vertAlign w:val="superscript"/>
        </w:rPr>
        <w:t xml:space="preserve"> </w:t>
      </w:r>
    </w:p>
    <w:p w:rsidRPr="00B65A28" w:rsidR="00081EFC" w:rsidP="00394667" w:rsidRDefault="00081EFC" w14:paraId="50964873" w14:textId="77777777">
      <w:pPr>
        <w:spacing w:line="240" w:lineRule="auto"/>
        <w:ind w:right="2432"/>
        <w:rPr>
          <w:b/>
          <w:szCs w:val="26"/>
        </w:rPr>
      </w:pPr>
    </w:p>
    <w:p w:rsidRPr="00B65A28" w:rsidR="00081EFC" w:rsidP="0033369D" w:rsidRDefault="00081EFC" w14:paraId="30665598" w14:textId="77777777">
      <w:pPr>
        <w:pStyle w:val="ListParagraph"/>
        <w:numPr>
          <w:ilvl w:val="0"/>
          <w:numId w:val="30"/>
        </w:numPr>
        <w:ind w:right="2432"/>
        <w:rPr>
          <w:b/>
          <w:sz w:val="26"/>
          <w:szCs w:val="26"/>
        </w:rPr>
      </w:pPr>
      <w:r w:rsidRPr="00B65A28">
        <w:rPr>
          <w:b/>
          <w:sz w:val="26"/>
          <w:szCs w:val="26"/>
        </w:rPr>
        <w:t>Preference</w:t>
      </w:r>
    </w:p>
    <w:p w:rsidRPr="00394667" w:rsidR="00081EFC" w:rsidP="00394667" w:rsidRDefault="00081EFC" w14:paraId="60EE7EAF" w14:textId="35B2A5E5">
      <w:pPr>
        <w:spacing w:line="240" w:lineRule="auto"/>
        <w:ind w:firstLine="0"/>
        <w:rPr>
          <w:rFonts w:eastAsia="Palatino Linotype" w:cs="Palatino Linotype"/>
          <w:szCs w:val="26"/>
        </w:rPr>
      </w:pPr>
      <w:r w:rsidRPr="00394667">
        <w:rPr>
          <w:rFonts w:eastAsia="Palatino Linotype" w:cs="Palatino Linotype"/>
          <w:szCs w:val="26"/>
        </w:rPr>
        <w:t xml:space="preserve">Pub. Util. Code </w:t>
      </w:r>
      <w:r w:rsidR="0056615B">
        <w:rPr>
          <w:rFonts w:eastAsia="Palatino Linotype" w:cs="Palatino Linotype"/>
          <w:szCs w:val="26"/>
        </w:rPr>
        <w:t>s</w:t>
      </w:r>
      <w:r w:rsidRPr="00394667">
        <w:rPr>
          <w:rFonts w:eastAsia="Palatino Linotype" w:cs="Palatino Linotype"/>
          <w:szCs w:val="26"/>
        </w:rPr>
        <w:t>ection 281 requires the Commission to give preference to programs in communities with demonstrated low broadband access, including low-income communities, senior communities, and communities facing socioeconomic barriers to broadband adoption.</w:t>
      </w:r>
    </w:p>
    <w:p w:rsidRPr="00394667" w:rsidR="00081EFC" w:rsidP="00394667" w:rsidRDefault="00081EFC" w14:paraId="387EF0F1" w14:textId="77777777">
      <w:pPr>
        <w:spacing w:line="240" w:lineRule="auto"/>
        <w:ind w:firstLine="0"/>
        <w:rPr>
          <w:rFonts w:eastAsia="Palatino Linotype" w:cs="Palatino Linotype"/>
          <w:szCs w:val="26"/>
        </w:rPr>
      </w:pPr>
    </w:p>
    <w:p w:rsidRPr="00394667" w:rsidR="00081EFC" w:rsidP="00394667" w:rsidRDefault="00081EFC" w14:paraId="78EE2091" w14:textId="77777777">
      <w:pPr>
        <w:spacing w:line="240" w:lineRule="auto"/>
        <w:ind w:firstLine="0"/>
        <w:rPr>
          <w:rFonts w:eastAsia="Palatino Linotype" w:cs="Palatino Linotype"/>
          <w:szCs w:val="26"/>
        </w:rPr>
      </w:pPr>
      <w:r w:rsidRPr="00394667">
        <w:rPr>
          <w:rFonts w:eastAsia="Palatino Linotype" w:cs="Palatino Linotype"/>
          <w:szCs w:val="26"/>
        </w:rPr>
        <w:t>Applicants must complete a “Preference Checklist,” and the Commission will prioritize projects for funding based on preferences met.</w:t>
      </w:r>
    </w:p>
    <w:p w:rsidRPr="00B65A28" w:rsidR="00081EFC" w:rsidP="00394667" w:rsidRDefault="00081EFC" w14:paraId="626464C4" w14:textId="77777777">
      <w:pPr>
        <w:spacing w:line="240" w:lineRule="auto"/>
        <w:rPr>
          <w:bCs/>
          <w:szCs w:val="26"/>
        </w:rPr>
      </w:pPr>
    </w:p>
    <w:p w:rsidRPr="00B65A28" w:rsidR="00081EFC" w:rsidP="0033369D" w:rsidRDefault="00081EFC" w14:paraId="407AAA6A" w14:textId="77777777">
      <w:pPr>
        <w:pStyle w:val="ListParagraph"/>
        <w:numPr>
          <w:ilvl w:val="0"/>
          <w:numId w:val="30"/>
        </w:numPr>
        <w:ind w:right="2432"/>
        <w:rPr>
          <w:b/>
          <w:sz w:val="26"/>
          <w:szCs w:val="26"/>
        </w:rPr>
      </w:pPr>
      <w:r w:rsidRPr="00B65A28">
        <w:rPr>
          <w:b/>
          <w:sz w:val="26"/>
          <w:szCs w:val="26"/>
        </w:rPr>
        <w:t>Definitions</w:t>
      </w:r>
    </w:p>
    <w:p w:rsidRPr="00394667" w:rsidR="00081EFC" w:rsidP="00394667" w:rsidRDefault="00081EFC" w14:paraId="3CE87DF9" w14:textId="77777777">
      <w:pPr>
        <w:spacing w:line="240" w:lineRule="auto"/>
        <w:ind w:firstLine="0"/>
        <w:rPr>
          <w:rFonts w:eastAsia="Palatino Linotype" w:cs="Palatino Linotype"/>
          <w:szCs w:val="26"/>
        </w:rPr>
      </w:pPr>
      <w:r w:rsidRPr="693A4047">
        <w:rPr>
          <w:rFonts w:eastAsia="Palatino Linotype" w:cs="Palatino Linotype"/>
        </w:rPr>
        <w:t>Communities with demonstrated “low broadband access” for the Adoption Account are defined as communities or areas having low broadband subscription rates (a.k.a., low broadband adoption) relative to the statewide average,</w:t>
      </w:r>
      <w:r w:rsidRPr="0011759B">
        <w:rPr>
          <w:rFonts w:eastAsia="Palatino Linotype" w:cs="Palatino Linotype"/>
          <w:vertAlign w:val="superscript"/>
        </w:rPr>
        <w:footnoteReference w:id="195"/>
      </w:r>
      <w:r w:rsidRPr="693A4047">
        <w:rPr>
          <w:rFonts w:eastAsia="Palatino Linotype" w:cs="Palatino Linotype"/>
        </w:rPr>
        <w:t xml:space="preserve"> including communities facing socioeconomic barriers to broadband and adoption.</w:t>
      </w:r>
    </w:p>
    <w:p w:rsidR="00081EFC" w:rsidP="00394667" w:rsidRDefault="00081EFC" w14:paraId="3E358EA7" w14:textId="77777777">
      <w:pPr>
        <w:spacing w:line="240" w:lineRule="auto"/>
        <w:rPr>
          <w:bCs/>
          <w:szCs w:val="26"/>
        </w:rPr>
      </w:pPr>
    </w:p>
    <w:p w:rsidRPr="00394667" w:rsidR="00081EFC" w:rsidP="000169E8" w:rsidRDefault="00081EFC" w14:paraId="27AE644D" w14:textId="77777777">
      <w:pPr>
        <w:keepLines/>
        <w:widowControl w:val="0"/>
        <w:autoSpaceDE w:val="0"/>
        <w:autoSpaceDN w:val="0"/>
        <w:spacing w:line="240" w:lineRule="auto"/>
        <w:ind w:firstLine="0"/>
        <w:rPr>
          <w:rFonts w:eastAsia="Palatino Linotype" w:cs="Palatino Linotype"/>
          <w:bCs/>
          <w:szCs w:val="26"/>
        </w:rPr>
      </w:pPr>
      <w:r w:rsidRPr="693A4047">
        <w:rPr>
          <w:rFonts w:eastAsia="Palatino Linotype" w:cs="Palatino Linotype"/>
        </w:rPr>
        <w:lastRenderedPageBreak/>
        <w:t>“Communities facing socioeconomic barriers to broadband adoption” include low-income communities, communities with a high percentage of community members with limited English Proficiency, communities with a high percentage of community members with limited educational attainment, or communities with some other demonstrated disadvantage which affects broadband adoption.</w:t>
      </w:r>
      <w:r w:rsidRPr="0011759B">
        <w:rPr>
          <w:rFonts w:eastAsia="Palatino Linotype" w:cs="Palatino Linotype"/>
          <w:vertAlign w:val="superscript"/>
        </w:rPr>
        <w:footnoteReference w:id="196"/>
      </w:r>
    </w:p>
    <w:p w:rsidR="00081EFC" w:rsidP="00394667" w:rsidRDefault="00081EFC" w14:paraId="684AAA53" w14:textId="77777777">
      <w:pPr>
        <w:spacing w:line="240" w:lineRule="auto"/>
        <w:rPr>
          <w:bCs/>
          <w:szCs w:val="26"/>
        </w:rPr>
      </w:pPr>
    </w:p>
    <w:p w:rsidRPr="00394667" w:rsidR="00081EFC" w:rsidP="00394667" w:rsidRDefault="00081EFC" w14:paraId="13750F84" w14:textId="77777777">
      <w:pPr>
        <w:spacing w:line="240" w:lineRule="auto"/>
        <w:ind w:firstLine="0"/>
        <w:rPr>
          <w:rFonts w:eastAsia="Palatino Linotype" w:cs="Palatino Linotype"/>
          <w:szCs w:val="26"/>
        </w:rPr>
      </w:pPr>
      <w:r w:rsidRPr="693A4047">
        <w:rPr>
          <w:rFonts w:eastAsia="Palatino Linotype" w:cs="Palatino Linotype"/>
        </w:rPr>
        <w:t>“Low-income communities,” for the purposes of the Adoption Account, include those communities with a median household income at or below the California Alternate Rates for Energy (CARE) program income limits for a household of four.</w:t>
      </w:r>
      <w:r w:rsidRPr="00394667">
        <w:rPr>
          <w:rFonts w:eastAsia="Palatino Linotype" w:cs="Palatino Linotype"/>
        </w:rPr>
        <w:footnoteReference w:id="197"/>
      </w:r>
      <w:r w:rsidRPr="693A4047">
        <w:rPr>
          <w:rFonts w:eastAsia="Palatino Linotype" w:cs="Palatino Linotype"/>
        </w:rPr>
        <w:t xml:space="preserve"> “Communities” can be geographically defined by a political or US Census geographic extent (such as a city or county boundary, or a census tract/block or designated place), by location (such as a public housing complex or senior center) or by the class or category of people served (such as disadvantaged youth). Income information provided by the applicant must be for the designated community.</w:t>
      </w:r>
    </w:p>
    <w:p w:rsidR="00081EFC" w:rsidP="00394667" w:rsidRDefault="00081EFC" w14:paraId="0CE0FADF" w14:textId="77777777">
      <w:pPr>
        <w:spacing w:line="240" w:lineRule="auto"/>
        <w:rPr>
          <w:bCs/>
          <w:szCs w:val="26"/>
        </w:rPr>
      </w:pPr>
    </w:p>
    <w:p w:rsidRPr="00394667" w:rsidR="00081EFC" w:rsidP="00394667" w:rsidRDefault="00081EFC" w14:paraId="2E04EE2B" w14:textId="77777777">
      <w:pPr>
        <w:spacing w:line="240" w:lineRule="auto"/>
        <w:ind w:firstLine="0"/>
        <w:rPr>
          <w:rFonts w:eastAsia="Palatino Linotype" w:cs="Palatino Linotype"/>
          <w:szCs w:val="26"/>
        </w:rPr>
      </w:pPr>
      <w:r w:rsidRPr="00394667">
        <w:rPr>
          <w:rFonts w:eastAsia="Palatino Linotype" w:cs="Palatino Linotype"/>
          <w:szCs w:val="26"/>
        </w:rPr>
        <w:t xml:space="preserve">A project </w:t>
      </w:r>
      <w:proofErr w:type="gramStart"/>
      <w:r w:rsidRPr="00394667">
        <w:rPr>
          <w:rFonts w:eastAsia="Palatino Linotype" w:cs="Palatino Linotype"/>
          <w:szCs w:val="26"/>
        </w:rPr>
        <w:t>is located in</w:t>
      </w:r>
      <w:proofErr w:type="gramEnd"/>
      <w:r w:rsidRPr="00394667">
        <w:rPr>
          <w:rFonts w:eastAsia="Palatino Linotype" w:cs="Palatino Linotype"/>
          <w:szCs w:val="26"/>
        </w:rPr>
        <w:t xml:space="preserve"> a "rural" area if it is located in one of the following:</w:t>
      </w:r>
    </w:p>
    <w:p w:rsidR="00081EFC" w:rsidP="0033369D" w:rsidRDefault="00081EFC" w14:paraId="0E31A118" w14:textId="77777777">
      <w:pPr>
        <w:pStyle w:val="ListParagraph"/>
        <w:numPr>
          <w:ilvl w:val="0"/>
          <w:numId w:val="31"/>
        </w:numPr>
        <w:rPr>
          <w:bCs/>
          <w:sz w:val="26"/>
          <w:szCs w:val="26"/>
        </w:rPr>
      </w:pPr>
      <w:r w:rsidRPr="00157689">
        <w:rPr>
          <w:bCs/>
          <w:sz w:val="26"/>
          <w:szCs w:val="26"/>
        </w:rPr>
        <w:t xml:space="preserve">an area that is eligible for federal program under the United States Department of Agriculture (USDA) Section 515 </w:t>
      </w:r>
      <w:proofErr w:type="gramStart"/>
      <w:r w:rsidRPr="00157689">
        <w:rPr>
          <w:bCs/>
          <w:sz w:val="26"/>
          <w:szCs w:val="26"/>
        </w:rPr>
        <w:t>program;</w:t>
      </w:r>
      <w:proofErr w:type="gramEnd"/>
    </w:p>
    <w:p w:rsidR="00081EFC" w:rsidP="0033369D" w:rsidRDefault="00081EFC" w14:paraId="20FDD569" w14:textId="77777777">
      <w:pPr>
        <w:pStyle w:val="ListParagraph"/>
        <w:numPr>
          <w:ilvl w:val="0"/>
          <w:numId w:val="31"/>
        </w:numPr>
        <w:rPr>
          <w:bCs/>
          <w:sz w:val="26"/>
          <w:szCs w:val="26"/>
        </w:rPr>
      </w:pPr>
      <w:r w:rsidRPr="00157689">
        <w:rPr>
          <w:bCs/>
          <w:sz w:val="26"/>
          <w:szCs w:val="26"/>
        </w:rPr>
        <w:t>a city with a population of 40,000 or less or in a non-urban area; or</w:t>
      </w:r>
    </w:p>
    <w:p w:rsidRPr="00157689" w:rsidR="00081EFC" w:rsidP="0033369D" w:rsidRDefault="00081EFC" w14:paraId="44F0DFC1" w14:textId="77777777">
      <w:pPr>
        <w:pStyle w:val="ListParagraph"/>
        <w:numPr>
          <w:ilvl w:val="0"/>
          <w:numId w:val="31"/>
        </w:numPr>
        <w:rPr>
          <w:bCs/>
          <w:sz w:val="26"/>
          <w:szCs w:val="26"/>
        </w:rPr>
      </w:pPr>
      <w:r w:rsidRPr="00157689">
        <w:rPr>
          <w:bCs/>
          <w:sz w:val="26"/>
          <w:szCs w:val="26"/>
        </w:rPr>
        <w:t>an unincorporated area of a county and is not in an urban area.</w:t>
      </w:r>
    </w:p>
    <w:p w:rsidRPr="00B65A28" w:rsidR="00081EFC" w:rsidP="00081EFC" w:rsidRDefault="00081EFC" w14:paraId="67C4DB4F" w14:textId="77777777">
      <w:pPr>
        <w:rPr>
          <w:b/>
          <w:sz w:val="24"/>
        </w:rPr>
      </w:pPr>
    </w:p>
    <w:p w:rsidR="00081EFC" w:rsidP="0033369D" w:rsidRDefault="00081EFC" w14:paraId="061E4AA2" w14:textId="77777777">
      <w:pPr>
        <w:pStyle w:val="ListParagraph"/>
        <w:numPr>
          <w:ilvl w:val="0"/>
          <w:numId w:val="30"/>
        </w:numPr>
        <w:ind w:right="2432"/>
        <w:rPr>
          <w:b/>
          <w:sz w:val="26"/>
          <w:szCs w:val="26"/>
        </w:rPr>
      </w:pPr>
      <w:r w:rsidRPr="00B65A28">
        <w:rPr>
          <w:b/>
          <w:sz w:val="26"/>
          <w:szCs w:val="26"/>
        </w:rPr>
        <w:t>Eligible Applicants</w:t>
      </w:r>
    </w:p>
    <w:p w:rsidRPr="00394667" w:rsidR="00081EFC" w:rsidP="00394667" w:rsidRDefault="00081EFC" w14:paraId="5321CFAA" w14:textId="00D94AF5">
      <w:pPr>
        <w:widowControl w:val="0"/>
        <w:autoSpaceDE w:val="0"/>
        <w:autoSpaceDN w:val="0"/>
        <w:spacing w:line="240" w:lineRule="auto"/>
        <w:ind w:firstLine="0"/>
        <w:rPr>
          <w:rFonts w:eastAsia="Palatino Linotype" w:cs="Palatino Linotype"/>
          <w:szCs w:val="26"/>
        </w:rPr>
      </w:pPr>
      <w:r w:rsidRPr="693A4047">
        <w:rPr>
          <w:rFonts w:eastAsia="Palatino Linotype" w:cs="Palatino Linotype"/>
        </w:rPr>
        <w:t>For the purposes of the Adoption Account, eligible applicants are local governments, senior centers, schools, public libraries, nonprofit organizations, and community-based organizations with programs to increase publicly available or after school broadband access and digital inclusion, such as digital literacy training programs.</w:t>
      </w:r>
      <w:r w:rsidRPr="00394667">
        <w:rPr>
          <w:rFonts w:eastAsia="Palatino Linotype" w:cs="Palatino Linotype"/>
        </w:rPr>
        <w:footnoteReference w:id="198"/>
      </w:r>
    </w:p>
    <w:p w:rsidR="00081EFC" w:rsidP="00394667" w:rsidRDefault="00081EFC" w14:paraId="53288A0B" w14:textId="77777777">
      <w:pPr>
        <w:spacing w:line="240" w:lineRule="auto"/>
        <w:rPr>
          <w:szCs w:val="26"/>
        </w:rPr>
      </w:pPr>
    </w:p>
    <w:p w:rsidRPr="00394667" w:rsidR="00081EFC" w:rsidP="00394667" w:rsidRDefault="00081EFC" w14:paraId="5544A74E" w14:textId="77777777">
      <w:pPr>
        <w:widowControl w:val="0"/>
        <w:autoSpaceDE w:val="0"/>
        <w:autoSpaceDN w:val="0"/>
        <w:spacing w:line="240" w:lineRule="auto"/>
        <w:ind w:firstLine="0"/>
        <w:rPr>
          <w:rFonts w:eastAsia="Palatino Linotype" w:cs="Palatino Linotype"/>
          <w:szCs w:val="26"/>
        </w:rPr>
      </w:pPr>
      <w:r w:rsidRPr="00394667">
        <w:rPr>
          <w:rFonts w:eastAsia="Palatino Linotype" w:cs="Palatino Linotype"/>
          <w:szCs w:val="26"/>
        </w:rPr>
        <w:t>No adoption grant recipient can charge for classes (funded by a grant) or make a profit of any kind from the grant funds.</w:t>
      </w:r>
    </w:p>
    <w:p w:rsidRPr="00157689" w:rsidR="00081EFC" w:rsidP="00081EFC" w:rsidRDefault="00081EFC" w14:paraId="45D336F9" w14:textId="77777777">
      <w:pPr>
        <w:rPr>
          <w:szCs w:val="26"/>
        </w:rPr>
      </w:pPr>
    </w:p>
    <w:p w:rsidR="00081EFC" w:rsidP="00394667" w:rsidRDefault="00081EFC" w14:paraId="52F0CDEA" w14:textId="77777777">
      <w:pPr>
        <w:pStyle w:val="ListParagraph"/>
        <w:keepNext/>
        <w:keepLines/>
        <w:numPr>
          <w:ilvl w:val="0"/>
          <w:numId w:val="30"/>
        </w:numPr>
        <w:ind w:right="2434"/>
        <w:rPr>
          <w:b/>
          <w:sz w:val="26"/>
          <w:szCs w:val="26"/>
        </w:rPr>
      </w:pPr>
      <w:r w:rsidRPr="00B65A28">
        <w:rPr>
          <w:b/>
          <w:sz w:val="26"/>
          <w:szCs w:val="26"/>
        </w:rPr>
        <w:lastRenderedPageBreak/>
        <w:t>Eligible Projects</w:t>
      </w:r>
    </w:p>
    <w:p w:rsidR="00081EFC" w:rsidP="00394667" w:rsidRDefault="00081EFC" w14:paraId="7B187394" w14:textId="77777777">
      <w:pPr>
        <w:keepNext/>
        <w:keepLines/>
        <w:spacing w:line="240" w:lineRule="auto"/>
        <w:ind w:right="2434" w:firstLine="0"/>
        <w:rPr>
          <w:b/>
          <w:i/>
          <w:iCs/>
          <w:szCs w:val="26"/>
        </w:rPr>
      </w:pPr>
      <w:r w:rsidRPr="009D49A4">
        <w:rPr>
          <w:b/>
          <w:i/>
          <w:iCs/>
          <w:szCs w:val="26"/>
        </w:rPr>
        <w:t>Digital Literacy &amp; Broadband Access Projects</w:t>
      </w:r>
    </w:p>
    <w:p w:rsidRPr="00972733" w:rsidR="00081EFC" w:rsidP="00394667" w:rsidRDefault="00081EFC" w14:paraId="7416F258" w14:textId="77777777">
      <w:pPr>
        <w:spacing w:line="240" w:lineRule="auto"/>
        <w:ind w:right="2432"/>
        <w:rPr>
          <w:b/>
          <w:szCs w:val="26"/>
        </w:rPr>
      </w:pPr>
    </w:p>
    <w:p w:rsidRPr="00972733" w:rsidR="00081EFC" w:rsidP="00394667" w:rsidRDefault="00081EFC" w14:paraId="2F5C044B"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Digital inclusion projects may include digital literacy training programs and public education to communities with limited broadband adoption, including low-income communities, senior communities, and communities facing socioeconomic barriers to broadband adoption.</w:t>
      </w:r>
    </w:p>
    <w:p w:rsidRPr="00972733" w:rsidR="00081EFC" w:rsidP="00394667" w:rsidRDefault="00081EFC" w14:paraId="781D817E"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1EFDAD38"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Broadband Access projects may include those that provide free broadband access in community training rooms or other public space, such as local government centers, senior centers, schools, public libraries, nonprofit organizations, and</w:t>
      </w:r>
    </w:p>
    <w:p w:rsidRPr="00972733" w:rsidR="00081EFC" w:rsidP="00394667" w:rsidRDefault="00081EFC" w14:paraId="04EB0D4C"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community-based organizations. The Commission may also fund community outreach, such as analysis, comparison of Internet plans within the community, and call centers that will increase broadband access and adoption.</w:t>
      </w:r>
    </w:p>
    <w:p w:rsidRPr="00972733" w:rsidR="00081EFC" w:rsidP="00394667" w:rsidRDefault="00081EFC" w14:paraId="4869C8D1"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1D49DA36" w14:textId="5CACA2C3">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Broadband access project applicants must make such broadband access available within six months of submitting a consent form accepting an offered Adoption Account grant and Digital Literacy projects must commence instruction within six months of submitting a consent form accepting an offered Adoption Account grant</w:t>
      </w:r>
      <w:r w:rsidRPr="00972733" w:rsidR="004F6F8E">
        <w:rPr>
          <w:rFonts w:eastAsia="Palatino Linotype" w:cs="Palatino Linotype"/>
          <w:szCs w:val="26"/>
        </w:rPr>
        <w:t>.</w:t>
      </w:r>
    </w:p>
    <w:p w:rsidRPr="00972733" w:rsidR="00081EFC" w:rsidP="00394667" w:rsidRDefault="00081EFC" w14:paraId="35450CC1"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3507185D"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Digital literacy project applicants must commit to providing at least 8 hours of digital literacy training to each participant through digital literacy classes, one on one tutoring or self-paced instruction.</w:t>
      </w:r>
    </w:p>
    <w:p w:rsidRPr="00394667" w:rsidR="00081EFC" w:rsidP="00394667" w:rsidRDefault="00081EFC" w14:paraId="6C3E6FDD" w14:textId="77777777">
      <w:pPr>
        <w:widowControl w:val="0"/>
        <w:autoSpaceDE w:val="0"/>
        <w:autoSpaceDN w:val="0"/>
        <w:spacing w:line="240" w:lineRule="auto"/>
        <w:ind w:firstLine="0"/>
        <w:rPr>
          <w:rFonts w:ascii="Palatino Linotype" w:hAnsi="Palatino Linotype" w:eastAsia="Palatino Linotype" w:cs="Palatino Linotype"/>
          <w:szCs w:val="26"/>
        </w:rPr>
      </w:pPr>
    </w:p>
    <w:p w:rsidRPr="00394667" w:rsidR="00081EFC" w:rsidP="00394667" w:rsidRDefault="00081EFC" w14:paraId="32566773" w14:textId="77777777">
      <w:pPr>
        <w:widowControl w:val="0"/>
        <w:autoSpaceDE w:val="0"/>
        <w:autoSpaceDN w:val="0"/>
        <w:spacing w:line="240" w:lineRule="auto"/>
        <w:ind w:firstLine="0"/>
        <w:rPr>
          <w:rFonts w:ascii="Palatino Linotype" w:hAnsi="Palatino Linotype" w:eastAsia="Palatino Linotype" w:cs="Palatino Linotype"/>
          <w:szCs w:val="26"/>
        </w:rPr>
      </w:pPr>
      <w:r w:rsidRPr="00394667">
        <w:rPr>
          <w:rFonts w:ascii="Palatino Linotype" w:hAnsi="Palatino Linotype" w:eastAsia="Palatino Linotype" w:cs="Palatino Linotype"/>
          <w:szCs w:val="26"/>
        </w:rPr>
        <w:t>The Commission may fund up to 85 percent of the eligible program costs and may reimburse the following:</w:t>
      </w:r>
    </w:p>
    <w:p w:rsidR="00081EFC" w:rsidP="0033369D" w:rsidRDefault="00081EFC" w14:paraId="37CB6B7D" w14:textId="77777777">
      <w:pPr>
        <w:pStyle w:val="ListParagraph"/>
        <w:numPr>
          <w:ilvl w:val="0"/>
          <w:numId w:val="32"/>
        </w:numPr>
        <w:rPr>
          <w:bCs/>
          <w:sz w:val="26"/>
          <w:szCs w:val="26"/>
        </w:rPr>
      </w:pPr>
      <w:r>
        <w:rPr>
          <w:bCs/>
          <w:sz w:val="26"/>
          <w:szCs w:val="26"/>
        </w:rPr>
        <w:t xml:space="preserve">Education and outreach efforts (including travel, up to 10% of approved grant amount) and </w:t>
      </w:r>
      <w:proofErr w:type="gramStart"/>
      <w:r>
        <w:rPr>
          <w:bCs/>
          <w:sz w:val="26"/>
          <w:szCs w:val="26"/>
        </w:rPr>
        <w:t>materials;</w:t>
      </w:r>
      <w:proofErr w:type="gramEnd"/>
    </w:p>
    <w:p w:rsidR="00081EFC" w:rsidP="0033369D" w:rsidRDefault="00081EFC" w14:paraId="11E7638B" w14:textId="77777777">
      <w:pPr>
        <w:pStyle w:val="ListParagraph"/>
        <w:numPr>
          <w:ilvl w:val="0"/>
          <w:numId w:val="32"/>
        </w:numPr>
        <w:rPr>
          <w:bCs/>
          <w:sz w:val="26"/>
          <w:szCs w:val="26"/>
        </w:rPr>
      </w:pPr>
      <w:r>
        <w:rPr>
          <w:bCs/>
          <w:sz w:val="26"/>
          <w:szCs w:val="26"/>
        </w:rPr>
        <w:t xml:space="preserve">Acceptable computing devices (does not include smartphones) within budgetary limits and inclusive of computer </w:t>
      </w:r>
      <w:proofErr w:type="gramStart"/>
      <w:r>
        <w:rPr>
          <w:bCs/>
          <w:sz w:val="26"/>
          <w:szCs w:val="26"/>
        </w:rPr>
        <w:t>warranty;</w:t>
      </w:r>
      <w:proofErr w:type="gramEnd"/>
    </w:p>
    <w:p w:rsidR="00081EFC" w:rsidP="0033369D" w:rsidRDefault="00081EFC" w14:paraId="74E289C2" w14:textId="77777777">
      <w:pPr>
        <w:pStyle w:val="ListParagraph"/>
        <w:numPr>
          <w:ilvl w:val="0"/>
          <w:numId w:val="33"/>
        </w:numPr>
        <w:rPr>
          <w:bCs/>
          <w:sz w:val="26"/>
          <w:szCs w:val="26"/>
        </w:rPr>
      </w:pPr>
      <w:r>
        <w:rPr>
          <w:bCs/>
          <w:sz w:val="26"/>
          <w:szCs w:val="26"/>
        </w:rPr>
        <w:t>In-classroom computing devices</w:t>
      </w:r>
    </w:p>
    <w:p w:rsidR="00081EFC" w:rsidP="0033369D" w:rsidRDefault="00081EFC" w14:paraId="31CBD582" w14:textId="77777777">
      <w:pPr>
        <w:pStyle w:val="ListParagraph"/>
        <w:numPr>
          <w:ilvl w:val="0"/>
          <w:numId w:val="33"/>
        </w:numPr>
        <w:rPr>
          <w:bCs/>
          <w:sz w:val="26"/>
          <w:szCs w:val="26"/>
        </w:rPr>
      </w:pPr>
      <w:r>
        <w:rPr>
          <w:bCs/>
          <w:sz w:val="26"/>
          <w:szCs w:val="26"/>
        </w:rPr>
        <w:t>Take-home computing devices (for Digital Literacy Projects only)</w:t>
      </w:r>
    </w:p>
    <w:p w:rsidR="00081EFC" w:rsidP="0033369D" w:rsidRDefault="00081EFC" w14:paraId="73CAA3C8" w14:textId="77777777">
      <w:pPr>
        <w:pStyle w:val="ListParagraph"/>
        <w:numPr>
          <w:ilvl w:val="0"/>
          <w:numId w:val="32"/>
        </w:numPr>
        <w:rPr>
          <w:sz w:val="26"/>
          <w:szCs w:val="26"/>
        </w:rPr>
      </w:pPr>
      <w:r w:rsidRPr="1DD58392">
        <w:rPr>
          <w:sz w:val="26"/>
          <w:szCs w:val="26"/>
        </w:rPr>
        <w:t>Software (inclusive of licensing for online platforms</w:t>
      </w:r>
      <w:proofErr w:type="gramStart"/>
      <w:r w:rsidRPr="1DD58392">
        <w:rPr>
          <w:sz w:val="26"/>
          <w:szCs w:val="26"/>
        </w:rPr>
        <w:t>);</w:t>
      </w:r>
      <w:proofErr w:type="gramEnd"/>
    </w:p>
    <w:p w:rsidR="00081EFC" w:rsidP="0033369D" w:rsidRDefault="00081EFC" w14:paraId="3FFA1B67" w14:textId="77777777">
      <w:pPr>
        <w:pStyle w:val="ListParagraph"/>
        <w:numPr>
          <w:ilvl w:val="0"/>
          <w:numId w:val="32"/>
        </w:numPr>
        <w:rPr>
          <w:bCs/>
          <w:sz w:val="26"/>
          <w:szCs w:val="26"/>
        </w:rPr>
      </w:pPr>
      <w:r>
        <w:rPr>
          <w:bCs/>
          <w:sz w:val="26"/>
          <w:szCs w:val="26"/>
        </w:rPr>
        <w:t>Printers</w:t>
      </w:r>
    </w:p>
    <w:p w:rsidRPr="00972733" w:rsidR="00081EFC" w:rsidP="0033369D" w:rsidRDefault="00081EFC" w14:paraId="78FA200C" w14:textId="77777777">
      <w:pPr>
        <w:pStyle w:val="ListParagraph"/>
        <w:numPr>
          <w:ilvl w:val="0"/>
          <w:numId w:val="32"/>
        </w:numPr>
        <w:rPr>
          <w:bCs/>
          <w:sz w:val="26"/>
          <w:szCs w:val="26"/>
        </w:rPr>
      </w:pPr>
      <w:r>
        <w:rPr>
          <w:bCs/>
          <w:sz w:val="26"/>
          <w:szCs w:val="26"/>
        </w:rPr>
        <w:t xml:space="preserve">Network routers, switches, modems, and cabling deployed for the purpose of establishing a space for broadband access or digital literacy that </w:t>
      </w:r>
      <w:r w:rsidRPr="00972733">
        <w:rPr>
          <w:bCs/>
          <w:sz w:val="26"/>
          <w:szCs w:val="26"/>
        </w:rPr>
        <w:t>connects to an existing in-building broadband network such as Wi-Fi (inside network</w:t>
      </w:r>
      <w:proofErr w:type="gramStart"/>
      <w:r w:rsidRPr="00972733">
        <w:rPr>
          <w:bCs/>
          <w:sz w:val="26"/>
          <w:szCs w:val="26"/>
        </w:rPr>
        <w:t>);</w:t>
      </w:r>
      <w:proofErr w:type="gramEnd"/>
    </w:p>
    <w:p w:rsidRPr="00972733" w:rsidR="00081EFC" w:rsidP="0033369D" w:rsidRDefault="00081EFC" w14:paraId="2EAC6033" w14:textId="77777777">
      <w:pPr>
        <w:pStyle w:val="ListParagraph"/>
        <w:numPr>
          <w:ilvl w:val="0"/>
          <w:numId w:val="32"/>
        </w:numPr>
        <w:rPr>
          <w:bCs/>
          <w:sz w:val="26"/>
          <w:szCs w:val="26"/>
        </w:rPr>
      </w:pPr>
      <w:r w:rsidRPr="00972733">
        <w:rPr>
          <w:bCs/>
          <w:sz w:val="26"/>
          <w:szCs w:val="26"/>
        </w:rPr>
        <w:lastRenderedPageBreak/>
        <w:t xml:space="preserve">Mobile hotspots, only when no inside network is </w:t>
      </w:r>
      <w:proofErr w:type="gramStart"/>
      <w:r w:rsidRPr="00972733">
        <w:rPr>
          <w:bCs/>
          <w:sz w:val="26"/>
          <w:szCs w:val="26"/>
        </w:rPr>
        <w:t>available;</w:t>
      </w:r>
      <w:proofErr w:type="gramEnd"/>
    </w:p>
    <w:p w:rsidRPr="00972733" w:rsidR="00081EFC" w:rsidP="0033369D" w:rsidRDefault="00081EFC" w14:paraId="25F3577A" w14:textId="77777777">
      <w:pPr>
        <w:pStyle w:val="ListParagraph"/>
        <w:numPr>
          <w:ilvl w:val="0"/>
          <w:numId w:val="32"/>
        </w:numPr>
        <w:rPr>
          <w:bCs/>
          <w:sz w:val="26"/>
          <w:szCs w:val="26"/>
        </w:rPr>
      </w:pPr>
      <w:r w:rsidRPr="00972733">
        <w:rPr>
          <w:bCs/>
          <w:sz w:val="26"/>
          <w:szCs w:val="26"/>
        </w:rPr>
        <w:t xml:space="preserve">Provision of technical support for the computing devices subsidized through this </w:t>
      </w:r>
      <w:proofErr w:type="gramStart"/>
      <w:r w:rsidRPr="00972733">
        <w:rPr>
          <w:bCs/>
          <w:sz w:val="26"/>
          <w:szCs w:val="26"/>
        </w:rPr>
        <w:t>program;</w:t>
      </w:r>
      <w:proofErr w:type="gramEnd"/>
    </w:p>
    <w:p w:rsidRPr="00972733" w:rsidR="00081EFC" w:rsidP="0033369D" w:rsidRDefault="00081EFC" w14:paraId="036F99B9" w14:textId="77777777">
      <w:pPr>
        <w:pStyle w:val="ListParagraph"/>
        <w:numPr>
          <w:ilvl w:val="0"/>
          <w:numId w:val="32"/>
        </w:numPr>
        <w:rPr>
          <w:bCs/>
          <w:sz w:val="26"/>
          <w:szCs w:val="26"/>
        </w:rPr>
      </w:pPr>
      <w:r w:rsidRPr="00972733">
        <w:rPr>
          <w:bCs/>
          <w:sz w:val="26"/>
          <w:szCs w:val="26"/>
        </w:rPr>
        <w:t xml:space="preserve">Desks and chairs to furnish a designated space for digital literacy or broadband </w:t>
      </w:r>
      <w:proofErr w:type="gramStart"/>
      <w:r w:rsidRPr="00972733">
        <w:rPr>
          <w:bCs/>
          <w:sz w:val="26"/>
          <w:szCs w:val="26"/>
        </w:rPr>
        <w:t>access;</w:t>
      </w:r>
      <w:proofErr w:type="gramEnd"/>
    </w:p>
    <w:p w:rsidRPr="00972733" w:rsidR="00081EFC" w:rsidP="0033369D" w:rsidRDefault="00081EFC" w14:paraId="6B68FCBC" w14:textId="77777777">
      <w:pPr>
        <w:pStyle w:val="ListParagraph"/>
        <w:numPr>
          <w:ilvl w:val="0"/>
          <w:numId w:val="32"/>
        </w:numPr>
        <w:rPr>
          <w:bCs/>
          <w:sz w:val="26"/>
          <w:szCs w:val="26"/>
        </w:rPr>
      </w:pPr>
      <w:r w:rsidRPr="00972733">
        <w:rPr>
          <w:bCs/>
          <w:sz w:val="26"/>
          <w:szCs w:val="26"/>
        </w:rPr>
        <w:t xml:space="preserve">For Digital Literacy Projects, gathering, preparing, creating, and distributing digital literacy </w:t>
      </w:r>
      <w:proofErr w:type="gramStart"/>
      <w:r w:rsidRPr="00972733">
        <w:rPr>
          <w:bCs/>
          <w:sz w:val="26"/>
          <w:szCs w:val="26"/>
        </w:rPr>
        <w:t>curriculum;</w:t>
      </w:r>
      <w:proofErr w:type="gramEnd"/>
    </w:p>
    <w:p w:rsidRPr="00972733" w:rsidR="00081EFC" w:rsidP="0033369D" w:rsidRDefault="00081EFC" w14:paraId="35B4B0C8" w14:textId="77777777">
      <w:pPr>
        <w:pStyle w:val="ListParagraph"/>
        <w:numPr>
          <w:ilvl w:val="0"/>
          <w:numId w:val="32"/>
        </w:numPr>
        <w:rPr>
          <w:bCs/>
          <w:sz w:val="26"/>
          <w:szCs w:val="26"/>
        </w:rPr>
      </w:pPr>
      <w:r w:rsidRPr="00972733">
        <w:rPr>
          <w:bCs/>
          <w:sz w:val="26"/>
          <w:szCs w:val="26"/>
        </w:rPr>
        <w:t>Staff including digital literacy instructors, staff for monitoring the designated space, or staff for administering call centers (if applicable); and</w:t>
      </w:r>
    </w:p>
    <w:p w:rsidRPr="00972733" w:rsidR="00081EFC" w:rsidP="0033369D" w:rsidRDefault="00081EFC" w14:paraId="6FEEC57D" w14:textId="77777777">
      <w:pPr>
        <w:pStyle w:val="ListParagraph"/>
        <w:numPr>
          <w:ilvl w:val="0"/>
          <w:numId w:val="32"/>
        </w:numPr>
        <w:rPr>
          <w:sz w:val="26"/>
          <w:szCs w:val="26"/>
        </w:rPr>
      </w:pPr>
      <w:r w:rsidRPr="00972733">
        <w:rPr>
          <w:sz w:val="26"/>
          <w:szCs w:val="26"/>
        </w:rPr>
        <w:t>Reimbursement for administrative costs,</w:t>
      </w:r>
      <w:r w:rsidRPr="00972733">
        <w:rPr>
          <w:rStyle w:val="FootnoteReference"/>
          <w:sz w:val="26"/>
          <w:szCs w:val="26"/>
        </w:rPr>
        <w:footnoteReference w:id="199"/>
      </w:r>
      <w:r w:rsidRPr="00972733">
        <w:rPr>
          <w:sz w:val="26"/>
          <w:szCs w:val="26"/>
        </w:rPr>
        <w:t xml:space="preserve"> (other than for excluded items, listed below) is limited to administrative costs representing 15% or less of the overall proposed budget.</w:t>
      </w:r>
    </w:p>
    <w:p w:rsidRPr="00972733" w:rsidR="00081EFC" w:rsidP="00081EFC" w:rsidRDefault="00081EFC" w14:paraId="361B4EA3" w14:textId="77777777">
      <w:pPr>
        <w:rPr>
          <w:szCs w:val="26"/>
        </w:rPr>
      </w:pPr>
    </w:p>
    <w:p w:rsidRPr="00972733" w:rsidR="00081EFC" w:rsidP="00394667" w:rsidRDefault="00081EFC" w14:paraId="50A4915D"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Device technical support must be able to respond either by phone or in person within 24 hours. Refurbished devices must have at least a six-month warranty. New devices must have at least a 30-day warranty.</w:t>
      </w:r>
    </w:p>
    <w:p w:rsidRPr="00972733" w:rsidR="00081EFC" w:rsidP="00394667" w:rsidRDefault="00081EFC" w14:paraId="546987EF"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6F90ABEC"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Facility rent, utilities, internet service costs, food costs, lodging, marketing incentives for participation (gift cards, giveaways, etc.), certain classroom supplies and accessories, and other items not listed above are not eligible for reimbursement. All funding requests will be assessed for reasonableness and may be adjusted accordingly at the discretion of the Commission. Any remaining project costs not authorized for funding by the CASF Adoption grant must be funded by other sources (leveraged or self-funding).</w:t>
      </w:r>
    </w:p>
    <w:p w:rsidRPr="009D49A4" w:rsidR="00081EFC" w:rsidP="00081EFC" w:rsidRDefault="00081EFC" w14:paraId="1C205D3F" w14:textId="77777777">
      <w:pPr>
        <w:rPr>
          <w:bCs/>
          <w:szCs w:val="26"/>
        </w:rPr>
      </w:pPr>
    </w:p>
    <w:p w:rsidR="00081EFC" w:rsidP="00394667" w:rsidRDefault="00081EFC" w14:paraId="20A5EB91" w14:textId="77777777">
      <w:pPr>
        <w:pStyle w:val="ListParagraph"/>
        <w:keepNext/>
        <w:keepLines/>
        <w:numPr>
          <w:ilvl w:val="0"/>
          <w:numId w:val="30"/>
        </w:numPr>
        <w:ind w:right="2432"/>
        <w:rPr>
          <w:b/>
          <w:sz w:val="26"/>
          <w:szCs w:val="26"/>
        </w:rPr>
      </w:pPr>
      <w:r w:rsidRPr="00B65A28">
        <w:rPr>
          <w:b/>
          <w:sz w:val="26"/>
          <w:szCs w:val="26"/>
        </w:rPr>
        <w:t>Subsidy Levels</w:t>
      </w:r>
    </w:p>
    <w:p w:rsidRPr="00972733" w:rsidR="00081EFC" w:rsidP="00394667" w:rsidRDefault="00081EFC" w14:paraId="184ADD90" w14:textId="77777777">
      <w:pPr>
        <w:keepNext/>
        <w:keepLines/>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The Commission may fund up to 85 percent of the total eligible program costs listed above.</w:t>
      </w:r>
    </w:p>
    <w:p w:rsidRPr="00972733" w:rsidR="00081EFC" w:rsidP="00394667" w:rsidRDefault="00081EFC" w14:paraId="0B22A685"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4B5B018D"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 xml:space="preserve">Reimbursement for computing devices used in community training rooms or other public space, such as local government centers, senior centers, schools, public libraries, nonprofit organizations, and community-based organizations (i.e., in-classroom computers) is capped at $11,250 per </w:t>
      </w:r>
      <w:proofErr w:type="gramStart"/>
      <w:r w:rsidRPr="00972733">
        <w:rPr>
          <w:rFonts w:eastAsia="Palatino Linotype" w:cs="Palatino Linotype"/>
          <w:szCs w:val="26"/>
        </w:rPr>
        <w:t>project, and</w:t>
      </w:r>
      <w:proofErr w:type="gramEnd"/>
      <w:r w:rsidRPr="00972733">
        <w:rPr>
          <w:rFonts w:eastAsia="Palatino Linotype" w:cs="Palatino Linotype"/>
          <w:szCs w:val="26"/>
        </w:rPr>
        <w:t xml:space="preserve"> limited to </w:t>
      </w:r>
      <w:r w:rsidRPr="00972733">
        <w:rPr>
          <w:rFonts w:eastAsia="Palatino Linotype" w:cs="Palatino Linotype"/>
          <w:szCs w:val="26"/>
        </w:rPr>
        <w:lastRenderedPageBreak/>
        <w:t>$750 per device (device software costs will be considered a separate expense).</w:t>
      </w:r>
    </w:p>
    <w:p w:rsidRPr="00972733" w:rsidR="00081EFC" w:rsidP="00394667" w:rsidRDefault="00081EFC" w14:paraId="7D5751C4"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19E8BA5A"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 xml:space="preserve">Reimbursement for mobile hotspots used in community training rooms or other public spaces such as local government centers, senior centers, schools, public libraries nonprofit organizations, and community-based organizations or used by individuals in locations where no inside network exists, is limited to a cap of $300 per device and $20,000 per project.  </w:t>
      </w:r>
    </w:p>
    <w:p w:rsidRPr="00972733" w:rsidR="00081EFC" w:rsidP="00394667" w:rsidRDefault="00081EFC" w14:paraId="1041C2C6"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45D9E29F" w14:textId="3369806B">
      <w:pPr>
        <w:widowControl w:val="0"/>
        <w:autoSpaceDE w:val="0"/>
        <w:autoSpaceDN w:val="0"/>
        <w:spacing w:line="240" w:lineRule="auto"/>
        <w:ind w:firstLine="0"/>
        <w:rPr>
          <w:rFonts w:eastAsia="Palatino Linotype" w:cs="Palatino Linotype"/>
          <w:szCs w:val="26"/>
        </w:rPr>
      </w:pPr>
      <w:r w:rsidRPr="00972733">
        <w:rPr>
          <w:rFonts w:eastAsia="Palatino Linotype" w:cs="Palatino Linotype"/>
        </w:rPr>
        <w:t>For Digital Literacy Projects, only households with incomes at or below the thresholds required to participate in, or that participate in, the California Alternative Rates for Energy (CARE),</w:t>
      </w:r>
      <w:r w:rsidRPr="00972733">
        <w:rPr>
          <w:rFonts w:eastAsia="Palatino Linotype" w:cs="Palatino Linotype"/>
        </w:rPr>
        <w:footnoteReference w:id="200"/>
      </w:r>
      <w:r w:rsidRPr="00972733">
        <w:rPr>
          <w:rFonts w:eastAsia="Palatino Linotype" w:cs="Palatino Linotype"/>
        </w:rPr>
        <w:t xml:space="preserve"> the Supplemental Nutritional Assistance Program, the National School Lunch Program, or the Women, Infants, and Children Program are eligible to receive computing devices to take home after completing digital literacy training courses (take-home computers). Reimbursement for take-home computing devices is capped at $300 per device, limited to two computing devices per eligible household, and limited to $40,000 per project. Grantees should ensure proof of eligibility in their distribution of computing devices for households</w:t>
      </w:r>
      <w:r w:rsidRPr="00972733" w:rsidR="0017608C">
        <w:rPr>
          <w:rFonts w:eastAsia="Palatino Linotype" w:cs="Palatino Linotype"/>
        </w:rPr>
        <w:t>.</w:t>
      </w:r>
    </w:p>
    <w:p w:rsidRPr="00972733" w:rsidR="00081EFC" w:rsidP="00394667" w:rsidRDefault="00081EFC" w14:paraId="52D7CC8C"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0BAA4393" w14:textId="4E429491">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Overall costs for such computing devices and hotspots may exceed these caps; however, any portion not approved for grant funding must be funded by other sources (leveraged or self-funding).</w:t>
      </w:r>
    </w:p>
    <w:p w:rsidRPr="00204102" w:rsidR="00700ACF" w:rsidP="00394667" w:rsidRDefault="00700ACF" w14:paraId="757C7CF4" w14:textId="77777777">
      <w:pPr>
        <w:widowControl w:val="0"/>
        <w:autoSpaceDE w:val="0"/>
        <w:autoSpaceDN w:val="0"/>
        <w:spacing w:line="240" w:lineRule="auto"/>
        <w:ind w:firstLine="0"/>
        <w:rPr>
          <w:szCs w:val="26"/>
        </w:rPr>
      </w:pPr>
    </w:p>
    <w:p w:rsidR="00081EFC" w:rsidP="0033369D" w:rsidRDefault="00081EFC" w14:paraId="1DEF1EFE" w14:textId="77777777">
      <w:pPr>
        <w:pStyle w:val="ListParagraph"/>
        <w:numPr>
          <w:ilvl w:val="0"/>
          <w:numId w:val="30"/>
        </w:numPr>
        <w:ind w:right="2432"/>
        <w:rPr>
          <w:b/>
          <w:sz w:val="26"/>
          <w:szCs w:val="26"/>
        </w:rPr>
      </w:pPr>
      <w:r w:rsidRPr="00B65A28">
        <w:rPr>
          <w:b/>
          <w:sz w:val="26"/>
          <w:szCs w:val="26"/>
        </w:rPr>
        <w:t>Information Required from Applicants</w:t>
      </w:r>
    </w:p>
    <w:p w:rsidR="00081EFC" w:rsidP="00394667" w:rsidRDefault="00081EFC" w14:paraId="7984BFC6" w14:textId="77777777">
      <w:pPr>
        <w:spacing w:line="240" w:lineRule="auto"/>
        <w:ind w:right="2432"/>
        <w:rPr>
          <w:b/>
          <w:szCs w:val="26"/>
        </w:rPr>
      </w:pPr>
    </w:p>
    <w:p w:rsidRPr="00394667" w:rsidR="00081EFC" w:rsidP="00394667" w:rsidRDefault="00081EFC" w14:paraId="74BE1666" w14:textId="77777777">
      <w:pPr>
        <w:widowControl w:val="0"/>
        <w:autoSpaceDE w:val="0"/>
        <w:autoSpaceDN w:val="0"/>
        <w:spacing w:line="240" w:lineRule="auto"/>
        <w:ind w:firstLine="0"/>
        <w:rPr>
          <w:rFonts w:eastAsia="Palatino Linotype" w:cs="Palatino Linotype"/>
          <w:szCs w:val="26"/>
        </w:rPr>
      </w:pPr>
      <w:r w:rsidRPr="00394667">
        <w:rPr>
          <w:rFonts w:eastAsia="Palatino Linotype" w:cs="Palatino Linotype"/>
          <w:szCs w:val="26"/>
        </w:rPr>
        <w:t xml:space="preserve">Applicants must complete and submit a project application form for each project, along with a signed affidavit, which will be available on the Commission’s website. Separate applications must be submitted for locations which have both a digital literacy and broadband access component.  Staff will post the application descriptions submitted by each deadline on the CASF webpage. Applicants must submit the required information requested to the Commission for each proposed project. All applications will be reviewed and evaluated for completeness and overall quality. Incomplete applications will be rejected.  </w:t>
      </w:r>
    </w:p>
    <w:p w:rsidR="00081EFC" w:rsidP="00394667" w:rsidRDefault="00081EFC" w14:paraId="3B6E307B" w14:textId="77777777">
      <w:pPr>
        <w:spacing w:line="240" w:lineRule="auto"/>
        <w:rPr>
          <w:szCs w:val="26"/>
        </w:rPr>
      </w:pPr>
    </w:p>
    <w:p w:rsidR="00081EFC" w:rsidP="00394667" w:rsidRDefault="00081EFC" w14:paraId="0D46A80B" w14:textId="77777777">
      <w:pPr>
        <w:spacing w:line="240" w:lineRule="auto"/>
        <w:ind w:firstLine="0"/>
        <w:rPr>
          <w:i/>
          <w:iCs/>
          <w:szCs w:val="26"/>
        </w:rPr>
      </w:pPr>
      <w:r w:rsidRPr="00D056B5">
        <w:rPr>
          <w:i/>
          <w:iCs/>
          <w:szCs w:val="26"/>
        </w:rPr>
        <w:lastRenderedPageBreak/>
        <w:t>Digital Literacy Projects &amp; Broadband Access Projects</w:t>
      </w:r>
    </w:p>
    <w:p w:rsidRPr="00BD3578" w:rsidR="00081EFC" w:rsidP="0033369D" w:rsidRDefault="00081EFC" w14:paraId="6AA95ACD" w14:textId="77777777">
      <w:pPr>
        <w:pStyle w:val="ListParagraph"/>
        <w:numPr>
          <w:ilvl w:val="0"/>
          <w:numId w:val="34"/>
        </w:numPr>
        <w:rPr>
          <w:b/>
          <w:bCs/>
          <w:sz w:val="26"/>
          <w:szCs w:val="26"/>
        </w:rPr>
      </w:pPr>
      <w:r w:rsidRPr="00BD3578">
        <w:rPr>
          <w:b/>
          <w:bCs/>
          <w:sz w:val="26"/>
          <w:szCs w:val="26"/>
        </w:rPr>
        <w:t>Project Description</w:t>
      </w:r>
    </w:p>
    <w:p w:rsidR="00081EFC" w:rsidP="0033369D" w:rsidRDefault="00081EFC" w14:paraId="7E0D5C23" w14:textId="77777777">
      <w:pPr>
        <w:pStyle w:val="ListParagraph"/>
        <w:numPr>
          <w:ilvl w:val="0"/>
          <w:numId w:val="35"/>
        </w:numPr>
        <w:rPr>
          <w:sz w:val="26"/>
          <w:szCs w:val="26"/>
        </w:rPr>
      </w:pPr>
      <w:r>
        <w:rPr>
          <w:sz w:val="26"/>
          <w:szCs w:val="26"/>
        </w:rPr>
        <w:t>Applicant’s name, description of organization</w:t>
      </w:r>
    </w:p>
    <w:p w:rsidR="00081EFC" w:rsidP="0033369D" w:rsidRDefault="00081EFC" w14:paraId="6194999B" w14:textId="77777777">
      <w:pPr>
        <w:pStyle w:val="ListParagraph"/>
        <w:numPr>
          <w:ilvl w:val="0"/>
          <w:numId w:val="35"/>
        </w:numPr>
        <w:rPr>
          <w:sz w:val="26"/>
          <w:szCs w:val="26"/>
        </w:rPr>
      </w:pPr>
      <w:r w:rsidRPr="1DD58392">
        <w:rPr>
          <w:sz w:val="26"/>
          <w:szCs w:val="26"/>
        </w:rPr>
        <w:t>Nonprofit applicants must submit an IRS letter approving the applicant’s status as a 501(c)(3) entity, which must include the applicant’s Tax Identification Number, along with the most recently submitted IRS Form 990, if required to file, and documentation showing good standing with the U.S. Internal Revenue Service, the California Secretary of State, or the California Department of Justice.</w:t>
      </w:r>
    </w:p>
    <w:p w:rsidRPr="00A665C9" w:rsidR="00081EFC" w:rsidP="0033369D" w:rsidRDefault="00081EFC" w14:paraId="1CD5C8EB" w14:textId="77777777">
      <w:pPr>
        <w:pStyle w:val="ListParagraph"/>
        <w:numPr>
          <w:ilvl w:val="0"/>
          <w:numId w:val="35"/>
        </w:numPr>
        <w:rPr>
          <w:sz w:val="26"/>
          <w:szCs w:val="26"/>
        </w:rPr>
      </w:pPr>
      <w:r w:rsidRPr="00A665C9">
        <w:rPr>
          <w:sz w:val="26"/>
          <w:szCs w:val="26"/>
        </w:rPr>
        <w:t xml:space="preserve">Applicant’s experience in providing digital literacy instruction or broadband access, indicating satisfaction of applicant eligibility experience </w:t>
      </w:r>
      <w:proofErr w:type="gramStart"/>
      <w:r w:rsidRPr="00A665C9">
        <w:rPr>
          <w:sz w:val="26"/>
          <w:szCs w:val="26"/>
        </w:rPr>
        <w:t>requirements;</w:t>
      </w:r>
      <w:proofErr w:type="gramEnd"/>
    </w:p>
    <w:p w:rsidRPr="00A665C9" w:rsidR="00081EFC" w:rsidP="0033369D" w:rsidRDefault="00081EFC" w14:paraId="5089B1A4" w14:textId="77777777">
      <w:pPr>
        <w:pStyle w:val="ListParagraph"/>
        <w:numPr>
          <w:ilvl w:val="0"/>
          <w:numId w:val="35"/>
        </w:numPr>
        <w:rPr>
          <w:sz w:val="26"/>
          <w:szCs w:val="26"/>
        </w:rPr>
      </w:pPr>
      <w:r w:rsidRPr="00A665C9">
        <w:rPr>
          <w:sz w:val="26"/>
          <w:szCs w:val="26"/>
        </w:rPr>
        <w:t xml:space="preserve">Contact person, title, address, e-mail, </w:t>
      </w:r>
      <w:proofErr w:type="gramStart"/>
      <w:r w:rsidRPr="00A665C9">
        <w:rPr>
          <w:sz w:val="26"/>
          <w:szCs w:val="26"/>
        </w:rPr>
        <w:t>phone;</w:t>
      </w:r>
      <w:proofErr w:type="gramEnd"/>
    </w:p>
    <w:p w:rsidRPr="00A665C9" w:rsidR="00081EFC" w:rsidP="0033369D" w:rsidRDefault="00081EFC" w14:paraId="4D70CB5A" w14:textId="77777777">
      <w:pPr>
        <w:pStyle w:val="ListParagraph"/>
        <w:numPr>
          <w:ilvl w:val="0"/>
          <w:numId w:val="35"/>
        </w:numPr>
        <w:rPr>
          <w:sz w:val="26"/>
          <w:szCs w:val="26"/>
        </w:rPr>
      </w:pPr>
      <w:r w:rsidRPr="00A665C9">
        <w:rPr>
          <w:sz w:val="26"/>
          <w:szCs w:val="26"/>
        </w:rPr>
        <w:t xml:space="preserve">Project </w:t>
      </w:r>
      <w:proofErr w:type="gramStart"/>
      <w:r w:rsidRPr="00A665C9">
        <w:rPr>
          <w:sz w:val="26"/>
          <w:szCs w:val="26"/>
        </w:rPr>
        <w:t>title;</w:t>
      </w:r>
      <w:proofErr w:type="gramEnd"/>
    </w:p>
    <w:p w:rsidRPr="00A665C9" w:rsidR="00081EFC" w:rsidP="0033369D" w:rsidRDefault="00081EFC" w14:paraId="7B360F50" w14:textId="77777777">
      <w:pPr>
        <w:pStyle w:val="ListParagraph"/>
        <w:numPr>
          <w:ilvl w:val="0"/>
          <w:numId w:val="35"/>
        </w:numPr>
        <w:rPr>
          <w:sz w:val="26"/>
          <w:szCs w:val="26"/>
        </w:rPr>
      </w:pPr>
      <w:r w:rsidRPr="00A665C9">
        <w:rPr>
          <w:sz w:val="26"/>
          <w:szCs w:val="26"/>
        </w:rPr>
        <w:t>Proposed Project Area/Community/ Location (Community / County / Census Block(s)) including address (if applicable</w:t>
      </w:r>
      <w:proofErr w:type="gramStart"/>
      <w:r w:rsidRPr="00A665C9">
        <w:rPr>
          <w:sz w:val="26"/>
          <w:szCs w:val="26"/>
        </w:rPr>
        <w:t>);</w:t>
      </w:r>
      <w:proofErr w:type="gramEnd"/>
    </w:p>
    <w:p w:rsidRPr="00A665C9" w:rsidR="00081EFC" w:rsidP="0033369D" w:rsidRDefault="00081EFC" w14:paraId="63F6652C" w14:textId="77777777">
      <w:pPr>
        <w:pStyle w:val="ListParagraph"/>
        <w:numPr>
          <w:ilvl w:val="0"/>
          <w:numId w:val="35"/>
        </w:numPr>
        <w:rPr>
          <w:sz w:val="26"/>
          <w:szCs w:val="26"/>
        </w:rPr>
      </w:pPr>
      <w:r w:rsidRPr="00A665C9">
        <w:rPr>
          <w:sz w:val="26"/>
          <w:szCs w:val="26"/>
        </w:rPr>
        <w:t>CASF Funding Requested (Amount of Grant</w:t>
      </w:r>
      <w:proofErr w:type="gramStart"/>
      <w:r w:rsidRPr="00A665C9">
        <w:rPr>
          <w:sz w:val="26"/>
          <w:szCs w:val="26"/>
        </w:rPr>
        <w:t>);</w:t>
      </w:r>
      <w:proofErr w:type="gramEnd"/>
    </w:p>
    <w:p w:rsidRPr="00A665C9" w:rsidR="00081EFC" w:rsidP="0033369D" w:rsidRDefault="00081EFC" w14:paraId="7E944596" w14:textId="77777777">
      <w:pPr>
        <w:pStyle w:val="ListParagraph"/>
        <w:numPr>
          <w:ilvl w:val="0"/>
          <w:numId w:val="35"/>
        </w:numPr>
        <w:rPr>
          <w:sz w:val="26"/>
          <w:szCs w:val="26"/>
        </w:rPr>
      </w:pPr>
      <w:r w:rsidRPr="00A665C9">
        <w:rPr>
          <w:sz w:val="26"/>
          <w:szCs w:val="26"/>
        </w:rPr>
        <w:t>Efforts to leverage funds from other sources (non-CASF moneys</w:t>
      </w:r>
      <w:proofErr w:type="gramStart"/>
      <w:r w:rsidRPr="00A665C9">
        <w:rPr>
          <w:sz w:val="26"/>
          <w:szCs w:val="26"/>
        </w:rPr>
        <w:t>);</w:t>
      </w:r>
      <w:proofErr w:type="gramEnd"/>
    </w:p>
    <w:p w:rsidRPr="00A665C9" w:rsidR="00081EFC" w:rsidP="0033369D" w:rsidRDefault="00081EFC" w14:paraId="193E8E52" w14:textId="77777777">
      <w:pPr>
        <w:pStyle w:val="ListParagraph"/>
        <w:numPr>
          <w:ilvl w:val="0"/>
          <w:numId w:val="35"/>
        </w:numPr>
        <w:rPr>
          <w:sz w:val="26"/>
          <w:szCs w:val="26"/>
        </w:rPr>
      </w:pPr>
      <w:r w:rsidRPr="00A665C9">
        <w:rPr>
          <w:sz w:val="26"/>
          <w:szCs w:val="26"/>
        </w:rPr>
        <w:t xml:space="preserve">Area/ Community/ Location’s (by census tract or other delineation), adoption levels, income, </w:t>
      </w:r>
      <w:proofErr w:type="gramStart"/>
      <w:r w:rsidRPr="00A665C9">
        <w:rPr>
          <w:sz w:val="26"/>
          <w:szCs w:val="26"/>
        </w:rPr>
        <w:t>demographics;</w:t>
      </w:r>
      <w:proofErr w:type="gramEnd"/>
    </w:p>
    <w:p w:rsidR="00081EFC" w:rsidP="003A07BC" w:rsidRDefault="00081EFC" w14:paraId="0FE698F6" w14:textId="77777777">
      <w:pPr>
        <w:pStyle w:val="ListParagraph"/>
        <w:numPr>
          <w:ilvl w:val="0"/>
          <w:numId w:val="35"/>
        </w:numPr>
        <w:rPr>
          <w:sz w:val="26"/>
          <w:szCs w:val="26"/>
        </w:rPr>
      </w:pPr>
      <w:r w:rsidRPr="00A665C9">
        <w:rPr>
          <w:sz w:val="26"/>
          <w:szCs w:val="26"/>
        </w:rPr>
        <w:t xml:space="preserve">Needs Assessment. Description of the need for this project: Does the community have low broadband adoption relative to the statewide average? Does the community face socioeconomic barriers to broadband access and adoption? For example, </w:t>
      </w:r>
      <w:r w:rsidRPr="693A4047">
        <w:rPr>
          <w:i/>
          <w:iCs/>
          <w:sz w:val="26"/>
          <w:szCs w:val="26"/>
        </w:rPr>
        <w:t>see</w:t>
      </w:r>
      <w:r w:rsidRPr="00A665C9">
        <w:rPr>
          <w:sz w:val="26"/>
          <w:szCs w:val="26"/>
        </w:rPr>
        <w:t xml:space="preserve"> NTIA Toolkit “Understand Community Needs and Opportunities”</w:t>
      </w:r>
      <w:r>
        <w:rPr>
          <w:rStyle w:val="FootnoteReference"/>
          <w:sz w:val="26"/>
          <w:szCs w:val="26"/>
        </w:rPr>
        <w:footnoteReference w:id="201"/>
      </w:r>
    </w:p>
    <w:p w:rsidRPr="00A665C9" w:rsidR="00081EFC" w:rsidP="0033369D" w:rsidRDefault="00081EFC" w14:paraId="1C86DF8C" w14:textId="77777777">
      <w:pPr>
        <w:pStyle w:val="ListParagraph"/>
        <w:numPr>
          <w:ilvl w:val="0"/>
          <w:numId w:val="35"/>
        </w:numPr>
        <w:rPr>
          <w:sz w:val="26"/>
          <w:szCs w:val="26"/>
        </w:rPr>
      </w:pPr>
      <w:r w:rsidRPr="00A665C9">
        <w:rPr>
          <w:sz w:val="26"/>
          <w:szCs w:val="26"/>
        </w:rPr>
        <w:t xml:space="preserve">Completed Preferences </w:t>
      </w:r>
      <w:proofErr w:type="gramStart"/>
      <w:r w:rsidRPr="00A665C9">
        <w:rPr>
          <w:sz w:val="26"/>
          <w:szCs w:val="26"/>
        </w:rPr>
        <w:t>Checklist;</w:t>
      </w:r>
      <w:proofErr w:type="gramEnd"/>
    </w:p>
    <w:p w:rsidRPr="00A665C9" w:rsidR="00081EFC" w:rsidP="0033369D" w:rsidRDefault="00081EFC" w14:paraId="7D3AD0F4" w14:textId="77777777">
      <w:pPr>
        <w:pStyle w:val="ListParagraph"/>
        <w:numPr>
          <w:ilvl w:val="0"/>
          <w:numId w:val="35"/>
        </w:numPr>
        <w:rPr>
          <w:sz w:val="26"/>
          <w:szCs w:val="26"/>
        </w:rPr>
      </w:pPr>
      <w:r w:rsidRPr="00A665C9">
        <w:rPr>
          <w:sz w:val="26"/>
          <w:szCs w:val="26"/>
        </w:rPr>
        <w:t>Demonstration of community support: examples could include letters of</w:t>
      </w:r>
      <w:r w:rsidRPr="00A665C9">
        <w:rPr>
          <w:spacing w:val="-57"/>
          <w:sz w:val="26"/>
          <w:szCs w:val="26"/>
        </w:rPr>
        <w:t xml:space="preserve"> </w:t>
      </w:r>
      <w:r w:rsidRPr="00A665C9">
        <w:rPr>
          <w:sz w:val="26"/>
          <w:szCs w:val="26"/>
        </w:rPr>
        <w:t>endorsements should be obtained from community-based organizations,</w:t>
      </w:r>
      <w:r w:rsidRPr="00A665C9">
        <w:rPr>
          <w:spacing w:val="-58"/>
          <w:sz w:val="26"/>
          <w:szCs w:val="26"/>
        </w:rPr>
        <w:t xml:space="preserve"> </w:t>
      </w:r>
      <w:r w:rsidRPr="00A665C9">
        <w:rPr>
          <w:sz w:val="26"/>
          <w:szCs w:val="26"/>
        </w:rPr>
        <w:t>schools,</w:t>
      </w:r>
      <w:r w:rsidRPr="00A665C9">
        <w:rPr>
          <w:spacing w:val="-2"/>
          <w:sz w:val="26"/>
          <w:szCs w:val="26"/>
        </w:rPr>
        <w:t xml:space="preserve"> </w:t>
      </w:r>
      <w:r w:rsidRPr="00A665C9">
        <w:rPr>
          <w:sz w:val="26"/>
          <w:szCs w:val="26"/>
        </w:rPr>
        <w:t>hospitals,</w:t>
      </w:r>
      <w:r w:rsidRPr="00A665C9">
        <w:rPr>
          <w:spacing w:val="-1"/>
          <w:sz w:val="26"/>
          <w:szCs w:val="26"/>
        </w:rPr>
        <w:t xml:space="preserve"> </w:t>
      </w:r>
      <w:r w:rsidRPr="00A665C9">
        <w:rPr>
          <w:sz w:val="26"/>
          <w:szCs w:val="26"/>
        </w:rPr>
        <w:t>libraries, businesses</w:t>
      </w:r>
      <w:r w:rsidRPr="00A665C9">
        <w:rPr>
          <w:spacing w:val="-2"/>
          <w:sz w:val="26"/>
          <w:szCs w:val="26"/>
        </w:rPr>
        <w:t xml:space="preserve"> </w:t>
      </w:r>
      <w:r w:rsidRPr="00A665C9">
        <w:rPr>
          <w:sz w:val="26"/>
          <w:szCs w:val="26"/>
        </w:rPr>
        <w:t>and</w:t>
      </w:r>
      <w:r w:rsidRPr="00A665C9">
        <w:rPr>
          <w:spacing w:val="-1"/>
          <w:sz w:val="26"/>
          <w:szCs w:val="26"/>
        </w:rPr>
        <w:t xml:space="preserve"> </w:t>
      </w:r>
      <w:proofErr w:type="gramStart"/>
      <w:r w:rsidRPr="00A665C9">
        <w:rPr>
          <w:sz w:val="26"/>
          <w:szCs w:val="26"/>
        </w:rPr>
        <w:t>consumers;</w:t>
      </w:r>
      <w:proofErr w:type="gramEnd"/>
    </w:p>
    <w:p w:rsidRPr="00A665C9" w:rsidR="00081EFC" w:rsidP="0033369D" w:rsidRDefault="00081EFC" w14:paraId="546F0B56" w14:textId="77777777">
      <w:pPr>
        <w:pStyle w:val="ListParagraph"/>
        <w:numPr>
          <w:ilvl w:val="0"/>
          <w:numId w:val="35"/>
        </w:numPr>
        <w:rPr>
          <w:sz w:val="26"/>
          <w:szCs w:val="26"/>
        </w:rPr>
      </w:pPr>
      <w:r w:rsidRPr="00A665C9">
        <w:rPr>
          <w:sz w:val="26"/>
          <w:szCs w:val="26"/>
        </w:rPr>
        <w:t>Description of partnerships with local Community Based Organizations</w:t>
      </w:r>
      <w:r w:rsidRPr="00A665C9">
        <w:rPr>
          <w:spacing w:val="-57"/>
          <w:sz w:val="26"/>
          <w:szCs w:val="26"/>
        </w:rPr>
        <w:t xml:space="preserve"> </w:t>
      </w:r>
      <w:r w:rsidRPr="00A665C9">
        <w:rPr>
          <w:sz w:val="26"/>
          <w:szCs w:val="26"/>
        </w:rPr>
        <w:t>(CBOs)s, Internet Service Providers, media groups, for-profit companies</w:t>
      </w:r>
      <w:r w:rsidRPr="00A665C9">
        <w:rPr>
          <w:spacing w:val="-58"/>
          <w:sz w:val="26"/>
          <w:szCs w:val="26"/>
        </w:rPr>
        <w:t xml:space="preserve"> </w:t>
      </w:r>
      <w:r w:rsidRPr="00A665C9">
        <w:rPr>
          <w:sz w:val="26"/>
          <w:szCs w:val="26"/>
        </w:rPr>
        <w:t>and</w:t>
      </w:r>
      <w:r w:rsidRPr="00A665C9">
        <w:rPr>
          <w:spacing w:val="-2"/>
          <w:sz w:val="26"/>
          <w:szCs w:val="26"/>
        </w:rPr>
        <w:t xml:space="preserve"> </w:t>
      </w:r>
      <w:r w:rsidRPr="00A665C9">
        <w:rPr>
          <w:sz w:val="26"/>
          <w:szCs w:val="26"/>
        </w:rPr>
        <w:t>other</w:t>
      </w:r>
      <w:r w:rsidRPr="00A665C9">
        <w:rPr>
          <w:spacing w:val="1"/>
          <w:sz w:val="26"/>
          <w:szCs w:val="26"/>
        </w:rPr>
        <w:t xml:space="preserve"> </w:t>
      </w:r>
      <w:r w:rsidRPr="00A665C9">
        <w:rPr>
          <w:sz w:val="26"/>
          <w:szCs w:val="26"/>
        </w:rPr>
        <w:t xml:space="preserve">applicable </w:t>
      </w:r>
      <w:proofErr w:type="gramStart"/>
      <w:r w:rsidRPr="00A665C9">
        <w:rPr>
          <w:sz w:val="26"/>
          <w:szCs w:val="26"/>
        </w:rPr>
        <w:t>organizations;</w:t>
      </w:r>
      <w:proofErr w:type="gramEnd"/>
    </w:p>
    <w:p w:rsidRPr="00A665C9" w:rsidR="00081EFC" w:rsidP="0033369D" w:rsidRDefault="00081EFC" w14:paraId="4312D542" w14:textId="77777777">
      <w:pPr>
        <w:pStyle w:val="ListParagraph"/>
        <w:numPr>
          <w:ilvl w:val="0"/>
          <w:numId w:val="35"/>
        </w:numPr>
        <w:rPr>
          <w:sz w:val="26"/>
          <w:szCs w:val="26"/>
        </w:rPr>
      </w:pPr>
      <w:r w:rsidRPr="00A665C9">
        <w:rPr>
          <w:sz w:val="26"/>
          <w:szCs w:val="26"/>
        </w:rPr>
        <w:t>Description of planned outreach efforts, including sample promotional</w:t>
      </w:r>
      <w:r w:rsidRPr="00A665C9">
        <w:rPr>
          <w:spacing w:val="1"/>
          <w:sz w:val="26"/>
          <w:szCs w:val="26"/>
        </w:rPr>
        <w:t xml:space="preserve"> </w:t>
      </w:r>
      <w:r w:rsidRPr="00A665C9">
        <w:rPr>
          <w:sz w:val="26"/>
          <w:szCs w:val="26"/>
        </w:rPr>
        <w:t xml:space="preserve">material, planned community events, volunteer </w:t>
      </w:r>
      <w:r w:rsidRPr="00A665C9">
        <w:rPr>
          <w:sz w:val="26"/>
          <w:szCs w:val="26"/>
        </w:rPr>
        <w:lastRenderedPageBreak/>
        <w:t>recruitment or any other</w:t>
      </w:r>
      <w:r w:rsidRPr="00A665C9">
        <w:rPr>
          <w:spacing w:val="-57"/>
          <w:sz w:val="26"/>
          <w:szCs w:val="26"/>
        </w:rPr>
        <w:t xml:space="preserve"> </w:t>
      </w:r>
      <w:r w:rsidRPr="00A665C9">
        <w:rPr>
          <w:sz w:val="26"/>
          <w:szCs w:val="26"/>
        </w:rPr>
        <w:t>relevant</w:t>
      </w:r>
      <w:r w:rsidRPr="00A665C9">
        <w:rPr>
          <w:spacing w:val="-1"/>
          <w:sz w:val="26"/>
          <w:szCs w:val="26"/>
        </w:rPr>
        <w:t xml:space="preserve"> </w:t>
      </w:r>
      <w:proofErr w:type="gramStart"/>
      <w:r w:rsidRPr="00A665C9">
        <w:rPr>
          <w:sz w:val="26"/>
          <w:szCs w:val="26"/>
        </w:rPr>
        <w:t>materials;</w:t>
      </w:r>
      <w:proofErr w:type="gramEnd"/>
    </w:p>
    <w:p w:rsidRPr="00A665C9" w:rsidR="00081EFC" w:rsidP="0033369D" w:rsidRDefault="00081EFC" w14:paraId="448C17D9" w14:textId="77777777">
      <w:pPr>
        <w:pStyle w:val="ListParagraph"/>
        <w:numPr>
          <w:ilvl w:val="0"/>
          <w:numId w:val="35"/>
        </w:numPr>
        <w:rPr>
          <w:sz w:val="26"/>
          <w:szCs w:val="26"/>
        </w:rPr>
      </w:pPr>
      <w:r w:rsidRPr="00A665C9">
        <w:rPr>
          <w:sz w:val="26"/>
          <w:szCs w:val="26"/>
        </w:rPr>
        <w:t>Projected</w:t>
      </w:r>
      <w:r w:rsidRPr="00A665C9">
        <w:rPr>
          <w:spacing w:val="-4"/>
          <w:sz w:val="26"/>
          <w:szCs w:val="26"/>
        </w:rPr>
        <w:t xml:space="preserve"> </w:t>
      </w:r>
      <w:r w:rsidRPr="00A665C9">
        <w:rPr>
          <w:sz w:val="26"/>
          <w:szCs w:val="26"/>
        </w:rPr>
        <w:t>number</w:t>
      </w:r>
      <w:r w:rsidRPr="00A665C9">
        <w:rPr>
          <w:spacing w:val="-2"/>
          <w:sz w:val="26"/>
          <w:szCs w:val="26"/>
        </w:rPr>
        <w:t xml:space="preserve"> </w:t>
      </w:r>
      <w:r w:rsidRPr="00A665C9">
        <w:rPr>
          <w:sz w:val="26"/>
          <w:szCs w:val="26"/>
        </w:rPr>
        <w:t>of</w:t>
      </w:r>
      <w:r w:rsidRPr="00A665C9">
        <w:rPr>
          <w:spacing w:val="-4"/>
          <w:sz w:val="26"/>
          <w:szCs w:val="26"/>
        </w:rPr>
        <w:t xml:space="preserve"> </w:t>
      </w:r>
      <w:r w:rsidRPr="00A665C9">
        <w:rPr>
          <w:sz w:val="26"/>
          <w:szCs w:val="26"/>
        </w:rPr>
        <w:t>participants</w:t>
      </w:r>
      <w:r w:rsidRPr="00A665C9">
        <w:rPr>
          <w:spacing w:val="-4"/>
          <w:sz w:val="26"/>
          <w:szCs w:val="26"/>
        </w:rPr>
        <w:t xml:space="preserve"> </w:t>
      </w:r>
      <w:r w:rsidRPr="00A665C9">
        <w:rPr>
          <w:sz w:val="26"/>
          <w:szCs w:val="26"/>
        </w:rPr>
        <w:t>reached</w:t>
      </w:r>
      <w:r w:rsidRPr="00A665C9">
        <w:rPr>
          <w:spacing w:val="-4"/>
          <w:sz w:val="26"/>
          <w:szCs w:val="26"/>
        </w:rPr>
        <w:t xml:space="preserve"> </w:t>
      </w:r>
      <w:r w:rsidRPr="00A665C9">
        <w:rPr>
          <w:sz w:val="26"/>
          <w:szCs w:val="26"/>
        </w:rPr>
        <w:t>through</w:t>
      </w:r>
      <w:r w:rsidRPr="00A665C9">
        <w:rPr>
          <w:spacing w:val="-4"/>
          <w:sz w:val="26"/>
          <w:szCs w:val="26"/>
        </w:rPr>
        <w:t xml:space="preserve"> </w:t>
      </w:r>
      <w:r w:rsidRPr="00A665C9">
        <w:rPr>
          <w:sz w:val="26"/>
          <w:szCs w:val="26"/>
        </w:rPr>
        <w:t>outreach</w:t>
      </w:r>
      <w:r w:rsidRPr="00A665C9">
        <w:rPr>
          <w:spacing w:val="-4"/>
          <w:sz w:val="26"/>
          <w:szCs w:val="26"/>
        </w:rPr>
        <w:t xml:space="preserve"> </w:t>
      </w:r>
      <w:proofErr w:type="gramStart"/>
      <w:r w:rsidRPr="00A665C9">
        <w:rPr>
          <w:sz w:val="26"/>
          <w:szCs w:val="26"/>
        </w:rPr>
        <w:t>activities;</w:t>
      </w:r>
      <w:proofErr w:type="gramEnd"/>
    </w:p>
    <w:p w:rsidRPr="00A665C9" w:rsidR="00081EFC" w:rsidP="0033369D" w:rsidRDefault="00081EFC" w14:paraId="4D7BB5A0" w14:textId="77777777">
      <w:pPr>
        <w:pStyle w:val="ListParagraph"/>
        <w:numPr>
          <w:ilvl w:val="0"/>
          <w:numId w:val="35"/>
        </w:numPr>
        <w:rPr>
          <w:sz w:val="26"/>
          <w:szCs w:val="26"/>
        </w:rPr>
      </w:pPr>
      <w:r w:rsidRPr="00A665C9">
        <w:rPr>
          <w:sz w:val="26"/>
          <w:szCs w:val="26"/>
        </w:rPr>
        <w:t>Description</w:t>
      </w:r>
      <w:r w:rsidRPr="00A665C9">
        <w:rPr>
          <w:spacing w:val="-4"/>
          <w:sz w:val="26"/>
          <w:szCs w:val="26"/>
        </w:rPr>
        <w:t xml:space="preserve"> </w:t>
      </w:r>
      <w:r w:rsidRPr="00A665C9">
        <w:rPr>
          <w:sz w:val="26"/>
          <w:szCs w:val="26"/>
        </w:rPr>
        <w:t>of</w:t>
      </w:r>
      <w:r w:rsidRPr="00A665C9">
        <w:rPr>
          <w:spacing w:val="-4"/>
          <w:sz w:val="26"/>
          <w:szCs w:val="26"/>
        </w:rPr>
        <w:t xml:space="preserve"> </w:t>
      </w:r>
      <w:r w:rsidRPr="00A665C9">
        <w:rPr>
          <w:sz w:val="26"/>
          <w:szCs w:val="26"/>
        </w:rPr>
        <w:t>partnership</w:t>
      </w:r>
      <w:r w:rsidRPr="00A665C9">
        <w:rPr>
          <w:spacing w:val="-4"/>
          <w:sz w:val="26"/>
          <w:szCs w:val="26"/>
        </w:rPr>
        <w:t xml:space="preserve"> </w:t>
      </w:r>
      <w:r w:rsidRPr="00A665C9">
        <w:rPr>
          <w:sz w:val="26"/>
          <w:szCs w:val="26"/>
        </w:rPr>
        <w:t>with</w:t>
      </w:r>
      <w:r w:rsidRPr="00A665C9">
        <w:rPr>
          <w:spacing w:val="-4"/>
          <w:sz w:val="26"/>
          <w:szCs w:val="26"/>
        </w:rPr>
        <w:t xml:space="preserve"> </w:t>
      </w:r>
      <w:r w:rsidRPr="00A665C9">
        <w:rPr>
          <w:sz w:val="26"/>
          <w:szCs w:val="26"/>
        </w:rPr>
        <w:t>carriers</w:t>
      </w:r>
      <w:r w:rsidRPr="00A665C9">
        <w:rPr>
          <w:spacing w:val="-4"/>
          <w:sz w:val="26"/>
          <w:szCs w:val="26"/>
        </w:rPr>
        <w:t xml:space="preserve"> </w:t>
      </w:r>
      <w:r w:rsidRPr="00A665C9">
        <w:rPr>
          <w:sz w:val="26"/>
          <w:szCs w:val="26"/>
        </w:rPr>
        <w:t>and</w:t>
      </w:r>
      <w:r w:rsidRPr="00A665C9">
        <w:rPr>
          <w:spacing w:val="-4"/>
          <w:sz w:val="26"/>
          <w:szCs w:val="26"/>
        </w:rPr>
        <w:t xml:space="preserve"> </w:t>
      </w:r>
      <w:r w:rsidRPr="00A665C9">
        <w:rPr>
          <w:sz w:val="26"/>
          <w:szCs w:val="26"/>
        </w:rPr>
        <w:t>any</w:t>
      </w:r>
      <w:r w:rsidRPr="00A665C9">
        <w:rPr>
          <w:spacing w:val="-3"/>
          <w:sz w:val="26"/>
          <w:szCs w:val="26"/>
        </w:rPr>
        <w:t xml:space="preserve"> </w:t>
      </w:r>
      <w:r w:rsidRPr="00A665C9">
        <w:rPr>
          <w:sz w:val="26"/>
          <w:szCs w:val="26"/>
        </w:rPr>
        <w:t>existing</w:t>
      </w:r>
      <w:r w:rsidRPr="00A665C9">
        <w:rPr>
          <w:spacing w:val="-3"/>
          <w:sz w:val="26"/>
          <w:szCs w:val="26"/>
        </w:rPr>
        <w:t xml:space="preserve"> </w:t>
      </w:r>
      <w:r w:rsidRPr="00A665C9">
        <w:rPr>
          <w:sz w:val="26"/>
          <w:szCs w:val="26"/>
        </w:rPr>
        <w:t>affordable</w:t>
      </w:r>
      <w:r w:rsidRPr="00A665C9">
        <w:rPr>
          <w:spacing w:val="-3"/>
          <w:sz w:val="26"/>
          <w:szCs w:val="26"/>
        </w:rPr>
        <w:t xml:space="preserve"> </w:t>
      </w:r>
      <w:proofErr w:type="gramStart"/>
      <w:r w:rsidRPr="00A665C9">
        <w:rPr>
          <w:sz w:val="26"/>
          <w:szCs w:val="26"/>
        </w:rPr>
        <w:t>plans</w:t>
      </w:r>
      <w:r w:rsidRPr="62FBDAE8">
        <w:rPr>
          <w:sz w:val="26"/>
          <w:szCs w:val="26"/>
        </w:rPr>
        <w:t xml:space="preserve"> </w:t>
      </w:r>
      <w:r w:rsidRPr="00A665C9">
        <w:rPr>
          <w:spacing w:val="-57"/>
          <w:sz w:val="26"/>
          <w:szCs w:val="26"/>
        </w:rPr>
        <w:t xml:space="preserve"> </w:t>
      </w:r>
      <w:r w:rsidRPr="00A665C9">
        <w:rPr>
          <w:sz w:val="26"/>
          <w:szCs w:val="26"/>
        </w:rPr>
        <w:t>that</w:t>
      </w:r>
      <w:proofErr w:type="gramEnd"/>
      <w:r w:rsidRPr="00A665C9">
        <w:rPr>
          <w:spacing w:val="-1"/>
          <w:sz w:val="26"/>
          <w:szCs w:val="26"/>
        </w:rPr>
        <w:t xml:space="preserve"> </w:t>
      </w:r>
      <w:r w:rsidRPr="00A665C9">
        <w:rPr>
          <w:sz w:val="26"/>
          <w:szCs w:val="26"/>
        </w:rPr>
        <w:t>will</w:t>
      </w:r>
      <w:r w:rsidRPr="00A665C9">
        <w:rPr>
          <w:spacing w:val="-1"/>
          <w:sz w:val="26"/>
          <w:szCs w:val="26"/>
        </w:rPr>
        <w:t xml:space="preserve"> </w:t>
      </w:r>
      <w:r w:rsidRPr="00A665C9">
        <w:rPr>
          <w:sz w:val="26"/>
          <w:szCs w:val="26"/>
        </w:rPr>
        <w:t>be offered</w:t>
      </w:r>
      <w:r w:rsidRPr="00A665C9">
        <w:rPr>
          <w:spacing w:val="-2"/>
          <w:sz w:val="26"/>
          <w:szCs w:val="26"/>
        </w:rPr>
        <w:t xml:space="preserve"> </w:t>
      </w:r>
      <w:r w:rsidRPr="00A665C9">
        <w:rPr>
          <w:sz w:val="26"/>
          <w:szCs w:val="26"/>
        </w:rPr>
        <w:t>in</w:t>
      </w:r>
      <w:r w:rsidRPr="00A665C9">
        <w:rPr>
          <w:spacing w:val="-1"/>
          <w:sz w:val="26"/>
          <w:szCs w:val="26"/>
        </w:rPr>
        <w:t xml:space="preserve"> </w:t>
      </w:r>
      <w:r w:rsidRPr="00A665C9">
        <w:rPr>
          <w:sz w:val="26"/>
          <w:szCs w:val="26"/>
        </w:rPr>
        <w:t>the community; and</w:t>
      </w:r>
    </w:p>
    <w:p w:rsidRPr="00A665C9" w:rsidR="00081EFC" w:rsidP="0033369D" w:rsidRDefault="00081EFC" w14:paraId="1DF39424" w14:textId="77777777">
      <w:pPr>
        <w:pStyle w:val="ListParagraph"/>
        <w:numPr>
          <w:ilvl w:val="0"/>
          <w:numId w:val="35"/>
        </w:numPr>
        <w:rPr>
          <w:sz w:val="26"/>
          <w:szCs w:val="26"/>
        </w:rPr>
      </w:pPr>
      <w:r w:rsidRPr="00A665C9">
        <w:rPr>
          <w:sz w:val="26"/>
          <w:szCs w:val="26"/>
        </w:rPr>
        <w:t>Projected number of new residential broadband subscriptions resulting from the project (including documentation of all assumptions and data sources used to compile estimates</w:t>
      </w:r>
      <w:proofErr w:type="gramStart"/>
      <w:r w:rsidRPr="00A665C9">
        <w:rPr>
          <w:sz w:val="26"/>
          <w:szCs w:val="26"/>
        </w:rPr>
        <w:t>);</w:t>
      </w:r>
      <w:proofErr w:type="gramEnd"/>
    </w:p>
    <w:p w:rsidR="00081EFC" w:rsidP="0033369D" w:rsidRDefault="00081EFC" w14:paraId="2486FAD4" w14:textId="77777777">
      <w:pPr>
        <w:pStyle w:val="ListParagraph"/>
        <w:numPr>
          <w:ilvl w:val="0"/>
          <w:numId w:val="35"/>
        </w:numPr>
        <w:rPr>
          <w:sz w:val="26"/>
          <w:szCs w:val="26"/>
        </w:rPr>
      </w:pPr>
      <w:r w:rsidRPr="1DD58392">
        <w:rPr>
          <w:sz w:val="26"/>
          <w:szCs w:val="26"/>
        </w:rPr>
        <w:t>Description of any planned improvements to an existing space or the creation of a new space, for the purposes of digital literacy training or broadband access, including the purchase of computing devices, modems, routers, switches, and cabling to connect these devices and any installation or set-up activities.  Note that the Adoption Account does not pay for any inside network setup other than to connect computers and required network devices (i.e., switches and routers) purchased with fund money to an existing inside network.</w:t>
      </w:r>
    </w:p>
    <w:p w:rsidRPr="00571949" w:rsidR="00081EFC" w:rsidP="00394667" w:rsidRDefault="00081EFC" w14:paraId="69515102" w14:textId="77777777">
      <w:pPr>
        <w:spacing w:line="240" w:lineRule="auto"/>
        <w:rPr>
          <w:szCs w:val="26"/>
        </w:rPr>
      </w:pPr>
    </w:p>
    <w:p w:rsidR="00081EFC" w:rsidP="00394667" w:rsidRDefault="00081EFC" w14:paraId="6F9DAA31" w14:textId="77777777">
      <w:pPr>
        <w:keepNext/>
        <w:keepLines/>
        <w:spacing w:line="240" w:lineRule="auto"/>
        <w:ind w:firstLine="0"/>
        <w:rPr>
          <w:i/>
          <w:iCs/>
          <w:szCs w:val="26"/>
        </w:rPr>
      </w:pPr>
      <w:r>
        <w:rPr>
          <w:i/>
          <w:iCs/>
          <w:szCs w:val="26"/>
        </w:rPr>
        <w:t xml:space="preserve">Additional Information Required for </w:t>
      </w:r>
      <w:r w:rsidRPr="00BD3578">
        <w:rPr>
          <w:i/>
          <w:iCs/>
          <w:szCs w:val="26"/>
        </w:rPr>
        <w:t xml:space="preserve">Digital Literacy Projects </w:t>
      </w:r>
      <w:r>
        <w:rPr>
          <w:i/>
          <w:iCs/>
          <w:szCs w:val="26"/>
        </w:rPr>
        <w:t>Only</w:t>
      </w:r>
    </w:p>
    <w:p w:rsidRPr="00BD3578" w:rsidR="00081EFC" w:rsidP="00394667" w:rsidRDefault="00081EFC" w14:paraId="0E970C4B" w14:textId="77777777">
      <w:pPr>
        <w:pStyle w:val="ListParagraph"/>
        <w:keepNext/>
        <w:keepLines/>
        <w:numPr>
          <w:ilvl w:val="0"/>
          <w:numId w:val="36"/>
        </w:numPr>
        <w:ind w:left="1440"/>
        <w:rPr>
          <w:sz w:val="26"/>
          <w:szCs w:val="26"/>
        </w:rPr>
      </w:pPr>
      <w:r w:rsidRPr="00BD3578">
        <w:rPr>
          <w:sz w:val="26"/>
          <w:szCs w:val="26"/>
        </w:rPr>
        <w:t xml:space="preserve">Curriculum for </w:t>
      </w:r>
      <w:proofErr w:type="gramStart"/>
      <w:r w:rsidRPr="00BD3578">
        <w:rPr>
          <w:sz w:val="26"/>
          <w:szCs w:val="26"/>
        </w:rPr>
        <w:t>training;</w:t>
      </w:r>
      <w:proofErr w:type="gramEnd"/>
    </w:p>
    <w:p w:rsidRPr="00BD3578" w:rsidR="00081EFC" w:rsidP="0033369D" w:rsidRDefault="00081EFC" w14:paraId="53BF61B3" w14:textId="77777777">
      <w:pPr>
        <w:pStyle w:val="ListParagraph"/>
        <w:numPr>
          <w:ilvl w:val="0"/>
          <w:numId w:val="36"/>
        </w:numPr>
        <w:ind w:left="1440"/>
        <w:rPr>
          <w:sz w:val="26"/>
          <w:szCs w:val="26"/>
        </w:rPr>
      </w:pPr>
      <w:r w:rsidRPr="00BD3578">
        <w:rPr>
          <w:sz w:val="26"/>
          <w:szCs w:val="26"/>
        </w:rPr>
        <w:t>Description of the type of training to be provided (group</w:t>
      </w:r>
      <w:r>
        <w:rPr>
          <w:sz w:val="26"/>
          <w:szCs w:val="26"/>
        </w:rPr>
        <w:t xml:space="preserve"> </w:t>
      </w:r>
      <w:r w:rsidRPr="00BD3578">
        <w:rPr>
          <w:sz w:val="26"/>
          <w:szCs w:val="26"/>
        </w:rPr>
        <w:t>and/or individual tutoring</w:t>
      </w:r>
      <w:proofErr w:type="gramStart"/>
      <w:r w:rsidRPr="00BD3578">
        <w:rPr>
          <w:sz w:val="26"/>
          <w:szCs w:val="26"/>
        </w:rPr>
        <w:t>);</w:t>
      </w:r>
      <w:proofErr w:type="gramEnd"/>
    </w:p>
    <w:p w:rsidRPr="00BD3578" w:rsidR="00081EFC" w:rsidP="0033369D" w:rsidRDefault="00081EFC" w14:paraId="701402AA" w14:textId="77777777">
      <w:pPr>
        <w:pStyle w:val="ListParagraph"/>
        <w:numPr>
          <w:ilvl w:val="0"/>
          <w:numId w:val="36"/>
        </w:numPr>
        <w:ind w:left="1440"/>
        <w:rPr>
          <w:sz w:val="26"/>
          <w:szCs w:val="26"/>
        </w:rPr>
      </w:pPr>
      <w:r w:rsidRPr="00BD3578">
        <w:rPr>
          <w:sz w:val="26"/>
          <w:szCs w:val="26"/>
        </w:rPr>
        <w:t xml:space="preserve">Description of the modality of the training, i.e., whether it will be onsite, virtual, or a hybrid of the two, and, if virtual or hybrid, what digital learning platform will be </w:t>
      </w:r>
      <w:proofErr w:type="gramStart"/>
      <w:r w:rsidRPr="00BD3578">
        <w:rPr>
          <w:sz w:val="26"/>
          <w:szCs w:val="26"/>
        </w:rPr>
        <w:t>used;</w:t>
      </w:r>
      <w:proofErr w:type="gramEnd"/>
    </w:p>
    <w:p w:rsidRPr="00BD3578" w:rsidR="00081EFC" w:rsidP="0033369D" w:rsidRDefault="00081EFC" w14:paraId="4AB73083" w14:textId="77777777">
      <w:pPr>
        <w:pStyle w:val="ListParagraph"/>
        <w:numPr>
          <w:ilvl w:val="0"/>
          <w:numId w:val="36"/>
        </w:numPr>
        <w:ind w:left="1440"/>
        <w:rPr>
          <w:sz w:val="26"/>
          <w:szCs w:val="26"/>
        </w:rPr>
      </w:pPr>
      <w:r w:rsidRPr="00BD3578">
        <w:rPr>
          <w:sz w:val="26"/>
          <w:szCs w:val="26"/>
        </w:rPr>
        <w:t>Projected number of participants to be trained by the project; and</w:t>
      </w:r>
    </w:p>
    <w:p w:rsidRPr="00BD3578" w:rsidR="00081EFC" w:rsidP="0033369D" w:rsidRDefault="00081EFC" w14:paraId="70CCFC0F" w14:textId="77777777">
      <w:pPr>
        <w:pStyle w:val="ListParagraph"/>
        <w:numPr>
          <w:ilvl w:val="0"/>
          <w:numId w:val="36"/>
        </w:numPr>
        <w:ind w:left="1440"/>
        <w:rPr>
          <w:sz w:val="26"/>
          <w:szCs w:val="26"/>
        </w:rPr>
      </w:pPr>
      <w:r w:rsidRPr="00BD3578">
        <w:rPr>
          <w:sz w:val="26"/>
          <w:szCs w:val="26"/>
        </w:rPr>
        <w:t xml:space="preserve">Projected number of participants who will receive tutoring or other digital literacy instruction (such as the assistance of knowledgeable volunteers during open computer lab hours) outside of the 8-hour training for each project. </w:t>
      </w:r>
    </w:p>
    <w:p w:rsidR="00081EFC" w:rsidP="00394667" w:rsidRDefault="00081EFC" w14:paraId="02EECFED" w14:textId="77777777">
      <w:pPr>
        <w:spacing w:line="240" w:lineRule="auto"/>
        <w:rPr>
          <w:i/>
          <w:iCs/>
          <w:szCs w:val="26"/>
        </w:rPr>
      </w:pPr>
    </w:p>
    <w:p w:rsidRPr="00BD3578" w:rsidR="00081EFC" w:rsidP="00394667" w:rsidRDefault="00081EFC" w14:paraId="1EAB6FF8" w14:textId="77777777">
      <w:pPr>
        <w:ind w:firstLine="0"/>
        <w:rPr>
          <w:i/>
          <w:iCs/>
          <w:szCs w:val="26"/>
        </w:rPr>
      </w:pPr>
      <w:r w:rsidRPr="00BD3578">
        <w:rPr>
          <w:i/>
          <w:iCs/>
          <w:szCs w:val="26"/>
        </w:rPr>
        <w:t xml:space="preserve">Additional Information Required for </w:t>
      </w:r>
      <w:r>
        <w:rPr>
          <w:i/>
          <w:iCs/>
          <w:szCs w:val="26"/>
        </w:rPr>
        <w:t>Broadband Access</w:t>
      </w:r>
      <w:r w:rsidRPr="00BD3578">
        <w:rPr>
          <w:i/>
          <w:iCs/>
          <w:szCs w:val="26"/>
        </w:rPr>
        <w:t xml:space="preserve"> Projects Only</w:t>
      </w:r>
    </w:p>
    <w:p w:rsidRPr="00BD3578" w:rsidR="00081EFC" w:rsidP="0033369D" w:rsidRDefault="00081EFC" w14:paraId="31F351C4" w14:textId="77777777">
      <w:pPr>
        <w:pStyle w:val="ListParagraph"/>
        <w:numPr>
          <w:ilvl w:val="0"/>
          <w:numId w:val="37"/>
        </w:numPr>
        <w:ind w:left="1530"/>
        <w:rPr>
          <w:sz w:val="26"/>
          <w:szCs w:val="26"/>
        </w:rPr>
      </w:pPr>
      <w:r w:rsidRPr="00BD3578">
        <w:rPr>
          <w:sz w:val="26"/>
          <w:szCs w:val="26"/>
        </w:rPr>
        <w:t xml:space="preserve">Projected number of participants </w:t>
      </w:r>
      <w:r>
        <w:rPr>
          <w:sz w:val="26"/>
          <w:szCs w:val="26"/>
        </w:rPr>
        <w:t xml:space="preserve">to be </w:t>
      </w:r>
      <w:r w:rsidRPr="00BD3578">
        <w:rPr>
          <w:sz w:val="26"/>
          <w:szCs w:val="26"/>
        </w:rPr>
        <w:t>served by the project and the projected number of hours of access to be provided; and</w:t>
      </w:r>
    </w:p>
    <w:p w:rsidRPr="00BD3578" w:rsidR="00081EFC" w:rsidP="0033369D" w:rsidRDefault="00081EFC" w14:paraId="5E94A06C" w14:textId="77777777">
      <w:pPr>
        <w:pStyle w:val="ListParagraph"/>
        <w:numPr>
          <w:ilvl w:val="0"/>
          <w:numId w:val="37"/>
        </w:numPr>
        <w:ind w:left="1530"/>
        <w:rPr>
          <w:sz w:val="26"/>
          <w:szCs w:val="26"/>
        </w:rPr>
      </w:pPr>
      <w:r w:rsidRPr="00BD3578">
        <w:rPr>
          <w:sz w:val="26"/>
          <w:szCs w:val="26"/>
        </w:rPr>
        <w:t xml:space="preserve">Projected number of participants who </w:t>
      </w:r>
      <w:r>
        <w:rPr>
          <w:sz w:val="26"/>
          <w:szCs w:val="26"/>
        </w:rPr>
        <w:t xml:space="preserve">will </w:t>
      </w:r>
      <w:r w:rsidRPr="00BD3578">
        <w:rPr>
          <w:sz w:val="26"/>
          <w:szCs w:val="26"/>
        </w:rPr>
        <w:t>receive information regarding broadband plans in the community.</w:t>
      </w:r>
    </w:p>
    <w:p w:rsidRPr="00BD3578" w:rsidR="00081EFC" w:rsidP="00081EFC" w:rsidRDefault="00081EFC" w14:paraId="06DB2F5F" w14:textId="77777777">
      <w:pPr>
        <w:pStyle w:val="ListParagraph"/>
        <w:ind w:left="720" w:firstLine="0"/>
        <w:rPr>
          <w:sz w:val="26"/>
          <w:szCs w:val="26"/>
        </w:rPr>
      </w:pPr>
    </w:p>
    <w:p w:rsidR="00081EFC" w:rsidP="0033369D" w:rsidRDefault="00081EFC" w14:paraId="21B504B7" w14:textId="77777777">
      <w:pPr>
        <w:pStyle w:val="ListParagraph"/>
        <w:numPr>
          <w:ilvl w:val="0"/>
          <w:numId w:val="34"/>
        </w:numPr>
        <w:rPr>
          <w:b/>
          <w:bCs/>
          <w:sz w:val="26"/>
          <w:szCs w:val="26"/>
        </w:rPr>
      </w:pPr>
      <w:r w:rsidRPr="00BD3578">
        <w:rPr>
          <w:b/>
          <w:bCs/>
          <w:sz w:val="26"/>
          <w:szCs w:val="26"/>
        </w:rPr>
        <w:t>Work Plan</w:t>
      </w:r>
    </w:p>
    <w:p w:rsidR="00081EFC" w:rsidP="0033369D" w:rsidRDefault="00081EFC" w14:paraId="3882929C" w14:textId="77777777">
      <w:pPr>
        <w:pStyle w:val="ListParagraph"/>
        <w:numPr>
          <w:ilvl w:val="0"/>
          <w:numId w:val="38"/>
        </w:numPr>
        <w:ind w:left="1530"/>
        <w:rPr>
          <w:sz w:val="26"/>
          <w:szCs w:val="26"/>
        </w:rPr>
      </w:pPr>
      <w:r w:rsidRPr="00534F71">
        <w:rPr>
          <w:sz w:val="26"/>
          <w:szCs w:val="26"/>
        </w:rPr>
        <w:t xml:space="preserve">The Work Plan should include detailed functions, activities, and </w:t>
      </w:r>
      <w:r w:rsidRPr="00534F71">
        <w:rPr>
          <w:sz w:val="26"/>
          <w:szCs w:val="26"/>
        </w:rPr>
        <w:lastRenderedPageBreak/>
        <w:t>deliverables related to implementing the adoption program</w:t>
      </w:r>
      <w:r>
        <w:rPr>
          <w:sz w:val="26"/>
          <w:szCs w:val="26"/>
        </w:rPr>
        <w:t>.</w:t>
      </w:r>
    </w:p>
    <w:p w:rsidR="00081EFC" w:rsidP="0033369D" w:rsidRDefault="00081EFC" w14:paraId="043F3202" w14:textId="77777777">
      <w:pPr>
        <w:pStyle w:val="ListParagraph"/>
        <w:numPr>
          <w:ilvl w:val="0"/>
          <w:numId w:val="38"/>
        </w:numPr>
        <w:ind w:left="1530"/>
        <w:rPr>
          <w:sz w:val="26"/>
          <w:szCs w:val="26"/>
        </w:rPr>
      </w:pPr>
      <w:r w:rsidRPr="00534F71">
        <w:rPr>
          <w:sz w:val="26"/>
          <w:szCs w:val="26"/>
        </w:rPr>
        <w:t xml:space="preserve">The Work Plan should include a timeline identifying milestone dates for completion of key Work Plan activities and deliverables proposed to be funded; the timeline should describe each of the monthly milestones, including performance metrics to be </w:t>
      </w:r>
      <w:proofErr w:type="gramStart"/>
      <w:r w:rsidRPr="00534F71">
        <w:rPr>
          <w:sz w:val="26"/>
          <w:szCs w:val="26"/>
        </w:rPr>
        <w:t>accomplished;</w:t>
      </w:r>
      <w:proofErr w:type="gramEnd"/>
    </w:p>
    <w:p w:rsidR="00081EFC" w:rsidP="0033369D" w:rsidRDefault="00081EFC" w14:paraId="076E2735" w14:textId="77777777">
      <w:pPr>
        <w:pStyle w:val="ListParagraph"/>
        <w:numPr>
          <w:ilvl w:val="0"/>
          <w:numId w:val="38"/>
        </w:numPr>
        <w:ind w:left="1530"/>
        <w:rPr>
          <w:sz w:val="26"/>
          <w:szCs w:val="26"/>
        </w:rPr>
      </w:pPr>
      <w:r w:rsidRPr="00534F71">
        <w:rPr>
          <w:sz w:val="26"/>
          <w:szCs w:val="26"/>
        </w:rPr>
        <w:t>The schedule may incorporate a ramp-up period (a maximum of six months), followed by project deployment (a maximum of 24 months</w:t>
      </w:r>
      <w:proofErr w:type="gramStart"/>
      <w:r w:rsidRPr="00534F71">
        <w:rPr>
          <w:sz w:val="26"/>
          <w:szCs w:val="26"/>
        </w:rPr>
        <w:t>);</w:t>
      </w:r>
      <w:proofErr w:type="gramEnd"/>
      <w:r w:rsidRPr="00534F71">
        <w:rPr>
          <w:sz w:val="26"/>
          <w:szCs w:val="26"/>
        </w:rPr>
        <w:t xml:space="preserve"> </w:t>
      </w:r>
    </w:p>
    <w:p w:rsidR="00081EFC" w:rsidP="0033369D" w:rsidRDefault="00081EFC" w14:paraId="27E2E3BD" w14:textId="77777777">
      <w:pPr>
        <w:pStyle w:val="ListParagraph"/>
        <w:numPr>
          <w:ilvl w:val="0"/>
          <w:numId w:val="38"/>
        </w:numPr>
        <w:ind w:left="1530"/>
        <w:rPr>
          <w:sz w:val="26"/>
          <w:szCs w:val="26"/>
        </w:rPr>
      </w:pPr>
      <w:r w:rsidRPr="00534F71">
        <w:rPr>
          <w:sz w:val="26"/>
          <w:szCs w:val="26"/>
        </w:rPr>
        <w:t xml:space="preserve">The ramp-up period will incorporate any training room, or computer room, or online platform set-up activities as well as community </w:t>
      </w:r>
      <w:proofErr w:type="gramStart"/>
      <w:r w:rsidRPr="00534F71">
        <w:rPr>
          <w:sz w:val="26"/>
          <w:szCs w:val="26"/>
        </w:rPr>
        <w:t>outreach;</w:t>
      </w:r>
      <w:proofErr w:type="gramEnd"/>
    </w:p>
    <w:p w:rsidR="00081EFC" w:rsidP="0033369D" w:rsidRDefault="00081EFC" w14:paraId="46478813" w14:textId="77777777">
      <w:pPr>
        <w:pStyle w:val="ListParagraph"/>
        <w:numPr>
          <w:ilvl w:val="0"/>
          <w:numId w:val="38"/>
        </w:numPr>
        <w:ind w:left="1530"/>
        <w:rPr>
          <w:sz w:val="26"/>
          <w:szCs w:val="26"/>
        </w:rPr>
      </w:pPr>
      <w:r w:rsidRPr="00534F71">
        <w:rPr>
          <w:sz w:val="26"/>
          <w:szCs w:val="26"/>
        </w:rPr>
        <w:t>The project deployment period is where activities to increase digital inclusion occur or where broadband access will be monitored; community outreach may be ongoing.</w:t>
      </w:r>
    </w:p>
    <w:p w:rsidRPr="00534F71" w:rsidR="00081EFC" w:rsidP="00394667" w:rsidRDefault="00081EFC" w14:paraId="413C2681" w14:textId="77777777">
      <w:pPr>
        <w:spacing w:line="240" w:lineRule="auto"/>
        <w:rPr>
          <w:szCs w:val="26"/>
        </w:rPr>
      </w:pPr>
    </w:p>
    <w:p w:rsidRPr="00534F71" w:rsidR="00081EFC" w:rsidP="0033369D" w:rsidRDefault="00081EFC" w14:paraId="3B9E0864" w14:textId="77777777">
      <w:pPr>
        <w:pStyle w:val="ListParagraph"/>
        <w:numPr>
          <w:ilvl w:val="0"/>
          <w:numId w:val="34"/>
        </w:numPr>
        <w:rPr>
          <w:b/>
          <w:bCs/>
          <w:sz w:val="26"/>
          <w:szCs w:val="26"/>
        </w:rPr>
      </w:pPr>
      <w:r w:rsidRPr="00534F71">
        <w:rPr>
          <w:b/>
          <w:bCs/>
          <w:sz w:val="26"/>
          <w:szCs w:val="26"/>
        </w:rPr>
        <w:t>Performance Metrics Plan</w:t>
      </w:r>
    </w:p>
    <w:p w:rsidRPr="00534F71" w:rsidR="00081EFC" w:rsidP="0033369D" w:rsidRDefault="00081EFC" w14:paraId="38B4C2E3" w14:textId="77777777">
      <w:pPr>
        <w:pStyle w:val="ListParagraph"/>
        <w:numPr>
          <w:ilvl w:val="0"/>
          <w:numId w:val="39"/>
        </w:numPr>
        <w:ind w:left="1620"/>
        <w:rPr>
          <w:sz w:val="26"/>
          <w:szCs w:val="26"/>
        </w:rPr>
      </w:pPr>
      <w:r w:rsidRPr="00534F71">
        <w:rPr>
          <w:sz w:val="26"/>
          <w:szCs w:val="26"/>
        </w:rPr>
        <w:t>A detailed description of how outcomes will be measured and tracked for reporting requirements (“milestone/completion” reports). Outcomes include but are not limited to:</w:t>
      </w:r>
    </w:p>
    <w:p w:rsidRPr="00534F71" w:rsidR="00081EFC" w:rsidP="00394667" w:rsidRDefault="00081EFC" w14:paraId="09A56126" w14:textId="77777777">
      <w:pPr>
        <w:spacing w:line="240" w:lineRule="auto"/>
        <w:ind w:left="2160" w:hanging="360"/>
        <w:rPr>
          <w:szCs w:val="26"/>
        </w:rPr>
      </w:pPr>
      <w:r w:rsidRPr="00534F71">
        <w:rPr>
          <w:szCs w:val="26"/>
        </w:rPr>
        <w:t>•</w:t>
      </w:r>
      <w:r w:rsidRPr="00534F71">
        <w:rPr>
          <w:szCs w:val="26"/>
        </w:rPr>
        <w:tab/>
        <w:t xml:space="preserve">The total number of participants trained or provided </w:t>
      </w:r>
      <w:proofErr w:type="gramStart"/>
      <w:r w:rsidRPr="00534F71">
        <w:rPr>
          <w:szCs w:val="26"/>
        </w:rPr>
        <w:t>access;</w:t>
      </w:r>
      <w:proofErr w:type="gramEnd"/>
    </w:p>
    <w:p w:rsidRPr="00534F71" w:rsidR="00081EFC" w:rsidP="00394667" w:rsidRDefault="00081EFC" w14:paraId="288CAAC0" w14:textId="77777777">
      <w:pPr>
        <w:spacing w:line="240" w:lineRule="auto"/>
        <w:ind w:left="2160" w:hanging="360"/>
        <w:rPr>
          <w:szCs w:val="26"/>
        </w:rPr>
      </w:pPr>
      <w:r w:rsidRPr="00534F71">
        <w:rPr>
          <w:szCs w:val="26"/>
        </w:rPr>
        <w:t>•</w:t>
      </w:r>
      <w:r w:rsidRPr="00534F71">
        <w:rPr>
          <w:szCs w:val="26"/>
        </w:rPr>
        <w:tab/>
        <w:t xml:space="preserve">The total number of hours that training or access has been provided to the community and the number of participants </w:t>
      </w:r>
      <w:proofErr w:type="gramStart"/>
      <w:r w:rsidRPr="00534F71">
        <w:rPr>
          <w:szCs w:val="26"/>
        </w:rPr>
        <w:t>served;</w:t>
      </w:r>
      <w:proofErr w:type="gramEnd"/>
    </w:p>
    <w:p w:rsidRPr="00534F71" w:rsidR="00081EFC" w:rsidP="00394667" w:rsidRDefault="00081EFC" w14:paraId="377F4737" w14:textId="77777777">
      <w:pPr>
        <w:spacing w:line="240" w:lineRule="auto"/>
        <w:ind w:left="2160" w:hanging="360"/>
        <w:rPr>
          <w:szCs w:val="26"/>
        </w:rPr>
      </w:pPr>
      <w:r w:rsidRPr="00534F71">
        <w:rPr>
          <w:szCs w:val="26"/>
        </w:rPr>
        <w:t>•</w:t>
      </w:r>
      <w:r w:rsidRPr="00534F71">
        <w:rPr>
          <w:szCs w:val="26"/>
        </w:rPr>
        <w:tab/>
        <w:t>The number of participants that subsequently subscribe to a broadband Internet service provider to use a device in their home.</w:t>
      </w:r>
    </w:p>
    <w:p w:rsidRPr="00534F71" w:rsidR="00081EFC" w:rsidP="00394667" w:rsidRDefault="00081EFC" w14:paraId="28DBDD0D" w14:textId="77777777">
      <w:pPr>
        <w:spacing w:line="240" w:lineRule="auto"/>
        <w:ind w:left="1620" w:hanging="540"/>
        <w:rPr>
          <w:szCs w:val="26"/>
        </w:rPr>
      </w:pPr>
      <w:r w:rsidRPr="00534F71">
        <w:rPr>
          <w:szCs w:val="26"/>
        </w:rPr>
        <w:t>ii.</w:t>
      </w:r>
      <w:r w:rsidRPr="00534F71">
        <w:rPr>
          <w:szCs w:val="26"/>
        </w:rPr>
        <w:tab/>
        <w:t>Methods of tracking such as verification of subscription online, such as through ISPs, bill, surveys, sign-in sheets, etc.</w:t>
      </w:r>
    </w:p>
    <w:p w:rsidR="00081EFC" w:rsidP="00394667" w:rsidRDefault="00081EFC" w14:paraId="15BC0DEC" w14:textId="77777777">
      <w:pPr>
        <w:spacing w:line="240" w:lineRule="auto"/>
      </w:pPr>
    </w:p>
    <w:p w:rsidR="00081EFC" w:rsidP="0033369D" w:rsidRDefault="00081EFC" w14:paraId="6A6ED42C" w14:textId="77777777">
      <w:pPr>
        <w:pStyle w:val="ListParagraph"/>
        <w:numPr>
          <w:ilvl w:val="0"/>
          <w:numId w:val="34"/>
        </w:numPr>
        <w:rPr>
          <w:b/>
          <w:bCs/>
          <w:sz w:val="26"/>
          <w:szCs w:val="26"/>
        </w:rPr>
      </w:pPr>
      <w:r w:rsidRPr="00534F71">
        <w:rPr>
          <w:b/>
          <w:bCs/>
          <w:sz w:val="26"/>
          <w:szCs w:val="26"/>
        </w:rPr>
        <w:t>Budget</w:t>
      </w:r>
    </w:p>
    <w:p w:rsidRPr="00534F71" w:rsidR="00081EFC" w:rsidP="0033369D" w:rsidRDefault="00081EFC" w14:paraId="38CE9A17" w14:textId="77777777">
      <w:pPr>
        <w:pStyle w:val="ListParagraph"/>
        <w:numPr>
          <w:ilvl w:val="0"/>
          <w:numId w:val="40"/>
        </w:numPr>
        <w:ind w:left="1620"/>
        <w:rPr>
          <w:sz w:val="26"/>
          <w:szCs w:val="26"/>
        </w:rPr>
      </w:pPr>
      <w:r w:rsidRPr="00534F71">
        <w:rPr>
          <w:sz w:val="26"/>
          <w:szCs w:val="26"/>
        </w:rPr>
        <w:t xml:space="preserve">A detailed breakdown of cost elements for the proposed project, including a designation of administrative </w:t>
      </w:r>
      <w:proofErr w:type="gramStart"/>
      <w:r w:rsidRPr="00534F71">
        <w:rPr>
          <w:sz w:val="26"/>
          <w:szCs w:val="26"/>
        </w:rPr>
        <w:t>costs;</w:t>
      </w:r>
      <w:proofErr w:type="gramEnd"/>
    </w:p>
    <w:p w:rsidR="00081EFC" w:rsidP="0033369D" w:rsidRDefault="00081EFC" w14:paraId="68FA32BA" w14:textId="77777777">
      <w:pPr>
        <w:pStyle w:val="ListParagraph"/>
        <w:numPr>
          <w:ilvl w:val="0"/>
          <w:numId w:val="40"/>
        </w:numPr>
        <w:ind w:left="1620"/>
        <w:rPr>
          <w:sz w:val="26"/>
          <w:szCs w:val="26"/>
        </w:rPr>
      </w:pPr>
      <w:r w:rsidRPr="00534F71">
        <w:rPr>
          <w:sz w:val="26"/>
          <w:szCs w:val="26"/>
        </w:rPr>
        <w:t>A calculation of the proposed reimbursement-dollar amount per participant (exclusive of in-person and take-home computer or hot spot</w:t>
      </w:r>
      <w:r w:rsidRPr="000674B2">
        <w:t xml:space="preserve"> </w:t>
      </w:r>
      <w:r w:rsidRPr="000674B2">
        <w:rPr>
          <w:sz w:val="26"/>
          <w:szCs w:val="26"/>
        </w:rPr>
        <w:t>reimbursements</w:t>
      </w:r>
      <w:proofErr w:type="gramStart"/>
      <w:r w:rsidRPr="000674B2">
        <w:rPr>
          <w:sz w:val="26"/>
          <w:szCs w:val="26"/>
        </w:rPr>
        <w:t>);</w:t>
      </w:r>
      <w:proofErr w:type="gramEnd"/>
    </w:p>
    <w:p w:rsidR="00081EFC" w:rsidP="0033369D" w:rsidRDefault="00081EFC" w14:paraId="6179099F" w14:textId="77777777">
      <w:pPr>
        <w:pStyle w:val="ListParagraph"/>
        <w:numPr>
          <w:ilvl w:val="0"/>
          <w:numId w:val="40"/>
        </w:numPr>
        <w:ind w:left="1620"/>
        <w:rPr>
          <w:sz w:val="26"/>
          <w:szCs w:val="26"/>
        </w:rPr>
      </w:pPr>
      <w:r w:rsidRPr="000674B2">
        <w:rPr>
          <w:sz w:val="26"/>
          <w:szCs w:val="26"/>
        </w:rPr>
        <w:t>A detailed breakdown of the instructor/staff pay rate relative to projected number of training or access hours and prep time; and</w:t>
      </w:r>
    </w:p>
    <w:p w:rsidRPr="00534F71" w:rsidR="00081EFC" w:rsidP="0033369D" w:rsidRDefault="00081EFC" w14:paraId="7B7302DB" w14:textId="77777777">
      <w:pPr>
        <w:pStyle w:val="ListParagraph"/>
        <w:numPr>
          <w:ilvl w:val="0"/>
          <w:numId w:val="40"/>
        </w:numPr>
        <w:ind w:left="1620"/>
        <w:rPr>
          <w:sz w:val="26"/>
          <w:szCs w:val="26"/>
        </w:rPr>
      </w:pPr>
      <w:r w:rsidRPr="000674B2">
        <w:rPr>
          <w:sz w:val="26"/>
          <w:szCs w:val="26"/>
        </w:rPr>
        <w:t xml:space="preserve">Availability of matching funds to be supplied by applicant and/or </w:t>
      </w:r>
      <w:r w:rsidRPr="000674B2">
        <w:rPr>
          <w:sz w:val="26"/>
          <w:szCs w:val="26"/>
        </w:rPr>
        <w:lastRenderedPageBreak/>
        <w:t>other sources.</w:t>
      </w:r>
    </w:p>
    <w:p w:rsidR="00081EFC" w:rsidP="00394667" w:rsidRDefault="00081EFC" w14:paraId="0641938F" w14:textId="77777777">
      <w:pPr>
        <w:spacing w:line="240" w:lineRule="auto"/>
      </w:pPr>
    </w:p>
    <w:p w:rsidR="00081EFC" w:rsidP="0033369D" w:rsidRDefault="00081EFC" w14:paraId="1CC67C24" w14:textId="77777777">
      <w:pPr>
        <w:pStyle w:val="ListParagraph"/>
        <w:numPr>
          <w:ilvl w:val="0"/>
          <w:numId w:val="34"/>
        </w:numPr>
        <w:rPr>
          <w:b/>
          <w:bCs/>
          <w:sz w:val="26"/>
          <w:szCs w:val="26"/>
        </w:rPr>
      </w:pPr>
      <w:r>
        <w:rPr>
          <w:b/>
          <w:bCs/>
          <w:sz w:val="26"/>
          <w:szCs w:val="26"/>
        </w:rPr>
        <w:t>Affidavit</w:t>
      </w:r>
    </w:p>
    <w:p w:rsidR="00081EFC" w:rsidP="0033369D" w:rsidRDefault="00081EFC" w14:paraId="0595247C" w14:textId="77777777">
      <w:pPr>
        <w:pStyle w:val="ListParagraph"/>
        <w:numPr>
          <w:ilvl w:val="0"/>
          <w:numId w:val="41"/>
        </w:numPr>
        <w:ind w:left="1620"/>
        <w:rPr>
          <w:sz w:val="26"/>
          <w:szCs w:val="26"/>
        </w:rPr>
      </w:pPr>
      <w:r w:rsidRPr="000674B2">
        <w:rPr>
          <w:sz w:val="26"/>
          <w:szCs w:val="26"/>
        </w:rPr>
        <w:t>All applicants must submit an affidavit, under penalty of perjury, containing at minimum, the following attestations, the final form of which will be made available on the Commission’s website</w:t>
      </w:r>
      <w:r>
        <w:rPr>
          <w:sz w:val="26"/>
          <w:szCs w:val="26"/>
        </w:rPr>
        <w:t>.  At minimum, the form will require applicants to attest to the following:</w:t>
      </w:r>
    </w:p>
    <w:p w:rsidRPr="00571949" w:rsidR="00081EFC" w:rsidP="0033369D" w:rsidRDefault="00081EFC" w14:paraId="45A54D63" w14:textId="77777777">
      <w:pPr>
        <w:pStyle w:val="ListParagraph"/>
        <w:numPr>
          <w:ilvl w:val="0"/>
          <w:numId w:val="42"/>
        </w:numPr>
        <w:rPr>
          <w:sz w:val="26"/>
          <w:szCs w:val="26"/>
        </w:rPr>
      </w:pPr>
      <w:r>
        <w:rPr>
          <w:sz w:val="26"/>
          <w:szCs w:val="26"/>
        </w:rPr>
        <w:t>Applicant agrees that n</w:t>
      </w:r>
      <w:r w:rsidRPr="002B040F">
        <w:rPr>
          <w:sz w:val="26"/>
          <w:szCs w:val="26"/>
        </w:rPr>
        <w:t xml:space="preserve">o officer, director, </w:t>
      </w:r>
      <w:r>
        <w:rPr>
          <w:sz w:val="26"/>
          <w:szCs w:val="26"/>
        </w:rPr>
        <w:t xml:space="preserve">or </w:t>
      </w:r>
      <w:r w:rsidRPr="002B040F">
        <w:rPr>
          <w:sz w:val="26"/>
          <w:szCs w:val="26"/>
        </w:rPr>
        <w:t xml:space="preserve">partner of </w:t>
      </w:r>
      <w:r>
        <w:rPr>
          <w:sz w:val="26"/>
          <w:szCs w:val="26"/>
        </w:rPr>
        <w:t>the Applicant</w:t>
      </w:r>
      <w:r w:rsidRPr="002B040F">
        <w:rPr>
          <w:sz w:val="26"/>
          <w:szCs w:val="26"/>
        </w:rPr>
        <w:t xml:space="preserve"> or its Fiscal Agent has: 1) filed for bankruptcy; 2) was </w:t>
      </w:r>
      <w:r w:rsidRPr="00571949">
        <w:rPr>
          <w:sz w:val="26"/>
          <w:szCs w:val="26"/>
        </w:rPr>
        <w:t>sanctioned by the Federal Communications</w:t>
      </w:r>
      <w:r>
        <w:rPr>
          <w:sz w:val="26"/>
          <w:szCs w:val="26"/>
        </w:rPr>
        <w:t xml:space="preserve"> </w:t>
      </w:r>
      <w:r w:rsidRPr="00571949">
        <w:rPr>
          <w:sz w:val="26"/>
          <w:szCs w:val="26"/>
        </w:rPr>
        <w:t>Commission or any state regulatory agency for failure to comply with any regulatory statute, rule, or order; nor 3) has been found either civilly or criminally liable by a court of appropriate jurisdiction for violation of § 1700 et. seq. of the California Business and Professions Code, or for any action which involved misrepresentations to consumers, nor is currently under investigation for similar violations</w:t>
      </w:r>
      <w:r>
        <w:rPr>
          <w:sz w:val="26"/>
          <w:szCs w:val="26"/>
        </w:rPr>
        <w:t>.</w:t>
      </w:r>
    </w:p>
    <w:p w:rsidRPr="000674B2" w:rsidR="00081EFC" w:rsidP="0033369D" w:rsidRDefault="00081EFC" w14:paraId="7196AC79" w14:textId="77777777">
      <w:pPr>
        <w:pStyle w:val="ListParagraph"/>
        <w:numPr>
          <w:ilvl w:val="0"/>
          <w:numId w:val="42"/>
        </w:numPr>
        <w:rPr>
          <w:sz w:val="26"/>
          <w:szCs w:val="26"/>
        </w:rPr>
      </w:pPr>
      <w:r w:rsidRPr="000674B2">
        <w:rPr>
          <w:sz w:val="26"/>
          <w:szCs w:val="26"/>
        </w:rPr>
        <w:t xml:space="preserve">Applicant agrees that to the best of their knowledge all the statements and representations made in the application information submitted is true and correct.  </w:t>
      </w:r>
    </w:p>
    <w:p w:rsidRPr="000674B2" w:rsidR="00081EFC" w:rsidP="0033369D" w:rsidRDefault="00081EFC" w14:paraId="3C63922C" w14:textId="2E8A5893">
      <w:pPr>
        <w:pStyle w:val="ListParagraph"/>
        <w:numPr>
          <w:ilvl w:val="0"/>
          <w:numId w:val="42"/>
        </w:numPr>
        <w:rPr>
          <w:sz w:val="26"/>
          <w:szCs w:val="26"/>
        </w:rPr>
      </w:pPr>
      <w:r w:rsidRPr="000674B2">
        <w:rPr>
          <w:sz w:val="26"/>
          <w:szCs w:val="26"/>
        </w:rPr>
        <w:t xml:space="preserve">Applicant must also agree to abide by the Commission’s Rules of Practice and Procedure, be subject to Public Utilities Commission </w:t>
      </w:r>
      <w:r w:rsidR="00FF6FF3">
        <w:rPr>
          <w:sz w:val="26"/>
          <w:szCs w:val="26"/>
        </w:rPr>
        <w:t>S</w:t>
      </w:r>
      <w:r w:rsidRPr="000674B2">
        <w:rPr>
          <w:sz w:val="26"/>
          <w:szCs w:val="26"/>
        </w:rPr>
        <w:t xml:space="preserve">ections 2108 and 2111. The Commission may impose the maximum penalties allowed under Public Utilities Code </w:t>
      </w:r>
      <w:r w:rsidR="00FF6FF3">
        <w:rPr>
          <w:sz w:val="26"/>
          <w:szCs w:val="26"/>
        </w:rPr>
        <w:t>S</w:t>
      </w:r>
      <w:r w:rsidRPr="000674B2">
        <w:rPr>
          <w:sz w:val="26"/>
          <w:szCs w:val="26"/>
        </w:rPr>
        <w:t>ections 2108 and 2111 for failure to meet the program and project compliance requirements, as determined by the Commission.</w:t>
      </w:r>
    </w:p>
    <w:p w:rsidRPr="009D6FD8" w:rsidR="00081EFC" w:rsidP="00394667" w:rsidRDefault="00081EFC" w14:paraId="52EB7155" w14:textId="77777777">
      <w:pPr>
        <w:spacing w:line="240" w:lineRule="auto"/>
      </w:pPr>
    </w:p>
    <w:p w:rsidR="00081EFC" w:rsidP="0033369D" w:rsidRDefault="00081EFC" w14:paraId="2D67B16E" w14:textId="77777777">
      <w:pPr>
        <w:pStyle w:val="ListParagraph"/>
        <w:numPr>
          <w:ilvl w:val="0"/>
          <w:numId w:val="30"/>
        </w:numPr>
        <w:ind w:right="2432"/>
        <w:rPr>
          <w:b/>
          <w:sz w:val="26"/>
          <w:szCs w:val="26"/>
        </w:rPr>
      </w:pPr>
      <w:r w:rsidRPr="00B65A28">
        <w:rPr>
          <w:b/>
          <w:sz w:val="26"/>
          <w:szCs w:val="26"/>
        </w:rPr>
        <w:t>Evaluation Criteria</w:t>
      </w:r>
    </w:p>
    <w:p w:rsidRPr="00855CC1" w:rsidR="00081EFC" w:rsidP="00081EFC" w:rsidRDefault="00081EFC" w14:paraId="7E0EA3D8" w14:textId="758C4B67">
      <w:pPr>
        <w:pStyle w:val="ListParagraph"/>
        <w:ind w:left="0" w:firstLine="0"/>
        <w:rPr>
          <w:bCs/>
          <w:sz w:val="26"/>
          <w:szCs w:val="26"/>
        </w:rPr>
      </w:pPr>
      <w:r w:rsidRPr="00855CC1">
        <w:rPr>
          <w:bCs/>
          <w:sz w:val="26"/>
          <w:szCs w:val="26"/>
        </w:rPr>
        <w:t xml:space="preserve">Applications will be evaluated based on meeting all the requirements in the Information Required from Applicants and Preference Checklist. Applicants are also required to conduct a pre and post implementation survey or </w:t>
      </w:r>
      <w:proofErr w:type="gramStart"/>
      <w:r w:rsidRPr="00855CC1">
        <w:rPr>
          <w:bCs/>
          <w:sz w:val="26"/>
          <w:szCs w:val="26"/>
        </w:rPr>
        <w:t>report, and</w:t>
      </w:r>
      <w:proofErr w:type="gramEnd"/>
      <w:r w:rsidRPr="00855CC1">
        <w:rPr>
          <w:bCs/>
          <w:sz w:val="26"/>
          <w:szCs w:val="26"/>
        </w:rPr>
        <w:t xml:space="preserve"> may submit endorsements or letters of support from the state or local government, community groups, and anchor institutions supporting their proposed adoption project. All applications will be reviewed, prioritized, and awarded based on completeness, overall quality, and project costs reasonableness</w:t>
      </w:r>
      <w:r w:rsidR="00207196">
        <w:rPr>
          <w:bCs/>
          <w:sz w:val="26"/>
          <w:szCs w:val="26"/>
        </w:rPr>
        <w:t>.</w:t>
      </w:r>
    </w:p>
    <w:p w:rsidRPr="000674B2" w:rsidR="00081EFC" w:rsidP="00081EFC" w:rsidRDefault="00081EFC" w14:paraId="12B0A256" w14:textId="77777777">
      <w:pPr>
        <w:pStyle w:val="ListParagraph"/>
        <w:ind w:left="720" w:right="2432" w:firstLine="0"/>
        <w:rPr>
          <w:b/>
          <w:sz w:val="26"/>
          <w:szCs w:val="26"/>
        </w:rPr>
      </w:pPr>
    </w:p>
    <w:p w:rsidRPr="000674B2" w:rsidR="00081EFC" w:rsidP="0033369D" w:rsidRDefault="00081EFC" w14:paraId="1D50834D" w14:textId="77777777">
      <w:pPr>
        <w:pStyle w:val="ListParagraph"/>
        <w:numPr>
          <w:ilvl w:val="0"/>
          <w:numId w:val="30"/>
        </w:numPr>
        <w:ind w:right="2432"/>
        <w:rPr>
          <w:b/>
          <w:sz w:val="26"/>
          <w:szCs w:val="26"/>
        </w:rPr>
      </w:pPr>
      <w:r w:rsidRPr="00B65A28">
        <w:rPr>
          <w:b/>
          <w:sz w:val="26"/>
          <w:szCs w:val="26"/>
        </w:rPr>
        <w:lastRenderedPageBreak/>
        <w:t>Submission and Timelines</w:t>
      </w:r>
    </w:p>
    <w:p w:rsidRPr="00656BA1" w:rsidR="00081EFC" w:rsidP="00394667" w:rsidRDefault="00081EFC" w14:paraId="34C9F472" w14:textId="77777777">
      <w:pPr>
        <w:pStyle w:val="ListParagraph"/>
        <w:ind w:left="0" w:firstLine="0"/>
        <w:rPr>
          <w:bCs/>
          <w:szCs w:val="26"/>
        </w:rPr>
      </w:pPr>
      <w:r w:rsidRPr="00394667">
        <w:rPr>
          <w:bCs/>
          <w:sz w:val="26"/>
          <w:szCs w:val="26"/>
        </w:rPr>
        <w:t>Applications may be submitted at any time. However, staff will consider applications submitted on or before each deadline listed below as a batch, until all funds have been awarded.</w:t>
      </w:r>
    </w:p>
    <w:p w:rsidR="00081EFC" w:rsidP="00394667" w:rsidRDefault="00081EFC" w14:paraId="42B37A3A" w14:textId="77777777">
      <w:pPr>
        <w:spacing w:line="240" w:lineRule="auto"/>
        <w:rPr>
          <w:bCs/>
          <w:szCs w:val="26"/>
        </w:rPr>
      </w:pPr>
    </w:p>
    <w:p w:rsidR="00081EFC" w:rsidP="00394667" w:rsidRDefault="00081EFC" w14:paraId="7A64E17A" w14:textId="77777777">
      <w:pPr>
        <w:spacing w:line="240" w:lineRule="auto"/>
        <w:ind w:firstLine="0"/>
        <w:rPr>
          <w:bCs/>
          <w:szCs w:val="26"/>
        </w:rPr>
      </w:pPr>
      <w:r>
        <w:rPr>
          <w:bCs/>
          <w:szCs w:val="26"/>
        </w:rPr>
        <w:t>Deadlines:</w:t>
      </w:r>
    </w:p>
    <w:p w:rsidR="00081EFC" w:rsidP="00394667" w:rsidRDefault="00081EFC" w14:paraId="0B2B006E" w14:textId="77777777">
      <w:pPr>
        <w:spacing w:line="240" w:lineRule="auto"/>
        <w:ind w:firstLine="0"/>
        <w:rPr>
          <w:bCs/>
          <w:szCs w:val="26"/>
        </w:rPr>
      </w:pPr>
    </w:p>
    <w:p w:rsidRPr="000674B2" w:rsidR="00081EFC" w:rsidP="00394667" w:rsidRDefault="00081EFC" w14:paraId="0BBC4039" w14:textId="77777777">
      <w:pPr>
        <w:spacing w:line="240" w:lineRule="auto"/>
        <w:rPr>
          <w:bCs/>
          <w:szCs w:val="26"/>
        </w:rPr>
      </w:pPr>
      <w:r w:rsidRPr="000674B2">
        <w:rPr>
          <w:bCs/>
          <w:szCs w:val="26"/>
        </w:rPr>
        <w:t>•</w:t>
      </w:r>
      <w:r w:rsidRPr="000674B2">
        <w:rPr>
          <w:bCs/>
          <w:szCs w:val="26"/>
        </w:rPr>
        <w:tab/>
        <w:t>July 1, 2022</w:t>
      </w:r>
    </w:p>
    <w:p w:rsidRPr="000674B2" w:rsidR="00081EFC" w:rsidP="00394667" w:rsidRDefault="00081EFC" w14:paraId="4FF89064" w14:textId="77777777">
      <w:pPr>
        <w:spacing w:line="240" w:lineRule="auto"/>
        <w:rPr>
          <w:bCs/>
          <w:szCs w:val="26"/>
        </w:rPr>
      </w:pPr>
      <w:r w:rsidRPr="000674B2">
        <w:rPr>
          <w:bCs/>
          <w:szCs w:val="26"/>
        </w:rPr>
        <w:t>•</w:t>
      </w:r>
      <w:r w:rsidRPr="000674B2">
        <w:rPr>
          <w:bCs/>
          <w:szCs w:val="26"/>
        </w:rPr>
        <w:tab/>
        <w:t>January 1, 2023</w:t>
      </w:r>
    </w:p>
    <w:p w:rsidRPr="000674B2" w:rsidR="00081EFC" w:rsidP="00394667" w:rsidRDefault="00081EFC" w14:paraId="0DC82353" w14:textId="77777777">
      <w:pPr>
        <w:spacing w:line="240" w:lineRule="auto"/>
        <w:rPr>
          <w:bCs/>
          <w:szCs w:val="26"/>
        </w:rPr>
      </w:pPr>
      <w:r w:rsidRPr="000674B2">
        <w:rPr>
          <w:bCs/>
          <w:szCs w:val="26"/>
        </w:rPr>
        <w:t>•</w:t>
      </w:r>
      <w:r w:rsidRPr="000674B2">
        <w:rPr>
          <w:bCs/>
          <w:szCs w:val="26"/>
        </w:rPr>
        <w:tab/>
        <w:t>July 1, 2023</w:t>
      </w:r>
    </w:p>
    <w:p w:rsidR="00081EFC" w:rsidP="00081EFC" w:rsidRDefault="00081EFC" w14:paraId="51FFD635" w14:textId="77777777">
      <w:pPr>
        <w:rPr>
          <w:bCs/>
          <w:szCs w:val="26"/>
        </w:rPr>
      </w:pPr>
    </w:p>
    <w:p w:rsidRPr="00656BA1" w:rsidR="00081EFC" w:rsidP="00394667" w:rsidRDefault="00081EFC" w14:paraId="5EC98BCA" w14:textId="77777777">
      <w:pPr>
        <w:pStyle w:val="ListParagraph"/>
        <w:ind w:left="0" w:firstLine="0"/>
        <w:rPr>
          <w:bCs/>
          <w:szCs w:val="26"/>
        </w:rPr>
      </w:pPr>
      <w:r w:rsidRPr="00394667">
        <w:rPr>
          <w:bCs/>
          <w:sz w:val="26"/>
          <w:szCs w:val="26"/>
        </w:rPr>
        <w:t>And every January 1 and July 1 thereafter, until funds are exhausted.</w:t>
      </w:r>
    </w:p>
    <w:p w:rsidRPr="00293592" w:rsidR="00081EFC" w:rsidP="00394667" w:rsidRDefault="00081EFC" w14:paraId="7504AABB" w14:textId="77777777">
      <w:pPr>
        <w:pStyle w:val="ListParagraph"/>
        <w:ind w:left="0" w:firstLine="0"/>
        <w:rPr>
          <w:bCs/>
          <w:szCs w:val="26"/>
        </w:rPr>
      </w:pPr>
    </w:p>
    <w:p w:rsidRPr="00656BA1" w:rsidR="00081EFC" w:rsidP="00394667" w:rsidRDefault="00081EFC" w14:paraId="4F16CCC8" w14:textId="77777777">
      <w:pPr>
        <w:pStyle w:val="ListParagraph"/>
        <w:ind w:left="0" w:firstLine="0"/>
        <w:rPr>
          <w:bCs/>
          <w:szCs w:val="26"/>
        </w:rPr>
      </w:pPr>
      <w:r w:rsidRPr="00394667">
        <w:rPr>
          <w:bCs/>
          <w:sz w:val="26"/>
          <w:szCs w:val="26"/>
        </w:rPr>
        <w:t xml:space="preserve">Any deadline falling on a </w:t>
      </w:r>
      <w:proofErr w:type="gramStart"/>
      <w:r w:rsidRPr="00394667">
        <w:rPr>
          <w:bCs/>
          <w:sz w:val="26"/>
          <w:szCs w:val="26"/>
        </w:rPr>
        <w:t>holiday</w:t>
      </w:r>
      <w:proofErr w:type="gramEnd"/>
      <w:r w:rsidRPr="00394667">
        <w:rPr>
          <w:bCs/>
          <w:sz w:val="26"/>
          <w:szCs w:val="26"/>
        </w:rPr>
        <w:t xml:space="preserve"> or a weekend will be extended to the following business day.</w:t>
      </w:r>
    </w:p>
    <w:p w:rsidRPr="000674B2" w:rsidR="00081EFC" w:rsidP="00394667" w:rsidRDefault="00081EFC" w14:paraId="38BAF072" w14:textId="77777777">
      <w:pPr>
        <w:spacing w:line="240" w:lineRule="auto"/>
        <w:rPr>
          <w:bCs/>
          <w:szCs w:val="26"/>
        </w:rPr>
      </w:pPr>
    </w:p>
    <w:p w:rsidRPr="000674B2" w:rsidR="00081EFC" w:rsidP="00394667" w:rsidRDefault="00081EFC" w14:paraId="76A70C71" w14:textId="77777777">
      <w:pPr>
        <w:keepNext/>
        <w:keepLines/>
        <w:spacing w:line="240" w:lineRule="auto"/>
        <w:ind w:firstLine="0"/>
        <w:rPr>
          <w:bCs/>
          <w:szCs w:val="26"/>
        </w:rPr>
      </w:pPr>
      <w:r w:rsidRPr="000674B2">
        <w:rPr>
          <w:bCs/>
          <w:szCs w:val="26"/>
        </w:rPr>
        <w:t xml:space="preserve">Please refer to the Commission’s CASF Adoption Account website: </w:t>
      </w:r>
      <w:r w:rsidRPr="000674B2">
        <w:rPr>
          <w:bCs/>
          <w:color w:val="0000FF"/>
          <w:szCs w:val="26"/>
          <w:u w:val="single"/>
        </w:rPr>
        <w:t>https://www.cpuc.ca.gov/industries-and-topics/internet-and-phone/california-advanced-services-fund/casf-adoption-account</w:t>
      </w:r>
      <w:r w:rsidRPr="000674B2">
        <w:rPr>
          <w:bCs/>
          <w:color w:val="0000FF"/>
          <w:szCs w:val="26"/>
        </w:rPr>
        <w:t xml:space="preserve"> </w:t>
      </w:r>
      <w:r w:rsidRPr="000674B2">
        <w:rPr>
          <w:bCs/>
          <w:szCs w:val="26"/>
        </w:rPr>
        <w:t>for applications instructions and package for the Adoption Account and for any updates to applications submission windows and schedule.</w:t>
      </w:r>
    </w:p>
    <w:p w:rsidRPr="000674B2" w:rsidR="00081EFC" w:rsidP="00394667" w:rsidRDefault="00081EFC" w14:paraId="019552C0" w14:textId="77777777">
      <w:pPr>
        <w:spacing w:line="240" w:lineRule="auto"/>
        <w:rPr>
          <w:bCs/>
          <w:szCs w:val="26"/>
        </w:rPr>
      </w:pPr>
    </w:p>
    <w:p w:rsidRPr="00656BA1" w:rsidR="00081EFC" w:rsidP="00394667" w:rsidRDefault="00081EFC" w14:paraId="5894416D" w14:textId="77777777">
      <w:pPr>
        <w:pStyle w:val="ListParagraph"/>
        <w:ind w:left="0" w:firstLine="0"/>
        <w:rPr>
          <w:bCs/>
          <w:szCs w:val="26"/>
        </w:rPr>
      </w:pPr>
      <w:r w:rsidRPr="00394667">
        <w:rPr>
          <w:bCs/>
          <w:sz w:val="26"/>
          <w:szCs w:val="26"/>
        </w:rPr>
        <w:t>Staff will post a list of applicants and projects submitted by the deadline on the CASF webpage. Further, where possible, staff will post regular updates on applications on the CASF webpage.</w:t>
      </w:r>
    </w:p>
    <w:p w:rsidRPr="000674B2" w:rsidR="00081EFC" w:rsidP="00081EFC" w:rsidRDefault="00081EFC" w14:paraId="4A9EDCD9" w14:textId="77777777">
      <w:pPr>
        <w:ind w:right="2432"/>
        <w:rPr>
          <w:b/>
          <w:szCs w:val="26"/>
        </w:rPr>
      </w:pPr>
    </w:p>
    <w:p w:rsidRPr="00B65A28" w:rsidR="00081EFC" w:rsidP="0033369D" w:rsidRDefault="00081EFC" w14:paraId="4B8B4580" w14:textId="77777777">
      <w:pPr>
        <w:pStyle w:val="ListParagraph"/>
        <w:numPr>
          <w:ilvl w:val="0"/>
          <w:numId w:val="30"/>
        </w:numPr>
        <w:ind w:right="2432"/>
        <w:rPr>
          <w:b/>
          <w:sz w:val="26"/>
          <w:szCs w:val="26"/>
        </w:rPr>
      </w:pPr>
      <w:r w:rsidRPr="00B65A28">
        <w:rPr>
          <w:b/>
          <w:sz w:val="26"/>
          <w:szCs w:val="26"/>
        </w:rPr>
        <w:t>Ministerial Review</w:t>
      </w:r>
    </w:p>
    <w:p w:rsidRPr="00656BA1" w:rsidR="00081EFC" w:rsidP="00394667" w:rsidRDefault="00081EFC" w14:paraId="38F62315" w14:textId="77777777">
      <w:pPr>
        <w:pStyle w:val="ListParagraph"/>
        <w:ind w:left="0" w:firstLine="0"/>
        <w:rPr>
          <w:bCs/>
          <w:szCs w:val="26"/>
        </w:rPr>
      </w:pPr>
      <w:r w:rsidRPr="00394667">
        <w:rPr>
          <w:bCs/>
          <w:sz w:val="26"/>
          <w:szCs w:val="26"/>
        </w:rPr>
        <w:t xml:space="preserve">The Commission assigns to Communications Division staff the task of reviewing and approving applications that meet </w:t>
      </w:r>
      <w:proofErr w:type="gramStart"/>
      <w:r w:rsidRPr="00394667">
        <w:rPr>
          <w:bCs/>
          <w:sz w:val="26"/>
          <w:szCs w:val="26"/>
        </w:rPr>
        <w:t>all of</w:t>
      </w:r>
      <w:proofErr w:type="gramEnd"/>
      <w:r w:rsidRPr="00394667">
        <w:rPr>
          <w:bCs/>
          <w:sz w:val="26"/>
          <w:szCs w:val="26"/>
        </w:rPr>
        <w:t xml:space="preserve"> the following criteria:</w:t>
      </w:r>
    </w:p>
    <w:p w:rsidR="00081EFC" w:rsidP="0033369D" w:rsidRDefault="00081EFC" w14:paraId="55AC9F77" w14:textId="77777777">
      <w:pPr>
        <w:pStyle w:val="ListParagraph"/>
        <w:numPr>
          <w:ilvl w:val="0"/>
          <w:numId w:val="43"/>
        </w:numPr>
        <w:rPr>
          <w:sz w:val="26"/>
          <w:szCs w:val="26"/>
        </w:rPr>
      </w:pPr>
      <w:r w:rsidRPr="1DD58392">
        <w:rPr>
          <w:sz w:val="26"/>
          <w:szCs w:val="26"/>
        </w:rPr>
        <w:t>Applicant requests a grant of $150,000 or less.</w:t>
      </w:r>
    </w:p>
    <w:p w:rsidRPr="00855CC1" w:rsidR="00081EFC" w:rsidP="0033369D" w:rsidRDefault="00081EFC" w14:paraId="5A6E72F8" w14:textId="77777777">
      <w:pPr>
        <w:pStyle w:val="ListParagraph"/>
        <w:numPr>
          <w:ilvl w:val="0"/>
          <w:numId w:val="43"/>
        </w:numPr>
        <w:rPr>
          <w:bCs/>
          <w:sz w:val="26"/>
          <w:szCs w:val="26"/>
        </w:rPr>
      </w:pPr>
      <w:r w:rsidRPr="00855CC1">
        <w:rPr>
          <w:bCs/>
          <w:sz w:val="26"/>
          <w:szCs w:val="26"/>
        </w:rPr>
        <w:t xml:space="preserve">Nonprofit organizations </w:t>
      </w:r>
      <w:r>
        <w:rPr>
          <w:bCs/>
          <w:sz w:val="26"/>
          <w:szCs w:val="26"/>
        </w:rPr>
        <w:t xml:space="preserve">may submit applications eligible for Ministerial Review </w:t>
      </w:r>
      <w:r w:rsidRPr="00855CC1">
        <w:rPr>
          <w:bCs/>
          <w:sz w:val="26"/>
          <w:szCs w:val="26"/>
        </w:rPr>
        <w:t>if the</w:t>
      </w:r>
      <w:r>
        <w:rPr>
          <w:bCs/>
          <w:sz w:val="26"/>
          <w:szCs w:val="26"/>
        </w:rPr>
        <w:t xml:space="preserve"> nonprofit organization has</w:t>
      </w:r>
      <w:r w:rsidRPr="00855CC1">
        <w:rPr>
          <w:bCs/>
          <w:sz w:val="26"/>
          <w:szCs w:val="26"/>
        </w:rPr>
        <w:t xml:space="preserve"> existed for more than one year.</w:t>
      </w:r>
    </w:p>
    <w:p w:rsidRPr="00855CC1" w:rsidR="00081EFC" w:rsidP="0033369D" w:rsidRDefault="00081EFC" w14:paraId="5A3D6CA8" w14:textId="77777777">
      <w:pPr>
        <w:pStyle w:val="ListParagraph"/>
        <w:numPr>
          <w:ilvl w:val="0"/>
          <w:numId w:val="43"/>
        </w:numPr>
        <w:rPr>
          <w:bCs/>
          <w:sz w:val="26"/>
          <w:szCs w:val="26"/>
        </w:rPr>
      </w:pPr>
      <w:r w:rsidRPr="00855CC1">
        <w:rPr>
          <w:bCs/>
          <w:sz w:val="26"/>
          <w:szCs w:val="26"/>
        </w:rPr>
        <w:t xml:space="preserve">Digital literacy project applicants </w:t>
      </w:r>
      <w:r>
        <w:rPr>
          <w:bCs/>
          <w:sz w:val="26"/>
          <w:szCs w:val="26"/>
        </w:rPr>
        <w:t>may submit applications eligible for Ministerial Review</w:t>
      </w:r>
      <w:r w:rsidRPr="00855CC1">
        <w:rPr>
          <w:bCs/>
          <w:sz w:val="26"/>
          <w:szCs w:val="26"/>
        </w:rPr>
        <w:t xml:space="preserve"> if they have at least one year’s experience conducting digital literacy training or if they have completed at least one digital literacy training project.</w:t>
      </w:r>
    </w:p>
    <w:p w:rsidR="00081EFC" w:rsidP="0033369D" w:rsidRDefault="00081EFC" w14:paraId="017E5DB3" w14:textId="77777777">
      <w:pPr>
        <w:pStyle w:val="ListParagraph"/>
        <w:numPr>
          <w:ilvl w:val="0"/>
          <w:numId w:val="43"/>
        </w:numPr>
        <w:rPr>
          <w:bCs/>
          <w:sz w:val="26"/>
          <w:szCs w:val="26"/>
        </w:rPr>
      </w:pPr>
      <w:r w:rsidRPr="00855CC1">
        <w:rPr>
          <w:bCs/>
          <w:sz w:val="26"/>
          <w:szCs w:val="26"/>
        </w:rPr>
        <w:t xml:space="preserve">Broadband access project applicants </w:t>
      </w:r>
      <w:r>
        <w:rPr>
          <w:bCs/>
          <w:sz w:val="26"/>
          <w:szCs w:val="26"/>
        </w:rPr>
        <w:t>may submit applications eligible for Ministerial Review</w:t>
      </w:r>
      <w:r w:rsidRPr="00855CC1">
        <w:rPr>
          <w:bCs/>
          <w:sz w:val="26"/>
          <w:szCs w:val="26"/>
        </w:rPr>
        <w:t xml:space="preserve"> if that have at least one year’s experience conducting </w:t>
      </w:r>
      <w:r w:rsidRPr="00855CC1">
        <w:rPr>
          <w:bCs/>
          <w:sz w:val="26"/>
          <w:szCs w:val="26"/>
        </w:rPr>
        <w:lastRenderedPageBreak/>
        <w:t>broadband access projects or if they have completed at least one broadband access project.</w:t>
      </w:r>
    </w:p>
    <w:p w:rsidR="00081EFC" w:rsidP="0033369D" w:rsidRDefault="00081EFC" w14:paraId="67DD4862" w14:textId="77777777">
      <w:pPr>
        <w:pStyle w:val="ListParagraph"/>
        <w:numPr>
          <w:ilvl w:val="0"/>
          <w:numId w:val="43"/>
        </w:numPr>
        <w:rPr>
          <w:bCs/>
          <w:sz w:val="26"/>
          <w:szCs w:val="26"/>
        </w:rPr>
      </w:pPr>
      <w:r>
        <w:rPr>
          <w:bCs/>
          <w:sz w:val="26"/>
          <w:szCs w:val="26"/>
        </w:rPr>
        <w:t xml:space="preserve">Applicants have a designated in person or virtual space for trainings or public computer access, or provides detailed information on how such in person or virtual space will be </w:t>
      </w:r>
      <w:proofErr w:type="gramStart"/>
      <w:r>
        <w:rPr>
          <w:bCs/>
          <w:sz w:val="26"/>
          <w:szCs w:val="26"/>
        </w:rPr>
        <w:t>obtained;</w:t>
      </w:r>
      <w:proofErr w:type="gramEnd"/>
    </w:p>
    <w:p w:rsidRPr="00275883" w:rsidR="00081EFC" w:rsidP="0033369D" w:rsidRDefault="00081EFC" w14:paraId="2F2EC5D3" w14:textId="77777777">
      <w:pPr>
        <w:pStyle w:val="ListParagraph"/>
        <w:numPr>
          <w:ilvl w:val="0"/>
          <w:numId w:val="43"/>
        </w:numPr>
        <w:rPr>
          <w:bCs/>
          <w:sz w:val="26"/>
          <w:szCs w:val="26"/>
        </w:rPr>
      </w:pPr>
      <w:r w:rsidRPr="00275883">
        <w:rPr>
          <w:bCs/>
          <w:sz w:val="26"/>
          <w:szCs w:val="26"/>
        </w:rPr>
        <w:t>For digital literacy projects, the proposed project costs $477 per participant or less (exclusive of in-person and take-home computer or hot spot reimbursements, if applicable</w:t>
      </w:r>
      <w:proofErr w:type="gramStart"/>
      <w:r w:rsidRPr="00275883">
        <w:rPr>
          <w:bCs/>
          <w:sz w:val="26"/>
          <w:szCs w:val="26"/>
        </w:rPr>
        <w:t>);</w:t>
      </w:r>
      <w:proofErr w:type="gramEnd"/>
    </w:p>
    <w:p w:rsidRPr="00275883" w:rsidR="00081EFC" w:rsidP="0033369D" w:rsidRDefault="00081EFC" w14:paraId="3067F603" w14:textId="77777777">
      <w:pPr>
        <w:pStyle w:val="ListParagraph"/>
        <w:numPr>
          <w:ilvl w:val="0"/>
          <w:numId w:val="43"/>
        </w:numPr>
        <w:rPr>
          <w:bCs/>
          <w:sz w:val="26"/>
          <w:szCs w:val="26"/>
        </w:rPr>
      </w:pPr>
      <w:r w:rsidRPr="00275883">
        <w:rPr>
          <w:bCs/>
          <w:sz w:val="26"/>
          <w:szCs w:val="26"/>
        </w:rPr>
        <w:t>For broadband access projects, the proposed project costs $42 per participant or less (exclusive of in-person and take-home computer or hot spot reimbursements</w:t>
      </w:r>
      <w:proofErr w:type="gramStart"/>
      <w:r w:rsidRPr="00275883">
        <w:rPr>
          <w:bCs/>
          <w:sz w:val="26"/>
          <w:szCs w:val="26"/>
        </w:rPr>
        <w:t>);</w:t>
      </w:r>
      <w:proofErr w:type="gramEnd"/>
    </w:p>
    <w:p w:rsidRPr="00275883" w:rsidR="00081EFC" w:rsidP="00394667" w:rsidRDefault="00081EFC" w14:paraId="1F559A13" w14:textId="77777777">
      <w:pPr>
        <w:pStyle w:val="ListParagraph"/>
        <w:keepNext/>
        <w:keepLines/>
        <w:numPr>
          <w:ilvl w:val="0"/>
          <w:numId w:val="43"/>
        </w:numPr>
        <w:rPr>
          <w:bCs/>
          <w:sz w:val="26"/>
          <w:szCs w:val="26"/>
        </w:rPr>
      </w:pPr>
      <w:r w:rsidRPr="00275883">
        <w:rPr>
          <w:bCs/>
          <w:sz w:val="26"/>
          <w:szCs w:val="26"/>
        </w:rPr>
        <w:t xml:space="preserve">For call center projects, the proposed project costs $205 per subscription or </w:t>
      </w:r>
      <w:proofErr w:type="gramStart"/>
      <w:r w:rsidRPr="00275883">
        <w:rPr>
          <w:bCs/>
          <w:sz w:val="26"/>
          <w:szCs w:val="26"/>
        </w:rPr>
        <w:t>less;</w:t>
      </w:r>
      <w:proofErr w:type="gramEnd"/>
    </w:p>
    <w:p w:rsidRPr="00275883" w:rsidR="00081EFC" w:rsidP="0033369D" w:rsidRDefault="00081EFC" w14:paraId="32047B3B" w14:textId="799F529D">
      <w:pPr>
        <w:pStyle w:val="ListParagraph"/>
        <w:numPr>
          <w:ilvl w:val="0"/>
          <w:numId w:val="43"/>
        </w:numPr>
        <w:rPr>
          <w:bCs/>
          <w:sz w:val="26"/>
          <w:szCs w:val="26"/>
        </w:rPr>
      </w:pPr>
      <w:r w:rsidRPr="00275883">
        <w:rPr>
          <w:bCs/>
          <w:sz w:val="26"/>
          <w:szCs w:val="26"/>
        </w:rPr>
        <w:t xml:space="preserve">The application meets all other Adoption Account application requirements included in </w:t>
      </w:r>
      <w:r w:rsidR="00FF6FF3">
        <w:rPr>
          <w:bCs/>
          <w:sz w:val="26"/>
          <w:szCs w:val="26"/>
        </w:rPr>
        <w:t>S</w:t>
      </w:r>
      <w:r w:rsidRPr="00275883">
        <w:rPr>
          <w:bCs/>
          <w:sz w:val="26"/>
          <w:szCs w:val="26"/>
        </w:rPr>
        <w:t xml:space="preserve">ections </w:t>
      </w:r>
      <w:r>
        <w:rPr>
          <w:bCs/>
          <w:sz w:val="26"/>
          <w:szCs w:val="26"/>
        </w:rPr>
        <w:t>IV</w:t>
      </w:r>
      <w:r w:rsidRPr="00275883">
        <w:rPr>
          <w:bCs/>
          <w:sz w:val="26"/>
          <w:szCs w:val="26"/>
        </w:rPr>
        <w:t xml:space="preserve">, </w:t>
      </w:r>
      <w:r>
        <w:rPr>
          <w:bCs/>
          <w:sz w:val="26"/>
          <w:szCs w:val="26"/>
        </w:rPr>
        <w:t>V</w:t>
      </w:r>
      <w:r w:rsidRPr="00275883">
        <w:rPr>
          <w:bCs/>
          <w:sz w:val="26"/>
          <w:szCs w:val="26"/>
        </w:rPr>
        <w:t xml:space="preserve">, </w:t>
      </w:r>
      <w:r>
        <w:rPr>
          <w:bCs/>
          <w:sz w:val="26"/>
          <w:szCs w:val="26"/>
        </w:rPr>
        <w:t>VI</w:t>
      </w:r>
      <w:r w:rsidRPr="00275883">
        <w:rPr>
          <w:bCs/>
          <w:sz w:val="26"/>
          <w:szCs w:val="26"/>
        </w:rPr>
        <w:t xml:space="preserve">, and </w:t>
      </w:r>
      <w:r>
        <w:rPr>
          <w:bCs/>
          <w:sz w:val="26"/>
          <w:szCs w:val="26"/>
        </w:rPr>
        <w:t>VII</w:t>
      </w:r>
      <w:r w:rsidRPr="00275883">
        <w:rPr>
          <w:bCs/>
          <w:sz w:val="26"/>
          <w:szCs w:val="26"/>
        </w:rPr>
        <w:t xml:space="preserve"> of these Guidelines.</w:t>
      </w:r>
    </w:p>
    <w:p w:rsidRPr="00855CC1" w:rsidR="00081EFC" w:rsidP="00081EFC" w:rsidRDefault="00081EFC" w14:paraId="70F86657" w14:textId="77777777">
      <w:pPr>
        <w:pStyle w:val="ListParagraph"/>
        <w:ind w:left="720" w:firstLine="0"/>
        <w:rPr>
          <w:bCs/>
          <w:sz w:val="26"/>
          <w:szCs w:val="26"/>
        </w:rPr>
      </w:pPr>
    </w:p>
    <w:p w:rsidRPr="00394667" w:rsidR="00081EFC" w:rsidP="00394667" w:rsidRDefault="00081EFC" w14:paraId="047B04A1" w14:textId="77777777">
      <w:pPr>
        <w:widowControl w:val="0"/>
        <w:autoSpaceDE w:val="0"/>
        <w:autoSpaceDN w:val="0"/>
        <w:spacing w:line="240" w:lineRule="auto"/>
        <w:ind w:firstLine="0"/>
        <w:rPr>
          <w:rFonts w:ascii="Palatino Linotype" w:hAnsi="Palatino Linotype" w:eastAsia="Palatino Linotype" w:cs="Palatino Linotype"/>
          <w:bCs/>
          <w:szCs w:val="26"/>
        </w:rPr>
      </w:pPr>
      <w:r w:rsidRPr="00394667">
        <w:rPr>
          <w:rFonts w:ascii="Palatino Linotype" w:hAnsi="Palatino Linotype" w:eastAsia="Palatino Linotype" w:cs="Palatino Linotype"/>
          <w:bCs/>
          <w:szCs w:val="26"/>
        </w:rPr>
        <w:t>The Commission further assigns to staff the task of rejecting applications that meet any of the following criteria:</w:t>
      </w:r>
    </w:p>
    <w:p w:rsidR="00081EFC" w:rsidP="0033369D" w:rsidRDefault="00081EFC" w14:paraId="7E6D530D" w14:textId="77777777">
      <w:pPr>
        <w:pStyle w:val="ListParagraph"/>
        <w:numPr>
          <w:ilvl w:val="0"/>
          <w:numId w:val="44"/>
        </w:numPr>
        <w:rPr>
          <w:sz w:val="26"/>
          <w:szCs w:val="26"/>
        </w:rPr>
      </w:pPr>
      <w:r w:rsidRPr="1DD58392">
        <w:rPr>
          <w:sz w:val="26"/>
          <w:szCs w:val="26"/>
        </w:rPr>
        <w:t>The applicant submitted an incomplete application and has not responded to a follow-up request for the missing material, sent to the designated contact on the application.</w:t>
      </w:r>
    </w:p>
    <w:p w:rsidR="00081EFC" w:rsidP="0033369D" w:rsidRDefault="00081EFC" w14:paraId="43180D43" w14:textId="77777777">
      <w:pPr>
        <w:pStyle w:val="ListParagraph"/>
        <w:numPr>
          <w:ilvl w:val="0"/>
          <w:numId w:val="44"/>
        </w:numPr>
        <w:rPr>
          <w:rFonts w:asciiTheme="minorHAnsi" w:hAnsiTheme="minorHAnsi" w:eastAsiaTheme="minorEastAsia" w:cstheme="minorBidi"/>
          <w:sz w:val="26"/>
          <w:szCs w:val="26"/>
        </w:rPr>
      </w:pPr>
      <w:r w:rsidRPr="1DD58392">
        <w:rPr>
          <w:sz w:val="26"/>
          <w:szCs w:val="26"/>
        </w:rPr>
        <w:t>The applicant is a non-profit organization that that failed to provide documentation showing good standing with the U.S. Internal Revenue Service and the California Secretary of State.</w:t>
      </w:r>
    </w:p>
    <w:p w:rsidRPr="00633995" w:rsidR="00081EFC" w:rsidP="0033369D" w:rsidRDefault="00081EFC" w14:paraId="0CC1A0C7" w14:textId="77777777">
      <w:pPr>
        <w:pStyle w:val="ListParagraph"/>
        <w:numPr>
          <w:ilvl w:val="0"/>
          <w:numId w:val="44"/>
        </w:numPr>
        <w:rPr>
          <w:bCs/>
          <w:sz w:val="26"/>
          <w:szCs w:val="26"/>
        </w:rPr>
      </w:pPr>
      <w:r w:rsidRPr="00633995">
        <w:rPr>
          <w:bCs/>
          <w:sz w:val="26"/>
          <w:szCs w:val="26"/>
        </w:rPr>
        <w:t xml:space="preserve">The applicant has previously had a Commission grant award rescinded for violation of Commission or program </w:t>
      </w:r>
      <w:proofErr w:type="gramStart"/>
      <w:r w:rsidRPr="00633995">
        <w:rPr>
          <w:bCs/>
          <w:sz w:val="26"/>
          <w:szCs w:val="26"/>
        </w:rPr>
        <w:t>rules;</w:t>
      </w:r>
      <w:proofErr w:type="gramEnd"/>
      <w:r w:rsidRPr="00633995">
        <w:rPr>
          <w:bCs/>
          <w:sz w:val="26"/>
          <w:szCs w:val="26"/>
        </w:rPr>
        <w:t xml:space="preserve"> </w:t>
      </w:r>
    </w:p>
    <w:p w:rsidRPr="00633995" w:rsidR="00081EFC" w:rsidP="0033369D" w:rsidRDefault="00081EFC" w14:paraId="7B41B92C" w14:textId="77777777">
      <w:pPr>
        <w:pStyle w:val="ListParagraph"/>
        <w:numPr>
          <w:ilvl w:val="0"/>
          <w:numId w:val="44"/>
        </w:numPr>
        <w:rPr>
          <w:bCs/>
          <w:sz w:val="26"/>
          <w:szCs w:val="26"/>
        </w:rPr>
      </w:pPr>
      <w:r w:rsidRPr="00633995">
        <w:rPr>
          <w:bCs/>
          <w:sz w:val="26"/>
          <w:szCs w:val="26"/>
        </w:rPr>
        <w:t>The applicant has made false statements to the Commission or to the Federal Communications Commission (FCC).</w:t>
      </w:r>
    </w:p>
    <w:p w:rsidRPr="00855CC1" w:rsidR="00081EFC" w:rsidP="00081EFC" w:rsidRDefault="00081EFC" w14:paraId="2369C6BF" w14:textId="77777777">
      <w:pPr>
        <w:rPr>
          <w:bCs/>
          <w:szCs w:val="26"/>
        </w:rPr>
      </w:pPr>
    </w:p>
    <w:p w:rsidR="00081EFC" w:rsidP="0033369D" w:rsidRDefault="00081EFC" w14:paraId="2BFA474F" w14:textId="77777777">
      <w:pPr>
        <w:pStyle w:val="ListParagraph"/>
        <w:numPr>
          <w:ilvl w:val="0"/>
          <w:numId w:val="30"/>
        </w:numPr>
        <w:ind w:right="2432"/>
        <w:rPr>
          <w:b/>
          <w:sz w:val="26"/>
          <w:szCs w:val="26"/>
        </w:rPr>
      </w:pPr>
      <w:r w:rsidRPr="00B65A28">
        <w:rPr>
          <w:b/>
          <w:sz w:val="26"/>
          <w:szCs w:val="26"/>
        </w:rPr>
        <w:t>Resolution Review</w:t>
      </w:r>
    </w:p>
    <w:p w:rsidRPr="00394667" w:rsidR="00081EFC" w:rsidP="00394667" w:rsidRDefault="00081EFC" w14:paraId="3B8E64D6" w14:textId="77777777">
      <w:pPr>
        <w:widowControl w:val="0"/>
        <w:autoSpaceDE w:val="0"/>
        <w:autoSpaceDN w:val="0"/>
        <w:spacing w:line="240" w:lineRule="auto"/>
        <w:ind w:firstLine="0"/>
        <w:rPr>
          <w:rFonts w:ascii="Palatino Linotype" w:hAnsi="Palatino Linotype" w:eastAsia="Palatino Linotype" w:cs="Palatino Linotype"/>
          <w:bCs/>
          <w:szCs w:val="26"/>
        </w:rPr>
      </w:pPr>
      <w:r w:rsidRPr="00394667">
        <w:rPr>
          <w:rFonts w:ascii="Palatino Linotype" w:hAnsi="Palatino Linotype" w:eastAsia="Palatino Linotype" w:cs="Palatino Linotype"/>
          <w:bCs/>
          <w:szCs w:val="26"/>
        </w:rPr>
        <w:t>Applications that do not meet the above Ministerial Review Criteria may be approved by Commission resolution.</w:t>
      </w:r>
    </w:p>
    <w:p w:rsidRPr="00633995" w:rsidR="00081EFC" w:rsidP="00081EFC" w:rsidRDefault="00081EFC" w14:paraId="60BF35FD" w14:textId="77777777">
      <w:pPr>
        <w:rPr>
          <w:bCs/>
          <w:szCs w:val="26"/>
        </w:rPr>
      </w:pPr>
    </w:p>
    <w:p w:rsidR="00081EFC" w:rsidP="0033369D" w:rsidRDefault="00081EFC" w14:paraId="2287195B" w14:textId="77777777">
      <w:pPr>
        <w:pStyle w:val="ListParagraph"/>
        <w:numPr>
          <w:ilvl w:val="0"/>
          <w:numId w:val="30"/>
        </w:numPr>
        <w:ind w:right="2432"/>
        <w:rPr>
          <w:b/>
          <w:sz w:val="26"/>
          <w:szCs w:val="26"/>
        </w:rPr>
      </w:pPr>
      <w:r w:rsidRPr="00B65A28">
        <w:rPr>
          <w:b/>
          <w:sz w:val="26"/>
          <w:szCs w:val="26"/>
        </w:rPr>
        <w:t>Staff Review</w:t>
      </w:r>
    </w:p>
    <w:p w:rsidRPr="00394667" w:rsidR="00081EFC" w:rsidP="00394667" w:rsidRDefault="00081EFC" w14:paraId="33E487DC" w14:textId="77777777">
      <w:pPr>
        <w:widowControl w:val="0"/>
        <w:autoSpaceDE w:val="0"/>
        <w:autoSpaceDN w:val="0"/>
        <w:spacing w:line="240" w:lineRule="auto"/>
        <w:ind w:firstLine="0"/>
        <w:rPr>
          <w:rFonts w:ascii="Palatino Linotype" w:hAnsi="Palatino Linotype" w:eastAsia="Palatino Linotype" w:cs="Palatino Linotype"/>
          <w:bCs/>
          <w:szCs w:val="26"/>
        </w:rPr>
      </w:pPr>
      <w:r w:rsidRPr="00394667">
        <w:rPr>
          <w:rFonts w:ascii="Palatino Linotype" w:hAnsi="Palatino Linotype" w:eastAsia="Palatino Linotype" w:cs="Palatino Linotype"/>
          <w:bCs/>
          <w:szCs w:val="26"/>
        </w:rPr>
        <w:t>Staff shall notify an applicant by letter specifying reasons for rejection should an application fail to meet the Commission criteria or other factors.</w:t>
      </w:r>
    </w:p>
    <w:p w:rsidRPr="00633995" w:rsidR="00081EFC" w:rsidP="00081EFC" w:rsidRDefault="00081EFC" w14:paraId="613CC78E" w14:textId="77777777">
      <w:pPr>
        <w:rPr>
          <w:bCs/>
          <w:szCs w:val="26"/>
        </w:rPr>
      </w:pPr>
    </w:p>
    <w:p w:rsidR="00081EFC" w:rsidP="0033369D" w:rsidRDefault="00081EFC" w14:paraId="73C07B1C" w14:textId="77777777">
      <w:pPr>
        <w:pStyle w:val="ListParagraph"/>
        <w:numPr>
          <w:ilvl w:val="0"/>
          <w:numId w:val="30"/>
        </w:numPr>
        <w:ind w:right="2432"/>
        <w:rPr>
          <w:b/>
          <w:sz w:val="26"/>
          <w:szCs w:val="26"/>
        </w:rPr>
      </w:pPr>
      <w:r w:rsidRPr="00B65A28">
        <w:rPr>
          <w:b/>
          <w:sz w:val="26"/>
          <w:szCs w:val="26"/>
        </w:rPr>
        <w:lastRenderedPageBreak/>
        <w:t>Reporting</w:t>
      </w:r>
    </w:p>
    <w:p w:rsidRPr="00633995" w:rsidR="00081EFC" w:rsidP="00081EFC" w:rsidRDefault="00081EFC" w14:paraId="3A3FC9EC" w14:textId="77777777">
      <w:pPr>
        <w:pStyle w:val="BodyText"/>
        <w:spacing w:before="120"/>
        <w:ind w:right="132"/>
        <w:jc w:val="both"/>
      </w:pPr>
      <w:r w:rsidRPr="00633995">
        <w:t>Staff will provide a template for all necessary reports in the Administrative Manual</w:t>
      </w:r>
      <w:r w:rsidRPr="00633995">
        <w:rPr>
          <w:spacing w:val="1"/>
        </w:rPr>
        <w:t xml:space="preserve"> </w:t>
      </w:r>
      <w:r w:rsidRPr="00633995">
        <w:t>which will be posted on the CPUC CASF website, along with the Adoption Account</w:t>
      </w:r>
      <w:r w:rsidRPr="00633995">
        <w:rPr>
          <w:spacing w:val="-57"/>
        </w:rPr>
        <w:t xml:space="preserve"> </w:t>
      </w:r>
      <w:r w:rsidRPr="00633995">
        <w:t>Instructions and Application forms. Up to three reports will be required throughout</w:t>
      </w:r>
      <w:r w:rsidRPr="00633995">
        <w:rPr>
          <w:spacing w:val="1"/>
        </w:rPr>
        <w:t xml:space="preserve"> </w:t>
      </w:r>
      <w:r w:rsidRPr="00633995">
        <w:t>the</w:t>
      </w:r>
      <w:r w:rsidRPr="00633995">
        <w:rPr>
          <w:spacing w:val="-1"/>
        </w:rPr>
        <w:t xml:space="preserve"> </w:t>
      </w:r>
      <w:r w:rsidRPr="00633995">
        <w:t>course of</w:t>
      </w:r>
      <w:r w:rsidRPr="00633995">
        <w:rPr>
          <w:spacing w:val="-1"/>
        </w:rPr>
        <w:t xml:space="preserve"> </w:t>
      </w:r>
      <w:r w:rsidRPr="00633995">
        <w:t>the project:</w:t>
      </w:r>
    </w:p>
    <w:p w:rsidRPr="00633995" w:rsidR="00081EFC" w:rsidP="00081EFC" w:rsidRDefault="00081EFC" w14:paraId="3C323A2D" w14:textId="77777777">
      <w:pPr>
        <w:pStyle w:val="BodyText"/>
        <w:spacing w:before="12"/>
      </w:pPr>
    </w:p>
    <w:p w:rsidRPr="00633995" w:rsidR="00081EFC" w:rsidP="00081EFC" w:rsidRDefault="00081EFC" w14:paraId="6DEEA936" w14:textId="77777777">
      <w:pPr>
        <w:pStyle w:val="BodyText"/>
        <w:ind w:right="111"/>
      </w:pPr>
      <w:r w:rsidRPr="00633995">
        <w:rPr>
          <w:b/>
        </w:rPr>
        <w:t>Ramp-up period report:</w:t>
      </w:r>
      <w:r w:rsidRPr="00633995">
        <w:rPr>
          <w:b/>
          <w:spacing w:val="1"/>
        </w:rPr>
        <w:t xml:space="preserve"> </w:t>
      </w:r>
      <w:r w:rsidRPr="00633995">
        <w:t>A “ramp-up period report” is required (if applicable), after</w:t>
      </w:r>
      <w:r w:rsidRPr="00633995">
        <w:rPr>
          <w:spacing w:val="-57"/>
        </w:rPr>
        <w:t xml:space="preserve"> </w:t>
      </w:r>
      <w:r w:rsidRPr="00633995">
        <w:t>completion of the ramp up activities and when deployment is set to begin.</w:t>
      </w:r>
      <w:r w:rsidRPr="00633995">
        <w:rPr>
          <w:spacing w:val="1"/>
        </w:rPr>
        <w:t xml:space="preserve"> </w:t>
      </w:r>
      <w:r w:rsidRPr="00633995">
        <w:t>This</w:t>
      </w:r>
      <w:r w:rsidRPr="00633995">
        <w:rPr>
          <w:spacing w:val="1"/>
        </w:rPr>
        <w:t xml:space="preserve"> </w:t>
      </w:r>
      <w:r w:rsidRPr="00633995">
        <w:t>report must be submitted by no later than 3 months after the completion of the ramp</w:t>
      </w:r>
      <w:r w:rsidRPr="00633995">
        <w:rPr>
          <w:spacing w:val="-57"/>
        </w:rPr>
        <w:t xml:space="preserve"> </w:t>
      </w:r>
      <w:r w:rsidRPr="00633995">
        <w:t>up activities.</w:t>
      </w:r>
      <w:r w:rsidRPr="00633995">
        <w:rPr>
          <w:spacing w:val="1"/>
        </w:rPr>
        <w:t xml:space="preserve"> </w:t>
      </w:r>
      <w:r w:rsidRPr="00633995">
        <w:t>In this report, recipients will report on the completion of the ramp up</w:t>
      </w:r>
      <w:r w:rsidRPr="00633995">
        <w:rPr>
          <w:spacing w:val="1"/>
        </w:rPr>
        <w:t xml:space="preserve"> </w:t>
      </w:r>
      <w:r w:rsidRPr="00633995">
        <w:t>activities per the work plan, milestones met, as well as request payment for relevant</w:t>
      </w:r>
      <w:r w:rsidRPr="00633995">
        <w:rPr>
          <w:spacing w:val="1"/>
        </w:rPr>
        <w:t xml:space="preserve"> </w:t>
      </w:r>
      <w:r w:rsidRPr="00633995">
        <w:t>expenses to date.</w:t>
      </w:r>
      <w:r w:rsidRPr="00633995">
        <w:rPr>
          <w:spacing w:val="1"/>
        </w:rPr>
        <w:t xml:space="preserve"> </w:t>
      </w:r>
      <w:r w:rsidRPr="00633995">
        <w:t>The ramp up period may not exceed 6 months from the time the</w:t>
      </w:r>
      <w:r w:rsidRPr="00633995">
        <w:rPr>
          <w:spacing w:val="1"/>
        </w:rPr>
        <w:t xml:space="preserve"> </w:t>
      </w:r>
      <w:r w:rsidRPr="00633995">
        <w:t>application</w:t>
      </w:r>
      <w:r w:rsidRPr="00633995">
        <w:rPr>
          <w:spacing w:val="-2"/>
        </w:rPr>
        <w:t xml:space="preserve"> </w:t>
      </w:r>
      <w:r w:rsidRPr="00633995">
        <w:t>is</w:t>
      </w:r>
      <w:r w:rsidRPr="00633995">
        <w:rPr>
          <w:spacing w:val="-1"/>
        </w:rPr>
        <w:t xml:space="preserve"> </w:t>
      </w:r>
      <w:r w:rsidRPr="00633995">
        <w:t>approved.</w:t>
      </w:r>
    </w:p>
    <w:p w:rsidRPr="00633995" w:rsidR="00081EFC" w:rsidP="00081EFC" w:rsidRDefault="00081EFC" w14:paraId="77DE66CA" w14:textId="77777777">
      <w:pPr>
        <w:pStyle w:val="BodyText"/>
        <w:spacing w:before="12"/>
      </w:pPr>
    </w:p>
    <w:p w:rsidRPr="00633995" w:rsidR="00081EFC" w:rsidP="00081EFC" w:rsidRDefault="00081EFC" w14:paraId="2A1A3C0F" w14:textId="77777777">
      <w:pPr>
        <w:pStyle w:val="BodyText"/>
        <w:spacing w:before="1"/>
        <w:ind w:right="122"/>
      </w:pPr>
      <w:r w:rsidRPr="00633995">
        <w:rPr>
          <w:b/>
        </w:rPr>
        <w:t>Year 1 Progress Report:</w:t>
      </w:r>
      <w:r w:rsidRPr="00633995">
        <w:rPr>
          <w:b/>
          <w:spacing w:val="1"/>
        </w:rPr>
        <w:t xml:space="preserve"> </w:t>
      </w:r>
      <w:r w:rsidRPr="00633995">
        <w:t>The Year 1 progress report is required at the end of the first</w:t>
      </w:r>
      <w:r w:rsidRPr="00633995">
        <w:rPr>
          <w:spacing w:val="-57"/>
        </w:rPr>
        <w:t xml:space="preserve"> </w:t>
      </w:r>
      <w:r w:rsidRPr="00633995">
        <w:t>year of deployment.</w:t>
      </w:r>
      <w:r w:rsidRPr="00633995">
        <w:rPr>
          <w:spacing w:val="1"/>
        </w:rPr>
        <w:t xml:space="preserve"> </w:t>
      </w:r>
      <w:r w:rsidRPr="00633995">
        <w:t>This report must be submitted by no later than 3 months after</w:t>
      </w:r>
      <w:r w:rsidRPr="00633995">
        <w:rPr>
          <w:spacing w:val="1"/>
        </w:rPr>
        <w:t xml:space="preserve"> </w:t>
      </w:r>
      <w:r w:rsidRPr="00633995">
        <w:t>the end of the first year of deployment.</w:t>
      </w:r>
      <w:r w:rsidRPr="00633995">
        <w:rPr>
          <w:spacing w:val="1"/>
        </w:rPr>
        <w:t xml:space="preserve"> </w:t>
      </w:r>
      <w:r w:rsidRPr="00633995">
        <w:t>In this report, recipients will report on the</w:t>
      </w:r>
      <w:r w:rsidRPr="00633995">
        <w:rPr>
          <w:spacing w:val="1"/>
        </w:rPr>
        <w:t xml:space="preserve"> </w:t>
      </w:r>
      <w:r w:rsidRPr="00633995">
        <w:t>status of Year 1 milestones per the work plan, as well as request payment for</w:t>
      </w:r>
      <w:r w:rsidRPr="00633995">
        <w:rPr>
          <w:spacing w:val="1"/>
        </w:rPr>
        <w:t xml:space="preserve"> </w:t>
      </w:r>
      <w:r w:rsidRPr="00633995">
        <w:t>relevant</w:t>
      </w:r>
      <w:r w:rsidRPr="00633995">
        <w:rPr>
          <w:spacing w:val="-1"/>
        </w:rPr>
        <w:t xml:space="preserve"> </w:t>
      </w:r>
      <w:r w:rsidRPr="00633995">
        <w:t>expenses</w:t>
      </w:r>
      <w:r w:rsidRPr="00633995">
        <w:rPr>
          <w:spacing w:val="-1"/>
        </w:rPr>
        <w:t xml:space="preserve"> </w:t>
      </w:r>
      <w:r w:rsidRPr="00633995">
        <w:t>to date.</w:t>
      </w:r>
    </w:p>
    <w:p w:rsidRPr="00633995" w:rsidR="00081EFC" w:rsidP="00081EFC" w:rsidRDefault="00081EFC" w14:paraId="4B7EDBD9" w14:textId="77777777">
      <w:pPr>
        <w:pStyle w:val="BodyText"/>
        <w:spacing w:before="1"/>
      </w:pPr>
    </w:p>
    <w:p w:rsidRPr="00633995" w:rsidR="00081EFC" w:rsidP="00081EFC" w:rsidRDefault="00081EFC" w14:paraId="5CC4E9D9" w14:textId="77777777">
      <w:pPr>
        <w:pStyle w:val="BodyText"/>
        <w:ind w:right="175"/>
      </w:pPr>
      <w:r w:rsidRPr="00633995">
        <w:rPr>
          <w:b/>
        </w:rPr>
        <w:t>Year 2 Completion Report</w:t>
      </w:r>
      <w:r w:rsidRPr="00633995">
        <w:t>:</w:t>
      </w:r>
      <w:r w:rsidRPr="00633995">
        <w:rPr>
          <w:spacing w:val="1"/>
        </w:rPr>
        <w:t xml:space="preserve"> </w:t>
      </w:r>
      <w:r w:rsidRPr="00633995">
        <w:t>The Year 2 completion report is required at the end of</w:t>
      </w:r>
      <w:r w:rsidRPr="00633995">
        <w:rPr>
          <w:spacing w:val="1"/>
        </w:rPr>
        <w:t xml:space="preserve"> </w:t>
      </w:r>
      <w:r w:rsidRPr="00633995">
        <w:t>the 24-month period, or after the work plan milestones/deliverables have been</w:t>
      </w:r>
      <w:r w:rsidRPr="00633995">
        <w:rPr>
          <w:spacing w:val="1"/>
        </w:rPr>
        <w:t xml:space="preserve"> </w:t>
      </w:r>
      <w:r w:rsidRPr="00633995">
        <w:t>accomplished if earlier than the 24-month period.</w:t>
      </w:r>
      <w:r w:rsidRPr="00633995">
        <w:rPr>
          <w:spacing w:val="1"/>
        </w:rPr>
        <w:t xml:space="preserve"> </w:t>
      </w:r>
      <w:r w:rsidRPr="00633995">
        <w:t>This report must be submitted by</w:t>
      </w:r>
      <w:r w:rsidRPr="00633995">
        <w:rPr>
          <w:spacing w:val="-57"/>
        </w:rPr>
        <w:t xml:space="preserve"> </w:t>
      </w:r>
      <w:r w:rsidRPr="00633995">
        <w:t>no later than 3 months after completion of the project.</w:t>
      </w:r>
      <w:r w:rsidRPr="00633995">
        <w:rPr>
          <w:spacing w:val="1"/>
        </w:rPr>
        <w:t xml:space="preserve"> </w:t>
      </w:r>
      <w:r w:rsidRPr="00633995">
        <w:t>In this report, recipients will</w:t>
      </w:r>
      <w:r w:rsidRPr="00633995">
        <w:rPr>
          <w:spacing w:val="1"/>
        </w:rPr>
        <w:t xml:space="preserve"> </w:t>
      </w:r>
      <w:r w:rsidRPr="00633995">
        <w:t>report on the completion of the overall project, milestones met per the work plan, as</w:t>
      </w:r>
      <w:r w:rsidRPr="00633995">
        <w:rPr>
          <w:spacing w:val="-57"/>
        </w:rPr>
        <w:t xml:space="preserve"> </w:t>
      </w:r>
      <w:r w:rsidRPr="00633995">
        <w:t>well</w:t>
      </w:r>
      <w:r w:rsidRPr="00633995">
        <w:rPr>
          <w:spacing w:val="-2"/>
        </w:rPr>
        <w:t xml:space="preserve"> </w:t>
      </w:r>
      <w:r w:rsidRPr="00633995">
        <w:t>as</w:t>
      </w:r>
      <w:r w:rsidRPr="00633995">
        <w:rPr>
          <w:spacing w:val="-2"/>
        </w:rPr>
        <w:t xml:space="preserve"> </w:t>
      </w:r>
      <w:r w:rsidRPr="00633995">
        <w:t>request payment</w:t>
      </w:r>
      <w:r w:rsidRPr="00633995">
        <w:rPr>
          <w:spacing w:val="-1"/>
        </w:rPr>
        <w:t xml:space="preserve"> </w:t>
      </w:r>
      <w:r w:rsidRPr="00633995">
        <w:t>for</w:t>
      </w:r>
      <w:r w:rsidRPr="00633995">
        <w:rPr>
          <w:spacing w:val="1"/>
        </w:rPr>
        <w:t xml:space="preserve"> </w:t>
      </w:r>
      <w:r w:rsidRPr="00633995">
        <w:t>final</w:t>
      </w:r>
      <w:r w:rsidRPr="00633995">
        <w:rPr>
          <w:spacing w:val="-2"/>
        </w:rPr>
        <w:t xml:space="preserve"> </w:t>
      </w:r>
      <w:r w:rsidRPr="00633995">
        <w:t>and</w:t>
      </w:r>
      <w:r w:rsidRPr="00633995">
        <w:rPr>
          <w:spacing w:val="-2"/>
        </w:rPr>
        <w:t xml:space="preserve"> </w:t>
      </w:r>
      <w:r w:rsidRPr="00633995">
        <w:t>remaining relevant</w:t>
      </w:r>
      <w:r w:rsidRPr="00633995">
        <w:rPr>
          <w:spacing w:val="-1"/>
        </w:rPr>
        <w:t xml:space="preserve"> </w:t>
      </w:r>
      <w:r w:rsidRPr="00633995">
        <w:t>expenses.</w:t>
      </w:r>
    </w:p>
    <w:p w:rsidRPr="00633995" w:rsidR="00081EFC" w:rsidP="00081EFC" w:rsidRDefault="00081EFC" w14:paraId="094C17C1" w14:textId="77777777">
      <w:pPr>
        <w:pStyle w:val="BodyText"/>
        <w:spacing w:line="323" w:lineRule="exact"/>
      </w:pPr>
      <w:r w:rsidRPr="00633995">
        <w:t>The</w:t>
      </w:r>
      <w:r w:rsidRPr="00633995">
        <w:rPr>
          <w:spacing w:val="-3"/>
        </w:rPr>
        <w:t xml:space="preserve"> </w:t>
      </w:r>
      <w:r w:rsidRPr="00633995">
        <w:t>completion</w:t>
      </w:r>
      <w:r w:rsidRPr="00633995">
        <w:rPr>
          <w:spacing w:val="-3"/>
        </w:rPr>
        <w:t xml:space="preserve"> </w:t>
      </w:r>
      <w:r w:rsidRPr="00633995">
        <w:t>report</w:t>
      </w:r>
      <w:r w:rsidRPr="00633995">
        <w:rPr>
          <w:spacing w:val="-4"/>
        </w:rPr>
        <w:t xml:space="preserve"> </w:t>
      </w:r>
      <w:r w:rsidRPr="00633995">
        <w:t>shall</w:t>
      </w:r>
      <w:r w:rsidRPr="00633995">
        <w:rPr>
          <w:spacing w:val="-3"/>
        </w:rPr>
        <w:t xml:space="preserve"> </w:t>
      </w:r>
      <w:r w:rsidRPr="00633995">
        <w:t>include:</w:t>
      </w:r>
    </w:p>
    <w:p w:rsidRPr="00633995" w:rsidR="00081EFC" w:rsidP="0033369D" w:rsidRDefault="00081EFC" w14:paraId="47380C7F" w14:textId="77777777">
      <w:pPr>
        <w:pStyle w:val="ListParagraph"/>
        <w:numPr>
          <w:ilvl w:val="0"/>
          <w:numId w:val="45"/>
        </w:numPr>
        <w:tabs>
          <w:tab w:val="left" w:pos="840"/>
        </w:tabs>
        <w:ind w:left="1080" w:right="421"/>
        <w:rPr>
          <w:sz w:val="26"/>
          <w:szCs w:val="26"/>
        </w:rPr>
      </w:pPr>
      <w:r w:rsidRPr="00633995">
        <w:rPr>
          <w:sz w:val="26"/>
          <w:szCs w:val="26"/>
        </w:rPr>
        <w:t>A</w:t>
      </w:r>
      <w:r w:rsidRPr="00633995">
        <w:rPr>
          <w:spacing w:val="-3"/>
          <w:sz w:val="26"/>
          <w:szCs w:val="26"/>
        </w:rPr>
        <w:t xml:space="preserve"> </w:t>
      </w:r>
      <w:r w:rsidRPr="00633995">
        <w:rPr>
          <w:sz w:val="26"/>
          <w:szCs w:val="26"/>
        </w:rPr>
        <w:t>summary</w:t>
      </w:r>
      <w:r w:rsidRPr="00633995">
        <w:rPr>
          <w:spacing w:val="-2"/>
          <w:sz w:val="26"/>
          <w:szCs w:val="26"/>
        </w:rPr>
        <w:t xml:space="preserve"> </w:t>
      </w:r>
      <w:r w:rsidRPr="00633995">
        <w:rPr>
          <w:sz w:val="26"/>
          <w:szCs w:val="26"/>
        </w:rPr>
        <w:t>of</w:t>
      </w:r>
      <w:r w:rsidRPr="00633995">
        <w:rPr>
          <w:spacing w:val="-2"/>
          <w:sz w:val="26"/>
          <w:szCs w:val="26"/>
        </w:rPr>
        <w:t xml:space="preserve"> </w:t>
      </w:r>
      <w:r w:rsidRPr="00633995">
        <w:rPr>
          <w:sz w:val="26"/>
          <w:szCs w:val="26"/>
        </w:rPr>
        <w:t>all</w:t>
      </w:r>
      <w:r w:rsidRPr="00633995">
        <w:rPr>
          <w:spacing w:val="-3"/>
          <w:sz w:val="26"/>
          <w:szCs w:val="26"/>
        </w:rPr>
        <w:t xml:space="preserve"> </w:t>
      </w:r>
      <w:r w:rsidRPr="00633995">
        <w:rPr>
          <w:sz w:val="26"/>
          <w:szCs w:val="26"/>
        </w:rPr>
        <w:t>work</w:t>
      </w:r>
      <w:r w:rsidRPr="00633995">
        <w:rPr>
          <w:spacing w:val="-2"/>
          <w:sz w:val="26"/>
          <w:szCs w:val="26"/>
        </w:rPr>
        <w:t xml:space="preserve"> </w:t>
      </w:r>
      <w:r w:rsidRPr="00633995">
        <w:rPr>
          <w:sz w:val="26"/>
          <w:szCs w:val="26"/>
        </w:rPr>
        <w:t>done</w:t>
      </w:r>
      <w:r w:rsidRPr="00633995">
        <w:rPr>
          <w:spacing w:val="-3"/>
          <w:sz w:val="26"/>
          <w:szCs w:val="26"/>
        </w:rPr>
        <w:t xml:space="preserve"> </w:t>
      </w:r>
      <w:r w:rsidRPr="00633995">
        <w:rPr>
          <w:sz w:val="26"/>
          <w:szCs w:val="26"/>
        </w:rPr>
        <w:t>including</w:t>
      </w:r>
      <w:r w:rsidRPr="00633995">
        <w:rPr>
          <w:spacing w:val="-2"/>
          <w:sz w:val="26"/>
          <w:szCs w:val="26"/>
        </w:rPr>
        <w:t xml:space="preserve"> </w:t>
      </w:r>
      <w:r w:rsidRPr="00633995">
        <w:rPr>
          <w:sz w:val="26"/>
          <w:szCs w:val="26"/>
        </w:rPr>
        <w:t>an</w:t>
      </w:r>
      <w:r w:rsidRPr="00633995">
        <w:rPr>
          <w:spacing w:val="-2"/>
          <w:sz w:val="26"/>
          <w:szCs w:val="26"/>
        </w:rPr>
        <w:t xml:space="preserve"> </w:t>
      </w:r>
      <w:r w:rsidRPr="00633995">
        <w:rPr>
          <w:sz w:val="26"/>
          <w:szCs w:val="26"/>
        </w:rPr>
        <w:t>itemized</w:t>
      </w:r>
      <w:r w:rsidRPr="00633995">
        <w:rPr>
          <w:spacing w:val="-3"/>
          <w:sz w:val="26"/>
          <w:szCs w:val="26"/>
        </w:rPr>
        <w:t xml:space="preserve"> </w:t>
      </w:r>
      <w:r w:rsidRPr="00633995">
        <w:rPr>
          <w:sz w:val="26"/>
          <w:szCs w:val="26"/>
        </w:rPr>
        <w:t>list</w:t>
      </w:r>
      <w:r w:rsidRPr="00633995">
        <w:rPr>
          <w:spacing w:val="-2"/>
          <w:sz w:val="26"/>
          <w:szCs w:val="26"/>
        </w:rPr>
        <w:t xml:space="preserve"> </w:t>
      </w:r>
      <w:r w:rsidRPr="00633995">
        <w:rPr>
          <w:sz w:val="26"/>
          <w:szCs w:val="26"/>
        </w:rPr>
        <w:t>of</w:t>
      </w:r>
      <w:r w:rsidRPr="00633995">
        <w:rPr>
          <w:spacing w:val="-3"/>
          <w:sz w:val="26"/>
          <w:szCs w:val="26"/>
        </w:rPr>
        <w:t xml:space="preserve"> </w:t>
      </w:r>
      <w:r w:rsidRPr="00633995">
        <w:rPr>
          <w:sz w:val="26"/>
          <w:szCs w:val="26"/>
        </w:rPr>
        <w:t>materials</w:t>
      </w:r>
      <w:r w:rsidRPr="00633995">
        <w:rPr>
          <w:spacing w:val="-3"/>
          <w:sz w:val="26"/>
          <w:szCs w:val="26"/>
        </w:rPr>
        <w:t xml:space="preserve"> </w:t>
      </w:r>
      <w:r w:rsidRPr="00633995">
        <w:rPr>
          <w:sz w:val="26"/>
          <w:szCs w:val="26"/>
        </w:rPr>
        <w:t>purchased</w:t>
      </w:r>
      <w:r w:rsidRPr="00633995">
        <w:rPr>
          <w:spacing w:val="-57"/>
          <w:sz w:val="26"/>
          <w:szCs w:val="26"/>
        </w:rPr>
        <w:t xml:space="preserve"> </w:t>
      </w:r>
      <w:r w:rsidRPr="00633995">
        <w:rPr>
          <w:sz w:val="26"/>
          <w:szCs w:val="26"/>
        </w:rPr>
        <w:t>and</w:t>
      </w:r>
      <w:r w:rsidRPr="00633995">
        <w:rPr>
          <w:spacing w:val="-2"/>
          <w:sz w:val="26"/>
          <w:szCs w:val="26"/>
        </w:rPr>
        <w:t xml:space="preserve"> </w:t>
      </w:r>
      <w:r w:rsidRPr="00633995">
        <w:rPr>
          <w:sz w:val="26"/>
          <w:szCs w:val="26"/>
        </w:rPr>
        <w:t xml:space="preserve">money </w:t>
      </w:r>
      <w:proofErr w:type="gramStart"/>
      <w:r w:rsidRPr="00633995">
        <w:rPr>
          <w:sz w:val="26"/>
          <w:szCs w:val="26"/>
        </w:rPr>
        <w:t>spent;</w:t>
      </w:r>
      <w:proofErr w:type="gramEnd"/>
    </w:p>
    <w:p w:rsidR="00081EFC" w:rsidP="0033369D" w:rsidRDefault="00081EFC" w14:paraId="4C44459E" w14:textId="77777777">
      <w:pPr>
        <w:pStyle w:val="ListParagraph"/>
        <w:numPr>
          <w:ilvl w:val="0"/>
          <w:numId w:val="45"/>
        </w:numPr>
        <w:tabs>
          <w:tab w:val="left" w:pos="840"/>
        </w:tabs>
        <w:spacing w:before="1"/>
        <w:ind w:left="1080"/>
        <w:rPr>
          <w:sz w:val="26"/>
          <w:szCs w:val="26"/>
        </w:rPr>
      </w:pPr>
      <w:r w:rsidRPr="00633995">
        <w:rPr>
          <w:sz w:val="26"/>
          <w:szCs w:val="26"/>
        </w:rPr>
        <w:t>A</w:t>
      </w:r>
      <w:r w:rsidRPr="00633995">
        <w:rPr>
          <w:spacing w:val="-2"/>
          <w:sz w:val="26"/>
          <w:szCs w:val="26"/>
        </w:rPr>
        <w:t xml:space="preserve"> </w:t>
      </w:r>
      <w:r w:rsidRPr="00633995">
        <w:rPr>
          <w:sz w:val="26"/>
          <w:szCs w:val="26"/>
        </w:rPr>
        <w:t>description</w:t>
      </w:r>
      <w:r w:rsidRPr="00633995">
        <w:rPr>
          <w:spacing w:val="-3"/>
          <w:sz w:val="26"/>
          <w:szCs w:val="26"/>
        </w:rPr>
        <w:t xml:space="preserve"> </w:t>
      </w:r>
      <w:r w:rsidRPr="00633995">
        <w:rPr>
          <w:sz w:val="26"/>
          <w:szCs w:val="26"/>
        </w:rPr>
        <w:t>of</w:t>
      </w:r>
      <w:r w:rsidRPr="00633995">
        <w:rPr>
          <w:spacing w:val="-3"/>
          <w:sz w:val="26"/>
          <w:szCs w:val="26"/>
        </w:rPr>
        <w:t xml:space="preserve"> </w:t>
      </w:r>
      <w:r w:rsidRPr="00633995">
        <w:rPr>
          <w:sz w:val="26"/>
          <w:szCs w:val="26"/>
        </w:rPr>
        <w:t>each</w:t>
      </w:r>
      <w:r w:rsidRPr="00633995">
        <w:rPr>
          <w:spacing w:val="-2"/>
          <w:sz w:val="26"/>
          <w:szCs w:val="26"/>
        </w:rPr>
        <w:t xml:space="preserve"> </w:t>
      </w:r>
      <w:r w:rsidRPr="00633995">
        <w:rPr>
          <w:sz w:val="26"/>
          <w:szCs w:val="26"/>
        </w:rPr>
        <w:t>milestone</w:t>
      </w:r>
      <w:r w:rsidRPr="00633995">
        <w:rPr>
          <w:spacing w:val="-2"/>
          <w:sz w:val="26"/>
          <w:szCs w:val="26"/>
        </w:rPr>
        <w:t xml:space="preserve"> </w:t>
      </w:r>
      <w:r w:rsidRPr="00633995">
        <w:rPr>
          <w:sz w:val="26"/>
          <w:szCs w:val="26"/>
        </w:rPr>
        <w:t>in</w:t>
      </w:r>
      <w:r w:rsidRPr="00633995">
        <w:rPr>
          <w:spacing w:val="-3"/>
          <w:sz w:val="26"/>
          <w:szCs w:val="26"/>
        </w:rPr>
        <w:t xml:space="preserve"> </w:t>
      </w:r>
      <w:r w:rsidRPr="00633995">
        <w:rPr>
          <w:sz w:val="26"/>
          <w:szCs w:val="26"/>
        </w:rPr>
        <w:t>the</w:t>
      </w:r>
      <w:r w:rsidRPr="00633995">
        <w:rPr>
          <w:spacing w:val="-1"/>
          <w:sz w:val="26"/>
          <w:szCs w:val="26"/>
        </w:rPr>
        <w:t xml:space="preserve"> </w:t>
      </w:r>
      <w:r w:rsidRPr="00633995">
        <w:rPr>
          <w:sz w:val="26"/>
          <w:szCs w:val="26"/>
        </w:rPr>
        <w:t>period</w:t>
      </w:r>
      <w:r w:rsidRPr="00633995">
        <w:rPr>
          <w:spacing w:val="-5"/>
          <w:sz w:val="26"/>
          <w:szCs w:val="26"/>
        </w:rPr>
        <w:t xml:space="preserve"> </w:t>
      </w:r>
      <w:r w:rsidRPr="00633995">
        <w:rPr>
          <w:sz w:val="26"/>
          <w:szCs w:val="26"/>
        </w:rPr>
        <w:t>and</w:t>
      </w:r>
      <w:r w:rsidRPr="00633995">
        <w:rPr>
          <w:spacing w:val="-3"/>
          <w:sz w:val="26"/>
          <w:szCs w:val="26"/>
        </w:rPr>
        <w:t xml:space="preserve"> </w:t>
      </w:r>
      <w:r w:rsidRPr="00633995">
        <w:rPr>
          <w:sz w:val="26"/>
          <w:szCs w:val="26"/>
        </w:rPr>
        <w:t>how</w:t>
      </w:r>
      <w:r w:rsidRPr="00633995">
        <w:rPr>
          <w:spacing w:val="-2"/>
          <w:sz w:val="26"/>
          <w:szCs w:val="26"/>
        </w:rPr>
        <w:t xml:space="preserve"> </w:t>
      </w:r>
      <w:r w:rsidRPr="00633995">
        <w:rPr>
          <w:sz w:val="26"/>
          <w:szCs w:val="26"/>
        </w:rPr>
        <w:t>that</w:t>
      </w:r>
      <w:r w:rsidRPr="00633995">
        <w:rPr>
          <w:spacing w:val="-2"/>
          <w:sz w:val="26"/>
          <w:szCs w:val="26"/>
        </w:rPr>
        <w:t xml:space="preserve"> </w:t>
      </w:r>
      <w:r w:rsidRPr="00633995">
        <w:rPr>
          <w:sz w:val="26"/>
          <w:szCs w:val="26"/>
        </w:rPr>
        <w:t>milestone</w:t>
      </w:r>
      <w:r w:rsidRPr="00633995">
        <w:rPr>
          <w:spacing w:val="-2"/>
          <w:sz w:val="26"/>
          <w:szCs w:val="26"/>
        </w:rPr>
        <w:t xml:space="preserve"> </w:t>
      </w:r>
      <w:r w:rsidRPr="00633995">
        <w:rPr>
          <w:sz w:val="26"/>
          <w:szCs w:val="26"/>
        </w:rPr>
        <w:t>was</w:t>
      </w:r>
      <w:r w:rsidRPr="00633995">
        <w:rPr>
          <w:spacing w:val="-2"/>
          <w:sz w:val="26"/>
          <w:szCs w:val="26"/>
        </w:rPr>
        <w:t xml:space="preserve"> </w:t>
      </w:r>
      <w:proofErr w:type="gramStart"/>
      <w:r w:rsidRPr="00633995">
        <w:rPr>
          <w:sz w:val="26"/>
          <w:szCs w:val="26"/>
        </w:rPr>
        <w:t>met</w:t>
      </w:r>
      <w:r>
        <w:rPr>
          <w:sz w:val="26"/>
          <w:szCs w:val="26"/>
        </w:rPr>
        <w:t>;</w:t>
      </w:r>
      <w:proofErr w:type="gramEnd"/>
    </w:p>
    <w:p w:rsidR="00081EFC" w:rsidP="0033369D" w:rsidRDefault="00081EFC" w14:paraId="722FA44C" w14:textId="77777777">
      <w:pPr>
        <w:pStyle w:val="ListParagraph"/>
        <w:numPr>
          <w:ilvl w:val="0"/>
          <w:numId w:val="45"/>
        </w:numPr>
        <w:tabs>
          <w:tab w:val="left" w:pos="840"/>
        </w:tabs>
        <w:spacing w:before="1"/>
        <w:ind w:left="1080"/>
        <w:rPr>
          <w:sz w:val="26"/>
          <w:szCs w:val="26"/>
        </w:rPr>
      </w:pPr>
      <w:r w:rsidRPr="00633995">
        <w:rPr>
          <w:sz w:val="26"/>
          <w:szCs w:val="26"/>
        </w:rPr>
        <w:t>The</w:t>
      </w:r>
      <w:r w:rsidRPr="00633995">
        <w:rPr>
          <w:spacing w:val="-3"/>
          <w:sz w:val="26"/>
          <w:szCs w:val="26"/>
        </w:rPr>
        <w:t xml:space="preserve"> </w:t>
      </w:r>
      <w:r w:rsidRPr="00633995">
        <w:rPr>
          <w:sz w:val="26"/>
          <w:szCs w:val="26"/>
        </w:rPr>
        <w:t>total</w:t>
      </w:r>
      <w:r w:rsidRPr="00633995">
        <w:rPr>
          <w:spacing w:val="-3"/>
          <w:sz w:val="26"/>
          <w:szCs w:val="26"/>
        </w:rPr>
        <w:t xml:space="preserve"> </w:t>
      </w:r>
      <w:r w:rsidRPr="00633995">
        <w:rPr>
          <w:sz w:val="26"/>
          <w:szCs w:val="26"/>
        </w:rPr>
        <w:t>number</w:t>
      </w:r>
      <w:r w:rsidRPr="00633995">
        <w:rPr>
          <w:spacing w:val="-1"/>
          <w:sz w:val="26"/>
          <w:szCs w:val="26"/>
        </w:rPr>
        <w:t xml:space="preserve"> </w:t>
      </w:r>
      <w:r w:rsidRPr="00633995">
        <w:rPr>
          <w:sz w:val="26"/>
          <w:szCs w:val="26"/>
        </w:rPr>
        <w:t>of</w:t>
      </w:r>
      <w:r w:rsidRPr="00633995">
        <w:rPr>
          <w:spacing w:val="-3"/>
          <w:sz w:val="26"/>
          <w:szCs w:val="26"/>
        </w:rPr>
        <w:t xml:space="preserve"> </w:t>
      </w:r>
      <w:r w:rsidRPr="00633995">
        <w:rPr>
          <w:sz w:val="26"/>
          <w:szCs w:val="26"/>
        </w:rPr>
        <w:t>participants</w:t>
      </w:r>
      <w:r w:rsidRPr="00633995">
        <w:rPr>
          <w:spacing w:val="-3"/>
          <w:sz w:val="26"/>
          <w:szCs w:val="26"/>
        </w:rPr>
        <w:t xml:space="preserve"> </w:t>
      </w:r>
      <w:proofErr w:type="gramStart"/>
      <w:r w:rsidRPr="00633995">
        <w:rPr>
          <w:sz w:val="26"/>
          <w:szCs w:val="26"/>
        </w:rPr>
        <w:t>trained</w:t>
      </w:r>
      <w:proofErr w:type="gramEnd"/>
      <w:r w:rsidRPr="00633995">
        <w:rPr>
          <w:spacing w:val="-2"/>
          <w:sz w:val="26"/>
          <w:szCs w:val="26"/>
        </w:rPr>
        <w:t xml:space="preserve"> </w:t>
      </w:r>
      <w:r w:rsidRPr="00633995">
        <w:rPr>
          <w:sz w:val="26"/>
          <w:szCs w:val="26"/>
        </w:rPr>
        <w:t>or</w:t>
      </w:r>
      <w:r w:rsidRPr="00633995">
        <w:rPr>
          <w:spacing w:val="-1"/>
          <w:sz w:val="26"/>
          <w:szCs w:val="26"/>
        </w:rPr>
        <w:t xml:space="preserve"> </w:t>
      </w:r>
      <w:r w:rsidRPr="00633995">
        <w:rPr>
          <w:sz w:val="26"/>
          <w:szCs w:val="26"/>
        </w:rPr>
        <w:t>hours</w:t>
      </w:r>
      <w:r w:rsidRPr="00633995">
        <w:rPr>
          <w:spacing w:val="-3"/>
          <w:sz w:val="26"/>
          <w:szCs w:val="26"/>
        </w:rPr>
        <w:t xml:space="preserve"> </w:t>
      </w:r>
      <w:r w:rsidRPr="00633995">
        <w:rPr>
          <w:sz w:val="26"/>
          <w:szCs w:val="26"/>
        </w:rPr>
        <w:t>of</w:t>
      </w:r>
      <w:r w:rsidRPr="00633995">
        <w:rPr>
          <w:spacing w:val="-3"/>
          <w:sz w:val="26"/>
          <w:szCs w:val="26"/>
        </w:rPr>
        <w:t xml:space="preserve"> </w:t>
      </w:r>
      <w:r w:rsidRPr="00633995">
        <w:rPr>
          <w:sz w:val="26"/>
          <w:szCs w:val="26"/>
        </w:rPr>
        <w:t>access</w:t>
      </w:r>
      <w:r w:rsidRPr="00633995">
        <w:rPr>
          <w:spacing w:val="-3"/>
          <w:sz w:val="26"/>
          <w:szCs w:val="26"/>
        </w:rPr>
        <w:t xml:space="preserve"> </w:t>
      </w:r>
      <w:r w:rsidRPr="00633995">
        <w:rPr>
          <w:sz w:val="26"/>
          <w:szCs w:val="26"/>
        </w:rPr>
        <w:t>provided,</w:t>
      </w:r>
      <w:r w:rsidRPr="00633995">
        <w:rPr>
          <w:spacing w:val="-5"/>
          <w:sz w:val="26"/>
          <w:szCs w:val="26"/>
        </w:rPr>
        <w:t xml:space="preserve"> </w:t>
      </w:r>
      <w:r w:rsidRPr="00633995">
        <w:rPr>
          <w:sz w:val="26"/>
          <w:szCs w:val="26"/>
        </w:rPr>
        <w:t>(if</w:t>
      </w:r>
      <w:r w:rsidRPr="00633995">
        <w:rPr>
          <w:spacing w:val="-57"/>
          <w:sz w:val="26"/>
          <w:szCs w:val="26"/>
        </w:rPr>
        <w:t xml:space="preserve"> </w:t>
      </w:r>
      <w:r w:rsidRPr="00633995">
        <w:rPr>
          <w:sz w:val="26"/>
          <w:szCs w:val="26"/>
        </w:rPr>
        <w:t>applicable);</w:t>
      </w:r>
      <w:r>
        <w:rPr>
          <w:sz w:val="26"/>
          <w:szCs w:val="26"/>
        </w:rPr>
        <w:t xml:space="preserve"> and</w:t>
      </w:r>
    </w:p>
    <w:p w:rsidR="00081EFC" w:rsidP="0033369D" w:rsidRDefault="00081EFC" w14:paraId="28BEF903" w14:textId="77777777">
      <w:pPr>
        <w:pStyle w:val="ListParagraph"/>
        <w:numPr>
          <w:ilvl w:val="0"/>
          <w:numId w:val="45"/>
        </w:numPr>
        <w:ind w:left="1080"/>
        <w:rPr>
          <w:sz w:val="26"/>
          <w:szCs w:val="26"/>
        </w:rPr>
      </w:pPr>
      <w:r w:rsidRPr="00633995">
        <w:rPr>
          <w:sz w:val="26"/>
          <w:szCs w:val="26"/>
        </w:rPr>
        <w:t>The number of participants that subsequently subscribe to a broadband Internet service provider to use a device in their home.</w:t>
      </w:r>
    </w:p>
    <w:p w:rsidRPr="00633995" w:rsidR="00081EFC" w:rsidP="00081EFC" w:rsidRDefault="00081EFC" w14:paraId="4163B63E" w14:textId="77777777">
      <w:pPr>
        <w:pStyle w:val="ListParagraph"/>
        <w:ind w:left="1080" w:firstLine="0"/>
        <w:rPr>
          <w:sz w:val="26"/>
          <w:szCs w:val="26"/>
        </w:rPr>
      </w:pPr>
    </w:p>
    <w:p w:rsidRPr="00972733" w:rsidR="00081EFC" w:rsidP="00394667" w:rsidRDefault="00081EFC" w14:paraId="29532D4F" w14:textId="77777777">
      <w:pPr>
        <w:widowControl w:val="0"/>
        <w:tabs>
          <w:tab w:val="left" w:pos="840"/>
        </w:tabs>
        <w:autoSpaceDE w:val="0"/>
        <w:autoSpaceDN w:val="0"/>
        <w:spacing w:before="1" w:line="240" w:lineRule="auto"/>
        <w:ind w:firstLine="0"/>
        <w:rPr>
          <w:rFonts w:eastAsia="Palatino Linotype" w:cs="Palatino Linotype"/>
          <w:szCs w:val="26"/>
        </w:rPr>
      </w:pPr>
      <w:r w:rsidRPr="00972733">
        <w:rPr>
          <w:rFonts w:eastAsia="Palatino Linotype" w:cs="Palatino Linotype"/>
          <w:szCs w:val="26"/>
        </w:rPr>
        <w:t xml:space="preserve">Grantees must maintain files, invoices, and other related documentation for three </w:t>
      </w:r>
      <w:r w:rsidRPr="00972733">
        <w:rPr>
          <w:rFonts w:eastAsia="Palatino Linotype" w:cs="Palatino Linotype"/>
          <w:szCs w:val="26"/>
        </w:rPr>
        <w:lastRenderedPageBreak/>
        <w:t>years after final payment. Grantees shall make these records available to the Commission upon request and agree that these records are subject to audit and review by the Commission at any time within three years after the Grantee incurred the expense being audited.</w:t>
      </w:r>
    </w:p>
    <w:p w:rsidRPr="00882B01" w:rsidR="00081EFC" w:rsidP="00081EFC" w:rsidRDefault="00081EFC" w14:paraId="76FDFFCB" w14:textId="77777777">
      <w:pPr>
        <w:tabs>
          <w:tab w:val="left" w:pos="840"/>
        </w:tabs>
        <w:spacing w:before="1"/>
        <w:rPr>
          <w:szCs w:val="26"/>
        </w:rPr>
      </w:pPr>
    </w:p>
    <w:p w:rsidR="00081EFC" w:rsidP="00394667" w:rsidRDefault="00081EFC" w14:paraId="094B159F" w14:textId="77777777">
      <w:pPr>
        <w:pStyle w:val="ListParagraph"/>
        <w:keepNext/>
        <w:keepLines/>
        <w:numPr>
          <w:ilvl w:val="0"/>
          <w:numId w:val="30"/>
        </w:numPr>
        <w:ind w:right="2432"/>
        <w:rPr>
          <w:b/>
          <w:sz w:val="26"/>
          <w:szCs w:val="26"/>
        </w:rPr>
      </w:pPr>
      <w:r w:rsidRPr="00B65A28">
        <w:rPr>
          <w:b/>
          <w:sz w:val="26"/>
          <w:szCs w:val="26"/>
        </w:rPr>
        <w:t>Payment</w:t>
      </w:r>
    </w:p>
    <w:p w:rsidR="00081EFC" w:rsidP="005D2793" w:rsidRDefault="00081EFC" w14:paraId="20892671" w14:textId="77777777">
      <w:pPr>
        <w:pStyle w:val="ListParagraph"/>
        <w:keepNext/>
        <w:keepLines/>
        <w:numPr>
          <w:ilvl w:val="0"/>
          <w:numId w:val="46"/>
        </w:numPr>
        <w:rPr>
          <w:sz w:val="26"/>
          <w:szCs w:val="26"/>
        </w:rPr>
      </w:pPr>
      <w:r w:rsidRPr="1DD58392">
        <w:rPr>
          <w:sz w:val="26"/>
          <w:szCs w:val="26"/>
        </w:rPr>
        <w:t>Grantees may submit up to three payment requests throughout the project period. Payment requests may accompany the 3 reports required above (Ramp Up Period (if applicable), Year 1, Year 2).  Payment requests may also be submitted separately from and in addition to the Calendar Year reporting described above, provided that each payment request includes the information provided on the most recently submitted Calendar Year report and any additional information or costs incurred since the most recent Calendar Year report was submitted.  Whether tied to Calendar Year reporting or outside of that reporting schedule, no more than three payment requests may be submitted.</w:t>
      </w:r>
    </w:p>
    <w:p w:rsidRPr="00882B01" w:rsidR="00081EFC" w:rsidP="005D2793" w:rsidRDefault="00081EFC" w14:paraId="489480F0" w14:textId="77777777">
      <w:pPr>
        <w:pStyle w:val="ListParagraph"/>
        <w:numPr>
          <w:ilvl w:val="0"/>
          <w:numId w:val="46"/>
        </w:numPr>
        <w:rPr>
          <w:bCs/>
          <w:sz w:val="26"/>
          <w:szCs w:val="26"/>
        </w:rPr>
      </w:pPr>
      <w:r w:rsidRPr="00882B01">
        <w:rPr>
          <w:bCs/>
          <w:sz w:val="26"/>
          <w:szCs w:val="26"/>
        </w:rPr>
        <w:t>Payment request for the ramp-up period, if requested, may not exceed 25% of grant amount.</w:t>
      </w:r>
    </w:p>
    <w:p w:rsidRPr="00882B01" w:rsidR="00081EFC" w:rsidP="0033369D" w:rsidRDefault="00081EFC" w14:paraId="04234065" w14:textId="77777777">
      <w:pPr>
        <w:pStyle w:val="ListParagraph"/>
        <w:numPr>
          <w:ilvl w:val="0"/>
          <w:numId w:val="46"/>
        </w:numPr>
        <w:rPr>
          <w:bCs/>
          <w:sz w:val="26"/>
          <w:szCs w:val="26"/>
        </w:rPr>
      </w:pPr>
      <w:r w:rsidRPr="00882B01">
        <w:rPr>
          <w:bCs/>
          <w:sz w:val="26"/>
          <w:szCs w:val="26"/>
        </w:rPr>
        <w:t xml:space="preserve">No more than 90% of the grant amount will be reimbursed before the completion report and final payment </w:t>
      </w:r>
      <w:proofErr w:type="gramStart"/>
      <w:r w:rsidRPr="00882B01">
        <w:rPr>
          <w:bCs/>
          <w:sz w:val="26"/>
          <w:szCs w:val="26"/>
        </w:rPr>
        <w:t>request;</w:t>
      </w:r>
      <w:proofErr w:type="gramEnd"/>
    </w:p>
    <w:p w:rsidRPr="00882B01" w:rsidR="00081EFC" w:rsidP="0033369D" w:rsidRDefault="00081EFC" w14:paraId="576A27ED" w14:textId="77777777">
      <w:pPr>
        <w:pStyle w:val="ListParagraph"/>
        <w:numPr>
          <w:ilvl w:val="0"/>
          <w:numId w:val="46"/>
        </w:numPr>
        <w:rPr>
          <w:sz w:val="26"/>
          <w:szCs w:val="26"/>
        </w:rPr>
      </w:pPr>
      <w:r w:rsidRPr="1DD58392">
        <w:rPr>
          <w:sz w:val="26"/>
          <w:szCs w:val="26"/>
        </w:rPr>
        <w:t>All payments requests require documentation of project participation (number of participants trained or provided access and the number of participants that subsequently subscribe to a broadband Internet service provider to use a device in their home).</w:t>
      </w:r>
    </w:p>
    <w:p w:rsidRPr="00882B01" w:rsidR="00081EFC" w:rsidP="0033369D" w:rsidRDefault="00081EFC" w14:paraId="1E8A82A5" w14:textId="77777777">
      <w:pPr>
        <w:pStyle w:val="ListParagraph"/>
        <w:numPr>
          <w:ilvl w:val="0"/>
          <w:numId w:val="46"/>
        </w:numPr>
        <w:rPr>
          <w:bCs/>
          <w:sz w:val="26"/>
          <w:szCs w:val="26"/>
        </w:rPr>
      </w:pPr>
      <w:r w:rsidRPr="00882B01">
        <w:rPr>
          <w:bCs/>
          <w:sz w:val="26"/>
          <w:szCs w:val="26"/>
        </w:rPr>
        <w:t>Grantees shall submit final requests for payment no later than 3 months after completion of the project.</w:t>
      </w:r>
    </w:p>
    <w:p w:rsidRPr="00882B01" w:rsidR="00081EFC" w:rsidP="0033369D" w:rsidRDefault="00081EFC" w14:paraId="42C2BBB9" w14:textId="77777777">
      <w:pPr>
        <w:pStyle w:val="ListParagraph"/>
        <w:numPr>
          <w:ilvl w:val="0"/>
          <w:numId w:val="46"/>
        </w:numPr>
        <w:rPr>
          <w:bCs/>
          <w:sz w:val="26"/>
          <w:szCs w:val="26"/>
        </w:rPr>
      </w:pPr>
      <w:r w:rsidRPr="00882B01">
        <w:rPr>
          <w:bCs/>
          <w:sz w:val="26"/>
          <w:szCs w:val="26"/>
        </w:rPr>
        <w:t>Payment will be based upon receipt and approval of invoices and other supporting documents showing the expenditures incurred for the project are in accordance with their approved application and budget.</w:t>
      </w:r>
    </w:p>
    <w:p w:rsidR="00081EFC" w:rsidP="0033369D" w:rsidRDefault="00081EFC" w14:paraId="43A8827F" w14:textId="77777777">
      <w:pPr>
        <w:pStyle w:val="ListParagraph"/>
        <w:numPr>
          <w:ilvl w:val="0"/>
          <w:numId w:val="46"/>
        </w:numPr>
        <w:rPr>
          <w:bCs/>
          <w:sz w:val="26"/>
          <w:szCs w:val="26"/>
        </w:rPr>
      </w:pPr>
      <w:r w:rsidRPr="00882B01">
        <w:rPr>
          <w:bCs/>
          <w:sz w:val="26"/>
          <w:szCs w:val="26"/>
        </w:rPr>
        <w:t>Grantees must notify the Director of the Communications Division as soon as they become aware that they may not be able to meet project deadlines.  The Commission may withhold or reduce payment if the grantee fails to notify the Director of the Communications Division of such changes.</w:t>
      </w:r>
    </w:p>
    <w:p w:rsidRPr="00882B01" w:rsidR="00081EFC" w:rsidP="0033369D" w:rsidRDefault="00081EFC" w14:paraId="32A31742" w14:textId="77777777">
      <w:pPr>
        <w:pStyle w:val="ListParagraph"/>
        <w:numPr>
          <w:ilvl w:val="0"/>
          <w:numId w:val="46"/>
        </w:numPr>
        <w:rPr>
          <w:bCs/>
          <w:sz w:val="26"/>
          <w:szCs w:val="26"/>
        </w:rPr>
      </w:pPr>
      <w:r w:rsidRPr="00882B01">
        <w:rPr>
          <w:bCs/>
          <w:sz w:val="26"/>
          <w:szCs w:val="26"/>
        </w:rPr>
        <w:t>Payment will be made in accordance with, and within the time specified in California Government Code § 927 et seq.</w:t>
      </w:r>
    </w:p>
    <w:p w:rsidRPr="00882B01" w:rsidR="00081EFC" w:rsidP="0033369D" w:rsidRDefault="00081EFC" w14:paraId="35BFFFA4" w14:textId="77777777">
      <w:pPr>
        <w:pStyle w:val="ListParagraph"/>
        <w:numPr>
          <w:ilvl w:val="0"/>
          <w:numId w:val="46"/>
        </w:numPr>
        <w:rPr>
          <w:bCs/>
          <w:sz w:val="26"/>
          <w:szCs w:val="26"/>
        </w:rPr>
      </w:pPr>
      <w:r w:rsidRPr="00882B01">
        <w:rPr>
          <w:bCs/>
          <w:sz w:val="26"/>
          <w:szCs w:val="26"/>
        </w:rPr>
        <w:t xml:space="preserve">The Commission has the right to conduct any necessary audit, verification, and discovery during project implementation to ensure that CASF funds are spent in accordance with the terms of approval granted by the </w:t>
      </w:r>
      <w:r w:rsidRPr="00882B01">
        <w:rPr>
          <w:bCs/>
          <w:sz w:val="26"/>
          <w:szCs w:val="26"/>
        </w:rPr>
        <w:lastRenderedPageBreak/>
        <w:t>Commission.</w:t>
      </w:r>
    </w:p>
    <w:p w:rsidRPr="00882B01" w:rsidR="00081EFC" w:rsidP="0033369D" w:rsidRDefault="00081EFC" w14:paraId="21BF070E" w14:textId="77777777">
      <w:pPr>
        <w:pStyle w:val="ListParagraph"/>
        <w:numPr>
          <w:ilvl w:val="0"/>
          <w:numId w:val="46"/>
        </w:numPr>
        <w:rPr>
          <w:bCs/>
          <w:sz w:val="26"/>
          <w:szCs w:val="26"/>
        </w:rPr>
      </w:pPr>
      <w:r w:rsidRPr="00882B01">
        <w:rPr>
          <w:bCs/>
          <w:sz w:val="26"/>
          <w:szCs w:val="26"/>
        </w:rPr>
        <w:t>The recipient’s invoices will be subject to audit by the Commission at any time within three years of final payment.</w:t>
      </w:r>
    </w:p>
    <w:p w:rsidRPr="00882B01" w:rsidR="00081EFC" w:rsidP="00081EFC" w:rsidRDefault="00081EFC" w14:paraId="387E5AB6" w14:textId="77777777">
      <w:pPr>
        <w:rPr>
          <w:bCs/>
          <w:szCs w:val="26"/>
        </w:rPr>
      </w:pPr>
    </w:p>
    <w:p w:rsidR="00081EFC" w:rsidP="0033369D" w:rsidRDefault="00081EFC" w14:paraId="626ABB8D" w14:textId="77777777">
      <w:pPr>
        <w:pStyle w:val="ListParagraph"/>
        <w:numPr>
          <w:ilvl w:val="0"/>
          <w:numId w:val="30"/>
        </w:numPr>
        <w:ind w:right="2432"/>
        <w:rPr>
          <w:b/>
          <w:sz w:val="26"/>
          <w:szCs w:val="26"/>
        </w:rPr>
      </w:pPr>
      <w:r w:rsidRPr="00B65A28">
        <w:rPr>
          <w:b/>
          <w:sz w:val="26"/>
          <w:szCs w:val="26"/>
        </w:rPr>
        <w:t>Execution and Performance</w:t>
      </w:r>
    </w:p>
    <w:p w:rsidRPr="00972733" w:rsidR="00081EFC" w:rsidP="00394667" w:rsidRDefault="00081EFC" w14:paraId="33A9FC58"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 xml:space="preserve">Grantees must start the project within six months after submitting a consent form accepting the terms stated in the Adoption Account Award Letter or Resolution (after the ramp-up time if applicable) and complete the project within a 24-month timeframe or earlier. The Commission may withhold, reduce, or terminate grant payments if the grantee does not comply with any of the requirements set forth in its application and compliance with the CASF. </w:t>
      </w:r>
      <w:proofErr w:type="gramStart"/>
      <w:r w:rsidRPr="00972733">
        <w:rPr>
          <w:rFonts w:eastAsia="Palatino Linotype" w:cs="Palatino Linotype"/>
          <w:szCs w:val="26"/>
        </w:rPr>
        <w:t>In the event that</w:t>
      </w:r>
      <w:proofErr w:type="gramEnd"/>
      <w:r w:rsidRPr="00972733">
        <w:rPr>
          <w:rFonts w:eastAsia="Palatino Linotype" w:cs="Palatino Linotype"/>
          <w:szCs w:val="26"/>
        </w:rPr>
        <w:t xml:space="preserve"> the grantee fails to complete the project in accordance with the terms of approval granted by the Commission, the grantee must reimburse some or all the CASF funds that it has received.</w:t>
      </w:r>
    </w:p>
    <w:p w:rsidRPr="00972733" w:rsidR="00081EFC" w:rsidP="00394667" w:rsidRDefault="00081EFC" w14:paraId="1B4299EE"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651810C2" w14:textId="77777777">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The CASF grant recipient must complete all performance under the award on or before the termination date of the award.</w:t>
      </w:r>
    </w:p>
    <w:p w:rsidRPr="00972733" w:rsidR="00081EFC" w:rsidP="00394667" w:rsidRDefault="00081EFC" w14:paraId="6747BF63" w14:textId="77777777">
      <w:pPr>
        <w:widowControl w:val="0"/>
        <w:autoSpaceDE w:val="0"/>
        <w:autoSpaceDN w:val="0"/>
        <w:spacing w:line="240" w:lineRule="auto"/>
        <w:ind w:firstLine="0"/>
        <w:rPr>
          <w:rFonts w:eastAsia="Palatino Linotype" w:cs="Palatino Linotype"/>
          <w:szCs w:val="26"/>
        </w:rPr>
      </w:pPr>
    </w:p>
    <w:p w:rsidRPr="00972733" w:rsidR="00081EFC" w:rsidP="00394667" w:rsidRDefault="00081EFC" w14:paraId="46861BCC" w14:textId="746342FE">
      <w:pPr>
        <w:widowControl w:val="0"/>
        <w:autoSpaceDE w:val="0"/>
        <w:autoSpaceDN w:val="0"/>
        <w:spacing w:line="240" w:lineRule="auto"/>
        <w:ind w:firstLine="0"/>
        <w:rPr>
          <w:rFonts w:eastAsia="Palatino Linotype" w:cs="Palatino Linotype"/>
          <w:szCs w:val="26"/>
        </w:rPr>
      </w:pPr>
      <w:r w:rsidRPr="00972733">
        <w:rPr>
          <w:rFonts w:eastAsia="Palatino Linotype" w:cs="Palatino Linotype"/>
          <w:szCs w:val="26"/>
        </w:rPr>
        <w:t xml:space="preserve">Grantees may make modifications to </w:t>
      </w:r>
      <w:r w:rsidR="00256F8E">
        <w:rPr>
          <w:rFonts w:eastAsia="Palatino Linotype" w:cs="Palatino Linotype"/>
          <w:szCs w:val="26"/>
        </w:rPr>
        <w:t xml:space="preserve">line items within </w:t>
      </w:r>
      <w:r w:rsidRPr="00972733">
        <w:rPr>
          <w:rFonts w:eastAsia="Palatino Linotype" w:cs="Palatino Linotype"/>
          <w:szCs w:val="26"/>
        </w:rPr>
        <w:t>an approved project budget without prior authorization, so long as those modifications do not cause the project budget to exceed the overall adopted project budget and so long as the proposed budget modifications are unrelated to the budgets for classroom or take-home devices, including hotspots.  Grantees may change milestone/activity timelines without prior authorization, so long as those modifications do not cause the project timeframe to exceed the overall adopted project timeframe.  While prior approval is not required for these modifications, the applicant must notify the Communications Division by e</w:t>
      </w:r>
      <w:r w:rsidRPr="00972733" w:rsidR="00FF6FF3">
        <w:rPr>
          <w:rFonts w:eastAsia="Palatino Linotype" w:cs="Palatino Linotype"/>
          <w:szCs w:val="26"/>
        </w:rPr>
        <w:t>-</w:t>
      </w:r>
      <w:r w:rsidRPr="00972733">
        <w:rPr>
          <w:rFonts w:eastAsia="Palatino Linotype" w:cs="Palatino Linotype"/>
          <w:szCs w:val="26"/>
        </w:rPr>
        <w:t>mailing CASF_Adoption@cpuc.ca.gov within 30 days of making such changes.</w:t>
      </w:r>
    </w:p>
    <w:p w:rsidRPr="00972733" w:rsidR="00081EFC" w:rsidP="00081EFC" w:rsidRDefault="00081EFC" w14:paraId="21E52AFE" w14:textId="77777777">
      <w:pPr>
        <w:rPr>
          <w:bCs/>
          <w:szCs w:val="26"/>
        </w:rPr>
      </w:pPr>
    </w:p>
    <w:p w:rsidRPr="00394667" w:rsidR="00081EFC" w:rsidP="00394667" w:rsidRDefault="00081EFC" w14:paraId="6FAF097E" w14:textId="391359CA">
      <w:pPr>
        <w:widowControl w:val="0"/>
        <w:autoSpaceDE w:val="0"/>
        <w:autoSpaceDN w:val="0"/>
        <w:spacing w:line="240" w:lineRule="auto"/>
        <w:ind w:firstLine="0"/>
        <w:rPr>
          <w:rFonts w:ascii="Palatino Linotype" w:hAnsi="Palatino Linotype" w:eastAsia="Palatino Linotype" w:cs="Palatino Linotype"/>
          <w:szCs w:val="26"/>
        </w:rPr>
      </w:pPr>
      <w:r w:rsidRPr="00972733">
        <w:rPr>
          <w:rFonts w:eastAsia="Palatino Linotype" w:cs="Palatino Linotype"/>
          <w:szCs w:val="26"/>
        </w:rPr>
        <w:t xml:space="preserve">Material changes in the entries for this application, such as discontinuing operation or bankruptcy, or change of name (DBA), change of address, telephone, fax number or </w:t>
      </w:r>
      <w:r w:rsidRPr="00972733" w:rsidR="00FF6FF3">
        <w:rPr>
          <w:rFonts w:eastAsia="Palatino Linotype" w:cs="Palatino Linotype"/>
          <w:szCs w:val="26"/>
        </w:rPr>
        <w:t>e</w:t>
      </w:r>
      <w:r w:rsidRPr="00972733">
        <w:rPr>
          <w:rFonts w:eastAsia="Palatino Linotype" w:cs="Palatino Linotype"/>
          <w:szCs w:val="26"/>
        </w:rPr>
        <w:t>-mail address should be reported by a letter to the California Public Utilities Commission, Director of the Communications Division, 505 Van Ness Avenue, San Francisco, CA  94102 and</w:t>
      </w:r>
      <w:r w:rsidRPr="00394667">
        <w:rPr>
          <w:rFonts w:ascii="Palatino Linotype" w:hAnsi="Palatino Linotype" w:eastAsia="Palatino Linotype" w:cs="Palatino Linotype"/>
          <w:szCs w:val="26"/>
        </w:rPr>
        <w:t xml:space="preserve"> </w:t>
      </w:r>
      <w:hyperlink w:history="1" r:id="rId18">
        <w:r w:rsidRPr="00394667" w:rsidR="00804BFC">
          <w:rPr>
            <w:rStyle w:val="Hyperlink"/>
            <w:rFonts w:ascii="Palatino Linotype" w:hAnsi="Palatino Linotype" w:eastAsia="Palatino Linotype" w:cs="Palatino Linotype"/>
          </w:rPr>
          <w:t>CDCompliance@cpuc.ca.gov</w:t>
        </w:r>
      </w:hyperlink>
      <w:r w:rsidRPr="00394667">
        <w:rPr>
          <w:rFonts w:ascii="Palatino Linotype" w:hAnsi="Palatino Linotype" w:eastAsia="Palatino Linotype" w:cs="Palatino Linotype"/>
          <w:szCs w:val="26"/>
        </w:rPr>
        <w:t>.</w:t>
      </w:r>
    </w:p>
    <w:p w:rsidRPr="001D404D" w:rsidR="00081EFC" w:rsidP="00081EFC" w:rsidRDefault="00081EFC" w14:paraId="290C21F5" w14:textId="77777777">
      <w:pPr>
        <w:ind w:right="2432"/>
        <w:rPr>
          <w:b/>
          <w:szCs w:val="26"/>
        </w:rPr>
      </w:pPr>
    </w:p>
    <w:p w:rsidR="00081EFC" w:rsidP="00394667" w:rsidRDefault="00081EFC" w14:paraId="517F7F28" w14:textId="77777777">
      <w:pPr>
        <w:pStyle w:val="ListParagraph"/>
        <w:keepNext/>
        <w:keepLines/>
        <w:numPr>
          <w:ilvl w:val="0"/>
          <w:numId w:val="30"/>
        </w:numPr>
        <w:ind w:right="2432"/>
        <w:rPr>
          <w:b/>
          <w:sz w:val="26"/>
          <w:szCs w:val="26"/>
        </w:rPr>
      </w:pPr>
      <w:r w:rsidRPr="00B65A28">
        <w:rPr>
          <w:b/>
          <w:sz w:val="26"/>
          <w:szCs w:val="26"/>
        </w:rPr>
        <w:lastRenderedPageBreak/>
        <w:t>Consent Form</w:t>
      </w:r>
    </w:p>
    <w:p w:rsidRPr="00394667" w:rsidR="00081EFC" w:rsidP="00394667" w:rsidRDefault="00081EFC" w14:paraId="233E027E" w14:textId="77777777">
      <w:pPr>
        <w:keepNext/>
        <w:keepLines/>
        <w:widowControl w:val="0"/>
        <w:autoSpaceDE w:val="0"/>
        <w:autoSpaceDN w:val="0"/>
        <w:spacing w:line="240" w:lineRule="auto"/>
        <w:ind w:firstLine="0"/>
        <w:rPr>
          <w:rFonts w:ascii="Palatino Linotype" w:hAnsi="Palatino Linotype" w:eastAsia="Palatino Linotype" w:cs="Palatino Linotype"/>
          <w:bCs/>
          <w:szCs w:val="26"/>
        </w:rPr>
      </w:pPr>
      <w:r w:rsidRPr="00394667">
        <w:rPr>
          <w:rFonts w:ascii="Palatino Linotype" w:hAnsi="Palatino Linotype" w:eastAsia="Palatino Linotype" w:cs="Palatino Linotype"/>
          <w:bCs/>
          <w:szCs w:val="26"/>
        </w:rPr>
        <w:t>All grantees are required to sign a consent form within 30 days from the date of the award, agreeing to the terms stated in the resolution or award letter authorizing the CASF award.  The consent agreement will provide the name of the grantee, names of officers, and must be signed by the grantee.  Should the grantee not accept the award through failure to submit the consent form within 30 calendar days from the date of the award, the Commission will deem the grant null and void.  The proposed wording of the consent form is available on the CASF website.</w:t>
      </w:r>
    </w:p>
    <w:p w:rsidR="00081EFC" w:rsidP="00081EFC" w:rsidRDefault="00081EFC" w14:paraId="1CF250E6" w14:textId="77777777">
      <w:pPr>
        <w:rPr>
          <w:bCs/>
          <w:szCs w:val="26"/>
        </w:rPr>
      </w:pPr>
    </w:p>
    <w:p w:rsidRPr="001D404D" w:rsidR="00081EFC" w:rsidP="00081EFC" w:rsidRDefault="00081EFC" w14:paraId="17165914" w14:textId="032EC388">
      <w:pPr>
        <w:jc w:val="center"/>
        <w:rPr>
          <w:bCs/>
          <w:szCs w:val="26"/>
        </w:rPr>
      </w:pPr>
      <w:r>
        <w:rPr>
          <w:bCs/>
          <w:szCs w:val="26"/>
        </w:rPr>
        <w:t xml:space="preserve">(End of Appendix </w:t>
      </w:r>
      <w:r w:rsidR="00F4291F">
        <w:rPr>
          <w:bCs/>
          <w:szCs w:val="26"/>
        </w:rPr>
        <w:t>2</w:t>
      </w:r>
      <w:r>
        <w:rPr>
          <w:bCs/>
          <w:szCs w:val="26"/>
        </w:rPr>
        <w:t>)</w:t>
      </w:r>
    </w:p>
    <w:p w:rsidR="00081EFC" w:rsidP="00081EFC" w:rsidRDefault="00081EFC" w14:paraId="7B6B507F" w14:textId="77777777">
      <w:pPr>
        <w:spacing w:before="95" w:line="313" w:lineRule="exact"/>
        <w:ind w:left="1454" w:right="1398"/>
        <w:jc w:val="center"/>
        <w:rPr>
          <w:b/>
          <w:bCs/>
          <w:szCs w:val="26"/>
        </w:rPr>
        <w:sectPr w:rsidR="00081EFC" w:rsidSect="00081EFC">
          <w:footnotePr>
            <w:numRestart w:val="eachSect"/>
          </w:footnotePr>
          <w:pgSz w:w="12240" w:h="15840"/>
          <w:pgMar w:top="1440" w:right="1440" w:bottom="1440" w:left="1440" w:header="720" w:footer="720" w:gutter="0"/>
          <w:pgNumType w:start="1"/>
          <w:cols w:space="720"/>
          <w:docGrid w:linePitch="360"/>
        </w:sectPr>
      </w:pPr>
    </w:p>
    <w:p w:rsidRPr="00676C3A" w:rsidR="00081EFC" w:rsidP="00676C3A" w:rsidRDefault="00081EFC" w14:paraId="1CCADA18" w14:textId="628E3D9F">
      <w:pPr>
        <w:pStyle w:val="Dummy"/>
        <w:jc w:val="center"/>
        <w:rPr>
          <w:rFonts w:ascii="Book Antiqua" w:hAnsi="Book Antiqua"/>
          <w:color w:val="000000" w:themeColor="text1"/>
        </w:rPr>
      </w:pPr>
      <w:r w:rsidRPr="00676C3A">
        <w:rPr>
          <w:rFonts w:ascii="Book Antiqua" w:hAnsi="Book Antiqua"/>
          <w:color w:val="000000" w:themeColor="text1"/>
        </w:rPr>
        <w:lastRenderedPageBreak/>
        <w:t xml:space="preserve">APPENDIX </w:t>
      </w:r>
      <w:r w:rsidRPr="00676C3A" w:rsidR="00F4291F">
        <w:rPr>
          <w:rFonts w:ascii="Book Antiqua" w:hAnsi="Book Antiqua"/>
          <w:color w:val="000000" w:themeColor="text1"/>
        </w:rPr>
        <w:t>3</w:t>
      </w:r>
    </w:p>
    <w:p w:rsidRPr="00081EFC" w:rsidR="00081EFC" w:rsidP="00676C3A" w:rsidRDefault="00081EFC" w14:paraId="61BDFBF8" w14:textId="77777777">
      <w:pPr>
        <w:widowControl w:val="0"/>
        <w:autoSpaceDE w:val="0"/>
        <w:autoSpaceDN w:val="0"/>
        <w:spacing w:before="24" w:line="240" w:lineRule="auto"/>
        <w:ind w:right="262" w:firstLine="0"/>
        <w:jc w:val="center"/>
        <w:rPr>
          <w:rFonts w:eastAsia="Palatino Linotype" w:cs="Palatino Linotype"/>
          <w:b/>
          <w:sz w:val="24"/>
        </w:rPr>
      </w:pPr>
      <w:r w:rsidRPr="00081EFC">
        <w:rPr>
          <w:rFonts w:eastAsia="Palatino Linotype" w:cs="Palatino Linotype"/>
          <w:b/>
          <w:sz w:val="24"/>
        </w:rPr>
        <w:t>Rural</w:t>
      </w:r>
      <w:r w:rsidRPr="00081EFC">
        <w:rPr>
          <w:rFonts w:eastAsia="Palatino Linotype" w:cs="Palatino Linotype"/>
          <w:b/>
          <w:spacing w:val="-4"/>
          <w:sz w:val="24"/>
        </w:rPr>
        <w:t xml:space="preserve"> </w:t>
      </w:r>
      <w:r w:rsidRPr="00081EFC">
        <w:rPr>
          <w:rFonts w:eastAsia="Palatino Linotype" w:cs="Palatino Linotype"/>
          <w:b/>
          <w:sz w:val="24"/>
        </w:rPr>
        <w:t>and</w:t>
      </w:r>
      <w:r w:rsidRPr="00081EFC">
        <w:rPr>
          <w:rFonts w:eastAsia="Palatino Linotype" w:cs="Palatino Linotype"/>
          <w:b/>
          <w:spacing w:val="-3"/>
          <w:sz w:val="24"/>
        </w:rPr>
        <w:t xml:space="preserve"> </w:t>
      </w:r>
      <w:r w:rsidRPr="00081EFC">
        <w:rPr>
          <w:rFonts w:eastAsia="Palatino Linotype" w:cs="Palatino Linotype"/>
          <w:b/>
          <w:sz w:val="24"/>
        </w:rPr>
        <w:t>Urban</w:t>
      </w:r>
      <w:r w:rsidRPr="00081EFC">
        <w:rPr>
          <w:rFonts w:eastAsia="Palatino Linotype" w:cs="Palatino Linotype"/>
          <w:b/>
          <w:spacing w:val="-2"/>
          <w:sz w:val="24"/>
        </w:rPr>
        <w:t xml:space="preserve"> </w:t>
      </w:r>
      <w:r w:rsidRPr="00081EFC">
        <w:rPr>
          <w:rFonts w:eastAsia="Palatino Linotype" w:cs="Palatino Linotype"/>
          <w:b/>
          <w:sz w:val="24"/>
        </w:rPr>
        <w:t>Regional</w:t>
      </w:r>
      <w:r w:rsidRPr="00081EFC">
        <w:rPr>
          <w:rFonts w:eastAsia="Palatino Linotype" w:cs="Palatino Linotype"/>
          <w:b/>
          <w:spacing w:val="-3"/>
          <w:sz w:val="24"/>
        </w:rPr>
        <w:t xml:space="preserve"> </w:t>
      </w:r>
      <w:r w:rsidRPr="00081EFC">
        <w:rPr>
          <w:rFonts w:eastAsia="Palatino Linotype" w:cs="Palatino Linotype"/>
          <w:b/>
          <w:sz w:val="24"/>
        </w:rPr>
        <w:t>Broadband</w:t>
      </w:r>
      <w:r w:rsidRPr="00081EFC">
        <w:rPr>
          <w:rFonts w:eastAsia="Palatino Linotype" w:cs="Palatino Linotype"/>
          <w:b/>
          <w:spacing w:val="-3"/>
          <w:sz w:val="24"/>
        </w:rPr>
        <w:t xml:space="preserve"> </w:t>
      </w:r>
      <w:r w:rsidRPr="00081EFC">
        <w:rPr>
          <w:rFonts w:eastAsia="Palatino Linotype" w:cs="Palatino Linotype"/>
          <w:b/>
          <w:sz w:val="24"/>
        </w:rPr>
        <w:t>Consortia</w:t>
      </w:r>
      <w:r w:rsidRPr="00081EFC">
        <w:rPr>
          <w:rFonts w:eastAsia="Palatino Linotype" w:cs="Palatino Linotype"/>
          <w:b/>
          <w:spacing w:val="-2"/>
          <w:sz w:val="24"/>
        </w:rPr>
        <w:t xml:space="preserve"> </w:t>
      </w:r>
      <w:r w:rsidRPr="00081EFC">
        <w:rPr>
          <w:rFonts w:eastAsia="Palatino Linotype" w:cs="Palatino Linotype"/>
          <w:b/>
          <w:sz w:val="24"/>
        </w:rPr>
        <w:t>Grant</w:t>
      </w:r>
      <w:r w:rsidRPr="00081EFC">
        <w:rPr>
          <w:rFonts w:eastAsia="Palatino Linotype" w:cs="Palatino Linotype"/>
          <w:b/>
          <w:spacing w:val="-3"/>
          <w:sz w:val="24"/>
        </w:rPr>
        <w:t xml:space="preserve"> </w:t>
      </w:r>
      <w:r w:rsidRPr="00081EFC">
        <w:rPr>
          <w:rFonts w:eastAsia="Palatino Linotype" w:cs="Palatino Linotype"/>
          <w:b/>
          <w:sz w:val="24"/>
        </w:rPr>
        <w:t>Account</w:t>
      </w:r>
      <w:r w:rsidRPr="00081EFC">
        <w:rPr>
          <w:rFonts w:eastAsia="Palatino Linotype" w:cs="Palatino Linotype"/>
          <w:b/>
          <w:spacing w:val="-4"/>
          <w:sz w:val="24"/>
        </w:rPr>
        <w:t xml:space="preserve"> </w:t>
      </w:r>
      <w:r w:rsidRPr="00081EFC">
        <w:rPr>
          <w:rFonts w:eastAsia="Palatino Linotype" w:cs="Palatino Linotype"/>
          <w:b/>
          <w:sz w:val="24"/>
        </w:rPr>
        <w:t>Application</w:t>
      </w:r>
      <w:r w:rsidRPr="00081EFC">
        <w:rPr>
          <w:rFonts w:eastAsia="Palatino Linotype" w:cs="Palatino Linotype"/>
          <w:b/>
          <w:spacing w:val="-57"/>
          <w:sz w:val="24"/>
        </w:rPr>
        <w:t xml:space="preserve"> </w:t>
      </w:r>
      <w:r w:rsidRPr="00081EFC">
        <w:rPr>
          <w:rFonts w:eastAsia="Palatino Linotype" w:cs="Palatino Linotype"/>
          <w:b/>
          <w:sz w:val="24"/>
        </w:rPr>
        <w:t>Requirements</w:t>
      </w:r>
      <w:r w:rsidRPr="00081EFC">
        <w:rPr>
          <w:rFonts w:eastAsia="Palatino Linotype" w:cs="Palatino Linotype"/>
          <w:b/>
          <w:spacing w:val="-2"/>
          <w:sz w:val="24"/>
        </w:rPr>
        <w:t xml:space="preserve"> </w:t>
      </w:r>
      <w:r w:rsidRPr="00081EFC">
        <w:rPr>
          <w:rFonts w:eastAsia="Palatino Linotype" w:cs="Palatino Linotype"/>
          <w:b/>
          <w:sz w:val="24"/>
        </w:rPr>
        <w:t>and Guidelines</w:t>
      </w:r>
    </w:p>
    <w:p w:rsidRPr="00081EFC" w:rsidR="00081EFC" w:rsidP="00081EFC" w:rsidRDefault="00081EFC" w14:paraId="50784643" w14:textId="77777777">
      <w:pPr>
        <w:widowControl w:val="0"/>
        <w:autoSpaceDE w:val="0"/>
        <w:autoSpaceDN w:val="0"/>
        <w:spacing w:before="24" w:line="240" w:lineRule="auto"/>
        <w:ind w:left="263" w:right="262" w:firstLine="0"/>
        <w:jc w:val="center"/>
        <w:rPr>
          <w:rFonts w:eastAsia="Palatino Linotype" w:cs="Palatino Linotype"/>
          <w:b/>
          <w:sz w:val="24"/>
        </w:rPr>
      </w:pPr>
    </w:p>
    <w:p w:rsidRPr="00081EFC" w:rsidR="00081EFC" w:rsidP="00C40DFD" w:rsidRDefault="00081EFC" w14:paraId="312C6B22" w14:textId="77777777">
      <w:pPr>
        <w:widowControl w:val="0"/>
        <w:numPr>
          <w:ilvl w:val="0"/>
          <w:numId w:val="47"/>
        </w:numPr>
        <w:autoSpaceDE w:val="0"/>
        <w:autoSpaceDN w:val="0"/>
        <w:spacing w:before="24" w:line="240" w:lineRule="auto"/>
        <w:ind w:left="540" w:right="262"/>
        <w:contextualSpacing/>
        <w:rPr>
          <w:rFonts w:eastAsia="Palatino Linotype" w:cs="Palatino Linotype"/>
          <w:b/>
          <w:bCs/>
          <w:sz w:val="24"/>
          <w:szCs w:val="24"/>
        </w:rPr>
      </w:pPr>
      <w:r w:rsidRPr="00081EFC">
        <w:rPr>
          <w:rFonts w:eastAsia="Palatino Linotype" w:cs="Palatino Linotype"/>
          <w:b/>
          <w:bCs/>
          <w:sz w:val="24"/>
          <w:szCs w:val="24"/>
        </w:rPr>
        <w:t>Background</w:t>
      </w:r>
    </w:p>
    <w:p w:rsidRPr="00081EFC" w:rsidR="00081EFC" w:rsidP="00081EFC" w:rsidRDefault="00081EFC" w14:paraId="1016B552" w14:textId="21931DAF">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Public Utilities (</w:t>
      </w:r>
      <w:r w:rsidRPr="00081EFC" w:rsidR="00F563D1">
        <w:rPr>
          <w:rFonts w:eastAsia="Palatino Linotype" w:cs="Palatino Linotype"/>
          <w:sz w:val="24"/>
          <w:szCs w:val="24"/>
        </w:rPr>
        <w:t>Pub.</w:t>
      </w:r>
      <w:r w:rsidR="00F563D1">
        <w:rPr>
          <w:rFonts w:eastAsia="Palatino Linotype" w:cs="Palatino Linotype"/>
          <w:sz w:val="24"/>
          <w:szCs w:val="24"/>
        </w:rPr>
        <w:t xml:space="preserve"> </w:t>
      </w:r>
      <w:r w:rsidRPr="00081EFC">
        <w:rPr>
          <w:rFonts w:eastAsia="Palatino Linotype" w:cs="Palatino Linotype"/>
          <w:sz w:val="24"/>
          <w:szCs w:val="24"/>
        </w:rPr>
        <w:t>Util.) Code</w:t>
      </w:r>
      <w:r w:rsidR="00F563D1">
        <w:rPr>
          <w:rFonts w:eastAsia="Palatino Linotype" w:cs="Palatino Linotype"/>
          <w:sz w:val="24"/>
          <w:szCs w:val="24"/>
        </w:rPr>
        <w:t>,</w:t>
      </w:r>
      <w:r w:rsidRPr="00081EFC">
        <w:rPr>
          <w:rFonts w:eastAsia="Palatino Linotype" w:cs="Palatino Linotype"/>
          <w:sz w:val="24"/>
          <w:szCs w:val="24"/>
        </w:rPr>
        <w:t xml:space="preserve"> § 281, which governs the Rural and Urban Regional Broadband Consortia Grant Account (Consortia Account) states:</w:t>
      </w:r>
    </w:p>
    <w:p w:rsidRPr="00081EFC" w:rsidR="00081EFC" w:rsidP="00081EFC" w:rsidRDefault="00081EFC" w14:paraId="5236C695"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1A6D1A06" w14:textId="77777777">
      <w:pPr>
        <w:widowControl w:val="0"/>
        <w:autoSpaceDE w:val="0"/>
        <w:autoSpaceDN w:val="0"/>
        <w:spacing w:before="24" w:line="240" w:lineRule="auto"/>
        <w:ind w:left="720" w:right="262" w:firstLine="0"/>
        <w:rPr>
          <w:rFonts w:eastAsia="Palatino Linotype" w:cs="Palatino Linotype"/>
          <w:sz w:val="24"/>
          <w:szCs w:val="24"/>
        </w:rPr>
      </w:pPr>
      <w:r w:rsidRPr="00081EFC">
        <w:rPr>
          <w:rFonts w:eastAsia="Palatino Linotype" w:cs="Palatino Linotype"/>
          <w:sz w:val="24"/>
          <w:szCs w:val="24"/>
        </w:rPr>
        <w:t>(g) (1) Moneys in the Rural and Urban Regional Broadband Consortia Grant Account shall be available for grants to eligible consortia to facilitate deployment of broadband services by assisting infrastructure applicants in the project development or grant application process. An eligible consortium may include, as specified by the commission, representatives of organizations, including, but not limited to, local and regional government, public safety, elementary and secondary education, health care, libraries, postsecondary education, community-based organizations, tourism, parks and recreation, agricultural, business, workforce organizations, and air pollution control or air quality management districts, and is not required to have as its lead fiscal agent an entity with a certificate of public convenience and necessity.</w:t>
      </w:r>
    </w:p>
    <w:p w:rsidRPr="00081EFC" w:rsidR="00081EFC" w:rsidP="00081EFC" w:rsidRDefault="00081EFC" w14:paraId="668C0E20" w14:textId="77777777">
      <w:pPr>
        <w:widowControl w:val="0"/>
        <w:autoSpaceDE w:val="0"/>
        <w:autoSpaceDN w:val="0"/>
        <w:spacing w:before="24" w:line="240" w:lineRule="auto"/>
        <w:ind w:left="720" w:right="262" w:firstLine="0"/>
        <w:rPr>
          <w:rFonts w:eastAsia="Palatino Linotype" w:cs="Palatino Linotype"/>
          <w:sz w:val="24"/>
          <w:szCs w:val="24"/>
        </w:rPr>
      </w:pPr>
    </w:p>
    <w:p w:rsidRPr="00081EFC" w:rsidR="00081EFC" w:rsidP="0033369D" w:rsidRDefault="00081EFC" w14:paraId="2606D970" w14:textId="77777777">
      <w:pPr>
        <w:widowControl w:val="0"/>
        <w:numPr>
          <w:ilvl w:val="0"/>
          <w:numId w:val="48"/>
        </w:numPr>
        <w:tabs>
          <w:tab w:val="left" w:pos="1159"/>
        </w:tabs>
        <w:autoSpaceDE w:val="0"/>
        <w:autoSpaceDN w:val="0"/>
        <w:spacing w:line="240" w:lineRule="auto"/>
        <w:ind w:left="720" w:right="293" w:firstLine="0"/>
        <w:rPr>
          <w:rFonts w:eastAsia="Palatino Linotype" w:cs="Palatino Linotype"/>
          <w:sz w:val="24"/>
          <w:szCs w:val="24"/>
        </w:rPr>
      </w:pPr>
      <w:r w:rsidRPr="00081EFC">
        <w:rPr>
          <w:rFonts w:eastAsia="Palatino Linotype" w:cs="Palatino Linotype"/>
          <w:sz w:val="24"/>
          <w:szCs w:val="24"/>
        </w:rPr>
        <w:t>Each consortium shall conduct an annual audit of its expenditures for</w:t>
      </w:r>
      <w:r w:rsidRPr="00081EFC">
        <w:rPr>
          <w:rFonts w:eastAsia="Palatino Linotype" w:cs="Palatino Linotype"/>
          <w:spacing w:val="-57"/>
          <w:sz w:val="24"/>
          <w:szCs w:val="24"/>
        </w:rPr>
        <w:t xml:space="preserve"> </w:t>
      </w:r>
      <w:r w:rsidRPr="00081EFC">
        <w:rPr>
          <w:rFonts w:eastAsia="Palatino Linotype" w:cs="Palatino Linotype"/>
          <w:sz w:val="24"/>
          <w:szCs w:val="24"/>
        </w:rPr>
        <w:t>programs funded pursuant to this subdivision and shall submit to the</w:t>
      </w:r>
      <w:r w:rsidRPr="00081EFC">
        <w:rPr>
          <w:rFonts w:eastAsia="Palatino Linotype" w:cs="Palatino Linotype"/>
          <w:spacing w:val="1"/>
          <w:sz w:val="24"/>
          <w:szCs w:val="24"/>
        </w:rPr>
        <w:t xml:space="preserve"> </w:t>
      </w:r>
      <w:r w:rsidRPr="00081EFC">
        <w:rPr>
          <w:rFonts w:eastAsia="Palatino Linotype" w:cs="Palatino Linotype"/>
          <w:sz w:val="24"/>
          <w:szCs w:val="24"/>
        </w:rPr>
        <w:t>commission</w:t>
      </w:r>
      <w:r w:rsidRPr="00081EFC">
        <w:rPr>
          <w:rFonts w:eastAsia="Palatino Linotype" w:cs="Palatino Linotype"/>
          <w:spacing w:val="-3"/>
          <w:sz w:val="24"/>
          <w:szCs w:val="24"/>
        </w:rPr>
        <w:t xml:space="preserve"> </w:t>
      </w:r>
      <w:r w:rsidRPr="00081EFC">
        <w:rPr>
          <w:rFonts w:eastAsia="Palatino Linotype" w:cs="Palatino Linotype"/>
          <w:sz w:val="24"/>
          <w:szCs w:val="24"/>
        </w:rPr>
        <w:t>an</w:t>
      </w:r>
      <w:r w:rsidRPr="00081EFC">
        <w:rPr>
          <w:rFonts w:eastAsia="Palatino Linotype" w:cs="Palatino Linotype"/>
          <w:spacing w:val="-2"/>
          <w:sz w:val="24"/>
          <w:szCs w:val="24"/>
        </w:rPr>
        <w:t xml:space="preserve"> </w:t>
      </w:r>
      <w:r w:rsidRPr="00081EFC">
        <w:rPr>
          <w:rFonts w:eastAsia="Palatino Linotype" w:cs="Palatino Linotype"/>
          <w:sz w:val="24"/>
          <w:szCs w:val="24"/>
        </w:rPr>
        <w:t>annual report</w:t>
      </w:r>
      <w:r w:rsidRPr="00081EFC">
        <w:rPr>
          <w:rFonts w:eastAsia="Palatino Linotype" w:cs="Palatino Linotype"/>
          <w:spacing w:val="-1"/>
          <w:sz w:val="24"/>
          <w:szCs w:val="24"/>
        </w:rPr>
        <w:t xml:space="preserve"> </w:t>
      </w:r>
      <w:r w:rsidRPr="00081EFC">
        <w:rPr>
          <w:rFonts w:eastAsia="Palatino Linotype" w:cs="Palatino Linotype"/>
          <w:sz w:val="24"/>
          <w:szCs w:val="24"/>
        </w:rPr>
        <w:t>that</w:t>
      </w:r>
      <w:r w:rsidRPr="00081EFC">
        <w:rPr>
          <w:rFonts w:eastAsia="Palatino Linotype" w:cs="Palatino Linotype"/>
          <w:spacing w:val="-2"/>
          <w:sz w:val="24"/>
          <w:szCs w:val="24"/>
        </w:rPr>
        <w:t xml:space="preserve"> </w:t>
      </w:r>
      <w:r w:rsidRPr="00081EFC">
        <w:rPr>
          <w:rFonts w:eastAsia="Palatino Linotype" w:cs="Palatino Linotype"/>
          <w:sz w:val="24"/>
          <w:szCs w:val="24"/>
        </w:rPr>
        <w:t>includes both</w:t>
      </w:r>
      <w:r w:rsidRPr="00081EFC">
        <w:rPr>
          <w:rFonts w:eastAsia="Palatino Linotype" w:cs="Palatino Linotype"/>
          <w:spacing w:val="-3"/>
          <w:sz w:val="24"/>
          <w:szCs w:val="24"/>
        </w:rPr>
        <w:t xml:space="preserve"> </w:t>
      </w:r>
      <w:r w:rsidRPr="00081EFC">
        <w:rPr>
          <w:rFonts w:eastAsia="Palatino Linotype" w:cs="Palatino Linotype"/>
          <w:sz w:val="24"/>
          <w:szCs w:val="24"/>
        </w:rPr>
        <w:t>of</w:t>
      </w:r>
      <w:r w:rsidRPr="00081EFC">
        <w:rPr>
          <w:rFonts w:eastAsia="Palatino Linotype" w:cs="Palatino Linotype"/>
          <w:spacing w:val="-1"/>
          <w:sz w:val="24"/>
          <w:szCs w:val="24"/>
        </w:rPr>
        <w:t xml:space="preserve"> </w:t>
      </w:r>
      <w:r w:rsidRPr="00081EFC">
        <w:rPr>
          <w:rFonts w:eastAsia="Palatino Linotype" w:cs="Palatino Linotype"/>
          <w:sz w:val="24"/>
          <w:szCs w:val="24"/>
        </w:rPr>
        <w:t>the</w:t>
      </w:r>
      <w:r w:rsidRPr="00081EFC">
        <w:rPr>
          <w:rFonts w:eastAsia="Palatino Linotype" w:cs="Palatino Linotype"/>
          <w:spacing w:val="-2"/>
          <w:sz w:val="24"/>
          <w:szCs w:val="24"/>
        </w:rPr>
        <w:t xml:space="preserve"> </w:t>
      </w:r>
      <w:r w:rsidRPr="00081EFC">
        <w:rPr>
          <w:rFonts w:eastAsia="Palatino Linotype" w:cs="Palatino Linotype"/>
          <w:sz w:val="24"/>
          <w:szCs w:val="24"/>
        </w:rPr>
        <w:t>following:</w:t>
      </w:r>
    </w:p>
    <w:p w:rsidRPr="00081EFC" w:rsidR="00081EFC" w:rsidP="00081EFC" w:rsidRDefault="00081EFC" w14:paraId="6FD0622B" w14:textId="77777777">
      <w:pPr>
        <w:widowControl w:val="0"/>
        <w:tabs>
          <w:tab w:val="left" w:pos="1159"/>
        </w:tabs>
        <w:autoSpaceDE w:val="0"/>
        <w:autoSpaceDN w:val="0"/>
        <w:spacing w:line="240" w:lineRule="auto"/>
        <w:ind w:left="720" w:right="293" w:firstLine="0"/>
        <w:rPr>
          <w:rFonts w:eastAsia="Palatino Linotype" w:cs="Palatino Linotype"/>
          <w:sz w:val="24"/>
          <w:szCs w:val="24"/>
        </w:rPr>
      </w:pPr>
    </w:p>
    <w:p w:rsidRPr="00081EFC" w:rsidR="00081EFC" w:rsidP="00C40DFD" w:rsidRDefault="00081EFC" w14:paraId="28530C93" w14:textId="77777777">
      <w:pPr>
        <w:widowControl w:val="0"/>
        <w:numPr>
          <w:ilvl w:val="1"/>
          <w:numId w:val="48"/>
        </w:numPr>
        <w:autoSpaceDE w:val="0"/>
        <w:autoSpaceDN w:val="0"/>
        <w:spacing w:line="240" w:lineRule="auto"/>
        <w:ind w:left="1440" w:right="274" w:hanging="403"/>
        <w:contextualSpacing/>
        <w:rPr>
          <w:rFonts w:eastAsia="Palatino Linotype" w:cs="Palatino Linotype"/>
          <w:sz w:val="24"/>
          <w:szCs w:val="24"/>
        </w:rPr>
      </w:pPr>
      <w:r w:rsidRPr="00081EFC">
        <w:rPr>
          <w:rFonts w:eastAsia="Palatino Linotype" w:cs="Palatino Linotype"/>
          <w:sz w:val="24"/>
          <w:szCs w:val="24"/>
        </w:rPr>
        <w:t>A description of activities completed during the prior year, how each</w:t>
      </w:r>
      <w:r w:rsidRPr="00081EFC">
        <w:rPr>
          <w:rFonts w:eastAsia="Palatino Linotype" w:cs="Palatino Linotype"/>
          <w:spacing w:val="-57"/>
          <w:sz w:val="24"/>
          <w:szCs w:val="24"/>
        </w:rPr>
        <w:t xml:space="preserve"> </w:t>
      </w:r>
      <w:r w:rsidRPr="00081EFC">
        <w:rPr>
          <w:rFonts w:eastAsia="Palatino Linotype" w:cs="Palatino Linotype"/>
          <w:sz w:val="24"/>
          <w:szCs w:val="24"/>
        </w:rPr>
        <w:t>activity promotes the deployment of broadband services, and the cost</w:t>
      </w:r>
      <w:r w:rsidRPr="00081EFC">
        <w:rPr>
          <w:rFonts w:eastAsia="Palatino Linotype" w:cs="Palatino Linotype"/>
          <w:spacing w:val="1"/>
          <w:sz w:val="24"/>
          <w:szCs w:val="24"/>
        </w:rPr>
        <w:t xml:space="preserve"> </w:t>
      </w:r>
      <w:r w:rsidRPr="00081EFC">
        <w:rPr>
          <w:rFonts w:eastAsia="Palatino Linotype" w:cs="Palatino Linotype"/>
          <w:sz w:val="24"/>
          <w:szCs w:val="24"/>
        </w:rPr>
        <w:t>associated</w:t>
      </w:r>
      <w:r w:rsidRPr="00081EFC">
        <w:rPr>
          <w:rFonts w:eastAsia="Palatino Linotype" w:cs="Palatino Linotype"/>
          <w:spacing w:val="-1"/>
          <w:sz w:val="24"/>
          <w:szCs w:val="24"/>
        </w:rPr>
        <w:t xml:space="preserve"> </w:t>
      </w:r>
      <w:r w:rsidRPr="00081EFC">
        <w:rPr>
          <w:rFonts w:eastAsia="Palatino Linotype" w:cs="Palatino Linotype"/>
          <w:sz w:val="24"/>
          <w:szCs w:val="24"/>
        </w:rPr>
        <w:t>with</w:t>
      </w:r>
      <w:r w:rsidRPr="00081EFC">
        <w:rPr>
          <w:rFonts w:eastAsia="Palatino Linotype" w:cs="Palatino Linotype"/>
          <w:spacing w:val="-1"/>
          <w:sz w:val="24"/>
          <w:szCs w:val="24"/>
        </w:rPr>
        <w:t xml:space="preserve"> </w:t>
      </w:r>
      <w:r w:rsidRPr="00081EFC">
        <w:rPr>
          <w:rFonts w:eastAsia="Palatino Linotype" w:cs="Palatino Linotype"/>
          <w:sz w:val="24"/>
          <w:szCs w:val="24"/>
        </w:rPr>
        <w:t>each</w:t>
      </w:r>
      <w:r w:rsidRPr="00081EFC">
        <w:rPr>
          <w:rFonts w:eastAsia="Palatino Linotype" w:cs="Palatino Linotype"/>
          <w:spacing w:val="-1"/>
          <w:sz w:val="24"/>
          <w:szCs w:val="24"/>
        </w:rPr>
        <w:t xml:space="preserve"> </w:t>
      </w:r>
      <w:r w:rsidRPr="00081EFC">
        <w:rPr>
          <w:rFonts w:eastAsia="Palatino Linotype" w:cs="Palatino Linotype"/>
          <w:sz w:val="24"/>
          <w:szCs w:val="24"/>
        </w:rPr>
        <w:t>activity.</w:t>
      </w:r>
    </w:p>
    <w:p w:rsidRPr="00081EFC" w:rsidR="00081EFC" w:rsidP="0033369D" w:rsidRDefault="00081EFC" w14:paraId="15162E1C" w14:textId="77777777">
      <w:pPr>
        <w:widowControl w:val="0"/>
        <w:numPr>
          <w:ilvl w:val="1"/>
          <w:numId w:val="48"/>
        </w:numPr>
        <w:autoSpaceDE w:val="0"/>
        <w:autoSpaceDN w:val="0"/>
        <w:spacing w:before="1" w:line="240" w:lineRule="auto"/>
        <w:ind w:left="1440" w:right="280"/>
        <w:contextualSpacing/>
        <w:rPr>
          <w:rFonts w:eastAsia="Palatino Linotype" w:cs="Palatino Linotype"/>
          <w:sz w:val="24"/>
          <w:szCs w:val="24"/>
        </w:rPr>
      </w:pPr>
      <w:r w:rsidRPr="00081EFC">
        <w:rPr>
          <w:rFonts w:eastAsia="Palatino Linotype" w:cs="Palatino Linotype"/>
          <w:sz w:val="24"/>
          <w:szCs w:val="24"/>
        </w:rPr>
        <w:t>The</w:t>
      </w:r>
      <w:r w:rsidRPr="00081EFC">
        <w:rPr>
          <w:rFonts w:eastAsia="Palatino Linotype" w:cs="Palatino Linotype"/>
          <w:spacing w:val="-4"/>
          <w:sz w:val="24"/>
          <w:szCs w:val="24"/>
        </w:rPr>
        <w:t xml:space="preserve"> </w:t>
      </w:r>
      <w:r w:rsidRPr="00081EFC">
        <w:rPr>
          <w:rFonts w:eastAsia="Palatino Linotype" w:cs="Palatino Linotype"/>
          <w:sz w:val="24"/>
          <w:szCs w:val="24"/>
        </w:rPr>
        <w:t>number</w:t>
      </w:r>
      <w:r w:rsidRPr="00081EFC">
        <w:rPr>
          <w:rFonts w:eastAsia="Palatino Linotype" w:cs="Palatino Linotype"/>
          <w:spacing w:val="-1"/>
          <w:sz w:val="24"/>
          <w:szCs w:val="24"/>
        </w:rPr>
        <w:t xml:space="preserve"> </w:t>
      </w:r>
      <w:r w:rsidRPr="00081EFC">
        <w:rPr>
          <w:rFonts w:eastAsia="Palatino Linotype" w:cs="Palatino Linotype"/>
          <w:sz w:val="24"/>
          <w:szCs w:val="24"/>
        </w:rPr>
        <w:t>of</w:t>
      </w:r>
      <w:r w:rsidRPr="00081EFC">
        <w:rPr>
          <w:rFonts w:eastAsia="Palatino Linotype" w:cs="Palatino Linotype"/>
          <w:spacing w:val="-2"/>
          <w:sz w:val="24"/>
          <w:szCs w:val="24"/>
        </w:rPr>
        <w:t xml:space="preserve"> </w:t>
      </w:r>
      <w:r w:rsidRPr="00081EFC">
        <w:rPr>
          <w:rFonts w:eastAsia="Palatino Linotype" w:cs="Palatino Linotype"/>
          <w:sz w:val="24"/>
          <w:szCs w:val="24"/>
        </w:rPr>
        <w:t>project</w:t>
      </w:r>
      <w:r w:rsidRPr="00081EFC">
        <w:rPr>
          <w:rFonts w:eastAsia="Palatino Linotype" w:cs="Palatino Linotype"/>
          <w:spacing w:val="-2"/>
          <w:sz w:val="24"/>
          <w:szCs w:val="24"/>
        </w:rPr>
        <w:t xml:space="preserve"> </w:t>
      </w:r>
      <w:r w:rsidRPr="00081EFC">
        <w:rPr>
          <w:rFonts w:eastAsia="Palatino Linotype" w:cs="Palatino Linotype"/>
          <w:sz w:val="24"/>
          <w:szCs w:val="24"/>
        </w:rPr>
        <w:t>applications</w:t>
      </w:r>
      <w:r w:rsidRPr="00081EFC">
        <w:rPr>
          <w:rFonts w:eastAsia="Palatino Linotype" w:cs="Palatino Linotype"/>
          <w:spacing w:val="-3"/>
          <w:sz w:val="24"/>
          <w:szCs w:val="24"/>
        </w:rPr>
        <w:t xml:space="preserve"> </w:t>
      </w:r>
      <w:r w:rsidRPr="00081EFC">
        <w:rPr>
          <w:rFonts w:eastAsia="Palatino Linotype" w:cs="Palatino Linotype"/>
          <w:sz w:val="24"/>
          <w:szCs w:val="24"/>
        </w:rPr>
        <w:t>assisted.</w:t>
      </w:r>
    </w:p>
    <w:p w:rsidRPr="00081EFC" w:rsidR="00081EFC" w:rsidP="00081EFC" w:rsidRDefault="00081EFC" w14:paraId="0EF39F53" w14:textId="77777777">
      <w:pPr>
        <w:widowControl w:val="0"/>
        <w:autoSpaceDE w:val="0"/>
        <w:autoSpaceDN w:val="0"/>
        <w:spacing w:before="24" w:line="240" w:lineRule="auto"/>
        <w:ind w:left="720" w:right="262" w:firstLine="0"/>
        <w:rPr>
          <w:rFonts w:eastAsia="Palatino Linotype" w:cs="Palatino Linotype"/>
          <w:sz w:val="24"/>
          <w:szCs w:val="24"/>
        </w:rPr>
      </w:pPr>
    </w:p>
    <w:p w:rsidRPr="00081EFC" w:rsidR="00081EFC" w:rsidP="00C40DFD" w:rsidRDefault="00081EFC" w14:paraId="3333DAA4" w14:textId="77777777">
      <w:pPr>
        <w:widowControl w:val="0"/>
        <w:numPr>
          <w:ilvl w:val="0"/>
          <w:numId w:val="47"/>
        </w:numPr>
        <w:autoSpaceDE w:val="0"/>
        <w:autoSpaceDN w:val="0"/>
        <w:spacing w:before="24" w:line="240" w:lineRule="auto"/>
        <w:ind w:left="630" w:right="262"/>
        <w:contextualSpacing/>
        <w:rPr>
          <w:rFonts w:eastAsia="Palatino Linotype" w:cs="Palatino Linotype"/>
          <w:b/>
          <w:bCs/>
          <w:sz w:val="24"/>
          <w:szCs w:val="24"/>
        </w:rPr>
      </w:pPr>
      <w:r w:rsidRPr="00081EFC">
        <w:rPr>
          <w:rFonts w:eastAsia="Palatino Linotype" w:cs="Palatino Linotype"/>
          <w:b/>
          <w:bCs/>
          <w:sz w:val="24"/>
          <w:szCs w:val="24"/>
        </w:rPr>
        <w:t>Amount Available for Grants</w:t>
      </w:r>
    </w:p>
    <w:p w:rsidRPr="00081EFC" w:rsidR="00081EFC" w:rsidP="00081EFC" w:rsidRDefault="00081EFC" w14:paraId="675794DA" w14:textId="0B40ED55">
      <w:pPr>
        <w:widowControl w:val="0"/>
        <w:autoSpaceDE w:val="0"/>
        <w:autoSpaceDN w:val="0"/>
        <w:spacing w:before="24" w:line="240" w:lineRule="auto"/>
        <w:ind w:right="262" w:firstLine="0"/>
        <w:contextualSpacing/>
        <w:rPr>
          <w:rFonts w:eastAsia="Palatino Linotype" w:cs="Palatino Linotype"/>
          <w:sz w:val="24"/>
          <w:szCs w:val="24"/>
        </w:rPr>
      </w:pPr>
      <w:r w:rsidRPr="00081EFC">
        <w:rPr>
          <w:rFonts w:eastAsia="Palatino Linotype" w:cs="Palatino Linotype"/>
          <w:sz w:val="24"/>
          <w:szCs w:val="24"/>
        </w:rPr>
        <w:t>The Commission will award grants based only upon the budgeted level of program activities approved for each Consortium, subject to a maximum funding cap of $200,000 per year per Consortium, plus up to $10,000 (per consortium for up to 5 representatives) for attendance to at least one of the annual public workshops held pursuant to Public Utilities Code</w:t>
      </w:r>
      <w:r w:rsidR="008809D3">
        <w:rPr>
          <w:rFonts w:eastAsia="Palatino Linotype" w:cs="Palatino Linotype"/>
          <w:sz w:val="24"/>
          <w:szCs w:val="24"/>
        </w:rPr>
        <w:t>,</w:t>
      </w:r>
      <w:r w:rsidRPr="00081EFC">
        <w:rPr>
          <w:rFonts w:eastAsia="Palatino Linotype" w:cs="Palatino Linotype"/>
          <w:sz w:val="24"/>
          <w:szCs w:val="24"/>
        </w:rPr>
        <w:t xml:space="preserve"> § 281. Where an application seeks multi-year funding, however, the application must still present separate year-by-year annual Work Plans and budgets.  Awards granted may be less than the allowed maximum amounts </w:t>
      </w:r>
      <w:proofErr w:type="gramStart"/>
      <w:r w:rsidRPr="00081EFC">
        <w:rPr>
          <w:rFonts w:eastAsia="Palatino Linotype" w:cs="Palatino Linotype"/>
          <w:sz w:val="24"/>
          <w:szCs w:val="24"/>
        </w:rPr>
        <w:t>in order to</w:t>
      </w:r>
      <w:proofErr w:type="gramEnd"/>
      <w:r w:rsidRPr="00081EFC">
        <w:rPr>
          <w:rFonts w:eastAsia="Palatino Linotype" w:cs="Palatino Linotype"/>
          <w:sz w:val="24"/>
          <w:szCs w:val="24"/>
        </w:rPr>
        <w:t xml:space="preserve"> leverage available funding.</w:t>
      </w:r>
    </w:p>
    <w:p w:rsidRPr="00081EFC" w:rsidR="00081EFC" w:rsidP="00081EFC" w:rsidRDefault="00081EFC" w14:paraId="25F64FC8" w14:textId="77777777">
      <w:pPr>
        <w:widowControl w:val="0"/>
        <w:autoSpaceDE w:val="0"/>
        <w:autoSpaceDN w:val="0"/>
        <w:spacing w:before="24" w:line="240" w:lineRule="auto"/>
        <w:ind w:right="262" w:firstLine="0"/>
        <w:contextualSpacing/>
        <w:rPr>
          <w:rFonts w:eastAsia="Palatino Linotype" w:cs="Palatino Linotype"/>
          <w:sz w:val="24"/>
          <w:szCs w:val="24"/>
        </w:rPr>
      </w:pPr>
    </w:p>
    <w:p w:rsidRPr="00081EFC" w:rsidR="00081EFC" w:rsidP="008C7B42" w:rsidRDefault="00081EFC" w14:paraId="755F644D" w14:textId="77777777">
      <w:pPr>
        <w:keepLines/>
        <w:widowControl w:val="0"/>
        <w:autoSpaceDE w:val="0"/>
        <w:autoSpaceDN w:val="0"/>
        <w:spacing w:before="24" w:line="240" w:lineRule="auto"/>
        <w:ind w:right="259" w:firstLine="0"/>
        <w:contextualSpacing/>
        <w:rPr>
          <w:rFonts w:eastAsia="Palatino Linotype" w:cs="Palatino Linotype"/>
          <w:sz w:val="24"/>
          <w:szCs w:val="24"/>
        </w:rPr>
      </w:pPr>
      <w:r w:rsidRPr="00081EFC">
        <w:rPr>
          <w:rFonts w:eastAsia="Palatino Linotype" w:cs="Palatino Linotype"/>
          <w:sz w:val="24"/>
          <w:szCs w:val="24"/>
        </w:rPr>
        <w:t>Any CASF grants awarded will be limited to and apply only to activities and programs that are not already funded by any other public or private sources.</w:t>
      </w:r>
    </w:p>
    <w:p w:rsidRPr="00081EFC" w:rsidR="00081EFC" w:rsidP="00081EFC" w:rsidRDefault="00081EFC" w14:paraId="6797C419" w14:textId="77777777">
      <w:pPr>
        <w:widowControl w:val="0"/>
        <w:autoSpaceDE w:val="0"/>
        <w:autoSpaceDN w:val="0"/>
        <w:spacing w:before="24" w:line="240" w:lineRule="auto"/>
        <w:ind w:right="262" w:firstLine="0"/>
        <w:contextualSpacing/>
        <w:rPr>
          <w:rFonts w:eastAsia="Palatino Linotype" w:cs="Palatino Linotype"/>
          <w:sz w:val="24"/>
          <w:szCs w:val="24"/>
        </w:rPr>
      </w:pPr>
    </w:p>
    <w:p w:rsidRPr="00081EFC" w:rsidR="00081EFC" w:rsidP="00C40DFD" w:rsidRDefault="00081EFC" w14:paraId="444AE31A" w14:textId="77777777">
      <w:pPr>
        <w:widowControl w:val="0"/>
        <w:numPr>
          <w:ilvl w:val="0"/>
          <w:numId w:val="47"/>
        </w:numPr>
        <w:autoSpaceDE w:val="0"/>
        <w:autoSpaceDN w:val="0"/>
        <w:spacing w:before="24" w:line="240" w:lineRule="auto"/>
        <w:ind w:left="720" w:right="262"/>
        <w:contextualSpacing/>
        <w:rPr>
          <w:rFonts w:eastAsia="Palatino Linotype" w:cs="Palatino Linotype"/>
          <w:b/>
          <w:bCs/>
          <w:sz w:val="24"/>
          <w:szCs w:val="24"/>
        </w:rPr>
      </w:pPr>
      <w:r w:rsidRPr="00081EFC">
        <w:rPr>
          <w:rFonts w:eastAsia="Palatino Linotype" w:cs="Palatino Linotype"/>
          <w:b/>
          <w:bCs/>
          <w:sz w:val="24"/>
          <w:szCs w:val="24"/>
        </w:rPr>
        <w:t>Definitions</w:t>
      </w:r>
    </w:p>
    <w:p w:rsidRPr="00081EFC" w:rsidR="00081EFC" w:rsidP="00081EFC" w:rsidRDefault="00081EFC" w14:paraId="07F72521" w14:textId="77777777">
      <w:pPr>
        <w:widowControl w:val="0"/>
        <w:autoSpaceDE w:val="0"/>
        <w:autoSpaceDN w:val="0"/>
        <w:spacing w:before="24" w:line="240" w:lineRule="auto"/>
        <w:ind w:right="262" w:firstLine="0"/>
        <w:rPr>
          <w:rFonts w:eastAsia="Palatino Linotype" w:cs="Palatino Linotype"/>
          <w:b/>
          <w:bCs/>
          <w:sz w:val="24"/>
          <w:szCs w:val="24"/>
        </w:rPr>
      </w:pPr>
      <w:r w:rsidRPr="00081EFC">
        <w:rPr>
          <w:rFonts w:eastAsia="Palatino Linotype" w:cs="Palatino Linotype"/>
          <w:sz w:val="24"/>
          <w:szCs w:val="24"/>
        </w:rPr>
        <w:t>A “Consortia region” is a geographic region with boundaries largely consistent with county boundaries or the boundaries of multiple counties, or other geographic lines due to geographic characteristics/barriers, such as mountains and basins, that create hard-to-serve-areas, as long as the areas included using “other geographic lines” do not overlap with other Consortia regions. In no case may an area be represented by more than one Consortium.</w:t>
      </w:r>
      <w:r w:rsidRPr="00081EFC">
        <w:rPr>
          <w:rFonts w:eastAsia="Palatino Linotype" w:cs="Palatino Linotype"/>
          <w:color w:val="3333FF"/>
          <w:sz w:val="24"/>
          <w:szCs w:val="24"/>
        </w:rPr>
        <w:t xml:space="preserve"> </w:t>
      </w:r>
    </w:p>
    <w:p w:rsidRPr="00081EFC" w:rsidR="00081EFC" w:rsidP="00081EFC" w:rsidRDefault="00081EFC" w14:paraId="2F581DCF" w14:textId="77777777">
      <w:pPr>
        <w:widowControl w:val="0"/>
        <w:autoSpaceDE w:val="0"/>
        <w:autoSpaceDN w:val="0"/>
        <w:spacing w:before="1" w:line="240" w:lineRule="auto"/>
        <w:ind w:left="983" w:firstLine="0"/>
        <w:rPr>
          <w:rFonts w:eastAsia="Palatino Linotype" w:cs="Palatino Linotype"/>
          <w:sz w:val="24"/>
          <w:szCs w:val="24"/>
        </w:rPr>
      </w:pPr>
    </w:p>
    <w:p w:rsidRPr="00081EFC" w:rsidR="00081EFC" w:rsidP="00081EFC" w:rsidRDefault="00081EFC" w14:paraId="627C583A" w14:textId="77777777">
      <w:pPr>
        <w:widowControl w:val="0"/>
        <w:autoSpaceDE w:val="0"/>
        <w:autoSpaceDN w:val="0"/>
        <w:spacing w:before="24" w:line="240" w:lineRule="auto"/>
        <w:ind w:right="262" w:firstLine="0"/>
        <w:rPr>
          <w:rFonts w:eastAsia="Palatino Linotype" w:cs="Palatino Linotype"/>
          <w:spacing w:val="1"/>
          <w:sz w:val="24"/>
          <w:szCs w:val="24"/>
        </w:rPr>
      </w:pPr>
      <w:r w:rsidRPr="00081EFC">
        <w:rPr>
          <w:rFonts w:eastAsia="Palatino Linotype" w:cs="Palatino Linotype"/>
          <w:sz w:val="24"/>
          <w:szCs w:val="24"/>
        </w:rPr>
        <w:t>A “geographic region” means a regional area within California that consists of</w:t>
      </w:r>
      <w:r w:rsidRPr="00081EFC">
        <w:rPr>
          <w:rFonts w:eastAsia="Palatino Linotype" w:cs="Palatino Linotype"/>
          <w:spacing w:val="1"/>
          <w:sz w:val="24"/>
          <w:szCs w:val="24"/>
        </w:rPr>
        <w:t xml:space="preserve"> </w:t>
      </w:r>
      <w:r w:rsidRPr="00081EFC">
        <w:rPr>
          <w:rFonts w:eastAsia="Palatino Linotype" w:cs="Palatino Linotype"/>
          <w:sz w:val="24"/>
          <w:szCs w:val="24"/>
        </w:rPr>
        <w:t>cities,</w:t>
      </w:r>
      <w:r w:rsidRPr="00081EFC">
        <w:rPr>
          <w:rFonts w:eastAsia="Palatino Linotype" w:cs="Palatino Linotype"/>
          <w:spacing w:val="-3"/>
          <w:sz w:val="24"/>
          <w:szCs w:val="24"/>
        </w:rPr>
        <w:t xml:space="preserve"> </w:t>
      </w:r>
      <w:r w:rsidRPr="00081EFC">
        <w:rPr>
          <w:rFonts w:eastAsia="Palatino Linotype" w:cs="Palatino Linotype"/>
          <w:sz w:val="24"/>
          <w:szCs w:val="24"/>
        </w:rPr>
        <w:t>counties,</w:t>
      </w:r>
      <w:r w:rsidRPr="00081EFC">
        <w:rPr>
          <w:rFonts w:eastAsia="Palatino Linotype" w:cs="Palatino Linotype"/>
          <w:spacing w:val="-2"/>
          <w:sz w:val="24"/>
          <w:szCs w:val="24"/>
        </w:rPr>
        <w:t xml:space="preserve"> </w:t>
      </w:r>
      <w:r w:rsidRPr="00081EFC">
        <w:rPr>
          <w:rFonts w:eastAsia="Palatino Linotype" w:cs="Palatino Linotype"/>
          <w:sz w:val="24"/>
          <w:szCs w:val="24"/>
        </w:rPr>
        <w:t>and/or</w:t>
      </w:r>
      <w:r w:rsidRPr="00081EFC">
        <w:rPr>
          <w:rFonts w:eastAsia="Palatino Linotype" w:cs="Palatino Linotype"/>
          <w:spacing w:val="-3"/>
          <w:sz w:val="24"/>
          <w:szCs w:val="24"/>
        </w:rPr>
        <w:t xml:space="preserve"> </w:t>
      </w:r>
      <w:r w:rsidRPr="00081EFC">
        <w:rPr>
          <w:rFonts w:eastAsia="Palatino Linotype" w:cs="Palatino Linotype"/>
          <w:sz w:val="24"/>
          <w:szCs w:val="24"/>
        </w:rPr>
        <w:t>unincorporated</w:t>
      </w:r>
      <w:r w:rsidRPr="00081EFC">
        <w:rPr>
          <w:rFonts w:eastAsia="Palatino Linotype" w:cs="Palatino Linotype"/>
          <w:spacing w:val="-2"/>
          <w:sz w:val="24"/>
          <w:szCs w:val="24"/>
        </w:rPr>
        <w:t xml:space="preserve"> </w:t>
      </w:r>
      <w:r w:rsidRPr="00081EFC">
        <w:rPr>
          <w:rFonts w:eastAsia="Palatino Linotype" w:cs="Palatino Linotype"/>
          <w:sz w:val="24"/>
          <w:szCs w:val="24"/>
        </w:rPr>
        <w:t>areas</w:t>
      </w:r>
      <w:r w:rsidRPr="00081EFC">
        <w:rPr>
          <w:rFonts w:eastAsia="Palatino Linotype" w:cs="Palatino Linotype"/>
          <w:spacing w:val="-4"/>
          <w:sz w:val="24"/>
          <w:szCs w:val="24"/>
        </w:rPr>
        <w:t xml:space="preserve"> </w:t>
      </w:r>
      <w:r w:rsidRPr="00081EFC">
        <w:rPr>
          <w:rFonts w:eastAsia="Palatino Linotype" w:cs="Palatino Linotype"/>
          <w:sz w:val="24"/>
          <w:szCs w:val="24"/>
        </w:rPr>
        <w:t>that</w:t>
      </w:r>
      <w:r w:rsidRPr="00081EFC">
        <w:rPr>
          <w:rFonts w:eastAsia="Palatino Linotype" w:cs="Palatino Linotype"/>
          <w:spacing w:val="-3"/>
          <w:sz w:val="24"/>
          <w:szCs w:val="24"/>
        </w:rPr>
        <w:t xml:space="preserve"> </w:t>
      </w:r>
      <w:r w:rsidRPr="00081EFC">
        <w:rPr>
          <w:rFonts w:eastAsia="Palatino Linotype" w:cs="Palatino Linotype"/>
          <w:sz w:val="24"/>
          <w:szCs w:val="24"/>
        </w:rPr>
        <w:t>have</w:t>
      </w:r>
      <w:r w:rsidRPr="00081EFC">
        <w:rPr>
          <w:rFonts w:eastAsia="Palatino Linotype" w:cs="Palatino Linotype"/>
          <w:spacing w:val="-3"/>
          <w:sz w:val="24"/>
          <w:szCs w:val="24"/>
        </w:rPr>
        <w:t xml:space="preserve"> </w:t>
      </w:r>
      <w:r w:rsidRPr="00081EFC">
        <w:rPr>
          <w:rFonts w:eastAsia="Palatino Linotype" w:cs="Palatino Linotype"/>
          <w:sz w:val="24"/>
          <w:szCs w:val="24"/>
        </w:rPr>
        <w:t>united</w:t>
      </w:r>
      <w:r w:rsidRPr="00081EFC">
        <w:rPr>
          <w:rFonts w:eastAsia="Palatino Linotype" w:cs="Palatino Linotype"/>
          <w:spacing w:val="-2"/>
          <w:sz w:val="24"/>
          <w:szCs w:val="24"/>
        </w:rPr>
        <w:t xml:space="preserve"> </w:t>
      </w:r>
      <w:r w:rsidRPr="00081EFC">
        <w:rPr>
          <w:rFonts w:eastAsia="Palatino Linotype" w:cs="Palatino Linotype"/>
          <w:sz w:val="24"/>
          <w:szCs w:val="24"/>
        </w:rPr>
        <w:t>to</w:t>
      </w:r>
      <w:r w:rsidRPr="00081EFC">
        <w:rPr>
          <w:rFonts w:eastAsia="Palatino Linotype" w:cs="Palatino Linotype"/>
          <w:spacing w:val="-2"/>
          <w:sz w:val="24"/>
          <w:szCs w:val="24"/>
        </w:rPr>
        <w:t xml:space="preserve"> </w:t>
      </w:r>
      <w:r w:rsidRPr="00081EFC">
        <w:rPr>
          <w:rFonts w:eastAsia="Palatino Linotype" w:cs="Palatino Linotype"/>
          <w:sz w:val="24"/>
          <w:szCs w:val="24"/>
        </w:rPr>
        <w:t>form</w:t>
      </w:r>
      <w:r w:rsidRPr="00081EFC">
        <w:rPr>
          <w:rFonts w:eastAsia="Palatino Linotype" w:cs="Palatino Linotype"/>
          <w:spacing w:val="-3"/>
          <w:sz w:val="24"/>
          <w:szCs w:val="24"/>
        </w:rPr>
        <w:t xml:space="preserve"> </w:t>
      </w:r>
      <w:r w:rsidRPr="00081EFC">
        <w:rPr>
          <w:rFonts w:eastAsia="Palatino Linotype" w:cs="Palatino Linotype"/>
          <w:sz w:val="24"/>
          <w:szCs w:val="24"/>
        </w:rPr>
        <w:t>a</w:t>
      </w:r>
      <w:r w:rsidRPr="00081EFC">
        <w:rPr>
          <w:rFonts w:eastAsia="Palatino Linotype" w:cs="Palatino Linotype"/>
          <w:spacing w:val="-2"/>
          <w:sz w:val="24"/>
          <w:szCs w:val="24"/>
        </w:rPr>
        <w:t xml:space="preserve"> </w:t>
      </w:r>
      <w:r w:rsidRPr="00081EFC">
        <w:rPr>
          <w:rFonts w:eastAsia="Palatino Linotype" w:cs="Palatino Linotype"/>
          <w:sz w:val="24"/>
          <w:szCs w:val="24"/>
        </w:rPr>
        <w:t>network</w:t>
      </w:r>
      <w:r w:rsidRPr="00081EFC">
        <w:rPr>
          <w:rFonts w:eastAsia="Palatino Linotype" w:cs="Palatino Linotype"/>
          <w:spacing w:val="-57"/>
          <w:sz w:val="24"/>
          <w:szCs w:val="24"/>
        </w:rPr>
        <w:t xml:space="preserve"> </w:t>
      </w:r>
      <w:r w:rsidRPr="00081EFC">
        <w:rPr>
          <w:rFonts w:eastAsia="Palatino Linotype" w:cs="Palatino Linotype"/>
          <w:sz w:val="24"/>
          <w:szCs w:val="24"/>
        </w:rPr>
        <w:t>of leaders representing public, non-profit, and/or for-profit entities that share</w:t>
      </w:r>
      <w:r w:rsidRPr="00081EFC">
        <w:rPr>
          <w:rFonts w:eastAsia="Palatino Linotype" w:cs="Palatino Linotype"/>
          <w:spacing w:val="1"/>
          <w:sz w:val="24"/>
          <w:szCs w:val="24"/>
        </w:rPr>
        <w:t xml:space="preserve"> </w:t>
      </w:r>
      <w:r w:rsidRPr="00081EFC">
        <w:rPr>
          <w:rFonts w:eastAsia="Palatino Linotype" w:cs="Palatino Linotype"/>
          <w:sz w:val="24"/>
          <w:szCs w:val="24"/>
        </w:rPr>
        <w:t>common goals and objectives regarding broadband deployment and adoption.</w:t>
      </w:r>
      <w:r w:rsidRPr="00081EFC">
        <w:rPr>
          <w:rFonts w:eastAsia="Palatino Linotype" w:cs="Palatino Linotype"/>
          <w:spacing w:val="1"/>
          <w:sz w:val="24"/>
          <w:szCs w:val="24"/>
        </w:rPr>
        <w:t xml:space="preserve"> </w:t>
      </w:r>
    </w:p>
    <w:p w:rsidRPr="00081EFC" w:rsidR="00081EFC" w:rsidP="00081EFC" w:rsidRDefault="00081EFC" w14:paraId="57519497" w14:textId="77777777">
      <w:pPr>
        <w:widowControl w:val="0"/>
        <w:autoSpaceDE w:val="0"/>
        <w:autoSpaceDN w:val="0"/>
        <w:spacing w:before="24" w:line="240" w:lineRule="auto"/>
        <w:ind w:right="262" w:firstLine="0"/>
        <w:rPr>
          <w:rFonts w:eastAsia="Palatino Linotype" w:cs="Palatino Linotype"/>
          <w:spacing w:val="1"/>
          <w:sz w:val="24"/>
          <w:szCs w:val="24"/>
        </w:rPr>
      </w:pPr>
    </w:p>
    <w:p w:rsidRPr="00081EFC" w:rsidR="00081EFC" w:rsidP="00081EFC" w:rsidRDefault="00081EFC" w14:paraId="6FBE57CB" w14:textId="77777777">
      <w:pPr>
        <w:widowControl w:val="0"/>
        <w:autoSpaceDE w:val="0"/>
        <w:autoSpaceDN w:val="0"/>
        <w:spacing w:before="24" w:line="240" w:lineRule="auto"/>
        <w:ind w:right="262" w:firstLine="0"/>
        <w:rPr>
          <w:rFonts w:eastAsia="Palatino Linotype" w:cs="Palatino Linotype"/>
          <w:position w:val="7"/>
          <w:sz w:val="24"/>
          <w:szCs w:val="24"/>
        </w:rPr>
      </w:pPr>
      <w:r w:rsidRPr="00081EFC">
        <w:rPr>
          <w:rFonts w:eastAsia="Palatino Linotype" w:cs="Palatino Linotype"/>
          <w:sz w:val="24"/>
          <w:szCs w:val="24"/>
        </w:rPr>
        <w:t>We define a “Regional Consortium” as a network of leaders in a geographic</w:t>
      </w:r>
      <w:r w:rsidRPr="00081EFC">
        <w:rPr>
          <w:rFonts w:eastAsia="Palatino Linotype" w:cs="Palatino Linotype"/>
          <w:spacing w:val="1"/>
          <w:sz w:val="24"/>
          <w:szCs w:val="24"/>
        </w:rPr>
        <w:t xml:space="preserve"> </w:t>
      </w:r>
      <w:r w:rsidRPr="00081EFC">
        <w:rPr>
          <w:rFonts w:eastAsia="Palatino Linotype" w:cs="Palatino Linotype"/>
          <w:sz w:val="24"/>
          <w:szCs w:val="24"/>
        </w:rPr>
        <w:t>region that represents public, non-profit, and/or for-profit entities that share</w:t>
      </w:r>
      <w:r w:rsidRPr="00081EFC">
        <w:rPr>
          <w:rFonts w:eastAsia="Palatino Linotype" w:cs="Palatino Linotype"/>
          <w:spacing w:val="1"/>
          <w:sz w:val="24"/>
          <w:szCs w:val="24"/>
        </w:rPr>
        <w:t xml:space="preserve"> </w:t>
      </w:r>
      <w:r w:rsidRPr="00081EFC">
        <w:rPr>
          <w:rFonts w:eastAsia="Palatino Linotype" w:cs="Palatino Linotype"/>
          <w:sz w:val="24"/>
          <w:szCs w:val="24"/>
        </w:rPr>
        <w:t>common</w:t>
      </w:r>
      <w:r w:rsidRPr="00081EFC">
        <w:rPr>
          <w:rFonts w:eastAsia="Palatino Linotype" w:cs="Palatino Linotype"/>
          <w:spacing w:val="-2"/>
          <w:sz w:val="24"/>
          <w:szCs w:val="24"/>
        </w:rPr>
        <w:t xml:space="preserve"> </w:t>
      </w:r>
      <w:r w:rsidRPr="00081EFC">
        <w:rPr>
          <w:rFonts w:eastAsia="Palatino Linotype" w:cs="Palatino Linotype"/>
          <w:sz w:val="24"/>
          <w:szCs w:val="24"/>
        </w:rPr>
        <w:t>goals</w:t>
      </w:r>
      <w:r w:rsidRPr="00081EFC">
        <w:rPr>
          <w:rFonts w:eastAsia="Palatino Linotype" w:cs="Palatino Linotype"/>
          <w:spacing w:val="-2"/>
          <w:sz w:val="24"/>
          <w:szCs w:val="24"/>
        </w:rPr>
        <w:t xml:space="preserve"> </w:t>
      </w:r>
      <w:r w:rsidRPr="00081EFC">
        <w:rPr>
          <w:rFonts w:eastAsia="Palatino Linotype" w:cs="Palatino Linotype"/>
          <w:sz w:val="24"/>
          <w:szCs w:val="24"/>
        </w:rPr>
        <w:t>and</w:t>
      </w:r>
      <w:r w:rsidRPr="00081EFC">
        <w:rPr>
          <w:rFonts w:eastAsia="Palatino Linotype" w:cs="Palatino Linotype"/>
          <w:spacing w:val="-1"/>
          <w:sz w:val="24"/>
          <w:szCs w:val="24"/>
        </w:rPr>
        <w:t xml:space="preserve"> </w:t>
      </w:r>
      <w:r w:rsidRPr="00081EFC">
        <w:rPr>
          <w:rFonts w:eastAsia="Palatino Linotype" w:cs="Palatino Linotype"/>
          <w:sz w:val="24"/>
          <w:szCs w:val="24"/>
        </w:rPr>
        <w:t>objectives.</w:t>
      </w:r>
      <w:r w:rsidRPr="00081EFC">
        <w:rPr>
          <w:rFonts w:eastAsia="Palatino Linotype" w:cs="Palatino Linotype"/>
          <w:sz w:val="24"/>
          <w:szCs w:val="24"/>
          <w:vertAlign w:val="superscript"/>
        </w:rPr>
        <w:footnoteReference w:id="202"/>
      </w:r>
    </w:p>
    <w:p w:rsidRPr="00081EFC" w:rsidR="00081EFC" w:rsidP="00081EFC" w:rsidRDefault="00081EFC" w14:paraId="743AF902"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C40DFD" w:rsidRDefault="00081EFC" w14:paraId="156FC215" w14:textId="77777777">
      <w:pPr>
        <w:widowControl w:val="0"/>
        <w:numPr>
          <w:ilvl w:val="0"/>
          <w:numId w:val="47"/>
        </w:numPr>
        <w:autoSpaceDE w:val="0"/>
        <w:autoSpaceDN w:val="0"/>
        <w:spacing w:before="24" w:line="240" w:lineRule="auto"/>
        <w:ind w:left="720" w:right="262"/>
        <w:contextualSpacing/>
        <w:rPr>
          <w:rFonts w:eastAsia="Palatino Linotype" w:cs="Palatino Linotype"/>
          <w:b/>
          <w:bCs/>
          <w:sz w:val="24"/>
          <w:szCs w:val="24"/>
        </w:rPr>
      </w:pPr>
      <w:r w:rsidRPr="00081EFC">
        <w:rPr>
          <w:rFonts w:eastAsia="Palatino Linotype" w:cs="Palatino Linotype"/>
          <w:b/>
          <w:bCs/>
          <w:sz w:val="24"/>
          <w:szCs w:val="24"/>
        </w:rPr>
        <w:t>Account Objective and Allowable Activities</w:t>
      </w:r>
    </w:p>
    <w:p w:rsidRPr="00081EFC" w:rsidR="00081EFC" w:rsidP="00081EFC" w:rsidRDefault="00081EFC" w14:paraId="7B7558F2" w14:textId="13EB2E78">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The Commission will fund grantees for activities consistent with the statutory mandate specified in Pub. Util. Code</w:t>
      </w:r>
      <w:r w:rsidR="007E1609">
        <w:rPr>
          <w:rFonts w:eastAsia="Palatino Linotype" w:cs="Palatino Linotype"/>
          <w:sz w:val="24"/>
          <w:szCs w:val="24"/>
        </w:rPr>
        <w:t>,</w:t>
      </w:r>
      <w:r w:rsidRPr="00081EFC">
        <w:rPr>
          <w:rFonts w:eastAsia="Palatino Linotype" w:cs="Palatino Linotype"/>
          <w:sz w:val="24"/>
          <w:szCs w:val="24"/>
        </w:rPr>
        <w:t xml:space="preserve"> § 281:</w:t>
      </w:r>
    </w:p>
    <w:p w:rsidRPr="00081EFC" w:rsidR="00081EFC" w:rsidP="0033369D" w:rsidRDefault="00081EFC" w14:paraId="5FE23A64" w14:textId="77777777">
      <w:pPr>
        <w:widowControl w:val="0"/>
        <w:numPr>
          <w:ilvl w:val="0"/>
          <w:numId w:val="49"/>
        </w:numPr>
        <w:tabs>
          <w:tab w:val="left" w:pos="820"/>
          <w:tab w:val="left" w:pos="821"/>
        </w:tabs>
        <w:autoSpaceDE w:val="0"/>
        <w:autoSpaceDN w:val="0"/>
        <w:spacing w:before="116" w:line="240" w:lineRule="auto"/>
        <w:ind w:right="473"/>
        <w:rPr>
          <w:rFonts w:eastAsia="Palatino Linotype" w:cs="Palatino Linotype"/>
          <w:sz w:val="24"/>
          <w:szCs w:val="24"/>
        </w:rPr>
      </w:pPr>
      <w:r w:rsidRPr="00081EFC">
        <w:rPr>
          <w:rFonts w:eastAsia="Palatino Linotype" w:cs="Palatino Linotype"/>
          <w:sz w:val="24"/>
          <w:szCs w:val="24"/>
        </w:rPr>
        <w:t>Collaborating with the Commission and other state agencies to engage regional consortia, local</w:t>
      </w:r>
      <w:r w:rsidRPr="00081EFC">
        <w:rPr>
          <w:rFonts w:eastAsia="Palatino Linotype" w:cs="Palatino Linotype"/>
          <w:spacing w:val="1"/>
          <w:sz w:val="24"/>
          <w:szCs w:val="24"/>
        </w:rPr>
        <w:t xml:space="preserve"> </w:t>
      </w:r>
      <w:r w:rsidRPr="00081EFC">
        <w:rPr>
          <w:rFonts w:eastAsia="Palatino Linotype" w:cs="Palatino Linotype"/>
          <w:sz w:val="24"/>
          <w:szCs w:val="24"/>
        </w:rPr>
        <w:t>officials, internet service providers (ISPs), stakeholders, and consumers</w:t>
      </w:r>
      <w:r w:rsidRPr="00081EFC">
        <w:rPr>
          <w:rFonts w:eastAsia="Palatino Linotype" w:cs="Palatino Linotype"/>
          <w:spacing w:val="-58"/>
          <w:sz w:val="24"/>
          <w:szCs w:val="24"/>
        </w:rPr>
        <w:t xml:space="preserve"> </w:t>
      </w:r>
      <w:r w:rsidRPr="00081EFC">
        <w:rPr>
          <w:rFonts w:eastAsia="Palatino Linotype" w:cs="Palatino Linotype"/>
          <w:sz w:val="24"/>
          <w:szCs w:val="24"/>
        </w:rPr>
        <w:t>regarding priority areas and cost-effective strategies to achieve the</w:t>
      </w:r>
      <w:r w:rsidRPr="00081EFC">
        <w:rPr>
          <w:rFonts w:eastAsia="Palatino Linotype" w:cs="Palatino Linotype"/>
          <w:spacing w:val="1"/>
          <w:sz w:val="24"/>
          <w:szCs w:val="24"/>
        </w:rPr>
        <w:t xml:space="preserve"> </w:t>
      </w:r>
      <w:r w:rsidRPr="00081EFC">
        <w:rPr>
          <w:rFonts w:eastAsia="Palatino Linotype" w:cs="Palatino Linotype"/>
          <w:sz w:val="24"/>
          <w:szCs w:val="24"/>
        </w:rPr>
        <w:t>broadband</w:t>
      </w:r>
      <w:r w:rsidRPr="00081EFC">
        <w:rPr>
          <w:rFonts w:eastAsia="Palatino Linotype" w:cs="Palatino Linotype"/>
          <w:spacing w:val="-2"/>
          <w:sz w:val="24"/>
          <w:szCs w:val="24"/>
        </w:rPr>
        <w:t xml:space="preserve"> </w:t>
      </w:r>
      <w:r w:rsidRPr="00081EFC">
        <w:rPr>
          <w:rFonts w:eastAsia="Palatino Linotype" w:cs="Palatino Linotype"/>
          <w:sz w:val="24"/>
          <w:szCs w:val="24"/>
        </w:rPr>
        <w:t>access</w:t>
      </w:r>
      <w:r w:rsidRPr="00081EFC">
        <w:rPr>
          <w:rFonts w:eastAsia="Palatino Linotype" w:cs="Palatino Linotype"/>
          <w:spacing w:val="-1"/>
          <w:sz w:val="24"/>
          <w:szCs w:val="24"/>
        </w:rPr>
        <w:t xml:space="preserve"> </w:t>
      </w:r>
      <w:r w:rsidRPr="00081EFC">
        <w:rPr>
          <w:rFonts w:eastAsia="Palatino Linotype" w:cs="Palatino Linotype"/>
          <w:sz w:val="24"/>
          <w:szCs w:val="24"/>
        </w:rPr>
        <w:t>goal.</w:t>
      </w:r>
    </w:p>
    <w:p w:rsidRPr="00081EFC" w:rsidR="00081EFC" w:rsidP="0033369D" w:rsidRDefault="00081EFC" w14:paraId="04E6FF8C" w14:textId="77777777">
      <w:pPr>
        <w:widowControl w:val="0"/>
        <w:numPr>
          <w:ilvl w:val="0"/>
          <w:numId w:val="49"/>
        </w:numPr>
        <w:tabs>
          <w:tab w:val="left" w:pos="820"/>
          <w:tab w:val="left" w:pos="821"/>
        </w:tabs>
        <w:autoSpaceDE w:val="0"/>
        <w:autoSpaceDN w:val="0"/>
        <w:spacing w:before="1" w:line="240" w:lineRule="auto"/>
        <w:ind w:right="495"/>
        <w:rPr>
          <w:rFonts w:eastAsia="Palatino Linotype" w:cs="Palatino Linotype"/>
          <w:sz w:val="24"/>
          <w:szCs w:val="24"/>
        </w:rPr>
      </w:pPr>
      <w:r w:rsidRPr="00081EFC">
        <w:rPr>
          <w:rFonts w:eastAsia="Palatino Linotype" w:cs="Palatino Linotype"/>
          <w:sz w:val="24"/>
          <w:szCs w:val="24"/>
        </w:rPr>
        <w:t>Identifying potential CASF infrastructure projects or potential broadband deployment projects related to new programs created under SB 156 and AB 164, along with other</w:t>
      </w:r>
      <w:r w:rsidRPr="00081EFC">
        <w:rPr>
          <w:rFonts w:eastAsia="Palatino Linotype" w:cs="Palatino Linotype"/>
          <w:spacing w:val="1"/>
          <w:sz w:val="24"/>
          <w:szCs w:val="24"/>
        </w:rPr>
        <w:t xml:space="preserve"> </w:t>
      </w:r>
      <w:r w:rsidRPr="00081EFC">
        <w:rPr>
          <w:rFonts w:eastAsia="Palatino Linotype" w:cs="Palatino Linotype"/>
          <w:sz w:val="24"/>
          <w:szCs w:val="24"/>
        </w:rPr>
        <w:t>opportunities, where providers can expand and improve their</w:t>
      </w:r>
      <w:r w:rsidRPr="00081EFC">
        <w:rPr>
          <w:rFonts w:eastAsia="Palatino Linotype" w:cs="Palatino Linotype"/>
          <w:spacing w:val="1"/>
          <w:sz w:val="24"/>
          <w:szCs w:val="24"/>
        </w:rPr>
        <w:t xml:space="preserve"> </w:t>
      </w:r>
      <w:r w:rsidRPr="00081EFC">
        <w:rPr>
          <w:rFonts w:eastAsia="Palatino Linotype" w:cs="Palatino Linotype"/>
          <w:sz w:val="24"/>
          <w:szCs w:val="24"/>
        </w:rPr>
        <w:t>infrastructure and service offerings to achieve the goal of reaching 98%</w:t>
      </w:r>
      <w:r w:rsidRPr="00081EFC">
        <w:rPr>
          <w:rFonts w:eastAsia="Palatino Linotype" w:cs="Palatino Linotype"/>
          <w:spacing w:val="-58"/>
          <w:sz w:val="24"/>
          <w:szCs w:val="24"/>
        </w:rPr>
        <w:t xml:space="preserve"> </w:t>
      </w:r>
      <w:r w:rsidRPr="00081EFC">
        <w:rPr>
          <w:rFonts w:eastAsia="Palatino Linotype" w:cs="Palatino Linotype"/>
          <w:sz w:val="24"/>
          <w:szCs w:val="24"/>
        </w:rPr>
        <w:t>broadband</w:t>
      </w:r>
      <w:r w:rsidRPr="00081EFC">
        <w:rPr>
          <w:rFonts w:eastAsia="Palatino Linotype" w:cs="Palatino Linotype"/>
          <w:spacing w:val="-2"/>
          <w:sz w:val="24"/>
          <w:szCs w:val="24"/>
        </w:rPr>
        <w:t xml:space="preserve"> </w:t>
      </w:r>
      <w:r w:rsidRPr="00081EFC">
        <w:rPr>
          <w:rFonts w:eastAsia="Palatino Linotype" w:cs="Palatino Linotype"/>
          <w:sz w:val="24"/>
          <w:szCs w:val="24"/>
        </w:rPr>
        <w:t>deployment in</w:t>
      </w:r>
      <w:r w:rsidRPr="00081EFC">
        <w:rPr>
          <w:rFonts w:eastAsia="Palatino Linotype" w:cs="Palatino Linotype"/>
          <w:spacing w:val="-1"/>
          <w:sz w:val="24"/>
          <w:szCs w:val="24"/>
        </w:rPr>
        <w:t xml:space="preserve"> </w:t>
      </w:r>
      <w:r w:rsidRPr="00081EFC">
        <w:rPr>
          <w:rFonts w:eastAsia="Palatino Linotype" w:cs="Palatino Linotype"/>
          <w:sz w:val="24"/>
          <w:szCs w:val="24"/>
        </w:rPr>
        <w:t>each consortia region.</w:t>
      </w:r>
    </w:p>
    <w:p w:rsidRPr="00081EFC" w:rsidR="00081EFC" w:rsidP="0033369D" w:rsidRDefault="00081EFC" w14:paraId="2CE662F2" w14:textId="77777777">
      <w:pPr>
        <w:widowControl w:val="0"/>
        <w:numPr>
          <w:ilvl w:val="0"/>
          <w:numId w:val="49"/>
        </w:numPr>
        <w:tabs>
          <w:tab w:val="left" w:pos="820"/>
          <w:tab w:val="left" w:pos="821"/>
        </w:tabs>
        <w:autoSpaceDE w:val="0"/>
        <w:autoSpaceDN w:val="0"/>
        <w:spacing w:line="240" w:lineRule="auto"/>
        <w:ind w:right="539"/>
        <w:rPr>
          <w:rFonts w:eastAsia="Palatino Linotype" w:cs="Palatino Linotype"/>
          <w:sz w:val="24"/>
          <w:szCs w:val="24"/>
        </w:rPr>
      </w:pPr>
      <w:r w:rsidRPr="00081EFC">
        <w:rPr>
          <w:rFonts w:eastAsia="Palatino Linotype" w:cs="Palatino Linotype"/>
          <w:sz w:val="24"/>
          <w:szCs w:val="24"/>
        </w:rPr>
        <w:t>Assisting</w:t>
      </w:r>
      <w:r w:rsidRPr="00081EFC">
        <w:rPr>
          <w:rFonts w:eastAsia="Palatino Linotype" w:cs="Palatino Linotype"/>
          <w:spacing w:val="-2"/>
          <w:sz w:val="24"/>
          <w:szCs w:val="24"/>
        </w:rPr>
        <w:t xml:space="preserve"> potential CASF </w:t>
      </w:r>
      <w:r w:rsidRPr="00081EFC">
        <w:rPr>
          <w:rFonts w:eastAsia="Palatino Linotype" w:cs="Palatino Linotype"/>
          <w:sz w:val="24"/>
          <w:szCs w:val="24"/>
        </w:rPr>
        <w:t>infrastructure</w:t>
      </w:r>
      <w:r w:rsidRPr="00081EFC">
        <w:rPr>
          <w:rFonts w:eastAsia="Palatino Linotype" w:cs="Palatino Linotype"/>
          <w:spacing w:val="-4"/>
          <w:sz w:val="24"/>
          <w:szCs w:val="24"/>
        </w:rPr>
        <w:t xml:space="preserve"> </w:t>
      </w:r>
      <w:r w:rsidRPr="00081EFC">
        <w:rPr>
          <w:rFonts w:eastAsia="Palatino Linotype" w:cs="Palatino Linotype"/>
          <w:sz w:val="24"/>
          <w:szCs w:val="24"/>
        </w:rPr>
        <w:t>applicants</w:t>
      </w:r>
      <w:r w:rsidRPr="00081EFC">
        <w:rPr>
          <w:rFonts w:eastAsia="Palatino Linotype" w:cs="Palatino Linotype"/>
          <w:spacing w:val="-3"/>
          <w:sz w:val="24"/>
          <w:szCs w:val="24"/>
        </w:rPr>
        <w:t xml:space="preserve"> </w:t>
      </w:r>
      <w:r w:rsidRPr="00081EFC">
        <w:rPr>
          <w:rFonts w:eastAsia="Palatino Linotype" w:cs="Palatino Linotype"/>
          <w:sz w:val="24"/>
          <w:szCs w:val="24"/>
        </w:rPr>
        <w:t>or potential applicants for broadband deployment projects related to the new programs created under SB 156 and AB 164 in</w:t>
      </w:r>
      <w:r w:rsidRPr="00081EFC">
        <w:rPr>
          <w:rFonts w:eastAsia="Palatino Linotype" w:cs="Palatino Linotype"/>
          <w:spacing w:val="-4"/>
          <w:sz w:val="24"/>
          <w:szCs w:val="24"/>
        </w:rPr>
        <w:t xml:space="preserve"> </w:t>
      </w:r>
      <w:r w:rsidRPr="00081EFC">
        <w:rPr>
          <w:rFonts w:eastAsia="Palatino Linotype" w:cs="Palatino Linotype"/>
          <w:sz w:val="24"/>
          <w:szCs w:val="24"/>
        </w:rPr>
        <w:t>the</w:t>
      </w:r>
      <w:r w:rsidRPr="00081EFC">
        <w:rPr>
          <w:rFonts w:eastAsia="Palatino Linotype" w:cs="Palatino Linotype"/>
          <w:spacing w:val="-5"/>
          <w:sz w:val="24"/>
          <w:szCs w:val="24"/>
        </w:rPr>
        <w:t xml:space="preserve"> </w:t>
      </w:r>
      <w:r w:rsidRPr="00081EFC">
        <w:rPr>
          <w:rFonts w:eastAsia="Palatino Linotype" w:cs="Palatino Linotype"/>
          <w:sz w:val="24"/>
          <w:szCs w:val="24"/>
        </w:rPr>
        <w:t>project</w:t>
      </w:r>
      <w:r w:rsidRPr="00081EFC">
        <w:rPr>
          <w:rFonts w:eastAsia="Palatino Linotype" w:cs="Palatino Linotype"/>
          <w:spacing w:val="-3"/>
          <w:sz w:val="24"/>
          <w:szCs w:val="24"/>
        </w:rPr>
        <w:t xml:space="preserve"> </w:t>
      </w:r>
      <w:r w:rsidRPr="00081EFC">
        <w:rPr>
          <w:rFonts w:eastAsia="Palatino Linotype" w:cs="Palatino Linotype"/>
          <w:sz w:val="24"/>
          <w:szCs w:val="24"/>
        </w:rPr>
        <w:t>development</w:t>
      </w:r>
      <w:r w:rsidRPr="00081EFC">
        <w:rPr>
          <w:rFonts w:eastAsia="Palatino Linotype" w:cs="Palatino Linotype"/>
          <w:spacing w:val="-4"/>
          <w:sz w:val="24"/>
          <w:szCs w:val="24"/>
        </w:rPr>
        <w:t xml:space="preserve"> </w:t>
      </w:r>
      <w:r w:rsidRPr="00081EFC">
        <w:rPr>
          <w:rFonts w:eastAsia="Palatino Linotype" w:cs="Palatino Linotype"/>
          <w:sz w:val="24"/>
          <w:szCs w:val="24"/>
        </w:rPr>
        <w:t>or</w:t>
      </w:r>
      <w:r w:rsidRPr="00081EFC">
        <w:rPr>
          <w:rFonts w:eastAsia="Palatino Linotype" w:cs="Palatino Linotype"/>
          <w:spacing w:val="-4"/>
          <w:sz w:val="24"/>
          <w:szCs w:val="24"/>
        </w:rPr>
        <w:t xml:space="preserve"> </w:t>
      </w:r>
      <w:r w:rsidRPr="00081EFC">
        <w:rPr>
          <w:rFonts w:eastAsia="Palatino Linotype" w:cs="Palatino Linotype"/>
          <w:sz w:val="24"/>
          <w:szCs w:val="24"/>
        </w:rPr>
        <w:t>grant</w:t>
      </w:r>
      <w:r w:rsidRPr="00081EFC">
        <w:rPr>
          <w:rFonts w:eastAsia="Palatino Linotype" w:cs="Palatino Linotype"/>
          <w:spacing w:val="-57"/>
          <w:sz w:val="24"/>
          <w:szCs w:val="24"/>
        </w:rPr>
        <w:t xml:space="preserve"> </w:t>
      </w:r>
      <w:r w:rsidRPr="00081EFC">
        <w:rPr>
          <w:rFonts w:eastAsia="Palatino Linotype" w:cs="Palatino Linotype"/>
          <w:sz w:val="24"/>
          <w:szCs w:val="24"/>
        </w:rPr>
        <w:t>application</w:t>
      </w:r>
      <w:r w:rsidRPr="00081EFC">
        <w:rPr>
          <w:rFonts w:eastAsia="Palatino Linotype" w:cs="Palatino Linotype"/>
          <w:spacing w:val="-2"/>
          <w:sz w:val="24"/>
          <w:szCs w:val="24"/>
        </w:rPr>
        <w:t xml:space="preserve"> </w:t>
      </w:r>
      <w:r w:rsidRPr="00081EFC">
        <w:rPr>
          <w:rFonts w:eastAsia="Palatino Linotype" w:cs="Palatino Linotype"/>
          <w:sz w:val="24"/>
          <w:szCs w:val="24"/>
        </w:rPr>
        <w:t>process.</w:t>
      </w:r>
    </w:p>
    <w:p w:rsidRPr="00081EFC" w:rsidR="00081EFC" w:rsidP="0033369D" w:rsidRDefault="00081EFC" w14:paraId="1D6EA386" w14:textId="77777777">
      <w:pPr>
        <w:widowControl w:val="0"/>
        <w:numPr>
          <w:ilvl w:val="0"/>
          <w:numId w:val="49"/>
        </w:numPr>
        <w:tabs>
          <w:tab w:val="left" w:pos="820"/>
          <w:tab w:val="left" w:pos="821"/>
        </w:tabs>
        <w:autoSpaceDE w:val="0"/>
        <w:autoSpaceDN w:val="0"/>
        <w:spacing w:line="240" w:lineRule="auto"/>
        <w:ind w:right="974"/>
        <w:rPr>
          <w:rFonts w:eastAsia="Palatino Linotype" w:cs="Palatino Linotype"/>
          <w:sz w:val="24"/>
          <w:szCs w:val="24"/>
        </w:rPr>
      </w:pPr>
      <w:r w:rsidRPr="00081EFC">
        <w:rPr>
          <w:rFonts w:eastAsia="Palatino Linotype" w:cs="Palatino Linotype"/>
          <w:sz w:val="24"/>
          <w:szCs w:val="24"/>
        </w:rPr>
        <w:t>Conducting activities that will lead to or that can be reasonably expected to lead to CASF infrastructure projects or broadband deployment projects related to new programs created under SB 156 and AB 164, including but not limited to the following examples of allowable activities:</w:t>
      </w:r>
    </w:p>
    <w:p w:rsidRPr="00081EFC" w:rsidR="00081EFC" w:rsidP="0033369D" w:rsidRDefault="00081EFC" w14:paraId="38841BB4" w14:textId="77777777">
      <w:pPr>
        <w:widowControl w:val="0"/>
        <w:numPr>
          <w:ilvl w:val="1"/>
          <w:numId w:val="49"/>
        </w:numPr>
        <w:tabs>
          <w:tab w:val="left" w:pos="1181"/>
        </w:tabs>
        <w:autoSpaceDE w:val="0"/>
        <w:autoSpaceDN w:val="0"/>
        <w:spacing w:line="240" w:lineRule="auto"/>
        <w:ind w:hanging="361"/>
        <w:rPr>
          <w:rFonts w:eastAsia="Palatino Linotype" w:cs="Palatino Linotype"/>
          <w:sz w:val="24"/>
          <w:szCs w:val="24"/>
        </w:rPr>
      </w:pPr>
      <w:r w:rsidRPr="00081EFC">
        <w:rPr>
          <w:rFonts w:eastAsia="Palatino Linotype" w:cs="Palatino Linotype"/>
          <w:sz w:val="24"/>
          <w:szCs w:val="24"/>
        </w:rPr>
        <w:lastRenderedPageBreak/>
        <w:t>Supporting</w:t>
      </w:r>
      <w:r w:rsidRPr="00081EFC">
        <w:rPr>
          <w:rFonts w:eastAsia="Palatino Linotype" w:cs="Palatino Linotype"/>
          <w:spacing w:val="-6"/>
          <w:sz w:val="24"/>
          <w:szCs w:val="24"/>
        </w:rPr>
        <w:t xml:space="preserve"> </w:t>
      </w:r>
      <w:r w:rsidRPr="00081EFC">
        <w:rPr>
          <w:rFonts w:eastAsia="Palatino Linotype" w:cs="Palatino Linotype"/>
          <w:sz w:val="24"/>
          <w:szCs w:val="24"/>
        </w:rPr>
        <w:t>project</w:t>
      </w:r>
      <w:r w:rsidRPr="00081EFC">
        <w:rPr>
          <w:rFonts w:eastAsia="Palatino Linotype" w:cs="Palatino Linotype"/>
          <w:spacing w:val="-5"/>
          <w:sz w:val="24"/>
          <w:szCs w:val="24"/>
        </w:rPr>
        <w:t xml:space="preserve"> </w:t>
      </w:r>
      <w:r w:rsidRPr="00081EFC">
        <w:rPr>
          <w:rFonts w:eastAsia="Palatino Linotype" w:cs="Palatino Linotype"/>
          <w:sz w:val="24"/>
          <w:szCs w:val="24"/>
        </w:rPr>
        <w:t>permitting</w:t>
      </w:r>
      <w:r w:rsidRPr="00081EFC">
        <w:rPr>
          <w:rFonts w:eastAsia="Palatino Linotype" w:cs="Palatino Linotype"/>
          <w:spacing w:val="-2"/>
          <w:sz w:val="24"/>
          <w:szCs w:val="24"/>
        </w:rPr>
        <w:t xml:space="preserve"> </w:t>
      </w:r>
      <w:r w:rsidRPr="00081EFC">
        <w:rPr>
          <w:rFonts w:eastAsia="Palatino Linotype" w:cs="Palatino Linotype"/>
          <w:sz w:val="24"/>
          <w:szCs w:val="24"/>
        </w:rPr>
        <w:t>activities.</w:t>
      </w:r>
    </w:p>
    <w:p w:rsidRPr="00081EFC" w:rsidR="00081EFC" w:rsidP="0033369D" w:rsidRDefault="00081EFC" w14:paraId="3F27A1EE" w14:textId="77777777">
      <w:pPr>
        <w:widowControl w:val="0"/>
        <w:numPr>
          <w:ilvl w:val="1"/>
          <w:numId w:val="49"/>
        </w:numPr>
        <w:tabs>
          <w:tab w:val="left" w:pos="1181"/>
        </w:tabs>
        <w:autoSpaceDE w:val="0"/>
        <w:autoSpaceDN w:val="0"/>
        <w:spacing w:line="240" w:lineRule="auto"/>
        <w:ind w:right="734"/>
        <w:rPr>
          <w:rFonts w:eastAsia="Palatino Linotype" w:cs="Palatino Linotype"/>
          <w:sz w:val="24"/>
          <w:szCs w:val="24"/>
        </w:rPr>
      </w:pPr>
      <w:r w:rsidRPr="00081EFC">
        <w:rPr>
          <w:rFonts w:eastAsia="Palatino Linotype" w:cs="Palatino Linotype"/>
          <w:sz w:val="24"/>
          <w:szCs w:val="24"/>
        </w:rPr>
        <w:t>Engaging local government officials and communities to better</w:t>
      </w:r>
      <w:r w:rsidRPr="00081EFC">
        <w:rPr>
          <w:rFonts w:eastAsia="Palatino Linotype" w:cs="Palatino Linotype"/>
          <w:spacing w:val="1"/>
          <w:sz w:val="24"/>
          <w:szCs w:val="24"/>
        </w:rPr>
        <w:t xml:space="preserve"> </w:t>
      </w:r>
      <w:r w:rsidRPr="00081EFC">
        <w:rPr>
          <w:rFonts w:eastAsia="Palatino Linotype" w:cs="Palatino Linotype"/>
          <w:sz w:val="24"/>
          <w:szCs w:val="24"/>
        </w:rPr>
        <w:t>understand</w:t>
      </w:r>
      <w:r w:rsidRPr="00081EFC">
        <w:rPr>
          <w:rFonts w:eastAsia="Palatino Linotype" w:cs="Palatino Linotype"/>
          <w:spacing w:val="-3"/>
          <w:sz w:val="24"/>
          <w:szCs w:val="24"/>
        </w:rPr>
        <w:t xml:space="preserve"> </w:t>
      </w:r>
      <w:r w:rsidRPr="00081EFC">
        <w:rPr>
          <w:rFonts w:eastAsia="Palatino Linotype" w:cs="Palatino Linotype"/>
          <w:sz w:val="24"/>
          <w:szCs w:val="24"/>
        </w:rPr>
        <w:t>and</w:t>
      </w:r>
      <w:r w:rsidRPr="00081EFC">
        <w:rPr>
          <w:rFonts w:eastAsia="Palatino Linotype" w:cs="Palatino Linotype"/>
          <w:spacing w:val="-3"/>
          <w:sz w:val="24"/>
          <w:szCs w:val="24"/>
        </w:rPr>
        <w:t xml:space="preserve"> </w:t>
      </w:r>
      <w:r w:rsidRPr="00081EFC">
        <w:rPr>
          <w:rFonts w:eastAsia="Palatino Linotype" w:cs="Palatino Linotype"/>
          <w:sz w:val="24"/>
          <w:szCs w:val="24"/>
        </w:rPr>
        <w:t>explain</w:t>
      </w:r>
      <w:r w:rsidRPr="00081EFC">
        <w:rPr>
          <w:rFonts w:eastAsia="Palatino Linotype" w:cs="Palatino Linotype"/>
          <w:spacing w:val="-3"/>
          <w:sz w:val="24"/>
          <w:szCs w:val="24"/>
        </w:rPr>
        <w:t xml:space="preserve"> </w:t>
      </w:r>
      <w:r w:rsidRPr="00081EFC">
        <w:rPr>
          <w:rFonts w:eastAsia="Palatino Linotype" w:cs="Palatino Linotype"/>
          <w:sz w:val="24"/>
          <w:szCs w:val="24"/>
        </w:rPr>
        <w:t>regional</w:t>
      </w:r>
      <w:r w:rsidRPr="00081EFC">
        <w:rPr>
          <w:rFonts w:eastAsia="Palatino Linotype" w:cs="Palatino Linotype"/>
          <w:spacing w:val="-2"/>
          <w:sz w:val="24"/>
          <w:szCs w:val="24"/>
        </w:rPr>
        <w:t xml:space="preserve"> </w:t>
      </w:r>
      <w:r w:rsidRPr="00081EFC">
        <w:rPr>
          <w:rFonts w:eastAsia="Palatino Linotype" w:cs="Palatino Linotype"/>
          <w:sz w:val="24"/>
          <w:szCs w:val="24"/>
        </w:rPr>
        <w:t>broadband</w:t>
      </w:r>
      <w:r w:rsidRPr="00081EFC">
        <w:rPr>
          <w:rFonts w:eastAsia="Palatino Linotype" w:cs="Palatino Linotype"/>
          <w:spacing w:val="-3"/>
          <w:sz w:val="24"/>
          <w:szCs w:val="24"/>
        </w:rPr>
        <w:t xml:space="preserve"> </w:t>
      </w:r>
      <w:r w:rsidRPr="00081EFC">
        <w:rPr>
          <w:rFonts w:eastAsia="Palatino Linotype" w:cs="Palatino Linotype"/>
          <w:sz w:val="24"/>
          <w:szCs w:val="24"/>
        </w:rPr>
        <w:t>needs</w:t>
      </w:r>
      <w:r w:rsidRPr="00081EFC">
        <w:rPr>
          <w:rFonts w:eastAsia="Palatino Linotype" w:cs="Palatino Linotype"/>
          <w:spacing w:val="-3"/>
          <w:sz w:val="24"/>
          <w:szCs w:val="24"/>
        </w:rPr>
        <w:t xml:space="preserve"> </w:t>
      </w:r>
      <w:r w:rsidRPr="00081EFC">
        <w:rPr>
          <w:rFonts w:eastAsia="Palatino Linotype" w:cs="Palatino Linotype"/>
          <w:sz w:val="24"/>
          <w:szCs w:val="24"/>
        </w:rPr>
        <w:t>and</w:t>
      </w:r>
      <w:r w:rsidRPr="00081EFC">
        <w:rPr>
          <w:rFonts w:eastAsia="Palatino Linotype" w:cs="Palatino Linotype"/>
          <w:spacing w:val="-3"/>
          <w:sz w:val="24"/>
          <w:szCs w:val="24"/>
        </w:rPr>
        <w:t xml:space="preserve"> </w:t>
      </w:r>
      <w:r w:rsidRPr="00081EFC">
        <w:rPr>
          <w:rFonts w:eastAsia="Palatino Linotype" w:cs="Palatino Linotype"/>
          <w:sz w:val="24"/>
          <w:szCs w:val="24"/>
        </w:rPr>
        <w:t>solutions and providing technical assistance to such entities.</w:t>
      </w:r>
    </w:p>
    <w:p w:rsidRPr="00081EFC" w:rsidR="00081EFC" w:rsidP="0033369D" w:rsidRDefault="00081EFC" w14:paraId="6E7C039F" w14:textId="77777777">
      <w:pPr>
        <w:widowControl w:val="0"/>
        <w:numPr>
          <w:ilvl w:val="1"/>
          <w:numId w:val="49"/>
        </w:numPr>
        <w:tabs>
          <w:tab w:val="left" w:pos="1181"/>
        </w:tabs>
        <w:autoSpaceDE w:val="0"/>
        <w:autoSpaceDN w:val="0"/>
        <w:spacing w:line="240" w:lineRule="auto"/>
        <w:ind w:right="120"/>
        <w:rPr>
          <w:rFonts w:eastAsia="Palatino Linotype" w:cs="Palatino Linotype"/>
          <w:sz w:val="24"/>
          <w:szCs w:val="24"/>
        </w:rPr>
      </w:pPr>
      <w:r w:rsidRPr="00081EFC">
        <w:rPr>
          <w:rFonts w:eastAsia="Palatino Linotype" w:cs="Palatino Linotype"/>
          <w:sz w:val="24"/>
          <w:szCs w:val="24"/>
        </w:rPr>
        <w:t>Conducting an inventory of public assets (</w:t>
      </w:r>
      <w:proofErr w:type="gramStart"/>
      <w:r w:rsidRPr="00081EFC">
        <w:rPr>
          <w:rFonts w:eastAsia="Palatino Linotype" w:cs="Palatino Linotype"/>
          <w:sz w:val="24"/>
          <w:szCs w:val="24"/>
        </w:rPr>
        <w:t>e.g.</w:t>
      </w:r>
      <w:proofErr w:type="gramEnd"/>
      <w:r w:rsidRPr="00081EFC">
        <w:rPr>
          <w:rFonts w:eastAsia="Palatino Linotype" w:cs="Palatino Linotype"/>
          <w:sz w:val="24"/>
          <w:szCs w:val="24"/>
        </w:rPr>
        <w:t xml:space="preserve"> rights-of-ways, publicly</w:t>
      </w:r>
      <w:r w:rsidRPr="00081EFC">
        <w:rPr>
          <w:rFonts w:eastAsia="Palatino Linotype" w:cs="Palatino Linotype"/>
          <w:spacing w:val="1"/>
          <w:sz w:val="24"/>
          <w:szCs w:val="24"/>
        </w:rPr>
        <w:t xml:space="preserve"> </w:t>
      </w:r>
      <w:r w:rsidRPr="00081EFC">
        <w:rPr>
          <w:rFonts w:eastAsia="Palatino Linotype" w:cs="Palatino Linotype"/>
          <w:sz w:val="24"/>
          <w:szCs w:val="24"/>
        </w:rPr>
        <w:t>owned towers, public utility poles, equipment housing, publicly</w:t>
      </w:r>
      <w:r w:rsidRPr="00081EFC">
        <w:rPr>
          <w:rFonts w:eastAsia="Palatino Linotype" w:cs="Palatino Linotype"/>
          <w:spacing w:val="1"/>
          <w:sz w:val="24"/>
          <w:szCs w:val="24"/>
        </w:rPr>
        <w:t xml:space="preserve"> </w:t>
      </w:r>
      <w:r w:rsidRPr="00081EFC">
        <w:rPr>
          <w:rFonts w:eastAsia="Palatino Linotype" w:cs="Palatino Linotype"/>
          <w:sz w:val="24"/>
          <w:szCs w:val="24"/>
        </w:rPr>
        <w:t>owned property) and aggregate demand, including speed tests and the</w:t>
      </w:r>
      <w:r w:rsidRPr="00081EFC">
        <w:rPr>
          <w:rFonts w:eastAsia="Palatino Linotype" w:cs="Palatino Linotype"/>
          <w:spacing w:val="-57"/>
          <w:sz w:val="24"/>
          <w:szCs w:val="24"/>
        </w:rPr>
        <w:t xml:space="preserve"> </w:t>
      </w:r>
      <w:r w:rsidRPr="00081EFC">
        <w:rPr>
          <w:rFonts w:eastAsia="Palatino Linotype" w:cs="Palatino Linotype"/>
          <w:sz w:val="24"/>
          <w:szCs w:val="24"/>
        </w:rPr>
        <w:t>identification</w:t>
      </w:r>
      <w:r w:rsidRPr="00081EFC">
        <w:rPr>
          <w:rFonts w:eastAsia="Palatino Linotype" w:cs="Palatino Linotype"/>
          <w:spacing w:val="-2"/>
          <w:sz w:val="24"/>
          <w:szCs w:val="24"/>
        </w:rPr>
        <w:t xml:space="preserve"> </w:t>
      </w:r>
      <w:r w:rsidRPr="00081EFC">
        <w:rPr>
          <w:rFonts w:eastAsia="Palatino Linotype" w:cs="Palatino Linotype"/>
          <w:sz w:val="24"/>
          <w:szCs w:val="24"/>
        </w:rPr>
        <w:t>and updates of</w:t>
      </w:r>
      <w:r w:rsidRPr="00081EFC">
        <w:rPr>
          <w:rFonts w:eastAsia="Palatino Linotype" w:cs="Palatino Linotype"/>
          <w:spacing w:val="-1"/>
          <w:sz w:val="24"/>
          <w:szCs w:val="24"/>
        </w:rPr>
        <w:t xml:space="preserve"> </w:t>
      </w:r>
      <w:r w:rsidRPr="00081EFC">
        <w:rPr>
          <w:rFonts w:eastAsia="Palatino Linotype" w:cs="Palatino Linotype"/>
          <w:sz w:val="24"/>
          <w:szCs w:val="24"/>
        </w:rPr>
        <w:t>priority areas.</w:t>
      </w:r>
    </w:p>
    <w:p w:rsidRPr="00081EFC" w:rsidR="00081EFC" w:rsidP="0033369D" w:rsidRDefault="00081EFC" w14:paraId="26A3D4A3" w14:textId="77777777">
      <w:pPr>
        <w:widowControl w:val="0"/>
        <w:numPr>
          <w:ilvl w:val="0"/>
          <w:numId w:val="49"/>
        </w:numPr>
        <w:tabs>
          <w:tab w:val="left" w:pos="820"/>
          <w:tab w:val="left" w:pos="821"/>
        </w:tabs>
        <w:autoSpaceDE w:val="0"/>
        <w:autoSpaceDN w:val="0"/>
        <w:spacing w:line="240" w:lineRule="auto"/>
        <w:ind w:right="696"/>
        <w:rPr>
          <w:rFonts w:eastAsia="Palatino Linotype" w:cs="Palatino Linotype"/>
          <w:sz w:val="24"/>
          <w:szCs w:val="24"/>
        </w:rPr>
      </w:pPr>
      <w:r w:rsidRPr="00081EFC">
        <w:rPr>
          <w:rFonts w:eastAsia="Palatino Linotype" w:cs="Palatino Linotype"/>
          <w:sz w:val="24"/>
          <w:szCs w:val="24"/>
        </w:rPr>
        <w:t>Assisting</w:t>
      </w:r>
      <w:r w:rsidRPr="00081EFC">
        <w:rPr>
          <w:rFonts w:eastAsia="Palatino Linotype" w:cs="Palatino Linotype"/>
          <w:spacing w:val="-5"/>
          <w:sz w:val="24"/>
          <w:szCs w:val="24"/>
        </w:rPr>
        <w:t xml:space="preserve"> </w:t>
      </w:r>
      <w:r w:rsidRPr="00081EFC">
        <w:rPr>
          <w:rFonts w:eastAsia="Palatino Linotype" w:cs="Palatino Linotype"/>
          <w:sz w:val="24"/>
          <w:szCs w:val="24"/>
        </w:rPr>
        <w:t>the</w:t>
      </w:r>
      <w:r w:rsidRPr="00081EFC">
        <w:rPr>
          <w:rFonts w:eastAsia="Palatino Linotype" w:cs="Palatino Linotype"/>
          <w:spacing w:val="-4"/>
          <w:sz w:val="24"/>
          <w:szCs w:val="24"/>
        </w:rPr>
        <w:t xml:space="preserve"> </w:t>
      </w:r>
      <w:r w:rsidRPr="00081EFC">
        <w:rPr>
          <w:rFonts w:eastAsia="Palatino Linotype" w:cs="Palatino Linotype"/>
          <w:sz w:val="24"/>
          <w:szCs w:val="24"/>
        </w:rPr>
        <w:t>Commission</w:t>
      </w:r>
      <w:r w:rsidRPr="00081EFC">
        <w:rPr>
          <w:rFonts w:eastAsia="Palatino Linotype" w:cs="Palatino Linotype"/>
          <w:spacing w:val="-2"/>
          <w:sz w:val="24"/>
          <w:szCs w:val="24"/>
        </w:rPr>
        <w:t xml:space="preserve"> </w:t>
      </w:r>
      <w:r w:rsidRPr="00081EFC">
        <w:rPr>
          <w:rFonts w:eastAsia="Palatino Linotype" w:cs="Palatino Linotype"/>
          <w:sz w:val="24"/>
          <w:szCs w:val="24"/>
        </w:rPr>
        <w:t>in</w:t>
      </w:r>
      <w:r w:rsidRPr="00081EFC">
        <w:rPr>
          <w:rFonts w:eastAsia="Palatino Linotype" w:cs="Palatino Linotype"/>
          <w:spacing w:val="-4"/>
          <w:sz w:val="24"/>
          <w:szCs w:val="24"/>
        </w:rPr>
        <w:t xml:space="preserve"> </w:t>
      </w:r>
      <w:r w:rsidRPr="00081EFC">
        <w:rPr>
          <w:rFonts w:eastAsia="Palatino Linotype" w:cs="Palatino Linotype"/>
          <w:sz w:val="24"/>
          <w:szCs w:val="24"/>
        </w:rPr>
        <w:t>publicizing</w:t>
      </w:r>
      <w:r w:rsidRPr="00081EFC">
        <w:rPr>
          <w:rFonts w:eastAsia="Palatino Linotype" w:cs="Palatino Linotype"/>
          <w:spacing w:val="-4"/>
          <w:sz w:val="24"/>
          <w:szCs w:val="24"/>
        </w:rPr>
        <w:t xml:space="preserve"> </w:t>
      </w:r>
      <w:r w:rsidRPr="00081EFC">
        <w:rPr>
          <w:rFonts w:eastAsia="Palatino Linotype" w:cs="Palatino Linotype"/>
          <w:sz w:val="24"/>
          <w:szCs w:val="24"/>
        </w:rPr>
        <w:t>requests</w:t>
      </w:r>
      <w:r w:rsidRPr="00081EFC">
        <w:rPr>
          <w:rFonts w:eastAsia="Palatino Linotype" w:cs="Palatino Linotype"/>
          <w:spacing w:val="-5"/>
          <w:sz w:val="24"/>
          <w:szCs w:val="24"/>
        </w:rPr>
        <w:t xml:space="preserve"> </w:t>
      </w:r>
      <w:r w:rsidRPr="00081EFC">
        <w:rPr>
          <w:rFonts w:eastAsia="Palatino Linotype" w:cs="Palatino Linotype"/>
          <w:sz w:val="24"/>
          <w:szCs w:val="24"/>
        </w:rPr>
        <w:t>for</w:t>
      </w:r>
      <w:r w:rsidRPr="00081EFC">
        <w:rPr>
          <w:rFonts w:eastAsia="Palatino Linotype" w:cs="Palatino Linotype"/>
          <w:spacing w:val="-3"/>
          <w:sz w:val="24"/>
          <w:szCs w:val="24"/>
        </w:rPr>
        <w:t xml:space="preserve"> </w:t>
      </w:r>
      <w:r w:rsidRPr="00081EFC">
        <w:rPr>
          <w:rFonts w:eastAsia="Palatino Linotype" w:cs="Palatino Linotype"/>
          <w:sz w:val="24"/>
          <w:szCs w:val="24"/>
        </w:rPr>
        <w:t>wireline</w:t>
      </w:r>
      <w:r w:rsidRPr="00081EFC">
        <w:rPr>
          <w:rFonts w:eastAsia="Palatino Linotype" w:cs="Palatino Linotype"/>
          <w:spacing w:val="-4"/>
          <w:sz w:val="24"/>
          <w:szCs w:val="24"/>
        </w:rPr>
        <w:t xml:space="preserve"> </w:t>
      </w:r>
      <w:r w:rsidRPr="00081EFC">
        <w:rPr>
          <w:rFonts w:eastAsia="Palatino Linotype" w:cs="Palatino Linotype"/>
          <w:sz w:val="24"/>
          <w:szCs w:val="24"/>
        </w:rPr>
        <w:t>testing</w:t>
      </w:r>
      <w:r w:rsidRPr="00081EFC">
        <w:rPr>
          <w:rFonts w:eastAsia="Palatino Linotype" w:cs="Palatino Linotype"/>
          <w:spacing w:val="-57"/>
          <w:sz w:val="24"/>
          <w:szCs w:val="24"/>
        </w:rPr>
        <w:t xml:space="preserve"> </w:t>
      </w:r>
      <w:r w:rsidRPr="00081EFC">
        <w:rPr>
          <w:rFonts w:eastAsia="Palatino Linotype" w:cs="Palatino Linotype"/>
          <w:sz w:val="24"/>
          <w:szCs w:val="24"/>
        </w:rPr>
        <w:t>volunteers</w:t>
      </w:r>
      <w:r w:rsidRPr="00081EFC">
        <w:rPr>
          <w:rFonts w:eastAsia="Palatino Linotype" w:cs="Palatino Linotype"/>
          <w:spacing w:val="-2"/>
          <w:sz w:val="24"/>
          <w:szCs w:val="24"/>
        </w:rPr>
        <w:t xml:space="preserve"> </w:t>
      </w:r>
      <w:r w:rsidRPr="00081EFC">
        <w:rPr>
          <w:rFonts w:eastAsia="Palatino Linotype" w:cs="Palatino Linotype"/>
          <w:sz w:val="24"/>
          <w:szCs w:val="24"/>
        </w:rPr>
        <w:t>in</w:t>
      </w:r>
      <w:r w:rsidRPr="00081EFC">
        <w:rPr>
          <w:rFonts w:eastAsia="Palatino Linotype" w:cs="Palatino Linotype"/>
          <w:spacing w:val="-1"/>
          <w:sz w:val="24"/>
          <w:szCs w:val="24"/>
        </w:rPr>
        <w:t xml:space="preserve"> </w:t>
      </w:r>
      <w:r w:rsidRPr="00081EFC">
        <w:rPr>
          <w:rFonts w:eastAsia="Palatino Linotype" w:cs="Palatino Linotype"/>
          <w:sz w:val="24"/>
          <w:szCs w:val="24"/>
        </w:rPr>
        <w:t>areas, as</w:t>
      </w:r>
      <w:r w:rsidRPr="00081EFC">
        <w:rPr>
          <w:rFonts w:eastAsia="Palatino Linotype" w:cs="Palatino Linotype"/>
          <w:spacing w:val="1"/>
          <w:sz w:val="24"/>
          <w:szCs w:val="24"/>
        </w:rPr>
        <w:t xml:space="preserve"> </w:t>
      </w:r>
      <w:r w:rsidRPr="00081EFC">
        <w:rPr>
          <w:rFonts w:eastAsia="Palatino Linotype" w:cs="Palatino Linotype"/>
          <w:sz w:val="24"/>
          <w:szCs w:val="24"/>
        </w:rPr>
        <w:t>needed.</w:t>
      </w:r>
    </w:p>
    <w:p w:rsidRPr="00081EFC" w:rsidR="00081EFC" w:rsidP="0033369D" w:rsidRDefault="00081EFC" w14:paraId="76213E03" w14:textId="77777777">
      <w:pPr>
        <w:widowControl w:val="0"/>
        <w:numPr>
          <w:ilvl w:val="0"/>
          <w:numId w:val="49"/>
        </w:numPr>
        <w:tabs>
          <w:tab w:val="left" w:pos="820"/>
          <w:tab w:val="left" w:pos="821"/>
        </w:tabs>
        <w:autoSpaceDE w:val="0"/>
        <w:autoSpaceDN w:val="0"/>
        <w:spacing w:line="240" w:lineRule="auto"/>
        <w:ind w:right="696"/>
        <w:rPr>
          <w:rFonts w:eastAsia="Palatino Linotype" w:cs="Palatino Linotype"/>
          <w:sz w:val="24"/>
          <w:szCs w:val="24"/>
        </w:rPr>
      </w:pPr>
      <w:r w:rsidRPr="00081EFC">
        <w:rPr>
          <w:rFonts w:eastAsia="Palatino Linotype" w:cs="Palatino Linotype"/>
          <w:sz w:val="24"/>
          <w:szCs w:val="24"/>
        </w:rPr>
        <w:t>Assisting the Commission in promoting broadband deployment in California, related to the Federal Funding Account and other programs including Middle-Mile, Broadband Loan Loss Reserve, and Local Agency Technical Assistance created under SB 156 and AB 164.</w:t>
      </w:r>
    </w:p>
    <w:p w:rsidRPr="00081EFC" w:rsidR="00081EFC" w:rsidP="00081EFC" w:rsidRDefault="00081EFC" w14:paraId="74550042" w14:textId="77777777">
      <w:pPr>
        <w:widowControl w:val="0"/>
        <w:tabs>
          <w:tab w:val="left" w:pos="820"/>
          <w:tab w:val="left" w:pos="821"/>
        </w:tabs>
        <w:autoSpaceDE w:val="0"/>
        <w:autoSpaceDN w:val="0"/>
        <w:spacing w:line="240" w:lineRule="auto"/>
        <w:ind w:right="696" w:firstLine="0"/>
        <w:rPr>
          <w:rFonts w:eastAsia="Palatino Linotype" w:cs="Palatino Linotype"/>
          <w:sz w:val="24"/>
          <w:szCs w:val="24"/>
        </w:rPr>
      </w:pPr>
    </w:p>
    <w:p w:rsidRPr="00081EFC" w:rsidR="00081EFC" w:rsidP="00081EFC" w:rsidRDefault="00081EFC" w14:paraId="7BF7D7E3" w14:textId="77777777">
      <w:pPr>
        <w:widowControl w:val="0"/>
        <w:autoSpaceDE w:val="0"/>
        <w:autoSpaceDN w:val="0"/>
        <w:spacing w:line="240" w:lineRule="auto"/>
        <w:ind w:right="20" w:firstLine="0"/>
        <w:rPr>
          <w:rFonts w:eastAsia="Palatino Linotype" w:cs="Palatino Linotype"/>
          <w:sz w:val="24"/>
          <w:szCs w:val="24"/>
        </w:rPr>
      </w:pPr>
      <w:r w:rsidRPr="00081EFC">
        <w:rPr>
          <w:rFonts w:eastAsia="Palatino Linotype" w:cs="Palatino Linotype"/>
          <w:sz w:val="24"/>
          <w:szCs w:val="24"/>
        </w:rPr>
        <w:t>According to a prior Commission decision, “the California Emerging Technology Fund (CETF) partners or any other external Consortia grantees will have no formal role in the Commission’s review of CASF applications for infrastructure grants. The CASF review and approval function must remain exclusively under Commission authority.”</w:t>
      </w:r>
      <w:r w:rsidRPr="00081EFC">
        <w:rPr>
          <w:rFonts w:eastAsia="Palatino Linotype" w:cs="Palatino Linotype"/>
          <w:sz w:val="24"/>
          <w:szCs w:val="24"/>
          <w:vertAlign w:val="superscript"/>
        </w:rPr>
        <w:footnoteReference w:id="203"/>
      </w:r>
    </w:p>
    <w:p w:rsidRPr="00081EFC" w:rsidR="00081EFC" w:rsidP="00081EFC" w:rsidRDefault="00081EFC" w14:paraId="6E221FAA" w14:textId="77777777">
      <w:pPr>
        <w:widowControl w:val="0"/>
        <w:autoSpaceDE w:val="0"/>
        <w:autoSpaceDN w:val="0"/>
        <w:spacing w:line="240" w:lineRule="auto"/>
        <w:ind w:right="20" w:firstLine="0"/>
        <w:rPr>
          <w:rFonts w:eastAsia="Palatino Linotype" w:cs="Palatino Linotype"/>
          <w:sz w:val="24"/>
          <w:szCs w:val="24"/>
        </w:rPr>
      </w:pPr>
    </w:p>
    <w:p w:rsidRPr="00081EFC" w:rsidR="00081EFC" w:rsidP="00081EFC" w:rsidRDefault="00081EFC" w14:paraId="2E25B4DF" w14:textId="77777777">
      <w:pPr>
        <w:widowControl w:val="0"/>
        <w:autoSpaceDE w:val="0"/>
        <w:autoSpaceDN w:val="0"/>
        <w:spacing w:line="240" w:lineRule="auto"/>
        <w:ind w:right="20" w:firstLine="0"/>
        <w:rPr>
          <w:rFonts w:eastAsia="Palatino Linotype" w:cs="Palatino Linotype"/>
          <w:sz w:val="24"/>
          <w:szCs w:val="24"/>
        </w:rPr>
      </w:pPr>
      <w:r w:rsidRPr="00081EFC">
        <w:rPr>
          <w:rFonts w:eastAsia="Palatino Linotype" w:cs="Palatino Linotype"/>
          <w:sz w:val="24"/>
          <w:szCs w:val="24"/>
        </w:rPr>
        <w:t>The CASF program will fund consortia activity directly related to and in support of infrastructure applications. A consortium may receive CASF funding for work on an infrastructure application requesting funding from CASF and other infrastructure funding programs pursuant to the Work Plan.  The CASF program will also fund consortia activities that assist the Commission in promoting broadband deployment in California, related to new programs created under SB 156 and AB 164.</w:t>
      </w:r>
    </w:p>
    <w:p w:rsidRPr="00081EFC" w:rsidR="00081EFC" w:rsidP="00081EFC" w:rsidRDefault="00081EFC" w14:paraId="77988914" w14:textId="77777777">
      <w:pPr>
        <w:widowControl w:val="0"/>
        <w:autoSpaceDE w:val="0"/>
        <w:autoSpaceDN w:val="0"/>
        <w:spacing w:line="240" w:lineRule="auto"/>
        <w:ind w:right="20" w:firstLine="0"/>
        <w:rPr>
          <w:rFonts w:eastAsia="Palatino Linotype" w:cs="Palatino Linotype"/>
          <w:sz w:val="24"/>
          <w:szCs w:val="24"/>
        </w:rPr>
      </w:pPr>
    </w:p>
    <w:p w:rsidRPr="00081EFC" w:rsidR="00081EFC" w:rsidP="00C40DFD" w:rsidRDefault="00081EFC" w14:paraId="31CFBBB4" w14:textId="77777777">
      <w:pPr>
        <w:widowControl w:val="0"/>
        <w:numPr>
          <w:ilvl w:val="0"/>
          <w:numId w:val="47"/>
        </w:numPr>
        <w:autoSpaceDE w:val="0"/>
        <w:autoSpaceDN w:val="0"/>
        <w:spacing w:before="24" w:line="240" w:lineRule="auto"/>
        <w:ind w:left="630" w:right="262"/>
        <w:contextualSpacing/>
        <w:rPr>
          <w:rFonts w:eastAsia="Palatino Linotype" w:cs="Palatino Linotype"/>
          <w:b/>
          <w:bCs/>
          <w:sz w:val="24"/>
          <w:szCs w:val="24"/>
        </w:rPr>
      </w:pPr>
      <w:r w:rsidRPr="00081EFC">
        <w:rPr>
          <w:rFonts w:eastAsia="Palatino Linotype" w:cs="Palatino Linotype"/>
          <w:b/>
          <w:bCs/>
          <w:sz w:val="24"/>
          <w:szCs w:val="24"/>
        </w:rPr>
        <w:t>Eligible Applicants</w:t>
      </w:r>
    </w:p>
    <w:p w:rsidRPr="00081EFC" w:rsidR="00081EFC" w:rsidP="00081EFC" w:rsidRDefault="00081EFC" w14:paraId="0960B08D" w14:textId="77777777">
      <w:pPr>
        <w:widowControl w:val="0"/>
        <w:autoSpaceDE w:val="0"/>
        <w:autoSpaceDN w:val="0"/>
        <w:spacing w:before="125" w:line="240" w:lineRule="auto"/>
        <w:ind w:firstLine="0"/>
        <w:rPr>
          <w:rFonts w:eastAsia="Palatino Linotype" w:cs="Palatino Linotype"/>
          <w:sz w:val="24"/>
          <w:szCs w:val="24"/>
        </w:rPr>
      </w:pPr>
      <w:r w:rsidRPr="00081EFC">
        <w:rPr>
          <w:rFonts w:eastAsia="Palatino Linotype" w:cs="Palatino Linotype"/>
          <w:sz w:val="24"/>
          <w:szCs w:val="24"/>
        </w:rPr>
        <w:t>Pub.</w:t>
      </w:r>
      <w:r w:rsidRPr="00081EFC">
        <w:rPr>
          <w:rFonts w:eastAsia="Palatino Linotype" w:cs="Palatino Linotype"/>
          <w:spacing w:val="-4"/>
          <w:sz w:val="24"/>
          <w:szCs w:val="24"/>
        </w:rPr>
        <w:t xml:space="preserve"> </w:t>
      </w:r>
      <w:r w:rsidRPr="00081EFC">
        <w:rPr>
          <w:rFonts w:eastAsia="Palatino Linotype" w:cs="Palatino Linotype"/>
          <w:sz w:val="24"/>
          <w:szCs w:val="24"/>
        </w:rPr>
        <w:t>Util.</w:t>
      </w:r>
      <w:r w:rsidRPr="00081EFC">
        <w:rPr>
          <w:rFonts w:eastAsia="Palatino Linotype" w:cs="Palatino Linotype"/>
          <w:spacing w:val="-3"/>
          <w:sz w:val="24"/>
          <w:szCs w:val="24"/>
        </w:rPr>
        <w:t xml:space="preserve"> </w:t>
      </w:r>
      <w:r w:rsidRPr="00081EFC">
        <w:rPr>
          <w:rFonts w:eastAsia="Palatino Linotype" w:cs="Palatino Linotype"/>
          <w:sz w:val="24"/>
          <w:szCs w:val="24"/>
        </w:rPr>
        <w:t>Code,</w:t>
      </w:r>
      <w:r w:rsidRPr="00081EFC">
        <w:rPr>
          <w:rFonts w:eastAsia="Palatino Linotype" w:cs="Palatino Linotype"/>
          <w:spacing w:val="-2"/>
          <w:sz w:val="24"/>
          <w:szCs w:val="24"/>
        </w:rPr>
        <w:t xml:space="preserve"> </w:t>
      </w:r>
      <w:r w:rsidRPr="00081EFC">
        <w:rPr>
          <w:rFonts w:eastAsia="Palatino Linotype" w:cs="Palatino Linotype"/>
          <w:sz w:val="24"/>
          <w:szCs w:val="24"/>
        </w:rPr>
        <w:t>§</w:t>
      </w:r>
      <w:r w:rsidRPr="00081EFC">
        <w:rPr>
          <w:rFonts w:eastAsia="Palatino Linotype" w:cs="Palatino Linotype"/>
          <w:spacing w:val="-3"/>
          <w:sz w:val="24"/>
          <w:szCs w:val="24"/>
        </w:rPr>
        <w:t xml:space="preserve"> </w:t>
      </w:r>
      <w:r w:rsidRPr="00081EFC">
        <w:rPr>
          <w:rFonts w:eastAsia="Palatino Linotype" w:cs="Palatino Linotype"/>
          <w:sz w:val="24"/>
          <w:szCs w:val="24"/>
        </w:rPr>
        <w:t>281(g)(1)</w:t>
      </w:r>
      <w:r w:rsidRPr="00081EFC">
        <w:rPr>
          <w:rFonts w:eastAsia="Palatino Linotype" w:cs="Palatino Linotype"/>
          <w:spacing w:val="-3"/>
          <w:sz w:val="24"/>
          <w:szCs w:val="24"/>
        </w:rPr>
        <w:t xml:space="preserve"> </w:t>
      </w:r>
      <w:r w:rsidRPr="00081EFC">
        <w:rPr>
          <w:rFonts w:eastAsia="Palatino Linotype" w:cs="Palatino Linotype"/>
          <w:sz w:val="24"/>
          <w:szCs w:val="24"/>
        </w:rPr>
        <w:t>specifies</w:t>
      </w:r>
      <w:r w:rsidRPr="00081EFC">
        <w:rPr>
          <w:rFonts w:eastAsia="Palatino Linotype" w:cs="Palatino Linotype"/>
          <w:spacing w:val="-2"/>
          <w:sz w:val="24"/>
          <w:szCs w:val="24"/>
        </w:rPr>
        <w:t xml:space="preserve"> </w:t>
      </w:r>
      <w:r w:rsidRPr="00081EFC">
        <w:rPr>
          <w:rFonts w:eastAsia="Palatino Linotype" w:cs="Palatino Linotype"/>
          <w:sz w:val="24"/>
          <w:szCs w:val="24"/>
        </w:rPr>
        <w:t>consortium</w:t>
      </w:r>
      <w:r w:rsidRPr="00081EFC">
        <w:rPr>
          <w:rFonts w:eastAsia="Palatino Linotype" w:cs="Palatino Linotype"/>
          <w:spacing w:val="-2"/>
          <w:sz w:val="24"/>
          <w:szCs w:val="24"/>
        </w:rPr>
        <w:t xml:space="preserve"> </w:t>
      </w:r>
      <w:r w:rsidRPr="00081EFC">
        <w:rPr>
          <w:rFonts w:eastAsia="Palatino Linotype" w:cs="Palatino Linotype"/>
          <w:sz w:val="24"/>
          <w:szCs w:val="24"/>
        </w:rPr>
        <w:t>eligibility</w:t>
      </w:r>
      <w:r w:rsidRPr="00081EFC">
        <w:rPr>
          <w:rFonts w:eastAsia="Palatino Linotype" w:cs="Palatino Linotype"/>
          <w:spacing w:val="-3"/>
          <w:sz w:val="24"/>
          <w:szCs w:val="24"/>
        </w:rPr>
        <w:t xml:space="preserve"> </w:t>
      </w:r>
      <w:r w:rsidRPr="00081EFC">
        <w:rPr>
          <w:rFonts w:eastAsia="Palatino Linotype" w:cs="Palatino Linotype"/>
          <w:sz w:val="24"/>
          <w:szCs w:val="24"/>
        </w:rPr>
        <w:t>criteria:</w:t>
      </w:r>
    </w:p>
    <w:p w:rsidRPr="00081EFC" w:rsidR="00081EFC" w:rsidP="00C40DFD" w:rsidRDefault="00081EFC" w14:paraId="5D61C1A0" w14:textId="77777777">
      <w:pPr>
        <w:widowControl w:val="0"/>
        <w:autoSpaceDE w:val="0"/>
        <w:autoSpaceDN w:val="0"/>
        <w:spacing w:line="240" w:lineRule="auto"/>
        <w:ind w:left="907" w:right="1570" w:firstLine="0"/>
        <w:rPr>
          <w:rFonts w:eastAsia="Palatino Linotype" w:cs="Palatino Linotype"/>
          <w:sz w:val="24"/>
          <w:szCs w:val="24"/>
        </w:rPr>
      </w:pPr>
    </w:p>
    <w:p w:rsidRPr="00081EFC" w:rsidR="00081EFC" w:rsidP="00081EFC" w:rsidRDefault="00081EFC" w14:paraId="0A4DFE01" w14:textId="77777777">
      <w:pPr>
        <w:widowControl w:val="0"/>
        <w:autoSpaceDE w:val="0"/>
        <w:autoSpaceDN w:val="0"/>
        <w:spacing w:after="120" w:line="240" w:lineRule="auto"/>
        <w:ind w:left="907" w:right="270" w:firstLine="0"/>
        <w:rPr>
          <w:rFonts w:eastAsia="Palatino Linotype" w:cs="Palatino Linotype"/>
          <w:sz w:val="24"/>
          <w:szCs w:val="24"/>
        </w:rPr>
      </w:pPr>
      <w:r w:rsidRPr="00081EFC">
        <w:rPr>
          <w:rFonts w:eastAsia="Palatino Linotype" w:cs="Palatino Linotype"/>
          <w:sz w:val="24"/>
          <w:szCs w:val="24"/>
        </w:rPr>
        <w:t>An</w:t>
      </w:r>
      <w:r w:rsidRPr="00081EFC">
        <w:rPr>
          <w:rFonts w:eastAsia="Palatino Linotype" w:cs="Palatino Linotype"/>
          <w:spacing w:val="1"/>
          <w:sz w:val="24"/>
          <w:szCs w:val="24"/>
        </w:rPr>
        <w:t xml:space="preserve"> </w:t>
      </w:r>
      <w:r w:rsidRPr="00081EFC">
        <w:rPr>
          <w:rFonts w:eastAsia="Palatino Linotype" w:cs="Palatino Linotype"/>
          <w:sz w:val="24"/>
          <w:szCs w:val="24"/>
        </w:rPr>
        <w:t>eligible consortium may include, as specified by the</w:t>
      </w:r>
      <w:r w:rsidRPr="00081EFC">
        <w:rPr>
          <w:rFonts w:eastAsia="Palatino Linotype" w:cs="Palatino Linotype"/>
          <w:spacing w:val="1"/>
          <w:sz w:val="24"/>
          <w:szCs w:val="24"/>
        </w:rPr>
        <w:t xml:space="preserve"> </w:t>
      </w:r>
      <w:r w:rsidRPr="00081EFC">
        <w:rPr>
          <w:rFonts w:eastAsia="Palatino Linotype" w:cs="Palatino Linotype"/>
          <w:sz w:val="24"/>
          <w:szCs w:val="24"/>
        </w:rPr>
        <w:t>commission, representatives of organizations,</w:t>
      </w:r>
      <w:r w:rsidRPr="00081EFC">
        <w:rPr>
          <w:rFonts w:eastAsia="Palatino Linotype" w:cs="Palatino Linotype"/>
          <w:spacing w:val="1"/>
          <w:sz w:val="24"/>
          <w:szCs w:val="24"/>
        </w:rPr>
        <w:t xml:space="preserve"> </w:t>
      </w:r>
      <w:r w:rsidRPr="00081EFC">
        <w:rPr>
          <w:rFonts w:eastAsia="Palatino Linotype" w:cs="Palatino Linotype"/>
          <w:sz w:val="24"/>
          <w:szCs w:val="24"/>
        </w:rPr>
        <w:t>including, but not limited to, local and regional</w:t>
      </w:r>
      <w:r w:rsidRPr="00081EFC">
        <w:rPr>
          <w:rFonts w:eastAsia="Palatino Linotype" w:cs="Palatino Linotype"/>
          <w:spacing w:val="1"/>
          <w:sz w:val="24"/>
          <w:szCs w:val="24"/>
        </w:rPr>
        <w:t xml:space="preserve"> </w:t>
      </w:r>
      <w:r w:rsidRPr="00081EFC">
        <w:rPr>
          <w:rFonts w:eastAsia="Palatino Linotype" w:cs="Palatino Linotype"/>
          <w:sz w:val="24"/>
          <w:szCs w:val="24"/>
        </w:rPr>
        <w:t>government, public safety, elementary and secondary</w:t>
      </w:r>
      <w:r w:rsidRPr="00081EFC">
        <w:rPr>
          <w:rFonts w:eastAsia="Palatino Linotype" w:cs="Palatino Linotype"/>
          <w:spacing w:val="1"/>
          <w:sz w:val="24"/>
          <w:szCs w:val="24"/>
        </w:rPr>
        <w:t xml:space="preserve"> </w:t>
      </w:r>
      <w:r w:rsidRPr="00081EFC">
        <w:rPr>
          <w:rFonts w:eastAsia="Palatino Linotype" w:cs="Palatino Linotype"/>
          <w:sz w:val="24"/>
          <w:szCs w:val="24"/>
        </w:rPr>
        <w:t>education, health care, libraries, postsecondary</w:t>
      </w:r>
      <w:r w:rsidRPr="00081EFC">
        <w:rPr>
          <w:rFonts w:eastAsia="Palatino Linotype" w:cs="Palatino Linotype"/>
          <w:spacing w:val="1"/>
          <w:sz w:val="24"/>
          <w:szCs w:val="24"/>
        </w:rPr>
        <w:t xml:space="preserve"> </w:t>
      </w:r>
      <w:r w:rsidRPr="00081EFC">
        <w:rPr>
          <w:rFonts w:eastAsia="Palatino Linotype" w:cs="Palatino Linotype"/>
          <w:sz w:val="24"/>
          <w:szCs w:val="24"/>
        </w:rPr>
        <w:t>education, community-based organizations, tourism,</w:t>
      </w:r>
      <w:r w:rsidRPr="00081EFC">
        <w:rPr>
          <w:rFonts w:eastAsia="Palatino Linotype" w:cs="Palatino Linotype"/>
          <w:spacing w:val="1"/>
          <w:sz w:val="24"/>
          <w:szCs w:val="24"/>
        </w:rPr>
        <w:t xml:space="preserve"> </w:t>
      </w:r>
      <w:r w:rsidRPr="00081EFC">
        <w:rPr>
          <w:rFonts w:eastAsia="Palatino Linotype" w:cs="Palatino Linotype"/>
          <w:sz w:val="24"/>
          <w:szCs w:val="24"/>
        </w:rPr>
        <w:t>parks and recreation, agricultural, business, workforce</w:t>
      </w:r>
      <w:r w:rsidRPr="00081EFC">
        <w:rPr>
          <w:rFonts w:eastAsia="Palatino Linotype" w:cs="Palatino Linotype"/>
          <w:spacing w:val="1"/>
          <w:sz w:val="24"/>
          <w:szCs w:val="24"/>
        </w:rPr>
        <w:t xml:space="preserve"> </w:t>
      </w:r>
      <w:r w:rsidRPr="00081EFC">
        <w:rPr>
          <w:rFonts w:eastAsia="Palatino Linotype" w:cs="Palatino Linotype"/>
          <w:sz w:val="24"/>
          <w:szCs w:val="24"/>
        </w:rPr>
        <w:t>organizations, and air pollution control or air quality</w:t>
      </w:r>
      <w:r w:rsidRPr="00081EFC">
        <w:rPr>
          <w:rFonts w:eastAsia="Palatino Linotype" w:cs="Palatino Linotype"/>
          <w:spacing w:val="1"/>
          <w:sz w:val="24"/>
          <w:szCs w:val="24"/>
        </w:rPr>
        <w:t xml:space="preserve"> </w:t>
      </w:r>
      <w:r w:rsidRPr="00081EFC">
        <w:rPr>
          <w:rFonts w:eastAsia="Palatino Linotype" w:cs="Palatino Linotype"/>
          <w:sz w:val="24"/>
          <w:szCs w:val="24"/>
        </w:rPr>
        <w:t>management districts, and is not required to have as its</w:t>
      </w:r>
      <w:r w:rsidRPr="00081EFC">
        <w:rPr>
          <w:rFonts w:eastAsia="Palatino Linotype" w:cs="Palatino Linotype"/>
          <w:spacing w:val="-57"/>
          <w:sz w:val="24"/>
          <w:szCs w:val="24"/>
        </w:rPr>
        <w:t xml:space="preserve"> </w:t>
      </w:r>
      <w:r w:rsidRPr="00081EFC">
        <w:rPr>
          <w:rFonts w:eastAsia="Palatino Linotype" w:cs="Palatino Linotype"/>
          <w:sz w:val="24"/>
          <w:szCs w:val="24"/>
        </w:rPr>
        <w:t>lead fiscal agent an entity with a certificate of public</w:t>
      </w:r>
      <w:r w:rsidRPr="00081EFC">
        <w:rPr>
          <w:rFonts w:eastAsia="Palatino Linotype" w:cs="Palatino Linotype"/>
          <w:spacing w:val="1"/>
          <w:sz w:val="24"/>
          <w:szCs w:val="24"/>
        </w:rPr>
        <w:t xml:space="preserve"> </w:t>
      </w:r>
      <w:r w:rsidRPr="00081EFC">
        <w:rPr>
          <w:rFonts w:eastAsia="Palatino Linotype" w:cs="Palatino Linotype"/>
          <w:sz w:val="24"/>
          <w:szCs w:val="24"/>
        </w:rPr>
        <w:t>convenience</w:t>
      </w:r>
      <w:r w:rsidRPr="00081EFC">
        <w:rPr>
          <w:rFonts w:eastAsia="Palatino Linotype" w:cs="Palatino Linotype"/>
          <w:spacing w:val="-1"/>
          <w:sz w:val="24"/>
          <w:szCs w:val="24"/>
        </w:rPr>
        <w:t xml:space="preserve"> </w:t>
      </w:r>
      <w:r w:rsidRPr="00081EFC">
        <w:rPr>
          <w:rFonts w:eastAsia="Palatino Linotype" w:cs="Palatino Linotype"/>
          <w:sz w:val="24"/>
          <w:szCs w:val="24"/>
        </w:rPr>
        <w:t>and</w:t>
      </w:r>
      <w:r w:rsidRPr="00081EFC">
        <w:rPr>
          <w:rFonts w:eastAsia="Palatino Linotype" w:cs="Palatino Linotype"/>
          <w:spacing w:val="-1"/>
          <w:sz w:val="24"/>
          <w:szCs w:val="24"/>
        </w:rPr>
        <w:t xml:space="preserve"> </w:t>
      </w:r>
      <w:r w:rsidRPr="00081EFC">
        <w:rPr>
          <w:rFonts w:eastAsia="Palatino Linotype" w:cs="Palatino Linotype"/>
          <w:sz w:val="24"/>
          <w:szCs w:val="24"/>
        </w:rPr>
        <w:t>necessity.</w:t>
      </w:r>
    </w:p>
    <w:p w:rsidRPr="00081EFC" w:rsidR="00081EFC" w:rsidP="003C1D79" w:rsidRDefault="00081EFC" w14:paraId="6D162EE6" w14:textId="77777777">
      <w:pPr>
        <w:widowControl w:val="0"/>
        <w:autoSpaceDE w:val="0"/>
        <w:autoSpaceDN w:val="0"/>
        <w:spacing w:line="240" w:lineRule="auto"/>
        <w:ind w:right="274" w:firstLine="0"/>
        <w:rPr>
          <w:rFonts w:eastAsia="Palatino Linotype" w:cs="Palatino Linotype"/>
          <w:sz w:val="24"/>
          <w:szCs w:val="24"/>
        </w:rPr>
      </w:pPr>
      <w:r w:rsidRPr="00081EFC">
        <w:rPr>
          <w:rFonts w:eastAsia="Palatino Linotype" w:cs="Palatino Linotype"/>
          <w:sz w:val="24"/>
          <w:szCs w:val="24"/>
        </w:rPr>
        <w:t xml:space="preserve">The Commission, itself, will not organize Consortia but will select eligible Consortia </w:t>
      </w:r>
      <w:r w:rsidRPr="00081EFC">
        <w:rPr>
          <w:rFonts w:eastAsia="Palatino Linotype" w:cs="Palatino Linotype"/>
          <w:sz w:val="24"/>
          <w:szCs w:val="24"/>
        </w:rPr>
        <w:lastRenderedPageBreak/>
        <w:t>among those submitting applications, and award grants by Commission resolution based on designated criteria set forth herein. It will be the responsibility of each Consortium applicant to assemble its own membership and to delineate its geographical region of responsibility. The Commission will approve Consortia Account funding based upon eligibility and scoring.</w:t>
      </w:r>
    </w:p>
    <w:p w:rsidRPr="00081EFC" w:rsidR="00081EFC" w:rsidP="003C1D79" w:rsidRDefault="00081EFC" w14:paraId="071212C9" w14:textId="77777777">
      <w:pPr>
        <w:widowControl w:val="0"/>
        <w:autoSpaceDE w:val="0"/>
        <w:autoSpaceDN w:val="0"/>
        <w:spacing w:line="240" w:lineRule="auto"/>
        <w:ind w:firstLine="0"/>
        <w:rPr>
          <w:rFonts w:eastAsia="Palatino Linotype" w:cs="Palatino Linotype"/>
          <w:sz w:val="24"/>
          <w:szCs w:val="24"/>
        </w:rPr>
      </w:pPr>
    </w:p>
    <w:p w:rsidRPr="00081EFC" w:rsidR="00081EFC" w:rsidP="00081EFC" w:rsidRDefault="00081EFC" w14:paraId="5B676BC7" w14:textId="77777777">
      <w:pPr>
        <w:widowControl w:val="0"/>
        <w:autoSpaceDE w:val="0"/>
        <w:autoSpaceDN w:val="0"/>
        <w:spacing w:before="24" w:line="240" w:lineRule="auto"/>
        <w:ind w:right="262" w:firstLine="0"/>
        <w:rPr>
          <w:rFonts w:eastAsia="Palatino Linotype" w:cs="Palatino Linotype"/>
          <w:spacing w:val="1"/>
          <w:sz w:val="24"/>
          <w:szCs w:val="24"/>
        </w:rPr>
      </w:pPr>
      <w:r w:rsidRPr="00081EFC">
        <w:rPr>
          <w:rFonts w:eastAsia="Palatino Linotype" w:cs="Palatino Linotype"/>
          <w:sz w:val="24"/>
          <w:szCs w:val="24"/>
        </w:rPr>
        <w:t>The Commission will allow both</w:t>
      </w:r>
      <w:r w:rsidRPr="00081EFC">
        <w:rPr>
          <w:rFonts w:eastAsia="Palatino Linotype" w:cs="Palatino Linotype"/>
          <w:spacing w:val="1"/>
          <w:sz w:val="24"/>
          <w:szCs w:val="24"/>
        </w:rPr>
        <w:t xml:space="preserve"> </w:t>
      </w:r>
      <w:r w:rsidRPr="00081EFC">
        <w:rPr>
          <w:rFonts w:eastAsia="Palatino Linotype" w:cs="Palatino Linotype"/>
          <w:sz w:val="24"/>
          <w:szCs w:val="24"/>
        </w:rPr>
        <w:t>existing and newly formed consortia to submit applications.</w:t>
      </w:r>
      <w:r w:rsidRPr="00081EFC">
        <w:rPr>
          <w:rFonts w:eastAsia="Palatino Linotype" w:cs="Palatino Linotype"/>
          <w:spacing w:val="1"/>
          <w:sz w:val="24"/>
          <w:szCs w:val="24"/>
        </w:rPr>
        <w:t xml:space="preserve"> </w:t>
      </w:r>
      <w:r w:rsidRPr="00081EFC">
        <w:rPr>
          <w:rFonts w:eastAsia="Palatino Linotype" w:cs="Palatino Linotype"/>
          <w:sz w:val="24"/>
          <w:szCs w:val="24"/>
        </w:rPr>
        <w:t>The Commission</w:t>
      </w:r>
      <w:r w:rsidRPr="00081EFC">
        <w:rPr>
          <w:rFonts w:eastAsia="Palatino Linotype" w:cs="Palatino Linotype"/>
          <w:spacing w:val="-57"/>
          <w:sz w:val="24"/>
          <w:szCs w:val="24"/>
        </w:rPr>
        <w:t xml:space="preserve"> </w:t>
      </w:r>
      <w:r w:rsidRPr="00081EFC">
        <w:rPr>
          <w:rFonts w:eastAsia="Palatino Linotype" w:cs="Palatino Linotype"/>
          <w:sz w:val="24"/>
          <w:szCs w:val="24"/>
        </w:rPr>
        <w:t>will not predetermine geographic region or mandate the precise number of</w:t>
      </w:r>
      <w:r w:rsidRPr="00081EFC">
        <w:rPr>
          <w:rFonts w:eastAsia="Palatino Linotype" w:cs="Palatino Linotype"/>
          <w:spacing w:val="1"/>
          <w:sz w:val="24"/>
          <w:szCs w:val="24"/>
        </w:rPr>
        <w:t xml:space="preserve"> </w:t>
      </w:r>
      <w:r w:rsidRPr="00081EFC">
        <w:rPr>
          <w:rFonts w:eastAsia="Palatino Linotype" w:cs="Palatino Linotype"/>
          <w:sz w:val="24"/>
          <w:szCs w:val="24"/>
        </w:rPr>
        <w:t>consortia</w:t>
      </w:r>
      <w:r w:rsidRPr="00081EFC">
        <w:rPr>
          <w:rFonts w:eastAsia="Palatino Linotype" w:cs="Palatino Linotype"/>
          <w:spacing w:val="-3"/>
          <w:sz w:val="24"/>
          <w:szCs w:val="24"/>
        </w:rPr>
        <w:t xml:space="preserve"> </w:t>
      </w:r>
      <w:r w:rsidRPr="00081EFC">
        <w:rPr>
          <w:rFonts w:eastAsia="Palatino Linotype" w:cs="Palatino Linotype"/>
          <w:sz w:val="24"/>
          <w:szCs w:val="24"/>
        </w:rPr>
        <w:t>to</w:t>
      </w:r>
      <w:r w:rsidRPr="00081EFC">
        <w:rPr>
          <w:rFonts w:eastAsia="Palatino Linotype" w:cs="Palatino Linotype"/>
          <w:spacing w:val="-2"/>
          <w:sz w:val="24"/>
          <w:szCs w:val="24"/>
        </w:rPr>
        <w:t xml:space="preserve"> </w:t>
      </w:r>
      <w:r w:rsidRPr="00081EFC">
        <w:rPr>
          <w:rFonts w:eastAsia="Palatino Linotype" w:cs="Palatino Linotype"/>
          <w:sz w:val="24"/>
          <w:szCs w:val="24"/>
        </w:rPr>
        <w:t>receive</w:t>
      </w:r>
      <w:r w:rsidRPr="00081EFC">
        <w:rPr>
          <w:rFonts w:eastAsia="Palatino Linotype" w:cs="Palatino Linotype"/>
          <w:spacing w:val="-3"/>
          <w:sz w:val="24"/>
          <w:szCs w:val="24"/>
        </w:rPr>
        <w:t xml:space="preserve"> </w:t>
      </w:r>
      <w:r w:rsidRPr="00081EFC">
        <w:rPr>
          <w:rFonts w:eastAsia="Palatino Linotype" w:cs="Palatino Linotype"/>
          <w:sz w:val="24"/>
          <w:szCs w:val="24"/>
        </w:rPr>
        <w:t>CASF</w:t>
      </w:r>
      <w:r w:rsidRPr="00081EFC">
        <w:rPr>
          <w:rFonts w:eastAsia="Palatino Linotype" w:cs="Palatino Linotype"/>
          <w:spacing w:val="-2"/>
          <w:sz w:val="24"/>
          <w:szCs w:val="24"/>
        </w:rPr>
        <w:t xml:space="preserve"> </w:t>
      </w:r>
      <w:r w:rsidRPr="00081EFC">
        <w:rPr>
          <w:rFonts w:eastAsia="Palatino Linotype" w:cs="Palatino Linotype"/>
          <w:sz w:val="24"/>
          <w:szCs w:val="24"/>
        </w:rPr>
        <w:t>grants;</w:t>
      </w:r>
      <w:r w:rsidRPr="00081EFC">
        <w:rPr>
          <w:rFonts w:eastAsia="Palatino Linotype" w:cs="Palatino Linotype"/>
          <w:spacing w:val="-2"/>
          <w:sz w:val="24"/>
          <w:szCs w:val="24"/>
        </w:rPr>
        <w:t xml:space="preserve"> </w:t>
      </w:r>
      <w:r w:rsidRPr="00081EFC">
        <w:rPr>
          <w:rFonts w:eastAsia="Palatino Linotype" w:cs="Palatino Linotype"/>
          <w:sz w:val="24"/>
          <w:szCs w:val="24"/>
        </w:rPr>
        <w:t>however,</w:t>
      </w:r>
      <w:r w:rsidRPr="00081EFC">
        <w:rPr>
          <w:rFonts w:eastAsia="Palatino Linotype" w:cs="Palatino Linotype"/>
          <w:spacing w:val="-3"/>
          <w:sz w:val="24"/>
          <w:szCs w:val="24"/>
        </w:rPr>
        <w:t xml:space="preserve"> </w:t>
      </w:r>
      <w:r w:rsidRPr="00081EFC">
        <w:rPr>
          <w:rFonts w:eastAsia="Palatino Linotype" w:cs="Palatino Linotype"/>
          <w:sz w:val="24"/>
          <w:szCs w:val="24"/>
        </w:rPr>
        <w:t>the</w:t>
      </w:r>
      <w:r w:rsidRPr="00081EFC">
        <w:rPr>
          <w:rFonts w:eastAsia="Palatino Linotype" w:cs="Palatino Linotype"/>
          <w:spacing w:val="-3"/>
          <w:sz w:val="24"/>
          <w:szCs w:val="24"/>
        </w:rPr>
        <w:t xml:space="preserve"> </w:t>
      </w:r>
      <w:r w:rsidRPr="00081EFC">
        <w:rPr>
          <w:rFonts w:eastAsia="Palatino Linotype" w:cs="Palatino Linotype"/>
          <w:sz w:val="24"/>
          <w:szCs w:val="24"/>
        </w:rPr>
        <w:t>Commission</w:t>
      </w:r>
      <w:r w:rsidRPr="00081EFC">
        <w:rPr>
          <w:rFonts w:eastAsia="Palatino Linotype" w:cs="Palatino Linotype"/>
          <w:spacing w:val="-4"/>
          <w:sz w:val="24"/>
          <w:szCs w:val="24"/>
        </w:rPr>
        <w:t xml:space="preserve"> </w:t>
      </w:r>
      <w:r w:rsidRPr="00081EFC">
        <w:rPr>
          <w:rFonts w:eastAsia="Palatino Linotype" w:cs="Palatino Linotype"/>
          <w:sz w:val="24"/>
          <w:szCs w:val="24"/>
        </w:rPr>
        <w:t>shall</w:t>
      </w:r>
      <w:r w:rsidRPr="00081EFC">
        <w:rPr>
          <w:rFonts w:eastAsia="Palatino Linotype" w:cs="Palatino Linotype"/>
          <w:spacing w:val="-2"/>
          <w:sz w:val="24"/>
          <w:szCs w:val="24"/>
        </w:rPr>
        <w:t xml:space="preserve"> </w:t>
      </w:r>
      <w:r w:rsidRPr="00081EFC">
        <w:rPr>
          <w:rFonts w:eastAsia="Palatino Linotype" w:cs="Palatino Linotype"/>
          <w:sz w:val="24"/>
          <w:szCs w:val="24"/>
        </w:rPr>
        <w:t>award</w:t>
      </w:r>
      <w:r w:rsidRPr="00081EFC">
        <w:rPr>
          <w:rFonts w:eastAsia="Palatino Linotype" w:cs="Palatino Linotype"/>
          <w:spacing w:val="-2"/>
          <w:sz w:val="24"/>
          <w:szCs w:val="24"/>
        </w:rPr>
        <w:t xml:space="preserve"> </w:t>
      </w:r>
      <w:r w:rsidRPr="00081EFC">
        <w:rPr>
          <w:rFonts w:eastAsia="Palatino Linotype" w:cs="Palatino Linotype"/>
          <w:spacing w:val="-57"/>
          <w:sz w:val="24"/>
          <w:szCs w:val="24"/>
        </w:rPr>
        <w:t xml:space="preserve"> </w:t>
      </w:r>
      <w:r w:rsidRPr="00081EFC">
        <w:rPr>
          <w:rFonts w:eastAsia="Palatino Linotype" w:cs="Palatino Linotype"/>
          <w:sz w:val="24"/>
          <w:szCs w:val="24"/>
        </w:rPr>
        <w:t>Consortia grants</w:t>
      </w:r>
      <w:r w:rsidRPr="00081EFC">
        <w:rPr>
          <w:rFonts w:eastAsia="Palatino Linotype" w:cs="Palatino Linotype"/>
          <w:spacing w:val="-2"/>
          <w:sz w:val="24"/>
          <w:szCs w:val="24"/>
        </w:rPr>
        <w:t xml:space="preserve"> </w:t>
      </w:r>
      <w:r w:rsidRPr="00081EFC">
        <w:rPr>
          <w:rFonts w:eastAsia="Palatino Linotype" w:cs="Palatino Linotype"/>
          <w:sz w:val="24"/>
          <w:szCs w:val="24"/>
        </w:rPr>
        <w:t>only</w:t>
      </w:r>
      <w:r w:rsidRPr="00081EFC">
        <w:rPr>
          <w:rFonts w:eastAsia="Palatino Linotype" w:cs="Palatino Linotype"/>
          <w:spacing w:val="-3"/>
          <w:sz w:val="24"/>
          <w:szCs w:val="24"/>
        </w:rPr>
        <w:t xml:space="preserve"> </w:t>
      </w:r>
      <w:r w:rsidRPr="00081EFC">
        <w:rPr>
          <w:rFonts w:eastAsia="Palatino Linotype" w:cs="Palatino Linotype"/>
          <w:sz w:val="24"/>
          <w:szCs w:val="24"/>
        </w:rPr>
        <w:t>to</w:t>
      </w:r>
      <w:r w:rsidRPr="00081EFC">
        <w:rPr>
          <w:rFonts w:eastAsia="Palatino Linotype" w:cs="Palatino Linotype"/>
          <w:spacing w:val="-1"/>
          <w:sz w:val="24"/>
          <w:szCs w:val="24"/>
        </w:rPr>
        <w:t xml:space="preserve"> </w:t>
      </w:r>
      <w:r w:rsidRPr="00081EFC">
        <w:rPr>
          <w:rFonts w:eastAsia="Palatino Linotype" w:cs="Palatino Linotype"/>
          <w:sz w:val="24"/>
          <w:szCs w:val="24"/>
        </w:rPr>
        <w:t>one</w:t>
      </w:r>
      <w:r w:rsidRPr="00081EFC">
        <w:rPr>
          <w:rFonts w:eastAsia="Palatino Linotype" w:cs="Palatino Linotype"/>
          <w:spacing w:val="-2"/>
          <w:sz w:val="24"/>
          <w:szCs w:val="24"/>
        </w:rPr>
        <w:t xml:space="preserve"> </w:t>
      </w:r>
      <w:r w:rsidRPr="00081EFC">
        <w:rPr>
          <w:rFonts w:eastAsia="Palatino Linotype" w:cs="Palatino Linotype"/>
          <w:sz w:val="24"/>
          <w:szCs w:val="24"/>
        </w:rPr>
        <w:t>consortium</w:t>
      </w:r>
      <w:r w:rsidRPr="00081EFC">
        <w:rPr>
          <w:rFonts w:eastAsia="Palatino Linotype" w:cs="Palatino Linotype"/>
          <w:spacing w:val="-2"/>
          <w:sz w:val="24"/>
          <w:szCs w:val="24"/>
        </w:rPr>
        <w:t xml:space="preserve"> </w:t>
      </w:r>
      <w:r w:rsidRPr="00081EFC">
        <w:rPr>
          <w:rFonts w:eastAsia="Palatino Linotype" w:cs="Palatino Linotype"/>
          <w:sz w:val="24"/>
          <w:szCs w:val="24"/>
        </w:rPr>
        <w:t>per geographic region,</w:t>
      </w:r>
      <w:r w:rsidRPr="00081EFC">
        <w:rPr>
          <w:rFonts w:eastAsia="Palatino Linotype" w:cs="Palatino Linotype"/>
          <w:spacing w:val="-1"/>
          <w:sz w:val="24"/>
          <w:szCs w:val="24"/>
        </w:rPr>
        <w:t xml:space="preserve"> </w:t>
      </w:r>
      <w:r w:rsidRPr="00081EFC">
        <w:rPr>
          <w:rFonts w:eastAsia="Palatino Linotype" w:cs="Palatino Linotype"/>
          <w:sz w:val="24"/>
          <w:szCs w:val="24"/>
        </w:rPr>
        <w:t xml:space="preserve">along </w:t>
      </w:r>
      <w:r w:rsidRPr="00081EFC">
        <w:rPr>
          <w:rFonts w:eastAsia="Palatino Linotype" w:cs="Segoe UI"/>
          <w:sz w:val="24"/>
          <w:szCs w:val="24"/>
          <w:shd w:val="clear" w:color="auto" w:fill="FFFFFF"/>
        </w:rPr>
        <w:t xml:space="preserve">boundaries largely consistent with county boundaries or the boundaries of multiple counties, or other geographic lines due to geographic characteristics/barriers, such as mountains and basins, that create hard-to-serve areas, </w:t>
      </w:r>
      <w:r w:rsidRPr="00081EFC">
        <w:rPr>
          <w:rFonts w:eastAsia="Palatino Linotype" w:cs="Palatino Linotype"/>
          <w:sz w:val="24"/>
          <w:szCs w:val="24"/>
        </w:rPr>
        <w:t>as long as the areas included using “other geographic lines” do not overlap</w:t>
      </w:r>
      <w:r w:rsidRPr="00081EFC">
        <w:rPr>
          <w:rFonts w:eastAsia="Palatino Linotype" w:cs="Segoe UI"/>
          <w:sz w:val="24"/>
          <w:szCs w:val="24"/>
          <w:shd w:val="clear" w:color="auto" w:fill="FFFFFF"/>
        </w:rPr>
        <w:t xml:space="preserve"> with other Consortia regions</w:t>
      </w:r>
      <w:r w:rsidRPr="00081EFC">
        <w:rPr>
          <w:rFonts w:eastAsia="Palatino Linotype" w:cs="Palatino Linotype"/>
          <w:sz w:val="24"/>
          <w:szCs w:val="24"/>
        </w:rPr>
        <w:t>.</w:t>
      </w:r>
      <w:r w:rsidRPr="00081EFC">
        <w:rPr>
          <w:rFonts w:eastAsia="Palatino Linotype" w:cs="Palatino Linotype"/>
          <w:spacing w:val="58"/>
          <w:sz w:val="24"/>
          <w:szCs w:val="24"/>
        </w:rPr>
        <w:t xml:space="preserve"> </w:t>
      </w:r>
      <w:r w:rsidRPr="00081EFC">
        <w:rPr>
          <w:rFonts w:eastAsia="Palatino Linotype" w:cs="Palatino Linotype"/>
          <w:sz w:val="24"/>
          <w:szCs w:val="24"/>
        </w:rPr>
        <w:t>A consortium may represent more than one county, but a county may not be</w:t>
      </w:r>
      <w:r w:rsidRPr="00081EFC">
        <w:rPr>
          <w:rFonts w:eastAsia="Palatino Linotype" w:cs="Palatino Linotype"/>
          <w:spacing w:val="1"/>
          <w:sz w:val="24"/>
          <w:szCs w:val="24"/>
        </w:rPr>
        <w:t xml:space="preserve"> </w:t>
      </w:r>
      <w:r w:rsidRPr="00081EFC">
        <w:rPr>
          <w:rFonts w:eastAsia="Palatino Linotype" w:cs="Palatino Linotype"/>
          <w:sz w:val="24"/>
          <w:szCs w:val="24"/>
        </w:rPr>
        <w:t>represented by more than one consortium, in most cases.</w:t>
      </w:r>
      <w:r w:rsidRPr="00081EFC">
        <w:rPr>
          <w:rFonts w:eastAsia="Palatino Linotype" w:cs="Palatino Linotype"/>
          <w:spacing w:val="1"/>
          <w:sz w:val="24"/>
          <w:szCs w:val="24"/>
        </w:rPr>
        <w:t xml:space="preserve">  </w:t>
      </w:r>
    </w:p>
    <w:p w:rsidRPr="00081EFC" w:rsidR="00081EFC" w:rsidP="00081EFC" w:rsidRDefault="00081EFC" w14:paraId="299EAB6E" w14:textId="77777777">
      <w:pPr>
        <w:widowControl w:val="0"/>
        <w:autoSpaceDE w:val="0"/>
        <w:autoSpaceDN w:val="0"/>
        <w:spacing w:before="24" w:line="240" w:lineRule="auto"/>
        <w:ind w:right="262" w:firstLine="0"/>
        <w:rPr>
          <w:rFonts w:eastAsia="Palatino Linotype" w:cs="Palatino Linotype"/>
          <w:spacing w:val="1"/>
          <w:sz w:val="24"/>
          <w:szCs w:val="24"/>
        </w:rPr>
      </w:pPr>
    </w:p>
    <w:p w:rsidRPr="00081EFC" w:rsidR="00081EFC" w:rsidP="00081EFC" w:rsidRDefault="00081EFC" w14:paraId="47235149" w14:textId="77777777">
      <w:pPr>
        <w:widowControl w:val="0"/>
        <w:autoSpaceDE w:val="0"/>
        <w:autoSpaceDN w:val="0"/>
        <w:spacing w:before="24" w:line="240" w:lineRule="auto"/>
        <w:ind w:right="262" w:firstLine="0"/>
        <w:rPr>
          <w:rFonts w:eastAsia="Palatino Linotype" w:cs="Segoe UI"/>
          <w:sz w:val="24"/>
          <w:szCs w:val="24"/>
        </w:rPr>
      </w:pPr>
      <w:r w:rsidRPr="00081EFC">
        <w:rPr>
          <w:rFonts w:eastAsia="Palatino Linotype" w:cs="Segoe UI"/>
          <w:sz w:val="24"/>
          <w:szCs w:val="24"/>
          <w:shd w:val="clear" w:color="auto" w:fill="FFFFFF"/>
        </w:rPr>
        <w:t xml:space="preserve">However, the Commission may approve more than one consortium representation for a county under certain circumstances, (i.e., those noted above), </w:t>
      </w:r>
      <w:proofErr w:type="gramStart"/>
      <w:r w:rsidRPr="00081EFC">
        <w:rPr>
          <w:rFonts w:eastAsia="Palatino Linotype" w:cs="Segoe UI"/>
          <w:sz w:val="24"/>
          <w:szCs w:val="24"/>
          <w:shd w:val="clear" w:color="auto" w:fill="FFFFFF"/>
        </w:rPr>
        <w:t>as long as</w:t>
      </w:r>
      <w:proofErr w:type="gramEnd"/>
      <w:r w:rsidRPr="00081EFC">
        <w:rPr>
          <w:rFonts w:eastAsia="Palatino Linotype" w:cs="Segoe UI"/>
          <w:sz w:val="24"/>
          <w:szCs w:val="24"/>
          <w:shd w:val="clear" w:color="auto" w:fill="FFFFFF"/>
        </w:rPr>
        <w:t xml:space="preserve"> approval would not cause two Consortia regions to overlap.  When requesting to represent a portion of a county, it is the consortium applicant’s responsibility to include in its application (1) its justifications and reasons for the request, with supporting data and facts, (2) a clear definition of the areas it wishes to represent, including a description of the area(s) and a map, (3) a jointly signed agreement letter with any other consortia representing the same county as any the applicant is also requesting to represent, and (4) demonstration that there will be no geographic overlap with these other consortia, including a map of both Consortia regions, pre-and post-award (if applicable), showing no boundary overlap. </w:t>
      </w:r>
      <w:r w:rsidRPr="00081EFC">
        <w:rPr>
          <w:rFonts w:eastAsia="Palatino Linotype" w:cs="Segoe UI"/>
          <w:sz w:val="24"/>
          <w:szCs w:val="24"/>
        </w:rPr>
        <w:t>Preference will be given to applications that serve an entire county or several entire counties, as opposed to a portion of a county.</w:t>
      </w:r>
    </w:p>
    <w:p w:rsidRPr="00081EFC" w:rsidR="00081EFC" w:rsidP="00081EFC" w:rsidRDefault="00081EFC" w14:paraId="30F22B72" w14:textId="77777777">
      <w:pPr>
        <w:widowControl w:val="0"/>
        <w:autoSpaceDE w:val="0"/>
        <w:autoSpaceDN w:val="0"/>
        <w:spacing w:before="24" w:line="240" w:lineRule="auto"/>
        <w:ind w:right="262" w:firstLine="0"/>
        <w:rPr>
          <w:rFonts w:eastAsia="Palatino Linotype" w:cs="Segoe UI"/>
          <w:sz w:val="24"/>
          <w:szCs w:val="24"/>
        </w:rPr>
      </w:pPr>
    </w:p>
    <w:p w:rsidRPr="00081EFC" w:rsidR="00081EFC" w:rsidP="00081EFC" w:rsidRDefault="00081EFC" w14:paraId="55798AA8" w14:textId="77777777">
      <w:pPr>
        <w:widowControl w:val="0"/>
        <w:autoSpaceDE w:val="0"/>
        <w:autoSpaceDN w:val="0"/>
        <w:spacing w:before="24" w:line="240" w:lineRule="auto"/>
        <w:ind w:right="262" w:firstLine="0"/>
        <w:rPr>
          <w:rFonts w:eastAsia="Palatino Linotype" w:cs="Segoe UI"/>
          <w:sz w:val="24"/>
          <w:szCs w:val="24"/>
        </w:rPr>
      </w:pPr>
      <w:r w:rsidRPr="00081EFC">
        <w:rPr>
          <w:rFonts w:eastAsia="Palatino Linotype" w:cs="Segoe UI"/>
          <w:sz w:val="24"/>
          <w:szCs w:val="24"/>
        </w:rPr>
        <w:t>The Commission will continue to provide general standards and guidelines to govern the formation and membership of eligible consortia and the details regarding the membership of each consortium should be worked out within each geographic region.</w:t>
      </w:r>
    </w:p>
    <w:p w:rsidRPr="00081EFC" w:rsidR="00081EFC" w:rsidP="00081EFC" w:rsidRDefault="00081EFC" w14:paraId="32C92B7E" w14:textId="77777777">
      <w:pPr>
        <w:widowControl w:val="0"/>
        <w:autoSpaceDE w:val="0"/>
        <w:autoSpaceDN w:val="0"/>
        <w:spacing w:before="24" w:line="240" w:lineRule="auto"/>
        <w:ind w:right="262" w:firstLine="0"/>
        <w:rPr>
          <w:rFonts w:eastAsia="Palatino Linotype" w:cs="Palatino Linotype"/>
          <w:b/>
          <w:bCs/>
          <w:sz w:val="24"/>
          <w:szCs w:val="24"/>
        </w:rPr>
      </w:pPr>
    </w:p>
    <w:p w:rsidRPr="00081EFC" w:rsidR="00081EFC" w:rsidP="003C1D79" w:rsidRDefault="00081EFC" w14:paraId="6A966028" w14:textId="77777777">
      <w:pPr>
        <w:widowControl w:val="0"/>
        <w:numPr>
          <w:ilvl w:val="0"/>
          <w:numId w:val="47"/>
        </w:numPr>
        <w:autoSpaceDE w:val="0"/>
        <w:autoSpaceDN w:val="0"/>
        <w:spacing w:before="24" w:line="240" w:lineRule="auto"/>
        <w:ind w:left="720" w:right="262"/>
        <w:contextualSpacing/>
        <w:rPr>
          <w:rFonts w:eastAsia="Palatino Linotype" w:cs="Palatino Linotype"/>
          <w:b/>
          <w:bCs/>
          <w:sz w:val="24"/>
          <w:szCs w:val="24"/>
        </w:rPr>
      </w:pPr>
      <w:r w:rsidRPr="00081EFC">
        <w:rPr>
          <w:rFonts w:eastAsia="Palatino Linotype" w:cs="Palatino Linotype"/>
          <w:b/>
          <w:bCs/>
          <w:sz w:val="24"/>
          <w:szCs w:val="24"/>
        </w:rPr>
        <w:t>Information Required from Applicants</w:t>
      </w:r>
    </w:p>
    <w:p w:rsidRPr="00081EFC" w:rsidR="00081EFC" w:rsidP="00081EFC" w:rsidRDefault="00081EFC" w14:paraId="25F3C124"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Each</w:t>
      </w:r>
      <w:r w:rsidRPr="00081EFC">
        <w:rPr>
          <w:rFonts w:eastAsia="Palatino Linotype" w:cs="Palatino Linotype"/>
          <w:spacing w:val="-4"/>
          <w:sz w:val="24"/>
          <w:szCs w:val="24"/>
        </w:rPr>
        <w:t xml:space="preserve"> </w:t>
      </w:r>
      <w:r w:rsidRPr="00081EFC">
        <w:rPr>
          <w:rFonts w:eastAsia="Palatino Linotype" w:cs="Palatino Linotype"/>
          <w:sz w:val="24"/>
          <w:szCs w:val="24"/>
        </w:rPr>
        <w:t>Consortium</w:t>
      </w:r>
      <w:r w:rsidRPr="00081EFC">
        <w:rPr>
          <w:rFonts w:eastAsia="Palatino Linotype" w:cs="Palatino Linotype"/>
          <w:spacing w:val="-3"/>
          <w:sz w:val="24"/>
          <w:szCs w:val="24"/>
        </w:rPr>
        <w:t xml:space="preserve"> </w:t>
      </w:r>
      <w:r w:rsidRPr="00081EFC">
        <w:rPr>
          <w:rFonts w:eastAsia="Palatino Linotype" w:cs="Palatino Linotype"/>
          <w:sz w:val="24"/>
          <w:szCs w:val="24"/>
        </w:rPr>
        <w:t>application</w:t>
      </w:r>
      <w:r w:rsidRPr="00081EFC">
        <w:rPr>
          <w:rFonts w:eastAsia="Palatino Linotype" w:cs="Palatino Linotype"/>
          <w:spacing w:val="-4"/>
          <w:sz w:val="24"/>
          <w:szCs w:val="24"/>
        </w:rPr>
        <w:t xml:space="preserve"> </w:t>
      </w:r>
      <w:r w:rsidRPr="00081EFC">
        <w:rPr>
          <w:rFonts w:eastAsia="Palatino Linotype" w:cs="Palatino Linotype"/>
          <w:sz w:val="24"/>
          <w:szCs w:val="24"/>
        </w:rPr>
        <w:t>shall</w:t>
      </w:r>
      <w:r w:rsidRPr="00081EFC">
        <w:rPr>
          <w:rFonts w:eastAsia="Palatino Linotype" w:cs="Palatino Linotype"/>
          <w:spacing w:val="-3"/>
          <w:sz w:val="24"/>
          <w:szCs w:val="24"/>
        </w:rPr>
        <w:t xml:space="preserve"> </w:t>
      </w:r>
      <w:r w:rsidRPr="00081EFC">
        <w:rPr>
          <w:rFonts w:eastAsia="Palatino Linotype" w:cs="Palatino Linotype"/>
          <w:sz w:val="24"/>
          <w:szCs w:val="24"/>
        </w:rPr>
        <w:t>provide</w:t>
      </w:r>
      <w:r w:rsidRPr="00081EFC">
        <w:rPr>
          <w:rFonts w:eastAsia="Palatino Linotype" w:cs="Palatino Linotype"/>
          <w:spacing w:val="-3"/>
          <w:sz w:val="24"/>
          <w:szCs w:val="24"/>
        </w:rPr>
        <w:t xml:space="preserve"> </w:t>
      </w:r>
      <w:r w:rsidRPr="00081EFC">
        <w:rPr>
          <w:rFonts w:eastAsia="Palatino Linotype" w:cs="Palatino Linotype"/>
          <w:sz w:val="24"/>
          <w:szCs w:val="24"/>
        </w:rPr>
        <w:t>the</w:t>
      </w:r>
      <w:r w:rsidRPr="00081EFC">
        <w:rPr>
          <w:rFonts w:eastAsia="Palatino Linotype" w:cs="Palatino Linotype"/>
          <w:spacing w:val="-4"/>
          <w:sz w:val="24"/>
          <w:szCs w:val="24"/>
        </w:rPr>
        <w:t xml:space="preserve"> </w:t>
      </w:r>
      <w:r w:rsidRPr="00081EFC">
        <w:rPr>
          <w:rFonts w:eastAsia="Palatino Linotype" w:cs="Palatino Linotype"/>
          <w:sz w:val="24"/>
          <w:szCs w:val="24"/>
        </w:rPr>
        <w:t>following</w:t>
      </w:r>
      <w:r w:rsidRPr="00081EFC">
        <w:rPr>
          <w:rFonts w:eastAsia="Palatino Linotype" w:cs="Palatino Linotype"/>
          <w:spacing w:val="-4"/>
          <w:sz w:val="24"/>
          <w:szCs w:val="24"/>
        </w:rPr>
        <w:t xml:space="preserve"> </w:t>
      </w:r>
      <w:r w:rsidRPr="00081EFC">
        <w:rPr>
          <w:rFonts w:eastAsia="Palatino Linotype" w:cs="Palatino Linotype"/>
          <w:sz w:val="24"/>
          <w:szCs w:val="24"/>
        </w:rPr>
        <w:t>required</w:t>
      </w:r>
      <w:r w:rsidRPr="00081EFC">
        <w:rPr>
          <w:rFonts w:eastAsia="Palatino Linotype" w:cs="Palatino Linotype"/>
          <w:spacing w:val="-3"/>
          <w:sz w:val="24"/>
          <w:szCs w:val="24"/>
        </w:rPr>
        <w:t xml:space="preserve"> </w:t>
      </w:r>
      <w:r w:rsidRPr="00081EFC">
        <w:rPr>
          <w:rFonts w:eastAsia="Palatino Linotype" w:cs="Palatino Linotype"/>
          <w:sz w:val="24"/>
          <w:szCs w:val="24"/>
        </w:rPr>
        <w:t>information:</w:t>
      </w:r>
    </w:p>
    <w:p w:rsidRPr="00081EFC" w:rsidR="00081EFC" w:rsidP="00081EFC" w:rsidRDefault="00081EFC" w14:paraId="1345370E"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33369D" w:rsidRDefault="00081EFC" w14:paraId="615DD7AB" w14:textId="77777777">
      <w:pPr>
        <w:widowControl w:val="0"/>
        <w:numPr>
          <w:ilvl w:val="0"/>
          <w:numId w:val="50"/>
        </w:numPr>
        <w:autoSpaceDE w:val="0"/>
        <w:autoSpaceDN w:val="0"/>
        <w:spacing w:line="240" w:lineRule="auto"/>
        <w:rPr>
          <w:rFonts w:eastAsia="Palatino Linotype" w:cs="Palatino Linotype"/>
          <w:sz w:val="24"/>
          <w:szCs w:val="24"/>
        </w:rPr>
      </w:pPr>
      <w:r w:rsidRPr="00081EFC">
        <w:rPr>
          <w:rFonts w:eastAsia="Palatino Linotype" w:cs="Palatino Linotype"/>
          <w:sz w:val="24"/>
          <w:szCs w:val="24"/>
        </w:rPr>
        <w:t>Applicant</w:t>
      </w:r>
      <w:r w:rsidRPr="00081EFC">
        <w:rPr>
          <w:rFonts w:eastAsia="Palatino Linotype" w:cs="Palatino Linotype"/>
          <w:spacing w:val="-4"/>
          <w:sz w:val="24"/>
          <w:szCs w:val="24"/>
        </w:rPr>
        <w:t xml:space="preserve"> </w:t>
      </w:r>
      <w:r w:rsidRPr="00081EFC">
        <w:rPr>
          <w:rFonts w:eastAsia="Palatino Linotype" w:cs="Palatino Linotype"/>
          <w:sz w:val="24"/>
          <w:szCs w:val="24"/>
        </w:rPr>
        <w:t>Information</w:t>
      </w:r>
      <w:r w:rsidRPr="00081EFC">
        <w:rPr>
          <w:rFonts w:eastAsia="Palatino Linotype" w:cs="Palatino Linotype"/>
          <w:spacing w:val="-2"/>
          <w:sz w:val="24"/>
          <w:szCs w:val="24"/>
        </w:rPr>
        <w:t xml:space="preserve"> </w:t>
      </w:r>
      <w:r w:rsidRPr="00081EFC">
        <w:rPr>
          <w:rFonts w:eastAsia="Palatino Linotype" w:cs="Palatino Linotype"/>
          <w:sz w:val="24"/>
          <w:szCs w:val="24"/>
        </w:rPr>
        <w:t>and</w:t>
      </w:r>
      <w:r w:rsidRPr="00081EFC">
        <w:rPr>
          <w:rFonts w:eastAsia="Palatino Linotype" w:cs="Palatino Linotype"/>
          <w:spacing w:val="-4"/>
          <w:sz w:val="24"/>
          <w:szCs w:val="24"/>
        </w:rPr>
        <w:t xml:space="preserve"> </w:t>
      </w:r>
      <w:r w:rsidRPr="00081EFC">
        <w:rPr>
          <w:rFonts w:eastAsia="Palatino Linotype" w:cs="Palatino Linotype"/>
          <w:sz w:val="24"/>
          <w:szCs w:val="24"/>
        </w:rPr>
        <w:t>Experience</w:t>
      </w:r>
    </w:p>
    <w:p w:rsidRPr="00081EFC" w:rsidR="00081EFC" w:rsidP="0033369D" w:rsidRDefault="00081EFC" w14:paraId="6827B52D" w14:textId="77777777">
      <w:pPr>
        <w:widowControl w:val="0"/>
        <w:numPr>
          <w:ilvl w:val="1"/>
          <w:numId w:val="51"/>
        </w:numPr>
        <w:tabs>
          <w:tab w:val="left" w:pos="1180"/>
          <w:tab w:val="left" w:pos="1181"/>
        </w:tabs>
        <w:autoSpaceDE w:val="0"/>
        <w:autoSpaceDN w:val="0"/>
        <w:spacing w:line="240" w:lineRule="auto"/>
        <w:ind w:right="175"/>
        <w:rPr>
          <w:rFonts w:eastAsia="Palatino Linotype" w:cs="Palatino Linotype"/>
          <w:sz w:val="24"/>
          <w:szCs w:val="24"/>
        </w:rPr>
      </w:pPr>
      <w:r w:rsidRPr="00081EFC">
        <w:rPr>
          <w:rFonts w:eastAsia="Palatino Linotype" w:cs="Palatino Linotype"/>
          <w:sz w:val="24"/>
          <w:szCs w:val="24"/>
        </w:rPr>
        <w:t>Identification</w:t>
      </w:r>
      <w:r w:rsidRPr="00081EFC">
        <w:rPr>
          <w:rFonts w:eastAsia="Palatino Linotype" w:cs="Palatino Linotype"/>
          <w:spacing w:val="-5"/>
          <w:sz w:val="24"/>
          <w:szCs w:val="24"/>
        </w:rPr>
        <w:t xml:space="preserve"> </w:t>
      </w:r>
      <w:r w:rsidRPr="00081EFC">
        <w:rPr>
          <w:rFonts w:eastAsia="Palatino Linotype" w:cs="Palatino Linotype"/>
          <w:sz w:val="24"/>
          <w:szCs w:val="24"/>
        </w:rPr>
        <w:t>(i.e.,</w:t>
      </w:r>
      <w:r w:rsidRPr="00081EFC">
        <w:rPr>
          <w:rFonts w:eastAsia="Palatino Linotype" w:cs="Palatino Linotype"/>
          <w:spacing w:val="-3"/>
          <w:sz w:val="24"/>
          <w:szCs w:val="24"/>
        </w:rPr>
        <w:t xml:space="preserve"> </w:t>
      </w:r>
      <w:r w:rsidRPr="00081EFC">
        <w:rPr>
          <w:rFonts w:eastAsia="Palatino Linotype" w:cs="Palatino Linotype"/>
          <w:sz w:val="24"/>
          <w:szCs w:val="24"/>
        </w:rPr>
        <w:t>name,</w:t>
      </w:r>
      <w:r w:rsidRPr="00081EFC">
        <w:rPr>
          <w:rFonts w:eastAsia="Palatino Linotype" w:cs="Palatino Linotype"/>
          <w:spacing w:val="-3"/>
          <w:sz w:val="24"/>
          <w:szCs w:val="24"/>
        </w:rPr>
        <w:t xml:space="preserve"> </w:t>
      </w:r>
      <w:r w:rsidRPr="00081EFC">
        <w:rPr>
          <w:rFonts w:eastAsia="Palatino Linotype" w:cs="Palatino Linotype"/>
          <w:sz w:val="24"/>
          <w:szCs w:val="24"/>
        </w:rPr>
        <w:t>contact</w:t>
      </w:r>
      <w:r w:rsidRPr="00081EFC">
        <w:rPr>
          <w:rFonts w:eastAsia="Palatino Linotype" w:cs="Palatino Linotype"/>
          <w:spacing w:val="-4"/>
          <w:sz w:val="24"/>
          <w:szCs w:val="24"/>
        </w:rPr>
        <w:t xml:space="preserve"> </w:t>
      </w:r>
      <w:r w:rsidRPr="00081EFC">
        <w:rPr>
          <w:rFonts w:eastAsia="Palatino Linotype" w:cs="Palatino Linotype"/>
          <w:sz w:val="24"/>
          <w:szCs w:val="24"/>
        </w:rPr>
        <w:t>information,</w:t>
      </w:r>
      <w:r w:rsidRPr="00081EFC">
        <w:rPr>
          <w:rFonts w:eastAsia="Palatino Linotype" w:cs="Palatino Linotype"/>
          <w:spacing w:val="-4"/>
          <w:sz w:val="24"/>
          <w:szCs w:val="24"/>
        </w:rPr>
        <w:t xml:space="preserve"> </w:t>
      </w:r>
      <w:r w:rsidRPr="00081EFC">
        <w:rPr>
          <w:rFonts w:eastAsia="Palatino Linotype" w:cs="Palatino Linotype"/>
          <w:sz w:val="24"/>
          <w:szCs w:val="24"/>
        </w:rPr>
        <w:t>etc.)</w:t>
      </w:r>
      <w:r w:rsidRPr="00081EFC">
        <w:rPr>
          <w:rFonts w:eastAsia="Palatino Linotype" w:cs="Palatino Linotype"/>
          <w:spacing w:val="-4"/>
          <w:sz w:val="24"/>
          <w:szCs w:val="24"/>
        </w:rPr>
        <w:t xml:space="preserve"> </w:t>
      </w:r>
      <w:r w:rsidRPr="00081EFC">
        <w:rPr>
          <w:rFonts w:eastAsia="Palatino Linotype" w:cs="Palatino Linotype"/>
          <w:sz w:val="24"/>
          <w:szCs w:val="24"/>
        </w:rPr>
        <w:t>of</w:t>
      </w:r>
      <w:r w:rsidRPr="00081EFC">
        <w:rPr>
          <w:rFonts w:eastAsia="Palatino Linotype" w:cs="Palatino Linotype"/>
          <w:spacing w:val="-3"/>
          <w:sz w:val="24"/>
          <w:szCs w:val="24"/>
        </w:rPr>
        <w:t xml:space="preserve"> </w:t>
      </w:r>
      <w:r w:rsidRPr="00081EFC">
        <w:rPr>
          <w:rFonts w:eastAsia="Palatino Linotype" w:cs="Palatino Linotype"/>
          <w:sz w:val="24"/>
          <w:szCs w:val="24"/>
        </w:rPr>
        <w:t>each</w:t>
      </w:r>
      <w:r w:rsidRPr="00081EFC">
        <w:rPr>
          <w:rFonts w:eastAsia="Palatino Linotype" w:cs="Palatino Linotype"/>
          <w:spacing w:val="-4"/>
          <w:sz w:val="24"/>
          <w:szCs w:val="24"/>
        </w:rPr>
        <w:t xml:space="preserve"> </w:t>
      </w:r>
      <w:r w:rsidRPr="00081EFC">
        <w:rPr>
          <w:rFonts w:eastAsia="Palatino Linotype" w:cs="Palatino Linotype"/>
          <w:sz w:val="24"/>
          <w:szCs w:val="24"/>
        </w:rPr>
        <w:t>Consortium</w:t>
      </w:r>
      <w:r w:rsidRPr="00081EFC">
        <w:rPr>
          <w:rFonts w:eastAsia="Palatino Linotype" w:cs="Palatino Linotype"/>
          <w:spacing w:val="-57"/>
          <w:sz w:val="24"/>
          <w:szCs w:val="24"/>
        </w:rPr>
        <w:t xml:space="preserve"> </w:t>
      </w:r>
      <w:r w:rsidRPr="00081EFC">
        <w:rPr>
          <w:rFonts w:eastAsia="Palatino Linotype" w:cs="Palatino Linotype"/>
          <w:sz w:val="24"/>
          <w:szCs w:val="24"/>
        </w:rPr>
        <w:t>member, including which, if any members are telecommunications</w:t>
      </w:r>
      <w:r w:rsidRPr="00081EFC">
        <w:rPr>
          <w:rFonts w:eastAsia="Palatino Linotype" w:cs="Palatino Linotype"/>
          <w:spacing w:val="1"/>
          <w:sz w:val="24"/>
          <w:szCs w:val="24"/>
        </w:rPr>
        <w:t xml:space="preserve"> </w:t>
      </w:r>
      <w:r w:rsidRPr="00081EFC">
        <w:rPr>
          <w:rFonts w:eastAsia="Palatino Linotype" w:cs="Palatino Linotype"/>
          <w:sz w:val="24"/>
          <w:szCs w:val="24"/>
        </w:rPr>
        <w:t xml:space="preserve">carriers </w:t>
      </w:r>
      <w:r w:rsidRPr="00081EFC">
        <w:rPr>
          <w:rFonts w:eastAsia="Palatino Linotype" w:cs="Palatino Linotype"/>
          <w:sz w:val="24"/>
          <w:szCs w:val="24"/>
        </w:rPr>
        <w:lastRenderedPageBreak/>
        <w:t>that are certificated by or registered with the Commission,</w:t>
      </w:r>
      <w:r w:rsidRPr="00081EFC">
        <w:rPr>
          <w:rFonts w:eastAsia="Palatino Linotype" w:cs="Palatino Linotype"/>
          <w:spacing w:val="1"/>
          <w:sz w:val="24"/>
          <w:szCs w:val="24"/>
        </w:rPr>
        <w:t xml:space="preserve"> </w:t>
      </w:r>
      <w:r w:rsidRPr="00081EFC">
        <w:rPr>
          <w:rFonts w:eastAsia="Palatino Linotype" w:cs="Palatino Linotype"/>
          <w:sz w:val="24"/>
          <w:szCs w:val="24"/>
        </w:rPr>
        <w:t>identifying</w:t>
      </w:r>
      <w:r w:rsidRPr="00081EFC">
        <w:rPr>
          <w:rFonts w:eastAsia="Palatino Linotype" w:cs="Palatino Linotype"/>
          <w:spacing w:val="-3"/>
          <w:sz w:val="24"/>
          <w:szCs w:val="24"/>
        </w:rPr>
        <w:t xml:space="preserve"> </w:t>
      </w:r>
      <w:r w:rsidRPr="00081EFC">
        <w:rPr>
          <w:rFonts w:eastAsia="Palatino Linotype" w:cs="Palatino Linotype"/>
          <w:sz w:val="24"/>
          <w:szCs w:val="24"/>
        </w:rPr>
        <w:t>their</w:t>
      </w:r>
      <w:r w:rsidRPr="00081EFC">
        <w:rPr>
          <w:rFonts w:eastAsia="Palatino Linotype" w:cs="Palatino Linotype"/>
          <w:spacing w:val="-1"/>
          <w:sz w:val="24"/>
          <w:szCs w:val="24"/>
        </w:rPr>
        <w:t xml:space="preserve"> </w:t>
      </w:r>
      <w:r w:rsidRPr="00081EFC">
        <w:rPr>
          <w:rFonts w:eastAsia="Palatino Linotype" w:cs="Palatino Linotype"/>
          <w:sz w:val="24"/>
          <w:szCs w:val="24"/>
        </w:rPr>
        <w:t>Utility</w:t>
      </w:r>
      <w:r w:rsidRPr="00081EFC">
        <w:rPr>
          <w:rFonts w:eastAsia="Palatino Linotype" w:cs="Palatino Linotype"/>
          <w:spacing w:val="-1"/>
          <w:sz w:val="24"/>
          <w:szCs w:val="24"/>
        </w:rPr>
        <w:t xml:space="preserve"> </w:t>
      </w:r>
      <w:r w:rsidRPr="00081EFC">
        <w:rPr>
          <w:rFonts w:eastAsia="Palatino Linotype" w:cs="Palatino Linotype"/>
          <w:sz w:val="24"/>
          <w:szCs w:val="24"/>
        </w:rPr>
        <w:t>Identification</w:t>
      </w:r>
      <w:r w:rsidRPr="00081EFC">
        <w:rPr>
          <w:rFonts w:eastAsia="Palatino Linotype" w:cs="Palatino Linotype"/>
          <w:spacing w:val="-3"/>
          <w:sz w:val="24"/>
          <w:szCs w:val="24"/>
        </w:rPr>
        <w:t xml:space="preserve"> </w:t>
      </w:r>
      <w:r w:rsidRPr="00081EFC">
        <w:rPr>
          <w:rFonts w:eastAsia="Palatino Linotype" w:cs="Palatino Linotype"/>
          <w:sz w:val="24"/>
          <w:szCs w:val="24"/>
        </w:rPr>
        <w:t>number</w:t>
      </w:r>
      <w:r w:rsidRPr="00081EFC">
        <w:rPr>
          <w:rFonts w:eastAsia="Palatino Linotype" w:cs="Palatino Linotype"/>
          <w:spacing w:val="-1"/>
          <w:sz w:val="24"/>
          <w:szCs w:val="24"/>
        </w:rPr>
        <w:t xml:space="preserve"> </w:t>
      </w:r>
      <w:r w:rsidRPr="00081EFC">
        <w:rPr>
          <w:rFonts w:eastAsia="Palatino Linotype" w:cs="Palatino Linotype"/>
          <w:sz w:val="24"/>
          <w:szCs w:val="24"/>
        </w:rPr>
        <w:t>in</w:t>
      </w:r>
      <w:r w:rsidRPr="00081EFC">
        <w:rPr>
          <w:rFonts w:eastAsia="Palatino Linotype" w:cs="Palatino Linotype"/>
          <w:spacing w:val="-2"/>
          <w:sz w:val="24"/>
          <w:szCs w:val="24"/>
        </w:rPr>
        <w:t xml:space="preserve"> </w:t>
      </w:r>
      <w:r w:rsidRPr="00081EFC">
        <w:rPr>
          <w:rFonts w:eastAsia="Palatino Linotype" w:cs="Palatino Linotype"/>
          <w:sz w:val="24"/>
          <w:szCs w:val="24"/>
        </w:rPr>
        <w:t>such</w:t>
      </w:r>
      <w:r w:rsidRPr="00081EFC">
        <w:rPr>
          <w:rFonts w:eastAsia="Palatino Linotype" w:cs="Palatino Linotype"/>
          <w:spacing w:val="-1"/>
          <w:sz w:val="24"/>
          <w:szCs w:val="24"/>
        </w:rPr>
        <w:t xml:space="preserve"> </w:t>
      </w:r>
      <w:r w:rsidRPr="00081EFC">
        <w:rPr>
          <w:rFonts w:eastAsia="Palatino Linotype" w:cs="Palatino Linotype"/>
          <w:sz w:val="24"/>
          <w:szCs w:val="24"/>
        </w:rPr>
        <w:t>instances.</w:t>
      </w:r>
    </w:p>
    <w:p w:rsidRPr="00081EFC" w:rsidR="00081EFC" w:rsidP="0033369D" w:rsidRDefault="00081EFC" w14:paraId="565E7B6E" w14:textId="77777777">
      <w:pPr>
        <w:widowControl w:val="0"/>
        <w:numPr>
          <w:ilvl w:val="1"/>
          <w:numId w:val="51"/>
        </w:numPr>
        <w:tabs>
          <w:tab w:val="left" w:pos="1180"/>
          <w:tab w:val="left" w:pos="1181"/>
        </w:tabs>
        <w:autoSpaceDE w:val="0"/>
        <w:autoSpaceDN w:val="0"/>
        <w:spacing w:before="1" w:line="240" w:lineRule="auto"/>
        <w:ind w:right="1422"/>
        <w:rPr>
          <w:rFonts w:eastAsia="Palatino Linotype" w:cs="Palatino Linotype"/>
          <w:sz w:val="24"/>
          <w:szCs w:val="24"/>
        </w:rPr>
      </w:pPr>
      <w:r w:rsidRPr="00081EFC">
        <w:rPr>
          <w:rFonts w:eastAsia="Palatino Linotype" w:cs="Palatino Linotype"/>
          <w:sz w:val="24"/>
          <w:szCs w:val="24"/>
        </w:rPr>
        <w:t>Background, description, and role that each member of the</w:t>
      </w:r>
      <w:r w:rsidRPr="00081EFC">
        <w:rPr>
          <w:rFonts w:eastAsia="Palatino Linotype" w:cs="Palatino Linotype"/>
          <w:spacing w:val="-57"/>
          <w:sz w:val="24"/>
          <w:szCs w:val="24"/>
        </w:rPr>
        <w:t xml:space="preserve"> </w:t>
      </w:r>
      <w:r w:rsidRPr="00081EFC">
        <w:rPr>
          <w:rFonts w:eastAsia="Palatino Linotype" w:cs="Palatino Linotype"/>
          <w:sz w:val="24"/>
          <w:szCs w:val="24"/>
        </w:rPr>
        <w:t>Consortium</w:t>
      </w:r>
      <w:r w:rsidRPr="00081EFC">
        <w:rPr>
          <w:rFonts w:eastAsia="Palatino Linotype" w:cs="Palatino Linotype"/>
          <w:spacing w:val="-2"/>
          <w:sz w:val="24"/>
          <w:szCs w:val="24"/>
        </w:rPr>
        <w:t xml:space="preserve"> </w:t>
      </w:r>
      <w:r w:rsidRPr="00081EFC">
        <w:rPr>
          <w:rFonts w:eastAsia="Palatino Linotype" w:cs="Palatino Linotype"/>
          <w:sz w:val="24"/>
          <w:szCs w:val="24"/>
        </w:rPr>
        <w:t>will</w:t>
      </w:r>
      <w:r w:rsidRPr="00081EFC">
        <w:rPr>
          <w:rFonts w:eastAsia="Palatino Linotype" w:cs="Palatino Linotype"/>
          <w:spacing w:val="-1"/>
          <w:sz w:val="24"/>
          <w:szCs w:val="24"/>
        </w:rPr>
        <w:t xml:space="preserve"> </w:t>
      </w:r>
      <w:r w:rsidRPr="00081EFC">
        <w:rPr>
          <w:rFonts w:eastAsia="Palatino Linotype" w:cs="Palatino Linotype"/>
          <w:sz w:val="24"/>
          <w:szCs w:val="24"/>
        </w:rPr>
        <w:t>play</w:t>
      </w:r>
      <w:r w:rsidRPr="00081EFC">
        <w:rPr>
          <w:rFonts w:eastAsia="Palatino Linotype" w:cs="Palatino Linotype"/>
          <w:spacing w:val="1"/>
          <w:sz w:val="24"/>
          <w:szCs w:val="24"/>
        </w:rPr>
        <w:t xml:space="preserve"> </w:t>
      </w:r>
      <w:r w:rsidRPr="00081EFC">
        <w:rPr>
          <w:rFonts w:eastAsia="Palatino Linotype" w:cs="Palatino Linotype"/>
          <w:sz w:val="24"/>
          <w:szCs w:val="24"/>
        </w:rPr>
        <w:t>in</w:t>
      </w:r>
      <w:r w:rsidRPr="00081EFC">
        <w:rPr>
          <w:rFonts w:eastAsia="Palatino Linotype" w:cs="Palatino Linotype"/>
          <w:spacing w:val="-3"/>
          <w:sz w:val="24"/>
          <w:szCs w:val="24"/>
        </w:rPr>
        <w:t xml:space="preserve"> </w:t>
      </w:r>
      <w:r w:rsidRPr="00081EFC">
        <w:rPr>
          <w:rFonts w:eastAsia="Palatino Linotype" w:cs="Palatino Linotype"/>
          <w:sz w:val="24"/>
          <w:szCs w:val="24"/>
        </w:rPr>
        <w:t>the</w:t>
      </w:r>
      <w:r w:rsidRPr="00081EFC">
        <w:rPr>
          <w:rFonts w:eastAsia="Palatino Linotype" w:cs="Palatino Linotype"/>
          <w:spacing w:val="-2"/>
          <w:sz w:val="24"/>
          <w:szCs w:val="24"/>
        </w:rPr>
        <w:t xml:space="preserve"> </w:t>
      </w:r>
      <w:r w:rsidRPr="00081EFC">
        <w:rPr>
          <w:rFonts w:eastAsia="Palatino Linotype" w:cs="Palatino Linotype"/>
          <w:sz w:val="24"/>
          <w:szCs w:val="24"/>
        </w:rPr>
        <w:t>proposed</w:t>
      </w:r>
      <w:r w:rsidRPr="00081EFC">
        <w:rPr>
          <w:rFonts w:eastAsia="Palatino Linotype" w:cs="Palatino Linotype"/>
          <w:spacing w:val="-2"/>
          <w:sz w:val="24"/>
          <w:szCs w:val="24"/>
        </w:rPr>
        <w:t xml:space="preserve"> </w:t>
      </w:r>
      <w:r w:rsidRPr="00081EFC">
        <w:rPr>
          <w:rFonts w:eastAsia="Palatino Linotype" w:cs="Palatino Linotype"/>
          <w:sz w:val="24"/>
          <w:szCs w:val="24"/>
        </w:rPr>
        <w:t>Consortium.</w:t>
      </w:r>
    </w:p>
    <w:p w:rsidRPr="00081EFC" w:rsidR="00081EFC" w:rsidP="0033369D" w:rsidRDefault="00081EFC" w14:paraId="01B1FD03" w14:textId="77777777">
      <w:pPr>
        <w:widowControl w:val="0"/>
        <w:numPr>
          <w:ilvl w:val="1"/>
          <w:numId w:val="51"/>
        </w:numPr>
        <w:tabs>
          <w:tab w:val="left" w:pos="1180"/>
          <w:tab w:val="left" w:pos="1181"/>
        </w:tabs>
        <w:autoSpaceDE w:val="0"/>
        <w:autoSpaceDN w:val="0"/>
        <w:spacing w:line="240" w:lineRule="auto"/>
        <w:ind w:right="152"/>
        <w:rPr>
          <w:rFonts w:eastAsia="Palatino Linotype" w:cs="Palatino Linotype"/>
          <w:sz w:val="24"/>
          <w:szCs w:val="24"/>
        </w:rPr>
      </w:pPr>
      <w:r w:rsidRPr="00081EFC">
        <w:rPr>
          <w:rFonts w:eastAsia="Palatino Linotype" w:cs="Palatino Linotype"/>
          <w:sz w:val="24"/>
          <w:szCs w:val="24"/>
        </w:rPr>
        <w:t>Governing board structure in place that provides for direct</w:t>
      </w:r>
      <w:r w:rsidRPr="00081EFC">
        <w:rPr>
          <w:rFonts w:eastAsia="Palatino Linotype" w:cs="Palatino Linotype"/>
          <w:spacing w:val="1"/>
          <w:sz w:val="24"/>
          <w:szCs w:val="24"/>
        </w:rPr>
        <w:t xml:space="preserve"> </w:t>
      </w:r>
      <w:r w:rsidRPr="00081EFC">
        <w:rPr>
          <w:rFonts w:eastAsia="Palatino Linotype" w:cs="Palatino Linotype"/>
          <w:sz w:val="24"/>
          <w:szCs w:val="24"/>
        </w:rPr>
        <w:t>representation</w:t>
      </w:r>
      <w:r w:rsidRPr="00081EFC">
        <w:rPr>
          <w:rFonts w:eastAsia="Palatino Linotype" w:cs="Palatino Linotype"/>
          <w:spacing w:val="-5"/>
          <w:sz w:val="24"/>
          <w:szCs w:val="24"/>
        </w:rPr>
        <w:t xml:space="preserve"> </w:t>
      </w:r>
      <w:r w:rsidRPr="00081EFC">
        <w:rPr>
          <w:rFonts w:eastAsia="Palatino Linotype" w:cs="Palatino Linotype"/>
          <w:sz w:val="24"/>
          <w:szCs w:val="24"/>
        </w:rPr>
        <w:t>from</w:t>
      </w:r>
      <w:r w:rsidRPr="00081EFC">
        <w:rPr>
          <w:rFonts w:eastAsia="Palatino Linotype" w:cs="Palatino Linotype"/>
          <w:spacing w:val="-3"/>
          <w:sz w:val="24"/>
          <w:szCs w:val="24"/>
        </w:rPr>
        <w:t xml:space="preserve"> </w:t>
      </w:r>
      <w:r w:rsidRPr="00081EFC">
        <w:rPr>
          <w:rFonts w:eastAsia="Palatino Linotype" w:cs="Palatino Linotype"/>
          <w:sz w:val="24"/>
          <w:szCs w:val="24"/>
        </w:rPr>
        <w:t>affected</w:t>
      </w:r>
      <w:r w:rsidRPr="00081EFC">
        <w:rPr>
          <w:rFonts w:eastAsia="Palatino Linotype" w:cs="Palatino Linotype"/>
          <w:spacing w:val="-3"/>
          <w:sz w:val="24"/>
          <w:szCs w:val="24"/>
        </w:rPr>
        <w:t xml:space="preserve"> </w:t>
      </w:r>
      <w:r w:rsidRPr="00081EFC">
        <w:rPr>
          <w:rFonts w:eastAsia="Palatino Linotype" w:cs="Palatino Linotype"/>
          <w:sz w:val="24"/>
          <w:szCs w:val="24"/>
        </w:rPr>
        <w:t>cities,</w:t>
      </w:r>
      <w:r w:rsidRPr="00081EFC">
        <w:rPr>
          <w:rFonts w:eastAsia="Palatino Linotype" w:cs="Palatino Linotype"/>
          <w:spacing w:val="-2"/>
          <w:sz w:val="24"/>
          <w:szCs w:val="24"/>
        </w:rPr>
        <w:t xml:space="preserve"> </w:t>
      </w:r>
      <w:r w:rsidRPr="00081EFC">
        <w:rPr>
          <w:rFonts w:eastAsia="Palatino Linotype" w:cs="Palatino Linotype"/>
          <w:sz w:val="24"/>
          <w:szCs w:val="24"/>
        </w:rPr>
        <w:t>counties,</w:t>
      </w:r>
      <w:r w:rsidRPr="00081EFC">
        <w:rPr>
          <w:rFonts w:eastAsia="Palatino Linotype" w:cs="Palatino Linotype"/>
          <w:spacing w:val="-3"/>
          <w:sz w:val="24"/>
          <w:szCs w:val="24"/>
        </w:rPr>
        <w:t xml:space="preserve"> </w:t>
      </w:r>
      <w:r w:rsidRPr="00081EFC">
        <w:rPr>
          <w:rFonts w:eastAsia="Palatino Linotype" w:cs="Palatino Linotype"/>
          <w:sz w:val="24"/>
          <w:szCs w:val="24"/>
        </w:rPr>
        <w:t>and</w:t>
      </w:r>
      <w:r w:rsidRPr="00081EFC">
        <w:rPr>
          <w:rFonts w:eastAsia="Palatino Linotype" w:cs="Palatino Linotype"/>
          <w:spacing w:val="-4"/>
          <w:sz w:val="24"/>
          <w:szCs w:val="24"/>
        </w:rPr>
        <w:t xml:space="preserve"> </w:t>
      </w:r>
      <w:r w:rsidRPr="00081EFC">
        <w:rPr>
          <w:rFonts w:eastAsia="Palatino Linotype" w:cs="Palatino Linotype"/>
          <w:sz w:val="24"/>
          <w:szCs w:val="24"/>
        </w:rPr>
        <w:t>tribes;</w:t>
      </w:r>
      <w:r w:rsidRPr="00081EFC">
        <w:rPr>
          <w:rFonts w:eastAsia="Palatino Linotype" w:cs="Palatino Linotype"/>
          <w:spacing w:val="-3"/>
          <w:sz w:val="24"/>
          <w:szCs w:val="24"/>
        </w:rPr>
        <w:t xml:space="preserve"> </w:t>
      </w:r>
      <w:r w:rsidRPr="00081EFC">
        <w:rPr>
          <w:rFonts w:eastAsia="Palatino Linotype" w:cs="Palatino Linotype"/>
          <w:sz w:val="24"/>
          <w:szCs w:val="24"/>
        </w:rPr>
        <w:t>the</w:t>
      </w:r>
      <w:r w:rsidRPr="00081EFC">
        <w:rPr>
          <w:rFonts w:eastAsia="Palatino Linotype" w:cs="Palatino Linotype"/>
          <w:spacing w:val="-4"/>
          <w:sz w:val="24"/>
          <w:szCs w:val="24"/>
        </w:rPr>
        <w:t xml:space="preserve"> </w:t>
      </w:r>
      <w:r w:rsidRPr="00081EFC">
        <w:rPr>
          <w:rFonts w:eastAsia="Palatino Linotype" w:cs="Palatino Linotype"/>
          <w:sz w:val="24"/>
          <w:szCs w:val="24"/>
        </w:rPr>
        <w:t>application</w:t>
      </w:r>
      <w:r w:rsidRPr="00081EFC">
        <w:rPr>
          <w:rFonts w:eastAsia="Palatino Linotype" w:cs="Palatino Linotype"/>
          <w:spacing w:val="-57"/>
          <w:sz w:val="24"/>
          <w:szCs w:val="24"/>
        </w:rPr>
        <w:t xml:space="preserve"> </w:t>
      </w:r>
      <w:r w:rsidRPr="00081EFC">
        <w:rPr>
          <w:rFonts w:eastAsia="Palatino Linotype" w:cs="Palatino Linotype"/>
          <w:sz w:val="24"/>
          <w:szCs w:val="24"/>
        </w:rPr>
        <w:t>must</w:t>
      </w:r>
      <w:r w:rsidRPr="00081EFC">
        <w:rPr>
          <w:rFonts w:eastAsia="Palatino Linotype" w:cs="Palatino Linotype"/>
          <w:spacing w:val="-1"/>
          <w:sz w:val="24"/>
          <w:szCs w:val="24"/>
        </w:rPr>
        <w:t xml:space="preserve"> </w:t>
      </w:r>
      <w:r w:rsidRPr="00081EFC">
        <w:rPr>
          <w:rFonts w:eastAsia="Palatino Linotype" w:cs="Palatino Linotype"/>
          <w:sz w:val="24"/>
          <w:szCs w:val="24"/>
        </w:rPr>
        <w:t>describe</w:t>
      </w:r>
      <w:r w:rsidRPr="00081EFC">
        <w:rPr>
          <w:rFonts w:eastAsia="Palatino Linotype" w:cs="Palatino Linotype"/>
          <w:spacing w:val="-1"/>
          <w:sz w:val="24"/>
          <w:szCs w:val="24"/>
        </w:rPr>
        <w:t xml:space="preserve"> </w:t>
      </w:r>
      <w:r w:rsidRPr="00081EFC">
        <w:rPr>
          <w:rFonts w:eastAsia="Palatino Linotype" w:cs="Palatino Linotype"/>
          <w:sz w:val="24"/>
          <w:szCs w:val="24"/>
        </w:rPr>
        <w:t>the</w:t>
      </w:r>
      <w:r w:rsidRPr="00081EFC">
        <w:rPr>
          <w:rFonts w:eastAsia="Palatino Linotype" w:cs="Palatino Linotype"/>
          <w:spacing w:val="-2"/>
          <w:sz w:val="24"/>
          <w:szCs w:val="24"/>
        </w:rPr>
        <w:t xml:space="preserve"> </w:t>
      </w:r>
      <w:r w:rsidRPr="00081EFC">
        <w:rPr>
          <w:rFonts w:eastAsia="Palatino Linotype" w:cs="Palatino Linotype"/>
          <w:sz w:val="24"/>
          <w:szCs w:val="24"/>
        </w:rPr>
        <w:t>governing</w:t>
      </w:r>
      <w:r w:rsidRPr="00081EFC">
        <w:rPr>
          <w:rFonts w:eastAsia="Palatino Linotype" w:cs="Palatino Linotype"/>
          <w:spacing w:val="-1"/>
          <w:sz w:val="24"/>
          <w:szCs w:val="24"/>
        </w:rPr>
        <w:t xml:space="preserve"> </w:t>
      </w:r>
      <w:r w:rsidRPr="00081EFC">
        <w:rPr>
          <w:rFonts w:eastAsia="Palatino Linotype" w:cs="Palatino Linotype"/>
          <w:sz w:val="24"/>
          <w:szCs w:val="24"/>
        </w:rPr>
        <w:t>board structure.</w:t>
      </w:r>
    </w:p>
    <w:p w:rsidRPr="00081EFC" w:rsidR="00081EFC" w:rsidP="0033369D" w:rsidRDefault="00081EFC" w14:paraId="24440B99" w14:textId="77777777">
      <w:pPr>
        <w:widowControl w:val="0"/>
        <w:numPr>
          <w:ilvl w:val="1"/>
          <w:numId w:val="51"/>
        </w:numPr>
        <w:tabs>
          <w:tab w:val="left" w:pos="1180"/>
          <w:tab w:val="left" w:pos="1181"/>
        </w:tabs>
        <w:autoSpaceDE w:val="0"/>
        <w:autoSpaceDN w:val="0"/>
        <w:spacing w:line="240" w:lineRule="auto"/>
        <w:ind w:right="245"/>
        <w:rPr>
          <w:rFonts w:eastAsia="Palatino Linotype" w:cs="Palatino Linotype"/>
          <w:sz w:val="24"/>
          <w:szCs w:val="24"/>
        </w:rPr>
      </w:pPr>
      <w:r w:rsidRPr="00081EFC">
        <w:rPr>
          <w:rFonts w:eastAsia="Palatino Linotype" w:cs="Palatino Linotype"/>
          <w:sz w:val="24"/>
          <w:szCs w:val="24"/>
        </w:rPr>
        <w:t>Identification and description of the geographical regions/population</w:t>
      </w:r>
      <w:r w:rsidRPr="00081EFC">
        <w:rPr>
          <w:rFonts w:eastAsia="Palatino Linotype" w:cs="Palatino Linotype"/>
          <w:spacing w:val="1"/>
          <w:sz w:val="24"/>
          <w:szCs w:val="24"/>
        </w:rPr>
        <w:t xml:space="preserve"> </w:t>
      </w:r>
      <w:r w:rsidRPr="00081EFC">
        <w:rPr>
          <w:rFonts w:eastAsia="Palatino Linotype" w:cs="Palatino Linotype"/>
          <w:sz w:val="24"/>
          <w:szCs w:val="24"/>
        </w:rPr>
        <w:t>groups/community interests to be covered by the proposed</w:t>
      </w:r>
      <w:r w:rsidRPr="00081EFC">
        <w:rPr>
          <w:rFonts w:eastAsia="Palatino Linotype" w:cs="Palatino Linotype"/>
          <w:spacing w:val="1"/>
          <w:sz w:val="24"/>
          <w:szCs w:val="24"/>
        </w:rPr>
        <w:t xml:space="preserve"> </w:t>
      </w:r>
      <w:r w:rsidRPr="00081EFC">
        <w:rPr>
          <w:rFonts w:eastAsia="Palatino Linotype" w:cs="Palatino Linotype"/>
          <w:sz w:val="24"/>
          <w:szCs w:val="24"/>
        </w:rPr>
        <w:t>Consortium</w:t>
      </w:r>
      <w:r w:rsidRPr="00081EFC">
        <w:rPr>
          <w:rFonts w:eastAsia="Palatino Linotype" w:cs="Palatino Linotype"/>
          <w:spacing w:val="-2"/>
          <w:sz w:val="24"/>
          <w:szCs w:val="24"/>
        </w:rPr>
        <w:t xml:space="preserve"> </w:t>
      </w:r>
      <w:r w:rsidRPr="00081EFC">
        <w:rPr>
          <w:rFonts w:eastAsia="Palatino Linotype" w:cs="Palatino Linotype"/>
          <w:sz w:val="24"/>
          <w:szCs w:val="24"/>
        </w:rPr>
        <w:t>project,</w:t>
      </w:r>
      <w:r w:rsidRPr="00081EFC">
        <w:rPr>
          <w:rFonts w:eastAsia="Palatino Linotype" w:cs="Palatino Linotype"/>
          <w:spacing w:val="-2"/>
          <w:sz w:val="24"/>
          <w:szCs w:val="24"/>
        </w:rPr>
        <w:t xml:space="preserve"> </w:t>
      </w:r>
      <w:r w:rsidRPr="00081EFC">
        <w:rPr>
          <w:rFonts w:eastAsia="Palatino Linotype" w:cs="Palatino Linotype"/>
          <w:sz w:val="24"/>
          <w:szCs w:val="24"/>
        </w:rPr>
        <w:t>including</w:t>
      </w:r>
      <w:r w:rsidRPr="00081EFC">
        <w:rPr>
          <w:rFonts w:eastAsia="Palatino Linotype" w:cs="Palatino Linotype"/>
          <w:spacing w:val="-2"/>
          <w:sz w:val="24"/>
          <w:szCs w:val="24"/>
        </w:rPr>
        <w:t xml:space="preserve"> </w:t>
      </w:r>
      <w:r w:rsidRPr="00081EFC">
        <w:rPr>
          <w:rFonts w:eastAsia="Palatino Linotype" w:cs="Palatino Linotype"/>
          <w:sz w:val="24"/>
          <w:szCs w:val="24"/>
        </w:rPr>
        <w:t>a</w:t>
      </w:r>
      <w:r w:rsidRPr="00081EFC">
        <w:rPr>
          <w:rFonts w:eastAsia="Palatino Linotype" w:cs="Palatino Linotype"/>
          <w:spacing w:val="-2"/>
          <w:sz w:val="24"/>
          <w:szCs w:val="24"/>
        </w:rPr>
        <w:t xml:space="preserve"> </w:t>
      </w:r>
      <w:r w:rsidRPr="00081EFC">
        <w:rPr>
          <w:rFonts w:eastAsia="Palatino Linotype" w:cs="Palatino Linotype"/>
          <w:sz w:val="24"/>
          <w:szCs w:val="24"/>
        </w:rPr>
        <w:t>description</w:t>
      </w:r>
      <w:r w:rsidRPr="00081EFC">
        <w:rPr>
          <w:rFonts w:eastAsia="Palatino Linotype" w:cs="Palatino Linotype"/>
          <w:spacing w:val="-3"/>
          <w:sz w:val="24"/>
          <w:szCs w:val="24"/>
        </w:rPr>
        <w:t xml:space="preserve"> </w:t>
      </w:r>
      <w:r w:rsidRPr="00081EFC">
        <w:rPr>
          <w:rFonts w:eastAsia="Palatino Linotype" w:cs="Palatino Linotype"/>
          <w:sz w:val="24"/>
          <w:szCs w:val="24"/>
        </w:rPr>
        <w:t>of</w:t>
      </w:r>
      <w:r w:rsidRPr="00081EFC">
        <w:rPr>
          <w:rFonts w:eastAsia="Palatino Linotype" w:cs="Palatino Linotype"/>
          <w:spacing w:val="-2"/>
          <w:sz w:val="24"/>
          <w:szCs w:val="24"/>
        </w:rPr>
        <w:t xml:space="preserve"> </w:t>
      </w:r>
      <w:r w:rsidRPr="00081EFC">
        <w:rPr>
          <w:rFonts w:eastAsia="Palatino Linotype" w:cs="Palatino Linotype"/>
          <w:sz w:val="24"/>
          <w:szCs w:val="24"/>
        </w:rPr>
        <w:t>the</w:t>
      </w:r>
      <w:r w:rsidRPr="00081EFC">
        <w:rPr>
          <w:rFonts w:eastAsia="Palatino Linotype" w:cs="Palatino Linotype"/>
          <w:spacing w:val="-3"/>
          <w:sz w:val="24"/>
          <w:szCs w:val="24"/>
        </w:rPr>
        <w:t xml:space="preserve"> </w:t>
      </w:r>
      <w:r w:rsidRPr="00081EFC">
        <w:rPr>
          <w:rFonts w:eastAsia="Palatino Linotype" w:cs="Palatino Linotype"/>
          <w:sz w:val="24"/>
          <w:szCs w:val="24"/>
        </w:rPr>
        <w:t>area,</w:t>
      </w:r>
      <w:r w:rsidRPr="00081EFC">
        <w:rPr>
          <w:rFonts w:eastAsia="Palatino Linotype" w:cs="Palatino Linotype"/>
          <w:spacing w:val="-2"/>
          <w:sz w:val="24"/>
          <w:szCs w:val="24"/>
        </w:rPr>
        <w:t xml:space="preserve"> </w:t>
      </w:r>
      <w:r w:rsidRPr="00081EFC">
        <w:rPr>
          <w:rFonts w:eastAsia="Palatino Linotype" w:cs="Palatino Linotype"/>
          <w:sz w:val="24"/>
          <w:szCs w:val="24"/>
        </w:rPr>
        <w:t>maps,</w:t>
      </w:r>
      <w:r w:rsidRPr="00081EFC">
        <w:rPr>
          <w:rFonts w:eastAsia="Palatino Linotype" w:cs="Palatino Linotype"/>
          <w:spacing w:val="-2"/>
          <w:sz w:val="24"/>
          <w:szCs w:val="24"/>
        </w:rPr>
        <w:t xml:space="preserve"> </w:t>
      </w:r>
      <w:r w:rsidRPr="00081EFC">
        <w:rPr>
          <w:rFonts w:eastAsia="Palatino Linotype" w:cs="Palatino Linotype"/>
          <w:sz w:val="24"/>
          <w:szCs w:val="24"/>
        </w:rPr>
        <w:t>and</w:t>
      </w:r>
      <w:r w:rsidRPr="00081EFC">
        <w:rPr>
          <w:rFonts w:eastAsia="Palatino Linotype" w:cs="Palatino Linotype"/>
          <w:spacing w:val="-3"/>
          <w:sz w:val="24"/>
          <w:szCs w:val="24"/>
        </w:rPr>
        <w:t xml:space="preserve"> </w:t>
      </w:r>
      <w:r w:rsidRPr="00081EFC">
        <w:rPr>
          <w:rFonts w:eastAsia="Palatino Linotype" w:cs="Palatino Linotype"/>
          <w:sz w:val="24"/>
          <w:szCs w:val="24"/>
        </w:rPr>
        <w:t>list</w:t>
      </w:r>
      <w:r w:rsidRPr="00081EFC">
        <w:rPr>
          <w:rFonts w:eastAsia="Palatino Linotype" w:cs="Palatino Linotype"/>
          <w:spacing w:val="-57"/>
          <w:sz w:val="24"/>
          <w:szCs w:val="24"/>
        </w:rPr>
        <w:t xml:space="preserve"> </w:t>
      </w:r>
      <w:r w:rsidRPr="00081EFC">
        <w:rPr>
          <w:rFonts w:eastAsia="Palatino Linotype" w:cs="Palatino Linotype"/>
          <w:sz w:val="24"/>
          <w:szCs w:val="24"/>
        </w:rPr>
        <w:t>of</w:t>
      </w:r>
      <w:r w:rsidRPr="00081EFC">
        <w:rPr>
          <w:rFonts w:eastAsia="Palatino Linotype" w:cs="Palatino Linotype"/>
          <w:spacing w:val="-1"/>
          <w:sz w:val="24"/>
          <w:szCs w:val="24"/>
        </w:rPr>
        <w:t xml:space="preserve"> </w:t>
      </w:r>
      <w:r w:rsidRPr="00081EFC">
        <w:rPr>
          <w:rFonts w:eastAsia="Palatino Linotype" w:cs="Palatino Linotype"/>
          <w:sz w:val="24"/>
          <w:szCs w:val="24"/>
        </w:rPr>
        <w:t>Census</w:t>
      </w:r>
      <w:r w:rsidRPr="00081EFC">
        <w:rPr>
          <w:rFonts w:eastAsia="Palatino Linotype" w:cs="Palatino Linotype"/>
          <w:spacing w:val="-1"/>
          <w:sz w:val="24"/>
          <w:szCs w:val="24"/>
        </w:rPr>
        <w:t xml:space="preserve"> </w:t>
      </w:r>
      <w:r w:rsidRPr="00081EFC">
        <w:rPr>
          <w:rFonts w:eastAsia="Palatino Linotype" w:cs="Palatino Linotype"/>
          <w:sz w:val="24"/>
          <w:szCs w:val="24"/>
        </w:rPr>
        <w:t>Blocks (CBs).</w:t>
      </w:r>
    </w:p>
    <w:p w:rsidRPr="00081EFC" w:rsidR="00081EFC" w:rsidP="0033369D" w:rsidRDefault="00081EFC" w14:paraId="617DA634" w14:textId="77777777">
      <w:pPr>
        <w:widowControl w:val="0"/>
        <w:numPr>
          <w:ilvl w:val="1"/>
          <w:numId w:val="51"/>
        </w:numPr>
        <w:tabs>
          <w:tab w:val="left" w:pos="1180"/>
          <w:tab w:val="left" w:pos="1181"/>
        </w:tabs>
        <w:autoSpaceDE w:val="0"/>
        <w:autoSpaceDN w:val="0"/>
        <w:spacing w:line="240" w:lineRule="auto"/>
        <w:ind w:right="158"/>
        <w:rPr>
          <w:rFonts w:eastAsia="Palatino Linotype" w:cs="Palatino Linotype"/>
          <w:sz w:val="24"/>
          <w:szCs w:val="24"/>
        </w:rPr>
      </w:pPr>
      <w:r w:rsidRPr="00081EFC">
        <w:rPr>
          <w:rFonts w:eastAsia="Palatino Linotype" w:cs="Palatino Linotype"/>
          <w:sz w:val="24"/>
          <w:szCs w:val="24"/>
        </w:rPr>
        <w:t>Description of existing and past projects including: (1) budget,</w:t>
      </w:r>
      <w:r w:rsidRPr="00081EFC">
        <w:rPr>
          <w:rFonts w:eastAsia="Palatino Linotype" w:cs="Palatino Linotype"/>
          <w:spacing w:val="1"/>
          <w:sz w:val="24"/>
          <w:szCs w:val="24"/>
        </w:rPr>
        <w:t xml:space="preserve"> </w:t>
      </w:r>
      <w:r w:rsidRPr="00081EFC">
        <w:rPr>
          <w:rFonts w:eastAsia="Palatino Linotype" w:cs="Palatino Linotype"/>
          <w:sz w:val="24"/>
          <w:szCs w:val="24"/>
        </w:rPr>
        <w:t>timelines, and funding source; (2) demonstration that there will be no</w:t>
      </w:r>
      <w:r w:rsidRPr="00081EFC">
        <w:rPr>
          <w:rFonts w:eastAsia="Palatino Linotype" w:cs="Palatino Linotype"/>
          <w:spacing w:val="1"/>
          <w:sz w:val="24"/>
          <w:szCs w:val="24"/>
        </w:rPr>
        <w:t xml:space="preserve"> </w:t>
      </w:r>
      <w:r w:rsidRPr="00081EFC">
        <w:rPr>
          <w:rFonts w:eastAsia="Palatino Linotype" w:cs="Palatino Linotype"/>
          <w:sz w:val="24"/>
          <w:szCs w:val="24"/>
        </w:rPr>
        <w:t>overlap</w:t>
      </w:r>
      <w:r w:rsidRPr="00081EFC">
        <w:rPr>
          <w:rFonts w:eastAsia="Palatino Linotype" w:cs="Palatino Linotype"/>
          <w:spacing w:val="-3"/>
          <w:sz w:val="24"/>
          <w:szCs w:val="24"/>
        </w:rPr>
        <w:t xml:space="preserve"> </w:t>
      </w:r>
      <w:r w:rsidRPr="00081EFC">
        <w:rPr>
          <w:rFonts w:eastAsia="Palatino Linotype" w:cs="Palatino Linotype"/>
          <w:sz w:val="24"/>
          <w:szCs w:val="24"/>
        </w:rPr>
        <w:t>and/or</w:t>
      </w:r>
      <w:r w:rsidRPr="00081EFC">
        <w:rPr>
          <w:rFonts w:eastAsia="Palatino Linotype" w:cs="Palatino Linotype"/>
          <w:spacing w:val="-3"/>
          <w:sz w:val="24"/>
          <w:szCs w:val="24"/>
        </w:rPr>
        <w:t xml:space="preserve"> </w:t>
      </w:r>
      <w:r w:rsidRPr="00081EFC">
        <w:rPr>
          <w:rFonts w:eastAsia="Palatino Linotype" w:cs="Palatino Linotype"/>
          <w:sz w:val="24"/>
          <w:szCs w:val="24"/>
        </w:rPr>
        <w:t>duplication</w:t>
      </w:r>
      <w:r w:rsidRPr="00081EFC">
        <w:rPr>
          <w:rFonts w:eastAsia="Palatino Linotype" w:cs="Palatino Linotype"/>
          <w:spacing w:val="-4"/>
          <w:sz w:val="24"/>
          <w:szCs w:val="24"/>
        </w:rPr>
        <w:t xml:space="preserve"> </w:t>
      </w:r>
      <w:r w:rsidRPr="00081EFC">
        <w:rPr>
          <w:rFonts w:eastAsia="Palatino Linotype" w:cs="Palatino Linotype"/>
          <w:sz w:val="24"/>
          <w:szCs w:val="24"/>
        </w:rPr>
        <w:t>of</w:t>
      </w:r>
      <w:r w:rsidRPr="00081EFC">
        <w:rPr>
          <w:rFonts w:eastAsia="Palatino Linotype" w:cs="Palatino Linotype"/>
          <w:spacing w:val="-2"/>
          <w:sz w:val="24"/>
          <w:szCs w:val="24"/>
        </w:rPr>
        <w:t xml:space="preserve"> </w:t>
      </w:r>
      <w:r w:rsidRPr="00081EFC">
        <w:rPr>
          <w:rFonts w:eastAsia="Palatino Linotype" w:cs="Palatino Linotype"/>
          <w:sz w:val="24"/>
          <w:szCs w:val="24"/>
        </w:rPr>
        <w:t>such</w:t>
      </w:r>
      <w:r w:rsidRPr="00081EFC">
        <w:rPr>
          <w:rFonts w:eastAsia="Palatino Linotype" w:cs="Palatino Linotype"/>
          <w:spacing w:val="-4"/>
          <w:sz w:val="24"/>
          <w:szCs w:val="24"/>
        </w:rPr>
        <w:t xml:space="preserve"> </w:t>
      </w:r>
      <w:r w:rsidRPr="00081EFC">
        <w:rPr>
          <w:rFonts w:eastAsia="Palatino Linotype" w:cs="Palatino Linotype"/>
          <w:sz w:val="24"/>
          <w:szCs w:val="24"/>
        </w:rPr>
        <w:t>projects</w:t>
      </w:r>
      <w:r w:rsidRPr="00081EFC">
        <w:rPr>
          <w:rFonts w:eastAsia="Palatino Linotype" w:cs="Palatino Linotype"/>
          <w:spacing w:val="-4"/>
          <w:sz w:val="24"/>
          <w:szCs w:val="24"/>
        </w:rPr>
        <w:t xml:space="preserve"> </w:t>
      </w:r>
      <w:r w:rsidRPr="00081EFC">
        <w:rPr>
          <w:rFonts w:eastAsia="Palatino Linotype" w:cs="Palatino Linotype"/>
          <w:sz w:val="24"/>
          <w:szCs w:val="24"/>
        </w:rPr>
        <w:t>(i.e.,</w:t>
      </w:r>
      <w:r w:rsidRPr="00081EFC">
        <w:rPr>
          <w:rFonts w:eastAsia="Palatino Linotype" w:cs="Palatino Linotype"/>
          <w:spacing w:val="-3"/>
          <w:sz w:val="24"/>
          <w:szCs w:val="24"/>
        </w:rPr>
        <w:t xml:space="preserve"> </w:t>
      </w:r>
      <w:r w:rsidRPr="00081EFC">
        <w:rPr>
          <w:rFonts w:eastAsia="Palatino Linotype" w:cs="Palatino Linotype"/>
          <w:sz w:val="24"/>
          <w:szCs w:val="24"/>
        </w:rPr>
        <w:t>provide</w:t>
      </w:r>
      <w:r w:rsidRPr="00081EFC">
        <w:rPr>
          <w:rFonts w:eastAsia="Palatino Linotype" w:cs="Palatino Linotype"/>
          <w:spacing w:val="-2"/>
          <w:sz w:val="24"/>
          <w:szCs w:val="24"/>
        </w:rPr>
        <w:t xml:space="preserve"> </w:t>
      </w:r>
      <w:r w:rsidRPr="00081EFC">
        <w:rPr>
          <w:rFonts w:eastAsia="Palatino Linotype" w:cs="Palatino Linotype"/>
          <w:sz w:val="24"/>
          <w:szCs w:val="24"/>
        </w:rPr>
        <w:t>description</w:t>
      </w:r>
      <w:r w:rsidRPr="00081EFC">
        <w:rPr>
          <w:rFonts w:eastAsia="Palatino Linotype" w:cs="Palatino Linotype"/>
          <w:spacing w:val="-2"/>
          <w:sz w:val="24"/>
          <w:szCs w:val="24"/>
        </w:rPr>
        <w:t xml:space="preserve"> </w:t>
      </w:r>
      <w:r w:rsidRPr="00081EFC">
        <w:rPr>
          <w:rFonts w:eastAsia="Palatino Linotype" w:cs="Palatino Linotype"/>
          <w:sz w:val="24"/>
          <w:szCs w:val="24"/>
        </w:rPr>
        <w:t>of</w:t>
      </w:r>
      <w:r w:rsidRPr="00081EFC">
        <w:rPr>
          <w:rFonts w:eastAsia="Palatino Linotype" w:cs="Palatino Linotype"/>
          <w:spacing w:val="-57"/>
          <w:sz w:val="24"/>
          <w:szCs w:val="24"/>
        </w:rPr>
        <w:t xml:space="preserve"> </w:t>
      </w:r>
      <w:r w:rsidRPr="00081EFC">
        <w:rPr>
          <w:rFonts w:eastAsia="Palatino Linotype" w:cs="Palatino Linotype"/>
          <w:sz w:val="24"/>
          <w:szCs w:val="24"/>
        </w:rPr>
        <w:t>geographic region served and geographic region that will be served,</w:t>
      </w:r>
      <w:r w:rsidRPr="00081EFC">
        <w:rPr>
          <w:rFonts w:eastAsia="Palatino Linotype" w:cs="Palatino Linotype"/>
          <w:spacing w:val="1"/>
          <w:sz w:val="24"/>
          <w:szCs w:val="24"/>
        </w:rPr>
        <w:t xml:space="preserve"> </w:t>
      </w:r>
      <w:r w:rsidRPr="00081EFC">
        <w:rPr>
          <w:rFonts w:eastAsia="Palatino Linotype" w:cs="Palatino Linotype"/>
          <w:sz w:val="24"/>
          <w:szCs w:val="24"/>
        </w:rPr>
        <w:t>etc.);</w:t>
      </w:r>
      <w:r w:rsidRPr="00081EFC">
        <w:rPr>
          <w:rFonts w:eastAsia="Palatino Linotype" w:cs="Palatino Linotype"/>
          <w:spacing w:val="-1"/>
          <w:sz w:val="24"/>
          <w:szCs w:val="24"/>
        </w:rPr>
        <w:t xml:space="preserve"> </w:t>
      </w:r>
      <w:r w:rsidRPr="00081EFC">
        <w:rPr>
          <w:rFonts w:eastAsia="Palatino Linotype" w:cs="Palatino Linotype"/>
          <w:sz w:val="24"/>
          <w:szCs w:val="24"/>
        </w:rPr>
        <w:t>and</w:t>
      </w:r>
      <w:r w:rsidRPr="00081EFC">
        <w:rPr>
          <w:rFonts w:eastAsia="Palatino Linotype" w:cs="Palatino Linotype"/>
          <w:spacing w:val="-1"/>
          <w:sz w:val="24"/>
          <w:szCs w:val="24"/>
        </w:rPr>
        <w:t xml:space="preserve"> </w:t>
      </w:r>
      <w:r w:rsidRPr="00081EFC">
        <w:rPr>
          <w:rFonts w:eastAsia="Palatino Linotype" w:cs="Palatino Linotype"/>
          <w:sz w:val="24"/>
          <w:szCs w:val="24"/>
        </w:rPr>
        <w:t>(3)</w:t>
      </w:r>
      <w:r w:rsidRPr="00081EFC">
        <w:rPr>
          <w:rFonts w:eastAsia="Palatino Linotype" w:cs="Palatino Linotype"/>
          <w:spacing w:val="-1"/>
          <w:sz w:val="24"/>
          <w:szCs w:val="24"/>
        </w:rPr>
        <w:t xml:space="preserve"> </w:t>
      </w:r>
      <w:r w:rsidRPr="00081EFC">
        <w:rPr>
          <w:rFonts w:eastAsia="Palatino Linotype" w:cs="Palatino Linotype"/>
          <w:sz w:val="24"/>
          <w:szCs w:val="24"/>
        </w:rPr>
        <w:t>best</w:t>
      </w:r>
      <w:r w:rsidRPr="00081EFC">
        <w:rPr>
          <w:rFonts w:eastAsia="Palatino Linotype" w:cs="Palatino Linotype"/>
          <w:spacing w:val="-1"/>
          <w:sz w:val="24"/>
          <w:szCs w:val="24"/>
        </w:rPr>
        <w:t xml:space="preserve"> </w:t>
      </w:r>
      <w:r w:rsidRPr="00081EFC">
        <w:rPr>
          <w:rFonts w:eastAsia="Palatino Linotype" w:cs="Palatino Linotype"/>
          <w:sz w:val="24"/>
          <w:szCs w:val="24"/>
        </w:rPr>
        <w:t>practices</w:t>
      </w:r>
      <w:r w:rsidRPr="00081EFC">
        <w:rPr>
          <w:rFonts w:eastAsia="Palatino Linotype" w:cs="Palatino Linotype"/>
          <w:spacing w:val="-1"/>
          <w:sz w:val="24"/>
          <w:szCs w:val="24"/>
        </w:rPr>
        <w:t xml:space="preserve"> </w:t>
      </w:r>
      <w:r w:rsidRPr="00081EFC">
        <w:rPr>
          <w:rFonts w:eastAsia="Palatino Linotype" w:cs="Palatino Linotype"/>
          <w:sz w:val="24"/>
          <w:szCs w:val="24"/>
        </w:rPr>
        <w:t>learned</w:t>
      </w:r>
      <w:r w:rsidRPr="00081EFC">
        <w:rPr>
          <w:rFonts w:eastAsia="Palatino Linotype" w:cs="Palatino Linotype"/>
          <w:spacing w:val="2"/>
          <w:sz w:val="24"/>
          <w:szCs w:val="24"/>
        </w:rPr>
        <w:t xml:space="preserve"> </w:t>
      </w:r>
      <w:r w:rsidRPr="00081EFC">
        <w:rPr>
          <w:rFonts w:eastAsia="Palatino Linotype" w:cs="Palatino Linotype"/>
          <w:sz w:val="24"/>
          <w:szCs w:val="24"/>
        </w:rPr>
        <w:t>from said</w:t>
      </w:r>
      <w:r w:rsidRPr="00081EFC">
        <w:rPr>
          <w:rFonts w:eastAsia="Palatino Linotype" w:cs="Palatino Linotype"/>
          <w:spacing w:val="1"/>
          <w:sz w:val="24"/>
          <w:szCs w:val="24"/>
        </w:rPr>
        <w:t xml:space="preserve"> </w:t>
      </w:r>
      <w:r w:rsidRPr="00081EFC">
        <w:rPr>
          <w:rFonts w:eastAsia="Palatino Linotype" w:cs="Palatino Linotype"/>
          <w:sz w:val="24"/>
          <w:szCs w:val="24"/>
        </w:rPr>
        <w:t>projects.</w:t>
      </w:r>
    </w:p>
    <w:p w:rsidRPr="00081EFC" w:rsidR="00081EFC" w:rsidP="0033369D" w:rsidRDefault="00081EFC" w14:paraId="2C5DFD85" w14:textId="77777777">
      <w:pPr>
        <w:widowControl w:val="0"/>
        <w:numPr>
          <w:ilvl w:val="1"/>
          <w:numId w:val="51"/>
        </w:numPr>
        <w:tabs>
          <w:tab w:val="left" w:pos="1180"/>
          <w:tab w:val="left" w:pos="1181"/>
        </w:tabs>
        <w:autoSpaceDE w:val="0"/>
        <w:autoSpaceDN w:val="0"/>
        <w:spacing w:line="240" w:lineRule="auto"/>
        <w:ind w:right="158"/>
        <w:rPr>
          <w:rFonts w:eastAsia="Palatino Linotype" w:cs="Palatino Linotype"/>
          <w:sz w:val="24"/>
          <w:szCs w:val="24"/>
        </w:rPr>
      </w:pPr>
      <w:r w:rsidRPr="00081EFC">
        <w:rPr>
          <w:rFonts w:eastAsia="Palatino Linotype" w:cs="Palatino Linotype"/>
          <w:sz w:val="24"/>
          <w:szCs w:val="24"/>
        </w:rPr>
        <w:t xml:space="preserve">If the applicant requests Consortia boundaries that do not coincide with county boundaries, the application must include: </w:t>
      </w:r>
    </w:p>
    <w:p w:rsidRPr="00081EFC" w:rsidR="00081EFC" w:rsidP="0033369D" w:rsidRDefault="00081EFC" w14:paraId="2CD3AEFC" w14:textId="77777777">
      <w:pPr>
        <w:widowControl w:val="0"/>
        <w:numPr>
          <w:ilvl w:val="0"/>
          <w:numId w:val="52"/>
        </w:numPr>
        <w:tabs>
          <w:tab w:val="left" w:pos="1180"/>
          <w:tab w:val="left" w:pos="1181"/>
        </w:tabs>
        <w:autoSpaceDE w:val="0"/>
        <w:autoSpaceDN w:val="0"/>
        <w:spacing w:line="240" w:lineRule="auto"/>
        <w:ind w:right="158"/>
        <w:rPr>
          <w:rFonts w:eastAsia="Palatino Linotype" w:cs="Palatino Linotype"/>
          <w:sz w:val="24"/>
          <w:szCs w:val="24"/>
        </w:rPr>
      </w:pPr>
      <w:r w:rsidRPr="00081EFC">
        <w:rPr>
          <w:rFonts w:eastAsia="Palatino Linotype" w:cs="Palatino Linotype"/>
          <w:sz w:val="24"/>
          <w:szCs w:val="24"/>
        </w:rPr>
        <w:t xml:space="preserve">The geographic or terrain-related justifications and reasons for the request, with supporting data and facts (e.g., shapefile geodata),  </w:t>
      </w:r>
    </w:p>
    <w:p w:rsidRPr="00081EFC" w:rsidR="00081EFC" w:rsidP="0033369D" w:rsidRDefault="00081EFC" w14:paraId="4FECC0F4" w14:textId="77777777">
      <w:pPr>
        <w:widowControl w:val="0"/>
        <w:numPr>
          <w:ilvl w:val="0"/>
          <w:numId w:val="52"/>
        </w:numPr>
        <w:tabs>
          <w:tab w:val="left" w:pos="1180"/>
          <w:tab w:val="left" w:pos="1181"/>
        </w:tabs>
        <w:autoSpaceDE w:val="0"/>
        <w:autoSpaceDN w:val="0"/>
        <w:spacing w:line="240" w:lineRule="auto"/>
        <w:ind w:right="158"/>
        <w:rPr>
          <w:rFonts w:eastAsia="Palatino Linotype" w:cs="Palatino Linotype"/>
          <w:sz w:val="24"/>
          <w:szCs w:val="24"/>
        </w:rPr>
      </w:pPr>
      <w:r w:rsidRPr="00081EFC">
        <w:rPr>
          <w:rFonts w:eastAsia="Palatino Linotype" w:cs="Palatino Linotype"/>
          <w:sz w:val="24"/>
          <w:szCs w:val="24"/>
        </w:rPr>
        <w:t xml:space="preserve">a clear definition of the areas within the county it wishes to represent, including a description of the area(s) and a map, </w:t>
      </w:r>
    </w:p>
    <w:p w:rsidRPr="00081EFC" w:rsidR="00081EFC" w:rsidP="0033369D" w:rsidRDefault="00081EFC" w14:paraId="48B32E73" w14:textId="77777777">
      <w:pPr>
        <w:widowControl w:val="0"/>
        <w:numPr>
          <w:ilvl w:val="0"/>
          <w:numId w:val="52"/>
        </w:numPr>
        <w:tabs>
          <w:tab w:val="left" w:pos="1180"/>
          <w:tab w:val="left" w:pos="1181"/>
        </w:tabs>
        <w:autoSpaceDE w:val="0"/>
        <w:autoSpaceDN w:val="0"/>
        <w:spacing w:line="240" w:lineRule="auto"/>
        <w:ind w:right="158"/>
        <w:rPr>
          <w:rFonts w:eastAsia="Palatino Linotype" w:cs="Palatino Linotype"/>
          <w:sz w:val="24"/>
          <w:szCs w:val="24"/>
        </w:rPr>
      </w:pPr>
      <w:r w:rsidRPr="00081EFC">
        <w:rPr>
          <w:rFonts w:eastAsia="Palatino Linotype" w:cs="Palatino Linotype"/>
          <w:sz w:val="24"/>
          <w:szCs w:val="24"/>
        </w:rPr>
        <w:t>a jointly signed agreement letter with any other consortia representing the same county explaining which Consortia will represent the area should the application be granted, and</w:t>
      </w:r>
    </w:p>
    <w:p w:rsidRPr="00081EFC" w:rsidR="00081EFC" w:rsidP="0033369D" w:rsidRDefault="00081EFC" w14:paraId="1D09DB81" w14:textId="77777777">
      <w:pPr>
        <w:widowControl w:val="0"/>
        <w:numPr>
          <w:ilvl w:val="0"/>
          <w:numId w:val="52"/>
        </w:numPr>
        <w:tabs>
          <w:tab w:val="left" w:pos="1180"/>
          <w:tab w:val="left" w:pos="1181"/>
        </w:tabs>
        <w:autoSpaceDE w:val="0"/>
        <w:autoSpaceDN w:val="0"/>
        <w:spacing w:line="240" w:lineRule="auto"/>
        <w:ind w:right="158"/>
        <w:rPr>
          <w:rFonts w:eastAsia="Palatino Linotype" w:cs="Palatino Linotype"/>
          <w:sz w:val="24"/>
          <w:szCs w:val="24"/>
        </w:rPr>
      </w:pPr>
      <w:r w:rsidRPr="00081EFC">
        <w:rPr>
          <w:rFonts w:eastAsia="Palatino Linotype" w:cs="Palatino Linotype"/>
          <w:sz w:val="24"/>
          <w:szCs w:val="24"/>
        </w:rPr>
        <w:t xml:space="preserve">demonstration that there will be no geographic overlap with other consortia if the award is granted, including a map showing no boundary overlap. </w:t>
      </w:r>
    </w:p>
    <w:p w:rsidRPr="00081EFC" w:rsidR="00081EFC" w:rsidP="00081EFC" w:rsidRDefault="00081EFC" w14:paraId="1E36A2A8" w14:textId="77777777">
      <w:pPr>
        <w:widowControl w:val="0"/>
        <w:tabs>
          <w:tab w:val="left" w:pos="1180"/>
          <w:tab w:val="left" w:pos="1181"/>
        </w:tabs>
        <w:autoSpaceDE w:val="0"/>
        <w:autoSpaceDN w:val="0"/>
        <w:spacing w:line="240" w:lineRule="auto"/>
        <w:ind w:left="1900" w:right="158" w:firstLine="0"/>
        <w:rPr>
          <w:rFonts w:eastAsia="Palatino Linotype" w:cs="Palatino Linotype"/>
          <w:sz w:val="24"/>
          <w:szCs w:val="24"/>
        </w:rPr>
      </w:pPr>
    </w:p>
    <w:p w:rsidRPr="00081EFC" w:rsidR="00081EFC" w:rsidP="005E7FE0" w:rsidRDefault="00081EFC" w14:paraId="310AC2C0" w14:textId="77777777">
      <w:pPr>
        <w:keepNext/>
        <w:keepLines/>
        <w:widowControl w:val="0"/>
        <w:numPr>
          <w:ilvl w:val="0"/>
          <w:numId w:val="50"/>
        </w:numPr>
        <w:autoSpaceDE w:val="0"/>
        <w:autoSpaceDN w:val="0"/>
        <w:spacing w:before="24" w:line="240" w:lineRule="auto"/>
        <w:ind w:right="259"/>
        <w:contextualSpacing/>
        <w:rPr>
          <w:rFonts w:eastAsia="Palatino Linotype" w:cs="Palatino Linotype"/>
          <w:sz w:val="24"/>
          <w:szCs w:val="24"/>
        </w:rPr>
      </w:pPr>
      <w:r w:rsidRPr="00081EFC">
        <w:rPr>
          <w:rFonts w:eastAsia="Palatino Linotype" w:cs="Palatino Linotype"/>
          <w:sz w:val="24"/>
          <w:szCs w:val="24"/>
        </w:rPr>
        <w:t>Work Plan and Performance Metrics Plan Requirements</w:t>
      </w:r>
    </w:p>
    <w:p w:rsidRPr="00081EFC" w:rsidR="00081EFC" w:rsidP="005E7FE0" w:rsidRDefault="00081EFC" w14:paraId="04DE10AD" w14:textId="77777777">
      <w:pPr>
        <w:keepNext/>
        <w:keepLines/>
        <w:widowControl w:val="0"/>
        <w:autoSpaceDE w:val="0"/>
        <w:autoSpaceDN w:val="0"/>
        <w:spacing w:before="24" w:line="240" w:lineRule="auto"/>
        <w:ind w:right="259" w:firstLine="0"/>
        <w:rPr>
          <w:rFonts w:eastAsia="Palatino Linotype" w:cs="Palatino Linotype"/>
          <w:sz w:val="24"/>
          <w:szCs w:val="24"/>
        </w:rPr>
      </w:pPr>
      <w:r w:rsidRPr="00081EFC">
        <w:rPr>
          <w:rFonts w:eastAsia="Palatino Linotype" w:cs="Palatino Linotype"/>
          <w:sz w:val="24"/>
          <w:szCs w:val="24"/>
        </w:rPr>
        <w:t>Each Consortium applicant must submit a Work Plan and a Performance Metrics Plan as part of the application. The Work Plan and Performance Metrics Plan will serve as the tools in the initial review of the applications.</w:t>
      </w:r>
      <w:r w:rsidRPr="00081EFC">
        <w:rPr>
          <w:rFonts w:eastAsia="Palatino Linotype" w:cs="Palatino Linotype"/>
          <w:sz w:val="24"/>
          <w:szCs w:val="24"/>
          <w:vertAlign w:val="superscript"/>
        </w:rPr>
        <w:footnoteReference w:id="204"/>
      </w:r>
    </w:p>
    <w:p w:rsidRPr="00081EFC" w:rsidR="00081EFC" w:rsidP="00081EFC" w:rsidRDefault="00081EFC" w14:paraId="563276EB"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6908E671"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The Work Plan should identify the Consortium’s goals as they relate to the region’s needs for broadband deployment and include detailed functions and activities related to implementation of each goal. The Work Plan documents are to be tailored to fit the needs of a given Consortium region’s constituents and geography, </w:t>
      </w:r>
      <w:r w:rsidRPr="00081EFC">
        <w:rPr>
          <w:rFonts w:eastAsia="Palatino Linotype" w:cs="Palatino Linotype"/>
          <w:sz w:val="24"/>
          <w:szCs w:val="24"/>
        </w:rPr>
        <w:lastRenderedPageBreak/>
        <w:t>incorporating core responsibilities, including goals, measurable deliverables, expected outcomes, and specific timeline milestones as they relate to broadband deployment.</w:t>
      </w:r>
      <w:r w:rsidRPr="00081EFC">
        <w:rPr>
          <w:rFonts w:eastAsia="Palatino Linotype" w:cs="Palatino Linotype"/>
          <w:sz w:val="24"/>
          <w:szCs w:val="24"/>
          <w:vertAlign w:val="superscript"/>
        </w:rPr>
        <w:footnoteReference w:id="205"/>
      </w:r>
    </w:p>
    <w:p w:rsidRPr="00081EFC" w:rsidR="00081EFC" w:rsidP="00081EFC" w:rsidRDefault="00081EFC" w14:paraId="157D6B6C"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078ED712"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The Work Plan should align with the activities outlined in Section IV Account Objective and Allowable Activities. The Work Plan should represent the viewpoints of a consensus of stakeholders and anchor institutions, and it should aim to increase broadband deployment, specifically assisting with the filing of infrastructure projects, identifying priority areas, assisting potential broadband deployment applicants with the broadband deployment programs created under AB 164 and SB 156, and cost-effective solutions in the Consortium’s respective region. Additionally, the Work Plan should broadly describe how the Consortium would track and measure performance results with respect to broadband deployment goals of Pub. Util. Code § 281.</w:t>
      </w:r>
    </w:p>
    <w:p w:rsidRPr="00081EFC" w:rsidR="00081EFC" w:rsidP="00081EFC" w:rsidRDefault="00081EFC" w14:paraId="0DDD6FEF"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031BE59E"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The Work Plan should include:</w:t>
      </w:r>
    </w:p>
    <w:p w:rsidRPr="00081EFC" w:rsidR="00081EFC" w:rsidP="0033369D" w:rsidRDefault="00081EFC" w14:paraId="60447DF1" w14:textId="77777777">
      <w:pPr>
        <w:widowControl w:val="0"/>
        <w:numPr>
          <w:ilvl w:val="0"/>
          <w:numId w:val="53"/>
        </w:numPr>
        <w:autoSpaceDE w:val="0"/>
        <w:autoSpaceDN w:val="0"/>
        <w:spacing w:before="24" w:line="240" w:lineRule="auto"/>
        <w:ind w:left="720" w:right="262"/>
        <w:contextualSpacing/>
        <w:rPr>
          <w:rFonts w:eastAsia="Palatino Linotype" w:cs="Palatino Linotype"/>
          <w:sz w:val="24"/>
          <w:szCs w:val="24"/>
        </w:rPr>
      </w:pPr>
      <w:r w:rsidRPr="00081EFC">
        <w:rPr>
          <w:rFonts w:eastAsia="Palatino Linotype" w:cs="Palatino Linotype"/>
          <w:sz w:val="24"/>
          <w:szCs w:val="24"/>
        </w:rPr>
        <w:t xml:space="preserve">Detailed functions, activities, and deliverables related to implementing the consortia grant </w:t>
      </w:r>
      <w:proofErr w:type="gramStart"/>
      <w:r w:rsidRPr="00081EFC">
        <w:rPr>
          <w:rFonts w:eastAsia="Palatino Linotype" w:cs="Palatino Linotype"/>
          <w:sz w:val="24"/>
          <w:szCs w:val="24"/>
        </w:rPr>
        <w:t>program;</w:t>
      </w:r>
      <w:proofErr w:type="gramEnd"/>
    </w:p>
    <w:p w:rsidRPr="00081EFC" w:rsidR="00081EFC" w:rsidP="0033369D" w:rsidRDefault="00081EFC" w14:paraId="3EA07273" w14:textId="77777777">
      <w:pPr>
        <w:widowControl w:val="0"/>
        <w:numPr>
          <w:ilvl w:val="0"/>
          <w:numId w:val="53"/>
        </w:numPr>
        <w:autoSpaceDE w:val="0"/>
        <w:autoSpaceDN w:val="0"/>
        <w:spacing w:before="24" w:line="240" w:lineRule="auto"/>
        <w:ind w:left="720" w:right="262"/>
        <w:contextualSpacing/>
        <w:rPr>
          <w:rFonts w:eastAsia="Palatino Linotype" w:cs="Palatino Linotype"/>
          <w:sz w:val="24"/>
          <w:szCs w:val="24"/>
        </w:rPr>
      </w:pPr>
      <w:r w:rsidRPr="00081EFC">
        <w:rPr>
          <w:rFonts w:eastAsia="Palatino Linotype" w:cs="Palatino Linotype"/>
          <w:sz w:val="24"/>
          <w:szCs w:val="24"/>
        </w:rPr>
        <w:t>A timeline identifying milestone dates for completion of key Work Plan activities and deliverables; the timeline should describe each of the monthly milestones, including performance metrics to be accomplished; and</w:t>
      </w:r>
    </w:p>
    <w:p w:rsidRPr="00081EFC" w:rsidR="00081EFC" w:rsidP="0033369D" w:rsidRDefault="00081EFC" w14:paraId="2C5385D6" w14:textId="77777777">
      <w:pPr>
        <w:widowControl w:val="0"/>
        <w:numPr>
          <w:ilvl w:val="0"/>
          <w:numId w:val="53"/>
        </w:numPr>
        <w:autoSpaceDE w:val="0"/>
        <w:autoSpaceDN w:val="0"/>
        <w:spacing w:before="24" w:line="240" w:lineRule="auto"/>
        <w:ind w:left="720" w:right="262"/>
        <w:contextualSpacing/>
        <w:rPr>
          <w:rFonts w:eastAsia="Palatino Linotype" w:cs="Palatino Linotype"/>
          <w:sz w:val="24"/>
          <w:szCs w:val="24"/>
        </w:rPr>
      </w:pPr>
      <w:r w:rsidRPr="00081EFC">
        <w:rPr>
          <w:rFonts w:eastAsia="Palatino Linotype" w:cs="Palatino Linotype"/>
          <w:sz w:val="24"/>
          <w:szCs w:val="24"/>
        </w:rPr>
        <w:t>Identified start-up activities.</w:t>
      </w:r>
    </w:p>
    <w:p w:rsidRPr="00081EFC" w:rsidR="00081EFC" w:rsidP="00081EFC" w:rsidRDefault="00081EFC" w14:paraId="1B423757" w14:textId="77777777">
      <w:pPr>
        <w:widowControl w:val="0"/>
        <w:autoSpaceDE w:val="0"/>
        <w:autoSpaceDN w:val="0"/>
        <w:spacing w:before="24" w:line="240" w:lineRule="auto"/>
        <w:ind w:left="1080" w:right="262" w:firstLine="0"/>
        <w:contextualSpacing/>
        <w:rPr>
          <w:rFonts w:eastAsia="Palatino Linotype" w:cs="Palatino Linotype"/>
          <w:sz w:val="24"/>
          <w:szCs w:val="24"/>
        </w:rPr>
      </w:pPr>
    </w:p>
    <w:p w:rsidRPr="00081EFC" w:rsidR="00081EFC" w:rsidP="00081EFC" w:rsidRDefault="00081EFC" w14:paraId="5651BADA"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A Work Plan for each funding year shall be submitted, e.g., Work Plan Year 1, Work Plan Year 2, Work Plan Year 3. A detailed description of Work Plan Contents and sample of the Work Plan Format will be included in the Administrative Manual, which will be available on the CASF Consortia website.</w:t>
      </w:r>
    </w:p>
    <w:p w:rsidRPr="00081EFC" w:rsidR="00081EFC" w:rsidP="00081EFC" w:rsidRDefault="00081EFC" w14:paraId="187A2A85"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394667" w:rsidRDefault="00081EFC" w14:paraId="21BDE452" w14:textId="77777777">
      <w:pPr>
        <w:keepNext/>
        <w:keepLines/>
        <w:widowControl w:val="0"/>
        <w:autoSpaceDE w:val="0"/>
        <w:autoSpaceDN w:val="0"/>
        <w:spacing w:before="24" w:line="240" w:lineRule="auto"/>
        <w:ind w:right="259" w:firstLine="0"/>
        <w:rPr>
          <w:rFonts w:eastAsia="Palatino Linotype" w:cs="Palatino Linotype"/>
          <w:sz w:val="24"/>
          <w:szCs w:val="24"/>
        </w:rPr>
      </w:pPr>
      <w:r w:rsidRPr="00081EFC">
        <w:rPr>
          <w:rFonts w:eastAsia="Palatino Linotype" w:cs="Palatino Linotype"/>
          <w:sz w:val="24"/>
          <w:szCs w:val="24"/>
        </w:rPr>
        <w:t>Performance Metrics Plan</w:t>
      </w:r>
    </w:p>
    <w:p w:rsidRPr="00081EFC" w:rsidR="00081EFC" w:rsidP="00394667" w:rsidRDefault="00081EFC" w14:paraId="0CECD384" w14:textId="77777777">
      <w:pPr>
        <w:keepNext/>
        <w:keepLines/>
        <w:widowControl w:val="0"/>
        <w:autoSpaceDE w:val="0"/>
        <w:autoSpaceDN w:val="0"/>
        <w:spacing w:before="24" w:line="240" w:lineRule="auto"/>
        <w:ind w:right="259" w:firstLine="0"/>
        <w:rPr>
          <w:rFonts w:eastAsia="Palatino Linotype" w:cs="Palatino Linotype"/>
          <w:sz w:val="24"/>
          <w:szCs w:val="24"/>
        </w:rPr>
      </w:pPr>
      <w:r w:rsidRPr="00081EFC">
        <w:rPr>
          <w:rFonts w:eastAsia="Palatino Linotype" w:cs="Palatino Linotype"/>
          <w:sz w:val="24"/>
          <w:szCs w:val="24"/>
        </w:rPr>
        <w:t>The Performance Metrics Plan should also explain how the performance results from the proposed functions and activities will be tracked and measured following milestone dates and/or completion of functions/activities/deliverables, as described in the Work Plan.</w:t>
      </w:r>
    </w:p>
    <w:p w:rsidRPr="00081EFC" w:rsidR="00081EFC" w:rsidP="00081EFC" w:rsidRDefault="00081EFC" w14:paraId="747B2B7E"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33369D" w:rsidRDefault="00081EFC" w14:paraId="344077FC" w14:textId="77777777">
      <w:pPr>
        <w:widowControl w:val="0"/>
        <w:numPr>
          <w:ilvl w:val="0"/>
          <w:numId w:val="50"/>
        </w:numPr>
        <w:autoSpaceDE w:val="0"/>
        <w:autoSpaceDN w:val="0"/>
        <w:spacing w:before="24" w:line="240" w:lineRule="auto"/>
        <w:ind w:right="262"/>
        <w:contextualSpacing/>
        <w:rPr>
          <w:rFonts w:eastAsia="Palatino Linotype" w:cs="Palatino Linotype"/>
          <w:sz w:val="24"/>
          <w:szCs w:val="24"/>
        </w:rPr>
      </w:pPr>
      <w:r w:rsidRPr="00081EFC">
        <w:rPr>
          <w:rFonts w:eastAsia="Palatino Linotype" w:cs="Palatino Linotype"/>
          <w:sz w:val="24"/>
          <w:szCs w:val="24"/>
        </w:rPr>
        <w:t>Annual Audit</w:t>
      </w:r>
    </w:p>
    <w:p w:rsidRPr="00081EFC" w:rsidR="00081EFC" w:rsidP="00081EFC" w:rsidRDefault="00081EFC" w14:paraId="2847D817"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Any functions and activities necessary for the preparation of the annual</w:t>
      </w:r>
      <w:r w:rsidRPr="00081EFC">
        <w:rPr>
          <w:rFonts w:eastAsia="Palatino Linotype" w:cs="Palatino Linotype"/>
          <w:spacing w:val="1"/>
          <w:sz w:val="24"/>
          <w:szCs w:val="24"/>
        </w:rPr>
        <w:t xml:space="preserve"> </w:t>
      </w:r>
      <w:r w:rsidRPr="00081EFC">
        <w:rPr>
          <w:rFonts w:eastAsia="Palatino Linotype" w:cs="Palatino Linotype"/>
          <w:sz w:val="24"/>
          <w:szCs w:val="24"/>
        </w:rPr>
        <w:t>audit must be included in the Work Plan.</w:t>
      </w:r>
      <w:r w:rsidRPr="00081EFC">
        <w:rPr>
          <w:rFonts w:eastAsia="Palatino Linotype" w:cs="Palatino Linotype"/>
          <w:spacing w:val="1"/>
          <w:sz w:val="24"/>
          <w:szCs w:val="24"/>
        </w:rPr>
        <w:t xml:space="preserve"> </w:t>
      </w:r>
      <w:r w:rsidRPr="00081EFC">
        <w:rPr>
          <w:rFonts w:eastAsia="Palatino Linotype" w:cs="Palatino Linotype"/>
          <w:sz w:val="24"/>
          <w:szCs w:val="24"/>
        </w:rPr>
        <w:t>The cost of the annual audits</w:t>
      </w:r>
      <w:r w:rsidRPr="00081EFC">
        <w:rPr>
          <w:rFonts w:eastAsia="Palatino Linotype" w:cs="Palatino Linotype"/>
          <w:spacing w:val="1"/>
          <w:sz w:val="24"/>
          <w:szCs w:val="24"/>
        </w:rPr>
        <w:t xml:space="preserve"> </w:t>
      </w:r>
      <w:r w:rsidRPr="00081EFC">
        <w:rPr>
          <w:rFonts w:eastAsia="Palatino Linotype" w:cs="Palatino Linotype"/>
          <w:sz w:val="24"/>
          <w:szCs w:val="24"/>
        </w:rPr>
        <w:t>must be included in the budget requirements.</w:t>
      </w:r>
      <w:r w:rsidRPr="00081EFC">
        <w:rPr>
          <w:rFonts w:eastAsia="Palatino Linotype" w:cs="Palatino Linotype"/>
          <w:spacing w:val="1"/>
          <w:sz w:val="24"/>
          <w:szCs w:val="24"/>
        </w:rPr>
        <w:t xml:space="preserve"> </w:t>
      </w:r>
      <w:r w:rsidRPr="00081EFC">
        <w:rPr>
          <w:rFonts w:eastAsia="Palatino Linotype" w:cs="Palatino Linotype"/>
          <w:sz w:val="24"/>
          <w:szCs w:val="24"/>
        </w:rPr>
        <w:t>Staff will provide</w:t>
      </w:r>
      <w:r w:rsidRPr="00081EFC">
        <w:rPr>
          <w:rFonts w:eastAsia="Palatino Linotype" w:cs="Palatino Linotype"/>
          <w:spacing w:val="1"/>
          <w:sz w:val="24"/>
          <w:szCs w:val="24"/>
        </w:rPr>
        <w:t xml:space="preserve"> </w:t>
      </w:r>
      <w:r w:rsidRPr="00081EFC">
        <w:rPr>
          <w:rFonts w:eastAsia="Palatino Linotype" w:cs="Palatino Linotype"/>
          <w:sz w:val="24"/>
          <w:szCs w:val="24"/>
        </w:rPr>
        <w:t>instructions</w:t>
      </w:r>
      <w:r w:rsidRPr="00081EFC">
        <w:rPr>
          <w:rFonts w:eastAsia="Palatino Linotype" w:cs="Palatino Linotype"/>
          <w:spacing w:val="-4"/>
          <w:sz w:val="24"/>
          <w:szCs w:val="24"/>
        </w:rPr>
        <w:t xml:space="preserve"> </w:t>
      </w:r>
      <w:r w:rsidRPr="00081EFC">
        <w:rPr>
          <w:rFonts w:eastAsia="Palatino Linotype" w:cs="Palatino Linotype"/>
          <w:sz w:val="24"/>
          <w:szCs w:val="24"/>
        </w:rPr>
        <w:t>for</w:t>
      </w:r>
      <w:r w:rsidRPr="00081EFC">
        <w:rPr>
          <w:rFonts w:eastAsia="Palatino Linotype" w:cs="Palatino Linotype"/>
          <w:spacing w:val="-2"/>
          <w:sz w:val="24"/>
          <w:szCs w:val="24"/>
        </w:rPr>
        <w:t xml:space="preserve"> </w:t>
      </w:r>
      <w:r w:rsidRPr="00081EFC">
        <w:rPr>
          <w:rFonts w:eastAsia="Palatino Linotype" w:cs="Palatino Linotype"/>
          <w:sz w:val="24"/>
          <w:szCs w:val="24"/>
        </w:rPr>
        <w:t>the</w:t>
      </w:r>
      <w:r w:rsidRPr="00081EFC">
        <w:rPr>
          <w:rFonts w:eastAsia="Palatino Linotype" w:cs="Palatino Linotype"/>
          <w:spacing w:val="-4"/>
          <w:sz w:val="24"/>
          <w:szCs w:val="24"/>
        </w:rPr>
        <w:t xml:space="preserve"> </w:t>
      </w:r>
      <w:r w:rsidRPr="00081EFC">
        <w:rPr>
          <w:rFonts w:eastAsia="Palatino Linotype" w:cs="Palatino Linotype"/>
          <w:sz w:val="24"/>
          <w:szCs w:val="24"/>
        </w:rPr>
        <w:t>annual</w:t>
      </w:r>
      <w:r w:rsidRPr="00081EFC">
        <w:rPr>
          <w:rFonts w:eastAsia="Palatino Linotype" w:cs="Palatino Linotype"/>
          <w:spacing w:val="-3"/>
          <w:sz w:val="24"/>
          <w:szCs w:val="24"/>
        </w:rPr>
        <w:t xml:space="preserve"> </w:t>
      </w:r>
      <w:r w:rsidRPr="00081EFC">
        <w:rPr>
          <w:rFonts w:eastAsia="Palatino Linotype" w:cs="Palatino Linotype"/>
          <w:sz w:val="24"/>
          <w:szCs w:val="24"/>
        </w:rPr>
        <w:t>audit</w:t>
      </w:r>
      <w:r w:rsidRPr="00081EFC">
        <w:rPr>
          <w:rFonts w:eastAsia="Palatino Linotype" w:cs="Palatino Linotype"/>
          <w:spacing w:val="-1"/>
          <w:sz w:val="24"/>
          <w:szCs w:val="24"/>
        </w:rPr>
        <w:t xml:space="preserve"> </w:t>
      </w:r>
      <w:r w:rsidRPr="00081EFC">
        <w:rPr>
          <w:rFonts w:eastAsia="Palatino Linotype" w:cs="Palatino Linotype"/>
          <w:sz w:val="24"/>
          <w:szCs w:val="24"/>
        </w:rPr>
        <w:t>in</w:t>
      </w:r>
      <w:r w:rsidRPr="00081EFC">
        <w:rPr>
          <w:rFonts w:eastAsia="Palatino Linotype" w:cs="Palatino Linotype"/>
          <w:spacing w:val="-4"/>
          <w:sz w:val="24"/>
          <w:szCs w:val="24"/>
        </w:rPr>
        <w:t xml:space="preserve"> </w:t>
      </w:r>
      <w:r w:rsidRPr="00081EFC">
        <w:rPr>
          <w:rFonts w:eastAsia="Palatino Linotype" w:cs="Palatino Linotype"/>
          <w:sz w:val="24"/>
          <w:szCs w:val="24"/>
        </w:rPr>
        <w:t>the</w:t>
      </w:r>
      <w:r w:rsidRPr="00081EFC">
        <w:rPr>
          <w:rFonts w:eastAsia="Palatino Linotype" w:cs="Palatino Linotype"/>
          <w:spacing w:val="-4"/>
          <w:sz w:val="24"/>
          <w:szCs w:val="24"/>
        </w:rPr>
        <w:t xml:space="preserve"> </w:t>
      </w:r>
      <w:r w:rsidRPr="00081EFC">
        <w:rPr>
          <w:rFonts w:eastAsia="Palatino Linotype" w:cs="Palatino Linotype"/>
          <w:sz w:val="24"/>
          <w:szCs w:val="24"/>
        </w:rPr>
        <w:t>Administrative</w:t>
      </w:r>
      <w:r w:rsidRPr="00081EFC">
        <w:rPr>
          <w:rFonts w:eastAsia="Palatino Linotype" w:cs="Palatino Linotype"/>
          <w:spacing w:val="-3"/>
          <w:sz w:val="24"/>
          <w:szCs w:val="24"/>
        </w:rPr>
        <w:t xml:space="preserve"> </w:t>
      </w:r>
      <w:r w:rsidRPr="00081EFC">
        <w:rPr>
          <w:rFonts w:eastAsia="Palatino Linotype" w:cs="Palatino Linotype"/>
          <w:sz w:val="24"/>
          <w:szCs w:val="24"/>
        </w:rPr>
        <w:t>Manual,</w:t>
      </w:r>
      <w:r w:rsidRPr="00081EFC">
        <w:rPr>
          <w:rFonts w:eastAsia="Palatino Linotype" w:cs="Palatino Linotype"/>
          <w:spacing w:val="-3"/>
          <w:sz w:val="24"/>
          <w:szCs w:val="24"/>
        </w:rPr>
        <w:t xml:space="preserve"> </w:t>
      </w:r>
      <w:r w:rsidRPr="00081EFC">
        <w:rPr>
          <w:rFonts w:eastAsia="Palatino Linotype" w:cs="Palatino Linotype"/>
          <w:sz w:val="24"/>
          <w:szCs w:val="24"/>
        </w:rPr>
        <w:t>which</w:t>
      </w:r>
      <w:r w:rsidRPr="00081EFC">
        <w:rPr>
          <w:rFonts w:eastAsia="Palatino Linotype" w:cs="Palatino Linotype"/>
          <w:spacing w:val="-4"/>
          <w:sz w:val="24"/>
          <w:szCs w:val="24"/>
        </w:rPr>
        <w:t xml:space="preserve"> </w:t>
      </w:r>
      <w:r w:rsidRPr="00081EFC">
        <w:rPr>
          <w:rFonts w:eastAsia="Palatino Linotype" w:cs="Palatino Linotype"/>
          <w:sz w:val="24"/>
          <w:szCs w:val="24"/>
        </w:rPr>
        <w:t>will</w:t>
      </w:r>
      <w:r w:rsidRPr="00081EFC">
        <w:rPr>
          <w:rFonts w:eastAsia="Palatino Linotype" w:cs="Palatino Linotype"/>
          <w:spacing w:val="-57"/>
          <w:sz w:val="24"/>
          <w:szCs w:val="24"/>
        </w:rPr>
        <w:t xml:space="preserve"> </w:t>
      </w:r>
      <w:r w:rsidRPr="00081EFC">
        <w:rPr>
          <w:rFonts w:eastAsia="Palatino Linotype" w:cs="Palatino Linotype"/>
          <w:sz w:val="24"/>
          <w:szCs w:val="24"/>
        </w:rPr>
        <w:t>be</w:t>
      </w:r>
      <w:r w:rsidRPr="00081EFC">
        <w:rPr>
          <w:rFonts w:eastAsia="Palatino Linotype" w:cs="Palatino Linotype"/>
          <w:spacing w:val="-2"/>
          <w:sz w:val="24"/>
          <w:szCs w:val="24"/>
        </w:rPr>
        <w:t xml:space="preserve"> </w:t>
      </w:r>
      <w:r w:rsidRPr="00081EFC">
        <w:rPr>
          <w:rFonts w:eastAsia="Palatino Linotype" w:cs="Palatino Linotype"/>
          <w:sz w:val="24"/>
          <w:szCs w:val="24"/>
        </w:rPr>
        <w:t>available on</w:t>
      </w:r>
      <w:r w:rsidRPr="00081EFC">
        <w:rPr>
          <w:rFonts w:eastAsia="Palatino Linotype" w:cs="Palatino Linotype"/>
          <w:spacing w:val="-1"/>
          <w:sz w:val="24"/>
          <w:szCs w:val="24"/>
        </w:rPr>
        <w:t xml:space="preserve"> </w:t>
      </w:r>
      <w:r w:rsidRPr="00081EFC">
        <w:rPr>
          <w:rFonts w:eastAsia="Palatino Linotype" w:cs="Palatino Linotype"/>
          <w:sz w:val="24"/>
          <w:szCs w:val="24"/>
        </w:rPr>
        <w:t>the</w:t>
      </w:r>
      <w:r w:rsidRPr="00081EFC">
        <w:rPr>
          <w:rFonts w:eastAsia="Palatino Linotype" w:cs="Palatino Linotype"/>
          <w:spacing w:val="-1"/>
          <w:sz w:val="24"/>
          <w:szCs w:val="24"/>
        </w:rPr>
        <w:t xml:space="preserve"> </w:t>
      </w:r>
      <w:r w:rsidRPr="00081EFC">
        <w:rPr>
          <w:rFonts w:eastAsia="Palatino Linotype" w:cs="Palatino Linotype"/>
          <w:sz w:val="24"/>
          <w:szCs w:val="24"/>
        </w:rPr>
        <w:t>CASF Consortia website.</w:t>
      </w:r>
    </w:p>
    <w:p w:rsidRPr="00081EFC" w:rsidR="00081EFC" w:rsidP="00081EFC" w:rsidRDefault="00081EFC" w14:paraId="6739A027"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33369D" w:rsidRDefault="00081EFC" w14:paraId="28C1E20B" w14:textId="77777777">
      <w:pPr>
        <w:widowControl w:val="0"/>
        <w:numPr>
          <w:ilvl w:val="0"/>
          <w:numId w:val="50"/>
        </w:numPr>
        <w:autoSpaceDE w:val="0"/>
        <w:autoSpaceDN w:val="0"/>
        <w:spacing w:line="240" w:lineRule="auto"/>
        <w:ind w:right="99"/>
        <w:rPr>
          <w:rFonts w:eastAsia="Palatino Linotype" w:cs="Palatino Linotype"/>
          <w:sz w:val="24"/>
          <w:szCs w:val="24"/>
        </w:rPr>
      </w:pPr>
      <w:r w:rsidRPr="00081EFC">
        <w:rPr>
          <w:rFonts w:eastAsia="Palatino Linotype" w:cs="Palatino Linotype"/>
          <w:sz w:val="24"/>
          <w:szCs w:val="24"/>
        </w:rPr>
        <w:t>Budget Requirements</w:t>
      </w:r>
    </w:p>
    <w:p w:rsidRPr="00081EFC" w:rsidR="00081EFC" w:rsidP="00081EFC" w:rsidRDefault="00081EFC" w14:paraId="31098CB9"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 xml:space="preserve">The requested </w:t>
      </w:r>
      <w:proofErr w:type="gramStart"/>
      <w:r w:rsidRPr="00081EFC">
        <w:rPr>
          <w:rFonts w:eastAsia="Palatino Linotype" w:cs="Palatino Linotype"/>
          <w:sz w:val="24"/>
          <w:szCs w:val="24"/>
        </w:rPr>
        <w:t>amount</w:t>
      </w:r>
      <w:proofErr w:type="gramEnd"/>
      <w:r w:rsidRPr="00081EFC">
        <w:rPr>
          <w:rFonts w:eastAsia="Palatino Linotype" w:cs="Palatino Linotype"/>
          <w:sz w:val="24"/>
          <w:szCs w:val="24"/>
        </w:rPr>
        <w:t xml:space="preserve"> of Consortia grant funds shall be based upon and consistent with the total budget presented in the application. A Budget for each funding year shall be submitted, e.g., Budget Year 1, Budget Year 2, Budget Year 3. The budget must detail the expected costs directly related to the Work Plan. A sample Budget format will be included in the Administrative Manual, which will be available on the CASF Consortia website.</w:t>
      </w:r>
    </w:p>
    <w:p w:rsidRPr="00081EFC" w:rsidR="00081EFC" w:rsidP="00081EFC" w:rsidRDefault="00081EFC" w14:paraId="56686F0C"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081EFC" w:rsidRDefault="00081EFC" w14:paraId="7F78F107"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Each proposed consortium budget must expressly exclude any costs for activities or programs funded from other sources. CASF grants shall not duplicate funding from other sources. The proposed consortium budget must be accompanied by a description of any existing broadband deployment activities funded by any other state or federal grants within the same region, together with confirmation showing that the CASF</w:t>
      </w:r>
      <w:r w:rsidRPr="00081EFC">
        <w:rPr>
          <w:rFonts w:eastAsia="Palatino Linotype" w:cs="Palatino Linotype"/>
          <w:spacing w:val="1"/>
          <w:sz w:val="24"/>
          <w:szCs w:val="24"/>
        </w:rPr>
        <w:t xml:space="preserve"> </w:t>
      </w:r>
      <w:r w:rsidRPr="00081EFC">
        <w:rPr>
          <w:rFonts w:eastAsia="Palatino Linotype" w:cs="Palatino Linotype"/>
          <w:sz w:val="24"/>
          <w:szCs w:val="24"/>
        </w:rPr>
        <w:t>consortium</w:t>
      </w:r>
      <w:r w:rsidRPr="00081EFC">
        <w:rPr>
          <w:rFonts w:eastAsia="Palatino Linotype" w:cs="Palatino Linotype"/>
          <w:spacing w:val="-2"/>
          <w:sz w:val="24"/>
          <w:szCs w:val="24"/>
        </w:rPr>
        <w:t xml:space="preserve"> </w:t>
      </w:r>
      <w:r w:rsidRPr="00081EFC">
        <w:rPr>
          <w:rFonts w:eastAsia="Palatino Linotype" w:cs="Palatino Linotype"/>
          <w:sz w:val="24"/>
          <w:szCs w:val="24"/>
        </w:rPr>
        <w:t>budget</w:t>
      </w:r>
      <w:r w:rsidRPr="00081EFC">
        <w:rPr>
          <w:rFonts w:eastAsia="Palatino Linotype" w:cs="Palatino Linotype"/>
          <w:spacing w:val="-2"/>
          <w:sz w:val="24"/>
          <w:szCs w:val="24"/>
        </w:rPr>
        <w:t xml:space="preserve"> </w:t>
      </w:r>
      <w:r w:rsidRPr="00081EFC">
        <w:rPr>
          <w:rFonts w:eastAsia="Palatino Linotype" w:cs="Palatino Linotype"/>
          <w:sz w:val="24"/>
          <w:szCs w:val="24"/>
        </w:rPr>
        <w:t>does</w:t>
      </w:r>
      <w:r w:rsidRPr="00081EFC">
        <w:rPr>
          <w:rFonts w:eastAsia="Palatino Linotype" w:cs="Palatino Linotype"/>
          <w:spacing w:val="-3"/>
          <w:sz w:val="24"/>
          <w:szCs w:val="24"/>
        </w:rPr>
        <w:t xml:space="preserve"> </w:t>
      </w:r>
      <w:r w:rsidRPr="00081EFC">
        <w:rPr>
          <w:rFonts w:eastAsia="Palatino Linotype" w:cs="Palatino Linotype"/>
          <w:sz w:val="24"/>
          <w:szCs w:val="24"/>
        </w:rPr>
        <w:t>not duplicate</w:t>
      </w:r>
      <w:r w:rsidRPr="00081EFC">
        <w:rPr>
          <w:rFonts w:eastAsia="Palatino Linotype" w:cs="Palatino Linotype"/>
          <w:spacing w:val="-2"/>
          <w:sz w:val="24"/>
          <w:szCs w:val="24"/>
        </w:rPr>
        <w:t xml:space="preserve"> </w:t>
      </w:r>
      <w:r w:rsidRPr="00081EFC">
        <w:rPr>
          <w:rFonts w:eastAsia="Palatino Linotype" w:cs="Palatino Linotype"/>
          <w:sz w:val="24"/>
          <w:szCs w:val="24"/>
        </w:rPr>
        <w:t>any</w:t>
      </w:r>
      <w:r w:rsidRPr="00081EFC">
        <w:rPr>
          <w:rFonts w:eastAsia="Palatino Linotype" w:cs="Palatino Linotype"/>
          <w:spacing w:val="-2"/>
          <w:sz w:val="24"/>
          <w:szCs w:val="24"/>
        </w:rPr>
        <w:t xml:space="preserve"> </w:t>
      </w:r>
      <w:r w:rsidRPr="00081EFC">
        <w:rPr>
          <w:rFonts w:eastAsia="Palatino Linotype" w:cs="Palatino Linotype"/>
          <w:sz w:val="24"/>
          <w:szCs w:val="24"/>
        </w:rPr>
        <w:t>other</w:t>
      </w:r>
      <w:r w:rsidRPr="00081EFC">
        <w:rPr>
          <w:rFonts w:eastAsia="Palatino Linotype" w:cs="Palatino Linotype"/>
          <w:spacing w:val="-2"/>
          <w:sz w:val="24"/>
          <w:szCs w:val="24"/>
        </w:rPr>
        <w:t xml:space="preserve"> </w:t>
      </w:r>
      <w:r w:rsidRPr="00081EFC">
        <w:rPr>
          <w:rFonts w:eastAsia="Palatino Linotype" w:cs="Palatino Linotype"/>
          <w:sz w:val="24"/>
          <w:szCs w:val="24"/>
        </w:rPr>
        <w:t>sources</w:t>
      </w:r>
      <w:r w:rsidRPr="00081EFC">
        <w:rPr>
          <w:rFonts w:eastAsia="Palatino Linotype" w:cs="Palatino Linotype"/>
          <w:spacing w:val="-2"/>
          <w:sz w:val="24"/>
          <w:szCs w:val="24"/>
        </w:rPr>
        <w:t xml:space="preserve"> </w:t>
      </w:r>
      <w:r w:rsidRPr="00081EFC">
        <w:rPr>
          <w:rFonts w:eastAsia="Palatino Linotype" w:cs="Palatino Linotype"/>
          <w:sz w:val="24"/>
          <w:szCs w:val="24"/>
        </w:rPr>
        <w:t>of</w:t>
      </w:r>
      <w:r w:rsidRPr="00081EFC">
        <w:rPr>
          <w:rFonts w:eastAsia="Palatino Linotype" w:cs="Palatino Linotype"/>
          <w:spacing w:val="-1"/>
          <w:sz w:val="24"/>
          <w:szCs w:val="24"/>
        </w:rPr>
        <w:t xml:space="preserve"> </w:t>
      </w:r>
      <w:r w:rsidRPr="00081EFC">
        <w:rPr>
          <w:rFonts w:eastAsia="Palatino Linotype" w:cs="Palatino Linotype"/>
          <w:sz w:val="24"/>
          <w:szCs w:val="24"/>
        </w:rPr>
        <w:t>funding.</w:t>
      </w:r>
      <w:r w:rsidRPr="00081EFC">
        <w:rPr>
          <w:rFonts w:eastAsia="Palatino Linotype" w:cs="Palatino Linotype"/>
          <w:sz w:val="24"/>
          <w:szCs w:val="24"/>
          <w:vertAlign w:val="superscript"/>
        </w:rPr>
        <w:footnoteReference w:id="206"/>
      </w:r>
    </w:p>
    <w:p w:rsidRPr="00081EFC" w:rsidR="00081EFC" w:rsidP="00081EFC" w:rsidRDefault="00081EFC" w14:paraId="5DC3994B"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33369D" w:rsidRDefault="00081EFC" w14:paraId="33DCC6E9" w14:textId="77777777">
      <w:pPr>
        <w:widowControl w:val="0"/>
        <w:numPr>
          <w:ilvl w:val="0"/>
          <w:numId w:val="50"/>
        </w:numPr>
        <w:autoSpaceDE w:val="0"/>
        <w:autoSpaceDN w:val="0"/>
        <w:spacing w:line="240" w:lineRule="auto"/>
        <w:ind w:right="99"/>
        <w:rPr>
          <w:rFonts w:eastAsia="Palatino Linotype" w:cs="Palatino Linotype"/>
          <w:sz w:val="24"/>
          <w:szCs w:val="24"/>
        </w:rPr>
      </w:pPr>
      <w:r w:rsidRPr="00081EFC">
        <w:rPr>
          <w:rFonts w:eastAsia="Palatino Linotype" w:cs="Palatino Linotype"/>
          <w:sz w:val="24"/>
          <w:szCs w:val="24"/>
        </w:rPr>
        <w:t>Assignment of Fiscal Agent</w:t>
      </w:r>
    </w:p>
    <w:p w:rsidRPr="00081EFC" w:rsidR="00081EFC" w:rsidP="00081EFC" w:rsidRDefault="00081EFC" w14:paraId="37C7AB5E"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 xml:space="preserve">Each regional Consortium must retain at least one Fiscal Agent with lead responsibility and legal authority to represent the Consortium for purposes of sponsoring the application, administering fiscal activities between the Consortium and the Commission, </w:t>
      </w:r>
      <w:proofErr w:type="gramStart"/>
      <w:r w:rsidRPr="00081EFC">
        <w:rPr>
          <w:rFonts w:eastAsia="Palatino Linotype" w:cs="Palatino Linotype"/>
          <w:sz w:val="24"/>
          <w:szCs w:val="24"/>
        </w:rPr>
        <w:t>receiving</w:t>
      </w:r>
      <w:proofErr w:type="gramEnd"/>
      <w:r w:rsidRPr="00081EFC">
        <w:rPr>
          <w:rFonts w:eastAsia="Palatino Linotype" w:cs="Palatino Linotype"/>
          <w:sz w:val="24"/>
          <w:szCs w:val="24"/>
        </w:rPr>
        <w:t xml:space="preserve"> and dispersing Consortium grant funds and ensuring Consortium compliance with the grant.</w:t>
      </w:r>
    </w:p>
    <w:p w:rsidRPr="00081EFC" w:rsidR="00081EFC" w:rsidP="00081EFC" w:rsidRDefault="00081EFC" w14:paraId="0205FD02"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081EFC" w:rsidRDefault="00081EFC" w14:paraId="3AC7F09F"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 xml:space="preserve">The Fiscal Agent </w:t>
      </w:r>
      <w:proofErr w:type="gramStart"/>
      <w:r w:rsidRPr="00081EFC">
        <w:rPr>
          <w:rFonts w:eastAsia="Palatino Linotype" w:cs="Palatino Linotype"/>
          <w:sz w:val="24"/>
          <w:szCs w:val="24"/>
        </w:rPr>
        <w:t>must affirmatively agree,</w:t>
      </w:r>
      <w:proofErr w:type="gramEnd"/>
      <w:r w:rsidRPr="00081EFC">
        <w:rPr>
          <w:rFonts w:eastAsia="Palatino Linotype" w:cs="Palatino Linotype"/>
          <w:sz w:val="24"/>
          <w:szCs w:val="24"/>
        </w:rPr>
        <w:t xml:space="preserve"> on behalf of the Consortium, to comply with the Commission’s directives and conditions relating to the review, approval, and administration of any consortia application grants. The Fiscal Agent must provide assurance that Consortium members or contractors retained by the Consortium are capable and committed to fulfilling the commitments.</w:t>
      </w:r>
    </w:p>
    <w:p w:rsidRPr="00081EFC" w:rsidR="00081EFC" w:rsidP="00081EFC" w:rsidRDefault="00081EFC" w14:paraId="2366D4C3"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081EFC" w:rsidRDefault="00081EFC" w14:paraId="3AFD14E2"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The Fiscal Agent may be a local public institution e.g., city, county, academic institution, tribal government, etc., as defined under Section 50001 of the Government Code, or a town, as defined by Section 21 of the Government Code. The Fiscal Agent may also possibly be a certificated telecommunications carrier.</w:t>
      </w:r>
    </w:p>
    <w:p w:rsidRPr="00081EFC" w:rsidR="00081EFC" w:rsidP="00081EFC" w:rsidRDefault="00081EFC" w14:paraId="1A16E5FD"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081EFC" w:rsidRDefault="00081EFC" w14:paraId="7B81E41D"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The Fiscal Agent must submit a letter stating its commitment to act as a Fiscal Agent for the Consortium. The letter must include:</w:t>
      </w:r>
    </w:p>
    <w:p w:rsidRPr="00081EFC" w:rsidR="00081EFC" w:rsidP="00081EFC" w:rsidRDefault="00081EFC" w14:paraId="41191822"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33369D" w:rsidRDefault="00081EFC" w14:paraId="7ABFA3E5" w14:textId="77777777">
      <w:pPr>
        <w:widowControl w:val="0"/>
        <w:numPr>
          <w:ilvl w:val="0"/>
          <w:numId w:val="54"/>
        </w:numPr>
        <w:autoSpaceDE w:val="0"/>
        <w:autoSpaceDN w:val="0"/>
        <w:spacing w:line="240" w:lineRule="auto"/>
        <w:ind w:right="99"/>
        <w:rPr>
          <w:rFonts w:eastAsia="Palatino Linotype" w:cs="Palatino Linotype"/>
          <w:sz w:val="24"/>
          <w:szCs w:val="24"/>
        </w:rPr>
      </w:pPr>
      <w:r w:rsidRPr="00081EFC">
        <w:rPr>
          <w:rFonts w:eastAsia="Palatino Linotype" w:cs="Palatino Linotype"/>
          <w:sz w:val="24"/>
          <w:szCs w:val="24"/>
        </w:rPr>
        <w:t>The name and contact information of the responsible party within the agency, including the person responsible for the administrative tasks, if different.</w:t>
      </w:r>
    </w:p>
    <w:p w:rsidRPr="00081EFC" w:rsidR="00081EFC" w:rsidP="0033369D" w:rsidRDefault="00081EFC" w14:paraId="24FF7657" w14:textId="77777777">
      <w:pPr>
        <w:widowControl w:val="0"/>
        <w:numPr>
          <w:ilvl w:val="0"/>
          <w:numId w:val="54"/>
        </w:numPr>
        <w:autoSpaceDE w:val="0"/>
        <w:autoSpaceDN w:val="0"/>
        <w:spacing w:line="240" w:lineRule="auto"/>
        <w:ind w:right="99"/>
        <w:rPr>
          <w:rFonts w:eastAsia="Palatino Linotype" w:cs="Palatino Linotype"/>
          <w:sz w:val="24"/>
          <w:szCs w:val="24"/>
        </w:rPr>
      </w:pPr>
      <w:r w:rsidRPr="00081EFC">
        <w:rPr>
          <w:rFonts w:eastAsia="Palatino Linotype" w:cs="Palatino Linotype"/>
          <w:sz w:val="24"/>
          <w:szCs w:val="24"/>
        </w:rPr>
        <w:t xml:space="preserve">Affirmation that the work outlined in the Consortium Work Plan will be </w:t>
      </w:r>
      <w:r w:rsidRPr="00081EFC">
        <w:rPr>
          <w:rFonts w:eastAsia="Palatino Linotype" w:cs="Palatino Linotype"/>
          <w:sz w:val="24"/>
          <w:szCs w:val="24"/>
        </w:rPr>
        <w:lastRenderedPageBreak/>
        <w:t>completed and verification by an Annual Audit instead of the previously required Attestation Report,</w:t>
      </w:r>
      <w:r w:rsidRPr="00081EFC">
        <w:rPr>
          <w:rFonts w:eastAsia="Palatino Linotype" w:cs="Palatino Linotype"/>
          <w:sz w:val="24"/>
          <w:szCs w:val="24"/>
          <w:vertAlign w:val="superscript"/>
        </w:rPr>
        <w:footnoteReference w:id="207"/>
      </w:r>
      <w:r w:rsidRPr="00081EFC">
        <w:rPr>
          <w:rFonts w:eastAsia="Palatino Linotype" w:cs="Palatino Linotype"/>
          <w:sz w:val="24"/>
          <w:szCs w:val="24"/>
        </w:rPr>
        <w:t xml:space="preserve"> to be prepared by an independent, licensed Certified Public Accountant will be submitted annually to the Communications Division. The letter must also state the Consortium’s acceptance of the Fiscal Agent’s rights, duties, and responsibilities.</w:t>
      </w:r>
    </w:p>
    <w:p w:rsidRPr="00081EFC" w:rsidR="00081EFC" w:rsidP="00081EFC" w:rsidRDefault="00081EFC" w14:paraId="776B9BAD"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081EFC" w:rsidRDefault="00081EFC" w14:paraId="76404543"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 xml:space="preserve">The Fiscal Agent shall comply with </w:t>
      </w:r>
      <w:proofErr w:type="gramStart"/>
      <w:r w:rsidRPr="00081EFC">
        <w:rPr>
          <w:rFonts w:eastAsia="Palatino Linotype" w:cs="Palatino Linotype"/>
          <w:sz w:val="24"/>
          <w:szCs w:val="24"/>
        </w:rPr>
        <w:t>all of</w:t>
      </w:r>
      <w:proofErr w:type="gramEnd"/>
      <w:r w:rsidRPr="00081EFC">
        <w:rPr>
          <w:rFonts w:eastAsia="Palatino Linotype" w:cs="Palatino Linotype"/>
          <w:sz w:val="24"/>
          <w:szCs w:val="24"/>
        </w:rPr>
        <w:t xml:space="preserve"> the rules and requirements herein and the Resolution authorizing the award, including but not limited to ensuring implementation of the approved Work Plan within the allocated budget (in conjunction with staff), and shall be responsible for notifying Communications Division of any proposed changes to Work Plan, Performance Metrics Plan, or budget during the course of the grant cycle.</w:t>
      </w:r>
    </w:p>
    <w:p w:rsidRPr="00081EFC" w:rsidR="00081EFC" w:rsidP="00081EFC" w:rsidRDefault="00081EFC" w14:paraId="1AAE20A4"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081EFC" w:rsidRDefault="00081EFC" w14:paraId="2526EC73"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 xml:space="preserve">Any changes to the substantive terms and conditions underlying Commission approval of the grant (e.g., changes to the Work Plan, Performance Metrics Plan, budget or designated Fiscal Agent, etc.) must be communicated in writing to the Director of Communications Division at least 30 days before the anticipated </w:t>
      </w:r>
      <w:proofErr w:type="gramStart"/>
      <w:r w:rsidRPr="00081EFC">
        <w:rPr>
          <w:rFonts w:eastAsia="Palatino Linotype" w:cs="Palatino Linotype"/>
          <w:sz w:val="24"/>
          <w:szCs w:val="24"/>
        </w:rPr>
        <w:t>change, and</w:t>
      </w:r>
      <w:proofErr w:type="gramEnd"/>
      <w:r w:rsidRPr="00081EFC">
        <w:rPr>
          <w:rFonts w:eastAsia="Palatino Linotype" w:cs="Palatino Linotype"/>
          <w:sz w:val="24"/>
          <w:szCs w:val="24"/>
        </w:rPr>
        <w:t xml:space="preserve"> may be subject to approval by either the Director or by Commission resolution before becoming effective.</w:t>
      </w:r>
    </w:p>
    <w:p w:rsidRPr="00081EFC" w:rsidR="00081EFC" w:rsidP="00081EFC" w:rsidRDefault="00081EFC" w14:paraId="6149CC72"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081EFC" w:rsidRDefault="00081EFC" w14:paraId="673514FE"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Any subsequent change in the Fiscal Agent must first be approved by Commission resolution.</w:t>
      </w:r>
    </w:p>
    <w:p w:rsidRPr="00081EFC" w:rsidR="00081EFC" w:rsidP="00081EFC" w:rsidRDefault="00081EFC" w14:paraId="7A733D78" w14:textId="77777777">
      <w:pPr>
        <w:widowControl w:val="0"/>
        <w:autoSpaceDE w:val="0"/>
        <w:autoSpaceDN w:val="0"/>
        <w:spacing w:line="240" w:lineRule="auto"/>
        <w:ind w:right="99" w:firstLine="0"/>
        <w:rPr>
          <w:rFonts w:eastAsia="Palatino Linotype" w:cs="Palatino Linotype"/>
          <w:sz w:val="24"/>
          <w:szCs w:val="24"/>
        </w:rPr>
      </w:pPr>
    </w:p>
    <w:p w:rsidRPr="00081EFC" w:rsidR="00081EFC" w:rsidP="0033369D" w:rsidRDefault="00081EFC" w14:paraId="320A25B2" w14:textId="77777777">
      <w:pPr>
        <w:widowControl w:val="0"/>
        <w:numPr>
          <w:ilvl w:val="0"/>
          <w:numId w:val="50"/>
        </w:numPr>
        <w:autoSpaceDE w:val="0"/>
        <w:autoSpaceDN w:val="0"/>
        <w:spacing w:line="240" w:lineRule="auto"/>
        <w:ind w:right="99"/>
        <w:rPr>
          <w:rFonts w:eastAsia="Palatino Linotype" w:cs="Palatino Linotype"/>
          <w:sz w:val="24"/>
          <w:szCs w:val="24"/>
        </w:rPr>
      </w:pPr>
      <w:r w:rsidRPr="00081EFC">
        <w:rPr>
          <w:rFonts w:eastAsia="Palatino Linotype" w:cs="Palatino Linotype"/>
          <w:sz w:val="24"/>
          <w:szCs w:val="24"/>
        </w:rPr>
        <w:t>Affidavit of Application’s Truth and Accuracy</w:t>
      </w:r>
    </w:p>
    <w:p w:rsidRPr="00081EFC" w:rsidR="00081EFC" w:rsidP="00081EFC" w:rsidRDefault="00081EFC" w14:paraId="4A54F64E" w14:textId="77777777">
      <w:pPr>
        <w:widowControl w:val="0"/>
        <w:autoSpaceDE w:val="0"/>
        <w:autoSpaceDN w:val="0"/>
        <w:spacing w:line="240" w:lineRule="auto"/>
        <w:ind w:right="99" w:firstLine="0"/>
        <w:rPr>
          <w:rFonts w:eastAsia="Palatino Linotype" w:cs="Palatino Linotype"/>
          <w:sz w:val="24"/>
          <w:szCs w:val="24"/>
        </w:rPr>
      </w:pPr>
      <w:r w:rsidRPr="00081EFC">
        <w:rPr>
          <w:rFonts w:eastAsia="Palatino Linotype" w:cs="Palatino Linotype"/>
          <w:sz w:val="24"/>
          <w:szCs w:val="24"/>
        </w:rPr>
        <w:t xml:space="preserve">As part of the application, an applicant’s Fiscal Agent must sign an affidavit, under penalty of perjury, containing at minimum, the following attestations, the final form of which will be made available on the CASF Consortia website: </w:t>
      </w:r>
    </w:p>
    <w:p w:rsidRPr="00081EFC" w:rsidR="00081EFC" w:rsidP="0033369D" w:rsidRDefault="00081EFC" w14:paraId="3879E39B" w14:textId="77777777">
      <w:pPr>
        <w:widowControl w:val="0"/>
        <w:numPr>
          <w:ilvl w:val="0"/>
          <w:numId w:val="55"/>
        </w:numPr>
        <w:autoSpaceDE w:val="0"/>
        <w:autoSpaceDN w:val="0"/>
        <w:spacing w:before="24" w:line="240" w:lineRule="auto"/>
        <w:ind w:right="262"/>
        <w:contextualSpacing/>
        <w:rPr>
          <w:rFonts w:eastAsia="Palatino Linotype" w:cs="Palatino Linotype"/>
          <w:sz w:val="24"/>
          <w:szCs w:val="24"/>
        </w:rPr>
      </w:pPr>
      <w:r w:rsidRPr="00081EFC">
        <w:rPr>
          <w:rFonts w:eastAsia="Palatino Linotype" w:cs="Palatino Linotype"/>
          <w:sz w:val="24"/>
          <w:szCs w:val="24"/>
        </w:rPr>
        <w:t>Applicant agrees that to the best of their knowledge, all statements and representations made in the application submitted are true and correct;</w:t>
      </w:r>
      <w:r w:rsidRPr="00081EFC">
        <w:rPr>
          <w:rFonts w:eastAsia="Palatino Linotype" w:cs="Palatino Linotype"/>
          <w:sz w:val="24"/>
          <w:szCs w:val="24"/>
          <w:vertAlign w:val="superscript"/>
        </w:rPr>
        <w:footnoteReference w:id="208"/>
      </w:r>
      <w:r w:rsidRPr="00081EFC">
        <w:rPr>
          <w:rFonts w:eastAsia="Palatino Linotype" w:cs="Palatino Linotype"/>
          <w:sz w:val="24"/>
          <w:szCs w:val="24"/>
        </w:rPr>
        <w:t xml:space="preserve"> and</w:t>
      </w:r>
    </w:p>
    <w:p w:rsidRPr="00081EFC" w:rsidR="00081EFC" w:rsidP="0033369D" w:rsidRDefault="00081EFC" w14:paraId="371D7FE9" w14:textId="77777777">
      <w:pPr>
        <w:widowControl w:val="0"/>
        <w:numPr>
          <w:ilvl w:val="0"/>
          <w:numId w:val="55"/>
        </w:numPr>
        <w:autoSpaceDE w:val="0"/>
        <w:autoSpaceDN w:val="0"/>
        <w:spacing w:before="24" w:line="240" w:lineRule="auto"/>
        <w:ind w:right="262"/>
        <w:contextualSpacing/>
        <w:rPr>
          <w:rFonts w:eastAsia="Palatino Linotype" w:cs="Palatino Linotype"/>
          <w:sz w:val="24"/>
          <w:szCs w:val="24"/>
        </w:rPr>
      </w:pPr>
      <w:r w:rsidRPr="00081EFC">
        <w:rPr>
          <w:rFonts w:eastAsia="Palatino Linotype" w:cs="Palatino Linotype"/>
          <w:sz w:val="24"/>
          <w:szCs w:val="24"/>
        </w:rPr>
        <w:t>Applicant agrees to abide by the Commission’s Rules of Practice and Procedure and to be subject to Pub. Util. Code §§ 2108 and 2111; and</w:t>
      </w:r>
    </w:p>
    <w:p w:rsidRPr="00081EFC" w:rsidR="00081EFC" w:rsidP="0033369D" w:rsidRDefault="00081EFC" w14:paraId="01C0D5E1" w14:textId="77777777">
      <w:pPr>
        <w:widowControl w:val="0"/>
        <w:numPr>
          <w:ilvl w:val="0"/>
          <w:numId w:val="55"/>
        </w:numPr>
        <w:autoSpaceDE w:val="0"/>
        <w:autoSpaceDN w:val="0"/>
        <w:spacing w:line="240" w:lineRule="auto"/>
        <w:contextualSpacing/>
        <w:rPr>
          <w:rFonts w:eastAsia="Palatino Linotype" w:cs="Palatino Linotype"/>
          <w:sz w:val="24"/>
          <w:szCs w:val="24"/>
        </w:rPr>
      </w:pPr>
      <w:r w:rsidRPr="00081EFC">
        <w:rPr>
          <w:rFonts w:eastAsia="Palatino Linotype" w:cs="Palatino Linotype"/>
          <w:sz w:val="24"/>
          <w:szCs w:val="24"/>
        </w:rPr>
        <w:t xml:space="preserve">Applicant certifies that no member, officer, director, partner of a Consortium or its Fiscal Agent has: 1) filed for bankruptcy; 2) was sanctioned by the Federal Communications Commission or any state regulatory agency for failure to comply with any regulatory statute, rule, or order; nor 3) has been found either civilly or criminally liable by a court of appropriate jurisdiction for violation of § 1700 et. seq. of the California Business and Professions Code, or for any action which involved misrepresentations to consumers, nor is currently under </w:t>
      </w:r>
      <w:r w:rsidRPr="00081EFC">
        <w:rPr>
          <w:rFonts w:eastAsia="Palatino Linotype" w:cs="Palatino Linotype"/>
          <w:sz w:val="24"/>
          <w:szCs w:val="24"/>
        </w:rPr>
        <w:lastRenderedPageBreak/>
        <w:t>investigation for similar violations.</w:t>
      </w:r>
    </w:p>
    <w:p w:rsidRPr="00081EFC" w:rsidR="00081EFC" w:rsidP="00081EFC" w:rsidRDefault="00081EFC" w14:paraId="5DD9D01C" w14:textId="77777777">
      <w:pPr>
        <w:widowControl w:val="0"/>
        <w:autoSpaceDE w:val="0"/>
        <w:autoSpaceDN w:val="0"/>
        <w:spacing w:before="24" w:line="240" w:lineRule="auto"/>
        <w:ind w:left="720" w:right="262" w:firstLine="0"/>
        <w:contextualSpacing/>
        <w:rPr>
          <w:rFonts w:eastAsia="Palatino Linotype" w:cs="Palatino Linotype"/>
          <w:sz w:val="24"/>
          <w:szCs w:val="24"/>
        </w:rPr>
      </w:pPr>
    </w:p>
    <w:p w:rsidRPr="00081EFC" w:rsidR="00081EFC" w:rsidP="00081EFC" w:rsidRDefault="00081EFC" w14:paraId="0811A4EF" w14:textId="77777777">
      <w:pPr>
        <w:widowControl w:val="0"/>
        <w:autoSpaceDE w:val="0"/>
        <w:autoSpaceDN w:val="0"/>
        <w:spacing w:before="1" w:line="240" w:lineRule="auto"/>
        <w:ind w:right="235" w:firstLine="0"/>
        <w:rPr>
          <w:rFonts w:eastAsia="Palatino Linotype" w:cs="Palatino Linotype"/>
          <w:sz w:val="24"/>
          <w:szCs w:val="24"/>
        </w:rPr>
      </w:pPr>
      <w:r w:rsidRPr="00081EFC">
        <w:rPr>
          <w:rFonts w:eastAsia="Palatino Linotype" w:cs="Palatino Linotype"/>
          <w:sz w:val="24"/>
          <w:szCs w:val="24"/>
        </w:rPr>
        <w:t>If the Consortium fails to perform in good faith, or in accordance with the expectations set forth in its Work Plan or Performance Metrics Plan, as affirmed in the affidavit, the Commission may withhold subsequent grant disbursements, suspend, or terminate the Consortium grant, as warranted.</w:t>
      </w:r>
    </w:p>
    <w:p w:rsidRPr="00081EFC" w:rsidR="00081EFC" w:rsidP="00081EFC" w:rsidRDefault="00081EFC" w14:paraId="27F11860" w14:textId="77777777">
      <w:pPr>
        <w:widowControl w:val="0"/>
        <w:autoSpaceDE w:val="0"/>
        <w:autoSpaceDN w:val="0"/>
        <w:spacing w:before="1" w:line="240" w:lineRule="auto"/>
        <w:ind w:right="235" w:firstLine="0"/>
        <w:rPr>
          <w:rFonts w:eastAsia="Palatino Linotype" w:cs="Palatino Linotype"/>
          <w:sz w:val="24"/>
          <w:szCs w:val="24"/>
        </w:rPr>
      </w:pPr>
    </w:p>
    <w:p w:rsidRPr="00081EFC" w:rsidR="00081EFC" w:rsidP="00081EFC" w:rsidRDefault="00081EFC" w14:paraId="6740F383" w14:textId="77777777">
      <w:pPr>
        <w:widowControl w:val="0"/>
        <w:autoSpaceDE w:val="0"/>
        <w:autoSpaceDN w:val="0"/>
        <w:spacing w:before="1" w:line="240" w:lineRule="auto"/>
        <w:ind w:right="235" w:firstLine="0"/>
        <w:rPr>
          <w:rFonts w:eastAsia="Palatino Linotype" w:cs="Palatino Linotype"/>
          <w:sz w:val="24"/>
          <w:szCs w:val="24"/>
        </w:rPr>
      </w:pPr>
      <w:r w:rsidRPr="00081EFC">
        <w:rPr>
          <w:rFonts w:eastAsia="Palatino Linotype" w:cs="Palatino Linotype"/>
          <w:sz w:val="24"/>
          <w:szCs w:val="24"/>
        </w:rPr>
        <w:t>A CASF Consortia Application Checklist will be included in the</w:t>
      </w:r>
      <w:r w:rsidRPr="00081EFC">
        <w:rPr>
          <w:rFonts w:eastAsia="Palatino Linotype" w:cs="Palatino Linotype"/>
          <w:spacing w:val="1"/>
          <w:sz w:val="24"/>
          <w:szCs w:val="24"/>
        </w:rPr>
        <w:t xml:space="preserve"> </w:t>
      </w:r>
      <w:r w:rsidRPr="00081EFC">
        <w:rPr>
          <w:rFonts w:eastAsia="Palatino Linotype" w:cs="Palatino Linotype"/>
          <w:sz w:val="24"/>
          <w:szCs w:val="24"/>
        </w:rPr>
        <w:t>Administrative</w:t>
      </w:r>
      <w:r w:rsidRPr="00081EFC">
        <w:rPr>
          <w:rFonts w:eastAsia="Palatino Linotype" w:cs="Palatino Linotype"/>
          <w:spacing w:val="-3"/>
          <w:sz w:val="24"/>
          <w:szCs w:val="24"/>
        </w:rPr>
        <w:t xml:space="preserve"> </w:t>
      </w:r>
      <w:r w:rsidRPr="00081EFC">
        <w:rPr>
          <w:rFonts w:eastAsia="Palatino Linotype" w:cs="Palatino Linotype"/>
          <w:sz w:val="24"/>
          <w:szCs w:val="24"/>
        </w:rPr>
        <w:t>Manual,</w:t>
      </w:r>
      <w:r w:rsidRPr="00081EFC">
        <w:rPr>
          <w:rFonts w:eastAsia="Palatino Linotype" w:cs="Palatino Linotype"/>
          <w:spacing w:val="-2"/>
          <w:sz w:val="24"/>
          <w:szCs w:val="24"/>
        </w:rPr>
        <w:t xml:space="preserve"> </w:t>
      </w:r>
      <w:r w:rsidRPr="00081EFC">
        <w:rPr>
          <w:rFonts w:eastAsia="Palatino Linotype" w:cs="Palatino Linotype"/>
          <w:sz w:val="24"/>
          <w:szCs w:val="24"/>
        </w:rPr>
        <w:t>which</w:t>
      </w:r>
      <w:r w:rsidRPr="00081EFC">
        <w:rPr>
          <w:rFonts w:eastAsia="Palatino Linotype" w:cs="Palatino Linotype"/>
          <w:spacing w:val="-1"/>
          <w:sz w:val="24"/>
          <w:szCs w:val="24"/>
        </w:rPr>
        <w:t xml:space="preserve"> </w:t>
      </w:r>
      <w:r w:rsidRPr="00081EFC">
        <w:rPr>
          <w:rFonts w:eastAsia="Palatino Linotype" w:cs="Palatino Linotype"/>
          <w:sz w:val="24"/>
          <w:szCs w:val="24"/>
        </w:rPr>
        <w:t>will</w:t>
      </w:r>
      <w:r w:rsidRPr="00081EFC">
        <w:rPr>
          <w:rFonts w:eastAsia="Palatino Linotype" w:cs="Palatino Linotype"/>
          <w:spacing w:val="-3"/>
          <w:sz w:val="24"/>
          <w:szCs w:val="24"/>
        </w:rPr>
        <w:t xml:space="preserve"> </w:t>
      </w:r>
      <w:r w:rsidRPr="00081EFC">
        <w:rPr>
          <w:rFonts w:eastAsia="Palatino Linotype" w:cs="Palatino Linotype"/>
          <w:sz w:val="24"/>
          <w:szCs w:val="24"/>
        </w:rPr>
        <w:t>be</w:t>
      </w:r>
      <w:r w:rsidRPr="00081EFC">
        <w:rPr>
          <w:rFonts w:eastAsia="Palatino Linotype" w:cs="Palatino Linotype"/>
          <w:spacing w:val="-2"/>
          <w:sz w:val="24"/>
          <w:szCs w:val="24"/>
        </w:rPr>
        <w:t xml:space="preserve"> </w:t>
      </w:r>
      <w:r w:rsidRPr="00081EFC">
        <w:rPr>
          <w:rFonts w:eastAsia="Palatino Linotype" w:cs="Palatino Linotype"/>
          <w:sz w:val="24"/>
          <w:szCs w:val="24"/>
        </w:rPr>
        <w:t>available</w:t>
      </w:r>
      <w:r w:rsidRPr="00081EFC">
        <w:rPr>
          <w:rFonts w:eastAsia="Palatino Linotype" w:cs="Palatino Linotype"/>
          <w:spacing w:val="-2"/>
          <w:sz w:val="24"/>
          <w:szCs w:val="24"/>
        </w:rPr>
        <w:t xml:space="preserve"> </w:t>
      </w:r>
      <w:r w:rsidRPr="00081EFC">
        <w:rPr>
          <w:rFonts w:eastAsia="Palatino Linotype" w:cs="Palatino Linotype"/>
          <w:sz w:val="24"/>
          <w:szCs w:val="24"/>
        </w:rPr>
        <w:t>on</w:t>
      </w:r>
      <w:r w:rsidRPr="00081EFC">
        <w:rPr>
          <w:rFonts w:eastAsia="Palatino Linotype" w:cs="Palatino Linotype"/>
          <w:spacing w:val="-3"/>
          <w:sz w:val="24"/>
          <w:szCs w:val="24"/>
        </w:rPr>
        <w:t xml:space="preserve"> </w:t>
      </w:r>
      <w:r w:rsidRPr="00081EFC">
        <w:rPr>
          <w:rFonts w:eastAsia="Palatino Linotype" w:cs="Palatino Linotype"/>
          <w:sz w:val="24"/>
          <w:szCs w:val="24"/>
        </w:rPr>
        <w:t>the</w:t>
      </w:r>
      <w:r w:rsidRPr="00081EFC">
        <w:rPr>
          <w:rFonts w:eastAsia="Palatino Linotype" w:cs="Palatino Linotype"/>
          <w:spacing w:val="-3"/>
          <w:sz w:val="24"/>
          <w:szCs w:val="24"/>
        </w:rPr>
        <w:t xml:space="preserve"> </w:t>
      </w:r>
      <w:r w:rsidRPr="00081EFC">
        <w:rPr>
          <w:rFonts w:eastAsia="Palatino Linotype" w:cs="Palatino Linotype"/>
          <w:sz w:val="24"/>
          <w:szCs w:val="24"/>
        </w:rPr>
        <w:t>CASF Consortia website.</w:t>
      </w:r>
    </w:p>
    <w:p w:rsidRPr="00081EFC" w:rsidR="00081EFC" w:rsidP="00081EFC" w:rsidRDefault="00081EFC" w14:paraId="41CAE439" w14:textId="77777777">
      <w:pPr>
        <w:widowControl w:val="0"/>
        <w:autoSpaceDE w:val="0"/>
        <w:autoSpaceDN w:val="0"/>
        <w:spacing w:before="24" w:line="240" w:lineRule="auto"/>
        <w:ind w:right="262" w:firstLine="0"/>
        <w:rPr>
          <w:rFonts w:eastAsia="Palatino Linotype" w:cs="Palatino Linotype"/>
          <w:b/>
          <w:bCs/>
          <w:sz w:val="24"/>
          <w:szCs w:val="24"/>
        </w:rPr>
      </w:pPr>
    </w:p>
    <w:p w:rsidRPr="00081EFC" w:rsidR="00081EFC" w:rsidP="005E7FE0" w:rsidRDefault="00081EFC" w14:paraId="1FA22D4F" w14:textId="77777777">
      <w:pPr>
        <w:widowControl w:val="0"/>
        <w:numPr>
          <w:ilvl w:val="0"/>
          <w:numId w:val="47"/>
        </w:numPr>
        <w:autoSpaceDE w:val="0"/>
        <w:autoSpaceDN w:val="0"/>
        <w:spacing w:before="24" w:line="240" w:lineRule="auto"/>
        <w:ind w:left="810" w:right="262"/>
        <w:contextualSpacing/>
        <w:rPr>
          <w:rFonts w:eastAsia="Palatino Linotype" w:cs="Palatino Linotype"/>
          <w:b/>
          <w:bCs/>
          <w:sz w:val="24"/>
          <w:szCs w:val="24"/>
        </w:rPr>
      </w:pPr>
      <w:r w:rsidRPr="00081EFC">
        <w:rPr>
          <w:rFonts w:eastAsia="Palatino Linotype" w:cs="Palatino Linotype"/>
          <w:b/>
          <w:bCs/>
          <w:sz w:val="24"/>
          <w:szCs w:val="24"/>
        </w:rPr>
        <w:t>Scoring and Evaluation Criteria</w:t>
      </w:r>
    </w:p>
    <w:p w:rsidRPr="00081EFC" w:rsidR="00081EFC" w:rsidP="00081EFC" w:rsidRDefault="00081EFC" w14:paraId="2BB0F7EF"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Applications will be evaluated based on meeting all the requirements in the Information Required from Applicants. Applicants may submit endorsements or letters of support from the state or local government, community groups, and anchor institutions supporting their application.</w:t>
      </w:r>
    </w:p>
    <w:p w:rsidRPr="00081EFC" w:rsidR="00081EFC" w:rsidP="00081EFC" w:rsidRDefault="00081EFC" w14:paraId="3F244332"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6D32B7EB"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An evaluation team comprised of Communications Division Staff will assess all completed applications. The following table summarizes the scoring criteria and weight:</w:t>
      </w:r>
    </w:p>
    <w:p w:rsidRPr="00081EFC" w:rsidR="00081EFC" w:rsidP="00394667" w:rsidRDefault="00081EFC" w14:paraId="4DC69BA5" w14:textId="77777777">
      <w:pPr>
        <w:keepNext/>
        <w:keepLines/>
        <w:widowControl w:val="0"/>
        <w:autoSpaceDE w:val="0"/>
        <w:autoSpaceDN w:val="0"/>
        <w:spacing w:line="240" w:lineRule="auto"/>
        <w:ind w:left="261" w:right="262" w:firstLine="0"/>
        <w:jc w:val="center"/>
        <w:rPr>
          <w:rFonts w:eastAsia="Palatino Linotype" w:cs="Palatino Linotype"/>
          <w:b/>
          <w:sz w:val="24"/>
        </w:rPr>
      </w:pPr>
      <w:r w:rsidRPr="00081EFC">
        <w:rPr>
          <w:rFonts w:eastAsia="Palatino Linotype" w:cs="Palatino Linotype"/>
          <w:b/>
          <w:sz w:val="24"/>
        </w:rPr>
        <w:t>Scoring</w:t>
      </w:r>
      <w:r w:rsidRPr="00081EFC">
        <w:rPr>
          <w:rFonts w:eastAsia="Palatino Linotype" w:cs="Palatino Linotype"/>
          <w:b/>
          <w:spacing w:val="-5"/>
          <w:sz w:val="24"/>
        </w:rPr>
        <w:t xml:space="preserve"> </w:t>
      </w:r>
      <w:r w:rsidRPr="00081EFC">
        <w:rPr>
          <w:rFonts w:eastAsia="Palatino Linotype" w:cs="Palatino Linotype"/>
          <w:b/>
          <w:sz w:val="24"/>
        </w:rPr>
        <w:t>Criteria</w:t>
      </w:r>
    </w:p>
    <w:p w:rsidRPr="00081EFC" w:rsidR="00081EFC" w:rsidP="00394667" w:rsidRDefault="00081EFC" w14:paraId="574DEAB9" w14:textId="77777777">
      <w:pPr>
        <w:keepNext/>
        <w:keepLines/>
        <w:widowControl w:val="0"/>
        <w:autoSpaceDE w:val="0"/>
        <w:autoSpaceDN w:val="0"/>
        <w:spacing w:before="9" w:line="240" w:lineRule="auto"/>
        <w:ind w:firstLine="0"/>
        <w:rPr>
          <w:rFonts w:eastAsia="Palatino Linotype" w:cs="Palatino Linotype"/>
          <w:b/>
          <w:sz w:val="29"/>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760"/>
        <w:gridCol w:w="1401"/>
      </w:tblGrid>
      <w:tr w:rsidRPr="00081EFC" w:rsidR="00081EFC" w:rsidTr="00EC1158" w14:paraId="0C501F01" w14:textId="77777777">
        <w:trPr>
          <w:trHeight w:val="284"/>
        </w:trPr>
        <w:tc>
          <w:tcPr>
            <w:tcW w:w="6760" w:type="dxa"/>
          </w:tcPr>
          <w:p w:rsidRPr="00081EFC" w:rsidR="00081EFC" w:rsidP="00394667" w:rsidRDefault="00081EFC" w14:paraId="6332969E" w14:textId="77777777">
            <w:pPr>
              <w:keepNext/>
              <w:keepLines/>
              <w:widowControl w:val="0"/>
              <w:autoSpaceDE w:val="0"/>
              <w:autoSpaceDN w:val="0"/>
              <w:spacing w:line="240" w:lineRule="auto"/>
              <w:ind w:firstLine="0"/>
              <w:rPr>
                <w:rFonts w:eastAsia="Palatino Linotype" w:cs="Palatino Linotype"/>
                <w:b/>
                <w:sz w:val="24"/>
              </w:rPr>
            </w:pPr>
            <w:r w:rsidRPr="00081EFC">
              <w:rPr>
                <w:rFonts w:eastAsia="Palatino Linotype" w:cs="Palatino Linotype"/>
                <w:b/>
                <w:sz w:val="24"/>
                <w:u w:val="single"/>
              </w:rPr>
              <w:t>Criterion</w:t>
            </w:r>
          </w:p>
        </w:tc>
        <w:tc>
          <w:tcPr>
            <w:tcW w:w="1401" w:type="dxa"/>
          </w:tcPr>
          <w:p w:rsidRPr="00081EFC" w:rsidR="00081EFC" w:rsidP="00394667" w:rsidRDefault="00081EFC" w14:paraId="26C91C51" w14:textId="77777777">
            <w:pPr>
              <w:keepNext/>
              <w:keepLines/>
              <w:widowControl w:val="0"/>
              <w:autoSpaceDE w:val="0"/>
              <w:autoSpaceDN w:val="0"/>
              <w:spacing w:line="240" w:lineRule="auto"/>
              <w:ind w:right="157" w:firstLine="0"/>
              <w:jc w:val="right"/>
              <w:rPr>
                <w:rFonts w:eastAsia="Palatino Linotype" w:cs="Palatino Linotype"/>
                <w:b/>
                <w:sz w:val="24"/>
              </w:rPr>
            </w:pPr>
            <w:r w:rsidRPr="00081EFC">
              <w:rPr>
                <w:rFonts w:eastAsia="Palatino Linotype" w:cs="Palatino Linotype"/>
                <w:b/>
                <w:sz w:val="24"/>
                <w:u w:val="single"/>
              </w:rPr>
              <w:t>Weight</w:t>
            </w:r>
          </w:p>
        </w:tc>
      </w:tr>
      <w:tr w:rsidRPr="00081EFC" w:rsidR="00081EFC" w:rsidTr="00EC1158" w14:paraId="23303E27" w14:textId="77777777">
        <w:trPr>
          <w:trHeight w:val="325"/>
        </w:trPr>
        <w:tc>
          <w:tcPr>
            <w:tcW w:w="6760" w:type="dxa"/>
          </w:tcPr>
          <w:p w:rsidRPr="00081EFC" w:rsidR="00081EFC" w:rsidP="00394667" w:rsidRDefault="00081EFC" w14:paraId="78C21917" w14:textId="77777777">
            <w:pPr>
              <w:keepNext/>
              <w:keepLines/>
              <w:widowControl w:val="0"/>
              <w:autoSpaceDE w:val="0"/>
              <w:autoSpaceDN w:val="0"/>
              <w:spacing w:line="240" w:lineRule="auto"/>
              <w:ind w:firstLine="0"/>
              <w:rPr>
                <w:rFonts w:eastAsia="Palatino Linotype" w:cs="Palatino Linotype"/>
                <w:sz w:val="24"/>
              </w:rPr>
            </w:pPr>
          </w:p>
        </w:tc>
        <w:tc>
          <w:tcPr>
            <w:tcW w:w="1401" w:type="dxa"/>
          </w:tcPr>
          <w:p w:rsidRPr="00081EFC" w:rsidR="00081EFC" w:rsidP="00394667" w:rsidRDefault="00081EFC" w14:paraId="49497C3E" w14:textId="77777777">
            <w:pPr>
              <w:keepNext/>
              <w:keepLines/>
              <w:widowControl w:val="0"/>
              <w:autoSpaceDE w:val="0"/>
              <w:autoSpaceDN w:val="0"/>
              <w:spacing w:line="240" w:lineRule="auto"/>
              <w:ind w:right="47" w:firstLine="0"/>
              <w:jc w:val="right"/>
              <w:rPr>
                <w:rFonts w:eastAsia="Palatino Linotype" w:cs="Palatino Linotype"/>
                <w:b/>
                <w:sz w:val="24"/>
              </w:rPr>
            </w:pPr>
            <w:r w:rsidRPr="00081EFC">
              <w:rPr>
                <w:rFonts w:eastAsia="Palatino Linotype" w:cs="Palatino Linotype"/>
                <w:b/>
                <w:sz w:val="24"/>
                <w:u w:val="single"/>
              </w:rPr>
              <w:t xml:space="preserve"> (Points)</w:t>
            </w:r>
          </w:p>
        </w:tc>
      </w:tr>
      <w:tr w:rsidRPr="00081EFC" w:rsidR="00081EFC" w:rsidTr="00EC1158" w14:paraId="43677ABA" w14:textId="77777777">
        <w:trPr>
          <w:trHeight w:val="325"/>
        </w:trPr>
        <w:tc>
          <w:tcPr>
            <w:tcW w:w="6760" w:type="dxa"/>
          </w:tcPr>
          <w:p w:rsidRPr="00081EFC" w:rsidR="00081EFC" w:rsidP="00394667" w:rsidRDefault="00081EFC" w14:paraId="0CCD19AA" w14:textId="77777777">
            <w:pPr>
              <w:keepNext/>
              <w:keepLines/>
              <w:widowControl w:val="0"/>
              <w:autoSpaceDE w:val="0"/>
              <w:autoSpaceDN w:val="0"/>
              <w:spacing w:line="240" w:lineRule="auto"/>
              <w:ind w:firstLine="0"/>
              <w:rPr>
                <w:rFonts w:eastAsia="Palatino Linotype" w:cs="Palatino Linotype"/>
                <w:sz w:val="24"/>
              </w:rPr>
            </w:pPr>
            <w:r w:rsidRPr="00081EFC">
              <w:rPr>
                <w:rFonts w:eastAsia="Palatino Linotype" w:cs="Palatino Linotype"/>
                <w:sz w:val="24"/>
              </w:rPr>
              <w:t>(1)</w:t>
            </w:r>
            <w:r w:rsidRPr="00081EFC">
              <w:rPr>
                <w:rFonts w:eastAsia="Palatino Linotype" w:cs="Palatino Linotype"/>
                <w:spacing w:val="-4"/>
                <w:sz w:val="24"/>
              </w:rPr>
              <w:t xml:space="preserve"> </w:t>
            </w:r>
            <w:r w:rsidRPr="00081EFC">
              <w:rPr>
                <w:rFonts w:eastAsia="Palatino Linotype" w:cs="Palatino Linotype"/>
                <w:sz w:val="24"/>
              </w:rPr>
              <w:t>Regional</w:t>
            </w:r>
            <w:r w:rsidRPr="00081EFC">
              <w:rPr>
                <w:rFonts w:eastAsia="Palatino Linotype" w:cs="Palatino Linotype"/>
                <w:spacing w:val="-4"/>
                <w:sz w:val="24"/>
              </w:rPr>
              <w:t xml:space="preserve"> </w:t>
            </w:r>
            <w:r w:rsidRPr="00081EFC">
              <w:rPr>
                <w:rFonts w:eastAsia="Palatino Linotype" w:cs="Palatino Linotype"/>
                <w:sz w:val="24"/>
              </w:rPr>
              <w:t>Consortium</w:t>
            </w:r>
            <w:r w:rsidRPr="00081EFC">
              <w:rPr>
                <w:rFonts w:eastAsia="Palatino Linotype" w:cs="Palatino Linotype"/>
                <w:spacing w:val="-2"/>
                <w:sz w:val="24"/>
              </w:rPr>
              <w:t xml:space="preserve"> </w:t>
            </w:r>
            <w:r w:rsidRPr="00081EFC">
              <w:rPr>
                <w:rFonts w:eastAsia="Palatino Linotype" w:cs="Palatino Linotype"/>
                <w:sz w:val="24"/>
              </w:rPr>
              <w:t>Representation</w:t>
            </w:r>
            <w:r w:rsidRPr="00081EFC">
              <w:rPr>
                <w:rFonts w:eastAsia="Palatino Linotype" w:cs="Palatino Linotype"/>
                <w:spacing w:val="-3"/>
                <w:sz w:val="24"/>
              </w:rPr>
              <w:t xml:space="preserve"> </w:t>
            </w:r>
            <w:r w:rsidRPr="00081EFC">
              <w:rPr>
                <w:rFonts w:eastAsia="Palatino Linotype" w:cs="Palatino Linotype"/>
                <w:sz w:val="24"/>
              </w:rPr>
              <w:t>and</w:t>
            </w:r>
            <w:r w:rsidRPr="00081EFC">
              <w:rPr>
                <w:rFonts w:eastAsia="Palatino Linotype" w:cs="Palatino Linotype"/>
                <w:spacing w:val="-2"/>
                <w:sz w:val="24"/>
              </w:rPr>
              <w:t xml:space="preserve"> </w:t>
            </w:r>
            <w:r w:rsidRPr="00081EFC">
              <w:rPr>
                <w:rFonts w:eastAsia="Palatino Linotype" w:cs="Palatino Linotype"/>
                <w:sz w:val="24"/>
              </w:rPr>
              <w:t>Endorsements</w:t>
            </w:r>
          </w:p>
        </w:tc>
        <w:tc>
          <w:tcPr>
            <w:tcW w:w="1401" w:type="dxa"/>
          </w:tcPr>
          <w:p w:rsidRPr="00081EFC" w:rsidR="00081EFC" w:rsidP="00394667" w:rsidRDefault="00081EFC" w14:paraId="335E4AC7" w14:textId="77777777">
            <w:pPr>
              <w:keepNext/>
              <w:keepLines/>
              <w:widowControl w:val="0"/>
              <w:autoSpaceDE w:val="0"/>
              <w:autoSpaceDN w:val="0"/>
              <w:spacing w:line="240" w:lineRule="auto"/>
              <w:ind w:left="661" w:right="459" w:firstLine="0"/>
              <w:jc w:val="center"/>
              <w:rPr>
                <w:rFonts w:eastAsia="Palatino Linotype" w:cs="Palatino Linotype"/>
                <w:sz w:val="24"/>
              </w:rPr>
            </w:pPr>
            <w:r w:rsidRPr="00081EFC">
              <w:rPr>
                <w:rFonts w:eastAsia="Palatino Linotype" w:cs="Palatino Linotype"/>
                <w:sz w:val="24"/>
              </w:rPr>
              <w:t>15</w:t>
            </w:r>
          </w:p>
        </w:tc>
      </w:tr>
      <w:tr w:rsidRPr="00081EFC" w:rsidR="00081EFC" w:rsidTr="00EC1158" w14:paraId="760E6DE5" w14:textId="77777777">
        <w:trPr>
          <w:trHeight w:val="323"/>
        </w:trPr>
        <w:tc>
          <w:tcPr>
            <w:tcW w:w="6760" w:type="dxa"/>
          </w:tcPr>
          <w:p w:rsidRPr="00081EFC" w:rsidR="00081EFC" w:rsidP="00394667" w:rsidRDefault="00081EFC" w14:paraId="73DC0184" w14:textId="77777777">
            <w:pPr>
              <w:keepNext/>
              <w:keepLines/>
              <w:widowControl w:val="0"/>
              <w:autoSpaceDE w:val="0"/>
              <w:autoSpaceDN w:val="0"/>
              <w:spacing w:line="240" w:lineRule="auto"/>
              <w:ind w:firstLine="0"/>
              <w:rPr>
                <w:rFonts w:eastAsia="Palatino Linotype" w:cs="Palatino Linotype"/>
                <w:sz w:val="24"/>
              </w:rPr>
            </w:pPr>
            <w:r w:rsidRPr="00081EFC">
              <w:rPr>
                <w:rFonts w:eastAsia="Palatino Linotype" w:cs="Palatino Linotype"/>
                <w:sz w:val="24"/>
              </w:rPr>
              <w:t>(2)</w:t>
            </w:r>
            <w:r w:rsidRPr="00081EFC">
              <w:rPr>
                <w:rFonts w:eastAsia="Palatino Linotype" w:cs="Palatino Linotype"/>
                <w:spacing w:val="-5"/>
                <w:sz w:val="24"/>
              </w:rPr>
              <w:t xml:space="preserve"> </w:t>
            </w:r>
            <w:r w:rsidRPr="00081EFC">
              <w:rPr>
                <w:rFonts w:eastAsia="Palatino Linotype" w:cs="Palatino Linotype"/>
                <w:sz w:val="24"/>
              </w:rPr>
              <w:t>Regional</w:t>
            </w:r>
            <w:r w:rsidRPr="00081EFC">
              <w:rPr>
                <w:rFonts w:eastAsia="Palatino Linotype" w:cs="Palatino Linotype"/>
                <w:spacing w:val="-3"/>
                <w:sz w:val="24"/>
              </w:rPr>
              <w:t xml:space="preserve"> </w:t>
            </w:r>
            <w:r w:rsidRPr="00081EFC">
              <w:rPr>
                <w:rFonts w:eastAsia="Palatino Linotype" w:cs="Palatino Linotype"/>
                <w:sz w:val="24"/>
              </w:rPr>
              <w:t>Consortium</w:t>
            </w:r>
            <w:r w:rsidRPr="00081EFC">
              <w:rPr>
                <w:rFonts w:eastAsia="Palatino Linotype" w:cs="Palatino Linotype"/>
                <w:spacing w:val="-3"/>
                <w:sz w:val="24"/>
              </w:rPr>
              <w:t xml:space="preserve"> </w:t>
            </w:r>
            <w:r w:rsidRPr="00081EFC">
              <w:rPr>
                <w:rFonts w:eastAsia="Palatino Linotype" w:cs="Palatino Linotype"/>
                <w:sz w:val="24"/>
              </w:rPr>
              <w:t>/</w:t>
            </w:r>
            <w:r w:rsidRPr="00081EFC">
              <w:rPr>
                <w:rFonts w:eastAsia="Palatino Linotype" w:cs="Palatino Linotype"/>
                <w:spacing w:val="-3"/>
                <w:sz w:val="24"/>
              </w:rPr>
              <w:t xml:space="preserve"> </w:t>
            </w:r>
            <w:r w:rsidRPr="00081EFC">
              <w:rPr>
                <w:rFonts w:eastAsia="Palatino Linotype" w:cs="Palatino Linotype"/>
                <w:sz w:val="24"/>
              </w:rPr>
              <w:t>Members’</w:t>
            </w:r>
            <w:r w:rsidRPr="00081EFC">
              <w:rPr>
                <w:rFonts w:eastAsia="Palatino Linotype" w:cs="Palatino Linotype"/>
                <w:spacing w:val="-2"/>
                <w:sz w:val="24"/>
              </w:rPr>
              <w:t xml:space="preserve"> </w:t>
            </w:r>
            <w:r w:rsidRPr="00081EFC">
              <w:rPr>
                <w:rFonts w:eastAsia="Palatino Linotype" w:cs="Palatino Linotype"/>
                <w:sz w:val="24"/>
              </w:rPr>
              <w:t>Experience</w:t>
            </w:r>
          </w:p>
        </w:tc>
        <w:tc>
          <w:tcPr>
            <w:tcW w:w="1401" w:type="dxa"/>
          </w:tcPr>
          <w:p w:rsidRPr="00081EFC" w:rsidR="00081EFC" w:rsidP="00394667" w:rsidRDefault="00081EFC" w14:paraId="5A331DE3" w14:textId="77777777">
            <w:pPr>
              <w:keepNext/>
              <w:keepLines/>
              <w:widowControl w:val="0"/>
              <w:autoSpaceDE w:val="0"/>
              <w:autoSpaceDN w:val="0"/>
              <w:spacing w:line="240" w:lineRule="auto"/>
              <w:ind w:left="661" w:right="459" w:firstLine="0"/>
              <w:jc w:val="center"/>
              <w:rPr>
                <w:rFonts w:eastAsia="Palatino Linotype" w:cs="Palatino Linotype"/>
                <w:sz w:val="24"/>
              </w:rPr>
            </w:pPr>
            <w:r w:rsidRPr="00081EFC">
              <w:rPr>
                <w:rFonts w:eastAsia="Palatino Linotype" w:cs="Palatino Linotype"/>
                <w:sz w:val="24"/>
              </w:rPr>
              <w:t>35</w:t>
            </w:r>
          </w:p>
        </w:tc>
      </w:tr>
      <w:tr w:rsidRPr="00081EFC" w:rsidR="00081EFC" w:rsidTr="00EC1158" w14:paraId="54B581B5" w14:textId="77777777">
        <w:trPr>
          <w:trHeight w:val="323"/>
        </w:trPr>
        <w:tc>
          <w:tcPr>
            <w:tcW w:w="6760" w:type="dxa"/>
          </w:tcPr>
          <w:p w:rsidRPr="00081EFC" w:rsidR="00081EFC" w:rsidP="00394667" w:rsidRDefault="00081EFC" w14:paraId="229AE1A1" w14:textId="77777777">
            <w:pPr>
              <w:keepNext/>
              <w:keepLines/>
              <w:widowControl w:val="0"/>
              <w:autoSpaceDE w:val="0"/>
              <w:autoSpaceDN w:val="0"/>
              <w:spacing w:line="240" w:lineRule="auto"/>
              <w:ind w:firstLine="0"/>
              <w:rPr>
                <w:rFonts w:eastAsia="Palatino Linotype" w:cs="Palatino Linotype"/>
                <w:sz w:val="24"/>
              </w:rPr>
            </w:pPr>
            <w:r w:rsidRPr="00081EFC">
              <w:rPr>
                <w:rFonts w:eastAsia="Palatino Linotype" w:cs="Palatino Linotype"/>
                <w:sz w:val="24"/>
              </w:rPr>
              <w:t>(3)</w:t>
            </w:r>
            <w:r w:rsidRPr="00081EFC">
              <w:rPr>
                <w:rFonts w:eastAsia="Palatino Linotype" w:cs="Palatino Linotype"/>
                <w:spacing w:val="-3"/>
                <w:sz w:val="24"/>
              </w:rPr>
              <w:t xml:space="preserve"> </w:t>
            </w:r>
            <w:r w:rsidRPr="00081EFC">
              <w:rPr>
                <w:rFonts w:eastAsia="Palatino Linotype" w:cs="Palatino Linotype"/>
                <w:sz w:val="24"/>
              </w:rPr>
              <w:t>Work</w:t>
            </w:r>
            <w:r w:rsidRPr="00081EFC">
              <w:rPr>
                <w:rFonts w:eastAsia="Palatino Linotype" w:cs="Palatino Linotype"/>
                <w:spacing w:val="-1"/>
                <w:sz w:val="24"/>
              </w:rPr>
              <w:t xml:space="preserve"> </w:t>
            </w:r>
            <w:r w:rsidRPr="00081EFC">
              <w:rPr>
                <w:rFonts w:eastAsia="Palatino Linotype" w:cs="Palatino Linotype"/>
                <w:sz w:val="24"/>
              </w:rPr>
              <w:t>Plan</w:t>
            </w:r>
            <w:r w:rsidRPr="00081EFC">
              <w:rPr>
                <w:rFonts w:eastAsia="Palatino Linotype" w:cs="Palatino Linotype"/>
                <w:spacing w:val="-2"/>
                <w:sz w:val="24"/>
              </w:rPr>
              <w:t xml:space="preserve"> </w:t>
            </w:r>
            <w:r w:rsidRPr="00081EFC">
              <w:rPr>
                <w:rFonts w:eastAsia="Palatino Linotype" w:cs="Palatino Linotype"/>
                <w:sz w:val="24"/>
              </w:rPr>
              <w:t>and</w:t>
            </w:r>
            <w:r w:rsidRPr="00081EFC">
              <w:rPr>
                <w:rFonts w:eastAsia="Palatino Linotype" w:cs="Palatino Linotype"/>
                <w:spacing w:val="-2"/>
                <w:sz w:val="24"/>
              </w:rPr>
              <w:t xml:space="preserve"> </w:t>
            </w:r>
            <w:r w:rsidRPr="00081EFC">
              <w:rPr>
                <w:rFonts w:eastAsia="Palatino Linotype" w:cs="Palatino Linotype"/>
                <w:sz w:val="24"/>
              </w:rPr>
              <w:t>Performance</w:t>
            </w:r>
            <w:r w:rsidRPr="00081EFC">
              <w:rPr>
                <w:rFonts w:eastAsia="Palatino Linotype" w:cs="Palatino Linotype"/>
                <w:spacing w:val="-1"/>
                <w:sz w:val="24"/>
              </w:rPr>
              <w:t xml:space="preserve"> </w:t>
            </w:r>
            <w:r w:rsidRPr="00081EFC">
              <w:rPr>
                <w:rFonts w:eastAsia="Palatino Linotype" w:cs="Palatino Linotype"/>
                <w:sz w:val="24"/>
              </w:rPr>
              <w:t>Metrics</w:t>
            </w:r>
            <w:r w:rsidRPr="00081EFC">
              <w:rPr>
                <w:rFonts w:eastAsia="Palatino Linotype" w:cs="Palatino Linotype"/>
                <w:spacing w:val="-2"/>
                <w:sz w:val="24"/>
              </w:rPr>
              <w:t xml:space="preserve"> </w:t>
            </w:r>
            <w:r w:rsidRPr="00081EFC">
              <w:rPr>
                <w:rFonts w:eastAsia="Palatino Linotype" w:cs="Palatino Linotype"/>
                <w:sz w:val="24"/>
              </w:rPr>
              <w:t>Plan</w:t>
            </w:r>
          </w:p>
        </w:tc>
        <w:tc>
          <w:tcPr>
            <w:tcW w:w="1401" w:type="dxa"/>
          </w:tcPr>
          <w:p w:rsidRPr="00081EFC" w:rsidR="00081EFC" w:rsidP="00394667" w:rsidRDefault="00081EFC" w14:paraId="2ACEA5A5" w14:textId="77777777">
            <w:pPr>
              <w:keepNext/>
              <w:keepLines/>
              <w:widowControl w:val="0"/>
              <w:autoSpaceDE w:val="0"/>
              <w:autoSpaceDN w:val="0"/>
              <w:spacing w:line="240" w:lineRule="auto"/>
              <w:ind w:left="661" w:right="459" w:firstLine="0"/>
              <w:jc w:val="center"/>
              <w:rPr>
                <w:rFonts w:eastAsia="Palatino Linotype" w:cs="Palatino Linotype"/>
                <w:sz w:val="24"/>
              </w:rPr>
            </w:pPr>
            <w:r w:rsidRPr="00081EFC">
              <w:rPr>
                <w:rFonts w:eastAsia="Palatino Linotype" w:cs="Palatino Linotype"/>
                <w:sz w:val="24"/>
              </w:rPr>
              <w:t>30</w:t>
            </w:r>
          </w:p>
        </w:tc>
      </w:tr>
      <w:tr w:rsidRPr="00081EFC" w:rsidR="00081EFC" w:rsidTr="00EC1158" w14:paraId="17143B32" w14:textId="77777777">
        <w:trPr>
          <w:trHeight w:val="276"/>
        </w:trPr>
        <w:tc>
          <w:tcPr>
            <w:tcW w:w="6760" w:type="dxa"/>
            <w:tcBorders>
              <w:bottom w:val="single" w:color="000000" w:sz="6" w:space="0"/>
            </w:tcBorders>
          </w:tcPr>
          <w:p w:rsidRPr="00081EFC" w:rsidR="00081EFC" w:rsidP="00394667" w:rsidRDefault="00081EFC" w14:paraId="523DE3A1" w14:textId="77777777">
            <w:pPr>
              <w:keepNext/>
              <w:keepLines/>
              <w:widowControl w:val="0"/>
              <w:autoSpaceDE w:val="0"/>
              <w:autoSpaceDN w:val="0"/>
              <w:spacing w:line="240" w:lineRule="auto"/>
              <w:ind w:firstLine="0"/>
              <w:rPr>
                <w:rFonts w:eastAsia="Palatino Linotype" w:cs="Palatino Linotype"/>
                <w:sz w:val="24"/>
              </w:rPr>
            </w:pPr>
            <w:r w:rsidRPr="00081EFC">
              <w:rPr>
                <w:rFonts w:eastAsia="Palatino Linotype" w:cs="Palatino Linotype"/>
                <w:sz w:val="24"/>
              </w:rPr>
              <w:t>(4)</w:t>
            </w:r>
            <w:r w:rsidRPr="00081EFC">
              <w:rPr>
                <w:rFonts w:eastAsia="Palatino Linotype" w:cs="Palatino Linotype"/>
                <w:spacing w:val="-3"/>
                <w:sz w:val="24"/>
              </w:rPr>
              <w:t xml:space="preserve"> </w:t>
            </w:r>
            <w:r w:rsidRPr="00081EFC">
              <w:rPr>
                <w:rFonts w:eastAsia="Palatino Linotype" w:cs="Palatino Linotype"/>
                <w:sz w:val="24"/>
              </w:rPr>
              <w:t>Budget</w:t>
            </w:r>
          </w:p>
        </w:tc>
        <w:tc>
          <w:tcPr>
            <w:tcW w:w="1401" w:type="dxa"/>
            <w:tcBorders>
              <w:bottom w:val="single" w:color="000000" w:sz="6" w:space="0"/>
            </w:tcBorders>
          </w:tcPr>
          <w:p w:rsidRPr="00081EFC" w:rsidR="00081EFC" w:rsidP="00394667" w:rsidRDefault="00081EFC" w14:paraId="2B528064" w14:textId="77777777">
            <w:pPr>
              <w:keepNext/>
              <w:keepLines/>
              <w:widowControl w:val="0"/>
              <w:autoSpaceDE w:val="0"/>
              <w:autoSpaceDN w:val="0"/>
              <w:spacing w:line="240" w:lineRule="auto"/>
              <w:ind w:left="661" w:right="459" w:firstLine="0"/>
              <w:jc w:val="center"/>
              <w:rPr>
                <w:rFonts w:eastAsia="Palatino Linotype" w:cs="Palatino Linotype"/>
                <w:sz w:val="24"/>
              </w:rPr>
            </w:pPr>
            <w:r w:rsidRPr="00081EFC">
              <w:rPr>
                <w:rFonts w:eastAsia="Palatino Linotype" w:cs="Palatino Linotype"/>
                <w:sz w:val="24"/>
              </w:rPr>
              <w:t>20</w:t>
            </w:r>
          </w:p>
        </w:tc>
      </w:tr>
      <w:tr w:rsidRPr="00081EFC" w:rsidR="00081EFC" w:rsidTr="00EC1158" w14:paraId="1304B986" w14:textId="77777777">
        <w:trPr>
          <w:trHeight w:val="314"/>
        </w:trPr>
        <w:tc>
          <w:tcPr>
            <w:tcW w:w="6760" w:type="dxa"/>
            <w:tcBorders>
              <w:top w:val="single" w:color="000000" w:sz="6" w:space="0"/>
            </w:tcBorders>
          </w:tcPr>
          <w:p w:rsidRPr="00081EFC" w:rsidR="00081EFC" w:rsidP="00394667" w:rsidRDefault="00081EFC" w14:paraId="7E2FAFD9" w14:textId="77777777">
            <w:pPr>
              <w:keepNext/>
              <w:keepLines/>
              <w:widowControl w:val="0"/>
              <w:autoSpaceDE w:val="0"/>
              <w:autoSpaceDN w:val="0"/>
              <w:spacing w:before="31" w:line="240" w:lineRule="auto"/>
              <w:ind w:firstLine="0"/>
              <w:rPr>
                <w:rFonts w:eastAsia="Palatino Linotype" w:cs="Palatino Linotype"/>
                <w:sz w:val="24"/>
              </w:rPr>
            </w:pPr>
            <w:r w:rsidRPr="00081EFC">
              <w:rPr>
                <w:rFonts w:eastAsia="Palatino Linotype" w:cs="Palatino Linotype"/>
                <w:sz w:val="24"/>
              </w:rPr>
              <w:t>Total</w:t>
            </w:r>
          </w:p>
        </w:tc>
        <w:tc>
          <w:tcPr>
            <w:tcW w:w="1401" w:type="dxa"/>
            <w:tcBorders>
              <w:top w:val="single" w:color="000000" w:sz="6" w:space="0"/>
            </w:tcBorders>
          </w:tcPr>
          <w:p w:rsidRPr="00081EFC" w:rsidR="00081EFC" w:rsidP="00394667" w:rsidRDefault="00081EFC" w14:paraId="067A0B00" w14:textId="77777777">
            <w:pPr>
              <w:keepNext/>
              <w:keepLines/>
              <w:widowControl w:val="0"/>
              <w:autoSpaceDE w:val="0"/>
              <w:autoSpaceDN w:val="0"/>
              <w:spacing w:before="31" w:line="240" w:lineRule="auto"/>
              <w:ind w:left="621" w:firstLine="0"/>
              <w:rPr>
                <w:rFonts w:eastAsia="Palatino Linotype" w:cs="Palatino Linotype"/>
                <w:sz w:val="24"/>
              </w:rPr>
            </w:pPr>
            <w:r w:rsidRPr="00081EFC">
              <w:rPr>
                <w:rFonts w:eastAsia="Palatino Linotype" w:cs="Palatino Linotype"/>
                <w:sz w:val="24"/>
              </w:rPr>
              <w:t>100</w:t>
            </w:r>
          </w:p>
        </w:tc>
      </w:tr>
    </w:tbl>
    <w:p w:rsidRPr="00081EFC" w:rsidR="00081EFC" w:rsidP="00081EFC" w:rsidRDefault="00081EFC" w14:paraId="374DF7D6"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4529A263"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Applications will be objectively evaluated on how well they meet the goals of the CASF Consortia program. Judgment regarding each area will be rendered in the form of a numerical score. Each application will be assigned a total score. Those applicants who meet a minimum score of 70 points (out of a possible 100 points) will be considered for funding. Where multiple Consortia apply for the same region only the applicant in a region who has the highest score will be considered for an award. If said scoring criteria threshold is not met in any region(s), no award will be disbursed for said region(s) and as a result, a second application process for said region(s) will be required and announced to the CASF Distribution List and posted on the CASF Consortia website.</w:t>
      </w:r>
    </w:p>
    <w:p w:rsidRPr="00081EFC" w:rsidR="00081EFC" w:rsidP="00081EFC" w:rsidRDefault="00081EFC" w14:paraId="69477B0A"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76482EFB"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The Commission will issue approval of qualifying consortia applications, together </w:t>
      </w:r>
      <w:r w:rsidRPr="00081EFC">
        <w:rPr>
          <w:rFonts w:eastAsia="Palatino Linotype" w:cs="Palatino Linotype"/>
          <w:sz w:val="24"/>
          <w:szCs w:val="24"/>
        </w:rPr>
        <w:lastRenderedPageBreak/>
        <w:t>with the grant amount per consortium, through a Commission resolution(s).</w:t>
      </w:r>
    </w:p>
    <w:p w:rsidRPr="00081EFC" w:rsidR="00081EFC" w:rsidP="00081EFC" w:rsidRDefault="00081EFC" w14:paraId="4A3F5928"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7B4C24AD"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Staff shall notify an applicant by letter specifying reasons for rejection, should an application fail to meet the criteria set forth in these rules.</w:t>
      </w:r>
    </w:p>
    <w:p w:rsidRPr="00081EFC" w:rsidR="00081EFC" w:rsidP="00081EFC" w:rsidRDefault="00081EFC" w14:paraId="3327F630"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5E7FE0" w:rsidRDefault="00081EFC" w14:paraId="1F1C544D" w14:textId="77777777">
      <w:pPr>
        <w:widowControl w:val="0"/>
        <w:numPr>
          <w:ilvl w:val="0"/>
          <w:numId w:val="47"/>
        </w:numPr>
        <w:autoSpaceDE w:val="0"/>
        <w:autoSpaceDN w:val="0"/>
        <w:spacing w:before="24" w:line="240" w:lineRule="auto"/>
        <w:ind w:left="900" w:right="262"/>
        <w:contextualSpacing/>
        <w:rPr>
          <w:rFonts w:eastAsia="Palatino Linotype" w:cs="Palatino Linotype"/>
          <w:b/>
          <w:bCs/>
          <w:sz w:val="24"/>
          <w:szCs w:val="24"/>
        </w:rPr>
      </w:pPr>
      <w:r w:rsidRPr="00081EFC">
        <w:rPr>
          <w:rFonts w:eastAsia="Palatino Linotype" w:cs="Palatino Linotype"/>
          <w:b/>
          <w:bCs/>
          <w:sz w:val="24"/>
          <w:szCs w:val="24"/>
        </w:rPr>
        <w:t>Submission and Timelines</w:t>
      </w:r>
    </w:p>
    <w:p w:rsidRPr="00081EFC" w:rsidR="00081EFC" w:rsidP="00081EFC" w:rsidRDefault="00081EFC" w14:paraId="1CDABEAE" w14:textId="02D1B9D5">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The Commission will open a new application cycle on June 1, 2022. Eligible applicants must submit their proposals by July 15, </w:t>
      </w:r>
      <w:proofErr w:type="gramStart"/>
      <w:r w:rsidRPr="00081EFC">
        <w:rPr>
          <w:rFonts w:eastAsia="Palatino Linotype" w:cs="Palatino Linotype"/>
          <w:sz w:val="24"/>
          <w:szCs w:val="24"/>
        </w:rPr>
        <w:t>2022</w:t>
      </w:r>
      <w:proofErr w:type="gramEnd"/>
      <w:r w:rsidRPr="00081EFC">
        <w:rPr>
          <w:rFonts w:eastAsia="Palatino Linotype" w:cs="Palatino Linotype"/>
          <w:sz w:val="24"/>
          <w:szCs w:val="24"/>
        </w:rPr>
        <w:t xml:space="preserve"> via e</w:t>
      </w:r>
      <w:r w:rsidR="00FF6FF3">
        <w:rPr>
          <w:rFonts w:eastAsia="Palatino Linotype" w:cs="Palatino Linotype"/>
          <w:sz w:val="24"/>
          <w:szCs w:val="24"/>
        </w:rPr>
        <w:t>-</w:t>
      </w:r>
      <w:r w:rsidRPr="00081EFC">
        <w:rPr>
          <w:rFonts w:eastAsia="Palatino Linotype" w:cs="Palatino Linotype"/>
          <w:sz w:val="24"/>
          <w:szCs w:val="24"/>
        </w:rPr>
        <w:t>mail to the address below to ensure consideration.</w:t>
      </w:r>
    </w:p>
    <w:p w:rsidRPr="00081EFC" w:rsidR="00081EFC" w:rsidP="00081EFC" w:rsidRDefault="00081EFC" w14:paraId="0ED1CF3D" w14:textId="77777777">
      <w:pPr>
        <w:widowControl w:val="0"/>
        <w:autoSpaceDE w:val="0"/>
        <w:autoSpaceDN w:val="0"/>
        <w:spacing w:before="24" w:line="240" w:lineRule="auto"/>
        <w:ind w:right="262" w:firstLine="0"/>
        <w:rPr>
          <w:rFonts w:eastAsia="Palatino Linotype" w:cs="Palatino Linotype"/>
          <w:b/>
          <w:bCs/>
          <w:sz w:val="24"/>
          <w:szCs w:val="24"/>
        </w:rPr>
      </w:pPr>
    </w:p>
    <w:p w:rsidRPr="00081EFC" w:rsidR="00081EFC" w:rsidP="00081EFC" w:rsidRDefault="00081EFC" w14:paraId="22080937" w14:textId="77777777">
      <w:pPr>
        <w:widowControl w:val="0"/>
        <w:autoSpaceDE w:val="0"/>
        <w:autoSpaceDN w:val="0"/>
        <w:spacing w:before="24" w:line="240" w:lineRule="auto"/>
        <w:ind w:right="262" w:firstLine="0"/>
        <w:rPr>
          <w:rFonts w:eastAsia="Palatino Linotype" w:cs="Palatino Linotype"/>
          <w:color w:val="0000FF"/>
          <w:sz w:val="24"/>
          <w:szCs w:val="24"/>
          <w:u w:val="single"/>
        </w:rPr>
      </w:pPr>
      <w:r w:rsidRPr="00081EFC">
        <w:rPr>
          <w:rFonts w:eastAsia="Palatino Linotype" w:cs="Palatino Linotype"/>
          <w:color w:val="0000FF"/>
          <w:sz w:val="24"/>
          <w:szCs w:val="24"/>
          <w:u w:val="single"/>
        </w:rPr>
        <w:t>CASF_Consortia_Grant_Administrator@cpuc.ca.gov</w:t>
      </w:r>
    </w:p>
    <w:p w:rsidRPr="00081EFC" w:rsidR="00081EFC" w:rsidP="00081EFC" w:rsidRDefault="00081EFC" w14:paraId="29564358" w14:textId="77777777">
      <w:pPr>
        <w:widowControl w:val="0"/>
        <w:autoSpaceDE w:val="0"/>
        <w:autoSpaceDN w:val="0"/>
        <w:spacing w:before="24" w:line="240" w:lineRule="auto"/>
        <w:ind w:right="262" w:firstLine="0"/>
        <w:rPr>
          <w:rFonts w:eastAsia="Palatino Linotype" w:cs="Palatino Linotype"/>
          <w:b/>
          <w:bCs/>
          <w:sz w:val="24"/>
          <w:szCs w:val="24"/>
        </w:rPr>
      </w:pPr>
    </w:p>
    <w:p w:rsidRPr="00081EFC" w:rsidR="00081EFC" w:rsidP="00081EFC" w:rsidRDefault="00081EFC" w14:paraId="6D6261EE"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The Commission will allow both existing and newly formed consortia to submit applications.</w:t>
      </w:r>
    </w:p>
    <w:p w:rsidR="00081EFC" w:rsidP="00081EFC" w:rsidRDefault="00081EFC" w14:paraId="7253D4EE" w14:textId="623AD29E">
      <w:pPr>
        <w:widowControl w:val="0"/>
        <w:autoSpaceDE w:val="0"/>
        <w:autoSpaceDN w:val="0"/>
        <w:spacing w:before="24" w:line="240" w:lineRule="auto"/>
        <w:ind w:right="262" w:firstLine="0"/>
        <w:rPr>
          <w:rFonts w:eastAsia="Palatino Linotype" w:cs="Palatino Linotype"/>
          <w:sz w:val="24"/>
          <w:szCs w:val="24"/>
        </w:rPr>
      </w:pPr>
    </w:p>
    <w:p w:rsidRPr="00081EFC" w:rsidR="000E2670" w:rsidP="00081EFC" w:rsidRDefault="000E2670" w14:paraId="05AEE3C0"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151C96D7" w14:textId="77777777">
      <w:pPr>
        <w:widowControl w:val="0"/>
        <w:autoSpaceDE w:val="0"/>
        <w:autoSpaceDN w:val="0"/>
        <w:spacing w:line="240" w:lineRule="auto"/>
        <w:ind w:left="100" w:firstLine="0"/>
        <w:rPr>
          <w:rFonts w:eastAsia="Palatino Linotype" w:cs="Palatino Linotype"/>
          <w:b/>
          <w:sz w:val="24"/>
        </w:rPr>
      </w:pPr>
      <w:r w:rsidRPr="00081EFC">
        <w:rPr>
          <w:rFonts w:eastAsia="Palatino Linotype" w:cs="Palatino Linotype"/>
          <w:b/>
          <w:sz w:val="24"/>
        </w:rPr>
        <w:t>Public</w:t>
      </w:r>
      <w:r w:rsidRPr="00081EFC">
        <w:rPr>
          <w:rFonts w:eastAsia="Palatino Linotype" w:cs="Palatino Linotype"/>
          <w:b/>
          <w:spacing w:val="-4"/>
          <w:sz w:val="24"/>
        </w:rPr>
        <w:t xml:space="preserve"> </w:t>
      </w:r>
      <w:r w:rsidRPr="00081EFC">
        <w:rPr>
          <w:rFonts w:eastAsia="Palatino Linotype" w:cs="Palatino Linotype"/>
          <w:b/>
          <w:sz w:val="24"/>
        </w:rPr>
        <w:t>Notice</w:t>
      </w:r>
      <w:r w:rsidRPr="00081EFC">
        <w:rPr>
          <w:rFonts w:eastAsia="Palatino Linotype" w:cs="Palatino Linotype"/>
          <w:b/>
          <w:spacing w:val="-4"/>
          <w:sz w:val="24"/>
        </w:rPr>
        <w:t xml:space="preserve"> </w:t>
      </w:r>
      <w:r w:rsidRPr="00081EFC">
        <w:rPr>
          <w:rFonts w:eastAsia="Palatino Linotype" w:cs="Palatino Linotype"/>
          <w:b/>
          <w:sz w:val="24"/>
        </w:rPr>
        <w:t>of</w:t>
      </w:r>
      <w:r w:rsidRPr="00081EFC">
        <w:rPr>
          <w:rFonts w:eastAsia="Palatino Linotype" w:cs="Palatino Linotype"/>
          <w:b/>
          <w:spacing w:val="-3"/>
          <w:sz w:val="24"/>
        </w:rPr>
        <w:t xml:space="preserve"> </w:t>
      </w:r>
      <w:r w:rsidRPr="00081EFC">
        <w:rPr>
          <w:rFonts w:eastAsia="Palatino Linotype" w:cs="Palatino Linotype"/>
          <w:b/>
          <w:sz w:val="24"/>
        </w:rPr>
        <w:t>Consortia</w:t>
      </w:r>
      <w:r w:rsidRPr="00081EFC">
        <w:rPr>
          <w:rFonts w:eastAsia="Palatino Linotype" w:cs="Palatino Linotype"/>
          <w:b/>
          <w:spacing w:val="-4"/>
          <w:sz w:val="24"/>
        </w:rPr>
        <w:t xml:space="preserve"> </w:t>
      </w:r>
      <w:r w:rsidRPr="00081EFC">
        <w:rPr>
          <w:rFonts w:eastAsia="Palatino Linotype" w:cs="Palatino Linotype"/>
          <w:b/>
          <w:sz w:val="24"/>
        </w:rPr>
        <w:t>Application</w:t>
      </w:r>
      <w:r w:rsidRPr="00081EFC">
        <w:rPr>
          <w:rFonts w:eastAsia="Palatino Linotype" w:cs="Palatino Linotype"/>
          <w:b/>
          <w:spacing w:val="-4"/>
          <w:sz w:val="24"/>
        </w:rPr>
        <w:t xml:space="preserve"> </w:t>
      </w:r>
      <w:r w:rsidRPr="00081EFC">
        <w:rPr>
          <w:rFonts w:eastAsia="Palatino Linotype" w:cs="Palatino Linotype"/>
          <w:b/>
          <w:sz w:val="24"/>
        </w:rPr>
        <w:t>Information</w:t>
      </w:r>
    </w:p>
    <w:p w:rsidRPr="00081EFC" w:rsidR="00081EFC" w:rsidP="00081EFC" w:rsidRDefault="00081EFC" w14:paraId="04D36AA2" w14:textId="77777777">
      <w:pPr>
        <w:widowControl w:val="0"/>
        <w:autoSpaceDE w:val="0"/>
        <w:autoSpaceDN w:val="0"/>
        <w:spacing w:before="3" w:line="240" w:lineRule="auto"/>
        <w:ind w:left="100" w:firstLine="0"/>
        <w:rPr>
          <w:rFonts w:eastAsia="Palatino Linotype" w:cs="Palatino Linotype"/>
          <w:sz w:val="24"/>
          <w:szCs w:val="24"/>
        </w:rPr>
      </w:pPr>
      <w:r w:rsidRPr="00081EFC">
        <w:rPr>
          <w:rFonts w:eastAsia="Palatino Linotype" w:cs="Palatino Linotype"/>
          <w:sz w:val="24"/>
          <w:szCs w:val="24"/>
        </w:rPr>
        <w:t>The Communications Division will post a list of all pending applications on the</w:t>
      </w:r>
      <w:r w:rsidRPr="00081EFC">
        <w:rPr>
          <w:rFonts w:eastAsia="Palatino Linotype" w:cs="Palatino Linotype"/>
          <w:spacing w:val="1"/>
          <w:sz w:val="24"/>
          <w:szCs w:val="24"/>
        </w:rPr>
        <w:t xml:space="preserve"> </w:t>
      </w:r>
      <w:r w:rsidRPr="00081EFC">
        <w:rPr>
          <w:rFonts w:eastAsia="Palatino Linotype" w:cs="Palatino Linotype"/>
          <w:sz w:val="24"/>
          <w:szCs w:val="24"/>
        </w:rPr>
        <w:t>CASF Consortia Account webpage at</w:t>
      </w:r>
      <w:r w:rsidRPr="00081EFC">
        <w:rPr>
          <w:rFonts w:eastAsia="Palatino Linotype" w:cs="Palatino Linotype"/>
          <w:spacing w:val="1"/>
          <w:sz w:val="24"/>
          <w:szCs w:val="24"/>
        </w:rPr>
        <w:t xml:space="preserve"> </w:t>
      </w:r>
      <w:r w:rsidRPr="00081EFC">
        <w:rPr>
          <w:rFonts w:eastAsia="Palatino Linotype" w:cs="Palatino Linotype"/>
          <w:color w:val="0000FF"/>
          <w:sz w:val="24"/>
          <w:szCs w:val="24"/>
          <w:u w:val="single"/>
        </w:rPr>
        <w:t>https://www.cpuc.ca.gov/industries-and-topics/internet-and-phone/california-advanced-services-fund/casf-consortia-account.</w:t>
      </w:r>
    </w:p>
    <w:p w:rsidRPr="00081EFC" w:rsidR="00081EFC" w:rsidP="00081EFC" w:rsidRDefault="00081EFC" w14:paraId="3DAE88FE" w14:textId="77777777">
      <w:pPr>
        <w:widowControl w:val="0"/>
        <w:autoSpaceDE w:val="0"/>
        <w:autoSpaceDN w:val="0"/>
        <w:spacing w:before="3" w:line="240" w:lineRule="auto"/>
        <w:ind w:firstLine="0"/>
        <w:rPr>
          <w:rFonts w:eastAsia="Palatino Linotype" w:cs="Palatino Linotype"/>
          <w:sz w:val="20"/>
          <w:szCs w:val="24"/>
        </w:rPr>
      </w:pPr>
    </w:p>
    <w:p w:rsidRPr="00081EFC" w:rsidR="00081EFC" w:rsidP="00081EFC" w:rsidRDefault="00081EFC" w14:paraId="6BCA3E54" w14:textId="77777777">
      <w:pPr>
        <w:widowControl w:val="0"/>
        <w:autoSpaceDE w:val="0"/>
        <w:autoSpaceDN w:val="0"/>
        <w:spacing w:before="23" w:line="240" w:lineRule="auto"/>
        <w:ind w:firstLine="0"/>
        <w:rPr>
          <w:rFonts w:eastAsia="Palatino Linotype" w:cs="Palatino Linotype"/>
          <w:sz w:val="24"/>
          <w:szCs w:val="24"/>
        </w:rPr>
      </w:pPr>
      <w:r w:rsidRPr="00081EFC">
        <w:rPr>
          <w:rFonts w:eastAsia="Palatino Linotype" w:cs="Palatino Linotype"/>
          <w:sz w:val="24"/>
          <w:szCs w:val="24"/>
        </w:rPr>
        <w:t>Given that multiple applicants may potentially be competing for the same grant</w:t>
      </w:r>
      <w:r w:rsidRPr="00081EFC">
        <w:rPr>
          <w:rFonts w:eastAsia="Palatino Linotype" w:cs="Palatino Linotype"/>
          <w:spacing w:val="1"/>
          <w:sz w:val="24"/>
          <w:szCs w:val="24"/>
        </w:rPr>
        <w:t xml:space="preserve"> </w:t>
      </w:r>
      <w:r w:rsidRPr="00081EFC">
        <w:rPr>
          <w:rFonts w:eastAsia="Palatino Linotype" w:cs="Palatino Linotype"/>
          <w:sz w:val="24"/>
          <w:szCs w:val="24"/>
        </w:rPr>
        <w:t>money,</w:t>
      </w:r>
      <w:r w:rsidRPr="00081EFC">
        <w:rPr>
          <w:rFonts w:eastAsia="Palatino Linotype" w:cs="Palatino Linotype"/>
          <w:spacing w:val="-2"/>
          <w:sz w:val="24"/>
          <w:szCs w:val="24"/>
        </w:rPr>
        <w:t xml:space="preserve"> </w:t>
      </w:r>
      <w:r w:rsidRPr="00081EFC">
        <w:rPr>
          <w:rFonts w:eastAsia="Palatino Linotype" w:cs="Palatino Linotype"/>
          <w:sz w:val="24"/>
          <w:szCs w:val="24"/>
        </w:rPr>
        <w:t>the</w:t>
      </w:r>
      <w:r w:rsidRPr="00081EFC">
        <w:rPr>
          <w:rFonts w:eastAsia="Palatino Linotype" w:cs="Palatino Linotype"/>
          <w:spacing w:val="-3"/>
          <w:sz w:val="24"/>
          <w:szCs w:val="24"/>
        </w:rPr>
        <w:t xml:space="preserve"> </w:t>
      </w:r>
      <w:r w:rsidRPr="00081EFC">
        <w:rPr>
          <w:rFonts w:eastAsia="Palatino Linotype" w:cs="Palatino Linotype"/>
          <w:sz w:val="24"/>
          <w:szCs w:val="24"/>
        </w:rPr>
        <w:t>Commission</w:t>
      </w:r>
      <w:r w:rsidRPr="00081EFC">
        <w:rPr>
          <w:rFonts w:eastAsia="Palatino Linotype" w:cs="Palatino Linotype"/>
          <w:spacing w:val="-3"/>
          <w:sz w:val="24"/>
          <w:szCs w:val="24"/>
        </w:rPr>
        <w:t xml:space="preserve"> </w:t>
      </w:r>
      <w:r w:rsidRPr="00081EFC">
        <w:rPr>
          <w:rFonts w:eastAsia="Palatino Linotype" w:cs="Palatino Linotype"/>
          <w:sz w:val="24"/>
          <w:szCs w:val="24"/>
        </w:rPr>
        <w:t>will</w:t>
      </w:r>
      <w:r w:rsidRPr="00081EFC">
        <w:rPr>
          <w:rFonts w:eastAsia="Palatino Linotype" w:cs="Palatino Linotype"/>
          <w:spacing w:val="-2"/>
          <w:sz w:val="24"/>
          <w:szCs w:val="24"/>
        </w:rPr>
        <w:t xml:space="preserve"> </w:t>
      </w:r>
      <w:r w:rsidRPr="00081EFC">
        <w:rPr>
          <w:rFonts w:eastAsia="Palatino Linotype" w:cs="Palatino Linotype"/>
          <w:sz w:val="24"/>
          <w:szCs w:val="24"/>
        </w:rPr>
        <w:t>not</w:t>
      </w:r>
      <w:r w:rsidRPr="00081EFC">
        <w:rPr>
          <w:rFonts w:eastAsia="Palatino Linotype" w:cs="Palatino Linotype"/>
          <w:spacing w:val="-2"/>
          <w:sz w:val="24"/>
          <w:szCs w:val="24"/>
        </w:rPr>
        <w:t xml:space="preserve"> </w:t>
      </w:r>
      <w:r w:rsidRPr="00081EFC">
        <w:rPr>
          <w:rFonts w:eastAsia="Palatino Linotype" w:cs="Palatino Linotype"/>
          <w:sz w:val="24"/>
          <w:szCs w:val="24"/>
        </w:rPr>
        <w:t>post</w:t>
      </w:r>
      <w:r w:rsidRPr="00081EFC">
        <w:rPr>
          <w:rFonts w:eastAsia="Palatino Linotype" w:cs="Palatino Linotype"/>
          <w:spacing w:val="-3"/>
          <w:sz w:val="24"/>
          <w:szCs w:val="24"/>
        </w:rPr>
        <w:t xml:space="preserve"> </w:t>
      </w:r>
      <w:r w:rsidRPr="00081EFC">
        <w:rPr>
          <w:rFonts w:eastAsia="Palatino Linotype" w:cs="Palatino Linotype"/>
          <w:sz w:val="24"/>
          <w:szCs w:val="24"/>
        </w:rPr>
        <w:t>the</w:t>
      </w:r>
      <w:r w:rsidRPr="00081EFC">
        <w:rPr>
          <w:rFonts w:eastAsia="Palatino Linotype" w:cs="Palatino Linotype"/>
          <w:spacing w:val="-3"/>
          <w:sz w:val="24"/>
          <w:szCs w:val="24"/>
        </w:rPr>
        <w:t xml:space="preserve"> </w:t>
      </w:r>
      <w:r w:rsidRPr="00081EFC">
        <w:rPr>
          <w:rFonts w:eastAsia="Palatino Linotype" w:cs="Palatino Linotype"/>
          <w:sz w:val="24"/>
          <w:szCs w:val="24"/>
        </w:rPr>
        <w:t>full</w:t>
      </w:r>
      <w:r w:rsidRPr="00081EFC">
        <w:rPr>
          <w:rFonts w:eastAsia="Palatino Linotype" w:cs="Palatino Linotype"/>
          <w:spacing w:val="-1"/>
          <w:sz w:val="24"/>
          <w:szCs w:val="24"/>
        </w:rPr>
        <w:t xml:space="preserve"> </w:t>
      </w:r>
      <w:r w:rsidRPr="00081EFC">
        <w:rPr>
          <w:rFonts w:eastAsia="Palatino Linotype" w:cs="Palatino Linotype"/>
          <w:sz w:val="24"/>
          <w:szCs w:val="24"/>
        </w:rPr>
        <w:t>contents</w:t>
      </w:r>
      <w:r w:rsidRPr="00081EFC">
        <w:rPr>
          <w:rFonts w:eastAsia="Palatino Linotype" w:cs="Palatino Linotype"/>
          <w:spacing w:val="-3"/>
          <w:sz w:val="24"/>
          <w:szCs w:val="24"/>
        </w:rPr>
        <w:t xml:space="preserve"> </w:t>
      </w:r>
      <w:r w:rsidRPr="00081EFC">
        <w:rPr>
          <w:rFonts w:eastAsia="Palatino Linotype" w:cs="Palatino Linotype"/>
          <w:sz w:val="24"/>
          <w:szCs w:val="24"/>
        </w:rPr>
        <w:t>of</w:t>
      </w:r>
      <w:r w:rsidRPr="00081EFC">
        <w:rPr>
          <w:rFonts w:eastAsia="Palatino Linotype" w:cs="Palatino Linotype"/>
          <w:spacing w:val="-2"/>
          <w:sz w:val="24"/>
          <w:szCs w:val="24"/>
        </w:rPr>
        <w:t xml:space="preserve"> </w:t>
      </w:r>
      <w:r w:rsidRPr="00081EFC">
        <w:rPr>
          <w:rFonts w:eastAsia="Palatino Linotype" w:cs="Palatino Linotype"/>
          <w:sz w:val="24"/>
          <w:szCs w:val="24"/>
        </w:rPr>
        <w:t>each</w:t>
      </w:r>
      <w:r w:rsidRPr="00081EFC">
        <w:rPr>
          <w:rFonts w:eastAsia="Palatino Linotype" w:cs="Palatino Linotype"/>
          <w:spacing w:val="-3"/>
          <w:sz w:val="24"/>
          <w:szCs w:val="24"/>
        </w:rPr>
        <w:t xml:space="preserve"> </w:t>
      </w:r>
      <w:r w:rsidRPr="00081EFC">
        <w:rPr>
          <w:rFonts w:eastAsia="Palatino Linotype" w:cs="Palatino Linotype"/>
          <w:sz w:val="24"/>
          <w:szCs w:val="24"/>
        </w:rPr>
        <w:t>application</w:t>
      </w:r>
      <w:r w:rsidRPr="00081EFC">
        <w:rPr>
          <w:rFonts w:eastAsia="Palatino Linotype" w:cs="Palatino Linotype"/>
          <w:spacing w:val="-3"/>
          <w:sz w:val="24"/>
          <w:szCs w:val="24"/>
        </w:rPr>
        <w:t xml:space="preserve"> </w:t>
      </w:r>
      <w:r w:rsidRPr="00081EFC">
        <w:rPr>
          <w:rFonts w:eastAsia="Palatino Linotype" w:cs="Palatino Linotype"/>
          <w:sz w:val="24"/>
          <w:szCs w:val="24"/>
        </w:rPr>
        <w:t>on</w:t>
      </w:r>
      <w:r w:rsidRPr="00081EFC">
        <w:rPr>
          <w:rFonts w:eastAsia="Palatino Linotype" w:cs="Palatino Linotype"/>
          <w:spacing w:val="-2"/>
          <w:sz w:val="24"/>
          <w:szCs w:val="24"/>
        </w:rPr>
        <w:t xml:space="preserve"> </w:t>
      </w:r>
      <w:r w:rsidRPr="00081EFC">
        <w:rPr>
          <w:rFonts w:eastAsia="Palatino Linotype" w:cs="Palatino Linotype"/>
          <w:sz w:val="24"/>
          <w:szCs w:val="24"/>
        </w:rPr>
        <w:t>the</w:t>
      </w:r>
      <w:r w:rsidRPr="00081EFC">
        <w:rPr>
          <w:rFonts w:eastAsia="Palatino Linotype" w:cs="Palatino Linotype"/>
          <w:spacing w:val="-57"/>
          <w:sz w:val="24"/>
          <w:szCs w:val="24"/>
        </w:rPr>
        <w:t xml:space="preserve"> </w:t>
      </w:r>
      <w:r w:rsidRPr="00081EFC">
        <w:rPr>
          <w:rFonts w:eastAsia="Palatino Linotype" w:cs="Palatino Linotype"/>
          <w:sz w:val="24"/>
          <w:szCs w:val="24"/>
        </w:rPr>
        <w:t>webpage.</w:t>
      </w:r>
      <w:r w:rsidRPr="00081EFC">
        <w:rPr>
          <w:rFonts w:eastAsia="Palatino Linotype" w:cs="Palatino Linotype"/>
          <w:spacing w:val="1"/>
          <w:sz w:val="24"/>
          <w:szCs w:val="24"/>
        </w:rPr>
        <w:t xml:space="preserve"> </w:t>
      </w:r>
      <w:r w:rsidRPr="00081EFC">
        <w:rPr>
          <w:rFonts w:eastAsia="Palatino Linotype" w:cs="Palatino Linotype"/>
          <w:sz w:val="24"/>
          <w:szCs w:val="24"/>
        </w:rPr>
        <w:t>However, parties seeking to review the contents of a Consortium</w:t>
      </w:r>
      <w:r w:rsidRPr="00081EFC">
        <w:rPr>
          <w:rFonts w:eastAsia="Palatino Linotype" w:cs="Palatino Linotype"/>
          <w:spacing w:val="1"/>
          <w:sz w:val="24"/>
          <w:szCs w:val="24"/>
        </w:rPr>
        <w:t xml:space="preserve"> </w:t>
      </w:r>
      <w:r w:rsidRPr="00081EFC">
        <w:rPr>
          <w:rFonts w:eastAsia="Palatino Linotype" w:cs="Palatino Linotype"/>
          <w:sz w:val="24"/>
          <w:szCs w:val="24"/>
        </w:rPr>
        <w:t>application may contact the respective Consortium to request an electronic or</w:t>
      </w:r>
      <w:r w:rsidRPr="00081EFC">
        <w:rPr>
          <w:rFonts w:eastAsia="Palatino Linotype" w:cs="Palatino Linotype"/>
          <w:spacing w:val="1"/>
          <w:sz w:val="24"/>
          <w:szCs w:val="24"/>
        </w:rPr>
        <w:t xml:space="preserve"> </w:t>
      </w:r>
      <w:r w:rsidRPr="00081EFC">
        <w:rPr>
          <w:rFonts w:eastAsia="Palatino Linotype" w:cs="Palatino Linotype"/>
          <w:sz w:val="24"/>
          <w:szCs w:val="24"/>
        </w:rPr>
        <w:t>paper</w:t>
      </w:r>
      <w:r w:rsidRPr="00081EFC">
        <w:rPr>
          <w:rFonts w:eastAsia="Palatino Linotype" w:cs="Palatino Linotype"/>
          <w:spacing w:val="-1"/>
          <w:sz w:val="24"/>
          <w:szCs w:val="24"/>
        </w:rPr>
        <w:t xml:space="preserve"> </w:t>
      </w:r>
      <w:r w:rsidRPr="00081EFC">
        <w:rPr>
          <w:rFonts w:eastAsia="Palatino Linotype" w:cs="Palatino Linotype"/>
          <w:sz w:val="24"/>
          <w:szCs w:val="24"/>
        </w:rPr>
        <w:t>copy</w:t>
      </w:r>
      <w:r w:rsidRPr="00081EFC">
        <w:rPr>
          <w:rFonts w:eastAsia="Palatino Linotype" w:cs="Palatino Linotype"/>
          <w:spacing w:val="-1"/>
          <w:sz w:val="24"/>
          <w:szCs w:val="24"/>
        </w:rPr>
        <w:t xml:space="preserve"> </w:t>
      </w:r>
      <w:r w:rsidRPr="00081EFC">
        <w:rPr>
          <w:rFonts w:eastAsia="Palatino Linotype" w:cs="Palatino Linotype"/>
          <w:sz w:val="24"/>
          <w:szCs w:val="24"/>
        </w:rPr>
        <w:t>for</w:t>
      </w:r>
      <w:r w:rsidRPr="00081EFC">
        <w:rPr>
          <w:rFonts w:eastAsia="Palatino Linotype" w:cs="Palatino Linotype"/>
          <w:spacing w:val="-2"/>
          <w:sz w:val="24"/>
          <w:szCs w:val="24"/>
        </w:rPr>
        <w:t xml:space="preserve"> </w:t>
      </w:r>
      <w:r w:rsidRPr="00081EFC">
        <w:rPr>
          <w:rFonts w:eastAsia="Palatino Linotype" w:cs="Palatino Linotype"/>
          <w:sz w:val="24"/>
          <w:szCs w:val="24"/>
        </w:rPr>
        <w:t>review.</w:t>
      </w:r>
    </w:p>
    <w:p w:rsidRPr="00081EFC" w:rsidR="00081EFC" w:rsidP="00081EFC" w:rsidRDefault="00081EFC" w14:paraId="48C61659" w14:textId="77777777">
      <w:pPr>
        <w:widowControl w:val="0"/>
        <w:autoSpaceDE w:val="0"/>
        <w:autoSpaceDN w:val="0"/>
        <w:spacing w:line="240" w:lineRule="auto"/>
        <w:ind w:firstLine="0"/>
        <w:rPr>
          <w:rFonts w:eastAsia="Palatino Linotype" w:cs="Palatino Linotype"/>
          <w:sz w:val="22"/>
          <w:szCs w:val="24"/>
        </w:rPr>
      </w:pPr>
    </w:p>
    <w:p w:rsidRPr="00081EFC" w:rsidR="00081EFC" w:rsidP="00081EFC" w:rsidRDefault="00081EFC" w14:paraId="72543BA8" w14:textId="77777777">
      <w:pPr>
        <w:widowControl w:val="0"/>
        <w:autoSpaceDE w:val="0"/>
        <w:autoSpaceDN w:val="0"/>
        <w:spacing w:line="240" w:lineRule="auto"/>
        <w:ind w:right="145" w:firstLine="0"/>
        <w:rPr>
          <w:rFonts w:eastAsia="Palatino Linotype" w:cs="Palatino Linotype"/>
          <w:sz w:val="24"/>
          <w:szCs w:val="24"/>
        </w:rPr>
      </w:pPr>
      <w:r w:rsidRPr="00081EFC">
        <w:rPr>
          <w:rFonts w:eastAsia="Palatino Linotype" w:cs="Palatino Linotype"/>
          <w:sz w:val="24"/>
          <w:szCs w:val="24"/>
        </w:rPr>
        <w:t>Prospective</w:t>
      </w:r>
      <w:r w:rsidRPr="00081EFC">
        <w:rPr>
          <w:rFonts w:eastAsia="Palatino Linotype" w:cs="Palatino Linotype"/>
          <w:spacing w:val="-4"/>
          <w:sz w:val="24"/>
          <w:szCs w:val="24"/>
        </w:rPr>
        <w:t xml:space="preserve"> </w:t>
      </w:r>
      <w:r w:rsidRPr="00081EFC">
        <w:rPr>
          <w:rFonts w:eastAsia="Palatino Linotype" w:cs="Palatino Linotype"/>
          <w:sz w:val="24"/>
          <w:szCs w:val="24"/>
        </w:rPr>
        <w:t>applicants</w:t>
      </w:r>
      <w:r w:rsidRPr="00081EFC">
        <w:rPr>
          <w:rFonts w:eastAsia="Palatino Linotype" w:cs="Palatino Linotype"/>
          <w:spacing w:val="-2"/>
          <w:sz w:val="24"/>
          <w:szCs w:val="24"/>
        </w:rPr>
        <w:t xml:space="preserve"> </w:t>
      </w:r>
      <w:r w:rsidRPr="00081EFC">
        <w:rPr>
          <w:rFonts w:eastAsia="Palatino Linotype" w:cs="Palatino Linotype"/>
          <w:sz w:val="24"/>
          <w:szCs w:val="24"/>
        </w:rPr>
        <w:t>may</w:t>
      </w:r>
      <w:r w:rsidRPr="00081EFC">
        <w:rPr>
          <w:rFonts w:eastAsia="Palatino Linotype" w:cs="Palatino Linotype"/>
          <w:spacing w:val="-3"/>
          <w:sz w:val="24"/>
          <w:szCs w:val="24"/>
        </w:rPr>
        <w:t xml:space="preserve"> </w:t>
      </w:r>
      <w:r w:rsidRPr="00081EFC">
        <w:rPr>
          <w:rFonts w:eastAsia="Palatino Linotype" w:cs="Palatino Linotype"/>
          <w:sz w:val="24"/>
          <w:szCs w:val="24"/>
        </w:rPr>
        <w:t>contact</w:t>
      </w:r>
      <w:r w:rsidRPr="00081EFC">
        <w:rPr>
          <w:rFonts w:eastAsia="Palatino Linotype" w:cs="Palatino Linotype"/>
          <w:spacing w:val="-5"/>
          <w:sz w:val="24"/>
          <w:szCs w:val="24"/>
        </w:rPr>
        <w:t xml:space="preserve"> </w:t>
      </w:r>
      <w:r w:rsidRPr="00081EFC">
        <w:rPr>
          <w:rFonts w:eastAsia="Palatino Linotype" w:cs="Palatino Linotype"/>
          <w:sz w:val="24"/>
          <w:szCs w:val="24"/>
        </w:rPr>
        <w:t>the</w:t>
      </w:r>
      <w:r w:rsidRPr="00081EFC">
        <w:rPr>
          <w:rFonts w:eastAsia="Palatino Linotype" w:cs="Palatino Linotype"/>
          <w:spacing w:val="-4"/>
          <w:sz w:val="24"/>
          <w:szCs w:val="24"/>
        </w:rPr>
        <w:t xml:space="preserve"> </w:t>
      </w:r>
      <w:r w:rsidRPr="00081EFC">
        <w:rPr>
          <w:rFonts w:eastAsia="Palatino Linotype" w:cs="Palatino Linotype"/>
          <w:sz w:val="24"/>
          <w:szCs w:val="24"/>
        </w:rPr>
        <w:t>CASF</w:t>
      </w:r>
      <w:r w:rsidRPr="00081EFC">
        <w:rPr>
          <w:rFonts w:eastAsia="Palatino Linotype" w:cs="Palatino Linotype"/>
          <w:spacing w:val="-5"/>
          <w:sz w:val="24"/>
          <w:szCs w:val="24"/>
        </w:rPr>
        <w:t xml:space="preserve"> </w:t>
      </w:r>
      <w:r w:rsidRPr="00081EFC">
        <w:rPr>
          <w:rFonts w:eastAsia="Palatino Linotype" w:cs="Palatino Linotype"/>
          <w:sz w:val="24"/>
          <w:szCs w:val="24"/>
        </w:rPr>
        <w:t>Consortia</w:t>
      </w:r>
      <w:r w:rsidRPr="00081EFC">
        <w:rPr>
          <w:rFonts w:eastAsia="Palatino Linotype" w:cs="Palatino Linotype"/>
          <w:spacing w:val="-3"/>
          <w:sz w:val="24"/>
          <w:szCs w:val="24"/>
        </w:rPr>
        <w:t xml:space="preserve"> </w:t>
      </w:r>
      <w:r w:rsidRPr="00081EFC">
        <w:rPr>
          <w:rFonts w:eastAsia="Palatino Linotype" w:cs="Palatino Linotype"/>
          <w:sz w:val="24"/>
          <w:szCs w:val="24"/>
        </w:rPr>
        <w:t>Grant</w:t>
      </w:r>
      <w:r w:rsidRPr="00081EFC">
        <w:rPr>
          <w:rFonts w:eastAsia="Palatino Linotype" w:cs="Palatino Linotype"/>
          <w:spacing w:val="-3"/>
          <w:sz w:val="24"/>
          <w:szCs w:val="24"/>
        </w:rPr>
        <w:t xml:space="preserve"> </w:t>
      </w:r>
      <w:r w:rsidRPr="00081EFC">
        <w:rPr>
          <w:rFonts w:eastAsia="Palatino Linotype" w:cs="Palatino Linotype"/>
          <w:sz w:val="24"/>
          <w:szCs w:val="24"/>
        </w:rPr>
        <w:t>Administrator</w:t>
      </w:r>
      <w:r w:rsidRPr="00081EFC">
        <w:rPr>
          <w:rFonts w:eastAsia="Palatino Linotype" w:cs="Palatino Linotype"/>
          <w:spacing w:val="-4"/>
          <w:sz w:val="24"/>
          <w:szCs w:val="24"/>
        </w:rPr>
        <w:t xml:space="preserve"> </w:t>
      </w:r>
      <w:r w:rsidRPr="00081EFC">
        <w:rPr>
          <w:rFonts w:eastAsia="Palatino Linotype" w:cs="Palatino Linotype"/>
          <w:sz w:val="24"/>
          <w:szCs w:val="24"/>
        </w:rPr>
        <w:t>for</w:t>
      </w:r>
      <w:r w:rsidRPr="00081EFC">
        <w:rPr>
          <w:rFonts w:eastAsia="Palatino Linotype" w:cs="Palatino Linotype"/>
          <w:spacing w:val="-57"/>
          <w:sz w:val="24"/>
          <w:szCs w:val="24"/>
        </w:rPr>
        <w:t xml:space="preserve"> </w:t>
      </w:r>
      <w:r w:rsidRPr="00081EFC">
        <w:rPr>
          <w:rFonts w:eastAsia="Palatino Linotype" w:cs="Palatino Linotype"/>
          <w:sz w:val="24"/>
          <w:szCs w:val="24"/>
        </w:rPr>
        <w:t>questions on the application process and program questions at:</w:t>
      </w:r>
      <w:r w:rsidRPr="00081EFC">
        <w:rPr>
          <w:rFonts w:eastAsia="Palatino Linotype" w:cs="Palatino Linotype"/>
          <w:spacing w:val="1"/>
          <w:sz w:val="24"/>
          <w:szCs w:val="24"/>
        </w:rPr>
        <w:t xml:space="preserve"> </w:t>
      </w:r>
      <w:bookmarkStart w:name="_Hlk99360793" w:id="46"/>
      <w:r w:rsidRPr="00081EFC">
        <w:rPr>
          <w:rFonts w:eastAsia="Palatino Linotype" w:cs="Palatino Linotype"/>
          <w:sz w:val="24"/>
          <w:szCs w:val="24"/>
        </w:rPr>
        <w:fldChar w:fldCharType="begin"/>
      </w:r>
      <w:r w:rsidRPr="00081EFC">
        <w:rPr>
          <w:rFonts w:eastAsia="Palatino Linotype" w:cs="Palatino Linotype"/>
          <w:sz w:val="24"/>
          <w:szCs w:val="24"/>
        </w:rPr>
        <w:instrText xml:space="preserve"> HYPERLINK "mailto:CASF_Consortia_Grant_Administrator@cpuc.ca.gov" \h </w:instrText>
      </w:r>
      <w:r w:rsidRPr="00081EFC">
        <w:rPr>
          <w:rFonts w:eastAsia="Palatino Linotype" w:cs="Palatino Linotype"/>
          <w:sz w:val="24"/>
          <w:szCs w:val="24"/>
        </w:rPr>
        <w:fldChar w:fldCharType="separate"/>
      </w:r>
      <w:r w:rsidRPr="00081EFC">
        <w:rPr>
          <w:rFonts w:eastAsia="Palatino Linotype" w:cs="Palatino Linotype"/>
          <w:color w:val="0000FF"/>
          <w:sz w:val="24"/>
          <w:szCs w:val="24"/>
          <w:u w:val="single" w:color="0000FF"/>
        </w:rPr>
        <w:t>CASF_Consortia_Grant_Administrator@cpuc.ca.gov</w:t>
      </w:r>
      <w:r w:rsidRPr="00081EFC">
        <w:rPr>
          <w:rFonts w:eastAsia="Palatino Linotype" w:cs="Palatino Linotype"/>
          <w:color w:val="0000FF"/>
          <w:sz w:val="24"/>
          <w:szCs w:val="24"/>
          <w:u w:val="single" w:color="0000FF"/>
        </w:rPr>
        <w:fldChar w:fldCharType="end"/>
      </w:r>
      <w:bookmarkEnd w:id="46"/>
    </w:p>
    <w:p w:rsidRPr="00081EFC" w:rsidR="00081EFC" w:rsidP="00081EFC" w:rsidRDefault="00081EFC" w14:paraId="24818861"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5E7FE0" w:rsidRDefault="00081EFC" w14:paraId="1859BDE5" w14:textId="77777777">
      <w:pPr>
        <w:widowControl w:val="0"/>
        <w:numPr>
          <w:ilvl w:val="0"/>
          <w:numId w:val="47"/>
        </w:numPr>
        <w:autoSpaceDE w:val="0"/>
        <w:autoSpaceDN w:val="0"/>
        <w:spacing w:before="24" w:line="240" w:lineRule="auto"/>
        <w:ind w:left="720" w:right="262"/>
        <w:contextualSpacing/>
        <w:rPr>
          <w:rFonts w:eastAsia="Palatino Linotype" w:cs="Palatino Linotype"/>
          <w:b/>
          <w:bCs/>
          <w:sz w:val="24"/>
          <w:szCs w:val="24"/>
        </w:rPr>
      </w:pPr>
      <w:r w:rsidRPr="00081EFC">
        <w:rPr>
          <w:rFonts w:eastAsia="Palatino Linotype" w:cs="Palatino Linotype"/>
          <w:b/>
          <w:bCs/>
          <w:sz w:val="24"/>
          <w:szCs w:val="24"/>
        </w:rPr>
        <w:t>Public Workshop</w:t>
      </w:r>
    </w:p>
    <w:p w:rsidRPr="00081EFC" w:rsidR="00081EFC" w:rsidP="00081EFC" w:rsidRDefault="00081EFC" w14:paraId="45D6A6B3"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Pub. Util. Code § 281 directs the Commission to consult with regional consortia, stakeholders, local governments, existing facility-based broadband providers, and consumers regarding unserved areas and cost-effective strategies to achieve the broadband access goal, through public workshops at least annually no later than April 30 of each year.  All consortia receiving CASF grants shall attend at least one of the annual public workshops to be conducted by Communications Division.</w:t>
      </w:r>
    </w:p>
    <w:p w:rsidRPr="00081EFC" w:rsidR="00081EFC" w:rsidP="00081EFC" w:rsidRDefault="00081EFC" w14:paraId="56C5F6D2"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039AAF4F"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Consortia may claim reimbursement for travel expenses and per diem costs associated with each public workshop hosted by staff. Expense claims must comply with the travel expense, limitation rules applicable to State of California employees </w:t>
      </w:r>
      <w:r w:rsidRPr="00081EFC">
        <w:rPr>
          <w:rFonts w:eastAsia="Palatino Linotype" w:cs="Palatino Linotype"/>
          <w:sz w:val="24"/>
          <w:szCs w:val="24"/>
        </w:rPr>
        <w:lastRenderedPageBreak/>
        <w:t>and contractors.</w:t>
      </w:r>
      <w:r w:rsidRPr="00081EFC">
        <w:rPr>
          <w:rFonts w:eastAsia="Palatino Linotype" w:cs="Palatino Linotype"/>
          <w:sz w:val="24"/>
          <w:szCs w:val="24"/>
          <w:vertAlign w:val="superscript"/>
        </w:rPr>
        <w:footnoteReference w:id="209"/>
      </w:r>
      <w:r w:rsidRPr="00081EFC">
        <w:rPr>
          <w:rFonts w:eastAsia="Palatino Linotype" w:cs="Palatino Linotype"/>
          <w:sz w:val="24"/>
          <w:szCs w:val="24"/>
        </w:rPr>
        <w:t xml:space="preserve"> The maximum reimbursement allowable is $2,000 per person for up to five delegates for each workshop, for a total of up to $10,000 per consortium.</w:t>
      </w:r>
    </w:p>
    <w:p w:rsidRPr="00081EFC" w:rsidR="00081EFC" w:rsidP="00081EFC" w:rsidRDefault="00081EFC" w14:paraId="60441515"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5E7FE0" w:rsidRDefault="00081EFC" w14:paraId="2EE9A6FD" w14:textId="77777777">
      <w:pPr>
        <w:widowControl w:val="0"/>
        <w:numPr>
          <w:ilvl w:val="0"/>
          <w:numId w:val="47"/>
        </w:numPr>
        <w:autoSpaceDE w:val="0"/>
        <w:autoSpaceDN w:val="0"/>
        <w:spacing w:before="24" w:line="240" w:lineRule="auto"/>
        <w:ind w:left="630" w:right="262"/>
        <w:contextualSpacing/>
        <w:rPr>
          <w:rFonts w:eastAsia="Palatino Linotype" w:cs="Palatino Linotype"/>
          <w:b/>
          <w:bCs/>
          <w:sz w:val="24"/>
          <w:szCs w:val="24"/>
        </w:rPr>
      </w:pPr>
      <w:r w:rsidRPr="00081EFC">
        <w:rPr>
          <w:rFonts w:eastAsia="Palatino Linotype" w:cs="Palatino Linotype"/>
          <w:b/>
          <w:bCs/>
          <w:sz w:val="24"/>
          <w:szCs w:val="24"/>
        </w:rPr>
        <w:t>Annual Audit</w:t>
      </w:r>
    </w:p>
    <w:p w:rsidRPr="00081EFC" w:rsidR="00081EFC" w:rsidP="005E7FE0" w:rsidRDefault="00081EFC" w14:paraId="54B80203" w14:textId="77777777">
      <w:pPr>
        <w:widowControl w:val="0"/>
        <w:autoSpaceDE w:val="0"/>
        <w:autoSpaceDN w:val="0"/>
        <w:spacing w:before="125" w:line="240" w:lineRule="auto"/>
        <w:ind w:right="183" w:firstLine="0"/>
        <w:rPr>
          <w:rFonts w:eastAsia="Palatino Linotype" w:cs="Palatino Linotype"/>
          <w:sz w:val="24"/>
          <w:szCs w:val="24"/>
        </w:rPr>
      </w:pPr>
      <w:r w:rsidRPr="00081EFC">
        <w:rPr>
          <w:rFonts w:eastAsia="Palatino Linotype" w:cs="Palatino Linotype"/>
          <w:sz w:val="24"/>
          <w:szCs w:val="24"/>
        </w:rPr>
        <w:t>Pub. Util. Code § 281 requires</w:t>
      </w:r>
      <w:r w:rsidRPr="00081EFC">
        <w:rPr>
          <w:rFonts w:eastAsia="Palatino Linotype" w:cs="Palatino Linotype"/>
          <w:spacing w:val="-2"/>
          <w:sz w:val="24"/>
          <w:szCs w:val="24"/>
        </w:rPr>
        <w:t xml:space="preserve"> </w:t>
      </w:r>
      <w:r w:rsidRPr="00081EFC">
        <w:rPr>
          <w:rFonts w:eastAsia="Palatino Linotype" w:cs="Palatino Linotype"/>
          <w:sz w:val="24"/>
          <w:szCs w:val="24"/>
        </w:rPr>
        <w:t>each</w:t>
      </w:r>
      <w:r w:rsidRPr="00081EFC">
        <w:rPr>
          <w:rFonts w:eastAsia="Palatino Linotype" w:cs="Palatino Linotype"/>
          <w:spacing w:val="-2"/>
          <w:sz w:val="24"/>
          <w:szCs w:val="24"/>
        </w:rPr>
        <w:t xml:space="preserve"> </w:t>
      </w:r>
      <w:r w:rsidRPr="00081EFC">
        <w:rPr>
          <w:rFonts w:eastAsia="Palatino Linotype" w:cs="Palatino Linotype"/>
          <w:sz w:val="24"/>
          <w:szCs w:val="24"/>
        </w:rPr>
        <w:t>consortium</w:t>
      </w:r>
      <w:r w:rsidRPr="00081EFC">
        <w:rPr>
          <w:rFonts w:eastAsia="Palatino Linotype" w:cs="Palatino Linotype"/>
          <w:spacing w:val="-2"/>
          <w:sz w:val="24"/>
          <w:szCs w:val="24"/>
        </w:rPr>
        <w:t xml:space="preserve"> </w:t>
      </w:r>
      <w:r w:rsidRPr="00081EFC">
        <w:rPr>
          <w:rFonts w:eastAsia="Palatino Linotype" w:cs="Palatino Linotype"/>
          <w:sz w:val="24"/>
          <w:szCs w:val="24"/>
        </w:rPr>
        <w:t>to</w:t>
      </w:r>
      <w:r w:rsidRPr="00081EFC">
        <w:rPr>
          <w:rFonts w:eastAsia="Palatino Linotype" w:cs="Palatino Linotype"/>
          <w:spacing w:val="-3"/>
          <w:sz w:val="24"/>
          <w:szCs w:val="24"/>
        </w:rPr>
        <w:t xml:space="preserve"> </w:t>
      </w:r>
      <w:r w:rsidRPr="00081EFC">
        <w:rPr>
          <w:rFonts w:eastAsia="Palatino Linotype" w:cs="Palatino Linotype"/>
          <w:sz w:val="24"/>
          <w:szCs w:val="24"/>
        </w:rPr>
        <w:t>conduct</w:t>
      </w:r>
      <w:r w:rsidRPr="00081EFC">
        <w:rPr>
          <w:rFonts w:eastAsia="Palatino Linotype" w:cs="Palatino Linotype"/>
          <w:spacing w:val="-1"/>
          <w:sz w:val="24"/>
          <w:szCs w:val="24"/>
        </w:rPr>
        <w:t xml:space="preserve"> </w:t>
      </w:r>
      <w:r w:rsidRPr="00081EFC">
        <w:rPr>
          <w:rFonts w:eastAsia="Palatino Linotype" w:cs="Palatino Linotype"/>
          <w:sz w:val="24"/>
          <w:szCs w:val="24"/>
        </w:rPr>
        <w:t>an</w:t>
      </w:r>
      <w:r w:rsidRPr="00081EFC">
        <w:rPr>
          <w:rFonts w:eastAsia="Palatino Linotype" w:cs="Palatino Linotype"/>
          <w:spacing w:val="-2"/>
          <w:sz w:val="24"/>
          <w:szCs w:val="24"/>
        </w:rPr>
        <w:t xml:space="preserve"> </w:t>
      </w:r>
      <w:r w:rsidRPr="00081EFC">
        <w:rPr>
          <w:rFonts w:eastAsia="Palatino Linotype" w:cs="Palatino Linotype"/>
          <w:sz w:val="24"/>
          <w:szCs w:val="24"/>
        </w:rPr>
        <w:t>annual</w:t>
      </w:r>
      <w:r w:rsidRPr="00081EFC">
        <w:rPr>
          <w:rFonts w:eastAsia="Palatino Linotype" w:cs="Palatino Linotype"/>
          <w:spacing w:val="-3"/>
          <w:sz w:val="24"/>
          <w:szCs w:val="24"/>
        </w:rPr>
        <w:t xml:space="preserve"> </w:t>
      </w:r>
      <w:r w:rsidRPr="00081EFC">
        <w:rPr>
          <w:rFonts w:eastAsia="Palatino Linotype" w:cs="Palatino Linotype"/>
          <w:sz w:val="24"/>
          <w:szCs w:val="24"/>
        </w:rPr>
        <w:t>audit</w:t>
      </w:r>
      <w:r w:rsidRPr="00081EFC">
        <w:rPr>
          <w:rFonts w:eastAsia="Palatino Linotype" w:cs="Palatino Linotype"/>
          <w:spacing w:val="-2"/>
          <w:sz w:val="24"/>
          <w:szCs w:val="24"/>
        </w:rPr>
        <w:t xml:space="preserve"> </w:t>
      </w:r>
      <w:r w:rsidRPr="00081EFC">
        <w:rPr>
          <w:rFonts w:eastAsia="Palatino Linotype" w:cs="Palatino Linotype"/>
          <w:sz w:val="24"/>
          <w:szCs w:val="24"/>
        </w:rPr>
        <w:t>of</w:t>
      </w:r>
      <w:r w:rsidRPr="00081EFC">
        <w:rPr>
          <w:rFonts w:eastAsia="Palatino Linotype" w:cs="Palatino Linotype"/>
          <w:spacing w:val="-2"/>
          <w:sz w:val="24"/>
          <w:szCs w:val="24"/>
        </w:rPr>
        <w:t xml:space="preserve"> </w:t>
      </w:r>
      <w:r w:rsidRPr="00081EFC">
        <w:rPr>
          <w:rFonts w:eastAsia="Palatino Linotype" w:cs="Palatino Linotype"/>
          <w:sz w:val="24"/>
          <w:szCs w:val="24"/>
        </w:rPr>
        <w:t>its</w:t>
      </w:r>
      <w:r w:rsidRPr="00081EFC">
        <w:rPr>
          <w:rFonts w:eastAsia="Palatino Linotype" w:cs="Palatino Linotype"/>
          <w:spacing w:val="-3"/>
          <w:sz w:val="24"/>
          <w:szCs w:val="24"/>
        </w:rPr>
        <w:t xml:space="preserve"> </w:t>
      </w:r>
      <w:r w:rsidRPr="00081EFC">
        <w:rPr>
          <w:rFonts w:eastAsia="Palatino Linotype" w:cs="Palatino Linotype"/>
          <w:sz w:val="24"/>
          <w:szCs w:val="24"/>
        </w:rPr>
        <w:t>expenditures</w:t>
      </w:r>
      <w:r w:rsidRPr="00081EFC">
        <w:rPr>
          <w:rFonts w:eastAsia="Palatino Linotype" w:cs="Palatino Linotype"/>
          <w:spacing w:val="-58"/>
          <w:sz w:val="24"/>
          <w:szCs w:val="24"/>
        </w:rPr>
        <w:t xml:space="preserve"> </w:t>
      </w:r>
      <w:r w:rsidRPr="00081EFC">
        <w:rPr>
          <w:rFonts w:eastAsia="Palatino Linotype" w:cs="Palatino Linotype"/>
          <w:sz w:val="24"/>
          <w:szCs w:val="24"/>
        </w:rPr>
        <w:t>for grant programs funded and submit to the Commission an annual report that</w:t>
      </w:r>
      <w:r w:rsidRPr="00081EFC">
        <w:rPr>
          <w:rFonts w:eastAsia="Palatino Linotype" w:cs="Palatino Linotype"/>
          <w:spacing w:val="1"/>
          <w:sz w:val="24"/>
          <w:szCs w:val="24"/>
        </w:rPr>
        <w:t xml:space="preserve"> </w:t>
      </w:r>
      <w:r w:rsidRPr="00081EFC">
        <w:rPr>
          <w:rFonts w:eastAsia="Palatino Linotype" w:cs="Palatino Linotype"/>
          <w:sz w:val="24"/>
          <w:szCs w:val="24"/>
        </w:rPr>
        <w:t>includes both</w:t>
      </w:r>
      <w:r w:rsidRPr="00081EFC">
        <w:rPr>
          <w:rFonts w:eastAsia="Palatino Linotype" w:cs="Palatino Linotype"/>
          <w:spacing w:val="-1"/>
          <w:sz w:val="24"/>
          <w:szCs w:val="24"/>
        </w:rPr>
        <w:t xml:space="preserve"> </w:t>
      </w:r>
      <w:r w:rsidRPr="00081EFC">
        <w:rPr>
          <w:rFonts w:eastAsia="Palatino Linotype" w:cs="Palatino Linotype"/>
          <w:sz w:val="24"/>
          <w:szCs w:val="24"/>
        </w:rPr>
        <w:t>of the</w:t>
      </w:r>
      <w:r w:rsidRPr="00081EFC">
        <w:rPr>
          <w:rFonts w:eastAsia="Palatino Linotype" w:cs="Palatino Linotype"/>
          <w:spacing w:val="1"/>
          <w:sz w:val="24"/>
          <w:szCs w:val="24"/>
        </w:rPr>
        <w:t xml:space="preserve"> </w:t>
      </w:r>
      <w:r w:rsidRPr="00081EFC">
        <w:rPr>
          <w:rFonts w:eastAsia="Palatino Linotype" w:cs="Palatino Linotype"/>
          <w:sz w:val="24"/>
          <w:szCs w:val="24"/>
        </w:rPr>
        <w:t>following:</w:t>
      </w:r>
    </w:p>
    <w:p w:rsidRPr="00081EFC" w:rsidR="00081EFC" w:rsidP="00081EFC" w:rsidRDefault="00081EFC" w14:paraId="32321F95" w14:textId="77777777">
      <w:pPr>
        <w:widowControl w:val="0"/>
        <w:autoSpaceDE w:val="0"/>
        <w:autoSpaceDN w:val="0"/>
        <w:spacing w:before="12" w:line="240" w:lineRule="auto"/>
        <w:ind w:firstLine="0"/>
        <w:rPr>
          <w:rFonts w:eastAsia="Palatino Linotype" w:cs="Palatino Linotype"/>
          <w:sz w:val="21"/>
          <w:szCs w:val="24"/>
        </w:rPr>
      </w:pPr>
    </w:p>
    <w:p w:rsidRPr="00081EFC" w:rsidR="00081EFC" w:rsidP="0033369D" w:rsidRDefault="00081EFC" w14:paraId="47F25F96" w14:textId="77777777">
      <w:pPr>
        <w:widowControl w:val="0"/>
        <w:numPr>
          <w:ilvl w:val="1"/>
          <w:numId w:val="51"/>
        </w:numPr>
        <w:tabs>
          <w:tab w:val="left" w:pos="1181"/>
        </w:tabs>
        <w:autoSpaceDE w:val="0"/>
        <w:autoSpaceDN w:val="0"/>
        <w:spacing w:before="1" w:line="240" w:lineRule="auto"/>
        <w:ind w:right="270"/>
        <w:jc w:val="both"/>
        <w:rPr>
          <w:rFonts w:eastAsia="Palatino Linotype" w:cs="Palatino Linotype"/>
          <w:sz w:val="24"/>
        </w:rPr>
      </w:pPr>
      <w:r w:rsidRPr="00081EFC">
        <w:rPr>
          <w:rFonts w:eastAsia="Palatino Linotype" w:cs="Palatino Linotype"/>
          <w:sz w:val="24"/>
        </w:rPr>
        <w:t>A description of activities completed during the prior year, how each</w:t>
      </w:r>
      <w:r w:rsidRPr="00081EFC">
        <w:rPr>
          <w:rFonts w:eastAsia="Palatino Linotype" w:cs="Palatino Linotype"/>
          <w:spacing w:val="-57"/>
          <w:sz w:val="24"/>
        </w:rPr>
        <w:t xml:space="preserve"> </w:t>
      </w:r>
      <w:r w:rsidRPr="00081EFC">
        <w:rPr>
          <w:rFonts w:eastAsia="Palatino Linotype" w:cs="Palatino Linotype"/>
          <w:sz w:val="24"/>
        </w:rPr>
        <w:t>activity promotes the deployment of broadband services, and the cost</w:t>
      </w:r>
      <w:r w:rsidRPr="00081EFC">
        <w:rPr>
          <w:rFonts w:eastAsia="Palatino Linotype" w:cs="Palatino Linotype"/>
          <w:spacing w:val="-58"/>
          <w:sz w:val="24"/>
        </w:rPr>
        <w:t xml:space="preserve"> </w:t>
      </w:r>
      <w:r w:rsidRPr="00081EFC">
        <w:rPr>
          <w:rFonts w:eastAsia="Palatino Linotype" w:cs="Palatino Linotype"/>
          <w:sz w:val="24"/>
        </w:rPr>
        <w:t>associated</w:t>
      </w:r>
      <w:r w:rsidRPr="00081EFC">
        <w:rPr>
          <w:rFonts w:eastAsia="Palatino Linotype" w:cs="Palatino Linotype"/>
          <w:spacing w:val="-1"/>
          <w:sz w:val="24"/>
        </w:rPr>
        <w:t xml:space="preserve"> </w:t>
      </w:r>
      <w:r w:rsidRPr="00081EFC">
        <w:rPr>
          <w:rFonts w:eastAsia="Palatino Linotype" w:cs="Palatino Linotype"/>
          <w:sz w:val="24"/>
        </w:rPr>
        <w:t>with</w:t>
      </w:r>
      <w:r w:rsidRPr="00081EFC">
        <w:rPr>
          <w:rFonts w:eastAsia="Palatino Linotype" w:cs="Palatino Linotype"/>
          <w:spacing w:val="-1"/>
          <w:sz w:val="24"/>
        </w:rPr>
        <w:t xml:space="preserve"> </w:t>
      </w:r>
      <w:r w:rsidRPr="00081EFC">
        <w:rPr>
          <w:rFonts w:eastAsia="Palatino Linotype" w:cs="Palatino Linotype"/>
          <w:sz w:val="24"/>
        </w:rPr>
        <w:t>each</w:t>
      </w:r>
      <w:r w:rsidRPr="00081EFC">
        <w:rPr>
          <w:rFonts w:eastAsia="Palatino Linotype" w:cs="Palatino Linotype"/>
          <w:spacing w:val="-1"/>
          <w:sz w:val="24"/>
        </w:rPr>
        <w:t xml:space="preserve"> </w:t>
      </w:r>
      <w:r w:rsidRPr="00081EFC">
        <w:rPr>
          <w:rFonts w:eastAsia="Palatino Linotype" w:cs="Palatino Linotype"/>
          <w:sz w:val="24"/>
        </w:rPr>
        <w:t>activity.</w:t>
      </w:r>
    </w:p>
    <w:p w:rsidRPr="00081EFC" w:rsidR="00081EFC" w:rsidP="0033369D" w:rsidRDefault="00081EFC" w14:paraId="3849C9C5" w14:textId="77777777">
      <w:pPr>
        <w:widowControl w:val="0"/>
        <w:numPr>
          <w:ilvl w:val="1"/>
          <w:numId w:val="51"/>
        </w:numPr>
        <w:tabs>
          <w:tab w:val="left" w:pos="1181"/>
        </w:tabs>
        <w:autoSpaceDE w:val="0"/>
        <w:autoSpaceDN w:val="0"/>
        <w:spacing w:line="240" w:lineRule="auto"/>
        <w:ind w:hanging="361"/>
        <w:jc w:val="both"/>
        <w:rPr>
          <w:rFonts w:eastAsia="Palatino Linotype" w:cs="Palatino Linotype"/>
          <w:sz w:val="24"/>
        </w:rPr>
      </w:pPr>
      <w:r w:rsidRPr="00081EFC">
        <w:rPr>
          <w:rFonts w:eastAsia="Palatino Linotype" w:cs="Palatino Linotype"/>
          <w:sz w:val="24"/>
        </w:rPr>
        <w:t>The</w:t>
      </w:r>
      <w:r w:rsidRPr="00081EFC">
        <w:rPr>
          <w:rFonts w:eastAsia="Palatino Linotype" w:cs="Palatino Linotype"/>
          <w:spacing w:val="-2"/>
          <w:sz w:val="24"/>
        </w:rPr>
        <w:t xml:space="preserve"> </w:t>
      </w:r>
      <w:r w:rsidRPr="00081EFC">
        <w:rPr>
          <w:rFonts w:eastAsia="Palatino Linotype" w:cs="Palatino Linotype"/>
          <w:sz w:val="24"/>
        </w:rPr>
        <w:t>number</w:t>
      </w:r>
      <w:r w:rsidRPr="00081EFC">
        <w:rPr>
          <w:rFonts w:eastAsia="Palatino Linotype" w:cs="Palatino Linotype"/>
          <w:spacing w:val="-2"/>
          <w:sz w:val="24"/>
        </w:rPr>
        <w:t xml:space="preserve"> </w:t>
      </w:r>
      <w:r w:rsidRPr="00081EFC">
        <w:rPr>
          <w:rFonts w:eastAsia="Palatino Linotype" w:cs="Palatino Linotype"/>
          <w:sz w:val="24"/>
        </w:rPr>
        <w:t>of</w:t>
      </w:r>
      <w:r w:rsidRPr="00081EFC">
        <w:rPr>
          <w:rFonts w:eastAsia="Palatino Linotype" w:cs="Palatino Linotype"/>
          <w:spacing w:val="-2"/>
          <w:sz w:val="24"/>
        </w:rPr>
        <w:t xml:space="preserve"> </w:t>
      </w:r>
      <w:r w:rsidRPr="00081EFC">
        <w:rPr>
          <w:rFonts w:eastAsia="Palatino Linotype" w:cs="Palatino Linotype"/>
          <w:sz w:val="24"/>
        </w:rPr>
        <w:t>project</w:t>
      </w:r>
      <w:r w:rsidRPr="00081EFC">
        <w:rPr>
          <w:rFonts w:eastAsia="Palatino Linotype" w:cs="Palatino Linotype"/>
          <w:spacing w:val="-4"/>
          <w:sz w:val="24"/>
        </w:rPr>
        <w:t xml:space="preserve"> </w:t>
      </w:r>
      <w:r w:rsidRPr="00081EFC">
        <w:rPr>
          <w:rFonts w:eastAsia="Palatino Linotype" w:cs="Palatino Linotype"/>
          <w:sz w:val="24"/>
        </w:rPr>
        <w:t>applications</w:t>
      </w:r>
      <w:r w:rsidRPr="00081EFC">
        <w:rPr>
          <w:rFonts w:eastAsia="Palatino Linotype" w:cs="Palatino Linotype"/>
          <w:spacing w:val="-4"/>
          <w:sz w:val="24"/>
        </w:rPr>
        <w:t xml:space="preserve"> </w:t>
      </w:r>
      <w:r w:rsidRPr="00081EFC">
        <w:rPr>
          <w:rFonts w:eastAsia="Palatino Linotype" w:cs="Palatino Linotype"/>
          <w:sz w:val="24"/>
        </w:rPr>
        <w:t>assisted.</w:t>
      </w:r>
    </w:p>
    <w:p w:rsidRPr="00081EFC" w:rsidR="00081EFC" w:rsidP="00081EFC" w:rsidRDefault="00081EFC" w14:paraId="01CE60F6" w14:textId="77777777">
      <w:pPr>
        <w:widowControl w:val="0"/>
        <w:autoSpaceDE w:val="0"/>
        <w:autoSpaceDN w:val="0"/>
        <w:spacing w:before="12" w:line="240" w:lineRule="auto"/>
        <w:ind w:firstLine="0"/>
        <w:rPr>
          <w:rFonts w:eastAsia="Palatino Linotype" w:cs="Palatino Linotype"/>
          <w:sz w:val="21"/>
          <w:szCs w:val="24"/>
        </w:rPr>
      </w:pPr>
    </w:p>
    <w:p w:rsidRPr="00081EFC" w:rsidR="00081EFC" w:rsidP="00081EFC" w:rsidRDefault="00081EFC" w14:paraId="656A8166" w14:textId="77777777">
      <w:pPr>
        <w:widowControl w:val="0"/>
        <w:autoSpaceDE w:val="0"/>
        <w:autoSpaceDN w:val="0"/>
        <w:spacing w:line="240" w:lineRule="auto"/>
        <w:ind w:left="100" w:firstLine="0"/>
        <w:rPr>
          <w:rFonts w:eastAsia="Palatino Linotype" w:cs="Palatino Linotype"/>
          <w:sz w:val="24"/>
          <w:szCs w:val="24"/>
        </w:rPr>
      </w:pPr>
      <w:r w:rsidRPr="00081EFC">
        <w:rPr>
          <w:rFonts w:eastAsia="Palatino Linotype" w:cs="Palatino Linotype"/>
          <w:sz w:val="24"/>
          <w:szCs w:val="24"/>
        </w:rPr>
        <w:t>Applicants</w:t>
      </w:r>
      <w:r w:rsidRPr="00081EFC">
        <w:rPr>
          <w:rFonts w:eastAsia="Palatino Linotype" w:cs="Palatino Linotype"/>
          <w:spacing w:val="-3"/>
          <w:sz w:val="24"/>
          <w:szCs w:val="24"/>
        </w:rPr>
        <w:t xml:space="preserve"> </w:t>
      </w:r>
      <w:r w:rsidRPr="00081EFC">
        <w:rPr>
          <w:rFonts w:eastAsia="Palatino Linotype" w:cs="Palatino Linotype"/>
          <w:sz w:val="24"/>
          <w:szCs w:val="24"/>
        </w:rPr>
        <w:t>may include</w:t>
      </w:r>
      <w:r w:rsidRPr="00081EFC">
        <w:rPr>
          <w:rFonts w:eastAsia="Palatino Linotype" w:cs="Palatino Linotype"/>
          <w:spacing w:val="-2"/>
          <w:sz w:val="24"/>
          <w:szCs w:val="24"/>
        </w:rPr>
        <w:t xml:space="preserve"> </w:t>
      </w:r>
      <w:r w:rsidRPr="00081EFC">
        <w:rPr>
          <w:rFonts w:eastAsia="Palatino Linotype" w:cs="Palatino Linotype"/>
          <w:sz w:val="24"/>
          <w:szCs w:val="24"/>
        </w:rPr>
        <w:t>such</w:t>
      </w:r>
      <w:r w:rsidRPr="00081EFC">
        <w:rPr>
          <w:rFonts w:eastAsia="Palatino Linotype" w:cs="Palatino Linotype"/>
          <w:spacing w:val="1"/>
          <w:sz w:val="24"/>
          <w:szCs w:val="24"/>
        </w:rPr>
        <w:t xml:space="preserve"> </w:t>
      </w:r>
      <w:r w:rsidRPr="00081EFC">
        <w:rPr>
          <w:rFonts w:eastAsia="Palatino Linotype" w:cs="Palatino Linotype"/>
          <w:sz w:val="24"/>
          <w:szCs w:val="24"/>
        </w:rPr>
        <w:t>costs</w:t>
      </w:r>
      <w:r w:rsidRPr="00081EFC">
        <w:rPr>
          <w:rFonts w:eastAsia="Palatino Linotype" w:cs="Palatino Linotype"/>
          <w:spacing w:val="-1"/>
          <w:sz w:val="24"/>
          <w:szCs w:val="24"/>
        </w:rPr>
        <w:t xml:space="preserve"> </w:t>
      </w:r>
      <w:r w:rsidRPr="00081EFC">
        <w:rPr>
          <w:rFonts w:eastAsia="Palatino Linotype" w:cs="Palatino Linotype"/>
          <w:sz w:val="24"/>
          <w:szCs w:val="24"/>
        </w:rPr>
        <w:t>in</w:t>
      </w:r>
      <w:r w:rsidRPr="00081EFC">
        <w:rPr>
          <w:rFonts w:eastAsia="Palatino Linotype" w:cs="Palatino Linotype"/>
          <w:spacing w:val="-1"/>
          <w:sz w:val="24"/>
          <w:szCs w:val="24"/>
        </w:rPr>
        <w:t xml:space="preserve"> </w:t>
      </w:r>
      <w:r w:rsidRPr="00081EFC">
        <w:rPr>
          <w:rFonts w:eastAsia="Palatino Linotype" w:cs="Palatino Linotype"/>
          <w:sz w:val="24"/>
          <w:szCs w:val="24"/>
        </w:rPr>
        <w:t>its</w:t>
      </w:r>
      <w:r w:rsidRPr="00081EFC">
        <w:rPr>
          <w:rFonts w:eastAsia="Palatino Linotype" w:cs="Palatino Linotype"/>
          <w:spacing w:val="-4"/>
          <w:sz w:val="24"/>
          <w:szCs w:val="24"/>
        </w:rPr>
        <w:t xml:space="preserve"> </w:t>
      </w:r>
      <w:r w:rsidRPr="00081EFC">
        <w:rPr>
          <w:rFonts w:eastAsia="Palatino Linotype" w:cs="Palatino Linotype"/>
          <w:sz w:val="24"/>
          <w:szCs w:val="24"/>
        </w:rPr>
        <w:t>budget</w:t>
      </w:r>
      <w:r w:rsidRPr="00081EFC">
        <w:rPr>
          <w:rFonts w:eastAsia="Palatino Linotype" w:cs="Palatino Linotype"/>
          <w:spacing w:val="-2"/>
          <w:sz w:val="24"/>
          <w:szCs w:val="24"/>
        </w:rPr>
        <w:t xml:space="preserve"> </w:t>
      </w:r>
      <w:r w:rsidRPr="00081EFC">
        <w:rPr>
          <w:rFonts w:eastAsia="Palatino Linotype" w:cs="Palatino Linotype"/>
          <w:sz w:val="24"/>
          <w:szCs w:val="24"/>
        </w:rPr>
        <w:t>request.</w:t>
      </w:r>
    </w:p>
    <w:p w:rsidRPr="00081EFC" w:rsidR="00081EFC" w:rsidP="00081EFC" w:rsidRDefault="00081EFC" w14:paraId="41F32390" w14:textId="77777777">
      <w:pPr>
        <w:widowControl w:val="0"/>
        <w:autoSpaceDE w:val="0"/>
        <w:autoSpaceDN w:val="0"/>
        <w:spacing w:before="24" w:line="240" w:lineRule="auto"/>
        <w:ind w:right="262" w:firstLine="0"/>
        <w:rPr>
          <w:rFonts w:eastAsia="Palatino Linotype" w:cs="Palatino Linotype"/>
          <w:b/>
          <w:bCs/>
          <w:sz w:val="24"/>
          <w:szCs w:val="24"/>
        </w:rPr>
      </w:pPr>
    </w:p>
    <w:p w:rsidRPr="00081EFC" w:rsidR="00081EFC" w:rsidP="005E7FE0" w:rsidRDefault="00081EFC" w14:paraId="27A81F4F" w14:textId="77777777">
      <w:pPr>
        <w:widowControl w:val="0"/>
        <w:numPr>
          <w:ilvl w:val="0"/>
          <w:numId w:val="47"/>
        </w:numPr>
        <w:autoSpaceDE w:val="0"/>
        <w:autoSpaceDN w:val="0"/>
        <w:spacing w:before="24" w:line="240" w:lineRule="auto"/>
        <w:ind w:left="720" w:right="262"/>
        <w:contextualSpacing/>
        <w:rPr>
          <w:rFonts w:eastAsia="Palatino Linotype" w:cs="Palatino Linotype"/>
          <w:b/>
          <w:bCs/>
          <w:sz w:val="24"/>
          <w:szCs w:val="24"/>
        </w:rPr>
      </w:pPr>
      <w:r w:rsidRPr="00081EFC">
        <w:rPr>
          <w:rFonts w:eastAsia="Palatino Linotype" w:cs="Palatino Linotype"/>
          <w:b/>
          <w:bCs/>
          <w:sz w:val="24"/>
          <w:szCs w:val="24"/>
        </w:rPr>
        <w:t>Reporting</w:t>
      </w:r>
    </w:p>
    <w:p w:rsidRPr="00081EFC" w:rsidR="00081EFC" w:rsidP="00081EFC" w:rsidRDefault="00081EFC" w14:paraId="77C5E4ED"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Consortia grantees are required to submit bi-annual progress reports. Any progress payment requests shall be submitted along with bi-annual reports. Staff will provide a template for all necessary reports in the Administrative Manual, which will be available on the CASF Consortia website. Consortia grantees are required to submit bi-annual progress reports.</w:t>
      </w:r>
    </w:p>
    <w:p w:rsidRPr="00081EFC" w:rsidR="00081EFC" w:rsidP="00081EFC" w:rsidRDefault="00081EFC" w14:paraId="7DEC4005"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6B60FD9E"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In addition, the Commission will allow Consortia grantees to request an initial start-up costs payment, up to 25% of entire grant. If a grantee requests an initial start-up cost payment, then a “Start-up Period Report” is required.</w:t>
      </w:r>
    </w:p>
    <w:p w:rsidRPr="00081EFC" w:rsidR="00081EFC" w:rsidP="00081EFC" w:rsidRDefault="00081EFC" w14:paraId="02EE95B5"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15F1E53F"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Start-up Period Report: “A start-up period report” is required only if the grantee requests an initial start-up cost payment. This report must be submitted no later than three months after the completion of the start-up activities. In this report,</w:t>
      </w:r>
      <w:r w:rsidRPr="00081EFC">
        <w:rPr>
          <w:rFonts w:eastAsia="Palatino Linotype" w:cs="Palatino Linotype"/>
          <w:sz w:val="22"/>
        </w:rPr>
        <w:t xml:space="preserve"> </w:t>
      </w:r>
      <w:r w:rsidRPr="00081EFC">
        <w:rPr>
          <w:rFonts w:eastAsia="Palatino Linotype" w:cs="Palatino Linotype"/>
          <w:sz w:val="24"/>
          <w:szCs w:val="24"/>
        </w:rPr>
        <w:t>recipients will report on the completion of start-up activities per the Work Plan as well as milestones met.</w:t>
      </w:r>
    </w:p>
    <w:p w:rsidRPr="00081EFC" w:rsidR="00081EFC" w:rsidP="00081EFC" w:rsidRDefault="00081EFC" w14:paraId="7BF466F8"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6A1F3B11"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Bi-Annual Progress Reports: The bi-annual progress report is required every six months, i.e., at the end of the </w:t>
      </w:r>
      <w:proofErr w:type="gramStart"/>
      <w:r w:rsidRPr="00081EFC">
        <w:rPr>
          <w:rFonts w:eastAsia="Palatino Linotype" w:cs="Palatino Linotype"/>
          <w:sz w:val="24"/>
          <w:szCs w:val="24"/>
        </w:rPr>
        <w:t>six month</w:t>
      </w:r>
      <w:proofErr w:type="gramEnd"/>
      <w:r w:rsidRPr="00081EFC">
        <w:rPr>
          <w:rFonts w:eastAsia="Palatino Linotype" w:cs="Palatino Linotype"/>
          <w:sz w:val="24"/>
          <w:szCs w:val="24"/>
        </w:rPr>
        <w:t xml:space="preserve"> period, at the end of the 12 month period, at the end of the 18 month period, of deployment, at the end of the 24 month period, etc. These reports must be submitted by no later than three months after every six months. In </w:t>
      </w:r>
      <w:proofErr w:type="gramStart"/>
      <w:r w:rsidRPr="00081EFC">
        <w:rPr>
          <w:rFonts w:eastAsia="Palatino Linotype" w:cs="Palatino Linotype"/>
          <w:sz w:val="24"/>
          <w:szCs w:val="24"/>
        </w:rPr>
        <w:t>these report</w:t>
      </w:r>
      <w:proofErr w:type="gramEnd"/>
      <w:r w:rsidRPr="00081EFC">
        <w:rPr>
          <w:rFonts w:eastAsia="Palatino Linotype" w:cs="Palatino Linotype"/>
          <w:sz w:val="24"/>
          <w:szCs w:val="24"/>
        </w:rPr>
        <w:t>, grantees will report on the status of bi-annual milestones per the Work Plan, as well as request payment for relevant expenses to date.</w:t>
      </w:r>
    </w:p>
    <w:p w:rsidRPr="00081EFC" w:rsidR="00081EFC" w:rsidP="00081EFC" w:rsidRDefault="00081EFC" w14:paraId="4B29E87F"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21C92A81"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lastRenderedPageBreak/>
        <w:t>Completion Report: A completion report is required at the end of the grant cycle. This report must be submitted by no later than three months after completion of the project. In this report, grantees will report on the completion of the overall project, milestones met per the Work Plan, as well as request payment for final and remaining relevant expenses.</w:t>
      </w:r>
    </w:p>
    <w:p w:rsidRPr="00081EFC" w:rsidR="00081EFC" w:rsidP="00081EFC" w:rsidRDefault="00081EFC" w14:paraId="3D704C96" w14:textId="77777777">
      <w:pPr>
        <w:widowControl w:val="0"/>
        <w:autoSpaceDE w:val="0"/>
        <w:autoSpaceDN w:val="0"/>
        <w:spacing w:before="24" w:line="240" w:lineRule="auto"/>
        <w:ind w:right="262" w:firstLine="0"/>
        <w:rPr>
          <w:rFonts w:eastAsia="Palatino Linotype" w:cs="Palatino Linotype"/>
          <w:b/>
          <w:bCs/>
          <w:sz w:val="24"/>
          <w:szCs w:val="24"/>
        </w:rPr>
      </w:pPr>
    </w:p>
    <w:p w:rsidRPr="00081EFC" w:rsidR="00081EFC" w:rsidP="005E7FE0" w:rsidRDefault="00081EFC" w14:paraId="1836F966" w14:textId="77777777">
      <w:pPr>
        <w:widowControl w:val="0"/>
        <w:numPr>
          <w:ilvl w:val="0"/>
          <w:numId w:val="47"/>
        </w:numPr>
        <w:autoSpaceDE w:val="0"/>
        <w:autoSpaceDN w:val="0"/>
        <w:spacing w:before="24" w:line="240" w:lineRule="auto"/>
        <w:ind w:left="810" w:right="262"/>
        <w:contextualSpacing/>
        <w:rPr>
          <w:rFonts w:eastAsia="Palatino Linotype" w:cs="Palatino Linotype"/>
          <w:b/>
          <w:bCs/>
          <w:sz w:val="24"/>
          <w:szCs w:val="24"/>
        </w:rPr>
      </w:pPr>
      <w:r w:rsidRPr="00081EFC">
        <w:rPr>
          <w:rFonts w:eastAsia="Palatino Linotype" w:cs="Palatino Linotype"/>
          <w:b/>
          <w:bCs/>
          <w:sz w:val="24"/>
          <w:szCs w:val="24"/>
        </w:rPr>
        <w:t>Oversight of Consortia Activities Subsequent to Grant Approval</w:t>
      </w:r>
    </w:p>
    <w:p w:rsidRPr="00081EFC" w:rsidR="00081EFC" w:rsidP="00081EFC" w:rsidRDefault="00081EFC" w14:paraId="100A8EE8"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Staff is authorized to implement administrative controls necessary to assure that funds disbursed to a Consortium are administered efficiently and</w:t>
      </w:r>
    </w:p>
    <w:p w:rsidRPr="00081EFC" w:rsidR="00081EFC" w:rsidP="00081EFC" w:rsidRDefault="00081EFC" w14:paraId="00190D63"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cost-effectively, consistent with the stated purposes and objectives for which the funds are to be used.</w:t>
      </w:r>
      <w:r w:rsidRPr="00081EFC">
        <w:rPr>
          <w:rFonts w:eastAsia="Palatino Linotype" w:cs="Palatino Linotype"/>
          <w:sz w:val="24"/>
          <w:szCs w:val="24"/>
          <w:vertAlign w:val="superscript"/>
        </w:rPr>
        <w:footnoteReference w:id="210"/>
      </w:r>
      <w:r w:rsidRPr="00081EFC">
        <w:rPr>
          <w:rFonts w:eastAsia="Palatino Linotype" w:cs="Palatino Linotype"/>
          <w:sz w:val="24"/>
          <w:szCs w:val="24"/>
        </w:rPr>
        <w:t xml:space="preserve"> The start of the Consortia grant program will begin upon grant approval.</w:t>
      </w:r>
    </w:p>
    <w:p w:rsidRPr="00081EFC" w:rsidR="00081EFC" w:rsidP="00081EFC" w:rsidRDefault="00081EFC" w14:paraId="5C233DCB"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4F0682BE"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Grant funds will be disbursed in accordance with, and within the time specified in California Government Code § 927. Staff has the authority to initiate any necessary audit, verification, and discovery of Consortium members relating to grant funding activities to ensure that CASF Consortia grant funds are spent in accordance with the adopted rules and standards for the Account.</w:t>
      </w:r>
      <w:r w:rsidRPr="00081EFC">
        <w:rPr>
          <w:rFonts w:eastAsia="Palatino Linotype" w:cs="Palatino Linotype"/>
          <w:sz w:val="24"/>
          <w:szCs w:val="24"/>
          <w:vertAlign w:val="superscript"/>
        </w:rPr>
        <w:footnoteReference w:id="211"/>
      </w:r>
      <w:r w:rsidRPr="00081EFC">
        <w:rPr>
          <w:rFonts w:eastAsia="Palatino Linotype" w:cs="Palatino Linotype"/>
          <w:sz w:val="24"/>
          <w:szCs w:val="24"/>
        </w:rPr>
        <w:t xml:space="preserve"> Each Consortia grantee shall maintain books, records, documents, and other evidence sufficient to substantiate expenditures covered by the grant, according to generally accepted accounting practices. Each Consortia grantee shall make these records available to the Commission upon request and agrees that these records are subject to a financial audit by the Commission at any time within five years after the Grantee incurred the expense being audited. A Consortia grantee shall provide access to the Commission upon 24-hour notice to evaluate work completed or being performed pursuant to the grant.</w:t>
      </w:r>
    </w:p>
    <w:p w:rsidRPr="00081EFC" w:rsidR="00081EFC" w:rsidP="00081EFC" w:rsidRDefault="00081EFC" w14:paraId="47D28D03"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73788BB2"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Each Consortia grantee must use the grant funds solely for the approved project as described in the Grantee’s Commission-approved Work Plan and Performance Metrics Plan as affirmed by the signed Affidavit. Each Consortia grantee must complete the project in accordance with and within the project performance period set forth in the Commission-approved Work Plan, </w:t>
      </w:r>
      <w:r w:rsidRPr="00F170B0">
        <w:rPr>
          <w:rFonts w:eastAsia="Palatino Linotype" w:cs="Palatino Linotype"/>
          <w:i/>
          <w:iCs/>
          <w:sz w:val="24"/>
          <w:szCs w:val="24"/>
        </w:rPr>
        <w:t>see</w:t>
      </w:r>
      <w:r w:rsidRPr="00081EFC">
        <w:rPr>
          <w:rFonts w:eastAsia="Palatino Linotype" w:cs="Palatino Linotype"/>
          <w:sz w:val="24"/>
          <w:szCs w:val="24"/>
        </w:rPr>
        <w:t xml:space="preserve"> Section 1.14 Execution and Performance on changes to the substantive terms and conditions underlying Commission approval. Grantee’s performance and completion of the project must comply with all applicable laws and regulations. The Progress Report must present the results of performance metrics. </w:t>
      </w:r>
    </w:p>
    <w:p w:rsidRPr="00081EFC" w:rsidR="00081EFC" w:rsidP="00081EFC" w:rsidRDefault="00081EFC" w14:paraId="7294232C"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38164466"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Grantees must notify Communications Division as soon as they become aware that they may not be able to meet performance metrics set forth in the Work Plan and </w:t>
      </w:r>
      <w:r w:rsidRPr="00081EFC">
        <w:rPr>
          <w:rFonts w:eastAsia="Palatino Linotype" w:cs="Palatino Linotype"/>
          <w:sz w:val="24"/>
          <w:szCs w:val="24"/>
        </w:rPr>
        <w:lastRenderedPageBreak/>
        <w:t xml:space="preserve">Performance Metrics Plan. Any changes to the substantive terms and conditions underlying Commission approval of the grant (e.g., changes to the Work Plan, schedule/timeframe, Work Plan budget or designated Fiscal Agent, etc.) must be communicated in writing to the Director of Communications Division at least 30 days before the anticipated </w:t>
      </w:r>
      <w:proofErr w:type="gramStart"/>
      <w:r w:rsidRPr="00081EFC">
        <w:rPr>
          <w:rFonts w:eastAsia="Palatino Linotype" w:cs="Palatino Linotype"/>
          <w:sz w:val="24"/>
          <w:szCs w:val="24"/>
        </w:rPr>
        <w:t>change, and</w:t>
      </w:r>
      <w:proofErr w:type="gramEnd"/>
      <w:r w:rsidRPr="00081EFC">
        <w:rPr>
          <w:rFonts w:eastAsia="Palatino Linotype" w:cs="Palatino Linotype"/>
          <w:sz w:val="24"/>
          <w:szCs w:val="24"/>
        </w:rPr>
        <w:t xml:space="preserve"> may be subject to approval by either the Director or by Commission resolution before becoming effective.</w:t>
      </w:r>
    </w:p>
    <w:p w:rsidR="00081EFC" w:rsidP="00081EFC" w:rsidRDefault="00081EFC" w14:paraId="494AC8CF" w14:textId="2163E2E4">
      <w:pPr>
        <w:widowControl w:val="0"/>
        <w:autoSpaceDE w:val="0"/>
        <w:autoSpaceDN w:val="0"/>
        <w:spacing w:before="24" w:line="240" w:lineRule="auto"/>
        <w:ind w:right="262" w:firstLine="0"/>
        <w:rPr>
          <w:rFonts w:eastAsia="Palatino Linotype" w:cs="Palatino Linotype"/>
          <w:sz w:val="24"/>
          <w:szCs w:val="24"/>
        </w:rPr>
      </w:pPr>
    </w:p>
    <w:p w:rsidRPr="00081EFC" w:rsidR="000E2670" w:rsidP="00081EFC" w:rsidRDefault="000E2670" w14:paraId="100409C4"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5E7FE0" w:rsidRDefault="00081EFC" w14:paraId="5506792D" w14:textId="77777777">
      <w:pPr>
        <w:widowControl w:val="0"/>
        <w:numPr>
          <w:ilvl w:val="0"/>
          <w:numId w:val="47"/>
        </w:numPr>
        <w:autoSpaceDE w:val="0"/>
        <w:autoSpaceDN w:val="0"/>
        <w:spacing w:before="24" w:line="240" w:lineRule="auto"/>
        <w:ind w:left="900" w:right="262"/>
        <w:contextualSpacing/>
        <w:rPr>
          <w:rFonts w:eastAsia="Palatino Linotype" w:cs="Palatino Linotype"/>
          <w:b/>
          <w:bCs/>
          <w:sz w:val="24"/>
          <w:szCs w:val="24"/>
        </w:rPr>
      </w:pPr>
      <w:r w:rsidRPr="00081EFC">
        <w:rPr>
          <w:rFonts w:eastAsia="Palatino Linotype" w:cs="Palatino Linotype"/>
          <w:b/>
          <w:bCs/>
          <w:sz w:val="24"/>
          <w:szCs w:val="24"/>
        </w:rPr>
        <w:t>Payment</w:t>
      </w:r>
    </w:p>
    <w:p w:rsidRPr="00081EFC" w:rsidR="00081EFC" w:rsidP="00081EFC" w:rsidRDefault="00081EFC" w14:paraId="7463943A"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The disbursement of funds at any time is subject to Commission discretion, including a review-and-approval process of each grantee through regular site visits, progress reports on a bi-annual basis, and supporting invoices and receipts. All requests for progress payments and reimbursements must be supported by documentation, e.g., receipts, invoices, quotes, etc.</w:t>
      </w:r>
    </w:p>
    <w:p w:rsidRPr="00081EFC" w:rsidR="00081EFC" w:rsidP="00081EFC" w:rsidRDefault="00081EFC" w14:paraId="2B3A6FF4"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7BE5B948"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The Consortia grantee may request reimbursement of start-up costs equivalent to a maximum of 25% of the total award. Such payment requests must be supported by documentation, e.g., receipts, invoices, quotes, etc. Start-up costs include administrative expenses, e.g., rental of building, hiring of personnel, purchase of office supplies, etc. Subsequent disbursements are on a bi-annual progress report-review basis.</w:t>
      </w:r>
    </w:p>
    <w:p w:rsidRPr="00081EFC" w:rsidR="00081EFC" w:rsidP="00081EFC" w:rsidRDefault="00081EFC" w14:paraId="3701F099"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 </w:t>
      </w:r>
    </w:p>
    <w:p w:rsidRPr="00081EFC" w:rsidR="00081EFC" w:rsidP="00081EFC" w:rsidRDefault="00081EFC" w14:paraId="6077F7B8" w14:textId="77777777">
      <w:pPr>
        <w:widowControl w:val="0"/>
        <w:autoSpaceDE w:val="0"/>
        <w:autoSpaceDN w:val="0"/>
        <w:spacing w:before="24" w:line="240" w:lineRule="auto"/>
        <w:ind w:right="262" w:firstLine="0"/>
        <w:rPr>
          <w:rFonts w:eastAsia="Palatino Linotype" w:cs="Palatino Linotype"/>
          <w:sz w:val="24"/>
          <w:szCs w:val="24"/>
        </w:rPr>
      </w:pPr>
      <w:proofErr w:type="gramStart"/>
      <w:r w:rsidRPr="00081EFC">
        <w:rPr>
          <w:rFonts w:eastAsia="Palatino Linotype" w:cs="Palatino Linotype"/>
          <w:sz w:val="24"/>
          <w:szCs w:val="24"/>
        </w:rPr>
        <w:t>In order to</w:t>
      </w:r>
      <w:proofErr w:type="gramEnd"/>
      <w:r w:rsidRPr="00081EFC">
        <w:rPr>
          <w:rFonts w:eastAsia="Palatino Linotype" w:cs="Palatino Linotype"/>
          <w:sz w:val="24"/>
          <w:szCs w:val="24"/>
        </w:rPr>
        <w:t xml:space="preserve"> receive a progress payment, the Consortium must first submit the Progress Report to the Communications Division, together with all requests for payment and reimbursement supported by relevant invoices receipts, etc.</w:t>
      </w:r>
    </w:p>
    <w:p w:rsidRPr="00081EFC" w:rsidR="00081EFC" w:rsidP="00081EFC" w:rsidRDefault="00081EFC" w14:paraId="75673B63"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145E343D"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All performance specified under the terms of any award must be completed on or before the termination date of the award. A project completion report is required before full payment showing that all activities in the Work Plan have been accomplished. The final disbursement will be equal to the outstanding balance due under the Consortium grant or actual expenditures, whichever is less. The grantee’s final payment report, including all documentation and receipts, should be submitted no later than three months after project completion.</w:t>
      </w:r>
    </w:p>
    <w:p w:rsidRPr="00081EFC" w:rsidR="00081EFC" w:rsidP="00081EFC" w:rsidRDefault="00081EFC" w14:paraId="7D06B198"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04D7FF38"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No payment will be made for any payment requests received three months after relevant reports are due (i.e., bi-annual progress reports and/or completion reports).</w:t>
      </w:r>
    </w:p>
    <w:p w:rsidRPr="00081EFC" w:rsidR="00081EFC" w:rsidP="00081EFC" w:rsidRDefault="00081EFC" w14:paraId="6D66C981"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5E7FE0" w:rsidRDefault="00081EFC" w14:paraId="1B4D429E" w14:textId="77777777">
      <w:pPr>
        <w:widowControl w:val="0"/>
        <w:numPr>
          <w:ilvl w:val="0"/>
          <w:numId w:val="47"/>
        </w:numPr>
        <w:autoSpaceDE w:val="0"/>
        <w:autoSpaceDN w:val="0"/>
        <w:spacing w:before="24" w:line="240" w:lineRule="auto"/>
        <w:ind w:left="900" w:right="262"/>
        <w:contextualSpacing/>
        <w:rPr>
          <w:rFonts w:eastAsia="Palatino Linotype" w:cs="Palatino Linotype"/>
          <w:b/>
          <w:bCs/>
          <w:sz w:val="24"/>
          <w:szCs w:val="24"/>
        </w:rPr>
      </w:pPr>
      <w:r w:rsidRPr="00081EFC">
        <w:rPr>
          <w:rFonts w:eastAsia="Palatino Linotype" w:cs="Palatino Linotype"/>
          <w:b/>
          <w:bCs/>
          <w:sz w:val="24"/>
          <w:szCs w:val="24"/>
        </w:rPr>
        <w:t>Execution and Performance</w:t>
      </w:r>
    </w:p>
    <w:p w:rsidRPr="00081EFC" w:rsidR="00081EFC" w:rsidP="00081EFC" w:rsidRDefault="00081EFC" w14:paraId="7E015879"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The Commission’s grant of any award is subject to satisfaction of the conditions set forth in the decision adopting this proposal, and any additional conditions that may be specified in the Commission resolution approving a grant. Each grant is made </w:t>
      </w:r>
      <w:r w:rsidRPr="00081EFC">
        <w:rPr>
          <w:rFonts w:eastAsia="Palatino Linotype" w:cs="Palatino Linotype"/>
          <w:sz w:val="24"/>
          <w:szCs w:val="24"/>
        </w:rPr>
        <w:lastRenderedPageBreak/>
        <w:t>expressly only to the Consortia grantee as identified in the Commission resolution. The Consortia grantee may not assign the project in whole or in part, except as expressly provided by the Commission’s approval.</w:t>
      </w:r>
    </w:p>
    <w:p w:rsidRPr="00081EFC" w:rsidR="00081EFC" w:rsidP="00081EFC" w:rsidRDefault="00081EFC" w14:paraId="14AC1930"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294F0A66"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By receiving a CASF Consortia grant, the grantee agrees to comply with the terms, conditions, and requirements of the grant and thus submits to the jurisdiction of the Commission </w:t>
      </w:r>
      <w:proofErr w:type="gramStart"/>
      <w:r w:rsidRPr="00081EFC">
        <w:rPr>
          <w:rFonts w:eastAsia="Palatino Linotype" w:cs="Palatino Linotype"/>
          <w:sz w:val="24"/>
          <w:szCs w:val="24"/>
        </w:rPr>
        <w:t>with regard to</w:t>
      </w:r>
      <w:proofErr w:type="gramEnd"/>
      <w:r w:rsidRPr="00081EFC">
        <w:rPr>
          <w:rFonts w:eastAsia="Palatino Linotype" w:cs="Palatino Linotype"/>
          <w:sz w:val="24"/>
          <w:szCs w:val="24"/>
        </w:rPr>
        <w:t xml:space="preserve"> disbursement and administration of the grant.</w:t>
      </w:r>
      <w:r w:rsidRPr="00081EFC">
        <w:rPr>
          <w:rFonts w:eastAsia="Palatino Linotype" w:cs="Palatino Linotype"/>
          <w:sz w:val="24"/>
          <w:szCs w:val="24"/>
          <w:vertAlign w:val="superscript"/>
        </w:rPr>
        <w:footnoteReference w:id="212"/>
      </w:r>
    </w:p>
    <w:p w:rsidRPr="00081EFC" w:rsidR="00081EFC" w:rsidP="00081EFC" w:rsidRDefault="00081EFC" w14:paraId="584EBB3A"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5F71878B"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Should the Consortia grantee fail to commence work at the agreed upon time, the Commission, upon ten business days written notice to the Consortia grantee, may terminate the award. The Commission may also impose penalties.</w:t>
      </w:r>
    </w:p>
    <w:p w:rsidRPr="00081EFC" w:rsidR="00081EFC" w:rsidP="00081EFC" w:rsidRDefault="00081EFC" w14:paraId="2169D9C8"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74D491EA" w14:textId="77777777">
      <w:pPr>
        <w:widowControl w:val="0"/>
        <w:autoSpaceDE w:val="0"/>
        <w:autoSpaceDN w:val="0"/>
        <w:spacing w:before="24" w:line="240" w:lineRule="auto"/>
        <w:ind w:right="262" w:firstLine="0"/>
        <w:rPr>
          <w:rFonts w:eastAsia="Palatino Linotype" w:cs="Palatino Linotype"/>
          <w:sz w:val="24"/>
          <w:szCs w:val="24"/>
        </w:rPr>
      </w:pPr>
      <w:proofErr w:type="gramStart"/>
      <w:r w:rsidRPr="00081EFC">
        <w:rPr>
          <w:rFonts w:eastAsia="Palatino Linotype" w:cs="Palatino Linotype"/>
          <w:sz w:val="24"/>
          <w:szCs w:val="24"/>
        </w:rPr>
        <w:t>In the event that</w:t>
      </w:r>
      <w:proofErr w:type="gramEnd"/>
      <w:r w:rsidRPr="00081EFC">
        <w:rPr>
          <w:rFonts w:eastAsia="Palatino Linotype" w:cs="Palatino Linotype"/>
          <w:sz w:val="24"/>
          <w:szCs w:val="24"/>
        </w:rPr>
        <w:t xml:space="preserve"> the Consortia grantee fails to complete the project, in accordance with the terms of approval granted by the Commission, the grantee will be required to reimburse some or all of the CASF Consortia Account funds that it has received.</w:t>
      </w:r>
    </w:p>
    <w:p w:rsidRPr="00081EFC" w:rsidR="00081EFC" w:rsidP="00081EFC" w:rsidRDefault="00081EFC" w14:paraId="19EEAA0F"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73FEB23A"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If the Consortia grantee fails to perform in good faith, or in accordance with the expectations set forth in its Work Plan and Performance Metrics Plan, as affirmed in the affidavit, the Commission may withhold subsequent grant disbursement, suspend, reduce, or terminate the Consortia grant, as warranted.</w:t>
      </w:r>
    </w:p>
    <w:p w:rsidRPr="00081EFC" w:rsidR="00081EFC" w:rsidP="00081EFC" w:rsidRDefault="00081EFC" w14:paraId="0D083E6E" w14:textId="77777777">
      <w:pPr>
        <w:widowControl w:val="0"/>
        <w:autoSpaceDE w:val="0"/>
        <w:autoSpaceDN w:val="0"/>
        <w:spacing w:before="24" w:line="240" w:lineRule="auto"/>
        <w:ind w:right="262" w:firstLine="0"/>
        <w:rPr>
          <w:rFonts w:eastAsia="Palatino Linotype" w:cs="Palatino Linotype"/>
          <w:sz w:val="24"/>
          <w:szCs w:val="24"/>
        </w:rPr>
      </w:pPr>
    </w:p>
    <w:p w:rsidRPr="00081EFC" w:rsidR="00081EFC" w:rsidP="00081EFC" w:rsidRDefault="00081EFC" w14:paraId="104FB00C" w14:textId="77777777">
      <w:pPr>
        <w:widowControl w:val="0"/>
        <w:autoSpaceDE w:val="0"/>
        <w:autoSpaceDN w:val="0"/>
        <w:spacing w:before="24" w:line="240" w:lineRule="auto"/>
        <w:ind w:right="262" w:firstLine="0"/>
        <w:rPr>
          <w:rFonts w:eastAsia="Palatino Linotype" w:cs="Palatino Linotype"/>
          <w:sz w:val="24"/>
          <w:szCs w:val="24"/>
        </w:rPr>
      </w:pPr>
      <w:r w:rsidRPr="00081EFC">
        <w:rPr>
          <w:rFonts w:eastAsia="Palatino Linotype" w:cs="Palatino Linotype"/>
          <w:sz w:val="24"/>
          <w:szCs w:val="24"/>
        </w:rPr>
        <w:t xml:space="preserve">Any changes to the substantive terms and conditions underlying Commission approval of the Consortium grant (e.g., changes to Work Plan, budget, or designated Fiscal Agent, etc.) must be communicated in writing to the Communications Division Director at least 30 days before the anticipated </w:t>
      </w:r>
      <w:proofErr w:type="gramStart"/>
      <w:r w:rsidRPr="00081EFC">
        <w:rPr>
          <w:rFonts w:eastAsia="Palatino Linotype" w:cs="Palatino Linotype"/>
          <w:sz w:val="24"/>
          <w:szCs w:val="24"/>
        </w:rPr>
        <w:t>change, and</w:t>
      </w:r>
      <w:proofErr w:type="gramEnd"/>
      <w:r w:rsidRPr="00081EFC">
        <w:rPr>
          <w:rFonts w:eastAsia="Palatino Linotype" w:cs="Palatino Linotype"/>
          <w:sz w:val="24"/>
          <w:szCs w:val="24"/>
        </w:rPr>
        <w:t xml:space="preserve"> may be subject to approval by either the Director or by Commission resolution before becoming effective.</w:t>
      </w:r>
    </w:p>
    <w:p w:rsidRPr="00081EFC" w:rsidR="00081EFC" w:rsidP="00081EFC" w:rsidRDefault="00081EFC" w14:paraId="5C2164AB" w14:textId="77777777">
      <w:pPr>
        <w:widowControl w:val="0"/>
        <w:autoSpaceDE w:val="0"/>
        <w:autoSpaceDN w:val="0"/>
        <w:spacing w:before="24" w:line="240" w:lineRule="auto"/>
        <w:ind w:right="262" w:firstLine="0"/>
        <w:rPr>
          <w:rFonts w:eastAsia="Palatino Linotype" w:cs="Palatino Linotype"/>
          <w:b/>
          <w:bCs/>
          <w:sz w:val="24"/>
          <w:szCs w:val="24"/>
        </w:rPr>
      </w:pPr>
    </w:p>
    <w:p w:rsidRPr="00081EFC" w:rsidR="00081EFC" w:rsidP="005E7FE0" w:rsidRDefault="00081EFC" w14:paraId="081FE9B0" w14:textId="77777777">
      <w:pPr>
        <w:widowControl w:val="0"/>
        <w:numPr>
          <w:ilvl w:val="0"/>
          <w:numId w:val="47"/>
        </w:numPr>
        <w:autoSpaceDE w:val="0"/>
        <w:autoSpaceDN w:val="0"/>
        <w:spacing w:before="24" w:line="240" w:lineRule="auto"/>
        <w:ind w:left="720" w:right="262"/>
        <w:contextualSpacing/>
        <w:rPr>
          <w:rFonts w:eastAsia="Palatino Linotype" w:cs="Palatino Linotype"/>
          <w:b/>
          <w:bCs/>
          <w:sz w:val="24"/>
          <w:szCs w:val="24"/>
        </w:rPr>
      </w:pPr>
      <w:r w:rsidRPr="00081EFC">
        <w:rPr>
          <w:rFonts w:eastAsia="Palatino Linotype" w:cs="Palatino Linotype"/>
          <w:b/>
          <w:bCs/>
          <w:sz w:val="24"/>
          <w:szCs w:val="24"/>
        </w:rPr>
        <w:t>Consent Form</w:t>
      </w:r>
    </w:p>
    <w:p w:rsidRPr="00081EFC" w:rsidR="00081EFC" w:rsidP="00081EFC" w:rsidRDefault="00081EFC" w14:paraId="4B54B830" w14:textId="77777777">
      <w:pPr>
        <w:widowControl w:val="0"/>
        <w:autoSpaceDE w:val="0"/>
        <w:autoSpaceDN w:val="0"/>
        <w:spacing w:line="240" w:lineRule="auto"/>
        <w:ind w:firstLine="0"/>
        <w:rPr>
          <w:rFonts w:eastAsia="Palatino Linotype" w:cs="Palatino Linotype"/>
          <w:b/>
          <w:sz w:val="24"/>
          <w:szCs w:val="24"/>
        </w:rPr>
      </w:pPr>
    </w:p>
    <w:p w:rsidRPr="00081EFC" w:rsidR="00081EFC" w:rsidP="00081EFC" w:rsidRDefault="00081EFC" w14:paraId="0C2AEC92" w14:textId="77777777">
      <w:pPr>
        <w:widowControl w:val="0"/>
        <w:autoSpaceDE w:val="0"/>
        <w:autoSpaceDN w:val="0"/>
        <w:spacing w:line="240" w:lineRule="auto"/>
        <w:ind w:firstLine="0"/>
        <w:rPr>
          <w:rFonts w:eastAsia="Palatino Linotype" w:cs="Palatino Linotype"/>
          <w:sz w:val="24"/>
          <w:szCs w:val="24"/>
        </w:rPr>
      </w:pPr>
      <w:r w:rsidRPr="00081EFC">
        <w:rPr>
          <w:rFonts w:eastAsia="Palatino Linotype" w:cs="Palatino Linotype"/>
          <w:sz w:val="24"/>
          <w:szCs w:val="24"/>
        </w:rPr>
        <w:t>Grantees are required to sign a consent form within 30 days from the date of the award agreeing to the terms stated in the resolution or award letter authorizing the CASF award.  The agreement will provide the name of the grantee, names of officers, and must be signed by the grantee.  Should the grantee not accept the award through failure to submit the consent form within 30 calendar days from the date of the award, the Commission will deem the grant null and void. The proposed wording of the consent form is available on the CASF Consortia website.</w:t>
      </w:r>
    </w:p>
    <w:p w:rsidRPr="00081EFC" w:rsidR="00081EFC" w:rsidP="00081EFC" w:rsidRDefault="00081EFC" w14:paraId="65C25C6D" w14:textId="77777777">
      <w:pPr>
        <w:widowControl w:val="0"/>
        <w:autoSpaceDE w:val="0"/>
        <w:autoSpaceDN w:val="0"/>
        <w:spacing w:line="240" w:lineRule="auto"/>
        <w:ind w:firstLine="0"/>
        <w:rPr>
          <w:rFonts w:eastAsia="Palatino Linotype" w:cs="Palatino Linotype"/>
          <w:sz w:val="24"/>
          <w:szCs w:val="24"/>
        </w:rPr>
      </w:pPr>
    </w:p>
    <w:p w:rsidRPr="00081EFC" w:rsidR="00081EFC" w:rsidP="00081EFC" w:rsidRDefault="00081EFC" w14:paraId="6C60B50F" w14:textId="77777777">
      <w:pPr>
        <w:widowControl w:val="0"/>
        <w:autoSpaceDE w:val="0"/>
        <w:autoSpaceDN w:val="0"/>
        <w:spacing w:line="240" w:lineRule="auto"/>
        <w:ind w:firstLine="0"/>
        <w:rPr>
          <w:rFonts w:eastAsia="Palatino Linotype" w:cs="Palatino Linotype"/>
          <w:sz w:val="24"/>
          <w:szCs w:val="24"/>
        </w:rPr>
      </w:pPr>
    </w:p>
    <w:p w:rsidRPr="00081EFC" w:rsidR="00081EFC" w:rsidP="00081EFC" w:rsidRDefault="00081EFC" w14:paraId="550EFD21" w14:textId="77777777">
      <w:pPr>
        <w:widowControl w:val="0"/>
        <w:autoSpaceDE w:val="0"/>
        <w:autoSpaceDN w:val="0"/>
        <w:spacing w:line="240" w:lineRule="auto"/>
        <w:ind w:firstLine="0"/>
        <w:rPr>
          <w:rFonts w:eastAsia="Palatino Linotype" w:cs="Palatino Linotype"/>
          <w:sz w:val="24"/>
          <w:szCs w:val="24"/>
        </w:rPr>
      </w:pPr>
    </w:p>
    <w:p w:rsidRPr="00081EFC" w:rsidR="00081EFC" w:rsidP="00081EFC" w:rsidRDefault="00081EFC" w14:paraId="3B11BE6B" w14:textId="77777777">
      <w:pPr>
        <w:widowControl w:val="0"/>
        <w:autoSpaceDE w:val="0"/>
        <w:autoSpaceDN w:val="0"/>
        <w:spacing w:line="240" w:lineRule="auto"/>
        <w:ind w:firstLine="0"/>
        <w:rPr>
          <w:rFonts w:eastAsia="Palatino Linotype" w:cs="Palatino Linotype"/>
          <w:sz w:val="24"/>
          <w:szCs w:val="24"/>
        </w:rPr>
      </w:pPr>
    </w:p>
    <w:p w:rsidRPr="00081EFC" w:rsidR="00081EFC" w:rsidP="00081EFC" w:rsidRDefault="00081EFC" w14:paraId="32C2EA23" w14:textId="555F2FA1">
      <w:pPr>
        <w:widowControl w:val="0"/>
        <w:autoSpaceDE w:val="0"/>
        <w:autoSpaceDN w:val="0"/>
        <w:spacing w:line="240" w:lineRule="auto"/>
        <w:ind w:firstLine="0"/>
        <w:jc w:val="center"/>
        <w:rPr>
          <w:rFonts w:eastAsia="Palatino Linotype" w:cs="Palatino Linotype"/>
          <w:sz w:val="24"/>
          <w:szCs w:val="24"/>
        </w:rPr>
      </w:pPr>
      <w:r w:rsidRPr="00081EFC">
        <w:rPr>
          <w:rFonts w:eastAsia="Palatino Linotype" w:cs="Palatino Linotype"/>
          <w:sz w:val="24"/>
          <w:szCs w:val="24"/>
        </w:rPr>
        <w:t xml:space="preserve">(End of Appendix </w:t>
      </w:r>
      <w:r w:rsidR="00F4291F">
        <w:rPr>
          <w:rFonts w:eastAsia="Palatino Linotype" w:cs="Palatino Linotype"/>
          <w:sz w:val="24"/>
          <w:szCs w:val="24"/>
        </w:rPr>
        <w:t>3</w:t>
      </w:r>
      <w:r w:rsidRPr="00081EFC">
        <w:rPr>
          <w:rFonts w:eastAsia="Palatino Linotype" w:cs="Palatino Linotype"/>
          <w:sz w:val="24"/>
          <w:szCs w:val="24"/>
        </w:rPr>
        <w:t>)</w:t>
      </w:r>
    </w:p>
    <w:p w:rsidRPr="00C561FB" w:rsidR="00081EFC" w:rsidP="00081EFC" w:rsidRDefault="00081EFC" w14:paraId="74472771" w14:textId="5B883EC7">
      <w:pPr>
        <w:spacing w:before="95" w:line="313" w:lineRule="exact"/>
        <w:ind w:left="1454" w:right="1398"/>
        <w:jc w:val="center"/>
        <w:rPr>
          <w:b/>
          <w:bCs/>
          <w:szCs w:val="26"/>
        </w:rPr>
      </w:pPr>
    </w:p>
    <w:p w:rsidRPr="006F7C82" w:rsidR="00081EFC" w:rsidP="00816E05" w:rsidRDefault="00081EFC" w14:paraId="70CE1A73" w14:textId="77777777">
      <w:pPr>
        <w:rPr>
          <w:color w:val="000000" w:themeColor="text1"/>
        </w:rPr>
      </w:pPr>
    </w:p>
    <w:sectPr w:rsidRPr="006F7C82" w:rsidR="00081EFC" w:rsidSect="00081EFC">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5BEA" w14:textId="77777777" w:rsidR="00F574DD" w:rsidRDefault="00F574DD" w:rsidP="0098138E">
      <w:pPr>
        <w:spacing w:line="240" w:lineRule="auto"/>
      </w:pPr>
      <w:r>
        <w:separator/>
      </w:r>
    </w:p>
  </w:endnote>
  <w:endnote w:type="continuationSeparator" w:id="0">
    <w:p w14:paraId="62778A35" w14:textId="77777777" w:rsidR="00F574DD" w:rsidRDefault="00F574DD" w:rsidP="0098138E">
      <w:pPr>
        <w:spacing w:line="240" w:lineRule="auto"/>
      </w:pPr>
      <w:r>
        <w:continuationSeparator/>
      </w:r>
    </w:p>
  </w:endnote>
  <w:endnote w:type="continuationNotice" w:id="1">
    <w:p w14:paraId="13BEC6DE" w14:textId="77777777" w:rsidR="00F574DD" w:rsidRDefault="00F574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E065" w14:textId="7218D267" w:rsidR="00427749" w:rsidRDefault="00256B98" w:rsidP="007E0FEE">
    <w:pPr>
      <w:tabs>
        <w:tab w:val="center" w:pos="4680"/>
      </w:tabs>
      <w:ind w:firstLine="0"/>
      <w:rPr>
        <w:noProof/>
      </w:rPr>
    </w:pPr>
    <w:sdt>
      <w:sdtPr>
        <w:id w:val="-563640413"/>
        <w:docPartObj>
          <w:docPartGallery w:val="Page Numbers (Bottom of Page)"/>
          <w:docPartUnique/>
        </w:docPartObj>
      </w:sdtPr>
      <w:sdtEndPr>
        <w:rPr>
          <w:noProof/>
        </w:rPr>
      </w:sdtEndPr>
      <w:sdtContent>
        <w:r w:rsidRPr="00256B98">
          <w:rPr>
            <w:sz w:val="16"/>
            <w:szCs w:val="16"/>
          </w:rPr>
          <w:t>479637749</w:t>
        </w:r>
        <w:r w:rsidR="00427749">
          <w:rPr>
            <w:rFonts w:ascii="Arial" w:hAnsi="Arial" w:cs="Arial"/>
            <w:sz w:val="16"/>
            <w:szCs w:val="16"/>
          </w:rPr>
          <w:tab/>
        </w:r>
        <w:r w:rsidR="00427749">
          <w:t>-</w:t>
        </w:r>
        <w:r w:rsidR="00427749" w:rsidRPr="00E1087C">
          <w:t xml:space="preserve"> </w:t>
        </w:r>
        <w:r w:rsidR="00427749" w:rsidRPr="00E1087C">
          <w:rPr>
            <w:color w:val="2B579A"/>
          </w:rPr>
          <w:fldChar w:fldCharType="begin"/>
        </w:r>
        <w:r w:rsidR="00427749" w:rsidRPr="00E1087C">
          <w:instrText xml:space="preserve"> PAGE   \* MERGEFORMAT </w:instrText>
        </w:r>
        <w:r w:rsidR="00427749" w:rsidRPr="00E1087C">
          <w:rPr>
            <w:color w:val="2B579A"/>
          </w:rPr>
          <w:fldChar w:fldCharType="separate"/>
        </w:r>
        <w:r w:rsidR="00427749" w:rsidRPr="00E1087C">
          <w:rPr>
            <w:noProof/>
          </w:rPr>
          <w:t>2</w:t>
        </w:r>
        <w:r w:rsidR="00427749" w:rsidRPr="00E1087C">
          <w:rPr>
            <w:color w:val="2B579A"/>
          </w:rPr>
          <w:fldChar w:fldCharType="end"/>
        </w:r>
      </w:sdtContent>
    </w:sdt>
    <w:r w:rsidR="00427749">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B03F" w14:textId="77777777" w:rsidR="00E23CBB" w:rsidRDefault="00E23CBB" w:rsidP="007E0FEE">
    <w:pPr>
      <w:ind w:firstLine="0"/>
      <w:jc w:val="center"/>
    </w:pPr>
    <w:r>
      <w:t>-</w:t>
    </w:r>
    <w:r w:rsidR="00EE4315">
      <w:t xml:space="preserve"> </w:t>
    </w:r>
    <w:sdt>
      <w:sdtPr>
        <w:id w:val="1793169647"/>
        <w:docPartObj>
          <w:docPartGallery w:val="Page Numbers (Bottom of Page)"/>
          <w:docPartUnique/>
        </w:docPartObj>
      </w:sdtPr>
      <w:sdtEndPr>
        <w:rPr>
          <w:noProof/>
        </w:rPr>
      </w:sdtEndPr>
      <w:sdtContent>
        <w:r w:rsidRPr="00081D5A">
          <w:fldChar w:fldCharType="begin"/>
        </w:r>
        <w:r w:rsidRPr="00081D5A">
          <w:instrText xml:space="preserve"> PAGE   \* MERGEFORMAT </w:instrText>
        </w:r>
        <w:r w:rsidRPr="00081D5A">
          <w:fldChar w:fldCharType="separate"/>
        </w:r>
        <w:r w:rsidRPr="00081D5A">
          <w:rPr>
            <w:noProof/>
          </w:rPr>
          <w:t>2</w:t>
        </w:r>
        <w:r w:rsidRPr="00081D5A">
          <w:fldChar w:fldCharType="end"/>
        </w:r>
        <w:r w:rsidR="00EE4315" w:rsidRPr="00081D5A">
          <w:rPr>
            <w:noProof/>
          </w:rPr>
          <w:t xml:space="preserve"> </w:t>
        </w:r>
        <w:r w:rsidRPr="00081D5A">
          <w:rPr>
            <w:noProof/>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247F" w14:textId="77777777" w:rsidR="00081EFC" w:rsidRPr="00E11D89" w:rsidRDefault="00081EFC" w:rsidP="007E0FEE">
    <w:pPr>
      <w:ind w:firstLine="0"/>
      <w:jc w:val="center"/>
    </w:pPr>
    <w:r w:rsidRPr="00E11D89">
      <w:t>-</w:t>
    </w:r>
    <w:sdt>
      <w:sdtPr>
        <w:rPr>
          <w:shd w:val="clear" w:color="auto" w:fill="E6E6E6"/>
        </w:rPr>
        <w:id w:val="-1434505411"/>
        <w:docPartObj>
          <w:docPartGallery w:val="Page Numbers (Bottom of Page)"/>
          <w:docPartUnique/>
        </w:docPartObj>
      </w:sdtPr>
      <w:sdtEndPr>
        <w:rPr>
          <w:noProof/>
          <w:shd w:val="clear" w:color="auto" w:fill="auto"/>
        </w:rPr>
      </w:sdtEndPr>
      <w:sdtContent>
        <w:r w:rsidRPr="00E11D89">
          <w:t xml:space="preserve"> </w:t>
        </w:r>
        <w:r w:rsidRPr="00DF6332">
          <w:rPr>
            <w:shd w:val="clear" w:color="auto" w:fill="FFFFFF" w:themeFill="background1"/>
          </w:rPr>
          <w:fldChar w:fldCharType="begin"/>
        </w:r>
        <w:r w:rsidRPr="00DF6332">
          <w:rPr>
            <w:shd w:val="clear" w:color="auto" w:fill="FFFFFF" w:themeFill="background1"/>
          </w:rPr>
          <w:instrText xml:space="preserve"> PAGE   \* MERGEFORMAT </w:instrText>
        </w:r>
        <w:r w:rsidRPr="00DF6332">
          <w:rPr>
            <w:shd w:val="clear" w:color="auto" w:fill="FFFFFF" w:themeFill="background1"/>
          </w:rPr>
          <w:fldChar w:fldCharType="separate"/>
        </w:r>
        <w:r w:rsidRPr="00DF6332">
          <w:rPr>
            <w:noProof/>
            <w:shd w:val="clear" w:color="auto" w:fill="FFFFFF" w:themeFill="background1"/>
          </w:rPr>
          <w:t>2</w:t>
        </w:r>
        <w:r w:rsidRPr="00DF6332">
          <w:rPr>
            <w:shd w:val="clear" w:color="auto" w:fill="FFFFFF" w:themeFill="background1"/>
          </w:rPr>
          <w:fldChar w:fldCharType="end"/>
        </w:r>
        <w:r w:rsidRPr="00E11D89">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5290" w14:textId="77777777" w:rsidR="00F574DD" w:rsidRDefault="00F574DD" w:rsidP="00DF58E7">
      <w:pPr>
        <w:spacing w:line="240" w:lineRule="auto"/>
        <w:ind w:firstLine="0"/>
      </w:pPr>
      <w:r>
        <w:separator/>
      </w:r>
    </w:p>
  </w:footnote>
  <w:footnote w:type="continuationSeparator" w:id="0">
    <w:p w14:paraId="092FB1F4" w14:textId="77777777" w:rsidR="00F574DD" w:rsidRDefault="00F574DD" w:rsidP="00DF58E7">
      <w:pPr>
        <w:spacing w:line="240" w:lineRule="auto"/>
        <w:ind w:firstLine="0"/>
      </w:pPr>
      <w:r>
        <w:continuationSeparator/>
      </w:r>
    </w:p>
  </w:footnote>
  <w:footnote w:type="continuationNotice" w:id="1">
    <w:p w14:paraId="46E340EF" w14:textId="77777777" w:rsidR="00F574DD" w:rsidRPr="00DF58E7" w:rsidRDefault="00F574DD" w:rsidP="00DF58E7">
      <w:pPr>
        <w:spacing w:line="240" w:lineRule="auto"/>
        <w:ind w:firstLine="0"/>
        <w:jc w:val="right"/>
        <w:rPr>
          <w:i/>
          <w:sz w:val="22"/>
        </w:rPr>
      </w:pPr>
      <w:r w:rsidRPr="00DF58E7">
        <w:rPr>
          <w:i/>
          <w:sz w:val="22"/>
        </w:rPr>
        <w:t xml:space="preserve">Footnote </w:t>
      </w:r>
      <w:proofErr w:type="gramStart"/>
      <w:r w:rsidRPr="00DF58E7">
        <w:rPr>
          <w:i/>
          <w:sz w:val="22"/>
        </w:rPr>
        <w:t>continued on</w:t>
      </w:r>
      <w:proofErr w:type="gramEnd"/>
      <w:r w:rsidRPr="00DF58E7">
        <w:rPr>
          <w:i/>
          <w:sz w:val="22"/>
        </w:rPr>
        <w:t xml:space="preserve"> next page.</w:t>
      </w:r>
    </w:p>
  </w:footnote>
  <w:footnote w:id="2">
    <w:p w14:paraId="6AAA1F5A" w14:textId="0DD25F4B" w:rsidR="00361C1C" w:rsidRDefault="00361C1C">
      <w:pPr>
        <w:pStyle w:val="FootnoteText"/>
      </w:pPr>
      <w:r>
        <w:rPr>
          <w:rStyle w:val="FootnoteReference"/>
        </w:rPr>
        <w:footnoteRef/>
      </w:r>
      <w:r>
        <w:t xml:space="preserve"> Decision (D.) 22-02-026.</w:t>
      </w:r>
    </w:p>
  </w:footnote>
  <w:footnote w:id="3">
    <w:p w14:paraId="223977DF" w14:textId="7EDAA59B" w:rsidR="00983F68" w:rsidRDefault="00983F68">
      <w:pPr>
        <w:pStyle w:val="FootnoteText"/>
      </w:pPr>
      <w:r>
        <w:rPr>
          <w:rStyle w:val="FootnoteReference"/>
        </w:rPr>
        <w:footnoteRef/>
      </w:r>
      <w:r>
        <w:t xml:space="preserve"> By </w:t>
      </w:r>
      <w:r w:rsidR="00095673">
        <w:t>ruling</w:t>
      </w:r>
      <w:r>
        <w:t xml:space="preserve"> dated March 2</w:t>
      </w:r>
      <w:r w:rsidR="00095673">
        <w:t>2</w:t>
      </w:r>
      <w:r>
        <w:t>, 2022, IERBC</w:t>
      </w:r>
      <w:r w:rsidR="007E3FC5">
        <w:t>’s</w:t>
      </w:r>
      <w:r>
        <w:t xml:space="preserve"> </w:t>
      </w:r>
      <w:r w:rsidR="009E0396">
        <w:t xml:space="preserve">March 21, 2022 </w:t>
      </w:r>
      <w:r>
        <w:t>request</w:t>
      </w:r>
      <w:r w:rsidR="007E3FC5">
        <w:t xml:space="preserve"> for</w:t>
      </w:r>
      <w:r>
        <w:t xml:space="preserve"> leave to late-file comments on the Second Amended Scoping Memo</w:t>
      </w:r>
      <w:r w:rsidR="007A47F5">
        <w:t xml:space="preserve"> was granted.</w:t>
      </w:r>
    </w:p>
  </w:footnote>
  <w:footnote w:id="4">
    <w:p w14:paraId="47B0A85B" w14:textId="4B9CF30C" w:rsidR="005E1515" w:rsidRDefault="005E1515">
      <w:pPr>
        <w:pStyle w:val="FootnoteText"/>
      </w:pPr>
      <w:r>
        <w:rPr>
          <w:rStyle w:val="FootnoteReference"/>
        </w:rPr>
        <w:footnoteRef/>
      </w:r>
      <w:r>
        <w:t xml:space="preserve"> Pub. Util. Code</w:t>
      </w:r>
      <w:r w:rsidR="00B9689D">
        <w:t>,</w:t>
      </w:r>
      <w:r>
        <w:t xml:space="preserve"> §</w:t>
      </w:r>
      <w:r w:rsidR="00F65DBE">
        <w:t xml:space="preserve"> </w:t>
      </w:r>
      <w:r>
        <w:t>281(c)(2), (c)(3), &amp; (c)(4).</w:t>
      </w:r>
    </w:p>
  </w:footnote>
  <w:footnote w:id="5">
    <w:p w14:paraId="6B1C1321" w14:textId="18016F75" w:rsidR="0048289A" w:rsidRDefault="0048289A">
      <w:pPr>
        <w:pStyle w:val="FootnoteText"/>
      </w:pPr>
      <w:r>
        <w:rPr>
          <w:rStyle w:val="FootnoteReference"/>
        </w:rPr>
        <w:footnoteRef/>
      </w:r>
      <w:r>
        <w:t xml:space="preserve"> AB 14</w:t>
      </w:r>
      <w:r w:rsidR="00CB4520">
        <w:t xml:space="preserve"> also extended the duration of the CASF program through December 31, 2032.</w:t>
      </w:r>
      <w:r w:rsidR="00F209CE">
        <w:t xml:space="preserve"> </w:t>
      </w:r>
      <w:r w:rsidR="00CB4520">
        <w:t>Pub. Util. Code</w:t>
      </w:r>
      <w:r w:rsidR="002C27FF">
        <w:t>,</w:t>
      </w:r>
      <w:r w:rsidR="00CB4520">
        <w:t xml:space="preserve"> § 281.1.</w:t>
      </w:r>
      <w:r w:rsidR="00F209CE">
        <w:t xml:space="preserve"> </w:t>
      </w:r>
    </w:p>
  </w:footnote>
  <w:footnote w:id="6">
    <w:p w14:paraId="0BE4C728" w14:textId="022191D8" w:rsidR="7FDAA6EC" w:rsidRDefault="7FDAA6EC" w:rsidP="7FDAA6EC">
      <w:pPr>
        <w:pStyle w:val="FootnoteText"/>
      </w:pPr>
      <w:r w:rsidRPr="7FDAA6EC">
        <w:rPr>
          <w:rStyle w:val="FootnoteReference"/>
          <w:rFonts w:eastAsia="Calibri"/>
          <w:szCs w:val="22"/>
        </w:rPr>
        <w:footnoteRef/>
      </w:r>
      <w:r w:rsidR="00F209CE">
        <w:rPr>
          <w:rFonts w:eastAsia="Calibri"/>
          <w:szCs w:val="22"/>
        </w:rPr>
        <w:t xml:space="preserve"> </w:t>
      </w:r>
      <w:r w:rsidRPr="00806ADE">
        <w:rPr>
          <w:rFonts w:eastAsia="Calibri"/>
          <w:szCs w:val="22"/>
        </w:rPr>
        <w:t>D</w:t>
      </w:r>
      <w:r w:rsidR="00806ADE" w:rsidRPr="00806ADE">
        <w:rPr>
          <w:rFonts w:eastAsia="Calibri"/>
          <w:szCs w:val="22"/>
        </w:rPr>
        <w:t>.</w:t>
      </w:r>
      <w:r w:rsidRPr="00806ADE">
        <w:rPr>
          <w:rFonts w:eastAsia="Calibri"/>
          <w:szCs w:val="22"/>
        </w:rPr>
        <w:t>20</w:t>
      </w:r>
      <w:r w:rsidRPr="7FDAA6EC">
        <w:rPr>
          <w:rFonts w:eastAsia="Calibri"/>
          <w:szCs w:val="22"/>
        </w:rPr>
        <w:t>-08-005, Appendix 2, Broadband Public Housing Account Revised Application Requirements and Guidelines (Public Housing Account Guidelines), at 1.</w:t>
      </w:r>
    </w:p>
  </w:footnote>
  <w:footnote w:id="7">
    <w:p w14:paraId="202C3BC6" w14:textId="1EF12586" w:rsidR="7FDAA6EC" w:rsidRDefault="7FDAA6EC" w:rsidP="7FDAA6EC">
      <w:pPr>
        <w:pStyle w:val="FootnoteText"/>
        <w:rPr>
          <w:rFonts w:eastAsia="Calibri"/>
          <w:szCs w:val="22"/>
        </w:rPr>
      </w:pPr>
      <w:r w:rsidRPr="7FDAA6EC">
        <w:rPr>
          <w:rStyle w:val="FootnoteReference"/>
          <w:rFonts w:eastAsia="Calibri"/>
          <w:szCs w:val="22"/>
        </w:rPr>
        <w:footnoteRef/>
      </w:r>
      <w:r w:rsidRPr="7FDAA6EC">
        <w:rPr>
          <w:rFonts w:eastAsia="Calibri"/>
          <w:szCs w:val="22"/>
        </w:rPr>
        <w:t xml:space="preserve"> Pub. Util. Code</w:t>
      </w:r>
      <w:r w:rsidR="00B47198">
        <w:t>, §</w:t>
      </w:r>
      <w:r w:rsidRPr="7FDAA6EC">
        <w:rPr>
          <w:rFonts w:eastAsia="Calibri"/>
          <w:szCs w:val="22"/>
        </w:rPr>
        <w:t xml:space="preserve"> 281 (i)(2).</w:t>
      </w:r>
    </w:p>
  </w:footnote>
  <w:footnote w:id="8">
    <w:p w14:paraId="0D22B0BF" w14:textId="7881A178" w:rsidR="7FDAA6EC" w:rsidRDefault="7FDAA6EC" w:rsidP="7FDAA6EC">
      <w:pPr>
        <w:pStyle w:val="FootnoteText"/>
      </w:pPr>
      <w:r w:rsidRPr="7FDAA6EC">
        <w:rPr>
          <w:rStyle w:val="FootnoteReference"/>
          <w:rFonts w:eastAsia="Calibri"/>
          <w:szCs w:val="22"/>
        </w:rPr>
        <w:footnoteRef/>
      </w:r>
      <w:r w:rsidRPr="7FDAA6EC">
        <w:rPr>
          <w:rFonts w:eastAsia="Calibri"/>
          <w:szCs w:val="22"/>
        </w:rPr>
        <w:t xml:space="preserve"> Pub. Util. Code</w:t>
      </w:r>
      <w:r w:rsidR="00B47198">
        <w:t>, §</w:t>
      </w:r>
      <w:r w:rsidRPr="7FDAA6EC">
        <w:rPr>
          <w:rFonts w:eastAsia="Calibri"/>
          <w:szCs w:val="22"/>
        </w:rPr>
        <w:t xml:space="preserve"> 281 (i)(1).</w:t>
      </w:r>
    </w:p>
  </w:footnote>
  <w:footnote w:id="9">
    <w:p w14:paraId="3BDBB60D" w14:textId="0A8146B2" w:rsidR="4D829E95" w:rsidRDefault="4D829E95" w:rsidP="4D829E95">
      <w:pPr>
        <w:pStyle w:val="FootnoteText"/>
      </w:pPr>
      <w:r w:rsidRPr="4D829E95">
        <w:rPr>
          <w:rStyle w:val="FootnoteReference"/>
          <w:rFonts w:eastAsia="Calibri"/>
          <w:szCs w:val="22"/>
        </w:rPr>
        <w:footnoteRef/>
      </w:r>
      <w:r w:rsidRPr="4D829E95">
        <w:rPr>
          <w:rFonts w:eastAsia="Calibri"/>
          <w:szCs w:val="22"/>
        </w:rPr>
        <w:t xml:space="preserve"> </w:t>
      </w:r>
      <w:r w:rsidR="00362000">
        <w:rPr>
          <w:rFonts w:eastAsia="Calibri"/>
          <w:i/>
          <w:iCs/>
          <w:szCs w:val="22"/>
        </w:rPr>
        <w:t>Reply</w:t>
      </w:r>
      <w:r w:rsidR="00191B56" w:rsidRPr="00670C04">
        <w:rPr>
          <w:rFonts w:eastAsia="Calibri"/>
          <w:i/>
          <w:iCs/>
          <w:szCs w:val="22"/>
        </w:rPr>
        <w:t xml:space="preserve"> Comments of The Utility Reform Network on the Proposed CASF Rule Changes</w:t>
      </w:r>
      <w:r w:rsidR="00191B56">
        <w:rPr>
          <w:rFonts w:eastAsia="Calibri"/>
          <w:szCs w:val="22"/>
        </w:rPr>
        <w:t>, filed March</w:t>
      </w:r>
      <w:r w:rsidR="00427749">
        <w:rPr>
          <w:rFonts w:eastAsia="Calibri"/>
          <w:szCs w:val="22"/>
        </w:rPr>
        <w:t> </w:t>
      </w:r>
      <w:r w:rsidR="00362000">
        <w:rPr>
          <w:rFonts w:eastAsia="Calibri"/>
          <w:szCs w:val="22"/>
        </w:rPr>
        <w:t>24</w:t>
      </w:r>
      <w:r w:rsidR="00191B56">
        <w:rPr>
          <w:rFonts w:eastAsia="Calibri"/>
          <w:szCs w:val="22"/>
        </w:rPr>
        <w:t>,</w:t>
      </w:r>
      <w:r w:rsidR="00427749">
        <w:rPr>
          <w:rFonts w:eastAsia="Calibri"/>
          <w:szCs w:val="22"/>
        </w:rPr>
        <w:t> </w:t>
      </w:r>
      <w:r w:rsidR="00191B56">
        <w:rPr>
          <w:rFonts w:eastAsia="Calibri"/>
          <w:szCs w:val="22"/>
        </w:rPr>
        <w:t>2022 (</w:t>
      </w:r>
      <w:r w:rsidRPr="4D829E95">
        <w:rPr>
          <w:rFonts w:eastAsia="Calibri"/>
          <w:szCs w:val="22"/>
        </w:rPr>
        <w:t>TURN Reply Comments</w:t>
      </w:r>
      <w:r w:rsidR="00191B56">
        <w:rPr>
          <w:rFonts w:eastAsia="Calibri"/>
          <w:szCs w:val="22"/>
        </w:rPr>
        <w:t>)</w:t>
      </w:r>
      <w:r w:rsidRPr="4D829E95">
        <w:rPr>
          <w:rFonts w:eastAsia="Calibri"/>
          <w:szCs w:val="22"/>
        </w:rPr>
        <w:t xml:space="preserve"> at </w:t>
      </w:r>
      <w:r w:rsidR="147C331C" w:rsidRPr="147C331C">
        <w:rPr>
          <w:rFonts w:eastAsia="Calibri"/>
          <w:szCs w:val="22"/>
        </w:rPr>
        <w:t>12.</w:t>
      </w:r>
    </w:p>
  </w:footnote>
  <w:footnote w:id="10">
    <w:p w14:paraId="39030760" w14:textId="3B9698C0" w:rsidR="449371F8" w:rsidRDefault="449371F8" w:rsidP="449371F8">
      <w:pPr>
        <w:pStyle w:val="FootnoteText"/>
      </w:pPr>
      <w:r w:rsidRPr="449371F8">
        <w:rPr>
          <w:rStyle w:val="FootnoteReference"/>
          <w:rFonts w:eastAsia="Calibri"/>
          <w:szCs w:val="22"/>
        </w:rPr>
        <w:footnoteRef/>
      </w:r>
      <w:r w:rsidRPr="449371F8">
        <w:rPr>
          <w:rFonts w:eastAsia="Calibri"/>
          <w:szCs w:val="22"/>
        </w:rPr>
        <w:t xml:space="preserve"> </w:t>
      </w:r>
      <w:r w:rsidR="002A1CDD" w:rsidRPr="00670C04">
        <w:rPr>
          <w:rFonts w:eastAsia="Calibri"/>
          <w:i/>
          <w:iCs/>
          <w:szCs w:val="22"/>
        </w:rPr>
        <w:t>Opening Comments of California Community Foundati</w:t>
      </w:r>
      <w:r w:rsidR="00F55D2A" w:rsidRPr="00670C04">
        <w:rPr>
          <w:rFonts w:eastAsia="Calibri"/>
          <w:i/>
          <w:iCs/>
          <w:szCs w:val="22"/>
        </w:rPr>
        <w:t>o</w:t>
      </w:r>
      <w:r w:rsidR="002A1CDD" w:rsidRPr="00670C04">
        <w:rPr>
          <w:rFonts w:eastAsia="Calibri"/>
          <w:i/>
          <w:iCs/>
          <w:szCs w:val="22"/>
        </w:rPr>
        <w:t>n</w:t>
      </w:r>
      <w:r w:rsidR="00F55D2A" w:rsidRPr="00670C04">
        <w:rPr>
          <w:rFonts w:eastAsia="Calibri"/>
          <w:i/>
          <w:iCs/>
          <w:szCs w:val="22"/>
        </w:rPr>
        <w:t xml:space="preserve"> on the Assigned Commissioner’s Second</w:t>
      </w:r>
      <w:r w:rsidR="00427749">
        <w:rPr>
          <w:rFonts w:eastAsia="Calibri"/>
          <w:i/>
          <w:iCs/>
          <w:szCs w:val="22"/>
        </w:rPr>
        <w:t> </w:t>
      </w:r>
      <w:r w:rsidR="00F55D2A" w:rsidRPr="00670C04">
        <w:rPr>
          <w:rFonts w:eastAsia="Calibri"/>
          <w:i/>
          <w:iCs/>
          <w:szCs w:val="22"/>
        </w:rPr>
        <w:t>Amended Scoping Memo and Ruling</w:t>
      </w:r>
      <w:r w:rsidR="00F55D2A">
        <w:rPr>
          <w:rFonts w:eastAsia="Calibri"/>
          <w:szCs w:val="22"/>
        </w:rPr>
        <w:t>, filed March 18, 2022</w:t>
      </w:r>
      <w:r w:rsidR="002A1CDD">
        <w:rPr>
          <w:rFonts w:eastAsia="Calibri"/>
          <w:szCs w:val="22"/>
        </w:rPr>
        <w:t xml:space="preserve"> </w:t>
      </w:r>
      <w:r w:rsidR="00F55D2A">
        <w:rPr>
          <w:rFonts w:eastAsia="Calibri"/>
          <w:szCs w:val="22"/>
        </w:rPr>
        <w:t>(</w:t>
      </w:r>
      <w:r w:rsidRPr="449371F8">
        <w:rPr>
          <w:rFonts w:eastAsia="Calibri"/>
          <w:szCs w:val="22"/>
        </w:rPr>
        <w:t>CCF Opening Comments</w:t>
      </w:r>
      <w:r w:rsidR="00F55D2A">
        <w:rPr>
          <w:rFonts w:eastAsia="Calibri"/>
          <w:szCs w:val="22"/>
        </w:rPr>
        <w:t>)</w:t>
      </w:r>
      <w:r w:rsidRPr="449371F8">
        <w:rPr>
          <w:rFonts w:eastAsia="Calibri"/>
          <w:szCs w:val="22"/>
        </w:rPr>
        <w:t xml:space="preserve"> at </w:t>
      </w:r>
      <w:r w:rsidR="7F3F2EEF" w:rsidRPr="7F3F2EEF">
        <w:rPr>
          <w:rFonts w:eastAsia="Calibri"/>
          <w:szCs w:val="22"/>
        </w:rPr>
        <w:t>5;</w:t>
      </w:r>
      <w:r w:rsidR="346DD8C4" w:rsidRPr="346DD8C4">
        <w:rPr>
          <w:rFonts w:eastAsia="Calibri"/>
          <w:szCs w:val="22"/>
        </w:rPr>
        <w:t xml:space="preserve"> </w:t>
      </w:r>
      <w:r w:rsidR="00995BC1">
        <w:rPr>
          <w:rFonts w:eastAsia="Calibri"/>
          <w:szCs w:val="22"/>
        </w:rPr>
        <w:t>Comments of the Los Angeles County Economic Development Corporation in Response to the Assigned Commissioner’s Second Amended Scoping Memo and Ruling, filed March 18, 2022 (</w:t>
      </w:r>
      <w:r w:rsidR="46C7110F" w:rsidRPr="46C7110F">
        <w:rPr>
          <w:rFonts w:eastAsia="Calibri"/>
          <w:szCs w:val="22"/>
        </w:rPr>
        <w:t>LAEDC Comments</w:t>
      </w:r>
      <w:r w:rsidR="001F0A7A">
        <w:rPr>
          <w:rFonts w:eastAsia="Calibri"/>
          <w:szCs w:val="22"/>
        </w:rPr>
        <w:t>)</w:t>
      </w:r>
      <w:r w:rsidR="46C7110F" w:rsidRPr="46C7110F">
        <w:rPr>
          <w:rFonts w:eastAsia="Calibri"/>
          <w:szCs w:val="22"/>
        </w:rPr>
        <w:t xml:space="preserve"> at 3-4</w:t>
      </w:r>
      <w:r w:rsidR="1237265D" w:rsidRPr="1237265D">
        <w:rPr>
          <w:rFonts w:eastAsia="Calibri"/>
          <w:szCs w:val="22"/>
        </w:rPr>
        <w:t xml:space="preserve">; </w:t>
      </w:r>
      <w:r w:rsidR="007835B6" w:rsidRPr="00670C04">
        <w:rPr>
          <w:rFonts w:eastAsia="Calibri"/>
          <w:i/>
          <w:iCs/>
          <w:szCs w:val="22"/>
        </w:rPr>
        <w:t>Public Comments of UNITE-LA, Inc as Part of the Assigned Commissioner’s Second Amended Scoping Memo and Ruling</w:t>
      </w:r>
      <w:r w:rsidR="007835B6">
        <w:rPr>
          <w:rFonts w:eastAsia="Calibri"/>
          <w:szCs w:val="22"/>
        </w:rPr>
        <w:t>, filed March 18, 2022 (</w:t>
      </w:r>
      <w:r w:rsidR="1237265D" w:rsidRPr="1237265D">
        <w:rPr>
          <w:rFonts w:eastAsia="Calibri"/>
          <w:szCs w:val="22"/>
        </w:rPr>
        <w:t xml:space="preserve">UNITE-LA </w:t>
      </w:r>
      <w:r w:rsidR="2D96BB64" w:rsidRPr="2D96BB64">
        <w:rPr>
          <w:rFonts w:eastAsia="Calibri"/>
          <w:szCs w:val="22"/>
        </w:rPr>
        <w:t>Opening Comments</w:t>
      </w:r>
      <w:r w:rsidR="007835B6">
        <w:rPr>
          <w:rFonts w:eastAsia="Calibri"/>
          <w:szCs w:val="22"/>
        </w:rPr>
        <w:t>)</w:t>
      </w:r>
      <w:r w:rsidR="2D96BB64" w:rsidRPr="2D96BB64">
        <w:rPr>
          <w:rFonts w:eastAsia="Calibri"/>
          <w:szCs w:val="22"/>
        </w:rPr>
        <w:t xml:space="preserve"> at </w:t>
      </w:r>
      <w:r w:rsidR="7E958CEF" w:rsidRPr="7E958CEF">
        <w:rPr>
          <w:rFonts w:eastAsia="Calibri"/>
          <w:szCs w:val="22"/>
        </w:rPr>
        <w:t xml:space="preserve">3; </w:t>
      </w:r>
      <w:r w:rsidR="00876FDE" w:rsidRPr="00670C04">
        <w:rPr>
          <w:rFonts w:eastAsia="Calibri"/>
          <w:i/>
          <w:iCs/>
          <w:szCs w:val="22"/>
        </w:rPr>
        <w:t>Reply Comments of the San Diego Association of Governments (SANDAG) on the Assigned Commissioner’s Second Amended Scoping Memo and Ruling</w:t>
      </w:r>
      <w:r w:rsidR="00876FDE">
        <w:rPr>
          <w:rFonts w:eastAsia="Calibri"/>
          <w:szCs w:val="22"/>
        </w:rPr>
        <w:t>, filed March 24, 2022 (</w:t>
      </w:r>
      <w:r w:rsidR="608449F0" w:rsidRPr="608449F0">
        <w:rPr>
          <w:rFonts w:eastAsia="Calibri"/>
          <w:szCs w:val="22"/>
        </w:rPr>
        <w:t xml:space="preserve">SANDAG Reply </w:t>
      </w:r>
      <w:r w:rsidR="4D45625B" w:rsidRPr="4D45625B">
        <w:rPr>
          <w:rFonts w:eastAsia="Calibri"/>
          <w:szCs w:val="22"/>
        </w:rPr>
        <w:t>Comments</w:t>
      </w:r>
      <w:r w:rsidR="00876FDE">
        <w:rPr>
          <w:rFonts w:eastAsia="Calibri"/>
          <w:szCs w:val="22"/>
        </w:rPr>
        <w:t>)</w:t>
      </w:r>
      <w:r w:rsidR="4D45625B" w:rsidRPr="4D45625B">
        <w:rPr>
          <w:rFonts w:eastAsia="Calibri"/>
          <w:szCs w:val="22"/>
        </w:rPr>
        <w:t xml:space="preserve"> at 3</w:t>
      </w:r>
      <w:r w:rsidR="0017729E">
        <w:rPr>
          <w:rFonts w:eastAsia="Calibri"/>
          <w:szCs w:val="22"/>
        </w:rPr>
        <w:t>.</w:t>
      </w:r>
      <w:r w:rsidR="4D45625B" w:rsidRPr="4D45625B">
        <w:rPr>
          <w:rFonts w:eastAsia="Calibri"/>
          <w:szCs w:val="22"/>
        </w:rPr>
        <w:t xml:space="preserve"> </w:t>
      </w:r>
    </w:p>
  </w:footnote>
  <w:footnote w:id="11">
    <w:p w14:paraId="3E78175E" w14:textId="7036BF97" w:rsidR="2799C765" w:rsidRDefault="2799C765" w:rsidP="00CB5071">
      <w:pPr>
        <w:pStyle w:val="FootnoteText"/>
        <w:rPr>
          <w:rFonts w:eastAsia="Calibri" w:cs="Arial"/>
        </w:rPr>
      </w:pPr>
      <w:r w:rsidRPr="2799C765">
        <w:rPr>
          <w:rStyle w:val="FootnoteReference"/>
          <w:rFonts w:eastAsia="Calibri" w:cs="Arial"/>
          <w:szCs w:val="22"/>
        </w:rPr>
        <w:footnoteRef/>
      </w:r>
      <w:r w:rsidR="06218842" w:rsidRPr="06218842">
        <w:rPr>
          <w:rFonts w:eastAsia="Calibri" w:cs="Arial"/>
          <w:szCs w:val="22"/>
        </w:rPr>
        <w:t xml:space="preserve"> </w:t>
      </w:r>
      <w:r w:rsidR="00670C04" w:rsidRPr="00CB5071">
        <w:rPr>
          <w:rFonts w:eastAsia="Calibri" w:cs="Arial"/>
          <w:i/>
          <w:iCs/>
          <w:szCs w:val="22"/>
        </w:rPr>
        <w:t>Public Advocates Office’s Opening Comments on Assigned Commissioner’s Second Amended Scoping Memo and Ruling</w:t>
      </w:r>
      <w:r w:rsidR="00670C04">
        <w:rPr>
          <w:rFonts w:eastAsia="Calibri" w:cs="Arial"/>
          <w:szCs w:val="22"/>
        </w:rPr>
        <w:t>, filed March 18, 2022 (</w:t>
      </w:r>
      <w:r w:rsidR="06218842" w:rsidRPr="06218842">
        <w:rPr>
          <w:rFonts w:eastAsia="Calibri" w:cs="Arial"/>
          <w:szCs w:val="22"/>
        </w:rPr>
        <w:t>Cal Advocates Opening Comments</w:t>
      </w:r>
      <w:r w:rsidR="00670C04">
        <w:rPr>
          <w:rFonts w:eastAsia="Calibri" w:cs="Arial"/>
          <w:szCs w:val="22"/>
        </w:rPr>
        <w:t>)</w:t>
      </w:r>
      <w:r w:rsidR="06218842" w:rsidRPr="06218842">
        <w:rPr>
          <w:rFonts w:eastAsia="Calibri" w:cs="Arial"/>
          <w:szCs w:val="22"/>
        </w:rPr>
        <w:t xml:space="preserve"> at </w:t>
      </w:r>
      <w:r w:rsidR="005234D0" w:rsidRPr="005234D0">
        <w:rPr>
          <w:rFonts w:eastAsia="Calibri" w:cs="Arial"/>
          <w:szCs w:val="22"/>
        </w:rPr>
        <w:t>2</w:t>
      </w:r>
      <w:r w:rsidR="115B8415" w:rsidRPr="115B8415">
        <w:rPr>
          <w:rFonts w:eastAsia="Calibri" w:cs="Arial"/>
          <w:szCs w:val="22"/>
        </w:rPr>
        <w:t>.</w:t>
      </w:r>
    </w:p>
  </w:footnote>
  <w:footnote w:id="12">
    <w:p w14:paraId="6E02C0AF" w14:textId="61AF511E" w:rsidR="6D0603DA" w:rsidRDefault="6D0603DA" w:rsidP="00CB5071">
      <w:pPr>
        <w:pStyle w:val="FootnoteText"/>
        <w:rPr>
          <w:rFonts w:eastAsia="Calibri" w:cs="Arial"/>
        </w:rPr>
      </w:pPr>
      <w:r w:rsidRPr="6D0603DA">
        <w:rPr>
          <w:rStyle w:val="FootnoteReference"/>
          <w:rFonts w:eastAsia="Calibri" w:cs="Arial"/>
          <w:szCs w:val="22"/>
        </w:rPr>
        <w:footnoteRef/>
      </w:r>
      <w:r w:rsidR="1568FA10" w:rsidRPr="1568FA10">
        <w:rPr>
          <w:rFonts w:eastAsia="Calibri" w:cs="Arial"/>
          <w:szCs w:val="22"/>
        </w:rPr>
        <w:t xml:space="preserve"> </w:t>
      </w:r>
      <w:r w:rsidR="00BD7F68" w:rsidRPr="00A3336E">
        <w:rPr>
          <w:rFonts w:eastAsia="Calibri" w:cs="Arial"/>
          <w:i/>
          <w:iCs/>
          <w:szCs w:val="22"/>
        </w:rPr>
        <w:t>Comments of the California Emerging Technology Fund on Phase II</w:t>
      </w:r>
      <w:r w:rsidR="00A518AF" w:rsidRPr="00A3336E">
        <w:rPr>
          <w:rFonts w:eastAsia="Calibri" w:cs="Arial"/>
          <w:i/>
          <w:iCs/>
          <w:szCs w:val="22"/>
        </w:rPr>
        <w:t>.</w:t>
      </w:r>
      <w:r w:rsidR="00BD7F68" w:rsidRPr="00A3336E">
        <w:rPr>
          <w:rFonts w:eastAsia="Calibri" w:cs="Arial"/>
          <w:i/>
          <w:iCs/>
          <w:szCs w:val="22"/>
        </w:rPr>
        <w:t>B Issues</w:t>
      </w:r>
      <w:r w:rsidR="00BD7F68">
        <w:rPr>
          <w:rFonts w:eastAsia="Calibri" w:cs="Arial"/>
          <w:szCs w:val="22"/>
        </w:rPr>
        <w:t xml:space="preserve">, filed March </w:t>
      </w:r>
      <w:r w:rsidR="00A518AF">
        <w:rPr>
          <w:rFonts w:eastAsia="Calibri" w:cs="Arial"/>
          <w:szCs w:val="22"/>
        </w:rPr>
        <w:t>18, 2022 (</w:t>
      </w:r>
      <w:r w:rsidR="1568FA10" w:rsidRPr="1568FA10">
        <w:rPr>
          <w:rFonts w:eastAsia="Calibri" w:cs="Arial"/>
          <w:szCs w:val="22"/>
        </w:rPr>
        <w:t xml:space="preserve">CETF Opening </w:t>
      </w:r>
      <w:r w:rsidR="10AD825A" w:rsidRPr="10AD825A">
        <w:rPr>
          <w:rFonts w:eastAsia="Calibri" w:cs="Arial"/>
          <w:szCs w:val="22"/>
        </w:rPr>
        <w:t>Comments</w:t>
      </w:r>
      <w:r w:rsidR="00A518AF">
        <w:rPr>
          <w:rFonts w:eastAsia="Calibri" w:cs="Arial"/>
          <w:szCs w:val="22"/>
        </w:rPr>
        <w:t>)</w:t>
      </w:r>
      <w:r w:rsidR="10AD825A" w:rsidRPr="10AD825A">
        <w:rPr>
          <w:rFonts w:eastAsia="Calibri" w:cs="Arial"/>
          <w:szCs w:val="22"/>
        </w:rPr>
        <w:t xml:space="preserve"> at 4.</w:t>
      </w:r>
    </w:p>
  </w:footnote>
  <w:footnote w:id="13">
    <w:p w14:paraId="1EA0BA76" w14:textId="2327AE21" w:rsidR="2CB52F67" w:rsidRDefault="2CB52F67" w:rsidP="00CB5071">
      <w:pPr>
        <w:pStyle w:val="FootnoteText"/>
        <w:rPr>
          <w:rFonts w:eastAsia="Calibri"/>
        </w:rPr>
      </w:pPr>
      <w:r w:rsidRPr="2CB52F67">
        <w:rPr>
          <w:rStyle w:val="FootnoteReference"/>
          <w:rFonts w:eastAsia="Calibri"/>
          <w:szCs w:val="22"/>
        </w:rPr>
        <w:footnoteRef/>
      </w:r>
      <w:r w:rsidR="27488DCD" w:rsidRPr="27488DCD">
        <w:rPr>
          <w:rFonts w:eastAsia="Calibri"/>
          <w:szCs w:val="22"/>
        </w:rPr>
        <w:t xml:space="preserve"> CETF Opening Comments at</w:t>
      </w:r>
      <w:r w:rsidR="75782948" w:rsidRPr="75782948">
        <w:rPr>
          <w:rFonts w:eastAsia="Calibri"/>
          <w:szCs w:val="22"/>
        </w:rPr>
        <w:t xml:space="preserve"> 6.</w:t>
      </w:r>
    </w:p>
  </w:footnote>
  <w:footnote w:id="14">
    <w:p w14:paraId="743DCC9A" w14:textId="13AF27E7" w:rsidR="22C8F18B" w:rsidRDefault="22C8F18B" w:rsidP="22C8F18B">
      <w:pPr>
        <w:pStyle w:val="FootnoteText"/>
        <w:rPr>
          <w:rFonts w:eastAsia="Calibri"/>
        </w:rPr>
      </w:pPr>
      <w:r w:rsidRPr="22C8F18B">
        <w:rPr>
          <w:rStyle w:val="FootnoteReference"/>
          <w:rFonts w:eastAsia="Calibri"/>
        </w:rPr>
        <w:footnoteRef/>
      </w:r>
      <w:r w:rsidRPr="22C8F18B">
        <w:rPr>
          <w:rFonts w:eastAsia="Calibri"/>
        </w:rPr>
        <w:t xml:space="preserve"> TURN Reply Comments at 8-20.</w:t>
      </w:r>
    </w:p>
  </w:footnote>
  <w:footnote w:id="15">
    <w:p w14:paraId="281C2BF8" w14:textId="0D5A0C72" w:rsidR="09F86A6E" w:rsidRDefault="09F86A6E" w:rsidP="09F86A6E">
      <w:pPr>
        <w:pStyle w:val="FootnoteText"/>
        <w:rPr>
          <w:rFonts w:eastAsia="Calibri"/>
        </w:rPr>
      </w:pPr>
      <w:r w:rsidRPr="09F86A6E">
        <w:rPr>
          <w:rStyle w:val="FootnoteReference"/>
          <w:rFonts w:eastAsia="Calibri"/>
        </w:rPr>
        <w:footnoteRef/>
      </w:r>
      <w:r w:rsidRPr="09F86A6E">
        <w:rPr>
          <w:rFonts w:eastAsia="Calibri"/>
        </w:rPr>
        <w:t xml:space="preserve"> TURN Reply Comments at 11.</w:t>
      </w:r>
    </w:p>
  </w:footnote>
  <w:footnote w:id="16">
    <w:p w14:paraId="3F239D13" w14:textId="614BEDF8" w:rsidR="33C90492" w:rsidRDefault="33C90492" w:rsidP="00A3336E">
      <w:pPr>
        <w:pStyle w:val="FootnoteText"/>
        <w:rPr>
          <w:rFonts w:eastAsia="Calibri" w:cs="Arial"/>
        </w:rPr>
      </w:pPr>
      <w:r w:rsidRPr="33C90492">
        <w:rPr>
          <w:rStyle w:val="FootnoteReference"/>
          <w:rFonts w:eastAsia="Calibri" w:cs="Arial"/>
          <w:szCs w:val="22"/>
        </w:rPr>
        <w:footnoteRef/>
      </w:r>
      <w:r w:rsidRPr="33C90492">
        <w:rPr>
          <w:rFonts w:eastAsia="Calibri" w:cs="Arial"/>
          <w:szCs w:val="22"/>
        </w:rPr>
        <w:t xml:space="preserve"> TURN </w:t>
      </w:r>
      <w:r w:rsidR="0888CD46" w:rsidRPr="0888CD46">
        <w:rPr>
          <w:rFonts w:eastAsia="Calibri" w:cs="Arial"/>
          <w:szCs w:val="22"/>
        </w:rPr>
        <w:t>Reply</w:t>
      </w:r>
      <w:r w:rsidRPr="33C90492">
        <w:rPr>
          <w:rFonts w:eastAsia="Calibri" w:cs="Arial"/>
          <w:szCs w:val="22"/>
        </w:rPr>
        <w:t xml:space="preserve"> Comments at</w:t>
      </w:r>
      <w:r w:rsidR="0888CD46" w:rsidRPr="0888CD46">
        <w:rPr>
          <w:rFonts w:eastAsia="Calibri" w:cs="Arial"/>
          <w:szCs w:val="22"/>
        </w:rPr>
        <w:t xml:space="preserve"> 20.</w:t>
      </w:r>
    </w:p>
  </w:footnote>
  <w:footnote w:id="17">
    <w:p w14:paraId="0CC8497B" w14:textId="07402EEB" w:rsidR="7AEB887D" w:rsidRDefault="7AEB887D" w:rsidP="00A3336E">
      <w:pPr>
        <w:pStyle w:val="FootnoteText"/>
        <w:rPr>
          <w:rFonts w:eastAsia="Calibri"/>
        </w:rPr>
      </w:pPr>
      <w:r w:rsidRPr="7AEB887D">
        <w:rPr>
          <w:rStyle w:val="FootnoteReference"/>
          <w:rFonts w:eastAsia="Calibri"/>
          <w:szCs w:val="22"/>
        </w:rPr>
        <w:footnoteRef/>
      </w:r>
      <w:r w:rsidR="62D36E49" w:rsidRPr="62D36E49">
        <w:rPr>
          <w:rFonts w:eastAsia="Calibri"/>
          <w:szCs w:val="22"/>
        </w:rPr>
        <w:t xml:space="preserve"> </w:t>
      </w:r>
      <w:r w:rsidR="00BC2BB5" w:rsidRPr="0061617A">
        <w:rPr>
          <w:rFonts w:eastAsia="Calibri"/>
          <w:i/>
          <w:iCs/>
          <w:szCs w:val="22"/>
        </w:rPr>
        <w:t>Comments of the California Cable and Telecommunications Association on the Assigned Commissioner’s Second Amended Scoping Memo and Ruling</w:t>
      </w:r>
      <w:r w:rsidR="00BC2BB5">
        <w:rPr>
          <w:rFonts w:eastAsia="Calibri"/>
          <w:szCs w:val="22"/>
        </w:rPr>
        <w:t xml:space="preserve">, filed </w:t>
      </w:r>
      <w:r w:rsidR="0061617A">
        <w:rPr>
          <w:rFonts w:eastAsia="Calibri"/>
          <w:szCs w:val="22"/>
        </w:rPr>
        <w:t>March 18, 2022 (</w:t>
      </w:r>
      <w:r w:rsidR="62D36E49" w:rsidRPr="62D36E49">
        <w:rPr>
          <w:rFonts w:eastAsia="Calibri"/>
          <w:szCs w:val="22"/>
        </w:rPr>
        <w:t xml:space="preserve">CCTA Opening </w:t>
      </w:r>
      <w:r w:rsidR="7B8A479F" w:rsidRPr="7B8A479F">
        <w:rPr>
          <w:rFonts w:eastAsia="Calibri"/>
          <w:szCs w:val="22"/>
        </w:rPr>
        <w:t>Comments</w:t>
      </w:r>
      <w:r w:rsidR="0061617A">
        <w:rPr>
          <w:rFonts w:eastAsia="Calibri"/>
          <w:szCs w:val="22"/>
        </w:rPr>
        <w:t>)</w:t>
      </w:r>
      <w:r w:rsidR="7B8A479F" w:rsidRPr="7B8A479F">
        <w:rPr>
          <w:rFonts w:eastAsia="Calibri"/>
          <w:szCs w:val="22"/>
        </w:rPr>
        <w:t xml:space="preserve"> at 3.</w:t>
      </w:r>
    </w:p>
  </w:footnote>
  <w:footnote w:id="18">
    <w:p w14:paraId="1791747A" w14:textId="777597A5" w:rsidR="05450006" w:rsidRDefault="05450006" w:rsidP="05450006">
      <w:pPr>
        <w:pStyle w:val="FootnoteText"/>
        <w:rPr>
          <w:rFonts w:eastAsia="Calibri"/>
        </w:rPr>
      </w:pPr>
      <w:r w:rsidRPr="05450006">
        <w:rPr>
          <w:rStyle w:val="FootnoteReference"/>
          <w:rFonts w:eastAsia="Calibri"/>
        </w:rPr>
        <w:footnoteRef/>
      </w:r>
      <w:r w:rsidRPr="05450006">
        <w:rPr>
          <w:rFonts w:eastAsia="Calibri"/>
        </w:rPr>
        <w:t xml:space="preserve"> TURN </w:t>
      </w:r>
      <w:r w:rsidR="3D6FFC08" w:rsidRPr="3D6FFC08">
        <w:rPr>
          <w:rFonts w:eastAsia="Calibri"/>
        </w:rPr>
        <w:t>Reply</w:t>
      </w:r>
      <w:r w:rsidRPr="05450006">
        <w:rPr>
          <w:rFonts w:eastAsia="Calibri"/>
        </w:rPr>
        <w:t xml:space="preserve"> Comments at 3.</w:t>
      </w:r>
    </w:p>
  </w:footnote>
  <w:footnote w:id="19">
    <w:p w14:paraId="1D75BE82" w14:textId="003DF742" w:rsidR="7C4B673F" w:rsidRDefault="7C4B673F" w:rsidP="000C6BD8">
      <w:pPr>
        <w:pStyle w:val="FootnoteText"/>
        <w:rPr>
          <w:rFonts w:eastAsia="Calibri" w:cs="Arial"/>
        </w:rPr>
      </w:pPr>
      <w:r w:rsidRPr="7C4B673F">
        <w:rPr>
          <w:rStyle w:val="FootnoteReference"/>
          <w:rFonts w:eastAsia="Calibri" w:cs="Arial"/>
          <w:szCs w:val="22"/>
        </w:rPr>
        <w:footnoteRef/>
      </w:r>
      <w:r w:rsidRPr="7C4B673F">
        <w:rPr>
          <w:rFonts w:eastAsia="Calibri" w:cs="Arial"/>
          <w:szCs w:val="22"/>
        </w:rPr>
        <w:t xml:space="preserve"> TURN Reply Comments at</w:t>
      </w:r>
      <w:r w:rsidR="6F1380AB" w:rsidRPr="6F1380AB">
        <w:rPr>
          <w:rFonts w:eastAsia="Calibri" w:cs="Arial"/>
          <w:szCs w:val="22"/>
        </w:rPr>
        <w:t xml:space="preserve"> 7.</w:t>
      </w:r>
    </w:p>
  </w:footnote>
  <w:footnote w:id="20">
    <w:p w14:paraId="60E4C65E" w14:textId="507B123C" w:rsidR="00362000" w:rsidRDefault="00362000">
      <w:pPr>
        <w:pStyle w:val="FootnoteText"/>
      </w:pPr>
      <w:r>
        <w:rPr>
          <w:rStyle w:val="FootnoteReference"/>
        </w:rPr>
        <w:footnoteRef/>
      </w:r>
      <w:r>
        <w:t xml:space="preserve"> </w:t>
      </w:r>
      <w:r w:rsidRPr="00D80BAF">
        <w:rPr>
          <w:i/>
          <w:iCs/>
        </w:rPr>
        <w:t>Comments on Phase IIB Issues in Assigned Commissioner’s Second Amended Scoping Memo and Ruling</w:t>
      </w:r>
      <w:r>
        <w:t>, filed March 18, 2022 (CforAT Opening Comments) at 3.</w:t>
      </w:r>
    </w:p>
  </w:footnote>
  <w:footnote w:id="21">
    <w:p w14:paraId="37BA39B6" w14:textId="00B02B3C" w:rsidR="00A6324A" w:rsidRDefault="00A6324A">
      <w:pPr>
        <w:pStyle w:val="FootnoteText"/>
      </w:pPr>
      <w:r>
        <w:rPr>
          <w:rStyle w:val="FootnoteReference"/>
        </w:rPr>
        <w:footnoteRef/>
      </w:r>
      <w:r>
        <w:t xml:space="preserve"> </w:t>
      </w:r>
      <w:r w:rsidR="00500AF1" w:rsidRPr="00DF6332">
        <w:rPr>
          <w:rFonts w:eastAsia="Calibri" w:cs="Arial"/>
          <w:i/>
          <w:iCs/>
          <w:szCs w:val="22"/>
        </w:rPr>
        <w:t>See</w:t>
      </w:r>
      <w:r w:rsidR="00500AF1" w:rsidRPr="4E3F0035">
        <w:rPr>
          <w:rFonts w:eastAsia="Calibri" w:cs="Arial"/>
          <w:szCs w:val="22"/>
        </w:rPr>
        <w:t xml:space="preserve">, </w:t>
      </w:r>
      <w:r w:rsidR="00500AF1" w:rsidRPr="00806ADE">
        <w:rPr>
          <w:rFonts w:eastAsia="Calibri" w:cs="Arial"/>
          <w:i/>
          <w:iCs/>
          <w:szCs w:val="22"/>
        </w:rPr>
        <w:t>e.g.,</w:t>
      </w:r>
      <w:r w:rsidR="00500AF1" w:rsidRPr="4E3F0035">
        <w:rPr>
          <w:rFonts w:eastAsia="Calibri" w:cs="Arial"/>
          <w:szCs w:val="22"/>
        </w:rPr>
        <w:t xml:space="preserve"> CCF Opening Comments at 5; CETF Opening Comments at 5.</w:t>
      </w:r>
    </w:p>
  </w:footnote>
  <w:footnote w:id="22">
    <w:p w14:paraId="7DF1EF97" w14:textId="2C16C55E" w:rsidR="009A6FCD" w:rsidRDefault="009A6FCD">
      <w:pPr>
        <w:pStyle w:val="FootnoteText"/>
      </w:pPr>
      <w:r>
        <w:rPr>
          <w:rStyle w:val="FootnoteReference"/>
        </w:rPr>
        <w:footnoteRef/>
      </w:r>
      <w:r>
        <w:t xml:space="preserve"> </w:t>
      </w:r>
      <w:r w:rsidR="0090554D" w:rsidRPr="4E3F0035">
        <w:rPr>
          <w:rFonts w:eastAsia="Calibri" w:cs="Arial"/>
          <w:szCs w:val="22"/>
        </w:rPr>
        <w:t>CETF Opening Comments at 5.</w:t>
      </w:r>
    </w:p>
  </w:footnote>
  <w:footnote w:id="23">
    <w:p w14:paraId="6D427E0D" w14:textId="4E74E2B0" w:rsidR="0090554D" w:rsidRDefault="0090554D">
      <w:pPr>
        <w:pStyle w:val="FootnoteText"/>
      </w:pPr>
      <w:r>
        <w:rPr>
          <w:rStyle w:val="FootnoteReference"/>
        </w:rPr>
        <w:footnoteRef/>
      </w:r>
      <w:r>
        <w:t xml:space="preserve"> </w:t>
      </w:r>
      <w:r w:rsidRPr="4E3F0035">
        <w:rPr>
          <w:rFonts w:eastAsia="Calibri" w:cs="Arial"/>
          <w:szCs w:val="22"/>
        </w:rPr>
        <w:t xml:space="preserve">CETF Opening Comments at </w:t>
      </w:r>
      <w:r>
        <w:rPr>
          <w:rFonts w:eastAsia="Calibri" w:cs="Arial"/>
          <w:szCs w:val="22"/>
        </w:rPr>
        <w:t>4</w:t>
      </w:r>
      <w:r w:rsidRPr="4E3F0035">
        <w:rPr>
          <w:rFonts w:eastAsia="Calibri" w:cs="Arial"/>
          <w:szCs w:val="22"/>
        </w:rPr>
        <w:t>.</w:t>
      </w:r>
    </w:p>
  </w:footnote>
  <w:footnote w:id="24">
    <w:p w14:paraId="67E33D6F" w14:textId="5906B973" w:rsidR="00A87FF2" w:rsidRDefault="00A87FF2">
      <w:pPr>
        <w:pStyle w:val="FootnoteText"/>
      </w:pPr>
      <w:r>
        <w:rPr>
          <w:rStyle w:val="FootnoteReference"/>
        </w:rPr>
        <w:footnoteRef/>
      </w:r>
      <w:r>
        <w:t xml:space="preserve"> </w:t>
      </w:r>
      <w:r w:rsidRPr="4E3F0035">
        <w:rPr>
          <w:rFonts w:eastAsia="Calibri" w:cs="Arial"/>
          <w:szCs w:val="22"/>
        </w:rPr>
        <w:t>CETF Opening Comments at 5.</w:t>
      </w:r>
    </w:p>
  </w:footnote>
  <w:footnote w:id="25">
    <w:p w14:paraId="38B35EE1" w14:textId="6AFDD67E" w:rsidR="7B17CDC4" w:rsidRDefault="7B17CDC4" w:rsidP="006F7C82">
      <w:pPr>
        <w:pStyle w:val="FootnoteText"/>
        <w:rPr>
          <w:rFonts w:eastAsia="Calibri" w:cs="Arial"/>
        </w:rPr>
      </w:pPr>
      <w:r w:rsidRPr="7B17CDC4">
        <w:rPr>
          <w:rStyle w:val="FootnoteReference"/>
          <w:rFonts w:eastAsia="Calibri" w:cs="Arial"/>
          <w:szCs w:val="22"/>
        </w:rPr>
        <w:footnoteRef/>
      </w:r>
      <w:r w:rsidR="3C76943F" w:rsidRPr="3C76943F">
        <w:rPr>
          <w:rFonts w:eastAsia="Calibri" w:cs="Arial"/>
          <w:szCs w:val="22"/>
        </w:rPr>
        <w:t xml:space="preserve"> </w:t>
      </w:r>
      <w:r w:rsidR="004F3E49" w:rsidRPr="006F7C82">
        <w:rPr>
          <w:rFonts w:eastAsia="Calibri" w:cs="Arial"/>
          <w:i/>
          <w:iCs/>
          <w:szCs w:val="22"/>
        </w:rPr>
        <w:t>Comments of the Inland Empire Regional Broadband Consortium (IERBC) on Phase IIB Issues in Assigned Commissioner’s Second Amended Scoping Memo and Ruling</w:t>
      </w:r>
      <w:r w:rsidR="004F3E49">
        <w:rPr>
          <w:rFonts w:eastAsia="Calibri" w:cs="Arial"/>
          <w:szCs w:val="22"/>
        </w:rPr>
        <w:t>, filed March 21, 2022 (</w:t>
      </w:r>
      <w:r w:rsidR="3C76943F" w:rsidRPr="3C76943F">
        <w:rPr>
          <w:rFonts w:eastAsia="Calibri" w:cs="Arial"/>
          <w:szCs w:val="22"/>
        </w:rPr>
        <w:t>IERBC Opening Comments</w:t>
      </w:r>
      <w:r w:rsidR="004F3E49">
        <w:rPr>
          <w:rFonts w:eastAsia="Calibri" w:cs="Arial"/>
          <w:szCs w:val="22"/>
        </w:rPr>
        <w:t>)</w:t>
      </w:r>
      <w:r w:rsidR="3C76943F" w:rsidRPr="3C76943F">
        <w:rPr>
          <w:rFonts w:eastAsia="Calibri" w:cs="Arial"/>
          <w:szCs w:val="22"/>
        </w:rPr>
        <w:t xml:space="preserve"> at 3.</w:t>
      </w:r>
    </w:p>
  </w:footnote>
  <w:footnote w:id="26">
    <w:p w14:paraId="214247F7" w14:textId="06FB5BF0" w:rsidR="0A70AD3B" w:rsidRDefault="0A70AD3B" w:rsidP="006F7C82">
      <w:pPr>
        <w:pStyle w:val="FootnoteText"/>
        <w:rPr>
          <w:rFonts w:eastAsia="Calibri" w:cs="Arial"/>
        </w:rPr>
      </w:pPr>
      <w:r w:rsidRPr="0A70AD3B">
        <w:rPr>
          <w:rStyle w:val="FootnoteReference"/>
          <w:rFonts w:eastAsia="Calibri" w:cs="Arial"/>
          <w:szCs w:val="22"/>
        </w:rPr>
        <w:footnoteRef/>
      </w:r>
      <w:r w:rsidR="600FCC44" w:rsidRPr="600FCC44">
        <w:rPr>
          <w:rFonts w:eastAsia="Calibri" w:cs="Arial"/>
          <w:szCs w:val="22"/>
        </w:rPr>
        <w:t xml:space="preserve"> TURN Reply Comments at 9.</w:t>
      </w:r>
    </w:p>
  </w:footnote>
  <w:footnote w:id="27">
    <w:p w14:paraId="479745F7" w14:textId="3255AB9E" w:rsidR="76712752" w:rsidRDefault="76712752" w:rsidP="006F7C82">
      <w:pPr>
        <w:pStyle w:val="FootnoteText"/>
        <w:rPr>
          <w:rFonts w:eastAsia="Calibri" w:cs="Arial"/>
        </w:rPr>
      </w:pPr>
      <w:r w:rsidRPr="76712752">
        <w:rPr>
          <w:rStyle w:val="FootnoteReference"/>
          <w:rFonts w:eastAsia="Calibri" w:cs="Arial"/>
          <w:szCs w:val="22"/>
        </w:rPr>
        <w:footnoteRef/>
      </w:r>
      <w:r w:rsidR="3029EBA0" w:rsidRPr="3029EBA0">
        <w:rPr>
          <w:rFonts w:eastAsia="Calibri" w:cs="Arial"/>
          <w:szCs w:val="22"/>
        </w:rPr>
        <w:t xml:space="preserve"> CETF Opening</w:t>
      </w:r>
      <w:r w:rsidR="3203C284" w:rsidRPr="3203C284">
        <w:rPr>
          <w:rFonts w:eastAsia="Calibri" w:cs="Arial"/>
          <w:szCs w:val="22"/>
        </w:rPr>
        <w:t xml:space="preserve"> Comments at 6</w:t>
      </w:r>
      <w:r w:rsidR="7504B253" w:rsidRPr="7504B253">
        <w:rPr>
          <w:rFonts w:eastAsia="Calibri" w:cs="Arial"/>
          <w:szCs w:val="22"/>
        </w:rPr>
        <w:t>.</w:t>
      </w:r>
    </w:p>
  </w:footnote>
  <w:footnote w:id="28">
    <w:p w14:paraId="4AD8318C" w14:textId="3BCB015F" w:rsidR="70547594" w:rsidRDefault="70547594" w:rsidP="006F7C82">
      <w:pPr>
        <w:pStyle w:val="FootnoteText"/>
        <w:rPr>
          <w:rFonts w:eastAsia="Calibri" w:cs="Arial"/>
        </w:rPr>
      </w:pPr>
      <w:r w:rsidRPr="70547594">
        <w:rPr>
          <w:rStyle w:val="FootnoteReference"/>
          <w:rFonts w:eastAsia="Calibri" w:cs="Arial"/>
          <w:szCs w:val="22"/>
        </w:rPr>
        <w:footnoteRef/>
      </w:r>
      <w:r w:rsidRPr="70547594">
        <w:rPr>
          <w:rFonts w:eastAsia="Calibri" w:cs="Arial"/>
          <w:szCs w:val="22"/>
        </w:rPr>
        <w:t xml:space="preserve"> </w:t>
      </w:r>
      <w:r w:rsidR="00564F95" w:rsidRPr="00D80BAF">
        <w:rPr>
          <w:rFonts w:eastAsia="Calibri" w:cs="Arial"/>
          <w:i/>
          <w:iCs/>
          <w:szCs w:val="22"/>
        </w:rPr>
        <w:t>Opening Comments of the National Diversity Coalition on the Assigned Commissioner’s Second</w:t>
      </w:r>
      <w:r w:rsidR="00427749">
        <w:rPr>
          <w:rFonts w:eastAsia="Calibri" w:cs="Arial"/>
          <w:i/>
          <w:iCs/>
          <w:szCs w:val="22"/>
        </w:rPr>
        <w:t> </w:t>
      </w:r>
      <w:r w:rsidR="00564F95" w:rsidRPr="00D80BAF">
        <w:rPr>
          <w:rFonts w:eastAsia="Calibri" w:cs="Arial"/>
          <w:i/>
          <w:iCs/>
          <w:szCs w:val="22"/>
        </w:rPr>
        <w:t>Amended Scoping Memo and Ruling, Phase IIB Issues</w:t>
      </w:r>
      <w:r w:rsidR="00564F95">
        <w:rPr>
          <w:rFonts w:eastAsia="Calibri" w:cs="Arial"/>
          <w:szCs w:val="22"/>
        </w:rPr>
        <w:t>, filed March 18, 2022 (</w:t>
      </w:r>
      <w:r w:rsidRPr="70547594">
        <w:rPr>
          <w:rFonts w:eastAsia="Calibri" w:cs="Arial"/>
          <w:szCs w:val="22"/>
        </w:rPr>
        <w:t>NDC Opening Comments</w:t>
      </w:r>
      <w:r w:rsidR="00564F95">
        <w:rPr>
          <w:rFonts w:eastAsia="Calibri" w:cs="Arial"/>
          <w:szCs w:val="22"/>
        </w:rPr>
        <w:t>)</w:t>
      </w:r>
      <w:r w:rsidRPr="70547594">
        <w:rPr>
          <w:rFonts w:eastAsia="Calibri" w:cs="Arial"/>
          <w:szCs w:val="22"/>
        </w:rPr>
        <w:t xml:space="preserve"> at 5.</w:t>
      </w:r>
    </w:p>
  </w:footnote>
  <w:footnote w:id="29">
    <w:p w14:paraId="10D745E2" w14:textId="51651B46" w:rsidR="00B702E2" w:rsidRDefault="00B702E2">
      <w:pPr>
        <w:pStyle w:val="FootnoteText"/>
      </w:pPr>
      <w:r>
        <w:rPr>
          <w:rStyle w:val="FootnoteReference"/>
        </w:rPr>
        <w:footnoteRef/>
      </w:r>
      <w:r>
        <w:t xml:space="preserve"> </w:t>
      </w:r>
      <w:r w:rsidR="009C2561">
        <w:rPr>
          <w:rFonts w:eastAsia="Calibri" w:cs="Arial"/>
          <w:szCs w:val="22"/>
        </w:rPr>
        <w:t>CCTA</w:t>
      </w:r>
      <w:r w:rsidR="00324BEB" w:rsidRPr="4E3F0035">
        <w:rPr>
          <w:rFonts w:eastAsia="Calibri" w:cs="Arial"/>
          <w:szCs w:val="22"/>
        </w:rPr>
        <w:t xml:space="preserve"> Opening Comments at </w:t>
      </w:r>
      <w:r w:rsidR="00324BEB">
        <w:rPr>
          <w:rFonts w:eastAsia="Calibri" w:cs="Arial"/>
          <w:szCs w:val="22"/>
        </w:rPr>
        <w:t>4</w:t>
      </w:r>
      <w:r w:rsidR="00324BEB" w:rsidRPr="4E3F0035">
        <w:rPr>
          <w:rFonts w:eastAsia="Calibri" w:cs="Arial"/>
          <w:szCs w:val="22"/>
        </w:rPr>
        <w:t>.</w:t>
      </w:r>
    </w:p>
  </w:footnote>
  <w:footnote w:id="30">
    <w:p w14:paraId="12DA6226" w14:textId="759E7877" w:rsidR="009C2561" w:rsidRDefault="009C2561">
      <w:pPr>
        <w:pStyle w:val="FootnoteText"/>
      </w:pPr>
      <w:r>
        <w:rPr>
          <w:rStyle w:val="FootnoteReference"/>
        </w:rPr>
        <w:footnoteRef/>
      </w:r>
      <w:r>
        <w:t xml:space="preserve"> CforAT Opening Comments at 1.</w:t>
      </w:r>
    </w:p>
  </w:footnote>
  <w:footnote w:id="31">
    <w:p w14:paraId="416BD461" w14:textId="6219DCE6" w:rsidR="007B7A45" w:rsidRDefault="007B7A45">
      <w:pPr>
        <w:pStyle w:val="FootnoteText"/>
      </w:pPr>
      <w:r>
        <w:rPr>
          <w:rStyle w:val="FootnoteReference"/>
        </w:rPr>
        <w:footnoteRef/>
      </w:r>
      <w:r>
        <w:t xml:space="preserve"> </w:t>
      </w:r>
      <w:r w:rsidRPr="4E3F0035">
        <w:rPr>
          <w:rFonts w:eastAsia="Calibri" w:cs="Arial"/>
          <w:szCs w:val="22"/>
        </w:rPr>
        <w:t>CETF Opening Comments at 6-7; LAEDC Opening Comments at 5.</w:t>
      </w:r>
    </w:p>
  </w:footnote>
  <w:footnote w:id="32">
    <w:p w14:paraId="1A01DFA8" w14:textId="1D52CDA6" w:rsidR="00B45929" w:rsidRDefault="00B45929">
      <w:pPr>
        <w:pStyle w:val="FootnoteText"/>
      </w:pPr>
      <w:r>
        <w:rPr>
          <w:rStyle w:val="FootnoteReference"/>
        </w:rPr>
        <w:footnoteRef/>
      </w:r>
      <w:r>
        <w:t xml:space="preserve"> CCF Opening Comments at 5.</w:t>
      </w:r>
    </w:p>
  </w:footnote>
  <w:footnote w:id="33">
    <w:p w14:paraId="75DAA832" w14:textId="77308A0E" w:rsidR="008B089E" w:rsidRDefault="008B089E">
      <w:pPr>
        <w:pStyle w:val="FootnoteText"/>
      </w:pPr>
      <w:r>
        <w:rPr>
          <w:rStyle w:val="FootnoteReference"/>
        </w:rPr>
        <w:footnoteRef/>
      </w:r>
      <w:r>
        <w:t xml:space="preserve"> </w:t>
      </w:r>
      <w:r w:rsidR="00FC2112" w:rsidRPr="4E3F0035">
        <w:rPr>
          <w:rFonts w:eastAsia="Calibri" w:cs="Arial"/>
          <w:szCs w:val="22"/>
        </w:rPr>
        <w:t>CETF Opening Comments at 6-7.</w:t>
      </w:r>
    </w:p>
  </w:footnote>
  <w:footnote w:id="34">
    <w:p w14:paraId="561145AA" w14:textId="78ECD481" w:rsidR="00012DE5" w:rsidRDefault="00012DE5">
      <w:pPr>
        <w:pStyle w:val="FootnoteText"/>
      </w:pPr>
      <w:r>
        <w:rPr>
          <w:rStyle w:val="FootnoteReference"/>
        </w:rPr>
        <w:footnoteRef/>
      </w:r>
      <w:r>
        <w:t xml:space="preserve"> </w:t>
      </w:r>
      <w:r w:rsidR="00650DA6" w:rsidRPr="4E3F0035">
        <w:rPr>
          <w:rFonts w:eastAsia="Calibri" w:cs="Arial"/>
          <w:szCs w:val="22"/>
        </w:rPr>
        <w:t>IERBC Opening Comments at 4</w:t>
      </w:r>
      <w:r w:rsidR="00650DA6">
        <w:rPr>
          <w:rFonts w:eastAsia="Calibri" w:cs="Arial"/>
          <w:szCs w:val="22"/>
        </w:rPr>
        <w:t>.</w:t>
      </w:r>
    </w:p>
  </w:footnote>
  <w:footnote w:id="35">
    <w:p w14:paraId="0DFC1527" w14:textId="5CC9E7B3" w:rsidR="00B21F24" w:rsidRDefault="00B21F24">
      <w:pPr>
        <w:pStyle w:val="FootnoteText"/>
      </w:pPr>
      <w:r>
        <w:rPr>
          <w:rStyle w:val="FootnoteReference"/>
        </w:rPr>
        <w:footnoteRef/>
      </w:r>
      <w:r>
        <w:t xml:space="preserve"> </w:t>
      </w:r>
      <w:r w:rsidR="005A1630" w:rsidRPr="4E3F0035">
        <w:rPr>
          <w:rFonts w:eastAsia="Calibri" w:cs="Arial"/>
          <w:szCs w:val="22"/>
        </w:rPr>
        <w:t>TURN Opening Comments at 1-3</w:t>
      </w:r>
      <w:r w:rsidR="005A1630">
        <w:rPr>
          <w:rFonts w:eastAsia="Calibri" w:cs="Arial"/>
          <w:szCs w:val="22"/>
        </w:rPr>
        <w:t>.</w:t>
      </w:r>
    </w:p>
  </w:footnote>
  <w:footnote w:id="36">
    <w:p w14:paraId="73A20115" w14:textId="1A8807BD" w:rsidR="00A16300" w:rsidRDefault="00A16300">
      <w:pPr>
        <w:pStyle w:val="FootnoteText"/>
      </w:pPr>
      <w:r>
        <w:rPr>
          <w:rStyle w:val="FootnoteReference"/>
        </w:rPr>
        <w:footnoteRef/>
      </w:r>
      <w:r>
        <w:t xml:space="preserve"> </w:t>
      </w:r>
      <w:r w:rsidR="001A03DF" w:rsidRPr="4E3F0035">
        <w:rPr>
          <w:rFonts w:eastAsia="Calibri" w:cs="Arial"/>
          <w:szCs w:val="22"/>
        </w:rPr>
        <w:t>TURN Opening Comments at 3-4.</w:t>
      </w:r>
    </w:p>
  </w:footnote>
  <w:footnote w:id="37">
    <w:p w14:paraId="45A4A48F" w14:textId="146022CC" w:rsidR="00B86292" w:rsidRDefault="00B86292">
      <w:pPr>
        <w:pStyle w:val="FootnoteText"/>
      </w:pPr>
      <w:r>
        <w:rPr>
          <w:rStyle w:val="FootnoteReference"/>
        </w:rPr>
        <w:footnoteRef/>
      </w:r>
      <w:r>
        <w:t xml:space="preserve"> LAEDC Opening Comments at 5.</w:t>
      </w:r>
    </w:p>
  </w:footnote>
  <w:footnote w:id="38">
    <w:p w14:paraId="47A22F70" w14:textId="331CDEA5" w:rsidR="000D3C70" w:rsidRDefault="000D3C70">
      <w:pPr>
        <w:pStyle w:val="FootnoteText"/>
      </w:pPr>
      <w:r>
        <w:rPr>
          <w:rStyle w:val="FootnoteReference"/>
        </w:rPr>
        <w:footnoteRef/>
      </w:r>
      <w:r>
        <w:t xml:space="preserve"> </w:t>
      </w:r>
      <w:r w:rsidR="003D5EE0" w:rsidRPr="4E3F0035">
        <w:rPr>
          <w:rFonts w:eastAsia="Calibri" w:cs="Arial"/>
          <w:szCs w:val="22"/>
        </w:rPr>
        <w:t>TURN Opening Comments at 4; UNITE-LA Opening Comments at 3.</w:t>
      </w:r>
    </w:p>
  </w:footnote>
  <w:footnote w:id="39">
    <w:p w14:paraId="78BA4B09" w14:textId="08F66FF6" w:rsidR="00B004F0" w:rsidRDefault="00B004F0">
      <w:pPr>
        <w:pStyle w:val="FootnoteText"/>
      </w:pPr>
      <w:r>
        <w:rPr>
          <w:rStyle w:val="FootnoteReference"/>
        </w:rPr>
        <w:footnoteRef/>
      </w:r>
      <w:r>
        <w:t xml:space="preserve"> CETF Opening Comments at 7.</w:t>
      </w:r>
    </w:p>
  </w:footnote>
  <w:footnote w:id="40">
    <w:p w14:paraId="29A1DE56" w14:textId="70B272FB" w:rsidR="00824790" w:rsidRDefault="00824790">
      <w:pPr>
        <w:pStyle w:val="FootnoteText"/>
      </w:pPr>
      <w:r>
        <w:rPr>
          <w:rStyle w:val="FootnoteReference"/>
        </w:rPr>
        <w:footnoteRef/>
      </w:r>
      <w:r>
        <w:t xml:space="preserve"> </w:t>
      </w:r>
      <w:r w:rsidRPr="7FDAA6EC">
        <w:rPr>
          <w:rFonts w:eastAsia="Calibri"/>
          <w:szCs w:val="22"/>
        </w:rPr>
        <w:t>D.20-08-005, Appendix 2 at 4.</w:t>
      </w:r>
    </w:p>
  </w:footnote>
  <w:footnote w:id="41">
    <w:p w14:paraId="71FFCCE1" w14:textId="7DE5EC34" w:rsidR="00633060" w:rsidRDefault="00633060">
      <w:pPr>
        <w:pStyle w:val="FootnoteText"/>
      </w:pPr>
      <w:r>
        <w:rPr>
          <w:rStyle w:val="FootnoteReference"/>
        </w:rPr>
        <w:footnoteRef/>
      </w:r>
      <w:r>
        <w:t xml:space="preserve"> CCTA Opening Comments at 6-8; </w:t>
      </w:r>
      <w:r w:rsidR="00A91907">
        <w:t>NDC Opening Comments at 6.</w:t>
      </w:r>
    </w:p>
  </w:footnote>
  <w:footnote w:id="42">
    <w:p w14:paraId="4EFC011B" w14:textId="4BBD9485" w:rsidR="00F75681" w:rsidRDefault="00F75681">
      <w:pPr>
        <w:pStyle w:val="FootnoteText"/>
      </w:pPr>
      <w:r>
        <w:rPr>
          <w:rStyle w:val="FootnoteReference"/>
        </w:rPr>
        <w:footnoteRef/>
      </w:r>
      <w:r>
        <w:t xml:space="preserve"> </w:t>
      </w:r>
      <w:r w:rsidR="000773B2" w:rsidRPr="00DF6332">
        <w:rPr>
          <w:rFonts w:eastAsia="Calibri" w:cs="Arial"/>
          <w:i/>
          <w:iCs/>
          <w:szCs w:val="22"/>
        </w:rPr>
        <w:t>See</w:t>
      </w:r>
      <w:r w:rsidR="000773B2" w:rsidRPr="4E3F0035">
        <w:rPr>
          <w:rFonts w:eastAsia="Calibri" w:cs="Arial"/>
          <w:szCs w:val="22"/>
        </w:rPr>
        <w:t xml:space="preserve">, </w:t>
      </w:r>
      <w:r w:rsidR="000773B2" w:rsidRPr="00806ADE">
        <w:rPr>
          <w:rFonts w:eastAsia="Calibri" w:cs="Arial"/>
          <w:i/>
          <w:iCs/>
          <w:szCs w:val="22"/>
        </w:rPr>
        <w:t>e.g.,</w:t>
      </w:r>
      <w:r w:rsidR="000773B2" w:rsidRPr="4E3F0035">
        <w:rPr>
          <w:rFonts w:eastAsia="Calibri" w:cs="Arial"/>
          <w:szCs w:val="22"/>
        </w:rPr>
        <w:t xml:space="preserve"> IERBC </w:t>
      </w:r>
      <w:r w:rsidR="000773B2">
        <w:rPr>
          <w:rFonts w:eastAsia="Calibri" w:cs="Arial"/>
          <w:szCs w:val="22"/>
        </w:rPr>
        <w:t>O</w:t>
      </w:r>
      <w:r w:rsidR="000773B2" w:rsidRPr="4E3F0035">
        <w:rPr>
          <w:rFonts w:eastAsia="Calibri" w:cs="Arial"/>
          <w:szCs w:val="22"/>
        </w:rPr>
        <w:t>pening Comments at 7; CCF Opening Comments at 5.</w:t>
      </w:r>
    </w:p>
  </w:footnote>
  <w:footnote w:id="43">
    <w:p w14:paraId="3C401FBD" w14:textId="1EE2DD60" w:rsidR="7FDAA6EC" w:rsidRDefault="7FDAA6EC" w:rsidP="7FDAA6EC">
      <w:pPr>
        <w:pStyle w:val="FootnoteText"/>
      </w:pPr>
      <w:r w:rsidRPr="7FDAA6EC">
        <w:rPr>
          <w:rStyle w:val="FootnoteReference"/>
          <w:rFonts w:eastAsia="Calibri"/>
          <w:szCs w:val="22"/>
        </w:rPr>
        <w:footnoteRef/>
      </w:r>
      <w:r w:rsidRPr="7FDAA6EC">
        <w:rPr>
          <w:rFonts w:eastAsia="Calibri"/>
          <w:szCs w:val="22"/>
        </w:rPr>
        <w:t xml:space="preserve"> D.20-08-005, Appendix 2, Public Housing Account Guidelines, at 8.</w:t>
      </w:r>
    </w:p>
  </w:footnote>
  <w:footnote w:id="44">
    <w:p w14:paraId="2F8F3B81" w14:textId="0CD281EC" w:rsidR="00BC1485" w:rsidRDefault="00BC1485">
      <w:pPr>
        <w:pStyle w:val="FootnoteText"/>
      </w:pPr>
      <w:r>
        <w:rPr>
          <w:rStyle w:val="FootnoteReference"/>
        </w:rPr>
        <w:footnoteRef/>
      </w:r>
      <w:r>
        <w:t xml:space="preserve"> </w:t>
      </w:r>
      <w:r w:rsidR="00543782" w:rsidRPr="001F5CEC">
        <w:rPr>
          <w:rFonts w:eastAsia="Calibri" w:cs="Arial"/>
          <w:i/>
          <w:iCs/>
          <w:szCs w:val="22"/>
        </w:rPr>
        <w:t>See</w:t>
      </w:r>
      <w:r w:rsidR="00543782" w:rsidRPr="00806ADE">
        <w:rPr>
          <w:rFonts w:eastAsia="Calibri" w:cs="Arial"/>
          <w:i/>
          <w:iCs/>
          <w:szCs w:val="22"/>
        </w:rPr>
        <w:t>, e.g.</w:t>
      </w:r>
      <w:r w:rsidR="00EF787E" w:rsidRPr="00806ADE">
        <w:rPr>
          <w:rFonts w:eastAsia="Calibri" w:cs="Arial"/>
          <w:i/>
          <w:iCs/>
          <w:szCs w:val="22"/>
        </w:rPr>
        <w:t>,</w:t>
      </w:r>
      <w:r w:rsidR="00543782" w:rsidRPr="4E3F0035">
        <w:rPr>
          <w:rFonts w:eastAsia="Calibri" w:cs="Arial"/>
          <w:szCs w:val="22"/>
        </w:rPr>
        <w:t xml:space="preserve"> CCF Opening Comments at 5; CETF Opening Comments at 8; CforAT Opening Comments at 3 (recommending a 100 Mbps symmetrical speed requirement); IERBC Opening Comments at 6; NDC </w:t>
      </w:r>
      <w:r w:rsidR="00D87F39">
        <w:rPr>
          <w:rFonts w:eastAsia="Calibri" w:cs="Arial"/>
          <w:szCs w:val="22"/>
        </w:rPr>
        <w:t xml:space="preserve">Opening Comments </w:t>
      </w:r>
      <w:r w:rsidR="00543782" w:rsidRPr="4E3F0035">
        <w:rPr>
          <w:rFonts w:eastAsia="Calibri" w:cs="Arial"/>
          <w:szCs w:val="22"/>
        </w:rPr>
        <w:t>at 7; UNITE-LA Opening Comments at 4.</w:t>
      </w:r>
    </w:p>
  </w:footnote>
  <w:footnote w:id="45">
    <w:p w14:paraId="1510EE11" w14:textId="6792458F" w:rsidR="00554A9D" w:rsidRDefault="00554A9D">
      <w:pPr>
        <w:pStyle w:val="FootnoteText"/>
      </w:pPr>
      <w:r>
        <w:rPr>
          <w:rStyle w:val="FootnoteReference"/>
        </w:rPr>
        <w:footnoteRef/>
      </w:r>
      <w:r>
        <w:t xml:space="preserve"> </w:t>
      </w:r>
      <w:r w:rsidRPr="00806ADE">
        <w:rPr>
          <w:i/>
          <w:iCs/>
        </w:rPr>
        <w:t>Id.</w:t>
      </w:r>
    </w:p>
  </w:footnote>
  <w:footnote w:id="46">
    <w:p w14:paraId="55F445E8" w14:textId="5A53220E" w:rsidR="2C53AF8D" w:rsidRDefault="2C53AF8D" w:rsidP="2C53AF8D">
      <w:pPr>
        <w:pStyle w:val="FootnoteText"/>
        <w:rPr>
          <w:rFonts w:eastAsia="Calibri" w:cs="Arial"/>
          <w:szCs w:val="22"/>
        </w:rPr>
      </w:pPr>
      <w:r w:rsidRPr="2C53AF8D">
        <w:rPr>
          <w:rStyle w:val="FootnoteReference"/>
          <w:rFonts w:eastAsia="Calibri" w:cs="Arial"/>
          <w:szCs w:val="22"/>
        </w:rPr>
        <w:footnoteRef/>
      </w:r>
      <w:r w:rsidRPr="2C53AF8D">
        <w:rPr>
          <w:rFonts w:eastAsia="Calibri" w:cs="Arial"/>
          <w:szCs w:val="22"/>
        </w:rPr>
        <w:t xml:space="preserve"> </w:t>
      </w:r>
      <w:hyperlink r:id="rId1" w:history="1">
        <w:r w:rsidRPr="2C53AF8D">
          <w:rPr>
            <w:rStyle w:val="Hyperlink"/>
            <w:rFonts w:eastAsia="Calibri" w:cs="Arial"/>
          </w:rPr>
          <w:t>https://www.fcc.gov/document/fcc-annual-broadband-report-shows-digital-divide-rapidly-closing</w:t>
        </w:r>
      </w:hyperlink>
      <w:r w:rsidRPr="2C53AF8D">
        <w:rPr>
          <w:rFonts w:eastAsia="Calibri" w:cs="Arial"/>
        </w:rPr>
        <w:t xml:space="preserve">  and  </w:t>
      </w:r>
      <w:r w:rsidR="006A127F">
        <w:rPr>
          <w:rFonts w:eastAsia="Calibri" w:cs="Arial"/>
        </w:rPr>
        <w:t xml:space="preserve">FCC Fourteenth Broadband Deployment Report, </w:t>
      </w:r>
      <w:r w:rsidR="002F5BCA">
        <w:rPr>
          <w:rFonts w:eastAsia="Calibri" w:cs="Arial"/>
        </w:rPr>
        <w:t>36 FCC Rcd 836, 841-42, available at</w:t>
      </w:r>
      <w:r w:rsidR="006A127F">
        <w:rPr>
          <w:rFonts w:eastAsia="Calibri" w:cs="Arial"/>
        </w:rPr>
        <w:t xml:space="preserve"> </w:t>
      </w:r>
      <w:hyperlink r:id="rId2" w:history="1">
        <w:r w:rsidR="006A127F" w:rsidRPr="006A127F">
          <w:rPr>
            <w:rStyle w:val="Hyperlink"/>
            <w:rFonts w:eastAsia="Calibri" w:cs="Arial"/>
          </w:rPr>
          <w:t>https://docs.fcc.gov/public/attachments/FCC-21-18A1.pdf</w:t>
        </w:r>
      </w:hyperlink>
      <w:r w:rsidR="006A127F">
        <w:rPr>
          <w:rStyle w:val="Hyperlink"/>
          <w:rFonts w:eastAsia="Calibri" w:cs="Arial"/>
        </w:rPr>
        <w:t>.</w:t>
      </w:r>
    </w:p>
  </w:footnote>
  <w:footnote w:id="47">
    <w:p w14:paraId="023218EB" w14:textId="4D477268" w:rsidR="00B70FD4" w:rsidRDefault="00B70FD4">
      <w:pPr>
        <w:pStyle w:val="FootnoteText"/>
      </w:pPr>
      <w:r>
        <w:rPr>
          <w:rStyle w:val="FootnoteReference"/>
        </w:rPr>
        <w:footnoteRef/>
      </w:r>
      <w:r>
        <w:t xml:space="preserve"> </w:t>
      </w:r>
      <w:r w:rsidR="00DC0432" w:rsidRPr="4E3F0035">
        <w:rPr>
          <w:rFonts w:eastAsia="Calibri" w:cs="Arial"/>
          <w:szCs w:val="22"/>
        </w:rPr>
        <w:t>CETF Opening Comments at 9; LAEDC Opening Comments at 7-8; NDC Opening Comments at 8-10</w:t>
      </w:r>
      <w:r w:rsidR="00DC0432">
        <w:rPr>
          <w:rFonts w:eastAsia="Calibri" w:cs="Arial"/>
          <w:szCs w:val="22"/>
        </w:rPr>
        <w:t>.</w:t>
      </w:r>
    </w:p>
  </w:footnote>
  <w:footnote w:id="48">
    <w:p w14:paraId="4CCFF0DE" w14:textId="29AC4348" w:rsidR="00042020" w:rsidRDefault="00042020">
      <w:pPr>
        <w:pStyle w:val="FootnoteText"/>
      </w:pPr>
      <w:r>
        <w:rPr>
          <w:rStyle w:val="FootnoteReference"/>
        </w:rPr>
        <w:footnoteRef/>
      </w:r>
      <w:r>
        <w:t xml:space="preserve"> </w:t>
      </w:r>
      <w:r w:rsidR="0026753D">
        <w:t>NDC Opening Comments at 10.</w:t>
      </w:r>
    </w:p>
  </w:footnote>
  <w:footnote w:id="49">
    <w:p w14:paraId="3B3BEAA9" w14:textId="0A43099C" w:rsidR="007F6600" w:rsidRDefault="007F6600">
      <w:pPr>
        <w:pStyle w:val="FootnoteText"/>
      </w:pPr>
      <w:r>
        <w:rPr>
          <w:rStyle w:val="FootnoteReference"/>
        </w:rPr>
        <w:footnoteRef/>
      </w:r>
      <w:r>
        <w:t xml:space="preserve"> </w:t>
      </w:r>
      <w:r w:rsidR="008308DE" w:rsidRPr="4E3F0035">
        <w:rPr>
          <w:rFonts w:eastAsia="Calibri" w:cs="Arial"/>
          <w:szCs w:val="22"/>
        </w:rPr>
        <w:t>CETF Opening Comments at 9</w:t>
      </w:r>
      <w:r w:rsidR="008308DE">
        <w:rPr>
          <w:rFonts w:eastAsia="Calibri" w:cs="Arial"/>
          <w:szCs w:val="22"/>
        </w:rPr>
        <w:t>.</w:t>
      </w:r>
    </w:p>
  </w:footnote>
  <w:footnote w:id="50">
    <w:p w14:paraId="3BD93D72" w14:textId="620CC4D9" w:rsidR="008308DE" w:rsidRDefault="008308DE">
      <w:pPr>
        <w:pStyle w:val="FootnoteText"/>
      </w:pPr>
      <w:r>
        <w:rPr>
          <w:rStyle w:val="FootnoteReference"/>
        </w:rPr>
        <w:footnoteRef/>
      </w:r>
      <w:r>
        <w:t xml:space="preserve"> </w:t>
      </w:r>
      <w:r w:rsidR="002D7960" w:rsidRPr="4E3F0035">
        <w:rPr>
          <w:rFonts w:eastAsia="Calibri" w:cs="Arial"/>
          <w:szCs w:val="22"/>
        </w:rPr>
        <w:t>IERBC Opening Comments at 6</w:t>
      </w:r>
      <w:r w:rsidR="002D7960">
        <w:rPr>
          <w:rFonts w:eastAsia="Calibri" w:cs="Arial"/>
          <w:szCs w:val="22"/>
        </w:rPr>
        <w:t>.</w:t>
      </w:r>
    </w:p>
  </w:footnote>
  <w:footnote w:id="51">
    <w:p w14:paraId="0E2635D2" w14:textId="4038C2BB" w:rsidR="7FDAA6EC" w:rsidRDefault="7FDAA6EC" w:rsidP="7FDAA6EC">
      <w:pPr>
        <w:pStyle w:val="FootnoteText"/>
      </w:pPr>
      <w:r w:rsidRPr="7FDAA6EC">
        <w:rPr>
          <w:rStyle w:val="FootnoteReference"/>
          <w:rFonts w:eastAsia="Calibri"/>
          <w:szCs w:val="22"/>
        </w:rPr>
        <w:footnoteRef/>
      </w:r>
      <w:r w:rsidRPr="7FDAA6EC">
        <w:rPr>
          <w:rFonts w:eastAsia="Calibri"/>
          <w:szCs w:val="22"/>
        </w:rPr>
        <w:t xml:space="preserve"> D.20-08-005, Appendix 2 at 11.</w:t>
      </w:r>
    </w:p>
  </w:footnote>
  <w:footnote w:id="52">
    <w:p w14:paraId="78C80C67" w14:textId="78A378EE" w:rsidR="7FDAA6EC" w:rsidRDefault="7FDAA6EC" w:rsidP="7FDAA6EC">
      <w:pPr>
        <w:pStyle w:val="FootnoteText"/>
      </w:pPr>
      <w:r w:rsidRPr="7FDAA6EC">
        <w:rPr>
          <w:rStyle w:val="FootnoteReference"/>
          <w:rFonts w:eastAsia="Calibri"/>
          <w:szCs w:val="22"/>
        </w:rPr>
        <w:footnoteRef/>
      </w:r>
      <w:r w:rsidRPr="7FDAA6EC">
        <w:rPr>
          <w:rFonts w:eastAsia="Calibri"/>
          <w:szCs w:val="22"/>
        </w:rPr>
        <w:t xml:space="preserve"> D.14-12-039, Appendix B at 13.</w:t>
      </w:r>
    </w:p>
  </w:footnote>
  <w:footnote w:id="53">
    <w:p w14:paraId="27EBB8B0" w14:textId="3F436EE4" w:rsidR="004822BD" w:rsidRDefault="004822BD">
      <w:pPr>
        <w:pStyle w:val="FootnoteText"/>
      </w:pPr>
      <w:r>
        <w:rPr>
          <w:rStyle w:val="FootnoteReference"/>
        </w:rPr>
        <w:footnoteRef/>
      </w:r>
      <w:r>
        <w:t xml:space="preserve"> </w:t>
      </w:r>
      <w:r w:rsidR="00E82BFD" w:rsidRPr="4E3F0035">
        <w:rPr>
          <w:rFonts w:eastAsia="Calibri" w:cs="Arial"/>
          <w:szCs w:val="22"/>
        </w:rPr>
        <w:t>CETF Opening Comments at 9-10; IERBC Opening Comments at 6; LAEDC Opening Comments at 8</w:t>
      </w:r>
      <w:r w:rsidR="00E82BFD">
        <w:rPr>
          <w:rFonts w:eastAsia="Calibri" w:cs="Arial"/>
          <w:szCs w:val="22"/>
        </w:rPr>
        <w:t>.</w:t>
      </w:r>
    </w:p>
  </w:footnote>
  <w:footnote w:id="54">
    <w:p w14:paraId="5FEDB1E6" w14:textId="05C0EADB" w:rsidR="00006937" w:rsidRDefault="00006937">
      <w:pPr>
        <w:pStyle w:val="FootnoteText"/>
      </w:pPr>
      <w:r>
        <w:rPr>
          <w:rStyle w:val="FootnoteReference"/>
        </w:rPr>
        <w:footnoteRef/>
      </w:r>
      <w:r>
        <w:t xml:space="preserve"> LAEDC Opening Comments at 8.</w:t>
      </w:r>
    </w:p>
  </w:footnote>
  <w:footnote w:id="55">
    <w:p w14:paraId="35A6B281" w14:textId="15F032E1" w:rsidR="004E156C" w:rsidRDefault="004E156C">
      <w:pPr>
        <w:pStyle w:val="FootnoteText"/>
      </w:pPr>
      <w:r>
        <w:rPr>
          <w:rStyle w:val="FootnoteReference"/>
        </w:rPr>
        <w:footnoteRef/>
      </w:r>
      <w:r>
        <w:t xml:space="preserve"> </w:t>
      </w:r>
      <w:r w:rsidR="007E3674" w:rsidRPr="4E3F0035">
        <w:rPr>
          <w:rFonts w:eastAsia="Calibri" w:cs="Arial"/>
          <w:szCs w:val="22"/>
        </w:rPr>
        <w:t>CCF Opening Comments at 6;</w:t>
      </w:r>
      <w:r w:rsidR="007E3674">
        <w:rPr>
          <w:rFonts w:eastAsia="Calibri" w:cs="Arial"/>
          <w:szCs w:val="22"/>
        </w:rPr>
        <w:t xml:space="preserve"> </w:t>
      </w:r>
      <w:r w:rsidR="00F40395">
        <w:rPr>
          <w:rFonts w:eastAsia="Calibri" w:cs="Arial"/>
          <w:szCs w:val="22"/>
        </w:rPr>
        <w:t>UNITE-LA Opening Comments at 4.</w:t>
      </w:r>
    </w:p>
  </w:footnote>
  <w:footnote w:id="56">
    <w:p w14:paraId="0098BE79" w14:textId="66751FE1" w:rsidR="003B64D4" w:rsidRDefault="003B64D4">
      <w:pPr>
        <w:pStyle w:val="FootnoteText"/>
      </w:pPr>
      <w:r>
        <w:rPr>
          <w:rStyle w:val="FootnoteReference"/>
        </w:rPr>
        <w:footnoteRef/>
      </w:r>
      <w:r>
        <w:t xml:space="preserve"> </w:t>
      </w:r>
      <w:r w:rsidR="009E7ADA" w:rsidRPr="4E3F0035">
        <w:rPr>
          <w:rFonts w:eastAsia="Calibri" w:cs="Arial"/>
          <w:szCs w:val="22"/>
        </w:rPr>
        <w:t>LAEDC Opening Comments at 10-11; NDC Opening Comments at 12-14.</w:t>
      </w:r>
    </w:p>
  </w:footnote>
  <w:footnote w:id="57">
    <w:p w14:paraId="2E4F2D8C" w14:textId="3647B485" w:rsidR="00C43F0B" w:rsidRDefault="00C43F0B">
      <w:pPr>
        <w:pStyle w:val="FootnoteText"/>
      </w:pPr>
      <w:r>
        <w:rPr>
          <w:rStyle w:val="FootnoteReference"/>
        </w:rPr>
        <w:footnoteRef/>
      </w:r>
      <w:r>
        <w:t xml:space="preserve"> </w:t>
      </w:r>
      <w:r w:rsidR="009C7A9B" w:rsidRPr="4E3F0035">
        <w:rPr>
          <w:rFonts w:eastAsia="Calibri" w:cs="Arial"/>
          <w:szCs w:val="22"/>
        </w:rPr>
        <w:t>CETF Opening Comments at 11-12.</w:t>
      </w:r>
    </w:p>
  </w:footnote>
  <w:footnote w:id="58">
    <w:p w14:paraId="00EACD12" w14:textId="6385DAED" w:rsidR="004D3C05" w:rsidRDefault="004D3C05">
      <w:pPr>
        <w:pStyle w:val="FootnoteText"/>
      </w:pPr>
      <w:r>
        <w:rPr>
          <w:rStyle w:val="FootnoteReference"/>
        </w:rPr>
        <w:footnoteRef/>
      </w:r>
      <w:r>
        <w:t xml:space="preserve"> </w:t>
      </w:r>
      <w:r w:rsidRPr="4E3F0035">
        <w:rPr>
          <w:rFonts w:eastAsia="Calibri" w:cs="Arial"/>
          <w:szCs w:val="22"/>
        </w:rPr>
        <w:t>IERBC Opening Comments at 8.</w:t>
      </w:r>
    </w:p>
  </w:footnote>
  <w:footnote w:id="59">
    <w:p w14:paraId="404928C8" w14:textId="43A12BE8" w:rsidR="00434CA0" w:rsidRDefault="00434CA0">
      <w:pPr>
        <w:pStyle w:val="FootnoteText"/>
      </w:pPr>
      <w:r>
        <w:rPr>
          <w:rStyle w:val="FootnoteReference"/>
        </w:rPr>
        <w:footnoteRef/>
      </w:r>
      <w:r>
        <w:t xml:space="preserve"> TURN Opening Comments at 5.</w:t>
      </w:r>
    </w:p>
  </w:footnote>
  <w:footnote w:id="60">
    <w:p w14:paraId="406B4702" w14:textId="4FF0F6BD" w:rsidR="00DB37E4" w:rsidRDefault="00DB37E4">
      <w:pPr>
        <w:pStyle w:val="FootnoteText"/>
      </w:pPr>
      <w:r>
        <w:rPr>
          <w:rStyle w:val="FootnoteReference"/>
        </w:rPr>
        <w:footnoteRef/>
      </w:r>
      <w:r>
        <w:t xml:space="preserve"> CETF Opening Comments at 12.</w:t>
      </w:r>
    </w:p>
  </w:footnote>
  <w:footnote w:id="61">
    <w:p w14:paraId="337F02B8" w14:textId="2F2DA4D4" w:rsidR="00DB37E4" w:rsidRDefault="00DB37E4">
      <w:pPr>
        <w:pStyle w:val="FootnoteText"/>
      </w:pPr>
      <w:r>
        <w:rPr>
          <w:rStyle w:val="FootnoteReference"/>
        </w:rPr>
        <w:footnoteRef/>
      </w:r>
      <w:r>
        <w:t xml:space="preserve"> NDC Opening Comments at 13-14.</w:t>
      </w:r>
    </w:p>
  </w:footnote>
  <w:footnote w:id="62">
    <w:p w14:paraId="66A9F107" w14:textId="0D963ABB" w:rsidR="006E7E32" w:rsidRDefault="006E7E32">
      <w:pPr>
        <w:pStyle w:val="FootnoteText"/>
      </w:pPr>
      <w:r>
        <w:rPr>
          <w:rStyle w:val="FootnoteReference"/>
        </w:rPr>
        <w:footnoteRef/>
      </w:r>
      <w:r>
        <w:t xml:space="preserve"> IERBC Opening Comments at 8.</w:t>
      </w:r>
    </w:p>
  </w:footnote>
  <w:footnote w:id="63">
    <w:p w14:paraId="71B5E282" w14:textId="5ADF4CBB" w:rsidR="006E7E32" w:rsidRDefault="006E7E32">
      <w:pPr>
        <w:pStyle w:val="FootnoteText"/>
      </w:pPr>
      <w:r>
        <w:rPr>
          <w:rStyle w:val="FootnoteReference"/>
        </w:rPr>
        <w:footnoteRef/>
      </w:r>
      <w:r>
        <w:t xml:space="preserve"> </w:t>
      </w:r>
      <w:r w:rsidR="0092259D">
        <w:t>UNITE-LA Opening Comments at 4-5.</w:t>
      </w:r>
    </w:p>
  </w:footnote>
  <w:footnote w:id="64">
    <w:p w14:paraId="17477F41" w14:textId="7E75B502" w:rsidR="00477F74" w:rsidRDefault="00477F74">
      <w:pPr>
        <w:pStyle w:val="FootnoteText"/>
      </w:pPr>
      <w:r>
        <w:rPr>
          <w:rStyle w:val="FootnoteReference"/>
        </w:rPr>
        <w:footnoteRef/>
      </w:r>
      <w:r>
        <w:t xml:space="preserve"> CETF Opening Comments at 12.</w:t>
      </w:r>
    </w:p>
  </w:footnote>
  <w:footnote w:id="65">
    <w:p w14:paraId="164AD8F8" w14:textId="76B5F61E" w:rsidR="00477F74" w:rsidRDefault="00477F74">
      <w:pPr>
        <w:pStyle w:val="FootnoteText"/>
      </w:pPr>
      <w:r>
        <w:rPr>
          <w:rStyle w:val="FootnoteReference"/>
        </w:rPr>
        <w:footnoteRef/>
      </w:r>
      <w:r>
        <w:t xml:space="preserve"> TURN Opening Comments at 5.</w:t>
      </w:r>
    </w:p>
  </w:footnote>
  <w:footnote w:id="66">
    <w:p w14:paraId="68431A25" w14:textId="0D3A1C20" w:rsidR="7FDAA6EC" w:rsidRDefault="7FDAA6EC" w:rsidP="7FDAA6EC">
      <w:pPr>
        <w:pStyle w:val="FootnoteText"/>
      </w:pPr>
      <w:r w:rsidRPr="7FDAA6EC">
        <w:rPr>
          <w:rStyle w:val="FootnoteReference"/>
          <w:rFonts w:eastAsia="Calibri"/>
          <w:szCs w:val="22"/>
        </w:rPr>
        <w:footnoteRef/>
      </w:r>
      <w:r w:rsidR="00F209CE">
        <w:rPr>
          <w:rFonts w:eastAsia="Calibri"/>
          <w:szCs w:val="22"/>
        </w:rPr>
        <w:t xml:space="preserve"> </w:t>
      </w:r>
      <w:r w:rsidRPr="7FDAA6EC">
        <w:rPr>
          <w:rFonts w:eastAsia="Calibri"/>
          <w:szCs w:val="22"/>
        </w:rPr>
        <w:t xml:space="preserve"> D.20-08-005, Appendix 2 at 2, n1.</w:t>
      </w:r>
    </w:p>
  </w:footnote>
  <w:footnote w:id="67">
    <w:p w14:paraId="7B4A1C5B" w14:textId="0CC95334" w:rsidR="00431C6D" w:rsidRDefault="00431C6D">
      <w:pPr>
        <w:pStyle w:val="FootnoteText"/>
      </w:pPr>
      <w:r>
        <w:rPr>
          <w:rStyle w:val="FootnoteReference"/>
        </w:rPr>
        <w:footnoteRef/>
      </w:r>
      <w:r>
        <w:t xml:space="preserve"> </w:t>
      </w:r>
      <w:r w:rsidRPr="4E3F0035">
        <w:rPr>
          <w:rFonts w:eastAsia="Calibri" w:cs="Arial"/>
          <w:szCs w:val="22"/>
        </w:rPr>
        <w:t>CCF Opening Comments at 6; IERBC Opening Comments at 9-10; NDC Opening Comments at 14-17</w:t>
      </w:r>
      <w:r>
        <w:rPr>
          <w:rFonts w:eastAsia="Calibri" w:cs="Arial"/>
          <w:szCs w:val="22"/>
        </w:rPr>
        <w:t>.</w:t>
      </w:r>
    </w:p>
  </w:footnote>
  <w:footnote w:id="68">
    <w:p w14:paraId="5E96F7E9" w14:textId="34534E79" w:rsidR="00431C6D" w:rsidRDefault="00431C6D">
      <w:pPr>
        <w:pStyle w:val="FootnoteText"/>
      </w:pPr>
      <w:r>
        <w:rPr>
          <w:rStyle w:val="FootnoteReference"/>
        </w:rPr>
        <w:footnoteRef/>
      </w:r>
      <w:r>
        <w:t xml:space="preserve"> </w:t>
      </w:r>
      <w:r w:rsidR="00042C77" w:rsidRPr="4E3F0035">
        <w:rPr>
          <w:rFonts w:eastAsia="Calibri" w:cs="Arial"/>
          <w:szCs w:val="22"/>
        </w:rPr>
        <w:t>CCF Opening Comments at 6</w:t>
      </w:r>
      <w:r w:rsidR="00042C77">
        <w:rPr>
          <w:rFonts w:eastAsia="Calibri" w:cs="Arial"/>
          <w:szCs w:val="22"/>
        </w:rPr>
        <w:t>.</w:t>
      </w:r>
    </w:p>
  </w:footnote>
  <w:footnote w:id="69">
    <w:p w14:paraId="0D1BD8BC" w14:textId="13AD1BFD" w:rsidR="00C44240" w:rsidRDefault="00C44240">
      <w:pPr>
        <w:pStyle w:val="FootnoteText"/>
      </w:pPr>
      <w:r>
        <w:rPr>
          <w:rStyle w:val="FootnoteReference"/>
        </w:rPr>
        <w:footnoteRef/>
      </w:r>
      <w:r>
        <w:t xml:space="preserve"> </w:t>
      </w:r>
      <w:r w:rsidR="00E128D6">
        <w:t>NDC Opening Comments at 14-15.</w:t>
      </w:r>
    </w:p>
  </w:footnote>
  <w:footnote w:id="70">
    <w:p w14:paraId="51DA2B69" w14:textId="09D80C16" w:rsidR="00B41754" w:rsidRDefault="00B41754">
      <w:pPr>
        <w:pStyle w:val="FootnoteText"/>
      </w:pPr>
      <w:r>
        <w:rPr>
          <w:rStyle w:val="FootnoteReference"/>
        </w:rPr>
        <w:footnoteRef/>
      </w:r>
      <w:r>
        <w:t xml:space="preserve"> </w:t>
      </w:r>
      <w:r w:rsidR="007F3576" w:rsidRPr="00A329A1">
        <w:rPr>
          <w:rFonts w:eastAsia="Calibri" w:cs="Arial"/>
          <w:i/>
          <w:iCs/>
          <w:szCs w:val="22"/>
        </w:rPr>
        <w:t>See</w:t>
      </w:r>
      <w:r w:rsidR="007F3576" w:rsidRPr="4E3F0035">
        <w:rPr>
          <w:rFonts w:eastAsia="Calibri" w:cs="Arial"/>
          <w:szCs w:val="22"/>
        </w:rPr>
        <w:t>, e.g., CCF Opening Comments at 6</w:t>
      </w:r>
      <w:r w:rsidR="007F3576">
        <w:rPr>
          <w:rFonts w:eastAsia="Calibri" w:cs="Arial"/>
          <w:szCs w:val="22"/>
        </w:rPr>
        <w:t>.</w:t>
      </w:r>
    </w:p>
  </w:footnote>
  <w:footnote w:id="71">
    <w:p w14:paraId="14907E5C" w14:textId="77777777" w:rsidR="007547F6" w:rsidRPr="00EF787E" w:rsidRDefault="007547F6" w:rsidP="007547F6">
      <w:pPr>
        <w:pStyle w:val="FootnoteText"/>
      </w:pPr>
      <w:r w:rsidRPr="4E3F0035">
        <w:rPr>
          <w:rStyle w:val="FootnoteReference"/>
          <w:rFonts w:eastAsia="Calibri" w:cs="Arial"/>
          <w:szCs w:val="22"/>
        </w:rPr>
        <w:footnoteRef/>
      </w:r>
      <w:r w:rsidRPr="4E3F0035">
        <w:rPr>
          <w:rFonts w:eastAsia="Calibri" w:cs="Arial"/>
          <w:szCs w:val="22"/>
        </w:rPr>
        <w:t xml:space="preserve"> </w:t>
      </w:r>
      <w:r w:rsidRPr="00EF787E">
        <w:rPr>
          <w:rFonts w:eastAsia="Calibri" w:cs="Arial"/>
          <w:szCs w:val="22"/>
        </w:rPr>
        <w:t xml:space="preserve">LAEDC </w:t>
      </w:r>
      <w:r w:rsidRPr="00EF787E">
        <w:rPr>
          <w:szCs w:val="22"/>
        </w:rPr>
        <w:t>Opening Comments at 12.</w:t>
      </w:r>
    </w:p>
  </w:footnote>
  <w:footnote w:id="72">
    <w:p w14:paraId="2A6DA3E0" w14:textId="06A98553" w:rsidR="007547F6" w:rsidRPr="00EF787E" w:rsidRDefault="007547F6">
      <w:pPr>
        <w:pStyle w:val="FootnoteText"/>
      </w:pPr>
      <w:r w:rsidRPr="00EF787E">
        <w:rPr>
          <w:rStyle w:val="FootnoteReference"/>
        </w:rPr>
        <w:footnoteRef/>
      </w:r>
      <w:r w:rsidRPr="00EF787E">
        <w:t xml:space="preserve"> </w:t>
      </w:r>
      <w:r w:rsidR="00382823" w:rsidRPr="00EF787E">
        <w:rPr>
          <w:rFonts w:eastAsia="Calibri" w:cs="Arial"/>
          <w:szCs w:val="22"/>
        </w:rPr>
        <w:t>CETF Opening Comments at 14.</w:t>
      </w:r>
    </w:p>
  </w:footnote>
  <w:footnote w:id="73">
    <w:p w14:paraId="27920C50" w14:textId="5FC83E31" w:rsidR="008679C0" w:rsidRDefault="008679C0">
      <w:pPr>
        <w:pStyle w:val="FootnoteText"/>
      </w:pPr>
      <w:r w:rsidRPr="00EF787E">
        <w:rPr>
          <w:rStyle w:val="FootnoteReference"/>
        </w:rPr>
        <w:footnoteRef/>
      </w:r>
      <w:r w:rsidRPr="00EF787E">
        <w:t xml:space="preserve"> </w:t>
      </w:r>
      <w:r w:rsidR="009D0197" w:rsidRPr="00EF787E">
        <w:rPr>
          <w:rFonts w:eastAsia="Calibri" w:cs="Arial"/>
          <w:szCs w:val="22"/>
        </w:rPr>
        <w:t xml:space="preserve">IERBC </w:t>
      </w:r>
      <w:r w:rsidR="009D0197" w:rsidRPr="00EF787E">
        <w:rPr>
          <w:szCs w:val="22"/>
        </w:rPr>
        <w:t>Opening Comments at 9-10.</w:t>
      </w:r>
    </w:p>
  </w:footnote>
  <w:footnote w:id="74">
    <w:p w14:paraId="0BF363CA" w14:textId="2F4F6411" w:rsidR="009D0197" w:rsidRDefault="009D0197">
      <w:pPr>
        <w:pStyle w:val="FootnoteText"/>
      </w:pPr>
      <w:r>
        <w:rPr>
          <w:rStyle w:val="FootnoteReference"/>
        </w:rPr>
        <w:footnoteRef/>
      </w:r>
      <w:r>
        <w:t xml:space="preserve"> </w:t>
      </w:r>
      <w:r w:rsidR="009B46B4" w:rsidRPr="00EF787E">
        <w:rPr>
          <w:rFonts w:eastAsia="Calibri" w:cs="Arial"/>
          <w:szCs w:val="22"/>
        </w:rPr>
        <w:t xml:space="preserve">NDC </w:t>
      </w:r>
      <w:r w:rsidR="009B46B4" w:rsidRPr="00EF787E">
        <w:rPr>
          <w:szCs w:val="22"/>
        </w:rPr>
        <w:t>Opening Comments at 16-17.</w:t>
      </w:r>
    </w:p>
  </w:footnote>
  <w:footnote w:id="75">
    <w:p w14:paraId="6A6EF435" w14:textId="724F2C1B" w:rsidR="3C65D110" w:rsidRDefault="3C65D110" w:rsidP="006F7C82">
      <w:pPr>
        <w:pStyle w:val="FootnoteText"/>
      </w:pPr>
      <w:r w:rsidRPr="3C65D110">
        <w:rPr>
          <w:rStyle w:val="FootnoteReference"/>
          <w:rFonts w:eastAsia="Calibri" w:cs="Arial"/>
          <w:szCs w:val="22"/>
        </w:rPr>
        <w:footnoteRef/>
      </w:r>
      <w:r w:rsidRPr="3C65D110">
        <w:rPr>
          <w:rFonts w:eastAsia="Calibri" w:cs="Arial"/>
          <w:szCs w:val="22"/>
        </w:rPr>
        <w:t xml:space="preserve"> Section 706 of the Telecommunications Act of 1996, as amended (1996 Act), requires Federal Communications Commission (FCC) to “determine whether advanced telecommunications capability is being deployed to all Americans in a reasonable and timely fashion” and report annually. Telecommunications Act of 1996 | Federal Communications Commission (fcc.gov) ; Telecommunications Act of 1996, Pub. L. No. 104-104, § 706(b), 110 Stat. 153 (codified at 47</w:t>
      </w:r>
      <w:r w:rsidR="00B36E67">
        <w:rPr>
          <w:rFonts w:eastAsia="Calibri" w:cs="Arial"/>
          <w:szCs w:val="22"/>
        </w:rPr>
        <w:t> </w:t>
      </w:r>
      <w:r w:rsidRPr="3C65D110">
        <w:rPr>
          <w:rFonts w:eastAsia="Calibri" w:cs="Arial"/>
          <w:szCs w:val="22"/>
        </w:rPr>
        <w:t>U.S.C. S 157 note) (1996 Act)</w:t>
      </w:r>
      <w:r w:rsidR="00E60882" w:rsidRPr="00806ADE">
        <w:rPr>
          <w:rFonts w:eastAsia="Calibri" w:cs="Arial"/>
          <w:szCs w:val="22"/>
        </w:rPr>
        <w:t>.</w:t>
      </w:r>
    </w:p>
  </w:footnote>
  <w:footnote w:id="76">
    <w:p w14:paraId="5D5C7C1F" w14:textId="69B0054C" w:rsidR="00DF4C5D" w:rsidRDefault="00DF4C5D">
      <w:pPr>
        <w:pStyle w:val="FootnoteText"/>
      </w:pPr>
      <w:r>
        <w:rPr>
          <w:rStyle w:val="FootnoteReference"/>
        </w:rPr>
        <w:footnoteRef/>
      </w:r>
      <w:r>
        <w:t xml:space="preserve"> CETF Opening Comments at 14.</w:t>
      </w:r>
    </w:p>
  </w:footnote>
  <w:footnote w:id="77">
    <w:p w14:paraId="29F052C0" w14:textId="11C162E3" w:rsidR="00DF4C5D" w:rsidRDefault="00DF4C5D">
      <w:pPr>
        <w:pStyle w:val="FootnoteText"/>
      </w:pPr>
      <w:r>
        <w:rPr>
          <w:rStyle w:val="FootnoteReference"/>
        </w:rPr>
        <w:footnoteRef/>
      </w:r>
      <w:r>
        <w:t xml:space="preserve"> </w:t>
      </w:r>
      <w:r w:rsidR="000832E6" w:rsidRPr="000832E6">
        <w:rPr>
          <w:i/>
          <w:iCs/>
        </w:rPr>
        <w:t>Reply Comments on Phase IIB Issues in Assigned Commissioner’s Second Amended Scoping Memo and Ruling</w:t>
      </w:r>
      <w:r w:rsidR="000832E6">
        <w:t>, filed March 24, 2022 (</w:t>
      </w:r>
      <w:r>
        <w:t>CforAT Reply Comments</w:t>
      </w:r>
      <w:r w:rsidR="000832E6">
        <w:t>)</w:t>
      </w:r>
      <w:r>
        <w:t xml:space="preserve"> at 2-4.</w:t>
      </w:r>
    </w:p>
  </w:footnote>
  <w:footnote w:id="78">
    <w:p w14:paraId="3EF8B018" w14:textId="0A9EB4C0" w:rsidR="00DC68BA" w:rsidRDefault="00DC68BA">
      <w:pPr>
        <w:pStyle w:val="FootnoteText"/>
      </w:pPr>
      <w:r>
        <w:rPr>
          <w:rStyle w:val="FootnoteReference"/>
        </w:rPr>
        <w:footnoteRef/>
      </w:r>
      <w:r>
        <w:t xml:space="preserve"> CETF Opening Comments at 14.</w:t>
      </w:r>
    </w:p>
  </w:footnote>
  <w:footnote w:id="79">
    <w:p w14:paraId="2476801D" w14:textId="5C7E6269" w:rsidR="00DC68BA" w:rsidRDefault="00DC68BA">
      <w:pPr>
        <w:pStyle w:val="FootnoteText"/>
      </w:pPr>
      <w:r>
        <w:rPr>
          <w:rStyle w:val="FootnoteReference"/>
        </w:rPr>
        <w:footnoteRef/>
      </w:r>
      <w:r>
        <w:t xml:space="preserve"> IERBC Opening Comments at 10.</w:t>
      </w:r>
    </w:p>
  </w:footnote>
  <w:footnote w:id="80">
    <w:p w14:paraId="433FCC1E" w14:textId="51C877E5" w:rsidR="00274190" w:rsidRPr="00CD55F2" w:rsidRDefault="00274190">
      <w:pPr>
        <w:pStyle w:val="FootnoteText"/>
      </w:pPr>
      <w:r>
        <w:rPr>
          <w:rStyle w:val="FootnoteReference"/>
        </w:rPr>
        <w:footnoteRef/>
      </w:r>
      <w:r>
        <w:t xml:space="preserve"> IERBC </w:t>
      </w:r>
      <w:r w:rsidRPr="00CD55F2">
        <w:t>Opening Comments at 10-11.</w:t>
      </w:r>
    </w:p>
  </w:footnote>
  <w:footnote w:id="81">
    <w:p w14:paraId="257CF988" w14:textId="05297585" w:rsidR="00AA27C8" w:rsidRDefault="00AA27C8">
      <w:pPr>
        <w:pStyle w:val="FootnoteText"/>
      </w:pPr>
      <w:r w:rsidRPr="00CD55F2">
        <w:rPr>
          <w:rStyle w:val="FootnoteReference"/>
        </w:rPr>
        <w:footnoteRef/>
      </w:r>
      <w:r w:rsidRPr="00CD55F2">
        <w:t xml:space="preserve"> </w:t>
      </w:r>
      <w:r w:rsidR="007151EE" w:rsidRPr="00CD55F2">
        <w:rPr>
          <w:rFonts w:eastAsia="Calibri" w:cs="Arial"/>
          <w:szCs w:val="22"/>
        </w:rPr>
        <w:t xml:space="preserve">IERBC </w:t>
      </w:r>
      <w:r w:rsidR="007151EE" w:rsidRPr="00CD55F2">
        <w:rPr>
          <w:szCs w:val="22"/>
        </w:rPr>
        <w:t>Opening Comments at 12.</w:t>
      </w:r>
    </w:p>
  </w:footnote>
  <w:footnote w:id="82">
    <w:p w14:paraId="750E2FD3" w14:textId="43452061" w:rsidR="009B025C" w:rsidRPr="00CD55F2" w:rsidRDefault="009B025C">
      <w:pPr>
        <w:pStyle w:val="FootnoteText"/>
      </w:pPr>
      <w:r>
        <w:rPr>
          <w:rStyle w:val="FootnoteReference"/>
        </w:rPr>
        <w:footnoteRef/>
      </w:r>
      <w:r>
        <w:t xml:space="preserve"> </w:t>
      </w:r>
      <w:r w:rsidRPr="00CD55F2">
        <w:rPr>
          <w:rFonts w:eastAsia="Calibri" w:cs="Arial"/>
          <w:szCs w:val="22"/>
        </w:rPr>
        <w:t xml:space="preserve">IERBC </w:t>
      </w:r>
      <w:r w:rsidRPr="00CD55F2">
        <w:rPr>
          <w:szCs w:val="22"/>
        </w:rPr>
        <w:t>Opening Comments at 13.</w:t>
      </w:r>
    </w:p>
  </w:footnote>
  <w:footnote w:id="83">
    <w:p w14:paraId="16C0EDD3" w14:textId="635FB339" w:rsidR="001E07B9" w:rsidRDefault="001E07B9">
      <w:pPr>
        <w:pStyle w:val="FootnoteText"/>
      </w:pPr>
      <w:r w:rsidRPr="00CD55F2">
        <w:rPr>
          <w:rStyle w:val="FootnoteReference"/>
        </w:rPr>
        <w:footnoteRef/>
      </w:r>
      <w:r w:rsidRPr="00CD55F2">
        <w:t xml:space="preserve"> </w:t>
      </w:r>
      <w:r w:rsidRPr="00CD55F2">
        <w:rPr>
          <w:rFonts w:eastAsia="Calibri" w:cs="Arial"/>
          <w:szCs w:val="22"/>
        </w:rPr>
        <w:t xml:space="preserve">IERBC </w:t>
      </w:r>
      <w:r w:rsidRPr="00CD55F2">
        <w:rPr>
          <w:szCs w:val="22"/>
        </w:rPr>
        <w:t>Opening Comments at 12-13.</w:t>
      </w:r>
    </w:p>
  </w:footnote>
  <w:footnote w:id="84">
    <w:p w14:paraId="59DC8A73" w14:textId="77777777" w:rsidR="00C56FC6" w:rsidRDefault="00C56FC6" w:rsidP="00C56FC6">
      <w:pPr>
        <w:pStyle w:val="FootnoteText"/>
      </w:pPr>
      <w:r>
        <w:rPr>
          <w:rStyle w:val="FootnoteReference"/>
        </w:rPr>
        <w:footnoteRef/>
      </w:r>
      <w:r>
        <w:t xml:space="preserve"> SAM State Accounting Section 7231. </w:t>
      </w:r>
    </w:p>
  </w:footnote>
  <w:footnote w:id="85">
    <w:p w14:paraId="7719404F" w14:textId="30B9285F" w:rsidR="55E90BF0" w:rsidRDefault="55E90BF0" w:rsidP="55E90BF0">
      <w:pPr>
        <w:pStyle w:val="FootnoteText"/>
      </w:pPr>
      <w:r w:rsidRPr="55E90BF0">
        <w:rPr>
          <w:rStyle w:val="FootnoteReference"/>
          <w:rFonts w:eastAsia="Calibri"/>
          <w:szCs w:val="22"/>
        </w:rPr>
        <w:footnoteRef/>
      </w:r>
      <w:r w:rsidRPr="55E90BF0">
        <w:rPr>
          <w:rFonts w:eastAsia="Calibri"/>
          <w:szCs w:val="22"/>
        </w:rPr>
        <w:t xml:space="preserve"> D.18-06-032, Appendix 1 at 4.</w:t>
      </w:r>
    </w:p>
  </w:footnote>
  <w:footnote w:id="86">
    <w:p w14:paraId="1CDFE80E" w14:textId="26A944B0" w:rsidR="00BC3666" w:rsidRPr="00CD55F2" w:rsidRDefault="00BC3666">
      <w:pPr>
        <w:pStyle w:val="FootnoteText"/>
      </w:pPr>
      <w:r>
        <w:rPr>
          <w:rStyle w:val="FootnoteReference"/>
        </w:rPr>
        <w:footnoteRef/>
      </w:r>
      <w:r>
        <w:t xml:space="preserve"> </w:t>
      </w:r>
      <w:r w:rsidR="00253B71" w:rsidRPr="4E3F0035">
        <w:rPr>
          <w:rFonts w:eastAsia="Calibri" w:cs="Arial"/>
          <w:szCs w:val="22"/>
        </w:rPr>
        <w:t xml:space="preserve">NDC </w:t>
      </w:r>
      <w:r w:rsidR="00253B71" w:rsidRPr="00CD55F2">
        <w:rPr>
          <w:szCs w:val="22"/>
        </w:rPr>
        <w:t>Opening Comments at 17-18.</w:t>
      </w:r>
    </w:p>
  </w:footnote>
  <w:footnote w:id="87">
    <w:p w14:paraId="53DF9AB0" w14:textId="4CAE38CD" w:rsidR="004C3913" w:rsidRDefault="004C3913">
      <w:pPr>
        <w:pStyle w:val="FootnoteText"/>
      </w:pPr>
      <w:r w:rsidRPr="00CD55F2">
        <w:rPr>
          <w:rStyle w:val="FootnoteReference"/>
        </w:rPr>
        <w:footnoteRef/>
      </w:r>
      <w:r w:rsidRPr="00CD55F2">
        <w:t xml:space="preserve"> </w:t>
      </w:r>
      <w:r w:rsidR="003F0411" w:rsidRPr="00CD55F2">
        <w:rPr>
          <w:rFonts w:eastAsia="Calibri" w:cs="Arial"/>
          <w:szCs w:val="22"/>
        </w:rPr>
        <w:t xml:space="preserve">UNITE-LA </w:t>
      </w:r>
      <w:r w:rsidR="003F0411" w:rsidRPr="00CD55F2">
        <w:rPr>
          <w:szCs w:val="22"/>
        </w:rPr>
        <w:t>Opening Comments at 5.</w:t>
      </w:r>
    </w:p>
  </w:footnote>
  <w:footnote w:id="88">
    <w:p w14:paraId="093B80DF" w14:textId="356D96E3" w:rsidR="003F0411" w:rsidRDefault="003F0411">
      <w:pPr>
        <w:pStyle w:val="FootnoteText"/>
      </w:pPr>
      <w:r>
        <w:rPr>
          <w:rStyle w:val="FootnoteReference"/>
        </w:rPr>
        <w:footnoteRef/>
      </w:r>
      <w:r>
        <w:t xml:space="preserve"> CETF Opening Comments at 18.</w:t>
      </w:r>
    </w:p>
  </w:footnote>
  <w:footnote w:id="89">
    <w:p w14:paraId="30329FE5" w14:textId="0F597491" w:rsidR="00F37802" w:rsidRDefault="00F37802">
      <w:pPr>
        <w:pStyle w:val="FootnoteText"/>
      </w:pPr>
      <w:r>
        <w:rPr>
          <w:rStyle w:val="FootnoteReference"/>
        </w:rPr>
        <w:footnoteRef/>
      </w:r>
      <w:r>
        <w:t xml:space="preserve"> </w:t>
      </w:r>
      <w:r w:rsidR="000B19E7">
        <w:t xml:space="preserve">LAEDC </w:t>
      </w:r>
      <w:r w:rsidR="0015491B">
        <w:t>Opening Comments at 13-14.</w:t>
      </w:r>
    </w:p>
  </w:footnote>
  <w:footnote w:id="90">
    <w:p w14:paraId="170AEA6D" w14:textId="0A67CC6B" w:rsidR="000A7360" w:rsidRDefault="000A7360">
      <w:pPr>
        <w:pStyle w:val="FootnoteText"/>
      </w:pPr>
      <w:r>
        <w:rPr>
          <w:rStyle w:val="FootnoteReference"/>
        </w:rPr>
        <w:footnoteRef/>
      </w:r>
      <w:r>
        <w:t xml:space="preserve"> CforAT Opening Comments at 5.</w:t>
      </w:r>
    </w:p>
  </w:footnote>
  <w:footnote w:id="91">
    <w:p w14:paraId="22072808" w14:textId="29F4644C" w:rsidR="000A7360" w:rsidRDefault="000A7360">
      <w:pPr>
        <w:pStyle w:val="FootnoteText"/>
      </w:pPr>
      <w:r>
        <w:rPr>
          <w:rStyle w:val="FootnoteReference"/>
        </w:rPr>
        <w:footnoteRef/>
      </w:r>
      <w:r>
        <w:t xml:space="preserve"> IERBC Opening Comments at 13-14.</w:t>
      </w:r>
    </w:p>
  </w:footnote>
  <w:footnote w:id="92">
    <w:p w14:paraId="6F939AA6" w14:textId="3C05FB3B" w:rsidR="006D36FE" w:rsidRDefault="006D36FE">
      <w:pPr>
        <w:pStyle w:val="FootnoteText"/>
      </w:pPr>
      <w:r>
        <w:rPr>
          <w:rStyle w:val="FootnoteReference"/>
        </w:rPr>
        <w:footnoteRef/>
      </w:r>
      <w:r>
        <w:t xml:space="preserve"> TURN Opening Comments at 7-9.</w:t>
      </w:r>
    </w:p>
  </w:footnote>
  <w:footnote w:id="93">
    <w:p w14:paraId="64B435F0" w14:textId="4D43838D" w:rsidR="0024695A" w:rsidRDefault="0024695A">
      <w:pPr>
        <w:pStyle w:val="FootnoteText"/>
      </w:pPr>
      <w:r>
        <w:rPr>
          <w:rStyle w:val="FootnoteReference"/>
        </w:rPr>
        <w:footnoteRef/>
      </w:r>
      <w:r>
        <w:t xml:space="preserve"> </w:t>
      </w:r>
      <w:r w:rsidR="00460E09">
        <w:t>IERBC Opening Comments at 14.</w:t>
      </w:r>
    </w:p>
  </w:footnote>
  <w:footnote w:id="94">
    <w:p w14:paraId="275671E8" w14:textId="67CE0D76" w:rsidR="00FF5FB4" w:rsidRDefault="00FF5FB4">
      <w:pPr>
        <w:pStyle w:val="FootnoteText"/>
      </w:pPr>
      <w:r>
        <w:rPr>
          <w:rStyle w:val="FootnoteReference"/>
        </w:rPr>
        <w:footnoteRef/>
      </w:r>
      <w:r>
        <w:t xml:space="preserve"> </w:t>
      </w:r>
      <w:r w:rsidR="00A14569">
        <w:t>NDC Opening Comments at 19; CforAT Opening Comments at 6.</w:t>
      </w:r>
    </w:p>
  </w:footnote>
  <w:footnote w:id="95">
    <w:p w14:paraId="37C7FF5A" w14:textId="5592265D" w:rsidR="00303227" w:rsidRDefault="00303227">
      <w:pPr>
        <w:pStyle w:val="FootnoteText"/>
      </w:pPr>
      <w:r>
        <w:rPr>
          <w:rStyle w:val="FootnoteReference"/>
        </w:rPr>
        <w:footnoteRef/>
      </w:r>
      <w:r>
        <w:t xml:space="preserve"> </w:t>
      </w:r>
      <w:r w:rsidR="005C1D93">
        <w:t>CforAT Opening Comments at 6.</w:t>
      </w:r>
    </w:p>
  </w:footnote>
  <w:footnote w:id="96">
    <w:p w14:paraId="19F4298F" w14:textId="7A515ACE" w:rsidR="004D117E" w:rsidRDefault="004D117E">
      <w:pPr>
        <w:pStyle w:val="FootnoteText"/>
      </w:pPr>
      <w:r>
        <w:rPr>
          <w:rStyle w:val="FootnoteReference"/>
        </w:rPr>
        <w:footnoteRef/>
      </w:r>
      <w:r>
        <w:t xml:space="preserve"> LAEDC Opening Comments at 14.</w:t>
      </w:r>
    </w:p>
  </w:footnote>
  <w:footnote w:id="97">
    <w:p w14:paraId="1A29EFAD" w14:textId="1DFB35D0" w:rsidR="0074107B" w:rsidRDefault="0074107B">
      <w:pPr>
        <w:pStyle w:val="FootnoteText"/>
      </w:pPr>
      <w:r>
        <w:rPr>
          <w:rStyle w:val="FootnoteReference"/>
        </w:rPr>
        <w:footnoteRef/>
      </w:r>
      <w:r>
        <w:t xml:space="preserve"> IERBC Opening Comments at 14.</w:t>
      </w:r>
    </w:p>
  </w:footnote>
  <w:footnote w:id="98">
    <w:p w14:paraId="3DE3A897" w14:textId="21EB1383" w:rsidR="55E90BF0" w:rsidRDefault="55E90BF0" w:rsidP="55E90BF0">
      <w:pPr>
        <w:pStyle w:val="FootnoteText"/>
      </w:pPr>
      <w:r w:rsidRPr="55E90BF0">
        <w:rPr>
          <w:rStyle w:val="FootnoteReference"/>
          <w:rFonts w:eastAsia="Calibri"/>
          <w:szCs w:val="22"/>
        </w:rPr>
        <w:footnoteRef/>
      </w:r>
      <w:r w:rsidRPr="55E90BF0">
        <w:rPr>
          <w:rFonts w:eastAsia="Calibri"/>
          <w:szCs w:val="22"/>
        </w:rPr>
        <w:t xml:space="preserve"> D.18-06-032, Appendix 1 at 10.</w:t>
      </w:r>
    </w:p>
  </w:footnote>
  <w:footnote w:id="99">
    <w:p w14:paraId="680FE7A1" w14:textId="2F49AE31" w:rsidR="00C870C2" w:rsidRDefault="00C870C2">
      <w:pPr>
        <w:pStyle w:val="FootnoteText"/>
      </w:pPr>
      <w:r>
        <w:rPr>
          <w:rStyle w:val="FootnoteReference"/>
        </w:rPr>
        <w:footnoteRef/>
      </w:r>
      <w:r>
        <w:t xml:space="preserve"> IERBC Opening Comments at 15; LAEDC Opening Comments at 15.</w:t>
      </w:r>
    </w:p>
  </w:footnote>
  <w:footnote w:id="100">
    <w:p w14:paraId="5D47F8F3" w14:textId="7050930A" w:rsidR="00394BE3" w:rsidRDefault="00394BE3">
      <w:pPr>
        <w:pStyle w:val="FootnoteText"/>
      </w:pPr>
      <w:r>
        <w:rPr>
          <w:rStyle w:val="FootnoteReference"/>
        </w:rPr>
        <w:footnoteRef/>
      </w:r>
      <w:r>
        <w:t xml:space="preserve"> NDC Opening Comments at 20.</w:t>
      </w:r>
    </w:p>
  </w:footnote>
  <w:footnote w:id="101">
    <w:p w14:paraId="41265750" w14:textId="70D424A6" w:rsidR="0063797C" w:rsidRDefault="0063797C">
      <w:pPr>
        <w:pStyle w:val="FootnoteText"/>
      </w:pPr>
      <w:r>
        <w:rPr>
          <w:rStyle w:val="FootnoteReference"/>
        </w:rPr>
        <w:footnoteRef/>
      </w:r>
      <w:r>
        <w:t xml:space="preserve"> </w:t>
      </w:r>
      <w:r w:rsidR="008C046B">
        <w:t>CETF Opening Comments at 19-20.</w:t>
      </w:r>
    </w:p>
  </w:footnote>
  <w:footnote w:id="102">
    <w:p w14:paraId="40FFAB7F" w14:textId="50FDD508" w:rsidR="009E676B" w:rsidRDefault="009E676B">
      <w:pPr>
        <w:pStyle w:val="FootnoteText"/>
      </w:pPr>
      <w:r>
        <w:rPr>
          <w:rStyle w:val="FootnoteReference"/>
        </w:rPr>
        <w:footnoteRef/>
      </w:r>
      <w:r>
        <w:t xml:space="preserve"> </w:t>
      </w:r>
      <w:r w:rsidR="005531B7">
        <w:t>CforAT Reply Comments at 8.</w:t>
      </w:r>
    </w:p>
  </w:footnote>
  <w:footnote w:id="103">
    <w:p w14:paraId="0162D7D1" w14:textId="0C5D7929" w:rsidR="005531B7" w:rsidRDefault="005531B7">
      <w:pPr>
        <w:pStyle w:val="FootnoteText"/>
      </w:pPr>
      <w:r>
        <w:rPr>
          <w:rStyle w:val="FootnoteReference"/>
        </w:rPr>
        <w:footnoteRef/>
      </w:r>
      <w:r>
        <w:t xml:space="preserve"> IERBC Opening Comments at 15; LAEDC Opening Comments at 15.</w:t>
      </w:r>
    </w:p>
  </w:footnote>
  <w:footnote w:id="104">
    <w:p w14:paraId="0CB5FEB7" w14:textId="576C022E" w:rsidR="00065FD7" w:rsidRDefault="00065FD7">
      <w:pPr>
        <w:pStyle w:val="FootnoteText"/>
      </w:pPr>
      <w:r>
        <w:rPr>
          <w:rStyle w:val="FootnoteReference"/>
        </w:rPr>
        <w:footnoteRef/>
      </w:r>
      <w:r>
        <w:t xml:space="preserve"> </w:t>
      </w:r>
      <w:r w:rsidR="00A33011">
        <w:t xml:space="preserve">LAEDC Opening Comments </w:t>
      </w:r>
      <w:r w:rsidR="003B524A">
        <w:t>at 15.</w:t>
      </w:r>
    </w:p>
  </w:footnote>
  <w:footnote w:id="105">
    <w:p w14:paraId="3373516E" w14:textId="35030F3E" w:rsidR="0084330C" w:rsidRDefault="0084330C">
      <w:pPr>
        <w:pStyle w:val="FootnoteText"/>
      </w:pPr>
      <w:r>
        <w:rPr>
          <w:rStyle w:val="FootnoteReference"/>
        </w:rPr>
        <w:footnoteRef/>
      </w:r>
      <w:r>
        <w:t xml:space="preserve"> CforAT Opening Comments at 6-7.</w:t>
      </w:r>
    </w:p>
  </w:footnote>
  <w:footnote w:id="106">
    <w:p w14:paraId="07C7D305" w14:textId="386A96B2" w:rsidR="00BA1486" w:rsidRDefault="00BA1486">
      <w:pPr>
        <w:pStyle w:val="FootnoteText"/>
      </w:pPr>
      <w:r>
        <w:rPr>
          <w:rStyle w:val="FootnoteReference"/>
        </w:rPr>
        <w:footnoteRef/>
      </w:r>
      <w:r>
        <w:t xml:space="preserve"> NDC Opening Comments at</w:t>
      </w:r>
      <w:r w:rsidR="00D90B99">
        <w:t xml:space="preserve"> 20-22.</w:t>
      </w:r>
    </w:p>
  </w:footnote>
  <w:footnote w:id="107">
    <w:p w14:paraId="78B002F5" w14:textId="6268BFEB" w:rsidR="005E594A" w:rsidRDefault="005E594A">
      <w:pPr>
        <w:pStyle w:val="FootnoteText"/>
      </w:pPr>
      <w:r>
        <w:rPr>
          <w:rStyle w:val="FootnoteReference"/>
        </w:rPr>
        <w:footnoteRef/>
      </w:r>
      <w:r>
        <w:t xml:space="preserve"> LAEDC Opening Comments at</w:t>
      </w:r>
      <w:r w:rsidR="000B5ABE">
        <w:t xml:space="preserve"> </w:t>
      </w:r>
      <w:r w:rsidR="00C64644">
        <w:t>16.</w:t>
      </w:r>
    </w:p>
  </w:footnote>
  <w:footnote w:id="108">
    <w:p w14:paraId="6EAF1081" w14:textId="0BC0DCD6" w:rsidR="00C833EA" w:rsidRDefault="00C833EA">
      <w:pPr>
        <w:pStyle w:val="FootnoteText"/>
      </w:pPr>
      <w:r>
        <w:rPr>
          <w:rStyle w:val="FootnoteReference"/>
        </w:rPr>
        <w:footnoteRef/>
      </w:r>
      <w:r>
        <w:t xml:space="preserve"> IERBC Opening Comments at</w:t>
      </w:r>
      <w:r w:rsidR="000814AF">
        <w:t xml:space="preserve"> 15.</w:t>
      </w:r>
    </w:p>
  </w:footnote>
  <w:footnote w:id="109">
    <w:p w14:paraId="60B97232" w14:textId="4A3BFBDD" w:rsidR="00FB0379" w:rsidRDefault="00FB0379">
      <w:pPr>
        <w:pStyle w:val="FootnoteText"/>
      </w:pPr>
      <w:r>
        <w:rPr>
          <w:rStyle w:val="FootnoteReference"/>
        </w:rPr>
        <w:footnoteRef/>
      </w:r>
      <w:r>
        <w:t xml:space="preserve"> </w:t>
      </w:r>
      <w:r w:rsidR="003009A0">
        <w:t>TURN Opening Comments at</w:t>
      </w:r>
      <w:r w:rsidR="00F57C0B">
        <w:t xml:space="preserve"> 10.</w:t>
      </w:r>
    </w:p>
  </w:footnote>
  <w:footnote w:id="110">
    <w:p w14:paraId="6EF7D084" w14:textId="451E853B" w:rsidR="55E90BF0" w:rsidRDefault="55E90BF0" w:rsidP="55E90BF0">
      <w:pPr>
        <w:pStyle w:val="FootnoteText"/>
      </w:pPr>
      <w:r w:rsidRPr="55E90BF0">
        <w:rPr>
          <w:rStyle w:val="FootnoteReference"/>
          <w:rFonts w:eastAsia="Calibri"/>
          <w:szCs w:val="22"/>
        </w:rPr>
        <w:footnoteRef/>
      </w:r>
      <w:r w:rsidRPr="55E90BF0">
        <w:rPr>
          <w:rFonts w:eastAsia="Calibri"/>
          <w:szCs w:val="22"/>
        </w:rPr>
        <w:t xml:space="preserve"> D.18-06-032, Appendix 1 at 4.</w:t>
      </w:r>
    </w:p>
  </w:footnote>
  <w:footnote w:id="111">
    <w:p w14:paraId="237AD58D" w14:textId="0DD97865" w:rsidR="55E90BF0" w:rsidRDefault="55E90BF0" w:rsidP="55E90BF0">
      <w:pPr>
        <w:pStyle w:val="FootnoteText"/>
      </w:pPr>
      <w:r w:rsidRPr="55E90BF0">
        <w:rPr>
          <w:rStyle w:val="FootnoteReference"/>
          <w:rFonts w:eastAsia="Calibri"/>
          <w:szCs w:val="22"/>
        </w:rPr>
        <w:footnoteRef/>
      </w:r>
      <w:r w:rsidRPr="55E90BF0">
        <w:rPr>
          <w:rFonts w:eastAsia="Calibri"/>
          <w:szCs w:val="22"/>
        </w:rPr>
        <w:t xml:space="preserve"> D.18-06-032, Appendix 1 n7.</w:t>
      </w:r>
    </w:p>
  </w:footnote>
  <w:footnote w:id="112">
    <w:p w14:paraId="0C2FAD49" w14:textId="66264D4E" w:rsidR="00E8282D" w:rsidRDefault="00E8282D">
      <w:pPr>
        <w:pStyle w:val="FootnoteText"/>
      </w:pPr>
      <w:r>
        <w:rPr>
          <w:rStyle w:val="FootnoteReference"/>
        </w:rPr>
        <w:footnoteRef/>
      </w:r>
      <w:r>
        <w:t xml:space="preserve"> </w:t>
      </w:r>
      <w:r w:rsidR="00530230" w:rsidRPr="00530230">
        <w:t>NDC Opening Comments at 22; IERBC Opening Comments at 16; LAEDC Opening Comments at 17; CETF Opening Comments at 21.</w:t>
      </w:r>
    </w:p>
  </w:footnote>
  <w:footnote w:id="113">
    <w:p w14:paraId="7C4C6B94" w14:textId="50DEC9A3" w:rsidR="00E8282D" w:rsidRDefault="00E8282D">
      <w:pPr>
        <w:pStyle w:val="FootnoteText"/>
      </w:pPr>
      <w:r>
        <w:rPr>
          <w:rStyle w:val="FootnoteReference"/>
        </w:rPr>
        <w:footnoteRef/>
      </w:r>
      <w:r>
        <w:t xml:space="preserve"> </w:t>
      </w:r>
      <w:r w:rsidR="00530230">
        <w:t>NDC Opening Comments at 22.</w:t>
      </w:r>
    </w:p>
  </w:footnote>
  <w:footnote w:id="114">
    <w:p w14:paraId="5442545E" w14:textId="1BAB9868" w:rsidR="000200DE" w:rsidRDefault="000200DE">
      <w:pPr>
        <w:pStyle w:val="FootnoteText"/>
      </w:pPr>
      <w:r>
        <w:rPr>
          <w:rStyle w:val="FootnoteReference"/>
        </w:rPr>
        <w:footnoteRef/>
      </w:r>
      <w:r>
        <w:t xml:space="preserve"> </w:t>
      </w:r>
      <w:r w:rsidR="00BB1BDB">
        <w:t>IERBC Opening Comments at 16.</w:t>
      </w:r>
    </w:p>
  </w:footnote>
  <w:footnote w:id="115">
    <w:p w14:paraId="47F51B0A" w14:textId="1BAE0674" w:rsidR="00BB1BDB" w:rsidRDefault="00BB1BDB">
      <w:pPr>
        <w:pStyle w:val="FootnoteText"/>
      </w:pPr>
      <w:r>
        <w:rPr>
          <w:rStyle w:val="FootnoteReference"/>
        </w:rPr>
        <w:footnoteRef/>
      </w:r>
      <w:r>
        <w:t xml:space="preserve"> CETF Opening Comments at 21.</w:t>
      </w:r>
    </w:p>
  </w:footnote>
  <w:footnote w:id="116">
    <w:p w14:paraId="175CD97E" w14:textId="389FDE74" w:rsidR="55E90BF0" w:rsidRDefault="55E90BF0" w:rsidP="55E90BF0">
      <w:pPr>
        <w:pStyle w:val="FootnoteText"/>
      </w:pPr>
      <w:r w:rsidRPr="55E90BF0">
        <w:rPr>
          <w:rStyle w:val="FootnoteReference"/>
          <w:rFonts w:eastAsia="Calibri"/>
          <w:szCs w:val="22"/>
        </w:rPr>
        <w:footnoteRef/>
      </w:r>
      <w:r w:rsidR="00F209CE">
        <w:rPr>
          <w:rFonts w:eastAsia="Calibri"/>
          <w:szCs w:val="22"/>
        </w:rPr>
        <w:t xml:space="preserve"> </w:t>
      </w:r>
      <w:r w:rsidRPr="55E90BF0">
        <w:rPr>
          <w:rFonts w:eastAsia="Calibri"/>
          <w:szCs w:val="22"/>
        </w:rPr>
        <w:t xml:space="preserve"> D.18-06-032, Appendix 1 at 5.</w:t>
      </w:r>
    </w:p>
  </w:footnote>
  <w:footnote w:id="117">
    <w:p w14:paraId="6062D4F0" w14:textId="65A273DD" w:rsidR="007233F8" w:rsidRDefault="007233F8">
      <w:pPr>
        <w:pStyle w:val="FootnoteText"/>
      </w:pPr>
      <w:r>
        <w:rPr>
          <w:rStyle w:val="FootnoteReference"/>
        </w:rPr>
        <w:footnoteRef/>
      </w:r>
      <w:r>
        <w:t xml:space="preserve"> </w:t>
      </w:r>
      <w:r w:rsidR="00A5615B" w:rsidRPr="00A5615B">
        <w:t>IERBC Opening Comments at 16; NDC Opening Comments at 22-23; LAEDC Opening</w:t>
      </w:r>
      <w:r w:rsidR="00BC0CA4">
        <w:t> </w:t>
      </w:r>
      <w:r w:rsidR="00A5615B" w:rsidRPr="00A5615B">
        <w:t>Comments at 17-18; UNITE-LA Opening Comments at 6.</w:t>
      </w:r>
    </w:p>
  </w:footnote>
  <w:footnote w:id="118">
    <w:p w14:paraId="2D1056EF" w14:textId="37AEA624" w:rsidR="00A5615B" w:rsidRDefault="00A5615B">
      <w:pPr>
        <w:pStyle w:val="FootnoteText"/>
      </w:pPr>
      <w:r>
        <w:rPr>
          <w:rStyle w:val="FootnoteReference"/>
        </w:rPr>
        <w:footnoteRef/>
      </w:r>
      <w:r>
        <w:t xml:space="preserve"> </w:t>
      </w:r>
      <w:r w:rsidR="00656DD7">
        <w:t xml:space="preserve">Cal Advocates Opening Comments at </w:t>
      </w:r>
      <w:r w:rsidR="0079716C">
        <w:t>3-4.</w:t>
      </w:r>
    </w:p>
  </w:footnote>
  <w:footnote w:id="119">
    <w:p w14:paraId="1D317348" w14:textId="239BB7FE" w:rsidR="00674E3E" w:rsidRDefault="00674E3E">
      <w:pPr>
        <w:pStyle w:val="FootnoteText"/>
      </w:pPr>
      <w:r>
        <w:rPr>
          <w:rStyle w:val="FootnoteReference"/>
        </w:rPr>
        <w:footnoteRef/>
      </w:r>
      <w:r>
        <w:t xml:space="preserve"> </w:t>
      </w:r>
      <w:r w:rsidR="005E53D4">
        <w:t>CforAT Opening Comments at 7.</w:t>
      </w:r>
    </w:p>
  </w:footnote>
  <w:footnote w:id="120">
    <w:p w14:paraId="0CB08243" w14:textId="4DAAED75" w:rsidR="00840620" w:rsidRDefault="00840620">
      <w:pPr>
        <w:pStyle w:val="FootnoteText"/>
      </w:pPr>
      <w:r>
        <w:rPr>
          <w:rStyle w:val="FootnoteReference"/>
        </w:rPr>
        <w:footnoteRef/>
      </w:r>
      <w:r>
        <w:t xml:space="preserve"> </w:t>
      </w:r>
      <w:r w:rsidR="005E53D4">
        <w:t>CforAT Reply Comments at 8.</w:t>
      </w:r>
    </w:p>
  </w:footnote>
  <w:footnote w:id="121">
    <w:p w14:paraId="507A5BBA" w14:textId="35E4EEC3" w:rsidR="005E53D4" w:rsidRDefault="005E53D4">
      <w:pPr>
        <w:pStyle w:val="FootnoteText"/>
      </w:pPr>
      <w:r>
        <w:rPr>
          <w:rStyle w:val="FootnoteReference"/>
        </w:rPr>
        <w:footnoteRef/>
      </w:r>
      <w:r>
        <w:t xml:space="preserve"> CETF Opening Comments at 22.</w:t>
      </w:r>
    </w:p>
  </w:footnote>
  <w:footnote w:id="122">
    <w:p w14:paraId="588DA695" w14:textId="047762AC" w:rsidR="00242273" w:rsidRDefault="00242273">
      <w:pPr>
        <w:pStyle w:val="FootnoteText"/>
      </w:pPr>
      <w:r>
        <w:rPr>
          <w:rStyle w:val="FootnoteReference"/>
        </w:rPr>
        <w:footnoteRef/>
      </w:r>
      <w:r>
        <w:t xml:space="preserve"> </w:t>
      </w:r>
      <w:r w:rsidR="005741EB" w:rsidRPr="00F170B0">
        <w:rPr>
          <w:i/>
          <w:iCs/>
        </w:rPr>
        <w:t>See</w:t>
      </w:r>
      <w:r w:rsidR="005741EB">
        <w:t xml:space="preserve"> the Federal Communications Commission’s </w:t>
      </w:r>
      <w:r w:rsidR="00615DE2">
        <w:t>Affordable Connectivity Program webpage</w:t>
      </w:r>
      <w:r w:rsidR="007F1B9B">
        <w:t xml:space="preserve">: </w:t>
      </w:r>
      <w:hyperlink r:id="rId3" w:history="1">
        <w:r w:rsidR="00C93119" w:rsidRPr="00FA1A2C">
          <w:rPr>
            <w:rStyle w:val="Hyperlink"/>
          </w:rPr>
          <w:t>https://www.fcc.gov/acp</w:t>
        </w:r>
      </w:hyperlink>
      <w:r w:rsidR="00C93119">
        <w:t xml:space="preserve"> (last accessed March 29, 2022).</w:t>
      </w:r>
    </w:p>
  </w:footnote>
  <w:footnote w:id="123">
    <w:p w14:paraId="45578981" w14:textId="323B79C2" w:rsidR="55E90BF0" w:rsidRDefault="55E90BF0" w:rsidP="55E90BF0">
      <w:pPr>
        <w:pStyle w:val="FootnoteText"/>
      </w:pPr>
      <w:r w:rsidRPr="55E90BF0">
        <w:rPr>
          <w:rStyle w:val="FootnoteReference"/>
          <w:rFonts w:eastAsia="Calibri"/>
          <w:szCs w:val="22"/>
        </w:rPr>
        <w:footnoteRef/>
      </w:r>
      <w:r w:rsidRPr="55E90BF0">
        <w:rPr>
          <w:rFonts w:eastAsia="Calibri"/>
          <w:szCs w:val="22"/>
        </w:rPr>
        <w:t xml:space="preserve"> D.18-06-032, Appendix 1 at 5.</w:t>
      </w:r>
    </w:p>
  </w:footnote>
  <w:footnote w:id="124">
    <w:p w14:paraId="1554ED2D" w14:textId="62BB0912" w:rsidR="006D72AA" w:rsidRDefault="006D72AA">
      <w:pPr>
        <w:pStyle w:val="FootnoteText"/>
      </w:pPr>
      <w:r>
        <w:rPr>
          <w:rStyle w:val="FootnoteReference"/>
        </w:rPr>
        <w:footnoteRef/>
      </w:r>
      <w:r>
        <w:t xml:space="preserve"> </w:t>
      </w:r>
      <w:r w:rsidR="00AD0E93" w:rsidRPr="00AD0E93">
        <w:t>IERBC Opening Comments at 16-17; NDC Opening Comments at 23; LAEDC Opening</w:t>
      </w:r>
      <w:r w:rsidR="00BC0CA4">
        <w:t> </w:t>
      </w:r>
      <w:r w:rsidR="00AD0E93" w:rsidRPr="00AD0E93">
        <w:t>Comments at 18; UNITE-LA Opening Comments at 6.</w:t>
      </w:r>
    </w:p>
  </w:footnote>
  <w:footnote w:id="125">
    <w:p w14:paraId="59950296" w14:textId="7B18FC10" w:rsidR="006C710B" w:rsidRDefault="006C710B">
      <w:pPr>
        <w:pStyle w:val="FootnoteText"/>
      </w:pPr>
      <w:r>
        <w:rPr>
          <w:rStyle w:val="FootnoteReference"/>
        </w:rPr>
        <w:footnoteRef/>
      </w:r>
      <w:r>
        <w:t xml:space="preserve"> IERBC Opening Comments at 16-17.</w:t>
      </w:r>
    </w:p>
  </w:footnote>
  <w:footnote w:id="126">
    <w:p w14:paraId="73D1DCF6" w14:textId="676A4DB5" w:rsidR="00D4223B" w:rsidRDefault="00D4223B">
      <w:pPr>
        <w:pStyle w:val="FootnoteText"/>
      </w:pPr>
      <w:r>
        <w:rPr>
          <w:rStyle w:val="FootnoteReference"/>
        </w:rPr>
        <w:footnoteRef/>
      </w:r>
      <w:r>
        <w:t xml:space="preserve"> NDC Opening Comments at 23.</w:t>
      </w:r>
    </w:p>
  </w:footnote>
  <w:footnote w:id="127">
    <w:p w14:paraId="23E5B419" w14:textId="19734AD5" w:rsidR="003050F0" w:rsidRDefault="003050F0">
      <w:pPr>
        <w:pStyle w:val="FootnoteText"/>
      </w:pPr>
      <w:r>
        <w:rPr>
          <w:rStyle w:val="FootnoteReference"/>
        </w:rPr>
        <w:footnoteRef/>
      </w:r>
      <w:r>
        <w:t xml:space="preserve"> </w:t>
      </w:r>
      <w:r w:rsidR="009B3E18">
        <w:t>CETF Opening Comments at 22.</w:t>
      </w:r>
    </w:p>
  </w:footnote>
  <w:footnote w:id="128">
    <w:p w14:paraId="13896FC3" w14:textId="3CD5AD03" w:rsidR="006B578B" w:rsidRDefault="006B578B">
      <w:pPr>
        <w:pStyle w:val="FootnoteText"/>
      </w:pPr>
      <w:r>
        <w:rPr>
          <w:rStyle w:val="FootnoteReference"/>
        </w:rPr>
        <w:footnoteRef/>
      </w:r>
      <w:r>
        <w:t xml:space="preserve"> CforAT Reply Comments at 8-9.</w:t>
      </w:r>
    </w:p>
  </w:footnote>
  <w:footnote w:id="129">
    <w:p w14:paraId="74AC6642" w14:textId="032917B4" w:rsidR="55E90BF0" w:rsidRDefault="55E90BF0" w:rsidP="55E90BF0">
      <w:pPr>
        <w:pStyle w:val="FootnoteText"/>
      </w:pPr>
      <w:r w:rsidRPr="55E90BF0">
        <w:rPr>
          <w:rStyle w:val="FootnoteReference"/>
          <w:rFonts w:eastAsia="Calibri"/>
          <w:szCs w:val="22"/>
        </w:rPr>
        <w:footnoteRef/>
      </w:r>
      <w:r w:rsidRPr="55E90BF0">
        <w:rPr>
          <w:rFonts w:eastAsia="Calibri"/>
          <w:szCs w:val="22"/>
        </w:rPr>
        <w:t xml:space="preserve"> </w:t>
      </w:r>
      <w:r w:rsidRPr="55E90BF0">
        <w:rPr>
          <w:rFonts w:eastAsia="Calibri"/>
          <w:i/>
          <w:iCs/>
          <w:szCs w:val="22"/>
        </w:rPr>
        <w:t>See</w:t>
      </w:r>
      <w:r w:rsidRPr="55E90BF0">
        <w:rPr>
          <w:rFonts w:eastAsia="Calibri"/>
          <w:szCs w:val="22"/>
        </w:rPr>
        <w:t xml:space="preserve"> D.18-06-032, Appendix 1 at 4.</w:t>
      </w:r>
    </w:p>
  </w:footnote>
  <w:footnote w:id="130">
    <w:p w14:paraId="10E56892" w14:textId="747FC1CA" w:rsidR="00C25106" w:rsidRDefault="00C25106">
      <w:pPr>
        <w:pStyle w:val="FootnoteText"/>
      </w:pPr>
      <w:r>
        <w:rPr>
          <w:rStyle w:val="FootnoteReference"/>
        </w:rPr>
        <w:footnoteRef/>
      </w:r>
      <w:r>
        <w:t xml:space="preserve"> </w:t>
      </w:r>
      <w:r w:rsidR="00811760" w:rsidRPr="00811760">
        <w:t>IERBC Opening Comments at 17; LAEDC Opening Comments at 19; NDC Opening Comments at 24</w:t>
      </w:r>
      <w:r w:rsidR="00811760">
        <w:t>.</w:t>
      </w:r>
    </w:p>
  </w:footnote>
  <w:footnote w:id="131">
    <w:p w14:paraId="1F8651FC" w14:textId="18AD8AE4" w:rsidR="008B54DA" w:rsidRDefault="008B54DA">
      <w:pPr>
        <w:pStyle w:val="FootnoteText"/>
      </w:pPr>
      <w:r>
        <w:rPr>
          <w:rStyle w:val="FootnoteReference"/>
        </w:rPr>
        <w:footnoteRef/>
      </w:r>
      <w:r>
        <w:t xml:space="preserve"> LAEDC Opening Comments at 19.</w:t>
      </w:r>
    </w:p>
  </w:footnote>
  <w:footnote w:id="132">
    <w:p w14:paraId="610E3CE1" w14:textId="3330FB82" w:rsidR="00712D2B" w:rsidRDefault="00712D2B">
      <w:pPr>
        <w:pStyle w:val="FootnoteText"/>
      </w:pPr>
      <w:r>
        <w:rPr>
          <w:rStyle w:val="FootnoteReference"/>
        </w:rPr>
        <w:footnoteRef/>
      </w:r>
      <w:r>
        <w:t xml:space="preserve"> </w:t>
      </w:r>
      <w:r w:rsidR="007D3E79">
        <w:t>NDC Opening Comments at 24.</w:t>
      </w:r>
    </w:p>
  </w:footnote>
  <w:footnote w:id="133">
    <w:p w14:paraId="355D911D" w14:textId="3C1D3762" w:rsidR="004F2DDC" w:rsidRDefault="004F2DDC">
      <w:pPr>
        <w:pStyle w:val="FootnoteText"/>
      </w:pPr>
      <w:r>
        <w:rPr>
          <w:rStyle w:val="FootnoteReference"/>
        </w:rPr>
        <w:footnoteRef/>
      </w:r>
      <w:r>
        <w:t xml:space="preserve"> </w:t>
      </w:r>
      <w:r w:rsidR="008A1C23">
        <w:t>IERBC Opening Comments at 17.</w:t>
      </w:r>
    </w:p>
  </w:footnote>
  <w:footnote w:id="134">
    <w:p w14:paraId="6B0E8682" w14:textId="296BAA07" w:rsidR="00DB2D17" w:rsidRDefault="00DB2D17">
      <w:pPr>
        <w:pStyle w:val="FootnoteText"/>
      </w:pPr>
      <w:r>
        <w:rPr>
          <w:rStyle w:val="FootnoteReference"/>
        </w:rPr>
        <w:footnoteRef/>
      </w:r>
      <w:r>
        <w:t xml:space="preserve"> UNITE-LA Opening Comments at 6.</w:t>
      </w:r>
    </w:p>
  </w:footnote>
  <w:footnote w:id="135">
    <w:p w14:paraId="3AD61A9C" w14:textId="1D9DFFA5" w:rsidR="004D0237" w:rsidRDefault="004D0237">
      <w:pPr>
        <w:pStyle w:val="FootnoteText"/>
      </w:pPr>
      <w:r>
        <w:rPr>
          <w:rStyle w:val="FootnoteReference"/>
        </w:rPr>
        <w:footnoteRef/>
      </w:r>
      <w:r>
        <w:t xml:space="preserve"> </w:t>
      </w:r>
      <w:r w:rsidR="006B6885">
        <w:t>CETF Opening Comments at 23.</w:t>
      </w:r>
    </w:p>
  </w:footnote>
  <w:footnote w:id="136">
    <w:p w14:paraId="4BDE6591" w14:textId="16B4E27E" w:rsidR="0036119C" w:rsidRDefault="0036119C">
      <w:pPr>
        <w:pStyle w:val="FootnoteText"/>
      </w:pPr>
      <w:r>
        <w:rPr>
          <w:rStyle w:val="FootnoteReference"/>
        </w:rPr>
        <w:footnoteRef/>
      </w:r>
      <w:r>
        <w:t xml:space="preserve"> CforAT Opening Comments at 8-9.</w:t>
      </w:r>
    </w:p>
  </w:footnote>
  <w:footnote w:id="137">
    <w:p w14:paraId="7945169E" w14:textId="121847F5" w:rsidR="55E90BF0" w:rsidRDefault="55E90BF0" w:rsidP="55E90BF0">
      <w:pPr>
        <w:pStyle w:val="FootnoteText"/>
        <w:rPr>
          <w:rFonts w:eastAsia="Calibri"/>
          <w:szCs w:val="22"/>
        </w:rPr>
      </w:pPr>
      <w:r w:rsidRPr="55E90BF0">
        <w:rPr>
          <w:rStyle w:val="FootnoteReference"/>
          <w:rFonts w:eastAsia="Calibri"/>
          <w:szCs w:val="22"/>
        </w:rPr>
        <w:footnoteRef/>
      </w:r>
      <w:r w:rsidRPr="55E90BF0">
        <w:rPr>
          <w:rFonts w:eastAsia="Calibri"/>
          <w:szCs w:val="22"/>
        </w:rPr>
        <w:t xml:space="preserve"> ”Administrative costs“ are defined here as “indirect overhead costs attributable to a project, per generally accepted accounting principles (GAAP), and the direct cost of complying with Commission administrative and regulatory requirements related to the grant itself,” consistent with other CASF program rules.</w:t>
      </w:r>
      <w:r w:rsidR="00F209CE">
        <w:rPr>
          <w:rFonts w:eastAsia="Calibri"/>
          <w:szCs w:val="22"/>
        </w:rPr>
        <w:t xml:space="preserve"> </w:t>
      </w:r>
      <w:r w:rsidRPr="55E90BF0">
        <w:rPr>
          <w:rFonts w:eastAsia="Calibri"/>
          <w:szCs w:val="22"/>
        </w:rPr>
        <w:t>Adoption Account rules prohibit reimbursement for “Facility rent, utilities, internet service costs, food costs, lodging, marketing incentives for participation (gift cards, giveaways, etc.), certain classroom supplies and accessories, and other items not listed [as eligible costs.]”</w:t>
      </w:r>
      <w:r w:rsidR="00F209CE">
        <w:rPr>
          <w:rFonts w:eastAsia="Calibri"/>
          <w:szCs w:val="22"/>
        </w:rPr>
        <w:t xml:space="preserve"> </w:t>
      </w:r>
      <w:r w:rsidRPr="55E90BF0">
        <w:rPr>
          <w:rFonts w:eastAsia="Calibri"/>
          <w:szCs w:val="22"/>
        </w:rPr>
        <w:t>These items continue to be ineligible for reimbursement.</w:t>
      </w:r>
    </w:p>
  </w:footnote>
  <w:footnote w:id="138">
    <w:p w14:paraId="21A9AB4C" w14:textId="27D8C932" w:rsidR="002246BF" w:rsidRDefault="002246BF">
      <w:pPr>
        <w:pStyle w:val="FootnoteText"/>
      </w:pPr>
      <w:r>
        <w:rPr>
          <w:rStyle w:val="FootnoteReference"/>
        </w:rPr>
        <w:footnoteRef/>
      </w:r>
      <w:r>
        <w:t xml:space="preserve"> </w:t>
      </w:r>
      <w:r w:rsidR="0099711D" w:rsidRPr="0099711D">
        <w:t>IERBC Opening Comments at 17; NDC Opening Comments at 25.</w:t>
      </w:r>
    </w:p>
  </w:footnote>
  <w:footnote w:id="139">
    <w:p w14:paraId="1265EE3A" w14:textId="05B8F268" w:rsidR="0099711D" w:rsidRDefault="0099711D">
      <w:pPr>
        <w:pStyle w:val="FootnoteText"/>
      </w:pPr>
      <w:r>
        <w:rPr>
          <w:rStyle w:val="FootnoteReference"/>
        </w:rPr>
        <w:footnoteRef/>
      </w:r>
      <w:r>
        <w:t xml:space="preserve"> LAEDC Opening Comments at 20.</w:t>
      </w:r>
    </w:p>
  </w:footnote>
  <w:footnote w:id="140">
    <w:p w14:paraId="397E46D5" w14:textId="792FFD20" w:rsidR="0099711D" w:rsidRDefault="0099711D">
      <w:pPr>
        <w:pStyle w:val="FootnoteText"/>
      </w:pPr>
      <w:r>
        <w:rPr>
          <w:rStyle w:val="FootnoteReference"/>
        </w:rPr>
        <w:footnoteRef/>
      </w:r>
      <w:r>
        <w:t xml:space="preserve"> CETF Opening Comments at 23.</w:t>
      </w:r>
    </w:p>
  </w:footnote>
  <w:footnote w:id="141">
    <w:p w14:paraId="0DB51858" w14:textId="7B0A3C4F" w:rsidR="55E90BF0" w:rsidRDefault="55E90BF0" w:rsidP="55E90BF0">
      <w:pPr>
        <w:pStyle w:val="FootnoteText"/>
      </w:pPr>
      <w:r w:rsidRPr="55E90BF0">
        <w:rPr>
          <w:rStyle w:val="FootnoteReference"/>
          <w:rFonts w:eastAsia="Calibri"/>
          <w:szCs w:val="22"/>
        </w:rPr>
        <w:footnoteRef/>
      </w:r>
      <w:r w:rsidRPr="55E90BF0">
        <w:rPr>
          <w:rFonts w:eastAsia="Calibri"/>
          <w:szCs w:val="22"/>
        </w:rPr>
        <w:t xml:space="preserve"> D.18-06-032, Appendix 1 at 11.</w:t>
      </w:r>
    </w:p>
  </w:footnote>
  <w:footnote w:id="142">
    <w:p w14:paraId="372D3D88" w14:textId="61722DBE" w:rsidR="00466863" w:rsidRDefault="00466863">
      <w:pPr>
        <w:pStyle w:val="FootnoteText"/>
      </w:pPr>
      <w:r>
        <w:rPr>
          <w:rStyle w:val="FootnoteReference"/>
        </w:rPr>
        <w:footnoteRef/>
      </w:r>
      <w:r>
        <w:t xml:space="preserve"> LAEDC Opening Comments at 21.</w:t>
      </w:r>
    </w:p>
  </w:footnote>
  <w:footnote w:id="143">
    <w:p w14:paraId="619F0BFE" w14:textId="41B7E05D" w:rsidR="007F5A9A" w:rsidRDefault="007F5A9A">
      <w:pPr>
        <w:pStyle w:val="FootnoteText"/>
      </w:pPr>
      <w:r>
        <w:rPr>
          <w:rStyle w:val="FootnoteReference"/>
        </w:rPr>
        <w:footnoteRef/>
      </w:r>
      <w:r>
        <w:t xml:space="preserve"> NDC Opening Comments at 25-27.</w:t>
      </w:r>
    </w:p>
  </w:footnote>
  <w:footnote w:id="144">
    <w:p w14:paraId="25AA3D24" w14:textId="6AC13C7B" w:rsidR="008A6259" w:rsidRDefault="008A6259">
      <w:pPr>
        <w:pStyle w:val="FootnoteText"/>
      </w:pPr>
      <w:r>
        <w:rPr>
          <w:rStyle w:val="FootnoteReference"/>
        </w:rPr>
        <w:footnoteRef/>
      </w:r>
      <w:r>
        <w:t xml:space="preserve"> </w:t>
      </w:r>
      <w:r w:rsidR="00AF4B95">
        <w:t>CETF Opening Comments at 24-25.</w:t>
      </w:r>
    </w:p>
  </w:footnote>
  <w:footnote w:id="145">
    <w:p w14:paraId="2CB3F044" w14:textId="2015EA7A" w:rsidR="000E0933" w:rsidRDefault="000E0933">
      <w:pPr>
        <w:pStyle w:val="FootnoteText"/>
      </w:pPr>
      <w:r>
        <w:rPr>
          <w:rStyle w:val="FootnoteReference"/>
        </w:rPr>
        <w:footnoteRef/>
      </w:r>
      <w:r>
        <w:t xml:space="preserve"> </w:t>
      </w:r>
      <w:r w:rsidR="004669F7">
        <w:t>IERBC Opening Comments at 18.</w:t>
      </w:r>
    </w:p>
  </w:footnote>
  <w:footnote w:id="146">
    <w:p w14:paraId="75AEB4D2" w14:textId="50F9E981" w:rsidR="00015825" w:rsidRDefault="00015825">
      <w:pPr>
        <w:pStyle w:val="FootnoteText"/>
      </w:pPr>
      <w:r>
        <w:rPr>
          <w:rStyle w:val="FootnoteReference"/>
        </w:rPr>
        <w:footnoteRef/>
      </w:r>
      <w:r>
        <w:t xml:space="preserve"> CETF Opening Comments at 25-26.</w:t>
      </w:r>
    </w:p>
  </w:footnote>
  <w:footnote w:id="147">
    <w:p w14:paraId="5D69F309" w14:textId="050FDE10" w:rsidR="009B73AD" w:rsidRDefault="009B73AD">
      <w:pPr>
        <w:pStyle w:val="FootnoteText"/>
      </w:pPr>
      <w:r>
        <w:rPr>
          <w:rStyle w:val="FootnoteReference"/>
        </w:rPr>
        <w:footnoteRef/>
      </w:r>
      <w:r>
        <w:t xml:space="preserve"> SANDAG Reply Comments at 4.</w:t>
      </w:r>
    </w:p>
  </w:footnote>
  <w:footnote w:id="148">
    <w:p w14:paraId="1C6AF922" w14:textId="4150C223" w:rsidR="00680B5C" w:rsidRDefault="00680B5C">
      <w:pPr>
        <w:pStyle w:val="FootnoteText"/>
      </w:pPr>
      <w:r>
        <w:rPr>
          <w:rStyle w:val="FootnoteReference"/>
        </w:rPr>
        <w:footnoteRef/>
      </w:r>
      <w:r>
        <w:t xml:space="preserve"> CETF Opening Comments at 27.</w:t>
      </w:r>
    </w:p>
  </w:footnote>
  <w:footnote w:id="149">
    <w:p w14:paraId="7CB79A97" w14:textId="2C2563A5" w:rsidR="006870E0" w:rsidRDefault="006870E0">
      <w:pPr>
        <w:pStyle w:val="FootnoteText"/>
      </w:pPr>
      <w:r>
        <w:rPr>
          <w:rStyle w:val="FootnoteReference"/>
        </w:rPr>
        <w:footnoteRef/>
      </w:r>
      <w:r>
        <w:t xml:space="preserve"> LAEDC Opening Comments at 22.</w:t>
      </w:r>
    </w:p>
  </w:footnote>
  <w:footnote w:id="150">
    <w:p w14:paraId="261DAE51" w14:textId="6F247392" w:rsidR="00424926" w:rsidRDefault="00424926">
      <w:pPr>
        <w:pStyle w:val="FootnoteText"/>
      </w:pPr>
      <w:r>
        <w:rPr>
          <w:rStyle w:val="FootnoteReference"/>
        </w:rPr>
        <w:footnoteRef/>
      </w:r>
      <w:r>
        <w:t xml:space="preserve"> </w:t>
      </w:r>
      <w:r w:rsidR="00960DC2">
        <w:t>CETF Opening Comments at 27-28.</w:t>
      </w:r>
    </w:p>
  </w:footnote>
  <w:footnote w:id="151">
    <w:p w14:paraId="64C63982" w14:textId="07A9F427" w:rsidR="00DF41A7" w:rsidRDefault="00DF41A7">
      <w:pPr>
        <w:pStyle w:val="FootnoteText"/>
      </w:pPr>
      <w:r>
        <w:rPr>
          <w:rStyle w:val="FootnoteReference"/>
        </w:rPr>
        <w:footnoteRef/>
      </w:r>
      <w:r>
        <w:t xml:space="preserve"> </w:t>
      </w:r>
      <w:r w:rsidR="006F5785" w:rsidRPr="006F5785">
        <w:rPr>
          <w:i/>
          <w:iCs/>
        </w:rPr>
        <w:t>Reply Comments of the Office of the Mayor, City of Los Angeles, Regarding Assigned Commissioner’s Second</w:t>
      </w:r>
      <w:r w:rsidR="00427749">
        <w:rPr>
          <w:i/>
          <w:iCs/>
        </w:rPr>
        <w:t> </w:t>
      </w:r>
      <w:r w:rsidR="006F5785" w:rsidRPr="006F5785">
        <w:rPr>
          <w:i/>
          <w:iCs/>
        </w:rPr>
        <w:t>Amended Scoping Memo and Ruling</w:t>
      </w:r>
      <w:r w:rsidR="006F5785">
        <w:t>, filed March 24, 2022 (</w:t>
      </w:r>
      <w:r w:rsidR="00606DC6" w:rsidRPr="00606DC6">
        <w:t>City of Los Angeles Office of Mayor Reply Comments</w:t>
      </w:r>
      <w:r w:rsidR="006F5785">
        <w:t>)</w:t>
      </w:r>
      <w:r w:rsidR="00606DC6" w:rsidRPr="00606DC6">
        <w:t xml:space="preserve"> at 3</w:t>
      </w:r>
      <w:r w:rsidR="00606DC6">
        <w:t>.</w:t>
      </w:r>
    </w:p>
  </w:footnote>
  <w:footnote w:id="152">
    <w:p w14:paraId="26052749" w14:textId="4B2C2599" w:rsidR="55E90BF0" w:rsidRDefault="55E90BF0" w:rsidP="55E90BF0">
      <w:pPr>
        <w:pStyle w:val="FootnoteText"/>
      </w:pPr>
      <w:r w:rsidRPr="55E90BF0">
        <w:rPr>
          <w:rStyle w:val="FootnoteReference"/>
          <w:rFonts w:eastAsia="Calibri"/>
          <w:szCs w:val="22"/>
        </w:rPr>
        <w:footnoteRef/>
      </w:r>
      <w:r w:rsidRPr="55E90BF0">
        <w:rPr>
          <w:rFonts w:eastAsia="Calibri"/>
          <w:szCs w:val="22"/>
        </w:rPr>
        <w:t xml:space="preserve"> D.18-10-032, Appendix 1 at 4.</w:t>
      </w:r>
    </w:p>
  </w:footnote>
  <w:footnote w:id="153">
    <w:p w14:paraId="58E8A71E" w14:textId="0355FF1D" w:rsidR="00603218" w:rsidRDefault="00603218">
      <w:pPr>
        <w:pStyle w:val="FootnoteText"/>
      </w:pPr>
      <w:r>
        <w:rPr>
          <w:rStyle w:val="FootnoteReference"/>
        </w:rPr>
        <w:footnoteRef/>
      </w:r>
      <w:r>
        <w:t xml:space="preserve"> </w:t>
      </w:r>
      <w:r w:rsidR="00CE5371">
        <w:t xml:space="preserve">CCF Opening Comments at 6; </w:t>
      </w:r>
      <w:r w:rsidR="00A25565">
        <w:t xml:space="preserve">CETF Opening Comments at </w:t>
      </w:r>
      <w:r w:rsidR="0076725F">
        <w:t xml:space="preserve">29-30; IERBC Opening Comments at </w:t>
      </w:r>
      <w:r w:rsidR="00414597">
        <w:t xml:space="preserve">19; LAEDC Opening Comments at </w:t>
      </w:r>
      <w:r w:rsidR="00B026D8">
        <w:t xml:space="preserve">22-23; SANDAG Reply Comments at </w:t>
      </w:r>
      <w:r w:rsidR="00A314A8">
        <w:t>4.</w:t>
      </w:r>
    </w:p>
  </w:footnote>
  <w:footnote w:id="154">
    <w:p w14:paraId="2F1CCE0E" w14:textId="0B2A590A" w:rsidR="005F2A5A" w:rsidRDefault="005F2A5A">
      <w:pPr>
        <w:pStyle w:val="FootnoteText"/>
      </w:pPr>
      <w:r>
        <w:rPr>
          <w:rStyle w:val="FootnoteReference"/>
        </w:rPr>
        <w:footnoteRef/>
      </w:r>
      <w:r>
        <w:t xml:space="preserve"> LAEDC Opening Comments at </w:t>
      </w:r>
      <w:r w:rsidR="00A703B5">
        <w:t>24.</w:t>
      </w:r>
    </w:p>
  </w:footnote>
  <w:footnote w:id="155">
    <w:p w14:paraId="5E260DC4" w14:textId="33372923" w:rsidR="00A703B5" w:rsidRDefault="00A703B5">
      <w:pPr>
        <w:pStyle w:val="FootnoteText"/>
      </w:pPr>
      <w:r>
        <w:rPr>
          <w:rStyle w:val="FootnoteReference"/>
        </w:rPr>
        <w:footnoteRef/>
      </w:r>
      <w:r>
        <w:t xml:space="preserve"> UNITE-LA Opening Comments at </w:t>
      </w:r>
      <w:r w:rsidR="002E5CB4">
        <w:t>6-7.</w:t>
      </w:r>
    </w:p>
  </w:footnote>
  <w:footnote w:id="156">
    <w:p w14:paraId="24ECEDD2" w14:textId="357AC795" w:rsidR="002E5CB4" w:rsidRDefault="002E5CB4">
      <w:pPr>
        <w:pStyle w:val="FootnoteText"/>
      </w:pPr>
      <w:r>
        <w:rPr>
          <w:rStyle w:val="FootnoteReference"/>
        </w:rPr>
        <w:footnoteRef/>
      </w:r>
      <w:r>
        <w:t xml:space="preserve"> </w:t>
      </w:r>
      <w:r w:rsidR="0035630C">
        <w:t>CETF Opening Comments at 31.</w:t>
      </w:r>
    </w:p>
  </w:footnote>
  <w:footnote w:id="157">
    <w:p w14:paraId="10E2F31A" w14:textId="319ED049" w:rsidR="55E90BF0" w:rsidRDefault="55E90BF0" w:rsidP="55E90BF0">
      <w:pPr>
        <w:pStyle w:val="FootnoteText"/>
      </w:pPr>
      <w:r w:rsidRPr="2CDD52C9">
        <w:rPr>
          <w:rStyle w:val="FootnoteReference"/>
          <w:rFonts w:eastAsia="Calibri"/>
        </w:rPr>
        <w:footnoteRef/>
      </w:r>
      <w:r w:rsidRPr="2CDD52C9">
        <w:rPr>
          <w:rFonts w:eastAsia="Calibri"/>
        </w:rPr>
        <w:t xml:space="preserve"> D.18-10-032, Appendix 1 at 2.</w:t>
      </w:r>
      <w:r w:rsidR="00F209CE" w:rsidRPr="2CDD52C9">
        <w:rPr>
          <w:rFonts w:eastAsia="Calibri"/>
        </w:rPr>
        <w:t xml:space="preserve"> </w:t>
      </w:r>
      <w:r w:rsidRPr="2CDD52C9">
        <w:rPr>
          <w:rFonts w:eastAsia="Calibri"/>
        </w:rPr>
        <w:t>On top of this award amount, Consortia may also receive “$10,000 (per consortium for up to 5 representatives) for attendance to at least one of the annual public workshops as required by AB 1665.”</w:t>
      </w:r>
      <w:r w:rsidR="00F209CE" w:rsidRPr="2CDD52C9">
        <w:rPr>
          <w:rFonts w:eastAsia="Calibri"/>
        </w:rPr>
        <w:t xml:space="preserve"> </w:t>
      </w:r>
      <w:r w:rsidR="006D2B27" w:rsidRPr="00C73029">
        <w:rPr>
          <w:rFonts w:eastAsia="Calibri"/>
        </w:rPr>
        <w:t>(</w:t>
      </w:r>
      <w:r w:rsidRPr="00C73029">
        <w:rPr>
          <w:rFonts w:eastAsia="Calibri"/>
          <w:i/>
          <w:iCs/>
        </w:rPr>
        <w:t>Id.</w:t>
      </w:r>
      <w:r w:rsidR="006D2B27" w:rsidRPr="00C73029">
        <w:rPr>
          <w:rFonts w:eastAsia="Calibri"/>
        </w:rPr>
        <w:t>)</w:t>
      </w:r>
    </w:p>
  </w:footnote>
  <w:footnote w:id="158">
    <w:p w14:paraId="719D4103" w14:textId="38893C1A" w:rsidR="00CE0E5D" w:rsidRDefault="00CE0E5D">
      <w:pPr>
        <w:pStyle w:val="FootnoteText"/>
      </w:pPr>
      <w:r>
        <w:rPr>
          <w:rStyle w:val="FootnoteReference"/>
        </w:rPr>
        <w:footnoteRef/>
      </w:r>
      <w:r>
        <w:t xml:space="preserve"> </w:t>
      </w:r>
      <w:r w:rsidR="003B0EC4" w:rsidRPr="007E5629">
        <w:rPr>
          <w:i/>
        </w:rPr>
        <w:t>Comments of the Southern California Association of Governments on the Assigned Commissioner’s Second</w:t>
      </w:r>
      <w:r w:rsidR="00427749">
        <w:rPr>
          <w:i/>
        </w:rPr>
        <w:t> </w:t>
      </w:r>
      <w:r w:rsidR="003B0EC4" w:rsidRPr="007E5629">
        <w:rPr>
          <w:i/>
        </w:rPr>
        <w:t>Amended Scoping Memo and Ruling</w:t>
      </w:r>
      <w:r w:rsidR="003B0EC4">
        <w:t xml:space="preserve">, filed March 17, 2022 at </w:t>
      </w:r>
      <w:r w:rsidR="007E5629">
        <w:t>2-3.</w:t>
      </w:r>
    </w:p>
  </w:footnote>
  <w:footnote w:id="159">
    <w:p w14:paraId="4F47ED47" w14:textId="7208E5B1" w:rsidR="00F746B1" w:rsidRDefault="00F746B1">
      <w:pPr>
        <w:pStyle w:val="FootnoteText"/>
      </w:pPr>
      <w:r>
        <w:rPr>
          <w:rStyle w:val="FootnoteReference"/>
        </w:rPr>
        <w:footnoteRef/>
      </w:r>
      <w:r>
        <w:t xml:space="preserve"> CCF Opening Comments at </w:t>
      </w:r>
      <w:r w:rsidR="00063317">
        <w:t xml:space="preserve">6; CETF Opening Comments at 31; IERBC Opening Comments at </w:t>
      </w:r>
      <w:r w:rsidR="00683E05">
        <w:t xml:space="preserve">20; LAEDC Opening Comments at </w:t>
      </w:r>
      <w:r w:rsidR="0030025D">
        <w:t xml:space="preserve">24-25; UNITE-LA Opening Comments at </w:t>
      </w:r>
      <w:r w:rsidR="00FE7C69">
        <w:t>7.</w:t>
      </w:r>
    </w:p>
  </w:footnote>
  <w:footnote w:id="160">
    <w:p w14:paraId="0E944191" w14:textId="29833131" w:rsidR="00FE7C69" w:rsidRDefault="00FE7C69">
      <w:pPr>
        <w:pStyle w:val="FootnoteText"/>
      </w:pPr>
      <w:r>
        <w:rPr>
          <w:rStyle w:val="FootnoteReference"/>
        </w:rPr>
        <w:footnoteRef/>
      </w:r>
      <w:r>
        <w:t xml:space="preserve"> CCF Opening Comments at 6; LAEDC Opening Comments at 24-25; UNITE-LA Opening Comments at 7.</w:t>
      </w:r>
    </w:p>
  </w:footnote>
  <w:footnote w:id="161">
    <w:p w14:paraId="1D28543F" w14:textId="5408B855" w:rsidR="005B5719" w:rsidRDefault="005B5719">
      <w:pPr>
        <w:pStyle w:val="FootnoteText"/>
      </w:pPr>
      <w:r>
        <w:rPr>
          <w:rStyle w:val="FootnoteReference"/>
        </w:rPr>
        <w:footnoteRef/>
      </w:r>
      <w:r>
        <w:t xml:space="preserve"> </w:t>
      </w:r>
      <w:r w:rsidR="00144331">
        <w:t xml:space="preserve">CCF Opening Comments at 7; CETF Opening Comments at </w:t>
      </w:r>
      <w:r w:rsidR="00A71C63">
        <w:t>32-33</w:t>
      </w:r>
      <w:r w:rsidR="00144331">
        <w:t xml:space="preserve">; IERBC Opening Comments at </w:t>
      </w:r>
      <w:r w:rsidR="00D733E5">
        <w:t>21</w:t>
      </w:r>
      <w:r w:rsidR="00144331">
        <w:t xml:space="preserve">; LAEDC Opening Comments at </w:t>
      </w:r>
      <w:r w:rsidR="008A58F1">
        <w:t>26-27</w:t>
      </w:r>
      <w:r w:rsidR="00144331">
        <w:t xml:space="preserve">; UNITE-LA Opening Comments at </w:t>
      </w:r>
      <w:r w:rsidR="00EF20D9">
        <w:t>8</w:t>
      </w:r>
      <w:r w:rsidR="00144331">
        <w:t>.</w:t>
      </w:r>
    </w:p>
  </w:footnote>
  <w:footnote w:id="162">
    <w:p w14:paraId="728DB8D5" w14:textId="6DB0F7E3" w:rsidR="00EF20D9" w:rsidRDefault="00EF20D9">
      <w:pPr>
        <w:pStyle w:val="FootnoteText"/>
      </w:pPr>
      <w:r>
        <w:rPr>
          <w:rStyle w:val="FootnoteReference"/>
        </w:rPr>
        <w:footnoteRef/>
      </w:r>
      <w:r>
        <w:t xml:space="preserve"> </w:t>
      </w:r>
      <w:r w:rsidR="00F5741A">
        <w:t>CETF Opening Comments at 33.</w:t>
      </w:r>
    </w:p>
  </w:footnote>
  <w:footnote w:id="163">
    <w:p w14:paraId="0398E676" w14:textId="1E875CAB" w:rsidR="00F5741A" w:rsidRDefault="00F5741A">
      <w:pPr>
        <w:pStyle w:val="FootnoteText"/>
      </w:pPr>
      <w:r>
        <w:rPr>
          <w:rStyle w:val="FootnoteReference"/>
        </w:rPr>
        <w:footnoteRef/>
      </w:r>
      <w:r>
        <w:t xml:space="preserve"> IERBC Opening Comments at </w:t>
      </w:r>
      <w:r w:rsidR="00AA2427">
        <w:t>21.</w:t>
      </w:r>
    </w:p>
  </w:footnote>
  <w:footnote w:id="164">
    <w:p w14:paraId="04AC38AE" w14:textId="42D3BFF5" w:rsidR="0009745B" w:rsidRDefault="0009745B">
      <w:pPr>
        <w:pStyle w:val="FootnoteText"/>
      </w:pPr>
      <w:r>
        <w:rPr>
          <w:rStyle w:val="FootnoteReference"/>
        </w:rPr>
        <w:footnoteRef/>
      </w:r>
      <w:r>
        <w:t xml:space="preserve"> </w:t>
      </w:r>
      <w:r w:rsidR="009C5F28">
        <w:t xml:space="preserve">LAEDC Opening Comments at </w:t>
      </w:r>
      <w:r w:rsidR="006A2093">
        <w:t>27.</w:t>
      </w:r>
    </w:p>
  </w:footnote>
  <w:footnote w:id="165">
    <w:p w14:paraId="224314A1" w14:textId="21BDC794" w:rsidR="006A2093" w:rsidRDefault="006A2093">
      <w:pPr>
        <w:pStyle w:val="FootnoteText"/>
      </w:pPr>
      <w:r>
        <w:rPr>
          <w:rStyle w:val="FootnoteReference"/>
        </w:rPr>
        <w:footnoteRef/>
      </w:r>
      <w:r>
        <w:t xml:space="preserve"> </w:t>
      </w:r>
      <w:r w:rsidR="00556021">
        <w:t xml:space="preserve">UNITE-LA Opening Comments at </w:t>
      </w:r>
      <w:r w:rsidR="007200B1">
        <w:t>8.</w:t>
      </w:r>
    </w:p>
  </w:footnote>
  <w:footnote w:id="166">
    <w:p w14:paraId="3A1F1526" w14:textId="183C88B2" w:rsidR="007200B1" w:rsidRDefault="007200B1">
      <w:pPr>
        <w:pStyle w:val="FootnoteText"/>
      </w:pPr>
      <w:r>
        <w:rPr>
          <w:rStyle w:val="FootnoteReference"/>
        </w:rPr>
        <w:footnoteRef/>
      </w:r>
      <w:r>
        <w:t xml:space="preserve"> CETF Opening Comments at </w:t>
      </w:r>
      <w:r w:rsidR="002D4ADC">
        <w:t>33</w:t>
      </w:r>
      <w:r>
        <w:t xml:space="preserve">; LAEDC Opening Comments at </w:t>
      </w:r>
      <w:r w:rsidR="00B2295F">
        <w:t>28.</w:t>
      </w:r>
    </w:p>
  </w:footnote>
  <w:footnote w:id="167">
    <w:p w14:paraId="03B69A6A" w14:textId="25F0C30B" w:rsidR="00B2295F" w:rsidRDefault="00B2295F">
      <w:pPr>
        <w:pStyle w:val="FootnoteText"/>
      </w:pPr>
      <w:r>
        <w:rPr>
          <w:rStyle w:val="FootnoteReference"/>
        </w:rPr>
        <w:footnoteRef/>
      </w:r>
      <w:r>
        <w:t xml:space="preserve"> UNITE-LA Opening Comments at </w:t>
      </w:r>
      <w:r w:rsidR="00B9004F">
        <w:t>8.</w:t>
      </w:r>
    </w:p>
  </w:footnote>
  <w:footnote w:id="168">
    <w:p w14:paraId="5286F99F" w14:textId="55CA1415" w:rsidR="00796D97" w:rsidRDefault="00796D97">
      <w:pPr>
        <w:pStyle w:val="FootnoteText"/>
      </w:pPr>
      <w:r>
        <w:rPr>
          <w:rStyle w:val="FootnoteReference"/>
        </w:rPr>
        <w:footnoteRef/>
      </w:r>
      <w:r>
        <w:t xml:space="preserve"> CCTA Opening Comments at </w:t>
      </w:r>
      <w:r w:rsidR="00EA4BA8">
        <w:t>10.</w:t>
      </w:r>
    </w:p>
  </w:footnote>
  <w:footnote w:id="169">
    <w:p w14:paraId="47B1EA37" w14:textId="776039A2" w:rsidR="00EA4BA8" w:rsidRDefault="00EA4BA8">
      <w:pPr>
        <w:pStyle w:val="FootnoteText"/>
      </w:pPr>
      <w:r>
        <w:rPr>
          <w:rStyle w:val="FootnoteReference"/>
        </w:rPr>
        <w:footnoteRef/>
      </w:r>
      <w:r>
        <w:t xml:space="preserve"> </w:t>
      </w:r>
      <w:r w:rsidR="00BA609B">
        <w:t>IERBC Opening Comments at 22.</w:t>
      </w:r>
    </w:p>
  </w:footnote>
  <w:footnote w:id="170">
    <w:p w14:paraId="3D7F06D0" w14:textId="5C1193ED" w:rsidR="00DA4712" w:rsidRDefault="00DA4712">
      <w:pPr>
        <w:pStyle w:val="FootnoteText"/>
      </w:pPr>
      <w:r>
        <w:rPr>
          <w:rStyle w:val="FootnoteReference"/>
        </w:rPr>
        <w:footnoteRef/>
      </w:r>
      <w:r>
        <w:t xml:space="preserve"> CETF Opening Comments at </w:t>
      </w:r>
      <w:r w:rsidR="0072100E">
        <w:t xml:space="preserve">34; SCAG Opening Comments at </w:t>
      </w:r>
      <w:r w:rsidR="00584737">
        <w:t>4.</w:t>
      </w:r>
    </w:p>
  </w:footnote>
  <w:footnote w:id="171">
    <w:p w14:paraId="493BB4DD" w14:textId="59E69337" w:rsidR="00537326" w:rsidRDefault="00537326">
      <w:pPr>
        <w:pStyle w:val="FootnoteText"/>
      </w:pPr>
      <w:r>
        <w:rPr>
          <w:rStyle w:val="FootnoteReference"/>
        </w:rPr>
        <w:footnoteRef/>
      </w:r>
      <w:r>
        <w:t xml:space="preserve"> Cal Advocates Opening Comments at </w:t>
      </w:r>
      <w:r w:rsidR="00F56597">
        <w:t>5-7.</w:t>
      </w:r>
    </w:p>
  </w:footnote>
  <w:footnote w:id="172">
    <w:p w14:paraId="1076F3F9" w14:textId="50C1EA20" w:rsidR="00F56597" w:rsidRDefault="00F56597">
      <w:pPr>
        <w:pStyle w:val="FootnoteText"/>
      </w:pPr>
      <w:r>
        <w:rPr>
          <w:rStyle w:val="FootnoteReference"/>
        </w:rPr>
        <w:footnoteRef/>
      </w:r>
      <w:r>
        <w:t xml:space="preserve"> CETF Opening Comments at </w:t>
      </w:r>
      <w:r w:rsidR="00A60BCE">
        <w:t>34-37</w:t>
      </w:r>
      <w:r>
        <w:t>; IERBC</w:t>
      </w:r>
      <w:r w:rsidR="00845FA8">
        <w:t xml:space="preserve"> Opening Comments at 22</w:t>
      </w:r>
      <w:r>
        <w:t>; SCAG</w:t>
      </w:r>
      <w:r w:rsidR="001D3CD9">
        <w:t xml:space="preserve"> Opening Comments at 4.</w:t>
      </w:r>
    </w:p>
  </w:footnote>
  <w:footnote w:id="173">
    <w:p w14:paraId="3A106EFC" w14:textId="6DCEEEAB" w:rsidR="001D3CD9" w:rsidRDefault="001D3CD9">
      <w:pPr>
        <w:pStyle w:val="FootnoteText"/>
      </w:pPr>
      <w:r>
        <w:rPr>
          <w:rStyle w:val="FootnoteReference"/>
        </w:rPr>
        <w:footnoteRef/>
      </w:r>
      <w:r>
        <w:t xml:space="preserve"> CCTA Opening Comments at </w:t>
      </w:r>
      <w:r w:rsidR="00902B95">
        <w:t>11-12.</w:t>
      </w:r>
    </w:p>
  </w:footnote>
  <w:footnote w:id="174">
    <w:p w14:paraId="4219E381" w14:textId="4482EAAE" w:rsidR="008C2709" w:rsidRDefault="008C2709">
      <w:pPr>
        <w:pStyle w:val="FootnoteText"/>
      </w:pPr>
      <w:r>
        <w:rPr>
          <w:rStyle w:val="FootnoteReference"/>
        </w:rPr>
        <w:footnoteRef/>
      </w:r>
      <w:r>
        <w:t xml:space="preserve"> This </w:t>
      </w:r>
      <w:r w:rsidR="0028562D">
        <w:t xml:space="preserve">figure </w:t>
      </w:r>
      <w:r>
        <w:t xml:space="preserve">does not include state operations. </w:t>
      </w:r>
    </w:p>
  </w:footnote>
  <w:footnote w:id="175">
    <w:p w14:paraId="6109E535" w14:textId="4184688B" w:rsidR="00265D5C" w:rsidRDefault="00265D5C" w:rsidP="00265D5C">
      <w:pPr>
        <w:pStyle w:val="FootnoteText"/>
      </w:pPr>
      <w:r>
        <w:rPr>
          <w:rStyle w:val="FootnoteReference"/>
        </w:rPr>
        <w:footnoteRef/>
      </w:r>
      <w:r w:rsidR="00F209CE">
        <w:t xml:space="preserve"> </w:t>
      </w:r>
      <w:r>
        <w:t>The numbers may not add up to 100% due to rounding and due to the removal of $13,746,000 annually for internal program administration costs.</w:t>
      </w:r>
    </w:p>
  </w:footnote>
  <w:footnote w:id="176">
    <w:p w14:paraId="106175BD" w14:textId="3FE4B30B" w:rsidR="00B6349C" w:rsidRDefault="00B6349C" w:rsidP="00B6349C">
      <w:pPr>
        <w:pStyle w:val="FootnoteText"/>
      </w:pPr>
      <w:r>
        <w:rPr>
          <w:rStyle w:val="FootnoteReference"/>
        </w:rPr>
        <w:footnoteRef/>
      </w:r>
      <w:r w:rsidR="00F209CE">
        <w:t xml:space="preserve"> </w:t>
      </w:r>
      <w:r>
        <w:t>This proposal assumes that $13.746 million of the total $86.357 million are State Operations Funds the CPUC uses to administer the program.</w:t>
      </w:r>
    </w:p>
  </w:footnote>
  <w:footnote w:id="177">
    <w:p w14:paraId="68C113CF" w14:textId="300077BB" w:rsidR="00081EFC" w:rsidRPr="001D7472" w:rsidRDefault="00081EFC" w:rsidP="00081EFC">
      <w:pPr>
        <w:pStyle w:val="FootnoteText"/>
        <w:rPr>
          <w:color w:val="3333FF"/>
        </w:rPr>
      </w:pPr>
      <w:r w:rsidRPr="001D7472">
        <w:rPr>
          <w:rStyle w:val="FootnoteReference"/>
        </w:rPr>
        <w:footnoteRef/>
      </w:r>
      <w:r w:rsidRPr="001D7472">
        <w:t xml:space="preserve"> SB 156 is codified at Pub. Util. Code </w:t>
      </w:r>
      <w:r w:rsidR="00FF6FF3">
        <w:t>S</w:t>
      </w:r>
      <w:r w:rsidRPr="001D7472">
        <w:t>ection 281 et seq.</w:t>
      </w:r>
    </w:p>
  </w:footnote>
  <w:footnote w:id="178">
    <w:p w14:paraId="5221CC7B" w14:textId="77777777" w:rsidR="00081EFC" w:rsidRDefault="00081EFC" w:rsidP="00081EFC">
      <w:pPr>
        <w:pStyle w:val="FootnoteText"/>
      </w:pPr>
      <w:r>
        <w:rPr>
          <w:rStyle w:val="FootnoteReference"/>
        </w:rPr>
        <w:footnoteRef/>
      </w:r>
      <w:r>
        <w:t xml:space="preserve"> </w:t>
      </w:r>
      <w:r w:rsidRPr="00934190">
        <w:rPr>
          <w:rFonts w:ascii="Palatino Linotype"/>
        </w:rPr>
        <w:t xml:space="preserve">The </w:t>
      </w:r>
      <w:r w:rsidRPr="00934190">
        <w:t xml:space="preserve">National Electrical Manufacturers Association </w:t>
      </w:r>
      <w:r w:rsidRPr="00934190">
        <w:rPr>
          <w:rFonts w:ascii="Palatino Linotype"/>
        </w:rPr>
        <w:t xml:space="preserve">defines standards used in </w:t>
      </w:r>
      <w:r w:rsidRPr="00934190">
        <w:t xml:space="preserve">North America </w:t>
      </w:r>
      <w:r w:rsidRPr="00934190">
        <w:rPr>
          <w:rFonts w:ascii="Palatino Linotype"/>
        </w:rPr>
        <w:t>for</w:t>
      </w:r>
      <w:r w:rsidRPr="00934190">
        <w:rPr>
          <w:rFonts w:ascii="Palatino Linotype"/>
          <w:spacing w:val="-47"/>
        </w:rPr>
        <w:t xml:space="preserve"> </w:t>
      </w:r>
      <w:r w:rsidRPr="00934190">
        <w:rPr>
          <w:rFonts w:ascii="Palatino Linotype"/>
        </w:rPr>
        <w:t>various</w:t>
      </w:r>
      <w:r w:rsidRPr="00934190">
        <w:rPr>
          <w:rFonts w:ascii="Palatino Linotype"/>
          <w:spacing w:val="-2"/>
        </w:rPr>
        <w:t xml:space="preserve"> </w:t>
      </w:r>
      <w:r w:rsidRPr="00934190">
        <w:rPr>
          <w:rFonts w:ascii="Palatino Linotype"/>
        </w:rPr>
        <w:t>grades of</w:t>
      </w:r>
      <w:r w:rsidRPr="00934190">
        <w:rPr>
          <w:rFonts w:ascii="Palatino Linotype"/>
          <w:spacing w:val="1"/>
        </w:rPr>
        <w:t xml:space="preserve"> </w:t>
      </w:r>
      <w:r w:rsidRPr="00934190">
        <w:t>electrical</w:t>
      </w:r>
      <w:r w:rsidRPr="00934190">
        <w:rPr>
          <w:spacing w:val="-2"/>
        </w:rPr>
        <w:t xml:space="preserve"> </w:t>
      </w:r>
      <w:r w:rsidRPr="00934190">
        <w:t>enclosures</w:t>
      </w:r>
      <w:r w:rsidRPr="00934190">
        <w:rPr>
          <w:spacing w:val="-5"/>
        </w:rPr>
        <w:t xml:space="preserve"> </w:t>
      </w:r>
      <w:r w:rsidRPr="00934190">
        <w:rPr>
          <w:rFonts w:ascii="Palatino Linotype"/>
        </w:rPr>
        <w:t>typically</w:t>
      </w:r>
      <w:r w:rsidRPr="00934190">
        <w:rPr>
          <w:rFonts w:ascii="Palatino Linotype"/>
          <w:spacing w:val="-1"/>
        </w:rPr>
        <w:t xml:space="preserve"> </w:t>
      </w:r>
      <w:r w:rsidRPr="00934190">
        <w:rPr>
          <w:rFonts w:ascii="Palatino Linotype"/>
        </w:rPr>
        <w:t>used</w:t>
      </w:r>
      <w:r w:rsidRPr="00934190">
        <w:rPr>
          <w:rFonts w:ascii="Palatino Linotype"/>
          <w:spacing w:val="-1"/>
        </w:rPr>
        <w:t xml:space="preserve"> </w:t>
      </w:r>
      <w:r w:rsidRPr="00934190">
        <w:rPr>
          <w:rFonts w:ascii="Palatino Linotype"/>
        </w:rPr>
        <w:t>in</w:t>
      </w:r>
      <w:r w:rsidRPr="00934190">
        <w:rPr>
          <w:rFonts w:ascii="Palatino Linotype"/>
          <w:spacing w:val="-1"/>
        </w:rPr>
        <w:t xml:space="preserve"> </w:t>
      </w:r>
      <w:r w:rsidRPr="00934190">
        <w:rPr>
          <w:rFonts w:ascii="Palatino Linotype"/>
        </w:rPr>
        <w:t>industrial</w:t>
      </w:r>
      <w:r w:rsidRPr="00934190">
        <w:rPr>
          <w:rFonts w:ascii="Palatino Linotype"/>
          <w:spacing w:val="-2"/>
        </w:rPr>
        <w:t xml:space="preserve"> </w:t>
      </w:r>
      <w:r w:rsidRPr="00934190">
        <w:rPr>
          <w:rFonts w:ascii="Palatino Linotype"/>
        </w:rPr>
        <w:t>applications</w:t>
      </w:r>
    </w:p>
  </w:footnote>
  <w:footnote w:id="179">
    <w:p w14:paraId="75AE742E" w14:textId="77777777" w:rsidR="00081EFC" w:rsidRDefault="00081EFC" w:rsidP="00081EFC">
      <w:pPr>
        <w:pStyle w:val="FootnoteText"/>
      </w:pPr>
      <w:r w:rsidRPr="1D7C24D6">
        <w:rPr>
          <w:rStyle w:val="FootnoteReference"/>
        </w:rPr>
        <w:footnoteRef/>
      </w:r>
      <w:r w:rsidRPr="1D7C24D6">
        <w:t xml:space="preserve"> Wi-Fi standard, also known as Wi-Fi 5 wave2 or 802.11ac wave2, is a wireless networking standard that operates on 2.4 GHz and 5 GHz frequency bands providing high-throughput wireless local area networks, introduced by the Wi-Fi Alliance in 2016</w:t>
      </w:r>
    </w:p>
  </w:footnote>
  <w:footnote w:id="180">
    <w:p w14:paraId="40ABFF53" w14:textId="77777777" w:rsidR="00081EFC" w:rsidRDefault="00081EFC" w:rsidP="00081EFC">
      <w:pPr>
        <w:pStyle w:val="FootnoteText"/>
      </w:pPr>
      <w:r>
        <w:rPr>
          <w:rStyle w:val="FootnoteReference"/>
        </w:rPr>
        <w:footnoteRef/>
      </w:r>
      <w:r>
        <w:t xml:space="preserve"> </w:t>
      </w:r>
      <w:r w:rsidRPr="00BD0835">
        <w:t>Wi-Fi standard, also known as Wi-Fi 6/6E, that operates on 2.4 GHz, 5 GHz and 6 GHz frequency bands, maintained by the Institute of Electrical and Electronics Engineers IEEE 802.11 working group. https://www.ieee802.org/11/Reports/tgax_update.htm</w:t>
      </w:r>
    </w:p>
  </w:footnote>
  <w:footnote w:id="181">
    <w:p w14:paraId="216EDB4F" w14:textId="77777777" w:rsidR="00081EFC" w:rsidRDefault="00081EFC" w:rsidP="00081EFC">
      <w:pPr>
        <w:pStyle w:val="FootnoteText"/>
      </w:pPr>
      <w:r w:rsidRPr="049644BE">
        <w:rPr>
          <w:rStyle w:val="FootnoteReference"/>
        </w:rPr>
        <w:footnoteRef/>
      </w:r>
      <w:r>
        <w:t xml:space="preserve"> A widely used wireless computer networking protocol standard by IEEE (The Institute of Electrical and Electronics Engineers) for Wi-Fi communication that operates on 2.4 GHz and 5 GHz frequency bands.</w:t>
      </w:r>
    </w:p>
  </w:footnote>
  <w:footnote w:id="182">
    <w:p w14:paraId="34E03C78" w14:textId="77777777" w:rsidR="00081EFC" w:rsidRDefault="00081EFC" w:rsidP="00081EFC">
      <w:pPr>
        <w:pStyle w:val="FootnoteText"/>
      </w:pPr>
      <w:r>
        <w:rPr>
          <w:rStyle w:val="FootnoteReference"/>
        </w:rPr>
        <w:footnoteRef/>
      </w:r>
      <w:r>
        <w:t xml:space="preserve"> </w:t>
      </w:r>
      <w:r w:rsidRPr="00BD0835">
        <w:t>The Data Over Cable Service Interface Specification (DOCSIS) is a widely used broadband data transfer standard using cable systems, originally used to transmit cable television signals, for Internet Protocol (IP) data services.</w:t>
      </w:r>
      <w:r>
        <w:t xml:space="preserve"> </w:t>
      </w:r>
      <w:r w:rsidRPr="00BD0835">
        <w:t>Originally released by CableLabs in 2013, DOCSIS is an internationally accepted telecom standard by the ITU Telecommunication Standardization Sector (ITU-T).</w:t>
      </w:r>
    </w:p>
  </w:footnote>
  <w:footnote w:id="183">
    <w:p w14:paraId="197C881C" w14:textId="77777777" w:rsidR="00081EFC" w:rsidRDefault="00081EFC" w:rsidP="00081EFC">
      <w:pPr>
        <w:pStyle w:val="FootnoteText"/>
      </w:pPr>
      <w:r>
        <w:rPr>
          <w:rStyle w:val="FootnoteReference"/>
        </w:rPr>
        <w:footnoteRef/>
      </w:r>
      <w:r>
        <w:t xml:space="preserve"> </w:t>
      </w:r>
      <w:r w:rsidRPr="00523785">
        <w:t>Very high-speed digital subscriber line (VDSL) is digital subscriber line (DSL) technology providing data transmission of up to 52 Mbit/s and 16 Mbit/s per ITU Telecommunication Standardization Sector (ITU-T) G.993.1 standard, faster than the earlier standards of asymmetric digital subscriber line (ADSL) G.992.1, G.992.3 (ADSL2) and G.992.5 (ADSL2+).</w:t>
      </w:r>
    </w:p>
  </w:footnote>
  <w:footnote w:id="184">
    <w:p w14:paraId="597E5CB5" w14:textId="77777777" w:rsidR="00081EFC" w:rsidRDefault="00081EFC" w:rsidP="00081EFC">
      <w:pPr>
        <w:pStyle w:val="FootnoteText"/>
      </w:pPr>
      <w:r>
        <w:rPr>
          <w:rStyle w:val="FootnoteReference"/>
        </w:rPr>
        <w:footnoteRef/>
      </w:r>
      <w:r>
        <w:t xml:space="preserve"> </w:t>
      </w:r>
      <w:r w:rsidRPr="00523785">
        <w:t>Fast Ethernet is a variation of Ethernet standards that carry data traffic at 100 Mbps, under the IEEE 802.3u standard by the Institute of Electrical and Electronics Engineers (IEEE). 100 represents its maximum throughput of 100 Mbit/s, BASE indicates its use of baseband transmission, and X indicates the type of medium used.</w:t>
      </w:r>
    </w:p>
  </w:footnote>
  <w:footnote w:id="185">
    <w:p w14:paraId="5FB770FB" w14:textId="6473EBC3" w:rsidR="00081EFC" w:rsidRDefault="00081EFC" w:rsidP="00081EFC">
      <w:pPr>
        <w:pStyle w:val="FootnoteText"/>
      </w:pPr>
      <w:r w:rsidRPr="2DE79F0A">
        <w:rPr>
          <w:rStyle w:val="FootnoteReference"/>
        </w:rPr>
        <w:footnoteRef/>
      </w:r>
      <w:r w:rsidRPr="2DE79F0A">
        <w:t xml:space="preserve"> Section 706 of the Telecommunications Act of 1996, as amended (1996 Act), requires Federal Communications Commission (FCC) to “determine whether advanced telecommunications capability is being deployed to all Americans in a reasonable and timely fashion” and report annually. Telecommunications Act of 1996 | Federal Communications Commission (fcc.gov) ; Telecommunications Act of 1996, Pub. L. No. 104-104, § 706(b), 110 Stat. 153 (codified at 47 U.S.C. S 157 note) (1996 Act)</w:t>
      </w:r>
      <w:r w:rsidR="002E103F">
        <w:t>.</w:t>
      </w:r>
    </w:p>
  </w:footnote>
  <w:footnote w:id="186">
    <w:p w14:paraId="1B76363C" w14:textId="77777777" w:rsidR="00081EFC" w:rsidRDefault="00081EFC" w:rsidP="00081EFC">
      <w:pPr>
        <w:pStyle w:val="FootnoteText"/>
      </w:pPr>
      <w:r w:rsidRPr="00AD09CD">
        <w:rPr>
          <w:rStyle w:val="FootnoteReference"/>
        </w:rPr>
        <w:footnoteRef/>
      </w:r>
      <w:r w:rsidRPr="29C6B891">
        <w:t xml:space="preserve"> </w:t>
      </w:r>
      <w:r w:rsidRPr="6BF8C393">
        <w:t>Peak</w:t>
      </w:r>
      <w:r w:rsidRPr="29C6B891">
        <w:t xml:space="preserve"> hours </w:t>
      </w:r>
      <w:r w:rsidRPr="6BF8C393">
        <w:t xml:space="preserve">mean </w:t>
      </w:r>
      <w:r w:rsidRPr="29C6B891">
        <w:t xml:space="preserve">7 p.m. </w:t>
      </w:r>
      <w:r w:rsidRPr="7FEE9688">
        <w:t>to 11 p.m. local time</w:t>
      </w:r>
      <w:r w:rsidRPr="6BF8C393">
        <w:t>.</w:t>
      </w:r>
      <w:r w:rsidRPr="7FEE9688">
        <w:t xml:space="preserve"> ; https://www.fcc.gov/reports-research/reports/measuring-broadband-america/measuring-fixed-broadband-eleventh-report</w:t>
      </w:r>
    </w:p>
  </w:footnote>
  <w:footnote w:id="187">
    <w:p w14:paraId="210B689A" w14:textId="77777777" w:rsidR="00081EFC" w:rsidRDefault="00081EFC" w:rsidP="00394667">
      <w:pPr>
        <w:spacing w:line="240" w:lineRule="auto"/>
        <w:ind w:firstLine="0"/>
      </w:pPr>
      <w:r w:rsidRPr="049644BE">
        <w:rPr>
          <w:rStyle w:val="FootnoteReference"/>
          <w:rFonts w:eastAsia="Book Antiqua" w:cs="Book Antiqua"/>
          <w:sz w:val="20"/>
          <w:szCs w:val="20"/>
        </w:rPr>
        <w:footnoteRef/>
      </w:r>
      <w:r w:rsidRPr="049644BE">
        <w:rPr>
          <w:rFonts w:eastAsia="Book Antiqua" w:cs="Book Antiqua"/>
          <w:sz w:val="20"/>
          <w:szCs w:val="20"/>
        </w:rPr>
        <w:t xml:space="preserve"> </w:t>
      </w:r>
      <w:r w:rsidRPr="00E74D95">
        <w:rPr>
          <w:sz w:val="20"/>
          <w:szCs w:val="20"/>
        </w:rPr>
        <w:t>Section 706 of the Telecommunications Act of 1996, as amended (1996 Act), requires Federal Communications Commission (FCC) to “determine whether advanced telecommunications capability is being deployed to all Americans in a reasonable and timely fashion” and report annually. Telecommunications Act of 1996 | Federal Communications Commission (fcc.gov) ; Telecommunications Act of 1996, Pub. L. No. 104-104, § 706(b), 110 Stat. 153 (codified at 47 U.S.C. S 157 note) (1996 Act);</w:t>
      </w:r>
      <w:r w:rsidRPr="00E74D95">
        <w:rPr>
          <w:rFonts w:eastAsia="Book Antiqua" w:cs="Book Antiqua"/>
          <w:sz w:val="20"/>
          <w:szCs w:val="20"/>
        </w:rPr>
        <w:t xml:space="preserve"> </w:t>
      </w:r>
      <w:hyperlink r:id="rId4">
        <w:r w:rsidRPr="00E74D95">
          <w:rPr>
            <w:rStyle w:val="Hyperlink"/>
            <w:rFonts w:eastAsia="Calibri" w:cs="Calibri"/>
            <w:color w:val="auto"/>
            <w:sz w:val="20"/>
            <w:szCs w:val="20"/>
            <w:u w:val="none"/>
          </w:rPr>
          <w:t>Broadband Progress Reports | Federal Communications Commission (fcc.gov)</w:t>
        </w:r>
      </w:hyperlink>
      <w:r w:rsidRPr="00E74D95">
        <w:rPr>
          <w:rFonts w:eastAsia="Calibri" w:cs="Calibri"/>
          <w:sz w:val="20"/>
          <w:szCs w:val="20"/>
        </w:rPr>
        <w:t xml:space="preserve"> ; </w:t>
      </w:r>
      <w:hyperlink r:id="rId5">
        <w:r w:rsidRPr="00E74D95">
          <w:rPr>
            <w:rStyle w:val="Hyperlink"/>
            <w:rFonts w:eastAsia="Calibri" w:cs="Calibri"/>
            <w:color w:val="auto"/>
            <w:sz w:val="20"/>
            <w:szCs w:val="20"/>
            <w:u w:val="none"/>
          </w:rPr>
          <w:t>FCC Annual Broadband Report Shows Digital Divide Is Rapidly Closing | Federal Communications Commission</w:t>
        </w:r>
      </w:hyperlink>
      <w:r w:rsidRPr="00E74D95">
        <w:rPr>
          <w:rFonts w:eastAsia="Calibri" w:cs="Calibri"/>
          <w:sz w:val="20"/>
          <w:szCs w:val="20"/>
        </w:rPr>
        <w:t xml:space="preserve"> and </w:t>
      </w:r>
      <w:hyperlink r:id="rId6">
        <w:r w:rsidRPr="00E74D95">
          <w:rPr>
            <w:rStyle w:val="Hyperlink"/>
            <w:rFonts w:eastAsia="Calibri" w:cs="Calibri"/>
            <w:color w:val="auto"/>
            <w:sz w:val="20"/>
            <w:szCs w:val="20"/>
            <w:u w:val="none"/>
          </w:rPr>
          <w:t>https://docs.fcc.gov/public/attachments/FCC-21-18A1.pdf</w:t>
        </w:r>
      </w:hyperlink>
    </w:p>
  </w:footnote>
  <w:footnote w:id="188">
    <w:p w14:paraId="4DB89664" w14:textId="77777777" w:rsidR="00081EFC" w:rsidRDefault="00081EFC" w:rsidP="00081EFC">
      <w:pPr>
        <w:pStyle w:val="FootnoteText"/>
      </w:pPr>
      <w:r>
        <w:rPr>
          <w:rStyle w:val="FootnoteReference"/>
        </w:rPr>
        <w:footnoteRef/>
      </w:r>
      <w:r>
        <w:t xml:space="preserve"> </w:t>
      </w:r>
      <w:r w:rsidRPr="00E715E2">
        <w:t>Non-profit housing developers involved in limited partnerships with for-profit entities participating may also be eligible since the IRS considers an exempt organization's participation as a general partner in a limited partnership with for-profit limited partners as consistent with the organization's exempt status under Internal Revenue Code Section 501(c)(3).</w:t>
      </w:r>
    </w:p>
  </w:footnote>
  <w:footnote w:id="189">
    <w:p w14:paraId="3D6E47E1" w14:textId="1F360F7E" w:rsidR="00081EFC" w:rsidRDefault="00081EFC" w:rsidP="00081EFC">
      <w:pPr>
        <w:pStyle w:val="FootnoteText"/>
      </w:pPr>
      <w:r>
        <w:rPr>
          <w:rStyle w:val="FootnoteReference"/>
        </w:rPr>
        <w:footnoteRef/>
      </w:r>
      <w:r>
        <w:t xml:space="preserve"> </w:t>
      </w:r>
      <w:r w:rsidRPr="004016A2">
        <w:t>Pub. Util. Code</w:t>
      </w:r>
      <w:r w:rsidR="00C443AA">
        <w:t>,</w:t>
      </w:r>
      <w:r w:rsidRPr="004016A2">
        <w:t xml:space="preserve"> § 281(i)(3).</w:t>
      </w:r>
    </w:p>
  </w:footnote>
  <w:footnote w:id="190">
    <w:p w14:paraId="4AC85C81" w14:textId="77777777" w:rsidR="00081EFC" w:rsidRDefault="00081EFC" w:rsidP="00394667">
      <w:pPr>
        <w:pStyle w:val="FootnoteText"/>
        <w:spacing w:after="0"/>
      </w:pPr>
      <w:r>
        <w:rPr>
          <w:rStyle w:val="FootnoteReference"/>
        </w:rPr>
        <w:footnoteRef/>
      </w:r>
      <w:r>
        <w:t xml:space="preserve"> </w:t>
      </w:r>
      <w:r>
        <w:rPr>
          <w:rFonts w:ascii="Palatino Linotype"/>
        </w:rPr>
        <w:t>Plan that identifies, evaluates, selects, and implements options in order to balance the BPHA project</w:t>
      </w:r>
      <w:r>
        <w:rPr>
          <w:rFonts w:ascii="Palatino Linotype"/>
          <w:spacing w:val="-47"/>
        </w:rPr>
        <w:t xml:space="preserve"> </w:t>
      </w:r>
      <w:r>
        <w:rPr>
          <w:rFonts w:ascii="Palatino Linotype"/>
        </w:rPr>
        <w:t>cost and schedule implications associated with risk response or mitigation plan by setting risk at</w:t>
      </w:r>
      <w:r>
        <w:rPr>
          <w:rFonts w:ascii="Palatino Linotype"/>
          <w:spacing w:val="1"/>
        </w:rPr>
        <w:t xml:space="preserve"> </w:t>
      </w:r>
      <w:r>
        <w:rPr>
          <w:rFonts w:ascii="Palatino Linotype"/>
        </w:rPr>
        <w:t>acceptable</w:t>
      </w:r>
      <w:r>
        <w:rPr>
          <w:rFonts w:ascii="Palatino Linotype"/>
          <w:spacing w:val="-1"/>
        </w:rPr>
        <w:t xml:space="preserve"> </w:t>
      </w:r>
      <w:r>
        <w:rPr>
          <w:rFonts w:ascii="Palatino Linotype"/>
        </w:rPr>
        <w:t>levels</w:t>
      </w:r>
      <w:r>
        <w:rPr>
          <w:rFonts w:ascii="Palatino Linotype"/>
          <w:spacing w:val="-1"/>
        </w:rPr>
        <w:t xml:space="preserve"> </w:t>
      </w:r>
      <w:r>
        <w:rPr>
          <w:rFonts w:ascii="Palatino Linotype"/>
        </w:rPr>
        <w:t>given</w:t>
      </w:r>
      <w:r>
        <w:rPr>
          <w:rFonts w:ascii="Palatino Linotype"/>
          <w:spacing w:val="-1"/>
        </w:rPr>
        <w:t xml:space="preserve"> </w:t>
      </w:r>
      <w:r>
        <w:rPr>
          <w:rFonts w:ascii="Palatino Linotype"/>
        </w:rPr>
        <w:t>program</w:t>
      </w:r>
      <w:r>
        <w:rPr>
          <w:rFonts w:ascii="Palatino Linotype"/>
          <w:spacing w:val="-2"/>
        </w:rPr>
        <w:t xml:space="preserve"> </w:t>
      </w:r>
      <w:r>
        <w:rPr>
          <w:rFonts w:ascii="Palatino Linotype"/>
        </w:rPr>
        <w:t>constraints</w:t>
      </w:r>
      <w:r>
        <w:rPr>
          <w:rFonts w:ascii="Palatino Linotype"/>
          <w:spacing w:val="-1"/>
        </w:rPr>
        <w:t xml:space="preserve"> </w:t>
      </w:r>
      <w:r>
        <w:rPr>
          <w:rFonts w:ascii="Palatino Linotype"/>
        </w:rPr>
        <w:t>and objectives.</w:t>
      </w:r>
    </w:p>
  </w:footnote>
  <w:footnote w:id="191">
    <w:p w14:paraId="03918B92" w14:textId="5988ABB1" w:rsidR="00081EFC" w:rsidRDefault="00081EFC" w:rsidP="00081EFC">
      <w:pPr>
        <w:pStyle w:val="FootnoteText"/>
      </w:pPr>
      <w:r>
        <w:rPr>
          <w:rStyle w:val="FootnoteReference"/>
        </w:rPr>
        <w:footnoteRef/>
      </w:r>
      <w:r>
        <w:t xml:space="preserve"> </w:t>
      </w:r>
      <w:r>
        <w:rPr>
          <w:rFonts w:ascii="Palatino Linotype"/>
        </w:rPr>
        <w:t>CalSPEED is an open source, non-proprietary, network performance measurement tool and</w:t>
      </w:r>
      <w:r>
        <w:rPr>
          <w:rFonts w:ascii="Palatino Linotype"/>
          <w:spacing w:val="-47"/>
        </w:rPr>
        <w:t xml:space="preserve"> </w:t>
      </w:r>
      <w:r>
        <w:rPr>
          <w:rFonts w:ascii="Palatino Linotype"/>
        </w:rPr>
        <w:t>methodology created for the Commission, funded originally via a grant from the National</w:t>
      </w:r>
      <w:r>
        <w:rPr>
          <w:rFonts w:ascii="Palatino Linotype"/>
          <w:spacing w:val="1"/>
        </w:rPr>
        <w:t xml:space="preserve"> </w:t>
      </w:r>
      <w:r>
        <w:rPr>
          <w:rFonts w:ascii="Palatino Linotype"/>
        </w:rPr>
        <w:t>Telecommunications</w:t>
      </w:r>
      <w:r>
        <w:rPr>
          <w:rFonts w:ascii="Palatino Linotype"/>
          <w:spacing w:val="-2"/>
        </w:rPr>
        <w:t xml:space="preserve"> </w:t>
      </w:r>
      <w:r>
        <w:rPr>
          <w:rFonts w:ascii="Palatino Linotype"/>
        </w:rPr>
        <w:t>and Information</w:t>
      </w:r>
      <w:r>
        <w:rPr>
          <w:rFonts w:ascii="Palatino Linotype"/>
          <w:spacing w:val="-1"/>
        </w:rPr>
        <w:t xml:space="preserve"> </w:t>
      </w:r>
      <w:r>
        <w:rPr>
          <w:rFonts w:ascii="Palatino Linotype"/>
        </w:rPr>
        <w:t>Administration</w:t>
      </w:r>
      <w:r w:rsidR="00277694">
        <w:rPr>
          <w:rFonts w:ascii="Palatino Linotype"/>
        </w:rPr>
        <w:t>.</w:t>
      </w:r>
    </w:p>
  </w:footnote>
  <w:footnote w:id="192">
    <w:p w14:paraId="01A41731" w14:textId="612684FE" w:rsidR="00081EFC" w:rsidRDefault="00081EFC" w:rsidP="00081EFC">
      <w:pPr>
        <w:pStyle w:val="FootnoteText"/>
      </w:pPr>
      <w:r>
        <w:rPr>
          <w:rStyle w:val="FootnoteReference"/>
        </w:rPr>
        <w:footnoteRef/>
      </w:r>
      <w:r>
        <w:t xml:space="preserve"> </w:t>
      </w:r>
      <w:r>
        <w:rPr>
          <w:rFonts w:ascii="Palatino Linotype"/>
        </w:rPr>
        <w:t>KPI report is to measure the broadband network service performance and to keep proper checks and</w:t>
      </w:r>
      <w:r>
        <w:rPr>
          <w:rFonts w:ascii="Palatino Linotype"/>
          <w:spacing w:val="-47"/>
        </w:rPr>
        <w:t xml:space="preserve"> </w:t>
      </w:r>
      <w:r>
        <w:rPr>
          <w:rFonts w:ascii="Palatino Linotype"/>
        </w:rPr>
        <w:t>balances</w:t>
      </w:r>
      <w:r>
        <w:rPr>
          <w:rFonts w:ascii="Palatino Linotype"/>
          <w:spacing w:val="-2"/>
        </w:rPr>
        <w:t xml:space="preserve"> </w:t>
      </w:r>
      <w:r>
        <w:rPr>
          <w:rFonts w:ascii="Palatino Linotype"/>
        </w:rPr>
        <w:t>on</w:t>
      </w:r>
      <w:r>
        <w:rPr>
          <w:rFonts w:ascii="Palatino Linotype"/>
          <w:spacing w:val="-1"/>
        </w:rPr>
        <w:t xml:space="preserve"> </w:t>
      </w:r>
      <w:r>
        <w:rPr>
          <w:rFonts w:ascii="Palatino Linotype"/>
        </w:rPr>
        <w:t>the BPHA program</w:t>
      </w:r>
      <w:r>
        <w:rPr>
          <w:rFonts w:ascii="Palatino Linotype"/>
          <w:spacing w:val="-1"/>
        </w:rPr>
        <w:t xml:space="preserve"> </w:t>
      </w:r>
      <w:r>
        <w:rPr>
          <w:rFonts w:ascii="Palatino Linotype"/>
        </w:rPr>
        <w:t>goals</w:t>
      </w:r>
      <w:r>
        <w:rPr>
          <w:rFonts w:ascii="Palatino Linotype"/>
          <w:spacing w:val="-2"/>
        </w:rPr>
        <w:t xml:space="preserve"> </w:t>
      </w:r>
      <w:r>
        <w:rPr>
          <w:rFonts w:ascii="Palatino Linotype"/>
        </w:rPr>
        <w:t>and objectives</w:t>
      </w:r>
      <w:r w:rsidR="005A5E28">
        <w:rPr>
          <w:rFonts w:ascii="Palatino Linotype"/>
        </w:rPr>
        <w:t>.</w:t>
      </w:r>
    </w:p>
  </w:footnote>
  <w:footnote w:id="193">
    <w:p w14:paraId="0F1A5A4B" w14:textId="74CDB238" w:rsidR="00081EFC" w:rsidRDefault="00081EFC" w:rsidP="00081EFC">
      <w:pPr>
        <w:pStyle w:val="FootnoteText"/>
      </w:pPr>
      <w:r>
        <w:rPr>
          <w:rStyle w:val="FootnoteReference"/>
        </w:rPr>
        <w:footnoteRef/>
      </w:r>
      <w:r>
        <w:t xml:space="preserve"> </w:t>
      </w:r>
      <w:r>
        <w:rPr>
          <w:rFonts w:ascii="Palatino Linotype"/>
        </w:rPr>
        <w:t>A DBA "Do Business As" is also known as a "fictitious business name," "trade name," or "assumed</w:t>
      </w:r>
      <w:r>
        <w:rPr>
          <w:rFonts w:ascii="Palatino Linotype"/>
          <w:spacing w:val="-47"/>
        </w:rPr>
        <w:t xml:space="preserve"> </w:t>
      </w:r>
      <w:r>
        <w:rPr>
          <w:rFonts w:ascii="Palatino Linotype"/>
        </w:rPr>
        <w:t>name</w:t>
      </w:r>
    </w:p>
  </w:footnote>
  <w:footnote w:id="194">
    <w:p w14:paraId="4F641FB8" w14:textId="77777777" w:rsidR="00081EFC" w:rsidRDefault="00081EFC" w:rsidP="00394667">
      <w:pPr>
        <w:pStyle w:val="FootnoteText"/>
        <w:spacing w:after="0"/>
      </w:pPr>
      <w:r>
        <w:rPr>
          <w:rStyle w:val="FootnoteReference"/>
        </w:rPr>
        <w:footnoteRef/>
      </w:r>
      <w:r>
        <w:t xml:space="preserve"> Pub. Util. Code, § 281(j)(5).</w:t>
      </w:r>
    </w:p>
  </w:footnote>
  <w:footnote w:id="195">
    <w:p w14:paraId="4F21AC4F" w14:textId="77777777" w:rsidR="00081EFC" w:rsidRDefault="00081EFC" w:rsidP="00081EFC">
      <w:pPr>
        <w:pStyle w:val="FootnoteText"/>
      </w:pPr>
      <w:r>
        <w:rPr>
          <w:rStyle w:val="FootnoteReference"/>
        </w:rPr>
        <w:footnoteRef/>
      </w:r>
      <w:r>
        <w:t xml:space="preserve"> </w:t>
      </w:r>
      <w:r w:rsidRPr="00B65A28">
        <w:t>According to the annual survey conducted for the California Emerging Technology Fund (CETF), as of July 2021, California has an overall adoption rate of 91% (</w:t>
      </w:r>
      <w:r w:rsidRPr="00B65A28">
        <w:rPr>
          <w:color w:val="0000FF"/>
          <w:u w:val="single"/>
        </w:rPr>
        <w:t>https://www.cetfund.org/wp-content/uploads/2021/03/Statewide-Survey-on-Broadband-Adoption-CETF Report.pdf). http://www.cetfund.org/node/9318</w:t>
      </w:r>
      <w:r w:rsidRPr="00B65A28">
        <w:t>).</w:t>
      </w:r>
    </w:p>
  </w:footnote>
  <w:footnote w:id="196">
    <w:p w14:paraId="59DC4411" w14:textId="77777777" w:rsidR="00081EFC" w:rsidRDefault="00081EFC" w:rsidP="00394667">
      <w:pPr>
        <w:pStyle w:val="FootnoteText"/>
        <w:spacing w:after="0"/>
      </w:pPr>
      <w:r>
        <w:rPr>
          <w:rStyle w:val="FootnoteReference"/>
        </w:rPr>
        <w:footnoteRef/>
      </w:r>
      <w:r>
        <w:t xml:space="preserve"> California Broadband Report, A Summary of Broadband Availability and Adoption in California as of</w:t>
      </w:r>
      <w:r>
        <w:rPr>
          <w:spacing w:val="-47"/>
        </w:rPr>
        <w:t xml:space="preserve"> </w:t>
      </w:r>
      <w:r>
        <w:t>June 30, 2011, Pages 22-28, show correlation of factors relative to adoption.</w:t>
      </w:r>
      <w:r>
        <w:rPr>
          <w:spacing w:val="1"/>
        </w:rPr>
        <w:t xml:space="preserve"> </w:t>
      </w:r>
      <w:r w:rsidRPr="00F170B0">
        <w:rPr>
          <w:i/>
          <w:iCs/>
        </w:rPr>
        <w:t>See</w:t>
      </w:r>
      <w:r w:rsidRPr="00F170B0">
        <w:rPr>
          <w:i/>
          <w:iCs/>
          <w:spacing w:val="1"/>
        </w:rPr>
        <w:t xml:space="preserve"> </w:t>
      </w:r>
      <w:hyperlink r:id="rId7" w:history="1">
        <w:r w:rsidRPr="00157689">
          <w:rPr>
            <w:rStyle w:val="Hyperlink"/>
            <w:color w:val="0000FF"/>
          </w:rPr>
          <w:t>http://www.cpuc.ca.gov/General.aspx?id=5753</w:t>
        </w:r>
      </w:hyperlink>
    </w:p>
  </w:footnote>
  <w:footnote w:id="197">
    <w:p w14:paraId="722C1332" w14:textId="77777777" w:rsidR="00081EFC" w:rsidRDefault="00081EFC" w:rsidP="00394667">
      <w:pPr>
        <w:pStyle w:val="FootnoteText"/>
        <w:spacing w:after="0"/>
      </w:pPr>
      <w:r>
        <w:rPr>
          <w:rStyle w:val="FootnoteReference"/>
        </w:rPr>
        <w:footnoteRef/>
      </w:r>
      <w:r>
        <w:t xml:space="preserve"> CARE</w:t>
      </w:r>
      <w:r>
        <w:rPr>
          <w:spacing w:val="-3"/>
        </w:rPr>
        <w:t xml:space="preserve"> </w:t>
      </w:r>
      <w:r>
        <w:t>income</w:t>
      </w:r>
      <w:r>
        <w:rPr>
          <w:spacing w:val="-4"/>
        </w:rPr>
        <w:t xml:space="preserve"> </w:t>
      </w:r>
      <w:r>
        <w:t>limits</w:t>
      </w:r>
      <w:r>
        <w:rPr>
          <w:spacing w:val="-5"/>
        </w:rPr>
        <w:t xml:space="preserve"> </w:t>
      </w:r>
      <w:r>
        <w:t>can</w:t>
      </w:r>
      <w:r>
        <w:rPr>
          <w:spacing w:val="-5"/>
        </w:rPr>
        <w:t xml:space="preserve"> </w:t>
      </w:r>
      <w:r>
        <w:t>be</w:t>
      </w:r>
      <w:r>
        <w:rPr>
          <w:spacing w:val="-4"/>
        </w:rPr>
        <w:t xml:space="preserve"> </w:t>
      </w:r>
      <w:r>
        <w:t>found</w:t>
      </w:r>
      <w:r>
        <w:rPr>
          <w:spacing w:val="-3"/>
        </w:rPr>
        <w:t xml:space="preserve"> </w:t>
      </w:r>
      <w:r>
        <w:t>here:</w:t>
      </w:r>
      <w:r>
        <w:rPr>
          <w:spacing w:val="-4"/>
        </w:rPr>
        <w:t xml:space="preserve"> </w:t>
      </w:r>
      <w:hyperlink r:id="rId8" w:history="1">
        <w:r>
          <w:rPr>
            <w:rStyle w:val="Hyperlink"/>
          </w:rPr>
          <w:t>http://consumers.cpuc.ca.gov/lowincomerates/.</w:t>
        </w:r>
      </w:hyperlink>
    </w:p>
  </w:footnote>
  <w:footnote w:id="198">
    <w:p w14:paraId="1FE948E5" w14:textId="77777777" w:rsidR="00081EFC" w:rsidRDefault="00081EFC" w:rsidP="00394667">
      <w:pPr>
        <w:pStyle w:val="FootnoteText"/>
        <w:spacing w:after="0"/>
      </w:pPr>
      <w:r>
        <w:rPr>
          <w:rStyle w:val="FootnoteReference"/>
        </w:rPr>
        <w:footnoteRef/>
      </w:r>
      <w:r>
        <w:t xml:space="preserve"> </w:t>
      </w:r>
      <w:r w:rsidRPr="00157689">
        <w:t>Pub.</w:t>
      </w:r>
      <w:r w:rsidRPr="00157689">
        <w:rPr>
          <w:spacing w:val="-2"/>
        </w:rPr>
        <w:t xml:space="preserve"> </w:t>
      </w:r>
      <w:r w:rsidRPr="00157689">
        <w:t>Util.</w:t>
      </w:r>
      <w:r w:rsidRPr="00157689">
        <w:rPr>
          <w:spacing w:val="-1"/>
        </w:rPr>
        <w:t xml:space="preserve"> </w:t>
      </w:r>
      <w:r w:rsidRPr="00157689">
        <w:t>Code,</w:t>
      </w:r>
      <w:r w:rsidRPr="00157689">
        <w:rPr>
          <w:spacing w:val="-2"/>
        </w:rPr>
        <w:t xml:space="preserve"> </w:t>
      </w:r>
      <w:r w:rsidRPr="00157689">
        <w:t>§</w:t>
      </w:r>
      <w:r w:rsidRPr="00157689">
        <w:rPr>
          <w:spacing w:val="-2"/>
        </w:rPr>
        <w:t xml:space="preserve"> </w:t>
      </w:r>
      <w:r w:rsidRPr="00157689">
        <w:t>281</w:t>
      </w:r>
      <w:r w:rsidRPr="00157689">
        <w:rPr>
          <w:spacing w:val="-1"/>
        </w:rPr>
        <w:t xml:space="preserve"> </w:t>
      </w:r>
      <w:r w:rsidRPr="00157689">
        <w:t>(j)(2).</w:t>
      </w:r>
    </w:p>
  </w:footnote>
  <w:footnote w:id="199">
    <w:p w14:paraId="539E4A0A" w14:textId="77777777" w:rsidR="00081EFC" w:rsidRDefault="00081EFC" w:rsidP="00081EFC">
      <w:pPr>
        <w:pStyle w:val="FootnoteText"/>
      </w:pPr>
      <w:r>
        <w:rPr>
          <w:rStyle w:val="FootnoteReference"/>
        </w:rPr>
        <w:footnoteRef/>
      </w:r>
      <w:r>
        <w:t xml:space="preserve"> </w:t>
      </w:r>
      <w:r w:rsidRPr="00204102">
        <w:t>“Administrative costs” are defined here as “indirect overhead costs attributable to a project per generally accepted accounting principles (GAAP) and the direct cost of complying with Commission administrative and regulatory requirements related to the grant itself,” consistent with other CASF program rules</w:t>
      </w:r>
      <w:r>
        <w:t>.</w:t>
      </w:r>
    </w:p>
  </w:footnote>
  <w:footnote w:id="200">
    <w:p w14:paraId="7A8B3B18" w14:textId="77777777" w:rsidR="00081EFC" w:rsidRDefault="00081EFC" w:rsidP="00081EFC">
      <w:pPr>
        <w:pStyle w:val="FootnoteText"/>
      </w:pPr>
      <w:r>
        <w:rPr>
          <w:rStyle w:val="FootnoteReference"/>
        </w:rPr>
        <w:footnoteRef/>
      </w:r>
      <w:r>
        <w:t xml:space="preserve"> </w:t>
      </w:r>
      <w:r>
        <w:rPr>
          <w:sz w:val="19"/>
          <w:szCs w:val="19"/>
        </w:rPr>
        <w:t>CARE income thresholds are set pursuant to D.16-11-022 at 18 and Pub. Util. Code, § 739.1(a).</w:t>
      </w:r>
      <w:r>
        <w:rPr>
          <w:spacing w:val="1"/>
          <w:sz w:val="19"/>
          <w:szCs w:val="19"/>
        </w:rPr>
        <w:t xml:space="preserve"> </w:t>
      </w:r>
      <w:r>
        <w:rPr>
          <w:sz w:val="19"/>
          <w:szCs w:val="19"/>
        </w:rPr>
        <w:t>For a</w:t>
      </w:r>
      <w:r>
        <w:rPr>
          <w:spacing w:val="1"/>
          <w:sz w:val="19"/>
          <w:szCs w:val="19"/>
        </w:rPr>
        <w:t xml:space="preserve"> </w:t>
      </w:r>
      <w:r>
        <w:rPr>
          <w:sz w:val="19"/>
          <w:szCs w:val="19"/>
        </w:rPr>
        <w:t>household of four, the income threshold is $53,000 through May 31, 2022.</w:t>
      </w:r>
      <w:r>
        <w:rPr>
          <w:spacing w:val="1"/>
          <w:sz w:val="19"/>
          <w:szCs w:val="19"/>
        </w:rPr>
        <w:t xml:space="preserve"> </w:t>
      </w:r>
      <w:r>
        <w:rPr>
          <w:sz w:val="19"/>
          <w:szCs w:val="19"/>
        </w:rPr>
        <w:t>The threshold is updated</w:t>
      </w:r>
      <w:r>
        <w:rPr>
          <w:spacing w:val="1"/>
          <w:sz w:val="19"/>
          <w:szCs w:val="19"/>
        </w:rPr>
        <w:t xml:space="preserve"> </w:t>
      </w:r>
      <w:r>
        <w:rPr>
          <w:sz w:val="19"/>
          <w:szCs w:val="19"/>
        </w:rPr>
        <w:t>regularly in the CARE proceeding, A.19-11-003, et. al. As of July 15, 2021, current CARE income</w:t>
      </w:r>
      <w:r>
        <w:rPr>
          <w:spacing w:val="1"/>
          <w:sz w:val="19"/>
          <w:szCs w:val="19"/>
        </w:rPr>
        <w:t xml:space="preserve"> </w:t>
      </w:r>
      <w:r>
        <w:rPr>
          <w:sz w:val="19"/>
          <w:szCs w:val="19"/>
        </w:rPr>
        <w:t>guidelines</w:t>
      </w:r>
      <w:r>
        <w:rPr>
          <w:spacing w:val="-11"/>
          <w:sz w:val="19"/>
          <w:szCs w:val="19"/>
        </w:rPr>
        <w:t xml:space="preserve"> </w:t>
      </w:r>
      <w:r>
        <w:rPr>
          <w:sz w:val="19"/>
          <w:szCs w:val="19"/>
        </w:rPr>
        <w:t>are</w:t>
      </w:r>
      <w:r>
        <w:rPr>
          <w:spacing w:val="-10"/>
          <w:sz w:val="19"/>
          <w:szCs w:val="19"/>
        </w:rPr>
        <w:t xml:space="preserve"> </w:t>
      </w:r>
      <w:r>
        <w:rPr>
          <w:sz w:val="19"/>
          <w:szCs w:val="19"/>
        </w:rPr>
        <w:t>available</w:t>
      </w:r>
      <w:r>
        <w:rPr>
          <w:spacing w:val="-9"/>
          <w:sz w:val="19"/>
          <w:szCs w:val="19"/>
        </w:rPr>
        <w:t xml:space="preserve"> </w:t>
      </w:r>
      <w:r>
        <w:rPr>
          <w:sz w:val="19"/>
          <w:szCs w:val="19"/>
        </w:rPr>
        <w:t>at</w:t>
      </w:r>
      <w:r>
        <w:rPr>
          <w:spacing w:val="-10"/>
          <w:sz w:val="19"/>
          <w:szCs w:val="19"/>
        </w:rPr>
        <w:t xml:space="preserve"> </w:t>
      </w:r>
      <w:r w:rsidRPr="00204102">
        <w:rPr>
          <w:color w:val="0000FF"/>
          <w:sz w:val="19"/>
          <w:szCs w:val="19"/>
          <w:u w:val="single"/>
        </w:rPr>
        <w:t>https://</w:t>
      </w:r>
      <w:hyperlink r:id="rId9" w:history="1">
        <w:r w:rsidRPr="00204102">
          <w:rPr>
            <w:rStyle w:val="Hyperlink"/>
            <w:color w:val="0000FF"/>
            <w:sz w:val="19"/>
            <w:szCs w:val="19"/>
          </w:rPr>
          <w:t>www.cpuc.ca.gov/consumer-support/financial-assistance-savings-and-</w:t>
        </w:r>
      </w:hyperlink>
      <w:r w:rsidRPr="00204102">
        <w:rPr>
          <w:color w:val="0000FF"/>
          <w:spacing w:val="-47"/>
          <w:sz w:val="19"/>
          <w:szCs w:val="19"/>
          <w:u w:val="single"/>
        </w:rPr>
        <w:t xml:space="preserve"> </w:t>
      </w:r>
      <w:r w:rsidRPr="00204102">
        <w:rPr>
          <w:color w:val="0000FF"/>
          <w:sz w:val="19"/>
          <w:szCs w:val="19"/>
          <w:u w:val="single"/>
        </w:rPr>
        <w:t>discounts/california-alternate-rates-for-energy</w:t>
      </w:r>
    </w:p>
  </w:footnote>
  <w:footnote w:id="201">
    <w:p w14:paraId="4A670346" w14:textId="77777777" w:rsidR="00081EFC" w:rsidRDefault="00081EFC" w:rsidP="00081EFC">
      <w:pPr>
        <w:pStyle w:val="FootnoteText"/>
      </w:pPr>
      <w:r>
        <w:rPr>
          <w:rStyle w:val="FootnoteReference"/>
        </w:rPr>
        <w:footnoteRef/>
      </w:r>
      <w:r>
        <w:t xml:space="preserve"> </w:t>
      </w:r>
      <w:r>
        <w:rPr>
          <w:sz w:val="18"/>
          <w:szCs w:val="18"/>
        </w:rPr>
        <w:t>“NTIA Broadband Adoption Toolkit,” published May 2013, draws on the experience of the recipients of</w:t>
      </w:r>
      <w:r>
        <w:rPr>
          <w:spacing w:val="-47"/>
          <w:sz w:val="18"/>
          <w:szCs w:val="18"/>
        </w:rPr>
        <w:t xml:space="preserve"> </w:t>
      </w:r>
      <w:r>
        <w:rPr>
          <w:sz w:val="18"/>
          <w:szCs w:val="18"/>
        </w:rPr>
        <w:t>grants</w:t>
      </w:r>
      <w:r>
        <w:rPr>
          <w:spacing w:val="-2"/>
          <w:sz w:val="18"/>
          <w:szCs w:val="18"/>
        </w:rPr>
        <w:t xml:space="preserve"> </w:t>
      </w:r>
      <w:r>
        <w:rPr>
          <w:sz w:val="18"/>
          <w:szCs w:val="18"/>
        </w:rPr>
        <w:t>from</w:t>
      </w:r>
      <w:r>
        <w:rPr>
          <w:spacing w:val="-3"/>
          <w:sz w:val="18"/>
          <w:szCs w:val="18"/>
        </w:rPr>
        <w:t xml:space="preserve"> </w:t>
      </w:r>
      <w:r>
        <w:rPr>
          <w:sz w:val="18"/>
          <w:szCs w:val="18"/>
        </w:rPr>
        <w:t>the</w:t>
      </w:r>
      <w:r>
        <w:rPr>
          <w:spacing w:val="-2"/>
          <w:sz w:val="18"/>
          <w:szCs w:val="18"/>
        </w:rPr>
        <w:t xml:space="preserve"> </w:t>
      </w:r>
      <w:r>
        <w:rPr>
          <w:sz w:val="18"/>
          <w:szCs w:val="18"/>
        </w:rPr>
        <w:t>Broadband</w:t>
      </w:r>
      <w:r>
        <w:rPr>
          <w:spacing w:val="2"/>
          <w:sz w:val="18"/>
          <w:szCs w:val="18"/>
        </w:rPr>
        <w:t xml:space="preserve"> </w:t>
      </w:r>
      <w:r>
        <w:rPr>
          <w:sz w:val="18"/>
          <w:szCs w:val="18"/>
        </w:rPr>
        <w:t>Technology</w:t>
      </w:r>
      <w:r>
        <w:rPr>
          <w:spacing w:val="-3"/>
          <w:sz w:val="18"/>
          <w:szCs w:val="18"/>
        </w:rPr>
        <w:t xml:space="preserve"> </w:t>
      </w:r>
      <w:r>
        <w:rPr>
          <w:sz w:val="18"/>
          <w:szCs w:val="18"/>
        </w:rPr>
        <w:t>Opportunities Program</w:t>
      </w:r>
      <w:r>
        <w:rPr>
          <w:spacing w:val="-2"/>
          <w:sz w:val="18"/>
          <w:szCs w:val="18"/>
        </w:rPr>
        <w:t xml:space="preserve"> </w:t>
      </w:r>
      <w:r>
        <w:rPr>
          <w:sz w:val="18"/>
          <w:szCs w:val="18"/>
        </w:rPr>
        <w:t>and</w:t>
      </w:r>
      <w:r>
        <w:rPr>
          <w:spacing w:val="-1"/>
          <w:sz w:val="18"/>
          <w:szCs w:val="18"/>
        </w:rPr>
        <w:t xml:space="preserve"> </w:t>
      </w:r>
      <w:r>
        <w:rPr>
          <w:sz w:val="18"/>
          <w:szCs w:val="18"/>
        </w:rPr>
        <w:t>provides</w:t>
      </w:r>
      <w:r>
        <w:rPr>
          <w:spacing w:val="-2"/>
          <w:sz w:val="18"/>
          <w:szCs w:val="18"/>
        </w:rPr>
        <w:t xml:space="preserve"> </w:t>
      </w:r>
      <w:r>
        <w:rPr>
          <w:sz w:val="18"/>
          <w:szCs w:val="18"/>
        </w:rPr>
        <w:t>examples</w:t>
      </w:r>
      <w:r>
        <w:rPr>
          <w:spacing w:val="-2"/>
          <w:sz w:val="18"/>
          <w:szCs w:val="18"/>
        </w:rPr>
        <w:t xml:space="preserve"> </w:t>
      </w:r>
      <w:r>
        <w:rPr>
          <w:sz w:val="18"/>
          <w:szCs w:val="18"/>
        </w:rPr>
        <w:t>of grants. Available</w:t>
      </w:r>
      <w:r>
        <w:rPr>
          <w:spacing w:val="-7"/>
          <w:sz w:val="18"/>
          <w:szCs w:val="18"/>
        </w:rPr>
        <w:t xml:space="preserve"> </w:t>
      </w:r>
      <w:r>
        <w:rPr>
          <w:sz w:val="18"/>
          <w:szCs w:val="18"/>
        </w:rPr>
        <w:t>at</w:t>
      </w:r>
      <w:r>
        <w:rPr>
          <w:spacing w:val="-7"/>
          <w:sz w:val="18"/>
          <w:szCs w:val="18"/>
        </w:rPr>
        <w:t xml:space="preserve"> </w:t>
      </w:r>
      <w:hyperlink r:id="rId10" w:history="1">
        <w:r w:rsidRPr="00A665C9">
          <w:rPr>
            <w:rStyle w:val="Hyperlink"/>
            <w:color w:val="0000FF"/>
            <w:sz w:val="18"/>
            <w:szCs w:val="18"/>
          </w:rPr>
          <w:t>https://www2.ntia.doc.gov/files/toolkit_042913.pdf.</w:t>
        </w:r>
      </w:hyperlink>
    </w:p>
  </w:footnote>
  <w:footnote w:id="202">
    <w:p w14:paraId="7A9CFD54" w14:textId="77777777" w:rsidR="00081EFC" w:rsidRDefault="00081EFC" w:rsidP="00081EFC">
      <w:pPr>
        <w:pStyle w:val="FootnoteText"/>
      </w:pPr>
      <w:r>
        <w:rPr>
          <w:rStyle w:val="FootnoteReference"/>
        </w:rPr>
        <w:footnoteRef/>
      </w:r>
      <w:r>
        <w:t xml:space="preserve"> D.11-06-038,</w:t>
      </w:r>
      <w:r>
        <w:rPr>
          <w:spacing w:val="-1"/>
        </w:rPr>
        <w:t xml:space="preserve"> </w:t>
      </w:r>
      <w:r>
        <w:t>p.</w:t>
      </w:r>
      <w:r>
        <w:rPr>
          <w:spacing w:val="-2"/>
        </w:rPr>
        <w:t xml:space="preserve"> </w:t>
      </w:r>
      <w:r>
        <w:t>2.</w:t>
      </w:r>
    </w:p>
  </w:footnote>
  <w:footnote w:id="203">
    <w:p w14:paraId="73AF7DB1" w14:textId="77777777" w:rsidR="00081EFC" w:rsidRDefault="00081EFC" w:rsidP="00081EFC">
      <w:pPr>
        <w:pStyle w:val="FootnoteText"/>
      </w:pPr>
      <w:r>
        <w:rPr>
          <w:rStyle w:val="FootnoteReference"/>
        </w:rPr>
        <w:footnoteRef/>
      </w:r>
      <w:r>
        <w:t xml:space="preserve"> </w:t>
      </w:r>
      <w:r w:rsidRPr="00DC5F0C">
        <w:t>D.11-06-038 at 12.</w:t>
      </w:r>
    </w:p>
  </w:footnote>
  <w:footnote w:id="204">
    <w:p w14:paraId="2E75EB02" w14:textId="77777777" w:rsidR="00081EFC" w:rsidRDefault="00081EFC" w:rsidP="00081EFC">
      <w:pPr>
        <w:pStyle w:val="FootnoteText"/>
      </w:pPr>
      <w:r>
        <w:rPr>
          <w:rStyle w:val="FootnoteReference"/>
        </w:rPr>
        <w:footnoteRef/>
      </w:r>
      <w:r>
        <w:t xml:space="preserve"> Metrics is a measurement used to gauge quantifiable components of performance, e.g., survey </w:t>
      </w:r>
    </w:p>
    <w:p w14:paraId="7CC5815E" w14:textId="77777777" w:rsidR="00081EFC" w:rsidRDefault="00081EFC" w:rsidP="00081EFC">
      <w:pPr>
        <w:pStyle w:val="FootnoteText"/>
      </w:pPr>
      <w:r>
        <w:t>of 150 community-based organizations, five project application meetings with local ISP, etc.</w:t>
      </w:r>
    </w:p>
  </w:footnote>
  <w:footnote w:id="205">
    <w:p w14:paraId="4000E497" w14:textId="77777777" w:rsidR="00081EFC" w:rsidRDefault="00081EFC" w:rsidP="00081EFC">
      <w:pPr>
        <w:pStyle w:val="FootnoteText"/>
      </w:pPr>
      <w:r>
        <w:rPr>
          <w:rStyle w:val="FootnoteReference"/>
        </w:rPr>
        <w:footnoteRef/>
      </w:r>
      <w:r>
        <w:t xml:space="preserve"> Supporting Materials for May 25 Communications Division Staff Workshop on CASF Reform,” Communications Division, May 2017 at 11-14.</w:t>
      </w:r>
    </w:p>
  </w:footnote>
  <w:footnote w:id="206">
    <w:p w14:paraId="7D4E4EFE" w14:textId="77777777" w:rsidR="00081EFC" w:rsidRDefault="00081EFC" w:rsidP="00081EFC">
      <w:pPr>
        <w:pStyle w:val="FootnoteText"/>
      </w:pPr>
      <w:r>
        <w:rPr>
          <w:rStyle w:val="FootnoteReference"/>
        </w:rPr>
        <w:footnoteRef/>
      </w:r>
      <w:r>
        <w:t xml:space="preserve"> D.11-06-038, Ordering Paragraph 11 at 40.</w:t>
      </w:r>
    </w:p>
  </w:footnote>
  <w:footnote w:id="207">
    <w:p w14:paraId="403953D2" w14:textId="77777777" w:rsidR="00081EFC" w:rsidRDefault="00081EFC" w:rsidP="00081EFC">
      <w:pPr>
        <w:pStyle w:val="FootnoteText"/>
      </w:pPr>
      <w:r>
        <w:rPr>
          <w:rStyle w:val="FootnoteReference"/>
        </w:rPr>
        <w:footnoteRef/>
      </w:r>
      <w:r>
        <w:t xml:space="preserve"> D.11-06-038 at 26.</w:t>
      </w:r>
    </w:p>
  </w:footnote>
  <w:footnote w:id="208">
    <w:p w14:paraId="72516857" w14:textId="77777777" w:rsidR="00081EFC" w:rsidRDefault="00081EFC" w:rsidP="00081EFC">
      <w:pPr>
        <w:pStyle w:val="FootnoteText"/>
      </w:pPr>
      <w:r>
        <w:rPr>
          <w:rStyle w:val="FootnoteReference"/>
        </w:rPr>
        <w:footnoteRef/>
      </w:r>
      <w:r>
        <w:t xml:space="preserve"> Rule 1.1 of the Commission’s Rules of Practice and Procedure.</w:t>
      </w:r>
    </w:p>
  </w:footnote>
  <w:footnote w:id="209">
    <w:p w14:paraId="381CD5A1" w14:textId="77777777" w:rsidR="00081EFC" w:rsidRDefault="00081EFC" w:rsidP="00081EFC">
      <w:pPr>
        <w:pStyle w:val="FootnoteText"/>
      </w:pPr>
      <w:r>
        <w:rPr>
          <w:rStyle w:val="FootnoteReference"/>
        </w:rPr>
        <w:footnoteRef/>
      </w:r>
      <w:r>
        <w:t xml:space="preserve"> </w:t>
      </w:r>
      <w:r w:rsidRPr="00F170B0">
        <w:rPr>
          <w:i/>
          <w:iCs/>
        </w:rPr>
        <w:t>See</w:t>
      </w:r>
      <w:r>
        <w:t xml:space="preserve"> e.g. </w:t>
      </w:r>
      <w:r w:rsidRPr="00F37E27">
        <w:rPr>
          <w:color w:val="0000FF"/>
          <w:u w:val="single"/>
        </w:rPr>
        <w:t>http://hrmanual.calhr.ca.gov/Home/ManualItem/1/2201</w:t>
      </w:r>
      <w:r>
        <w:t>.</w:t>
      </w:r>
    </w:p>
  </w:footnote>
  <w:footnote w:id="210">
    <w:p w14:paraId="453C5D6D" w14:textId="77777777" w:rsidR="00081EFC" w:rsidRDefault="00081EFC" w:rsidP="00081EFC">
      <w:pPr>
        <w:pStyle w:val="FootnoteText"/>
      </w:pPr>
      <w:r>
        <w:rPr>
          <w:rStyle w:val="FootnoteReference"/>
        </w:rPr>
        <w:footnoteRef/>
      </w:r>
      <w:r>
        <w:t xml:space="preserve"> D.11-06-038 at 28.</w:t>
      </w:r>
    </w:p>
  </w:footnote>
  <w:footnote w:id="211">
    <w:p w14:paraId="37D8F391" w14:textId="77777777" w:rsidR="00081EFC" w:rsidRDefault="00081EFC" w:rsidP="00081EFC">
      <w:pPr>
        <w:pStyle w:val="FootnoteText"/>
      </w:pPr>
      <w:r>
        <w:rPr>
          <w:rStyle w:val="FootnoteReference"/>
        </w:rPr>
        <w:footnoteRef/>
      </w:r>
      <w:r>
        <w:t xml:space="preserve"> D.11-06-038 at 29; Pub. Util. Code, § 270.</w:t>
      </w:r>
    </w:p>
  </w:footnote>
  <w:footnote w:id="212">
    <w:p w14:paraId="1904DAC5" w14:textId="77777777" w:rsidR="00081EFC" w:rsidRDefault="00081EFC" w:rsidP="00081EFC">
      <w:pPr>
        <w:pStyle w:val="FootnoteText"/>
      </w:pPr>
      <w:r>
        <w:rPr>
          <w:rStyle w:val="FootnoteReference"/>
        </w:rPr>
        <w:footnoteRef/>
      </w:r>
      <w:r>
        <w:t xml:space="preserve"> D.11-06-038 at 12-13.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AA98" w14:textId="458B5831" w:rsidR="00806ADE" w:rsidRDefault="00806ADE" w:rsidP="00F92385">
    <w:pPr>
      <w:pStyle w:val="Header"/>
      <w:ind w:firstLine="0"/>
      <w:rPr>
        <w:i/>
        <w:color w:val="FF0000"/>
      </w:rPr>
    </w:pPr>
  </w:p>
  <w:p w14:paraId="0DC33AE0" w14:textId="77777777" w:rsidR="00806ADE" w:rsidRPr="00F92385" w:rsidRDefault="00806ADE" w:rsidP="00F92385">
    <w:pPr>
      <w:pStyle w:val="Header"/>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E658" w14:textId="310A778C" w:rsidR="00E23CBB" w:rsidRDefault="00634C73" w:rsidP="00EE4315">
    <w:pPr>
      <w:pStyle w:val="Header"/>
      <w:tabs>
        <w:tab w:val="clear" w:pos="4680"/>
      </w:tabs>
      <w:ind w:firstLine="0"/>
      <w:rPr>
        <w:b/>
      </w:rPr>
    </w:pPr>
    <w:r>
      <w:t>R.20-08-021</w:t>
    </w:r>
    <w:r w:rsidR="00F209CE">
      <w:t xml:space="preserve"> </w:t>
    </w:r>
    <w:r>
      <w:t>COM</w:t>
    </w:r>
    <w:r w:rsidR="00E23CBB">
      <w:t>/</w:t>
    </w:r>
    <w:r>
      <w:t>DH7</w:t>
    </w:r>
    <w:r w:rsidR="00E23CBB">
      <w:t>/</w:t>
    </w:r>
    <w:proofErr w:type="spellStart"/>
    <w:r w:rsidR="00B72CCD">
      <w:t>sgu</w:t>
    </w:r>
    <w:proofErr w:type="spellEnd"/>
    <w:r w:rsidR="00E23CBB">
      <w:tab/>
    </w:r>
  </w:p>
  <w:p w14:paraId="7A67AA02" w14:textId="75F208DB" w:rsidR="00806ADE" w:rsidRDefault="00806ADE" w:rsidP="00B3087D">
    <w:pPr>
      <w:pStyle w:val="Header"/>
      <w:tabs>
        <w:tab w:val="clear" w:pos="4680"/>
      </w:tabs>
      <w:ind w:firstLine="0"/>
      <w:rPr>
        <w:i/>
        <w:color w:val="FF0000"/>
      </w:rPr>
    </w:pPr>
  </w:p>
  <w:p w14:paraId="614ABCC2" w14:textId="77777777" w:rsidR="00806ADE" w:rsidRPr="00B3087D" w:rsidRDefault="00806ADE"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E004" w14:textId="130EADCB" w:rsidR="004E0122" w:rsidRDefault="004E0122" w:rsidP="00EE4315">
    <w:pPr>
      <w:pStyle w:val="Header"/>
      <w:tabs>
        <w:tab w:val="clear" w:pos="4680"/>
      </w:tabs>
      <w:ind w:firstLine="0"/>
      <w:rPr>
        <w:b/>
      </w:rPr>
    </w:pPr>
    <w:r>
      <w:t>R.20-08-021 COM/DH7/</w:t>
    </w:r>
    <w:proofErr w:type="spellStart"/>
    <w:r>
      <w:t>sgu</w:t>
    </w:r>
    <w:proofErr w:type="spellEnd"/>
    <w:r>
      <w:tab/>
    </w:r>
  </w:p>
  <w:p w14:paraId="1D85B3C0" w14:textId="77777777" w:rsidR="004E0122" w:rsidRDefault="004E0122" w:rsidP="00B3087D">
    <w:pPr>
      <w:pStyle w:val="Header"/>
      <w:tabs>
        <w:tab w:val="clear" w:pos="4680"/>
      </w:tabs>
      <w:ind w:firstLine="0"/>
      <w:rPr>
        <w:i/>
        <w:color w:val="FF0000"/>
      </w:rPr>
    </w:pPr>
  </w:p>
  <w:p w14:paraId="2D4D8C5E" w14:textId="77777777" w:rsidR="004E0122" w:rsidRPr="00B3087D" w:rsidRDefault="004E0122" w:rsidP="00B3087D">
    <w:pPr>
      <w:pStyle w:val="Header"/>
      <w:tabs>
        <w:tab w:val="clear" w:pos="4680"/>
      </w:tabs>
      <w:ind w:firstLine="0"/>
      <w:rPr>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114AA"/>
    <w:multiLevelType w:val="hybridMultilevel"/>
    <w:tmpl w:val="D0722BF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051D57A7"/>
    <w:multiLevelType w:val="hybridMultilevel"/>
    <w:tmpl w:val="D1CE5B72"/>
    <w:lvl w:ilvl="0" w:tplc="B02617D2">
      <w:start w:val="1"/>
      <w:numFmt w:val="upperLetter"/>
      <w:lvlText w:val="%1."/>
      <w:lvlJc w:val="left"/>
      <w:pPr>
        <w:ind w:left="820" w:hanging="360"/>
      </w:pPr>
      <w:rPr>
        <w:rFonts w:ascii="Palatino Linotype" w:eastAsia="Palatino Linotype" w:hAnsi="Palatino Linotype" w:cs="Palatino Linotype" w:hint="default"/>
        <w:b w:val="0"/>
        <w:bCs w:val="0"/>
        <w:i w:val="0"/>
        <w:iCs w:val="0"/>
        <w:w w:val="100"/>
        <w:sz w:val="24"/>
        <w:szCs w:val="24"/>
        <w:lang w:val="en-US" w:eastAsia="en-US" w:bidi="ar-SA"/>
      </w:rPr>
    </w:lvl>
    <w:lvl w:ilvl="1" w:tplc="32D80680">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2" w:tplc="C1AA4E86">
      <w:numFmt w:val="bullet"/>
      <w:lvlText w:val="•"/>
      <w:lvlJc w:val="left"/>
      <w:pPr>
        <w:ind w:left="2031" w:hanging="360"/>
      </w:pPr>
      <w:rPr>
        <w:rFonts w:hint="default"/>
        <w:lang w:val="en-US" w:eastAsia="en-US" w:bidi="ar-SA"/>
      </w:rPr>
    </w:lvl>
    <w:lvl w:ilvl="3" w:tplc="DE2A7BF0">
      <w:numFmt w:val="bullet"/>
      <w:lvlText w:val="•"/>
      <w:lvlJc w:val="left"/>
      <w:pPr>
        <w:ind w:left="2882" w:hanging="360"/>
      </w:pPr>
      <w:rPr>
        <w:rFonts w:hint="default"/>
        <w:lang w:val="en-US" w:eastAsia="en-US" w:bidi="ar-SA"/>
      </w:rPr>
    </w:lvl>
    <w:lvl w:ilvl="4" w:tplc="4AC25126">
      <w:numFmt w:val="bullet"/>
      <w:lvlText w:val="•"/>
      <w:lvlJc w:val="left"/>
      <w:pPr>
        <w:ind w:left="3733" w:hanging="360"/>
      </w:pPr>
      <w:rPr>
        <w:rFonts w:hint="default"/>
        <w:lang w:val="en-US" w:eastAsia="en-US" w:bidi="ar-SA"/>
      </w:rPr>
    </w:lvl>
    <w:lvl w:ilvl="5" w:tplc="88689AB6">
      <w:numFmt w:val="bullet"/>
      <w:lvlText w:val="•"/>
      <w:lvlJc w:val="left"/>
      <w:pPr>
        <w:ind w:left="4584" w:hanging="360"/>
      </w:pPr>
      <w:rPr>
        <w:rFonts w:hint="default"/>
        <w:lang w:val="en-US" w:eastAsia="en-US" w:bidi="ar-SA"/>
      </w:rPr>
    </w:lvl>
    <w:lvl w:ilvl="6" w:tplc="AAB46A74">
      <w:numFmt w:val="bullet"/>
      <w:lvlText w:val="•"/>
      <w:lvlJc w:val="left"/>
      <w:pPr>
        <w:ind w:left="5435" w:hanging="360"/>
      </w:pPr>
      <w:rPr>
        <w:rFonts w:hint="default"/>
        <w:lang w:val="en-US" w:eastAsia="en-US" w:bidi="ar-SA"/>
      </w:rPr>
    </w:lvl>
    <w:lvl w:ilvl="7" w:tplc="7910B8C0">
      <w:numFmt w:val="bullet"/>
      <w:lvlText w:val="•"/>
      <w:lvlJc w:val="left"/>
      <w:pPr>
        <w:ind w:left="6286" w:hanging="360"/>
      </w:pPr>
      <w:rPr>
        <w:rFonts w:hint="default"/>
        <w:lang w:val="en-US" w:eastAsia="en-US" w:bidi="ar-SA"/>
      </w:rPr>
    </w:lvl>
    <w:lvl w:ilvl="8" w:tplc="254AD56E">
      <w:numFmt w:val="bullet"/>
      <w:lvlText w:val="•"/>
      <w:lvlJc w:val="left"/>
      <w:pPr>
        <w:ind w:left="7137" w:hanging="360"/>
      </w:pPr>
      <w:rPr>
        <w:rFonts w:hint="default"/>
        <w:lang w:val="en-US" w:eastAsia="en-US" w:bidi="ar-SA"/>
      </w:rPr>
    </w:lvl>
  </w:abstractNum>
  <w:abstractNum w:abstractNumId="3" w15:restartNumberingAfterBreak="0">
    <w:nsid w:val="0559462A"/>
    <w:multiLevelType w:val="hybridMultilevel"/>
    <w:tmpl w:val="13FE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55EE1"/>
    <w:multiLevelType w:val="hybridMultilevel"/>
    <w:tmpl w:val="4A1217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881"/>
    <w:multiLevelType w:val="hybridMultilevel"/>
    <w:tmpl w:val="A1B42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8330CF"/>
    <w:multiLevelType w:val="hybridMultilevel"/>
    <w:tmpl w:val="5E4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88A1674"/>
    <w:multiLevelType w:val="hybridMultilevel"/>
    <w:tmpl w:val="F320ADD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F631E5"/>
    <w:multiLevelType w:val="hybridMultilevel"/>
    <w:tmpl w:val="D2AA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D51FC"/>
    <w:multiLevelType w:val="hybridMultilevel"/>
    <w:tmpl w:val="7B644E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80877"/>
    <w:multiLevelType w:val="hybridMultilevel"/>
    <w:tmpl w:val="DADCC8D4"/>
    <w:lvl w:ilvl="0" w:tplc="0409001B">
      <w:start w:val="1"/>
      <w:numFmt w:val="lowerRoman"/>
      <w:lvlText w:val="%1."/>
      <w:lvlJc w:val="righ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240C23FF"/>
    <w:multiLevelType w:val="hybridMultilevel"/>
    <w:tmpl w:val="5832104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2F497D"/>
    <w:multiLevelType w:val="hybridMultilevel"/>
    <w:tmpl w:val="F7147CC0"/>
    <w:lvl w:ilvl="0" w:tplc="6464C94A">
      <w:start w:val="2"/>
      <w:numFmt w:val="decimal"/>
      <w:lvlText w:val="(%1)"/>
      <w:lvlJc w:val="left"/>
      <w:pPr>
        <w:ind w:left="820" w:hanging="339"/>
      </w:pPr>
      <w:rPr>
        <w:rFonts w:ascii="Palatino Linotype" w:eastAsia="Palatino Linotype" w:hAnsi="Palatino Linotype" w:cs="Palatino Linotype" w:hint="default"/>
        <w:b w:val="0"/>
        <w:bCs w:val="0"/>
        <w:i w:val="0"/>
        <w:iCs w:val="0"/>
        <w:w w:val="100"/>
        <w:sz w:val="24"/>
        <w:szCs w:val="24"/>
        <w:lang w:val="en-US" w:eastAsia="en-US" w:bidi="ar-SA"/>
      </w:rPr>
    </w:lvl>
    <w:lvl w:ilvl="1" w:tplc="9A6C93F8">
      <w:start w:val="1"/>
      <w:numFmt w:val="upperLetter"/>
      <w:lvlText w:val="(%2)"/>
      <w:lvlJc w:val="left"/>
      <w:pPr>
        <w:ind w:left="820" w:hanging="406"/>
      </w:pPr>
      <w:rPr>
        <w:rFonts w:ascii="Palatino Linotype" w:eastAsia="Palatino Linotype" w:hAnsi="Palatino Linotype" w:cs="Palatino Linotype" w:hint="default"/>
        <w:b w:val="0"/>
        <w:bCs w:val="0"/>
        <w:i w:val="0"/>
        <w:iCs w:val="0"/>
        <w:w w:val="100"/>
        <w:sz w:val="24"/>
        <w:szCs w:val="24"/>
        <w:lang w:val="en-US" w:eastAsia="en-US" w:bidi="ar-SA"/>
      </w:rPr>
    </w:lvl>
    <w:lvl w:ilvl="2" w:tplc="06204C4E">
      <w:numFmt w:val="bullet"/>
      <w:lvlText w:val="•"/>
      <w:lvlJc w:val="left"/>
      <w:pPr>
        <w:ind w:left="2424" w:hanging="406"/>
      </w:pPr>
      <w:rPr>
        <w:rFonts w:hint="default"/>
        <w:lang w:val="en-US" w:eastAsia="en-US" w:bidi="ar-SA"/>
      </w:rPr>
    </w:lvl>
    <w:lvl w:ilvl="3" w:tplc="C1EE4034">
      <w:numFmt w:val="bullet"/>
      <w:lvlText w:val="•"/>
      <w:lvlJc w:val="left"/>
      <w:pPr>
        <w:ind w:left="3226" w:hanging="406"/>
      </w:pPr>
      <w:rPr>
        <w:rFonts w:hint="default"/>
        <w:lang w:val="en-US" w:eastAsia="en-US" w:bidi="ar-SA"/>
      </w:rPr>
    </w:lvl>
    <w:lvl w:ilvl="4" w:tplc="6A64E978">
      <w:numFmt w:val="bullet"/>
      <w:lvlText w:val="•"/>
      <w:lvlJc w:val="left"/>
      <w:pPr>
        <w:ind w:left="4028" w:hanging="406"/>
      </w:pPr>
      <w:rPr>
        <w:rFonts w:hint="default"/>
        <w:lang w:val="en-US" w:eastAsia="en-US" w:bidi="ar-SA"/>
      </w:rPr>
    </w:lvl>
    <w:lvl w:ilvl="5" w:tplc="5C98CE76">
      <w:numFmt w:val="bullet"/>
      <w:lvlText w:val="•"/>
      <w:lvlJc w:val="left"/>
      <w:pPr>
        <w:ind w:left="4830" w:hanging="406"/>
      </w:pPr>
      <w:rPr>
        <w:rFonts w:hint="default"/>
        <w:lang w:val="en-US" w:eastAsia="en-US" w:bidi="ar-SA"/>
      </w:rPr>
    </w:lvl>
    <w:lvl w:ilvl="6" w:tplc="37F8ACEE">
      <w:numFmt w:val="bullet"/>
      <w:lvlText w:val="•"/>
      <w:lvlJc w:val="left"/>
      <w:pPr>
        <w:ind w:left="5632" w:hanging="406"/>
      </w:pPr>
      <w:rPr>
        <w:rFonts w:hint="default"/>
        <w:lang w:val="en-US" w:eastAsia="en-US" w:bidi="ar-SA"/>
      </w:rPr>
    </w:lvl>
    <w:lvl w:ilvl="7" w:tplc="CDA4B260">
      <w:numFmt w:val="bullet"/>
      <w:lvlText w:val="•"/>
      <w:lvlJc w:val="left"/>
      <w:pPr>
        <w:ind w:left="6434" w:hanging="406"/>
      </w:pPr>
      <w:rPr>
        <w:rFonts w:hint="default"/>
        <w:lang w:val="en-US" w:eastAsia="en-US" w:bidi="ar-SA"/>
      </w:rPr>
    </w:lvl>
    <w:lvl w:ilvl="8" w:tplc="AFD4E332">
      <w:numFmt w:val="bullet"/>
      <w:lvlText w:val="•"/>
      <w:lvlJc w:val="left"/>
      <w:pPr>
        <w:ind w:left="7236" w:hanging="406"/>
      </w:pPr>
      <w:rPr>
        <w:rFonts w:hint="default"/>
        <w:lang w:val="en-US" w:eastAsia="en-US" w:bidi="ar-SA"/>
      </w:rPr>
    </w:lvl>
  </w:abstractNum>
  <w:abstractNum w:abstractNumId="14" w15:restartNumberingAfterBreak="0">
    <w:nsid w:val="25420839"/>
    <w:multiLevelType w:val="hybridMultilevel"/>
    <w:tmpl w:val="56265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92B46"/>
    <w:multiLevelType w:val="hybridMultilevel"/>
    <w:tmpl w:val="CAF48492"/>
    <w:lvl w:ilvl="0" w:tplc="7A8CC6AC">
      <w:start w:val="1"/>
      <w:numFmt w:val="decimal"/>
      <w:lvlText w:val="%1."/>
      <w:lvlJc w:val="left"/>
      <w:pPr>
        <w:ind w:left="559" w:hanging="360"/>
      </w:pPr>
      <w:rPr>
        <w:rFonts w:ascii="Book Antiqua" w:eastAsia="Book Antiqua" w:hAnsi="Book Antiqua" w:cs="Book Antiqua" w:hint="default"/>
        <w:b w:val="0"/>
        <w:bCs w:val="0"/>
        <w:i w:val="0"/>
        <w:iCs w:val="0"/>
        <w:w w:val="99"/>
        <w:sz w:val="26"/>
        <w:szCs w:val="26"/>
        <w:lang w:val="en-US" w:eastAsia="en-US" w:bidi="ar-SA"/>
      </w:rPr>
    </w:lvl>
    <w:lvl w:ilvl="1" w:tplc="68E44B14">
      <w:numFmt w:val="bullet"/>
      <w:lvlText w:val="•"/>
      <w:lvlJc w:val="left"/>
      <w:pPr>
        <w:ind w:left="1472" w:hanging="360"/>
      </w:pPr>
      <w:rPr>
        <w:rFonts w:hint="default"/>
        <w:lang w:val="en-US" w:eastAsia="en-US" w:bidi="ar-SA"/>
      </w:rPr>
    </w:lvl>
    <w:lvl w:ilvl="2" w:tplc="A8680CC8">
      <w:numFmt w:val="bullet"/>
      <w:lvlText w:val="•"/>
      <w:lvlJc w:val="left"/>
      <w:pPr>
        <w:ind w:left="2384" w:hanging="360"/>
      </w:pPr>
      <w:rPr>
        <w:rFonts w:hint="default"/>
        <w:lang w:val="en-US" w:eastAsia="en-US" w:bidi="ar-SA"/>
      </w:rPr>
    </w:lvl>
    <w:lvl w:ilvl="3" w:tplc="9C40D322">
      <w:numFmt w:val="bullet"/>
      <w:lvlText w:val="•"/>
      <w:lvlJc w:val="left"/>
      <w:pPr>
        <w:ind w:left="3296" w:hanging="360"/>
      </w:pPr>
      <w:rPr>
        <w:rFonts w:hint="default"/>
        <w:lang w:val="en-US" w:eastAsia="en-US" w:bidi="ar-SA"/>
      </w:rPr>
    </w:lvl>
    <w:lvl w:ilvl="4" w:tplc="6F6613DC">
      <w:numFmt w:val="bullet"/>
      <w:lvlText w:val="•"/>
      <w:lvlJc w:val="left"/>
      <w:pPr>
        <w:ind w:left="4208" w:hanging="360"/>
      </w:pPr>
      <w:rPr>
        <w:rFonts w:hint="default"/>
        <w:lang w:val="en-US" w:eastAsia="en-US" w:bidi="ar-SA"/>
      </w:rPr>
    </w:lvl>
    <w:lvl w:ilvl="5" w:tplc="2DE0381E">
      <w:numFmt w:val="bullet"/>
      <w:lvlText w:val="•"/>
      <w:lvlJc w:val="left"/>
      <w:pPr>
        <w:ind w:left="5120" w:hanging="360"/>
      </w:pPr>
      <w:rPr>
        <w:rFonts w:hint="default"/>
        <w:lang w:val="en-US" w:eastAsia="en-US" w:bidi="ar-SA"/>
      </w:rPr>
    </w:lvl>
    <w:lvl w:ilvl="6" w:tplc="41EC8BC6">
      <w:numFmt w:val="bullet"/>
      <w:lvlText w:val="•"/>
      <w:lvlJc w:val="left"/>
      <w:pPr>
        <w:ind w:left="6032" w:hanging="360"/>
      </w:pPr>
      <w:rPr>
        <w:rFonts w:hint="default"/>
        <w:lang w:val="en-US" w:eastAsia="en-US" w:bidi="ar-SA"/>
      </w:rPr>
    </w:lvl>
    <w:lvl w:ilvl="7" w:tplc="CE5637B8">
      <w:numFmt w:val="bullet"/>
      <w:lvlText w:val="•"/>
      <w:lvlJc w:val="left"/>
      <w:pPr>
        <w:ind w:left="6944" w:hanging="360"/>
      </w:pPr>
      <w:rPr>
        <w:rFonts w:hint="default"/>
        <w:lang w:val="en-US" w:eastAsia="en-US" w:bidi="ar-SA"/>
      </w:rPr>
    </w:lvl>
    <w:lvl w:ilvl="8" w:tplc="17206F9A">
      <w:numFmt w:val="bullet"/>
      <w:lvlText w:val="•"/>
      <w:lvlJc w:val="left"/>
      <w:pPr>
        <w:ind w:left="7856" w:hanging="360"/>
      </w:pPr>
      <w:rPr>
        <w:rFonts w:hint="default"/>
        <w:lang w:val="en-US" w:eastAsia="en-US" w:bidi="ar-SA"/>
      </w:rPr>
    </w:lvl>
  </w:abstractNum>
  <w:abstractNum w:abstractNumId="16" w15:restartNumberingAfterBreak="0">
    <w:nsid w:val="2A996701"/>
    <w:multiLevelType w:val="hybridMultilevel"/>
    <w:tmpl w:val="A33A77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B6E68"/>
    <w:multiLevelType w:val="hybridMultilevel"/>
    <w:tmpl w:val="62B67A7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E61309"/>
    <w:multiLevelType w:val="hybridMultilevel"/>
    <w:tmpl w:val="C994D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5938F0"/>
    <w:multiLevelType w:val="hybridMultilevel"/>
    <w:tmpl w:val="FA124BF2"/>
    <w:lvl w:ilvl="0" w:tplc="04090005">
      <w:start w:val="1"/>
      <w:numFmt w:val="bullet"/>
      <w:lvlText w:val=""/>
      <w:lvlJc w:val="left"/>
      <w:pPr>
        <w:ind w:left="1900" w:hanging="360"/>
      </w:pPr>
      <w:rPr>
        <w:rFonts w:ascii="Wingdings" w:hAnsi="Wingdings"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0" w15:restartNumberingAfterBreak="0">
    <w:nsid w:val="331F6D42"/>
    <w:multiLevelType w:val="multilevel"/>
    <w:tmpl w:val="FC96A78A"/>
    <w:styleLink w:val="Headings"/>
    <w:lvl w:ilvl="0">
      <w:start w:val="1"/>
      <w:numFmt w:val="decimal"/>
      <w:lvlText w:val="%1."/>
      <w:lvlJc w:val="left"/>
      <w:rPr>
        <w:rFonts w:ascii="Arial" w:hAnsi="Arial" w:hint="default"/>
        <w:b/>
        <w:i w:val="0"/>
        <w:caps w:val="0"/>
        <w:strike w:val="0"/>
        <w:dstrike w:val="0"/>
        <w:vanish w:val="0"/>
        <w:color w:val="auto"/>
        <w:kern w:val="0"/>
        <w:position w:val="0"/>
        <w:sz w:val="26"/>
        <w:u w:val="none"/>
        <w:vertAlign w:val="baseline"/>
      </w:rPr>
    </w:lvl>
    <w:lvl w:ilvl="1">
      <w:start w:val="1"/>
      <w:numFmt w:val="decimal"/>
      <w:lvlText w:val="%1.%2."/>
      <w:lvlJc w:val="left"/>
      <w:rPr>
        <w:rFonts w:ascii="Arial" w:hAnsi="Arial" w:hint="default"/>
        <w:b/>
        <w:i w:val="0"/>
        <w:caps w:val="0"/>
        <w:strike w:val="0"/>
        <w:dstrike w:val="0"/>
        <w:vanish w:val="0"/>
        <w:color w:val="auto"/>
        <w:kern w:val="0"/>
        <w:sz w:val="26"/>
        <w:u w:val="none"/>
        <w:vertAlign w:val="baseline"/>
      </w:rPr>
    </w:lvl>
    <w:lvl w:ilvl="2">
      <w:start w:val="1"/>
      <w:numFmt w:val="decimal"/>
      <w:lvlText w:val="%1.%2.%3."/>
      <w:lvlJc w:val="left"/>
      <w:rPr>
        <w:rFonts w:ascii="Arial" w:hAnsi="Arial" w:hint="default"/>
        <w:b/>
        <w:i w:val="0"/>
        <w:caps w:val="0"/>
        <w:strike w:val="0"/>
        <w:dstrike w:val="0"/>
        <w:vanish w:val="0"/>
        <w:color w:val="auto"/>
        <w:kern w:val="0"/>
        <w:sz w:val="26"/>
        <w:u w:val="none"/>
        <w:vertAlign w:val="baseline"/>
      </w:rPr>
    </w:lvl>
    <w:lvl w:ilvl="3">
      <w:start w:val="1"/>
      <w:numFmt w:val="decimal"/>
      <w:lvlText w:val="%1.%2.%3.%4."/>
      <w:lvlJc w:val="left"/>
      <w:rPr>
        <w:rFonts w:ascii="Arial" w:hAnsi="Arial" w:hint="default"/>
        <w:b/>
        <w:i w:val="0"/>
        <w:caps w:val="0"/>
        <w:strike w:val="0"/>
        <w:dstrike w:val="0"/>
        <w:vanish w:val="0"/>
        <w:kern w:val="0"/>
        <w:sz w:val="26"/>
        <w:vertAlign w:val="baseline"/>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1" w15:restartNumberingAfterBreak="0">
    <w:nsid w:val="340F60C7"/>
    <w:multiLevelType w:val="hybridMultilevel"/>
    <w:tmpl w:val="030E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D25D9F"/>
    <w:multiLevelType w:val="multilevel"/>
    <w:tmpl w:val="18F4A5A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3" w15:restartNumberingAfterBreak="0">
    <w:nsid w:val="371304DF"/>
    <w:multiLevelType w:val="hybridMultilevel"/>
    <w:tmpl w:val="2F068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FE14C2"/>
    <w:multiLevelType w:val="multilevel"/>
    <w:tmpl w:val="18F4A5AC"/>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5" w15:restartNumberingAfterBreak="0">
    <w:nsid w:val="3A6445E9"/>
    <w:multiLevelType w:val="hybridMultilevel"/>
    <w:tmpl w:val="FFFFFFFF"/>
    <w:lvl w:ilvl="0" w:tplc="801E9660">
      <w:start w:val="1"/>
      <w:numFmt w:val="decimal"/>
      <w:lvlText w:val="%1."/>
      <w:lvlJc w:val="left"/>
      <w:pPr>
        <w:ind w:left="720" w:hanging="360"/>
      </w:pPr>
    </w:lvl>
    <w:lvl w:ilvl="1" w:tplc="88BC16F8">
      <w:start w:val="1"/>
      <w:numFmt w:val="lowerLetter"/>
      <w:lvlText w:val="%2."/>
      <w:lvlJc w:val="left"/>
      <w:pPr>
        <w:ind w:left="1440" w:hanging="360"/>
      </w:pPr>
    </w:lvl>
    <w:lvl w:ilvl="2" w:tplc="AE8EF2F8">
      <w:start w:val="1"/>
      <w:numFmt w:val="lowerRoman"/>
      <w:lvlText w:val="%3."/>
      <w:lvlJc w:val="right"/>
      <w:pPr>
        <w:ind w:left="2160" w:hanging="180"/>
      </w:pPr>
    </w:lvl>
    <w:lvl w:ilvl="3" w:tplc="CEA2B854">
      <w:start w:val="1"/>
      <w:numFmt w:val="decimal"/>
      <w:lvlText w:val="%4."/>
      <w:lvlJc w:val="left"/>
      <w:pPr>
        <w:ind w:left="2880" w:hanging="360"/>
      </w:pPr>
    </w:lvl>
    <w:lvl w:ilvl="4" w:tplc="FBAA3646">
      <w:start w:val="1"/>
      <w:numFmt w:val="lowerLetter"/>
      <w:lvlText w:val="%5."/>
      <w:lvlJc w:val="left"/>
      <w:pPr>
        <w:ind w:left="3600" w:hanging="360"/>
      </w:pPr>
    </w:lvl>
    <w:lvl w:ilvl="5" w:tplc="634CCE38">
      <w:start w:val="1"/>
      <w:numFmt w:val="lowerRoman"/>
      <w:lvlText w:val="%6."/>
      <w:lvlJc w:val="right"/>
      <w:pPr>
        <w:ind w:left="4320" w:hanging="180"/>
      </w:pPr>
    </w:lvl>
    <w:lvl w:ilvl="6" w:tplc="E8906104">
      <w:start w:val="1"/>
      <w:numFmt w:val="decimal"/>
      <w:lvlText w:val="%7."/>
      <w:lvlJc w:val="left"/>
      <w:pPr>
        <w:ind w:left="5040" w:hanging="360"/>
      </w:pPr>
    </w:lvl>
    <w:lvl w:ilvl="7" w:tplc="3FB206E8">
      <w:start w:val="1"/>
      <w:numFmt w:val="lowerLetter"/>
      <w:lvlText w:val="%8."/>
      <w:lvlJc w:val="left"/>
      <w:pPr>
        <w:ind w:left="5760" w:hanging="360"/>
      </w:pPr>
    </w:lvl>
    <w:lvl w:ilvl="8" w:tplc="3E06E77A">
      <w:start w:val="1"/>
      <w:numFmt w:val="lowerRoman"/>
      <w:lvlText w:val="%9."/>
      <w:lvlJc w:val="right"/>
      <w:pPr>
        <w:ind w:left="6480" w:hanging="180"/>
      </w:pPr>
    </w:lvl>
  </w:abstractNum>
  <w:abstractNum w:abstractNumId="26" w15:restartNumberingAfterBreak="0">
    <w:nsid w:val="3B167B54"/>
    <w:multiLevelType w:val="hybridMultilevel"/>
    <w:tmpl w:val="470CF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E1C7496"/>
    <w:multiLevelType w:val="hybridMultilevel"/>
    <w:tmpl w:val="DA6C18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887CA7"/>
    <w:multiLevelType w:val="hybridMultilevel"/>
    <w:tmpl w:val="3F529A8C"/>
    <w:lvl w:ilvl="0" w:tplc="04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08E3C47"/>
    <w:multiLevelType w:val="hybridMultilevel"/>
    <w:tmpl w:val="6BE0D75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7763E93"/>
    <w:multiLevelType w:val="hybridMultilevel"/>
    <w:tmpl w:val="BBA657B0"/>
    <w:lvl w:ilvl="0" w:tplc="5676800C">
      <w:numFmt w:val="bullet"/>
      <w:lvlText w:val=""/>
      <w:lvlJc w:val="left"/>
      <w:pPr>
        <w:ind w:left="919" w:hanging="360"/>
      </w:pPr>
      <w:rPr>
        <w:rFonts w:ascii="Symbol" w:eastAsia="Symbol" w:hAnsi="Symbol" w:cs="Symbol" w:hint="default"/>
        <w:b w:val="0"/>
        <w:bCs w:val="0"/>
        <w:i w:val="0"/>
        <w:iCs w:val="0"/>
        <w:w w:val="99"/>
        <w:sz w:val="26"/>
        <w:szCs w:val="26"/>
        <w:lang w:val="en-US" w:eastAsia="en-US" w:bidi="ar-SA"/>
      </w:rPr>
    </w:lvl>
    <w:lvl w:ilvl="1" w:tplc="BC1AC24A">
      <w:numFmt w:val="bullet"/>
      <w:lvlText w:val="•"/>
      <w:lvlJc w:val="left"/>
      <w:pPr>
        <w:ind w:left="1796" w:hanging="360"/>
      </w:pPr>
      <w:rPr>
        <w:rFonts w:hint="default"/>
        <w:lang w:val="en-US" w:eastAsia="en-US" w:bidi="ar-SA"/>
      </w:rPr>
    </w:lvl>
    <w:lvl w:ilvl="2" w:tplc="47B8B31C">
      <w:numFmt w:val="bullet"/>
      <w:lvlText w:val="•"/>
      <w:lvlJc w:val="left"/>
      <w:pPr>
        <w:ind w:left="2672" w:hanging="360"/>
      </w:pPr>
      <w:rPr>
        <w:rFonts w:hint="default"/>
        <w:lang w:val="en-US" w:eastAsia="en-US" w:bidi="ar-SA"/>
      </w:rPr>
    </w:lvl>
    <w:lvl w:ilvl="3" w:tplc="CC2A08FC">
      <w:numFmt w:val="bullet"/>
      <w:lvlText w:val="•"/>
      <w:lvlJc w:val="left"/>
      <w:pPr>
        <w:ind w:left="3548" w:hanging="360"/>
      </w:pPr>
      <w:rPr>
        <w:rFonts w:hint="default"/>
        <w:lang w:val="en-US" w:eastAsia="en-US" w:bidi="ar-SA"/>
      </w:rPr>
    </w:lvl>
    <w:lvl w:ilvl="4" w:tplc="E9E23EC4">
      <w:numFmt w:val="bullet"/>
      <w:lvlText w:val="•"/>
      <w:lvlJc w:val="left"/>
      <w:pPr>
        <w:ind w:left="4424" w:hanging="360"/>
      </w:pPr>
      <w:rPr>
        <w:rFonts w:hint="default"/>
        <w:lang w:val="en-US" w:eastAsia="en-US" w:bidi="ar-SA"/>
      </w:rPr>
    </w:lvl>
    <w:lvl w:ilvl="5" w:tplc="743A7464">
      <w:numFmt w:val="bullet"/>
      <w:lvlText w:val="•"/>
      <w:lvlJc w:val="left"/>
      <w:pPr>
        <w:ind w:left="5300" w:hanging="360"/>
      </w:pPr>
      <w:rPr>
        <w:rFonts w:hint="default"/>
        <w:lang w:val="en-US" w:eastAsia="en-US" w:bidi="ar-SA"/>
      </w:rPr>
    </w:lvl>
    <w:lvl w:ilvl="6" w:tplc="7A4416EA">
      <w:numFmt w:val="bullet"/>
      <w:lvlText w:val="•"/>
      <w:lvlJc w:val="left"/>
      <w:pPr>
        <w:ind w:left="6176" w:hanging="360"/>
      </w:pPr>
      <w:rPr>
        <w:rFonts w:hint="default"/>
        <w:lang w:val="en-US" w:eastAsia="en-US" w:bidi="ar-SA"/>
      </w:rPr>
    </w:lvl>
    <w:lvl w:ilvl="7" w:tplc="738AFFE8">
      <w:numFmt w:val="bullet"/>
      <w:lvlText w:val="•"/>
      <w:lvlJc w:val="left"/>
      <w:pPr>
        <w:ind w:left="7052" w:hanging="360"/>
      </w:pPr>
      <w:rPr>
        <w:rFonts w:hint="default"/>
        <w:lang w:val="en-US" w:eastAsia="en-US" w:bidi="ar-SA"/>
      </w:rPr>
    </w:lvl>
    <w:lvl w:ilvl="8" w:tplc="F3242CB4">
      <w:numFmt w:val="bullet"/>
      <w:lvlText w:val="•"/>
      <w:lvlJc w:val="left"/>
      <w:pPr>
        <w:ind w:left="7928" w:hanging="360"/>
      </w:pPr>
      <w:rPr>
        <w:rFonts w:hint="default"/>
        <w:lang w:val="en-US" w:eastAsia="en-US" w:bidi="ar-SA"/>
      </w:rPr>
    </w:lvl>
  </w:abstractNum>
  <w:abstractNum w:abstractNumId="31" w15:restartNumberingAfterBreak="0">
    <w:nsid w:val="4A6C4645"/>
    <w:multiLevelType w:val="hybridMultilevel"/>
    <w:tmpl w:val="1E7CE0DA"/>
    <w:lvl w:ilvl="0" w:tplc="964A0652">
      <w:start w:val="1"/>
      <w:numFmt w:val="low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9148B8"/>
    <w:multiLevelType w:val="hybridMultilevel"/>
    <w:tmpl w:val="F7145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8219E"/>
    <w:multiLevelType w:val="hybridMultilevel"/>
    <w:tmpl w:val="CE262CA2"/>
    <w:lvl w:ilvl="0" w:tplc="B2D0776A">
      <w:numFmt w:val="bullet"/>
      <w:lvlText w:val=""/>
      <w:lvlJc w:val="left"/>
      <w:pPr>
        <w:ind w:left="650" w:hanging="360"/>
      </w:pPr>
      <w:rPr>
        <w:rFonts w:ascii="Symbol" w:eastAsia="Symbol" w:hAnsi="Symbol" w:cs="Symbol" w:hint="default"/>
        <w:b w:val="0"/>
        <w:bCs w:val="0"/>
        <w:i w:val="0"/>
        <w:iCs w:val="0"/>
        <w:w w:val="99"/>
        <w:sz w:val="26"/>
        <w:szCs w:val="26"/>
        <w:lang w:val="en-US" w:eastAsia="en-US" w:bidi="ar-SA"/>
      </w:rPr>
    </w:lvl>
    <w:lvl w:ilvl="1" w:tplc="B1046624">
      <w:numFmt w:val="bullet"/>
      <w:lvlText w:val="•"/>
      <w:lvlJc w:val="left"/>
      <w:pPr>
        <w:ind w:left="1562" w:hanging="360"/>
      </w:pPr>
      <w:rPr>
        <w:rFonts w:hint="default"/>
        <w:lang w:val="en-US" w:eastAsia="en-US" w:bidi="ar-SA"/>
      </w:rPr>
    </w:lvl>
    <w:lvl w:ilvl="2" w:tplc="CC460CCA">
      <w:numFmt w:val="bullet"/>
      <w:lvlText w:val="•"/>
      <w:lvlJc w:val="left"/>
      <w:pPr>
        <w:ind w:left="2464" w:hanging="360"/>
      </w:pPr>
      <w:rPr>
        <w:rFonts w:hint="default"/>
        <w:lang w:val="en-US" w:eastAsia="en-US" w:bidi="ar-SA"/>
      </w:rPr>
    </w:lvl>
    <w:lvl w:ilvl="3" w:tplc="EF8EBD64">
      <w:numFmt w:val="bullet"/>
      <w:lvlText w:val="•"/>
      <w:lvlJc w:val="left"/>
      <w:pPr>
        <w:ind w:left="3366" w:hanging="360"/>
      </w:pPr>
      <w:rPr>
        <w:rFonts w:hint="default"/>
        <w:lang w:val="en-US" w:eastAsia="en-US" w:bidi="ar-SA"/>
      </w:rPr>
    </w:lvl>
    <w:lvl w:ilvl="4" w:tplc="44FCC9A6">
      <w:numFmt w:val="bullet"/>
      <w:lvlText w:val="•"/>
      <w:lvlJc w:val="left"/>
      <w:pPr>
        <w:ind w:left="4268" w:hanging="360"/>
      </w:pPr>
      <w:rPr>
        <w:rFonts w:hint="default"/>
        <w:lang w:val="en-US" w:eastAsia="en-US" w:bidi="ar-SA"/>
      </w:rPr>
    </w:lvl>
    <w:lvl w:ilvl="5" w:tplc="93188888">
      <w:numFmt w:val="bullet"/>
      <w:lvlText w:val="•"/>
      <w:lvlJc w:val="left"/>
      <w:pPr>
        <w:ind w:left="5170" w:hanging="360"/>
      </w:pPr>
      <w:rPr>
        <w:rFonts w:hint="default"/>
        <w:lang w:val="en-US" w:eastAsia="en-US" w:bidi="ar-SA"/>
      </w:rPr>
    </w:lvl>
    <w:lvl w:ilvl="6" w:tplc="39586D7C">
      <w:numFmt w:val="bullet"/>
      <w:lvlText w:val="•"/>
      <w:lvlJc w:val="left"/>
      <w:pPr>
        <w:ind w:left="6072" w:hanging="360"/>
      </w:pPr>
      <w:rPr>
        <w:rFonts w:hint="default"/>
        <w:lang w:val="en-US" w:eastAsia="en-US" w:bidi="ar-SA"/>
      </w:rPr>
    </w:lvl>
    <w:lvl w:ilvl="7" w:tplc="C164CB60">
      <w:numFmt w:val="bullet"/>
      <w:lvlText w:val="•"/>
      <w:lvlJc w:val="left"/>
      <w:pPr>
        <w:ind w:left="6974" w:hanging="360"/>
      </w:pPr>
      <w:rPr>
        <w:rFonts w:hint="default"/>
        <w:lang w:val="en-US" w:eastAsia="en-US" w:bidi="ar-SA"/>
      </w:rPr>
    </w:lvl>
    <w:lvl w:ilvl="8" w:tplc="96EC442C">
      <w:numFmt w:val="bullet"/>
      <w:lvlText w:val="•"/>
      <w:lvlJc w:val="left"/>
      <w:pPr>
        <w:ind w:left="7876" w:hanging="360"/>
      </w:pPr>
      <w:rPr>
        <w:rFonts w:hint="default"/>
        <w:lang w:val="en-US" w:eastAsia="en-US" w:bidi="ar-SA"/>
      </w:rPr>
    </w:lvl>
  </w:abstractNum>
  <w:abstractNum w:abstractNumId="34" w15:restartNumberingAfterBreak="0">
    <w:nsid w:val="4EF71761"/>
    <w:multiLevelType w:val="hybridMultilevel"/>
    <w:tmpl w:val="374E339E"/>
    <w:lvl w:ilvl="0" w:tplc="FFFFFFFF">
      <w:numFmt w:val="bullet"/>
      <w:lvlText w:val=""/>
      <w:lvlJc w:val="left"/>
      <w:pPr>
        <w:ind w:left="820" w:hanging="360"/>
      </w:pPr>
      <w:rPr>
        <w:rFonts w:ascii="Symbol" w:hAnsi="Symbol" w:hint="default"/>
        <w:b w:val="0"/>
        <w:bCs w:val="0"/>
        <w:i w:val="0"/>
        <w:iCs w:val="0"/>
        <w:w w:val="100"/>
        <w:sz w:val="24"/>
        <w:szCs w:val="24"/>
        <w:lang w:val="en-US" w:eastAsia="en-US" w:bidi="ar-SA"/>
      </w:rPr>
    </w:lvl>
    <w:lvl w:ilvl="1" w:tplc="61D486F4">
      <w:numFmt w:val="bullet"/>
      <w:lvlText w:val="o"/>
      <w:lvlJc w:val="left"/>
      <w:pPr>
        <w:ind w:left="1180" w:hanging="360"/>
      </w:pPr>
      <w:rPr>
        <w:rFonts w:ascii="Courier New" w:eastAsia="Courier New" w:hAnsi="Courier New" w:cs="Courier New" w:hint="default"/>
        <w:b w:val="0"/>
        <w:bCs w:val="0"/>
        <w:i w:val="0"/>
        <w:iCs w:val="0"/>
        <w:w w:val="100"/>
        <w:sz w:val="24"/>
        <w:szCs w:val="24"/>
        <w:lang w:val="en-US" w:eastAsia="en-US" w:bidi="ar-SA"/>
      </w:rPr>
    </w:lvl>
    <w:lvl w:ilvl="2" w:tplc="DF149E2A">
      <w:numFmt w:val="bullet"/>
      <w:lvlText w:val="•"/>
      <w:lvlJc w:val="left"/>
      <w:pPr>
        <w:ind w:left="2031" w:hanging="360"/>
      </w:pPr>
      <w:rPr>
        <w:rFonts w:hint="default"/>
        <w:lang w:val="en-US" w:eastAsia="en-US" w:bidi="ar-SA"/>
      </w:rPr>
    </w:lvl>
    <w:lvl w:ilvl="3" w:tplc="37F40B12">
      <w:numFmt w:val="bullet"/>
      <w:lvlText w:val="•"/>
      <w:lvlJc w:val="left"/>
      <w:pPr>
        <w:ind w:left="2882" w:hanging="360"/>
      </w:pPr>
      <w:rPr>
        <w:rFonts w:hint="default"/>
        <w:lang w:val="en-US" w:eastAsia="en-US" w:bidi="ar-SA"/>
      </w:rPr>
    </w:lvl>
    <w:lvl w:ilvl="4" w:tplc="1554BBB6">
      <w:numFmt w:val="bullet"/>
      <w:lvlText w:val="•"/>
      <w:lvlJc w:val="left"/>
      <w:pPr>
        <w:ind w:left="3733" w:hanging="360"/>
      </w:pPr>
      <w:rPr>
        <w:rFonts w:hint="default"/>
        <w:lang w:val="en-US" w:eastAsia="en-US" w:bidi="ar-SA"/>
      </w:rPr>
    </w:lvl>
    <w:lvl w:ilvl="5" w:tplc="B6D0DEA4">
      <w:numFmt w:val="bullet"/>
      <w:lvlText w:val="•"/>
      <w:lvlJc w:val="left"/>
      <w:pPr>
        <w:ind w:left="4584" w:hanging="360"/>
      </w:pPr>
      <w:rPr>
        <w:rFonts w:hint="default"/>
        <w:lang w:val="en-US" w:eastAsia="en-US" w:bidi="ar-SA"/>
      </w:rPr>
    </w:lvl>
    <w:lvl w:ilvl="6" w:tplc="CF3A99C6">
      <w:numFmt w:val="bullet"/>
      <w:lvlText w:val="•"/>
      <w:lvlJc w:val="left"/>
      <w:pPr>
        <w:ind w:left="5435" w:hanging="360"/>
      </w:pPr>
      <w:rPr>
        <w:rFonts w:hint="default"/>
        <w:lang w:val="en-US" w:eastAsia="en-US" w:bidi="ar-SA"/>
      </w:rPr>
    </w:lvl>
    <w:lvl w:ilvl="7" w:tplc="C91CAD52">
      <w:numFmt w:val="bullet"/>
      <w:lvlText w:val="•"/>
      <w:lvlJc w:val="left"/>
      <w:pPr>
        <w:ind w:left="6286" w:hanging="360"/>
      </w:pPr>
      <w:rPr>
        <w:rFonts w:hint="default"/>
        <w:lang w:val="en-US" w:eastAsia="en-US" w:bidi="ar-SA"/>
      </w:rPr>
    </w:lvl>
    <w:lvl w:ilvl="8" w:tplc="B808A1E4">
      <w:numFmt w:val="bullet"/>
      <w:lvlText w:val="•"/>
      <w:lvlJc w:val="left"/>
      <w:pPr>
        <w:ind w:left="7137" w:hanging="360"/>
      </w:pPr>
      <w:rPr>
        <w:rFonts w:hint="default"/>
        <w:lang w:val="en-US" w:eastAsia="en-US" w:bidi="ar-SA"/>
      </w:rPr>
    </w:lvl>
  </w:abstractNum>
  <w:abstractNum w:abstractNumId="35" w15:restartNumberingAfterBreak="0">
    <w:nsid w:val="52054E03"/>
    <w:multiLevelType w:val="hybridMultilevel"/>
    <w:tmpl w:val="43B24F3A"/>
    <w:lvl w:ilvl="0" w:tplc="FFFFFFFF">
      <w:start w:val="8"/>
      <w:numFmt w:val="upperRoman"/>
      <w:lvlText w:val="%1."/>
      <w:lvlJc w:val="left"/>
      <w:pPr>
        <w:ind w:left="1094" w:hanging="896"/>
      </w:pPr>
      <w:rPr>
        <w:rFonts w:ascii="Book Antiqua" w:eastAsia="Book Antiqua" w:hAnsi="Book Antiqua" w:cs="Book Antiqua" w:hint="default"/>
        <w:b/>
        <w:bCs/>
        <w:i w:val="0"/>
        <w:iCs w:val="0"/>
        <w:spacing w:val="-1"/>
        <w:w w:val="99"/>
        <w:sz w:val="26"/>
        <w:szCs w:val="26"/>
        <w:lang w:val="en-US" w:eastAsia="en-US" w:bidi="ar-SA"/>
      </w:rPr>
    </w:lvl>
    <w:lvl w:ilvl="1" w:tplc="FFFFFFFF">
      <w:numFmt w:val="bullet"/>
      <w:lvlText w:val=""/>
      <w:lvlJc w:val="left"/>
      <w:pPr>
        <w:ind w:left="919" w:hanging="360"/>
      </w:pPr>
      <w:rPr>
        <w:rFonts w:ascii="Symbol" w:eastAsia="Symbol" w:hAnsi="Symbol" w:cs="Symbol" w:hint="default"/>
        <w:b w:val="0"/>
        <w:bCs w:val="0"/>
        <w:i w:val="0"/>
        <w:iCs w:val="0"/>
        <w:w w:val="99"/>
        <w:sz w:val="26"/>
        <w:szCs w:val="26"/>
        <w:lang w:val="en-US" w:eastAsia="en-US" w:bidi="ar-SA"/>
      </w:rPr>
    </w:lvl>
    <w:lvl w:ilvl="2" w:tplc="FFFFFFFF">
      <w:numFmt w:val="bullet"/>
      <w:lvlText w:val="•"/>
      <w:lvlJc w:val="left"/>
      <w:pPr>
        <w:ind w:left="2053" w:hanging="360"/>
      </w:pPr>
      <w:rPr>
        <w:rFonts w:hint="default"/>
        <w:lang w:val="en-US" w:eastAsia="en-US" w:bidi="ar-SA"/>
      </w:rPr>
    </w:lvl>
    <w:lvl w:ilvl="3" w:tplc="FFFFFFFF">
      <w:numFmt w:val="bullet"/>
      <w:lvlText w:val="•"/>
      <w:lvlJc w:val="left"/>
      <w:pPr>
        <w:ind w:left="3006" w:hanging="360"/>
      </w:pPr>
      <w:rPr>
        <w:rFonts w:hint="default"/>
        <w:lang w:val="en-US" w:eastAsia="en-US" w:bidi="ar-SA"/>
      </w:rPr>
    </w:lvl>
    <w:lvl w:ilvl="4" w:tplc="FFFFFFFF">
      <w:numFmt w:val="bullet"/>
      <w:lvlText w:val="•"/>
      <w:lvlJc w:val="left"/>
      <w:pPr>
        <w:ind w:left="3960" w:hanging="360"/>
      </w:pPr>
      <w:rPr>
        <w:rFonts w:hint="default"/>
        <w:lang w:val="en-US" w:eastAsia="en-US" w:bidi="ar-SA"/>
      </w:rPr>
    </w:lvl>
    <w:lvl w:ilvl="5" w:tplc="FFFFFFFF">
      <w:numFmt w:val="bullet"/>
      <w:lvlText w:val="•"/>
      <w:lvlJc w:val="left"/>
      <w:pPr>
        <w:ind w:left="4913" w:hanging="360"/>
      </w:pPr>
      <w:rPr>
        <w:rFonts w:hint="default"/>
        <w:lang w:val="en-US" w:eastAsia="en-US" w:bidi="ar-SA"/>
      </w:rPr>
    </w:lvl>
    <w:lvl w:ilvl="6" w:tplc="FFFFFFFF">
      <w:numFmt w:val="bullet"/>
      <w:lvlText w:val="•"/>
      <w:lvlJc w:val="left"/>
      <w:pPr>
        <w:ind w:left="5866" w:hanging="360"/>
      </w:pPr>
      <w:rPr>
        <w:rFonts w:hint="default"/>
        <w:lang w:val="en-US" w:eastAsia="en-US" w:bidi="ar-SA"/>
      </w:rPr>
    </w:lvl>
    <w:lvl w:ilvl="7" w:tplc="FFFFFFFF">
      <w:numFmt w:val="bullet"/>
      <w:lvlText w:val="•"/>
      <w:lvlJc w:val="left"/>
      <w:pPr>
        <w:ind w:left="6820" w:hanging="360"/>
      </w:pPr>
      <w:rPr>
        <w:rFonts w:hint="default"/>
        <w:lang w:val="en-US" w:eastAsia="en-US" w:bidi="ar-SA"/>
      </w:rPr>
    </w:lvl>
    <w:lvl w:ilvl="8" w:tplc="FFFFFFFF">
      <w:numFmt w:val="bullet"/>
      <w:lvlText w:val="•"/>
      <w:lvlJc w:val="left"/>
      <w:pPr>
        <w:ind w:left="7773" w:hanging="360"/>
      </w:pPr>
      <w:rPr>
        <w:rFonts w:hint="default"/>
        <w:lang w:val="en-US" w:eastAsia="en-US" w:bidi="ar-SA"/>
      </w:rPr>
    </w:lvl>
  </w:abstractNum>
  <w:abstractNum w:abstractNumId="36" w15:restartNumberingAfterBreak="0">
    <w:nsid w:val="5336069B"/>
    <w:multiLevelType w:val="hybridMultilevel"/>
    <w:tmpl w:val="5272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A701A5"/>
    <w:multiLevelType w:val="hybridMultilevel"/>
    <w:tmpl w:val="92E85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6D28AF"/>
    <w:multiLevelType w:val="hybridMultilevel"/>
    <w:tmpl w:val="0DB893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9C293A"/>
    <w:multiLevelType w:val="hybridMultilevel"/>
    <w:tmpl w:val="A156F5B6"/>
    <w:lvl w:ilvl="0" w:tplc="FFF4FF1A">
      <w:start w:val="1"/>
      <w:numFmt w:val="lowerRoman"/>
      <w:lvlText w:val="(%1)"/>
      <w:lvlJc w:val="left"/>
      <w:pPr>
        <w:ind w:left="919" w:hanging="312"/>
      </w:pPr>
      <w:rPr>
        <w:rFonts w:ascii="Book Antiqua" w:eastAsia="Book Antiqua" w:hAnsi="Book Antiqua" w:cs="Book Antiqua" w:hint="default"/>
        <w:b w:val="0"/>
        <w:bCs w:val="0"/>
        <w:i w:val="0"/>
        <w:iCs w:val="0"/>
        <w:spacing w:val="-2"/>
        <w:w w:val="99"/>
        <w:sz w:val="26"/>
        <w:szCs w:val="26"/>
        <w:lang w:val="en-US" w:eastAsia="en-US" w:bidi="ar-SA"/>
      </w:rPr>
    </w:lvl>
    <w:lvl w:ilvl="1" w:tplc="3736614A">
      <w:numFmt w:val="bullet"/>
      <w:lvlText w:val="•"/>
      <w:lvlJc w:val="left"/>
      <w:pPr>
        <w:ind w:left="1796" w:hanging="312"/>
      </w:pPr>
      <w:rPr>
        <w:rFonts w:hint="default"/>
        <w:lang w:val="en-US" w:eastAsia="en-US" w:bidi="ar-SA"/>
      </w:rPr>
    </w:lvl>
    <w:lvl w:ilvl="2" w:tplc="B5261346">
      <w:numFmt w:val="bullet"/>
      <w:lvlText w:val="•"/>
      <w:lvlJc w:val="left"/>
      <w:pPr>
        <w:ind w:left="2672" w:hanging="312"/>
      </w:pPr>
      <w:rPr>
        <w:rFonts w:hint="default"/>
        <w:lang w:val="en-US" w:eastAsia="en-US" w:bidi="ar-SA"/>
      </w:rPr>
    </w:lvl>
    <w:lvl w:ilvl="3" w:tplc="D1D469F8">
      <w:numFmt w:val="bullet"/>
      <w:lvlText w:val="•"/>
      <w:lvlJc w:val="left"/>
      <w:pPr>
        <w:ind w:left="3548" w:hanging="312"/>
      </w:pPr>
      <w:rPr>
        <w:rFonts w:hint="default"/>
        <w:lang w:val="en-US" w:eastAsia="en-US" w:bidi="ar-SA"/>
      </w:rPr>
    </w:lvl>
    <w:lvl w:ilvl="4" w:tplc="A9640CD6">
      <w:numFmt w:val="bullet"/>
      <w:lvlText w:val="•"/>
      <w:lvlJc w:val="left"/>
      <w:pPr>
        <w:ind w:left="4424" w:hanging="312"/>
      </w:pPr>
      <w:rPr>
        <w:rFonts w:hint="default"/>
        <w:lang w:val="en-US" w:eastAsia="en-US" w:bidi="ar-SA"/>
      </w:rPr>
    </w:lvl>
    <w:lvl w:ilvl="5" w:tplc="CED44ECA">
      <w:numFmt w:val="bullet"/>
      <w:lvlText w:val="•"/>
      <w:lvlJc w:val="left"/>
      <w:pPr>
        <w:ind w:left="5300" w:hanging="312"/>
      </w:pPr>
      <w:rPr>
        <w:rFonts w:hint="default"/>
        <w:lang w:val="en-US" w:eastAsia="en-US" w:bidi="ar-SA"/>
      </w:rPr>
    </w:lvl>
    <w:lvl w:ilvl="6" w:tplc="30302D98">
      <w:numFmt w:val="bullet"/>
      <w:lvlText w:val="•"/>
      <w:lvlJc w:val="left"/>
      <w:pPr>
        <w:ind w:left="6176" w:hanging="312"/>
      </w:pPr>
      <w:rPr>
        <w:rFonts w:hint="default"/>
        <w:lang w:val="en-US" w:eastAsia="en-US" w:bidi="ar-SA"/>
      </w:rPr>
    </w:lvl>
    <w:lvl w:ilvl="7" w:tplc="92AC6018">
      <w:numFmt w:val="bullet"/>
      <w:lvlText w:val="•"/>
      <w:lvlJc w:val="left"/>
      <w:pPr>
        <w:ind w:left="7052" w:hanging="312"/>
      </w:pPr>
      <w:rPr>
        <w:rFonts w:hint="default"/>
        <w:lang w:val="en-US" w:eastAsia="en-US" w:bidi="ar-SA"/>
      </w:rPr>
    </w:lvl>
    <w:lvl w:ilvl="8" w:tplc="E17CE7A2">
      <w:numFmt w:val="bullet"/>
      <w:lvlText w:val="•"/>
      <w:lvlJc w:val="left"/>
      <w:pPr>
        <w:ind w:left="7928" w:hanging="312"/>
      </w:pPr>
      <w:rPr>
        <w:rFonts w:hint="default"/>
        <w:lang w:val="en-US" w:eastAsia="en-US" w:bidi="ar-SA"/>
      </w:rPr>
    </w:lvl>
  </w:abstractNum>
  <w:abstractNum w:abstractNumId="40" w15:restartNumberingAfterBreak="0">
    <w:nsid w:val="54C1457B"/>
    <w:multiLevelType w:val="hybridMultilevel"/>
    <w:tmpl w:val="77C07C30"/>
    <w:lvl w:ilvl="0" w:tplc="A8569B72">
      <w:start w:val="1"/>
      <w:numFmt w:val="decimal"/>
      <w:lvlText w:val="%1."/>
      <w:lvlJc w:val="left"/>
      <w:pPr>
        <w:ind w:left="720" w:hanging="360"/>
      </w:pPr>
      <w:rPr>
        <w:rFonts w:ascii="Book Antiqua" w:hAnsi="Book Antiqua" w:hint="default"/>
        <w:i/>
        <w:iCs/>
      </w:rPr>
    </w:lvl>
    <w:lvl w:ilvl="1" w:tplc="81622B8C">
      <w:start w:val="1"/>
      <w:numFmt w:val="lowerLetter"/>
      <w:lvlText w:val="%2."/>
      <w:lvlJc w:val="left"/>
      <w:pPr>
        <w:ind w:left="1440" w:hanging="360"/>
      </w:pPr>
    </w:lvl>
    <w:lvl w:ilvl="2" w:tplc="FCE22FAA">
      <w:start w:val="1"/>
      <w:numFmt w:val="lowerRoman"/>
      <w:lvlText w:val="%3."/>
      <w:lvlJc w:val="right"/>
      <w:pPr>
        <w:ind w:left="2160" w:hanging="180"/>
      </w:pPr>
    </w:lvl>
    <w:lvl w:ilvl="3" w:tplc="1C0A30BA">
      <w:start w:val="1"/>
      <w:numFmt w:val="decimal"/>
      <w:lvlText w:val="%4."/>
      <w:lvlJc w:val="left"/>
      <w:pPr>
        <w:ind w:left="2880" w:hanging="360"/>
      </w:pPr>
    </w:lvl>
    <w:lvl w:ilvl="4" w:tplc="B3A4506A">
      <w:start w:val="1"/>
      <w:numFmt w:val="lowerLetter"/>
      <w:lvlText w:val="%5."/>
      <w:lvlJc w:val="left"/>
      <w:pPr>
        <w:ind w:left="3600" w:hanging="360"/>
      </w:pPr>
    </w:lvl>
    <w:lvl w:ilvl="5" w:tplc="60D65D82">
      <w:start w:val="1"/>
      <w:numFmt w:val="lowerRoman"/>
      <w:lvlText w:val="%6."/>
      <w:lvlJc w:val="right"/>
      <w:pPr>
        <w:ind w:left="4320" w:hanging="180"/>
      </w:pPr>
    </w:lvl>
    <w:lvl w:ilvl="6" w:tplc="C0B205F6">
      <w:start w:val="1"/>
      <w:numFmt w:val="decimal"/>
      <w:lvlText w:val="%7."/>
      <w:lvlJc w:val="left"/>
      <w:pPr>
        <w:ind w:left="5040" w:hanging="360"/>
      </w:pPr>
    </w:lvl>
    <w:lvl w:ilvl="7" w:tplc="11DA34FE">
      <w:start w:val="1"/>
      <w:numFmt w:val="lowerLetter"/>
      <w:lvlText w:val="%8."/>
      <w:lvlJc w:val="left"/>
      <w:pPr>
        <w:ind w:left="5760" w:hanging="360"/>
      </w:pPr>
    </w:lvl>
    <w:lvl w:ilvl="8" w:tplc="4BCAF1CE">
      <w:start w:val="1"/>
      <w:numFmt w:val="lowerRoman"/>
      <w:lvlText w:val="%9."/>
      <w:lvlJc w:val="right"/>
      <w:pPr>
        <w:ind w:left="6480" w:hanging="180"/>
      </w:pPr>
    </w:lvl>
  </w:abstractNum>
  <w:abstractNum w:abstractNumId="41" w15:restartNumberingAfterBreak="0">
    <w:nsid w:val="5A803550"/>
    <w:multiLevelType w:val="hybridMultilevel"/>
    <w:tmpl w:val="DB8054C4"/>
    <w:lvl w:ilvl="0" w:tplc="658AFA78">
      <w:start w:val="1"/>
      <w:numFmt w:val="lowerLetter"/>
      <w:lvlText w:val="%1."/>
      <w:lvlJc w:val="left"/>
      <w:pPr>
        <w:ind w:left="840" w:hanging="360"/>
      </w:pPr>
      <w:rPr>
        <w:rFonts w:ascii="Palatino Linotype" w:eastAsia="Palatino Linotype" w:hAnsi="Palatino Linotype" w:cs="Palatino Linotype" w:hint="default"/>
        <w:b w:val="0"/>
        <w:bCs w:val="0"/>
        <w:i w:val="0"/>
        <w:iCs w:val="0"/>
        <w:w w:val="100"/>
        <w:sz w:val="24"/>
        <w:szCs w:val="24"/>
        <w:lang w:val="en-US" w:eastAsia="en-US" w:bidi="ar-SA"/>
      </w:rPr>
    </w:lvl>
    <w:lvl w:ilvl="1" w:tplc="7C621DDC">
      <w:numFmt w:val="bullet"/>
      <w:lvlText w:val="•"/>
      <w:lvlJc w:val="left"/>
      <w:pPr>
        <w:ind w:left="1714" w:hanging="360"/>
      </w:pPr>
      <w:rPr>
        <w:lang w:val="en-US" w:eastAsia="en-US" w:bidi="ar-SA"/>
      </w:rPr>
    </w:lvl>
    <w:lvl w:ilvl="2" w:tplc="EC44AFEC">
      <w:numFmt w:val="bullet"/>
      <w:lvlText w:val="•"/>
      <w:lvlJc w:val="left"/>
      <w:pPr>
        <w:ind w:left="2588" w:hanging="360"/>
      </w:pPr>
      <w:rPr>
        <w:lang w:val="en-US" w:eastAsia="en-US" w:bidi="ar-SA"/>
      </w:rPr>
    </w:lvl>
    <w:lvl w:ilvl="3" w:tplc="7F742BB8">
      <w:numFmt w:val="bullet"/>
      <w:lvlText w:val="•"/>
      <w:lvlJc w:val="left"/>
      <w:pPr>
        <w:ind w:left="3462" w:hanging="360"/>
      </w:pPr>
      <w:rPr>
        <w:lang w:val="en-US" w:eastAsia="en-US" w:bidi="ar-SA"/>
      </w:rPr>
    </w:lvl>
    <w:lvl w:ilvl="4" w:tplc="BDB09798">
      <w:numFmt w:val="bullet"/>
      <w:lvlText w:val="•"/>
      <w:lvlJc w:val="left"/>
      <w:pPr>
        <w:ind w:left="4336" w:hanging="360"/>
      </w:pPr>
      <w:rPr>
        <w:lang w:val="en-US" w:eastAsia="en-US" w:bidi="ar-SA"/>
      </w:rPr>
    </w:lvl>
    <w:lvl w:ilvl="5" w:tplc="50ECF998">
      <w:numFmt w:val="bullet"/>
      <w:lvlText w:val="•"/>
      <w:lvlJc w:val="left"/>
      <w:pPr>
        <w:ind w:left="5210" w:hanging="360"/>
      </w:pPr>
      <w:rPr>
        <w:lang w:val="en-US" w:eastAsia="en-US" w:bidi="ar-SA"/>
      </w:rPr>
    </w:lvl>
    <w:lvl w:ilvl="6" w:tplc="BE92585C">
      <w:numFmt w:val="bullet"/>
      <w:lvlText w:val="•"/>
      <w:lvlJc w:val="left"/>
      <w:pPr>
        <w:ind w:left="6084" w:hanging="360"/>
      </w:pPr>
      <w:rPr>
        <w:lang w:val="en-US" w:eastAsia="en-US" w:bidi="ar-SA"/>
      </w:rPr>
    </w:lvl>
    <w:lvl w:ilvl="7" w:tplc="362CB1D0">
      <w:numFmt w:val="bullet"/>
      <w:lvlText w:val="•"/>
      <w:lvlJc w:val="left"/>
      <w:pPr>
        <w:ind w:left="6958" w:hanging="360"/>
      </w:pPr>
      <w:rPr>
        <w:lang w:val="en-US" w:eastAsia="en-US" w:bidi="ar-SA"/>
      </w:rPr>
    </w:lvl>
    <w:lvl w:ilvl="8" w:tplc="2E3AD58E">
      <w:numFmt w:val="bullet"/>
      <w:lvlText w:val="•"/>
      <w:lvlJc w:val="left"/>
      <w:pPr>
        <w:ind w:left="7832" w:hanging="360"/>
      </w:pPr>
      <w:rPr>
        <w:lang w:val="en-US" w:eastAsia="en-US" w:bidi="ar-SA"/>
      </w:rPr>
    </w:lvl>
  </w:abstractNum>
  <w:abstractNum w:abstractNumId="42" w15:restartNumberingAfterBreak="0">
    <w:nsid w:val="5A9E2171"/>
    <w:multiLevelType w:val="multilevel"/>
    <w:tmpl w:val="7E42512E"/>
    <w:lvl w:ilvl="0">
      <w:start w:val="1"/>
      <w:numFmt w:val="decimal"/>
      <w:pStyle w:val="Heading1"/>
      <w:lvlText w:val="%1."/>
      <w:lvlJc w:val="left"/>
      <w:rPr>
        <w:b/>
        <w:i w:val="0"/>
        <w:caps w:val="0"/>
        <w:strike w:val="0"/>
        <w:dstrike w:val="0"/>
        <w:vanish w:val="0"/>
        <w:color w:val="auto"/>
        <w:kern w:val="0"/>
        <w:position w:val="0"/>
        <w:sz w:val="26"/>
        <w:u w:val="none"/>
        <w:vertAlign w:val="baseline"/>
      </w:rPr>
    </w:lvl>
    <w:lvl w:ilvl="1">
      <w:start w:val="1"/>
      <w:numFmt w:val="decimal"/>
      <w:pStyle w:val="Heading2"/>
      <w:lvlText w:val="%1.%2."/>
      <w:lvlJc w:val="left"/>
      <w:rPr>
        <w:rFonts w:ascii="Arial" w:hAnsi="Arial" w:cs="Arial" w:hint="default"/>
        <w:b/>
        <w:i w:val="0"/>
        <w:caps w:val="0"/>
        <w:strike w:val="0"/>
        <w:dstrike w:val="0"/>
        <w:vanish w:val="0"/>
        <w:color w:val="auto"/>
        <w:kern w:val="0"/>
        <w:sz w:val="26"/>
        <w:u w:val="none"/>
        <w:vertAlign w:val="baseline"/>
      </w:rPr>
    </w:lvl>
    <w:lvl w:ilvl="2">
      <w:start w:val="1"/>
      <w:numFmt w:val="decimal"/>
      <w:pStyle w:val="Heading3"/>
      <w:lvlText w:val="%1.%2.%3."/>
      <w:lvlJc w:val="left"/>
      <w:rPr>
        <w:b/>
        <w:i w:val="0"/>
        <w:caps w:val="0"/>
        <w:strike w:val="0"/>
        <w:dstrike w:val="0"/>
        <w:vanish w:val="0"/>
        <w:color w:val="auto"/>
        <w:kern w:val="0"/>
        <w:sz w:val="26"/>
        <w:u w:val="none"/>
        <w:vertAlign w:val="baseline"/>
      </w:rPr>
    </w:lvl>
    <w:lvl w:ilvl="3">
      <w:start w:val="1"/>
      <w:numFmt w:val="decimal"/>
      <w:pStyle w:val="Heading4"/>
      <w:lvlText w:val="%1.%2.%3.%4."/>
      <w:lvlJc w:val="left"/>
      <w:rPr>
        <w:b/>
        <w:i w:val="0"/>
        <w:caps w:val="0"/>
        <w:strike w:val="0"/>
        <w:dstrike w:val="0"/>
        <w:vanish w:val="0"/>
        <w:kern w:val="0"/>
        <w:sz w:val="26"/>
        <w:vertAlign w:val="baseline"/>
      </w:rPr>
    </w:lvl>
    <w:lvl w:ilvl="4">
      <w:start w:val="1"/>
      <w:numFmt w:val="decimal"/>
      <w:pStyle w:val="Heading5"/>
      <w:lvlText w:val="%1.%2.%3.%4.%5."/>
      <w:lvlJc w:val="left"/>
      <w:pPr>
        <w:tabs>
          <w:tab w:val="num" w:pos="2880"/>
        </w:tabs>
        <w:ind w:left="2880" w:hanging="1440"/>
      </w:pPr>
      <w:rPr>
        <w:b/>
        <w:i w:val="0"/>
        <w:sz w:val="26"/>
      </w:rPr>
    </w:lvl>
    <w:lvl w:ilvl="5">
      <w:start w:val="1"/>
      <w:numFmt w:val="decimal"/>
      <w:pStyle w:val="Heading6"/>
      <w:lvlText w:val="%1.%2.%3.%4.%5.%6."/>
      <w:lvlJc w:val="left"/>
      <w:pPr>
        <w:tabs>
          <w:tab w:val="num" w:pos="3528"/>
        </w:tabs>
        <w:ind w:left="3528" w:hanging="1728"/>
      </w:pPr>
      <w:rPr>
        <w:b/>
        <w:i w:val="0"/>
        <w:sz w:val="26"/>
      </w:rPr>
    </w:lvl>
    <w:lvl w:ilvl="6">
      <w:start w:val="1"/>
      <w:numFmt w:val="decimal"/>
      <w:pStyle w:val="ListNum"/>
      <w:lvlText w:val="%7."/>
      <w:lvlJc w:val="left"/>
      <w:pPr>
        <w:tabs>
          <w:tab w:val="num" w:pos="1080"/>
        </w:tabs>
        <w:ind w:left="1080" w:hanging="360"/>
      </w:pPr>
      <w:rPr>
        <w:b w:val="0"/>
        <w:i w:val="0"/>
        <w:sz w:val="26"/>
      </w:rPr>
    </w:lvl>
    <w:lvl w:ilvl="7">
      <w:start w:val="1"/>
      <w:numFmt w:val="lowerLetter"/>
      <w:pStyle w:val="ListAlpha"/>
      <w:lvlText w:val="%8."/>
      <w:lvlJc w:val="left"/>
      <w:pPr>
        <w:ind w:left="1080" w:hanging="360"/>
      </w:pPr>
      <w:rPr>
        <w:sz w:val="26"/>
      </w:rPr>
    </w:lvl>
    <w:lvl w:ilvl="8">
      <w:start w:val="1"/>
      <w:numFmt w:val="decimal"/>
      <w:lvlText w:val=""/>
      <w:lvlJc w:val="left"/>
      <w:pPr>
        <w:ind w:left="3240" w:hanging="360"/>
      </w:pPr>
    </w:lvl>
  </w:abstractNum>
  <w:abstractNum w:abstractNumId="43" w15:restartNumberingAfterBreak="0">
    <w:nsid w:val="5D35071B"/>
    <w:multiLevelType w:val="hybridMultilevel"/>
    <w:tmpl w:val="9EBAB1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4" w15:restartNumberingAfterBreak="0">
    <w:nsid w:val="5E873A00"/>
    <w:multiLevelType w:val="hybridMultilevel"/>
    <w:tmpl w:val="1E7CE0DA"/>
    <w:lvl w:ilvl="0" w:tplc="FFFFFFFF">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011393A"/>
    <w:multiLevelType w:val="hybridMultilevel"/>
    <w:tmpl w:val="9AF099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A4E758A"/>
    <w:multiLevelType w:val="hybridMultilevel"/>
    <w:tmpl w:val="F64EC3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6BC65B57"/>
    <w:multiLevelType w:val="hybridMultilevel"/>
    <w:tmpl w:val="C49C2D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8" w15:restartNumberingAfterBreak="0">
    <w:nsid w:val="6DE77DC7"/>
    <w:multiLevelType w:val="hybridMultilevel"/>
    <w:tmpl w:val="28025B7E"/>
    <w:lvl w:ilvl="0" w:tplc="5D8898A2">
      <w:start w:val="1"/>
      <w:numFmt w:val="upperRoman"/>
      <w:lvlText w:val="%1."/>
      <w:lvlJc w:val="left"/>
      <w:pPr>
        <w:ind w:left="559" w:hanging="360"/>
      </w:pPr>
      <w:rPr>
        <w:rFonts w:ascii="Book Antiqua" w:eastAsia="Book Antiqua" w:hAnsi="Book Antiqua" w:cs="Book Antiqua" w:hint="default"/>
        <w:b/>
        <w:bCs/>
        <w:i w:val="0"/>
        <w:iCs w:val="0"/>
        <w:spacing w:val="-1"/>
        <w:w w:val="99"/>
        <w:sz w:val="26"/>
        <w:szCs w:val="26"/>
        <w:lang w:val="en-US" w:eastAsia="en-US" w:bidi="ar-SA"/>
      </w:rPr>
    </w:lvl>
    <w:lvl w:ilvl="1" w:tplc="0E1A35EC">
      <w:numFmt w:val="bullet"/>
      <w:lvlText w:val=""/>
      <w:lvlJc w:val="left"/>
      <w:pPr>
        <w:ind w:left="919" w:hanging="540"/>
      </w:pPr>
      <w:rPr>
        <w:rFonts w:ascii="Symbol" w:eastAsia="Symbol" w:hAnsi="Symbol" w:cs="Symbol" w:hint="default"/>
        <w:b w:val="0"/>
        <w:bCs w:val="0"/>
        <w:i w:val="0"/>
        <w:iCs w:val="0"/>
        <w:w w:val="99"/>
        <w:sz w:val="26"/>
        <w:szCs w:val="26"/>
        <w:lang w:val="en-US" w:eastAsia="en-US" w:bidi="ar-SA"/>
      </w:rPr>
    </w:lvl>
    <w:lvl w:ilvl="2" w:tplc="12BC0C16">
      <w:numFmt w:val="bullet"/>
      <w:lvlText w:val="•"/>
      <w:lvlJc w:val="left"/>
      <w:pPr>
        <w:ind w:left="1893" w:hanging="540"/>
      </w:pPr>
      <w:rPr>
        <w:rFonts w:hint="default"/>
        <w:lang w:val="en-US" w:eastAsia="en-US" w:bidi="ar-SA"/>
      </w:rPr>
    </w:lvl>
    <w:lvl w:ilvl="3" w:tplc="EE84C8EE">
      <w:numFmt w:val="bullet"/>
      <w:lvlText w:val="•"/>
      <w:lvlJc w:val="left"/>
      <w:pPr>
        <w:ind w:left="2866" w:hanging="540"/>
      </w:pPr>
      <w:rPr>
        <w:rFonts w:hint="default"/>
        <w:lang w:val="en-US" w:eastAsia="en-US" w:bidi="ar-SA"/>
      </w:rPr>
    </w:lvl>
    <w:lvl w:ilvl="4" w:tplc="C4E2AB66">
      <w:numFmt w:val="bullet"/>
      <w:lvlText w:val="•"/>
      <w:lvlJc w:val="left"/>
      <w:pPr>
        <w:ind w:left="3840" w:hanging="540"/>
      </w:pPr>
      <w:rPr>
        <w:rFonts w:hint="default"/>
        <w:lang w:val="en-US" w:eastAsia="en-US" w:bidi="ar-SA"/>
      </w:rPr>
    </w:lvl>
    <w:lvl w:ilvl="5" w:tplc="D5804E2C">
      <w:numFmt w:val="bullet"/>
      <w:lvlText w:val="•"/>
      <w:lvlJc w:val="left"/>
      <w:pPr>
        <w:ind w:left="4813" w:hanging="540"/>
      </w:pPr>
      <w:rPr>
        <w:rFonts w:hint="default"/>
        <w:lang w:val="en-US" w:eastAsia="en-US" w:bidi="ar-SA"/>
      </w:rPr>
    </w:lvl>
    <w:lvl w:ilvl="6" w:tplc="77B00946">
      <w:numFmt w:val="bullet"/>
      <w:lvlText w:val="•"/>
      <w:lvlJc w:val="left"/>
      <w:pPr>
        <w:ind w:left="5786" w:hanging="540"/>
      </w:pPr>
      <w:rPr>
        <w:rFonts w:hint="default"/>
        <w:lang w:val="en-US" w:eastAsia="en-US" w:bidi="ar-SA"/>
      </w:rPr>
    </w:lvl>
    <w:lvl w:ilvl="7" w:tplc="2FEA8296">
      <w:numFmt w:val="bullet"/>
      <w:lvlText w:val="•"/>
      <w:lvlJc w:val="left"/>
      <w:pPr>
        <w:ind w:left="6760" w:hanging="540"/>
      </w:pPr>
      <w:rPr>
        <w:rFonts w:hint="default"/>
        <w:lang w:val="en-US" w:eastAsia="en-US" w:bidi="ar-SA"/>
      </w:rPr>
    </w:lvl>
    <w:lvl w:ilvl="8" w:tplc="40A0B6DC">
      <w:numFmt w:val="bullet"/>
      <w:lvlText w:val="•"/>
      <w:lvlJc w:val="left"/>
      <w:pPr>
        <w:ind w:left="7733" w:hanging="540"/>
      </w:pPr>
      <w:rPr>
        <w:rFonts w:hint="default"/>
        <w:lang w:val="en-US" w:eastAsia="en-US" w:bidi="ar-SA"/>
      </w:rPr>
    </w:lvl>
  </w:abstractNum>
  <w:abstractNum w:abstractNumId="49" w15:restartNumberingAfterBreak="0">
    <w:nsid w:val="6EEF13B8"/>
    <w:multiLevelType w:val="hybridMultilevel"/>
    <w:tmpl w:val="55DEB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0205CA2"/>
    <w:multiLevelType w:val="hybridMultilevel"/>
    <w:tmpl w:val="138A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5F292C"/>
    <w:multiLevelType w:val="hybridMultilevel"/>
    <w:tmpl w:val="6E400C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15:restartNumberingAfterBreak="0">
    <w:nsid w:val="76625885"/>
    <w:multiLevelType w:val="hybridMultilevel"/>
    <w:tmpl w:val="5212E136"/>
    <w:lvl w:ilvl="0" w:tplc="04090013">
      <w:start w:val="1"/>
      <w:numFmt w:val="upperRoman"/>
      <w:lvlText w:val="%1."/>
      <w:lvlJc w:val="right"/>
      <w:pPr>
        <w:ind w:left="983" w:hanging="360"/>
      </w:p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53" w15:restartNumberingAfterBreak="0">
    <w:nsid w:val="789A0AFE"/>
    <w:multiLevelType w:val="multilevel"/>
    <w:tmpl w:val="18F4A5AC"/>
    <w:numStyleLink w:val="FoFCoLOP"/>
  </w:abstractNum>
  <w:abstractNum w:abstractNumId="54" w15:restartNumberingAfterBreak="0">
    <w:nsid w:val="797F5691"/>
    <w:multiLevelType w:val="hybridMultilevel"/>
    <w:tmpl w:val="9AF09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8E7466"/>
    <w:multiLevelType w:val="hybridMultilevel"/>
    <w:tmpl w:val="67D4B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9475817">
    <w:abstractNumId w:val="7"/>
  </w:num>
  <w:num w:numId="2" w16cid:durableId="303899296">
    <w:abstractNumId w:val="20"/>
  </w:num>
  <w:num w:numId="3" w16cid:durableId="786965885">
    <w:abstractNumId w:val="0"/>
  </w:num>
  <w:num w:numId="4" w16cid:durableId="1843079693">
    <w:abstractNumId w:val="25"/>
  </w:num>
  <w:num w:numId="5" w16cid:durableId="1632050798">
    <w:abstractNumId w:val="40"/>
  </w:num>
  <w:num w:numId="6" w16cid:durableId="1723358213">
    <w:abstractNumId w:val="49"/>
  </w:num>
  <w:num w:numId="7" w16cid:durableId="20806376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88967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5313197">
    <w:abstractNumId w:val="22"/>
  </w:num>
  <w:num w:numId="10" w16cid:durableId="2013868975">
    <w:abstractNumId w:val="48"/>
  </w:num>
  <w:num w:numId="11" w16cid:durableId="1724913990">
    <w:abstractNumId w:val="39"/>
  </w:num>
  <w:num w:numId="12" w16cid:durableId="993220628">
    <w:abstractNumId w:val="32"/>
  </w:num>
  <w:num w:numId="13" w16cid:durableId="924069209">
    <w:abstractNumId w:val="50"/>
  </w:num>
  <w:num w:numId="14" w16cid:durableId="213663896">
    <w:abstractNumId w:val="5"/>
  </w:num>
  <w:num w:numId="15" w16cid:durableId="2050376385">
    <w:abstractNumId w:val="55"/>
  </w:num>
  <w:num w:numId="16" w16cid:durableId="2141528050">
    <w:abstractNumId w:val="18"/>
  </w:num>
  <w:num w:numId="17" w16cid:durableId="766080264">
    <w:abstractNumId w:val="28"/>
  </w:num>
  <w:num w:numId="18" w16cid:durableId="1084765862">
    <w:abstractNumId w:val="51"/>
  </w:num>
  <w:num w:numId="19" w16cid:durableId="1340692055">
    <w:abstractNumId w:val="43"/>
  </w:num>
  <w:num w:numId="20" w16cid:durableId="529146737">
    <w:abstractNumId w:val="47"/>
  </w:num>
  <w:num w:numId="21" w16cid:durableId="189614811">
    <w:abstractNumId w:val="6"/>
  </w:num>
  <w:num w:numId="22" w16cid:durableId="214507843">
    <w:abstractNumId w:val="33"/>
  </w:num>
  <w:num w:numId="23" w16cid:durableId="1186292027">
    <w:abstractNumId w:val="9"/>
  </w:num>
  <w:num w:numId="24" w16cid:durableId="998457075">
    <w:abstractNumId w:val="30"/>
  </w:num>
  <w:num w:numId="25" w16cid:durableId="943195087">
    <w:abstractNumId w:val="37"/>
  </w:num>
  <w:num w:numId="26" w16cid:durableId="1059935968">
    <w:abstractNumId w:val="36"/>
  </w:num>
  <w:num w:numId="27" w16cid:durableId="208343157">
    <w:abstractNumId w:val="46"/>
  </w:num>
  <w:num w:numId="28" w16cid:durableId="1302806572">
    <w:abstractNumId w:val="35"/>
  </w:num>
  <w:num w:numId="29" w16cid:durableId="1875269737">
    <w:abstractNumId w:val="15"/>
  </w:num>
  <w:num w:numId="30" w16cid:durableId="297959048">
    <w:abstractNumId w:val="23"/>
  </w:num>
  <w:num w:numId="31" w16cid:durableId="1916208298">
    <w:abstractNumId w:val="38"/>
  </w:num>
  <w:num w:numId="32" w16cid:durableId="567111449">
    <w:abstractNumId w:val="14"/>
  </w:num>
  <w:num w:numId="33" w16cid:durableId="141586307">
    <w:abstractNumId w:val="26"/>
  </w:num>
  <w:num w:numId="34" w16cid:durableId="1804998119">
    <w:abstractNumId w:val="54"/>
  </w:num>
  <w:num w:numId="35" w16cid:durableId="66146985">
    <w:abstractNumId w:val="12"/>
  </w:num>
  <w:num w:numId="36" w16cid:durableId="1815022984">
    <w:abstractNumId w:val="16"/>
  </w:num>
  <w:num w:numId="37" w16cid:durableId="647831522">
    <w:abstractNumId w:val="4"/>
  </w:num>
  <w:num w:numId="38" w16cid:durableId="1677879993">
    <w:abstractNumId w:val="11"/>
  </w:num>
  <w:num w:numId="39" w16cid:durableId="1355959447">
    <w:abstractNumId w:val="31"/>
  </w:num>
  <w:num w:numId="40" w16cid:durableId="515072429">
    <w:abstractNumId w:val="17"/>
  </w:num>
  <w:num w:numId="41" w16cid:durableId="56324411">
    <w:abstractNumId w:val="44"/>
  </w:num>
  <w:num w:numId="42" w16cid:durableId="2121487675">
    <w:abstractNumId w:val="1"/>
  </w:num>
  <w:num w:numId="43" w16cid:durableId="940138880">
    <w:abstractNumId w:val="29"/>
  </w:num>
  <w:num w:numId="44" w16cid:durableId="107510864">
    <w:abstractNumId w:val="8"/>
  </w:num>
  <w:num w:numId="45" w16cid:durableId="223150687">
    <w:abstractNumId w:val="41"/>
    <w:lvlOverride w:ilvl="0">
      <w:startOverride w:val="1"/>
    </w:lvlOverride>
    <w:lvlOverride w:ilvl="1"/>
    <w:lvlOverride w:ilvl="2"/>
    <w:lvlOverride w:ilvl="3"/>
    <w:lvlOverride w:ilvl="4"/>
    <w:lvlOverride w:ilvl="5"/>
    <w:lvlOverride w:ilvl="6"/>
    <w:lvlOverride w:ilvl="7"/>
    <w:lvlOverride w:ilvl="8"/>
  </w:num>
  <w:num w:numId="46" w16cid:durableId="2120024740">
    <w:abstractNumId w:val="45"/>
  </w:num>
  <w:num w:numId="47" w16cid:durableId="670063683">
    <w:abstractNumId w:val="52"/>
  </w:num>
  <w:num w:numId="48" w16cid:durableId="152109598">
    <w:abstractNumId w:val="13"/>
  </w:num>
  <w:num w:numId="49" w16cid:durableId="161703215">
    <w:abstractNumId w:val="34"/>
  </w:num>
  <w:num w:numId="50" w16cid:durableId="870918216">
    <w:abstractNumId w:val="10"/>
  </w:num>
  <w:num w:numId="51" w16cid:durableId="979386129">
    <w:abstractNumId w:val="2"/>
  </w:num>
  <w:num w:numId="52" w16cid:durableId="229390271">
    <w:abstractNumId w:val="19"/>
  </w:num>
  <w:num w:numId="53" w16cid:durableId="1791824414">
    <w:abstractNumId w:val="21"/>
  </w:num>
  <w:num w:numId="54" w16cid:durableId="533004738">
    <w:abstractNumId w:val="3"/>
  </w:num>
  <w:num w:numId="55" w16cid:durableId="1963804957">
    <w:abstractNumId w:val="27"/>
  </w:num>
  <w:num w:numId="56" w16cid:durableId="423961900">
    <w:abstractNumId w:val="24"/>
  </w:num>
  <w:num w:numId="57" w16cid:durableId="15515309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729348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023918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5B"/>
    <w:rsid w:val="00000230"/>
    <w:rsid w:val="0000031D"/>
    <w:rsid w:val="00000600"/>
    <w:rsid w:val="00000B24"/>
    <w:rsid w:val="00000F6A"/>
    <w:rsid w:val="00001199"/>
    <w:rsid w:val="000013D7"/>
    <w:rsid w:val="00001C75"/>
    <w:rsid w:val="00001EC9"/>
    <w:rsid w:val="00001F4D"/>
    <w:rsid w:val="000026C4"/>
    <w:rsid w:val="00002710"/>
    <w:rsid w:val="00002904"/>
    <w:rsid w:val="00002FBA"/>
    <w:rsid w:val="0000344A"/>
    <w:rsid w:val="00004EEC"/>
    <w:rsid w:val="000053CC"/>
    <w:rsid w:val="00005E11"/>
    <w:rsid w:val="0000661F"/>
    <w:rsid w:val="00006937"/>
    <w:rsid w:val="00006A37"/>
    <w:rsid w:val="00006BFA"/>
    <w:rsid w:val="00006DB9"/>
    <w:rsid w:val="0000727D"/>
    <w:rsid w:val="00007326"/>
    <w:rsid w:val="000105BB"/>
    <w:rsid w:val="00010D50"/>
    <w:rsid w:val="00010F22"/>
    <w:rsid w:val="000111CD"/>
    <w:rsid w:val="0001149A"/>
    <w:rsid w:val="00011633"/>
    <w:rsid w:val="00011B3E"/>
    <w:rsid w:val="00011BCA"/>
    <w:rsid w:val="00011F15"/>
    <w:rsid w:val="00012AFC"/>
    <w:rsid w:val="00012DE5"/>
    <w:rsid w:val="00013518"/>
    <w:rsid w:val="00013610"/>
    <w:rsid w:val="000139E8"/>
    <w:rsid w:val="00013B06"/>
    <w:rsid w:val="00013CAF"/>
    <w:rsid w:val="00013E45"/>
    <w:rsid w:val="00013F11"/>
    <w:rsid w:val="000142AF"/>
    <w:rsid w:val="000142CD"/>
    <w:rsid w:val="00015174"/>
    <w:rsid w:val="000154E7"/>
    <w:rsid w:val="000156AE"/>
    <w:rsid w:val="00015803"/>
    <w:rsid w:val="00015825"/>
    <w:rsid w:val="00016365"/>
    <w:rsid w:val="000167CB"/>
    <w:rsid w:val="000169E8"/>
    <w:rsid w:val="00016A2D"/>
    <w:rsid w:val="00016DBB"/>
    <w:rsid w:val="00017372"/>
    <w:rsid w:val="000200DE"/>
    <w:rsid w:val="00020194"/>
    <w:rsid w:val="00020451"/>
    <w:rsid w:val="00021A61"/>
    <w:rsid w:val="00021FAF"/>
    <w:rsid w:val="000220D7"/>
    <w:rsid w:val="000227DF"/>
    <w:rsid w:val="000229BC"/>
    <w:rsid w:val="00022C32"/>
    <w:rsid w:val="000230B9"/>
    <w:rsid w:val="000236DD"/>
    <w:rsid w:val="0002378B"/>
    <w:rsid w:val="00023B69"/>
    <w:rsid w:val="00023C0F"/>
    <w:rsid w:val="00023FB9"/>
    <w:rsid w:val="0002402C"/>
    <w:rsid w:val="00024403"/>
    <w:rsid w:val="00024673"/>
    <w:rsid w:val="000247A3"/>
    <w:rsid w:val="00025117"/>
    <w:rsid w:val="00025571"/>
    <w:rsid w:val="0002585B"/>
    <w:rsid w:val="00026220"/>
    <w:rsid w:val="00026224"/>
    <w:rsid w:val="00026292"/>
    <w:rsid w:val="00026540"/>
    <w:rsid w:val="00026615"/>
    <w:rsid w:val="0002681A"/>
    <w:rsid w:val="000269F1"/>
    <w:rsid w:val="00026AED"/>
    <w:rsid w:val="00026B6F"/>
    <w:rsid w:val="000277DB"/>
    <w:rsid w:val="00027EF3"/>
    <w:rsid w:val="00027F5D"/>
    <w:rsid w:val="000302B1"/>
    <w:rsid w:val="0003038D"/>
    <w:rsid w:val="000306EE"/>
    <w:rsid w:val="000307E5"/>
    <w:rsid w:val="00030966"/>
    <w:rsid w:val="00030B33"/>
    <w:rsid w:val="00030B60"/>
    <w:rsid w:val="00031473"/>
    <w:rsid w:val="0003165C"/>
    <w:rsid w:val="00031987"/>
    <w:rsid w:val="00032660"/>
    <w:rsid w:val="00032963"/>
    <w:rsid w:val="00032A99"/>
    <w:rsid w:val="0003388E"/>
    <w:rsid w:val="00033F48"/>
    <w:rsid w:val="00034459"/>
    <w:rsid w:val="000347D3"/>
    <w:rsid w:val="000348DF"/>
    <w:rsid w:val="00034B4A"/>
    <w:rsid w:val="0003554F"/>
    <w:rsid w:val="0003596B"/>
    <w:rsid w:val="00036339"/>
    <w:rsid w:val="000371C3"/>
    <w:rsid w:val="00037810"/>
    <w:rsid w:val="00037A89"/>
    <w:rsid w:val="00037E7C"/>
    <w:rsid w:val="0004022E"/>
    <w:rsid w:val="000406B7"/>
    <w:rsid w:val="00040A9B"/>
    <w:rsid w:val="00041A6E"/>
    <w:rsid w:val="00041D8D"/>
    <w:rsid w:val="00041DC7"/>
    <w:rsid w:val="00042020"/>
    <w:rsid w:val="0004231F"/>
    <w:rsid w:val="00042338"/>
    <w:rsid w:val="00042404"/>
    <w:rsid w:val="0004273D"/>
    <w:rsid w:val="00042C77"/>
    <w:rsid w:val="00042FBB"/>
    <w:rsid w:val="000437E8"/>
    <w:rsid w:val="00044040"/>
    <w:rsid w:val="0004414B"/>
    <w:rsid w:val="000450DA"/>
    <w:rsid w:val="00045739"/>
    <w:rsid w:val="000457EE"/>
    <w:rsid w:val="00046016"/>
    <w:rsid w:val="0004634D"/>
    <w:rsid w:val="0004637D"/>
    <w:rsid w:val="0004675B"/>
    <w:rsid w:val="00046D5E"/>
    <w:rsid w:val="00046EEC"/>
    <w:rsid w:val="00047639"/>
    <w:rsid w:val="0004CA8B"/>
    <w:rsid w:val="0005005A"/>
    <w:rsid w:val="00050237"/>
    <w:rsid w:val="00050368"/>
    <w:rsid w:val="000507FB"/>
    <w:rsid w:val="00050E51"/>
    <w:rsid w:val="00051DE1"/>
    <w:rsid w:val="00051E20"/>
    <w:rsid w:val="000522BD"/>
    <w:rsid w:val="0005268F"/>
    <w:rsid w:val="0005273F"/>
    <w:rsid w:val="000528F8"/>
    <w:rsid w:val="00052CF7"/>
    <w:rsid w:val="00052E53"/>
    <w:rsid w:val="00053531"/>
    <w:rsid w:val="000537A0"/>
    <w:rsid w:val="0005392E"/>
    <w:rsid w:val="00053AA1"/>
    <w:rsid w:val="00053BBB"/>
    <w:rsid w:val="00053FB1"/>
    <w:rsid w:val="00054C46"/>
    <w:rsid w:val="00054E41"/>
    <w:rsid w:val="00054EBC"/>
    <w:rsid w:val="0005511D"/>
    <w:rsid w:val="0005512E"/>
    <w:rsid w:val="000551C3"/>
    <w:rsid w:val="0005546C"/>
    <w:rsid w:val="00055A45"/>
    <w:rsid w:val="00055AA2"/>
    <w:rsid w:val="00056729"/>
    <w:rsid w:val="00057096"/>
    <w:rsid w:val="00057104"/>
    <w:rsid w:val="000572DE"/>
    <w:rsid w:val="00057386"/>
    <w:rsid w:val="00057608"/>
    <w:rsid w:val="00057DD6"/>
    <w:rsid w:val="00057E07"/>
    <w:rsid w:val="00057EF2"/>
    <w:rsid w:val="00060402"/>
    <w:rsid w:val="00060435"/>
    <w:rsid w:val="000607EC"/>
    <w:rsid w:val="00060E94"/>
    <w:rsid w:val="00061126"/>
    <w:rsid w:val="0006122C"/>
    <w:rsid w:val="000615B3"/>
    <w:rsid w:val="0006173A"/>
    <w:rsid w:val="00061760"/>
    <w:rsid w:val="00061871"/>
    <w:rsid w:val="00062066"/>
    <w:rsid w:val="00062607"/>
    <w:rsid w:val="00062B75"/>
    <w:rsid w:val="00063154"/>
    <w:rsid w:val="000632E1"/>
    <w:rsid w:val="00063317"/>
    <w:rsid w:val="000634F8"/>
    <w:rsid w:val="00063E65"/>
    <w:rsid w:val="000643BA"/>
    <w:rsid w:val="00065052"/>
    <w:rsid w:val="00065BAD"/>
    <w:rsid w:val="00065C11"/>
    <w:rsid w:val="00065CD9"/>
    <w:rsid w:val="00065D71"/>
    <w:rsid w:val="00065E5B"/>
    <w:rsid w:val="00065F92"/>
    <w:rsid w:val="00065FD7"/>
    <w:rsid w:val="00066948"/>
    <w:rsid w:val="00066988"/>
    <w:rsid w:val="00066B50"/>
    <w:rsid w:val="00066EA8"/>
    <w:rsid w:val="00066FBC"/>
    <w:rsid w:val="000671A1"/>
    <w:rsid w:val="00067595"/>
    <w:rsid w:val="00067917"/>
    <w:rsid w:val="00067B0D"/>
    <w:rsid w:val="00067B4C"/>
    <w:rsid w:val="00067EC0"/>
    <w:rsid w:val="00070AFD"/>
    <w:rsid w:val="00070C7A"/>
    <w:rsid w:val="00070D92"/>
    <w:rsid w:val="0007115A"/>
    <w:rsid w:val="0007194C"/>
    <w:rsid w:val="00071BB6"/>
    <w:rsid w:val="00071E46"/>
    <w:rsid w:val="00071FC3"/>
    <w:rsid w:val="00072873"/>
    <w:rsid w:val="00072ACC"/>
    <w:rsid w:val="00072FFB"/>
    <w:rsid w:val="00073CE6"/>
    <w:rsid w:val="00073FE2"/>
    <w:rsid w:val="00074BFA"/>
    <w:rsid w:val="00074E3B"/>
    <w:rsid w:val="00075525"/>
    <w:rsid w:val="0007578B"/>
    <w:rsid w:val="0007594A"/>
    <w:rsid w:val="00076312"/>
    <w:rsid w:val="00076501"/>
    <w:rsid w:val="000773B2"/>
    <w:rsid w:val="000779F8"/>
    <w:rsid w:val="0008043E"/>
    <w:rsid w:val="000809FE"/>
    <w:rsid w:val="0008145C"/>
    <w:rsid w:val="000814AF"/>
    <w:rsid w:val="0008150A"/>
    <w:rsid w:val="000815D1"/>
    <w:rsid w:val="000817AD"/>
    <w:rsid w:val="00081D5A"/>
    <w:rsid w:val="00081EFC"/>
    <w:rsid w:val="00082BF5"/>
    <w:rsid w:val="00082E15"/>
    <w:rsid w:val="000832E6"/>
    <w:rsid w:val="00083943"/>
    <w:rsid w:val="00083EF6"/>
    <w:rsid w:val="00084DF6"/>
    <w:rsid w:val="00084E3C"/>
    <w:rsid w:val="00084F26"/>
    <w:rsid w:val="00084FFD"/>
    <w:rsid w:val="00085216"/>
    <w:rsid w:val="000854AA"/>
    <w:rsid w:val="00085B42"/>
    <w:rsid w:val="00085CC7"/>
    <w:rsid w:val="00085F76"/>
    <w:rsid w:val="00086036"/>
    <w:rsid w:val="00087004"/>
    <w:rsid w:val="00087208"/>
    <w:rsid w:val="00087B46"/>
    <w:rsid w:val="00087DD1"/>
    <w:rsid w:val="00090113"/>
    <w:rsid w:val="00090498"/>
    <w:rsid w:val="0009074D"/>
    <w:rsid w:val="00090EA5"/>
    <w:rsid w:val="00091087"/>
    <w:rsid w:val="000910C9"/>
    <w:rsid w:val="00091459"/>
    <w:rsid w:val="0009165E"/>
    <w:rsid w:val="0009232A"/>
    <w:rsid w:val="00092698"/>
    <w:rsid w:val="00092B35"/>
    <w:rsid w:val="00092E04"/>
    <w:rsid w:val="0009303E"/>
    <w:rsid w:val="0009348E"/>
    <w:rsid w:val="00093C27"/>
    <w:rsid w:val="00094534"/>
    <w:rsid w:val="000948EB"/>
    <w:rsid w:val="00094A39"/>
    <w:rsid w:val="00094D5A"/>
    <w:rsid w:val="000953D1"/>
    <w:rsid w:val="00095673"/>
    <w:rsid w:val="00095899"/>
    <w:rsid w:val="00095F8B"/>
    <w:rsid w:val="00096F2B"/>
    <w:rsid w:val="000973C8"/>
    <w:rsid w:val="0009745B"/>
    <w:rsid w:val="00097E32"/>
    <w:rsid w:val="00097E33"/>
    <w:rsid w:val="000A04CD"/>
    <w:rsid w:val="000A080A"/>
    <w:rsid w:val="000A0A80"/>
    <w:rsid w:val="000A1030"/>
    <w:rsid w:val="000A1102"/>
    <w:rsid w:val="000A152E"/>
    <w:rsid w:val="000A1580"/>
    <w:rsid w:val="000A17AD"/>
    <w:rsid w:val="000A1E4B"/>
    <w:rsid w:val="000A1F68"/>
    <w:rsid w:val="000A2938"/>
    <w:rsid w:val="000A29D5"/>
    <w:rsid w:val="000A2AA9"/>
    <w:rsid w:val="000A2B5C"/>
    <w:rsid w:val="000A3621"/>
    <w:rsid w:val="000A4A23"/>
    <w:rsid w:val="000A4B24"/>
    <w:rsid w:val="000A4B77"/>
    <w:rsid w:val="000A5540"/>
    <w:rsid w:val="000A56B1"/>
    <w:rsid w:val="000A56F2"/>
    <w:rsid w:val="000A5D9E"/>
    <w:rsid w:val="000A5FE4"/>
    <w:rsid w:val="000A6E05"/>
    <w:rsid w:val="000A6E62"/>
    <w:rsid w:val="000A6F7B"/>
    <w:rsid w:val="000A706F"/>
    <w:rsid w:val="000A722B"/>
    <w:rsid w:val="000A7360"/>
    <w:rsid w:val="000A7DF0"/>
    <w:rsid w:val="000B0A79"/>
    <w:rsid w:val="000B0AE7"/>
    <w:rsid w:val="000B0D71"/>
    <w:rsid w:val="000B0D9C"/>
    <w:rsid w:val="000B12FA"/>
    <w:rsid w:val="000B13A9"/>
    <w:rsid w:val="000B16E1"/>
    <w:rsid w:val="000B16E4"/>
    <w:rsid w:val="000B19E7"/>
    <w:rsid w:val="000B1A59"/>
    <w:rsid w:val="000B2191"/>
    <w:rsid w:val="000B24A5"/>
    <w:rsid w:val="000B24EF"/>
    <w:rsid w:val="000B32FB"/>
    <w:rsid w:val="000B3806"/>
    <w:rsid w:val="000B38E8"/>
    <w:rsid w:val="000B45C8"/>
    <w:rsid w:val="000B48E1"/>
    <w:rsid w:val="000B4C02"/>
    <w:rsid w:val="000B541B"/>
    <w:rsid w:val="000B5943"/>
    <w:rsid w:val="000B5ABE"/>
    <w:rsid w:val="000B5DC2"/>
    <w:rsid w:val="000B5F7D"/>
    <w:rsid w:val="000B68F8"/>
    <w:rsid w:val="000B6987"/>
    <w:rsid w:val="000B6B77"/>
    <w:rsid w:val="000B6CEF"/>
    <w:rsid w:val="000B713A"/>
    <w:rsid w:val="000B745B"/>
    <w:rsid w:val="000B75E4"/>
    <w:rsid w:val="000B7BCB"/>
    <w:rsid w:val="000C08BF"/>
    <w:rsid w:val="000C0A07"/>
    <w:rsid w:val="000C0D29"/>
    <w:rsid w:val="000C0E7A"/>
    <w:rsid w:val="000C1932"/>
    <w:rsid w:val="000C2084"/>
    <w:rsid w:val="000C20B3"/>
    <w:rsid w:val="000C257A"/>
    <w:rsid w:val="000C2744"/>
    <w:rsid w:val="000C2E9B"/>
    <w:rsid w:val="000C37A2"/>
    <w:rsid w:val="000C38D5"/>
    <w:rsid w:val="000C3B9A"/>
    <w:rsid w:val="000C415A"/>
    <w:rsid w:val="000C4428"/>
    <w:rsid w:val="000C4461"/>
    <w:rsid w:val="000C4769"/>
    <w:rsid w:val="000C522C"/>
    <w:rsid w:val="000C56AC"/>
    <w:rsid w:val="000C583B"/>
    <w:rsid w:val="000C5EFE"/>
    <w:rsid w:val="000C6024"/>
    <w:rsid w:val="000C6128"/>
    <w:rsid w:val="000C6789"/>
    <w:rsid w:val="000C67F3"/>
    <w:rsid w:val="000C6BD8"/>
    <w:rsid w:val="000C762C"/>
    <w:rsid w:val="000D0500"/>
    <w:rsid w:val="000D0750"/>
    <w:rsid w:val="000D0A2C"/>
    <w:rsid w:val="000D0B37"/>
    <w:rsid w:val="000D0C54"/>
    <w:rsid w:val="000D0DB6"/>
    <w:rsid w:val="000D0E12"/>
    <w:rsid w:val="000D0EE7"/>
    <w:rsid w:val="000D10BA"/>
    <w:rsid w:val="000D199A"/>
    <w:rsid w:val="000D1C42"/>
    <w:rsid w:val="000D2101"/>
    <w:rsid w:val="000D25A8"/>
    <w:rsid w:val="000D2651"/>
    <w:rsid w:val="000D274A"/>
    <w:rsid w:val="000D297A"/>
    <w:rsid w:val="000D3028"/>
    <w:rsid w:val="000D38D2"/>
    <w:rsid w:val="000D3C70"/>
    <w:rsid w:val="000D4780"/>
    <w:rsid w:val="000D5172"/>
    <w:rsid w:val="000D5217"/>
    <w:rsid w:val="000D52CD"/>
    <w:rsid w:val="000D5301"/>
    <w:rsid w:val="000D5364"/>
    <w:rsid w:val="000D53C7"/>
    <w:rsid w:val="000D5B5A"/>
    <w:rsid w:val="000D5E28"/>
    <w:rsid w:val="000D63F8"/>
    <w:rsid w:val="000D6BD5"/>
    <w:rsid w:val="000D6C24"/>
    <w:rsid w:val="000D6D65"/>
    <w:rsid w:val="000D6E9C"/>
    <w:rsid w:val="000D76F0"/>
    <w:rsid w:val="000D7E6C"/>
    <w:rsid w:val="000E02F5"/>
    <w:rsid w:val="000E04F5"/>
    <w:rsid w:val="000E0933"/>
    <w:rsid w:val="000E112B"/>
    <w:rsid w:val="000E17DD"/>
    <w:rsid w:val="000E1F1B"/>
    <w:rsid w:val="000E1FC1"/>
    <w:rsid w:val="000E20A5"/>
    <w:rsid w:val="000E24A8"/>
    <w:rsid w:val="000E2589"/>
    <w:rsid w:val="000E2670"/>
    <w:rsid w:val="000E270A"/>
    <w:rsid w:val="000E3478"/>
    <w:rsid w:val="000E3726"/>
    <w:rsid w:val="000E3D75"/>
    <w:rsid w:val="000E3F1A"/>
    <w:rsid w:val="000E42A4"/>
    <w:rsid w:val="000E43D6"/>
    <w:rsid w:val="000E4741"/>
    <w:rsid w:val="000E480F"/>
    <w:rsid w:val="000E49F6"/>
    <w:rsid w:val="000E4C53"/>
    <w:rsid w:val="000E4E77"/>
    <w:rsid w:val="000E50BB"/>
    <w:rsid w:val="000E53B6"/>
    <w:rsid w:val="000E58C1"/>
    <w:rsid w:val="000E599A"/>
    <w:rsid w:val="000E5D47"/>
    <w:rsid w:val="000E627A"/>
    <w:rsid w:val="000E6FE8"/>
    <w:rsid w:val="000E70AA"/>
    <w:rsid w:val="000E7741"/>
    <w:rsid w:val="000E7852"/>
    <w:rsid w:val="000E785E"/>
    <w:rsid w:val="000E78BC"/>
    <w:rsid w:val="000F0069"/>
    <w:rsid w:val="000F03EE"/>
    <w:rsid w:val="000F0D4F"/>
    <w:rsid w:val="000F12E0"/>
    <w:rsid w:val="000F1807"/>
    <w:rsid w:val="000F1812"/>
    <w:rsid w:val="000F1A37"/>
    <w:rsid w:val="000F1FCD"/>
    <w:rsid w:val="000F238B"/>
    <w:rsid w:val="000F23BF"/>
    <w:rsid w:val="000F28B2"/>
    <w:rsid w:val="000F2968"/>
    <w:rsid w:val="000F2B89"/>
    <w:rsid w:val="000F2BA8"/>
    <w:rsid w:val="000F2CCD"/>
    <w:rsid w:val="000F2D5B"/>
    <w:rsid w:val="000F346F"/>
    <w:rsid w:val="000F3695"/>
    <w:rsid w:val="000F41F8"/>
    <w:rsid w:val="000F4293"/>
    <w:rsid w:val="000F46AC"/>
    <w:rsid w:val="000F46AD"/>
    <w:rsid w:val="000F4A02"/>
    <w:rsid w:val="000F4AAB"/>
    <w:rsid w:val="000F5088"/>
    <w:rsid w:val="000F5113"/>
    <w:rsid w:val="000F54DC"/>
    <w:rsid w:val="000F5699"/>
    <w:rsid w:val="000F56D3"/>
    <w:rsid w:val="000F5CAA"/>
    <w:rsid w:val="000F613B"/>
    <w:rsid w:val="000F68DA"/>
    <w:rsid w:val="000F6E4D"/>
    <w:rsid w:val="000F7ABB"/>
    <w:rsid w:val="000F7C47"/>
    <w:rsid w:val="00100387"/>
    <w:rsid w:val="0010070D"/>
    <w:rsid w:val="00100CB3"/>
    <w:rsid w:val="00100F5E"/>
    <w:rsid w:val="0010161A"/>
    <w:rsid w:val="001017F9"/>
    <w:rsid w:val="00101A36"/>
    <w:rsid w:val="001025D2"/>
    <w:rsid w:val="00102995"/>
    <w:rsid w:val="00102B98"/>
    <w:rsid w:val="001034CC"/>
    <w:rsid w:val="001042C4"/>
    <w:rsid w:val="0010451F"/>
    <w:rsid w:val="0010454A"/>
    <w:rsid w:val="00104A17"/>
    <w:rsid w:val="00104E2B"/>
    <w:rsid w:val="00105161"/>
    <w:rsid w:val="001052A4"/>
    <w:rsid w:val="00105940"/>
    <w:rsid w:val="00105DA7"/>
    <w:rsid w:val="001061F7"/>
    <w:rsid w:val="00106596"/>
    <w:rsid w:val="00106E2E"/>
    <w:rsid w:val="00107205"/>
    <w:rsid w:val="00107B4C"/>
    <w:rsid w:val="00107CF4"/>
    <w:rsid w:val="00110954"/>
    <w:rsid w:val="00111181"/>
    <w:rsid w:val="0011126E"/>
    <w:rsid w:val="0011165F"/>
    <w:rsid w:val="00111729"/>
    <w:rsid w:val="00111F76"/>
    <w:rsid w:val="0011204A"/>
    <w:rsid w:val="00112B6A"/>
    <w:rsid w:val="001132B2"/>
    <w:rsid w:val="001133EC"/>
    <w:rsid w:val="001138B0"/>
    <w:rsid w:val="00113D5C"/>
    <w:rsid w:val="0011426C"/>
    <w:rsid w:val="00114755"/>
    <w:rsid w:val="00114C57"/>
    <w:rsid w:val="00114FA2"/>
    <w:rsid w:val="0011565E"/>
    <w:rsid w:val="001156C1"/>
    <w:rsid w:val="001157F4"/>
    <w:rsid w:val="00116D51"/>
    <w:rsid w:val="0011759B"/>
    <w:rsid w:val="001179C4"/>
    <w:rsid w:val="00117D75"/>
    <w:rsid w:val="00120F70"/>
    <w:rsid w:val="00121089"/>
    <w:rsid w:val="0012202F"/>
    <w:rsid w:val="001220A5"/>
    <w:rsid w:val="001229FA"/>
    <w:rsid w:val="00122CBB"/>
    <w:rsid w:val="00122F1E"/>
    <w:rsid w:val="00122F56"/>
    <w:rsid w:val="0012339B"/>
    <w:rsid w:val="00123B44"/>
    <w:rsid w:val="00123BE5"/>
    <w:rsid w:val="00123F2D"/>
    <w:rsid w:val="001245B3"/>
    <w:rsid w:val="00124E35"/>
    <w:rsid w:val="00124FDD"/>
    <w:rsid w:val="00125E42"/>
    <w:rsid w:val="001264F5"/>
    <w:rsid w:val="00126B42"/>
    <w:rsid w:val="00130AEC"/>
    <w:rsid w:val="00130D10"/>
    <w:rsid w:val="00130F74"/>
    <w:rsid w:val="00130FE1"/>
    <w:rsid w:val="00130FF9"/>
    <w:rsid w:val="00131061"/>
    <w:rsid w:val="0013159C"/>
    <w:rsid w:val="001319EB"/>
    <w:rsid w:val="00131CC2"/>
    <w:rsid w:val="00131E51"/>
    <w:rsid w:val="0013221D"/>
    <w:rsid w:val="001326E1"/>
    <w:rsid w:val="001327F8"/>
    <w:rsid w:val="00132A1A"/>
    <w:rsid w:val="00132F52"/>
    <w:rsid w:val="0013371D"/>
    <w:rsid w:val="00133962"/>
    <w:rsid w:val="00133CEE"/>
    <w:rsid w:val="00133DF5"/>
    <w:rsid w:val="00133E5B"/>
    <w:rsid w:val="00134125"/>
    <w:rsid w:val="00134684"/>
    <w:rsid w:val="001346C0"/>
    <w:rsid w:val="00134A75"/>
    <w:rsid w:val="00134ACF"/>
    <w:rsid w:val="00134B88"/>
    <w:rsid w:val="00134DED"/>
    <w:rsid w:val="00135275"/>
    <w:rsid w:val="00135495"/>
    <w:rsid w:val="00135F9A"/>
    <w:rsid w:val="0013616D"/>
    <w:rsid w:val="00136789"/>
    <w:rsid w:val="00136B7F"/>
    <w:rsid w:val="00137354"/>
    <w:rsid w:val="00137A1C"/>
    <w:rsid w:val="00137E51"/>
    <w:rsid w:val="00141D0D"/>
    <w:rsid w:val="00141E73"/>
    <w:rsid w:val="0014291E"/>
    <w:rsid w:val="00142933"/>
    <w:rsid w:val="001430EA"/>
    <w:rsid w:val="00143538"/>
    <w:rsid w:val="0014366F"/>
    <w:rsid w:val="0014399B"/>
    <w:rsid w:val="00143D8B"/>
    <w:rsid w:val="00143DB9"/>
    <w:rsid w:val="0014428D"/>
    <w:rsid w:val="001442D6"/>
    <w:rsid w:val="00144331"/>
    <w:rsid w:val="001463D3"/>
    <w:rsid w:val="00146551"/>
    <w:rsid w:val="00146AB7"/>
    <w:rsid w:val="00146B42"/>
    <w:rsid w:val="00147028"/>
    <w:rsid w:val="001472C3"/>
    <w:rsid w:val="001500F4"/>
    <w:rsid w:val="0015037B"/>
    <w:rsid w:val="0015134B"/>
    <w:rsid w:val="0015205A"/>
    <w:rsid w:val="0015271F"/>
    <w:rsid w:val="0015274A"/>
    <w:rsid w:val="00152F1C"/>
    <w:rsid w:val="00153309"/>
    <w:rsid w:val="00153979"/>
    <w:rsid w:val="001542E7"/>
    <w:rsid w:val="0015487F"/>
    <w:rsid w:val="0015491B"/>
    <w:rsid w:val="00154998"/>
    <w:rsid w:val="00154BDF"/>
    <w:rsid w:val="00154D0F"/>
    <w:rsid w:val="00154F85"/>
    <w:rsid w:val="0015558A"/>
    <w:rsid w:val="00155DD4"/>
    <w:rsid w:val="001563DC"/>
    <w:rsid w:val="0015646E"/>
    <w:rsid w:val="001567F5"/>
    <w:rsid w:val="001569B5"/>
    <w:rsid w:val="001570AF"/>
    <w:rsid w:val="0015731B"/>
    <w:rsid w:val="0015764E"/>
    <w:rsid w:val="00157A7B"/>
    <w:rsid w:val="00160125"/>
    <w:rsid w:val="00160D5B"/>
    <w:rsid w:val="00161119"/>
    <w:rsid w:val="00161A9C"/>
    <w:rsid w:val="00161DCB"/>
    <w:rsid w:val="0016213B"/>
    <w:rsid w:val="001621B3"/>
    <w:rsid w:val="00162513"/>
    <w:rsid w:val="00162B6D"/>
    <w:rsid w:val="00162E50"/>
    <w:rsid w:val="00163125"/>
    <w:rsid w:val="001635D0"/>
    <w:rsid w:val="00163D47"/>
    <w:rsid w:val="001644FC"/>
    <w:rsid w:val="00165191"/>
    <w:rsid w:val="001657C9"/>
    <w:rsid w:val="001660DD"/>
    <w:rsid w:val="001661AF"/>
    <w:rsid w:val="00166387"/>
    <w:rsid w:val="001663BD"/>
    <w:rsid w:val="0016651C"/>
    <w:rsid w:val="0016669E"/>
    <w:rsid w:val="00167335"/>
    <w:rsid w:val="00167355"/>
    <w:rsid w:val="00167422"/>
    <w:rsid w:val="001675F3"/>
    <w:rsid w:val="0016764C"/>
    <w:rsid w:val="00167B63"/>
    <w:rsid w:val="001702C2"/>
    <w:rsid w:val="00170327"/>
    <w:rsid w:val="0017089E"/>
    <w:rsid w:val="00171038"/>
    <w:rsid w:val="001712F5"/>
    <w:rsid w:val="0017160A"/>
    <w:rsid w:val="001721AD"/>
    <w:rsid w:val="00172B1E"/>
    <w:rsid w:val="001733E4"/>
    <w:rsid w:val="001733FA"/>
    <w:rsid w:val="00173652"/>
    <w:rsid w:val="00173D7E"/>
    <w:rsid w:val="001742AF"/>
    <w:rsid w:val="0017437D"/>
    <w:rsid w:val="00174784"/>
    <w:rsid w:val="00174FCF"/>
    <w:rsid w:val="00175364"/>
    <w:rsid w:val="001756CD"/>
    <w:rsid w:val="0017608C"/>
    <w:rsid w:val="0017626C"/>
    <w:rsid w:val="00176AFD"/>
    <w:rsid w:val="00176DB0"/>
    <w:rsid w:val="00176EBC"/>
    <w:rsid w:val="0017729E"/>
    <w:rsid w:val="00180CC4"/>
    <w:rsid w:val="00181278"/>
    <w:rsid w:val="001812C7"/>
    <w:rsid w:val="00181B5B"/>
    <w:rsid w:val="00181BB8"/>
    <w:rsid w:val="00182153"/>
    <w:rsid w:val="00182323"/>
    <w:rsid w:val="001828E7"/>
    <w:rsid w:val="00183195"/>
    <w:rsid w:val="001832E6"/>
    <w:rsid w:val="0018354E"/>
    <w:rsid w:val="00183B2F"/>
    <w:rsid w:val="00183D35"/>
    <w:rsid w:val="001840F7"/>
    <w:rsid w:val="001842C3"/>
    <w:rsid w:val="001846D5"/>
    <w:rsid w:val="00184C60"/>
    <w:rsid w:val="00184E0C"/>
    <w:rsid w:val="00184F79"/>
    <w:rsid w:val="00185351"/>
    <w:rsid w:val="00185608"/>
    <w:rsid w:val="00185CF4"/>
    <w:rsid w:val="00186008"/>
    <w:rsid w:val="0018716B"/>
    <w:rsid w:val="0018770F"/>
    <w:rsid w:val="00187885"/>
    <w:rsid w:val="00187F63"/>
    <w:rsid w:val="001901C7"/>
    <w:rsid w:val="00190478"/>
    <w:rsid w:val="00191AAE"/>
    <w:rsid w:val="00191B56"/>
    <w:rsid w:val="00192911"/>
    <w:rsid w:val="00192FE6"/>
    <w:rsid w:val="0019306F"/>
    <w:rsid w:val="00193357"/>
    <w:rsid w:val="00193447"/>
    <w:rsid w:val="00194732"/>
    <w:rsid w:val="001947F6"/>
    <w:rsid w:val="001947FB"/>
    <w:rsid w:val="001949E6"/>
    <w:rsid w:val="00194C3E"/>
    <w:rsid w:val="00195349"/>
    <w:rsid w:val="00196AEA"/>
    <w:rsid w:val="00197CB8"/>
    <w:rsid w:val="00197D89"/>
    <w:rsid w:val="001A03DF"/>
    <w:rsid w:val="001A0917"/>
    <w:rsid w:val="001A0CE9"/>
    <w:rsid w:val="001A10A5"/>
    <w:rsid w:val="001A1647"/>
    <w:rsid w:val="001A1811"/>
    <w:rsid w:val="001A1BFA"/>
    <w:rsid w:val="001A1EDC"/>
    <w:rsid w:val="001A20A7"/>
    <w:rsid w:val="001A23C1"/>
    <w:rsid w:val="001A2730"/>
    <w:rsid w:val="001A299D"/>
    <w:rsid w:val="001A2CC7"/>
    <w:rsid w:val="001A30EB"/>
    <w:rsid w:val="001A3520"/>
    <w:rsid w:val="001A3621"/>
    <w:rsid w:val="001A40D8"/>
    <w:rsid w:val="001A4598"/>
    <w:rsid w:val="001A46AD"/>
    <w:rsid w:val="001A477F"/>
    <w:rsid w:val="001A4CB2"/>
    <w:rsid w:val="001A4CED"/>
    <w:rsid w:val="001A4E54"/>
    <w:rsid w:val="001A4F57"/>
    <w:rsid w:val="001A52AF"/>
    <w:rsid w:val="001A52E0"/>
    <w:rsid w:val="001A542A"/>
    <w:rsid w:val="001A555F"/>
    <w:rsid w:val="001A5896"/>
    <w:rsid w:val="001A5D1D"/>
    <w:rsid w:val="001A63DE"/>
    <w:rsid w:val="001A654A"/>
    <w:rsid w:val="001A658B"/>
    <w:rsid w:val="001A658F"/>
    <w:rsid w:val="001A6E78"/>
    <w:rsid w:val="001A6F91"/>
    <w:rsid w:val="001A72A6"/>
    <w:rsid w:val="001A7460"/>
    <w:rsid w:val="001A754B"/>
    <w:rsid w:val="001A76C3"/>
    <w:rsid w:val="001A7A5F"/>
    <w:rsid w:val="001A7DAA"/>
    <w:rsid w:val="001AB500"/>
    <w:rsid w:val="001B03A6"/>
    <w:rsid w:val="001B148E"/>
    <w:rsid w:val="001B15F2"/>
    <w:rsid w:val="001B1968"/>
    <w:rsid w:val="001B1A88"/>
    <w:rsid w:val="001B1DB1"/>
    <w:rsid w:val="001B3221"/>
    <w:rsid w:val="001B408B"/>
    <w:rsid w:val="001B4420"/>
    <w:rsid w:val="001B463B"/>
    <w:rsid w:val="001B465B"/>
    <w:rsid w:val="001B4A17"/>
    <w:rsid w:val="001B4A7E"/>
    <w:rsid w:val="001B4BFC"/>
    <w:rsid w:val="001B52D1"/>
    <w:rsid w:val="001B53E3"/>
    <w:rsid w:val="001B56F3"/>
    <w:rsid w:val="001B58A5"/>
    <w:rsid w:val="001B5AF6"/>
    <w:rsid w:val="001B6108"/>
    <w:rsid w:val="001B67BE"/>
    <w:rsid w:val="001B6A0F"/>
    <w:rsid w:val="001B6BB9"/>
    <w:rsid w:val="001B7CFD"/>
    <w:rsid w:val="001C111D"/>
    <w:rsid w:val="001C131C"/>
    <w:rsid w:val="001C1338"/>
    <w:rsid w:val="001C159D"/>
    <w:rsid w:val="001C1AD9"/>
    <w:rsid w:val="001C2121"/>
    <w:rsid w:val="001C30B0"/>
    <w:rsid w:val="001C3461"/>
    <w:rsid w:val="001C35ED"/>
    <w:rsid w:val="001C363F"/>
    <w:rsid w:val="001C366C"/>
    <w:rsid w:val="001C3AC8"/>
    <w:rsid w:val="001C3C1B"/>
    <w:rsid w:val="001C3D16"/>
    <w:rsid w:val="001C3DBB"/>
    <w:rsid w:val="001C455C"/>
    <w:rsid w:val="001C525E"/>
    <w:rsid w:val="001C5E1D"/>
    <w:rsid w:val="001C60A5"/>
    <w:rsid w:val="001C702B"/>
    <w:rsid w:val="001C76C1"/>
    <w:rsid w:val="001D0024"/>
    <w:rsid w:val="001D026A"/>
    <w:rsid w:val="001D0E8A"/>
    <w:rsid w:val="001D1E1D"/>
    <w:rsid w:val="001D1E32"/>
    <w:rsid w:val="001D289F"/>
    <w:rsid w:val="001D3340"/>
    <w:rsid w:val="001D3CD9"/>
    <w:rsid w:val="001D3D78"/>
    <w:rsid w:val="001D4663"/>
    <w:rsid w:val="001D4795"/>
    <w:rsid w:val="001D49D4"/>
    <w:rsid w:val="001D4D72"/>
    <w:rsid w:val="001D4DF7"/>
    <w:rsid w:val="001D4F12"/>
    <w:rsid w:val="001D51E8"/>
    <w:rsid w:val="001D5397"/>
    <w:rsid w:val="001D556C"/>
    <w:rsid w:val="001D5DE4"/>
    <w:rsid w:val="001D6011"/>
    <w:rsid w:val="001D62B3"/>
    <w:rsid w:val="001D62E9"/>
    <w:rsid w:val="001D6825"/>
    <w:rsid w:val="001D6BA1"/>
    <w:rsid w:val="001D6CB1"/>
    <w:rsid w:val="001D757B"/>
    <w:rsid w:val="001D763A"/>
    <w:rsid w:val="001D78A1"/>
    <w:rsid w:val="001D7F8E"/>
    <w:rsid w:val="001E01F9"/>
    <w:rsid w:val="001E04DB"/>
    <w:rsid w:val="001E07B9"/>
    <w:rsid w:val="001E08C8"/>
    <w:rsid w:val="001E0A5F"/>
    <w:rsid w:val="001E1682"/>
    <w:rsid w:val="001E17BF"/>
    <w:rsid w:val="001E1C88"/>
    <w:rsid w:val="001E23A6"/>
    <w:rsid w:val="001E2591"/>
    <w:rsid w:val="001E2A62"/>
    <w:rsid w:val="001E316E"/>
    <w:rsid w:val="001E3C26"/>
    <w:rsid w:val="001E4ABE"/>
    <w:rsid w:val="001E519F"/>
    <w:rsid w:val="001E533A"/>
    <w:rsid w:val="001E545B"/>
    <w:rsid w:val="001E54B4"/>
    <w:rsid w:val="001E5A10"/>
    <w:rsid w:val="001E5D1E"/>
    <w:rsid w:val="001E5E9D"/>
    <w:rsid w:val="001E721A"/>
    <w:rsid w:val="001E7370"/>
    <w:rsid w:val="001E754A"/>
    <w:rsid w:val="001E8AC6"/>
    <w:rsid w:val="001F0A7A"/>
    <w:rsid w:val="001F0D87"/>
    <w:rsid w:val="001F0EC2"/>
    <w:rsid w:val="001F1633"/>
    <w:rsid w:val="001F1722"/>
    <w:rsid w:val="001F1D29"/>
    <w:rsid w:val="001F22E5"/>
    <w:rsid w:val="001F23C2"/>
    <w:rsid w:val="001F2544"/>
    <w:rsid w:val="001F264A"/>
    <w:rsid w:val="001F2819"/>
    <w:rsid w:val="001F29F2"/>
    <w:rsid w:val="001F316A"/>
    <w:rsid w:val="001F32AE"/>
    <w:rsid w:val="001F333E"/>
    <w:rsid w:val="001F3698"/>
    <w:rsid w:val="001F388B"/>
    <w:rsid w:val="001F3A3F"/>
    <w:rsid w:val="001F3CAB"/>
    <w:rsid w:val="001F3F43"/>
    <w:rsid w:val="001F50CA"/>
    <w:rsid w:val="001F523F"/>
    <w:rsid w:val="001F5CBF"/>
    <w:rsid w:val="001F5CEC"/>
    <w:rsid w:val="001F5F65"/>
    <w:rsid w:val="001F620E"/>
    <w:rsid w:val="001F675A"/>
    <w:rsid w:val="001F6B71"/>
    <w:rsid w:val="001F6EA7"/>
    <w:rsid w:val="001F7222"/>
    <w:rsid w:val="001F7BB2"/>
    <w:rsid w:val="001F7FB2"/>
    <w:rsid w:val="0020002A"/>
    <w:rsid w:val="002003E9"/>
    <w:rsid w:val="00200442"/>
    <w:rsid w:val="002005A5"/>
    <w:rsid w:val="0020067D"/>
    <w:rsid w:val="00201552"/>
    <w:rsid w:val="002022F3"/>
    <w:rsid w:val="00202AB7"/>
    <w:rsid w:val="002033B5"/>
    <w:rsid w:val="00203925"/>
    <w:rsid w:val="00203D53"/>
    <w:rsid w:val="00203FFA"/>
    <w:rsid w:val="002043EC"/>
    <w:rsid w:val="0020469E"/>
    <w:rsid w:val="00204B03"/>
    <w:rsid w:val="00205330"/>
    <w:rsid w:val="00205862"/>
    <w:rsid w:val="00205E57"/>
    <w:rsid w:val="00205F23"/>
    <w:rsid w:val="00206596"/>
    <w:rsid w:val="002066BA"/>
    <w:rsid w:val="00206D4C"/>
    <w:rsid w:val="00206EFD"/>
    <w:rsid w:val="00207196"/>
    <w:rsid w:val="00210416"/>
    <w:rsid w:val="00210B9B"/>
    <w:rsid w:val="00211BD9"/>
    <w:rsid w:val="00211CC5"/>
    <w:rsid w:val="00212334"/>
    <w:rsid w:val="0021246A"/>
    <w:rsid w:val="00212686"/>
    <w:rsid w:val="0021359A"/>
    <w:rsid w:val="00213D23"/>
    <w:rsid w:val="00214A60"/>
    <w:rsid w:val="00214F5F"/>
    <w:rsid w:val="00215244"/>
    <w:rsid w:val="00215A14"/>
    <w:rsid w:val="00215A37"/>
    <w:rsid w:val="00215A63"/>
    <w:rsid w:val="00215AC9"/>
    <w:rsid w:val="00215FBD"/>
    <w:rsid w:val="002165AD"/>
    <w:rsid w:val="00216A16"/>
    <w:rsid w:val="00217139"/>
    <w:rsid w:val="00217511"/>
    <w:rsid w:val="00217536"/>
    <w:rsid w:val="002201DA"/>
    <w:rsid w:val="002207B2"/>
    <w:rsid w:val="00220944"/>
    <w:rsid w:val="00220CD3"/>
    <w:rsid w:val="00221334"/>
    <w:rsid w:val="00221DC7"/>
    <w:rsid w:val="00221F5C"/>
    <w:rsid w:val="00222295"/>
    <w:rsid w:val="00222320"/>
    <w:rsid w:val="0022240F"/>
    <w:rsid w:val="00222423"/>
    <w:rsid w:val="002228FE"/>
    <w:rsid w:val="00223026"/>
    <w:rsid w:val="002240D4"/>
    <w:rsid w:val="00224535"/>
    <w:rsid w:val="002246BF"/>
    <w:rsid w:val="00224D89"/>
    <w:rsid w:val="0022520D"/>
    <w:rsid w:val="0022684C"/>
    <w:rsid w:val="002269AD"/>
    <w:rsid w:val="00226EC6"/>
    <w:rsid w:val="0022702F"/>
    <w:rsid w:val="00227E2E"/>
    <w:rsid w:val="00227EEC"/>
    <w:rsid w:val="0023000F"/>
    <w:rsid w:val="0023001B"/>
    <w:rsid w:val="002300BC"/>
    <w:rsid w:val="002320C2"/>
    <w:rsid w:val="0023211E"/>
    <w:rsid w:val="00232333"/>
    <w:rsid w:val="00232735"/>
    <w:rsid w:val="00232920"/>
    <w:rsid w:val="00232C07"/>
    <w:rsid w:val="00232F1F"/>
    <w:rsid w:val="002339C6"/>
    <w:rsid w:val="00233AFB"/>
    <w:rsid w:val="00233CB9"/>
    <w:rsid w:val="002340B0"/>
    <w:rsid w:val="00234147"/>
    <w:rsid w:val="002344DE"/>
    <w:rsid w:val="00234531"/>
    <w:rsid w:val="00234620"/>
    <w:rsid w:val="002348DB"/>
    <w:rsid w:val="002349FF"/>
    <w:rsid w:val="00234A29"/>
    <w:rsid w:val="00234CEC"/>
    <w:rsid w:val="00235449"/>
    <w:rsid w:val="00235797"/>
    <w:rsid w:val="00236054"/>
    <w:rsid w:val="002363E7"/>
    <w:rsid w:val="00236596"/>
    <w:rsid w:val="00236836"/>
    <w:rsid w:val="00236909"/>
    <w:rsid w:val="0023698F"/>
    <w:rsid w:val="00236AA2"/>
    <w:rsid w:val="002372EE"/>
    <w:rsid w:val="00237457"/>
    <w:rsid w:val="00237B6A"/>
    <w:rsid w:val="00237F44"/>
    <w:rsid w:val="00240078"/>
    <w:rsid w:val="00241006"/>
    <w:rsid w:val="002411F9"/>
    <w:rsid w:val="0024137C"/>
    <w:rsid w:val="00241BDA"/>
    <w:rsid w:val="002420E8"/>
    <w:rsid w:val="00242273"/>
    <w:rsid w:val="00242542"/>
    <w:rsid w:val="00243AA7"/>
    <w:rsid w:val="00243DC0"/>
    <w:rsid w:val="00244576"/>
    <w:rsid w:val="00244AA2"/>
    <w:rsid w:val="00244B6E"/>
    <w:rsid w:val="00244C8C"/>
    <w:rsid w:val="002450DF"/>
    <w:rsid w:val="00245616"/>
    <w:rsid w:val="0024573E"/>
    <w:rsid w:val="002458C9"/>
    <w:rsid w:val="00245911"/>
    <w:rsid w:val="00245C42"/>
    <w:rsid w:val="00245F26"/>
    <w:rsid w:val="00245F9F"/>
    <w:rsid w:val="002462CD"/>
    <w:rsid w:val="00246537"/>
    <w:rsid w:val="0024695A"/>
    <w:rsid w:val="00246EE1"/>
    <w:rsid w:val="002473E3"/>
    <w:rsid w:val="00247477"/>
    <w:rsid w:val="0024757B"/>
    <w:rsid w:val="00247BD5"/>
    <w:rsid w:val="00247EEC"/>
    <w:rsid w:val="00247FE2"/>
    <w:rsid w:val="00250301"/>
    <w:rsid w:val="00250657"/>
    <w:rsid w:val="00250836"/>
    <w:rsid w:val="0025090C"/>
    <w:rsid w:val="00251098"/>
    <w:rsid w:val="002510DC"/>
    <w:rsid w:val="00251122"/>
    <w:rsid w:val="002514E1"/>
    <w:rsid w:val="00251767"/>
    <w:rsid w:val="00251AF4"/>
    <w:rsid w:val="00251C63"/>
    <w:rsid w:val="00251CEE"/>
    <w:rsid w:val="00252B4E"/>
    <w:rsid w:val="00252CEB"/>
    <w:rsid w:val="00252D90"/>
    <w:rsid w:val="00253303"/>
    <w:rsid w:val="00253308"/>
    <w:rsid w:val="00253945"/>
    <w:rsid w:val="00253B71"/>
    <w:rsid w:val="00254434"/>
    <w:rsid w:val="00254486"/>
    <w:rsid w:val="00254663"/>
    <w:rsid w:val="00255BFC"/>
    <w:rsid w:val="002561C1"/>
    <w:rsid w:val="00256295"/>
    <w:rsid w:val="00256A90"/>
    <w:rsid w:val="00256B74"/>
    <w:rsid w:val="00256B98"/>
    <w:rsid w:val="00256C3D"/>
    <w:rsid w:val="00256F06"/>
    <w:rsid w:val="00256F8E"/>
    <w:rsid w:val="0025710D"/>
    <w:rsid w:val="0025745A"/>
    <w:rsid w:val="002577AE"/>
    <w:rsid w:val="00257FA6"/>
    <w:rsid w:val="002602EB"/>
    <w:rsid w:val="00260735"/>
    <w:rsid w:val="00260C11"/>
    <w:rsid w:val="00260CF6"/>
    <w:rsid w:val="00260FAC"/>
    <w:rsid w:val="002614B3"/>
    <w:rsid w:val="002614DA"/>
    <w:rsid w:val="00261636"/>
    <w:rsid w:val="00261C45"/>
    <w:rsid w:val="002622E9"/>
    <w:rsid w:val="0026264F"/>
    <w:rsid w:val="002629CD"/>
    <w:rsid w:val="00262B5C"/>
    <w:rsid w:val="00264905"/>
    <w:rsid w:val="0026495D"/>
    <w:rsid w:val="0026509C"/>
    <w:rsid w:val="002650A1"/>
    <w:rsid w:val="0026530E"/>
    <w:rsid w:val="0026562D"/>
    <w:rsid w:val="00265D5C"/>
    <w:rsid w:val="00265FAD"/>
    <w:rsid w:val="002664FD"/>
    <w:rsid w:val="002673DA"/>
    <w:rsid w:val="002674CB"/>
    <w:rsid w:val="0026753D"/>
    <w:rsid w:val="0026775D"/>
    <w:rsid w:val="00270437"/>
    <w:rsid w:val="00270440"/>
    <w:rsid w:val="00270B5A"/>
    <w:rsid w:val="00270C23"/>
    <w:rsid w:val="00270CBA"/>
    <w:rsid w:val="0027160D"/>
    <w:rsid w:val="002716AD"/>
    <w:rsid w:val="00271701"/>
    <w:rsid w:val="002719C6"/>
    <w:rsid w:val="00271A9D"/>
    <w:rsid w:val="00271DF9"/>
    <w:rsid w:val="00271FCA"/>
    <w:rsid w:val="002731BD"/>
    <w:rsid w:val="002733B2"/>
    <w:rsid w:val="00273E55"/>
    <w:rsid w:val="00274190"/>
    <w:rsid w:val="0027436C"/>
    <w:rsid w:val="00274D41"/>
    <w:rsid w:val="00274D5C"/>
    <w:rsid w:val="00275207"/>
    <w:rsid w:val="002754D1"/>
    <w:rsid w:val="00275960"/>
    <w:rsid w:val="00275BC5"/>
    <w:rsid w:val="0027658F"/>
    <w:rsid w:val="0027692D"/>
    <w:rsid w:val="00276C99"/>
    <w:rsid w:val="00277694"/>
    <w:rsid w:val="002801A7"/>
    <w:rsid w:val="0028060B"/>
    <w:rsid w:val="00280655"/>
    <w:rsid w:val="00280DBB"/>
    <w:rsid w:val="002818E4"/>
    <w:rsid w:val="002825A7"/>
    <w:rsid w:val="00282D26"/>
    <w:rsid w:val="00282FB4"/>
    <w:rsid w:val="0028331A"/>
    <w:rsid w:val="002838EF"/>
    <w:rsid w:val="00283E71"/>
    <w:rsid w:val="00283EAA"/>
    <w:rsid w:val="002841BE"/>
    <w:rsid w:val="002842CB"/>
    <w:rsid w:val="00285327"/>
    <w:rsid w:val="0028562D"/>
    <w:rsid w:val="00285D79"/>
    <w:rsid w:val="00285EB6"/>
    <w:rsid w:val="00285F57"/>
    <w:rsid w:val="002861F3"/>
    <w:rsid w:val="002872AF"/>
    <w:rsid w:val="00287602"/>
    <w:rsid w:val="002877AB"/>
    <w:rsid w:val="00287BC5"/>
    <w:rsid w:val="00287F45"/>
    <w:rsid w:val="002902A5"/>
    <w:rsid w:val="00290D41"/>
    <w:rsid w:val="00290F3E"/>
    <w:rsid w:val="00292682"/>
    <w:rsid w:val="002926FD"/>
    <w:rsid w:val="002929CE"/>
    <w:rsid w:val="00292AD8"/>
    <w:rsid w:val="00292E64"/>
    <w:rsid w:val="002931D1"/>
    <w:rsid w:val="00293208"/>
    <w:rsid w:val="0029327C"/>
    <w:rsid w:val="00293592"/>
    <w:rsid w:val="00293834"/>
    <w:rsid w:val="00293880"/>
    <w:rsid w:val="0029397B"/>
    <w:rsid w:val="00293DDA"/>
    <w:rsid w:val="00293DEE"/>
    <w:rsid w:val="00293E09"/>
    <w:rsid w:val="00293F61"/>
    <w:rsid w:val="002943F1"/>
    <w:rsid w:val="00296061"/>
    <w:rsid w:val="002963E3"/>
    <w:rsid w:val="00296701"/>
    <w:rsid w:val="00296733"/>
    <w:rsid w:val="00296B61"/>
    <w:rsid w:val="00296C57"/>
    <w:rsid w:val="00296F02"/>
    <w:rsid w:val="0029708E"/>
    <w:rsid w:val="002971C4"/>
    <w:rsid w:val="00297350"/>
    <w:rsid w:val="002979EC"/>
    <w:rsid w:val="002A09B1"/>
    <w:rsid w:val="002A0B5D"/>
    <w:rsid w:val="002A1423"/>
    <w:rsid w:val="002A19B3"/>
    <w:rsid w:val="002A1CDD"/>
    <w:rsid w:val="002A2063"/>
    <w:rsid w:val="002A24ED"/>
    <w:rsid w:val="002A2C38"/>
    <w:rsid w:val="002A2EFF"/>
    <w:rsid w:val="002A2F14"/>
    <w:rsid w:val="002A326B"/>
    <w:rsid w:val="002A3BCC"/>
    <w:rsid w:val="002A3C26"/>
    <w:rsid w:val="002A4088"/>
    <w:rsid w:val="002A4672"/>
    <w:rsid w:val="002A485D"/>
    <w:rsid w:val="002A4B83"/>
    <w:rsid w:val="002A4E3E"/>
    <w:rsid w:val="002A590D"/>
    <w:rsid w:val="002A5C3B"/>
    <w:rsid w:val="002A7049"/>
    <w:rsid w:val="002A71A4"/>
    <w:rsid w:val="002A75F7"/>
    <w:rsid w:val="002A7637"/>
    <w:rsid w:val="002A7F03"/>
    <w:rsid w:val="002A7F57"/>
    <w:rsid w:val="002B01AB"/>
    <w:rsid w:val="002B04C4"/>
    <w:rsid w:val="002B0E90"/>
    <w:rsid w:val="002B10DE"/>
    <w:rsid w:val="002B22A0"/>
    <w:rsid w:val="002B2377"/>
    <w:rsid w:val="002B273C"/>
    <w:rsid w:val="002B282C"/>
    <w:rsid w:val="002B2EE7"/>
    <w:rsid w:val="002B3D42"/>
    <w:rsid w:val="002B4406"/>
    <w:rsid w:val="002B4536"/>
    <w:rsid w:val="002B4ABE"/>
    <w:rsid w:val="002B4F58"/>
    <w:rsid w:val="002B5A6C"/>
    <w:rsid w:val="002B5AEB"/>
    <w:rsid w:val="002B6200"/>
    <w:rsid w:val="002B6AF9"/>
    <w:rsid w:val="002B6E28"/>
    <w:rsid w:val="002B7BD0"/>
    <w:rsid w:val="002C0495"/>
    <w:rsid w:val="002C05DB"/>
    <w:rsid w:val="002C06F2"/>
    <w:rsid w:val="002C0FF3"/>
    <w:rsid w:val="002C11AD"/>
    <w:rsid w:val="002C156A"/>
    <w:rsid w:val="002C1B4D"/>
    <w:rsid w:val="002C1FA1"/>
    <w:rsid w:val="002C27FA"/>
    <w:rsid w:val="002C27FF"/>
    <w:rsid w:val="002C2CA9"/>
    <w:rsid w:val="002C2E73"/>
    <w:rsid w:val="002C3056"/>
    <w:rsid w:val="002C3716"/>
    <w:rsid w:val="002C372F"/>
    <w:rsid w:val="002C3CBC"/>
    <w:rsid w:val="002C4052"/>
    <w:rsid w:val="002C4054"/>
    <w:rsid w:val="002C459B"/>
    <w:rsid w:val="002C516B"/>
    <w:rsid w:val="002C5472"/>
    <w:rsid w:val="002C56A6"/>
    <w:rsid w:val="002C5F97"/>
    <w:rsid w:val="002C6151"/>
    <w:rsid w:val="002C64A3"/>
    <w:rsid w:val="002C69FF"/>
    <w:rsid w:val="002C6E28"/>
    <w:rsid w:val="002C738F"/>
    <w:rsid w:val="002C73DA"/>
    <w:rsid w:val="002C7F94"/>
    <w:rsid w:val="002C7FE9"/>
    <w:rsid w:val="002D0329"/>
    <w:rsid w:val="002D0B20"/>
    <w:rsid w:val="002D0DC5"/>
    <w:rsid w:val="002D135A"/>
    <w:rsid w:val="002D183D"/>
    <w:rsid w:val="002D1A38"/>
    <w:rsid w:val="002D1B85"/>
    <w:rsid w:val="002D1EA9"/>
    <w:rsid w:val="002D204F"/>
    <w:rsid w:val="002D22BC"/>
    <w:rsid w:val="002D238D"/>
    <w:rsid w:val="002D2CDF"/>
    <w:rsid w:val="002D30AD"/>
    <w:rsid w:val="002D324A"/>
    <w:rsid w:val="002D32C8"/>
    <w:rsid w:val="002D39F2"/>
    <w:rsid w:val="002D43B2"/>
    <w:rsid w:val="002D4ADC"/>
    <w:rsid w:val="002D4B7E"/>
    <w:rsid w:val="002D4DF9"/>
    <w:rsid w:val="002D4EFD"/>
    <w:rsid w:val="002D4FCC"/>
    <w:rsid w:val="002D5054"/>
    <w:rsid w:val="002D5606"/>
    <w:rsid w:val="002D61D1"/>
    <w:rsid w:val="002D62D4"/>
    <w:rsid w:val="002D6498"/>
    <w:rsid w:val="002D6BBD"/>
    <w:rsid w:val="002D6C82"/>
    <w:rsid w:val="002D7960"/>
    <w:rsid w:val="002D7E84"/>
    <w:rsid w:val="002D7EB5"/>
    <w:rsid w:val="002E0145"/>
    <w:rsid w:val="002E024A"/>
    <w:rsid w:val="002E05FA"/>
    <w:rsid w:val="002E0F03"/>
    <w:rsid w:val="002E103F"/>
    <w:rsid w:val="002E1A54"/>
    <w:rsid w:val="002E1CC8"/>
    <w:rsid w:val="002E2B2A"/>
    <w:rsid w:val="002E329F"/>
    <w:rsid w:val="002E34BD"/>
    <w:rsid w:val="002E3717"/>
    <w:rsid w:val="002E3A52"/>
    <w:rsid w:val="002E3CC7"/>
    <w:rsid w:val="002E3DD7"/>
    <w:rsid w:val="002E409A"/>
    <w:rsid w:val="002E4263"/>
    <w:rsid w:val="002E444D"/>
    <w:rsid w:val="002E4701"/>
    <w:rsid w:val="002E517B"/>
    <w:rsid w:val="002E57EC"/>
    <w:rsid w:val="002E5AE2"/>
    <w:rsid w:val="002E5CB4"/>
    <w:rsid w:val="002E5D20"/>
    <w:rsid w:val="002E5F66"/>
    <w:rsid w:val="002E697F"/>
    <w:rsid w:val="002E6CAB"/>
    <w:rsid w:val="002E78A9"/>
    <w:rsid w:val="002E793B"/>
    <w:rsid w:val="002E7B34"/>
    <w:rsid w:val="002EACD8"/>
    <w:rsid w:val="002F03FD"/>
    <w:rsid w:val="002F054C"/>
    <w:rsid w:val="002F083E"/>
    <w:rsid w:val="002F0BFD"/>
    <w:rsid w:val="002F104F"/>
    <w:rsid w:val="002F1137"/>
    <w:rsid w:val="002F175E"/>
    <w:rsid w:val="002F1D3D"/>
    <w:rsid w:val="002F282D"/>
    <w:rsid w:val="002F2CDE"/>
    <w:rsid w:val="002F36F1"/>
    <w:rsid w:val="002F36F2"/>
    <w:rsid w:val="002F39FC"/>
    <w:rsid w:val="002F3B01"/>
    <w:rsid w:val="002F3FDD"/>
    <w:rsid w:val="002F4063"/>
    <w:rsid w:val="002F40A6"/>
    <w:rsid w:val="002F43A2"/>
    <w:rsid w:val="002F4F11"/>
    <w:rsid w:val="002F5BCA"/>
    <w:rsid w:val="002F5D58"/>
    <w:rsid w:val="002F62C0"/>
    <w:rsid w:val="002F6412"/>
    <w:rsid w:val="002F661C"/>
    <w:rsid w:val="002F6A7B"/>
    <w:rsid w:val="002F72D1"/>
    <w:rsid w:val="002F7984"/>
    <w:rsid w:val="002F7CA3"/>
    <w:rsid w:val="002F7DBA"/>
    <w:rsid w:val="0030025D"/>
    <w:rsid w:val="00300435"/>
    <w:rsid w:val="003008AB"/>
    <w:rsid w:val="003009A0"/>
    <w:rsid w:val="00300E76"/>
    <w:rsid w:val="00300F8D"/>
    <w:rsid w:val="00301560"/>
    <w:rsid w:val="00301659"/>
    <w:rsid w:val="00301684"/>
    <w:rsid w:val="0030178C"/>
    <w:rsid w:val="00301EB0"/>
    <w:rsid w:val="003021E2"/>
    <w:rsid w:val="00302835"/>
    <w:rsid w:val="00302A50"/>
    <w:rsid w:val="00302ACF"/>
    <w:rsid w:val="00302DC4"/>
    <w:rsid w:val="00303227"/>
    <w:rsid w:val="00303244"/>
    <w:rsid w:val="003033B4"/>
    <w:rsid w:val="003047F5"/>
    <w:rsid w:val="003049CD"/>
    <w:rsid w:val="003050F0"/>
    <w:rsid w:val="00305482"/>
    <w:rsid w:val="00305A25"/>
    <w:rsid w:val="00305C25"/>
    <w:rsid w:val="00305C7D"/>
    <w:rsid w:val="00307A7E"/>
    <w:rsid w:val="00307B50"/>
    <w:rsid w:val="00307BBD"/>
    <w:rsid w:val="00307D56"/>
    <w:rsid w:val="00310147"/>
    <w:rsid w:val="003101B3"/>
    <w:rsid w:val="00310271"/>
    <w:rsid w:val="0031032A"/>
    <w:rsid w:val="00310495"/>
    <w:rsid w:val="0031057F"/>
    <w:rsid w:val="00310641"/>
    <w:rsid w:val="0031107A"/>
    <w:rsid w:val="0031163B"/>
    <w:rsid w:val="003119C0"/>
    <w:rsid w:val="00312817"/>
    <w:rsid w:val="00312983"/>
    <w:rsid w:val="00312BE8"/>
    <w:rsid w:val="00313CB3"/>
    <w:rsid w:val="0031440F"/>
    <w:rsid w:val="00314B4E"/>
    <w:rsid w:val="003152EC"/>
    <w:rsid w:val="00315A97"/>
    <w:rsid w:val="00315A9C"/>
    <w:rsid w:val="00315B59"/>
    <w:rsid w:val="00315DA5"/>
    <w:rsid w:val="00315FDD"/>
    <w:rsid w:val="00316071"/>
    <w:rsid w:val="003163A8"/>
    <w:rsid w:val="00316428"/>
    <w:rsid w:val="003164BE"/>
    <w:rsid w:val="00316B71"/>
    <w:rsid w:val="00317C3E"/>
    <w:rsid w:val="00317C4E"/>
    <w:rsid w:val="0032015A"/>
    <w:rsid w:val="0032067A"/>
    <w:rsid w:val="00320C66"/>
    <w:rsid w:val="00320DA6"/>
    <w:rsid w:val="00320F3A"/>
    <w:rsid w:val="0032167A"/>
    <w:rsid w:val="00321D48"/>
    <w:rsid w:val="00321FBB"/>
    <w:rsid w:val="00322ADC"/>
    <w:rsid w:val="00323700"/>
    <w:rsid w:val="003238B8"/>
    <w:rsid w:val="003238BE"/>
    <w:rsid w:val="003238D0"/>
    <w:rsid w:val="00323CD9"/>
    <w:rsid w:val="00323EF1"/>
    <w:rsid w:val="00323F4A"/>
    <w:rsid w:val="003247C2"/>
    <w:rsid w:val="00324BEB"/>
    <w:rsid w:val="00324E61"/>
    <w:rsid w:val="00325D3F"/>
    <w:rsid w:val="003262A1"/>
    <w:rsid w:val="00326368"/>
    <w:rsid w:val="0032660E"/>
    <w:rsid w:val="003267C0"/>
    <w:rsid w:val="0032695A"/>
    <w:rsid w:val="00326D2B"/>
    <w:rsid w:val="003270AA"/>
    <w:rsid w:val="00327413"/>
    <w:rsid w:val="003275C2"/>
    <w:rsid w:val="00327968"/>
    <w:rsid w:val="00327AD9"/>
    <w:rsid w:val="003300EC"/>
    <w:rsid w:val="00330118"/>
    <w:rsid w:val="003302E8"/>
    <w:rsid w:val="00330455"/>
    <w:rsid w:val="003304A7"/>
    <w:rsid w:val="00330C73"/>
    <w:rsid w:val="00330CF0"/>
    <w:rsid w:val="00331AEF"/>
    <w:rsid w:val="00331DE3"/>
    <w:rsid w:val="00331DFB"/>
    <w:rsid w:val="003326B7"/>
    <w:rsid w:val="00332E48"/>
    <w:rsid w:val="00333070"/>
    <w:rsid w:val="0033369D"/>
    <w:rsid w:val="00333BA7"/>
    <w:rsid w:val="003348F4"/>
    <w:rsid w:val="003350DF"/>
    <w:rsid w:val="0033542B"/>
    <w:rsid w:val="00335853"/>
    <w:rsid w:val="003358D4"/>
    <w:rsid w:val="00335C3F"/>
    <w:rsid w:val="00336358"/>
    <w:rsid w:val="00336568"/>
    <w:rsid w:val="00336668"/>
    <w:rsid w:val="00336846"/>
    <w:rsid w:val="00336C7B"/>
    <w:rsid w:val="00336E1F"/>
    <w:rsid w:val="00336F61"/>
    <w:rsid w:val="00337363"/>
    <w:rsid w:val="003373A8"/>
    <w:rsid w:val="003376C1"/>
    <w:rsid w:val="003376D6"/>
    <w:rsid w:val="0034013C"/>
    <w:rsid w:val="00340151"/>
    <w:rsid w:val="00340814"/>
    <w:rsid w:val="00340CED"/>
    <w:rsid w:val="00341537"/>
    <w:rsid w:val="00341B3C"/>
    <w:rsid w:val="00341BFB"/>
    <w:rsid w:val="003421F0"/>
    <w:rsid w:val="003429B5"/>
    <w:rsid w:val="00342B4C"/>
    <w:rsid w:val="003431A3"/>
    <w:rsid w:val="00343A94"/>
    <w:rsid w:val="00343E5C"/>
    <w:rsid w:val="0034433F"/>
    <w:rsid w:val="00344FB8"/>
    <w:rsid w:val="00345123"/>
    <w:rsid w:val="0034525B"/>
    <w:rsid w:val="0034528E"/>
    <w:rsid w:val="0034535D"/>
    <w:rsid w:val="00345505"/>
    <w:rsid w:val="003458D4"/>
    <w:rsid w:val="00345EAA"/>
    <w:rsid w:val="003460F6"/>
    <w:rsid w:val="0034651F"/>
    <w:rsid w:val="00346524"/>
    <w:rsid w:val="00347EEB"/>
    <w:rsid w:val="00350308"/>
    <w:rsid w:val="00350E80"/>
    <w:rsid w:val="003519A3"/>
    <w:rsid w:val="003527CA"/>
    <w:rsid w:val="00352DA7"/>
    <w:rsid w:val="00352F8C"/>
    <w:rsid w:val="003530E0"/>
    <w:rsid w:val="0035371F"/>
    <w:rsid w:val="003537E3"/>
    <w:rsid w:val="00354094"/>
    <w:rsid w:val="00354387"/>
    <w:rsid w:val="0035478A"/>
    <w:rsid w:val="00354A94"/>
    <w:rsid w:val="00355728"/>
    <w:rsid w:val="00355821"/>
    <w:rsid w:val="00356104"/>
    <w:rsid w:val="0035630C"/>
    <w:rsid w:val="0035689E"/>
    <w:rsid w:val="00356B01"/>
    <w:rsid w:val="00356E04"/>
    <w:rsid w:val="00356F89"/>
    <w:rsid w:val="00356FF7"/>
    <w:rsid w:val="0035729B"/>
    <w:rsid w:val="003577DC"/>
    <w:rsid w:val="003579CE"/>
    <w:rsid w:val="00357D4F"/>
    <w:rsid w:val="0036017B"/>
    <w:rsid w:val="00360185"/>
    <w:rsid w:val="003603C6"/>
    <w:rsid w:val="00360968"/>
    <w:rsid w:val="00360D65"/>
    <w:rsid w:val="00360FD3"/>
    <w:rsid w:val="0036119C"/>
    <w:rsid w:val="003611A8"/>
    <w:rsid w:val="003612B8"/>
    <w:rsid w:val="00361C1C"/>
    <w:rsid w:val="00362000"/>
    <w:rsid w:val="00362731"/>
    <w:rsid w:val="00362755"/>
    <w:rsid w:val="00362812"/>
    <w:rsid w:val="00362A96"/>
    <w:rsid w:val="00362D6A"/>
    <w:rsid w:val="00363279"/>
    <w:rsid w:val="003637B2"/>
    <w:rsid w:val="003642CF"/>
    <w:rsid w:val="00364458"/>
    <w:rsid w:val="00364657"/>
    <w:rsid w:val="00364991"/>
    <w:rsid w:val="003649FB"/>
    <w:rsid w:val="00364BD2"/>
    <w:rsid w:val="00364BE0"/>
    <w:rsid w:val="00364C3E"/>
    <w:rsid w:val="00364D57"/>
    <w:rsid w:val="0036507D"/>
    <w:rsid w:val="003651A7"/>
    <w:rsid w:val="003653DD"/>
    <w:rsid w:val="00366DC4"/>
    <w:rsid w:val="00366E02"/>
    <w:rsid w:val="003671AA"/>
    <w:rsid w:val="00367723"/>
    <w:rsid w:val="003677CF"/>
    <w:rsid w:val="003700FC"/>
    <w:rsid w:val="00370B92"/>
    <w:rsid w:val="00371601"/>
    <w:rsid w:val="00371C70"/>
    <w:rsid w:val="003723C5"/>
    <w:rsid w:val="003724C9"/>
    <w:rsid w:val="00372CB2"/>
    <w:rsid w:val="003739D0"/>
    <w:rsid w:val="00373B93"/>
    <w:rsid w:val="0037527E"/>
    <w:rsid w:val="003752A2"/>
    <w:rsid w:val="003755C9"/>
    <w:rsid w:val="003755ED"/>
    <w:rsid w:val="00375608"/>
    <w:rsid w:val="00375609"/>
    <w:rsid w:val="00375E66"/>
    <w:rsid w:val="00375F39"/>
    <w:rsid w:val="0037669E"/>
    <w:rsid w:val="00376DE5"/>
    <w:rsid w:val="00377628"/>
    <w:rsid w:val="0037777F"/>
    <w:rsid w:val="00377A88"/>
    <w:rsid w:val="00377AFF"/>
    <w:rsid w:val="00377DE0"/>
    <w:rsid w:val="00380182"/>
    <w:rsid w:val="00380542"/>
    <w:rsid w:val="00380CD1"/>
    <w:rsid w:val="00381047"/>
    <w:rsid w:val="0038125D"/>
    <w:rsid w:val="00381393"/>
    <w:rsid w:val="003815F6"/>
    <w:rsid w:val="00381748"/>
    <w:rsid w:val="003819B6"/>
    <w:rsid w:val="003820B7"/>
    <w:rsid w:val="003821E4"/>
    <w:rsid w:val="003824B7"/>
    <w:rsid w:val="00382823"/>
    <w:rsid w:val="00382898"/>
    <w:rsid w:val="00382961"/>
    <w:rsid w:val="00382F2F"/>
    <w:rsid w:val="0038326C"/>
    <w:rsid w:val="003834A8"/>
    <w:rsid w:val="00383844"/>
    <w:rsid w:val="00383883"/>
    <w:rsid w:val="003841CC"/>
    <w:rsid w:val="00384998"/>
    <w:rsid w:val="00384A5B"/>
    <w:rsid w:val="00384C7F"/>
    <w:rsid w:val="00385251"/>
    <w:rsid w:val="00385578"/>
    <w:rsid w:val="003858ED"/>
    <w:rsid w:val="00386723"/>
    <w:rsid w:val="0038676C"/>
    <w:rsid w:val="00386A80"/>
    <w:rsid w:val="00386B4E"/>
    <w:rsid w:val="00386D35"/>
    <w:rsid w:val="003871F8"/>
    <w:rsid w:val="00387352"/>
    <w:rsid w:val="00387477"/>
    <w:rsid w:val="003876E0"/>
    <w:rsid w:val="00387FC5"/>
    <w:rsid w:val="00390105"/>
    <w:rsid w:val="0039047B"/>
    <w:rsid w:val="0039062E"/>
    <w:rsid w:val="00390645"/>
    <w:rsid w:val="00390AAD"/>
    <w:rsid w:val="0039106D"/>
    <w:rsid w:val="0039167A"/>
    <w:rsid w:val="003916A7"/>
    <w:rsid w:val="00391AFA"/>
    <w:rsid w:val="00391D66"/>
    <w:rsid w:val="003923E3"/>
    <w:rsid w:val="00392BD7"/>
    <w:rsid w:val="00392E15"/>
    <w:rsid w:val="00393025"/>
    <w:rsid w:val="003933DA"/>
    <w:rsid w:val="0039361E"/>
    <w:rsid w:val="00393ACB"/>
    <w:rsid w:val="00394667"/>
    <w:rsid w:val="00394BE3"/>
    <w:rsid w:val="00394C13"/>
    <w:rsid w:val="00395D1F"/>
    <w:rsid w:val="00395DDE"/>
    <w:rsid w:val="00395FB3"/>
    <w:rsid w:val="00396471"/>
    <w:rsid w:val="003966EA"/>
    <w:rsid w:val="00396C08"/>
    <w:rsid w:val="00397196"/>
    <w:rsid w:val="00397825"/>
    <w:rsid w:val="00397DC1"/>
    <w:rsid w:val="003A07BC"/>
    <w:rsid w:val="003A08B9"/>
    <w:rsid w:val="003A1A81"/>
    <w:rsid w:val="003A1D06"/>
    <w:rsid w:val="003A1EC2"/>
    <w:rsid w:val="003A1FFB"/>
    <w:rsid w:val="003A23DA"/>
    <w:rsid w:val="003A23E9"/>
    <w:rsid w:val="003A2562"/>
    <w:rsid w:val="003A268C"/>
    <w:rsid w:val="003A2904"/>
    <w:rsid w:val="003A2EC4"/>
    <w:rsid w:val="003A33F2"/>
    <w:rsid w:val="003A34B5"/>
    <w:rsid w:val="003A38F0"/>
    <w:rsid w:val="003A4664"/>
    <w:rsid w:val="003A46F6"/>
    <w:rsid w:val="003A471C"/>
    <w:rsid w:val="003A4A78"/>
    <w:rsid w:val="003A4CC4"/>
    <w:rsid w:val="003A5125"/>
    <w:rsid w:val="003A583B"/>
    <w:rsid w:val="003A6294"/>
    <w:rsid w:val="003A7390"/>
    <w:rsid w:val="003A7C0E"/>
    <w:rsid w:val="003A7F27"/>
    <w:rsid w:val="003B03D3"/>
    <w:rsid w:val="003B0572"/>
    <w:rsid w:val="003B0C74"/>
    <w:rsid w:val="003B0EC4"/>
    <w:rsid w:val="003B152F"/>
    <w:rsid w:val="003B29E3"/>
    <w:rsid w:val="003B2A16"/>
    <w:rsid w:val="003B34E4"/>
    <w:rsid w:val="003B3A12"/>
    <w:rsid w:val="003B509E"/>
    <w:rsid w:val="003B524A"/>
    <w:rsid w:val="003B5533"/>
    <w:rsid w:val="003B5CB6"/>
    <w:rsid w:val="003B6297"/>
    <w:rsid w:val="003B63A4"/>
    <w:rsid w:val="003B64D4"/>
    <w:rsid w:val="003B679F"/>
    <w:rsid w:val="003B6A40"/>
    <w:rsid w:val="003B6C38"/>
    <w:rsid w:val="003B6C9F"/>
    <w:rsid w:val="003B76E6"/>
    <w:rsid w:val="003B7754"/>
    <w:rsid w:val="003B7AC4"/>
    <w:rsid w:val="003B7F85"/>
    <w:rsid w:val="003C1535"/>
    <w:rsid w:val="003C177A"/>
    <w:rsid w:val="003C1D79"/>
    <w:rsid w:val="003C2023"/>
    <w:rsid w:val="003C21A5"/>
    <w:rsid w:val="003C276B"/>
    <w:rsid w:val="003C2991"/>
    <w:rsid w:val="003C29D0"/>
    <w:rsid w:val="003C2E9A"/>
    <w:rsid w:val="003C3459"/>
    <w:rsid w:val="003C3609"/>
    <w:rsid w:val="003C3B4B"/>
    <w:rsid w:val="003C3C73"/>
    <w:rsid w:val="003C3F3B"/>
    <w:rsid w:val="003C4F73"/>
    <w:rsid w:val="003C53ED"/>
    <w:rsid w:val="003C552F"/>
    <w:rsid w:val="003C6411"/>
    <w:rsid w:val="003C65BE"/>
    <w:rsid w:val="003C6A0A"/>
    <w:rsid w:val="003C6EF1"/>
    <w:rsid w:val="003C7990"/>
    <w:rsid w:val="003C7AAD"/>
    <w:rsid w:val="003D0212"/>
    <w:rsid w:val="003D02FF"/>
    <w:rsid w:val="003D0EF6"/>
    <w:rsid w:val="003D117D"/>
    <w:rsid w:val="003D162E"/>
    <w:rsid w:val="003D16C9"/>
    <w:rsid w:val="003D1B16"/>
    <w:rsid w:val="003D1CCB"/>
    <w:rsid w:val="003D1DDE"/>
    <w:rsid w:val="003D2215"/>
    <w:rsid w:val="003D2567"/>
    <w:rsid w:val="003D27D8"/>
    <w:rsid w:val="003D2AB7"/>
    <w:rsid w:val="003D2DDB"/>
    <w:rsid w:val="003D3155"/>
    <w:rsid w:val="003D3370"/>
    <w:rsid w:val="003D3545"/>
    <w:rsid w:val="003D40AE"/>
    <w:rsid w:val="003D410D"/>
    <w:rsid w:val="003D4C64"/>
    <w:rsid w:val="003D5184"/>
    <w:rsid w:val="003D5314"/>
    <w:rsid w:val="003D546E"/>
    <w:rsid w:val="003D562D"/>
    <w:rsid w:val="003D5701"/>
    <w:rsid w:val="003D5EE0"/>
    <w:rsid w:val="003D5FD3"/>
    <w:rsid w:val="003D6D8D"/>
    <w:rsid w:val="003D7798"/>
    <w:rsid w:val="003D7AB6"/>
    <w:rsid w:val="003E0003"/>
    <w:rsid w:val="003E0394"/>
    <w:rsid w:val="003E04EB"/>
    <w:rsid w:val="003E07EE"/>
    <w:rsid w:val="003E0A48"/>
    <w:rsid w:val="003E1040"/>
    <w:rsid w:val="003E10EE"/>
    <w:rsid w:val="003E1330"/>
    <w:rsid w:val="003E1BF9"/>
    <w:rsid w:val="003E2AA3"/>
    <w:rsid w:val="003E2C51"/>
    <w:rsid w:val="003E36A7"/>
    <w:rsid w:val="003E3CD9"/>
    <w:rsid w:val="003E3F91"/>
    <w:rsid w:val="003E432E"/>
    <w:rsid w:val="003E483E"/>
    <w:rsid w:val="003E4A33"/>
    <w:rsid w:val="003E4D91"/>
    <w:rsid w:val="003E4E10"/>
    <w:rsid w:val="003E4E32"/>
    <w:rsid w:val="003E54D1"/>
    <w:rsid w:val="003E62D6"/>
    <w:rsid w:val="003E66CD"/>
    <w:rsid w:val="003E685E"/>
    <w:rsid w:val="003E74D7"/>
    <w:rsid w:val="003E7BE1"/>
    <w:rsid w:val="003E7C6B"/>
    <w:rsid w:val="003F0411"/>
    <w:rsid w:val="003F069A"/>
    <w:rsid w:val="003F0C5C"/>
    <w:rsid w:val="003F1059"/>
    <w:rsid w:val="003F1296"/>
    <w:rsid w:val="003F15A6"/>
    <w:rsid w:val="003F1B32"/>
    <w:rsid w:val="003F206B"/>
    <w:rsid w:val="003F2277"/>
    <w:rsid w:val="003F24EE"/>
    <w:rsid w:val="003F255E"/>
    <w:rsid w:val="003F2BCB"/>
    <w:rsid w:val="003F357F"/>
    <w:rsid w:val="003F3B07"/>
    <w:rsid w:val="003F4329"/>
    <w:rsid w:val="003F4530"/>
    <w:rsid w:val="003F48E2"/>
    <w:rsid w:val="003F4E3E"/>
    <w:rsid w:val="003F521C"/>
    <w:rsid w:val="003F5DB1"/>
    <w:rsid w:val="003F6133"/>
    <w:rsid w:val="003F6184"/>
    <w:rsid w:val="003F6AB0"/>
    <w:rsid w:val="003F7174"/>
    <w:rsid w:val="003F7BD4"/>
    <w:rsid w:val="003F7F03"/>
    <w:rsid w:val="00400006"/>
    <w:rsid w:val="0040170B"/>
    <w:rsid w:val="004017D1"/>
    <w:rsid w:val="00402022"/>
    <w:rsid w:val="00402436"/>
    <w:rsid w:val="004024C9"/>
    <w:rsid w:val="004026B1"/>
    <w:rsid w:val="00403B67"/>
    <w:rsid w:val="00403BFB"/>
    <w:rsid w:val="0040431D"/>
    <w:rsid w:val="0040445D"/>
    <w:rsid w:val="00405EF9"/>
    <w:rsid w:val="004065EF"/>
    <w:rsid w:val="00406A7D"/>
    <w:rsid w:val="00406F3D"/>
    <w:rsid w:val="00407027"/>
    <w:rsid w:val="00407060"/>
    <w:rsid w:val="00407B0F"/>
    <w:rsid w:val="00407C54"/>
    <w:rsid w:val="00407FB2"/>
    <w:rsid w:val="00410455"/>
    <w:rsid w:val="0041059A"/>
    <w:rsid w:val="00410697"/>
    <w:rsid w:val="00410724"/>
    <w:rsid w:val="00410CAE"/>
    <w:rsid w:val="00411907"/>
    <w:rsid w:val="00411FB6"/>
    <w:rsid w:val="00412235"/>
    <w:rsid w:val="00412534"/>
    <w:rsid w:val="00412A86"/>
    <w:rsid w:val="00412B66"/>
    <w:rsid w:val="00412C83"/>
    <w:rsid w:val="0041335A"/>
    <w:rsid w:val="004139EC"/>
    <w:rsid w:val="00414597"/>
    <w:rsid w:val="004146A8"/>
    <w:rsid w:val="00414834"/>
    <w:rsid w:val="004148D6"/>
    <w:rsid w:val="00414BEF"/>
    <w:rsid w:val="00414C39"/>
    <w:rsid w:val="00415196"/>
    <w:rsid w:val="00415A6E"/>
    <w:rsid w:val="00415BB0"/>
    <w:rsid w:val="00415C06"/>
    <w:rsid w:val="004165A5"/>
    <w:rsid w:val="00416BF1"/>
    <w:rsid w:val="00416C1F"/>
    <w:rsid w:val="00417049"/>
    <w:rsid w:val="00417ACB"/>
    <w:rsid w:val="00417DD6"/>
    <w:rsid w:val="0042007B"/>
    <w:rsid w:val="004201A3"/>
    <w:rsid w:val="00420A3D"/>
    <w:rsid w:val="00420F38"/>
    <w:rsid w:val="00421356"/>
    <w:rsid w:val="00421481"/>
    <w:rsid w:val="00421B9E"/>
    <w:rsid w:val="00421D15"/>
    <w:rsid w:val="00421FDD"/>
    <w:rsid w:val="0042204E"/>
    <w:rsid w:val="00422503"/>
    <w:rsid w:val="00422B27"/>
    <w:rsid w:val="00422B87"/>
    <w:rsid w:val="004233FF"/>
    <w:rsid w:val="00423AE4"/>
    <w:rsid w:val="00424926"/>
    <w:rsid w:val="004250D7"/>
    <w:rsid w:val="004253E7"/>
    <w:rsid w:val="00425CF0"/>
    <w:rsid w:val="00426014"/>
    <w:rsid w:val="004262D0"/>
    <w:rsid w:val="0042692C"/>
    <w:rsid w:val="00426B12"/>
    <w:rsid w:val="00426C75"/>
    <w:rsid w:val="00426D07"/>
    <w:rsid w:val="00426DF7"/>
    <w:rsid w:val="00427749"/>
    <w:rsid w:val="00430141"/>
    <w:rsid w:val="004302CC"/>
    <w:rsid w:val="004304CC"/>
    <w:rsid w:val="004308B7"/>
    <w:rsid w:val="004308CD"/>
    <w:rsid w:val="00430AC8"/>
    <w:rsid w:val="00430BD9"/>
    <w:rsid w:val="00431670"/>
    <w:rsid w:val="00431A21"/>
    <w:rsid w:val="00431A80"/>
    <w:rsid w:val="00431B67"/>
    <w:rsid w:val="00431C6D"/>
    <w:rsid w:val="004326AA"/>
    <w:rsid w:val="00432946"/>
    <w:rsid w:val="00432E62"/>
    <w:rsid w:val="0043305B"/>
    <w:rsid w:val="00433355"/>
    <w:rsid w:val="004335B7"/>
    <w:rsid w:val="0043412A"/>
    <w:rsid w:val="004344D1"/>
    <w:rsid w:val="004346A0"/>
    <w:rsid w:val="00434CA0"/>
    <w:rsid w:val="00435F05"/>
    <w:rsid w:val="0043632E"/>
    <w:rsid w:val="0043677F"/>
    <w:rsid w:val="004368FA"/>
    <w:rsid w:val="00436987"/>
    <w:rsid w:val="004374A1"/>
    <w:rsid w:val="00437595"/>
    <w:rsid w:val="00437FA2"/>
    <w:rsid w:val="00440774"/>
    <w:rsid w:val="00440B2D"/>
    <w:rsid w:val="00440BD8"/>
    <w:rsid w:val="004412F0"/>
    <w:rsid w:val="004417B5"/>
    <w:rsid w:val="004426F5"/>
    <w:rsid w:val="00442A95"/>
    <w:rsid w:val="00442F24"/>
    <w:rsid w:val="00444B34"/>
    <w:rsid w:val="004454ED"/>
    <w:rsid w:val="0044617E"/>
    <w:rsid w:val="00446ABF"/>
    <w:rsid w:val="00447261"/>
    <w:rsid w:val="0045001D"/>
    <w:rsid w:val="00450981"/>
    <w:rsid w:val="004509AF"/>
    <w:rsid w:val="00451051"/>
    <w:rsid w:val="004513C9"/>
    <w:rsid w:val="0045141B"/>
    <w:rsid w:val="004519CB"/>
    <w:rsid w:val="00451F81"/>
    <w:rsid w:val="00452028"/>
    <w:rsid w:val="00452456"/>
    <w:rsid w:val="00452F90"/>
    <w:rsid w:val="004534D7"/>
    <w:rsid w:val="00453688"/>
    <w:rsid w:val="00454178"/>
    <w:rsid w:val="0045478D"/>
    <w:rsid w:val="00454A5D"/>
    <w:rsid w:val="004554DD"/>
    <w:rsid w:val="00455C2A"/>
    <w:rsid w:val="0045608A"/>
    <w:rsid w:val="004564B9"/>
    <w:rsid w:val="0045658A"/>
    <w:rsid w:val="00456730"/>
    <w:rsid w:val="00456DC9"/>
    <w:rsid w:val="00460069"/>
    <w:rsid w:val="00460246"/>
    <w:rsid w:val="00460B7D"/>
    <w:rsid w:val="00460E09"/>
    <w:rsid w:val="00460E0C"/>
    <w:rsid w:val="00460F10"/>
    <w:rsid w:val="004612AF"/>
    <w:rsid w:val="00461370"/>
    <w:rsid w:val="00461373"/>
    <w:rsid w:val="004617B3"/>
    <w:rsid w:val="004621C4"/>
    <w:rsid w:val="00462731"/>
    <w:rsid w:val="00462754"/>
    <w:rsid w:val="004628FE"/>
    <w:rsid w:val="00462D7A"/>
    <w:rsid w:val="004633D0"/>
    <w:rsid w:val="00463BC0"/>
    <w:rsid w:val="00463D2A"/>
    <w:rsid w:val="004642DA"/>
    <w:rsid w:val="00464503"/>
    <w:rsid w:val="00464AE3"/>
    <w:rsid w:val="00464EA1"/>
    <w:rsid w:val="00465C67"/>
    <w:rsid w:val="00466863"/>
    <w:rsid w:val="004669B9"/>
    <w:rsid w:val="004669F7"/>
    <w:rsid w:val="00466C52"/>
    <w:rsid w:val="0046714B"/>
    <w:rsid w:val="004672A3"/>
    <w:rsid w:val="004672DB"/>
    <w:rsid w:val="004678E5"/>
    <w:rsid w:val="00467AA7"/>
    <w:rsid w:val="00467D2E"/>
    <w:rsid w:val="004707AC"/>
    <w:rsid w:val="00470CF4"/>
    <w:rsid w:val="00470F60"/>
    <w:rsid w:val="00471155"/>
    <w:rsid w:val="004717FB"/>
    <w:rsid w:val="00471DA4"/>
    <w:rsid w:val="004723C0"/>
    <w:rsid w:val="0047387D"/>
    <w:rsid w:val="00473BBA"/>
    <w:rsid w:val="00473CE1"/>
    <w:rsid w:val="0047410A"/>
    <w:rsid w:val="004744E6"/>
    <w:rsid w:val="00474537"/>
    <w:rsid w:val="0047490A"/>
    <w:rsid w:val="004751F5"/>
    <w:rsid w:val="004756DB"/>
    <w:rsid w:val="0047578D"/>
    <w:rsid w:val="00475867"/>
    <w:rsid w:val="00475A62"/>
    <w:rsid w:val="00475B24"/>
    <w:rsid w:val="004772C3"/>
    <w:rsid w:val="0047755C"/>
    <w:rsid w:val="00477763"/>
    <w:rsid w:val="00477925"/>
    <w:rsid w:val="00477F74"/>
    <w:rsid w:val="004800CA"/>
    <w:rsid w:val="004801D4"/>
    <w:rsid w:val="00480CB0"/>
    <w:rsid w:val="00480F76"/>
    <w:rsid w:val="004810BC"/>
    <w:rsid w:val="0048172C"/>
    <w:rsid w:val="004822BD"/>
    <w:rsid w:val="00482462"/>
    <w:rsid w:val="0048249F"/>
    <w:rsid w:val="00482748"/>
    <w:rsid w:val="0048289A"/>
    <w:rsid w:val="00482B22"/>
    <w:rsid w:val="00483773"/>
    <w:rsid w:val="004837CD"/>
    <w:rsid w:val="0048448A"/>
    <w:rsid w:val="004844AC"/>
    <w:rsid w:val="00485130"/>
    <w:rsid w:val="0048538B"/>
    <w:rsid w:val="00485885"/>
    <w:rsid w:val="00485A4D"/>
    <w:rsid w:val="00486095"/>
    <w:rsid w:val="0048637F"/>
    <w:rsid w:val="0048657A"/>
    <w:rsid w:val="004865BD"/>
    <w:rsid w:val="00486ABB"/>
    <w:rsid w:val="00486CE8"/>
    <w:rsid w:val="004870CC"/>
    <w:rsid w:val="00487417"/>
    <w:rsid w:val="00487431"/>
    <w:rsid w:val="004876E2"/>
    <w:rsid w:val="004877C0"/>
    <w:rsid w:val="00487F02"/>
    <w:rsid w:val="004900EE"/>
    <w:rsid w:val="0049035A"/>
    <w:rsid w:val="0049047D"/>
    <w:rsid w:val="0049082E"/>
    <w:rsid w:val="00490B4C"/>
    <w:rsid w:val="00490D84"/>
    <w:rsid w:val="00490DF8"/>
    <w:rsid w:val="00491B54"/>
    <w:rsid w:val="00491EAA"/>
    <w:rsid w:val="00492292"/>
    <w:rsid w:val="004922A5"/>
    <w:rsid w:val="00492936"/>
    <w:rsid w:val="0049333D"/>
    <w:rsid w:val="00493500"/>
    <w:rsid w:val="004935CF"/>
    <w:rsid w:val="004937B0"/>
    <w:rsid w:val="00493AE8"/>
    <w:rsid w:val="00493BA7"/>
    <w:rsid w:val="00493C43"/>
    <w:rsid w:val="004941C1"/>
    <w:rsid w:val="0049446F"/>
    <w:rsid w:val="00494E44"/>
    <w:rsid w:val="004955F3"/>
    <w:rsid w:val="00495712"/>
    <w:rsid w:val="00495E7E"/>
    <w:rsid w:val="00496542"/>
    <w:rsid w:val="004967F9"/>
    <w:rsid w:val="00496CD2"/>
    <w:rsid w:val="004974FA"/>
    <w:rsid w:val="0049777F"/>
    <w:rsid w:val="00497FDF"/>
    <w:rsid w:val="004A08BC"/>
    <w:rsid w:val="004A0B25"/>
    <w:rsid w:val="004A2116"/>
    <w:rsid w:val="004A2450"/>
    <w:rsid w:val="004A2486"/>
    <w:rsid w:val="004A24FF"/>
    <w:rsid w:val="004A2EDC"/>
    <w:rsid w:val="004A2FE2"/>
    <w:rsid w:val="004A382F"/>
    <w:rsid w:val="004A3B33"/>
    <w:rsid w:val="004A3BF7"/>
    <w:rsid w:val="004A464A"/>
    <w:rsid w:val="004A4AA8"/>
    <w:rsid w:val="004A50AB"/>
    <w:rsid w:val="004A50D5"/>
    <w:rsid w:val="004A532A"/>
    <w:rsid w:val="004A5927"/>
    <w:rsid w:val="004A6772"/>
    <w:rsid w:val="004A6F5B"/>
    <w:rsid w:val="004A716B"/>
    <w:rsid w:val="004A7342"/>
    <w:rsid w:val="004A7AD5"/>
    <w:rsid w:val="004B04FF"/>
    <w:rsid w:val="004B0ADE"/>
    <w:rsid w:val="004B0B39"/>
    <w:rsid w:val="004B10E8"/>
    <w:rsid w:val="004B1391"/>
    <w:rsid w:val="004B17D0"/>
    <w:rsid w:val="004B1842"/>
    <w:rsid w:val="004B19A4"/>
    <w:rsid w:val="004B19C0"/>
    <w:rsid w:val="004B1C07"/>
    <w:rsid w:val="004B1EDF"/>
    <w:rsid w:val="004B236E"/>
    <w:rsid w:val="004B2A4A"/>
    <w:rsid w:val="004B2D92"/>
    <w:rsid w:val="004B3331"/>
    <w:rsid w:val="004B339A"/>
    <w:rsid w:val="004B34EA"/>
    <w:rsid w:val="004B3B92"/>
    <w:rsid w:val="004B3ECF"/>
    <w:rsid w:val="004B436C"/>
    <w:rsid w:val="004B4456"/>
    <w:rsid w:val="004B45AB"/>
    <w:rsid w:val="004B5494"/>
    <w:rsid w:val="004B59BE"/>
    <w:rsid w:val="004B5F9C"/>
    <w:rsid w:val="004B61F7"/>
    <w:rsid w:val="004B61FD"/>
    <w:rsid w:val="004B6582"/>
    <w:rsid w:val="004B67C8"/>
    <w:rsid w:val="004B7369"/>
    <w:rsid w:val="004B74A4"/>
    <w:rsid w:val="004B759B"/>
    <w:rsid w:val="004B7C12"/>
    <w:rsid w:val="004B7DB8"/>
    <w:rsid w:val="004B7EA0"/>
    <w:rsid w:val="004C0A70"/>
    <w:rsid w:val="004C113C"/>
    <w:rsid w:val="004C1ECF"/>
    <w:rsid w:val="004C20F0"/>
    <w:rsid w:val="004C23BF"/>
    <w:rsid w:val="004C2463"/>
    <w:rsid w:val="004C2A01"/>
    <w:rsid w:val="004C2B66"/>
    <w:rsid w:val="004C2F92"/>
    <w:rsid w:val="004C33E0"/>
    <w:rsid w:val="004C35EB"/>
    <w:rsid w:val="004C3913"/>
    <w:rsid w:val="004C3A66"/>
    <w:rsid w:val="004C3F9B"/>
    <w:rsid w:val="004C4C1D"/>
    <w:rsid w:val="004C514A"/>
    <w:rsid w:val="004C5600"/>
    <w:rsid w:val="004C5876"/>
    <w:rsid w:val="004C60AA"/>
    <w:rsid w:val="004C6568"/>
    <w:rsid w:val="004C6D1B"/>
    <w:rsid w:val="004C73FD"/>
    <w:rsid w:val="004C7881"/>
    <w:rsid w:val="004C7A20"/>
    <w:rsid w:val="004C7A2B"/>
    <w:rsid w:val="004C7D3A"/>
    <w:rsid w:val="004CEBAA"/>
    <w:rsid w:val="004D0237"/>
    <w:rsid w:val="004D0479"/>
    <w:rsid w:val="004D117E"/>
    <w:rsid w:val="004D16E5"/>
    <w:rsid w:val="004D1C5D"/>
    <w:rsid w:val="004D1E09"/>
    <w:rsid w:val="004D1E55"/>
    <w:rsid w:val="004D1F08"/>
    <w:rsid w:val="004D1FDB"/>
    <w:rsid w:val="004D2016"/>
    <w:rsid w:val="004D20C1"/>
    <w:rsid w:val="004D2122"/>
    <w:rsid w:val="004D2533"/>
    <w:rsid w:val="004D26B7"/>
    <w:rsid w:val="004D2B83"/>
    <w:rsid w:val="004D387B"/>
    <w:rsid w:val="004D38F4"/>
    <w:rsid w:val="004D3C05"/>
    <w:rsid w:val="004D4114"/>
    <w:rsid w:val="004D47BF"/>
    <w:rsid w:val="004D4853"/>
    <w:rsid w:val="004D499E"/>
    <w:rsid w:val="004D4A69"/>
    <w:rsid w:val="004D4C77"/>
    <w:rsid w:val="004D4C84"/>
    <w:rsid w:val="004D4CD3"/>
    <w:rsid w:val="004D4D22"/>
    <w:rsid w:val="004D4D94"/>
    <w:rsid w:val="004D531E"/>
    <w:rsid w:val="004D68AA"/>
    <w:rsid w:val="004D6F2A"/>
    <w:rsid w:val="004D70B2"/>
    <w:rsid w:val="004D7530"/>
    <w:rsid w:val="004D7693"/>
    <w:rsid w:val="004D78B1"/>
    <w:rsid w:val="004D7A92"/>
    <w:rsid w:val="004E0083"/>
    <w:rsid w:val="004E0122"/>
    <w:rsid w:val="004E03A8"/>
    <w:rsid w:val="004E03CB"/>
    <w:rsid w:val="004E03CF"/>
    <w:rsid w:val="004E06DD"/>
    <w:rsid w:val="004E0EE5"/>
    <w:rsid w:val="004E0EE9"/>
    <w:rsid w:val="004E11B4"/>
    <w:rsid w:val="004E156C"/>
    <w:rsid w:val="004E174F"/>
    <w:rsid w:val="004E2829"/>
    <w:rsid w:val="004E2E4B"/>
    <w:rsid w:val="004E3228"/>
    <w:rsid w:val="004E3256"/>
    <w:rsid w:val="004E32E8"/>
    <w:rsid w:val="004E33FA"/>
    <w:rsid w:val="004E3C02"/>
    <w:rsid w:val="004E3D64"/>
    <w:rsid w:val="004E4023"/>
    <w:rsid w:val="004E44A4"/>
    <w:rsid w:val="004E4883"/>
    <w:rsid w:val="004E49B0"/>
    <w:rsid w:val="004E5121"/>
    <w:rsid w:val="004E523B"/>
    <w:rsid w:val="004E55E7"/>
    <w:rsid w:val="004E5C57"/>
    <w:rsid w:val="004E6192"/>
    <w:rsid w:val="004E683F"/>
    <w:rsid w:val="004E6AE4"/>
    <w:rsid w:val="004E763C"/>
    <w:rsid w:val="004E790C"/>
    <w:rsid w:val="004F0077"/>
    <w:rsid w:val="004F0518"/>
    <w:rsid w:val="004F0941"/>
    <w:rsid w:val="004F0AE3"/>
    <w:rsid w:val="004F0D7A"/>
    <w:rsid w:val="004F147F"/>
    <w:rsid w:val="004F190C"/>
    <w:rsid w:val="004F1E6D"/>
    <w:rsid w:val="004F1EF3"/>
    <w:rsid w:val="004F29A2"/>
    <w:rsid w:val="004F2CCF"/>
    <w:rsid w:val="004F2D3D"/>
    <w:rsid w:val="004F2DDC"/>
    <w:rsid w:val="004F3E49"/>
    <w:rsid w:val="004F4364"/>
    <w:rsid w:val="004F45A4"/>
    <w:rsid w:val="004F4AFC"/>
    <w:rsid w:val="004F4D5F"/>
    <w:rsid w:val="004F4F18"/>
    <w:rsid w:val="004F56A8"/>
    <w:rsid w:val="004F6BF7"/>
    <w:rsid w:val="004F6F8E"/>
    <w:rsid w:val="004F75BB"/>
    <w:rsid w:val="004F7E46"/>
    <w:rsid w:val="00500AF1"/>
    <w:rsid w:val="00500F0E"/>
    <w:rsid w:val="00500F15"/>
    <w:rsid w:val="00501037"/>
    <w:rsid w:val="00501089"/>
    <w:rsid w:val="005018A8"/>
    <w:rsid w:val="005020A0"/>
    <w:rsid w:val="0050225B"/>
    <w:rsid w:val="00502460"/>
    <w:rsid w:val="005026F9"/>
    <w:rsid w:val="00502B1E"/>
    <w:rsid w:val="00502C67"/>
    <w:rsid w:val="00502F42"/>
    <w:rsid w:val="00502F7B"/>
    <w:rsid w:val="00503026"/>
    <w:rsid w:val="005037D0"/>
    <w:rsid w:val="00504304"/>
    <w:rsid w:val="005046B2"/>
    <w:rsid w:val="00504D3E"/>
    <w:rsid w:val="00504E77"/>
    <w:rsid w:val="005056F6"/>
    <w:rsid w:val="005057A6"/>
    <w:rsid w:val="00505A39"/>
    <w:rsid w:val="00505A9D"/>
    <w:rsid w:val="00505AA8"/>
    <w:rsid w:val="00505ABE"/>
    <w:rsid w:val="00505B60"/>
    <w:rsid w:val="00506A28"/>
    <w:rsid w:val="00506A94"/>
    <w:rsid w:val="00506B7B"/>
    <w:rsid w:val="00507484"/>
    <w:rsid w:val="0050763E"/>
    <w:rsid w:val="00507F05"/>
    <w:rsid w:val="00507F06"/>
    <w:rsid w:val="005103DD"/>
    <w:rsid w:val="005106AC"/>
    <w:rsid w:val="00511223"/>
    <w:rsid w:val="00511286"/>
    <w:rsid w:val="005114BB"/>
    <w:rsid w:val="00511D98"/>
    <w:rsid w:val="005126A5"/>
    <w:rsid w:val="005126EA"/>
    <w:rsid w:val="00512821"/>
    <w:rsid w:val="00512965"/>
    <w:rsid w:val="005133BB"/>
    <w:rsid w:val="005139D3"/>
    <w:rsid w:val="00513AF7"/>
    <w:rsid w:val="0051423F"/>
    <w:rsid w:val="00514386"/>
    <w:rsid w:val="00514628"/>
    <w:rsid w:val="00514BF0"/>
    <w:rsid w:val="005158E0"/>
    <w:rsid w:val="00515C7F"/>
    <w:rsid w:val="00516364"/>
    <w:rsid w:val="00516686"/>
    <w:rsid w:val="005166B2"/>
    <w:rsid w:val="0051697A"/>
    <w:rsid w:val="00516B29"/>
    <w:rsid w:val="00516C5F"/>
    <w:rsid w:val="00516E6E"/>
    <w:rsid w:val="005179B0"/>
    <w:rsid w:val="00517C01"/>
    <w:rsid w:val="005205DE"/>
    <w:rsid w:val="005215EE"/>
    <w:rsid w:val="005219AC"/>
    <w:rsid w:val="0052334C"/>
    <w:rsid w:val="005234D0"/>
    <w:rsid w:val="0052365A"/>
    <w:rsid w:val="005240BF"/>
    <w:rsid w:val="00524C5C"/>
    <w:rsid w:val="00525355"/>
    <w:rsid w:val="0052536B"/>
    <w:rsid w:val="00525387"/>
    <w:rsid w:val="00525736"/>
    <w:rsid w:val="00525AD2"/>
    <w:rsid w:val="00525E02"/>
    <w:rsid w:val="00525F89"/>
    <w:rsid w:val="00526728"/>
    <w:rsid w:val="00526EB9"/>
    <w:rsid w:val="00527269"/>
    <w:rsid w:val="005277F7"/>
    <w:rsid w:val="00527B3E"/>
    <w:rsid w:val="00530230"/>
    <w:rsid w:val="0053071E"/>
    <w:rsid w:val="00531FFB"/>
    <w:rsid w:val="005322BB"/>
    <w:rsid w:val="0053289D"/>
    <w:rsid w:val="00532A54"/>
    <w:rsid w:val="00532FDC"/>
    <w:rsid w:val="0053335F"/>
    <w:rsid w:val="00533CB8"/>
    <w:rsid w:val="005343CB"/>
    <w:rsid w:val="00534547"/>
    <w:rsid w:val="00534666"/>
    <w:rsid w:val="005348CF"/>
    <w:rsid w:val="00534A76"/>
    <w:rsid w:val="00534E13"/>
    <w:rsid w:val="00535581"/>
    <w:rsid w:val="00535CA1"/>
    <w:rsid w:val="005366B7"/>
    <w:rsid w:val="00536770"/>
    <w:rsid w:val="00536BFB"/>
    <w:rsid w:val="00537326"/>
    <w:rsid w:val="005376C2"/>
    <w:rsid w:val="005377D1"/>
    <w:rsid w:val="00537CA5"/>
    <w:rsid w:val="00540306"/>
    <w:rsid w:val="00540B3A"/>
    <w:rsid w:val="00541663"/>
    <w:rsid w:val="00541813"/>
    <w:rsid w:val="00541884"/>
    <w:rsid w:val="00541CA2"/>
    <w:rsid w:val="00541EBC"/>
    <w:rsid w:val="005420A8"/>
    <w:rsid w:val="00542B27"/>
    <w:rsid w:val="00543255"/>
    <w:rsid w:val="00543782"/>
    <w:rsid w:val="005441B6"/>
    <w:rsid w:val="00544637"/>
    <w:rsid w:val="00544E0E"/>
    <w:rsid w:val="005452DB"/>
    <w:rsid w:val="00545E40"/>
    <w:rsid w:val="00546135"/>
    <w:rsid w:val="005462B0"/>
    <w:rsid w:val="0054648A"/>
    <w:rsid w:val="005466CF"/>
    <w:rsid w:val="005468A1"/>
    <w:rsid w:val="00546BEE"/>
    <w:rsid w:val="0054733B"/>
    <w:rsid w:val="0054770C"/>
    <w:rsid w:val="00547A2A"/>
    <w:rsid w:val="00547BB8"/>
    <w:rsid w:val="005502D5"/>
    <w:rsid w:val="00550582"/>
    <w:rsid w:val="00550FF3"/>
    <w:rsid w:val="0055124D"/>
    <w:rsid w:val="005512BA"/>
    <w:rsid w:val="00551746"/>
    <w:rsid w:val="005523C0"/>
    <w:rsid w:val="005524E9"/>
    <w:rsid w:val="0055277E"/>
    <w:rsid w:val="00552BB7"/>
    <w:rsid w:val="005531B7"/>
    <w:rsid w:val="005533C9"/>
    <w:rsid w:val="00553559"/>
    <w:rsid w:val="00553B00"/>
    <w:rsid w:val="00553B31"/>
    <w:rsid w:val="00553F3B"/>
    <w:rsid w:val="0055456B"/>
    <w:rsid w:val="0055478D"/>
    <w:rsid w:val="00554A9D"/>
    <w:rsid w:val="00555413"/>
    <w:rsid w:val="00555AAC"/>
    <w:rsid w:val="00555C29"/>
    <w:rsid w:val="00555C5A"/>
    <w:rsid w:val="00555C88"/>
    <w:rsid w:val="00556021"/>
    <w:rsid w:val="005560F7"/>
    <w:rsid w:val="005565CB"/>
    <w:rsid w:val="00556611"/>
    <w:rsid w:val="00556C31"/>
    <w:rsid w:val="00557285"/>
    <w:rsid w:val="00557422"/>
    <w:rsid w:val="00557A63"/>
    <w:rsid w:val="00557B8C"/>
    <w:rsid w:val="0056024C"/>
    <w:rsid w:val="00560404"/>
    <w:rsid w:val="00560442"/>
    <w:rsid w:val="005607B4"/>
    <w:rsid w:val="00560C1E"/>
    <w:rsid w:val="00560ED3"/>
    <w:rsid w:val="005613FD"/>
    <w:rsid w:val="0056198C"/>
    <w:rsid w:val="00561B7B"/>
    <w:rsid w:val="0056215F"/>
    <w:rsid w:val="0056229C"/>
    <w:rsid w:val="005624B1"/>
    <w:rsid w:val="00562D6F"/>
    <w:rsid w:val="0056370F"/>
    <w:rsid w:val="00564117"/>
    <w:rsid w:val="00564F39"/>
    <w:rsid w:val="00564F95"/>
    <w:rsid w:val="0056547E"/>
    <w:rsid w:val="005654C9"/>
    <w:rsid w:val="00565884"/>
    <w:rsid w:val="0056615B"/>
    <w:rsid w:val="005666A3"/>
    <w:rsid w:val="00566DE6"/>
    <w:rsid w:val="005670B0"/>
    <w:rsid w:val="00567518"/>
    <w:rsid w:val="00567521"/>
    <w:rsid w:val="00567839"/>
    <w:rsid w:val="00567DDB"/>
    <w:rsid w:val="00567DEC"/>
    <w:rsid w:val="0057004B"/>
    <w:rsid w:val="00570364"/>
    <w:rsid w:val="005704B5"/>
    <w:rsid w:val="00570668"/>
    <w:rsid w:val="005707B7"/>
    <w:rsid w:val="00571BAA"/>
    <w:rsid w:val="00572083"/>
    <w:rsid w:val="00572199"/>
    <w:rsid w:val="0057289B"/>
    <w:rsid w:val="00572C3F"/>
    <w:rsid w:val="00572CB2"/>
    <w:rsid w:val="005736CB"/>
    <w:rsid w:val="00573769"/>
    <w:rsid w:val="0057390D"/>
    <w:rsid w:val="005741EB"/>
    <w:rsid w:val="00574256"/>
    <w:rsid w:val="00574954"/>
    <w:rsid w:val="00574A9A"/>
    <w:rsid w:val="005756D9"/>
    <w:rsid w:val="00575954"/>
    <w:rsid w:val="005764E0"/>
    <w:rsid w:val="00576BC9"/>
    <w:rsid w:val="0057760F"/>
    <w:rsid w:val="00577F1E"/>
    <w:rsid w:val="005804E3"/>
    <w:rsid w:val="005807AA"/>
    <w:rsid w:val="00580F18"/>
    <w:rsid w:val="00581383"/>
    <w:rsid w:val="00581B09"/>
    <w:rsid w:val="00582253"/>
    <w:rsid w:val="00582648"/>
    <w:rsid w:val="00582651"/>
    <w:rsid w:val="00582BF6"/>
    <w:rsid w:val="00582D8E"/>
    <w:rsid w:val="00582F46"/>
    <w:rsid w:val="005833E0"/>
    <w:rsid w:val="00583D77"/>
    <w:rsid w:val="00584737"/>
    <w:rsid w:val="00584831"/>
    <w:rsid w:val="00584E61"/>
    <w:rsid w:val="00584F1A"/>
    <w:rsid w:val="00585080"/>
    <w:rsid w:val="00585390"/>
    <w:rsid w:val="005857F1"/>
    <w:rsid w:val="00585D0B"/>
    <w:rsid w:val="00585ECB"/>
    <w:rsid w:val="005868C1"/>
    <w:rsid w:val="00586D8F"/>
    <w:rsid w:val="00586E5D"/>
    <w:rsid w:val="005875EC"/>
    <w:rsid w:val="00587E83"/>
    <w:rsid w:val="0059081F"/>
    <w:rsid w:val="00590856"/>
    <w:rsid w:val="00590AF4"/>
    <w:rsid w:val="00591904"/>
    <w:rsid w:val="00591CB6"/>
    <w:rsid w:val="00591CC2"/>
    <w:rsid w:val="00592543"/>
    <w:rsid w:val="0059334A"/>
    <w:rsid w:val="0059343D"/>
    <w:rsid w:val="005938EB"/>
    <w:rsid w:val="005939A5"/>
    <w:rsid w:val="00593D04"/>
    <w:rsid w:val="00593E3A"/>
    <w:rsid w:val="005940C3"/>
    <w:rsid w:val="00594600"/>
    <w:rsid w:val="0059468A"/>
    <w:rsid w:val="00594BD3"/>
    <w:rsid w:val="00595522"/>
    <w:rsid w:val="005958BA"/>
    <w:rsid w:val="005958C0"/>
    <w:rsid w:val="00595972"/>
    <w:rsid w:val="00595A48"/>
    <w:rsid w:val="00596090"/>
    <w:rsid w:val="005966AB"/>
    <w:rsid w:val="005968BC"/>
    <w:rsid w:val="005969EB"/>
    <w:rsid w:val="00596D49"/>
    <w:rsid w:val="00596FAB"/>
    <w:rsid w:val="00597079"/>
    <w:rsid w:val="005970E3"/>
    <w:rsid w:val="00597489"/>
    <w:rsid w:val="0059760C"/>
    <w:rsid w:val="00597A2E"/>
    <w:rsid w:val="005A050E"/>
    <w:rsid w:val="005A05E6"/>
    <w:rsid w:val="005A08D1"/>
    <w:rsid w:val="005A148C"/>
    <w:rsid w:val="005A1630"/>
    <w:rsid w:val="005A191F"/>
    <w:rsid w:val="005A2080"/>
    <w:rsid w:val="005A2102"/>
    <w:rsid w:val="005A2168"/>
    <w:rsid w:val="005A23D4"/>
    <w:rsid w:val="005A2A80"/>
    <w:rsid w:val="005A2F3F"/>
    <w:rsid w:val="005A34B2"/>
    <w:rsid w:val="005A3901"/>
    <w:rsid w:val="005A4276"/>
    <w:rsid w:val="005A4376"/>
    <w:rsid w:val="005A48E9"/>
    <w:rsid w:val="005A4AD8"/>
    <w:rsid w:val="005A50F9"/>
    <w:rsid w:val="005A5DF9"/>
    <w:rsid w:val="005A5E28"/>
    <w:rsid w:val="005A684F"/>
    <w:rsid w:val="005A6A57"/>
    <w:rsid w:val="005A6B73"/>
    <w:rsid w:val="005A6DEB"/>
    <w:rsid w:val="005A71C9"/>
    <w:rsid w:val="005A7AD1"/>
    <w:rsid w:val="005B04EF"/>
    <w:rsid w:val="005B0E60"/>
    <w:rsid w:val="005B12DB"/>
    <w:rsid w:val="005B130F"/>
    <w:rsid w:val="005B1371"/>
    <w:rsid w:val="005B13DE"/>
    <w:rsid w:val="005B15AF"/>
    <w:rsid w:val="005B21A6"/>
    <w:rsid w:val="005B24DB"/>
    <w:rsid w:val="005B2503"/>
    <w:rsid w:val="005B3F59"/>
    <w:rsid w:val="005B47EC"/>
    <w:rsid w:val="005B4940"/>
    <w:rsid w:val="005B4EF3"/>
    <w:rsid w:val="005B51B6"/>
    <w:rsid w:val="005B5719"/>
    <w:rsid w:val="005B5E44"/>
    <w:rsid w:val="005B60EB"/>
    <w:rsid w:val="005B63CA"/>
    <w:rsid w:val="005B65CC"/>
    <w:rsid w:val="005B6A85"/>
    <w:rsid w:val="005B6F98"/>
    <w:rsid w:val="005B71F6"/>
    <w:rsid w:val="005B7543"/>
    <w:rsid w:val="005B7EA6"/>
    <w:rsid w:val="005C009E"/>
    <w:rsid w:val="005C05C6"/>
    <w:rsid w:val="005C12F3"/>
    <w:rsid w:val="005C19B6"/>
    <w:rsid w:val="005C1D93"/>
    <w:rsid w:val="005C2413"/>
    <w:rsid w:val="005C243F"/>
    <w:rsid w:val="005C25A3"/>
    <w:rsid w:val="005C2B1A"/>
    <w:rsid w:val="005C2B2F"/>
    <w:rsid w:val="005C2C6F"/>
    <w:rsid w:val="005C302B"/>
    <w:rsid w:val="005C34AE"/>
    <w:rsid w:val="005C3533"/>
    <w:rsid w:val="005C3723"/>
    <w:rsid w:val="005C3FD9"/>
    <w:rsid w:val="005C4335"/>
    <w:rsid w:val="005C4503"/>
    <w:rsid w:val="005C455F"/>
    <w:rsid w:val="005C4D5B"/>
    <w:rsid w:val="005C4D88"/>
    <w:rsid w:val="005C58A8"/>
    <w:rsid w:val="005C58FA"/>
    <w:rsid w:val="005C63CD"/>
    <w:rsid w:val="005C65DC"/>
    <w:rsid w:val="005C7B2F"/>
    <w:rsid w:val="005D0631"/>
    <w:rsid w:val="005D0AE5"/>
    <w:rsid w:val="005D0EFF"/>
    <w:rsid w:val="005D17C4"/>
    <w:rsid w:val="005D1B54"/>
    <w:rsid w:val="005D1E70"/>
    <w:rsid w:val="005D2793"/>
    <w:rsid w:val="005D29CE"/>
    <w:rsid w:val="005D2B16"/>
    <w:rsid w:val="005D3914"/>
    <w:rsid w:val="005D3A53"/>
    <w:rsid w:val="005D3C5C"/>
    <w:rsid w:val="005D3C6F"/>
    <w:rsid w:val="005D3F0A"/>
    <w:rsid w:val="005D40D0"/>
    <w:rsid w:val="005D4682"/>
    <w:rsid w:val="005D49A1"/>
    <w:rsid w:val="005D5117"/>
    <w:rsid w:val="005D5AE0"/>
    <w:rsid w:val="005D5AFE"/>
    <w:rsid w:val="005D6B5F"/>
    <w:rsid w:val="005D6BA9"/>
    <w:rsid w:val="005D761F"/>
    <w:rsid w:val="005D7660"/>
    <w:rsid w:val="005E0135"/>
    <w:rsid w:val="005E05C9"/>
    <w:rsid w:val="005E09B9"/>
    <w:rsid w:val="005E0D08"/>
    <w:rsid w:val="005E1401"/>
    <w:rsid w:val="005E1515"/>
    <w:rsid w:val="005E17C8"/>
    <w:rsid w:val="005E18F6"/>
    <w:rsid w:val="005E1CD4"/>
    <w:rsid w:val="005E1F94"/>
    <w:rsid w:val="005E2B48"/>
    <w:rsid w:val="005E2CF6"/>
    <w:rsid w:val="005E2DD7"/>
    <w:rsid w:val="005E3C25"/>
    <w:rsid w:val="005E3C3B"/>
    <w:rsid w:val="005E4221"/>
    <w:rsid w:val="005E49AE"/>
    <w:rsid w:val="005E4BA9"/>
    <w:rsid w:val="005E53D4"/>
    <w:rsid w:val="005E56DF"/>
    <w:rsid w:val="005E56F5"/>
    <w:rsid w:val="005E594A"/>
    <w:rsid w:val="005E5EEB"/>
    <w:rsid w:val="005E6016"/>
    <w:rsid w:val="005E61E7"/>
    <w:rsid w:val="005E62E2"/>
    <w:rsid w:val="005E6968"/>
    <w:rsid w:val="005E7953"/>
    <w:rsid w:val="005E7BBC"/>
    <w:rsid w:val="005E7D73"/>
    <w:rsid w:val="005E7DA9"/>
    <w:rsid w:val="005E7FE0"/>
    <w:rsid w:val="005F064C"/>
    <w:rsid w:val="005F0DEB"/>
    <w:rsid w:val="005F0F7B"/>
    <w:rsid w:val="005F130B"/>
    <w:rsid w:val="005F1729"/>
    <w:rsid w:val="005F1CEC"/>
    <w:rsid w:val="005F1D68"/>
    <w:rsid w:val="005F1E33"/>
    <w:rsid w:val="005F21FC"/>
    <w:rsid w:val="005F2514"/>
    <w:rsid w:val="005F2A5A"/>
    <w:rsid w:val="005F2EFE"/>
    <w:rsid w:val="005F2FE1"/>
    <w:rsid w:val="005F3914"/>
    <w:rsid w:val="005F3E00"/>
    <w:rsid w:val="005F3F95"/>
    <w:rsid w:val="005F4113"/>
    <w:rsid w:val="005F448E"/>
    <w:rsid w:val="005F45D9"/>
    <w:rsid w:val="005F4CCB"/>
    <w:rsid w:val="005F4CEA"/>
    <w:rsid w:val="005F5346"/>
    <w:rsid w:val="005F55D4"/>
    <w:rsid w:val="005F5A71"/>
    <w:rsid w:val="005F6070"/>
    <w:rsid w:val="005F62E3"/>
    <w:rsid w:val="005F63C5"/>
    <w:rsid w:val="005F653A"/>
    <w:rsid w:val="005F653E"/>
    <w:rsid w:val="005F6684"/>
    <w:rsid w:val="005F73CF"/>
    <w:rsid w:val="005F74D0"/>
    <w:rsid w:val="005F75B2"/>
    <w:rsid w:val="005F7B5A"/>
    <w:rsid w:val="005F7BE4"/>
    <w:rsid w:val="005F7CA4"/>
    <w:rsid w:val="005F7D18"/>
    <w:rsid w:val="005FF194"/>
    <w:rsid w:val="006000B1"/>
    <w:rsid w:val="006002D6"/>
    <w:rsid w:val="006003AD"/>
    <w:rsid w:val="006003EF"/>
    <w:rsid w:val="00600F28"/>
    <w:rsid w:val="0060119F"/>
    <w:rsid w:val="0060159F"/>
    <w:rsid w:val="00601BA2"/>
    <w:rsid w:val="00601D96"/>
    <w:rsid w:val="0060231C"/>
    <w:rsid w:val="0060248D"/>
    <w:rsid w:val="0060267B"/>
    <w:rsid w:val="00602E50"/>
    <w:rsid w:val="00603218"/>
    <w:rsid w:val="00603A90"/>
    <w:rsid w:val="006041E0"/>
    <w:rsid w:val="006043D5"/>
    <w:rsid w:val="00604565"/>
    <w:rsid w:val="00604927"/>
    <w:rsid w:val="00604CFD"/>
    <w:rsid w:val="00605085"/>
    <w:rsid w:val="006052C0"/>
    <w:rsid w:val="00605950"/>
    <w:rsid w:val="00605C0E"/>
    <w:rsid w:val="00605CFD"/>
    <w:rsid w:val="006067B3"/>
    <w:rsid w:val="00606DC6"/>
    <w:rsid w:val="00607960"/>
    <w:rsid w:val="00607CFD"/>
    <w:rsid w:val="00607E67"/>
    <w:rsid w:val="006102A8"/>
    <w:rsid w:val="00610E40"/>
    <w:rsid w:val="006112D0"/>
    <w:rsid w:val="00611BFA"/>
    <w:rsid w:val="00611FC5"/>
    <w:rsid w:val="00612045"/>
    <w:rsid w:val="0061238C"/>
    <w:rsid w:val="00612B6D"/>
    <w:rsid w:val="00612F4D"/>
    <w:rsid w:val="00613970"/>
    <w:rsid w:val="00613A90"/>
    <w:rsid w:val="00614235"/>
    <w:rsid w:val="006147F9"/>
    <w:rsid w:val="00614EFF"/>
    <w:rsid w:val="00615000"/>
    <w:rsid w:val="006151BB"/>
    <w:rsid w:val="006152E9"/>
    <w:rsid w:val="006157A8"/>
    <w:rsid w:val="00615A32"/>
    <w:rsid w:val="00615DE2"/>
    <w:rsid w:val="00616157"/>
    <w:rsid w:val="0061617A"/>
    <w:rsid w:val="006165D9"/>
    <w:rsid w:val="006169CF"/>
    <w:rsid w:val="006169D9"/>
    <w:rsid w:val="00616B89"/>
    <w:rsid w:val="00616BF4"/>
    <w:rsid w:val="00617786"/>
    <w:rsid w:val="0061F8B6"/>
    <w:rsid w:val="006202AE"/>
    <w:rsid w:val="00620D99"/>
    <w:rsid w:val="00621140"/>
    <w:rsid w:val="006218DB"/>
    <w:rsid w:val="00621B06"/>
    <w:rsid w:val="00622465"/>
    <w:rsid w:val="00623419"/>
    <w:rsid w:val="006236EB"/>
    <w:rsid w:val="006239A1"/>
    <w:rsid w:val="00623BCD"/>
    <w:rsid w:val="0062457C"/>
    <w:rsid w:val="0062463F"/>
    <w:rsid w:val="00624CFB"/>
    <w:rsid w:val="00625163"/>
    <w:rsid w:val="006256F8"/>
    <w:rsid w:val="00625963"/>
    <w:rsid w:val="00625A14"/>
    <w:rsid w:val="00625BFF"/>
    <w:rsid w:val="00625CC4"/>
    <w:rsid w:val="00626A12"/>
    <w:rsid w:val="0062717D"/>
    <w:rsid w:val="00627D50"/>
    <w:rsid w:val="00627DEE"/>
    <w:rsid w:val="00627FB1"/>
    <w:rsid w:val="00630318"/>
    <w:rsid w:val="00630372"/>
    <w:rsid w:val="006303E9"/>
    <w:rsid w:val="006304E2"/>
    <w:rsid w:val="006307DF"/>
    <w:rsid w:val="006308EE"/>
    <w:rsid w:val="00631B9A"/>
    <w:rsid w:val="00631BCB"/>
    <w:rsid w:val="00631E7A"/>
    <w:rsid w:val="00632207"/>
    <w:rsid w:val="00632724"/>
    <w:rsid w:val="006327FA"/>
    <w:rsid w:val="00632AB1"/>
    <w:rsid w:val="00632E0D"/>
    <w:rsid w:val="00632EA7"/>
    <w:rsid w:val="00633060"/>
    <w:rsid w:val="0063306A"/>
    <w:rsid w:val="00633322"/>
    <w:rsid w:val="0063348A"/>
    <w:rsid w:val="00634752"/>
    <w:rsid w:val="0063491C"/>
    <w:rsid w:val="00634BB3"/>
    <w:rsid w:val="00634C73"/>
    <w:rsid w:val="00635559"/>
    <w:rsid w:val="00635ABE"/>
    <w:rsid w:val="00635C61"/>
    <w:rsid w:val="00636401"/>
    <w:rsid w:val="00636A4D"/>
    <w:rsid w:val="006372FE"/>
    <w:rsid w:val="0063730D"/>
    <w:rsid w:val="00637337"/>
    <w:rsid w:val="0063797C"/>
    <w:rsid w:val="006379A1"/>
    <w:rsid w:val="00637A86"/>
    <w:rsid w:val="00637EF3"/>
    <w:rsid w:val="00637FAA"/>
    <w:rsid w:val="00640E89"/>
    <w:rsid w:val="00641CF7"/>
    <w:rsid w:val="0064231C"/>
    <w:rsid w:val="006423C8"/>
    <w:rsid w:val="006426CE"/>
    <w:rsid w:val="00642A32"/>
    <w:rsid w:val="00642C85"/>
    <w:rsid w:val="00642E8C"/>
    <w:rsid w:val="0064301A"/>
    <w:rsid w:val="00643AD5"/>
    <w:rsid w:val="00644053"/>
    <w:rsid w:val="00644E36"/>
    <w:rsid w:val="00645D8C"/>
    <w:rsid w:val="00646098"/>
    <w:rsid w:val="00646513"/>
    <w:rsid w:val="00650233"/>
    <w:rsid w:val="006506AC"/>
    <w:rsid w:val="00650DA6"/>
    <w:rsid w:val="006510B4"/>
    <w:rsid w:val="00651484"/>
    <w:rsid w:val="00651839"/>
    <w:rsid w:val="00652785"/>
    <w:rsid w:val="00652984"/>
    <w:rsid w:val="00652AD0"/>
    <w:rsid w:val="00652ADD"/>
    <w:rsid w:val="00652CE3"/>
    <w:rsid w:val="00653013"/>
    <w:rsid w:val="00653199"/>
    <w:rsid w:val="0065356E"/>
    <w:rsid w:val="00653EE9"/>
    <w:rsid w:val="00653F02"/>
    <w:rsid w:val="006540C1"/>
    <w:rsid w:val="00654297"/>
    <w:rsid w:val="0065451B"/>
    <w:rsid w:val="00654861"/>
    <w:rsid w:val="00654E3C"/>
    <w:rsid w:val="00654E4D"/>
    <w:rsid w:val="006550E0"/>
    <w:rsid w:val="006554DE"/>
    <w:rsid w:val="00655666"/>
    <w:rsid w:val="00655D1D"/>
    <w:rsid w:val="00655DB9"/>
    <w:rsid w:val="006568CC"/>
    <w:rsid w:val="006569AF"/>
    <w:rsid w:val="00656BA1"/>
    <w:rsid w:val="00656DB2"/>
    <w:rsid w:val="00656DD7"/>
    <w:rsid w:val="00657BD0"/>
    <w:rsid w:val="00657E65"/>
    <w:rsid w:val="00661061"/>
    <w:rsid w:val="006615D9"/>
    <w:rsid w:val="00661AFE"/>
    <w:rsid w:val="00662CCD"/>
    <w:rsid w:val="00662FC6"/>
    <w:rsid w:val="00663287"/>
    <w:rsid w:val="00663511"/>
    <w:rsid w:val="006638D9"/>
    <w:rsid w:val="006641B5"/>
    <w:rsid w:val="00664A83"/>
    <w:rsid w:val="0066595D"/>
    <w:rsid w:val="00665FEA"/>
    <w:rsid w:val="006660DD"/>
    <w:rsid w:val="006663CB"/>
    <w:rsid w:val="006664E0"/>
    <w:rsid w:val="006665C7"/>
    <w:rsid w:val="00666724"/>
    <w:rsid w:val="0066695A"/>
    <w:rsid w:val="00666CC1"/>
    <w:rsid w:val="00666CEC"/>
    <w:rsid w:val="00667192"/>
    <w:rsid w:val="00667AA1"/>
    <w:rsid w:val="00667F21"/>
    <w:rsid w:val="00670876"/>
    <w:rsid w:val="00670C04"/>
    <w:rsid w:val="00670D46"/>
    <w:rsid w:val="00670E66"/>
    <w:rsid w:val="00670FB8"/>
    <w:rsid w:val="00670FD2"/>
    <w:rsid w:val="00672A2A"/>
    <w:rsid w:val="00672AB8"/>
    <w:rsid w:val="00672DE9"/>
    <w:rsid w:val="00672FE8"/>
    <w:rsid w:val="00673344"/>
    <w:rsid w:val="00674079"/>
    <w:rsid w:val="00674491"/>
    <w:rsid w:val="00674E3E"/>
    <w:rsid w:val="00675880"/>
    <w:rsid w:val="006758BB"/>
    <w:rsid w:val="00675CF9"/>
    <w:rsid w:val="00675DB5"/>
    <w:rsid w:val="00675EE2"/>
    <w:rsid w:val="00676C3A"/>
    <w:rsid w:val="00676D4E"/>
    <w:rsid w:val="0067759A"/>
    <w:rsid w:val="00680004"/>
    <w:rsid w:val="00680142"/>
    <w:rsid w:val="0068025F"/>
    <w:rsid w:val="00680B5C"/>
    <w:rsid w:val="00680D24"/>
    <w:rsid w:val="00680F19"/>
    <w:rsid w:val="006810E3"/>
    <w:rsid w:val="006817E5"/>
    <w:rsid w:val="006819B5"/>
    <w:rsid w:val="00681A5C"/>
    <w:rsid w:val="00681F8D"/>
    <w:rsid w:val="0068275A"/>
    <w:rsid w:val="00682938"/>
    <w:rsid w:val="00682E5D"/>
    <w:rsid w:val="006832B6"/>
    <w:rsid w:val="006838E2"/>
    <w:rsid w:val="00683A14"/>
    <w:rsid w:val="00683E05"/>
    <w:rsid w:val="006842FA"/>
    <w:rsid w:val="00685424"/>
    <w:rsid w:val="00685C8E"/>
    <w:rsid w:val="006870E0"/>
    <w:rsid w:val="006878A1"/>
    <w:rsid w:val="00687A0B"/>
    <w:rsid w:val="00691A9E"/>
    <w:rsid w:val="00691CDA"/>
    <w:rsid w:val="00691E34"/>
    <w:rsid w:val="00692185"/>
    <w:rsid w:val="00692306"/>
    <w:rsid w:val="0069245C"/>
    <w:rsid w:val="00692BC5"/>
    <w:rsid w:val="0069339E"/>
    <w:rsid w:val="0069350E"/>
    <w:rsid w:val="0069384B"/>
    <w:rsid w:val="00694032"/>
    <w:rsid w:val="00694918"/>
    <w:rsid w:val="00694EC4"/>
    <w:rsid w:val="00695351"/>
    <w:rsid w:val="00695D21"/>
    <w:rsid w:val="00695D6E"/>
    <w:rsid w:val="00695DD5"/>
    <w:rsid w:val="00696354"/>
    <w:rsid w:val="0069655F"/>
    <w:rsid w:val="00696678"/>
    <w:rsid w:val="00696B00"/>
    <w:rsid w:val="00696BBF"/>
    <w:rsid w:val="00696C1B"/>
    <w:rsid w:val="00697211"/>
    <w:rsid w:val="0069795D"/>
    <w:rsid w:val="006979A1"/>
    <w:rsid w:val="00697FDE"/>
    <w:rsid w:val="006A1060"/>
    <w:rsid w:val="006A127F"/>
    <w:rsid w:val="006A12C1"/>
    <w:rsid w:val="006A12CB"/>
    <w:rsid w:val="006A1DDA"/>
    <w:rsid w:val="006A2093"/>
    <w:rsid w:val="006A250D"/>
    <w:rsid w:val="006A288E"/>
    <w:rsid w:val="006A389E"/>
    <w:rsid w:val="006A38B7"/>
    <w:rsid w:val="006A3D0A"/>
    <w:rsid w:val="006A4868"/>
    <w:rsid w:val="006A4950"/>
    <w:rsid w:val="006A4BAE"/>
    <w:rsid w:val="006A4CB8"/>
    <w:rsid w:val="006A4F67"/>
    <w:rsid w:val="006A5018"/>
    <w:rsid w:val="006A5096"/>
    <w:rsid w:val="006A552A"/>
    <w:rsid w:val="006A5983"/>
    <w:rsid w:val="006A5E3E"/>
    <w:rsid w:val="006A5F30"/>
    <w:rsid w:val="006A6063"/>
    <w:rsid w:val="006A6111"/>
    <w:rsid w:val="006A6160"/>
    <w:rsid w:val="006A61C0"/>
    <w:rsid w:val="006A6873"/>
    <w:rsid w:val="006A6D01"/>
    <w:rsid w:val="006A6D85"/>
    <w:rsid w:val="006A6ECE"/>
    <w:rsid w:val="006A7723"/>
    <w:rsid w:val="006B10A9"/>
    <w:rsid w:val="006B1DD9"/>
    <w:rsid w:val="006B1F82"/>
    <w:rsid w:val="006B2467"/>
    <w:rsid w:val="006B2BFC"/>
    <w:rsid w:val="006B343D"/>
    <w:rsid w:val="006B3976"/>
    <w:rsid w:val="006B3B4B"/>
    <w:rsid w:val="006B3C2F"/>
    <w:rsid w:val="006B4665"/>
    <w:rsid w:val="006B4937"/>
    <w:rsid w:val="006B4A65"/>
    <w:rsid w:val="006B4E34"/>
    <w:rsid w:val="006B5389"/>
    <w:rsid w:val="006B578B"/>
    <w:rsid w:val="006B5DC6"/>
    <w:rsid w:val="006B5E9E"/>
    <w:rsid w:val="006B64EB"/>
    <w:rsid w:val="006B663D"/>
    <w:rsid w:val="006B6885"/>
    <w:rsid w:val="006B6993"/>
    <w:rsid w:val="006B6FD1"/>
    <w:rsid w:val="006B6FDF"/>
    <w:rsid w:val="006B73ED"/>
    <w:rsid w:val="006B745E"/>
    <w:rsid w:val="006C0726"/>
    <w:rsid w:val="006C0D60"/>
    <w:rsid w:val="006C1A28"/>
    <w:rsid w:val="006C1B99"/>
    <w:rsid w:val="006C1BEA"/>
    <w:rsid w:val="006C1F10"/>
    <w:rsid w:val="006C23CA"/>
    <w:rsid w:val="006C2D79"/>
    <w:rsid w:val="006C2E08"/>
    <w:rsid w:val="006C31B6"/>
    <w:rsid w:val="006C3740"/>
    <w:rsid w:val="006C37EC"/>
    <w:rsid w:val="006C3D85"/>
    <w:rsid w:val="006C4264"/>
    <w:rsid w:val="006C496E"/>
    <w:rsid w:val="006C4EDC"/>
    <w:rsid w:val="006C4FE4"/>
    <w:rsid w:val="006C550C"/>
    <w:rsid w:val="006C58C0"/>
    <w:rsid w:val="006C5B8F"/>
    <w:rsid w:val="006C61F3"/>
    <w:rsid w:val="006C68A6"/>
    <w:rsid w:val="006C6A5F"/>
    <w:rsid w:val="006C6F02"/>
    <w:rsid w:val="006C710B"/>
    <w:rsid w:val="006C7873"/>
    <w:rsid w:val="006D012F"/>
    <w:rsid w:val="006D0571"/>
    <w:rsid w:val="006D07DD"/>
    <w:rsid w:val="006D0A81"/>
    <w:rsid w:val="006D0CB8"/>
    <w:rsid w:val="006D190E"/>
    <w:rsid w:val="006D1F85"/>
    <w:rsid w:val="006D225B"/>
    <w:rsid w:val="006D2A71"/>
    <w:rsid w:val="006D2B27"/>
    <w:rsid w:val="006D2C00"/>
    <w:rsid w:val="006D2CA4"/>
    <w:rsid w:val="006D33A3"/>
    <w:rsid w:val="006D36FE"/>
    <w:rsid w:val="006D3E82"/>
    <w:rsid w:val="006D404B"/>
    <w:rsid w:val="006D426F"/>
    <w:rsid w:val="006D47E9"/>
    <w:rsid w:val="006D491C"/>
    <w:rsid w:val="006D4EE5"/>
    <w:rsid w:val="006D539E"/>
    <w:rsid w:val="006D5A1C"/>
    <w:rsid w:val="006D5C5C"/>
    <w:rsid w:val="006D60C3"/>
    <w:rsid w:val="006D638A"/>
    <w:rsid w:val="006D672E"/>
    <w:rsid w:val="006D6836"/>
    <w:rsid w:val="006D69A7"/>
    <w:rsid w:val="006D6BAF"/>
    <w:rsid w:val="006D72AA"/>
    <w:rsid w:val="006D7B17"/>
    <w:rsid w:val="006E0572"/>
    <w:rsid w:val="006E09F2"/>
    <w:rsid w:val="006E0C92"/>
    <w:rsid w:val="006E0EC7"/>
    <w:rsid w:val="006E0F14"/>
    <w:rsid w:val="006E10B2"/>
    <w:rsid w:val="006E14E7"/>
    <w:rsid w:val="006E179D"/>
    <w:rsid w:val="006E1D63"/>
    <w:rsid w:val="006E2577"/>
    <w:rsid w:val="006E2C56"/>
    <w:rsid w:val="006E2FAC"/>
    <w:rsid w:val="006E3794"/>
    <w:rsid w:val="006E397B"/>
    <w:rsid w:val="006E4380"/>
    <w:rsid w:val="006E43C3"/>
    <w:rsid w:val="006E44C5"/>
    <w:rsid w:val="006E58E8"/>
    <w:rsid w:val="006E5E28"/>
    <w:rsid w:val="006E5E33"/>
    <w:rsid w:val="006E5F66"/>
    <w:rsid w:val="006E6183"/>
    <w:rsid w:val="006E6574"/>
    <w:rsid w:val="006E6FDE"/>
    <w:rsid w:val="006E7655"/>
    <w:rsid w:val="006E7980"/>
    <w:rsid w:val="006E7E32"/>
    <w:rsid w:val="006F0050"/>
    <w:rsid w:val="006F00B2"/>
    <w:rsid w:val="006F023A"/>
    <w:rsid w:val="006F067C"/>
    <w:rsid w:val="006F0A4F"/>
    <w:rsid w:val="006F0C64"/>
    <w:rsid w:val="006F0D0B"/>
    <w:rsid w:val="006F0FE5"/>
    <w:rsid w:val="006F1549"/>
    <w:rsid w:val="006F161E"/>
    <w:rsid w:val="006F232A"/>
    <w:rsid w:val="006F2AFE"/>
    <w:rsid w:val="006F2C15"/>
    <w:rsid w:val="006F3177"/>
    <w:rsid w:val="006F384B"/>
    <w:rsid w:val="006F3BD3"/>
    <w:rsid w:val="006F3FD4"/>
    <w:rsid w:val="006F40A8"/>
    <w:rsid w:val="006F4305"/>
    <w:rsid w:val="006F4771"/>
    <w:rsid w:val="006F4AE7"/>
    <w:rsid w:val="006F4B91"/>
    <w:rsid w:val="006F4DF0"/>
    <w:rsid w:val="006F5093"/>
    <w:rsid w:val="006F50B0"/>
    <w:rsid w:val="006F574A"/>
    <w:rsid w:val="006F5785"/>
    <w:rsid w:val="006F5927"/>
    <w:rsid w:val="006F5DDC"/>
    <w:rsid w:val="006F5F2D"/>
    <w:rsid w:val="006F6023"/>
    <w:rsid w:val="006F60F9"/>
    <w:rsid w:val="006F6E39"/>
    <w:rsid w:val="006F7C82"/>
    <w:rsid w:val="006F7DA2"/>
    <w:rsid w:val="00700438"/>
    <w:rsid w:val="007005A3"/>
    <w:rsid w:val="00700AA2"/>
    <w:rsid w:val="00700ACF"/>
    <w:rsid w:val="00700C04"/>
    <w:rsid w:val="00701283"/>
    <w:rsid w:val="00701FAD"/>
    <w:rsid w:val="007025C0"/>
    <w:rsid w:val="00702959"/>
    <w:rsid w:val="00702A88"/>
    <w:rsid w:val="00702DBC"/>
    <w:rsid w:val="007033AE"/>
    <w:rsid w:val="00703565"/>
    <w:rsid w:val="00703919"/>
    <w:rsid w:val="00703EF5"/>
    <w:rsid w:val="00703F8E"/>
    <w:rsid w:val="00704A15"/>
    <w:rsid w:val="00704CED"/>
    <w:rsid w:val="00704EAB"/>
    <w:rsid w:val="00705372"/>
    <w:rsid w:val="0070558B"/>
    <w:rsid w:val="00705948"/>
    <w:rsid w:val="00705D2B"/>
    <w:rsid w:val="0070737E"/>
    <w:rsid w:val="007074D1"/>
    <w:rsid w:val="0071015D"/>
    <w:rsid w:val="0071076A"/>
    <w:rsid w:val="007107E7"/>
    <w:rsid w:val="00711109"/>
    <w:rsid w:val="00711979"/>
    <w:rsid w:val="00712122"/>
    <w:rsid w:val="007126D4"/>
    <w:rsid w:val="00712B35"/>
    <w:rsid w:val="00712D2B"/>
    <w:rsid w:val="00713030"/>
    <w:rsid w:val="007134FD"/>
    <w:rsid w:val="007137FC"/>
    <w:rsid w:val="007141E8"/>
    <w:rsid w:val="0071448A"/>
    <w:rsid w:val="007146B1"/>
    <w:rsid w:val="00714862"/>
    <w:rsid w:val="00714B0A"/>
    <w:rsid w:val="00714CF2"/>
    <w:rsid w:val="007151EE"/>
    <w:rsid w:val="00715265"/>
    <w:rsid w:val="007156B9"/>
    <w:rsid w:val="00715D66"/>
    <w:rsid w:val="00716390"/>
    <w:rsid w:val="007168E2"/>
    <w:rsid w:val="007172B6"/>
    <w:rsid w:val="00717413"/>
    <w:rsid w:val="00717DFB"/>
    <w:rsid w:val="00720000"/>
    <w:rsid w:val="007200B1"/>
    <w:rsid w:val="007203ED"/>
    <w:rsid w:val="00720448"/>
    <w:rsid w:val="00720817"/>
    <w:rsid w:val="00720C45"/>
    <w:rsid w:val="00720CE4"/>
    <w:rsid w:val="0072100E"/>
    <w:rsid w:val="007218C5"/>
    <w:rsid w:val="00721CFF"/>
    <w:rsid w:val="00721DA8"/>
    <w:rsid w:val="00721E24"/>
    <w:rsid w:val="00722850"/>
    <w:rsid w:val="00722CBC"/>
    <w:rsid w:val="00722E91"/>
    <w:rsid w:val="00722FAE"/>
    <w:rsid w:val="007233F8"/>
    <w:rsid w:val="00723604"/>
    <w:rsid w:val="00723753"/>
    <w:rsid w:val="00723A0D"/>
    <w:rsid w:val="00724161"/>
    <w:rsid w:val="007241FB"/>
    <w:rsid w:val="0072504F"/>
    <w:rsid w:val="0072505B"/>
    <w:rsid w:val="00725D89"/>
    <w:rsid w:val="00725FA9"/>
    <w:rsid w:val="00726321"/>
    <w:rsid w:val="00726E1E"/>
    <w:rsid w:val="00727183"/>
    <w:rsid w:val="007271A4"/>
    <w:rsid w:val="0072781E"/>
    <w:rsid w:val="00727E72"/>
    <w:rsid w:val="00727F09"/>
    <w:rsid w:val="0073029A"/>
    <w:rsid w:val="00730A9F"/>
    <w:rsid w:val="007318B1"/>
    <w:rsid w:val="00731A84"/>
    <w:rsid w:val="007321B0"/>
    <w:rsid w:val="0073353F"/>
    <w:rsid w:val="0073444D"/>
    <w:rsid w:val="0073459B"/>
    <w:rsid w:val="00734736"/>
    <w:rsid w:val="0073480A"/>
    <w:rsid w:val="00734B71"/>
    <w:rsid w:val="00734B95"/>
    <w:rsid w:val="00734C67"/>
    <w:rsid w:val="00734DC4"/>
    <w:rsid w:val="0073560C"/>
    <w:rsid w:val="00735A91"/>
    <w:rsid w:val="00735AF4"/>
    <w:rsid w:val="00735C8C"/>
    <w:rsid w:val="00735D24"/>
    <w:rsid w:val="00735F4B"/>
    <w:rsid w:val="00736068"/>
    <w:rsid w:val="007360A8"/>
    <w:rsid w:val="00736467"/>
    <w:rsid w:val="00736CB2"/>
    <w:rsid w:val="0073769F"/>
    <w:rsid w:val="007379AA"/>
    <w:rsid w:val="00740257"/>
    <w:rsid w:val="007403FB"/>
    <w:rsid w:val="0074084F"/>
    <w:rsid w:val="00740A97"/>
    <w:rsid w:val="0074107B"/>
    <w:rsid w:val="00741537"/>
    <w:rsid w:val="00741619"/>
    <w:rsid w:val="007416B4"/>
    <w:rsid w:val="00741E75"/>
    <w:rsid w:val="007423E3"/>
    <w:rsid w:val="00742E45"/>
    <w:rsid w:val="00742F76"/>
    <w:rsid w:val="00743942"/>
    <w:rsid w:val="00743F29"/>
    <w:rsid w:val="007447AF"/>
    <w:rsid w:val="00744972"/>
    <w:rsid w:val="00744FE1"/>
    <w:rsid w:val="00745467"/>
    <w:rsid w:val="007456E2"/>
    <w:rsid w:val="00746121"/>
    <w:rsid w:val="0074692E"/>
    <w:rsid w:val="00747115"/>
    <w:rsid w:val="007473AD"/>
    <w:rsid w:val="00747461"/>
    <w:rsid w:val="007475A2"/>
    <w:rsid w:val="00747B0A"/>
    <w:rsid w:val="00747DB4"/>
    <w:rsid w:val="0075006D"/>
    <w:rsid w:val="007503D0"/>
    <w:rsid w:val="00750816"/>
    <w:rsid w:val="00750A28"/>
    <w:rsid w:val="00750AA9"/>
    <w:rsid w:val="00750C99"/>
    <w:rsid w:val="007513D6"/>
    <w:rsid w:val="007519D6"/>
    <w:rsid w:val="00751CF0"/>
    <w:rsid w:val="00752234"/>
    <w:rsid w:val="00752423"/>
    <w:rsid w:val="0075275F"/>
    <w:rsid w:val="00752B5C"/>
    <w:rsid w:val="007530F3"/>
    <w:rsid w:val="007533B1"/>
    <w:rsid w:val="007536B0"/>
    <w:rsid w:val="0075379A"/>
    <w:rsid w:val="00754033"/>
    <w:rsid w:val="007540BB"/>
    <w:rsid w:val="007544F4"/>
    <w:rsid w:val="007547F6"/>
    <w:rsid w:val="00754D3C"/>
    <w:rsid w:val="00754F2F"/>
    <w:rsid w:val="00755033"/>
    <w:rsid w:val="00755B19"/>
    <w:rsid w:val="00755CD8"/>
    <w:rsid w:val="00756166"/>
    <w:rsid w:val="00756360"/>
    <w:rsid w:val="00756A44"/>
    <w:rsid w:val="00756D54"/>
    <w:rsid w:val="00757361"/>
    <w:rsid w:val="00757417"/>
    <w:rsid w:val="00757AE1"/>
    <w:rsid w:val="00757B0D"/>
    <w:rsid w:val="00757B62"/>
    <w:rsid w:val="00757F2C"/>
    <w:rsid w:val="0075BCC8"/>
    <w:rsid w:val="0076020D"/>
    <w:rsid w:val="00760227"/>
    <w:rsid w:val="00760D0C"/>
    <w:rsid w:val="00760E94"/>
    <w:rsid w:val="007618E3"/>
    <w:rsid w:val="00761C7C"/>
    <w:rsid w:val="007624FD"/>
    <w:rsid w:val="00763170"/>
    <w:rsid w:val="00763181"/>
    <w:rsid w:val="00763468"/>
    <w:rsid w:val="007634C7"/>
    <w:rsid w:val="00763575"/>
    <w:rsid w:val="00763F21"/>
    <w:rsid w:val="007644DF"/>
    <w:rsid w:val="00764AAB"/>
    <w:rsid w:val="00764CA8"/>
    <w:rsid w:val="0076530C"/>
    <w:rsid w:val="00765750"/>
    <w:rsid w:val="00765755"/>
    <w:rsid w:val="007657C1"/>
    <w:rsid w:val="00765C02"/>
    <w:rsid w:val="00765CDB"/>
    <w:rsid w:val="00765D15"/>
    <w:rsid w:val="00766744"/>
    <w:rsid w:val="007669A1"/>
    <w:rsid w:val="00766A49"/>
    <w:rsid w:val="00766DF7"/>
    <w:rsid w:val="00766F58"/>
    <w:rsid w:val="0076725F"/>
    <w:rsid w:val="00767719"/>
    <w:rsid w:val="00767DA5"/>
    <w:rsid w:val="00770027"/>
    <w:rsid w:val="00770408"/>
    <w:rsid w:val="00770A59"/>
    <w:rsid w:val="00770C43"/>
    <w:rsid w:val="0077140E"/>
    <w:rsid w:val="0077146F"/>
    <w:rsid w:val="00771C5D"/>
    <w:rsid w:val="00771CE1"/>
    <w:rsid w:val="007729EA"/>
    <w:rsid w:val="00772F64"/>
    <w:rsid w:val="0077396B"/>
    <w:rsid w:val="00773C5D"/>
    <w:rsid w:val="00773CA7"/>
    <w:rsid w:val="0077481D"/>
    <w:rsid w:val="00774F2C"/>
    <w:rsid w:val="00775301"/>
    <w:rsid w:val="007758BB"/>
    <w:rsid w:val="0077598B"/>
    <w:rsid w:val="007759BE"/>
    <w:rsid w:val="007766F8"/>
    <w:rsid w:val="0077755F"/>
    <w:rsid w:val="007775CE"/>
    <w:rsid w:val="00777AD6"/>
    <w:rsid w:val="00777B14"/>
    <w:rsid w:val="00780045"/>
    <w:rsid w:val="00780368"/>
    <w:rsid w:val="0078044D"/>
    <w:rsid w:val="00780638"/>
    <w:rsid w:val="00780A66"/>
    <w:rsid w:val="00780B07"/>
    <w:rsid w:val="0078109E"/>
    <w:rsid w:val="007814B0"/>
    <w:rsid w:val="00782126"/>
    <w:rsid w:val="00782906"/>
    <w:rsid w:val="00782FF3"/>
    <w:rsid w:val="007835B6"/>
    <w:rsid w:val="00783D3B"/>
    <w:rsid w:val="007840F6"/>
    <w:rsid w:val="0078552F"/>
    <w:rsid w:val="00785839"/>
    <w:rsid w:val="007858FB"/>
    <w:rsid w:val="0078639D"/>
    <w:rsid w:val="00786607"/>
    <w:rsid w:val="0078666F"/>
    <w:rsid w:val="0078702A"/>
    <w:rsid w:val="007871DC"/>
    <w:rsid w:val="007871DE"/>
    <w:rsid w:val="007875BA"/>
    <w:rsid w:val="0078764C"/>
    <w:rsid w:val="00787DD2"/>
    <w:rsid w:val="00787EAD"/>
    <w:rsid w:val="007902CF"/>
    <w:rsid w:val="00790CC9"/>
    <w:rsid w:val="007919F4"/>
    <w:rsid w:val="00792156"/>
    <w:rsid w:val="007926DA"/>
    <w:rsid w:val="00792E4A"/>
    <w:rsid w:val="00792FD5"/>
    <w:rsid w:val="007941FC"/>
    <w:rsid w:val="0079464B"/>
    <w:rsid w:val="00794830"/>
    <w:rsid w:val="00794D33"/>
    <w:rsid w:val="00794EEA"/>
    <w:rsid w:val="0079589B"/>
    <w:rsid w:val="00795D18"/>
    <w:rsid w:val="0079637C"/>
    <w:rsid w:val="00796594"/>
    <w:rsid w:val="00796744"/>
    <w:rsid w:val="00796D8A"/>
    <w:rsid w:val="00796D97"/>
    <w:rsid w:val="0079716C"/>
    <w:rsid w:val="007971ED"/>
    <w:rsid w:val="007979B2"/>
    <w:rsid w:val="00797CDC"/>
    <w:rsid w:val="007A04E1"/>
    <w:rsid w:val="007A0548"/>
    <w:rsid w:val="007A0957"/>
    <w:rsid w:val="007A1126"/>
    <w:rsid w:val="007A11EF"/>
    <w:rsid w:val="007A1962"/>
    <w:rsid w:val="007A199C"/>
    <w:rsid w:val="007A1A26"/>
    <w:rsid w:val="007A2463"/>
    <w:rsid w:val="007A2516"/>
    <w:rsid w:val="007A2A95"/>
    <w:rsid w:val="007A31DA"/>
    <w:rsid w:val="007A3D78"/>
    <w:rsid w:val="007A406D"/>
    <w:rsid w:val="007A42BD"/>
    <w:rsid w:val="007A42E6"/>
    <w:rsid w:val="007A47B9"/>
    <w:rsid w:val="007A47F5"/>
    <w:rsid w:val="007A49BC"/>
    <w:rsid w:val="007A4CE6"/>
    <w:rsid w:val="007A5210"/>
    <w:rsid w:val="007A56F2"/>
    <w:rsid w:val="007A582D"/>
    <w:rsid w:val="007A5EBB"/>
    <w:rsid w:val="007A6073"/>
    <w:rsid w:val="007A62B0"/>
    <w:rsid w:val="007A7121"/>
    <w:rsid w:val="007A7923"/>
    <w:rsid w:val="007A79E1"/>
    <w:rsid w:val="007A7EEB"/>
    <w:rsid w:val="007B06E2"/>
    <w:rsid w:val="007B084C"/>
    <w:rsid w:val="007B0946"/>
    <w:rsid w:val="007B0AC7"/>
    <w:rsid w:val="007B0D2D"/>
    <w:rsid w:val="007B12A4"/>
    <w:rsid w:val="007B16BD"/>
    <w:rsid w:val="007B1A5C"/>
    <w:rsid w:val="007B1B95"/>
    <w:rsid w:val="007B1D09"/>
    <w:rsid w:val="007B20FE"/>
    <w:rsid w:val="007B22AA"/>
    <w:rsid w:val="007B2488"/>
    <w:rsid w:val="007B3214"/>
    <w:rsid w:val="007B3302"/>
    <w:rsid w:val="007B3BE6"/>
    <w:rsid w:val="007B3E70"/>
    <w:rsid w:val="007B4BD6"/>
    <w:rsid w:val="007B5C06"/>
    <w:rsid w:val="007B5C0D"/>
    <w:rsid w:val="007B5D0F"/>
    <w:rsid w:val="007B642F"/>
    <w:rsid w:val="007B674F"/>
    <w:rsid w:val="007B69CC"/>
    <w:rsid w:val="007B6A92"/>
    <w:rsid w:val="007B6CDD"/>
    <w:rsid w:val="007B71D8"/>
    <w:rsid w:val="007B76C2"/>
    <w:rsid w:val="007B7A45"/>
    <w:rsid w:val="007B7A4F"/>
    <w:rsid w:val="007B7B3A"/>
    <w:rsid w:val="007C0178"/>
    <w:rsid w:val="007C09BC"/>
    <w:rsid w:val="007C0BAA"/>
    <w:rsid w:val="007C14FB"/>
    <w:rsid w:val="007C1A9E"/>
    <w:rsid w:val="007C1DED"/>
    <w:rsid w:val="007C2076"/>
    <w:rsid w:val="007C220F"/>
    <w:rsid w:val="007C2AE6"/>
    <w:rsid w:val="007C2DD3"/>
    <w:rsid w:val="007C2F23"/>
    <w:rsid w:val="007C3141"/>
    <w:rsid w:val="007C3EA7"/>
    <w:rsid w:val="007C418C"/>
    <w:rsid w:val="007C43BD"/>
    <w:rsid w:val="007C470D"/>
    <w:rsid w:val="007C4ADF"/>
    <w:rsid w:val="007C5557"/>
    <w:rsid w:val="007C56A7"/>
    <w:rsid w:val="007C5A0C"/>
    <w:rsid w:val="007C5CAA"/>
    <w:rsid w:val="007C62B8"/>
    <w:rsid w:val="007C6E5A"/>
    <w:rsid w:val="007C6EF2"/>
    <w:rsid w:val="007C71CF"/>
    <w:rsid w:val="007D0321"/>
    <w:rsid w:val="007D0866"/>
    <w:rsid w:val="007D12A3"/>
    <w:rsid w:val="007D1B23"/>
    <w:rsid w:val="007D1D17"/>
    <w:rsid w:val="007D1EBC"/>
    <w:rsid w:val="007D2392"/>
    <w:rsid w:val="007D25DA"/>
    <w:rsid w:val="007D25FB"/>
    <w:rsid w:val="007D2665"/>
    <w:rsid w:val="007D2737"/>
    <w:rsid w:val="007D31BA"/>
    <w:rsid w:val="007D3693"/>
    <w:rsid w:val="007D36C4"/>
    <w:rsid w:val="007D3C1C"/>
    <w:rsid w:val="007D3E79"/>
    <w:rsid w:val="007D4143"/>
    <w:rsid w:val="007D5245"/>
    <w:rsid w:val="007D5588"/>
    <w:rsid w:val="007D5845"/>
    <w:rsid w:val="007D5874"/>
    <w:rsid w:val="007D5A94"/>
    <w:rsid w:val="007D5EC5"/>
    <w:rsid w:val="007D5F47"/>
    <w:rsid w:val="007D6281"/>
    <w:rsid w:val="007D63A8"/>
    <w:rsid w:val="007D694B"/>
    <w:rsid w:val="007D6B72"/>
    <w:rsid w:val="007D6F7C"/>
    <w:rsid w:val="007D7513"/>
    <w:rsid w:val="007D78DE"/>
    <w:rsid w:val="007D798B"/>
    <w:rsid w:val="007D7C9F"/>
    <w:rsid w:val="007D7D17"/>
    <w:rsid w:val="007D7E88"/>
    <w:rsid w:val="007E0FEE"/>
    <w:rsid w:val="007E1609"/>
    <w:rsid w:val="007E1964"/>
    <w:rsid w:val="007E19F6"/>
    <w:rsid w:val="007E217B"/>
    <w:rsid w:val="007E21A6"/>
    <w:rsid w:val="007E3037"/>
    <w:rsid w:val="007E3674"/>
    <w:rsid w:val="007E3D87"/>
    <w:rsid w:val="007E3FC5"/>
    <w:rsid w:val="007E4810"/>
    <w:rsid w:val="007E4F61"/>
    <w:rsid w:val="007E5298"/>
    <w:rsid w:val="007E5471"/>
    <w:rsid w:val="007E5629"/>
    <w:rsid w:val="007E5E9B"/>
    <w:rsid w:val="007E6387"/>
    <w:rsid w:val="007E6AB5"/>
    <w:rsid w:val="007E6EAA"/>
    <w:rsid w:val="007E714E"/>
    <w:rsid w:val="007E7B17"/>
    <w:rsid w:val="007F004B"/>
    <w:rsid w:val="007F0379"/>
    <w:rsid w:val="007F0A97"/>
    <w:rsid w:val="007F0BB0"/>
    <w:rsid w:val="007F1371"/>
    <w:rsid w:val="007F1394"/>
    <w:rsid w:val="007F17E3"/>
    <w:rsid w:val="007F1B9B"/>
    <w:rsid w:val="007F1E95"/>
    <w:rsid w:val="007F1F44"/>
    <w:rsid w:val="007F2017"/>
    <w:rsid w:val="007F23AC"/>
    <w:rsid w:val="007F2494"/>
    <w:rsid w:val="007F2A64"/>
    <w:rsid w:val="007F2AF2"/>
    <w:rsid w:val="007F3576"/>
    <w:rsid w:val="007F3F43"/>
    <w:rsid w:val="007F41E5"/>
    <w:rsid w:val="007F42EC"/>
    <w:rsid w:val="007F4D47"/>
    <w:rsid w:val="007F523F"/>
    <w:rsid w:val="007F587D"/>
    <w:rsid w:val="007F597B"/>
    <w:rsid w:val="007F5A9A"/>
    <w:rsid w:val="007F5D35"/>
    <w:rsid w:val="007F62C2"/>
    <w:rsid w:val="007F6600"/>
    <w:rsid w:val="007F74FA"/>
    <w:rsid w:val="007F7704"/>
    <w:rsid w:val="007F7956"/>
    <w:rsid w:val="007F7BBE"/>
    <w:rsid w:val="00800920"/>
    <w:rsid w:val="008011B2"/>
    <w:rsid w:val="008022B5"/>
    <w:rsid w:val="008033BC"/>
    <w:rsid w:val="00803BDD"/>
    <w:rsid w:val="0080400B"/>
    <w:rsid w:val="00804211"/>
    <w:rsid w:val="008043E8"/>
    <w:rsid w:val="00804525"/>
    <w:rsid w:val="00804A95"/>
    <w:rsid w:val="00804BFC"/>
    <w:rsid w:val="00804F90"/>
    <w:rsid w:val="0080589D"/>
    <w:rsid w:val="008063F8"/>
    <w:rsid w:val="0080662B"/>
    <w:rsid w:val="00806756"/>
    <w:rsid w:val="008068ED"/>
    <w:rsid w:val="00806ADE"/>
    <w:rsid w:val="00806B52"/>
    <w:rsid w:val="008070CF"/>
    <w:rsid w:val="008070DD"/>
    <w:rsid w:val="00807121"/>
    <w:rsid w:val="00807336"/>
    <w:rsid w:val="0080782A"/>
    <w:rsid w:val="00807838"/>
    <w:rsid w:val="00807F50"/>
    <w:rsid w:val="0081025D"/>
    <w:rsid w:val="008105EB"/>
    <w:rsid w:val="00810E2D"/>
    <w:rsid w:val="00811760"/>
    <w:rsid w:val="0081187A"/>
    <w:rsid w:val="00812ED7"/>
    <w:rsid w:val="0081386E"/>
    <w:rsid w:val="0081420E"/>
    <w:rsid w:val="0081499E"/>
    <w:rsid w:val="0081554D"/>
    <w:rsid w:val="008158C8"/>
    <w:rsid w:val="008159CF"/>
    <w:rsid w:val="00815C99"/>
    <w:rsid w:val="0081655A"/>
    <w:rsid w:val="0081659C"/>
    <w:rsid w:val="00816E05"/>
    <w:rsid w:val="0081708F"/>
    <w:rsid w:val="00817488"/>
    <w:rsid w:val="0082120C"/>
    <w:rsid w:val="008214D4"/>
    <w:rsid w:val="00821E71"/>
    <w:rsid w:val="00821F56"/>
    <w:rsid w:val="0082206A"/>
    <w:rsid w:val="00822274"/>
    <w:rsid w:val="008222E3"/>
    <w:rsid w:val="00824001"/>
    <w:rsid w:val="008240BB"/>
    <w:rsid w:val="008240CA"/>
    <w:rsid w:val="00824588"/>
    <w:rsid w:val="00824790"/>
    <w:rsid w:val="00824C67"/>
    <w:rsid w:val="0082523C"/>
    <w:rsid w:val="00825723"/>
    <w:rsid w:val="00825745"/>
    <w:rsid w:val="00825758"/>
    <w:rsid w:val="008259F3"/>
    <w:rsid w:val="00825AC3"/>
    <w:rsid w:val="00827868"/>
    <w:rsid w:val="00827B38"/>
    <w:rsid w:val="0082BA0A"/>
    <w:rsid w:val="008308DE"/>
    <w:rsid w:val="00830EA9"/>
    <w:rsid w:val="00831A3A"/>
    <w:rsid w:val="00831D3D"/>
    <w:rsid w:val="00832214"/>
    <w:rsid w:val="00832417"/>
    <w:rsid w:val="00832581"/>
    <w:rsid w:val="008328E8"/>
    <w:rsid w:val="00833384"/>
    <w:rsid w:val="0083355E"/>
    <w:rsid w:val="00833806"/>
    <w:rsid w:val="008339BB"/>
    <w:rsid w:val="00833BBF"/>
    <w:rsid w:val="00833FC8"/>
    <w:rsid w:val="0083404C"/>
    <w:rsid w:val="00834462"/>
    <w:rsid w:val="008344AB"/>
    <w:rsid w:val="0083461C"/>
    <w:rsid w:val="00834775"/>
    <w:rsid w:val="008349BC"/>
    <w:rsid w:val="00834A36"/>
    <w:rsid w:val="00834A83"/>
    <w:rsid w:val="00834ADC"/>
    <w:rsid w:val="00835A5C"/>
    <w:rsid w:val="00835C2B"/>
    <w:rsid w:val="008363A0"/>
    <w:rsid w:val="00836500"/>
    <w:rsid w:val="00836A21"/>
    <w:rsid w:val="008375AF"/>
    <w:rsid w:val="008375D0"/>
    <w:rsid w:val="00837734"/>
    <w:rsid w:val="0083784B"/>
    <w:rsid w:val="00840620"/>
    <w:rsid w:val="0084091E"/>
    <w:rsid w:val="00840A19"/>
    <w:rsid w:val="00840C22"/>
    <w:rsid w:val="00841226"/>
    <w:rsid w:val="008414D3"/>
    <w:rsid w:val="008416E9"/>
    <w:rsid w:val="00841DF1"/>
    <w:rsid w:val="0084205C"/>
    <w:rsid w:val="00842400"/>
    <w:rsid w:val="008424EB"/>
    <w:rsid w:val="008429CA"/>
    <w:rsid w:val="00842A53"/>
    <w:rsid w:val="00842C32"/>
    <w:rsid w:val="00842FDB"/>
    <w:rsid w:val="0084330C"/>
    <w:rsid w:val="00843A8B"/>
    <w:rsid w:val="008443FE"/>
    <w:rsid w:val="008444A3"/>
    <w:rsid w:val="00844588"/>
    <w:rsid w:val="00844693"/>
    <w:rsid w:val="008446C8"/>
    <w:rsid w:val="008446CD"/>
    <w:rsid w:val="00844D0B"/>
    <w:rsid w:val="00845808"/>
    <w:rsid w:val="00845AC5"/>
    <w:rsid w:val="00845B7C"/>
    <w:rsid w:val="00845B87"/>
    <w:rsid w:val="00845FA8"/>
    <w:rsid w:val="008467A3"/>
    <w:rsid w:val="008468E5"/>
    <w:rsid w:val="0084691A"/>
    <w:rsid w:val="00846D24"/>
    <w:rsid w:val="00846D6E"/>
    <w:rsid w:val="00847009"/>
    <w:rsid w:val="00847828"/>
    <w:rsid w:val="0085035D"/>
    <w:rsid w:val="00850578"/>
    <w:rsid w:val="008507B6"/>
    <w:rsid w:val="00851113"/>
    <w:rsid w:val="008515CA"/>
    <w:rsid w:val="0085185D"/>
    <w:rsid w:val="00851DE2"/>
    <w:rsid w:val="00852F3C"/>
    <w:rsid w:val="0085365F"/>
    <w:rsid w:val="00854504"/>
    <w:rsid w:val="00854657"/>
    <w:rsid w:val="008546B6"/>
    <w:rsid w:val="008547CD"/>
    <w:rsid w:val="00854AFF"/>
    <w:rsid w:val="008550A5"/>
    <w:rsid w:val="00855373"/>
    <w:rsid w:val="00855686"/>
    <w:rsid w:val="00855754"/>
    <w:rsid w:val="00856099"/>
    <w:rsid w:val="00856C79"/>
    <w:rsid w:val="008578DE"/>
    <w:rsid w:val="00860479"/>
    <w:rsid w:val="008605B8"/>
    <w:rsid w:val="008605E5"/>
    <w:rsid w:val="008607D8"/>
    <w:rsid w:val="008608CA"/>
    <w:rsid w:val="00860C75"/>
    <w:rsid w:val="00860E39"/>
    <w:rsid w:val="00860E5C"/>
    <w:rsid w:val="00860E5F"/>
    <w:rsid w:val="008613BC"/>
    <w:rsid w:val="00861E5C"/>
    <w:rsid w:val="008629D7"/>
    <w:rsid w:val="008629F0"/>
    <w:rsid w:val="0086385C"/>
    <w:rsid w:val="0086386B"/>
    <w:rsid w:val="008640DA"/>
    <w:rsid w:val="0086419A"/>
    <w:rsid w:val="00864C00"/>
    <w:rsid w:val="00864E61"/>
    <w:rsid w:val="0086518E"/>
    <w:rsid w:val="00865555"/>
    <w:rsid w:val="008659E6"/>
    <w:rsid w:val="00866288"/>
    <w:rsid w:val="008662C4"/>
    <w:rsid w:val="00866548"/>
    <w:rsid w:val="0086657D"/>
    <w:rsid w:val="00866631"/>
    <w:rsid w:val="008669E9"/>
    <w:rsid w:val="00866A40"/>
    <w:rsid w:val="00866BF6"/>
    <w:rsid w:val="00866C5D"/>
    <w:rsid w:val="00866EE2"/>
    <w:rsid w:val="008670A6"/>
    <w:rsid w:val="0086713A"/>
    <w:rsid w:val="008679C0"/>
    <w:rsid w:val="00867E86"/>
    <w:rsid w:val="008700FE"/>
    <w:rsid w:val="0087023B"/>
    <w:rsid w:val="00870264"/>
    <w:rsid w:val="0087044B"/>
    <w:rsid w:val="0087063C"/>
    <w:rsid w:val="0087098F"/>
    <w:rsid w:val="00871152"/>
    <w:rsid w:val="0087132B"/>
    <w:rsid w:val="00871741"/>
    <w:rsid w:val="00871E95"/>
    <w:rsid w:val="00872AF2"/>
    <w:rsid w:val="00872C15"/>
    <w:rsid w:val="00872DEA"/>
    <w:rsid w:val="00873C14"/>
    <w:rsid w:val="00873FDC"/>
    <w:rsid w:val="00874B17"/>
    <w:rsid w:val="00875103"/>
    <w:rsid w:val="0087577B"/>
    <w:rsid w:val="00875D73"/>
    <w:rsid w:val="00876446"/>
    <w:rsid w:val="0087657E"/>
    <w:rsid w:val="00876597"/>
    <w:rsid w:val="0087660C"/>
    <w:rsid w:val="00876E2D"/>
    <w:rsid w:val="00876FDE"/>
    <w:rsid w:val="00877150"/>
    <w:rsid w:val="00877190"/>
    <w:rsid w:val="00877229"/>
    <w:rsid w:val="008772C9"/>
    <w:rsid w:val="00877FAA"/>
    <w:rsid w:val="008805A9"/>
    <w:rsid w:val="0088062D"/>
    <w:rsid w:val="00880888"/>
    <w:rsid w:val="008809D3"/>
    <w:rsid w:val="00880BF8"/>
    <w:rsid w:val="00880DFE"/>
    <w:rsid w:val="00881256"/>
    <w:rsid w:val="00881F1D"/>
    <w:rsid w:val="00882161"/>
    <w:rsid w:val="008823B8"/>
    <w:rsid w:val="00882A3C"/>
    <w:rsid w:val="00883283"/>
    <w:rsid w:val="00883400"/>
    <w:rsid w:val="008837B3"/>
    <w:rsid w:val="00883C07"/>
    <w:rsid w:val="00883CCB"/>
    <w:rsid w:val="008840F6"/>
    <w:rsid w:val="0088445B"/>
    <w:rsid w:val="00884B86"/>
    <w:rsid w:val="00885290"/>
    <w:rsid w:val="008852CF"/>
    <w:rsid w:val="00885752"/>
    <w:rsid w:val="00885864"/>
    <w:rsid w:val="008861D5"/>
    <w:rsid w:val="00886AFC"/>
    <w:rsid w:val="00886C2A"/>
    <w:rsid w:val="008871B4"/>
    <w:rsid w:val="0088754E"/>
    <w:rsid w:val="00887FEE"/>
    <w:rsid w:val="00890A52"/>
    <w:rsid w:val="00890B8A"/>
    <w:rsid w:val="00891040"/>
    <w:rsid w:val="00891189"/>
    <w:rsid w:val="008912BF"/>
    <w:rsid w:val="008914D7"/>
    <w:rsid w:val="00892497"/>
    <w:rsid w:val="0089252F"/>
    <w:rsid w:val="008925E5"/>
    <w:rsid w:val="00892897"/>
    <w:rsid w:val="00892E14"/>
    <w:rsid w:val="008935E3"/>
    <w:rsid w:val="00894895"/>
    <w:rsid w:val="008949A4"/>
    <w:rsid w:val="008949A7"/>
    <w:rsid w:val="00894D27"/>
    <w:rsid w:val="00895605"/>
    <w:rsid w:val="00896101"/>
    <w:rsid w:val="008970D2"/>
    <w:rsid w:val="00897215"/>
    <w:rsid w:val="008972A7"/>
    <w:rsid w:val="00897651"/>
    <w:rsid w:val="008977DD"/>
    <w:rsid w:val="00897B3C"/>
    <w:rsid w:val="00897C0C"/>
    <w:rsid w:val="008A010B"/>
    <w:rsid w:val="008A0442"/>
    <w:rsid w:val="008A0688"/>
    <w:rsid w:val="008A0BAF"/>
    <w:rsid w:val="008A117C"/>
    <w:rsid w:val="008A1242"/>
    <w:rsid w:val="008A16F6"/>
    <w:rsid w:val="008A179F"/>
    <w:rsid w:val="008A19A5"/>
    <w:rsid w:val="008A1C15"/>
    <w:rsid w:val="008A1C23"/>
    <w:rsid w:val="008A26A2"/>
    <w:rsid w:val="008A2836"/>
    <w:rsid w:val="008A295C"/>
    <w:rsid w:val="008A33F4"/>
    <w:rsid w:val="008A441F"/>
    <w:rsid w:val="008A501E"/>
    <w:rsid w:val="008A543A"/>
    <w:rsid w:val="008A58F1"/>
    <w:rsid w:val="008A5E41"/>
    <w:rsid w:val="008A5ED7"/>
    <w:rsid w:val="008A6259"/>
    <w:rsid w:val="008A6775"/>
    <w:rsid w:val="008A6C78"/>
    <w:rsid w:val="008A6E03"/>
    <w:rsid w:val="008A7155"/>
    <w:rsid w:val="008B016D"/>
    <w:rsid w:val="008B02B7"/>
    <w:rsid w:val="008B07B5"/>
    <w:rsid w:val="008B0864"/>
    <w:rsid w:val="008B086C"/>
    <w:rsid w:val="008B089E"/>
    <w:rsid w:val="008B08BF"/>
    <w:rsid w:val="008B08ED"/>
    <w:rsid w:val="008B0E17"/>
    <w:rsid w:val="008B1697"/>
    <w:rsid w:val="008B1E8E"/>
    <w:rsid w:val="008B2796"/>
    <w:rsid w:val="008B29AC"/>
    <w:rsid w:val="008B33FE"/>
    <w:rsid w:val="008B3544"/>
    <w:rsid w:val="008B363C"/>
    <w:rsid w:val="008B4199"/>
    <w:rsid w:val="008B43EE"/>
    <w:rsid w:val="008B456B"/>
    <w:rsid w:val="008B4629"/>
    <w:rsid w:val="008B4714"/>
    <w:rsid w:val="008B4AE5"/>
    <w:rsid w:val="008B54DA"/>
    <w:rsid w:val="008B5C0F"/>
    <w:rsid w:val="008B5CA5"/>
    <w:rsid w:val="008B619E"/>
    <w:rsid w:val="008B63E6"/>
    <w:rsid w:val="008C046B"/>
    <w:rsid w:val="008C0556"/>
    <w:rsid w:val="008C1032"/>
    <w:rsid w:val="008C124B"/>
    <w:rsid w:val="008C1405"/>
    <w:rsid w:val="008C1ED0"/>
    <w:rsid w:val="008C21AB"/>
    <w:rsid w:val="008C2709"/>
    <w:rsid w:val="008C2F03"/>
    <w:rsid w:val="008C3349"/>
    <w:rsid w:val="008C33B9"/>
    <w:rsid w:val="008C349A"/>
    <w:rsid w:val="008C3EE3"/>
    <w:rsid w:val="008C42D0"/>
    <w:rsid w:val="008C47B0"/>
    <w:rsid w:val="008C5343"/>
    <w:rsid w:val="008C5B80"/>
    <w:rsid w:val="008C6BCB"/>
    <w:rsid w:val="008C6EAA"/>
    <w:rsid w:val="008C7413"/>
    <w:rsid w:val="008C78DE"/>
    <w:rsid w:val="008C7B42"/>
    <w:rsid w:val="008C7D95"/>
    <w:rsid w:val="008D033D"/>
    <w:rsid w:val="008D07B2"/>
    <w:rsid w:val="008D0B99"/>
    <w:rsid w:val="008D0CD7"/>
    <w:rsid w:val="008D0CFC"/>
    <w:rsid w:val="008D1238"/>
    <w:rsid w:val="008D16B7"/>
    <w:rsid w:val="008D19B5"/>
    <w:rsid w:val="008D1C27"/>
    <w:rsid w:val="008D1F54"/>
    <w:rsid w:val="008D217E"/>
    <w:rsid w:val="008D2491"/>
    <w:rsid w:val="008D2551"/>
    <w:rsid w:val="008D25D5"/>
    <w:rsid w:val="008D2697"/>
    <w:rsid w:val="008D2C4D"/>
    <w:rsid w:val="008D3096"/>
    <w:rsid w:val="008D30F8"/>
    <w:rsid w:val="008D3227"/>
    <w:rsid w:val="008D322F"/>
    <w:rsid w:val="008D3350"/>
    <w:rsid w:val="008D33B6"/>
    <w:rsid w:val="008D3ACC"/>
    <w:rsid w:val="008D570E"/>
    <w:rsid w:val="008D58F5"/>
    <w:rsid w:val="008D5B89"/>
    <w:rsid w:val="008D5EC6"/>
    <w:rsid w:val="008D5ED1"/>
    <w:rsid w:val="008D629D"/>
    <w:rsid w:val="008D71F0"/>
    <w:rsid w:val="008D7379"/>
    <w:rsid w:val="008D7499"/>
    <w:rsid w:val="008D7DD4"/>
    <w:rsid w:val="008E06C5"/>
    <w:rsid w:val="008E127D"/>
    <w:rsid w:val="008E1FE9"/>
    <w:rsid w:val="008E22A2"/>
    <w:rsid w:val="008E2A72"/>
    <w:rsid w:val="008E2ADC"/>
    <w:rsid w:val="008E2F4A"/>
    <w:rsid w:val="008E3ED8"/>
    <w:rsid w:val="008E426D"/>
    <w:rsid w:val="008E475F"/>
    <w:rsid w:val="008E513B"/>
    <w:rsid w:val="008E51B3"/>
    <w:rsid w:val="008E53A1"/>
    <w:rsid w:val="008E5B5E"/>
    <w:rsid w:val="008E5F85"/>
    <w:rsid w:val="008E69EF"/>
    <w:rsid w:val="008E6AE6"/>
    <w:rsid w:val="008E6E12"/>
    <w:rsid w:val="008E7625"/>
    <w:rsid w:val="008E78E0"/>
    <w:rsid w:val="008E7FA0"/>
    <w:rsid w:val="008F0116"/>
    <w:rsid w:val="008F057E"/>
    <w:rsid w:val="008F0618"/>
    <w:rsid w:val="008F0FC0"/>
    <w:rsid w:val="008F12A5"/>
    <w:rsid w:val="008F143D"/>
    <w:rsid w:val="008F1E2F"/>
    <w:rsid w:val="008F20D7"/>
    <w:rsid w:val="008F2521"/>
    <w:rsid w:val="008F2640"/>
    <w:rsid w:val="008F2695"/>
    <w:rsid w:val="008F2B21"/>
    <w:rsid w:val="008F2D05"/>
    <w:rsid w:val="008F2ED3"/>
    <w:rsid w:val="008F331C"/>
    <w:rsid w:val="008F3591"/>
    <w:rsid w:val="008F3A71"/>
    <w:rsid w:val="008F3C97"/>
    <w:rsid w:val="008F3E40"/>
    <w:rsid w:val="008F4C41"/>
    <w:rsid w:val="008F4C8E"/>
    <w:rsid w:val="008F5094"/>
    <w:rsid w:val="008F5265"/>
    <w:rsid w:val="008F5A97"/>
    <w:rsid w:val="008F5F1B"/>
    <w:rsid w:val="008F61E7"/>
    <w:rsid w:val="008F65D6"/>
    <w:rsid w:val="008F70E6"/>
    <w:rsid w:val="008F7926"/>
    <w:rsid w:val="008F7A20"/>
    <w:rsid w:val="008F7AFB"/>
    <w:rsid w:val="008F7B19"/>
    <w:rsid w:val="008FC4E1"/>
    <w:rsid w:val="009000CA"/>
    <w:rsid w:val="00900120"/>
    <w:rsid w:val="0090012A"/>
    <w:rsid w:val="0090013F"/>
    <w:rsid w:val="0090031A"/>
    <w:rsid w:val="009005C5"/>
    <w:rsid w:val="00900AB2"/>
    <w:rsid w:val="00901259"/>
    <w:rsid w:val="0090133C"/>
    <w:rsid w:val="009015BD"/>
    <w:rsid w:val="00901E40"/>
    <w:rsid w:val="00901FA6"/>
    <w:rsid w:val="0090245C"/>
    <w:rsid w:val="00902950"/>
    <w:rsid w:val="00902B95"/>
    <w:rsid w:val="00902EF8"/>
    <w:rsid w:val="00903315"/>
    <w:rsid w:val="00903999"/>
    <w:rsid w:val="00903CC6"/>
    <w:rsid w:val="0090429E"/>
    <w:rsid w:val="009048E7"/>
    <w:rsid w:val="00904978"/>
    <w:rsid w:val="00904F42"/>
    <w:rsid w:val="009053A3"/>
    <w:rsid w:val="0090554D"/>
    <w:rsid w:val="00905A0A"/>
    <w:rsid w:val="00905C9E"/>
    <w:rsid w:val="00905EA7"/>
    <w:rsid w:val="009066DE"/>
    <w:rsid w:val="00907258"/>
    <w:rsid w:val="00907427"/>
    <w:rsid w:val="00907470"/>
    <w:rsid w:val="009074E7"/>
    <w:rsid w:val="0091022B"/>
    <w:rsid w:val="00910260"/>
    <w:rsid w:val="009102F6"/>
    <w:rsid w:val="0091102A"/>
    <w:rsid w:val="0091154C"/>
    <w:rsid w:val="00911705"/>
    <w:rsid w:val="009122AE"/>
    <w:rsid w:val="00912CB3"/>
    <w:rsid w:val="00913D52"/>
    <w:rsid w:val="0091452A"/>
    <w:rsid w:val="009145FD"/>
    <w:rsid w:val="00914642"/>
    <w:rsid w:val="00914D26"/>
    <w:rsid w:val="009155A4"/>
    <w:rsid w:val="009159C3"/>
    <w:rsid w:val="00916380"/>
    <w:rsid w:val="009165B6"/>
    <w:rsid w:val="00916BFF"/>
    <w:rsid w:val="00916C5C"/>
    <w:rsid w:val="00916DAA"/>
    <w:rsid w:val="00917675"/>
    <w:rsid w:val="0092008C"/>
    <w:rsid w:val="0092110E"/>
    <w:rsid w:val="00921194"/>
    <w:rsid w:val="0092185F"/>
    <w:rsid w:val="0092224E"/>
    <w:rsid w:val="009223AE"/>
    <w:rsid w:val="009224BE"/>
    <w:rsid w:val="0092259D"/>
    <w:rsid w:val="00922876"/>
    <w:rsid w:val="00922D6A"/>
    <w:rsid w:val="00922EEE"/>
    <w:rsid w:val="009230D2"/>
    <w:rsid w:val="00923169"/>
    <w:rsid w:val="00923382"/>
    <w:rsid w:val="00923637"/>
    <w:rsid w:val="00923933"/>
    <w:rsid w:val="00923F66"/>
    <w:rsid w:val="00924123"/>
    <w:rsid w:val="00925380"/>
    <w:rsid w:val="00925C8F"/>
    <w:rsid w:val="00925F3D"/>
    <w:rsid w:val="00926259"/>
    <w:rsid w:val="00926E4A"/>
    <w:rsid w:val="0092726C"/>
    <w:rsid w:val="00927744"/>
    <w:rsid w:val="00927932"/>
    <w:rsid w:val="009279D2"/>
    <w:rsid w:val="00927BA7"/>
    <w:rsid w:val="00927D81"/>
    <w:rsid w:val="00930294"/>
    <w:rsid w:val="009304EE"/>
    <w:rsid w:val="00930955"/>
    <w:rsid w:val="00931082"/>
    <w:rsid w:val="009313D2"/>
    <w:rsid w:val="00931425"/>
    <w:rsid w:val="009316AF"/>
    <w:rsid w:val="00931C40"/>
    <w:rsid w:val="00932071"/>
    <w:rsid w:val="00932865"/>
    <w:rsid w:val="0093387D"/>
    <w:rsid w:val="00933968"/>
    <w:rsid w:val="00933E4A"/>
    <w:rsid w:val="00933F2D"/>
    <w:rsid w:val="00934750"/>
    <w:rsid w:val="00934F26"/>
    <w:rsid w:val="0093568B"/>
    <w:rsid w:val="0093580C"/>
    <w:rsid w:val="00935B26"/>
    <w:rsid w:val="00935E1F"/>
    <w:rsid w:val="009363B4"/>
    <w:rsid w:val="00936743"/>
    <w:rsid w:val="0093679F"/>
    <w:rsid w:val="00936AC9"/>
    <w:rsid w:val="00936D7E"/>
    <w:rsid w:val="00936D99"/>
    <w:rsid w:val="009375B4"/>
    <w:rsid w:val="00937819"/>
    <w:rsid w:val="009379C5"/>
    <w:rsid w:val="00940B95"/>
    <w:rsid w:val="00940DF6"/>
    <w:rsid w:val="00941AF4"/>
    <w:rsid w:val="00941E25"/>
    <w:rsid w:val="0094213E"/>
    <w:rsid w:val="009422EA"/>
    <w:rsid w:val="009426B0"/>
    <w:rsid w:val="00942CB5"/>
    <w:rsid w:val="00942FC5"/>
    <w:rsid w:val="009438E6"/>
    <w:rsid w:val="009438FF"/>
    <w:rsid w:val="009442F2"/>
    <w:rsid w:val="009447B7"/>
    <w:rsid w:val="00944D6A"/>
    <w:rsid w:val="0094543D"/>
    <w:rsid w:val="00945D86"/>
    <w:rsid w:val="009462E0"/>
    <w:rsid w:val="00946870"/>
    <w:rsid w:val="00946D31"/>
    <w:rsid w:val="00946E87"/>
    <w:rsid w:val="0094709E"/>
    <w:rsid w:val="009470D5"/>
    <w:rsid w:val="00947285"/>
    <w:rsid w:val="00947AE5"/>
    <w:rsid w:val="00947F0A"/>
    <w:rsid w:val="00950226"/>
    <w:rsid w:val="009503C1"/>
    <w:rsid w:val="00950592"/>
    <w:rsid w:val="00950617"/>
    <w:rsid w:val="009506E1"/>
    <w:rsid w:val="00950ECE"/>
    <w:rsid w:val="00950F18"/>
    <w:rsid w:val="00950FDD"/>
    <w:rsid w:val="009517C3"/>
    <w:rsid w:val="00951D2B"/>
    <w:rsid w:val="0095202B"/>
    <w:rsid w:val="0095207A"/>
    <w:rsid w:val="009528FD"/>
    <w:rsid w:val="0095368E"/>
    <w:rsid w:val="00953711"/>
    <w:rsid w:val="00953ABD"/>
    <w:rsid w:val="00954083"/>
    <w:rsid w:val="009541CA"/>
    <w:rsid w:val="009544D0"/>
    <w:rsid w:val="00955AFD"/>
    <w:rsid w:val="0095647B"/>
    <w:rsid w:val="009567B1"/>
    <w:rsid w:val="00956A23"/>
    <w:rsid w:val="00956AE2"/>
    <w:rsid w:val="00957346"/>
    <w:rsid w:val="009573FD"/>
    <w:rsid w:val="00957E1A"/>
    <w:rsid w:val="0096002A"/>
    <w:rsid w:val="0096094B"/>
    <w:rsid w:val="00960DC2"/>
    <w:rsid w:val="0096184C"/>
    <w:rsid w:val="00961BA8"/>
    <w:rsid w:val="00961E63"/>
    <w:rsid w:val="0096208B"/>
    <w:rsid w:val="0096219E"/>
    <w:rsid w:val="00962236"/>
    <w:rsid w:val="0096265E"/>
    <w:rsid w:val="00964036"/>
    <w:rsid w:val="009641F2"/>
    <w:rsid w:val="009642F4"/>
    <w:rsid w:val="00964B0E"/>
    <w:rsid w:val="00964DE5"/>
    <w:rsid w:val="0096534D"/>
    <w:rsid w:val="00965437"/>
    <w:rsid w:val="00965FE1"/>
    <w:rsid w:val="0096637E"/>
    <w:rsid w:val="00966574"/>
    <w:rsid w:val="009667C6"/>
    <w:rsid w:val="00966D99"/>
    <w:rsid w:val="009673BB"/>
    <w:rsid w:val="009703A2"/>
    <w:rsid w:val="009705A1"/>
    <w:rsid w:val="00970DD4"/>
    <w:rsid w:val="009714FF"/>
    <w:rsid w:val="00971503"/>
    <w:rsid w:val="00971640"/>
    <w:rsid w:val="0097175C"/>
    <w:rsid w:val="00971BDF"/>
    <w:rsid w:val="00971DFF"/>
    <w:rsid w:val="00971F62"/>
    <w:rsid w:val="009723C9"/>
    <w:rsid w:val="0097249C"/>
    <w:rsid w:val="00972733"/>
    <w:rsid w:val="00972B67"/>
    <w:rsid w:val="00972D76"/>
    <w:rsid w:val="00973530"/>
    <w:rsid w:val="009737A5"/>
    <w:rsid w:val="00973A17"/>
    <w:rsid w:val="00973BAB"/>
    <w:rsid w:val="00974C18"/>
    <w:rsid w:val="00974DDE"/>
    <w:rsid w:val="00975284"/>
    <w:rsid w:val="00975558"/>
    <w:rsid w:val="00975A46"/>
    <w:rsid w:val="00976199"/>
    <w:rsid w:val="00976C69"/>
    <w:rsid w:val="00977F99"/>
    <w:rsid w:val="00980146"/>
    <w:rsid w:val="0098138E"/>
    <w:rsid w:val="00981434"/>
    <w:rsid w:val="009814EC"/>
    <w:rsid w:val="0098185A"/>
    <w:rsid w:val="00981CFB"/>
    <w:rsid w:val="0098321F"/>
    <w:rsid w:val="00983521"/>
    <w:rsid w:val="009838CB"/>
    <w:rsid w:val="00983E7C"/>
    <w:rsid w:val="00983F68"/>
    <w:rsid w:val="00984566"/>
    <w:rsid w:val="00984623"/>
    <w:rsid w:val="00984D9D"/>
    <w:rsid w:val="009854B2"/>
    <w:rsid w:val="009856B7"/>
    <w:rsid w:val="00985C81"/>
    <w:rsid w:val="00986224"/>
    <w:rsid w:val="00986256"/>
    <w:rsid w:val="009863D4"/>
    <w:rsid w:val="0098655A"/>
    <w:rsid w:val="009867CF"/>
    <w:rsid w:val="00986D42"/>
    <w:rsid w:val="0098718E"/>
    <w:rsid w:val="00987BE8"/>
    <w:rsid w:val="00988D51"/>
    <w:rsid w:val="00990034"/>
    <w:rsid w:val="009901F7"/>
    <w:rsid w:val="009909C2"/>
    <w:rsid w:val="009909CE"/>
    <w:rsid w:val="00990B2B"/>
    <w:rsid w:val="00990DB2"/>
    <w:rsid w:val="00991A3A"/>
    <w:rsid w:val="0099200C"/>
    <w:rsid w:val="00992108"/>
    <w:rsid w:val="00992206"/>
    <w:rsid w:val="009924AE"/>
    <w:rsid w:val="00992DBB"/>
    <w:rsid w:val="0099353E"/>
    <w:rsid w:val="00993A73"/>
    <w:rsid w:val="00994DD5"/>
    <w:rsid w:val="00994F46"/>
    <w:rsid w:val="00995BC1"/>
    <w:rsid w:val="00995E38"/>
    <w:rsid w:val="009964F0"/>
    <w:rsid w:val="009965DC"/>
    <w:rsid w:val="00996712"/>
    <w:rsid w:val="00996B49"/>
    <w:rsid w:val="00996E1D"/>
    <w:rsid w:val="00997021"/>
    <w:rsid w:val="0099711D"/>
    <w:rsid w:val="0099795D"/>
    <w:rsid w:val="009A00DD"/>
    <w:rsid w:val="009A0489"/>
    <w:rsid w:val="009A05CB"/>
    <w:rsid w:val="009A0C11"/>
    <w:rsid w:val="009A0E3E"/>
    <w:rsid w:val="009A14A6"/>
    <w:rsid w:val="009A19AE"/>
    <w:rsid w:val="009A1C4D"/>
    <w:rsid w:val="009A21F2"/>
    <w:rsid w:val="009A23D7"/>
    <w:rsid w:val="009A2881"/>
    <w:rsid w:val="009A2C32"/>
    <w:rsid w:val="009A2C6C"/>
    <w:rsid w:val="009A2EBA"/>
    <w:rsid w:val="009A46AA"/>
    <w:rsid w:val="009A46C0"/>
    <w:rsid w:val="009A48B8"/>
    <w:rsid w:val="009A4C71"/>
    <w:rsid w:val="009A4ED4"/>
    <w:rsid w:val="009A5343"/>
    <w:rsid w:val="009A56A1"/>
    <w:rsid w:val="009A5B84"/>
    <w:rsid w:val="009A6114"/>
    <w:rsid w:val="009A6598"/>
    <w:rsid w:val="009A691A"/>
    <w:rsid w:val="009A6E36"/>
    <w:rsid w:val="009A6FCD"/>
    <w:rsid w:val="009A7FE0"/>
    <w:rsid w:val="009B00A0"/>
    <w:rsid w:val="009B0124"/>
    <w:rsid w:val="009B025C"/>
    <w:rsid w:val="009B0CB2"/>
    <w:rsid w:val="009B0CB9"/>
    <w:rsid w:val="009B1485"/>
    <w:rsid w:val="009B2575"/>
    <w:rsid w:val="009B26AE"/>
    <w:rsid w:val="009B26F6"/>
    <w:rsid w:val="009B306C"/>
    <w:rsid w:val="009B32B4"/>
    <w:rsid w:val="009B3863"/>
    <w:rsid w:val="009B3A84"/>
    <w:rsid w:val="009B3D3D"/>
    <w:rsid w:val="009B3E18"/>
    <w:rsid w:val="009B4334"/>
    <w:rsid w:val="009B43DC"/>
    <w:rsid w:val="009B46B4"/>
    <w:rsid w:val="009B491B"/>
    <w:rsid w:val="009B4AE7"/>
    <w:rsid w:val="009B502E"/>
    <w:rsid w:val="009B506A"/>
    <w:rsid w:val="009B56AA"/>
    <w:rsid w:val="009B685B"/>
    <w:rsid w:val="009B73AD"/>
    <w:rsid w:val="009B7B55"/>
    <w:rsid w:val="009C0392"/>
    <w:rsid w:val="009C0524"/>
    <w:rsid w:val="009C1828"/>
    <w:rsid w:val="009C22C9"/>
    <w:rsid w:val="009C2561"/>
    <w:rsid w:val="009C262B"/>
    <w:rsid w:val="009C2A66"/>
    <w:rsid w:val="009C2F6E"/>
    <w:rsid w:val="009C3282"/>
    <w:rsid w:val="009C3333"/>
    <w:rsid w:val="009C36C1"/>
    <w:rsid w:val="009C3D51"/>
    <w:rsid w:val="009C3DA8"/>
    <w:rsid w:val="009C4E14"/>
    <w:rsid w:val="009C4EAD"/>
    <w:rsid w:val="009C4FFD"/>
    <w:rsid w:val="009C557C"/>
    <w:rsid w:val="009C573E"/>
    <w:rsid w:val="009C5B34"/>
    <w:rsid w:val="009C5F28"/>
    <w:rsid w:val="009C604F"/>
    <w:rsid w:val="009C6FD7"/>
    <w:rsid w:val="009C73E0"/>
    <w:rsid w:val="009C785F"/>
    <w:rsid w:val="009C7A9B"/>
    <w:rsid w:val="009C7ABE"/>
    <w:rsid w:val="009C7B87"/>
    <w:rsid w:val="009D0197"/>
    <w:rsid w:val="009D0654"/>
    <w:rsid w:val="009D090C"/>
    <w:rsid w:val="009D1DB5"/>
    <w:rsid w:val="009D247B"/>
    <w:rsid w:val="009D2D45"/>
    <w:rsid w:val="009D2DCC"/>
    <w:rsid w:val="009D3012"/>
    <w:rsid w:val="009D307D"/>
    <w:rsid w:val="009D3085"/>
    <w:rsid w:val="009D31CA"/>
    <w:rsid w:val="009D4432"/>
    <w:rsid w:val="009D478E"/>
    <w:rsid w:val="009D496C"/>
    <w:rsid w:val="009D49B0"/>
    <w:rsid w:val="009D4D97"/>
    <w:rsid w:val="009D5092"/>
    <w:rsid w:val="009D5A77"/>
    <w:rsid w:val="009D5E62"/>
    <w:rsid w:val="009D6048"/>
    <w:rsid w:val="009D6368"/>
    <w:rsid w:val="009D648D"/>
    <w:rsid w:val="009D6DF1"/>
    <w:rsid w:val="009D6FD4"/>
    <w:rsid w:val="009D70D9"/>
    <w:rsid w:val="009D795B"/>
    <w:rsid w:val="009D7E9D"/>
    <w:rsid w:val="009E0396"/>
    <w:rsid w:val="009E0A48"/>
    <w:rsid w:val="009E0EC9"/>
    <w:rsid w:val="009E139F"/>
    <w:rsid w:val="009E1CE2"/>
    <w:rsid w:val="009E1DE5"/>
    <w:rsid w:val="009E2359"/>
    <w:rsid w:val="009E2570"/>
    <w:rsid w:val="009E30D1"/>
    <w:rsid w:val="009E370E"/>
    <w:rsid w:val="009E3CEE"/>
    <w:rsid w:val="009E460F"/>
    <w:rsid w:val="009E4D9D"/>
    <w:rsid w:val="009E4E95"/>
    <w:rsid w:val="009E52CB"/>
    <w:rsid w:val="009E5391"/>
    <w:rsid w:val="009E5417"/>
    <w:rsid w:val="009E591C"/>
    <w:rsid w:val="009E5C58"/>
    <w:rsid w:val="009E5DC4"/>
    <w:rsid w:val="009E5E8C"/>
    <w:rsid w:val="009E6052"/>
    <w:rsid w:val="009E620F"/>
    <w:rsid w:val="009E6411"/>
    <w:rsid w:val="009E676B"/>
    <w:rsid w:val="009E6E1B"/>
    <w:rsid w:val="009E6E6C"/>
    <w:rsid w:val="009E6FE2"/>
    <w:rsid w:val="009E7000"/>
    <w:rsid w:val="009E7008"/>
    <w:rsid w:val="009E7ADA"/>
    <w:rsid w:val="009E7C07"/>
    <w:rsid w:val="009E7C7F"/>
    <w:rsid w:val="009E7FEC"/>
    <w:rsid w:val="009F03A0"/>
    <w:rsid w:val="009F11BA"/>
    <w:rsid w:val="009F11FB"/>
    <w:rsid w:val="009F1BCF"/>
    <w:rsid w:val="009F1F31"/>
    <w:rsid w:val="009F272B"/>
    <w:rsid w:val="009F2962"/>
    <w:rsid w:val="009F2C43"/>
    <w:rsid w:val="009F2CE0"/>
    <w:rsid w:val="009F32C4"/>
    <w:rsid w:val="009F330C"/>
    <w:rsid w:val="009F34E5"/>
    <w:rsid w:val="009F35F6"/>
    <w:rsid w:val="009F361F"/>
    <w:rsid w:val="009F40CA"/>
    <w:rsid w:val="009F40E2"/>
    <w:rsid w:val="009F421A"/>
    <w:rsid w:val="009F43DC"/>
    <w:rsid w:val="009F4435"/>
    <w:rsid w:val="009F4467"/>
    <w:rsid w:val="009F472A"/>
    <w:rsid w:val="009F4B2C"/>
    <w:rsid w:val="009F5397"/>
    <w:rsid w:val="009F570B"/>
    <w:rsid w:val="009F7165"/>
    <w:rsid w:val="009F71A6"/>
    <w:rsid w:val="009F7464"/>
    <w:rsid w:val="00A00062"/>
    <w:rsid w:val="00A000AE"/>
    <w:rsid w:val="00A001D7"/>
    <w:rsid w:val="00A006A2"/>
    <w:rsid w:val="00A00B80"/>
    <w:rsid w:val="00A00F72"/>
    <w:rsid w:val="00A011A0"/>
    <w:rsid w:val="00A011C6"/>
    <w:rsid w:val="00A01307"/>
    <w:rsid w:val="00A01C9D"/>
    <w:rsid w:val="00A021ED"/>
    <w:rsid w:val="00A02D9D"/>
    <w:rsid w:val="00A035EE"/>
    <w:rsid w:val="00A03FB7"/>
    <w:rsid w:val="00A040B1"/>
    <w:rsid w:val="00A0459C"/>
    <w:rsid w:val="00A04673"/>
    <w:rsid w:val="00A04F09"/>
    <w:rsid w:val="00A05459"/>
    <w:rsid w:val="00A059C2"/>
    <w:rsid w:val="00A05D3E"/>
    <w:rsid w:val="00A06016"/>
    <w:rsid w:val="00A061A8"/>
    <w:rsid w:val="00A06B7E"/>
    <w:rsid w:val="00A06DCB"/>
    <w:rsid w:val="00A07B74"/>
    <w:rsid w:val="00A07C61"/>
    <w:rsid w:val="00A07EBC"/>
    <w:rsid w:val="00A10D52"/>
    <w:rsid w:val="00A1132E"/>
    <w:rsid w:val="00A1225D"/>
    <w:rsid w:val="00A12723"/>
    <w:rsid w:val="00A127D0"/>
    <w:rsid w:val="00A1287E"/>
    <w:rsid w:val="00A128CB"/>
    <w:rsid w:val="00A12C8B"/>
    <w:rsid w:val="00A130C1"/>
    <w:rsid w:val="00A131A0"/>
    <w:rsid w:val="00A136C6"/>
    <w:rsid w:val="00A137B9"/>
    <w:rsid w:val="00A138DF"/>
    <w:rsid w:val="00A13CE4"/>
    <w:rsid w:val="00A14023"/>
    <w:rsid w:val="00A143A8"/>
    <w:rsid w:val="00A14569"/>
    <w:rsid w:val="00A1460A"/>
    <w:rsid w:val="00A14ACC"/>
    <w:rsid w:val="00A14B1C"/>
    <w:rsid w:val="00A1549C"/>
    <w:rsid w:val="00A15786"/>
    <w:rsid w:val="00A157B8"/>
    <w:rsid w:val="00A15CD8"/>
    <w:rsid w:val="00A15F5B"/>
    <w:rsid w:val="00A16300"/>
    <w:rsid w:val="00A163A8"/>
    <w:rsid w:val="00A1643C"/>
    <w:rsid w:val="00A16459"/>
    <w:rsid w:val="00A1646C"/>
    <w:rsid w:val="00A16570"/>
    <w:rsid w:val="00A1695B"/>
    <w:rsid w:val="00A16C1A"/>
    <w:rsid w:val="00A17CE0"/>
    <w:rsid w:val="00A20308"/>
    <w:rsid w:val="00A208D8"/>
    <w:rsid w:val="00A20C48"/>
    <w:rsid w:val="00A20C66"/>
    <w:rsid w:val="00A20F25"/>
    <w:rsid w:val="00A21DCE"/>
    <w:rsid w:val="00A21EC3"/>
    <w:rsid w:val="00A225AC"/>
    <w:rsid w:val="00A2270C"/>
    <w:rsid w:val="00A22A16"/>
    <w:rsid w:val="00A22C3F"/>
    <w:rsid w:val="00A22DC2"/>
    <w:rsid w:val="00A2319F"/>
    <w:rsid w:val="00A232ED"/>
    <w:rsid w:val="00A23D48"/>
    <w:rsid w:val="00A23E68"/>
    <w:rsid w:val="00A2413B"/>
    <w:rsid w:val="00A2422E"/>
    <w:rsid w:val="00A2498E"/>
    <w:rsid w:val="00A24C1F"/>
    <w:rsid w:val="00A24DB9"/>
    <w:rsid w:val="00A24EDD"/>
    <w:rsid w:val="00A253C7"/>
    <w:rsid w:val="00A253DA"/>
    <w:rsid w:val="00A25526"/>
    <w:rsid w:val="00A25565"/>
    <w:rsid w:val="00A258AA"/>
    <w:rsid w:val="00A25976"/>
    <w:rsid w:val="00A25F02"/>
    <w:rsid w:val="00A266E4"/>
    <w:rsid w:val="00A26F53"/>
    <w:rsid w:val="00A27413"/>
    <w:rsid w:val="00A27D7B"/>
    <w:rsid w:val="00A27ED8"/>
    <w:rsid w:val="00A27FDC"/>
    <w:rsid w:val="00A304F6"/>
    <w:rsid w:val="00A3071F"/>
    <w:rsid w:val="00A30F4A"/>
    <w:rsid w:val="00A30F95"/>
    <w:rsid w:val="00A314A8"/>
    <w:rsid w:val="00A31FF0"/>
    <w:rsid w:val="00A31FF8"/>
    <w:rsid w:val="00A32673"/>
    <w:rsid w:val="00A329A1"/>
    <w:rsid w:val="00A33011"/>
    <w:rsid w:val="00A3336E"/>
    <w:rsid w:val="00A33898"/>
    <w:rsid w:val="00A33E16"/>
    <w:rsid w:val="00A34514"/>
    <w:rsid w:val="00A34BF4"/>
    <w:rsid w:val="00A3522C"/>
    <w:rsid w:val="00A35B4D"/>
    <w:rsid w:val="00A35CD2"/>
    <w:rsid w:val="00A36A5C"/>
    <w:rsid w:val="00A376DB"/>
    <w:rsid w:val="00A379A9"/>
    <w:rsid w:val="00A37B7C"/>
    <w:rsid w:val="00A37C00"/>
    <w:rsid w:val="00A401D5"/>
    <w:rsid w:val="00A416EE"/>
    <w:rsid w:val="00A41A9A"/>
    <w:rsid w:val="00A41CD4"/>
    <w:rsid w:val="00A42207"/>
    <w:rsid w:val="00A42306"/>
    <w:rsid w:val="00A424CB"/>
    <w:rsid w:val="00A42DAC"/>
    <w:rsid w:val="00A42E3E"/>
    <w:rsid w:val="00A42FF2"/>
    <w:rsid w:val="00A4322B"/>
    <w:rsid w:val="00A4340A"/>
    <w:rsid w:val="00A43832"/>
    <w:rsid w:val="00A43A05"/>
    <w:rsid w:val="00A44E7F"/>
    <w:rsid w:val="00A44E8D"/>
    <w:rsid w:val="00A44FE1"/>
    <w:rsid w:val="00A4528D"/>
    <w:rsid w:val="00A4549B"/>
    <w:rsid w:val="00A469EC"/>
    <w:rsid w:val="00A46ACA"/>
    <w:rsid w:val="00A46B2C"/>
    <w:rsid w:val="00A46EA8"/>
    <w:rsid w:val="00A46ED4"/>
    <w:rsid w:val="00A478FE"/>
    <w:rsid w:val="00A47AD7"/>
    <w:rsid w:val="00A47B6A"/>
    <w:rsid w:val="00A4E559"/>
    <w:rsid w:val="00A501F1"/>
    <w:rsid w:val="00A50A45"/>
    <w:rsid w:val="00A50BE5"/>
    <w:rsid w:val="00A512F1"/>
    <w:rsid w:val="00A5159F"/>
    <w:rsid w:val="00A518AF"/>
    <w:rsid w:val="00A51A7E"/>
    <w:rsid w:val="00A52CCD"/>
    <w:rsid w:val="00A52E5B"/>
    <w:rsid w:val="00A5324A"/>
    <w:rsid w:val="00A53365"/>
    <w:rsid w:val="00A53528"/>
    <w:rsid w:val="00A537A4"/>
    <w:rsid w:val="00A53DA7"/>
    <w:rsid w:val="00A53EFC"/>
    <w:rsid w:val="00A53FEA"/>
    <w:rsid w:val="00A54A39"/>
    <w:rsid w:val="00A55280"/>
    <w:rsid w:val="00A55766"/>
    <w:rsid w:val="00A55ACD"/>
    <w:rsid w:val="00A5615B"/>
    <w:rsid w:val="00A5665A"/>
    <w:rsid w:val="00A569D4"/>
    <w:rsid w:val="00A56B8F"/>
    <w:rsid w:val="00A57FBC"/>
    <w:rsid w:val="00A60AF2"/>
    <w:rsid w:val="00A60BCE"/>
    <w:rsid w:val="00A60D58"/>
    <w:rsid w:val="00A60EAF"/>
    <w:rsid w:val="00A61637"/>
    <w:rsid w:val="00A618B2"/>
    <w:rsid w:val="00A62D26"/>
    <w:rsid w:val="00A63064"/>
    <w:rsid w:val="00A6324A"/>
    <w:rsid w:val="00A63317"/>
    <w:rsid w:val="00A63899"/>
    <w:rsid w:val="00A63A84"/>
    <w:rsid w:val="00A63D5F"/>
    <w:rsid w:val="00A6403A"/>
    <w:rsid w:val="00A640B6"/>
    <w:rsid w:val="00A64C9E"/>
    <w:rsid w:val="00A64E51"/>
    <w:rsid w:val="00A64F2A"/>
    <w:rsid w:val="00A65555"/>
    <w:rsid w:val="00A65ECD"/>
    <w:rsid w:val="00A65F22"/>
    <w:rsid w:val="00A66469"/>
    <w:rsid w:val="00A66AAB"/>
    <w:rsid w:val="00A66C3C"/>
    <w:rsid w:val="00A67B3F"/>
    <w:rsid w:val="00A67EF8"/>
    <w:rsid w:val="00A69F5B"/>
    <w:rsid w:val="00A703B5"/>
    <w:rsid w:val="00A70489"/>
    <w:rsid w:val="00A706DF"/>
    <w:rsid w:val="00A70A47"/>
    <w:rsid w:val="00A7130C"/>
    <w:rsid w:val="00A7137F"/>
    <w:rsid w:val="00A71623"/>
    <w:rsid w:val="00A716E2"/>
    <w:rsid w:val="00A71864"/>
    <w:rsid w:val="00A71C63"/>
    <w:rsid w:val="00A72066"/>
    <w:rsid w:val="00A7253E"/>
    <w:rsid w:val="00A73E60"/>
    <w:rsid w:val="00A740B0"/>
    <w:rsid w:val="00A74151"/>
    <w:rsid w:val="00A745BE"/>
    <w:rsid w:val="00A74B4A"/>
    <w:rsid w:val="00A74D52"/>
    <w:rsid w:val="00A7509E"/>
    <w:rsid w:val="00A75CF4"/>
    <w:rsid w:val="00A763F2"/>
    <w:rsid w:val="00A76599"/>
    <w:rsid w:val="00A76B7A"/>
    <w:rsid w:val="00A76BAB"/>
    <w:rsid w:val="00A76D65"/>
    <w:rsid w:val="00A77C69"/>
    <w:rsid w:val="00A77CFD"/>
    <w:rsid w:val="00A80742"/>
    <w:rsid w:val="00A80DEF"/>
    <w:rsid w:val="00A80E56"/>
    <w:rsid w:val="00A810B4"/>
    <w:rsid w:val="00A8113C"/>
    <w:rsid w:val="00A81ACA"/>
    <w:rsid w:val="00A81F21"/>
    <w:rsid w:val="00A821A5"/>
    <w:rsid w:val="00A82481"/>
    <w:rsid w:val="00A8311E"/>
    <w:rsid w:val="00A83321"/>
    <w:rsid w:val="00A83598"/>
    <w:rsid w:val="00A8359F"/>
    <w:rsid w:val="00A8368F"/>
    <w:rsid w:val="00A83B04"/>
    <w:rsid w:val="00A84428"/>
    <w:rsid w:val="00A84BF2"/>
    <w:rsid w:val="00A856F2"/>
    <w:rsid w:val="00A85D27"/>
    <w:rsid w:val="00A85E24"/>
    <w:rsid w:val="00A868C3"/>
    <w:rsid w:val="00A8697B"/>
    <w:rsid w:val="00A86BBA"/>
    <w:rsid w:val="00A86DCA"/>
    <w:rsid w:val="00A873B7"/>
    <w:rsid w:val="00A87F86"/>
    <w:rsid w:val="00A87FF2"/>
    <w:rsid w:val="00A900FC"/>
    <w:rsid w:val="00A904FC"/>
    <w:rsid w:val="00A907C4"/>
    <w:rsid w:val="00A91416"/>
    <w:rsid w:val="00A91485"/>
    <w:rsid w:val="00A915EF"/>
    <w:rsid w:val="00A91907"/>
    <w:rsid w:val="00A91A80"/>
    <w:rsid w:val="00A91CA6"/>
    <w:rsid w:val="00A922DF"/>
    <w:rsid w:val="00A92397"/>
    <w:rsid w:val="00A9279C"/>
    <w:rsid w:val="00A92917"/>
    <w:rsid w:val="00A92CA7"/>
    <w:rsid w:val="00A937F7"/>
    <w:rsid w:val="00A94011"/>
    <w:rsid w:val="00A94430"/>
    <w:rsid w:val="00A947AC"/>
    <w:rsid w:val="00A94E19"/>
    <w:rsid w:val="00A95426"/>
    <w:rsid w:val="00A956FB"/>
    <w:rsid w:val="00A9596F"/>
    <w:rsid w:val="00A95DFC"/>
    <w:rsid w:val="00A96340"/>
    <w:rsid w:val="00A96943"/>
    <w:rsid w:val="00A9695F"/>
    <w:rsid w:val="00A96C86"/>
    <w:rsid w:val="00A9773F"/>
    <w:rsid w:val="00A97749"/>
    <w:rsid w:val="00A97A91"/>
    <w:rsid w:val="00AA0173"/>
    <w:rsid w:val="00AA073B"/>
    <w:rsid w:val="00AA0EF0"/>
    <w:rsid w:val="00AA10F8"/>
    <w:rsid w:val="00AA15AE"/>
    <w:rsid w:val="00AA1A77"/>
    <w:rsid w:val="00AA1C01"/>
    <w:rsid w:val="00AA1DF2"/>
    <w:rsid w:val="00AA2057"/>
    <w:rsid w:val="00AA215C"/>
    <w:rsid w:val="00AA2289"/>
    <w:rsid w:val="00AA2427"/>
    <w:rsid w:val="00AA251C"/>
    <w:rsid w:val="00AA27C8"/>
    <w:rsid w:val="00AA27FB"/>
    <w:rsid w:val="00AA28DB"/>
    <w:rsid w:val="00AA2BA5"/>
    <w:rsid w:val="00AA2E0E"/>
    <w:rsid w:val="00AA3901"/>
    <w:rsid w:val="00AA3EBB"/>
    <w:rsid w:val="00AA4E2D"/>
    <w:rsid w:val="00AA58AB"/>
    <w:rsid w:val="00AA5967"/>
    <w:rsid w:val="00AA6246"/>
    <w:rsid w:val="00AA62AF"/>
    <w:rsid w:val="00AA65C0"/>
    <w:rsid w:val="00AA72F8"/>
    <w:rsid w:val="00AAE34A"/>
    <w:rsid w:val="00AB0595"/>
    <w:rsid w:val="00AB0D5F"/>
    <w:rsid w:val="00AB1155"/>
    <w:rsid w:val="00AB163F"/>
    <w:rsid w:val="00AB174E"/>
    <w:rsid w:val="00AB1FDA"/>
    <w:rsid w:val="00AB2679"/>
    <w:rsid w:val="00AB289D"/>
    <w:rsid w:val="00AB3154"/>
    <w:rsid w:val="00AB39DB"/>
    <w:rsid w:val="00AB4236"/>
    <w:rsid w:val="00AB4D19"/>
    <w:rsid w:val="00AB505D"/>
    <w:rsid w:val="00AB66E6"/>
    <w:rsid w:val="00AB6791"/>
    <w:rsid w:val="00AB68C3"/>
    <w:rsid w:val="00AB6977"/>
    <w:rsid w:val="00AB6DA2"/>
    <w:rsid w:val="00AB70BB"/>
    <w:rsid w:val="00AB75FA"/>
    <w:rsid w:val="00AB7875"/>
    <w:rsid w:val="00AC0FF8"/>
    <w:rsid w:val="00AC1976"/>
    <w:rsid w:val="00AC2D04"/>
    <w:rsid w:val="00AC2D7D"/>
    <w:rsid w:val="00AC2DE9"/>
    <w:rsid w:val="00AC31FD"/>
    <w:rsid w:val="00AC3A4C"/>
    <w:rsid w:val="00AC3D0D"/>
    <w:rsid w:val="00AC4211"/>
    <w:rsid w:val="00AC4348"/>
    <w:rsid w:val="00AC4934"/>
    <w:rsid w:val="00AC52ED"/>
    <w:rsid w:val="00AC53FA"/>
    <w:rsid w:val="00AC5D10"/>
    <w:rsid w:val="00AC5E94"/>
    <w:rsid w:val="00AC616B"/>
    <w:rsid w:val="00AC64FB"/>
    <w:rsid w:val="00AC6712"/>
    <w:rsid w:val="00AC68EE"/>
    <w:rsid w:val="00AC6AAF"/>
    <w:rsid w:val="00AC6E49"/>
    <w:rsid w:val="00AC71C6"/>
    <w:rsid w:val="00AC7E2A"/>
    <w:rsid w:val="00AC7F89"/>
    <w:rsid w:val="00AD0690"/>
    <w:rsid w:val="00AD0B70"/>
    <w:rsid w:val="00AD0E93"/>
    <w:rsid w:val="00AD125C"/>
    <w:rsid w:val="00AD1799"/>
    <w:rsid w:val="00AD1CCA"/>
    <w:rsid w:val="00AD2032"/>
    <w:rsid w:val="00AD3537"/>
    <w:rsid w:val="00AD362D"/>
    <w:rsid w:val="00AD38F6"/>
    <w:rsid w:val="00AD392F"/>
    <w:rsid w:val="00AD4618"/>
    <w:rsid w:val="00AD46B3"/>
    <w:rsid w:val="00AD46E1"/>
    <w:rsid w:val="00AD5813"/>
    <w:rsid w:val="00AD5E2F"/>
    <w:rsid w:val="00AD5E93"/>
    <w:rsid w:val="00AD6681"/>
    <w:rsid w:val="00AD6A91"/>
    <w:rsid w:val="00AD6D13"/>
    <w:rsid w:val="00AD73AA"/>
    <w:rsid w:val="00AD76E0"/>
    <w:rsid w:val="00AD78DF"/>
    <w:rsid w:val="00AD7BED"/>
    <w:rsid w:val="00AD7E2C"/>
    <w:rsid w:val="00AD7F28"/>
    <w:rsid w:val="00AE07B8"/>
    <w:rsid w:val="00AE0E6C"/>
    <w:rsid w:val="00AE2079"/>
    <w:rsid w:val="00AE2552"/>
    <w:rsid w:val="00AE27B6"/>
    <w:rsid w:val="00AE28A5"/>
    <w:rsid w:val="00AE2B15"/>
    <w:rsid w:val="00AE344E"/>
    <w:rsid w:val="00AE3E64"/>
    <w:rsid w:val="00AE3F71"/>
    <w:rsid w:val="00AE4DB7"/>
    <w:rsid w:val="00AE52E8"/>
    <w:rsid w:val="00AE530C"/>
    <w:rsid w:val="00AE54FB"/>
    <w:rsid w:val="00AE58E2"/>
    <w:rsid w:val="00AE5AE3"/>
    <w:rsid w:val="00AE5B9B"/>
    <w:rsid w:val="00AE64F6"/>
    <w:rsid w:val="00AE6863"/>
    <w:rsid w:val="00AE76E8"/>
    <w:rsid w:val="00AE7E1D"/>
    <w:rsid w:val="00AF0957"/>
    <w:rsid w:val="00AF1141"/>
    <w:rsid w:val="00AF16F0"/>
    <w:rsid w:val="00AF17A3"/>
    <w:rsid w:val="00AF17C3"/>
    <w:rsid w:val="00AF1AF9"/>
    <w:rsid w:val="00AF1B53"/>
    <w:rsid w:val="00AF2601"/>
    <w:rsid w:val="00AF2877"/>
    <w:rsid w:val="00AF2888"/>
    <w:rsid w:val="00AF2EB2"/>
    <w:rsid w:val="00AF3611"/>
    <w:rsid w:val="00AF3C5F"/>
    <w:rsid w:val="00AF3FC2"/>
    <w:rsid w:val="00AF46B6"/>
    <w:rsid w:val="00AF4B95"/>
    <w:rsid w:val="00AF4F06"/>
    <w:rsid w:val="00AF5301"/>
    <w:rsid w:val="00AF573D"/>
    <w:rsid w:val="00AF57AF"/>
    <w:rsid w:val="00AF5A8B"/>
    <w:rsid w:val="00AF5D69"/>
    <w:rsid w:val="00AF63C4"/>
    <w:rsid w:val="00AF64A3"/>
    <w:rsid w:val="00AF6B09"/>
    <w:rsid w:val="00AF6C98"/>
    <w:rsid w:val="00AF6D48"/>
    <w:rsid w:val="00AF6E05"/>
    <w:rsid w:val="00AF6E44"/>
    <w:rsid w:val="00AF7274"/>
    <w:rsid w:val="00AF76D2"/>
    <w:rsid w:val="00B00061"/>
    <w:rsid w:val="00B00419"/>
    <w:rsid w:val="00B004F0"/>
    <w:rsid w:val="00B00971"/>
    <w:rsid w:val="00B00DE1"/>
    <w:rsid w:val="00B013D5"/>
    <w:rsid w:val="00B01F7E"/>
    <w:rsid w:val="00B024C5"/>
    <w:rsid w:val="00B026D8"/>
    <w:rsid w:val="00B02709"/>
    <w:rsid w:val="00B02A6E"/>
    <w:rsid w:val="00B032F5"/>
    <w:rsid w:val="00B0387A"/>
    <w:rsid w:val="00B040AD"/>
    <w:rsid w:val="00B04314"/>
    <w:rsid w:val="00B04426"/>
    <w:rsid w:val="00B04856"/>
    <w:rsid w:val="00B04F11"/>
    <w:rsid w:val="00B04FAF"/>
    <w:rsid w:val="00B050ED"/>
    <w:rsid w:val="00B05490"/>
    <w:rsid w:val="00B05598"/>
    <w:rsid w:val="00B05BC0"/>
    <w:rsid w:val="00B05C68"/>
    <w:rsid w:val="00B05D16"/>
    <w:rsid w:val="00B065F2"/>
    <w:rsid w:val="00B0676F"/>
    <w:rsid w:val="00B07E2F"/>
    <w:rsid w:val="00B1073B"/>
    <w:rsid w:val="00B10984"/>
    <w:rsid w:val="00B10D0E"/>
    <w:rsid w:val="00B10E07"/>
    <w:rsid w:val="00B11B38"/>
    <w:rsid w:val="00B11E5C"/>
    <w:rsid w:val="00B129FB"/>
    <w:rsid w:val="00B131DC"/>
    <w:rsid w:val="00B136D0"/>
    <w:rsid w:val="00B137FD"/>
    <w:rsid w:val="00B13F3A"/>
    <w:rsid w:val="00B14570"/>
    <w:rsid w:val="00B150CC"/>
    <w:rsid w:val="00B153EA"/>
    <w:rsid w:val="00B1572A"/>
    <w:rsid w:val="00B15784"/>
    <w:rsid w:val="00B15795"/>
    <w:rsid w:val="00B15C82"/>
    <w:rsid w:val="00B16518"/>
    <w:rsid w:val="00B1662B"/>
    <w:rsid w:val="00B16949"/>
    <w:rsid w:val="00B16C2A"/>
    <w:rsid w:val="00B173E3"/>
    <w:rsid w:val="00B17C1F"/>
    <w:rsid w:val="00B17CC1"/>
    <w:rsid w:val="00B20118"/>
    <w:rsid w:val="00B20321"/>
    <w:rsid w:val="00B2032F"/>
    <w:rsid w:val="00B203FD"/>
    <w:rsid w:val="00B20C75"/>
    <w:rsid w:val="00B214FC"/>
    <w:rsid w:val="00B21506"/>
    <w:rsid w:val="00B21553"/>
    <w:rsid w:val="00B21625"/>
    <w:rsid w:val="00B21E83"/>
    <w:rsid w:val="00B21F24"/>
    <w:rsid w:val="00B22493"/>
    <w:rsid w:val="00B22917"/>
    <w:rsid w:val="00B2295F"/>
    <w:rsid w:val="00B2297F"/>
    <w:rsid w:val="00B22A59"/>
    <w:rsid w:val="00B22BF7"/>
    <w:rsid w:val="00B22F9E"/>
    <w:rsid w:val="00B22FB2"/>
    <w:rsid w:val="00B22FB7"/>
    <w:rsid w:val="00B23480"/>
    <w:rsid w:val="00B23A60"/>
    <w:rsid w:val="00B23C8E"/>
    <w:rsid w:val="00B24226"/>
    <w:rsid w:val="00B2431D"/>
    <w:rsid w:val="00B2452C"/>
    <w:rsid w:val="00B247D3"/>
    <w:rsid w:val="00B24A0B"/>
    <w:rsid w:val="00B24B91"/>
    <w:rsid w:val="00B24BE6"/>
    <w:rsid w:val="00B257FA"/>
    <w:rsid w:val="00B25A8A"/>
    <w:rsid w:val="00B262DA"/>
    <w:rsid w:val="00B267DA"/>
    <w:rsid w:val="00B27382"/>
    <w:rsid w:val="00B27B5B"/>
    <w:rsid w:val="00B27C26"/>
    <w:rsid w:val="00B30013"/>
    <w:rsid w:val="00B306EA"/>
    <w:rsid w:val="00B3087D"/>
    <w:rsid w:val="00B30D7E"/>
    <w:rsid w:val="00B30EE7"/>
    <w:rsid w:val="00B323EA"/>
    <w:rsid w:val="00B33E61"/>
    <w:rsid w:val="00B34002"/>
    <w:rsid w:val="00B34794"/>
    <w:rsid w:val="00B34EA8"/>
    <w:rsid w:val="00B35161"/>
    <w:rsid w:val="00B35236"/>
    <w:rsid w:val="00B364D7"/>
    <w:rsid w:val="00B366C2"/>
    <w:rsid w:val="00B36865"/>
    <w:rsid w:val="00B36E67"/>
    <w:rsid w:val="00B36FB0"/>
    <w:rsid w:val="00B37837"/>
    <w:rsid w:val="00B37844"/>
    <w:rsid w:val="00B379BE"/>
    <w:rsid w:val="00B37E71"/>
    <w:rsid w:val="00B40463"/>
    <w:rsid w:val="00B4079B"/>
    <w:rsid w:val="00B4094E"/>
    <w:rsid w:val="00B4133D"/>
    <w:rsid w:val="00B414F9"/>
    <w:rsid w:val="00B41754"/>
    <w:rsid w:val="00B419BC"/>
    <w:rsid w:val="00B41DF8"/>
    <w:rsid w:val="00B42DD3"/>
    <w:rsid w:val="00B42EF8"/>
    <w:rsid w:val="00B42F57"/>
    <w:rsid w:val="00B433AD"/>
    <w:rsid w:val="00B4387C"/>
    <w:rsid w:val="00B43AF5"/>
    <w:rsid w:val="00B44500"/>
    <w:rsid w:val="00B45101"/>
    <w:rsid w:val="00B451CB"/>
    <w:rsid w:val="00B4543D"/>
    <w:rsid w:val="00B458FB"/>
    <w:rsid w:val="00B45929"/>
    <w:rsid w:val="00B45B6A"/>
    <w:rsid w:val="00B45FE2"/>
    <w:rsid w:val="00B46748"/>
    <w:rsid w:val="00B46968"/>
    <w:rsid w:val="00B46ED3"/>
    <w:rsid w:val="00B47198"/>
    <w:rsid w:val="00B472D6"/>
    <w:rsid w:val="00B4778B"/>
    <w:rsid w:val="00B47DEC"/>
    <w:rsid w:val="00B47E10"/>
    <w:rsid w:val="00B502AE"/>
    <w:rsid w:val="00B5060B"/>
    <w:rsid w:val="00B5066A"/>
    <w:rsid w:val="00B5094E"/>
    <w:rsid w:val="00B512D8"/>
    <w:rsid w:val="00B52E0C"/>
    <w:rsid w:val="00B5311F"/>
    <w:rsid w:val="00B54CF8"/>
    <w:rsid w:val="00B5507E"/>
    <w:rsid w:val="00B55327"/>
    <w:rsid w:val="00B55A74"/>
    <w:rsid w:val="00B55AE7"/>
    <w:rsid w:val="00B569D2"/>
    <w:rsid w:val="00B57661"/>
    <w:rsid w:val="00B577EE"/>
    <w:rsid w:val="00B57D49"/>
    <w:rsid w:val="00B6035F"/>
    <w:rsid w:val="00B60421"/>
    <w:rsid w:val="00B60F16"/>
    <w:rsid w:val="00B61349"/>
    <w:rsid w:val="00B61873"/>
    <w:rsid w:val="00B61B91"/>
    <w:rsid w:val="00B61CBD"/>
    <w:rsid w:val="00B61E08"/>
    <w:rsid w:val="00B62132"/>
    <w:rsid w:val="00B624ED"/>
    <w:rsid w:val="00B62D04"/>
    <w:rsid w:val="00B63037"/>
    <w:rsid w:val="00B63100"/>
    <w:rsid w:val="00B6349C"/>
    <w:rsid w:val="00B63974"/>
    <w:rsid w:val="00B639EE"/>
    <w:rsid w:val="00B63BD6"/>
    <w:rsid w:val="00B63D87"/>
    <w:rsid w:val="00B640E5"/>
    <w:rsid w:val="00B641C0"/>
    <w:rsid w:val="00B647D3"/>
    <w:rsid w:val="00B648CE"/>
    <w:rsid w:val="00B64DE2"/>
    <w:rsid w:val="00B6571C"/>
    <w:rsid w:val="00B65D51"/>
    <w:rsid w:val="00B65D7D"/>
    <w:rsid w:val="00B65ECD"/>
    <w:rsid w:val="00B66213"/>
    <w:rsid w:val="00B6634E"/>
    <w:rsid w:val="00B664F5"/>
    <w:rsid w:val="00B66646"/>
    <w:rsid w:val="00B6738A"/>
    <w:rsid w:val="00B676A7"/>
    <w:rsid w:val="00B67AAA"/>
    <w:rsid w:val="00B702E2"/>
    <w:rsid w:val="00B70326"/>
    <w:rsid w:val="00B70384"/>
    <w:rsid w:val="00B70548"/>
    <w:rsid w:val="00B70FD4"/>
    <w:rsid w:val="00B71016"/>
    <w:rsid w:val="00B71125"/>
    <w:rsid w:val="00B71651"/>
    <w:rsid w:val="00B718A2"/>
    <w:rsid w:val="00B71A07"/>
    <w:rsid w:val="00B71A9D"/>
    <w:rsid w:val="00B71CA3"/>
    <w:rsid w:val="00B71FDE"/>
    <w:rsid w:val="00B7241E"/>
    <w:rsid w:val="00B72CCD"/>
    <w:rsid w:val="00B736B5"/>
    <w:rsid w:val="00B73A70"/>
    <w:rsid w:val="00B75FD0"/>
    <w:rsid w:val="00B76090"/>
    <w:rsid w:val="00B76945"/>
    <w:rsid w:val="00B775C6"/>
    <w:rsid w:val="00B77D48"/>
    <w:rsid w:val="00B77D69"/>
    <w:rsid w:val="00B77EF4"/>
    <w:rsid w:val="00B77FC8"/>
    <w:rsid w:val="00B78EE7"/>
    <w:rsid w:val="00B8004F"/>
    <w:rsid w:val="00B8076C"/>
    <w:rsid w:val="00B80CAC"/>
    <w:rsid w:val="00B81085"/>
    <w:rsid w:val="00B812D3"/>
    <w:rsid w:val="00B81370"/>
    <w:rsid w:val="00B81A4C"/>
    <w:rsid w:val="00B81D04"/>
    <w:rsid w:val="00B81D4B"/>
    <w:rsid w:val="00B81EB6"/>
    <w:rsid w:val="00B82983"/>
    <w:rsid w:val="00B82B21"/>
    <w:rsid w:val="00B82C31"/>
    <w:rsid w:val="00B83255"/>
    <w:rsid w:val="00B83336"/>
    <w:rsid w:val="00B835BA"/>
    <w:rsid w:val="00B83758"/>
    <w:rsid w:val="00B838B3"/>
    <w:rsid w:val="00B83E38"/>
    <w:rsid w:val="00B83EEA"/>
    <w:rsid w:val="00B84134"/>
    <w:rsid w:val="00B8484E"/>
    <w:rsid w:val="00B848F4"/>
    <w:rsid w:val="00B84904"/>
    <w:rsid w:val="00B849D5"/>
    <w:rsid w:val="00B84FA0"/>
    <w:rsid w:val="00B8568F"/>
    <w:rsid w:val="00B86292"/>
    <w:rsid w:val="00B86936"/>
    <w:rsid w:val="00B87096"/>
    <w:rsid w:val="00B87A1C"/>
    <w:rsid w:val="00B9004F"/>
    <w:rsid w:val="00B9018B"/>
    <w:rsid w:val="00B90439"/>
    <w:rsid w:val="00B905BA"/>
    <w:rsid w:val="00B90703"/>
    <w:rsid w:val="00B915B9"/>
    <w:rsid w:val="00B91900"/>
    <w:rsid w:val="00B91D93"/>
    <w:rsid w:val="00B91FD3"/>
    <w:rsid w:val="00B92032"/>
    <w:rsid w:val="00B92297"/>
    <w:rsid w:val="00B92B9F"/>
    <w:rsid w:val="00B92EAD"/>
    <w:rsid w:val="00B9304C"/>
    <w:rsid w:val="00B930A0"/>
    <w:rsid w:val="00B9375C"/>
    <w:rsid w:val="00B9394A"/>
    <w:rsid w:val="00B942A6"/>
    <w:rsid w:val="00B9448A"/>
    <w:rsid w:val="00B94A14"/>
    <w:rsid w:val="00B94CD2"/>
    <w:rsid w:val="00B94D20"/>
    <w:rsid w:val="00B954BB"/>
    <w:rsid w:val="00B9689D"/>
    <w:rsid w:val="00B97073"/>
    <w:rsid w:val="00B976F4"/>
    <w:rsid w:val="00B97E1F"/>
    <w:rsid w:val="00BA0496"/>
    <w:rsid w:val="00BA0A51"/>
    <w:rsid w:val="00BA0A8F"/>
    <w:rsid w:val="00BA1102"/>
    <w:rsid w:val="00BA124F"/>
    <w:rsid w:val="00BA1486"/>
    <w:rsid w:val="00BA16CF"/>
    <w:rsid w:val="00BA1889"/>
    <w:rsid w:val="00BA26D9"/>
    <w:rsid w:val="00BA2797"/>
    <w:rsid w:val="00BA2806"/>
    <w:rsid w:val="00BA290A"/>
    <w:rsid w:val="00BA33C5"/>
    <w:rsid w:val="00BA36A3"/>
    <w:rsid w:val="00BA36FF"/>
    <w:rsid w:val="00BA3AB5"/>
    <w:rsid w:val="00BA43AF"/>
    <w:rsid w:val="00BA4636"/>
    <w:rsid w:val="00BA50DA"/>
    <w:rsid w:val="00BA51D6"/>
    <w:rsid w:val="00BA55A0"/>
    <w:rsid w:val="00BA57A9"/>
    <w:rsid w:val="00BA6035"/>
    <w:rsid w:val="00BA609B"/>
    <w:rsid w:val="00BA6969"/>
    <w:rsid w:val="00BA6AD2"/>
    <w:rsid w:val="00BA6B3A"/>
    <w:rsid w:val="00BA6C81"/>
    <w:rsid w:val="00BA6E01"/>
    <w:rsid w:val="00BA702A"/>
    <w:rsid w:val="00BA73D6"/>
    <w:rsid w:val="00BA781F"/>
    <w:rsid w:val="00BA7C05"/>
    <w:rsid w:val="00BB0243"/>
    <w:rsid w:val="00BB04C2"/>
    <w:rsid w:val="00BB10D7"/>
    <w:rsid w:val="00BB1189"/>
    <w:rsid w:val="00BB1530"/>
    <w:rsid w:val="00BB1BC5"/>
    <w:rsid w:val="00BB1BDB"/>
    <w:rsid w:val="00BB1ED7"/>
    <w:rsid w:val="00BB2991"/>
    <w:rsid w:val="00BB29EE"/>
    <w:rsid w:val="00BB30F0"/>
    <w:rsid w:val="00BB40B4"/>
    <w:rsid w:val="00BB464D"/>
    <w:rsid w:val="00BB4EBB"/>
    <w:rsid w:val="00BB5274"/>
    <w:rsid w:val="00BB5660"/>
    <w:rsid w:val="00BB583C"/>
    <w:rsid w:val="00BB5864"/>
    <w:rsid w:val="00BB589D"/>
    <w:rsid w:val="00BB5916"/>
    <w:rsid w:val="00BB5E03"/>
    <w:rsid w:val="00BB6181"/>
    <w:rsid w:val="00BB7104"/>
    <w:rsid w:val="00BB7301"/>
    <w:rsid w:val="00BB7DEB"/>
    <w:rsid w:val="00BC01BD"/>
    <w:rsid w:val="00BC0479"/>
    <w:rsid w:val="00BC06E2"/>
    <w:rsid w:val="00BC0CA4"/>
    <w:rsid w:val="00BC0DD4"/>
    <w:rsid w:val="00BC117B"/>
    <w:rsid w:val="00BC1485"/>
    <w:rsid w:val="00BC253E"/>
    <w:rsid w:val="00BC2927"/>
    <w:rsid w:val="00BC2A4D"/>
    <w:rsid w:val="00BC2BB5"/>
    <w:rsid w:val="00BC2D82"/>
    <w:rsid w:val="00BC306A"/>
    <w:rsid w:val="00BC3666"/>
    <w:rsid w:val="00BC4209"/>
    <w:rsid w:val="00BC4581"/>
    <w:rsid w:val="00BC4613"/>
    <w:rsid w:val="00BC4A50"/>
    <w:rsid w:val="00BC521B"/>
    <w:rsid w:val="00BC56D6"/>
    <w:rsid w:val="00BC5C93"/>
    <w:rsid w:val="00BC5F25"/>
    <w:rsid w:val="00BC656D"/>
    <w:rsid w:val="00BC6772"/>
    <w:rsid w:val="00BC6A48"/>
    <w:rsid w:val="00BC6C9C"/>
    <w:rsid w:val="00BC6E24"/>
    <w:rsid w:val="00BC6EE6"/>
    <w:rsid w:val="00BC6FA0"/>
    <w:rsid w:val="00BC7260"/>
    <w:rsid w:val="00BD09D9"/>
    <w:rsid w:val="00BD13CF"/>
    <w:rsid w:val="00BD14C0"/>
    <w:rsid w:val="00BD16AA"/>
    <w:rsid w:val="00BD2ED4"/>
    <w:rsid w:val="00BD3519"/>
    <w:rsid w:val="00BD38DA"/>
    <w:rsid w:val="00BD3EEA"/>
    <w:rsid w:val="00BD440D"/>
    <w:rsid w:val="00BD48B8"/>
    <w:rsid w:val="00BD4C8A"/>
    <w:rsid w:val="00BD4C9B"/>
    <w:rsid w:val="00BD55B9"/>
    <w:rsid w:val="00BD5CD3"/>
    <w:rsid w:val="00BD63C9"/>
    <w:rsid w:val="00BD69C8"/>
    <w:rsid w:val="00BD6E5B"/>
    <w:rsid w:val="00BD786D"/>
    <w:rsid w:val="00BD7F68"/>
    <w:rsid w:val="00BE01D0"/>
    <w:rsid w:val="00BE0F9B"/>
    <w:rsid w:val="00BE11AB"/>
    <w:rsid w:val="00BE12DB"/>
    <w:rsid w:val="00BE16C1"/>
    <w:rsid w:val="00BE1B9A"/>
    <w:rsid w:val="00BE1E12"/>
    <w:rsid w:val="00BE1EFB"/>
    <w:rsid w:val="00BE25D4"/>
    <w:rsid w:val="00BE2B89"/>
    <w:rsid w:val="00BE2E25"/>
    <w:rsid w:val="00BE2EDA"/>
    <w:rsid w:val="00BE33A9"/>
    <w:rsid w:val="00BE33DD"/>
    <w:rsid w:val="00BE365C"/>
    <w:rsid w:val="00BE3FF6"/>
    <w:rsid w:val="00BE43A8"/>
    <w:rsid w:val="00BE45FE"/>
    <w:rsid w:val="00BE4D1A"/>
    <w:rsid w:val="00BE53AA"/>
    <w:rsid w:val="00BE5983"/>
    <w:rsid w:val="00BE601B"/>
    <w:rsid w:val="00BE681D"/>
    <w:rsid w:val="00BE6D68"/>
    <w:rsid w:val="00BE7171"/>
    <w:rsid w:val="00BE73E5"/>
    <w:rsid w:val="00BE7E85"/>
    <w:rsid w:val="00BE7F15"/>
    <w:rsid w:val="00BF0231"/>
    <w:rsid w:val="00BF0638"/>
    <w:rsid w:val="00BF0688"/>
    <w:rsid w:val="00BF0E64"/>
    <w:rsid w:val="00BF17EC"/>
    <w:rsid w:val="00BF1AEC"/>
    <w:rsid w:val="00BF1B75"/>
    <w:rsid w:val="00BF248A"/>
    <w:rsid w:val="00BF29E9"/>
    <w:rsid w:val="00BF2B17"/>
    <w:rsid w:val="00BF2BD6"/>
    <w:rsid w:val="00BF2CA1"/>
    <w:rsid w:val="00BF2DB3"/>
    <w:rsid w:val="00BF2F76"/>
    <w:rsid w:val="00BF3099"/>
    <w:rsid w:val="00BF310A"/>
    <w:rsid w:val="00BF3D53"/>
    <w:rsid w:val="00BF3D9E"/>
    <w:rsid w:val="00BF481C"/>
    <w:rsid w:val="00BF4A1E"/>
    <w:rsid w:val="00BF4E53"/>
    <w:rsid w:val="00BF4F06"/>
    <w:rsid w:val="00BF5200"/>
    <w:rsid w:val="00BF583B"/>
    <w:rsid w:val="00BF5871"/>
    <w:rsid w:val="00BF5C33"/>
    <w:rsid w:val="00BF5DEA"/>
    <w:rsid w:val="00BF62CF"/>
    <w:rsid w:val="00BF65BE"/>
    <w:rsid w:val="00BF6890"/>
    <w:rsid w:val="00BF68F5"/>
    <w:rsid w:val="00BF6D45"/>
    <w:rsid w:val="00BF70A8"/>
    <w:rsid w:val="00BF7247"/>
    <w:rsid w:val="00BF759F"/>
    <w:rsid w:val="00BF7A71"/>
    <w:rsid w:val="00C00217"/>
    <w:rsid w:val="00C00756"/>
    <w:rsid w:val="00C00B63"/>
    <w:rsid w:val="00C00EA3"/>
    <w:rsid w:val="00C0123F"/>
    <w:rsid w:val="00C01241"/>
    <w:rsid w:val="00C02851"/>
    <w:rsid w:val="00C02D06"/>
    <w:rsid w:val="00C03107"/>
    <w:rsid w:val="00C0342E"/>
    <w:rsid w:val="00C0357F"/>
    <w:rsid w:val="00C04A8B"/>
    <w:rsid w:val="00C06652"/>
    <w:rsid w:val="00C06905"/>
    <w:rsid w:val="00C06ABC"/>
    <w:rsid w:val="00C07DE8"/>
    <w:rsid w:val="00C07F10"/>
    <w:rsid w:val="00C102EE"/>
    <w:rsid w:val="00C10B5F"/>
    <w:rsid w:val="00C10D1F"/>
    <w:rsid w:val="00C10E08"/>
    <w:rsid w:val="00C10E14"/>
    <w:rsid w:val="00C111AE"/>
    <w:rsid w:val="00C1126A"/>
    <w:rsid w:val="00C11292"/>
    <w:rsid w:val="00C11595"/>
    <w:rsid w:val="00C11AB8"/>
    <w:rsid w:val="00C11FAE"/>
    <w:rsid w:val="00C12177"/>
    <w:rsid w:val="00C1276F"/>
    <w:rsid w:val="00C12D04"/>
    <w:rsid w:val="00C13862"/>
    <w:rsid w:val="00C13A81"/>
    <w:rsid w:val="00C13AE2"/>
    <w:rsid w:val="00C13C7D"/>
    <w:rsid w:val="00C13E8B"/>
    <w:rsid w:val="00C13EEB"/>
    <w:rsid w:val="00C13F7C"/>
    <w:rsid w:val="00C14378"/>
    <w:rsid w:val="00C14645"/>
    <w:rsid w:val="00C14B59"/>
    <w:rsid w:val="00C15728"/>
    <w:rsid w:val="00C159B8"/>
    <w:rsid w:val="00C15D25"/>
    <w:rsid w:val="00C16042"/>
    <w:rsid w:val="00C1643C"/>
    <w:rsid w:val="00C16AAD"/>
    <w:rsid w:val="00C174F7"/>
    <w:rsid w:val="00C175E2"/>
    <w:rsid w:val="00C176D1"/>
    <w:rsid w:val="00C178F8"/>
    <w:rsid w:val="00C17936"/>
    <w:rsid w:val="00C17DC6"/>
    <w:rsid w:val="00C17F0B"/>
    <w:rsid w:val="00C17FD0"/>
    <w:rsid w:val="00C201E9"/>
    <w:rsid w:val="00C202D5"/>
    <w:rsid w:val="00C20EC1"/>
    <w:rsid w:val="00C20ED9"/>
    <w:rsid w:val="00C21E3C"/>
    <w:rsid w:val="00C222E8"/>
    <w:rsid w:val="00C22534"/>
    <w:rsid w:val="00C22752"/>
    <w:rsid w:val="00C22851"/>
    <w:rsid w:val="00C22EC1"/>
    <w:rsid w:val="00C22FE0"/>
    <w:rsid w:val="00C23662"/>
    <w:rsid w:val="00C23EAA"/>
    <w:rsid w:val="00C24825"/>
    <w:rsid w:val="00C25106"/>
    <w:rsid w:val="00C25421"/>
    <w:rsid w:val="00C26220"/>
    <w:rsid w:val="00C264E3"/>
    <w:rsid w:val="00C2657F"/>
    <w:rsid w:val="00C265E6"/>
    <w:rsid w:val="00C26A12"/>
    <w:rsid w:val="00C26C87"/>
    <w:rsid w:val="00C26DA1"/>
    <w:rsid w:val="00C26DF3"/>
    <w:rsid w:val="00C26EAE"/>
    <w:rsid w:val="00C27CC2"/>
    <w:rsid w:val="00C31F78"/>
    <w:rsid w:val="00C320CB"/>
    <w:rsid w:val="00C32125"/>
    <w:rsid w:val="00C32A2D"/>
    <w:rsid w:val="00C32C2B"/>
    <w:rsid w:val="00C3329E"/>
    <w:rsid w:val="00C33E0F"/>
    <w:rsid w:val="00C33EC2"/>
    <w:rsid w:val="00C340CF"/>
    <w:rsid w:val="00C3433C"/>
    <w:rsid w:val="00C34503"/>
    <w:rsid w:val="00C345A4"/>
    <w:rsid w:val="00C345A9"/>
    <w:rsid w:val="00C347EE"/>
    <w:rsid w:val="00C35AC9"/>
    <w:rsid w:val="00C35CEA"/>
    <w:rsid w:val="00C362AD"/>
    <w:rsid w:val="00C362C8"/>
    <w:rsid w:val="00C3661B"/>
    <w:rsid w:val="00C36B4D"/>
    <w:rsid w:val="00C36B88"/>
    <w:rsid w:val="00C36BAC"/>
    <w:rsid w:val="00C37123"/>
    <w:rsid w:val="00C37498"/>
    <w:rsid w:val="00C3774F"/>
    <w:rsid w:val="00C37A1B"/>
    <w:rsid w:val="00C37E1C"/>
    <w:rsid w:val="00C40092"/>
    <w:rsid w:val="00C40199"/>
    <w:rsid w:val="00C40285"/>
    <w:rsid w:val="00C40516"/>
    <w:rsid w:val="00C40519"/>
    <w:rsid w:val="00C40569"/>
    <w:rsid w:val="00C40642"/>
    <w:rsid w:val="00C40AFE"/>
    <w:rsid w:val="00C40DFD"/>
    <w:rsid w:val="00C40FFD"/>
    <w:rsid w:val="00C416E3"/>
    <w:rsid w:val="00C41D25"/>
    <w:rsid w:val="00C41D6B"/>
    <w:rsid w:val="00C4221C"/>
    <w:rsid w:val="00C42649"/>
    <w:rsid w:val="00C426C6"/>
    <w:rsid w:val="00C43562"/>
    <w:rsid w:val="00C435C4"/>
    <w:rsid w:val="00C43832"/>
    <w:rsid w:val="00C4396F"/>
    <w:rsid w:val="00C43A8C"/>
    <w:rsid w:val="00C43D64"/>
    <w:rsid w:val="00C43F0B"/>
    <w:rsid w:val="00C44240"/>
    <w:rsid w:val="00C442AA"/>
    <w:rsid w:val="00C443AA"/>
    <w:rsid w:val="00C44A68"/>
    <w:rsid w:val="00C44B3A"/>
    <w:rsid w:val="00C45279"/>
    <w:rsid w:val="00C454E1"/>
    <w:rsid w:val="00C4699D"/>
    <w:rsid w:val="00C46C63"/>
    <w:rsid w:val="00C46D8E"/>
    <w:rsid w:val="00C47BDC"/>
    <w:rsid w:val="00C47C81"/>
    <w:rsid w:val="00C51063"/>
    <w:rsid w:val="00C515B0"/>
    <w:rsid w:val="00C51B0F"/>
    <w:rsid w:val="00C52463"/>
    <w:rsid w:val="00C524B5"/>
    <w:rsid w:val="00C524D3"/>
    <w:rsid w:val="00C527EC"/>
    <w:rsid w:val="00C52A9E"/>
    <w:rsid w:val="00C52C9F"/>
    <w:rsid w:val="00C530BD"/>
    <w:rsid w:val="00C533EB"/>
    <w:rsid w:val="00C53940"/>
    <w:rsid w:val="00C53D21"/>
    <w:rsid w:val="00C54174"/>
    <w:rsid w:val="00C5452C"/>
    <w:rsid w:val="00C54588"/>
    <w:rsid w:val="00C54633"/>
    <w:rsid w:val="00C54708"/>
    <w:rsid w:val="00C54B42"/>
    <w:rsid w:val="00C5504B"/>
    <w:rsid w:val="00C550FB"/>
    <w:rsid w:val="00C55493"/>
    <w:rsid w:val="00C554C1"/>
    <w:rsid w:val="00C56098"/>
    <w:rsid w:val="00C5690F"/>
    <w:rsid w:val="00C56F4A"/>
    <w:rsid w:val="00C56FC6"/>
    <w:rsid w:val="00C5768F"/>
    <w:rsid w:val="00C5784A"/>
    <w:rsid w:val="00C57851"/>
    <w:rsid w:val="00C57A16"/>
    <w:rsid w:val="00C60008"/>
    <w:rsid w:val="00C60181"/>
    <w:rsid w:val="00C6027F"/>
    <w:rsid w:val="00C603F2"/>
    <w:rsid w:val="00C60449"/>
    <w:rsid w:val="00C6056F"/>
    <w:rsid w:val="00C60699"/>
    <w:rsid w:val="00C6177C"/>
    <w:rsid w:val="00C62F34"/>
    <w:rsid w:val="00C631F5"/>
    <w:rsid w:val="00C63330"/>
    <w:rsid w:val="00C63350"/>
    <w:rsid w:val="00C64183"/>
    <w:rsid w:val="00C64644"/>
    <w:rsid w:val="00C650A3"/>
    <w:rsid w:val="00C6531C"/>
    <w:rsid w:val="00C657CB"/>
    <w:rsid w:val="00C658F8"/>
    <w:rsid w:val="00C66345"/>
    <w:rsid w:val="00C66C13"/>
    <w:rsid w:val="00C678F3"/>
    <w:rsid w:val="00C70093"/>
    <w:rsid w:val="00C7026F"/>
    <w:rsid w:val="00C7058A"/>
    <w:rsid w:val="00C70606"/>
    <w:rsid w:val="00C70A3F"/>
    <w:rsid w:val="00C70C44"/>
    <w:rsid w:val="00C70E3D"/>
    <w:rsid w:val="00C70ED1"/>
    <w:rsid w:val="00C71B34"/>
    <w:rsid w:val="00C7212D"/>
    <w:rsid w:val="00C72170"/>
    <w:rsid w:val="00C721EF"/>
    <w:rsid w:val="00C722B8"/>
    <w:rsid w:val="00C728BC"/>
    <w:rsid w:val="00C72AB5"/>
    <w:rsid w:val="00C73029"/>
    <w:rsid w:val="00C730AB"/>
    <w:rsid w:val="00C7314C"/>
    <w:rsid w:val="00C73412"/>
    <w:rsid w:val="00C739C9"/>
    <w:rsid w:val="00C739CD"/>
    <w:rsid w:val="00C73D83"/>
    <w:rsid w:val="00C73F9F"/>
    <w:rsid w:val="00C741B6"/>
    <w:rsid w:val="00C74660"/>
    <w:rsid w:val="00C747A6"/>
    <w:rsid w:val="00C74BAB"/>
    <w:rsid w:val="00C75718"/>
    <w:rsid w:val="00C757AE"/>
    <w:rsid w:val="00C75A3D"/>
    <w:rsid w:val="00C75C13"/>
    <w:rsid w:val="00C7658E"/>
    <w:rsid w:val="00C76DDB"/>
    <w:rsid w:val="00C76FB8"/>
    <w:rsid w:val="00C77388"/>
    <w:rsid w:val="00C77408"/>
    <w:rsid w:val="00C775D8"/>
    <w:rsid w:val="00C778E5"/>
    <w:rsid w:val="00C77918"/>
    <w:rsid w:val="00C77F23"/>
    <w:rsid w:val="00C80500"/>
    <w:rsid w:val="00C80F53"/>
    <w:rsid w:val="00C81524"/>
    <w:rsid w:val="00C8196A"/>
    <w:rsid w:val="00C82DBB"/>
    <w:rsid w:val="00C833EA"/>
    <w:rsid w:val="00C83573"/>
    <w:rsid w:val="00C83E7B"/>
    <w:rsid w:val="00C84494"/>
    <w:rsid w:val="00C844AE"/>
    <w:rsid w:val="00C850DB"/>
    <w:rsid w:val="00C85598"/>
    <w:rsid w:val="00C8657B"/>
    <w:rsid w:val="00C86632"/>
    <w:rsid w:val="00C86E97"/>
    <w:rsid w:val="00C870C2"/>
    <w:rsid w:val="00C8721A"/>
    <w:rsid w:val="00C873D6"/>
    <w:rsid w:val="00C8750D"/>
    <w:rsid w:val="00C875D3"/>
    <w:rsid w:val="00C878D5"/>
    <w:rsid w:val="00C878D8"/>
    <w:rsid w:val="00C87A44"/>
    <w:rsid w:val="00C87B4A"/>
    <w:rsid w:val="00C87CC1"/>
    <w:rsid w:val="00C87F4B"/>
    <w:rsid w:val="00C8ACD5"/>
    <w:rsid w:val="00C9033B"/>
    <w:rsid w:val="00C9064A"/>
    <w:rsid w:val="00C907D1"/>
    <w:rsid w:val="00C90A19"/>
    <w:rsid w:val="00C90C7A"/>
    <w:rsid w:val="00C90EFC"/>
    <w:rsid w:val="00C90F17"/>
    <w:rsid w:val="00C913A1"/>
    <w:rsid w:val="00C916B4"/>
    <w:rsid w:val="00C91E18"/>
    <w:rsid w:val="00C91F13"/>
    <w:rsid w:val="00C922F6"/>
    <w:rsid w:val="00C92A22"/>
    <w:rsid w:val="00C93116"/>
    <w:rsid w:val="00C93119"/>
    <w:rsid w:val="00C9314D"/>
    <w:rsid w:val="00C9369B"/>
    <w:rsid w:val="00C93F78"/>
    <w:rsid w:val="00C94169"/>
    <w:rsid w:val="00C947E2"/>
    <w:rsid w:val="00C94845"/>
    <w:rsid w:val="00C948C1"/>
    <w:rsid w:val="00C95048"/>
    <w:rsid w:val="00C95537"/>
    <w:rsid w:val="00C95557"/>
    <w:rsid w:val="00C95597"/>
    <w:rsid w:val="00C95610"/>
    <w:rsid w:val="00C959C2"/>
    <w:rsid w:val="00C96557"/>
    <w:rsid w:val="00C965D1"/>
    <w:rsid w:val="00C96670"/>
    <w:rsid w:val="00C96805"/>
    <w:rsid w:val="00C977BD"/>
    <w:rsid w:val="00C97CE7"/>
    <w:rsid w:val="00CA0BB6"/>
    <w:rsid w:val="00CA0CBA"/>
    <w:rsid w:val="00CA0D10"/>
    <w:rsid w:val="00CA1670"/>
    <w:rsid w:val="00CA1AAC"/>
    <w:rsid w:val="00CA227F"/>
    <w:rsid w:val="00CA2D8A"/>
    <w:rsid w:val="00CA3630"/>
    <w:rsid w:val="00CA3B76"/>
    <w:rsid w:val="00CA3EB6"/>
    <w:rsid w:val="00CA418C"/>
    <w:rsid w:val="00CA475F"/>
    <w:rsid w:val="00CA4AB7"/>
    <w:rsid w:val="00CA4B46"/>
    <w:rsid w:val="00CA4BB4"/>
    <w:rsid w:val="00CA4C7E"/>
    <w:rsid w:val="00CA4F3B"/>
    <w:rsid w:val="00CA549C"/>
    <w:rsid w:val="00CA5E98"/>
    <w:rsid w:val="00CA6B28"/>
    <w:rsid w:val="00CA6C73"/>
    <w:rsid w:val="00CA73D5"/>
    <w:rsid w:val="00CA7C40"/>
    <w:rsid w:val="00CB045E"/>
    <w:rsid w:val="00CB07AE"/>
    <w:rsid w:val="00CB0BD2"/>
    <w:rsid w:val="00CB0F1F"/>
    <w:rsid w:val="00CB1630"/>
    <w:rsid w:val="00CB1BAB"/>
    <w:rsid w:val="00CB1ED1"/>
    <w:rsid w:val="00CB2591"/>
    <w:rsid w:val="00CB25AA"/>
    <w:rsid w:val="00CB2832"/>
    <w:rsid w:val="00CB28DC"/>
    <w:rsid w:val="00CB2EB4"/>
    <w:rsid w:val="00CB422D"/>
    <w:rsid w:val="00CB4322"/>
    <w:rsid w:val="00CB4453"/>
    <w:rsid w:val="00CB4520"/>
    <w:rsid w:val="00CB4615"/>
    <w:rsid w:val="00CB4803"/>
    <w:rsid w:val="00CB4E69"/>
    <w:rsid w:val="00CB4F49"/>
    <w:rsid w:val="00CB5071"/>
    <w:rsid w:val="00CB5141"/>
    <w:rsid w:val="00CB53E6"/>
    <w:rsid w:val="00CB5E25"/>
    <w:rsid w:val="00CB60A7"/>
    <w:rsid w:val="00CB6543"/>
    <w:rsid w:val="00CB686C"/>
    <w:rsid w:val="00CB6DB7"/>
    <w:rsid w:val="00CB70DF"/>
    <w:rsid w:val="00CB7DD8"/>
    <w:rsid w:val="00CC008C"/>
    <w:rsid w:val="00CC05DD"/>
    <w:rsid w:val="00CC09A6"/>
    <w:rsid w:val="00CC09B5"/>
    <w:rsid w:val="00CC0ACA"/>
    <w:rsid w:val="00CC1072"/>
    <w:rsid w:val="00CC11E2"/>
    <w:rsid w:val="00CC2328"/>
    <w:rsid w:val="00CC250F"/>
    <w:rsid w:val="00CC259F"/>
    <w:rsid w:val="00CC2938"/>
    <w:rsid w:val="00CC2BF7"/>
    <w:rsid w:val="00CC2EF3"/>
    <w:rsid w:val="00CC2FC7"/>
    <w:rsid w:val="00CC36A0"/>
    <w:rsid w:val="00CC3E8E"/>
    <w:rsid w:val="00CC3EBA"/>
    <w:rsid w:val="00CC3F41"/>
    <w:rsid w:val="00CC404D"/>
    <w:rsid w:val="00CC4718"/>
    <w:rsid w:val="00CC4780"/>
    <w:rsid w:val="00CC4E49"/>
    <w:rsid w:val="00CC505D"/>
    <w:rsid w:val="00CC50F7"/>
    <w:rsid w:val="00CC534D"/>
    <w:rsid w:val="00CC5A3A"/>
    <w:rsid w:val="00CC60DA"/>
    <w:rsid w:val="00CC660A"/>
    <w:rsid w:val="00CC6797"/>
    <w:rsid w:val="00CC6A99"/>
    <w:rsid w:val="00CC6AB7"/>
    <w:rsid w:val="00CC760A"/>
    <w:rsid w:val="00CC7B70"/>
    <w:rsid w:val="00CD0426"/>
    <w:rsid w:val="00CD0A4E"/>
    <w:rsid w:val="00CD0F59"/>
    <w:rsid w:val="00CD11B1"/>
    <w:rsid w:val="00CD16A3"/>
    <w:rsid w:val="00CD1873"/>
    <w:rsid w:val="00CD1A9F"/>
    <w:rsid w:val="00CD1DE3"/>
    <w:rsid w:val="00CD2677"/>
    <w:rsid w:val="00CD27A0"/>
    <w:rsid w:val="00CD36F3"/>
    <w:rsid w:val="00CD3D48"/>
    <w:rsid w:val="00CD468D"/>
    <w:rsid w:val="00CD500C"/>
    <w:rsid w:val="00CD505E"/>
    <w:rsid w:val="00CD55F2"/>
    <w:rsid w:val="00CD5AFF"/>
    <w:rsid w:val="00CD6E9F"/>
    <w:rsid w:val="00CD750E"/>
    <w:rsid w:val="00CD75D4"/>
    <w:rsid w:val="00CD779A"/>
    <w:rsid w:val="00CD7919"/>
    <w:rsid w:val="00CE02AB"/>
    <w:rsid w:val="00CE06C5"/>
    <w:rsid w:val="00CE0733"/>
    <w:rsid w:val="00CE0E5D"/>
    <w:rsid w:val="00CE10E2"/>
    <w:rsid w:val="00CE2AEE"/>
    <w:rsid w:val="00CE2E94"/>
    <w:rsid w:val="00CE360A"/>
    <w:rsid w:val="00CE3791"/>
    <w:rsid w:val="00CE392B"/>
    <w:rsid w:val="00CE3A37"/>
    <w:rsid w:val="00CE4BC0"/>
    <w:rsid w:val="00CE4C33"/>
    <w:rsid w:val="00CE5371"/>
    <w:rsid w:val="00CE54BC"/>
    <w:rsid w:val="00CE5662"/>
    <w:rsid w:val="00CE570C"/>
    <w:rsid w:val="00CE581E"/>
    <w:rsid w:val="00CE5A57"/>
    <w:rsid w:val="00CE5D3D"/>
    <w:rsid w:val="00CE5E05"/>
    <w:rsid w:val="00CE6D94"/>
    <w:rsid w:val="00CE70A9"/>
    <w:rsid w:val="00CE7465"/>
    <w:rsid w:val="00CE78C6"/>
    <w:rsid w:val="00CF009B"/>
    <w:rsid w:val="00CF020B"/>
    <w:rsid w:val="00CF0756"/>
    <w:rsid w:val="00CF0862"/>
    <w:rsid w:val="00CF0FBC"/>
    <w:rsid w:val="00CF189E"/>
    <w:rsid w:val="00CF197D"/>
    <w:rsid w:val="00CF1CB8"/>
    <w:rsid w:val="00CF219B"/>
    <w:rsid w:val="00CF2576"/>
    <w:rsid w:val="00CF2798"/>
    <w:rsid w:val="00CF2B58"/>
    <w:rsid w:val="00CF2B90"/>
    <w:rsid w:val="00CF2C74"/>
    <w:rsid w:val="00CF2D6F"/>
    <w:rsid w:val="00CF370F"/>
    <w:rsid w:val="00CF3A78"/>
    <w:rsid w:val="00CF4D03"/>
    <w:rsid w:val="00CF4D14"/>
    <w:rsid w:val="00CF4F56"/>
    <w:rsid w:val="00CF55E7"/>
    <w:rsid w:val="00CF5A96"/>
    <w:rsid w:val="00CF5E32"/>
    <w:rsid w:val="00CF5FC7"/>
    <w:rsid w:val="00CF6538"/>
    <w:rsid w:val="00CF69B8"/>
    <w:rsid w:val="00CF7415"/>
    <w:rsid w:val="00CF7AAD"/>
    <w:rsid w:val="00CF7BA6"/>
    <w:rsid w:val="00CF7C61"/>
    <w:rsid w:val="00CF7EE3"/>
    <w:rsid w:val="00D0037A"/>
    <w:rsid w:val="00D00AA3"/>
    <w:rsid w:val="00D00BB9"/>
    <w:rsid w:val="00D00D1C"/>
    <w:rsid w:val="00D01464"/>
    <w:rsid w:val="00D014EE"/>
    <w:rsid w:val="00D017BE"/>
    <w:rsid w:val="00D0187B"/>
    <w:rsid w:val="00D01981"/>
    <w:rsid w:val="00D01CD5"/>
    <w:rsid w:val="00D01E4C"/>
    <w:rsid w:val="00D0235F"/>
    <w:rsid w:val="00D026FC"/>
    <w:rsid w:val="00D029F0"/>
    <w:rsid w:val="00D03255"/>
    <w:rsid w:val="00D03337"/>
    <w:rsid w:val="00D03525"/>
    <w:rsid w:val="00D04205"/>
    <w:rsid w:val="00D0504E"/>
    <w:rsid w:val="00D06492"/>
    <w:rsid w:val="00D068A2"/>
    <w:rsid w:val="00D06A7D"/>
    <w:rsid w:val="00D06FC8"/>
    <w:rsid w:val="00D07661"/>
    <w:rsid w:val="00D07F73"/>
    <w:rsid w:val="00D10618"/>
    <w:rsid w:val="00D108A3"/>
    <w:rsid w:val="00D113B1"/>
    <w:rsid w:val="00D1202F"/>
    <w:rsid w:val="00D12246"/>
    <w:rsid w:val="00D12395"/>
    <w:rsid w:val="00D130B7"/>
    <w:rsid w:val="00D13126"/>
    <w:rsid w:val="00D1312C"/>
    <w:rsid w:val="00D13980"/>
    <w:rsid w:val="00D13BFE"/>
    <w:rsid w:val="00D13CB4"/>
    <w:rsid w:val="00D13DDC"/>
    <w:rsid w:val="00D147E0"/>
    <w:rsid w:val="00D14844"/>
    <w:rsid w:val="00D14F26"/>
    <w:rsid w:val="00D15D48"/>
    <w:rsid w:val="00D166DB"/>
    <w:rsid w:val="00D16737"/>
    <w:rsid w:val="00D17231"/>
    <w:rsid w:val="00D17580"/>
    <w:rsid w:val="00D17F77"/>
    <w:rsid w:val="00D20053"/>
    <w:rsid w:val="00D20169"/>
    <w:rsid w:val="00D2041C"/>
    <w:rsid w:val="00D20BFF"/>
    <w:rsid w:val="00D2179E"/>
    <w:rsid w:val="00D22956"/>
    <w:rsid w:val="00D229AF"/>
    <w:rsid w:val="00D229D9"/>
    <w:rsid w:val="00D23058"/>
    <w:rsid w:val="00D23C88"/>
    <w:rsid w:val="00D248EA"/>
    <w:rsid w:val="00D252E8"/>
    <w:rsid w:val="00D2556A"/>
    <w:rsid w:val="00D259A5"/>
    <w:rsid w:val="00D25A43"/>
    <w:rsid w:val="00D25ADE"/>
    <w:rsid w:val="00D264FD"/>
    <w:rsid w:val="00D265F0"/>
    <w:rsid w:val="00D26738"/>
    <w:rsid w:val="00D268E2"/>
    <w:rsid w:val="00D26BDC"/>
    <w:rsid w:val="00D26D25"/>
    <w:rsid w:val="00D27685"/>
    <w:rsid w:val="00D27A5C"/>
    <w:rsid w:val="00D301F0"/>
    <w:rsid w:val="00D3026D"/>
    <w:rsid w:val="00D30822"/>
    <w:rsid w:val="00D3086B"/>
    <w:rsid w:val="00D30E0D"/>
    <w:rsid w:val="00D30E6F"/>
    <w:rsid w:val="00D31062"/>
    <w:rsid w:val="00D3110B"/>
    <w:rsid w:val="00D32E54"/>
    <w:rsid w:val="00D3363C"/>
    <w:rsid w:val="00D341B8"/>
    <w:rsid w:val="00D34298"/>
    <w:rsid w:val="00D344A5"/>
    <w:rsid w:val="00D344AF"/>
    <w:rsid w:val="00D347F9"/>
    <w:rsid w:val="00D34A1B"/>
    <w:rsid w:val="00D34B7D"/>
    <w:rsid w:val="00D3501B"/>
    <w:rsid w:val="00D35565"/>
    <w:rsid w:val="00D361BF"/>
    <w:rsid w:val="00D367AA"/>
    <w:rsid w:val="00D36D4A"/>
    <w:rsid w:val="00D3722D"/>
    <w:rsid w:val="00D373A0"/>
    <w:rsid w:val="00D377C0"/>
    <w:rsid w:val="00D37828"/>
    <w:rsid w:val="00D37D71"/>
    <w:rsid w:val="00D40327"/>
    <w:rsid w:val="00D40F78"/>
    <w:rsid w:val="00D40FE3"/>
    <w:rsid w:val="00D41A8B"/>
    <w:rsid w:val="00D4223B"/>
    <w:rsid w:val="00D422A6"/>
    <w:rsid w:val="00D42574"/>
    <w:rsid w:val="00D4297B"/>
    <w:rsid w:val="00D42A20"/>
    <w:rsid w:val="00D43297"/>
    <w:rsid w:val="00D43B6D"/>
    <w:rsid w:val="00D446FB"/>
    <w:rsid w:val="00D44B06"/>
    <w:rsid w:val="00D44CBA"/>
    <w:rsid w:val="00D44DB6"/>
    <w:rsid w:val="00D44DE5"/>
    <w:rsid w:val="00D44E14"/>
    <w:rsid w:val="00D454B0"/>
    <w:rsid w:val="00D455AB"/>
    <w:rsid w:val="00D456E6"/>
    <w:rsid w:val="00D473EA"/>
    <w:rsid w:val="00D47487"/>
    <w:rsid w:val="00D47E26"/>
    <w:rsid w:val="00D50041"/>
    <w:rsid w:val="00D50119"/>
    <w:rsid w:val="00D50736"/>
    <w:rsid w:val="00D50BCD"/>
    <w:rsid w:val="00D50FCC"/>
    <w:rsid w:val="00D52A67"/>
    <w:rsid w:val="00D52B1A"/>
    <w:rsid w:val="00D52E2B"/>
    <w:rsid w:val="00D52E71"/>
    <w:rsid w:val="00D52F13"/>
    <w:rsid w:val="00D536DD"/>
    <w:rsid w:val="00D539C3"/>
    <w:rsid w:val="00D53C9D"/>
    <w:rsid w:val="00D53D6B"/>
    <w:rsid w:val="00D53DC4"/>
    <w:rsid w:val="00D53DF1"/>
    <w:rsid w:val="00D54733"/>
    <w:rsid w:val="00D54E0F"/>
    <w:rsid w:val="00D55031"/>
    <w:rsid w:val="00D5519C"/>
    <w:rsid w:val="00D55604"/>
    <w:rsid w:val="00D56540"/>
    <w:rsid w:val="00D566E4"/>
    <w:rsid w:val="00D56735"/>
    <w:rsid w:val="00D5701A"/>
    <w:rsid w:val="00D57697"/>
    <w:rsid w:val="00D600BA"/>
    <w:rsid w:val="00D60122"/>
    <w:rsid w:val="00D605EF"/>
    <w:rsid w:val="00D60614"/>
    <w:rsid w:val="00D60B71"/>
    <w:rsid w:val="00D60F18"/>
    <w:rsid w:val="00D613DA"/>
    <w:rsid w:val="00D61DB4"/>
    <w:rsid w:val="00D63065"/>
    <w:rsid w:val="00D630B0"/>
    <w:rsid w:val="00D631BE"/>
    <w:rsid w:val="00D63226"/>
    <w:rsid w:val="00D6332E"/>
    <w:rsid w:val="00D63A26"/>
    <w:rsid w:val="00D6412E"/>
    <w:rsid w:val="00D643C9"/>
    <w:rsid w:val="00D64B80"/>
    <w:rsid w:val="00D64CFB"/>
    <w:rsid w:val="00D64DEF"/>
    <w:rsid w:val="00D6559A"/>
    <w:rsid w:val="00D65863"/>
    <w:rsid w:val="00D65AA7"/>
    <w:rsid w:val="00D666B5"/>
    <w:rsid w:val="00D672CD"/>
    <w:rsid w:val="00D67E00"/>
    <w:rsid w:val="00D70859"/>
    <w:rsid w:val="00D71256"/>
    <w:rsid w:val="00D713A1"/>
    <w:rsid w:val="00D7166E"/>
    <w:rsid w:val="00D71680"/>
    <w:rsid w:val="00D718B6"/>
    <w:rsid w:val="00D72B93"/>
    <w:rsid w:val="00D72BD3"/>
    <w:rsid w:val="00D72C04"/>
    <w:rsid w:val="00D7334D"/>
    <w:rsid w:val="00D733E5"/>
    <w:rsid w:val="00D73752"/>
    <w:rsid w:val="00D73A70"/>
    <w:rsid w:val="00D73AFC"/>
    <w:rsid w:val="00D73B7F"/>
    <w:rsid w:val="00D73D2D"/>
    <w:rsid w:val="00D74034"/>
    <w:rsid w:val="00D74518"/>
    <w:rsid w:val="00D7517E"/>
    <w:rsid w:val="00D7538E"/>
    <w:rsid w:val="00D75FB1"/>
    <w:rsid w:val="00D76AA4"/>
    <w:rsid w:val="00D77448"/>
    <w:rsid w:val="00D77698"/>
    <w:rsid w:val="00D77C8D"/>
    <w:rsid w:val="00D77D14"/>
    <w:rsid w:val="00D77E47"/>
    <w:rsid w:val="00D80BAF"/>
    <w:rsid w:val="00D810BD"/>
    <w:rsid w:val="00D81DAF"/>
    <w:rsid w:val="00D8253F"/>
    <w:rsid w:val="00D82A43"/>
    <w:rsid w:val="00D82BE2"/>
    <w:rsid w:val="00D82FA1"/>
    <w:rsid w:val="00D83191"/>
    <w:rsid w:val="00D83660"/>
    <w:rsid w:val="00D83B2D"/>
    <w:rsid w:val="00D83E0F"/>
    <w:rsid w:val="00D846FD"/>
    <w:rsid w:val="00D84817"/>
    <w:rsid w:val="00D84B7E"/>
    <w:rsid w:val="00D84BAA"/>
    <w:rsid w:val="00D85075"/>
    <w:rsid w:val="00D85AE9"/>
    <w:rsid w:val="00D86039"/>
    <w:rsid w:val="00D8603A"/>
    <w:rsid w:val="00D86733"/>
    <w:rsid w:val="00D86857"/>
    <w:rsid w:val="00D87137"/>
    <w:rsid w:val="00D8743C"/>
    <w:rsid w:val="00D87F39"/>
    <w:rsid w:val="00D90854"/>
    <w:rsid w:val="00D9090C"/>
    <w:rsid w:val="00D90B99"/>
    <w:rsid w:val="00D913AF"/>
    <w:rsid w:val="00D9156A"/>
    <w:rsid w:val="00D91D93"/>
    <w:rsid w:val="00D91E6E"/>
    <w:rsid w:val="00D9239A"/>
    <w:rsid w:val="00D930CD"/>
    <w:rsid w:val="00D93E8B"/>
    <w:rsid w:val="00D940DE"/>
    <w:rsid w:val="00D94467"/>
    <w:rsid w:val="00D948C1"/>
    <w:rsid w:val="00D94D4E"/>
    <w:rsid w:val="00D95573"/>
    <w:rsid w:val="00D95C79"/>
    <w:rsid w:val="00D9604A"/>
    <w:rsid w:val="00D9605D"/>
    <w:rsid w:val="00D96742"/>
    <w:rsid w:val="00D9721B"/>
    <w:rsid w:val="00D973F3"/>
    <w:rsid w:val="00D9753A"/>
    <w:rsid w:val="00D97B39"/>
    <w:rsid w:val="00DA0090"/>
    <w:rsid w:val="00DA09C0"/>
    <w:rsid w:val="00DA1177"/>
    <w:rsid w:val="00DA1382"/>
    <w:rsid w:val="00DA1555"/>
    <w:rsid w:val="00DA18CE"/>
    <w:rsid w:val="00DA21A7"/>
    <w:rsid w:val="00DA3C4F"/>
    <w:rsid w:val="00DA3E67"/>
    <w:rsid w:val="00DA3EFC"/>
    <w:rsid w:val="00DA4712"/>
    <w:rsid w:val="00DA4CD4"/>
    <w:rsid w:val="00DA539D"/>
    <w:rsid w:val="00DA5429"/>
    <w:rsid w:val="00DA57D9"/>
    <w:rsid w:val="00DA5A40"/>
    <w:rsid w:val="00DA5C06"/>
    <w:rsid w:val="00DA5E92"/>
    <w:rsid w:val="00DA629F"/>
    <w:rsid w:val="00DA6355"/>
    <w:rsid w:val="00DA687D"/>
    <w:rsid w:val="00DA689D"/>
    <w:rsid w:val="00DA7892"/>
    <w:rsid w:val="00DA7B5D"/>
    <w:rsid w:val="00DA7E8C"/>
    <w:rsid w:val="00DB02BA"/>
    <w:rsid w:val="00DB0A7A"/>
    <w:rsid w:val="00DB0ABF"/>
    <w:rsid w:val="00DB0BF6"/>
    <w:rsid w:val="00DB141F"/>
    <w:rsid w:val="00DB1649"/>
    <w:rsid w:val="00DB1863"/>
    <w:rsid w:val="00DB2372"/>
    <w:rsid w:val="00DB2B30"/>
    <w:rsid w:val="00DB2D17"/>
    <w:rsid w:val="00DB32D3"/>
    <w:rsid w:val="00DB37E4"/>
    <w:rsid w:val="00DB3BF0"/>
    <w:rsid w:val="00DB3F18"/>
    <w:rsid w:val="00DB43F5"/>
    <w:rsid w:val="00DB4FD6"/>
    <w:rsid w:val="00DB51BD"/>
    <w:rsid w:val="00DB53E5"/>
    <w:rsid w:val="00DB5670"/>
    <w:rsid w:val="00DB59A2"/>
    <w:rsid w:val="00DB5BB1"/>
    <w:rsid w:val="00DB5C75"/>
    <w:rsid w:val="00DB5FAD"/>
    <w:rsid w:val="00DB6326"/>
    <w:rsid w:val="00DB637C"/>
    <w:rsid w:val="00DB6838"/>
    <w:rsid w:val="00DB6DA2"/>
    <w:rsid w:val="00DB6FCA"/>
    <w:rsid w:val="00DB7806"/>
    <w:rsid w:val="00DB7B58"/>
    <w:rsid w:val="00DB7C7F"/>
    <w:rsid w:val="00DB7C98"/>
    <w:rsid w:val="00DB7E66"/>
    <w:rsid w:val="00DC00C6"/>
    <w:rsid w:val="00DC02E8"/>
    <w:rsid w:val="00DC0303"/>
    <w:rsid w:val="00DC0432"/>
    <w:rsid w:val="00DC06E6"/>
    <w:rsid w:val="00DC0BF3"/>
    <w:rsid w:val="00DC0C8A"/>
    <w:rsid w:val="00DC17D3"/>
    <w:rsid w:val="00DC18BC"/>
    <w:rsid w:val="00DC1B45"/>
    <w:rsid w:val="00DC2219"/>
    <w:rsid w:val="00DC23E0"/>
    <w:rsid w:val="00DC2A2E"/>
    <w:rsid w:val="00DC31EE"/>
    <w:rsid w:val="00DC32B9"/>
    <w:rsid w:val="00DC333A"/>
    <w:rsid w:val="00DC3457"/>
    <w:rsid w:val="00DC3FD0"/>
    <w:rsid w:val="00DC43F7"/>
    <w:rsid w:val="00DC4544"/>
    <w:rsid w:val="00DC4910"/>
    <w:rsid w:val="00DC4AD9"/>
    <w:rsid w:val="00DC4B49"/>
    <w:rsid w:val="00DC4B5F"/>
    <w:rsid w:val="00DC4B71"/>
    <w:rsid w:val="00DC6132"/>
    <w:rsid w:val="00DC61CF"/>
    <w:rsid w:val="00DC6643"/>
    <w:rsid w:val="00DC68BA"/>
    <w:rsid w:val="00DC68D8"/>
    <w:rsid w:val="00DC6B62"/>
    <w:rsid w:val="00DC6C56"/>
    <w:rsid w:val="00DC6E78"/>
    <w:rsid w:val="00DC7150"/>
    <w:rsid w:val="00DC720C"/>
    <w:rsid w:val="00DC769B"/>
    <w:rsid w:val="00DD000E"/>
    <w:rsid w:val="00DD00B9"/>
    <w:rsid w:val="00DD01B9"/>
    <w:rsid w:val="00DD0B59"/>
    <w:rsid w:val="00DD0E92"/>
    <w:rsid w:val="00DD2332"/>
    <w:rsid w:val="00DD2C4C"/>
    <w:rsid w:val="00DD3E97"/>
    <w:rsid w:val="00DD41A4"/>
    <w:rsid w:val="00DD4345"/>
    <w:rsid w:val="00DD4621"/>
    <w:rsid w:val="00DD497E"/>
    <w:rsid w:val="00DD49B2"/>
    <w:rsid w:val="00DD4A2A"/>
    <w:rsid w:val="00DD4E9C"/>
    <w:rsid w:val="00DD53E1"/>
    <w:rsid w:val="00DD5B0B"/>
    <w:rsid w:val="00DD63D1"/>
    <w:rsid w:val="00DD669E"/>
    <w:rsid w:val="00DD7081"/>
    <w:rsid w:val="00DD713F"/>
    <w:rsid w:val="00DE06E7"/>
    <w:rsid w:val="00DE0A0D"/>
    <w:rsid w:val="00DE1983"/>
    <w:rsid w:val="00DE24B2"/>
    <w:rsid w:val="00DE2749"/>
    <w:rsid w:val="00DE2C2B"/>
    <w:rsid w:val="00DE2D99"/>
    <w:rsid w:val="00DE353E"/>
    <w:rsid w:val="00DE359A"/>
    <w:rsid w:val="00DE36B7"/>
    <w:rsid w:val="00DE39CA"/>
    <w:rsid w:val="00DE3C8D"/>
    <w:rsid w:val="00DE3FEB"/>
    <w:rsid w:val="00DE40C6"/>
    <w:rsid w:val="00DE4181"/>
    <w:rsid w:val="00DE4D71"/>
    <w:rsid w:val="00DE4D8A"/>
    <w:rsid w:val="00DE5AC5"/>
    <w:rsid w:val="00DE5B78"/>
    <w:rsid w:val="00DE6340"/>
    <w:rsid w:val="00DE64BE"/>
    <w:rsid w:val="00DE6617"/>
    <w:rsid w:val="00DE662B"/>
    <w:rsid w:val="00DE6D4B"/>
    <w:rsid w:val="00DE7FFE"/>
    <w:rsid w:val="00DF0605"/>
    <w:rsid w:val="00DF06FA"/>
    <w:rsid w:val="00DF0BE1"/>
    <w:rsid w:val="00DF1B78"/>
    <w:rsid w:val="00DF22F9"/>
    <w:rsid w:val="00DF24BB"/>
    <w:rsid w:val="00DF2531"/>
    <w:rsid w:val="00DF341E"/>
    <w:rsid w:val="00DF41A7"/>
    <w:rsid w:val="00DF427C"/>
    <w:rsid w:val="00DF4707"/>
    <w:rsid w:val="00DF4C5D"/>
    <w:rsid w:val="00DF4D65"/>
    <w:rsid w:val="00DF5243"/>
    <w:rsid w:val="00DF56A6"/>
    <w:rsid w:val="00DF58E7"/>
    <w:rsid w:val="00DF5913"/>
    <w:rsid w:val="00DF5C0F"/>
    <w:rsid w:val="00DF5E5E"/>
    <w:rsid w:val="00DF6332"/>
    <w:rsid w:val="00DF6CCA"/>
    <w:rsid w:val="00DF7B74"/>
    <w:rsid w:val="00DF7DDB"/>
    <w:rsid w:val="00DF7F51"/>
    <w:rsid w:val="00DF7F6B"/>
    <w:rsid w:val="00E001B3"/>
    <w:rsid w:val="00E00377"/>
    <w:rsid w:val="00E003EC"/>
    <w:rsid w:val="00E00580"/>
    <w:rsid w:val="00E00743"/>
    <w:rsid w:val="00E00A43"/>
    <w:rsid w:val="00E00B83"/>
    <w:rsid w:val="00E00B86"/>
    <w:rsid w:val="00E0272C"/>
    <w:rsid w:val="00E02951"/>
    <w:rsid w:val="00E0297C"/>
    <w:rsid w:val="00E02D0E"/>
    <w:rsid w:val="00E030B8"/>
    <w:rsid w:val="00E030C9"/>
    <w:rsid w:val="00E03317"/>
    <w:rsid w:val="00E034E8"/>
    <w:rsid w:val="00E03A25"/>
    <w:rsid w:val="00E03BE5"/>
    <w:rsid w:val="00E03E8E"/>
    <w:rsid w:val="00E03F2D"/>
    <w:rsid w:val="00E043DB"/>
    <w:rsid w:val="00E04727"/>
    <w:rsid w:val="00E04740"/>
    <w:rsid w:val="00E05001"/>
    <w:rsid w:val="00E05091"/>
    <w:rsid w:val="00E05391"/>
    <w:rsid w:val="00E05F1C"/>
    <w:rsid w:val="00E05F7D"/>
    <w:rsid w:val="00E06527"/>
    <w:rsid w:val="00E06868"/>
    <w:rsid w:val="00E069C6"/>
    <w:rsid w:val="00E069EF"/>
    <w:rsid w:val="00E073A4"/>
    <w:rsid w:val="00E07BD1"/>
    <w:rsid w:val="00E07E36"/>
    <w:rsid w:val="00E10161"/>
    <w:rsid w:val="00E1087C"/>
    <w:rsid w:val="00E10AF6"/>
    <w:rsid w:val="00E10B30"/>
    <w:rsid w:val="00E10D71"/>
    <w:rsid w:val="00E10E21"/>
    <w:rsid w:val="00E11353"/>
    <w:rsid w:val="00E11876"/>
    <w:rsid w:val="00E11D89"/>
    <w:rsid w:val="00E12207"/>
    <w:rsid w:val="00E12594"/>
    <w:rsid w:val="00E128D6"/>
    <w:rsid w:val="00E12B9A"/>
    <w:rsid w:val="00E12E4B"/>
    <w:rsid w:val="00E132FC"/>
    <w:rsid w:val="00E13486"/>
    <w:rsid w:val="00E1354D"/>
    <w:rsid w:val="00E135F1"/>
    <w:rsid w:val="00E13781"/>
    <w:rsid w:val="00E13951"/>
    <w:rsid w:val="00E153C4"/>
    <w:rsid w:val="00E155E9"/>
    <w:rsid w:val="00E155FD"/>
    <w:rsid w:val="00E15A07"/>
    <w:rsid w:val="00E15BAA"/>
    <w:rsid w:val="00E161B3"/>
    <w:rsid w:val="00E16503"/>
    <w:rsid w:val="00E168DB"/>
    <w:rsid w:val="00E1705B"/>
    <w:rsid w:val="00E17118"/>
    <w:rsid w:val="00E17324"/>
    <w:rsid w:val="00E174DB"/>
    <w:rsid w:val="00E1788F"/>
    <w:rsid w:val="00E17988"/>
    <w:rsid w:val="00E17C48"/>
    <w:rsid w:val="00E17D6B"/>
    <w:rsid w:val="00E21213"/>
    <w:rsid w:val="00E216A3"/>
    <w:rsid w:val="00E21C5B"/>
    <w:rsid w:val="00E21CD1"/>
    <w:rsid w:val="00E222C7"/>
    <w:rsid w:val="00E2364E"/>
    <w:rsid w:val="00E23827"/>
    <w:rsid w:val="00E23CBB"/>
    <w:rsid w:val="00E24028"/>
    <w:rsid w:val="00E244B4"/>
    <w:rsid w:val="00E2492D"/>
    <w:rsid w:val="00E25360"/>
    <w:rsid w:val="00E25C24"/>
    <w:rsid w:val="00E2637D"/>
    <w:rsid w:val="00E27AB2"/>
    <w:rsid w:val="00E30008"/>
    <w:rsid w:val="00E3001E"/>
    <w:rsid w:val="00E30559"/>
    <w:rsid w:val="00E3056B"/>
    <w:rsid w:val="00E305C6"/>
    <w:rsid w:val="00E30C03"/>
    <w:rsid w:val="00E30DE8"/>
    <w:rsid w:val="00E315C6"/>
    <w:rsid w:val="00E3163E"/>
    <w:rsid w:val="00E31BAB"/>
    <w:rsid w:val="00E31C7B"/>
    <w:rsid w:val="00E3265C"/>
    <w:rsid w:val="00E3277C"/>
    <w:rsid w:val="00E327BD"/>
    <w:rsid w:val="00E32815"/>
    <w:rsid w:val="00E32C12"/>
    <w:rsid w:val="00E32F61"/>
    <w:rsid w:val="00E334D0"/>
    <w:rsid w:val="00E33DD2"/>
    <w:rsid w:val="00E33E7D"/>
    <w:rsid w:val="00E34072"/>
    <w:rsid w:val="00E344AF"/>
    <w:rsid w:val="00E34907"/>
    <w:rsid w:val="00E349DA"/>
    <w:rsid w:val="00E34B3A"/>
    <w:rsid w:val="00E354CE"/>
    <w:rsid w:val="00E35783"/>
    <w:rsid w:val="00E35B02"/>
    <w:rsid w:val="00E35E20"/>
    <w:rsid w:val="00E36127"/>
    <w:rsid w:val="00E36B42"/>
    <w:rsid w:val="00E3700C"/>
    <w:rsid w:val="00E37503"/>
    <w:rsid w:val="00E37B59"/>
    <w:rsid w:val="00E37F9C"/>
    <w:rsid w:val="00E40400"/>
    <w:rsid w:val="00E40DEF"/>
    <w:rsid w:val="00E41CA9"/>
    <w:rsid w:val="00E41E33"/>
    <w:rsid w:val="00E422B1"/>
    <w:rsid w:val="00E423D0"/>
    <w:rsid w:val="00E42739"/>
    <w:rsid w:val="00E429A6"/>
    <w:rsid w:val="00E431F6"/>
    <w:rsid w:val="00E43429"/>
    <w:rsid w:val="00E4368C"/>
    <w:rsid w:val="00E446EF"/>
    <w:rsid w:val="00E45108"/>
    <w:rsid w:val="00E454DB"/>
    <w:rsid w:val="00E45DA2"/>
    <w:rsid w:val="00E46589"/>
    <w:rsid w:val="00E47FF5"/>
    <w:rsid w:val="00E5015C"/>
    <w:rsid w:val="00E50770"/>
    <w:rsid w:val="00E50A8E"/>
    <w:rsid w:val="00E51772"/>
    <w:rsid w:val="00E52062"/>
    <w:rsid w:val="00E525E0"/>
    <w:rsid w:val="00E52AC7"/>
    <w:rsid w:val="00E53142"/>
    <w:rsid w:val="00E532A1"/>
    <w:rsid w:val="00E53438"/>
    <w:rsid w:val="00E53927"/>
    <w:rsid w:val="00E5396B"/>
    <w:rsid w:val="00E53ABD"/>
    <w:rsid w:val="00E53B89"/>
    <w:rsid w:val="00E53BC9"/>
    <w:rsid w:val="00E53BCF"/>
    <w:rsid w:val="00E53F0A"/>
    <w:rsid w:val="00E53F21"/>
    <w:rsid w:val="00E54083"/>
    <w:rsid w:val="00E543C1"/>
    <w:rsid w:val="00E54AC2"/>
    <w:rsid w:val="00E54C4E"/>
    <w:rsid w:val="00E54D62"/>
    <w:rsid w:val="00E551E1"/>
    <w:rsid w:val="00E55564"/>
    <w:rsid w:val="00E55625"/>
    <w:rsid w:val="00E55BBB"/>
    <w:rsid w:val="00E55DB7"/>
    <w:rsid w:val="00E55F46"/>
    <w:rsid w:val="00E56193"/>
    <w:rsid w:val="00E56543"/>
    <w:rsid w:val="00E56824"/>
    <w:rsid w:val="00E56DCF"/>
    <w:rsid w:val="00E571B3"/>
    <w:rsid w:val="00E57DEC"/>
    <w:rsid w:val="00E602A2"/>
    <w:rsid w:val="00E602E4"/>
    <w:rsid w:val="00E60882"/>
    <w:rsid w:val="00E61559"/>
    <w:rsid w:val="00E624E3"/>
    <w:rsid w:val="00E63D69"/>
    <w:rsid w:val="00E64130"/>
    <w:rsid w:val="00E6415D"/>
    <w:rsid w:val="00E64594"/>
    <w:rsid w:val="00E650E1"/>
    <w:rsid w:val="00E65418"/>
    <w:rsid w:val="00E65B85"/>
    <w:rsid w:val="00E66350"/>
    <w:rsid w:val="00E668B0"/>
    <w:rsid w:val="00E676C5"/>
    <w:rsid w:val="00E67AD0"/>
    <w:rsid w:val="00E6DD53"/>
    <w:rsid w:val="00E700F0"/>
    <w:rsid w:val="00E703FB"/>
    <w:rsid w:val="00E70B07"/>
    <w:rsid w:val="00E70B6B"/>
    <w:rsid w:val="00E70FF2"/>
    <w:rsid w:val="00E7192D"/>
    <w:rsid w:val="00E71AFE"/>
    <w:rsid w:val="00E725FC"/>
    <w:rsid w:val="00E72618"/>
    <w:rsid w:val="00E727F1"/>
    <w:rsid w:val="00E72822"/>
    <w:rsid w:val="00E7288F"/>
    <w:rsid w:val="00E72AEA"/>
    <w:rsid w:val="00E73061"/>
    <w:rsid w:val="00E739A9"/>
    <w:rsid w:val="00E73FF9"/>
    <w:rsid w:val="00E74B62"/>
    <w:rsid w:val="00E7529C"/>
    <w:rsid w:val="00E75455"/>
    <w:rsid w:val="00E75636"/>
    <w:rsid w:val="00E757BA"/>
    <w:rsid w:val="00E76111"/>
    <w:rsid w:val="00E76A1D"/>
    <w:rsid w:val="00E7706C"/>
    <w:rsid w:val="00E77E5B"/>
    <w:rsid w:val="00E8071C"/>
    <w:rsid w:val="00E809BB"/>
    <w:rsid w:val="00E80B9A"/>
    <w:rsid w:val="00E81192"/>
    <w:rsid w:val="00E811FE"/>
    <w:rsid w:val="00E81A06"/>
    <w:rsid w:val="00E81A73"/>
    <w:rsid w:val="00E81F66"/>
    <w:rsid w:val="00E8255F"/>
    <w:rsid w:val="00E82782"/>
    <w:rsid w:val="00E8282D"/>
    <w:rsid w:val="00E82A63"/>
    <w:rsid w:val="00E82A94"/>
    <w:rsid w:val="00E82BFD"/>
    <w:rsid w:val="00E82FD5"/>
    <w:rsid w:val="00E834A1"/>
    <w:rsid w:val="00E8379E"/>
    <w:rsid w:val="00E8398D"/>
    <w:rsid w:val="00E83A61"/>
    <w:rsid w:val="00E83AE5"/>
    <w:rsid w:val="00E83BA3"/>
    <w:rsid w:val="00E84657"/>
    <w:rsid w:val="00E84D68"/>
    <w:rsid w:val="00E84E11"/>
    <w:rsid w:val="00E856AC"/>
    <w:rsid w:val="00E85858"/>
    <w:rsid w:val="00E85BC1"/>
    <w:rsid w:val="00E86618"/>
    <w:rsid w:val="00E867B6"/>
    <w:rsid w:val="00E8686C"/>
    <w:rsid w:val="00E87B4D"/>
    <w:rsid w:val="00E87F01"/>
    <w:rsid w:val="00E9023C"/>
    <w:rsid w:val="00E90334"/>
    <w:rsid w:val="00E90F08"/>
    <w:rsid w:val="00E90FA5"/>
    <w:rsid w:val="00E919FE"/>
    <w:rsid w:val="00E91AE9"/>
    <w:rsid w:val="00E91BA4"/>
    <w:rsid w:val="00E9296E"/>
    <w:rsid w:val="00E93C03"/>
    <w:rsid w:val="00E93D13"/>
    <w:rsid w:val="00E93E47"/>
    <w:rsid w:val="00E94369"/>
    <w:rsid w:val="00E9482B"/>
    <w:rsid w:val="00E94B18"/>
    <w:rsid w:val="00E9538F"/>
    <w:rsid w:val="00E95A01"/>
    <w:rsid w:val="00E95E5E"/>
    <w:rsid w:val="00E960F9"/>
    <w:rsid w:val="00E96499"/>
    <w:rsid w:val="00E96B9F"/>
    <w:rsid w:val="00E973A2"/>
    <w:rsid w:val="00E97664"/>
    <w:rsid w:val="00E9772C"/>
    <w:rsid w:val="00E97DC1"/>
    <w:rsid w:val="00EA021F"/>
    <w:rsid w:val="00EA055C"/>
    <w:rsid w:val="00EA05CD"/>
    <w:rsid w:val="00EA0744"/>
    <w:rsid w:val="00EA0856"/>
    <w:rsid w:val="00EA095B"/>
    <w:rsid w:val="00EA0A2E"/>
    <w:rsid w:val="00EA178D"/>
    <w:rsid w:val="00EA1BD9"/>
    <w:rsid w:val="00EA1EFF"/>
    <w:rsid w:val="00EA1FAB"/>
    <w:rsid w:val="00EA213E"/>
    <w:rsid w:val="00EA2373"/>
    <w:rsid w:val="00EA23BE"/>
    <w:rsid w:val="00EA2617"/>
    <w:rsid w:val="00EA26F9"/>
    <w:rsid w:val="00EA2E0D"/>
    <w:rsid w:val="00EA2F44"/>
    <w:rsid w:val="00EA36C1"/>
    <w:rsid w:val="00EA36C6"/>
    <w:rsid w:val="00EA37BC"/>
    <w:rsid w:val="00EA3E2F"/>
    <w:rsid w:val="00EA4632"/>
    <w:rsid w:val="00EA49B9"/>
    <w:rsid w:val="00EA4A5E"/>
    <w:rsid w:val="00EA4BA8"/>
    <w:rsid w:val="00EA53C4"/>
    <w:rsid w:val="00EA5AD3"/>
    <w:rsid w:val="00EA5CAB"/>
    <w:rsid w:val="00EA5CD7"/>
    <w:rsid w:val="00EA5F5E"/>
    <w:rsid w:val="00EA64DE"/>
    <w:rsid w:val="00EA65A3"/>
    <w:rsid w:val="00EA6CC2"/>
    <w:rsid w:val="00EA7992"/>
    <w:rsid w:val="00EA7FB5"/>
    <w:rsid w:val="00EB0054"/>
    <w:rsid w:val="00EB0250"/>
    <w:rsid w:val="00EB04F3"/>
    <w:rsid w:val="00EB06FC"/>
    <w:rsid w:val="00EB0742"/>
    <w:rsid w:val="00EB0BD4"/>
    <w:rsid w:val="00EB14F4"/>
    <w:rsid w:val="00EB153F"/>
    <w:rsid w:val="00EB15A6"/>
    <w:rsid w:val="00EB1BE2"/>
    <w:rsid w:val="00EB238B"/>
    <w:rsid w:val="00EB320A"/>
    <w:rsid w:val="00EB356E"/>
    <w:rsid w:val="00EB3705"/>
    <w:rsid w:val="00EB3E11"/>
    <w:rsid w:val="00EB4374"/>
    <w:rsid w:val="00EB489E"/>
    <w:rsid w:val="00EB5061"/>
    <w:rsid w:val="00EB5773"/>
    <w:rsid w:val="00EB579F"/>
    <w:rsid w:val="00EB586A"/>
    <w:rsid w:val="00EB6567"/>
    <w:rsid w:val="00EB69E0"/>
    <w:rsid w:val="00EB6ADF"/>
    <w:rsid w:val="00EB6DC7"/>
    <w:rsid w:val="00EB7432"/>
    <w:rsid w:val="00EB77B1"/>
    <w:rsid w:val="00EB7887"/>
    <w:rsid w:val="00EC04A8"/>
    <w:rsid w:val="00EC0651"/>
    <w:rsid w:val="00EC0B21"/>
    <w:rsid w:val="00EC0CFE"/>
    <w:rsid w:val="00EC1158"/>
    <w:rsid w:val="00EC133F"/>
    <w:rsid w:val="00EC2042"/>
    <w:rsid w:val="00EC213D"/>
    <w:rsid w:val="00EC2557"/>
    <w:rsid w:val="00EC2961"/>
    <w:rsid w:val="00EC29E1"/>
    <w:rsid w:val="00EC29EC"/>
    <w:rsid w:val="00EC30F9"/>
    <w:rsid w:val="00EC42D9"/>
    <w:rsid w:val="00EC4880"/>
    <w:rsid w:val="00EC51A1"/>
    <w:rsid w:val="00EC58C9"/>
    <w:rsid w:val="00EC5AB2"/>
    <w:rsid w:val="00EC6020"/>
    <w:rsid w:val="00EC628E"/>
    <w:rsid w:val="00EC641E"/>
    <w:rsid w:val="00EC6569"/>
    <w:rsid w:val="00EC6668"/>
    <w:rsid w:val="00EC69A0"/>
    <w:rsid w:val="00EC69BC"/>
    <w:rsid w:val="00EC6C22"/>
    <w:rsid w:val="00EC6E59"/>
    <w:rsid w:val="00EC6FDF"/>
    <w:rsid w:val="00EC721D"/>
    <w:rsid w:val="00EC7AB6"/>
    <w:rsid w:val="00EC7E00"/>
    <w:rsid w:val="00ED0CFA"/>
    <w:rsid w:val="00ED104D"/>
    <w:rsid w:val="00ED13E2"/>
    <w:rsid w:val="00ED143A"/>
    <w:rsid w:val="00ED168D"/>
    <w:rsid w:val="00ED19AA"/>
    <w:rsid w:val="00ED1B96"/>
    <w:rsid w:val="00ED20E5"/>
    <w:rsid w:val="00ED330E"/>
    <w:rsid w:val="00ED34F9"/>
    <w:rsid w:val="00ED3922"/>
    <w:rsid w:val="00ED3A1B"/>
    <w:rsid w:val="00ED3CF1"/>
    <w:rsid w:val="00ED467D"/>
    <w:rsid w:val="00ED4ACB"/>
    <w:rsid w:val="00ED4DB1"/>
    <w:rsid w:val="00ED55A3"/>
    <w:rsid w:val="00ED5725"/>
    <w:rsid w:val="00ED5C11"/>
    <w:rsid w:val="00ED623E"/>
    <w:rsid w:val="00ED7031"/>
    <w:rsid w:val="00ED7B4B"/>
    <w:rsid w:val="00EE016E"/>
    <w:rsid w:val="00EE04D6"/>
    <w:rsid w:val="00EE05B1"/>
    <w:rsid w:val="00EE0FB6"/>
    <w:rsid w:val="00EE0FE1"/>
    <w:rsid w:val="00EE12CF"/>
    <w:rsid w:val="00EE1A57"/>
    <w:rsid w:val="00EE1B3A"/>
    <w:rsid w:val="00EE256E"/>
    <w:rsid w:val="00EE2668"/>
    <w:rsid w:val="00EE2D8A"/>
    <w:rsid w:val="00EE2DFB"/>
    <w:rsid w:val="00EE302B"/>
    <w:rsid w:val="00EE3060"/>
    <w:rsid w:val="00EE4315"/>
    <w:rsid w:val="00EE44D3"/>
    <w:rsid w:val="00EE4A5F"/>
    <w:rsid w:val="00EE4C49"/>
    <w:rsid w:val="00EE5873"/>
    <w:rsid w:val="00EE5B49"/>
    <w:rsid w:val="00EE5E58"/>
    <w:rsid w:val="00EE72EB"/>
    <w:rsid w:val="00EE795B"/>
    <w:rsid w:val="00EF092C"/>
    <w:rsid w:val="00EF0D25"/>
    <w:rsid w:val="00EF1066"/>
    <w:rsid w:val="00EF10F4"/>
    <w:rsid w:val="00EF180D"/>
    <w:rsid w:val="00EF1A7F"/>
    <w:rsid w:val="00EF20D9"/>
    <w:rsid w:val="00EF2496"/>
    <w:rsid w:val="00EF2522"/>
    <w:rsid w:val="00EF296A"/>
    <w:rsid w:val="00EF2BD8"/>
    <w:rsid w:val="00EF2C2C"/>
    <w:rsid w:val="00EF34F6"/>
    <w:rsid w:val="00EF3D3B"/>
    <w:rsid w:val="00EF3D5F"/>
    <w:rsid w:val="00EF3DC9"/>
    <w:rsid w:val="00EF3E04"/>
    <w:rsid w:val="00EF3E86"/>
    <w:rsid w:val="00EF41F5"/>
    <w:rsid w:val="00EF474E"/>
    <w:rsid w:val="00EF5248"/>
    <w:rsid w:val="00EF556D"/>
    <w:rsid w:val="00EF5B2C"/>
    <w:rsid w:val="00EF616B"/>
    <w:rsid w:val="00EF6925"/>
    <w:rsid w:val="00EF6CE0"/>
    <w:rsid w:val="00EF6F32"/>
    <w:rsid w:val="00EF7857"/>
    <w:rsid w:val="00EF787E"/>
    <w:rsid w:val="00F00C1E"/>
    <w:rsid w:val="00F01479"/>
    <w:rsid w:val="00F01621"/>
    <w:rsid w:val="00F016B8"/>
    <w:rsid w:val="00F01A13"/>
    <w:rsid w:val="00F01AE9"/>
    <w:rsid w:val="00F01F89"/>
    <w:rsid w:val="00F02757"/>
    <w:rsid w:val="00F0284D"/>
    <w:rsid w:val="00F028F2"/>
    <w:rsid w:val="00F02B95"/>
    <w:rsid w:val="00F02CB9"/>
    <w:rsid w:val="00F0314E"/>
    <w:rsid w:val="00F03700"/>
    <w:rsid w:val="00F03A6A"/>
    <w:rsid w:val="00F03BD7"/>
    <w:rsid w:val="00F03D4B"/>
    <w:rsid w:val="00F040FC"/>
    <w:rsid w:val="00F0499F"/>
    <w:rsid w:val="00F049B2"/>
    <w:rsid w:val="00F049FE"/>
    <w:rsid w:val="00F059D2"/>
    <w:rsid w:val="00F06302"/>
    <w:rsid w:val="00F06AAA"/>
    <w:rsid w:val="00F06ACC"/>
    <w:rsid w:val="00F073FA"/>
    <w:rsid w:val="00F0749B"/>
    <w:rsid w:val="00F07578"/>
    <w:rsid w:val="00F07E42"/>
    <w:rsid w:val="00F103B5"/>
    <w:rsid w:val="00F108A8"/>
    <w:rsid w:val="00F1137D"/>
    <w:rsid w:val="00F11398"/>
    <w:rsid w:val="00F11435"/>
    <w:rsid w:val="00F11569"/>
    <w:rsid w:val="00F11ECA"/>
    <w:rsid w:val="00F12118"/>
    <w:rsid w:val="00F12BD5"/>
    <w:rsid w:val="00F12CDD"/>
    <w:rsid w:val="00F13376"/>
    <w:rsid w:val="00F13A45"/>
    <w:rsid w:val="00F13BD9"/>
    <w:rsid w:val="00F1452F"/>
    <w:rsid w:val="00F149D2"/>
    <w:rsid w:val="00F14C82"/>
    <w:rsid w:val="00F14CD2"/>
    <w:rsid w:val="00F165B1"/>
    <w:rsid w:val="00F16775"/>
    <w:rsid w:val="00F170B0"/>
    <w:rsid w:val="00F1734F"/>
    <w:rsid w:val="00F1756E"/>
    <w:rsid w:val="00F175C7"/>
    <w:rsid w:val="00F207AE"/>
    <w:rsid w:val="00F207BA"/>
    <w:rsid w:val="00F209CE"/>
    <w:rsid w:val="00F2166B"/>
    <w:rsid w:val="00F21D6E"/>
    <w:rsid w:val="00F225EB"/>
    <w:rsid w:val="00F22C8B"/>
    <w:rsid w:val="00F23080"/>
    <w:rsid w:val="00F235CF"/>
    <w:rsid w:val="00F23EFF"/>
    <w:rsid w:val="00F2423E"/>
    <w:rsid w:val="00F24B72"/>
    <w:rsid w:val="00F24BBA"/>
    <w:rsid w:val="00F24F33"/>
    <w:rsid w:val="00F2525F"/>
    <w:rsid w:val="00F252A9"/>
    <w:rsid w:val="00F2551F"/>
    <w:rsid w:val="00F26B90"/>
    <w:rsid w:val="00F26D0C"/>
    <w:rsid w:val="00F26ED3"/>
    <w:rsid w:val="00F270CC"/>
    <w:rsid w:val="00F27143"/>
    <w:rsid w:val="00F27200"/>
    <w:rsid w:val="00F2755D"/>
    <w:rsid w:val="00F2777F"/>
    <w:rsid w:val="00F277EA"/>
    <w:rsid w:val="00F30C38"/>
    <w:rsid w:val="00F310EC"/>
    <w:rsid w:val="00F3139E"/>
    <w:rsid w:val="00F318B4"/>
    <w:rsid w:val="00F3264A"/>
    <w:rsid w:val="00F336D0"/>
    <w:rsid w:val="00F33AD1"/>
    <w:rsid w:val="00F34A97"/>
    <w:rsid w:val="00F352C2"/>
    <w:rsid w:val="00F3549A"/>
    <w:rsid w:val="00F355CD"/>
    <w:rsid w:val="00F359A1"/>
    <w:rsid w:val="00F3602B"/>
    <w:rsid w:val="00F363F8"/>
    <w:rsid w:val="00F36560"/>
    <w:rsid w:val="00F36640"/>
    <w:rsid w:val="00F37055"/>
    <w:rsid w:val="00F370E1"/>
    <w:rsid w:val="00F3720E"/>
    <w:rsid w:val="00F37802"/>
    <w:rsid w:val="00F37FA9"/>
    <w:rsid w:val="00F40395"/>
    <w:rsid w:val="00F4095A"/>
    <w:rsid w:val="00F41526"/>
    <w:rsid w:val="00F41D24"/>
    <w:rsid w:val="00F42822"/>
    <w:rsid w:val="00F4291F"/>
    <w:rsid w:val="00F435A0"/>
    <w:rsid w:val="00F438AA"/>
    <w:rsid w:val="00F43D9F"/>
    <w:rsid w:val="00F44E28"/>
    <w:rsid w:val="00F45411"/>
    <w:rsid w:val="00F45986"/>
    <w:rsid w:val="00F45DAB"/>
    <w:rsid w:val="00F46553"/>
    <w:rsid w:val="00F46A97"/>
    <w:rsid w:val="00F46C1E"/>
    <w:rsid w:val="00F4714A"/>
    <w:rsid w:val="00F505B8"/>
    <w:rsid w:val="00F50B96"/>
    <w:rsid w:val="00F50E3D"/>
    <w:rsid w:val="00F51577"/>
    <w:rsid w:val="00F51C8D"/>
    <w:rsid w:val="00F51CB3"/>
    <w:rsid w:val="00F51E66"/>
    <w:rsid w:val="00F527D1"/>
    <w:rsid w:val="00F5285F"/>
    <w:rsid w:val="00F52A8C"/>
    <w:rsid w:val="00F52C7D"/>
    <w:rsid w:val="00F53098"/>
    <w:rsid w:val="00F5317A"/>
    <w:rsid w:val="00F534CA"/>
    <w:rsid w:val="00F5351D"/>
    <w:rsid w:val="00F53551"/>
    <w:rsid w:val="00F53640"/>
    <w:rsid w:val="00F539FC"/>
    <w:rsid w:val="00F53A71"/>
    <w:rsid w:val="00F54691"/>
    <w:rsid w:val="00F54C50"/>
    <w:rsid w:val="00F54CD2"/>
    <w:rsid w:val="00F54D6A"/>
    <w:rsid w:val="00F5510F"/>
    <w:rsid w:val="00F552E0"/>
    <w:rsid w:val="00F557AB"/>
    <w:rsid w:val="00F558BD"/>
    <w:rsid w:val="00F5590F"/>
    <w:rsid w:val="00F5594F"/>
    <w:rsid w:val="00F55C25"/>
    <w:rsid w:val="00F55D2A"/>
    <w:rsid w:val="00F560CE"/>
    <w:rsid w:val="00F56228"/>
    <w:rsid w:val="00F563D1"/>
    <w:rsid w:val="00F564F0"/>
    <w:rsid w:val="00F56597"/>
    <w:rsid w:val="00F573D6"/>
    <w:rsid w:val="00F5741A"/>
    <w:rsid w:val="00F574DD"/>
    <w:rsid w:val="00F5751F"/>
    <w:rsid w:val="00F57C0B"/>
    <w:rsid w:val="00F57C37"/>
    <w:rsid w:val="00F60540"/>
    <w:rsid w:val="00F607F4"/>
    <w:rsid w:val="00F609EA"/>
    <w:rsid w:val="00F61033"/>
    <w:rsid w:val="00F613C7"/>
    <w:rsid w:val="00F6175C"/>
    <w:rsid w:val="00F61BE2"/>
    <w:rsid w:val="00F62366"/>
    <w:rsid w:val="00F62B7A"/>
    <w:rsid w:val="00F62C7B"/>
    <w:rsid w:val="00F62CD6"/>
    <w:rsid w:val="00F62FF7"/>
    <w:rsid w:val="00F6317A"/>
    <w:rsid w:val="00F638A1"/>
    <w:rsid w:val="00F6397D"/>
    <w:rsid w:val="00F63F2C"/>
    <w:rsid w:val="00F6476A"/>
    <w:rsid w:val="00F6515D"/>
    <w:rsid w:val="00F6516A"/>
    <w:rsid w:val="00F65276"/>
    <w:rsid w:val="00F654E5"/>
    <w:rsid w:val="00F65C2E"/>
    <w:rsid w:val="00F65DBE"/>
    <w:rsid w:val="00F66102"/>
    <w:rsid w:val="00F661B7"/>
    <w:rsid w:val="00F66BD7"/>
    <w:rsid w:val="00F67D29"/>
    <w:rsid w:val="00F67E36"/>
    <w:rsid w:val="00F7027F"/>
    <w:rsid w:val="00F7078C"/>
    <w:rsid w:val="00F70F3C"/>
    <w:rsid w:val="00F7122E"/>
    <w:rsid w:val="00F71AC7"/>
    <w:rsid w:val="00F72207"/>
    <w:rsid w:val="00F7222A"/>
    <w:rsid w:val="00F72666"/>
    <w:rsid w:val="00F72891"/>
    <w:rsid w:val="00F7293E"/>
    <w:rsid w:val="00F72CCE"/>
    <w:rsid w:val="00F73ACF"/>
    <w:rsid w:val="00F73AE0"/>
    <w:rsid w:val="00F73D1E"/>
    <w:rsid w:val="00F74207"/>
    <w:rsid w:val="00F746B1"/>
    <w:rsid w:val="00F747C7"/>
    <w:rsid w:val="00F74A18"/>
    <w:rsid w:val="00F7563B"/>
    <w:rsid w:val="00F75681"/>
    <w:rsid w:val="00F75E1B"/>
    <w:rsid w:val="00F76140"/>
    <w:rsid w:val="00F763A8"/>
    <w:rsid w:val="00F7656B"/>
    <w:rsid w:val="00F76650"/>
    <w:rsid w:val="00F76792"/>
    <w:rsid w:val="00F76F14"/>
    <w:rsid w:val="00F77169"/>
    <w:rsid w:val="00F773F4"/>
    <w:rsid w:val="00F8193D"/>
    <w:rsid w:val="00F8203E"/>
    <w:rsid w:val="00F82E27"/>
    <w:rsid w:val="00F82F06"/>
    <w:rsid w:val="00F831CE"/>
    <w:rsid w:val="00F831F6"/>
    <w:rsid w:val="00F8349C"/>
    <w:rsid w:val="00F836DE"/>
    <w:rsid w:val="00F839EB"/>
    <w:rsid w:val="00F83BB7"/>
    <w:rsid w:val="00F83F7D"/>
    <w:rsid w:val="00F840B1"/>
    <w:rsid w:val="00F8435E"/>
    <w:rsid w:val="00F847EF"/>
    <w:rsid w:val="00F84F35"/>
    <w:rsid w:val="00F852E1"/>
    <w:rsid w:val="00F866BB"/>
    <w:rsid w:val="00F87888"/>
    <w:rsid w:val="00F87B14"/>
    <w:rsid w:val="00F87DB9"/>
    <w:rsid w:val="00F87F1B"/>
    <w:rsid w:val="00F87FC5"/>
    <w:rsid w:val="00F902C7"/>
    <w:rsid w:val="00F9044A"/>
    <w:rsid w:val="00F90559"/>
    <w:rsid w:val="00F90580"/>
    <w:rsid w:val="00F907B1"/>
    <w:rsid w:val="00F90D7B"/>
    <w:rsid w:val="00F9132F"/>
    <w:rsid w:val="00F9187B"/>
    <w:rsid w:val="00F921E7"/>
    <w:rsid w:val="00F92385"/>
    <w:rsid w:val="00F93303"/>
    <w:rsid w:val="00F93487"/>
    <w:rsid w:val="00F936BB"/>
    <w:rsid w:val="00F93E83"/>
    <w:rsid w:val="00F941D4"/>
    <w:rsid w:val="00F94B7C"/>
    <w:rsid w:val="00F94E3D"/>
    <w:rsid w:val="00F94F7B"/>
    <w:rsid w:val="00F950B9"/>
    <w:rsid w:val="00F95BD2"/>
    <w:rsid w:val="00F96AE7"/>
    <w:rsid w:val="00F9736A"/>
    <w:rsid w:val="00F97A01"/>
    <w:rsid w:val="00F97F65"/>
    <w:rsid w:val="00F97F71"/>
    <w:rsid w:val="00FA0276"/>
    <w:rsid w:val="00FA03A0"/>
    <w:rsid w:val="00FA04D4"/>
    <w:rsid w:val="00FA06DB"/>
    <w:rsid w:val="00FA089D"/>
    <w:rsid w:val="00FA0AF7"/>
    <w:rsid w:val="00FA0B93"/>
    <w:rsid w:val="00FA0BB5"/>
    <w:rsid w:val="00FA14E0"/>
    <w:rsid w:val="00FA183E"/>
    <w:rsid w:val="00FA1B4F"/>
    <w:rsid w:val="00FA2530"/>
    <w:rsid w:val="00FA264F"/>
    <w:rsid w:val="00FA2E14"/>
    <w:rsid w:val="00FA2F84"/>
    <w:rsid w:val="00FA30EE"/>
    <w:rsid w:val="00FA3FD4"/>
    <w:rsid w:val="00FA417F"/>
    <w:rsid w:val="00FA420D"/>
    <w:rsid w:val="00FA469C"/>
    <w:rsid w:val="00FA5131"/>
    <w:rsid w:val="00FA52FD"/>
    <w:rsid w:val="00FA558E"/>
    <w:rsid w:val="00FA651E"/>
    <w:rsid w:val="00FA6589"/>
    <w:rsid w:val="00FA673B"/>
    <w:rsid w:val="00FA678F"/>
    <w:rsid w:val="00FA6ACD"/>
    <w:rsid w:val="00FA6C61"/>
    <w:rsid w:val="00FA6CD6"/>
    <w:rsid w:val="00FA6EA4"/>
    <w:rsid w:val="00FA7758"/>
    <w:rsid w:val="00FA7C35"/>
    <w:rsid w:val="00FA7CD6"/>
    <w:rsid w:val="00FB0379"/>
    <w:rsid w:val="00FB0B0B"/>
    <w:rsid w:val="00FB0B93"/>
    <w:rsid w:val="00FB0E3F"/>
    <w:rsid w:val="00FB10AC"/>
    <w:rsid w:val="00FB219C"/>
    <w:rsid w:val="00FB2593"/>
    <w:rsid w:val="00FB267D"/>
    <w:rsid w:val="00FB27D8"/>
    <w:rsid w:val="00FB2AF7"/>
    <w:rsid w:val="00FB2BAC"/>
    <w:rsid w:val="00FB319F"/>
    <w:rsid w:val="00FB3DD1"/>
    <w:rsid w:val="00FB474E"/>
    <w:rsid w:val="00FB4A01"/>
    <w:rsid w:val="00FB4F5E"/>
    <w:rsid w:val="00FB5038"/>
    <w:rsid w:val="00FB5417"/>
    <w:rsid w:val="00FB5914"/>
    <w:rsid w:val="00FB59B3"/>
    <w:rsid w:val="00FB5C52"/>
    <w:rsid w:val="00FB6148"/>
    <w:rsid w:val="00FB69DF"/>
    <w:rsid w:val="00FB69F6"/>
    <w:rsid w:val="00FB7866"/>
    <w:rsid w:val="00FB7A6E"/>
    <w:rsid w:val="00FB7B73"/>
    <w:rsid w:val="00FC03D7"/>
    <w:rsid w:val="00FC0AEF"/>
    <w:rsid w:val="00FC0B89"/>
    <w:rsid w:val="00FC0C26"/>
    <w:rsid w:val="00FC0E21"/>
    <w:rsid w:val="00FC0F85"/>
    <w:rsid w:val="00FC0FC6"/>
    <w:rsid w:val="00FC1829"/>
    <w:rsid w:val="00FC1848"/>
    <w:rsid w:val="00FC1C84"/>
    <w:rsid w:val="00FC2112"/>
    <w:rsid w:val="00FC2269"/>
    <w:rsid w:val="00FC229C"/>
    <w:rsid w:val="00FC25F0"/>
    <w:rsid w:val="00FC2784"/>
    <w:rsid w:val="00FC298A"/>
    <w:rsid w:val="00FC29BB"/>
    <w:rsid w:val="00FC2C7F"/>
    <w:rsid w:val="00FC2E66"/>
    <w:rsid w:val="00FC3C32"/>
    <w:rsid w:val="00FC3DEA"/>
    <w:rsid w:val="00FC3E60"/>
    <w:rsid w:val="00FC47F9"/>
    <w:rsid w:val="00FC4831"/>
    <w:rsid w:val="00FC519B"/>
    <w:rsid w:val="00FC5229"/>
    <w:rsid w:val="00FC55C2"/>
    <w:rsid w:val="00FC5D96"/>
    <w:rsid w:val="00FC7380"/>
    <w:rsid w:val="00FC77FF"/>
    <w:rsid w:val="00FD0787"/>
    <w:rsid w:val="00FD0E8E"/>
    <w:rsid w:val="00FD0FBF"/>
    <w:rsid w:val="00FD1351"/>
    <w:rsid w:val="00FD158F"/>
    <w:rsid w:val="00FD1B7D"/>
    <w:rsid w:val="00FD1F08"/>
    <w:rsid w:val="00FD275E"/>
    <w:rsid w:val="00FD285D"/>
    <w:rsid w:val="00FD2C63"/>
    <w:rsid w:val="00FD30D2"/>
    <w:rsid w:val="00FD3E36"/>
    <w:rsid w:val="00FD45F4"/>
    <w:rsid w:val="00FD497A"/>
    <w:rsid w:val="00FD4FFF"/>
    <w:rsid w:val="00FD52FC"/>
    <w:rsid w:val="00FD5A64"/>
    <w:rsid w:val="00FD5ADF"/>
    <w:rsid w:val="00FD6040"/>
    <w:rsid w:val="00FD65A9"/>
    <w:rsid w:val="00FD6900"/>
    <w:rsid w:val="00FD6F44"/>
    <w:rsid w:val="00FD71E5"/>
    <w:rsid w:val="00FD762D"/>
    <w:rsid w:val="00FD7925"/>
    <w:rsid w:val="00FD7A0C"/>
    <w:rsid w:val="00FD7B65"/>
    <w:rsid w:val="00FE0215"/>
    <w:rsid w:val="00FE037F"/>
    <w:rsid w:val="00FE070F"/>
    <w:rsid w:val="00FE0F71"/>
    <w:rsid w:val="00FE16BF"/>
    <w:rsid w:val="00FE1B9D"/>
    <w:rsid w:val="00FE2351"/>
    <w:rsid w:val="00FE2385"/>
    <w:rsid w:val="00FE2489"/>
    <w:rsid w:val="00FE26DF"/>
    <w:rsid w:val="00FE26F3"/>
    <w:rsid w:val="00FE3299"/>
    <w:rsid w:val="00FE337D"/>
    <w:rsid w:val="00FE3930"/>
    <w:rsid w:val="00FE3A89"/>
    <w:rsid w:val="00FE42C0"/>
    <w:rsid w:val="00FE48F4"/>
    <w:rsid w:val="00FE48F8"/>
    <w:rsid w:val="00FE4A5C"/>
    <w:rsid w:val="00FE4C14"/>
    <w:rsid w:val="00FE502B"/>
    <w:rsid w:val="00FE5103"/>
    <w:rsid w:val="00FE54F0"/>
    <w:rsid w:val="00FE5580"/>
    <w:rsid w:val="00FE5948"/>
    <w:rsid w:val="00FE68FD"/>
    <w:rsid w:val="00FE6FA2"/>
    <w:rsid w:val="00FE700C"/>
    <w:rsid w:val="00FE7126"/>
    <w:rsid w:val="00FE72B5"/>
    <w:rsid w:val="00FE7C69"/>
    <w:rsid w:val="00FF0306"/>
    <w:rsid w:val="00FF0466"/>
    <w:rsid w:val="00FF06E4"/>
    <w:rsid w:val="00FF0C88"/>
    <w:rsid w:val="00FF0FB4"/>
    <w:rsid w:val="00FF110C"/>
    <w:rsid w:val="00FF153D"/>
    <w:rsid w:val="00FF200F"/>
    <w:rsid w:val="00FF2485"/>
    <w:rsid w:val="00FF25AD"/>
    <w:rsid w:val="00FF266D"/>
    <w:rsid w:val="00FF2767"/>
    <w:rsid w:val="00FF3173"/>
    <w:rsid w:val="00FF3BEA"/>
    <w:rsid w:val="00FF523D"/>
    <w:rsid w:val="00FF53EF"/>
    <w:rsid w:val="00FF591D"/>
    <w:rsid w:val="00FF5FB4"/>
    <w:rsid w:val="00FF603A"/>
    <w:rsid w:val="00FF6061"/>
    <w:rsid w:val="00FF61F0"/>
    <w:rsid w:val="00FF659D"/>
    <w:rsid w:val="00FF66FC"/>
    <w:rsid w:val="00FF6D6F"/>
    <w:rsid w:val="00FF6FF3"/>
    <w:rsid w:val="00FF72D3"/>
    <w:rsid w:val="00FF76DD"/>
    <w:rsid w:val="00FF79EF"/>
    <w:rsid w:val="00FF7A9C"/>
    <w:rsid w:val="00FF7FD3"/>
    <w:rsid w:val="01052582"/>
    <w:rsid w:val="01092BC3"/>
    <w:rsid w:val="01213AA3"/>
    <w:rsid w:val="012599F2"/>
    <w:rsid w:val="0129AFAE"/>
    <w:rsid w:val="0137BD49"/>
    <w:rsid w:val="0146B99C"/>
    <w:rsid w:val="01488EE9"/>
    <w:rsid w:val="0152DCD8"/>
    <w:rsid w:val="015ED307"/>
    <w:rsid w:val="01701E5A"/>
    <w:rsid w:val="0173BEEF"/>
    <w:rsid w:val="01758045"/>
    <w:rsid w:val="01766DEA"/>
    <w:rsid w:val="0177D2A6"/>
    <w:rsid w:val="0178FBA0"/>
    <w:rsid w:val="017A0DEA"/>
    <w:rsid w:val="017B5259"/>
    <w:rsid w:val="0182CB39"/>
    <w:rsid w:val="0188BB52"/>
    <w:rsid w:val="019CA6B9"/>
    <w:rsid w:val="019F8D20"/>
    <w:rsid w:val="01A52441"/>
    <w:rsid w:val="01AF0E22"/>
    <w:rsid w:val="01B37970"/>
    <w:rsid w:val="01B48809"/>
    <w:rsid w:val="01B673AA"/>
    <w:rsid w:val="01B7E5D5"/>
    <w:rsid w:val="01C0EB65"/>
    <w:rsid w:val="01C8D377"/>
    <w:rsid w:val="01C922EE"/>
    <w:rsid w:val="01D2FAC1"/>
    <w:rsid w:val="01DD05D6"/>
    <w:rsid w:val="01E63BC7"/>
    <w:rsid w:val="01E8E621"/>
    <w:rsid w:val="01F1CD3F"/>
    <w:rsid w:val="01F4E1E3"/>
    <w:rsid w:val="01F56AB0"/>
    <w:rsid w:val="01F95DC9"/>
    <w:rsid w:val="01F9B15D"/>
    <w:rsid w:val="0206F6A0"/>
    <w:rsid w:val="020F9749"/>
    <w:rsid w:val="020FA0C1"/>
    <w:rsid w:val="021EBDD2"/>
    <w:rsid w:val="021F4EA6"/>
    <w:rsid w:val="02283068"/>
    <w:rsid w:val="02296A26"/>
    <w:rsid w:val="022E415B"/>
    <w:rsid w:val="0238B4F2"/>
    <w:rsid w:val="0240FA99"/>
    <w:rsid w:val="02436216"/>
    <w:rsid w:val="0247B1B9"/>
    <w:rsid w:val="024BA9AB"/>
    <w:rsid w:val="02587ADA"/>
    <w:rsid w:val="0261E814"/>
    <w:rsid w:val="0268EDDF"/>
    <w:rsid w:val="026E81E5"/>
    <w:rsid w:val="02731436"/>
    <w:rsid w:val="0273667C"/>
    <w:rsid w:val="0279FD5B"/>
    <w:rsid w:val="0281CD40"/>
    <w:rsid w:val="028B9355"/>
    <w:rsid w:val="0292A7D0"/>
    <w:rsid w:val="02981CEB"/>
    <w:rsid w:val="02A6E5AA"/>
    <w:rsid w:val="02A7B970"/>
    <w:rsid w:val="02AB37F5"/>
    <w:rsid w:val="02CB94B5"/>
    <w:rsid w:val="02D2A231"/>
    <w:rsid w:val="02D926DC"/>
    <w:rsid w:val="02DAE34C"/>
    <w:rsid w:val="02EE9736"/>
    <w:rsid w:val="02FC7885"/>
    <w:rsid w:val="03011700"/>
    <w:rsid w:val="03075785"/>
    <w:rsid w:val="030FE2CB"/>
    <w:rsid w:val="0311E308"/>
    <w:rsid w:val="031EEE33"/>
    <w:rsid w:val="032203AF"/>
    <w:rsid w:val="0324B0AA"/>
    <w:rsid w:val="0326DE87"/>
    <w:rsid w:val="032E9870"/>
    <w:rsid w:val="0330D290"/>
    <w:rsid w:val="033DD80C"/>
    <w:rsid w:val="0343A2D3"/>
    <w:rsid w:val="0350A7EA"/>
    <w:rsid w:val="03513901"/>
    <w:rsid w:val="0355CB5A"/>
    <w:rsid w:val="036A458C"/>
    <w:rsid w:val="0372C4AD"/>
    <w:rsid w:val="037C2565"/>
    <w:rsid w:val="03A0AC39"/>
    <w:rsid w:val="03A2D64A"/>
    <w:rsid w:val="03B5956F"/>
    <w:rsid w:val="03BB34C5"/>
    <w:rsid w:val="03BC0ABD"/>
    <w:rsid w:val="03D2D328"/>
    <w:rsid w:val="03D4811D"/>
    <w:rsid w:val="03D9DC1D"/>
    <w:rsid w:val="03E1B967"/>
    <w:rsid w:val="03E22E7E"/>
    <w:rsid w:val="03E72678"/>
    <w:rsid w:val="03F19510"/>
    <w:rsid w:val="03F8E0DD"/>
    <w:rsid w:val="03FF9AB7"/>
    <w:rsid w:val="04048BCB"/>
    <w:rsid w:val="04056F0D"/>
    <w:rsid w:val="04096DA9"/>
    <w:rsid w:val="041FC444"/>
    <w:rsid w:val="04214B7E"/>
    <w:rsid w:val="0421889D"/>
    <w:rsid w:val="042276BD"/>
    <w:rsid w:val="04257C4A"/>
    <w:rsid w:val="0427570F"/>
    <w:rsid w:val="042E8223"/>
    <w:rsid w:val="04491C3B"/>
    <w:rsid w:val="045A6FF3"/>
    <w:rsid w:val="04608EF1"/>
    <w:rsid w:val="0466BADA"/>
    <w:rsid w:val="047492D2"/>
    <w:rsid w:val="047AF91F"/>
    <w:rsid w:val="047B5D56"/>
    <w:rsid w:val="047B6DCD"/>
    <w:rsid w:val="047C9AEA"/>
    <w:rsid w:val="04819077"/>
    <w:rsid w:val="048236A4"/>
    <w:rsid w:val="0483F179"/>
    <w:rsid w:val="049B0B6D"/>
    <w:rsid w:val="04A2F7DD"/>
    <w:rsid w:val="04A3BA31"/>
    <w:rsid w:val="04A8E236"/>
    <w:rsid w:val="04B130B0"/>
    <w:rsid w:val="04BE9EBC"/>
    <w:rsid w:val="04D2FBE5"/>
    <w:rsid w:val="04DDA7B2"/>
    <w:rsid w:val="04E113DC"/>
    <w:rsid w:val="04E4945F"/>
    <w:rsid w:val="04E6BFF7"/>
    <w:rsid w:val="04EB69A9"/>
    <w:rsid w:val="04ED94B8"/>
    <w:rsid w:val="05076D24"/>
    <w:rsid w:val="05130083"/>
    <w:rsid w:val="05167CF8"/>
    <w:rsid w:val="05180B20"/>
    <w:rsid w:val="051A4A39"/>
    <w:rsid w:val="0523E2E4"/>
    <w:rsid w:val="0524BFFF"/>
    <w:rsid w:val="052635E7"/>
    <w:rsid w:val="05269DF5"/>
    <w:rsid w:val="052C812F"/>
    <w:rsid w:val="052F6D26"/>
    <w:rsid w:val="0534DEC0"/>
    <w:rsid w:val="054264BD"/>
    <w:rsid w:val="0544C369"/>
    <w:rsid w:val="05450006"/>
    <w:rsid w:val="0548BEFC"/>
    <w:rsid w:val="054A6EE9"/>
    <w:rsid w:val="054DFE95"/>
    <w:rsid w:val="054E2E82"/>
    <w:rsid w:val="0551C3FC"/>
    <w:rsid w:val="055624B2"/>
    <w:rsid w:val="0556E609"/>
    <w:rsid w:val="055F9F54"/>
    <w:rsid w:val="05643577"/>
    <w:rsid w:val="0566636A"/>
    <w:rsid w:val="05672738"/>
    <w:rsid w:val="0569F23C"/>
    <w:rsid w:val="056E2348"/>
    <w:rsid w:val="057391E1"/>
    <w:rsid w:val="0575EE60"/>
    <w:rsid w:val="057A08A7"/>
    <w:rsid w:val="05802977"/>
    <w:rsid w:val="058B35BB"/>
    <w:rsid w:val="0595D816"/>
    <w:rsid w:val="05A1B755"/>
    <w:rsid w:val="05B3150E"/>
    <w:rsid w:val="05C03313"/>
    <w:rsid w:val="05C31659"/>
    <w:rsid w:val="05CD337C"/>
    <w:rsid w:val="05CE2FA8"/>
    <w:rsid w:val="05E6C1A8"/>
    <w:rsid w:val="0600C2D1"/>
    <w:rsid w:val="06046B4C"/>
    <w:rsid w:val="060B6650"/>
    <w:rsid w:val="060DCEC8"/>
    <w:rsid w:val="061030C5"/>
    <w:rsid w:val="06170D34"/>
    <w:rsid w:val="061D278C"/>
    <w:rsid w:val="061D77F6"/>
    <w:rsid w:val="061EC617"/>
    <w:rsid w:val="06218842"/>
    <w:rsid w:val="0627DF07"/>
    <w:rsid w:val="062C8050"/>
    <w:rsid w:val="0635D4E8"/>
    <w:rsid w:val="06393B3E"/>
    <w:rsid w:val="063D6995"/>
    <w:rsid w:val="06428CC6"/>
    <w:rsid w:val="0642E200"/>
    <w:rsid w:val="064B9BFF"/>
    <w:rsid w:val="06505720"/>
    <w:rsid w:val="065405BA"/>
    <w:rsid w:val="0654F4E3"/>
    <w:rsid w:val="0660168D"/>
    <w:rsid w:val="066CF4C1"/>
    <w:rsid w:val="067EF9EB"/>
    <w:rsid w:val="06803E67"/>
    <w:rsid w:val="06809E51"/>
    <w:rsid w:val="06890E34"/>
    <w:rsid w:val="068C9D5A"/>
    <w:rsid w:val="06941EC3"/>
    <w:rsid w:val="06A2BF4C"/>
    <w:rsid w:val="06A3736A"/>
    <w:rsid w:val="06BEB78B"/>
    <w:rsid w:val="06C75773"/>
    <w:rsid w:val="06C92145"/>
    <w:rsid w:val="06CABEBD"/>
    <w:rsid w:val="06CB150A"/>
    <w:rsid w:val="06D06559"/>
    <w:rsid w:val="06D60210"/>
    <w:rsid w:val="06D7C5FF"/>
    <w:rsid w:val="06E6F554"/>
    <w:rsid w:val="06EA31D4"/>
    <w:rsid w:val="06F37E5E"/>
    <w:rsid w:val="06FB49DA"/>
    <w:rsid w:val="06FCA425"/>
    <w:rsid w:val="07038E72"/>
    <w:rsid w:val="0706A368"/>
    <w:rsid w:val="0713D646"/>
    <w:rsid w:val="07174218"/>
    <w:rsid w:val="071A0B23"/>
    <w:rsid w:val="071A75F9"/>
    <w:rsid w:val="0730421B"/>
    <w:rsid w:val="07327004"/>
    <w:rsid w:val="07360938"/>
    <w:rsid w:val="0737018E"/>
    <w:rsid w:val="073D946D"/>
    <w:rsid w:val="0740987A"/>
    <w:rsid w:val="07432EAB"/>
    <w:rsid w:val="0743CA40"/>
    <w:rsid w:val="07468559"/>
    <w:rsid w:val="074AC4D7"/>
    <w:rsid w:val="074FFD3E"/>
    <w:rsid w:val="07564FEB"/>
    <w:rsid w:val="076E9C25"/>
    <w:rsid w:val="07723679"/>
    <w:rsid w:val="07737B94"/>
    <w:rsid w:val="077ED74E"/>
    <w:rsid w:val="07834323"/>
    <w:rsid w:val="0786FC05"/>
    <w:rsid w:val="07885EE6"/>
    <w:rsid w:val="078CEBF2"/>
    <w:rsid w:val="079365E0"/>
    <w:rsid w:val="07A8FD19"/>
    <w:rsid w:val="07B1B80A"/>
    <w:rsid w:val="07BA9F7E"/>
    <w:rsid w:val="07BD960C"/>
    <w:rsid w:val="07C1A496"/>
    <w:rsid w:val="07C1F291"/>
    <w:rsid w:val="07CB77DF"/>
    <w:rsid w:val="07D27CE4"/>
    <w:rsid w:val="07E487CF"/>
    <w:rsid w:val="07E5542B"/>
    <w:rsid w:val="07EDC38B"/>
    <w:rsid w:val="07F5B805"/>
    <w:rsid w:val="07FA1419"/>
    <w:rsid w:val="07FB0089"/>
    <w:rsid w:val="080C6352"/>
    <w:rsid w:val="080D46A5"/>
    <w:rsid w:val="08117C00"/>
    <w:rsid w:val="0812C796"/>
    <w:rsid w:val="08136DC3"/>
    <w:rsid w:val="081442A4"/>
    <w:rsid w:val="0819C29A"/>
    <w:rsid w:val="08215704"/>
    <w:rsid w:val="0825B7BA"/>
    <w:rsid w:val="08268FC9"/>
    <w:rsid w:val="08353091"/>
    <w:rsid w:val="083C8144"/>
    <w:rsid w:val="083E2A67"/>
    <w:rsid w:val="0843CFDC"/>
    <w:rsid w:val="084AFFCC"/>
    <w:rsid w:val="085B913E"/>
    <w:rsid w:val="085C8075"/>
    <w:rsid w:val="085E4ED4"/>
    <w:rsid w:val="085E7601"/>
    <w:rsid w:val="08623D67"/>
    <w:rsid w:val="0863022E"/>
    <w:rsid w:val="08691A8C"/>
    <w:rsid w:val="0873FE04"/>
    <w:rsid w:val="0877744D"/>
    <w:rsid w:val="087DCB6C"/>
    <w:rsid w:val="0881C015"/>
    <w:rsid w:val="08853D54"/>
    <w:rsid w:val="0888CD46"/>
    <w:rsid w:val="088AF504"/>
    <w:rsid w:val="08933FBB"/>
    <w:rsid w:val="0895E4D0"/>
    <w:rsid w:val="08A657DF"/>
    <w:rsid w:val="08A9372C"/>
    <w:rsid w:val="08B8DD32"/>
    <w:rsid w:val="08C78C71"/>
    <w:rsid w:val="08CC9545"/>
    <w:rsid w:val="08D0750A"/>
    <w:rsid w:val="08D28317"/>
    <w:rsid w:val="08D74BCD"/>
    <w:rsid w:val="08D95E53"/>
    <w:rsid w:val="08DF363D"/>
    <w:rsid w:val="08E255BA"/>
    <w:rsid w:val="08EE19F5"/>
    <w:rsid w:val="08F86B4D"/>
    <w:rsid w:val="08F8D46D"/>
    <w:rsid w:val="0902A8C2"/>
    <w:rsid w:val="0907C411"/>
    <w:rsid w:val="090957A8"/>
    <w:rsid w:val="090D255F"/>
    <w:rsid w:val="091920F1"/>
    <w:rsid w:val="091C345D"/>
    <w:rsid w:val="09259985"/>
    <w:rsid w:val="092B011C"/>
    <w:rsid w:val="09307B67"/>
    <w:rsid w:val="09319DB2"/>
    <w:rsid w:val="0932857A"/>
    <w:rsid w:val="093681B4"/>
    <w:rsid w:val="0942697B"/>
    <w:rsid w:val="0943B098"/>
    <w:rsid w:val="09483B20"/>
    <w:rsid w:val="094A3FF3"/>
    <w:rsid w:val="094C074F"/>
    <w:rsid w:val="0952E123"/>
    <w:rsid w:val="0957F048"/>
    <w:rsid w:val="0958929E"/>
    <w:rsid w:val="095C4DD7"/>
    <w:rsid w:val="095CA3C6"/>
    <w:rsid w:val="095F337C"/>
    <w:rsid w:val="0961F09E"/>
    <w:rsid w:val="09642341"/>
    <w:rsid w:val="0968C18F"/>
    <w:rsid w:val="096F14A1"/>
    <w:rsid w:val="096FA668"/>
    <w:rsid w:val="09759BCA"/>
    <w:rsid w:val="09781607"/>
    <w:rsid w:val="097A16AE"/>
    <w:rsid w:val="097A9341"/>
    <w:rsid w:val="09846348"/>
    <w:rsid w:val="098DEA57"/>
    <w:rsid w:val="09969691"/>
    <w:rsid w:val="099703EC"/>
    <w:rsid w:val="09976229"/>
    <w:rsid w:val="099923A8"/>
    <w:rsid w:val="099FCB55"/>
    <w:rsid w:val="09A1FD1C"/>
    <w:rsid w:val="09A9C1D6"/>
    <w:rsid w:val="09B185D9"/>
    <w:rsid w:val="09B66BF9"/>
    <w:rsid w:val="09BCABA0"/>
    <w:rsid w:val="09BEFDED"/>
    <w:rsid w:val="09C7CAEC"/>
    <w:rsid w:val="09D6760D"/>
    <w:rsid w:val="09DA7CB4"/>
    <w:rsid w:val="09DC1468"/>
    <w:rsid w:val="09DE1A97"/>
    <w:rsid w:val="09E79531"/>
    <w:rsid w:val="09F2D6AB"/>
    <w:rsid w:val="09F86A6E"/>
    <w:rsid w:val="0A032624"/>
    <w:rsid w:val="0A05AD53"/>
    <w:rsid w:val="0A0AA2C6"/>
    <w:rsid w:val="0A1DF175"/>
    <w:rsid w:val="0A1E55C6"/>
    <w:rsid w:val="0A2F101C"/>
    <w:rsid w:val="0A334F43"/>
    <w:rsid w:val="0A3524BC"/>
    <w:rsid w:val="0A3FDAE8"/>
    <w:rsid w:val="0A56AE9A"/>
    <w:rsid w:val="0A5BA82B"/>
    <w:rsid w:val="0A5F266C"/>
    <w:rsid w:val="0A600DF9"/>
    <w:rsid w:val="0A70AD3B"/>
    <w:rsid w:val="0A740020"/>
    <w:rsid w:val="0A74725C"/>
    <w:rsid w:val="0A74DF3D"/>
    <w:rsid w:val="0A7CDED8"/>
    <w:rsid w:val="0A7E608A"/>
    <w:rsid w:val="0A84D8C4"/>
    <w:rsid w:val="0A8BC243"/>
    <w:rsid w:val="0A8CAF51"/>
    <w:rsid w:val="0A91CCBB"/>
    <w:rsid w:val="0A994A07"/>
    <w:rsid w:val="0A9A8A0A"/>
    <w:rsid w:val="0A9E4E35"/>
    <w:rsid w:val="0A9F9FAA"/>
    <w:rsid w:val="0AA8CE69"/>
    <w:rsid w:val="0AA94B56"/>
    <w:rsid w:val="0AB4B2A3"/>
    <w:rsid w:val="0AB886B7"/>
    <w:rsid w:val="0AC35257"/>
    <w:rsid w:val="0AC42712"/>
    <w:rsid w:val="0AE492D0"/>
    <w:rsid w:val="0AE6E951"/>
    <w:rsid w:val="0AEBB6AC"/>
    <w:rsid w:val="0AF96A1A"/>
    <w:rsid w:val="0AFD5938"/>
    <w:rsid w:val="0B029874"/>
    <w:rsid w:val="0B098A1E"/>
    <w:rsid w:val="0B155C8D"/>
    <w:rsid w:val="0B24D707"/>
    <w:rsid w:val="0B2742EC"/>
    <w:rsid w:val="0B2B61D9"/>
    <w:rsid w:val="0B2FE7B2"/>
    <w:rsid w:val="0B334A47"/>
    <w:rsid w:val="0B368D4F"/>
    <w:rsid w:val="0B388EEF"/>
    <w:rsid w:val="0B4CEC7B"/>
    <w:rsid w:val="0B4D68DB"/>
    <w:rsid w:val="0B53466A"/>
    <w:rsid w:val="0B5F7705"/>
    <w:rsid w:val="0B63A5E5"/>
    <w:rsid w:val="0B6FD263"/>
    <w:rsid w:val="0B75CA54"/>
    <w:rsid w:val="0B7D9076"/>
    <w:rsid w:val="0B8F8685"/>
    <w:rsid w:val="0B9590F0"/>
    <w:rsid w:val="0B9CEF53"/>
    <w:rsid w:val="0BA8A678"/>
    <w:rsid w:val="0BAAB38D"/>
    <w:rsid w:val="0BADB5C5"/>
    <w:rsid w:val="0BB49B99"/>
    <w:rsid w:val="0BB507FA"/>
    <w:rsid w:val="0BB5B551"/>
    <w:rsid w:val="0BB88E03"/>
    <w:rsid w:val="0BB9D590"/>
    <w:rsid w:val="0BBCE675"/>
    <w:rsid w:val="0BC109E0"/>
    <w:rsid w:val="0BC336AD"/>
    <w:rsid w:val="0BC53460"/>
    <w:rsid w:val="0BDCFBC8"/>
    <w:rsid w:val="0BE90293"/>
    <w:rsid w:val="0BEAE6C8"/>
    <w:rsid w:val="0BECCD97"/>
    <w:rsid w:val="0C04717E"/>
    <w:rsid w:val="0C09BD29"/>
    <w:rsid w:val="0C0E63CC"/>
    <w:rsid w:val="0C127C81"/>
    <w:rsid w:val="0C153632"/>
    <w:rsid w:val="0C1AEF71"/>
    <w:rsid w:val="0C2F8727"/>
    <w:rsid w:val="0C2FDDB7"/>
    <w:rsid w:val="0C53FD27"/>
    <w:rsid w:val="0C5C239D"/>
    <w:rsid w:val="0C6C6255"/>
    <w:rsid w:val="0C6D575A"/>
    <w:rsid w:val="0C6EA65D"/>
    <w:rsid w:val="0C74DFDD"/>
    <w:rsid w:val="0C7668AD"/>
    <w:rsid w:val="0C7A740D"/>
    <w:rsid w:val="0C7ADB71"/>
    <w:rsid w:val="0C7BA4EE"/>
    <w:rsid w:val="0C8241C6"/>
    <w:rsid w:val="0C881DE6"/>
    <w:rsid w:val="0C9F4CEB"/>
    <w:rsid w:val="0CA30BB8"/>
    <w:rsid w:val="0CB11FF8"/>
    <w:rsid w:val="0CB62C36"/>
    <w:rsid w:val="0CBA1435"/>
    <w:rsid w:val="0CBE67DC"/>
    <w:rsid w:val="0CCDB14C"/>
    <w:rsid w:val="0CD02347"/>
    <w:rsid w:val="0CDBC6E1"/>
    <w:rsid w:val="0CDC276B"/>
    <w:rsid w:val="0CDE736C"/>
    <w:rsid w:val="0CF3B4EA"/>
    <w:rsid w:val="0CF7BFAE"/>
    <w:rsid w:val="0D067821"/>
    <w:rsid w:val="0D1415B4"/>
    <w:rsid w:val="0D2E3DEA"/>
    <w:rsid w:val="0D31AFDA"/>
    <w:rsid w:val="0D3AD024"/>
    <w:rsid w:val="0D3B66EA"/>
    <w:rsid w:val="0D433C86"/>
    <w:rsid w:val="0D46A2DC"/>
    <w:rsid w:val="0D50A305"/>
    <w:rsid w:val="0D53AFCE"/>
    <w:rsid w:val="0D575CC2"/>
    <w:rsid w:val="0D5BFEE5"/>
    <w:rsid w:val="0D5E6D8B"/>
    <w:rsid w:val="0D6AA5A6"/>
    <w:rsid w:val="0D6C0996"/>
    <w:rsid w:val="0D6EE599"/>
    <w:rsid w:val="0D6F297A"/>
    <w:rsid w:val="0D6F99B7"/>
    <w:rsid w:val="0D78066F"/>
    <w:rsid w:val="0D7A0E01"/>
    <w:rsid w:val="0D7D8622"/>
    <w:rsid w:val="0D840150"/>
    <w:rsid w:val="0D87EED9"/>
    <w:rsid w:val="0D897024"/>
    <w:rsid w:val="0D8B66FA"/>
    <w:rsid w:val="0D93260F"/>
    <w:rsid w:val="0D9328F6"/>
    <w:rsid w:val="0D93D0B0"/>
    <w:rsid w:val="0D971DFC"/>
    <w:rsid w:val="0D9AF573"/>
    <w:rsid w:val="0D9B6849"/>
    <w:rsid w:val="0DA28B86"/>
    <w:rsid w:val="0DA54ABC"/>
    <w:rsid w:val="0DA748A0"/>
    <w:rsid w:val="0DA87A24"/>
    <w:rsid w:val="0DB3DC88"/>
    <w:rsid w:val="0DB46FE3"/>
    <w:rsid w:val="0DB7D116"/>
    <w:rsid w:val="0DB8974D"/>
    <w:rsid w:val="0DC98CC4"/>
    <w:rsid w:val="0DD05351"/>
    <w:rsid w:val="0DEA1648"/>
    <w:rsid w:val="0DEE2CB5"/>
    <w:rsid w:val="0DEFB68D"/>
    <w:rsid w:val="0DF60CD3"/>
    <w:rsid w:val="0DFD9F4F"/>
    <w:rsid w:val="0E0D6283"/>
    <w:rsid w:val="0E0FA88C"/>
    <w:rsid w:val="0E28BA5E"/>
    <w:rsid w:val="0E2DE6B0"/>
    <w:rsid w:val="0E2EB275"/>
    <w:rsid w:val="0E2F0B75"/>
    <w:rsid w:val="0E38B41D"/>
    <w:rsid w:val="0E3D0CBC"/>
    <w:rsid w:val="0E45D6F5"/>
    <w:rsid w:val="0E4D9AD2"/>
    <w:rsid w:val="0E519953"/>
    <w:rsid w:val="0E55C3D3"/>
    <w:rsid w:val="0E5B7E0D"/>
    <w:rsid w:val="0E630916"/>
    <w:rsid w:val="0E6992C0"/>
    <w:rsid w:val="0E6C17BC"/>
    <w:rsid w:val="0E7026AB"/>
    <w:rsid w:val="0E750045"/>
    <w:rsid w:val="0E756FCC"/>
    <w:rsid w:val="0E77D4DA"/>
    <w:rsid w:val="0E7AA874"/>
    <w:rsid w:val="0E7CE60B"/>
    <w:rsid w:val="0E9139A5"/>
    <w:rsid w:val="0EA17077"/>
    <w:rsid w:val="0EA29C86"/>
    <w:rsid w:val="0EA8D3C0"/>
    <w:rsid w:val="0EB79C84"/>
    <w:rsid w:val="0EBDAB10"/>
    <w:rsid w:val="0ED11C1C"/>
    <w:rsid w:val="0ED171B2"/>
    <w:rsid w:val="0ED76551"/>
    <w:rsid w:val="0EE0F062"/>
    <w:rsid w:val="0EE20E96"/>
    <w:rsid w:val="0EEA8801"/>
    <w:rsid w:val="0EF686C6"/>
    <w:rsid w:val="0EFF95B8"/>
    <w:rsid w:val="0F022EBD"/>
    <w:rsid w:val="0F09BE3B"/>
    <w:rsid w:val="0F10277E"/>
    <w:rsid w:val="0F1AB32C"/>
    <w:rsid w:val="0F29085B"/>
    <w:rsid w:val="0F39C20D"/>
    <w:rsid w:val="0F410DD6"/>
    <w:rsid w:val="0F42A521"/>
    <w:rsid w:val="0F43DA7A"/>
    <w:rsid w:val="0F486D06"/>
    <w:rsid w:val="0F530D20"/>
    <w:rsid w:val="0F5CC013"/>
    <w:rsid w:val="0F6216B0"/>
    <w:rsid w:val="0F65FC94"/>
    <w:rsid w:val="0F6670EB"/>
    <w:rsid w:val="0F67ECEB"/>
    <w:rsid w:val="0F73F0A6"/>
    <w:rsid w:val="0F753F2D"/>
    <w:rsid w:val="0F7CBD45"/>
    <w:rsid w:val="0F7DD069"/>
    <w:rsid w:val="0F8A4342"/>
    <w:rsid w:val="0F8AED7A"/>
    <w:rsid w:val="0F8BCEE2"/>
    <w:rsid w:val="0F9009D6"/>
    <w:rsid w:val="0F969C16"/>
    <w:rsid w:val="0F9B7381"/>
    <w:rsid w:val="0FA44655"/>
    <w:rsid w:val="0FAD8516"/>
    <w:rsid w:val="0FBBD639"/>
    <w:rsid w:val="0FBFFCB0"/>
    <w:rsid w:val="0FC2A436"/>
    <w:rsid w:val="0FC7F566"/>
    <w:rsid w:val="0FC83813"/>
    <w:rsid w:val="0FCAC918"/>
    <w:rsid w:val="0FD25F2F"/>
    <w:rsid w:val="0FD3055D"/>
    <w:rsid w:val="0FDEBA33"/>
    <w:rsid w:val="0FF77043"/>
    <w:rsid w:val="0FF8675B"/>
    <w:rsid w:val="10061A50"/>
    <w:rsid w:val="1015BA1F"/>
    <w:rsid w:val="101CBC2E"/>
    <w:rsid w:val="10218613"/>
    <w:rsid w:val="1022985D"/>
    <w:rsid w:val="10262015"/>
    <w:rsid w:val="102B7037"/>
    <w:rsid w:val="102BBFD8"/>
    <w:rsid w:val="103101F8"/>
    <w:rsid w:val="1033B271"/>
    <w:rsid w:val="104610A5"/>
    <w:rsid w:val="1048F3EF"/>
    <w:rsid w:val="10497AC1"/>
    <w:rsid w:val="104EEE78"/>
    <w:rsid w:val="106B9944"/>
    <w:rsid w:val="106BCF3F"/>
    <w:rsid w:val="10703455"/>
    <w:rsid w:val="10706726"/>
    <w:rsid w:val="107073D9"/>
    <w:rsid w:val="107E3D23"/>
    <w:rsid w:val="107EAB42"/>
    <w:rsid w:val="10886D46"/>
    <w:rsid w:val="108F15B1"/>
    <w:rsid w:val="10963088"/>
    <w:rsid w:val="1097B029"/>
    <w:rsid w:val="10AD825A"/>
    <w:rsid w:val="10BA1157"/>
    <w:rsid w:val="10CAC9B8"/>
    <w:rsid w:val="10D38A58"/>
    <w:rsid w:val="10D43C18"/>
    <w:rsid w:val="10E272E2"/>
    <w:rsid w:val="10E38C8F"/>
    <w:rsid w:val="10E46F99"/>
    <w:rsid w:val="10E59A10"/>
    <w:rsid w:val="10F07BF3"/>
    <w:rsid w:val="10F428D2"/>
    <w:rsid w:val="10F5A1EE"/>
    <w:rsid w:val="10F6EB12"/>
    <w:rsid w:val="10F8249A"/>
    <w:rsid w:val="10FD826A"/>
    <w:rsid w:val="1101F6D4"/>
    <w:rsid w:val="110CBA62"/>
    <w:rsid w:val="111FDBCE"/>
    <w:rsid w:val="1129B847"/>
    <w:rsid w:val="113B76DF"/>
    <w:rsid w:val="113DD420"/>
    <w:rsid w:val="113E4A79"/>
    <w:rsid w:val="11404621"/>
    <w:rsid w:val="11468588"/>
    <w:rsid w:val="11489079"/>
    <w:rsid w:val="1149D9D0"/>
    <w:rsid w:val="114CD950"/>
    <w:rsid w:val="1152AC7E"/>
    <w:rsid w:val="11557580"/>
    <w:rsid w:val="115B8415"/>
    <w:rsid w:val="115E23E8"/>
    <w:rsid w:val="1160D235"/>
    <w:rsid w:val="11678227"/>
    <w:rsid w:val="116B4E76"/>
    <w:rsid w:val="117602A0"/>
    <w:rsid w:val="117A7FFC"/>
    <w:rsid w:val="117EB1FE"/>
    <w:rsid w:val="1180E388"/>
    <w:rsid w:val="118117C1"/>
    <w:rsid w:val="118A511B"/>
    <w:rsid w:val="118CC42B"/>
    <w:rsid w:val="1190097B"/>
    <w:rsid w:val="1196AB6B"/>
    <w:rsid w:val="119C9E3C"/>
    <w:rsid w:val="119D5D1F"/>
    <w:rsid w:val="119ECB23"/>
    <w:rsid w:val="11A5C924"/>
    <w:rsid w:val="11AA29DA"/>
    <w:rsid w:val="11AA3AA7"/>
    <w:rsid w:val="11B6F934"/>
    <w:rsid w:val="11B84F08"/>
    <w:rsid w:val="11BEC085"/>
    <w:rsid w:val="11C0AB5B"/>
    <w:rsid w:val="11CDD817"/>
    <w:rsid w:val="11D5A7D5"/>
    <w:rsid w:val="11DC189D"/>
    <w:rsid w:val="11E1D453"/>
    <w:rsid w:val="11E56EC4"/>
    <w:rsid w:val="11EF24E6"/>
    <w:rsid w:val="11F759A0"/>
    <w:rsid w:val="12092CBC"/>
    <w:rsid w:val="120BF510"/>
    <w:rsid w:val="120DEDFC"/>
    <w:rsid w:val="12146AF0"/>
    <w:rsid w:val="12272842"/>
    <w:rsid w:val="12292324"/>
    <w:rsid w:val="122E2270"/>
    <w:rsid w:val="12325BE8"/>
    <w:rsid w:val="1237265D"/>
    <w:rsid w:val="12417DBE"/>
    <w:rsid w:val="12484071"/>
    <w:rsid w:val="124DC484"/>
    <w:rsid w:val="1258F95C"/>
    <w:rsid w:val="125D816A"/>
    <w:rsid w:val="125DC874"/>
    <w:rsid w:val="125F0AEE"/>
    <w:rsid w:val="12638C67"/>
    <w:rsid w:val="1263BF38"/>
    <w:rsid w:val="12675803"/>
    <w:rsid w:val="12777C03"/>
    <w:rsid w:val="127D9724"/>
    <w:rsid w:val="1281F163"/>
    <w:rsid w:val="12868AD8"/>
    <w:rsid w:val="128D3EB0"/>
    <w:rsid w:val="129607F6"/>
    <w:rsid w:val="12A88356"/>
    <w:rsid w:val="12AA9563"/>
    <w:rsid w:val="12AB042E"/>
    <w:rsid w:val="12ABD83D"/>
    <w:rsid w:val="12B27A2D"/>
    <w:rsid w:val="12BAB8D0"/>
    <w:rsid w:val="12C01116"/>
    <w:rsid w:val="12CA63EC"/>
    <w:rsid w:val="12D86913"/>
    <w:rsid w:val="12E9C637"/>
    <w:rsid w:val="13077D03"/>
    <w:rsid w:val="130A6859"/>
    <w:rsid w:val="1311AAC8"/>
    <w:rsid w:val="131827C7"/>
    <w:rsid w:val="131DFE79"/>
    <w:rsid w:val="13340254"/>
    <w:rsid w:val="133C2F1B"/>
    <w:rsid w:val="133D15AE"/>
    <w:rsid w:val="133E75C9"/>
    <w:rsid w:val="13419710"/>
    <w:rsid w:val="13461AFE"/>
    <w:rsid w:val="134A7C28"/>
    <w:rsid w:val="1362AF02"/>
    <w:rsid w:val="13699ED9"/>
    <w:rsid w:val="13753922"/>
    <w:rsid w:val="1382BBA3"/>
    <w:rsid w:val="138B6173"/>
    <w:rsid w:val="138D14C3"/>
    <w:rsid w:val="13A3B1CA"/>
    <w:rsid w:val="13A5477C"/>
    <w:rsid w:val="13A8E262"/>
    <w:rsid w:val="13A9FC88"/>
    <w:rsid w:val="13B3E829"/>
    <w:rsid w:val="13B5AA07"/>
    <w:rsid w:val="13C7693F"/>
    <w:rsid w:val="13D1E057"/>
    <w:rsid w:val="13D25237"/>
    <w:rsid w:val="13D470E7"/>
    <w:rsid w:val="13DA3189"/>
    <w:rsid w:val="13E77F73"/>
    <w:rsid w:val="13F15C20"/>
    <w:rsid w:val="13F9F4BC"/>
    <w:rsid w:val="13FED75E"/>
    <w:rsid w:val="140D8D73"/>
    <w:rsid w:val="140FD33A"/>
    <w:rsid w:val="141383CE"/>
    <w:rsid w:val="14141046"/>
    <w:rsid w:val="1417BBA8"/>
    <w:rsid w:val="1417D365"/>
    <w:rsid w:val="14220EE4"/>
    <w:rsid w:val="1422450E"/>
    <w:rsid w:val="142B52F4"/>
    <w:rsid w:val="1438B361"/>
    <w:rsid w:val="143CC7D0"/>
    <w:rsid w:val="143D745E"/>
    <w:rsid w:val="144167A7"/>
    <w:rsid w:val="1446EF00"/>
    <w:rsid w:val="145728A0"/>
    <w:rsid w:val="145BC044"/>
    <w:rsid w:val="14636DEA"/>
    <w:rsid w:val="146E25EE"/>
    <w:rsid w:val="146F2BEF"/>
    <w:rsid w:val="147C331C"/>
    <w:rsid w:val="147E72A8"/>
    <w:rsid w:val="1484191F"/>
    <w:rsid w:val="14876F0E"/>
    <w:rsid w:val="14886102"/>
    <w:rsid w:val="148A58D3"/>
    <w:rsid w:val="14970ABB"/>
    <w:rsid w:val="149A1C8A"/>
    <w:rsid w:val="149AA2EF"/>
    <w:rsid w:val="14AF24EB"/>
    <w:rsid w:val="14B25E27"/>
    <w:rsid w:val="14C243E8"/>
    <w:rsid w:val="14C6E630"/>
    <w:rsid w:val="14C9D6EB"/>
    <w:rsid w:val="14D2235C"/>
    <w:rsid w:val="14DF7C6D"/>
    <w:rsid w:val="14E13741"/>
    <w:rsid w:val="14E3E073"/>
    <w:rsid w:val="14E73950"/>
    <w:rsid w:val="14EBB5E7"/>
    <w:rsid w:val="14EC3205"/>
    <w:rsid w:val="14EE99F6"/>
    <w:rsid w:val="14F75976"/>
    <w:rsid w:val="14F813CC"/>
    <w:rsid w:val="14FD1692"/>
    <w:rsid w:val="14FF4C39"/>
    <w:rsid w:val="1509ECE1"/>
    <w:rsid w:val="1519445F"/>
    <w:rsid w:val="152435F2"/>
    <w:rsid w:val="1527FF30"/>
    <w:rsid w:val="1528A140"/>
    <w:rsid w:val="152CAA45"/>
    <w:rsid w:val="152F1F12"/>
    <w:rsid w:val="15304B06"/>
    <w:rsid w:val="15364C25"/>
    <w:rsid w:val="153DD4D9"/>
    <w:rsid w:val="153EFC7E"/>
    <w:rsid w:val="15406F52"/>
    <w:rsid w:val="154630CE"/>
    <w:rsid w:val="154A2DA9"/>
    <w:rsid w:val="154A95A1"/>
    <w:rsid w:val="155BFF09"/>
    <w:rsid w:val="155D1881"/>
    <w:rsid w:val="1568FA10"/>
    <w:rsid w:val="156AD18B"/>
    <w:rsid w:val="1576F5A9"/>
    <w:rsid w:val="15786A62"/>
    <w:rsid w:val="15809676"/>
    <w:rsid w:val="158459EF"/>
    <w:rsid w:val="158ADFBC"/>
    <w:rsid w:val="158C27F9"/>
    <w:rsid w:val="159053AF"/>
    <w:rsid w:val="15914453"/>
    <w:rsid w:val="159259F2"/>
    <w:rsid w:val="15A3D7C3"/>
    <w:rsid w:val="15AB184D"/>
    <w:rsid w:val="15BBE9A9"/>
    <w:rsid w:val="15C6582F"/>
    <w:rsid w:val="15CB2463"/>
    <w:rsid w:val="15CD8AAA"/>
    <w:rsid w:val="15CE8F32"/>
    <w:rsid w:val="15DF509F"/>
    <w:rsid w:val="15E0C684"/>
    <w:rsid w:val="15E351C1"/>
    <w:rsid w:val="15E7DC56"/>
    <w:rsid w:val="15EF9FFD"/>
    <w:rsid w:val="15F3F02B"/>
    <w:rsid w:val="15FE4C01"/>
    <w:rsid w:val="16044E63"/>
    <w:rsid w:val="1606A397"/>
    <w:rsid w:val="1606A7E3"/>
    <w:rsid w:val="160A0A7E"/>
    <w:rsid w:val="160C8A22"/>
    <w:rsid w:val="161E2862"/>
    <w:rsid w:val="1626BFB1"/>
    <w:rsid w:val="16317A56"/>
    <w:rsid w:val="16367350"/>
    <w:rsid w:val="1637276E"/>
    <w:rsid w:val="163996AF"/>
    <w:rsid w:val="1643539F"/>
    <w:rsid w:val="1646366A"/>
    <w:rsid w:val="16465403"/>
    <w:rsid w:val="1646690C"/>
    <w:rsid w:val="164971D2"/>
    <w:rsid w:val="164B00DF"/>
    <w:rsid w:val="1652352F"/>
    <w:rsid w:val="16550FCF"/>
    <w:rsid w:val="1656998A"/>
    <w:rsid w:val="16578C8B"/>
    <w:rsid w:val="16593BC6"/>
    <w:rsid w:val="165DFC21"/>
    <w:rsid w:val="166189E7"/>
    <w:rsid w:val="1662EA26"/>
    <w:rsid w:val="166D5C45"/>
    <w:rsid w:val="1683AE0A"/>
    <w:rsid w:val="168A6A57"/>
    <w:rsid w:val="168AC198"/>
    <w:rsid w:val="16A13920"/>
    <w:rsid w:val="16A22FE8"/>
    <w:rsid w:val="16A3315E"/>
    <w:rsid w:val="16A58A43"/>
    <w:rsid w:val="16AAEC13"/>
    <w:rsid w:val="16D0FD89"/>
    <w:rsid w:val="16D5C1B0"/>
    <w:rsid w:val="16D863C8"/>
    <w:rsid w:val="16DFA44A"/>
    <w:rsid w:val="16E94C76"/>
    <w:rsid w:val="16F09B3D"/>
    <w:rsid w:val="16F5207E"/>
    <w:rsid w:val="16F757A2"/>
    <w:rsid w:val="170F1DF8"/>
    <w:rsid w:val="171DBBE0"/>
    <w:rsid w:val="171FE6EF"/>
    <w:rsid w:val="172676D1"/>
    <w:rsid w:val="172AAFAA"/>
    <w:rsid w:val="17363ED4"/>
    <w:rsid w:val="173A422A"/>
    <w:rsid w:val="173AFBF7"/>
    <w:rsid w:val="173C0833"/>
    <w:rsid w:val="174094D6"/>
    <w:rsid w:val="174AF5D7"/>
    <w:rsid w:val="174E0570"/>
    <w:rsid w:val="1750DF27"/>
    <w:rsid w:val="17549DCB"/>
    <w:rsid w:val="175BCF9C"/>
    <w:rsid w:val="1763CFB1"/>
    <w:rsid w:val="1769D98A"/>
    <w:rsid w:val="177D7CD9"/>
    <w:rsid w:val="17833528"/>
    <w:rsid w:val="17862D19"/>
    <w:rsid w:val="178D568E"/>
    <w:rsid w:val="178E1BCA"/>
    <w:rsid w:val="1793EBB5"/>
    <w:rsid w:val="17985FAF"/>
    <w:rsid w:val="179D4D45"/>
    <w:rsid w:val="17A0DB08"/>
    <w:rsid w:val="17A983A5"/>
    <w:rsid w:val="17AFB2EF"/>
    <w:rsid w:val="17B3B926"/>
    <w:rsid w:val="17B49D2C"/>
    <w:rsid w:val="17BD375A"/>
    <w:rsid w:val="17BFB63B"/>
    <w:rsid w:val="17C0D72B"/>
    <w:rsid w:val="17C6D2A6"/>
    <w:rsid w:val="17D59151"/>
    <w:rsid w:val="17DB0034"/>
    <w:rsid w:val="17E3E263"/>
    <w:rsid w:val="18043D62"/>
    <w:rsid w:val="1806CF40"/>
    <w:rsid w:val="1810CED2"/>
    <w:rsid w:val="18158354"/>
    <w:rsid w:val="181F427F"/>
    <w:rsid w:val="1820CEA5"/>
    <w:rsid w:val="183D8453"/>
    <w:rsid w:val="1845EE0E"/>
    <w:rsid w:val="184668E0"/>
    <w:rsid w:val="1846E3B2"/>
    <w:rsid w:val="18535D49"/>
    <w:rsid w:val="1858F198"/>
    <w:rsid w:val="185CE3E6"/>
    <w:rsid w:val="18605410"/>
    <w:rsid w:val="1868BFC5"/>
    <w:rsid w:val="187060F8"/>
    <w:rsid w:val="187724C5"/>
    <w:rsid w:val="187CCAD9"/>
    <w:rsid w:val="18873054"/>
    <w:rsid w:val="188914C9"/>
    <w:rsid w:val="188B75FA"/>
    <w:rsid w:val="189441FE"/>
    <w:rsid w:val="1894579C"/>
    <w:rsid w:val="189DD1F4"/>
    <w:rsid w:val="18A1D45A"/>
    <w:rsid w:val="18AC4348"/>
    <w:rsid w:val="18B61C17"/>
    <w:rsid w:val="18B7F3C6"/>
    <w:rsid w:val="18B8EC33"/>
    <w:rsid w:val="18BD36BE"/>
    <w:rsid w:val="18C3F445"/>
    <w:rsid w:val="18CF27CE"/>
    <w:rsid w:val="18D5D039"/>
    <w:rsid w:val="18D96219"/>
    <w:rsid w:val="18F279A4"/>
    <w:rsid w:val="18F979C0"/>
    <w:rsid w:val="18FB1A20"/>
    <w:rsid w:val="18FBB516"/>
    <w:rsid w:val="19103CF6"/>
    <w:rsid w:val="191364F0"/>
    <w:rsid w:val="1917CD04"/>
    <w:rsid w:val="191B4857"/>
    <w:rsid w:val="1929DC3A"/>
    <w:rsid w:val="192BC199"/>
    <w:rsid w:val="192DFA5B"/>
    <w:rsid w:val="19336875"/>
    <w:rsid w:val="1935BD88"/>
    <w:rsid w:val="193778FC"/>
    <w:rsid w:val="193B0E1E"/>
    <w:rsid w:val="193BCCA3"/>
    <w:rsid w:val="193C2411"/>
    <w:rsid w:val="193E4459"/>
    <w:rsid w:val="193E5EA1"/>
    <w:rsid w:val="19446B74"/>
    <w:rsid w:val="1963478E"/>
    <w:rsid w:val="196EB5B2"/>
    <w:rsid w:val="19764F48"/>
    <w:rsid w:val="1978B7C0"/>
    <w:rsid w:val="197CD3F3"/>
    <w:rsid w:val="19871069"/>
    <w:rsid w:val="198964B8"/>
    <w:rsid w:val="198E3D22"/>
    <w:rsid w:val="198F617A"/>
    <w:rsid w:val="19A180BB"/>
    <w:rsid w:val="19A4FAEC"/>
    <w:rsid w:val="19AEF8D8"/>
    <w:rsid w:val="19B03E1C"/>
    <w:rsid w:val="19B337EE"/>
    <w:rsid w:val="19B88E48"/>
    <w:rsid w:val="19BCFA91"/>
    <w:rsid w:val="19BF06A7"/>
    <w:rsid w:val="19BFB800"/>
    <w:rsid w:val="19C1CAE2"/>
    <w:rsid w:val="19C369B0"/>
    <w:rsid w:val="19D813F9"/>
    <w:rsid w:val="19D9C497"/>
    <w:rsid w:val="19E0F93E"/>
    <w:rsid w:val="19E7A29C"/>
    <w:rsid w:val="19E9F1DB"/>
    <w:rsid w:val="19EC90E5"/>
    <w:rsid w:val="19F14909"/>
    <w:rsid w:val="19F1CBE1"/>
    <w:rsid w:val="19F59558"/>
    <w:rsid w:val="19F98F38"/>
    <w:rsid w:val="1A0AE77F"/>
    <w:rsid w:val="1A0F4EDA"/>
    <w:rsid w:val="1A135597"/>
    <w:rsid w:val="1A1C503B"/>
    <w:rsid w:val="1A251931"/>
    <w:rsid w:val="1A26F9C6"/>
    <w:rsid w:val="1A2B81D5"/>
    <w:rsid w:val="1A30F808"/>
    <w:rsid w:val="1A3F1629"/>
    <w:rsid w:val="1A4017CB"/>
    <w:rsid w:val="1A43B653"/>
    <w:rsid w:val="1A4A8E7B"/>
    <w:rsid w:val="1A597BCF"/>
    <w:rsid w:val="1A60FA3E"/>
    <w:rsid w:val="1A6D8CCE"/>
    <w:rsid w:val="1A6E4825"/>
    <w:rsid w:val="1A71347D"/>
    <w:rsid w:val="1A78F44B"/>
    <w:rsid w:val="1A87C432"/>
    <w:rsid w:val="1A8A262A"/>
    <w:rsid w:val="1A912608"/>
    <w:rsid w:val="1A983793"/>
    <w:rsid w:val="1AA6842C"/>
    <w:rsid w:val="1AAD23D4"/>
    <w:rsid w:val="1AB0A759"/>
    <w:rsid w:val="1AB25BB3"/>
    <w:rsid w:val="1AB4B693"/>
    <w:rsid w:val="1ABC5400"/>
    <w:rsid w:val="1ABF863E"/>
    <w:rsid w:val="1AE3CBF9"/>
    <w:rsid w:val="1AE65E7D"/>
    <w:rsid w:val="1AEBEB55"/>
    <w:rsid w:val="1AF37799"/>
    <w:rsid w:val="1AF86B67"/>
    <w:rsid w:val="1B03CAE1"/>
    <w:rsid w:val="1B03D92F"/>
    <w:rsid w:val="1B11B38C"/>
    <w:rsid w:val="1B1D0EC5"/>
    <w:rsid w:val="1B25A94D"/>
    <w:rsid w:val="1B365E8D"/>
    <w:rsid w:val="1B3ABA84"/>
    <w:rsid w:val="1B457CB1"/>
    <w:rsid w:val="1B45E659"/>
    <w:rsid w:val="1B471031"/>
    <w:rsid w:val="1B49F229"/>
    <w:rsid w:val="1B4FF16A"/>
    <w:rsid w:val="1B56C8E0"/>
    <w:rsid w:val="1B5F1E37"/>
    <w:rsid w:val="1B698BC3"/>
    <w:rsid w:val="1B6BB119"/>
    <w:rsid w:val="1B6BB606"/>
    <w:rsid w:val="1B71EC1C"/>
    <w:rsid w:val="1B7589BC"/>
    <w:rsid w:val="1B77CAF6"/>
    <w:rsid w:val="1B7E9424"/>
    <w:rsid w:val="1B836525"/>
    <w:rsid w:val="1B85CEEF"/>
    <w:rsid w:val="1B91F13F"/>
    <w:rsid w:val="1B9581C2"/>
    <w:rsid w:val="1B9ACF63"/>
    <w:rsid w:val="1B9F9D79"/>
    <w:rsid w:val="1B9FB509"/>
    <w:rsid w:val="1BA7376B"/>
    <w:rsid w:val="1BA798BE"/>
    <w:rsid w:val="1BAFB0A7"/>
    <w:rsid w:val="1BB3B360"/>
    <w:rsid w:val="1BBBB8FC"/>
    <w:rsid w:val="1BBFDC04"/>
    <w:rsid w:val="1BC5641D"/>
    <w:rsid w:val="1BCA9825"/>
    <w:rsid w:val="1BCEE068"/>
    <w:rsid w:val="1BD8BFAF"/>
    <w:rsid w:val="1BE22A74"/>
    <w:rsid w:val="1BF13120"/>
    <w:rsid w:val="1BF5D00B"/>
    <w:rsid w:val="1BFDEE9B"/>
    <w:rsid w:val="1C047A60"/>
    <w:rsid w:val="1C095D2F"/>
    <w:rsid w:val="1C0CA4B0"/>
    <w:rsid w:val="1C107FFC"/>
    <w:rsid w:val="1C2A0887"/>
    <w:rsid w:val="1C3F4CA6"/>
    <w:rsid w:val="1C595C73"/>
    <w:rsid w:val="1C5C3FBD"/>
    <w:rsid w:val="1C6458CA"/>
    <w:rsid w:val="1C83D0BA"/>
    <w:rsid w:val="1C84631F"/>
    <w:rsid w:val="1C85D72C"/>
    <w:rsid w:val="1C900CE8"/>
    <w:rsid w:val="1C9DDCAD"/>
    <w:rsid w:val="1CAA0E86"/>
    <w:rsid w:val="1CB5A657"/>
    <w:rsid w:val="1CD11843"/>
    <w:rsid w:val="1CDF0641"/>
    <w:rsid w:val="1CF3BFF7"/>
    <w:rsid w:val="1CF6A585"/>
    <w:rsid w:val="1CF70E63"/>
    <w:rsid w:val="1CF7E2A5"/>
    <w:rsid w:val="1D01588C"/>
    <w:rsid w:val="1D0CFF5D"/>
    <w:rsid w:val="1D289EFC"/>
    <w:rsid w:val="1D2D2760"/>
    <w:rsid w:val="1D31AFB0"/>
    <w:rsid w:val="1D3396C2"/>
    <w:rsid w:val="1D414E52"/>
    <w:rsid w:val="1D454867"/>
    <w:rsid w:val="1D46EDB0"/>
    <w:rsid w:val="1D4D4D1F"/>
    <w:rsid w:val="1D559F4C"/>
    <w:rsid w:val="1D57D066"/>
    <w:rsid w:val="1D612FAC"/>
    <w:rsid w:val="1D69D716"/>
    <w:rsid w:val="1D6D88F6"/>
    <w:rsid w:val="1D757EC9"/>
    <w:rsid w:val="1D7C6F35"/>
    <w:rsid w:val="1D7EBB07"/>
    <w:rsid w:val="1D85A6E6"/>
    <w:rsid w:val="1D86F08E"/>
    <w:rsid w:val="1D91A06C"/>
    <w:rsid w:val="1D95BFC3"/>
    <w:rsid w:val="1D99056F"/>
    <w:rsid w:val="1D99867D"/>
    <w:rsid w:val="1D9DBB0B"/>
    <w:rsid w:val="1D9E12A3"/>
    <w:rsid w:val="1D9FCDA7"/>
    <w:rsid w:val="1DA78644"/>
    <w:rsid w:val="1DA7B1E2"/>
    <w:rsid w:val="1DAA4590"/>
    <w:rsid w:val="1DB91F8A"/>
    <w:rsid w:val="1DC7BF18"/>
    <w:rsid w:val="1DC90AAE"/>
    <w:rsid w:val="1DCD2DFB"/>
    <w:rsid w:val="1DCEB3F6"/>
    <w:rsid w:val="1DDB9955"/>
    <w:rsid w:val="1DDCCEC0"/>
    <w:rsid w:val="1DDD8D76"/>
    <w:rsid w:val="1DE0AE29"/>
    <w:rsid w:val="1DE746E4"/>
    <w:rsid w:val="1E0B5BBC"/>
    <w:rsid w:val="1E1C7C22"/>
    <w:rsid w:val="1E275555"/>
    <w:rsid w:val="1E2A8909"/>
    <w:rsid w:val="1E36BC02"/>
    <w:rsid w:val="1E49EF88"/>
    <w:rsid w:val="1E4C0F67"/>
    <w:rsid w:val="1E4D8DC6"/>
    <w:rsid w:val="1E4E019E"/>
    <w:rsid w:val="1E525CAC"/>
    <w:rsid w:val="1E542AF7"/>
    <w:rsid w:val="1E5C0D8C"/>
    <w:rsid w:val="1E5D4EB2"/>
    <w:rsid w:val="1E5E3F16"/>
    <w:rsid w:val="1E646A51"/>
    <w:rsid w:val="1E729AA0"/>
    <w:rsid w:val="1E7ADBCB"/>
    <w:rsid w:val="1E7F1695"/>
    <w:rsid w:val="1E85D430"/>
    <w:rsid w:val="1E8C6B88"/>
    <w:rsid w:val="1E8FF4FF"/>
    <w:rsid w:val="1E9D6D13"/>
    <w:rsid w:val="1E9DE25D"/>
    <w:rsid w:val="1EA005A0"/>
    <w:rsid w:val="1EA267F2"/>
    <w:rsid w:val="1EACD6EA"/>
    <w:rsid w:val="1EBD9B68"/>
    <w:rsid w:val="1EC04863"/>
    <w:rsid w:val="1EC44B60"/>
    <w:rsid w:val="1EC5B430"/>
    <w:rsid w:val="1ECA05FB"/>
    <w:rsid w:val="1ECC2A08"/>
    <w:rsid w:val="1EDD2579"/>
    <w:rsid w:val="1EE00D98"/>
    <w:rsid w:val="1EE61EF9"/>
    <w:rsid w:val="1EEAA421"/>
    <w:rsid w:val="1EF68CBB"/>
    <w:rsid w:val="1EF6FCF5"/>
    <w:rsid w:val="1EFD5E8E"/>
    <w:rsid w:val="1F026987"/>
    <w:rsid w:val="1F031443"/>
    <w:rsid w:val="1F056AAD"/>
    <w:rsid w:val="1F184C1C"/>
    <w:rsid w:val="1F215496"/>
    <w:rsid w:val="1F21C20A"/>
    <w:rsid w:val="1F25F33C"/>
    <w:rsid w:val="1F283A6A"/>
    <w:rsid w:val="1F2AD33C"/>
    <w:rsid w:val="1F2E6803"/>
    <w:rsid w:val="1F3F3257"/>
    <w:rsid w:val="1F446D4F"/>
    <w:rsid w:val="1F4509F0"/>
    <w:rsid w:val="1F4B931A"/>
    <w:rsid w:val="1F4D9F38"/>
    <w:rsid w:val="1F4DDF97"/>
    <w:rsid w:val="1F55E172"/>
    <w:rsid w:val="1F5E00CE"/>
    <w:rsid w:val="1F5E0FE6"/>
    <w:rsid w:val="1F5EA63D"/>
    <w:rsid w:val="1F64DB0F"/>
    <w:rsid w:val="1F83BC9A"/>
    <w:rsid w:val="1F875EF1"/>
    <w:rsid w:val="1F8F15B3"/>
    <w:rsid w:val="1F8FCE45"/>
    <w:rsid w:val="1F92D9A1"/>
    <w:rsid w:val="1F9DB21A"/>
    <w:rsid w:val="1FA48F71"/>
    <w:rsid w:val="1FA8EADF"/>
    <w:rsid w:val="1FB118CC"/>
    <w:rsid w:val="1FB2ADB2"/>
    <w:rsid w:val="1FB395FE"/>
    <w:rsid w:val="1FBA67C8"/>
    <w:rsid w:val="1FC3D0E2"/>
    <w:rsid w:val="1FC631DD"/>
    <w:rsid w:val="1FD0E479"/>
    <w:rsid w:val="1FD47FD4"/>
    <w:rsid w:val="1FD6337B"/>
    <w:rsid w:val="1FD94CD1"/>
    <w:rsid w:val="1FDCA3C4"/>
    <w:rsid w:val="1FE621C9"/>
    <w:rsid w:val="1FF15ECB"/>
    <w:rsid w:val="1FF4A85B"/>
    <w:rsid w:val="1FF7D772"/>
    <w:rsid w:val="1FFF904D"/>
    <w:rsid w:val="200255CC"/>
    <w:rsid w:val="200B2DA8"/>
    <w:rsid w:val="200F6B3D"/>
    <w:rsid w:val="200F9E0E"/>
    <w:rsid w:val="201C5DE7"/>
    <w:rsid w:val="2026219C"/>
    <w:rsid w:val="20262E73"/>
    <w:rsid w:val="202CE8BD"/>
    <w:rsid w:val="2033FFE6"/>
    <w:rsid w:val="203BDF38"/>
    <w:rsid w:val="203FA4F7"/>
    <w:rsid w:val="20409382"/>
    <w:rsid w:val="2045D235"/>
    <w:rsid w:val="204D14AF"/>
    <w:rsid w:val="20517AC5"/>
    <w:rsid w:val="2054BC63"/>
    <w:rsid w:val="20559E12"/>
    <w:rsid w:val="20571364"/>
    <w:rsid w:val="2071B451"/>
    <w:rsid w:val="2077D3F9"/>
    <w:rsid w:val="207CF1E9"/>
    <w:rsid w:val="207EFEE9"/>
    <w:rsid w:val="20829843"/>
    <w:rsid w:val="20845453"/>
    <w:rsid w:val="208A86FF"/>
    <w:rsid w:val="209C7CA3"/>
    <w:rsid w:val="20A148D0"/>
    <w:rsid w:val="20A4C2C6"/>
    <w:rsid w:val="20B91A33"/>
    <w:rsid w:val="20C251AC"/>
    <w:rsid w:val="20C98AC1"/>
    <w:rsid w:val="20D0D3D9"/>
    <w:rsid w:val="20DA4E8C"/>
    <w:rsid w:val="20EC0A04"/>
    <w:rsid w:val="20EC5F96"/>
    <w:rsid w:val="20F47877"/>
    <w:rsid w:val="20FA6596"/>
    <w:rsid w:val="21069EC5"/>
    <w:rsid w:val="21160736"/>
    <w:rsid w:val="2119569D"/>
    <w:rsid w:val="211CA53A"/>
    <w:rsid w:val="2120AEDA"/>
    <w:rsid w:val="2120E4FC"/>
    <w:rsid w:val="212545B2"/>
    <w:rsid w:val="212BA7F1"/>
    <w:rsid w:val="2139A59C"/>
    <w:rsid w:val="213D106B"/>
    <w:rsid w:val="213D1F56"/>
    <w:rsid w:val="2140FA9B"/>
    <w:rsid w:val="21415BF1"/>
    <w:rsid w:val="2142FC7E"/>
    <w:rsid w:val="214AFF34"/>
    <w:rsid w:val="214D23C8"/>
    <w:rsid w:val="215298B4"/>
    <w:rsid w:val="21566688"/>
    <w:rsid w:val="215741DD"/>
    <w:rsid w:val="2159AE72"/>
    <w:rsid w:val="215C91BC"/>
    <w:rsid w:val="215F6139"/>
    <w:rsid w:val="215F81FC"/>
    <w:rsid w:val="215FE5C0"/>
    <w:rsid w:val="21684FC7"/>
    <w:rsid w:val="21727CC0"/>
    <w:rsid w:val="217F5D5C"/>
    <w:rsid w:val="21810301"/>
    <w:rsid w:val="218743C8"/>
    <w:rsid w:val="218FAC6F"/>
    <w:rsid w:val="21944C41"/>
    <w:rsid w:val="219455A3"/>
    <w:rsid w:val="21AC9618"/>
    <w:rsid w:val="21AFADC3"/>
    <w:rsid w:val="21B99EC8"/>
    <w:rsid w:val="21BC449F"/>
    <w:rsid w:val="21C8E157"/>
    <w:rsid w:val="21D37A3E"/>
    <w:rsid w:val="21D555D6"/>
    <w:rsid w:val="21D7437C"/>
    <w:rsid w:val="21DCB67C"/>
    <w:rsid w:val="21E90F50"/>
    <w:rsid w:val="21E97D6F"/>
    <w:rsid w:val="21EC66E6"/>
    <w:rsid w:val="21F280BD"/>
    <w:rsid w:val="21F84E98"/>
    <w:rsid w:val="21FC33B0"/>
    <w:rsid w:val="21FCCC1B"/>
    <w:rsid w:val="220CAFAC"/>
    <w:rsid w:val="220E8B09"/>
    <w:rsid w:val="220E8B69"/>
    <w:rsid w:val="221679E2"/>
    <w:rsid w:val="2224F7BA"/>
    <w:rsid w:val="2228698A"/>
    <w:rsid w:val="222E1E34"/>
    <w:rsid w:val="2231B535"/>
    <w:rsid w:val="2232FE6D"/>
    <w:rsid w:val="2235C76F"/>
    <w:rsid w:val="223FA009"/>
    <w:rsid w:val="2244C624"/>
    <w:rsid w:val="224EEED1"/>
    <w:rsid w:val="22546918"/>
    <w:rsid w:val="225688C3"/>
    <w:rsid w:val="22596685"/>
    <w:rsid w:val="226F9897"/>
    <w:rsid w:val="2271D40D"/>
    <w:rsid w:val="22725481"/>
    <w:rsid w:val="2278F7A8"/>
    <w:rsid w:val="227EA442"/>
    <w:rsid w:val="228433E8"/>
    <w:rsid w:val="228E3A6F"/>
    <w:rsid w:val="22957B45"/>
    <w:rsid w:val="22981B1B"/>
    <w:rsid w:val="229D6AFA"/>
    <w:rsid w:val="22A7F52C"/>
    <w:rsid w:val="22A96450"/>
    <w:rsid w:val="22B7835F"/>
    <w:rsid w:val="22B7AC4B"/>
    <w:rsid w:val="22C8F18B"/>
    <w:rsid w:val="22C96845"/>
    <w:rsid w:val="22CB6A54"/>
    <w:rsid w:val="22CD0E46"/>
    <w:rsid w:val="22E01F33"/>
    <w:rsid w:val="22E67017"/>
    <w:rsid w:val="22F75749"/>
    <w:rsid w:val="22F7D67B"/>
    <w:rsid w:val="22FA3102"/>
    <w:rsid w:val="22FF51D6"/>
    <w:rsid w:val="23042028"/>
    <w:rsid w:val="230BC095"/>
    <w:rsid w:val="23100852"/>
    <w:rsid w:val="231012EA"/>
    <w:rsid w:val="231B0C93"/>
    <w:rsid w:val="23245F63"/>
    <w:rsid w:val="232D8CEC"/>
    <w:rsid w:val="232EADEB"/>
    <w:rsid w:val="23310567"/>
    <w:rsid w:val="23360E36"/>
    <w:rsid w:val="233C8FBE"/>
    <w:rsid w:val="23424D1D"/>
    <w:rsid w:val="23445769"/>
    <w:rsid w:val="234E620D"/>
    <w:rsid w:val="23516102"/>
    <w:rsid w:val="2361ADAB"/>
    <w:rsid w:val="2368A8AF"/>
    <w:rsid w:val="23736C08"/>
    <w:rsid w:val="237431BA"/>
    <w:rsid w:val="23746390"/>
    <w:rsid w:val="2376D712"/>
    <w:rsid w:val="237959E1"/>
    <w:rsid w:val="238675A6"/>
    <w:rsid w:val="23887977"/>
    <w:rsid w:val="238C5CFD"/>
    <w:rsid w:val="2391FDB6"/>
    <w:rsid w:val="2398F598"/>
    <w:rsid w:val="239A5CF6"/>
    <w:rsid w:val="23A97C87"/>
    <w:rsid w:val="23B0476D"/>
    <w:rsid w:val="23CBA383"/>
    <w:rsid w:val="23D5F316"/>
    <w:rsid w:val="23DADB55"/>
    <w:rsid w:val="23DE1C42"/>
    <w:rsid w:val="23E4784C"/>
    <w:rsid w:val="23F01687"/>
    <w:rsid w:val="23FE843F"/>
    <w:rsid w:val="2400DDCD"/>
    <w:rsid w:val="2403D164"/>
    <w:rsid w:val="2407DD23"/>
    <w:rsid w:val="24097318"/>
    <w:rsid w:val="2415D10C"/>
    <w:rsid w:val="241955A6"/>
    <w:rsid w:val="241BED49"/>
    <w:rsid w:val="2422B1A2"/>
    <w:rsid w:val="242A250A"/>
    <w:rsid w:val="242A654C"/>
    <w:rsid w:val="242D476D"/>
    <w:rsid w:val="2435C9B5"/>
    <w:rsid w:val="2437FA88"/>
    <w:rsid w:val="243FE433"/>
    <w:rsid w:val="24415A18"/>
    <w:rsid w:val="244E9B78"/>
    <w:rsid w:val="245600A0"/>
    <w:rsid w:val="24699B59"/>
    <w:rsid w:val="247CC7D2"/>
    <w:rsid w:val="2480CEB3"/>
    <w:rsid w:val="2484E384"/>
    <w:rsid w:val="24862550"/>
    <w:rsid w:val="24968C41"/>
    <w:rsid w:val="249734CC"/>
    <w:rsid w:val="249F8BE2"/>
    <w:rsid w:val="24AC27CE"/>
    <w:rsid w:val="24AFFC70"/>
    <w:rsid w:val="24BEE3CD"/>
    <w:rsid w:val="24BFA83F"/>
    <w:rsid w:val="24C5F20C"/>
    <w:rsid w:val="24D2724D"/>
    <w:rsid w:val="24DB64BC"/>
    <w:rsid w:val="24E4449C"/>
    <w:rsid w:val="24E6937C"/>
    <w:rsid w:val="24F7AE60"/>
    <w:rsid w:val="24F7B51A"/>
    <w:rsid w:val="250580C2"/>
    <w:rsid w:val="25090D63"/>
    <w:rsid w:val="250B7FA7"/>
    <w:rsid w:val="25137E9C"/>
    <w:rsid w:val="2515F465"/>
    <w:rsid w:val="2523EFC9"/>
    <w:rsid w:val="2529D97E"/>
    <w:rsid w:val="2536ECBC"/>
    <w:rsid w:val="25432C5C"/>
    <w:rsid w:val="25449894"/>
    <w:rsid w:val="254A283A"/>
    <w:rsid w:val="254A963E"/>
    <w:rsid w:val="254D1DFF"/>
    <w:rsid w:val="254D9864"/>
    <w:rsid w:val="2550DC09"/>
    <w:rsid w:val="2554874F"/>
    <w:rsid w:val="25613767"/>
    <w:rsid w:val="257255C7"/>
    <w:rsid w:val="2574DF7C"/>
    <w:rsid w:val="25758D98"/>
    <w:rsid w:val="257CF00A"/>
    <w:rsid w:val="2585F916"/>
    <w:rsid w:val="258659A0"/>
    <w:rsid w:val="258EAEEF"/>
    <w:rsid w:val="25939A6A"/>
    <w:rsid w:val="25AB2A31"/>
    <w:rsid w:val="25AEFEA6"/>
    <w:rsid w:val="25B27FE3"/>
    <w:rsid w:val="25B9F817"/>
    <w:rsid w:val="25C9F5E8"/>
    <w:rsid w:val="25CD9E07"/>
    <w:rsid w:val="25D3E347"/>
    <w:rsid w:val="25D9D377"/>
    <w:rsid w:val="25DB2747"/>
    <w:rsid w:val="25E45F68"/>
    <w:rsid w:val="25F3C2C4"/>
    <w:rsid w:val="25FE6104"/>
    <w:rsid w:val="2601E45E"/>
    <w:rsid w:val="260212D4"/>
    <w:rsid w:val="2608F9AA"/>
    <w:rsid w:val="260E3618"/>
    <w:rsid w:val="260F2DBE"/>
    <w:rsid w:val="26152854"/>
    <w:rsid w:val="2619CBBD"/>
    <w:rsid w:val="261AD274"/>
    <w:rsid w:val="263CC7D0"/>
    <w:rsid w:val="2651A4A7"/>
    <w:rsid w:val="265B68AD"/>
    <w:rsid w:val="265BC937"/>
    <w:rsid w:val="266AFC63"/>
    <w:rsid w:val="2670AC19"/>
    <w:rsid w:val="26742A0E"/>
    <w:rsid w:val="2676E6E1"/>
    <w:rsid w:val="26828434"/>
    <w:rsid w:val="26886CAA"/>
    <w:rsid w:val="268FEE13"/>
    <w:rsid w:val="2690FC40"/>
    <w:rsid w:val="2692B288"/>
    <w:rsid w:val="26991B56"/>
    <w:rsid w:val="269962A7"/>
    <w:rsid w:val="269BE240"/>
    <w:rsid w:val="269D31F3"/>
    <w:rsid w:val="26A7E161"/>
    <w:rsid w:val="26A85FD7"/>
    <w:rsid w:val="26AD6C85"/>
    <w:rsid w:val="26B80C14"/>
    <w:rsid w:val="26C0E7A4"/>
    <w:rsid w:val="26C3E54C"/>
    <w:rsid w:val="26C4A64A"/>
    <w:rsid w:val="26C90700"/>
    <w:rsid w:val="26CAD3E3"/>
    <w:rsid w:val="26DAADB1"/>
    <w:rsid w:val="26E2315F"/>
    <w:rsid w:val="26E34B6E"/>
    <w:rsid w:val="26EAED7B"/>
    <w:rsid w:val="26EBD09E"/>
    <w:rsid w:val="26ED387E"/>
    <w:rsid w:val="26FB5C1A"/>
    <w:rsid w:val="26FEE7AC"/>
    <w:rsid w:val="27005448"/>
    <w:rsid w:val="270606CC"/>
    <w:rsid w:val="270A7895"/>
    <w:rsid w:val="27127C17"/>
    <w:rsid w:val="2720098A"/>
    <w:rsid w:val="2724E92F"/>
    <w:rsid w:val="2726950C"/>
    <w:rsid w:val="27270001"/>
    <w:rsid w:val="2727E502"/>
    <w:rsid w:val="272AC214"/>
    <w:rsid w:val="273036F3"/>
    <w:rsid w:val="2738FF17"/>
    <w:rsid w:val="27396C9F"/>
    <w:rsid w:val="27432F7C"/>
    <w:rsid w:val="27454B37"/>
    <w:rsid w:val="27488DCD"/>
    <w:rsid w:val="274A05B9"/>
    <w:rsid w:val="274A8D81"/>
    <w:rsid w:val="27509FAD"/>
    <w:rsid w:val="2756A1D2"/>
    <w:rsid w:val="275992B1"/>
    <w:rsid w:val="275BADB4"/>
    <w:rsid w:val="275BD808"/>
    <w:rsid w:val="275F2257"/>
    <w:rsid w:val="275F8B1B"/>
    <w:rsid w:val="2760BE85"/>
    <w:rsid w:val="276D4B30"/>
    <w:rsid w:val="27716961"/>
    <w:rsid w:val="2775D02E"/>
    <w:rsid w:val="2787F572"/>
    <w:rsid w:val="27966377"/>
    <w:rsid w:val="2799C765"/>
    <w:rsid w:val="27A19EC0"/>
    <w:rsid w:val="27A3CBB2"/>
    <w:rsid w:val="27B509CB"/>
    <w:rsid w:val="27B9CF5E"/>
    <w:rsid w:val="27BE94BB"/>
    <w:rsid w:val="27C56FB4"/>
    <w:rsid w:val="27D2A2C6"/>
    <w:rsid w:val="27D310DE"/>
    <w:rsid w:val="27E5CD54"/>
    <w:rsid w:val="27EA1D67"/>
    <w:rsid w:val="27F33684"/>
    <w:rsid w:val="27F4C097"/>
    <w:rsid w:val="27FBED58"/>
    <w:rsid w:val="2804A9CA"/>
    <w:rsid w:val="280B2769"/>
    <w:rsid w:val="28125DD6"/>
    <w:rsid w:val="281797A9"/>
    <w:rsid w:val="2817ABE6"/>
    <w:rsid w:val="282B2BD9"/>
    <w:rsid w:val="2844839A"/>
    <w:rsid w:val="284DF09A"/>
    <w:rsid w:val="284DF7B4"/>
    <w:rsid w:val="285669A0"/>
    <w:rsid w:val="285DED70"/>
    <w:rsid w:val="285F17E7"/>
    <w:rsid w:val="2868E81F"/>
    <w:rsid w:val="287127CD"/>
    <w:rsid w:val="28725F25"/>
    <w:rsid w:val="2876D606"/>
    <w:rsid w:val="28774128"/>
    <w:rsid w:val="287890DB"/>
    <w:rsid w:val="28827D1A"/>
    <w:rsid w:val="289F3BE4"/>
    <w:rsid w:val="28AC4C54"/>
    <w:rsid w:val="28B5D270"/>
    <w:rsid w:val="28B93D3F"/>
    <w:rsid w:val="28CBBD42"/>
    <w:rsid w:val="28CCBAB3"/>
    <w:rsid w:val="28D0EC34"/>
    <w:rsid w:val="28D52728"/>
    <w:rsid w:val="28E207C4"/>
    <w:rsid w:val="28EC493D"/>
    <w:rsid w:val="2903D0CA"/>
    <w:rsid w:val="29233CBC"/>
    <w:rsid w:val="29250E3B"/>
    <w:rsid w:val="2930785A"/>
    <w:rsid w:val="293286C3"/>
    <w:rsid w:val="2932ED1F"/>
    <w:rsid w:val="2933DCF1"/>
    <w:rsid w:val="293C14D6"/>
    <w:rsid w:val="293D3C50"/>
    <w:rsid w:val="2943454C"/>
    <w:rsid w:val="294549FA"/>
    <w:rsid w:val="294AB301"/>
    <w:rsid w:val="295032F7"/>
    <w:rsid w:val="2958D819"/>
    <w:rsid w:val="296246CC"/>
    <w:rsid w:val="296B9C5F"/>
    <w:rsid w:val="296F9C5F"/>
    <w:rsid w:val="297CC2E0"/>
    <w:rsid w:val="298033D3"/>
    <w:rsid w:val="299429C0"/>
    <w:rsid w:val="29956BF1"/>
    <w:rsid w:val="29962F8B"/>
    <w:rsid w:val="29AC1FBE"/>
    <w:rsid w:val="29B238E6"/>
    <w:rsid w:val="29CA4627"/>
    <w:rsid w:val="29CB384B"/>
    <w:rsid w:val="29CD841D"/>
    <w:rsid w:val="29D8D0E4"/>
    <w:rsid w:val="29DD1D9B"/>
    <w:rsid w:val="29E63035"/>
    <w:rsid w:val="29E72250"/>
    <w:rsid w:val="29E7841B"/>
    <w:rsid w:val="29F81927"/>
    <w:rsid w:val="2A0CA859"/>
    <w:rsid w:val="2A132E2F"/>
    <w:rsid w:val="2A1933EC"/>
    <w:rsid w:val="2A26353E"/>
    <w:rsid w:val="2A29B402"/>
    <w:rsid w:val="2A390874"/>
    <w:rsid w:val="2A48F519"/>
    <w:rsid w:val="2A50ACEA"/>
    <w:rsid w:val="2A55A479"/>
    <w:rsid w:val="2A5ED272"/>
    <w:rsid w:val="2A6167D7"/>
    <w:rsid w:val="2A646675"/>
    <w:rsid w:val="2A65B0FF"/>
    <w:rsid w:val="2A78DCA1"/>
    <w:rsid w:val="2A84FAAD"/>
    <w:rsid w:val="2A8A777E"/>
    <w:rsid w:val="2A8C2D97"/>
    <w:rsid w:val="2AA7E552"/>
    <w:rsid w:val="2AA8D3E6"/>
    <w:rsid w:val="2AA974E1"/>
    <w:rsid w:val="2AB9C4AC"/>
    <w:rsid w:val="2ABB35A3"/>
    <w:rsid w:val="2AC1DD8D"/>
    <w:rsid w:val="2AC4B315"/>
    <w:rsid w:val="2AC754DB"/>
    <w:rsid w:val="2AC8D354"/>
    <w:rsid w:val="2AD2E176"/>
    <w:rsid w:val="2AD63994"/>
    <w:rsid w:val="2AD7A21F"/>
    <w:rsid w:val="2ADA1F57"/>
    <w:rsid w:val="2AE09078"/>
    <w:rsid w:val="2AEA4883"/>
    <w:rsid w:val="2AF59E05"/>
    <w:rsid w:val="2B011760"/>
    <w:rsid w:val="2B0A0642"/>
    <w:rsid w:val="2B22D490"/>
    <w:rsid w:val="2B265611"/>
    <w:rsid w:val="2B2BB2A2"/>
    <w:rsid w:val="2B34CE1D"/>
    <w:rsid w:val="2B493C22"/>
    <w:rsid w:val="2B4B079B"/>
    <w:rsid w:val="2B639207"/>
    <w:rsid w:val="2B691C1A"/>
    <w:rsid w:val="2B724E4E"/>
    <w:rsid w:val="2B77BB8C"/>
    <w:rsid w:val="2B781B0A"/>
    <w:rsid w:val="2B7BAD28"/>
    <w:rsid w:val="2B824294"/>
    <w:rsid w:val="2B8ABC5B"/>
    <w:rsid w:val="2B9C17DC"/>
    <w:rsid w:val="2B9D9951"/>
    <w:rsid w:val="2BAA9D8C"/>
    <w:rsid w:val="2BAB4F9A"/>
    <w:rsid w:val="2BB150DD"/>
    <w:rsid w:val="2BB94E51"/>
    <w:rsid w:val="2BC15DBF"/>
    <w:rsid w:val="2BC31636"/>
    <w:rsid w:val="2BC784AA"/>
    <w:rsid w:val="2BCD41C2"/>
    <w:rsid w:val="2BD65DFC"/>
    <w:rsid w:val="2BE7FAD7"/>
    <w:rsid w:val="2BF24BBD"/>
    <w:rsid w:val="2BFAE5EB"/>
    <w:rsid w:val="2BFFFABF"/>
    <w:rsid w:val="2C0ABFFC"/>
    <w:rsid w:val="2C0D1249"/>
    <w:rsid w:val="2C0FC7DA"/>
    <w:rsid w:val="2C16C53C"/>
    <w:rsid w:val="2C180165"/>
    <w:rsid w:val="2C18205E"/>
    <w:rsid w:val="2C1891AF"/>
    <w:rsid w:val="2C19B31E"/>
    <w:rsid w:val="2C1C2211"/>
    <w:rsid w:val="2C228079"/>
    <w:rsid w:val="2C28746A"/>
    <w:rsid w:val="2C372C13"/>
    <w:rsid w:val="2C3AE4AC"/>
    <w:rsid w:val="2C46D889"/>
    <w:rsid w:val="2C46DFE2"/>
    <w:rsid w:val="2C5129BF"/>
    <w:rsid w:val="2C51AE1C"/>
    <w:rsid w:val="2C53AF8D"/>
    <w:rsid w:val="2C59DA18"/>
    <w:rsid w:val="2C5E4B71"/>
    <w:rsid w:val="2C62F9B0"/>
    <w:rsid w:val="2C6D29D3"/>
    <w:rsid w:val="2C706B49"/>
    <w:rsid w:val="2C71DC57"/>
    <w:rsid w:val="2C7F76F4"/>
    <w:rsid w:val="2C8156A9"/>
    <w:rsid w:val="2C8472A2"/>
    <w:rsid w:val="2C93B5D8"/>
    <w:rsid w:val="2C93F66B"/>
    <w:rsid w:val="2C97BFA6"/>
    <w:rsid w:val="2C997A7E"/>
    <w:rsid w:val="2C9FC9F6"/>
    <w:rsid w:val="2CB4012F"/>
    <w:rsid w:val="2CB52F67"/>
    <w:rsid w:val="2CB6396D"/>
    <w:rsid w:val="2CC46250"/>
    <w:rsid w:val="2CC7209F"/>
    <w:rsid w:val="2CCDD34D"/>
    <w:rsid w:val="2CD01BB5"/>
    <w:rsid w:val="2CDABB73"/>
    <w:rsid w:val="2CDD52C9"/>
    <w:rsid w:val="2CE478FE"/>
    <w:rsid w:val="2CE48AC9"/>
    <w:rsid w:val="2CEFBF88"/>
    <w:rsid w:val="2CF826C0"/>
    <w:rsid w:val="2CFC8ECE"/>
    <w:rsid w:val="2D00932E"/>
    <w:rsid w:val="2D040C1A"/>
    <w:rsid w:val="2D1695B7"/>
    <w:rsid w:val="2D17BD2B"/>
    <w:rsid w:val="2D19E510"/>
    <w:rsid w:val="2D255738"/>
    <w:rsid w:val="2D385FBB"/>
    <w:rsid w:val="2D3E761D"/>
    <w:rsid w:val="2D519604"/>
    <w:rsid w:val="2D54C5C8"/>
    <w:rsid w:val="2D57FEA8"/>
    <w:rsid w:val="2D889D09"/>
    <w:rsid w:val="2D911D17"/>
    <w:rsid w:val="2D93D8E6"/>
    <w:rsid w:val="2D96B64C"/>
    <w:rsid w:val="2D96BB64"/>
    <w:rsid w:val="2D9B6A96"/>
    <w:rsid w:val="2DA49B48"/>
    <w:rsid w:val="2DAA6993"/>
    <w:rsid w:val="2DAE8F0C"/>
    <w:rsid w:val="2DB1D974"/>
    <w:rsid w:val="2DC23CDD"/>
    <w:rsid w:val="2DDB65A2"/>
    <w:rsid w:val="2DDE19D0"/>
    <w:rsid w:val="2DE34D38"/>
    <w:rsid w:val="2DEC9DB3"/>
    <w:rsid w:val="2DF69DA6"/>
    <w:rsid w:val="2DF6C33E"/>
    <w:rsid w:val="2DFA039E"/>
    <w:rsid w:val="2DFC51D5"/>
    <w:rsid w:val="2DFE9A05"/>
    <w:rsid w:val="2DFFC630"/>
    <w:rsid w:val="2E06C8AA"/>
    <w:rsid w:val="2E14E6EB"/>
    <w:rsid w:val="2E1E95C1"/>
    <w:rsid w:val="2E21D793"/>
    <w:rsid w:val="2E240246"/>
    <w:rsid w:val="2E2815E3"/>
    <w:rsid w:val="2E2E6B59"/>
    <w:rsid w:val="2E37EDD9"/>
    <w:rsid w:val="2E47E030"/>
    <w:rsid w:val="2E503CF5"/>
    <w:rsid w:val="2E550037"/>
    <w:rsid w:val="2E56B28F"/>
    <w:rsid w:val="2E586B06"/>
    <w:rsid w:val="2E58B806"/>
    <w:rsid w:val="2E5901CB"/>
    <w:rsid w:val="2E6192B8"/>
    <w:rsid w:val="2E669B55"/>
    <w:rsid w:val="2E6F4EFF"/>
    <w:rsid w:val="2E7019FB"/>
    <w:rsid w:val="2E780CC9"/>
    <w:rsid w:val="2E8589F6"/>
    <w:rsid w:val="2E86C62C"/>
    <w:rsid w:val="2E8E6340"/>
    <w:rsid w:val="2E921DC9"/>
    <w:rsid w:val="2E944F89"/>
    <w:rsid w:val="2E95A511"/>
    <w:rsid w:val="2E96C74C"/>
    <w:rsid w:val="2E98AB63"/>
    <w:rsid w:val="2E992467"/>
    <w:rsid w:val="2E99F726"/>
    <w:rsid w:val="2E9B7ACA"/>
    <w:rsid w:val="2EA06443"/>
    <w:rsid w:val="2EAD29FA"/>
    <w:rsid w:val="2EB694C8"/>
    <w:rsid w:val="2EB6B18B"/>
    <w:rsid w:val="2EBA1F6D"/>
    <w:rsid w:val="2EC19858"/>
    <w:rsid w:val="2EDB858F"/>
    <w:rsid w:val="2EDEEE15"/>
    <w:rsid w:val="2EE3350C"/>
    <w:rsid w:val="2EE6FD7E"/>
    <w:rsid w:val="2EF2634F"/>
    <w:rsid w:val="2EF63162"/>
    <w:rsid w:val="2F0F6874"/>
    <w:rsid w:val="2F104A4B"/>
    <w:rsid w:val="2F175E10"/>
    <w:rsid w:val="2F2856CD"/>
    <w:rsid w:val="2F2989AD"/>
    <w:rsid w:val="2F2E71C1"/>
    <w:rsid w:val="2F2FA947"/>
    <w:rsid w:val="2F31D58C"/>
    <w:rsid w:val="2F337CAD"/>
    <w:rsid w:val="2F366616"/>
    <w:rsid w:val="2F38CC46"/>
    <w:rsid w:val="2F47ADCE"/>
    <w:rsid w:val="2F4EC896"/>
    <w:rsid w:val="2F514DC1"/>
    <w:rsid w:val="2F5D779B"/>
    <w:rsid w:val="2F5F7DB4"/>
    <w:rsid w:val="2F632F50"/>
    <w:rsid w:val="2F64EC97"/>
    <w:rsid w:val="2F68512E"/>
    <w:rsid w:val="2F6E5B07"/>
    <w:rsid w:val="2F7E58D8"/>
    <w:rsid w:val="2F8809B0"/>
    <w:rsid w:val="2F990A2C"/>
    <w:rsid w:val="2F9B7C49"/>
    <w:rsid w:val="2FABEDD2"/>
    <w:rsid w:val="2FAF5A63"/>
    <w:rsid w:val="2FB2E523"/>
    <w:rsid w:val="2FBB306B"/>
    <w:rsid w:val="2FBD90F2"/>
    <w:rsid w:val="2FBF164F"/>
    <w:rsid w:val="2FCBDE62"/>
    <w:rsid w:val="2FD3DB69"/>
    <w:rsid w:val="2FD7F87B"/>
    <w:rsid w:val="2FD846E6"/>
    <w:rsid w:val="2FD8FA09"/>
    <w:rsid w:val="2FE40AA0"/>
    <w:rsid w:val="2FE914AD"/>
    <w:rsid w:val="2FF5770A"/>
    <w:rsid w:val="2FF77167"/>
    <w:rsid w:val="2FF7A97A"/>
    <w:rsid w:val="3002471D"/>
    <w:rsid w:val="3008423D"/>
    <w:rsid w:val="300C6E20"/>
    <w:rsid w:val="30100DD8"/>
    <w:rsid w:val="301880F5"/>
    <w:rsid w:val="3020A8B7"/>
    <w:rsid w:val="302380CA"/>
    <w:rsid w:val="302470F8"/>
    <w:rsid w:val="3029EBA0"/>
    <w:rsid w:val="302ED71B"/>
    <w:rsid w:val="303189AF"/>
    <w:rsid w:val="303203E4"/>
    <w:rsid w:val="3034D1A0"/>
    <w:rsid w:val="3050246D"/>
    <w:rsid w:val="306BA1E5"/>
    <w:rsid w:val="30786E29"/>
    <w:rsid w:val="307972B3"/>
    <w:rsid w:val="307A6A11"/>
    <w:rsid w:val="307D7037"/>
    <w:rsid w:val="3086EE15"/>
    <w:rsid w:val="3087704A"/>
    <w:rsid w:val="30889F4E"/>
    <w:rsid w:val="308F92D0"/>
    <w:rsid w:val="309FCE5E"/>
    <w:rsid w:val="30A528A5"/>
    <w:rsid w:val="30AF956E"/>
    <w:rsid w:val="30C2FF71"/>
    <w:rsid w:val="30C7A989"/>
    <w:rsid w:val="30CA6017"/>
    <w:rsid w:val="30CF85FE"/>
    <w:rsid w:val="30D4491D"/>
    <w:rsid w:val="30D52C2D"/>
    <w:rsid w:val="30DBB119"/>
    <w:rsid w:val="30EB86DE"/>
    <w:rsid w:val="30FDC263"/>
    <w:rsid w:val="310AAD54"/>
    <w:rsid w:val="3114A42B"/>
    <w:rsid w:val="31226958"/>
    <w:rsid w:val="3126992B"/>
    <w:rsid w:val="312B4CEF"/>
    <w:rsid w:val="31387721"/>
    <w:rsid w:val="3146DC5C"/>
    <w:rsid w:val="315888D0"/>
    <w:rsid w:val="315C85A8"/>
    <w:rsid w:val="3162D758"/>
    <w:rsid w:val="3165DDC3"/>
    <w:rsid w:val="316AC4DE"/>
    <w:rsid w:val="316B54E0"/>
    <w:rsid w:val="316C8DAA"/>
    <w:rsid w:val="316EB861"/>
    <w:rsid w:val="316ED167"/>
    <w:rsid w:val="31709BE6"/>
    <w:rsid w:val="31715C07"/>
    <w:rsid w:val="31812FE1"/>
    <w:rsid w:val="3186AEC7"/>
    <w:rsid w:val="3187B76C"/>
    <w:rsid w:val="318C22D1"/>
    <w:rsid w:val="319D2352"/>
    <w:rsid w:val="31A29674"/>
    <w:rsid w:val="31A92F7D"/>
    <w:rsid w:val="31ABD526"/>
    <w:rsid w:val="31AE76B2"/>
    <w:rsid w:val="31AEF5A1"/>
    <w:rsid w:val="31B09A8B"/>
    <w:rsid w:val="31B1EAE2"/>
    <w:rsid w:val="31B1F7EF"/>
    <w:rsid w:val="31B2B02A"/>
    <w:rsid w:val="31B477D5"/>
    <w:rsid w:val="31B61F59"/>
    <w:rsid w:val="31B722EE"/>
    <w:rsid w:val="31B91297"/>
    <w:rsid w:val="31C5C801"/>
    <w:rsid w:val="31CB8F8B"/>
    <w:rsid w:val="31D219FE"/>
    <w:rsid w:val="31D46305"/>
    <w:rsid w:val="31DCD5F5"/>
    <w:rsid w:val="31E3CA7E"/>
    <w:rsid w:val="31F401E7"/>
    <w:rsid w:val="31F7F595"/>
    <w:rsid w:val="32034BCF"/>
    <w:rsid w:val="3203C284"/>
    <w:rsid w:val="32043802"/>
    <w:rsid w:val="320817A7"/>
    <w:rsid w:val="320ED62C"/>
    <w:rsid w:val="3235AB81"/>
    <w:rsid w:val="323E260C"/>
    <w:rsid w:val="323F0A9D"/>
    <w:rsid w:val="3241196A"/>
    <w:rsid w:val="3247469F"/>
    <w:rsid w:val="324F89A9"/>
    <w:rsid w:val="326453E5"/>
    <w:rsid w:val="326FC803"/>
    <w:rsid w:val="32723684"/>
    <w:rsid w:val="3279D540"/>
    <w:rsid w:val="3298914A"/>
    <w:rsid w:val="329BF5E1"/>
    <w:rsid w:val="329E2EE3"/>
    <w:rsid w:val="32A442B1"/>
    <w:rsid w:val="32A50790"/>
    <w:rsid w:val="32A8651C"/>
    <w:rsid w:val="32AA0EE5"/>
    <w:rsid w:val="32AA3C5B"/>
    <w:rsid w:val="32B321B4"/>
    <w:rsid w:val="32B42CB7"/>
    <w:rsid w:val="32BAD125"/>
    <w:rsid w:val="32BD5DBE"/>
    <w:rsid w:val="32BE9E60"/>
    <w:rsid w:val="32BE9EBE"/>
    <w:rsid w:val="32CA6FD1"/>
    <w:rsid w:val="32DE8E6D"/>
    <w:rsid w:val="32E21FDD"/>
    <w:rsid w:val="32E85D1D"/>
    <w:rsid w:val="32EE045A"/>
    <w:rsid w:val="32F08644"/>
    <w:rsid w:val="32FA5498"/>
    <w:rsid w:val="3303A403"/>
    <w:rsid w:val="330C0327"/>
    <w:rsid w:val="330DB96F"/>
    <w:rsid w:val="330F01C5"/>
    <w:rsid w:val="331D2ED9"/>
    <w:rsid w:val="3320F817"/>
    <w:rsid w:val="3324B6BD"/>
    <w:rsid w:val="3327499D"/>
    <w:rsid w:val="332B7458"/>
    <w:rsid w:val="3332D73D"/>
    <w:rsid w:val="333735B4"/>
    <w:rsid w:val="335292C5"/>
    <w:rsid w:val="33595060"/>
    <w:rsid w:val="33722F23"/>
    <w:rsid w:val="33762BD0"/>
    <w:rsid w:val="3387182B"/>
    <w:rsid w:val="33916BB2"/>
    <w:rsid w:val="3391BCA5"/>
    <w:rsid w:val="339CBAFF"/>
    <w:rsid w:val="33ACC715"/>
    <w:rsid w:val="33B304CB"/>
    <w:rsid w:val="33B77AF6"/>
    <w:rsid w:val="33C24A5C"/>
    <w:rsid w:val="33C90492"/>
    <w:rsid w:val="33CA37E2"/>
    <w:rsid w:val="33CDC374"/>
    <w:rsid w:val="33D2C21D"/>
    <w:rsid w:val="33D34436"/>
    <w:rsid w:val="33DA769A"/>
    <w:rsid w:val="33E8124E"/>
    <w:rsid w:val="33E8FB9D"/>
    <w:rsid w:val="33F3DD80"/>
    <w:rsid w:val="33F8E2E7"/>
    <w:rsid w:val="33FD40FC"/>
    <w:rsid w:val="341EF8EF"/>
    <w:rsid w:val="3423C8E4"/>
    <w:rsid w:val="3434D656"/>
    <w:rsid w:val="343685A0"/>
    <w:rsid w:val="343E3332"/>
    <w:rsid w:val="3446756B"/>
    <w:rsid w:val="344C84F7"/>
    <w:rsid w:val="344D83FA"/>
    <w:rsid w:val="3453682A"/>
    <w:rsid w:val="345D7DA9"/>
    <w:rsid w:val="346029E1"/>
    <w:rsid w:val="3461CF67"/>
    <w:rsid w:val="3465012D"/>
    <w:rsid w:val="346DD8C4"/>
    <w:rsid w:val="3480410F"/>
    <w:rsid w:val="34810E03"/>
    <w:rsid w:val="349AA053"/>
    <w:rsid w:val="34A09F38"/>
    <w:rsid w:val="34A682DF"/>
    <w:rsid w:val="34B6B17A"/>
    <w:rsid w:val="34C2F025"/>
    <w:rsid w:val="34CB1549"/>
    <w:rsid w:val="34D7DC8D"/>
    <w:rsid w:val="34D9989E"/>
    <w:rsid w:val="34DD64BD"/>
    <w:rsid w:val="34DF688E"/>
    <w:rsid w:val="34DFBC21"/>
    <w:rsid w:val="34E21F82"/>
    <w:rsid w:val="34E8FCC0"/>
    <w:rsid w:val="351840C1"/>
    <w:rsid w:val="351DC73F"/>
    <w:rsid w:val="35212280"/>
    <w:rsid w:val="35243C00"/>
    <w:rsid w:val="3527BDDC"/>
    <w:rsid w:val="352FAAD3"/>
    <w:rsid w:val="3549D04E"/>
    <w:rsid w:val="35575D22"/>
    <w:rsid w:val="35640AAA"/>
    <w:rsid w:val="356720C5"/>
    <w:rsid w:val="3583F71D"/>
    <w:rsid w:val="358802DC"/>
    <w:rsid w:val="359BB3E7"/>
    <w:rsid w:val="359EB0EF"/>
    <w:rsid w:val="35A77004"/>
    <w:rsid w:val="35ABDE72"/>
    <w:rsid w:val="35B01943"/>
    <w:rsid w:val="35B21F16"/>
    <w:rsid w:val="35B38A39"/>
    <w:rsid w:val="35B5C830"/>
    <w:rsid w:val="35B5D53F"/>
    <w:rsid w:val="35BF2E23"/>
    <w:rsid w:val="35C65BB7"/>
    <w:rsid w:val="35CF463B"/>
    <w:rsid w:val="35D37A59"/>
    <w:rsid w:val="35D88856"/>
    <w:rsid w:val="35E8EC4B"/>
    <w:rsid w:val="35EE5D2F"/>
    <w:rsid w:val="35F0BB0F"/>
    <w:rsid w:val="35FCAA24"/>
    <w:rsid w:val="35FDD6F9"/>
    <w:rsid w:val="35FFFCAD"/>
    <w:rsid w:val="3602AF2E"/>
    <w:rsid w:val="36049331"/>
    <w:rsid w:val="36068521"/>
    <w:rsid w:val="360939E6"/>
    <w:rsid w:val="360AF767"/>
    <w:rsid w:val="360C34BE"/>
    <w:rsid w:val="3612C36A"/>
    <w:rsid w:val="36195BF8"/>
    <w:rsid w:val="36196475"/>
    <w:rsid w:val="361C7617"/>
    <w:rsid w:val="36250DA4"/>
    <w:rsid w:val="3634624B"/>
    <w:rsid w:val="36391A94"/>
    <w:rsid w:val="3643ECE5"/>
    <w:rsid w:val="3649B5EE"/>
    <w:rsid w:val="364FE543"/>
    <w:rsid w:val="36530AAF"/>
    <w:rsid w:val="3662696B"/>
    <w:rsid w:val="3668EBCE"/>
    <w:rsid w:val="366AC415"/>
    <w:rsid w:val="36707A2D"/>
    <w:rsid w:val="3671DE8F"/>
    <w:rsid w:val="3674F789"/>
    <w:rsid w:val="36788EF1"/>
    <w:rsid w:val="36841585"/>
    <w:rsid w:val="36877BF4"/>
    <w:rsid w:val="3689A6A7"/>
    <w:rsid w:val="369EC345"/>
    <w:rsid w:val="36A4088C"/>
    <w:rsid w:val="36A553F3"/>
    <w:rsid w:val="36B50F85"/>
    <w:rsid w:val="36B63ACA"/>
    <w:rsid w:val="36B70200"/>
    <w:rsid w:val="36B98449"/>
    <w:rsid w:val="36BCD1C2"/>
    <w:rsid w:val="36BCE7A7"/>
    <w:rsid w:val="36BFA0AC"/>
    <w:rsid w:val="36C7DD84"/>
    <w:rsid w:val="36D1060E"/>
    <w:rsid w:val="36E4DE5D"/>
    <w:rsid w:val="36E9C327"/>
    <w:rsid w:val="36FAF869"/>
    <w:rsid w:val="36FC6561"/>
    <w:rsid w:val="36FF11BD"/>
    <w:rsid w:val="3700C578"/>
    <w:rsid w:val="37033B85"/>
    <w:rsid w:val="3716A104"/>
    <w:rsid w:val="37197F46"/>
    <w:rsid w:val="3720686E"/>
    <w:rsid w:val="37336CA2"/>
    <w:rsid w:val="373FEF58"/>
    <w:rsid w:val="374215EE"/>
    <w:rsid w:val="374A917B"/>
    <w:rsid w:val="374DB6B4"/>
    <w:rsid w:val="374F5A9A"/>
    <w:rsid w:val="37521CF9"/>
    <w:rsid w:val="375E71FF"/>
    <w:rsid w:val="3766264D"/>
    <w:rsid w:val="37664FA6"/>
    <w:rsid w:val="376A4A66"/>
    <w:rsid w:val="376FC530"/>
    <w:rsid w:val="378028DE"/>
    <w:rsid w:val="37811E03"/>
    <w:rsid w:val="378467C8"/>
    <w:rsid w:val="378E9696"/>
    <w:rsid w:val="379101B2"/>
    <w:rsid w:val="37984139"/>
    <w:rsid w:val="37990507"/>
    <w:rsid w:val="37AC1655"/>
    <w:rsid w:val="37ADD64B"/>
    <w:rsid w:val="37B8066E"/>
    <w:rsid w:val="37BCC133"/>
    <w:rsid w:val="37BF7B55"/>
    <w:rsid w:val="37C6E733"/>
    <w:rsid w:val="37C72C61"/>
    <w:rsid w:val="37C7E07F"/>
    <w:rsid w:val="37D3208E"/>
    <w:rsid w:val="37DA10FA"/>
    <w:rsid w:val="37E07581"/>
    <w:rsid w:val="37E920C2"/>
    <w:rsid w:val="37ECD2B5"/>
    <w:rsid w:val="37F10EB7"/>
    <w:rsid w:val="37F33B59"/>
    <w:rsid w:val="37F3CBB7"/>
    <w:rsid w:val="37F68E3E"/>
    <w:rsid w:val="37FC2201"/>
    <w:rsid w:val="37FF1946"/>
    <w:rsid w:val="380300BB"/>
    <w:rsid w:val="3803F933"/>
    <w:rsid w:val="380BFC12"/>
    <w:rsid w:val="380E6929"/>
    <w:rsid w:val="3812176B"/>
    <w:rsid w:val="381D3B06"/>
    <w:rsid w:val="38334D48"/>
    <w:rsid w:val="38412454"/>
    <w:rsid w:val="384631E1"/>
    <w:rsid w:val="3848D5B3"/>
    <w:rsid w:val="384C1B96"/>
    <w:rsid w:val="384CAAE5"/>
    <w:rsid w:val="385B68C7"/>
    <w:rsid w:val="38701EA3"/>
    <w:rsid w:val="387389CE"/>
    <w:rsid w:val="387C5A1F"/>
    <w:rsid w:val="3880CC8F"/>
    <w:rsid w:val="388F5E2B"/>
    <w:rsid w:val="38923913"/>
    <w:rsid w:val="3899F9B3"/>
    <w:rsid w:val="389CABA8"/>
    <w:rsid w:val="38ABACBB"/>
    <w:rsid w:val="38B1407E"/>
    <w:rsid w:val="38C82AC2"/>
    <w:rsid w:val="38D22A0B"/>
    <w:rsid w:val="38D9A65C"/>
    <w:rsid w:val="38DE3E00"/>
    <w:rsid w:val="38E1BBEC"/>
    <w:rsid w:val="38EBF9B5"/>
    <w:rsid w:val="38EF5515"/>
    <w:rsid w:val="38F6A58C"/>
    <w:rsid w:val="38F7D00A"/>
    <w:rsid w:val="39061AC7"/>
    <w:rsid w:val="3914FD32"/>
    <w:rsid w:val="391DF73D"/>
    <w:rsid w:val="391F6E0F"/>
    <w:rsid w:val="3920A539"/>
    <w:rsid w:val="39314414"/>
    <w:rsid w:val="393675F5"/>
    <w:rsid w:val="39370961"/>
    <w:rsid w:val="3940268A"/>
    <w:rsid w:val="3944AA61"/>
    <w:rsid w:val="3953100B"/>
    <w:rsid w:val="39536317"/>
    <w:rsid w:val="395B1EEC"/>
    <w:rsid w:val="39664DCF"/>
    <w:rsid w:val="39667059"/>
    <w:rsid w:val="396ABDF2"/>
    <w:rsid w:val="396B3E23"/>
    <w:rsid w:val="397549E3"/>
    <w:rsid w:val="3981E020"/>
    <w:rsid w:val="3987AD2F"/>
    <w:rsid w:val="398EAA4E"/>
    <w:rsid w:val="3992A186"/>
    <w:rsid w:val="3995448A"/>
    <w:rsid w:val="39A0ED1A"/>
    <w:rsid w:val="39A98B65"/>
    <w:rsid w:val="39AA2958"/>
    <w:rsid w:val="39B4AAB1"/>
    <w:rsid w:val="39BA8757"/>
    <w:rsid w:val="39D5E2BA"/>
    <w:rsid w:val="39E7DA2C"/>
    <w:rsid w:val="39E8185E"/>
    <w:rsid w:val="39ECE7D3"/>
    <w:rsid w:val="39F2398C"/>
    <w:rsid w:val="39F9F007"/>
    <w:rsid w:val="3A0D116B"/>
    <w:rsid w:val="3A0E64CF"/>
    <w:rsid w:val="3A136A5F"/>
    <w:rsid w:val="3A16933B"/>
    <w:rsid w:val="3A1AFF1E"/>
    <w:rsid w:val="3A1D136D"/>
    <w:rsid w:val="3A21CE8E"/>
    <w:rsid w:val="3A2625E5"/>
    <w:rsid w:val="3A2B647F"/>
    <w:rsid w:val="3A39C79F"/>
    <w:rsid w:val="3A3BF9F5"/>
    <w:rsid w:val="3A40052B"/>
    <w:rsid w:val="3A442427"/>
    <w:rsid w:val="3A4B4953"/>
    <w:rsid w:val="3A624E40"/>
    <w:rsid w:val="3A6B656B"/>
    <w:rsid w:val="3A8B1762"/>
    <w:rsid w:val="3A9F2D1A"/>
    <w:rsid w:val="3AA1EB28"/>
    <w:rsid w:val="3AA90B97"/>
    <w:rsid w:val="3AA956C2"/>
    <w:rsid w:val="3AB0354F"/>
    <w:rsid w:val="3AC70D05"/>
    <w:rsid w:val="3ACA9FB1"/>
    <w:rsid w:val="3ACE5D9F"/>
    <w:rsid w:val="3AD00E51"/>
    <w:rsid w:val="3AD6404A"/>
    <w:rsid w:val="3AD84320"/>
    <w:rsid w:val="3ADA5F37"/>
    <w:rsid w:val="3ADB86B1"/>
    <w:rsid w:val="3AE1450B"/>
    <w:rsid w:val="3AE71AF4"/>
    <w:rsid w:val="3AF3105E"/>
    <w:rsid w:val="3AF884D9"/>
    <w:rsid w:val="3AFB6FD3"/>
    <w:rsid w:val="3B006EBC"/>
    <w:rsid w:val="3B0ECE72"/>
    <w:rsid w:val="3B0F96A0"/>
    <w:rsid w:val="3B1CBF56"/>
    <w:rsid w:val="3B212A13"/>
    <w:rsid w:val="3B21439D"/>
    <w:rsid w:val="3B255FA3"/>
    <w:rsid w:val="3B25CE61"/>
    <w:rsid w:val="3B2EBA36"/>
    <w:rsid w:val="3B332B4B"/>
    <w:rsid w:val="3B38367A"/>
    <w:rsid w:val="3B3ACFD5"/>
    <w:rsid w:val="3B3CF92B"/>
    <w:rsid w:val="3B3D4F44"/>
    <w:rsid w:val="3B49CA6D"/>
    <w:rsid w:val="3B4B2A89"/>
    <w:rsid w:val="3B4FD9CB"/>
    <w:rsid w:val="3B60DF8C"/>
    <w:rsid w:val="3B681E74"/>
    <w:rsid w:val="3B703C2A"/>
    <w:rsid w:val="3B79ECBF"/>
    <w:rsid w:val="3B7A62D5"/>
    <w:rsid w:val="3B884B01"/>
    <w:rsid w:val="3B8D86C3"/>
    <w:rsid w:val="3B9DF88B"/>
    <w:rsid w:val="3BAB35FF"/>
    <w:rsid w:val="3BB6170B"/>
    <w:rsid w:val="3BC3884A"/>
    <w:rsid w:val="3BC461E3"/>
    <w:rsid w:val="3BC6053D"/>
    <w:rsid w:val="3BE3D2E7"/>
    <w:rsid w:val="3BE5A6A6"/>
    <w:rsid w:val="3BEE8A3B"/>
    <w:rsid w:val="3BFF8BC6"/>
    <w:rsid w:val="3C05C843"/>
    <w:rsid w:val="3C0FCE8A"/>
    <w:rsid w:val="3C10C7BF"/>
    <w:rsid w:val="3C1B6012"/>
    <w:rsid w:val="3C21E50E"/>
    <w:rsid w:val="3C2DCA61"/>
    <w:rsid w:val="3C2F517E"/>
    <w:rsid w:val="3C3C45E7"/>
    <w:rsid w:val="3C459681"/>
    <w:rsid w:val="3C46A6C0"/>
    <w:rsid w:val="3C4BDD20"/>
    <w:rsid w:val="3C4C96E0"/>
    <w:rsid w:val="3C4DCF87"/>
    <w:rsid w:val="3C5172B4"/>
    <w:rsid w:val="3C51C0B1"/>
    <w:rsid w:val="3C5BDA39"/>
    <w:rsid w:val="3C5F2E2D"/>
    <w:rsid w:val="3C64E9FA"/>
    <w:rsid w:val="3C65D110"/>
    <w:rsid w:val="3C6E3DF5"/>
    <w:rsid w:val="3C76943F"/>
    <w:rsid w:val="3C868AF6"/>
    <w:rsid w:val="3C87D38F"/>
    <w:rsid w:val="3C89F30B"/>
    <w:rsid w:val="3C8F2941"/>
    <w:rsid w:val="3C932038"/>
    <w:rsid w:val="3C95505F"/>
    <w:rsid w:val="3CA48DE0"/>
    <w:rsid w:val="3CA6F85A"/>
    <w:rsid w:val="3CA7A3D6"/>
    <w:rsid w:val="3CA969C4"/>
    <w:rsid w:val="3CB1FF79"/>
    <w:rsid w:val="3CB8EFE5"/>
    <w:rsid w:val="3CBB95C6"/>
    <w:rsid w:val="3CBEF320"/>
    <w:rsid w:val="3CC346D6"/>
    <w:rsid w:val="3CE90E1A"/>
    <w:rsid w:val="3CE92445"/>
    <w:rsid w:val="3CE98F67"/>
    <w:rsid w:val="3CFBB54A"/>
    <w:rsid w:val="3D00B5D8"/>
    <w:rsid w:val="3D0A2A49"/>
    <w:rsid w:val="3D14E2EE"/>
    <w:rsid w:val="3D207154"/>
    <w:rsid w:val="3D213163"/>
    <w:rsid w:val="3D242D36"/>
    <w:rsid w:val="3D27A54F"/>
    <w:rsid w:val="3D29FC1A"/>
    <w:rsid w:val="3D319D3D"/>
    <w:rsid w:val="3D3C4B83"/>
    <w:rsid w:val="3D402D4A"/>
    <w:rsid w:val="3D421475"/>
    <w:rsid w:val="3D4B9497"/>
    <w:rsid w:val="3D53BE8B"/>
    <w:rsid w:val="3D5494D4"/>
    <w:rsid w:val="3D674534"/>
    <w:rsid w:val="3D6FFC08"/>
    <w:rsid w:val="3D768195"/>
    <w:rsid w:val="3D7F572A"/>
    <w:rsid w:val="3D883FCE"/>
    <w:rsid w:val="3D9143D6"/>
    <w:rsid w:val="3D9EF21A"/>
    <w:rsid w:val="3D9FD300"/>
    <w:rsid w:val="3DA5618C"/>
    <w:rsid w:val="3DAA51E9"/>
    <w:rsid w:val="3DABDDF7"/>
    <w:rsid w:val="3DAF797C"/>
    <w:rsid w:val="3DB07F3D"/>
    <w:rsid w:val="3DB6EEFB"/>
    <w:rsid w:val="3DB90C9F"/>
    <w:rsid w:val="3DC09BE0"/>
    <w:rsid w:val="3DC2537D"/>
    <w:rsid w:val="3DC5FB59"/>
    <w:rsid w:val="3DC7F436"/>
    <w:rsid w:val="3DD08E64"/>
    <w:rsid w:val="3DDCD275"/>
    <w:rsid w:val="3DE38FA3"/>
    <w:rsid w:val="3DE3FEE2"/>
    <w:rsid w:val="3DE55147"/>
    <w:rsid w:val="3DE5B7A8"/>
    <w:rsid w:val="3DF12B9D"/>
    <w:rsid w:val="3DF58930"/>
    <w:rsid w:val="3E0236A4"/>
    <w:rsid w:val="3E18C0DE"/>
    <w:rsid w:val="3E1C85DC"/>
    <w:rsid w:val="3E3D387C"/>
    <w:rsid w:val="3E3E8D41"/>
    <w:rsid w:val="3E44D295"/>
    <w:rsid w:val="3E474415"/>
    <w:rsid w:val="3E4A3FB9"/>
    <w:rsid w:val="3E4F1389"/>
    <w:rsid w:val="3E5B8FEF"/>
    <w:rsid w:val="3E6AF7D8"/>
    <w:rsid w:val="3E78F89A"/>
    <w:rsid w:val="3E79FCF4"/>
    <w:rsid w:val="3E7FD755"/>
    <w:rsid w:val="3E931A5D"/>
    <w:rsid w:val="3E956FD4"/>
    <w:rsid w:val="3E9A4415"/>
    <w:rsid w:val="3EA5FAAA"/>
    <w:rsid w:val="3EA6CEBF"/>
    <w:rsid w:val="3EA76029"/>
    <w:rsid w:val="3EAFC2FC"/>
    <w:rsid w:val="3ECD6D9E"/>
    <w:rsid w:val="3ED73633"/>
    <w:rsid w:val="3EE4CEC7"/>
    <w:rsid w:val="3EFCDA3A"/>
    <w:rsid w:val="3F05EA2A"/>
    <w:rsid w:val="3F0927D7"/>
    <w:rsid w:val="3F11FCE9"/>
    <w:rsid w:val="3F1C82A2"/>
    <w:rsid w:val="3F3C44AD"/>
    <w:rsid w:val="3F3CD18D"/>
    <w:rsid w:val="3F44EEAC"/>
    <w:rsid w:val="3F4EBB5B"/>
    <w:rsid w:val="3F5606B1"/>
    <w:rsid w:val="3F5FB8D8"/>
    <w:rsid w:val="3F69B8E4"/>
    <w:rsid w:val="3F7B4899"/>
    <w:rsid w:val="3F7D89EC"/>
    <w:rsid w:val="3F7FBE96"/>
    <w:rsid w:val="3F815842"/>
    <w:rsid w:val="3F85AD1A"/>
    <w:rsid w:val="3F8A1DFA"/>
    <w:rsid w:val="3F8BB839"/>
    <w:rsid w:val="3F8DEEC2"/>
    <w:rsid w:val="3F915991"/>
    <w:rsid w:val="3F98FAF1"/>
    <w:rsid w:val="3FA76FF0"/>
    <w:rsid w:val="3FA9C8B8"/>
    <w:rsid w:val="3FACAA56"/>
    <w:rsid w:val="3FB20606"/>
    <w:rsid w:val="3FB9F1FD"/>
    <w:rsid w:val="3FD7F52A"/>
    <w:rsid w:val="3FD92686"/>
    <w:rsid w:val="3FD92EB2"/>
    <w:rsid w:val="3FE2EE2B"/>
    <w:rsid w:val="3FE6101A"/>
    <w:rsid w:val="3FEB8E07"/>
    <w:rsid w:val="3FF26395"/>
    <w:rsid w:val="3FF770CC"/>
    <w:rsid w:val="3FFE7D12"/>
    <w:rsid w:val="3FFF0100"/>
    <w:rsid w:val="4001CC40"/>
    <w:rsid w:val="400A30C0"/>
    <w:rsid w:val="400F9726"/>
    <w:rsid w:val="400FA2B9"/>
    <w:rsid w:val="4012B15E"/>
    <w:rsid w:val="401622EB"/>
    <w:rsid w:val="40202D8F"/>
    <w:rsid w:val="40346A71"/>
    <w:rsid w:val="403714B2"/>
    <w:rsid w:val="403B1FBF"/>
    <w:rsid w:val="40401D8B"/>
    <w:rsid w:val="4041EE92"/>
    <w:rsid w:val="40442F66"/>
    <w:rsid w:val="4049F8AC"/>
    <w:rsid w:val="404C4AAE"/>
    <w:rsid w:val="4050BF4F"/>
    <w:rsid w:val="40541CBB"/>
    <w:rsid w:val="4058FE7B"/>
    <w:rsid w:val="4063BA83"/>
    <w:rsid w:val="4065247E"/>
    <w:rsid w:val="40689D52"/>
    <w:rsid w:val="40694193"/>
    <w:rsid w:val="406F6EE9"/>
    <w:rsid w:val="406FAA37"/>
    <w:rsid w:val="40791DBF"/>
    <w:rsid w:val="4079F7AC"/>
    <w:rsid w:val="407B5366"/>
    <w:rsid w:val="40876856"/>
    <w:rsid w:val="40898E4D"/>
    <w:rsid w:val="4092D57F"/>
    <w:rsid w:val="409588F5"/>
    <w:rsid w:val="40A20995"/>
    <w:rsid w:val="40A850E8"/>
    <w:rsid w:val="40AE9F44"/>
    <w:rsid w:val="40AF7008"/>
    <w:rsid w:val="40B290F0"/>
    <w:rsid w:val="40B4D249"/>
    <w:rsid w:val="40B5FD0A"/>
    <w:rsid w:val="40B8BBF6"/>
    <w:rsid w:val="40BD889A"/>
    <w:rsid w:val="40C10BA5"/>
    <w:rsid w:val="40C7B282"/>
    <w:rsid w:val="40CA9196"/>
    <w:rsid w:val="40CE7D45"/>
    <w:rsid w:val="40D74949"/>
    <w:rsid w:val="40DF034B"/>
    <w:rsid w:val="40E2CFF6"/>
    <w:rsid w:val="40E362CC"/>
    <w:rsid w:val="40F35768"/>
    <w:rsid w:val="40F58798"/>
    <w:rsid w:val="40F73F80"/>
    <w:rsid w:val="40FA9692"/>
    <w:rsid w:val="40FE2224"/>
    <w:rsid w:val="410AA279"/>
    <w:rsid w:val="410B3174"/>
    <w:rsid w:val="41161B91"/>
    <w:rsid w:val="41176D91"/>
    <w:rsid w:val="41189846"/>
    <w:rsid w:val="412F496E"/>
    <w:rsid w:val="4132860E"/>
    <w:rsid w:val="41330AB5"/>
    <w:rsid w:val="413AD8F4"/>
    <w:rsid w:val="4141D801"/>
    <w:rsid w:val="4147D636"/>
    <w:rsid w:val="41559A68"/>
    <w:rsid w:val="4158301B"/>
    <w:rsid w:val="415A2C79"/>
    <w:rsid w:val="415C1424"/>
    <w:rsid w:val="41624161"/>
    <w:rsid w:val="416E9CD8"/>
    <w:rsid w:val="416FE3C4"/>
    <w:rsid w:val="417B38A6"/>
    <w:rsid w:val="4183DD05"/>
    <w:rsid w:val="418DA230"/>
    <w:rsid w:val="4192B47C"/>
    <w:rsid w:val="41966372"/>
    <w:rsid w:val="4199A948"/>
    <w:rsid w:val="419C3B31"/>
    <w:rsid w:val="41A5178A"/>
    <w:rsid w:val="41A8E269"/>
    <w:rsid w:val="41B4C30C"/>
    <w:rsid w:val="41BE3D98"/>
    <w:rsid w:val="41C03418"/>
    <w:rsid w:val="41D3AEBD"/>
    <w:rsid w:val="41D6CDA7"/>
    <w:rsid w:val="41DD9B6C"/>
    <w:rsid w:val="41E96DF2"/>
    <w:rsid w:val="41EF4DAC"/>
    <w:rsid w:val="41FA0473"/>
    <w:rsid w:val="41FE57C6"/>
    <w:rsid w:val="420141DF"/>
    <w:rsid w:val="4201F04B"/>
    <w:rsid w:val="422701F5"/>
    <w:rsid w:val="423CBA28"/>
    <w:rsid w:val="4242A3DD"/>
    <w:rsid w:val="42477DE9"/>
    <w:rsid w:val="424CA54C"/>
    <w:rsid w:val="424F48AA"/>
    <w:rsid w:val="42525198"/>
    <w:rsid w:val="4254939E"/>
    <w:rsid w:val="4264490A"/>
    <w:rsid w:val="426519E7"/>
    <w:rsid w:val="4268B810"/>
    <w:rsid w:val="4269FDAA"/>
    <w:rsid w:val="426C41F1"/>
    <w:rsid w:val="42770880"/>
    <w:rsid w:val="4278BD36"/>
    <w:rsid w:val="427A669C"/>
    <w:rsid w:val="42816D76"/>
    <w:rsid w:val="42898264"/>
    <w:rsid w:val="4290DE8B"/>
    <w:rsid w:val="4296F7AF"/>
    <w:rsid w:val="4299824B"/>
    <w:rsid w:val="429EBE04"/>
    <w:rsid w:val="42BF6E9E"/>
    <w:rsid w:val="42D4EC09"/>
    <w:rsid w:val="42F1E59B"/>
    <w:rsid w:val="42F2A320"/>
    <w:rsid w:val="42F7DF18"/>
    <w:rsid w:val="42F830A6"/>
    <w:rsid w:val="430B5B54"/>
    <w:rsid w:val="430C1823"/>
    <w:rsid w:val="432844A8"/>
    <w:rsid w:val="43284E0F"/>
    <w:rsid w:val="432CD0F0"/>
    <w:rsid w:val="4330C1F2"/>
    <w:rsid w:val="4334EEE4"/>
    <w:rsid w:val="4336DE9B"/>
    <w:rsid w:val="4345E633"/>
    <w:rsid w:val="43462F16"/>
    <w:rsid w:val="434A8B6C"/>
    <w:rsid w:val="434A96D0"/>
    <w:rsid w:val="4351EC12"/>
    <w:rsid w:val="4356620E"/>
    <w:rsid w:val="435F6EBE"/>
    <w:rsid w:val="4361BC92"/>
    <w:rsid w:val="4363A11C"/>
    <w:rsid w:val="437E8DF7"/>
    <w:rsid w:val="4384980B"/>
    <w:rsid w:val="438AA5D8"/>
    <w:rsid w:val="4390F8AD"/>
    <w:rsid w:val="43965349"/>
    <w:rsid w:val="439E3E9D"/>
    <w:rsid w:val="43A0467D"/>
    <w:rsid w:val="43A1E08F"/>
    <w:rsid w:val="43A67EAE"/>
    <w:rsid w:val="43B15F34"/>
    <w:rsid w:val="43B1EC76"/>
    <w:rsid w:val="43C7B459"/>
    <w:rsid w:val="43C86EF2"/>
    <w:rsid w:val="43D0B32E"/>
    <w:rsid w:val="43D66F7B"/>
    <w:rsid w:val="43DD82B7"/>
    <w:rsid w:val="43F6E365"/>
    <w:rsid w:val="43FC348C"/>
    <w:rsid w:val="43FED0EB"/>
    <w:rsid w:val="44003E37"/>
    <w:rsid w:val="4403396D"/>
    <w:rsid w:val="440CA72B"/>
    <w:rsid w:val="440EE0EF"/>
    <w:rsid w:val="441F47E0"/>
    <w:rsid w:val="442452F2"/>
    <w:rsid w:val="442FDB8F"/>
    <w:rsid w:val="44349A71"/>
    <w:rsid w:val="44438E8E"/>
    <w:rsid w:val="4444B0C7"/>
    <w:rsid w:val="44461B1A"/>
    <w:rsid w:val="4447D75E"/>
    <w:rsid w:val="444A0F8C"/>
    <w:rsid w:val="444B39E8"/>
    <w:rsid w:val="444E5EA6"/>
    <w:rsid w:val="4453AA39"/>
    <w:rsid w:val="4457F70E"/>
    <w:rsid w:val="446228F0"/>
    <w:rsid w:val="446526C5"/>
    <w:rsid w:val="44699E84"/>
    <w:rsid w:val="446ED7B6"/>
    <w:rsid w:val="4484F8AD"/>
    <w:rsid w:val="448660E9"/>
    <w:rsid w:val="44884775"/>
    <w:rsid w:val="448F72FC"/>
    <w:rsid w:val="449371F8"/>
    <w:rsid w:val="4496352B"/>
    <w:rsid w:val="44A5A4D1"/>
    <w:rsid w:val="44A9E266"/>
    <w:rsid w:val="44AA61F9"/>
    <w:rsid w:val="44AC5C4D"/>
    <w:rsid w:val="44ADDD45"/>
    <w:rsid w:val="44B41FC2"/>
    <w:rsid w:val="44B71CC7"/>
    <w:rsid w:val="44B9F4C8"/>
    <w:rsid w:val="44C142B8"/>
    <w:rsid w:val="44C39477"/>
    <w:rsid w:val="44C6A130"/>
    <w:rsid w:val="44D174F8"/>
    <w:rsid w:val="44D7301D"/>
    <w:rsid w:val="44DB7954"/>
    <w:rsid w:val="44E0D2A2"/>
    <w:rsid w:val="44E10748"/>
    <w:rsid w:val="44E1BD7F"/>
    <w:rsid w:val="44F21196"/>
    <w:rsid w:val="44F28C68"/>
    <w:rsid w:val="44F82289"/>
    <w:rsid w:val="44F8E13F"/>
    <w:rsid w:val="45049C20"/>
    <w:rsid w:val="4504A3C5"/>
    <w:rsid w:val="450577E4"/>
    <w:rsid w:val="4505AA4D"/>
    <w:rsid w:val="4512294F"/>
    <w:rsid w:val="45138000"/>
    <w:rsid w:val="45194DAF"/>
    <w:rsid w:val="451D4006"/>
    <w:rsid w:val="4521EC2A"/>
    <w:rsid w:val="45277DEB"/>
    <w:rsid w:val="4528C07C"/>
    <w:rsid w:val="452A47E0"/>
    <w:rsid w:val="452DC612"/>
    <w:rsid w:val="45362F87"/>
    <w:rsid w:val="453A362E"/>
    <w:rsid w:val="4542984A"/>
    <w:rsid w:val="454463F3"/>
    <w:rsid w:val="4545D04C"/>
    <w:rsid w:val="4549AB55"/>
    <w:rsid w:val="4559838E"/>
    <w:rsid w:val="455D80BD"/>
    <w:rsid w:val="4568542E"/>
    <w:rsid w:val="456B319B"/>
    <w:rsid w:val="456CF0F8"/>
    <w:rsid w:val="4579CE2D"/>
    <w:rsid w:val="458D750F"/>
    <w:rsid w:val="459194C9"/>
    <w:rsid w:val="459B4A56"/>
    <w:rsid w:val="45A5FE55"/>
    <w:rsid w:val="45A66E0C"/>
    <w:rsid w:val="45A99B01"/>
    <w:rsid w:val="45AFD118"/>
    <w:rsid w:val="45BA0B54"/>
    <w:rsid w:val="45BA229D"/>
    <w:rsid w:val="45BF4209"/>
    <w:rsid w:val="45C3F653"/>
    <w:rsid w:val="45D96AA2"/>
    <w:rsid w:val="45E1E0CA"/>
    <w:rsid w:val="45E1ED29"/>
    <w:rsid w:val="45F0A69E"/>
    <w:rsid w:val="45FE1B7E"/>
    <w:rsid w:val="460E403A"/>
    <w:rsid w:val="460FA6C0"/>
    <w:rsid w:val="46126E57"/>
    <w:rsid w:val="4619CBC2"/>
    <w:rsid w:val="462153A6"/>
    <w:rsid w:val="4623A83B"/>
    <w:rsid w:val="4624481C"/>
    <w:rsid w:val="4625F657"/>
    <w:rsid w:val="462949C0"/>
    <w:rsid w:val="462C6848"/>
    <w:rsid w:val="4634E312"/>
    <w:rsid w:val="463C4CD4"/>
    <w:rsid w:val="463DD74D"/>
    <w:rsid w:val="4641944E"/>
    <w:rsid w:val="4641F421"/>
    <w:rsid w:val="4644028B"/>
    <w:rsid w:val="464D3ABA"/>
    <w:rsid w:val="464D7A72"/>
    <w:rsid w:val="4653939F"/>
    <w:rsid w:val="465905FE"/>
    <w:rsid w:val="46659287"/>
    <w:rsid w:val="467AD779"/>
    <w:rsid w:val="467E61F5"/>
    <w:rsid w:val="4680E098"/>
    <w:rsid w:val="4681368A"/>
    <w:rsid w:val="468C595D"/>
    <w:rsid w:val="468D5612"/>
    <w:rsid w:val="469C07AE"/>
    <w:rsid w:val="46A3A5BD"/>
    <w:rsid w:val="46A9DFDC"/>
    <w:rsid w:val="46AC3A4D"/>
    <w:rsid w:val="46B07CB4"/>
    <w:rsid w:val="46B45EA8"/>
    <w:rsid w:val="46C67997"/>
    <w:rsid w:val="46C7110F"/>
    <w:rsid w:val="46CD4C3D"/>
    <w:rsid w:val="46E16761"/>
    <w:rsid w:val="46E60DE9"/>
    <w:rsid w:val="46F232F9"/>
    <w:rsid w:val="46F6B4B5"/>
    <w:rsid w:val="47008A86"/>
    <w:rsid w:val="470839A8"/>
    <w:rsid w:val="4716F6D7"/>
    <w:rsid w:val="47252FBC"/>
    <w:rsid w:val="472FF26E"/>
    <w:rsid w:val="47303249"/>
    <w:rsid w:val="47341347"/>
    <w:rsid w:val="4741F9BD"/>
    <w:rsid w:val="474915B3"/>
    <w:rsid w:val="474A42FB"/>
    <w:rsid w:val="474A67F1"/>
    <w:rsid w:val="475EF1D3"/>
    <w:rsid w:val="4760B740"/>
    <w:rsid w:val="476B226E"/>
    <w:rsid w:val="476D1930"/>
    <w:rsid w:val="477FC060"/>
    <w:rsid w:val="478231CA"/>
    <w:rsid w:val="478567F0"/>
    <w:rsid w:val="478F0058"/>
    <w:rsid w:val="47949B93"/>
    <w:rsid w:val="4799230D"/>
    <w:rsid w:val="47AEE873"/>
    <w:rsid w:val="47AF1AA8"/>
    <w:rsid w:val="47B58A2E"/>
    <w:rsid w:val="47B5BD09"/>
    <w:rsid w:val="47BFB1E8"/>
    <w:rsid w:val="47C33742"/>
    <w:rsid w:val="47C5D16D"/>
    <w:rsid w:val="47CE7EBF"/>
    <w:rsid w:val="47D62978"/>
    <w:rsid w:val="47E4866B"/>
    <w:rsid w:val="47E78D3F"/>
    <w:rsid w:val="47F4D60D"/>
    <w:rsid w:val="47F787D0"/>
    <w:rsid w:val="47FB9C6D"/>
    <w:rsid w:val="4800689A"/>
    <w:rsid w:val="48027230"/>
    <w:rsid w:val="480AC19D"/>
    <w:rsid w:val="480D0F3E"/>
    <w:rsid w:val="480F0D8A"/>
    <w:rsid w:val="4810E707"/>
    <w:rsid w:val="4811AEA9"/>
    <w:rsid w:val="48235DDE"/>
    <w:rsid w:val="482C74DF"/>
    <w:rsid w:val="483E1265"/>
    <w:rsid w:val="48481D3F"/>
    <w:rsid w:val="4849504F"/>
    <w:rsid w:val="484CDCF0"/>
    <w:rsid w:val="484F2271"/>
    <w:rsid w:val="4855C2A9"/>
    <w:rsid w:val="4859408B"/>
    <w:rsid w:val="485D9F79"/>
    <w:rsid w:val="485E3F34"/>
    <w:rsid w:val="485E4DE9"/>
    <w:rsid w:val="485F35A4"/>
    <w:rsid w:val="485FD2CB"/>
    <w:rsid w:val="4868D5BD"/>
    <w:rsid w:val="487647B2"/>
    <w:rsid w:val="487726CF"/>
    <w:rsid w:val="48777426"/>
    <w:rsid w:val="48822237"/>
    <w:rsid w:val="4883A724"/>
    <w:rsid w:val="488C8C69"/>
    <w:rsid w:val="488D122F"/>
    <w:rsid w:val="489539A9"/>
    <w:rsid w:val="4896AE9B"/>
    <w:rsid w:val="48A3CC60"/>
    <w:rsid w:val="48A440F7"/>
    <w:rsid w:val="48A96BF6"/>
    <w:rsid w:val="48C3448C"/>
    <w:rsid w:val="48D0FCF3"/>
    <w:rsid w:val="48D15BEB"/>
    <w:rsid w:val="48D404AA"/>
    <w:rsid w:val="48DEE95E"/>
    <w:rsid w:val="48DFFC9B"/>
    <w:rsid w:val="48E5B071"/>
    <w:rsid w:val="490375E3"/>
    <w:rsid w:val="4904954B"/>
    <w:rsid w:val="490D9502"/>
    <w:rsid w:val="4927996B"/>
    <w:rsid w:val="49329E82"/>
    <w:rsid w:val="4936756F"/>
    <w:rsid w:val="493A40F6"/>
    <w:rsid w:val="493C48F9"/>
    <w:rsid w:val="494591CF"/>
    <w:rsid w:val="4945D8CB"/>
    <w:rsid w:val="4953EC18"/>
    <w:rsid w:val="4956574A"/>
    <w:rsid w:val="495B0FB1"/>
    <w:rsid w:val="495CA9C3"/>
    <w:rsid w:val="49604C1F"/>
    <w:rsid w:val="496D1CB4"/>
    <w:rsid w:val="4971929A"/>
    <w:rsid w:val="49851D36"/>
    <w:rsid w:val="49B40ED9"/>
    <w:rsid w:val="49B902A7"/>
    <w:rsid w:val="49BF9B6A"/>
    <w:rsid w:val="49C1DFCA"/>
    <w:rsid w:val="49C24A78"/>
    <w:rsid w:val="49D269CC"/>
    <w:rsid w:val="49D6255A"/>
    <w:rsid w:val="49DA43E5"/>
    <w:rsid w:val="49F961F2"/>
    <w:rsid w:val="4A04518E"/>
    <w:rsid w:val="4A0D5A29"/>
    <w:rsid w:val="4A156206"/>
    <w:rsid w:val="4A18B9EA"/>
    <w:rsid w:val="4A1DC16C"/>
    <w:rsid w:val="4A29C828"/>
    <w:rsid w:val="4A305EE1"/>
    <w:rsid w:val="4A36FC58"/>
    <w:rsid w:val="4A386236"/>
    <w:rsid w:val="4A39A239"/>
    <w:rsid w:val="4A3DFCB7"/>
    <w:rsid w:val="4A3E5CB1"/>
    <w:rsid w:val="4A473617"/>
    <w:rsid w:val="4A4DF9A6"/>
    <w:rsid w:val="4A5F2363"/>
    <w:rsid w:val="4A5F674E"/>
    <w:rsid w:val="4A68E770"/>
    <w:rsid w:val="4A6F1926"/>
    <w:rsid w:val="4A767351"/>
    <w:rsid w:val="4A8374B0"/>
    <w:rsid w:val="4A866E10"/>
    <w:rsid w:val="4A8BA70D"/>
    <w:rsid w:val="4A8C06A4"/>
    <w:rsid w:val="4A93880F"/>
    <w:rsid w:val="4A9C1BC0"/>
    <w:rsid w:val="4A9CA388"/>
    <w:rsid w:val="4AA0DF2D"/>
    <w:rsid w:val="4AA724E1"/>
    <w:rsid w:val="4AA8B7D9"/>
    <w:rsid w:val="4AADEE0F"/>
    <w:rsid w:val="4AADFAC2"/>
    <w:rsid w:val="4AB63FF8"/>
    <w:rsid w:val="4AC02B80"/>
    <w:rsid w:val="4AC662C3"/>
    <w:rsid w:val="4AC717CF"/>
    <w:rsid w:val="4AC7D483"/>
    <w:rsid w:val="4AC99A8F"/>
    <w:rsid w:val="4ACA2F90"/>
    <w:rsid w:val="4ACA9291"/>
    <w:rsid w:val="4AD401A0"/>
    <w:rsid w:val="4AD82F85"/>
    <w:rsid w:val="4ADF1FF1"/>
    <w:rsid w:val="4AE74842"/>
    <w:rsid w:val="4AE91B41"/>
    <w:rsid w:val="4AEA1588"/>
    <w:rsid w:val="4AFC9E6C"/>
    <w:rsid w:val="4B06515F"/>
    <w:rsid w:val="4B097C0C"/>
    <w:rsid w:val="4B0BE565"/>
    <w:rsid w:val="4B11D6FB"/>
    <w:rsid w:val="4B1239F9"/>
    <w:rsid w:val="4B134D0F"/>
    <w:rsid w:val="4B14C592"/>
    <w:rsid w:val="4B21503C"/>
    <w:rsid w:val="4B2240D9"/>
    <w:rsid w:val="4B24CBB4"/>
    <w:rsid w:val="4B2BF781"/>
    <w:rsid w:val="4B358FEC"/>
    <w:rsid w:val="4B446D12"/>
    <w:rsid w:val="4B536D86"/>
    <w:rsid w:val="4B565418"/>
    <w:rsid w:val="4B606D26"/>
    <w:rsid w:val="4B6E4AAD"/>
    <w:rsid w:val="4B70DEAF"/>
    <w:rsid w:val="4B7F248A"/>
    <w:rsid w:val="4B832784"/>
    <w:rsid w:val="4B8A307E"/>
    <w:rsid w:val="4B8C2EBE"/>
    <w:rsid w:val="4B8D23ED"/>
    <w:rsid w:val="4B900252"/>
    <w:rsid w:val="4B9AD885"/>
    <w:rsid w:val="4BA93FCE"/>
    <w:rsid w:val="4BAB4D2B"/>
    <w:rsid w:val="4BB26A4A"/>
    <w:rsid w:val="4BB5820A"/>
    <w:rsid w:val="4BB70CEC"/>
    <w:rsid w:val="4BC62986"/>
    <w:rsid w:val="4BCA8202"/>
    <w:rsid w:val="4BD49321"/>
    <w:rsid w:val="4BDE2B70"/>
    <w:rsid w:val="4BE9E328"/>
    <w:rsid w:val="4BEFD237"/>
    <w:rsid w:val="4BFD14AF"/>
    <w:rsid w:val="4C0B2075"/>
    <w:rsid w:val="4C0B5346"/>
    <w:rsid w:val="4C0E1E4A"/>
    <w:rsid w:val="4C13E43F"/>
    <w:rsid w:val="4C14C659"/>
    <w:rsid w:val="4C15CB6A"/>
    <w:rsid w:val="4C270641"/>
    <w:rsid w:val="4C2A4A15"/>
    <w:rsid w:val="4C36B914"/>
    <w:rsid w:val="4C3C7A90"/>
    <w:rsid w:val="4C411277"/>
    <w:rsid w:val="4C4C54A1"/>
    <w:rsid w:val="4C52D9EB"/>
    <w:rsid w:val="4C693656"/>
    <w:rsid w:val="4C6F10E2"/>
    <w:rsid w:val="4C72CA7B"/>
    <w:rsid w:val="4C849CCA"/>
    <w:rsid w:val="4C8863D9"/>
    <w:rsid w:val="4C8C74B4"/>
    <w:rsid w:val="4C8DF80C"/>
    <w:rsid w:val="4C914FF0"/>
    <w:rsid w:val="4C9563C6"/>
    <w:rsid w:val="4C975569"/>
    <w:rsid w:val="4C98DB2B"/>
    <w:rsid w:val="4CC888B6"/>
    <w:rsid w:val="4CCE6B24"/>
    <w:rsid w:val="4CDCDF57"/>
    <w:rsid w:val="4CE5E9BF"/>
    <w:rsid w:val="4CEFA74A"/>
    <w:rsid w:val="4CEFC80D"/>
    <w:rsid w:val="4CF5D900"/>
    <w:rsid w:val="4CFC0AB6"/>
    <w:rsid w:val="4CFF494E"/>
    <w:rsid w:val="4D00B535"/>
    <w:rsid w:val="4D00C2A6"/>
    <w:rsid w:val="4D021111"/>
    <w:rsid w:val="4D0671C7"/>
    <w:rsid w:val="4D10F57E"/>
    <w:rsid w:val="4D1575A5"/>
    <w:rsid w:val="4D1603A8"/>
    <w:rsid w:val="4D166FEC"/>
    <w:rsid w:val="4D19FEEB"/>
    <w:rsid w:val="4D23F6B8"/>
    <w:rsid w:val="4D2A2658"/>
    <w:rsid w:val="4D2A5E66"/>
    <w:rsid w:val="4D39F076"/>
    <w:rsid w:val="4D3F847C"/>
    <w:rsid w:val="4D447CAA"/>
    <w:rsid w:val="4D45625B"/>
    <w:rsid w:val="4D49818B"/>
    <w:rsid w:val="4D49AD42"/>
    <w:rsid w:val="4D50C58B"/>
    <w:rsid w:val="4D5D5C53"/>
    <w:rsid w:val="4D6B8381"/>
    <w:rsid w:val="4D6CB8BF"/>
    <w:rsid w:val="4D81B038"/>
    <w:rsid w:val="4D829E95"/>
    <w:rsid w:val="4D839BAF"/>
    <w:rsid w:val="4D8BBA6C"/>
    <w:rsid w:val="4D8DE3A3"/>
    <w:rsid w:val="4D9194CD"/>
    <w:rsid w:val="4D948752"/>
    <w:rsid w:val="4D979696"/>
    <w:rsid w:val="4D9ABF9C"/>
    <w:rsid w:val="4D9E46F8"/>
    <w:rsid w:val="4DA351E4"/>
    <w:rsid w:val="4DA653AA"/>
    <w:rsid w:val="4DAA0854"/>
    <w:rsid w:val="4DB9BAD1"/>
    <w:rsid w:val="4DBC34B2"/>
    <w:rsid w:val="4DBDF775"/>
    <w:rsid w:val="4DC2DD1D"/>
    <w:rsid w:val="4DCABC0B"/>
    <w:rsid w:val="4DD343A3"/>
    <w:rsid w:val="4DDB71CE"/>
    <w:rsid w:val="4DF3D383"/>
    <w:rsid w:val="4DFE548E"/>
    <w:rsid w:val="4E14DD42"/>
    <w:rsid w:val="4E1D0AF2"/>
    <w:rsid w:val="4E25D7F1"/>
    <w:rsid w:val="4E28886A"/>
    <w:rsid w:val="4E31B008"/>
    <w:rsid w:val="4E38414C"/>
    <w:rsid w:val="4E3D0B32"/>
    <w:rsid w:val="4E454317"/>
    <w:rsid w:val="4E488FA4"/>
    <w:rsid w:val="4E725458"/>
    <w:rsid w:val="4E742A65"/>
    <w:rsid w:val="4E74B18E"/>
    <w:rsid w:val="4E7FF818"/>
    <w:rsid w:val="4E803407"/>
    <w:rsid w:val="4E821FBA"/>
    <w:rsid w:val="4E855708"/>
    <w:rsid w:val="4E8EB5D0"/>
    <w:rsid w:val="4E98FA57"/>
    <w:rsid w:val="4EA38743"/>
    <w:rsid w:val="4EA41DC0"/>
    <w:rsid w:val="4EA5EB6F"/>
    <w:rsid w:val="4EB52D3C"/>
    <w:rsid w:val="4EB9920F"/>
    <w:rsid w:val="4EBB6C87"/>
    <w:rsid w:val="4EC4B62F"/>
    <w:rsid w:val="4EC6242F"/>
    <w:rsid w:val="4EC6A57C"/>
    <w:rsid w:val="4ECA4A4A"/>
    <w:rsid w:val="4ECAB399"/>
    <w:rsid w:val="4ED03131"/>
    <w:rsid w:val="4ED2DC98"/>
    <w:rsid w:val="4ED5C94F"/>
    <w:rsid w:val="4EDA5AD9"/>
    <w:rsid w:val="4EE002BA"/>
    <w:rsid w:val="4EE55D7F"/>
    <w:rsid w:val="4EEDCF95"/>
    <w:rsid w:val="4EF7208E"/>
    <w:rsid w:val="4EFED875"/>
    <w:rsid w:val="4F05DAC0"/>
    <w:rsid w:val="4F09927B"/>
    <w:rsid w:val="4F205AAC"/>
    <w:rsid w:val="4F489F1A"/>
    <w:rsid w:val="4F492C39"/>
    <w:rsid w:val="4F49C4A4"/>
    <w:rsid w:val="4F6941BF"/>
    <w:rsid w:val="4F73DDE9"/>
    <w:rsid w:val="4F7F1BC0"/>
    <w:rsid w:val="4F877261"/>
    <w:rsid w:val="4F88C653"/>
    <w:rsid w:val="4F8D91FA"/>
    <w:rsid w:val="4F90152E"/>
    <w:rsid w:val="4F963F73"/>
    <w:rsid w:val="4FA2B244"/>
    <w:rsid w:val="4FB490C8"/>
    <w:rsid w:val="4FB50FB7"/>
    <w:rsid w:val="4FB6963F"/>
    <w:rsid w:val="4FB6E0B7"/>
    <w:rsid w:val="4FBB1C8D"/>
    <w:rsid w:val="4FBB2D4C"/>
    <w:rsid w:val="4FBEDAF0"/>
    <w:rsid w:val="4FC6BA80"/>
    <w:rsid w:val="4FD35456"/>
    <w:rsid w:val="4FE10CFD"/>
    <w:rsid w:val="4FE21655"/>
    <w:rsid w:val="4FE90420"/>
    <w:rsid w:val="4FEFB81E"/>
    <w:rsid w:val="5000CFD4"/>
    <w:rsid w:val="5007B58A"/>
    <w:rsid w:val="500A0FD0"/>
    <w:rsid w:val="500C99CC"/>
    <w:rsid w:val="5011AC7F"/>
    <w:rsid w:val="50137962"/>
    <w:rsid w:val="50181711"/>
    <w:rsid w:val="5019EC9E"/>
    <w:rsid w:val="50218EE0"/>
    <w:rsid w:val="5027153B"/>
    <w:rsid w:val="502BAAB0"/>
    <w:rsid w:val="503196D7"/>
    <w:rsid w:val="50331400"/>
    <w:rsid w:val="503BFC29"/>
    <w:rsid w:val="5045F71D"/>
    <w:rsid w:val="5058D4F8"/>
    <w:rsid w:val="505E4C15"/>
    <w:rsid w:val="50608837"/>
    <w:rsid w:val="50661929"/>
    <w:rsid w:val="507358E3"/>
    <w:rsid w:val="507DB31E"/>
    <w:rsid w:val="508B7C68"/>
    <w:rsid w:val="508EDAC7"/>
    <w:rsid w:val="5090B051"/>
    <w:rsid w:val="509212C5"/>
    <w:rsid w:val="50961BCA"/>
    <w:rsid w:val="509E25C7"/>
    <w:rsid w:val="50A424DB"/>
    <w:rsid w:val="50AA14AF"/>
    <w:rsid w:val="50B4611F"/>
    <w:rsid w:val="50B6A9A1"/>
    <w:rsid w:val="50BBD849"/>
    <w:rsid w:val="50C5122D"/>
    <w:rsid w:val="50C5AD7B"/>
    <w:rsid w:val="50C6BA56"/>
    <w:rsid w:val="50C9C5D4"/>
    <w:rsid w:val="50CF23A4"/>
    <w:rsid w:val="50EA614A"/>
    <w:rsid w:val="50EBE470"/>
    <w:rsid w:val="50F8BC8F"/>
    <w:rsid w:val="50FDA8D3"/>
    <w:rsid w:val="51043A07"/>
    <w:rsid w:val="5105104B"/>
    <w:rsid w:val="510AA46A"/>
    <w:rsid w:val="510CFBB6"/>
    <w:rsid w:val="51200757"/>
    <w:rsid w:val="51255DBA"/>
    <w:rsid w:val="512F2AA8"/>
    <w:rsid w:val="5145D2DA"/>
    <w:rsid w:val="51463DFC"/>
    <w:rsid w:val="514BB1C8"/>
    <w:rsid w:val="514DF236"/>
    <w:rsid w:val="5159DF92"/>
    <w:rsid w:val="515B9096"/>
    <w:rsid w:val="516441E1"/>
    <w:rsid w:val="5165A2A7"/>
    <w:rsid w:val="5166FCF2"/>
    <w:rsid w:val="516BFC67"/>
    <w:rsid w:val="517B7B9D"/>
    <w:rsid w:val="51820762"/>
    <w:rsid w:val="51912061"/>
    <w:rsid w:val="519A280D"/>
    <w:rsid w:val="519BF9D9"/>
    <w:rsid w:val="519E46CD"/>
    <w:rsid w:val="51AF770C"/>
    <w:rsid w:val="51B0755A"/>
    <w:rsid w:val="51B2B9BE"/>
    <w:rsid w:val="51B59CC2"/>
    <w:rsid w:val="51C3BB49"/>
    <w:rsid w:val="51C774C3"/>
    <w:rsid w:val="51E7B0AC"/>
    <w:rsid w:val="51ED7912"/>
    <w:rsid w:val="51F1D5B6"/>
    <w:rsid w:val="51FB08E5"/>
    <w:rsid w:val="51FC8C5C"/>
    <w:rsid w:val="51FD5A87"/>
    <w:rsid w:val="5200A83B"/>
    <w:rsid w:val="5202F90C"/>
    <w:rsid w:val="52032841"/>
    <w:rsid w:val="520870AF"/>
    <w:rsid w:val="520EF94D"/>
    <w:rsid w:val="520F9740"/>
    <w:rsid w:val="5212886A"/>
    <w:rsid w:val="5214B9D9"/>
    <w:rsid w:val="52227F03"/>
    <w:rsid w:val="522C7A31"/>
    <w:rsid w:val="52307B45"/>
    <w:rsid w:val="523154B3"/>
    <w:rsid w:val="5233DDEE"/>
    <w:rsid w:val="52343E33"/>
    <w:rsid w:val="52354AA3"/>
    <w:rsid w:val="523898B3"/>
    <w:rsid w:val="524D0BB6"/>
    <w:rsid w:val="525667AD"/>
    <w:rsid w:val="5257E82E"/>
    <w:rsid w:val="52629A43"/>
    <w:rsid w:val="5268154C"/>
    <w:rsid w:val="526AC29C"/>
    <w:rsid w:val="527254CB"/>
    <w:rsid w:val="527C1383"/>
    <w:rsid w:val="5287B314"/>
    <w:rsid w:val="528D8374"/>
    <w:rsid w:val="52917CF9"/>
    <w:rsid w:val="52924597"/>
    <w:rsid w:val="5299F040"/>
    <w:rsid w:val="529F0E49"/>
    <w:rsid w:val="52A72212"/>
    <w:rsid w:val="52B73913"/>
    <w:rsid w:val="52B93E50"/>
    <w:rsid w:val="52BE653E"/>
    <w:rsid w:val="52CD14E0"/>
    <w:rsid w:val="52D04D7C"/>
    <w:rsid w:val="52D7AE8A"/>
    <w:rsid w:val="52DB3EB4"/>
    <w:rsid w:val="52E8A889"/>
    <w:rsid w:val="5301127E"/>
    <w:rsid w:val="5309CED7"/>
    <w:rsid w:val="530CC336"/>
    <w:rsid w:val="532758E0"/>
    <w:rsid w:val="53304412"/>
    <w:rsid w:val="533C7DB8"/>
    <w:rsid w:val="533D64A7"/>
    <w:rsid w:val="534423AA"/>
    <w:rsid w:val="5348CDBE"/>
    <w:rsid w:val="5348D68C"/>
    <w:rsid w:val="53547DA0"/>
    <w:rsid w:val="53561137"/>
    <w:rsid w:val="535A5844"/>
    <w:rsid w:val="536F53DC"/>
    <w:rsid w:val="537F2DF8"/>
    <w:rsid w:val="538B9117"/>
    <w:rsid w:val="538D2B6B"/>
    <w:rsid w:val="538E20F9"/>
    <w:rsid w:val="53A081A1"/>
    <w:rsid w:val="53AC547D"/>
    <w:rsid w:val="53AD6AD3"/>
    <w:rsid w:val="53B36815"/>
    <w:rsid w:val="53BA1722"/>
    <w:rsid w:val="53C9ED40"/>
    <w:rsid w:val="53D8DE79"/>
    <w:rsid w:val="53E7F733"/>
    <w:rsid w:val="53E941CE"/>
    <w:rsid w:val="53EA265F"/>
    <w:rsid w:val="53F10C04"/>
    <w:rsid w:val="53F28FD7"/>
    <w:rsid w:val="5405FA1D"/>
    <w:rsid w:val="54062CEE"/>
    <w:rsid w:val="541AA74D"/>
    <w:rsid w:val="542612E6"/>
    <w:rsid w:val="542D0EC1"/>
    <w:rsid w:val="5432EDF3"/>
    <w:rsid w:val="54360B0B"/>
    <w:rsid w:val="5440E40A"/>
    <w:rsid w:val="54439254"/>
    <w:rsid w:val="544F4B8A"/>
    <w:rsid w:val="54506EA4"/>
    <w:rsid w:val="545160BC"/>
    <w:rsid w:val="5458277D"/>
    <w:rsid w:val="54582BB7"/>
    <w:rsid w:val="54592BF3"/>
    <w:rsid w:val="545BE46C"/>
    <w:rsid w:val="545E28CE"/>
    <w:rsid w:val="54654DD9"/>
    <w:rsid w:val="5467E4A9"/>
    <w:rsid w:val="5490E0C6"/>
    <w:rsid w:val="5493F51D"/>
    <w:rsid w:val="54A14395"/>
    <w:rsid w:val="54A9BCFF"/>
    <w:rsid w:val="54A9EC70"/>
    <w:rsid w:val="54AA6FDB"/>
    <w:rsid w:val="54AC653F"/>
    <w:rsid w:val="54B26217"/>
    <w:rsid w:val="54BFD45D"/>
    <w:rsid w:val="54C031BA"/>
    <w:rsid w:val="54C2DDFA"/>
    <w:rsid w:val="54C73CDB"/>
    <w:rsid w:val="54CD59C2"/>
    <w:rsid w:val="54CECD58"/>
    <w:rsid w:val="54D80C23"/>
    <w:rsid w:val="54D978EC"/>
    <w:rsid w:val="54E1A5C7"/>
    <w:rsid w:val="54E52BC4"/>
    <w:rsid w:val="54E7C9E1"/>
    <w:rsid w:val="54EA0071"/>
    <w:rsid w:val="54F22B87"/>
    <w:rsid w:val="54FDE24B"/>
    <w:rsid w:val="550B2BAB"/>
    <w:rsid w:val="55270C33"/>
    <w:rsid w:val="552F851A"/>
    <w:rsid w:val="5537B185"/>
    <w:rsid w:val="5542232E"/>
    <w:rsid w:val="5552C594"/>
    <w:rsid w:val="55606CB7"/>
    <w:rsid w:val="556FA1FD"/>
    <w:rsid w:val="557821E3"/>
    <w:rsid w:val="557EE97A"/>
    <w:rsid w:val="5587C188"/>
    <w:rsid w:val="559840B7"/>
    <w:rsid w:val="55A2C022"/>
    <w:rsid w:val="55ADC526"/>
    <w:rsid w:val="55ADF0DD"/>
    <w:rsid w:val="55BBF35A"/>
    <w:rsid w:val="55BEE6C1"/>
    <w:rsid w:val="55BF86CF"/>
    <w:rsid w:val="55C007AF"/>
    <w:rsid w:val="55C646CB"/>
    <w:rsid w:val="55CF1FA1"/>
    <w:rsid w:val="55CF7F59"/>
    <w:rsid w:val="55E40441"/>
    <w:rsid w:val="55E90BF0"/>
    <w:rsid w:val="56080FA1"/>
    <w:rsid w:val="56083CEA"/>
    <w:rsid w:val="5613A7CE"/>
    <w:rsid w:val="561838DE"/>
    <w:rsid w:val="561C6F48"/>
    <w:rsid w:val="56296DAC"/>
    <w:rsid w:val="5632235E"/>
    <w:rsid w:val="5632A8C8"/>
    <w:rsid w:val="56388C02"/>
    <w:rsid w:val="564AE8BA"/>
    <w:rsid w:val="56503C9B"/>
    <w:rsid w:val="565860F8"/>
    <w:rsid w:val="566718FE"/>
    <w:rsid w:val="566FA11E"/>
    <w:rsid w:val="566FE08E"/>
    <w:rsid w:val="5672FF7D"/>
    <w:rsid w:val="5677A5EF"/>
    <w:rsid w:val="56787D01"/>
    <w:rsid w:val="567AF49E"/>
    <w:rsid w:val="56810EC6"/>
    <w:rsid w:val="56821E98"/>
    <w:rsid w:val="5682C5DB"/>
    <w:rsid w:val="5688FB51"/>
    <w:rsid w:val="56926CBE"/>
    <w:rsid w:val="5697BEFB"/>
    <w:rsid w:val="56989376"/>
    <w:rsid w:val="56A5CC29"/>
    <w:rsid w:val="56A95AFB"/>
    <w:rsid w:val="56B0DE2E"/>
    <w:rsid w:val="56BF6D13"/>
    <w:rsid w:val="56C1BA09"/>
    <w:rsid w:val="56D6DBE5"/>
    <w:rsid w:val="56DC4F28"/>
    <w:rsid w:val="56E94C27"/>
    <w:rsid w:val="56EA96C2"/>
    <w:rsid w:val="56ED1FFD"/>
    <w:rsid w:val="56EE530A"/>
    <w:rsid w:val="56F27DCD"/>
    <w:rsid w:val="56F79E2C"/>
    <w:rsid w:val="56FC8AA0"/>
    <w:rsid w:val="56FC9567"/>
    <w:rsid w:val="57141E9A"/>
    <w:rsid w:val="57229D65"/>
    <w:rsid w:val="572FC02E"/>
    <w:rsid w:val="57339458"/>
    <w:rsid w:val="573D6976"/>
    <w:rsid w:val="5742A7BC"/>
    <w:rsid w:val="574EFE16"/>
    <w:rsid w:val="57554359"/>
    <w:rsid w:val="575B9331"/>
    <w:rsid w:val="57613B60"/>
    <w:rsid w:val="576BCDCC"/>
    <w:rsid w:val="576D0325"/>
    <w:rsid w:val="576E3832"/>
    <w:rsid w:val="577C9706"/>
    <w:rsid w:val="577FC8CC"/>
    <w:rsid w:val="57859B6A"/>
    <w:rsid w:val="578DB830"/>
    <w:rsid w:val="579FCF73"/>
    <w:rsid w:val="57A608F6"/>
    <w:rsid w:val="57AFFB6D"/>
    <w:rsid w:val="57B6946B"/>
    <w:rsid w:val="57C7EA10"/>
    <w:rsid w:val="57D1A245"/>
    <w:rsid w:val="57D2BD39"/>
    <w:rsid w:val="57D3E191"/>
    <w:rsid w:val="57DA3E68"/>
    <w:rsid w:val="57E06436"/>
    <w:rsid w:val="57E2265C"/>
    <w:rsid w:val="57ECB65A"/>
    <w:rsid w:val="57F1055E"/>
    <w:rsid w:val="57F3741A"/>
    <w:rsid w:val="58004E16"/>
    <w:rsid w:val="5801E034"/>
    <w:rsid w:val="5802B5BD"/>
    <w:rsid w:val="581559BB"/>
    <w:rsid w:val="5819AF0E"/>
    <w:rsid w:val="5820122B"/>
    <w:rsid w:val="582390AE"/>
    <w:rsid w:val="5829F294"/>
    <w:rsid w:val="58317E95"/>
    <w:rsid w:val="583AD779"/>
    <w:rsid w:val="583B12C7"/>
    <w:rsid w:val="5849246E"/>
    <w:rsid w:val="585E6648"/>
    <w:rsid w:val="585F2C18"/>
    <w:rsid w:val="58635570"/>
    <w:rsid w:val="58693DA4"/>
    <w:rsid w:val="586CA16D"/>
    <w:rsid w:val="586E673B"/>
    <w:rsid w:val="5871C59A"/>
    <w:rsid w:val="5872FE80"/>
    <w:rsid w:val="588332FF"/>
    <w:rsid w:val="588D446B"/>
    <w:rsid w:val="5897FC09"/>
    <w:rsid w:val="589DF9CE"/>
    <w:rsid w:val="589EC425"/>
    <w:rsid w:val="589F8905"/>
    <w:rsid w:val="58A97329"/>
    <w:rsid w:val="58CD247A"/>
    <w:rsid w:val="58DA18E3"/>
    <w:rsid w:val="58E5F2D9"/>
    <w:rsid w:val="58F2025D"/>
    <w:rsid w:val="58F73755"/>
    <w:rsid w:val="58F95138"/>
    <w:rsid w:val="58FCAF54"/>
    <w:rsid w:val="5911442A"/>
    <w:rsid w:val="5914A4A4"/>
    <w:rsid w:val="59184E0E"/>
    <w:rsid w:val="5928CE29"/>
    <w:rsid w:val="592F20A2"/>
    <w:rsid w:val="59332E36"/>
    <w:rsid w:val="59397118"/>
    <w:rsid w:val="593E41AC"/>
    <w:rsid w:val="5945AE5D"/>
    <w:rsid w:val="59482258"/>
    <w:rsid w:val="59599FB0"/>
    <w:rsid w:val="595D3200"/>
    <w:rsid w:val="59609991"/>
    <w:rsid w:val="5961E22D"/>
    <w:rsid w:val="5978A3B8"/>
    <w:rsid w:val="598074C6"/>
    <w:rsid w:val="5984EF53"/>
    <w:rsid w:val="59983CB0"/>
    <w:rsid w:val="599DD6B0"/>
    <w:rsid w:val="599F67B4"/>
    <w:rsid w:val="59B1A6A9"/>
    <w:rsid w:val="59B366C3"/>
    <w:rsid w:val="59B42348"/>
    <w:rsid w:val="59B4AF5C"/>
    <w:rsid w:val="59B60952"/>
    <w:rsid w:val="59BBA70F"/>
    <w:rsid w:val="59BC6588"/>
    <w:rsid w:val="59BD456D"/>
    <w:rsid w:val="59C0049B"/>
    <w:rsid w:val="59C2055E"/>
    <w:rsid w:val="59C397E6"/>
    <w:rsid w:val="59CFB9AA"/>
    <w:rsid w:val="59DECA95"/>
    <w:rsid w:val="59E5BF18"/>
    <w:rsid w:val="59ECAF84"/>
    <w:rsid w:val="59F0251A"/>
    <w:rsid w:val="59FE2DD2"/>
    <w:rsid w:val="59FEAEB3"/>
    <w:rsid w:val="5A0572E3"/>
    <w:rsid w:val="5A0DE2BD"/>
    <w:rsid w:val="5A11EA66"/>
    <w:rsid w:val="5A1C6F8D"/>
    <w:rsid w:val="5A231C15"/>
    <w:rsid w:val="5A25A318"/>
    <w:rsid w:val="5A2CFF62"/>
    <w:rsid w:val="5A306CEB"/>
    <w:rsid w:val="5A3B5DC6"/>
    <w:rsid w:val="5A3BEC92"/>
    <w:rsid w:val="5A41DD2A"/>
    <w:rsid w:val="5A4B27E4"/>
    <w:rsid w:val="5A57E20B"/>
    <w:rsid w:val="5A6EB657"/>
    <w:rsid w:val="5A7AD1C2"/>
    <w:rsid w:val="5A7B08E9"/>
    <w:rsid w:val="5A880466"/>
    <w:rsid w:val="5A8B58DA"/>
    <w:rsid w:val="5A8BFB86"/>
    <w:rsid w:val="5A9008A8"/>
    <w:rsid w:val="5A915D38"/>
    <w:rsid w:val="5A96B0CD"/>
    <w:rsid w:val="5AA61F07"/>
    <w:rsid w:val="5AB4DFF0"/>
    <w:rsid w:val="5AB865AD"/>
    <w:rsid w:val="5AC65893"/>
    <w:rsid w:val="5AC83BA1"/>
    <w:rsid w:val="5AC84A1F"/>
    <w:rsid w:val="5AD05F1A"/>
    <w:rsid w:val="5AD40819"/>
    <w:rsid w:val="5AD6FC4E"/>
    <w:rsid w:val="5ADD7902"/>
    <w:rsid w:val="5AE5547A"/>
    <w:rsid w:val="5AEE27F4"/>
    <w:rsid w:val="5AF896A0"/>
    <w:rsid w:val="5AFAA5F1"/>
    <w:rsid w:val="5AFEF35A"/>
    <w:rsid w:val="5B04A5A7"/>
    <w:rsid w:val="5B04D642"/>
    <w:rsid w:val="5B07E8A3"/>
    <w:rsid w:val="5B095D3F"/>
    <w:rsid w:val="5B0E2EAF"/>
    <w:rsid w:val="5B1C536B"/>
    <w:rsid w:val="5B25C9E8"/>
    <w:rsid w:val="5B2788E2"/>
    <w:rsid w:val="5B30C8F4"/>
    <w:rsid w:val="5B313FF2"/>
    <w:rsid w:val="5B31B532"/>
    <w:rsid w:val="5B31C21D"/>
    <w:rsid w:val="5B34B763"/>
    <w:rsid w:val="5B456DF0"/>
    <w:rsid w:val="5B5D0F7F"/>
    <w:rsid w:val="5B653F9A"/>
    <w:rsid w:val="5B70F7E2"/>
    <w:rsid w:val="5B76727E"/>
    <w:rsid w:val="5B7C656D"/>
    <w:rsid w:val="5B83D0C4"/>
    <w:rsid w:val="5B8650B5"/>
    <w:rsid w:val="5B8E87E6"/>
    <w:rsid w:val="5B8ED25E"/>
    <w:rsid w:val="5B975CDC"/>
    <w:rsid w:val="5B9EA5ED"/>
    <w:rsid w:val="5BA28F02"/>
    <w:rsid w:val="5BB3963C"/>
    <w:rsid w:val="5BC85035"/>
    <w:rsid w:val="5BCA76E4"/>
    <w:rsid w:val="5BD0068A"/>
    <w:rsid w:val="5BE14885"/>
    <w:rsid w:val="5BE9B451"/>
    <w:rsid w:val="5BED9618"/>
    <w:rsid w:val="5C0093FE"/>
    <w:rsid w:val="5C0576FC"/>
    <w:rsid w:val="5C0D4724"/>
    <w:rsid w:val="5C17AAC8"/>
    <w:rsid w:val="5C1AD24C"/>
    <w:rsid w:val="5C295903"/>
    <w:rsid w:val="5C2B0911"/>
    <w:rsid w:val="5C34A34A"/>
    <w:rsid w:val="5C3599DF"/>
    <w:rsid w:val="5C3A842A"/>
    <w:rsid w:val="5C530150"/>
    <w:rsid w:val="5C53AA6C"/>
    <w:rsid w:val="5C5E6082"/>
    <w:rsid w:val="5C655BB5"/>
    <w:rsid w:val="5C6EFEF8"/>
    <w:rsid w:val="5C780246"/>
    <w:rsid w:val="5C7986CC"/>
    <w:rsid w:val="5C84F292"/>
    <w:rsid w:val="5C8775FC"/>
    <w:rsid w:val="5C8B2C55"/>
    <w:rsid w:val="5C90D362"/>
    <w:rsid w:val="5C9B9158"/>
    <w:rsid w:val="5CA87A71"/>
    <w:rsid w:val="5CB15FB6"/>
    <w:rsid w:val="5CB1F95D"/>
    <w:rsid w:val="5CB62425"/>
    <w:rsid w:val="5CC20315"/>
    <w:rsid w:val="5CD8BB84"/>
    <w:rsid w:val="5CD991B2"/>
    <w:rsid w:val="5CDDDB4C"/>
    <w:rsid w:val="5CEDD1A7"/>
    <w:rsid w:val="5CF1B171"/>
    <w:rsid w:val="5CF41988"/>
    <w:rsid w:val="5CF5CA21"/>
    <w:rsid w:val="5CFABDD6"/>
    <w:rsid w:val="5CFD67D4"/>
    <w:rsid w:val="5CFEDB1D"/>
    <w:rsid w:val="5D00729F"/>
    <w:rsid w:val="5D06C0B8"/>
    <w:rsid w:val="5D10396C"/>
    <w:rsid w:val="5D133890"/>
    <w:rsid w:val="5D134017"/>
    <w:rsid w:val="5D208708"/>
    <w:rsid w:val="5D22D23B"/>
    <w:rsid w:val="5D28B777"/>
    <w:rsid w:val="5D2A4F87"/>
    <w:rsid w:val="5D2D1A29"/>
    <w:rsid w:val="5D2E0FB4"/>
    <w:rsid w:val="5D3034C3"/>
    <w:rsid w:val="5D338D1E"/>
    <w:rsid w:val="5D3916F2"/>
    <w:rsid w:val="5D49ADAB"/>
    <w:rsid w:val="5D4D1EE8"/>
    <w:rsid w:val="5D5378D7"/>
    <w:rsid w:val="5D5992FB"/>
    <w:rsid w:val="5D5A8E66"/>
    <w:rsid w:val="5D6F2974"/>
    <w:rsid w:val="5D726710"/>
    <w:rsid w:val="5D79EEF4"/>
    <w:rsid w:val="5D8637D5"/>
    <w:rsid w:val="5D8B3A50"/>
    <w:rsid w:val="5D903325"/>
    <w:rsid w:val="5D921B32"/>
    <w:rsid w:val="5D9A4741"/>
    <w:rsid w:val="5D9A9144"/>
    <w:rsid w:val="5D9CA89E"/>
    <w:rsid w:val="5D9D2E09"/>
    <w:rsid w:val="5DAB5ADA"/>
    <w:rsid w:val="5DBEC7C6"/>
    <w:rsid w:val="5DCACA1D"/>
    <w:rsid w:val="5DD0501E"/>
    <w:rsid w:val="5DD5430D"/>
    <w:rsid w:val="5DED2EB8"/>
    <w:rsid w:val="5DF2317E"/>
    <w:rsid w:val="5DF26CCC"/>
    <w:rsid w:val="5DFABD64"/>
    <w:rsid w:val="5E08D71B"/>
    <w:rsid w:val="5E0B43B0"/>
    <w:rsid w:val="5E0CAD92"/>
    <w:rsid w:val="5E0F5411"/>
    <w:rsid w:val="5E16EAC4"/>
    <w:rsid w:val="5E1B72B8"/>
    <w:rsid w:val="5E21A8E7"/>
    <w:rsid w:val="5E24EF00"/>
    <w:rsid w:val="5E28BD13"/>
    <w:rsid w:val="5E3065BA"/>
    <w:rsid w:val="5E3763BB"/>
    <w:rsid w:val="5E4308CD"/>
    <w:rsid w:val="5E433FBB"/>
    <w:rsid w:val="5E46CD3E"/>
    <w:rsid w:val="5E4CC721"/>
    <w:rsid w:val="5E504BB2"/>
    <w:rsid w:val="5E530E39"/>
    <w:rsid w:val="5E57298F"/>
    <w:rsid w:val="5E58C996"/>
    <w:rsid w:val="5E5A07F3"/>
    <w:rsid w:val="5E5DA0A5"/>
    <w:rsid w:val="5E6111DB"/>
    <w:rsid w:val="5E616368"/>
    <w:rsid w:val="5E6ED55D"/>
    <w:rsid w:val="5E704E50"/>
    <w:rsid w:val="5E780A25"/>
    <w:rsid w:val="5E8A5E8F"/>
    <w:rsid w:val="5E8B41FE"/>
    <w:rsid w:val="5E8D97DF"/>
    <w:rsid w:val="5EA392BC"/>
    <w:rsid w:val="5EA747C1"/>
    <w:rsid w:val="5EA80BFC"/>
    <w:rsid w:val="5EA96C55"/>
    <w:rsid w:val="5EBB66AE"/>
    <w:rsid w:val="5EBC893F"/>
    <w:rsid w:val="5EC84C89"/>
    <w:rsid w:val="5ED62822"/>
    <w:rsid w:val="5EDAD108"/>
    <w:rsid w:val="5EDF25C0"/>
    <w:rsid w:val="5EED6792"/>
    <w:rsid w:val="5EF34547"/>
    <w:rsid w:val="5EFC4B9D"/>
    <w:rsid w:val="5EFE3C5A"/>
    <w:rsid w:val="5F0EDB9C"/>
    <w:rsid w:val="5F173B48"/>
    <w:rsid w:val="5F175F9F"/>
    <w:rsid w:val="5F1C6BDD"/>
    <w:rsid w:val="5F1E139D"/>
    <w:rsid w:val="5F1F753A"/>
    <w:rsid w:val="5F2030BB"/>
    <w:rsid w:val="5F2BA1AD"/>
    <w:rsid w:val="5F31D7AF"/>
    <w:rsid w:val="5F446239"/>
    <w:rsid w:val="5F4CCBF4"/>
    <w:rsid w:val="5F52C45E"/>
    <w:rsid w:val="5F64CD9B"/>
    <w:rsid w:val="5F6DC789"/>
    <w:rsid w:val="5F6F4924"/>
    <w:rsid w:val="5F719D24"/>
    <w:rsid w:val="5F737F37"/>
    <w:rsid w:val="5F79AD80"/>
    <w:rsid w:val="5F7B255F"/>
    <w:rsid w:val="5F7C4B00"/>
    <w:rsid w:val="5F7E07D7"/>
    <w:rsid w:val="5F8161D6"/>
    <w:rsid w:val="5F8C6A2B"/>
    <w:rsid w:val="5F978B79"/>
    <w:rsid w:val="5FBDBDCB"/>
    <w:rsid w:val="5FBDCCC3"/>
    <w:rsid w:val="5FCB5EC8"/>
    <w:rsid w:val="5FCCD82B"/>
    <w:rsid w:val="5FCFF4C1"/>
    <w:rsid w:val="5FD9E996"/>
    <w:rsid w:val="5FDBBCEE"/>
    <w:rsid w:val="5FDC0912"/>
    <w:rsid w:val="5FDF43E0"/>
    <w:rsid w:val="5FE02FD8"/>
    <w:rsid w:val="5FEAE076"/>
    <w:rsid w:val="5FEBC204"/>
    <w:rsid w:val="600EA0BE"/>
    <w:rsid w:val="600FCC44"/>
    <w:rsid w:val="601074CF"/>
    <w:rsid w:val="60111A32"/>
    <w:rsid w:val="60115448"/>
    <w:rsid w:val="6014F836"/>
    <w:rsid w:val="60171ADC"/>
    <w:rsid w:val="6018F257"/>
    <w:rsid w:val="6019EE76"/>
    <w:rsid w:val="6023F4C7"/>
    <w:rsid w:val="6026E95A"/>
    <w:rsid w:val="603DFCD3"/>
    <w:rsid w:val="603E0EB2"/>
    <w:rsid w:val="60473FD5"/>
    <w:rsid w:val="604895BA"/>
    <w:rsid w:val="604901D7"/>
    <w:rsid w:val="60511CE7"/>
    <w:rsid w:val="60558505"/>
    <w:rsid w:val="6057370F"/>
    <w:rsid w:val="6059DB85"/>
    <w:rsid w:val="605FFE2A"/>
    <w:rsid w:val="6061B8BC"/>
    <w:rsid w:val="60626A69"/>
    <w:rsid w:val="6075A260"/>
    <w:rsid w:val="60793599"/>
    <w:rsid w:val="607EAA9A"/>
    <w:rsid w:val="60809C5D"/>
    <w:rsid w:val="6080BD20"/>
    <w:rsid w:val="608449F0"/>
    <w:rsid w:val="608F7D0D"/>
    <w:rsid w:val="60A2B061"/>
    <w:rsid w:val="60A66172"/>
    <w:rsid w:val="60AF66C2"/>
    <w:rsid w:val="60B1243E"/>
    <w:rsid w:val="60B65617"/>
    <w:rsid w:val="60B93A78"/>
    <w:rsid w:val="60C9453F"/>
    <w:rsid w:val="60CC06BC"/>
    <w:rsid w:val="60D3A7C1"/>
    <w:rsid w:val="60E2567A"/>
    <w:rsid w:val="60F1DEB3"/>
    <w:rsid w:val="60F2D92B"/>
    <w:rsid w:val="60F8BA15"/>
    <w:rsid w:val="60FE7A34"/>
    <w:rsid w:val="60FEF535"/>
    <w:rsid w:val="60FFA1DD"/>
    <w:rsid w:val="6119D838"/>
    <w:rsid w:val="61243802"/>
    <w:rsid w:val="61279201"/>
    <w:rsid w:val="6127987C"/>
    <w:rsid w:val="6130D4BA"/>
    <w:rsid w:val="6133338D"/>
    <w:rsid w:val="613EA47F"/>
    <w:rsid w:val="61427AB3"/>
    <w:rsid w:val="6143E0ED"/>
    <w:rsid w:val="614D3387"/>
    <w:rsid w:val="616AA625"/>
    <w:rsid w:val="616CA6AD"/>
    <w:rsid w:val="61731B30"/>
    <w:rsid w:val="61853580"/>
    <w:rsid w:val="61898FBB"/>
    <w:rsid w:val="61943AB0"/>
    <w:rsid w:val="619B6885"/>
    <w:rsid w:val="61C1C8F4"/>
    <w:rsid w:val="61D0EAA3"/>
    <w:rsid w:val="61D6265A"/>
    <w:rsid w:val="61D998E7"/>
    <w:rsid w:val="61E53FFF"/>
    <w:rsid w:val="61E7E95A"/>
    <w:rsid w:val="61EBC12D"/>
    <w:rsid w:val="61ED08B2"/>
    <w:rsid w:val="61F37D2A"/>
    <w:rsid w:val="6205841F"/>
    <w:rsid w:val="620E273F"/>
    <w:rsid w:val="6211A661"/>
    <w:rsid w:val="6213EAC4"/>
    <w:rsid w:val="6218B763"/>
    <w:rsid w:val="6218F99F"/>
    <w:rsid w:val="622728B1"/>
    <w:rsid w:val="622902FB"/>
    <w:rsid w:val="622FF1EB"/>
    <w:rsid w:val="6243C878"/>
    <w:rsid w:val="625F4AAC"/>
    <w:rsid w:val="626445C1"/>
    <w:rsid w:val="6268E0F9"/>
    <w:rsid w:val="626A128A"/>
    <w:rsid w:val="626CC84E"/>
    <w:rsid w:val="626F7822"/>
    <w:rsid w:val="6273159A"/>
    <w:rsid w:val="628E5AB4"/>
    <w:rsid w:val="629317D7"/>
    <w:rsid w:val="6297B7CB"/>
    <w:rsid w:val="62A1FE68"/>
    <w:rsid w:val="62A82954"/>
    <w:rsid w:val="62A8A66E"/>
    <w:rsid w:val="62BAA7C8"/>
    <w:rsid w:val="62BABCA1"/>
    <w:rsid w:val="62C7D88B"/>
    <w:rsid w:val="62CD63D1"/>
    <w:rsid w:val="62D07BD8"/>
    <w:rsid w:val="62D36E49"/>
    <w:rsid w:val="62D9CE50"/>
    <w:rsid w:val="62DEC5E6"/>
    <w:rsid w:val="62E9C51B"/>
    <w:rsid w:val="62E9C88C"/>
    <w:rsid w:val="62F1D166"/>
    <w:rsid w:val="62F985F7"/>
    <w:rsid w:val="62FC7B4F"/>
    <w:rsid w:val="62FE4118"/>
    <w:rsid w:val="6307F3AF"/>
    <w:rsid w:val="630943A5"/>
    <w:rsid w:val="6315E851"/>
    <w:rsid w:val="63198A83"/>
    <w:rsid w:val="63198FF2"/>
    <w:rsid w:val="631AB434"/>
    <w:rsid w:val="6322EA95"/>
    <w:rsid w:val="632383E5"/>
    <w:rsid w:val="6326A0EB"/>
    <w:rsid w:val="63364D96"/>
    <w:rsid w:val="633AFBA9"/>
    <w:rsid w:val="633DFDF7"/>
    <w:rsid w:val="633EA480"/>
    <w:rsid w:val="63412525"/>
    <w:rsid w:val="634208BB"/>
    <w:rsid w:val="634262CA"/>
    <w:rsid w:val="6343AA43"/>
    <w:rsid w:val="635034ED"/>
    <w:rsid w:val="6355DB8A"/>
    <w:rsid w:val="635BB265"/>
    <w:rsid w:val="6365FCD0"/>
    <w:rsid w:val="636B51DB"/>
    <w:rsid w:val="63738988"/>
    <w:rsid w:val="637A6FE8"/>
    <w:rsid w:val="63839AEA"/>
    <w:rsid w:val="63854B50"/>
    <w:rsid w:val="6392B9BF"/>
    <w:rsid w:val="6397B0C8"/>
    <w:rsid w:val="63A5E70A"/>
    <w:rsid w:val="63A632C2"/>
    <w:rsid w:val="63AC4AB9"/>
    <w:rsid w:val="63B559D5"/>
    <w:rsid w:val="63B61D36"/>
    <w:rsid w:val="63B810FB"/>
    <w:rsid w:val="63C13D76"/>
    <w:rsid w:val="63C184F0"/>
    <w:rsid w:val="63C1C03E"/>
    <w:rsid w:val="63C5CF7B"/>
    <w:rsid w:val="63CFBFD7"/>
    <w:rsid w:val="63CFD1E6"/>
    <w:rsid w:val="63D185A0"/>
    <w:rsid w:val="63D6366C"/>
    <w:rsid w:val="63D97E5D"/>
    <w:rsid w:val="63DBA454"/>
    <w:rsid w:val="63DE9DC9"/>
    <w:rsid w:val="63E1B9C0"/>
    <w:rsid w:val="63F1B438"/>
    <w:rsid w:val="63F676E5"/>
    <w:rsid w:val="64007AC9"/>
    <w:rsid w:val="6403CADA"/>
    <w:rsid w:val="640B4883"/>
    <w:rsid w:val="64181E99"/>
    <w:rsid w:val="641A466C"/>
    <w:rsid w:val="642F145F"/>
    <w:rsid w:val="64430B42"/>
    <w:rsid w:val="6443195A"/>
    <w:rsid w:val="644CF028"/>
    <w:rsid w:val="644F91FE"/>
    <w:rsid w:val="646197C1"/>
    <w:rsid w:val="6467A6D3"/>
    <w:rsid w:val="646DBE14"/>
    <w:rsid w:val="6470C037"/>
    <w:rsid w:val="6474E4BE"/>
    <w:rsid w:val="647F090B"/>
    <w:rsid w:val="648550EC"/>
    <w:rsid w:val="649418B3"/>
    <w:rsid w:val="6494E24B"/>
    <w:rsid w:val="6494F82C"/>
    <w:rsid w:val="64999CC6"/>
    <w:rsid w:val="64A1FDFB"/>
    <w:rsid w:val="64A6AB8D"/>
    <w:rsid w:val="64AE6252"/>
    <w:rsid w:val="64B2DEFB"/>
    <w:rsid w:val="64B6AD14"/>
    <w:rsid w:val="64BE6E39"/>
    <w:rsid w:val="64C2714C"/>
    <w:rsid w:val="64C4BB37"/>
    <w:rsid w:val="64D0762D"/>
    <w:rsid w:val="64D65D91"/>
    <w:rsid w:val="64E31A89"/>
    <w:rsid w:val="64EA6B3C"/>
    <w:rsid w:val="64EBD236"/>
    <w:rsid w:val="64FAF870"/>
    <w:rsid w:val="6503F840"/>
    <w:rsid w:val="6504CCF2"/>
    <w:rsid w:val="650E868F"/>
    <w:rsid w:val="650FC581"/>
    <w:rsid w:val="65194D72"/>
    <w:rsid w:val="6525C4C4"/>
    <w:rsid w:val="6533C34E"/>
    <w:rsid w:val="65353885"/>
    <w:rsid w:val="65393465"/>
    <w:rsid w:val="653D9E9F"/>
    <w:rsid w:val="654A3DE7"/>
    <w:rsid w:val="654E2A52"/>
    <w:rsid w:val="655CF725"/>
    <w:rsid w:val="6561F5CE"/>
    <w:rsid w:val="6569E03E"/>
    <w:rsid w:val="656B803A"/>
    <w:rsid w:val="65708866"/>
    <w:rsid w:val="6577DA57"/>
    <w:rsid w:val="6582CFEC"/>
    <w:rsid w:val="65839BB3"/>
    <w:rsid w:val="658ED02F"/>
    <w:rsid w:val="65940F3E"/>
    <w:rsid w:val="6598D0DF"/>
    <w:rsid w:val="659E25C9"/>
    <w:rsid w:val="65AAEDB5"/>
    <w:rsid w:val="65ACC0BD"/>
    <w:rsid w:val="65B02D18"/>
    <w:rsid w:val="65B741A0"/>
    <w:rsid w:val="65BD0739"/>
    <w:rsid w:val="65BFA8FD"/>
    <w:rsid w:val="65C82685"/>
    <w:rsid w:val="65D3837D"/>
    <w:rsid w:val="65DAF3BB"/>
    <w:rsid w:val="65DBEB42"/>
    <w:rsid w:val="65E375B4"/>
    <w:rsid w:val="65E3CEE8"/>
    <w:rsid w:val="65EA6CBB"/>
    <w:rsid w:val="65EBB7EB"/>
    <w:rsid w:val="65F4413D"/>
    <w:rsid w:val="65F82EBC"/>
    <w:rsid w:val="65FA5DEA"/>
    <w:rsid w:val="65FE59E0"/>
    <w:rsid w:val="660923C3"/>
    <w:rsid w:val="660D44A6"/>
    <w:rsid w:val="660FAF88"/>
    <w:rsid w:val="6611E0A2"/>
    <w:rsid w:val="661693CA"/>
    <w:rsid w:val="662F9B8B"/>
    <w:rsid w:val="664009BC"/>
    <w:rsid w:val="66417DB7"/>
    <w:rsid w:val="665198F2"/>
    <w:rsid w:val="66562D18"/>
    <w:rsid w:val="66583CE4"/>
    <w:rsid w:val="666151E4"/>
    <w:rsid w:val="66638CE6"/>
    <w:rsid w:val="666CFB94"/>
    <w:rsid w:val="66796C14"/>
    <w:rsid w:val="66807509"/>
    <w:rsid w:val="6681C935"/>
    <w:rsid w:val="66952D43"/>
    <w:rsid w:val="669898B1"/>
    <w:rsid w:val="6699C3AE"/>
    <w:rsid w:val="669C0380"/>
    <w:rsid w:val="66B1354E"/>
    <w:rsid w:val="66B3974B"/>
    <w:rsid w:val="66B3D299"/>
    <w:rsid w:val="66C13022"/>
    <w:rsid w:val="66C6C024"/>
    <w:rsid w:val="66D67916"/>
    <w:rsid w:val="66DCF329"/>
    <w:rsid w:val="66E47851"/>
    <w:rsid w:val="66E47AB1"/>
    <w:rsid w:val="66F20F28"/>
    <w:rsid w:val="66F3050F"/>
    <w:rsid w:val="66F37A72"/>
    <w:rsid w:val="66F5A25A"/>
    <w:rsid w:val="6703CA2C"/>
    <w:rsid w:val="670D8AE1"/>
    <w:rsid w:val="6712B931"/>
    <w:rsid w:val="67133EF7"/>
    <w:rsid w:val="671AFFCB"/>
    <w:rsid w:val="67261CF5"/>
    <w:rsid w:val="6728D60B"/>
    <w:rsid w:val="67295288"/>
    <w:rsid w:val="672F98BE"/>
    <w:rsid w:val="6730474A"/>
    <w:rsid w:val="67400A47"/>
    <w:rsid w:val="6743B722"/>
    <w:rsid w:val="67441769"/>
    <w:rsid w:val="67514FB6"/>
    <w:rsid w:val="6752EEE0"/>
    <w:rsid w:val="67549CA6"/>
    <w:rsid w:val="67569EBD"/>
    <w:rsid w:val="6777024A"/>
    <w:rsid w:val="677CC792"/>
    <w:rsid w:val="6785E9D5"/>
    <w:rsid w:val="6793C1CA"/>
    <w:rsid w:val="67948E36"/>
    <w:rsid w:val="6794A5FF"/>
    <w:rsid w:val="67A5D051"/>
    <w:rsid w:val="67BFDC3F"/>
    <w:rsid w:val="67CD8629"/>
    <w:rsid w:val="67CEFA4C"/>
    <w:rsid w:val="67CFE98C"/>
    <w:rsid w:val="67D2C687"/>
    <w:rsid w:val="67D59E3E"/>
    <w:rsid w:val="67D93B2B"/>
    <w:rsid w:val="67E32A1F"/>
    <w:rsid w:val="67E6837F"/>
    <w:rsid w:val="67E7494F"/>
    <w:rsid w:val="67FB59AE"/>
    <w:rsid w:val="67FE7254"/>
    <w:rsid w:val="6800BDCA"/>
    <w:rsid w:val="68091672"/>
    <w:rsid w:val="680BF2EC"/>
    <w:rsid w:val="6813FA57"/>
    <w:rsid w:val="681431A1"/>
    <w:rsid w:val="6820468F"/>
    <w:rsid w:val="682B7B7A"/>
    <w:rsid w:val="682E804B"/>
    <w:rsid w:val="6831927B"/>
    <w:rsid w:val="6833DE4D"/>
    <w:rsid w:val="6837FEE2"/>
    <w:rsid w:val="6849E358"/>
    <w:rsid w:val="685CCE0E"/>
    <w:rsid w:val="6862F0B3"/>
    <w:rsid w:val="6863AF69"/>
    <w:rsid w:val="6870830F"/>
    <w:rsid w:val="6875838D"/>
    <w:rsid w:val="687AACB7"/>
    <w:rsid w:val="687B013E"/>
    <w:rsid w:val="6883AFA9"/>
    <w:rsid w:val="688AB7C4"/>
    <w:rsid w:val="688D6E2F"/>
    <w:rsid w:val="688DA97D"/>
    <w:rsid w:val="688E5F17"/>
    <w:rsid w:val="6892C6E7"/>
    <w:rsid w:val="689679FA"/>
    <w:rsid w:val="689C8AC6"/>
    <w:rsid w:val="68A0056D"/>
    <w:rsid w:val="68ADA6A8"/>
    <w:rsid w:val="68B4A357"/>
    <w:rsid w:val="68BE40C5"/>
    <w:rsid w:val="68CBC32E"/>
    <w:rsid w:val="68CBE434"/>
    <w:rsid w:val="68CF678C"/>
    <w:rsid w:val="68E19C24"/>
    <w:rsid w:val="68E3DDA1"/>
    <w:rsid w:val="68EC1FDB"/>
    <w:rsid w:val="68F09084"/>
    <w:rsid w:val="68F89555"/>
    <w:rsid w:val="68F89972"/>
    <w:rsid w:val="690144B3"/>
    <w:rsid w:val="6901E71F"/>
    <w:rsid w:val="6908BCE9"/>
    <w:rsid w:val="690AE075"/>
    <w:rsid w:val="691B9C00"/>
    <w:rsid w:val="6922C9D5"/>
    <w:rsid w:val="693A4047"/>
    <w:rsid w:val="693A98E5"/>
    <w:rsid w:val="693AB87B"/>
    <w:rsid w:val="693B8FEA"/>
    <w:rsid w:val="693DDA7D"/>
    <w:rsid w:val="69488DEF"/>
    <w:rsid w:val="69497F76"/>
    <w:rsid w:val="69589682"/>
    <w:rsid w:val="695BACA0"/>
    <w:rsid w:val="69649996"/>
    <w:rsid w:val="69699F4E"/>
    <w:rsid w:val="697B91DD"/>
    <w:rsid w:val="697BF73F"/>
    <w:rsid w:val="697ED082"/>
    <w:rsid w:val="698A4AFB"/>
    <w:rsid w:val="698F88AF"/>
    <w:rsid w:val="69951F9C"/>
    <w:rsid w:val="699600EA"/>
    <w:rsid w:val="699FE0B6"/>
    <w:rsid w:val="69A12EA8"/>
    <w:rsid w:val="69AE4807"/>
    <w:rsid w:val="69B43EF8"/>
    <w:rsid w:val="69BF4280"/>
    <w:rsid w:val="69C78F52"/>
    <w:rsid w:val="69CB3CAC"/>
    <w:rsid w:val="69CBE570"/>
    <w:rsid w:val="69D28CDF"/>
    <w:rsid w:val="69D2D1BF"/>
    <w:rsid w:val="69D362E7"/>
    <w:rsid w:val="69DAB6F1"/>
    <w:rsid w:val="69DF0996"/>
    <w:rsid w:val="69E61484"/>
    <w:rsid w:val="69E66620"/>
    <w:rsid w:val="69EA753A"/>
    <w:rsid w:val="69EFD88A"/>
    <w:rsid w:val="69F6C8E7"/>
    <w:rsid w:val="6A05AB05"/>
    <w:rsid w:val="6A158B91"/>
    <w:rsid w:val="6A182AF7"/>
    <w:rsid w:val="6A1DF3E9"/>
    <w:rsid w:val="6A1EDA35"/>
    <w:rsid w:val="6A2BAB9D"/>
    <w:rsid w:val="6A3B3879"/>
    <w:rsid w:val="6A3CFC0E"/>
    <w:rsid w:val="6A498512"/>
    <w:rsid w:val="6A558CF3"/>
    <w:rsid w:val="6A5667B0"/>
    <w:rsid w:val="6A59C3CA"/>
    <w:rsid w:val="6A627A9E"/>
    <w:rsid w:val="6A65450A"/>
    <w:rsid w:val="6A661F28"/>
    <w:rsid w:val="6A6C1723"/>
    <w:rsid w:val="6A6DEA3B"/>
    <w:rsid w:val="6A6E6FBE"/>
    <w:rsid w:val="6A7125BF"/>
    <w:rsid w:val="6A72C68F"/>
    <w:rsid w:val="6A7E5ED8"/>
    <w:rsid w:val="6A8B923C"/>
    <w:rsid w:val="6A928708"/>
    <w:rsid w:val="6A9A0295"/>
    <w:rsid w:val="6AA2B04D"/>
    <w:rsid w:val="6AA2F524"/>
    <w:rsid w:val="6AAF4C6A"/>
    <w:rsid w:val="6ABAF419"/>
    <w:rsid w:val="6AC7BD05"/>
    <w:rsid w:val="6ACACB14"/>
    <w:rsid w:val="6ADB895A"/>
    <w:rsid w:val="6AE01E5D"/>
    <w:rsid w:val="6AE1165F"/>
    <w:rsid w:val="6AE17DA7"/>
    <w:rsid w:val="6AE2CB85"/>
    <w:rsid w:val="6AE368AC"/>
    <w:rsid w:val="6AE3C5B8"/>
    <w:rsid w:val="6AEAF6B4"/>
    <w:rsid w:val="6AEB398C"/>
    <w:rsid w:val="6AEB6C2E"/>
    <w:rsid w:val="6AEC1F80"/>
    <w:rsid w:val="6AEFD328"/>
    <w:rsid w:val="6AF49524"/>
    <w:rsid w:val="6AF8F743"/>
    <w:rsid w:val="6AF9379C"/>
    <w:rsid w:val="6AFC24EC"/>
    <w:rsid w:val="6AFE6712"/>
    <w:rsid w:val="6B03BB0B"/>
    <w:rsid w:val="6B060CB2"/>
    <w:rsid w:val="6B177CB8"/>
    <w:rsid w:val="6B17C7A0"/>
    <w:rsid w:val="6B18370E"/>
    <w:rsid w:val="6B1B1B3B"/>
    <w:rsid w:val="6B25B90C"/>
    <w:rsid w:val="6B2D85C7"/>
    <w:rsid w:val="6B31B204"/>
    <w:rsid w:val="6B45ED27"/>
    <w:rsid w:val="6B491D15"/>
    <w:rsid w:val="6B4AFA85"/>
    <w:rsid w:val="6B4C614F"/>
    <w:rsid w:val="6B4DB274"/>
    <w:rsid w:val="6B4FC081"/>
    <w:rsid w:val="6B505E74"/>
    <w:rsid w:val="6B518742"/>
    <w:rsid w:val="6B6127DE"/>
    <w:rsid w:val="6B63F81E"/>
    <w:rsid w:val="6B7296B9"/>
    <w:rsid w:val="6B7B6B3F"/>
    <w:rsid w:val="6B7C7191"/>
    <w:rsid w:val="6B92A963"/>
    <w:rsid w:val="6B9CB4E4"/>
    <w:rsid w:val="6B9E858D"/>
    <w:rsid w:val="6B9F80E0"/>
    <w:rsid w:val="6BA3AD83"/>
    <w:rsid w:val="6BB625C8"/>
    <w:rsid w:val="6BC36BAA"/>
    <w:rsid w:val="6BC93CD6"/>
    <w:rsid w:val="6BD9E130"/>
    <w:rsid w:val="6BE3526E"/>
    <w:rsid w:val="6BF19D05"/>
    <w:rsid w:val="6BF2AEC6"/>
    <w:rsid w:val="6BF656FE"/>
    <w:rsid w:val="6C1268AE"/>
    <w:rsid w:val="6C145AE3"/>
    <w:rsid w:val="6C26B013"/>
    <w:rsid w:val="6C295ADB"/>
    <w:rsid w:val="6C4140BE"/>
    <w:rsid w:val="6C41A5AB"/>
    <w:rsid w:val="6C4A0055"/>
    <w:rsid w:val="6C5A6ADE"/>
    <w:rsid w:val="6C5E6607"/>
    <w:rsid w:val="6C5F2BD7"/>
    <w:rsid w:val="6C666741"/>
    <w:rsid w:val="6C7FD36B"/>
    <w:rsid w:val="6C867BBB"/>
    <w:rsid w:val="6C930947"/>
    <w:rsid w:val="6CA11623"/>
    <w:rsid w:val="6CA426E3"/>
    <w:rsid w:val="6CAA834F"/>
    <w:rsid w:val="6CABC5F2"/>
    <w:rsid w:val="6CB42415"/>
    <w:rsid w:val="6CB6D56E"/>
    <w:rsid w:val="6CB7CA32"/>
    <w:rsid w:val="6CB85805"/>
    <w:rsid w:val="6CC15C62"/>
    <w:rsid w:val="6CCA79CB"/>
    <w:rsid w:val="6CCD8B81"/>
    <w:rsid w:val="6CD14D46"/>
    <w:rsid w:val="6CD50790"/>
    <w:rsid w:val="6CD7F313"/>
    <w:rsid w:val="6CD9CC46"/>
    <w:rsid w:val="6CE1863E"/>
    <w:rsid w:val="6CE44DF5"/>
    <w:rsid w:val="6CF56F5F"/>
    <w:rsid w:val="6D00E2F2"/>
    <w:rsid w:val="6D0603DA"/>
    <w:rsid w:val="6D089F90"/>
    <w:rsid w:val="6D08F977"/>
    <w:rsid w:val="6D09FFE9"/>
    <w:rsid w:val="6D0B56E3"/>
    <w:rsid w:val="6D1755B0"/>
    <w:rsid w:val="6D1D6C4A"/>
    <w:rsid w:val="6D202439"/>
    <w:rsid w:val="6D2F23E1"/>
    <w:rsid w:val="6D38A163"/>
    <w:rsid w:val="6D582EDA"/>
    <w:rsid w:val="6D608976"/>
    <w:rsid w:val="6D758BB6"/>
    <w:rsid w:val="6D761CB3"/>
    <w:rsid w:val="6D865D6D"/>
    <w:rsid w:val="6D92B1DA"/>
    <w:rsid w:val="6D940078"/>
    <w:rsid w:val="6D9854F8"/>
    <w:rsid w:val="6DA30B51"/>
    <w:rsid w:val="6DA48056"/>
    <w:rsid w:val="6DA4E718"/>
    <w:rsid w:val="6DA56607"/>
    <w:rsid w:val="6DA70019"/>
    <w:rsid w:val="6DB3261C"/>
    <w:rsid w:val="6DBB6736"/>
    <w:rsid w:val="6DC5FB78"/>
    <w:rsid w:val="6DD00535"/>
    <w:rsid w:val="6DD4D8F7"/>
    <w:rsid w:val="6DE09F6B"/>
    <w:rsid w:val="6DE4B0DC"/>
    <w:rsid w:val="6DEB087E"/>
    <w:rsid w:val="6DEB0BFC"/>
    <w:rsid w:val="6DEBE5F5"/>
    <w:rsid w:val="6DF18056"/>
    <w:rsid w:val="6E0EED95"/>
    <w:rsid w:val="6E101C83"/>
    <w:rsid w:val="6E12E05B"/>
    <w:rsid w:val="6E20114C"/>
    <w:rsid w:val="6E202449"/>
    <w:rsid w:val="6E2B2553"/>
    <w:rsid w:val="6E31EE33"/>
    <w:rsid w:val="6E376391"/>
    <w:rsid w:val="6E381539"/>
    <w:rsid w:val="6E4F6862"/>
    <w:rsid w:val="6E564D6A"/>
    <w:rsid w:val="6E5B3485"/>
    <w:rsid w:val="6E5DFB6C"/>
    <w:rsid w:val="6E5F7F10"/>
    <w:rsid w:val="6E5FEAFE"/>
    <w:rsid w:val="6E60A785"/>
    <w:rsid w:val="6E6C901F"/>
    <w:rsid w:val="6E6DC58A"/>
    <w:rsid w:val="6E7FF489"/>
    <w:rsid w:val="6EA84AD0"/>
    <w:rsid w:val="6EAB943D"/>
    <w:rsid w:val="6EACBF00"/>
    <w:rsid w:val="6EAD2658"/>
    <w:rsid w:val="6EBD8D68"/>
    <w:rsid w:val="6EC04FA1"/>
    <w:rsid w:val="6EC85E81"/>
    <w:rsid w:val="6ECAAA77"/>
    <w:rsid w:val="6ED169A1"/>
    <w:rsid w:val="6EE07B52"/>
    <w:rsid w:val="6EEA2218"/>
    <w:rsid w:val="6EED1569"/>
    <w:rsid w:val="6EEF8236"/>
    <w:rsid w:val="6EF14FD4"/>
    <w:rsid w:val="6EF29E94"/>
    <w:rsid w:val="6EF2E784"/>
    <w:rsid w:val="6EFE3813"/>
    <w:rsid w:val="6F0343F5"/>
    <w:rsid w:val="6F0727D7"/>
    <w:rsid w:val="6F1380AB"/>
    <w:rsid w:val="6F179F21"/>
    <w:rsid w:val="6F1C377F"/>
    <w:rsid w:val="6F1D0748"/>
    <w:rsid w:val="6F24F2B3"/>
    <w:rsid w:val="6F267D9E"/>
    <w:rsid w:val="6F29D8D3"/>
    <w:rsid w:val="6F2A3D66"/>
    <w:rsid w:val="6F328B47"/>
    <w:rsid w:val="6F3AE3C2"/>
    <w:rsid w:val="6F3EDBB2"/>
    <w:rsid w:val="6F3F4BE9"/>
    <w:rsid w:val="6F49B64E"/>
    <w:rsid w:val="6F5ABA23"/>
    <w:rsid w:val="6F6A5481"/>
    <w:rsid w:val="6F6F2E8D"/>
    <w:rsid w:val="6F703E36"/>
    <w:rsid w:val="6F71837B"/>
    <w:rsid w:val="6F8953E6"/>
    <w:rsid w:val="6F8C1495"/>
    <w:rsid w:val="6F9AF3C7"/>
    <w:rsid w:val="6FA608B7"/>
    <w:rsid w:val="6FAC250E"/>
    <w:rsid w:val="6FAE4F25"/>
    <w:rsid w:val="6FAE6BF7"/>
    <w:rsid w:val="6FB0313A"/>
    <w:rsid w:val="6FB229BB"/>
    <w:rsid w:val="6FBD24AD"/>
    <w:rsid w:val="6FC2826B"/>
    <w:rsid w:val="6FC80393"/>
    <w:rsid w:val="6FCCA82D"/>
    <w:rsid w:val="6FCD887A"/>
    <w:rsid w:val="6FCF5DBE"/>
    <w:rsid w:val="6FD2CEE1"/>
    <w:rsid w:val="6FE25172"/>
    <w:rsid w:val="6FE3C221"/>
    <w:rsid w:val="6FEB38C3"/>
    <w:rsid w:val="6FF4861D"/>
    <w:rsid w:val="6FF5508C"/>
    <w:rsid w:val="700017A9"/>
    <w:rsid w:val="7009D354"/>
    <w:rsid w:val="701030A8"/>
    <w:rsid w:val="7010B2AD"/>
    <w:rsid w:val="7018DEFF"/>
    <w:rsid w:val="701CE38B"/>
    <w:rsid w:val="7026E33B"/>
    <w:rsid w:val="7041B623"/>
    <w:rsid w:val="70547594"/>
    <w:rsid w:val="705B503E"/>
    <w:rsid w:val="7066F8F0"/>
    <w:rsid w:val="706FAC5A"/>
    <w:rsid w:val="7070F996"/>
    <w:rsid w:val="707C3C5F"/>
    <w:rsid w:val="70889D9A"/>
    <w:rsid w:val="7089DFCE"/>
    <w:rsid w:val="708DEB31"/>
    <w:rsid w:val="709692B1"/>
    <w:rsid w:val="70990161"/>
    <w:rsid w:val="709A68A2"/>
    <w:rsid w:val="709EF60A"/>
    <w:rsid w:val="70A09197"/>
    <w:rsid w:val="70A1A885"/>
    <w:rsid w:val="70A8C547"/>
    <w:rsid w:val="70ABD64A"/>
    <w:rsid w:val="70BA32EF"/>
    <w:rsid w:val="70BB776B"/>
    <w:rsid w:val="70C2635E"/>
    <w:rsid w:val="70C539B9"/>
    <w:rsid w:val="70CA9068"/>
    <w:rsid w:val="70CE6223"/>
    <w:rsid w:val="70CF5E42"/>
    <w:rsid w:val="70D6A5C1"/>
    <w:rsid w:val="70DAAC13"/>
    <w:rsid w:val="70DBE1B3"/>
    <w:rsid w:val="70DCE606"/>
    <w:rsid w:val="70F4D8F8"/>
    <w:rsid w:val="70F9D087"/>
    <w:rsid w:val="710A1659"/>
    <w:rsid w:val="710AE9FF"/>
    <w:rsid w:val="71184E16"/>
    <w:rsid w:val="7121D67A"/>
    <w:rsid w:val="713CC027"/>
    <w:rsid w:val="714BE81C"/>
    <w:rsid w:val="71583504"/>
    <w:rsid w:val="7159D039"/>
    <w:rsid w:val="715CFD20"/>
    <w:rsid w:val="716768D1"/>
    <w:rsid w:val="71684CCA"/>
    <w:rsid w:val="71694D6F"/>
    <w:rsid w:val="7174E439"/>
    <w:rsid w:val="717A5DFC"/>
    <w:rsid w:val="717BD9FB"/>
    <w:rsid w:val="718102F8"/>
    <w:rsid w:val="7183B3DB"/>
    <w:rsid w:val="71875154"/>
    <w:rsid w:val="7197E467"/>
    <w:rsid w:val="719E83F8"/>
    <w:rsid w:val="719EB766"/>
    <w:rsid w:val="71A7C23B"/>
    <w:rsid w:val="71A89C2F"/>
    <w:rsid w:val="71ACD805"/>
    <w:rsid w:val="71B14420"/>
    <w:rsid w:val="71B3BB96"/>
    <w:rsid w:val="71B83752"/>
    <w:rsid w:val="71B85015"/>
    <w:rsid w:val="71BA1052"/>
    <w:rsid w:val="71BD0088"/>
    <w:rsid w:val="71BD74E9"/>
    <w:rsid w:val="71C3EBCD"/>
    <w:rsid w:val="71C412BC"/>
    <w:rsid w:val="71C428E7"/>
    <w:rsid w:val="71C5A8F4"/>
    <w:rsid w:val="71CBE810"/>
    <w:rsid w:val="71CFDEB0"/>
    <w:rsid w:val="71D20E1F"/>
    <w:rsid w:val="71D2FB46"/>
    <w:rsid w:val="71DF2CAD"/>
    <w:rsid w:val="71F7F063"/>
    <w:rsid w:val="72056130"/>
    <w:rsid w:val="7206C656"/>
    <w:rsid w:val="720719EA"/>
    <w:rsid w:val="72266EA2"/>
    <w:rsid w:val="722EC526"/>
    <w:rsid w:val="72319469"/>
    <w:rsid w:val="7234241F"/>
    <w:rsid w:val="723A4D3F"/>
    <w:rsid w:val="723B1586"/>
    <w:rsid w:val="724043EA"/>
    <w:rsid w:val="72414862"/>
    <w:rsid w:val="7244263A"/>
    <w:rsid w:val="724451C4"/>
    <w:rsid w:val="7244FA4F"/>
    <w:rsid w:val="7254FB9E"/>
    <w:rsid w:val="72674244"/>
    <w:rsid w:val="7270A7C7"/>
    <w:rsid w:val="7275412A"/>
    <w:rsid w:val="72767C74"/>
    <w:rsid w:val="72790E5B"/>
    <w:rsid w:val="727BB01F"/>
    <w:rsid w:val="728D04E2"/>
    <w:rsid w:val="72A15DCB"/>
    <w:rsid w:val="72B83CF7"/>
    <w:rsid w:val="72BE8DCB"/>
    <w:rsid w:val="72C237EB"/>
    <w:rsid w:val="72C325DB"/>
    <w:rsid w:val="72CC9194"/>
    <w:rsid w:val="72CF697A"/>
    <w:rsid w:val="72D3B9E9"/>
    <w:rsid w:val="72D57852"/>
    <w:rsid w:val="72D78CF3"/>
    <w:rsid w:val="72D8A5B8"/>
    <w:rsid w:val="72DD1201"/>
    <w:rsid w:val="72E90CA9"/>
    <w:rsid w:val="72FEBAEA"/>
    <w:rsid w:val="73036774"/>
    <w:rsid w:val="730A3089"/>
    <w:rsid w:val="7318791E"/>
    <w:rsid w:val="731A6F41"/>
    <w:rsid w:val="731C25B6"/>
    <w:rsid w:val="731E27BB"/>
    <w:rsid w:val="7322D985"/>
    <w:rsid w:val="73254CC4"/>
    <w:rsid w:val="732A8580"/>
    <w:rsid w:val="732F6EF6"/>
    <w:rsid w:val="7339BA07"/>
    <w:rsid w:val="7340DC9E"/>
    <w:rsid w:val="7344677D"/>
    <w:rsid w:val="7363C286"/>
    <w:rsid w:val="7366FFDF"/>
    <w:rsid w:val="73677EDF"/>
    <w:rsid w:val="736816C0"/>
    <w:rsid w:val="736A78EC"/>
    <w:rsid w:val="736CAB30"/>
    <w:rsid w:val="736E9CA9"/>
    <w:rsid w:val="7372672C"/>
    <w:rsid w:val="73784131"/>
    <w:rsid w:val="7383E39F"/>
    <w:rsid w:val="7384AD5E"/>
    <w:rsid w:val="738F9118"/>
    <w:rsid w:val="739045B6"/>
    <w:rsid w:val="739339A5"/>
    <w:rsid w:val="7393A2B3"/>
    <w:rsid w:val="73A29257"/>
    <w:rsid w:val="73BB25AB"/>
    <w:rsid w:val="73C3D29A"/>
    <w:rsid w:val="73C73D7B"/>
    <w:rsid w:val="73D35917"/>
    <w:rsid w:val="73D899A2"/>
    <w:rsid w:val="73DC604E"/>
    <w:rsid w:val="73E428CC"/>
    <w:rsid w:val="73EC75E1"/>
    <w:rsid w:val="73EEAC83"/>
    <w:rsid w:val="73F998FE"/>
    <w:rsid w:val="7400761F"/>
    <w:rsid w:val="7400D8E1"/>
    <w:rsid w:val="741ACC32"/>
    <w:rsid w:val="741F06E0"/>
    <w:rsid w:val="742B66D1"/>
    <w:rsid w:val="742B8EA1"/>
    <w:rsid w:val="742CC1FE"/>
    <w:rsid w:val="742D4566"/>
    <w:rsid w:val="743208CD"/>
    <w:rsid w:val="7435D0F0"/>
    <w:rsid w:val="74465864"/>
    <w:rsid w:val="7462AA45"/>
    <w:rsid w:val="74637F26"/>
    <w:rsid w:val="746742CF"/>
    <w:rsid w:val="746861F5"/>
    <w:rsid w:val="746AE098"/>
    <w:rsid w:val="747B7CB0"/>
    <w:rsid w:val="74813394"/>
    <w:rsid w:val="74830494"/>
    <w:rsid w:val="74879857"/>
    <w:rsid w:val="74890C43"/>
    <w:rsid w:val="7491076D"/>
    <w:rsid w:val="749A01E2"/>
    <w:rsid w:val="749B7080"/>
    <w:rsid w:val="74A3E52F"/>
    <w:rsid w:val="74A408AC"/>
    <w:rsid w:val="74B13288"/>
    <w:rsid w:val="74B69551"/>
    <w:rsid w:val="74BFF38B"/>
    <w:rsid w:val="74C1701A"/>
    <w:rsid w:val="74CADAB0"/>
    <w:rsid w:val="74CB9966"/>
    <w:rsid w:val="74CE2125"/>
    <w:rsid w:val="74CF2C82"/>
    <w:rsid w:val="74CF7E04"/>
    <w:rsid w:val="74E60464"/>
    <w:rsid w:val="74EA5586"/>
    <w:rsid w:val="74F69221"/>
    <w:rsid w:val="74FA93F4"/>
    <w:rsid w:val="74FF7FD2"/>
    <w:rsid w:val="7504B253"/>
    <w:rsid w:val="750A246E"/>
    <w:rsid w:val="750ACDDE"/>
    <w:rsid w:val="750C26AD"/>
    <w:rsid w:val="750F3DDE"/>
    <w:rsid w:val="7516310E"/>
    <w:rsid w:val="752629C7"/>
    <w:rsid w:val="75268A25"/>
    <w:rsid w:val="752CA694"/>
    <w:rsid w:val="752F0736"/>
    <w:rsid w:val="753542F1"/>
    <w:rsid w:val="753A628C"/>
    <w:rsid w:val="753F09FE"/>
    <w:rsid w:val="7547512D"/>
    <w:rsid w:val="754F49FB"/>
    <w:rsid w:val="7554047D"/>
    <w:rsid w:val="7557961A"/>
    <w:rsid w:val="75627BF0"/>
    <w:rsid w:val="756B20B6"/>
    <w:rsid w:val="7573C7F3"/>
    <w:rsid w:val="75782948"/>
    <w:rsid w:val="75798933"/>
    <w:rsid w:val="757C2786"/>
    <w:rsid w:val="758F158D"/>
    <w:rsid w:val="7595E431"/>
    <w:rsid w:val="75A0460D"/>
    <w:rsid w:val="75A90418"/>
    <w:rsid w:val="75AC4A74"/>
    <w:rsid w:val="75B26CD9"/>
    <w:rsid w:val="75B7B197"/>
    <w:rsid w:val="75C011C6"/>
    <w:rsid w:val="75C119CF"/>
    <w:rsid w:val="75C1C0F2"/>
    <w:rsid w:val="75C3C079"/>
    <w:rsid w:val="75C58E0F"/>
    <w:rsid w:val="75D86715"/>
    <w:rsid w:val="75D8EFD8"/>
    <w:rsid w:val="75E3A780"/>
    <w:rsid w:val="75E5C6FC"/>
    <w:rsid w:val="75E8FBBF"/>
    <w:rsid w:val="75F355DA"/>
    <w:rsid w:val="76009B10"/>
    <w:rsid w:val="7602345D"/>
    <w:rsid w:val="76053DB5"/>
    <w:rsid w:val="760AB0B5"/>
    <w:rsid w:val="7612155F"/>
    <w:rsid w:val="7616423D"/>
    <w:rsid w:val="762263F4"/>
    <w:rsid w:val="76235DE4"/>
    <w:rsid w:val="762C315E"/>
    <w:rsid w:val="7631399F"/>
    <w:rsid w:val="76352C16"/>
    <w:rsid w:val="763DB180"/>
    <w:rsid w:val="763E6702"/>
    <w:rsid w:val="7644F836"/>
    <w:rsid w:val="7646B30B"/>
    <w:rsid w:val="7648F488"/>
    <w:rsid w:val="76499CD0"/>
    <w:rsid w:val="764D191E"/>
    <w:rsid w:val="765B2F3F"/>
    <w:rsid w:val="766854D3"/>
    <w:rsid w:val="76712752"/>
    <w:rsid w:val="768714F7"/>
    <w:rsid w:val="76891D95"/>
    <w:rsid w:val="769032E9"/>
    <w:rsid w:val="76903FDF"/>
    <w:rsid w:val="7697EBB8"/>
    <w:rsid w:val="769D4A2D"/>
    <w:rsid w:val="76A113B1"/>
    <w:rsid w:val="76A27477"/>
    <w:rsid w:val="76A64092"/>
    <w:rsid w:val="76AC6E4B"/>
    <w:rsid w:val="76B8E2B6"/>
    <w:rsid w:val="76C990AD"/>
    <w:rsid w:val="76CB3464"/>
    <w:rsid w:val="76D0B2F7"/>
    <w:rsid w:val="76D438E3"/>
    <w:rsid w:val="76D9EAB5"/>
    <w:rsid w:val="76DA6C65"/>
    <w:rsid w:val="76DABF80"/>
    <w:rsid w:val="76F241B6"/>
    <w:rsid w:val="76F85BF4"/>
    <w:rsid w:val="770000AB"/>
    <w:rsid w:val="7700C41D"/>
    <w:rsid w:val="770601AB"/>
    <w:rsid w:val="7709E78F"/>
    <w:rsid w:val="770FEDA7"/>
    <w:rsid w:val="77107FDA"/>
    <w:rsid w:val="77113305"/>
    <w:rsid w:val="771679AF"/>
    <w:rsid w:val="7717F7E7"/>
    <w:rsid w:val="771F6311"/>
    <w:rsid w:val="77284583"/>
    <w:rsid w:val="772DC97E"/>
    <w:rsid w:val="7736203C"/>
    <w:rsid w:val="773C374E"/>
    <w:rsid w:val="77429CA1"/>
    <w:rsid w:val="77447135"/>
    <w:rsid w:val="77468719"/>
    <w:rsid w:val="7752AC35"/>
    <w:rsid w:val="7754EF71"/>
    <w:rsid w:val="775BBFE6"/>
    <w:rsid w:val="77681361"/>
    <w:rsid w:val="776DD5A6"/>
    <w:rsid w:val="7777E066"/>
    <w:rsid w:val="778BCD08"/>
    <w:rsid w:val="778C958A"/>
    <w:rsid w:val="779A35B4"/>
    <w:rsid w:val="77A1A115"/>
    <w:rsid w:val="77A5F0B8"/>
    <w:rsid w:val="77A72B0C"/>
    <w:rsid w:val="77A8D307"/>
    <w:rsid w:val="77A9F342"/>
    <w:rsid w:val="77AA1E9D"/>
    <w:rsid w:val="77AAD2BB"/>
    <w:rsid w:val="77AC7507"/>
    <w:rsid w:val="77B0CB25"/>
    <w:rsid w:val="77BF21F4"/>
    <w:rsid w:val="77D0E6E1"/>
    <w:rsid w:val="77D30EFD"/>
    <w:rsid w:val="77DC74D7"/>
    <w:rsid w:val="77DE46B7"/>
    <w:rsid w:val="77E0BDFF"/>
    <w:rsid w:val="77E3A9F3"/>
    <w:rsid w:val="77EB3EA0"/>
    <w:rsid w:val="77ECB99A"/>
    <w:rsid w:val="77F152DB"/>
    <w:rsid w:val="77FECF06"/>
    <w:rsid w:val="78008334"/>
    <w:rsid w:val="780167C0"/>
    <w:rsid w:val="78036ADE"/>
    <w:rsid w:val="781234C0"/>
    <w:rsid w:val="7838E803"/>
    <w:rsid w:val="7839E005"/>
    <w:rsid w:val="783ABB61"/>
    <w:rsid w:val="783E506B"/>
    <w:rsid w:val="783FC6DE"/>
    <w:rsid w:val="784CDA1F"/>
    <w:rsid w:val="785C3F88"/>
    <w:rsid w:val="78680C77"/>
    <w:rsid w:val="786B4DED"/>
    <w:rsid w:val="786F77B5"/>
    <w:rsid w:val="7877CAD5"/>
    <w:rsid w:val="788527F1"/>
    <w:rsid w:val="78922ACC"/>
    <w:rsid w:val="789BB439"/>
    <w:rsid w:val="789C9DAA"/>
    <w:rsid w:val="78A6F273"/>
    <w:rsid w:val="78B8E196"/>
    <w:rsid w:val="78C129BE"/>
    <w:rsid w:val="78C576AA"/>
    <w:rsid w:val="78C8C80C"/>
    <w:rsid w:val="78DE18A2"/>
    <w:rsid w:val="78E0C2FC"/>
    <w:rsid w:val="78E353BE"/>
    <w:rsid w:val="78F09894"/>
    <w:rsid w:val="78F5E5D4"/>
    <w:rsid w:val="78F60FF4"/>
    <w:rsid w:val="78FC9759"/>
    <w:rsid w:val="78FF8597"/>
    <w:rsid w:val="7901B605"/>
    <w:rsid w:val="7902C81E"/>
    <w:rsid w:val="790729C5"/>
    <w:rsid w:val="79102300"/>
    <w:rsid w:val="791160A6"/>
    <w:rsid w:val="79125111"/>
    <w:rsid w:val="7917C907"/>
    <w:rsid w:val="791A8B8E"/>
    <w:rsid w:val="791AA3BE"/>
    <w:rsid w:val="791B64E8"/>
    <w:rsid w:val="7929498E"/>
    <w:rsid w:val="792A5F24"/>
    <w:rsid w:val="792A8338"/>
    <w:rsid w:val="79349D9A"/>
    <w:rsid w:val="793A1C8F"/>
    <w:rsid w:val="7943FBE1"/>
    <w:rsid w:val="794E530B"/>
    <w:rsid w:val="795785D2"/>
    <w:rsid w:val="795954E4"/>
    <w:rsid w:val="796232F6"/>
    <w:rsid w:val="796AB35F"/>
    <w:rsid w:val="796F0520"/>
    <w:rsid w:val="796F6172"/>
    <w:rsid w:val="79781B5A"/>
    <w:rsid w:val="798078E0"/>
    <w:rsid w:val="79838964"/>
    <w:rsid w:val="7984E4D4"/>
    <w:rsid w:val="7989CF52"/>
    <w:rsid w:val="798AFF26"/>
    <w:rsid w:val="798CAC55"/>
    <w:rsid w:val="7993E4C2"/>
    <w:rsid w:val="7996483E"/>
    <w:rsid w:val="79997AE3"/>
    <w:rsid w:val="79A11AF4"/>
    <w:rsid w:val="79A1A9EF"/>
    <w:rsid w:val="79A5CC9D"/>
    <w:rsid w:val="79AD31AA"/>
    <w:rsid w:val="79AE134D"/>
    <w:rsid w:val="79AF8180"/>
    <w:rsid w:val="79B07831"/>
    <w:rsid w:val="79B92F05"/>
    <w:rsid w:val="79BA20C6"/>
    <w:rsid w:val="79C4AA4C"/>
    <w:rsid w:val="79C4BEF8"/>
    <w:rsid w:val="79CAA0CA"/>
    <w:rsid w:val="79CC7E69"/>
    <w:rsid w:val="79D97DC1"/>
    <w:rsid w:val="79F0A5B2"/>
    <w:rsid w:val="7A09FD8C"/>
    <w:rsid w:val="7A0C6D0E"/>
    <w:rsid w:val="7A0EB070"/>
    <w:rsid w:val="7A158C06"/>
    <w:rsid w:val="7A19027C"/>
    <w:rsid w:val="7A1B7FC6"/>
    <w:rsid w:val="7A1BAE0C"/>
    <w:rsid w:val="7A1F3997"/>
    <w:rsid w:val="7A232306"/>
    <w:rsid w:val="7A28F1EC"/>
    <w:rsid w:val="7A39FF0E"/>
    <w:rsid w:val="7A4F3753"/>
    <w:rsid w:val="7A4F98A9"/>
    <w:rsid w:val="7A5B97E5"/>
    <w:rsid w:val="7A605CFA"/>
    <w:rsid w:val="7A6575EB"/>
    <w:rsid w:val="7A66A93B"/>
    <w:rsid w:val="7A686B42"/>
    <w:rsid w:val="7A6F4369"/>
    <w:rsid w:val="7A73D0EA"/>
    <w:rsid w:val="7A792CEE"/>
    <w:rsid w:val="7A7A290D"/>
    <w:rsid w:val="7A8187BF"/>
    <w:rsid w:val="7AA21DEF"/>
    <w:rsid w:val="7AABA02A"/>
    <w:rsid w:val="7AADB254"/>
    <w:rsid w:val="7AAF3237"/>
    <w:rsid w:val="7AB0F89F"/>
    <w:rsid w:val="7AB28D02"/>
    <w:rsid w:val="7AC2DC01"/>
    <w:rsid w:val="7AC59E88"/>
    <w:rsid w:val="7ACC7701"/>
    <w:rsid w:val="7ACFAFA7"/>
    <w:rsid w:val="7AD15B59"/>
    <w:rsid w:val="7AD1DED3"/>
    <w:rsid w:val="7AD44075"/>
    <w:rsid w:val="7AE79D81"/>
    <w:rsid w:val="7AE9670B"/>
    <w:rsid w:val="7AEB8799"/>
    <w:rsid w:val="7AEB887D"/>
    <w:rsid w:val="7AEF39C2"/>
    <w:rsid w:val="7AF41488"/>
    <w:rsid w:val="7AFA3883"/>
    <w:rsid w:val="7AFD85C2"/>
    <w:rsid w:val="7B0AC0D2"/>
    <w:rsid w:val="7B13AC79"/>
    <w:rsid w:val="7B17CDC4"/>
    <w:rsid w:val="7B251427"/>
    <w:rsid w:val="7B25F798"/>
    <w:rsid w:val="7B26517D"/>
    <w:rsid w:val="7B2CABB2"/>
    <w:rsid w:val="7B324882"/>
    <w:rsid w:val="7B343E12"/>
    <w:rsid w:val="7B35E447"/>
    <w:rsid w:val="7B378C7E"/>
    <w:rsid w:val="7B3FF470"/>
    <w:rsid w:val="7B483D5C"/>
    <w:rsid w:val="7B51E730"/>
    <w:rsid w:val="7B5DFE3B"/>
    <w:rsid w:val="7B627B52"/>
    <w:rsid w:val="7B6F1D38"/>
    <w:rsid w:val="7B7DDA82"/>
    <w:rsid w:val="7B881CEC"/>
    <w:rsid w:val="7B8A479F"/>
    <w:rsid w:val="7B8F769F"/>
    <w:rsid w:val="7B92346F"/>
    <w:rsid w:val="7B96FAC1"/>
    <w:rsid w:val="7B9BD2E0"/>
    <w:rsid w:val="7BA680FF"/>
    <w:rsid w:val="7BB108D3"/>
    <w:rsid w:val="7BB51A6E"/>
    <w:rsid w:val="7BB5B900"/>
    <w:rsid w:val="7BC3DBA1"/>
    <w:rsid w:val="7BCBA309"/>
    <w:rsid w:val="7BCED5CA"/>
    <w:rsid w:val="7BD49127"/>
    <w:rsid w:val="7BDD4167"/>
    <w:rsid w:val="7BE173E4"/>
    <w:rsid w:val="7BE21620"/>
    <w:rsid w:val="7BE2F669"/>
    <w:rsid w:val="7BEB0195"/>
    <w:rsid w:val="7BF1ED88"/>
    <w:rsid w:val="7BF57E75"/>
    <w:rsid w:val="7C03EC57"/>
    <w:rsid w:val="7C040AF1"/>
    <w:rsid w:val="7C087EB9"/>
    <w:rsid w:val="7C0A6C63"/>
    <w:rsid w:val="7C0F44F2"/>
    <w:rsid w:val="7C2A7A90"/>
    <w:rsid w:val="7C321C20"/>
    <w:rsid w:val="7C36C7D1"/>
    <w:rsid w:val="7C4024CA"/>
    <w:rsid w:val="7C45FF04"/>
    <w:rsid w:val="7C4A0AD9"/>
    <w:rsid w:val="7C4B673F"/>
    <w:rsid w:val="7C4B9C12"/>
    <w:rsid w:val="7C53A75E"/>
    <w:rsid w:val="7C55F58E"/>
    <w:rsid w:val="7C659CCE"/>
    <w:rsid w:val="7C6B56AF"/>
    <w:rsid w:val="7C78F816"/>
    <w:rsid w:val="7C79D1E6"/>
    <w:rsid w:val="7C7C1FD0"/>
    <w:rsid w:val="7C81E899"/>
    <w:rsid w:val="7C837975"/>
    <w:rsid w:val="7C9069C1"/>
    <w:rsid w:val="7CA5C16A"/>
    <w:rsid w:val="7CAD297E"/>
    <w:rsid w:val="7CB727DF"/>
    <w:rsid w:val="7CCA08B0"/>
    <w:rsid w:val="7CCC0C02"/>
    <w:rsid w:val="7CCDA6EE"/>
    <w:rsid w:val="7CCE591E"/>
    <w:rsid w:val="7CCF880E"/>
    <w:rsid w:val="7CD18FC7"/>
    <w:rsid w:val="7CD1ECC8"/>
    <w:rsid w:val="7CD8F71D"/>
    <w:rsid w:val="7CE4BDB0"/>
    <w:rsid w:val="7CEA275C"/>
    <w:rsid w:val="7CEBC343"/>
    <w:rsid w:val="7CF5093F"/>
    <w:rsid w:val="7CFA6C8F"/>
    <w:rsid w:val="7D126074"/>
    <w:rsid w:val="7D15C120"/>
    <w:rsid w:val="7D276396"/>
    <w:rsid w:val="7D27DF74"/>
    <w:rsid w:val="7D421A72"/>
    <w:rsid w:val="7D478F47"/>
    <w:rsid w:val="7D491671"/>
    <w:rsid w:val="7D4C0870"/>
    <w:rsid w:val="7D5CACCA"/>
    <w:rsid w:val="7D6025B6"/>
    <w:rsid w:val="7D641E83"/>
    <w:rsid w:val="7D6BBFE9"/>
    <w:rsid w:val="7D73CF55"/>
    <w:rsid w:val="7D886531"/>
    <w:rsid w:val="7D896150"/>
    <w:rsid w:val="7D8E4473"/>
    <w:rsid w:val="7DA3726F"/>
    <w:rsid w:val="7DA4645D"/>
    <w:rsid w:val="7DA4E275"/>
    <w:rsid w:val="7DA7F983"/>
    <w:rsid w:val="7DAADE09"/>
    <w:rsid w:val="7DAC104A"/>
    <w:rsid w:val="7DAEF3E7"/>
    <w:rsid w:val="7DC0FAB6"/>
    <w:rsid w:val="7DC292C6"/>
    <w:rsid w:val="7DC7143F"/>
    <w:rsid w:val="7DC84DC7"/>
    <w:rsid w:val="7DCC3B21"/>
    <w:rsid w:val="7DDC9E1A"/>
    <w:rsid w:val="7DEAFA63"/>
    <w:rsid w:val="7DF036D1"/>
    <w:rsid w:val="7DF34966"/>
    <w:rsid w:val="7DFF8901"/>
    <w:rsid w:val="7E0402F0"/>
    <w:rsid w:val="7E05B657"/>
    <w:rsid w:val="7E072A0C"/>
    <w:rsid w:val="7E07E7E1"/>
    <w:rsid w:val="7E08303E"/>
    <w:rsid w:val="7E0BB57F"/>
    <w:rsid w:val="7E0D501A"/>
    <w:rsid w:val="7E153DA0"/>
    <w:rsid w:val="7E157AFE"/>
    <w:rsid w:val="7E1782CC"/>
    <w:rsid w:val="7E1DB841"/>
    <w:rsid w:val="7E2ACDC9"/>
    <w:rsid w:val="7E2B90F8"/>
    <w:rsid w:val="7E3AE478"/>
    <w:rsid w:val="7E409094"/>
    <w:rsid w:val="7E4EE1A6"/>
    <w:rsid w:val="7E51AAA8"/>
    <w:rsid w:val="7E584100"/>
    <w:rsid w:val="7E64BABD"/>
    <w:rsid w:val="7E668BF8"/>
    <w:rsid w:val="7E676C10"/>
    <w:rsid w:val="7E6A2E97"/>
    <w:rsid w:val="7E6A69E5"/>
    <w:rsid w:val="7E6D932E"/>
    <w:rsid w:val="7E77A94C"/>
    <w:rsid w:val="7E7BC449"/>
    <w:rsid w:val="7E8307C0"/>
    <w:rsid w:val="7E958CEF"/>
    <w:rsid w:val="7E9BBA88"/>
    <w:rsid w:val="7E9C95E4"/>
    <w:rsid w:val="7EA06AB5"/>
    <w:rsid w:val="7EA073FB"/>
    <w:rsid w:val="7EA2E929"/>
    <w:rsid w:val="7EBD89D6"/>
    <w:rsid w:val="7EC6A382"/>
    <w:rsid w:val="7EC7FEAF"/>
    <w:rsid w:val="7ECE6873"/>
    <w:rsid w:val="7ED06CC8"/>
    <w:rsid w:val="7ED77956"/>
    <w:rsid w:val="7ED9F452"/>
    <w:rsid w:val="7EDCCFF3"/>
    <w:rsid w:val="7EEA8E49"/>
    <w:rsid w:val="7EEC3B82"/>
    <w:rsid w:val="7EF22FEF"/>
    <w:rsid w:val="7EFCBCEF"/>
    <w:rsid w:val="7F07123A"/>
    <w:rsid w:val="7F173E42"/>
    <w:rsid w:val="7F20BCBE"/>
    <w:rsid w:val="7F21CD76"/>
    <w:rsid w:val="7F2AE478"/>
    <w:rsid w:val="7F31EA4A"/>
    <w:rsid w:val="7F3288FA"/>
    <w:rsid w:val="7F33DB56"/>
    <w:rsid w:val="7F342CB6"/>
    <w:rsid w:val="7F3C2467"/>
    <w:rsid w:val="7F3F2EEF"/>
    <w:rsid w:val="7F40D7B6"/>
    <w:rsid w:val="7F50674F"/>
    <w:rsid w:val="7F52AA05"/>
    <w:rsid w:val="7F5DE91E"/>
    <w:rsid w:val="7F6CF5BF"/>
    <w:rsid w:val="7F77840E"/>
    <w:rsid w:val="7F77D90A"/>
    <w:rsid w:val="7F84F66F"/>
    <w:rsid w:val="7F89DB1A"/>
    <w:rsid w:val="7F8CEEB8"/>
    <w:rsid w:val="7F93EAB7"/>
    <w:rsid w:val="7F9B98E6"/>
    <w:rsid w:val="7FAEBAE8"/>
    <w:rsid w:val="7FBB8976"/>
    <w:rsid w:val="7FBDFCE2"/>
    <w:rsid w:val="7FBF2CDE"/>
    <w:rsid w:val="7FC44ED3"/>
    <w:rsid w:val="7FC4D147"/>
    <w:rsid w:val="7FCA0DB5"/>
    <w:rsid w:val="7FDA4245"/>
    <w:rsid w:val="7FDAA6EC"/>
    <w:rsid w:val="7FDF43A2"/>
    <w:rsid w:val="7FE479D6"/>
    <w:rsid w:val="7FEEDC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5A4E5"/>
  <w15:docId w15:val="{B0ED42D8-A85D-44EE-B54B-78CCBF60730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numPr>
        <w:numId w:val="59"/>
      </w:numPr>
      <w:ind w:right="2160"/>
    </w:pPr>
    <w:rPr>
      <w:rFonts w:eastAsiaTheme="majorEastAsia" w:cstheme="majorBidi"/>
      <w:szCs w:val="32"/>
    </w:rPr>
  </w:style>
  <w:style w:type="paragraph" w:styleId="Heading2">
    <w:name w:val="heading 2"/>
    <w:basedOn w:val="Dummy"/>
    <w:next w:val="Standard"/>
    <w:link w:val="Heading2Char"/>
    <w:uiPriority w:val="9"/>
    <w:qFormat/>
    <w:rsid w:val="000E270A"/>
    <w:pPr>
      <w:numPr>
        <w:ilvl w:val="1"/>
        <w:numId w:val="59"/>
      </w:numPr>
      <w:ind w:right="2160"/>
      <w:outlineLvl w:val="1"/>
    </w:pPr>
  </w:style>
  <w:style w:type="paragraph" w:styleId="Heading3">
    <w:name w:val="heading 3"/>
    <w:basedOn w:val="Dummy"/>
    <w:next w:val="Standard"/>
    <w:link w:val="Heading3Char"/>
    <w:uiPriority w:val="4"/>
    <w:qFormat/>
    <w:rsid w:val="000E270A"/>
    <w:pPr>
      <w:numPr>
        <w:ilvl w:val="2"/>
        <w:numId w:val="59"/>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0E270A"/>
    <w:pPr>
      <w:numPr>
        <w:ilvl w:val="3"/>
        <w:numId w:val="59"/>
      </w:numPr>
      <w:ind w:right="2160"/>
      <w:outlineLvl w:val="3"/>
    </w:pPr>
    <w:rPr>
      <w:rFonts w:eastAsiaTheme="majorEastAsia" w:cstheme="majorBidi"/>
      <w:iCs/>
    </w:rPr>
  </w:style>
  <w:style w:type="paragraph" w:styleId="Heading5">
    <w:name w:val="heading 5"/>
    <w:basedOn w:val="Dummy"/>
    <w:next w:val="Standard"/>
    <w:link w:val="Heading5Char"/>
    <w:uiPriority w:val="4"/>
    <w:rsid w:val="000E270A"/>
    <w:pPr>
      <w:numPr>
        <w:ilvl w:val="4"/>
        <w:numId w:val="59"/>
      </w:numPr>
      <w:ind w:right="2160"/>
      <w:outlineLvl w:val="4"/>
    </w:pPr>
    <w:rPr>
      <w:rFonts w:eastAsiaTheme="majorEastAsia" w:cstheme="majorBidi"/>
    </w:rPr>
  </w:style>
  <w:style w:type="paragraph" w:styleId="Heading6">
    <w:name w:val="heading 6"/>
    <w:basedOn w:val="Dummy"/>
    <w:next w:val="Standard"/>
    <w:link w:val="Heading6Char"/>
    <w:uiPriority w:val="4"/>
    <w:rsid w:val="000E270A"/>
    <w:pPr>
      <w:numPr>
        <w:ilvl w:val="5"/>
        <w:numId w:val="59"/>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9"/>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1"/>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firstLine="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2"/>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59"/>
      </w:numPr>
      <w:spacing w:after="120" w:line="240" w:lineRule="auto"/>
    </w:pPr>
  </w:style>
  <w:style w:type="paragraph" w:styleId="ListBullet">
    <w:name w:val="List Bullet"/>
    <w:basedOn w:val="Standard"/>
    <w:uiPriority w:val="4"/>
    <w:qFormat/>
    <w:rsid w:val="001F2819"/>
    <w:pPr>
      <w:numPr>
        <w:numId w:val="3"/>
      </w:numPr>
      <w:tabs>
        <w:tab w:val="clear" w:pos="360"/>
      </w:tabs>
      <w:spacing w:after="120" w:line="240" w:lineRule="auto"/>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59"/>
      </w:numPr>
      <w:spacing w:after="120" w:line="240" w:lineRule="auto"/>
    </w:pPr>
  </w:style>
  <w:style w:type="character" w:styleId="CommentReference">
    <w:name w:val="annotation reference"/>
    <w:basedOn w:val="DefaultParagraphFont"/>
    <w:uiPriority w:val="99"/>
    <w:semiHidden/>
    <w:unhideWhenUsed/>
    <w:rsid w:val="005F2514"/>
    <w:rPr>
      <w:sz w:val="16"/>
      <w:szCs w:val="16"/>
    </w:rPr>
  </w:style>
  <w:style w:type="paragraph" w:styleId="CommentText">
    <w:name w:val="annotation text"/>
    <w:basedOn w:val="Normal"/>
    <w:link w:val="CommentTextChar"/>
    <w:uiPriority w:val="99"/>
    <w:unhideWhenUsed/>
    <w:rsid w:val="005F2514"/>
    <w:pPr>
      <w:spacing w:line="240" w:lineRule="auto"/>
    </w:pPr>
    <w:rPr>
      <w:sz w:val="20"/>
      <w:szCs w:val="20"/>
    </w:rPr>
  </w:style>
  <w:style w:type="character" w:customStyle="1" w:styleId="CommentTextChar">
    <w:name w:val="Comment Text Char"/>
    <w:basedOn w:val="DefaultParagraphFont"/>
    <w:link w:val="CommentText"/>
    <w:uiPriority w:val="99"/>
    <w:rsid w:val="005F2514"/>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5F2514"/>
    <w:rPr>
      <w:b/>
      <w:bCs/>
    </w:rPr>
  </w:style>
  <w:style w:type="character" w:customStyle="1" w:styleId="CommentSubjectChar">
    <w:name w:val="Comment Subject Char"/>
    <w:basedOn w:val="CommentTextChar"/>
    <w:link w:val="CommentSubject"/>
    <w:uiPriority w:val="99"/>
    <w:semiHidden/>
    <w:rsid w:val="005F2514"/>
    <w:rPr>
      <w:rFonts w:ascii="Book Antiqua" w:hAnsi="Book Antiqua"/>
      <w:b/>
      <w:bCs/>
      <w:sz w:val="20"/>
      <w:szCs w:val="20"/>
    </w:rPr>
  </w:style>
  <w:style w:type="paragraph" w:styleId="Revision">
    <w:name w:val="Revision"/>
    <w:hidden/>
    <w:uiPriority w:val="99"/>
    <w:semiHidden/>
    <w:rsid w:val="00E54C4E"/>
    <w:pPr>
      <w:spacing w:after="0" w:line="240" w:lineRule="auto"/>
    </w:pPr>
    <w:rPr>
      <w:rFonts w:ascii="Book Antiqua" w:hAnsi="Book Antiqua"/>
      <w:sz w:val="26"/>
    </w:rPr>
  </w:style>
  <w:style w:type="character" w:styleId="FollowedHyperlink">
    <w:name w:val="FollowedHyperlink"/>
    <w:basedOn w:val="DefaultParagraphFont"/>
    <w:uiPriority w:val="99"/>
    <w:semiHidden/>
    <w:unhideWhenUsed/>
    <w:rsid w:val="00D264FD"/>
    <w:rPr>
      <w:color w:val="954F72" w:themeColor="followedHyperlink"/>
      <w:u w:val="single"/>
    </w:rPr>
  </w:style>
  <w:style w:type="character" w:styleId="UnresolvedMention">
    <w:name w:val="Unresolved Mention"/>
    <w:basedOn w:val="DefaultParagraphFont"/>
    <w:uiPriority w:val="99"/>
    <w:unhideWhenUsed/>
    <w:rsid w:val="00BB5660"/>
    <w:rPr>
      <w:color w:val="605E5C"/>
      <w:shd w:val="clear" w:color="auto" w:fill="E1DFDD"/>
    </w:rPr>
  </w:style>
  <w:style w:type="character" w:styleId="Mention">
    <w:name w:val="Mention"/>
    <w:basedOn w:val="DefaultParagraphFont"/>
    <w:uiPriority w:val="99"/>
    <w:unhideWhenUsed/>
    <w:rsid w:val="00666CC1"/>
    <w:rPr>
      <w:color w:val="2B579A"/>
      <w:shd w:val="clear" w:color="auto" w:fill="E6E6E6"/>
    </w:rPr>
  </w:style>
  <w:style w:type="paragraph" w:styleId="NormalWeb">
    <w:name w:val="Normal (Web)"/>
    <w:basedOn w:val="Normal"/>
    <w:uiPriority w:val="99"/>
    <w:unhideWhenUsed/>
    <w:rsid w:val="00EB5773"/>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added-material">
    <w:name w:val="added-material"/>
    <w:basedOn w:val="DefaultParagraphFont"/>
    <w:rsid w:val="00EB5773"/>
  </w:style>
  <w:style w:type="character" w:customStyle="1" w:styleId="wordphrase">
    <w:name w:val="wordphrase"/>
    <w:basedOn w:val="DefaultParagraphFont"/>
    <w:rsid w:val="00EB5773"/>
  </w:style>
  <w:style w:type="paragraph" w:styleId="BodyText">
    <w:name w:val="Body Text"/>
    <w:basedOn w:val="Normal"/>
    <w:link w:val="BodyTextChar"/>
    <w:uiPriority w:val="1"/>
    <w:qFormat/>
    <w:rsid w:val="00081EFC"/>
    <w:pPr>
      <w:widowControl w:val="0"/>
      <w:autoSpaceDE w:val="0"/>
      <w:autoSpaceDN w:val="0"/>
      <w:spacing w:line="240" w:lineRule="auto"/>
      <w:ind w:firstLine="0"/>
    </w:pPr>
    <w:rPr>
      <w:rFonts w:eastAsia="Book Antiqua" w:cs="Book Antiqua"/>
      <w:szCs w:val="26"/>
    </w:rPr>
  </w:style>
  <w:style w:type="character" w:customStyle="1" w:styleId="BodyTextChar">
    <w:name w:val="Body Text Char"/>
    <w:basedOn w:val="DefaultParagraphFont"/>
    <w:link w:val="BodyText"/>
    <w:uiPriority w:val="1"/>
    <w:rsid w:val="00081EFC"/>
    <w:rPr>
      <w:rFonts w:ascii="Book Antiqua" w:eastAsia="Book Antiqua" w:hAnsi="Book Antiqua" w:cs="Book Antiqua"/>
      <w:sz w:val="26"/>
      <w:szCs w:val="26"/>
    </w:rPr>
  </w:style>
  <w:style w:type="paragraph" w:styleId="ListParagraph">
    <w:name w:val="List Paragraph"/>
    <w:basedOn w:val="Normal"/>
    <w:uiPriority w:val="1"/>
    <w:qFormat/>
    <w:rsid w:val="00081EFC"/>
    <w:pPr>
      <w:widowControl w:val="0"/>
      <w:autoSpaceDE w:val="0"/>
      <w:autoSpaceDN w:val="0"/>
      <w:spacing w:line="240" w:lineRule="auto"/>
      <w:ind w:left="919" w:hanging="361"/>
    </w:pPr>
    <w:rPr>
      <w:rFonts w:eastAsia="Book Antiqua" w:cs="Book Antiqua"/>
      <w:sz w:val="22"/>
    </w:rPr>
  </w:style>
  <w:style w:type="character" w:customStyle="1" w:styleId="normaltextrun">
    <w:name w:val="normaltextrun"/>
    <w:basedOn w:val="DefaultParagraphFont"/>
    <w:rsid w:val="00081EFC"/>
  </w:style>
  <w:style w:type="character" w:customStyle="1" w:styleId="eop">
    <w:name w:val="eop"/>
    <w:basedOn w:val="DefaultParagraphFont"/>
    <w:rsid w:val="00081EFC"/>
  </w:style>
  <w:style w:type="character" w:customStyle="1" w:styleId="contextualspellingandgrammarerror">
    <w:name w:val="contextualspellingandgrammarerror"/>
    <w:basedOn w:val="DefaultParagraphFont"/>
    <w:rsid w:val="00081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8649">
      <w:bodyDiv w:val="1"/>
      <w:marLeft w:val="0"/>
      <w:marRight w:val="0"/>
      <w:marTop w:val="0"/>
      <w:marBottom w:val="0"/>
      <w:divBdr>
        <w:top w:val="none" w:sz="0" w:space="0" w:color="auto"/>
        <w:left w:val="none" w:sz="0" w:space="0" w:color="auto"/>
        <w:bottom w:val="none" w:sz="0" w:space="0" w:color="auto"/>
        <w:right w:val="none" w:sz="0" w:space="0" w:color="auto"/>
      </w:divBdr>
    </w:div>
    <w:div w:id="525095310">
      <w:bodyDiv w:val="1"/>
      <w:marLeft w:val="0"/>
      <w:marRight w:val="0"/>
      <w:marTop w:val="0"/>
      <w:marBottom w:val="0"/>
      <w:divBdr>
        <w:top w:val="none" w:sz="0" w:space="0" w:color="auto"/>
        <w:left w:val="none" w:sz="0" w:space="0" w:color="auto"/>
        <w:bottom w:val="none" w:sz="0" w:space="0" w:color="auto"/>
        <w:right w:val="none" w:sz="0" w:space="0" w:color="auto"/>
      </w:divBdr>
    </w:div>
    <w:div w:id="667441145">
      <w:bodyDiv w:val="1"/>
      <w:marLeft w:val="0"/>
      <w:marRight w:val="0"/>
      <w:marTop w:val="0"/>
      <w:marBottom w:val="0"/>
      <w:divBdr>
        <w:top w:val="none" w:sz="0" w:space="0" w:color="auto"/>
        <w:left w:val="none" w:sz="0" w:space="0" w:color="auto"/>
        <w:bottom w:val="none" w:sz="0" w:space="0" w:color="auto"/>
        <w:right w:val="none" w:sz="0" w:space="0" w:color="auto"/>
      </w:divBdr>
    </w:div>
    <w:div w:id="772356782">
      <w:bodyDiv w:val="1"/>
      <w:marLeft w:val="0"/>
      <w:marRight w:val="0"/>
      <w:marTop w:val="0"/>
      <w:marBottom w:val="0"/>
      <w:divBdr>
        <w:top w:val="none" w:sz="0" w:space="0" w:color="auto"/>
        <w:left w:val="none" w:sz="0" w:space="0" w:color="auto"/>
        <w:bottom w:val="none" w:sz="0" w:space="0" w:color="auto"/>
        <w:right w:val="none" w:sz="0" w:space="0" w:color="auto"/>
      </w:divBdr>
    </w:div>
    <w:div w:id="831870627">
      <w:bodyDiv w:val="1"/>
      <w:marLeft w:val="0"/>
      <w:marRight w:val="0"/>
      <w:marTop w:val="0"/>
      <w:marBottom w:val="0"/>
      <w:divBdr>
        <w:top w:val="none" w:sz="0" w:space="0" w:color="auto"/>
        <w:left w:val="none" w:sz="0" w:space="0" w:color="auto"/>
        <w:bottom w:val="none" w:sz="0" w:space="0" w:color="auto"/>
        <w:right w:val="none" w:sz="0" w:space="0" w:color="auto"/>
      </w:divBdr>
    </w:div>
    <w:div w:id="1753895798">
      <w:bodyDiv w:val="1"/>
      <w:marLeft w:val="0"/>
      <w:marRight w:val="0"/>
      <w:marTop w:val="0"/>
      <w:marBottom w:val="0"/>
      <w:divBdr>
        <w:top w:val="none" w:sz="0" w:space="0" w:color="auto"/>
        <w:left w:val="none" w:sz="0" w:space="0" w:color="auto"/>
        <w:bottom w:val="none" w:sz="0" w:space="0" w:color="auto"/>
        <w:right w:val="none" w:sz="0" w:space="0" w:color="auto"/>
      </w:divBdr>
    </w:div>
    <w:div w:id="1848250735">
      <w:bodyDiv w:val="1"/>
      <w:marLeft w:val="0"/>
      <w:marRight w:val="0"/>
      <w:marTop w:val="0"/>
      <w:marBottom w:val="0"/>
      <w:divBdr>
        <w:top w:val="none" w:sz="0" w:space="0" w:color="auto"/>
        <w:left w:val="none" w:sz="0" w:space="0" w:color="auto"/>
        <w:bottom w:val="none" w:sz="0" w:space="0" w:color="auto"/>
        <w:right w:val="none" w:sz="0" w:space="0" w:color="auto"/>
      </w:divBdr>
      <w:divsChild>
        <w:div w:id="558827583">
          <w:marLeft w:val="0"/>
          <w:marRight w:val="0"/>
          <w:marTop w:val="0"/>
          <w:marBottom w:val="0"/>
          <w:divBdr>
            <w:top w:val="none" w:sz="0" w:space="0" w:color="auto"/>
            <w:left w:val="none" w:sz="0" w:space="0" w:color="auto"/>
            <w:bottom w:val="none" w:sz="0" w:space="0" w:color="auto"/>
            <w:right w:val="none" w:sz="0" w:space="0" w:color="auto"/>
          </w:divBdr>
        </w:div>
        <w:div w:id="17636462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DCompliance@cpuc.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kwftp.cpuc.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consumers.cpuc.ca.gov/lowincomerates/" TargetMode="External"/><Relationship Id="rId3" Type="http://schemas.openxmlformats.org/officeDocument/2006/relationships/hyperlink" Target="https://www.fcc.gov/acp" TargetMode="External"/><Relationship Id="rId7" Type="http://schemas.openxmlformats.org/officeDocument/2006/relationships/hyperlink" Target="http://www.cpuc.ca.gov/General.aspx?id=5753" TargetMode="External"/><Relationship Id="rId2" Type="http://schemas.openxmlformats.org/officeDocument/2006/relationships/hyperlink" Target="https://docs.fcc.gov/public/attachments/FCC-21-18A1.pdf" TargetMode="External"/><Relationship Id="rId1" Type="http://schemas.openxmlformats.org/officeDocument/2006/relationships/hyperlink" Target="https://www.fcc.gov/document/fcc-annual-broadband-report-shows-digital-divide-rapidly-closing" TargetMode="External"/><Relationship Id="rId6" Type="http://schemas.openxmlformats.org/officeDocument/2006/relationships/hyperlink" Target="https://docs.fcc.gov/public/attachments/FCC-21-18A1.pdf" TargetMode="External"/><Relationship Id="rId5" Type="http://schemas.openxmlformats.org/officeDocument/2006/relationships/hyperlink" Target="https://www.fcc.gov/document/fcc-annual-broadband-report-shows-digital-divide-rapidly-closing" TargetMode="External"/><Relationship Id="rId10" Type="http://schemas.openxmlformats.org/officeDocument/2006/relationships/hyperlink" Target="https://www2.ntia.doc.gov/files/toolkit_042913.pdf" TargetMode="External"/><Relationship Id="rId4" Type="http://schemas.openxmlformats.org/officeDocument/2006/relationships/hyperlink" Target="https://www.fcc.gov/reports-research/reports/broadband-progress-reports" TargetMode="External"/><Relationship Id="rId9" Type="http://schemas.openxmlformats.org/officeDocument/2006/relationships/hyperlink" Target="http://www.cpuc.ca.gov/consumer-support/financial-assistance-savings-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584c501-4907-45a6-a5fc-3e0757d7aab9">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e584c501-4907-45a6-a5fc-3e0757d7aab9"/>
  </ds:schemaRefs>
</ds:datastoreItem>
</file>

<file path=customXml/itemProps2.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3.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4.xml><?xml version="1.0" encoding="utf-8"?>
<ds:datastoreItem xmlns:ds="http://schemas.openxmlformats.org/officeDocument/2006/customXml" ds:itemID="{1FF9D745-242E-4B6B-A4C9-91ACE8F78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121</ap:Pages>
  <ap:Words>30344</ap:Words>
  <ap:Characters>172961</ap:Characters>
  <ap:Application>Microsoft Office Word</ap:Application>
  <ap:DocSecurity>0</ap:DocSecurity>
  <ap:Lines>1441</ap:Lines>
  <ap:Paragraphs>405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202900</ap:CharactersWithSpaces>
  <ap:SharedDoc>false</ap:SharedDoc>
  <ap:HLinks>
    <vt:vector baseType="variant" size="264">
      <vt:variant>
        <vt:i4>5832723</vt:i4>
      </vt:variant>
      <vt:variant>
        <vt:i4>195</vt:i4>
      </vt:variant>
      <vt:variant>
        <vt:i4>0</vt:i4>
      </vt:variant>
      <vt:variant>
        <vt:i4>5</vt:i4>
      </vt:variant>
      <vt:variant>
        <vt:lpwstr>mailto:CASF_Consortia_Grant_Administrator@cpuc.ca.gov</vt:lpwstr>
      </vt:variant>
      <vt:variant>
        <vt:lpwstr/>
      </vt:variant>
      <vt:variant>
        <vt:i4>1048685</vt:i4>
      </vt:variant>
      <vt:variant>
        <vt:i4>192</vt:i4>
      </vt:variant>
      <vt:variant>
        <vt:i4>0</vt:i4>
      </vt:variant>
      <vt:variant>
        <vt:i4>5</vt:i4>
      </vt:variant>
      <vt:variant>
        <vt:lpwstr>mailto:CDCompliance@cpuc.ca.gov</vt:lpwstr>
      </vt:variant>
      <vt:variant>
        <vt:lpwstr/>
      </vt:variant>
      <vt:variant>
        <vt:i4>2228341</vt:i4>
      </vt:variant>
      <vt:variant>
        <vt:i4>189</vt:i4>
      </vt:variant>
      <vt:variant>
        <vt:i4>0</vt:i4>
      </vt:variant>
      <vt:variant>
        <vt:i4>5</vt:i4>
      </vt:variant>
      <vt:variant>
        <vt:lpwstr>https://kwftp.cpuc.ca.gov/</vt:lpwstr>
      </vt:variant>
      <vt:variant>
        <vt:lpwstr/>
      </vt:variant>
      <vt:variant>
        <vt:i4>1835057</vt:i4>
      </vt:variant>
      <vt:variant>
        <vt:i4>182</vt:i4>
      </vt:variant>
      <vt:variant>
        <vt:i4>0</vt:i4>
      </vt:variant>
      <vt:variant>
        <vt:i4>5</vt:i4>
      </vt:variant>
      <vt:variant>
        <vt:lpwstr/>
      </vt:variant>
      <vt:variant>
        <vt:lpwstr>_Toc100132380</vt:lpwstr>
      </vt:variant>
      <vt:variant>
        <vt:i4>1245233</vt:i4>
      </vt:variant>
      <vt:variant>
        <vt:i4>176</vt:i4>
      </vt:variant>
      <vt:variant>
        <vt:i4>0</vt:i4>
      </vt:variant>
      <vt:variant>
        <vt:i4>5</vt:i4>
      </vt:variant>
      <vt:variant>
        <vt:lpwstr/>
      </vt:variant>
      <vt:variant>
        <vt:lpwstr>_Toc100132379</vt:lpwstr>
      </vt:variant>
      <vt:variant>
        <vt:i4>1245233</vt:i4>
      </vt:variant>
      <vt:variant>
        <vt:i4>170</vt:i4>
      </vt:variant>
      <vt:variant>
        <vt:i4>0</vt:i4>
      </vt:variant>
      <vt:variant>
        <vt:i4>5</vt:i4>
      </vt:variant>
      <vt:variant>
        <vt:lpwstr/>
      </vt:variant>
      <vt:variant>
        <vt:lpwstr>_Toc100132378</vt:lpwstr>
      </vt:variant>
      <vt:variant>
        <vt:i4>1245233</vt:i4>
      </vt:variant>
      <vt:variant>
        <vt:i4>164</vt:i4>
      </vt:variant>
      <vt:variant>
        <vt:i4>0</vt:i4>
      </vt:variant>
      <vt:variant>
        <vt:i4>5</vt:i4>
      </vt:variant>
      <vt:variant>
        <vt:lpwstr/>
      </vt:variant>
      <vt:variant>
        <vt:lpwstr>_Toc100132377</vt:lpwstr>
      </vt:variant>
      <vt:variant>
        <vt:i4>1245233</vt:i4>
      </vt:variant>
      <vt:variant>
        <vt:i4>158</vt:i4>
      </vt:variant>
      <vt:variant>
        <vt:i4>0</vt:i4>
      </vt:variant>
      <vt:variant>
        <vt:i4>5</vt:i4>
      </vt:variant>
      <vt:variant>
        <vt:lpwstr/>
      </vt:variant>
      <vt:variant>
        <vt:lpwstr>_Toc100132376</vt:lpwstr>
      </vt:variant>
      <vt:variant>
        <vt:i4>1245233</vt:i4>
      </vt:variant>
      <vt:variant>
        <vt:i4>152</vt:i4>
      </vt:variant>
      <vt:variant>
        <vt:i4>0</vt:i4>
      </vt:variant>
      <vt:variant>
        <vt:i4>5</vt:i4>
      </vt:variant>
      <vt:variant>
        <vt:lpwstr/>
      </vt:variant>
      <vt:variant>
        <vt:lpwstr>_Toc100132375</vt:lpwstr>
      </vt:variant>
      <vt:variant>
        <vt:i4>1245233</vt:i4>
      </vt:variant>
      <vt:variant>
        <vt:i4>146</vt:i4>
      </vt:variant>
      <vt:variant>
        <vt:i4>0</vt:i4>
      </vt:variant>
      <vt:variant>
        <vt:i4>5</vt:i4>
      </vt:variant>
      <vt:variant>
        <vt:lpwstr/>
      </vt:variant>
      <vt:variant>
        <vt:lpwstr>_Toc100132374</vt:lpwstr>
      </vt:variant>
      <vt:variant>
        <vt:i4>1245233</vt:i4>
      </vt:variant>
      <vt:variant>
        <vt:i4>140</vt:i4>
      </vt:variant>
      <vt:variant>
        <vt:i4>0</vt:i4>
      </vt:variant>
      <vt:variant>
        <vt:i4>5</vt:i4>
      </vt:variant>
      <vt:variant>
        <vt:lpwstr/>
      </vt:variant>
      <vt:variant>
        <vt:lpwstr>_Toc100132373</vt:lpwstr>
      </vt:variant>
      <vt:variant>
        <vt:i4>1245233</vt:i4>
      </vt:variant>
      <vt:variant>
        <vt:i4>134</vt:i4>
      </vt:variant>
      <vt:variant>
        <vt:i4>0</vt:i4>
      </vt:variant>
      <vt:variant>
        <vt:i4>5</vt:i4>
      </vt:variant>
      <vt:variant>
        <vt:lpwstr/>
      </vt:variant>
      <vt:variant>
        <vt:lpwstr>_Toc100132372</vt:lpwstr>
      </vt:variant>
      <vt:variant>
        <vt:i4>1245233</vt:i4>
      </vt:variant>
      <vt:variant>
        <vt:i4>128</vt:i4>
      </vt:variant>
      <vt:variant>
        <vt:i4>0</vt:i4>
      </vt:variant>
      <vt:variant>
        <vt:i4>5</vt:i4>
      </vt:variant>
      <vt:variant>
        <vt:lpwstr/>
      </vt:variant>
      <vt:variant>
        <vt:lpwstr>_Toc100132371</vt:lpwstr>
      </vt:variant>
      <vt:variant>
        <vt:i4>1245233</vt:i4>
      </vt:variant>
      <vt:variant>
        <vt:i4>122</vt:i4>
      </vt:variant>
      <vt:variant>
        <vt:i4>0</vt:i4>
      </vt:variant>
      <vt:variant>
        <vt:i4>5</vt:i4>
      </vt:variant>
      <vt:variant>
        <vt:lpwstr/>
      </vt:variant>
      <vt:variant>
        <vt:lpwstr>_Toc100132370</vt:lpwstr>
      </vt:variant>
      <vt:variant>
        <vt:i4>1179697</vt:i4>
      </vt:variant>
      <vt:variant>
        <vt:i4>116</vt:i4>
      </vt:variant>
      <vt:variant>
        <vt:i4>0</vt:i4>
      </vt:variant>
      <vt:variant>
        <vt:i4>5</vt:i4>
      </vt:variant>
      <vt:variant>
        <vt:lpwstr/>
      </vt:variant>
      <vt:variant>
        <vt:lpwstr>_Toc100132369</vt:lpwstr>
      </vt:variant>
      <vt:variant>
        <vt:i4>1179697</vt:i4>
      </vt:variant>
      <vt:variant>
        <vt:i4>110</vt:i4>
      </vt:variant>
      <vt:variant>
        <vt:i4>0</vt:i4>
      </vt:variant>
      <vt:variant>
        <vt:i4>5</vt:i4>
      </vt:variant>
      <vt:variant>
        <vt:lpwstr/>
      </vt:variant>
      <vt:variant>
        <vt:lpwstr>_Toc100132368</vt:lpwstr>
      </vt:variant>
      <vt:variant>
        <vt:i4>1179697</vt:i4>
      </vt:variant>
      <vt:variant>
        <vt:i4>104</vt:i4>
      </vt:variant>
      <vt:variant>
        <vt:i4>0</vt:i4>
      </vt:variant>
      <vt:variant>
        <vt:i4>5</vt:i4>
      </vt:variant>
      <vt:variant>
        <vt:lpwstr/>
      </vt:variant>
      <vt:variant>
        <vt:lpwstr>_Toc100132367</vt:lpwstr>
      </vt:variant>
      <vt:variant>
        <vt:i4>1179697</vt:i4>
      </vt:variant>
      <vt:variant>
        <vt:i4>98</vt:i4>
      </vt:variant>
      <vt:variant>
        <vt:i4>0</vt:i4>
      </vt:variant>
      <vt:variant>
        <vt:i4>5</vt:i4>
      </vt:variant>
      <vt:variant>
        <vt:lpwstr/>
      </vt:variant>
      <vt:variant>
        <vt:lpwstr>_Toc100132366</vt:lpwstr>
      </vt:variant>
      <vt:variant>
        <vt:i4>1179697</vt:i4>
      </vt:variant>
      <vt:variant>
        <vt:i4>92</vt:i4>
      </vt:variant>
      <vt:variant>
        <vt:i4>0</vt:i4>
      </vt:variant>
      <vt:variant>
        <vt:i4>5</vt:i4>
      </vt:variant>
      <vt:variant>
        <vt:lpwstr/>
      </vt:variant>
      <vt:variant>
        <vt:lpwstr>_Toc100132365</vt:lpwstr>
      </vt:variant>
      <vt:variant>
        <vt:i4>1179697</vt:i4>
      </vt:variant>
      <vt:variant>
        <vt:i4>86</vt:i4>
      </vt:variant>
      <vt:variant>
        <vt:i4>0</vt:i4>
      </vt:variant>
      <vt:variant>
        <vt:i4>5</vt:i4>
      </vt:variant>
      <vt:variant>
        <vt:lpwstr/>
      </vt:variant>
      <vt:variant>
        <vt:lpwstr>_Toc100132364</vt:lpwstr>
      </vt:variant>
      <vt:variant>
        <vt:i4>1179697</vt:i4>
      </vt:variant>
      <vt:variant>
        <vt:i4>80</vt:i4>
      </vt:variant>
      <vt:variant>
        <vt:i4>0</vt:i4>
      </vt:variant>
      <vt:variant>
        <vt:i4>5</vt:i4>
      </vt:variant>
      <vt:variant>
        <vt:lpwstr/>
      </vt:variant>
      <vt:variant>
        <vt:lpwstr>_Toc100132363</vt:lpwstr>
      </vt:variant>
      <vt:variant>
        <vt:i4>1179697</vt:i4>
      </vt:variant>
      <vt:variant>
        <vt:i4>74</vt:i4>
      </vt:variant>
      <vt:variant>
        <vt:i4>0</vt:i4>
      </vt:variant>
      <vt:variant>
        <vt:i4>5</vt:i4>
      </vt:variant>
      <vt:variant>
        <vt:lpwstr/>
      </vt:variant>
      <vt:variant>
        <vt:lpwstr>_Toc100132362</vt:lpwstr>
      </vt:variant>
      <vt:variant>
        <vt:i4>1179697</vt:i4>
      </vt:variant>
      <vt:variant>
        <vt:i4>68</vt:i4>
      </vt:variant>
      <vt:variant>
        <vt:i4>0</vt:i4>
      </vt:variant>
      <vt:variant>
        <vt:i4>5</vt:i4>
      </vt:variant>
      <vt:variant>
        <vt:lpwstr/>
      </vt:variant>
      <vt:variant>
        <vt:lpwstr>_Toc100132361</vt:lpwstr>
      </vt:variant>
      <vt:variant>
        <vt:i4>1179697</vt:i4>
      </vt:variant>
      <vt:variant>
        <vt:i4>62</vt:i4>
      </vt:variant>
      <vt:variant>
        <vt:i4>0</vt:i4>
      </vt:variant>
      <vt:variant>
        <vt:i4>5</vt:i4>
      </vt:variant>
      <vt:variant>
        <vt:lpwstr/>
      </vt:variant>
      <vt:variant>
        <vt:lpwstr>_Toc100132360</vt:lpwstr>
      </vt:variant>
      <vt:variant>
        <vt:i4>1114161</vt:i4>
      </vt:variant>
      <vt:variant>
        <vt:i4>56</vt:i4>
      </vt:variant>
      <vt:variant>
        <vt:i4>0</vt:i4>
      </vt:variant>
      <vt:variant>
        <vt:i4>5</vt:i4>
      </vt:variant>
      <vt:variant>
        <vt:lpwstr/>
      </vt:variant>
      <vt:variant>
        <vt:lpwstr>_Toc100132359</vt:lpwstr>
      </vt:variant>
      <vt:variant>
        <vt:i4>1114161</vt:i4>
      </vt:variant>
      <vt:variant>
        <vt:i4>50</vt:i4>
      </vt:variant>
      <vt:variant>
        <vt:i4>0</vt:i4>
      </vt:variant>
      <vt:variant>
        <vt:i4>5</vt:i4>
      </vt:variant>
      <vt:variant>
        <vt:lpwstr/>
      </vt:variant>
      <vt:variant>
        <vt:lpwstr>_Toc100132358</vt:lpwstr>
      </vt:variant>
      <vt:variant>
        <vt:i4>1114161</vt:i4>
      </vt:variant>
      <vt:variant>
        <vt:i4>44</vt:i4>
      </vt:variant>
      <vt:variant>
        <vt:i4>0</vt:i4>
      </vt:variant>
      <vt:variant>
        <vt:i4>5</vt:i4>
      </vt:variant>
      <vt:variant>
        <vt:lpwstr/>
      </vt:variant>
      <vt:variant>
        <vt:lpwstr>_Toc100132357</vt:lpwstr>
      </vt:variant>
      <vt:variant>
        <vt:i4>1114161</vt:i4>
      </vt:variant>
      <vt:variant>
        <vt:i4>38</vt:i4>
      </vt:variant>
      <vt:variant>
        <vt:i4>0</vt:i4>
      </vt:variant>
      <vt:variant>
        <vt:i4>5</vt:i4>
      </vt:variant>
      <vt:variant>
        <vt:lpwstr/>
      </vt:variant>
      <vt:variant>
        <vt:lpwstr>_Toc100132356</vt:lpwstr>
      </vt:variant>
      <vt:variant>
        <vt:i4>1114161</vt:i4>
      </vt:variant>
      <vt:variant>
        <vt:i4>32</vt:i4>
      </vt:variant>
      <vt:variant>
        <vt:i4>0</vt:i4>
      </vt:variant>
      <vt:variant>
        <vt:i4>5</vt:i4>
      </vt:variant>
      <vt:variant>
        <vt:lpwstr/>
      </vt:variant>
      <vt:variant>
        <vt:lpwstr>_Toc100132355</vt:lpwstr>
      </vt:variant>
      <vt:variant>
        <vt:i4>1114161</vt:i4>
      </vt:variant>
      <vt:variant>
        <vt:i4>26</vt:i4>
      </vt:variant>
      <vt:variant>
        <vt:i4>0</vt:i4>
      </vt:variant>
      <vt:variant>
        <vt:i4>5</vt:i4>
      </vt:variant>
      <vt:variant>
        <vt:lpwstr/>
      </vt:variant>
      <vt:variant>
        <vt:lpwstr>_Toc100132354</vt:lpwstr>
      </vt:variant>
      <vt:variant>
        <vt:i4>1114161</vt:i4>
      </vt:variant>
      <vt:variant>
        <vt:i4>20</vt:i4>
      </vt:variant>
      <vt:variant>
        <vt:i4>0</vt:i4>
      </vt:variant>
      <vt:variant>
        <vt:i4>5</vt:i4>
      </vt:variant>
      <vt:variant>
        <vt:lpwstr/>
      </vt:variant>
      <vt:variant>
        <vt:lpwstr>_Toc100132353</vt:lpwstr>
      </vt:variant>
      <vt:variant>
        <vt:i4>1114161</vt:i4>
      </vt:variant>
      <vt:variant>
        <vt:i4>14</vt:i4>
      </vt:variant>
      <vt:variant>
        <vt:i4>0</vt:i4>
      </vt:variant>
      <vt:variant>
        <vt:i4>5</vt:i4>
      </vt:variant>
      <vt:variant>
        <vt:lpwstr/>
      </vt:variant>
      <vt:variant>
        <vt:lpwstr>_Toc100132352</vt:lpwstr>
      </vt:variant>
      <vt:variant>
        <vt:i4>1114161</vt:i4>
      </vt:variant>
      <vt:variant>
        <vt:i4>8</vt:i4>
      </vt:variant>
      <vt:variant>
        <vt:i4>0</vt:i4>
      </vt:variant>
      <vt:variant>
        <vt:i4>5</vt:i4>
      </vt:variant>
      <vt:variant>
        <vt:lpwstr/>
      </vt:variant>
      <vt:variant>
        <vt:lpwstr>_Toc100132351</vt:lpwstr>
      </vt:variant>
      <vt:variant>
        <vt:i4>1114161</vt:i4>
      </vt:variant>
      <vt:variant>
        <vt:i4>2</vt:i4>
      </vt:variant>
      <vt:variant>
        <vt:i4>0</vt:i4>
      </vt:variant>
      <vt:variant>
        <vt:i4>5</vt:i4>
      </vt:variant>
      <vt:variant>
        <vt:lpwstr/>
      </vt:variant>
      <vt:variant>
        <vt:lpwstr>_Toc100132350</vt:lpwstr>
      </vt:variant>
      <vt:variant>
        <vt:i4>4325481</vt:i4>
      </vt:variant>
      <vt:variant>
        <vt:i4>27</vt:i4>
      </vt:variant>
      <vt:variant>
        <vt:i4>0</vt:i4>
      </vt:variant>
      <vt:variant>
        <vt:i4>5</vt:i4>
      </vt:variant>
      <vt:variant>
        <vt:lpwstr>https://www2.ntia.doc.gov/files/toolkit_042913.pdf</vt:lpwstr>
      </vt:variant>
      <vt:variant>
        <vt:lpwstr/>
      </vt:variant>
      <vt:variant>
        <vt:i4>5505108</vt:i4>
      </vt:variant>
      <vt:variant>
        <vt:i4>24</vt:i4>
      </vt:variant>
      <vt:variant>
        <vt:i4>0</vt:i4>
      </vt:variant>
      <vt:variant>
        <vt:i4>5</vt:i4>
      </vt:variant>
      <vt:variant>
        <vt:lpwstr>http://www.cpuc.ca.gov/consumer-support/financial-assistance-savings-and-</vt:lpwstr>
      </vt:variant>
      <vt:variant>
        <vt:lpwstr/>
      </vt:variant>
      <vt:variant>
        <vt:i4>5832775</vt:i4>
      </vt:variant>
      <vt:variant>
        <vt:i4>21</vt:i4>
      </vt:variant>
      <vt:variant>
        <vt:i4>0</vt:i4>
      </vt:variant>
      <vt:variant>
        <vt:i4>5</vt:i4>
      </vt:variant>
      <vt:variant>
        <vt:lpwstr>http://consumers.cpuc.ca.gov/lowincomerates/</vt:lpwstr>
      </vt:variant>
      <vt:variant>
        <vt:lpwstr/>
      </vt:variant>
      <vt:variant>
        <vt:i4>4063337</vt:i4>
      </vt:variant>
      <vt:variant>
        <vt:i4>18</vt:i4>
      </vt:variant>
      <vt:variant>
        <vt:i4>0</vt:i4>
      </vt:variant>
      <vt:variant>
        <vt:i4>5</vt:i4>
      </vt:variant>
      <vt:variant>
        <vt:lpwstr>http://www.cpuc.ca.gov/General.aspx?id=5753</vt:lpwstr>
      </vt:variant>
      <vt:variant>
        <vt:lpwstr/>
      </vt:variant>
      <vt:variant>
        <vt:i4>7012475</vt:i4>
      </vt:variant>
      <vt:variant>
        <vt:i4>15</vt:i4>
      </vt:variant>
      <vt:variant>
        <vt:i4>0</vt:i4>
      </vt:variant>
      <vt:variant>
        <vt:i4>5</vt:i4>
      </vt:variant>
      <vt:variant>
        <vt:lpwstr>https://docs.fcc.gov/public/attachments/FCC-21-18A1.pdf</vt:lpwstr>
      </vt:variant>
      <vt:variant>
        <vt:lpwstr/>
      </vt:variant>
      <vt:variant>
        <vt:i4>5439510</vt:i4>
      </vt:variant>
      <vt:variant>
        <vt:i4>12</vt:i4>
      </vt:variant>
      <vt:variant>
        <vt:i4>0</vt:i4>
      </vt:variant>
      <vt:variant>
        <vt:i4>5</vt:i4>
      </vt:variant>
      <vt:variant>
        <vt:lpwstr>https://www.fcc.gov/document/fcc-annual-broadband-report-shows-digital-divide-rapidly-closing</vt:lpwstr>
      </vt:variant>
      <vt:variant>
        <vt:lpwstr/>
      </vt:variant>
      <vt:variant>
        <vt:i4>3014763</vt:i4>
      </vt:variant>
      <vt:variant>
        <vt:i4>9</vt:i4>
      </vt:variant>
      <vt:variant>
        <vt:i4>0</vt:i4>
      </vt:variant>
      <vt:variant>
        <vt:i4>5</vt:i4>
      </vt:variant>
      <vt:variant>
        <vt:lpwstr>https://www.fcc.gov/reports-research/reports/broadband-progress-reports</vt:lpwstr>
      </vt:variant>
      <vt:variant>
        <vt:lpwstr/>
      </vt:variant>
      <vt:variant>
        <vt:i4>2490421</vt:i4>
      </vt:variant>
      <vt:variant>
        <vt:i4>6</vt:i4>
      </vt:variant>
      <vt:variant>
        <vt:i4>0</vt:i4>
      </vt:variant>
      <vt:variant>
        <vt:i4>5</vt:i4>
      </vt:variant>
      <vt:variant>
        <vt:lpwstr>https://www.fcc.gov/acp</vt:lpwstr>
      </vt:variant>
      <vt:variant>
        <vt:lpwstr/>
      </vt:variant>
      <vt:variant>
        <vt:i4>7012475</vt:i4>
      </vt:variant>
      <vt:variant>
        <vt:i4>3</vt:i4>
      </vt:variant>
      <vt:variant>
        <vt:i4>0</vt:i4>
      </vt:variant>
      <vt:variant>
        <vt:i4>5</vt:i4>
      </vt:variant>
      <vt:variant>
        <vt:lpwstr>https://docs.fcc.gov/public/attachments/FCC-21-18A1.pdf</vt:lpwstr>
      </vt:variant>
      <vt:variant>
        <vt:lpwstr/>
      </vt:variant>
      <vt:variant>
        <vt:i4>5439510</vt:i4>
      </vt:variant>
      <vt:variant>
        <vt:i4>0</vt:i4>
      </vt:variant>
      <vt:variant>
        <vt:i4>0</vt:i4>
      </vt:variant>
      <vt:variant>
        <vt:i4>5</vt:i4>
      </vt:variant>
      <vt:variant>
        <vt:lpwstr>https://www.fcc.gov/document/fcc-annual-broadband-report-shows-digital-divide-rapidly-closing</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2022-05-17T18:12:00Z</cp:lastPrinted>
  <dcterms:created xsi:type="dcterms:W3CDTF">2022-05-24T10:36:36Z</dcterms:created>
  <dcterms:modified xsi:type="dcterms:W3CDTF">2022-05-24T10:36:36Z</dcterms:modified>
</cp:coreProperties>
</file>