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5B8" w:rsidP="00E23438" w:rsidRDefault="002A2AFF" w14:paraId="373CB4FB" w14:textId="25754218">
      <w:pPr>
        <w:pStyle w:val="Header"/>
        <w:tabs>
          <w:tab w:val="clear" w:pos="4320"/>
          <w:tab w:val="clear" w:pos="8640"/>
          <w:tab w:val="center" w:pos="4680"/>
          <w:tab w:val="right" w:pos="9360"/>
        </w:tabs>
        <w:rPr>
          <w:b/>
          <w:bCs/>
          <w:szCs w:val="26"/>
        </w:rPr>
      </w:pPr>
      <w:r>
        <w:t>ALJ</w:t>
      </w:r>
      <w:r w:rsidRPr="00703DFA">
        <w:t>/</w:t>
      </w:r>
      <w:r w:rsidR="002D105E">
        <w:t>ADR</w:t>
      </w:r>
      <w:r w:rsidR="00D16326">
        <w:t>/</w:t>
      </w:r>
      <w:proofErr w:type="spellStart"/>
      <w:r w:rsidR="00612115">
        <w:t>smt</w:t>
      </w:r>
      <w:proofErr w:type="spellEnd"/>
      <w:r w:rsidRPr="00270AB9" w:rsidR="001005B8">
        <w:rPr>
          <w:szCs w:val="26"/>
        </w:rPr>
        <w:tab/>
        <w:t xml:space="preserve"> </w:t>
      </w:r>
      <w:r w:rsidR="00E23438">
        <w:rPr>
          <w:szCs w:val="26"/>
        </w:rPr>
        <w:tab/>
      </w:r>
      <w:r w:rsidRPr="00E23438" w:rsidR="00E23438">
        <w:rPr>
          <w:b/>
          <w:bCs/>
          <w:szCs w:val="26"/>
        </w:rPr>
        <w:t>Date of Issuance 5/24/2022</w:t>
      </w:r>
    </w:p>
    <w:p w:rsidR="00E23438" w:rsidP="00E23438" w:rsidRDefault="00E23438" w14:paraId="1E7562F8" w14:textId="18628C2D">
      <w:pPr>
        <w:pStyle w:val="Header"/>
        <w:tabs>
          <w:tab w:val="clear" w:pos="4320"/>
          <w:tab w:val="clear" w:pos="8640"/>
          <w:tab w:val="center" w:pos="4680"/>
          <w:tab w:val="right" w:pos="9360"/>
        </w:tabs>
        <w:rPr>
          <w:b/>
          <w:bCs/>
          <w:szCs w:val="26"/>
        </w:rPr>
      </w:pPr>
    </w:p>
    <w:p w:rsidRPr="00270AB9" w:rsidR="00E23438" w:rsidP="00E23438" w:rsidRDefault="00E23438" w14:paraId="17A86A26" w14:textId="77777777">
      <w:pPr>
        <w:pStyle w:val="Header"/>
        <w:tabs>
          <w:tab w:val="clear" w:pos="4320"/>
          <w:tab w:val="clear" w:pos="8640"/>
          <w:tab w:val="center" w:pos="4680"/>
          <w:tab w:val="right" w:pos="9360"/>
        </w:tabs>
        <w:rPr>
          <w:szCs w:val="26"/>
        </w:rPr>
      </w:pPr>
    </w:p>
    <w:p w:rsidRPr="00270AB9" w:rsidR="001005B8" w:rsidP="001005B8" w:rsidRDefault="001005B8" w14:paraId="2EF7C9DE" w14:textId="00E90020">
      <w:pPr>
        <w:suppressAutoHyphens/>
        <w:rPr>
          <w:szCs w:val="26"/>
        </w:rPr>
      </w:pPr>
      <w:r w:rsidRPr="00270AB9">
        <w:rPr>
          <w:szCs w:val="26"/>
        </w:rPr>
        <w:t>Decision</w:t>
      </w:r>
      <w:r w:rsidR="00E23438">
        <w:rPr>
          <w:szCs w:val="26"/>
        </w:rPr>
        <w:t xml:space="preserve"> 22-05-021  May 19, 2022</w:t>
      </w:r>
    </w:p>
    <w:p w:rsidR="001005B8" w:rsidP="001005B8" w:rsidRDefault="001005B8" w14:paraId="73080477" w14:textId="77777777">
      <w:pPr>
        <w:pStyle w:val="Header"/>
        <w:tabs>
          <w:tab w:val="clear" w:pos="4320"/>
          <w:tab w:val="clear" w:pos="8640"/>
          <w:tab w:val="center" w:pos="4680"/>
          <w:tab w:val="right" w:pos="9360"/>
        </w:tabs>
      </w:pPr>
    </w:p>
    <w:p w:rsidRPr="00E304D2" w:rsidR="0089195D" w:rsidP="00E304D2" w:rsidRDefault="0089195D" w14:paraId="79A9FBE1" w14:textId="3928C6E0">
      <w:pPr>
        <w:pStyle w:val="Header"/>
        <w:tabs>
          <w:tab w:val="clear" w:pos="4320"/>
          <w:tab w:val="clear" w:pos="8640"/>
          <w:tab w:val="center" w:pos="4680"/>
          <w:tab w:val="right" w:pos="9360"/>
        </w:tabs>
        <w:jc w:val="center"/>
        <w:rPr>
          <w:rFonts w:ascii="Arial" w:hAnsi="Arial" w:cs="Arial"/>
          <w:b/>
          <w:bCs/>
          <w:sz w:val="24"/>
        </w:rPr>
      </w:pPr>
      <w:r w:rsidRPr="00E304D2">
        <w:rPr>
          <w:rFonts w:ascii="Arial" w:hAnsi="Arial" w:cs="Arial"/>
          <w:b/>
          <w:bCs/>
          <w:sz w:val="24"/>
        </w:rPr>
        <w:t>BEFORE THE PUBLIC UTILITIES COMMISSION OF THE STATE OF CALIFORNIA</w:t>
      </w:r>
    </w:p>
    <w:p w:rsidRPr="00E304D2" w:rsidR="0089195D" w:rsidP="00E304D2" w:rsidRDefault="0089195D" w14:paraId="0930CEF8" w14:textId="77777777">
      <w:pPr>
        <w:suppressAutoHyphens/>
        <w:jc w:val="center"/>
        <w:rPr>
          <w:rFonts w:ascii="Arial" w:hAnsi="Arial" w:cs="Arial"/>
          <w:b/>
          <w:bCs/>
        </w:rPr>
      </w:pPr>
    </w:p>
    <w:tbl>
      <w:tblPr>
        <w:tblW w:w="9558" w:type="dxa"/>
        <w:tblLayout w:type="fixed"/>
        <w:tblLook w:val="0000" w:firstRow="0" w:lastRow="0" w:firstColumn="0" w:lastColumn="0" w:noHBand="0" w:noVBand="0"/>
      </w:tblPr>
      <w:tblGrid>
        <w:gridCol w:w="5040"/>
        <w:gridCol w:w="4518"/>
      </w:tblGrid>
      <w:tr w:rsidR="00D16326" w:rsidTr="00612115" w14:paraId="42E87756" w14:textId="77777777">
        <w:tc>
          <w:tcPr>
            <w:tcW w:w="5040" w:type="dxa"/>
            <w:tcBorders>
              <w:bottom w:val="single" w:color="auto" w:sz="6" w:space="0"/>
              <w:right w:val="single" w:color="auto" w:sz="6" w:space="0"/>
            </w:tcBorders>
            <w:shd w:val="clear" w:color="auto" w:fill="auto"/>
          </w:tcPr>
          <w:p w:rsidR="00456C4A" w:rsidP="00167053" w:rsidRDefault="00456C4A" w14:paraId="10737A66" w14:textId="20B64FA2">
            <w:pPr>
              <w:rPr>
                <w:rFonts w:cs="Arial" w:eastAsiaTheme="minorHAnsi"/>
                <w:color w:val="000000"/>
                <w:szCs w:val="26"/>
              </w:rPr>
            </w:pPr>
            <w:r w:rsidRPr="00167053">
              <w:rPr>
                <w:rFonts w:cs="Arial" w:eastAsiaTheme="minorHAnsi"/>
                <w:color w:val="000000"/>
                <w:szCs w:val="26"/>
              </w:rPr>
              <w:t>In the Matter of the Application of Crimson California Pipeline L.P. (PLC-26) for Authority to Increase Rates for Its Crude Oil Pipeline Services.</w:t>
            </w:r>
          </w:p>
          <w:p w:rsidRPr="00825448" w:rsidR="00167053" w:rsidP="00167053" w:rsidRDefault="00167053" w14:paraId="52874FF4" w14:textId="58D6369D"/>
        </w:tc>
        <w:tc>
          <w:tcPr>
            <w:tcW w:w="4518" w:type="dxa"/>
            <w:tcBorders>
              <w:left w:val="nil"/>
            </w:tcBorders>
            <w:shd w:val="clear" w:color="auto" w:fill="auto"/>
          </w:tcPr>
          <w:p w:rsidR="00334C52" w:rsidP="007E448B" w:rsidRDefault="00334C52" w14:paraId="6DEB95DC" w14:textId="77777777">
            <w:pPr>
              <w:jc w:val="center"/>
            </w:pPr>
          </w:p>
          <w:p w:rsidR="00612115" w:rsidP="007E448B" w:rsidRDefault="00612115" w14:paraId="2E538475" w14:textId="77777777">
            <w:pPr>
              <w:jc w:val="center"/>
            </w:pPr>
          </w:p>
          <w:p w:rsidR="002D105E" w:rsidP="007E448B" w:rsidRDefault="00167053" w14:paraId="253AED5D" w14:textId="02CA84C1">
            <w:pPr>
              <w:jc w:val="center"/>
            </w:pPr>
            <w:r>
              <w:t>A</w:t>
            </w:r>
            <w:r w:rsidR="00456C4A">
              <w:t xml:space="preserve">pplication </w:t>
            </w:r>
            <w:r>
              <w:t>20-06-009</w:t>
            </w:r>
          </w:p>
          <w:p w:rsidR="00D16326" w:rsidP="00167053" w:rsidRDefault="00D16326" w14:paraId="78D5F36C" w14:textId="14E60EE5"/>
        </w:tc>
      </w:tr>
    </w:tbl>
    <w:p w:rsidR="0089195D" w:rsidRDefault="0089195D" w14:paraId="6352B93F" w14:textId="77777777">
      <w:pPr>
        <w:suppressAutoHyphens/>
      </w:pPr>
    </w:p>
    <w:p w:rsidR="0089195D" w:rsidRDefault="0089195D" w14:paraId="7799850B" w14:textId="77777777"/>
    <w:p w:rsidRPr="00E304D2" w:rsidR="0089195D" w:rsidRDefault="0089195D" w14:paraId="5791EB0F" w14:textId="77777777">
      <w:pPr>
        <w:jc w:val="center"/>
        <w:rPr>
          <w:rFonts w:ascii="Arial" w:hAnsi="Arial" w:cs="Arial"/>
          <w:b/>
          <w:szCs w:val="26"/>
        </w:rPr>
      </w:pPr>
      <w:bookmarkStart w:name="_Toc370798909" w:id="0"/>
      <w:r w:rsidRPr="00E304D2">
        <w:rPr>
          <w:rFonts w:ascii="Arial" w:hAnsi="Arial" w:cs="Arial"/>
          <w:b/>
          <w:szCs w:val="26"/>
        </w:rPr>
        <w:t>ORDER EXTENDING STATUTORY DEADLINE</w:t>
      </w:r>
    </w:p>
    <w:bookmarkEnd w:id="0"/>
    <w:p w:rsidR="0089195D" w:rsidP="00107949" w:rsidRDefault="0089195D" w14:paraId="13F3863A" w14:textId="77777777">
      <w:pPr>
        <w:tabs>
          <w:tab w:val="left" w:pos="3493"/>
        </w:tabs>
        <w:suppressAutoHyphens/>
      </w:pPr>
    </w:p>
    <w:p w:rsidRPr="00E304D2" w:rsidR="003A3FFB" w:rsidP="007A6B7B" w:rsidRDefault="003A3FFB" w14:paraId="00712881" w14:textId="77777777">
      <w:pPr>
        <w:keepNext/>
        <w:tabs>
          <w:tab w:val="center" w:pos="4680"/>
        </w:tabs>
        <w:spacing w:before="120" w:after="120"/>
        <w:outlineLvl w:val="0"/>
        <w:rPr>
          <w:rFonts w:ascii="Arial" w:hAnsi="Arial" w:cs="Arial"/>
          <w:b/>
        </w:rPr>
      </w:pPr>
      <w:bookmarkStart w:name="_Toc370798910" w:id="1"/>
      <w:r w:rsidRPr="00E304D2">
        <w:rPr>
          <w:rFonts w:ascii="Arial" w:hAnsi="Arial" w:cs="Arial"/>
          <w:b/>
        </w:rPr>
        <w:t>Summary</w:t>
      </w:r>
    </w:p>
    <w:p w:rsidRPr="003A3FFB" w:rsidR="003A3FFB" w:rsidP="00C64C08" w:rsidRDefault="002D105E" w14:paraId="102B90A4" w14:textId="692D77E1">
      <w:pPr>
        <w:spacing w:line="360" w:lineRule="auto"/>
        <w:ind w:firstLine="720"/>
      </w:pPr>
      <w:r w:rsidRPr="002D105E">
        <w:rPr>
          <w:szCs w:val="26"/>
        </w:rPr>
        <w:t xml:space="preserve">This </w:t>
      </w:r>
      <w:r>
        <w:rPr>
          <w:szCs w:val="26"/>
        </w:rPr>
        <w:t>d</w:t>
      </w:r>
      <w:r w:rsidRPr="002D105E">
        <w:rPr>
          <w:szCs w:val="26"/>
        </w:rPr>
        <w:t xml:space="preserve">ecision extends the statutory deadline for completion of </w:t>
      </w:r>
      <w:r w:rsidR="00167053">
        <w:rPr>
          <w:szCs w:val="26"/>
        </w:rPr>
        <w:t>Application</w:t>
      </w:r>
      <w:r w:rsidRPr="00D15031" w:rsidR="00D15031">
        <w:rPr>
          <w:szCs w:val="26"/>
        </w:rPr>
        <w:t xml:space="preserve"> </w:t>
      </w:r>
      <w:r w:rsidRPr="002D105E">
        <w:rPr>
          <w:szCs w:val="26"/>
        </w:rPr>
        <w:t>(</w:t>
      </w:r>
      <w:r w:rsidR="00167053">
        <w:rPr>
          <w:szCs w:val="26"/>
        </w:rPr>
        <w:t>A</w:t>
      </w:r>
      <w:r w:rsidRPr="002D105E">
        <w:rPr>
          <w:szCs w:val="26"/>
        </w:rPr>
        <w:t xml:space="preserve">.) </w:t>
      </w:r>
      <w:r w:rsidR="00167053">
        <w:rPr>
          <w:szCs w:val="26"/>
        </w:rPr>
        <w:t>20-06-009</w:t>
      </w:r>
      <w:r w:rsidRPr="002D105E">
        <w:rPr>
          <w:szCs w:val="26"/>
        </w:rPr>
        <w:t xml:space="preserve"> until</w:t>
      </w:r>
      <w:r w:rsidR="009206B2">
        <w:rPr>
          <w:szCs w:val="26"/>
        </w:rPr>
        <w:t xml:space="preserve"> </w:t>
      </w:r>
      <w:r w:rsidR="00227B8D">
        <w:rPr>
          <w:szCs w:val="26"/>
        </w:rPr>
        <w:t>October 7, 2022</w:t>
      </w:r>
      <w:r w:rsidR="009206B2">
        <w:rPr>
          <w:szCs w:val="26"/>
        </w:rPr>
        <w:t>.</w:t>
      </w:r>
    </w:p>
    <w:p w:rsidRPr="00E304D2" w:rsidR="003A3FFB" w:rsidP="0067542A" w:rsidRDefault="003A3FFB" w14:paraId="7258AAC2" w14:textId="77777777">
      <w:pPr>
        <w:pStyle w:val="ListParagraph"/>
        <w:keepNext/>
        <w:numPr>
          <w:ilvl w:val="0"/>
          <w:numId w:val="8"/>
        </w:numPr>
        <w:spacing w:before="120" w:after="120"/>
        <w:ind w:left="450" w:hanging="450"/>
        <w:outlineLvl w:val="0"/>
        <w:rPr>
          <w:rFonts w:ascii="Arial" w:hAnsi="Arial" w:cs="Arial"/>
          <w:b/>
        </w:rPr>
      </w:pPr>
      <w:r w:rsidRPr="00E304D2">
        <w:rPr>
          <w:rFonts w:ascii="Arial" w:hAnsi="Arial" w:cs="Arial"/>
          <w:b/>
        </w:rPr>
        <w:t>Background</w:t>
      </w:r>
      <w:bookmarkEnd w:id="1"/>
    </w:p>
    <w:p w:rsidR="00612115" w:rsidP="00633154" w:rsidRDefault="00633154" w14:paraId="782729EC" w14:textId="308FA66D">
      <w:pPr>
        <w:pStyle w:val="Standard0"/>
      </w:pPr>
      <w:bookmarkStart w:name="_Hlk34737369" w:id="2"/>
      <w:r w:rsidRPr="0017448C">
        <w:t xml:space="preserve">Public Utilities </w:t>
      </w:r>
      <w:r>
        <w:t xml:space="preserve">(Pub. Util) </w:t>
      </w:r>
      <w:r w:rsidRPr="0017448C">
        <w:t>Code Section 1701.</w:t>
      </w:r>
      <w:r>
        <w:t>5</w:t>
      </w:r>
      <w:r w:rsidRPr="0017448C">
        <w:t>(</w:t>
      </w:r>
      <w:r>
        <w:t>a</w:t>
      </w:r>
      <w:r w:rsidRPr="0017448C">
        <w:t xml:space="preserve">) provides that </w:t>
      </w:r>
      <w:r w:rsidRPr="00B60FD6">
        <w:t xml:space="preserve">the Commission shall resolve the issues raised in the scoping memo of a </w:t>
      </w:r>
      <w:proofErr w:type="spellStart"/>
      <w:r w:rsidRPr="00B60FD6">
        <w:t>ratesetting</w:t>
      </w:r>
      <w:proofErr w:type="spellEnd"/>
      <w:r w:rsidRPr="00B60FD6">
        <w:t xml:space="preserve"> proceeding within 18 months of the date the proceeding is initiated, unless the Commission makes a written determination that the deadline cannot be met and issues an order extending that deadline. </w:t>
      </w:r>
      <w:r w:rsidR="00227B8D">
        <w:t xml:space="preserve">Pursuant to Commission Decision </w:t>
      </w:r>
    </w:p>
    <w:p w:rsidR="00612115" w:rsidP="00612115" w:rsidRDefault="00227B8D" w14:paraId="0BD975FA" w14:textId="77777777">
      <w:pPr>
        <w:pStyle w:val="Standard0"/>
        <w:ind w:firstLine="0"/>
      </w:pPr>
      <w:r>
        <w:t>(D.) 21</w:t>
      </w:r>
      <w:r w:rsidR="00612115">
        <w:t>-</w:t>
      </w:r>
      <w:r>
        <w:t>12</w:t>
      </w:r>
      <w:r w:rsidR="00612115">
        <w:t>-</w:t>
      </w:r>
      <w:r>
        <w:t xml:space="preserve">059, the current deadline for completion of A. 20-06-009 is </w:t>
      </w:r>
    </w:p>
    <w:p w:rsidR="00633154" w:rsidP="00612115" w:rsidRDefault="00227B8D" w14:paraId="3C3457DB" w14:textId="442E1F6B">
      <w:pPr>
        <w:pStyle w:val="Standard0"/>
        <w:ind w:firstLine="0"/>
      </w:pPr>
      <w:r>
        <w:t>May 31, 2022.</w:t>
      </w:r>
    </w:p>
    <w:p w:rsidR="00F20BE6" w:rsidP="00612115" w:rsidRDefault="00F20BE6" w14:paraId="387827A9" w14:textId="77777777">
      <w:pPr>
        <w:pStyle w:val="Standard0"/>
        <w:ind w:firstLine="0"/>
      </w:pPr>
    </w:p>
    <w:p w:rsidR="00633154" w:rsidP="00633154" w:rsidRDefault="00633154" w14:paraId="3F1B3444" w14:textId="43C05DF3">
      <w:pPr>
        <w:spacing w:line="360" w:lineRule="auto"/>
        <w:ind w:firstLine="720"/>
      </w:pPr>
      <w:r>
        <w:lastRenderedPageBreak/>
        <w:t xml:space="preserve">On June 29, 2020, </w:t>
      </w:r>
      <w:r w:rsidRPr="001D5785">
        <w:t>Crimson Pipeline L.P. (PLC-26)</w:t>
      </w:r>
      <w:r>
        <w:rPr>
          <w:rStyle w:val="FootnoteReference"/>
        </w:rPr>
        <w:footnoteReference w:id="2"/>
      </w:r>
      <w:r>
        <w:t xml:space="preserve"> (hereinafter Crimson) filed Application </w:t>
      </w:r>
      <w:r w:rsidR="009E20F1">
        <w:t>(</w:t>
      </w:r>
      <w:r>
        <w:t>A.</w:t>
      </w:r>
      <w:r w:rsidR="009E20F1">
        <w:t xml:space="preserve">) </w:t>
      </w:r>
      <w:r>
        <w:t xml:space="preserve">20-06-009 with the Commission requesting authority to increase rates on its KLM Pipeline System by ten percent (10%), with an effective date of August 1, 2020. Crimson contemporaneously filed Tier 1 Advice Letter </w:t>
      </w:r>
      <w:r w:rsidR="00612115">
        <w:t xml:space="preserve">(AL) </w:t>
      </w:r>
      <w:r>
        <w:t xml:space="preserve">38-O with the Commission’s Energy Division on June 29, 2020. The KLM Pipeline System consists of 295 miles of long-haul pipe running from points in the San Joaquin Valley production area to San Francisco Bay refinery connections. </w:t>
      </w:r>
    </w:p>
    <w:p w:rsidR="00633154" w:rsidP="00633154" w:rsidRDefault="00633154" w14:paraId="11B0E807" w14:textId="2DFB3C31">
      <w:pPr>
        <w:spacing w:line="360" w:lineRule="auto"/>
        <w:ind w:firstLine="720"/>
      </w:pPr>
      <w:r>
        <w:t xml:space="preserve">Commissioner Liane M. Randolph and Administrative Law Judge (ALJ) Andrea D. McGary were assigned to this proceeding on July 16, 2020. No protest or response were filed.  </w:t>
      </w:r>
    </w:p>
    <w:p w:rsidR="00633154" w:rsidP="00612115" w:rsidRDefault="00633154" w14:paraId="4AC2076B" w14:textId="6BDF0628">
      <w:pPr>
        <w:spacing w:line="360" w:lineRule="auto"/>
        <w:ind w:firstLine="720"/>
      </w:pPr>
      <w:r>
        <w:t xml:space="preserve">The assigned ALJ held a </w:t>
      </w:r>
      <w:r w:rsidR="00612115">
        <w:t>P</w:t>
      </w:r>
      <w:r>
        <w:t xml:space="preserve">rehearing </w:t>
      </w:r>
      <w:r w:rsidR="00612115">
        <w:t>C</w:t>
      </w:r>
      <w:r>
        <w:t xml:space="preserve">onference on December 3, 2020, to address the issues of law and fact, determine the need for hearing, set the schedule for resolving the matter, and address other matters as necessary.  </w:t>
      </w:r>
    </w:p>
    <w:p w:rsidR="00633154" w:rsidP="00633154" w:rsidRDefault="00633154" w14:paraId="10A37A87" w14:textId="257906A0">
      <w:pPr>
        <w:spacing w:line="360" w:lineRule="auto"/>
        <w:ind w:firstLine="720"/>
      </w:pPr>
      <w:r>
        <w:t xml:space="preserve">On March 5, 2021, Commissioner Darcie L. Houck was assigned in place of prior Commissioner Liane M. Randolph in the instant proceeding. The </w:t>
      </w:r>
      <w:r w:rsidR="00860050">
        <w:rPr>
          <w:i/>
          <w:iCs/>
        </w:rPr>
        <w:t>A</w:t>
      </w:r>
      <w:r w:rsidRPr="00C845CC">
        <w:rPr>
          <w:i/>
          <w:iCs/>
        </w:rPr>
        <w:t>ssigned Commissioner’s Scoping Memo and Ruling</w:t>
      </w:r>
      <w:r w:rsidRPr="00C845CC">
        <w:t xml:space="preserve"> was issued on September 1, 2021 (Scoping Memo).</w:t>
      </w:r>
      <w:r w:rsidR="00227B8D">
        <w:t xml:space="preserve"> Pursuant to December 16, 2021 </w:t>
      </w:r>
      <w:r w:rsidRPr="00227B8D" w:rsidR="00227B8D">
        <w:rPr>
          <w:i/>
          <w:iCs/>
        </w:rPr>
        <w:t>Order Extending Statutory Deadline</w:t>
      </w:r>
      <w:r w:rsidR="00227B8D">
        <w:t>, the current deadline for completion of this proceeding is May 31, 2022.</w:t>
      </w:r>
      <w:r w:rsidR="00227B8D">
        <w:rPr>
          <w:rStyle w:val="FootnoteReference"/>
        </w:rPr>
        <w:footnoteReference w:id="3"/>
      </w:r>
    </w:p>
    <w:p w:rsidRPr="00E304D2" w:rsidR="0089195D" w:rsidP="00633154" w:rsidRDefault="00633154" w14:paraId="5911D24C" w14:textId="1DBE3BD8">
      <w:pPr>
        <w:spacing w:line="360" w:lineRule="auto"/>
        <w:ind w:firstLine="720"/>
        <w:rPr>
          <w:szCs w:val="26"/>
        </w:rPr>
      </w:pPr>
      <w:r w:rsidRPr="001D5785">
        <w:t xml:space="preserve"> It is expected that </w:t>
      </w:r>
      <w:r>
        <w:t>a</w:t>
      </w:r>
      <w:r w:rsidRPr="001D5785">
        <w:t xml:space="preserve"> proposed decision </w:t>
      </w:r>
      <w:r>
        <w:t xml:space="preserve">addressing the matters in this proceeding </w:t>
      </w:r>
      <w:r w:rsidRPr="001D5785">
        <w:t xml:space="preserve">will issue in the very near future. With that expected timing of the </w:t>
      </w:r>
      <w:r w:rsidRPr="001D5785">
        <w:lastRenderedPageBreak/>
        <w:t xml:space="preserve">proposed decision and </w:t>
      </w:r>
      <w:r>
        <w:t>other competing Commission priorities</w:t>
      </w:r>
      <w:r w:rsidRPr="001D5785">
        <w:t xml:space="preserve">, we find that </w:t>
      </w:r>
      <w:r>
        <w:t xml:space="preserve">an </w:t>
      </w:r>
      <w:r w:rsidRPr="001D5785">
        <w:t xml:space="preserve">additional </w:t>
      </w:r>
      <w:r w:rsidR="00227B8D">
        <w:t>four</w:t>
      </w:r>
      <w:r w:rsidRPr="001D5785">
        <w:t xml:space="preserve"> months, beyond </w:t>
      </w:r>
      <w:r w:rsidR="00EB3847">
        <w:t xml:space="preserve">the </w:t>
      </w:r>
      <w:r w:rsidRPr="001D5785">
        <w:t xml:space="preserve">current </w:t>
      </w:r>
      <w:r w:rsidR="00227B8D">
        <w:t>May 31</w:t>
      </w:r>
      <w:r w:rsidRPr="001D5785">
        <w:t>, 202</w:t>
      </w:r>
      <w:r w:rsidR="001B1A01">
        <w:t>2</w:t>
      </w:r>
      <w:r w:rsidRPr="001D5785">
        <w:t xml:space="preserve"> deadline, is necessary to afford the Commission adequate time to thoughtfully deliberate and issue its final decision</w:t>
      </w:r>
      <w:r w:rsidR="005F01FE">
        <w:t>.</w:t>
      </w:r>
      <w:r w:rsidRPr="00E304D2" w:rsidR="002C7106">
        <w:rPr>
          <w:szCs w:val="26"/>
        </w:rPr>
        <w:t xml:space="preserve"> </w:t>
      </w:r>
    </w:p>
    <w:bookmarkEnd w:id="2"/>
    <w:p w:rsidRPr="00E304D2" w:rsidR="0089195D" w:rsidP="00495F20" w:rsidRDefault="00841B13" w14:paraId="1BBD904B" w14:textId="77777777">
      <w:pPr>
        <w:pStyle w:val="Heading1"/>
        <w:numPr>
          <w:ilvl w:val="0"/>
          <w:numId w:val="8"/>
        </w:numPr>
        <w:spacing w:before="0"/>
        <w:ind w:left="446" w:hanging="446"/>
        <w:rPr>
          <w:rFonts w:ascii="Arial" w:hAnsi="Arial" w:cs="Arial"/>
        </w:rPr>
      </w:pPr>
      <w:r w:rsidRPr="00E304D2">
        <w:rPr>
          <w:rFonts w:ascii="Arial" w:hAnsi="Arial" w:cs="Arial"/>
        </w:rPr>
        <w:t>Waiver of Comment Period</w:t>
      </w:r>
    </w:p>
    <w:p w:rsidR="00860050" w:rsidP="009D65E5" w:rsidRDefault="00227B8D" w14:paraId="75CB96FB" w14:textId="77777777">
      <w:pPr>
        <w:pStyle w:val="standard"/>
        <w:rPr>
          <w:rFonts w:eastAsia="Calibri"/>
          <w:szCs w:val="22"/>
        </w:rPr>
      </w:pPr>
      <w:bookmarkStart w:name="_Hlk101371748" w:id="3"/>
      <w:r w:rsidRPr="00227B8D">
        <w:rPr>
          <w:rFonts w:eastAsia="Calibri"/>
          <w:szCs w:val="22"/>
        </w:rPr>
        <w:t xml:space="preserve">Under Rule 14.6(c)(4) of the Commission’s Rules of Practice and Procedure, the Commission may waive the otherwise applicable 30-day period for public review and comment on a decision extending the deadline for resolving the issues raised in the scoping memo in a </w:t>
      </w:r>
      <w:proofErr w:type="spellStart"/>
      <w:r w:rsidRPr="00227B8D">
        <w:rPr>
          <w:rFonts w:eastAsia="Calibri"/>
          <w:szCs w:val="22"/>
        </w:rPr>
        <w:t>ratesetting</w:t>
      </w:r>
      <w:proofErr w:type="spellEnd"/>
      <w:r w:rsidRPr="00227B8D">
        <w:rPr>
          <w:rFonts w:eastAsia="Calibri"/>
          <w:szCs w:val="22"/>
        </w:rPr>
        <w:t xml:space="preserve"> or </w:t>
      </w:r>
    </w:p>
    <w:p w:rsidRPr="009D65E5" w:rsidR="0089195D" w:rsidP="00860050" w:rsidRDefault="00227B8D" w14:paraId="52554930" w14:textId="388F8AC6">
      <w:pPr>
        <w:pStyle w:val="standard"/>
        <w:ind w:firstLine="0"/>
        <w:rPr>
          <w:rFonts w:eastAsia="Calibri"/>
          <w:szCs w:val="22"/>
        </w:rPr>
      </w:pPr>
      <w:r w:rsidRPr="00227B8D">
        <w:rPr>
          <w:rFonts w:eastAsia="Calibri"/>
          <w:szCs w:val="22"/>
        </w:rPr>
        <w:t>quasi-legislative proceedings set forth in Pub</w:t>
      </w:r>
      <w:r w:rsidR="00612115">
        <w:rPr>
          <w:rFonts w:eastAsia="Calibri"/>
          <w:szCs w:val="22"/>
        </w:rPr>
        <w:t>. Util.</w:t>
      </w:r>
      <w:r w:rsidRPr="00227B8D">
        <w:rPr>
          <w:rFonts w:eastAsia="Calibri"/>
          <w:szCs w:val="22"/>
        </w:rPr>
        <w:t xml:space="preserve"> Code Section 1701.5. Under the circumstances of this proceeding, it is appropriate to waive the 30-day period for public review and comment.</w:t>
      </w:r>
    </w:p>
    <w:bookmarkEnd w:id="3"/>
    <w:p w:rsidRPr="00E304D2" w:rsidR="0089195D" w:rsidP="002E7228" w:rsidRDefault="0089195D" w14:paraId="2CE59C44" w14:textId="77777777">
      <w:pPr>
        <w:pStyle w:val="Heading1"/>
        <w:numPr>
          <w:ilvl w:val="0"/>
          <w:numId w:val="8"/>
        </w:numPr>
        <w:spacing w:before="0"/>
        <w:ind w:left="446" w:hanging="446"/>
        <w:rPr>
          <w:rFonts w:ascii="Arial" w:hAnsi="Arial" w:cs="Arial"/>
        </w:rPr>
      </w:pPr>
      <w:r w:rsidRPr="00E304D2">
        <w:rPr>
          <w:rFonts w:ascii="Arial" w:hAnsi="Arial" w:cs="Arial"/>
        </w:rPr>
        <w:t>Assignment of Proceeding</w:t>
      </w:r>
    </w:p>
    <w:p w:rsidRPr="00530498" w:rsidR="0089195D" w:rsidRDefault="000E7BE7" w14:paraId="7FA8B0C5" w14:textId="5BBED324">
      <w:pPr>
        <w:pStyle w:val="standard"/>
      </w:pPr>
      <w:r>
        <w:rPr>
          <w:rFonts w:eastAsia="Calibri"/>
          <w:szCs w:val="22"/>
        </w:rPr>
        <w:t>Darcie L. Houck</w:t>
      </w:r>
      <w:r w:rsidRPr="009D2B3F" w:rsidR="009D2B3F">
        <w:rPr>
          <w:rFonts w:eastAsia="Calibri"/>
          <w:szCs w:val="22"/>
        </w:rPr>
        <w:t xml:space="preserve"> is the assigned Commissioner and Andrea D. McGary is the assigned ALJ in this proceeding</w:t>
      </w:r>
      <w:r w:rsidRPr="00530498" w:rsidR="00EA39F7">
        <w:t>.</w:t>
      </w:r>
    </w:p>
    <w:p w:rsidRPr="00E304D2" w:rsidR="00553B36" w:rsidP="002E7228" w:rsidRDefault="00553B36" w14:paraId="05926E21" w14:textId="77777777">
      <w:pPr>
        <w:pStyle w:val="dummy"/>
        <w:tabs>
          <w:tab w:val="left" w:pos="6973"/>
        </w:tabs>
        <w:spacing w:before="0" w:after="0" w:line="360" w:lineRule="auto"/>
        <w:rPr>
          <w:rFonts w:ascii="Arial" w:hAnsi="Arial" w:cs="Arial"/>
        </w:rPr>
      </w:pPr>
      <w:bookmarkStart w:name="_Toc370798913" w:id="4"/>
      <w:r w:rsidRPr="00E304D2">
        <w:rPr>
          <w:rFonts w:ascii="Arial" w:hAnsi="Arial" w:cs="Arial"/>
        </w:rPr>
        <w:t>Findin</w:t>
      </w:r>
      <w:r w:rsidRPr="00E304D2" w:rsidR="00EA27F8">
        <w:rPr>
          <w:rFonts w:ascii="Arial" w:hAnsi="Arial" w:cs="Arial"/>
        </w:rPr>
        <w:t>g</w:t>
      </w:r>
      <w:r w:rsidRPr="00E304D2">
        <w:rPr>
          <w:rFonts w:ascii="Arial" w:hAnsi="Arial" w:cs="Arial"/>
        </w:rPr>
        <w:t>s of Fact</w:t>
      </w:r>
    </w:p>
    <w:p w:rsidR="0067294E" w:rsidP="0067294E" w:rsidRDefault="0067294E" w14:paraId="26713539" w14:textId="77777777">
      <w:pPr>
        <w:pStyle w:val="num1"/>
        <w:numPr>
          <w:ilvl w:val="0"/>
          <w:numId w:val="5"/>
        </w:numPr>
      </w:pPr>
      <w:r w:rsidRPr="00ED4BAB">
        <w:t>A.20-06-009</w:t>
      </w:r>
      <w:r>
        <w:t xml:space="preserve"> was filed with the Commission on June 29, 2020. </w:t>
      </w:r>
    </w:p>
    <w:p w:rsidR="0067294E" w:rsidP="0067294E" w:rsidRDefault="0067294E" w14:paraId="6013A3BF" w14:textId="77777777">
      <w:pPr>
        <w:pStyle w:val="num1"/>
        <w:numPr>
          <w:ilvl w:val="0"/>
          <w:numId w:val="5"/>
        </w:numPr>
      </w:pPr>
      <w:bookmarkStart w:name="_Hlk88470652" w:id="5"/>
      <w:r>
        <w:t>The Assigned Commissioner’s Scoping Memo and Ruling was issued on September 1, 2021 (Scoping Memo).</w:t>
      </w:r>
    </w:p>
    <w:bookmarkEnd w:id="5"/>
    <w:p w:rsidR="00612115" w:rsidP="0067294E" w:rsidRDefault="0067294E" w14:paraId="334AD492" w14:textId="77777777">
      <w:pPr>
        <w:pStyle w:val="num1"/>
        <w:numPr>
          <w:ilvl w:val="0"/>
          <w:numId w:val="5"/>
        </w:numPr>
      </w:pPr>
      <w:r>
        <w:t xml:space="preserve">The current statutory deadline for resolving </w:t>
      </w:r>
      <w:proofErr w:type="spellStart"/>
      <w:r>
        <w:t>ratesetting</w:t>
      </w:r>
      <w:proofErr w:type="spellEnd"/>
      <w:r>
        <w:t xml:space="preserve"> proceeding </w:t>
      </w:r>
    </w:p>
    <w:p w:rsidR="0067294E" w:rsidP="00612115" w:rsidRDefault="0067294E" w14:paraId="6C7DC0A2" w14:textId="68021775">
      <w:pPr>
        <w:pStyle w:val="num1"/>
        <w:ind w:firstLine="0"/>
      </w:pPr>
      <w:r>
        <w:t xml:space="preserve">A.20-06-009 is </w:t>
      </w:r>
      <w:r w:rsidR="009D65E5">
        <w:t>May 31, 2022</w:t>
      </w:r>
      <w:r>
        <w:t xml:space="preserve">.   </w:t>
      </w:r>
    </w:p>
    <w:p w:rsidR="00FC0FA5" w:rsidP="0067294E" w:rsidRDefault="0067294E" w14:paraId="6CBB79E0" w14:textId="7496456C">
      <w:pPr>
        <w:pStyle w:val="num1"/>
        <w:numPr>
          <w:ilvl w:val="0"/>
          <w:numId w:val="5"/>
        </w:numPr>
      </w:pPr>
      <w:r>
        <w:t xml:space="preserve">A statutory extension until </w:t>
      </w:r>
      <w:r w:rsidR="009D65E5">
        <w:t>October 7, 2022</w:t>
      </w:r>
      <w:r w:rsidR="001B1A01">
        <w:t>,</w:t>
      </w:r>
      <w:r>
        <w:t xml:space="preserve"> is reasonable and necessary to allow time for resolution of all issues identified in the Scoping Memo and entry of a final decision</w:t>
      </w:r>
      <w:r w:rsidR="00ED4BAB">
        <w:t>.</w:t>
      </w:r>
    </w:p>
    <w:p w:rsidR="00F20BE6" w:rsidP="00F20BE6" w:rsidRDefault="00F20BE6" w14:paraId="43F247EE" w14:textId="71286B3C">
      <w:pPr>
        <w:pStyle w:val="num1"/>
        <w:ind w:left="360" w:firstLine="0"/>
      </w:pPr>
    </w:p>
    <w:p w:rsidRPr="00FC0FA5" w:rsidR="00F20BE6" w:rsidP="00F20BE6" w:rsidRDefault="00F20BE6" w14:paraId="36A6D6B5" w14:textId="77777777">
      <w:pPr>
        <w:pStyle w:val="num1"/>
        <w:ind w:left="360" w:firstLine="0"/>
      </w:pPr>
    </w:p>
    <w:bookmarkEnd w:id="4"/>
    <w:p w:rsidRPr="00D059E8" w:rsidR="003067E6" w:rsidP="00C92116" w:rsidRDefault="003067E6" w14:paraId="70DDED7C" w14:textId="77777777">
      <w:pPr>
        <w:pStyle w:val="dummy"/>
        <w:keepNext w:val="0"/>
        <w:spacing w:before="0"/>
        <w:rPr>
          <w:rFonts w:ascii="Arial" w:hAnsi="Arial" w:cs="Arial"/>
        </w:rPr>
      </w:pPr>
      <w:r w:rsidRPr="00D059E8">
        <w:rPr>
          <w:rFonts w:ascii="Arial" w:hAnsi="Arial" w:cs="Arial"/>
        </w:rPr>
        <w:lastRenderedPageBreak/>
        <w:t>Conclusion</w:t>
      </w:r>
      <w:r w:rsidRPr="00D059E8" w:rsidR="002F6BD1">
        <w:rPr>
          <w:rFonts w:ascii="Arial" w:hAnsi="Arial" w:cs="Arial"/>
        </w:rPr>
        <w:t xml:space="preserve"> </w:t>
      </w:r>
      <w:r w:rsidRPr="00D059E8">
        <w:rPr>
          <w:rFonts w:ascii="Arial" w:hAnsi="Arial" w:cs="Arial"/>
        </w:rPr>
        <w:t>of Law</w:t>
      </w:r>
    </w:p>
    <w:p w:rsidR="00612115" w:rsidP="00476CCE" w:rsidRDefault="00B16C20" w14:paraId="4F41F398" w14:textId="77777777">
      <w:pPr>
        <w:pStyle w:val="standard"/>
      </w:pPr>
      <w:r>
        <w:t xml:space="preserve">Pursuant to the authority granted to the Commission under Pub. Util. Code </w:t>
      </w:r>
      <w:r w:rsidR="00DE3439">
        <w:t>Section</w:t>
      </w:r>
      <w:r>
        <w:t xml:space="preserve"> </w:t>
      </w:r>
      <w:r w:rsidRPr="00041437" w:rsidR="00041437">
        <w:t>1701.</w:t>
      </w:r>
      <w:r w:rsidR="00286839">
        <w:t>5</w:t>
      </w:r>
      <w:r w:rsidRPr="00041437" w:rsidR="00041437">
        <w:t>(</w:t>
      </w:r>
      <w:r w:rsidR="00286839">
        <w:t>a</w:t>
      </w:r>
      <w:r w:rsidRPr="00041437" w:rsidR="00041437">
        <w:t>), the statutory deadline should be extended to</w:t>
      </w:r>
      <w:r w:rsidR="00167248">
        <w:t xml:space="preserve"> </w:t>
      </w:r>
    </w:p>
    <w:p w:rsidR="00476CCE" w:rsidP="00612115" w:rsidRDefault="00167248" w14:paraId="1B8E46F8" w14:textId="6026E592">
      <w:pPr>
        <w:pStyle w:val="standard"/>
        <w:ind w:firstLine="0"/>
      </w:pPr>
      <w:r>
        <w:t>Ma</w:t>
      </w:r>
      <w:r w:rsidR="0067294E">
        <w:t>y</w:t>
      </w:r>
      <w:r>
        <w:t xml:space="preserve"> 31, 2022</w:t>
      </w:r>
      <w:r w:rsidRPr="00C96143" w:rsidR="00730AEB">
        <w:t>.</w:t>
      </w:r>
      <w:r w:rsidRPr="00041437" w:rsidR="00041437">
        <w:t xml:space="preserve"> </w:t>
      </w:r>
    </w:p>
    <w:p w:rsidRPr="00476CCE" w:rsidR="00476CCE" w:rsidP="00612115" w:rsidRDefault="00476CCE" w14:paraId="1BD28B50" w14:textId="77777777">
      <w:pPr>
        <w:keepNext/>
        <w:spacing w:before="120" w:line="360" w:lineRule="auto"/>
        <w:ind w:firstLine="720"/>
        <w:rPr>
          <w:rFonts w:eastAsia="Calibri"/>
          <w:szCs w:val="22"/>
        </w:rPr>
      </w:pPr>
      <w:r w:rsidRPr="00476CCE">
        <w:rPr>
          <w:rFonts w:eastAsia="Calibri"/>
          <w:b/>
          <w:szCs w:val="22"/>
        </w:rPr>
        <w:t>IT IS ORDERED</w:t>
      </w:r>
      <w:r w:rsidRPr="00476CCE">
        <w:rPr>
          <w:rFonts w:eastAsia="Calibri"/>
          <w:szCs w:val="22"/>
        </w:rPr>
        <w:t xml:space="preserve"> that:</w:t>
      </w:r>
    </w:p>
    <w:p w:rsidRPr="00476CCE" w:rsidR="00476CCE" w:rsidP="00476CCE" w:rsidRDefault="00476CCE" w14:paraId="77372B57" w14:textId="30779310">
      <w:pPr>
        <w:numPr>
          <w:ilvl w:val="0"/>
          <w:numId w:val="13"/>
        </w:numPr>
        <w:spacing w:line="360" w:lineRule="auto"/>
        <w:rPr>
          <w:rFonts w:eastAsia="Calibri"/>
          <w:szCs w:val="22"/>
        </w:rPr>
      </w:pPr>
      <w:r w:rsidRPr="00476CCE">
        <w:rPr>
          <w:rFonts w:eastAsia="Calibri"/>
          <w:szCs w:val="22"/>
        </w:rPr>
        <w:t>The statutory deadline for completion of this proceeding is extended until</w:t>
      </w:r>
      <w:r w:rsidR="00167248">
        <w:rPr>
          <w:rFonts w:eastAsia="Calibri"/>
          <w:szCs w:val="22"/>
        </w:rPr>
        <w:t xml:space="preserve"> </w:t>
      </w:r>
      <w:r w:rsidR="009D65E5">
        <w:rPr>
          <w:rFonts w:eastAsia="Calibri"/>
          <w:szCs w:val="22"/>
        </w:rPr>
        <w:t>October 7, 2022</w:t>
      </w:r>
      <w:r w:rsidRPr="00476CCE">
        <w:rPr>
          <w:rFonts w:eastAsia="Calibri"/>
          <w:szCs w:val="22"/>
        </w:rPr>
        <w:t>.</w:t>
      </w:r>
    </w:p>
    <w:p w:rsidRPr="00476CCE" w:rsidR="00476CCE" w:rsidP="00476CCE" w:rsidRDefault="00476CCE" w14:paraId="38D09880" w14:textId="77777777">
      <w:pPr>
        <w:numPr>
          <w:ilvl w:val="0"/>
          <w:numId w:val="13"/>
        </w:numPr>
        <w:spacing w:line="360" w:lineRule="auto"/>
        <w:rPr>
          <w:rFonts w:eastAsia="Calibri"/>
          <w:szCs w:val="22"/>
        </w:rPr>
      </w:pPr>
      <w:r w:rsidRPr="00476CCE">
        <w:rPr>
          <w:rFonts w:eastAsia="Calibri"/>
          <w:szCs w:val="22"/>
        </w:rPr>
        <w:t>The thirty (30) day period for review and comment on this Order is waived.</w:t>
      </w:r>
    </w:p>
    <w:p w:rsidRPr="00476CCE" w:rsidR="00476CCE" w:rsidP="00476CCE" w:rsidRDefault="00476CCE" w14:paraId="35772DAF" w14:textId="77777777">
      <w:pPr>
        <w:numPr>
          <w:ilvl w:val="0"/>
          <w:numId w:val="13"/>
        </w:numPr>
        <w:spacing w:line="360" w:lineRule="auto"/>
        <w:rPr>
          <w:rFonts w:eastAsia="Calibri"/>
          <w:szCs w:val="22"/>
        </w:rPr>
      </w:pPr>
      <w:r w:rsidRPr="00476CCE">
        <w:rPr>
          <w:rFonts w:eastAsia="Calibri"/>
          <w:szCs w:val="22"/>
        </w:rPr>
        <w:t>This proceeding shall remain open.</w:t>
      </w:r>
    </w:p>
    <w:p w:rsidRPr="00476CCE" w:rsidR="00476CCE" w:rsidP="00476CCE" w:rsidRDefault="00476CCE" w14:paraId="38205B7B" w14:textId="77777777">
      <w:pPr>
        <w:spacing w:line="360" w:lineRule="auto"/>
        <w:ind w:firstLine="720"/>
        <w:rPr>
          <w:rFonts w:eastAsia="Calibri"/>
          <w:szCs w:val="22"/>
        </w:rPr>
      </w:pPr>
      <w:r w:rsidRPr="00476CCE">
        <w:rPr>
          <w:rFonts w:eastAsia="Calibri"/>
          <w:szCs w:val="22"/>
        </w:rPr>
        <w:t>This order is effective today.</w:t>
      </w:r>
    </w:p>
    <w:p w:rsidR="00476CCE" w:rsidP="00612115" w:rsidRDefault="00476CCE" w14:paraId="74C530BC" w14:textId="0219FBDA">
      <w:pPr>
        <w:pStyle w:val="standard"/>
        <w:keepNext/>
        <w:keepLines/>
        <w:spacing w:after="120"/>
        <w:rPr>
          <w:rFonts w:eastAsia="Calibri"/>
          <w:szCs w:val="22"/>
        </w:rPr>
      </w:pPr>
      <w:r w:rsidRPr="00476CCE">
        <w:rPr>
          <w:rFonts w:eastAsia="Calibri"/>
          <w:szCs w:val="22"/>
        </w:rPr>
        <w:t>Dated</w:t>
      </w:r>
      <w:r w:rsidR="00E23438">
        <w:rPr>
          <w:rFonts w:eastAsia="Calibri"/>
          <w:szCs w:val="22"/>
        </w:rPr>
        <w:t xml:space="preserve"> May 19, 2022</w:t>
      </w:r>
      <w:r w:rsidRPr="00476CCE">
        <w:rPr>
          <w:rFonts w:eastAsia="Calibri"/>
          <w:szCs w:val="22"/>
        </w:rPr>
        <w:t>, at Sa</w:t>
      </w:r>
      <w:r w:rsidR="00EB2219">
        <w:rPr>
          <w:rFonts w:eastAsia="Calibri"/>
          <w:szCs w:val="22"/>
        </w:rPr>
        <w:t>cramento</w:t>
      </w:r>
      <w:r w:rsidRPr="00476CCE">
        <w:rPr>
          <w:rFonts w:eastAsia="Calibri"/>
          <w:szCs w:val="22"/>
        </w:rPr>
        <w:t>, California</w:t>
      </w:r>
      <w:r>
        <w:rPr>
          <w:rFonts w:eastAsia="Calibri"/>
          <w:szCs w:val="22"/>
        </w:rPr>
        <w:t>.</w:t>
      </w:r>
    </w:p>
    <w:p w:rsidRPr="00270AB9" w:rsidR="00E23438" w:rsidP="00E23438" w:rsidRDefault="00E23438" w14:paraId="2502C0D6" w14:textId="77777777">
      <w:pPr>
        <w:pStyle w:val="standard"/>
        <w:keepNext/>
        <w:keepLines/>
        <w:spacing w:after="120" w:line="240" w:lineRule="auto"/>
        <w:rPr>
          <w:szCs w:val="26"/>
        </w:rPr>
      </w:pPr>
    </w:p>
    <w:p w:rsidRPr="00AE0DE2" w:rsidR="00E23438" w:rsidP="00E23438" w:rsidRDefault="00E23438" w14:paraId="25A4E998" w14:textId="77777777">
      <w:pPr>
        <w:autoSpaceDE w:val="0"/>
        <w:autoSpaceDN w:val="0"/>
        <w:adjustRightInd w:val="0"/>
        <w:ind w:left="4320"/>
        <w:jc w:val="both"/>
      </w:pPr>
      <w:bookmarkStart w:name="_Hlk17215919" w:id="6"/>
      <w:r>
        <w:t>ALICE REYNOLDS</w:t>
      </w:r>
    </w:p>
    <w:p w:rsidR="00E23438" w:rsidP="00E23438" w:rsidRDefault="00E23438" w14:paraId="42A22F6E" w14:textId="77777777">
      <w:pPr>
        <w:autoSpaceDE w:val="0"/>
        <w:autoSpaceDN w:val="0"/>
        <w:adjustRightInd w:val="0"/>
        <w:ind w:firstLine="720"/>
        <w:jc w:val="both"/>
      </w:pPr>
      <w:r w:rsidRPr="00AE0DE2">
        <w:tab/>
      </w:r>
      <w:r w:rsidRPr="00AE0DE2">
        <w:tab/>
      </w:r>
      <w:r w:rsidRPr="00AE0DE2">
        <w:tab/>
      </w:r>
      <w:r w:rsidRPr="00AE0DE2">
        <w:tab/>
      </w:r>
      <w:r w:rsidRPr="00AE0DE2">
        <w:tab/>
        <w:t xml:space="preserve">                       President</w:t>
      </w:r>
    </w:p>
    <w:p w:rsidRPr="00AE0DE2" w:rsidR="00E23438" w:rsidP="00E23438" w:rsidRDefault="00E23438" w14:paraId="6302662D" w14:textId="77777777">
      <w:pPr>
        <w:autoSpaceDE w:val="0"/>
        <w:autoSpaceDN w:val="0"/>
        <w:adjustRightInd w:val="0"/>
        <w:ind w:left="4320"/>
        <w:jc w:val="both"/>
      </w:pPr>
      <w:r w:rsidRPr="00AE0DE2">
        <w:t>CLIFFORD RECHTSCHAFFEN</w:t>
      </w:r>
    </w:p>
    <w:p w:rsidR="00E23438" w:rsidP="00E23438" w:rsidRDefault="00E23438" w14:paraId="6E16B6AB" w14:textId="77777777">
      <w:pPr>
        <w:autoSpaceDE w:val="0"/>
        <w:autoSpaceDN w:val="0"/>
        <w:adjustRightInd w:val="0"/>
        <w:ind w:left="4320"/>
        <w:jc w:val="both"/>
      </w:pPr>
      <w:r w:rsidRPr="00AE0DE2">
        <w:t>GENEVIEVE SHIROMA</w:t>
      </w:r>
    </w:p>
    <w:p w:rsidR="00E23438" w:rsidP="00E23438" w:rsidRDefault="00E23438" w14:paraId="786AB4A8" w14:textId="77777777">
      <w:pPr>
        <w:autoSpaceDE w:val="0"/>
        <w:autoSpaceDN w:val="0"/>
        <w:adjustRightInd w:val="0"/>
        <w:ind w:left="3600" w:firstLine="720"/>
        <w:jc w:val="both"/>
      </w:pPr>
      <w:r>
        <w:t>DARCIE L. HOUCK</w:t>
      </w:r>
    </w:p>
    <w:p w:rsidRPr="00AE0DE2" w:rsidR="00E23438" w:rsidP="00E23438" w:rsidRDefault="00E23438" w14:paraId="30A178A9" w14:textId="77777777">
      <w:pPr>
        <w:autoSpaceDE w:val="0"/>
        <w:autoSpaceDN w:val="0"/>
        <w:adjustRightInd w:val="0"/>
        <w:ind w:left="3600" w:firstLine="720"/>
        <w:jc w:val="both"/>
      </w:pPr>
      <w:r>
        <w:t>JOHN R.D. REYNOLDS</w:t>
      </w:r>
    </w:p>
    <w:p w:rsidRPr="00AE0DE2" w:rsidR="00E23438" w:rsidP="00E23438" w:rsidRDefault="00E23438" w14:paraId="3D9EA6F7" w14:textId="77777777">
      <w:pPr>
        <w:autoSpaceDE w:val="0"/>
        <w:autoSpaceDN w:val="0"/>
        <w:adjustRightInd w:val="0"/>
        <w:ind w:left="4320" w:firstLine="720"/>
        <w:jc w:val="both"/>
      </w:pPr>
      <w:r w:rsidRPr="00AE0DE2">
        <w:t xml:space="preserve">            Commissioners</w:t>
      </w:r>
    </w:p>
    <w:bookmarkEnd w:id="6"/>
    <w:p w:rsidR="00976E36" w:rsidP="002E7228" w:rsidRDefault="00976E36" w14:paraId="0CFD3622" w14:textId="4E1B6481">
      <w:pPr>
        <w:pStyle w:val="standard"/>
        <w:keepNext/>
        <w:keepLines/>
        <w:rPr>
          <w:szCs w:val="26"/>
        </w:rPr>
      </w:pPr>
    </w:p>
    <w:sectPr w:rsidR="00976E36">
      <w:headerReference w:type="default" r:id="rId8"/>
      <w:footerReference w:type="default" r:id="rId9"/>
      <w:footerReference w:type="first" r:id="rId10"/>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8B31F" w14:textId="77777777" w:rsidR="004D0169" w:rsidRDefault="004D0169">
      <w:r>
        <w:separator/>
      </w:r>
    </w:p>
  </w:endnote>
  <w:endnote w:type="continuationSeparator" w:id="0">
    <w:p w14:paraId="1F881778" w14:textId="77777777" w:rsidR="004D0169" w:rsidRDefault="004D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56E6" w14:textId="77777777" w:rsidR="00101F4F" w:rsidRDefault="00101F4F"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313A" w14:textId="1440BF1D" w:rsidR="00101F4F" w:rsidRPr="00586B57" w:rsidRDefault="00E23438" w:rsidP="00FD568F">
    <w:pPr>
      <w:pStyle w:val="Footer"/>
      <w:tabs>
        <w:tab w:val="clear" w:pos="4320"/>
        <w:tab w:val="center" w:pos="4680"/>
      </w:tabs>
      <w:jc w:val="left"/>
      <w:rPr>
        <w:rStyle w:val="PageNumber"/>
        <w:sz w:val="24"/>
        <w:szCs w:val="24"/>
      </w:rPr>
    </w:pPr>
    <w:r>
      <w:rPr>
        <w:rFonts w:asciiTheme="majorHAnsi" w:eastAsiaTheme="majorEastAsia" w:hAnsiTheme="majorHAnsi" w:cstheme="majorBidi"/>
        <w:sz w:val="16"/>
        <w:szCs w:val="16"/>
      </w:rPr>
      <w:t>479852346</w:t>
    </w:r>
    <w:r w:rsidR="00411200" w:rsidRPr="00411200">
      <w:rPr>
        <w:rFonts w:asciiTheme="majorHAnsi" w:eastAsiaTheme="majorEastAsia" w:hAnsiTheme="majorHAnsi" w:cstheme="majorBidi"/>
        <w:sz w:val="16"/>
        <w:szCs w:val="16"/>
      </w:rPr>
      <w:t xml:space="preserve">  </w:t>
    </w:r>
    <w:r w:rsidR="00101F4F">
      <w:rPr>
        <w:rFonts w:asciiTheme="majorHAnsi" w:eastAsiaTheme="majorEastAsia" w:hAnsiTheme="majorHAnsi" w:cstheme="majorBidi"/>
        <w:sz w:val="16"/>
        <w:szCs w:val="16"/>
      </w:rPr>
      <w:tab/>
    </w:r>
    <w:r w:rsidR="00101F4F"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10956" w14:textId="77777777" w:rsidR="004D0169" w:rsidRDefault="004D0169">
      <w:r>
        <w:separator/>
      </w:r>
    </w:p>
  </w:footnote>
  <w:footnote w:type="continuationSeparator" w:id="0">
    <w:p w14:paraId="40D48F21" w14:textId="77777777" w:rsidR="004D0169" w:rsidRDefault="004D0169">
      <w:r>
        <w:continuationSeparator/>
      </w:r>
    </w:p>
  </w:footnote>
  <w:footnote w:type="continuationNotice" w:id="1">
    <w:p w14:paraId="1A6D7A7E" w14:textId="77777777" w:rsidR="004D0169" w:rsidRDefault="004D0169">
      <w:pPr>
        <w:rPr>
          <w:sz w:val="22"/>
        </w:rPr>
      </w:pPr>
    </w:p>
    <w:p w14:paraId="7500ED77" w14:textId="77777777" w:rsidR="004D0169" w:rsidRDefault="004D0169">
      <w:pPr>
        <w:jc w:val="right"/>
        <w:rPr>
          <w:sz w:val="22"/>
        </w:rPr>
      </w:pPr>
      <w:r>
        <w:rPr>
          <w:i/>
          <w:sz w:val="22"/>
        </w:rPr>
        <w:t>Footnote continued on next page</w:t>
      </w:r>
    </w:p>
  </w:footnote>
  <w:footnote w:id="2">
    <w:p w14:paraId="1FF7CA14" w14:textId="5B6E5A97" w:rsidR="00633154" w:rsidRPr="00612115" w:rsidRDefault="00633154" w:rsidP="00860050">
      <w:pPr>
        <w:pStyle w:val="FootnoteText"/>
        <w:spacing w:after="120"/>
        <w:rPr>
          <w:sz w:val="22"/>
          <w:szCs w:val="22"/>
        </w:rPr>
      </w:pPr>
      <w:r w:rsidRPr="00612115">
        <w:rPr>
          <w:rStyle w:val="FootnoteReference"/>
          <w:sz w:val="22"/>
          <w:szCs w:val="22"/>
        </w:rPr>
        <w:footnoteRef/>
      </w:r>
      <w:r w:rsidRPr="00612115">
        <w:rPr>
          <w:sz w:val="22"/>
          <w:szCs w:val="22"/>
        </w:rPr>
        <w:t xml:space="preserve"> Crimson is a limited partnership located in Long Beach, California (Crimson). Crimson owns and operates an oil pipeline corporation which transports petroleum products owned by other companies. As an oil pipeline utility, </w:t>
      </w:r>
      <w:proofErr w:type="gramStart"/>
      <w:r w:rsidRPr="00612115">
        <w:rPr>
          <w:sz w:val="22"/>
          <w:szCs w:val="22"/>
        </w:rPr>
        <w:t>Crimson’s</w:t>
      </w:r>
      <w:proofErr w:type="gramEnd"/>
      <w:r w:rsidRPr="00612115">
        <w:rPr>
          <w:sz w:val="22"/>
          <w:szCs w:val="22"/>
        </w:rPr>
        <w:t xml:space="preserve"> </w:t>
      </w:r>
      <w:r w:rsidR="00D60933" w:rsidRPr="00612115">
        <w:rPr>
          <w:sz w:val="22"/>
          <w:szCs w:val="22"/>
        </w:rPr>
        <w:t>transportation rates and terms of service for transport of petroleum products owned by other companies is regulated by the Commission.  (</w:t>
      </w:r>
      <w:r w:rsidR="00D60933" w:rsidRPr="00612115">
        <w:rPr>
          <w:i/>
          <w:iCs/>
          <w:sz w:val="22"/>
          <w:szCs w:val="22"/>
        </w:rPr>
        <w:t>See</w:t>
      </w:r>
      <w:r w:rsidR="00D60933" w:rsidRPr="00612115">
        <w:rPr>
          <w:sz w:val="22"/>
          <w:szCs w:val="22"/>
        </w:rPr>
        <w:t xml:space="preserve"> Pub. Util. Code Section 455.3.)</w:t>
      </w:r>
    </w:p>
  </w:footnote>
  <w:footnote w:id="3">
    <w:p w14:paraId="5EBDE80F" w14:textId="7CBD71A6" w:rsidR="00227B8D" w:rsidRPr="00612115" w:rsidRDefault="00227B8D">
      <w:pPr>
        <w:pStyle w:val="FootnoteText"/>
        <w:rPr>
          <w:sz w:val="22"/>
          <w:szCs w:val="22"/>
        </w:rPr>
      </w:pPr>
      <w:r w:rsidRPr="00612115">
        <w:rPr>
          <w:rStyle w:val="FootnoteReference"/>
          <w:sz w:val="22"/>
          <w:szCs w:val="22"/>
        </w:rPr>
        <w:footnoteRef/>
      </w:r>
      <w:r w:rsidRPr="00612115">
        <w:rPr>
          <w:sz w:val="22"/>
          <w:szCs w:val="22"/>
        </w:rPr>
        <w:t xml:space="preserve"> </w:t>
      </w:r>
      <w:r w:rsidRPr="00F20BE6">
        <w:rPr>
          <w:i/>
          <w:iCs/>
          <w:sz w:val="22"/>
          <w:szCs w:val="22"/>
        </w:rPr>
        <w:t>See</w:t>
      </w:r>
      <w:r w:rsidRPr="009E20F1">
        <w:rPr>
          <w:i/>
          <w:iCs/>
          <w:sz w:val="22"/>
          <w:szCs w:val="22"/>
        </w:rPr>
        <w:t xml:space="preserve"> </w:t>
      </w:r>
      <w:r w:rsidRPr="00612115">
        <w:rPr>
          <w:sz w:val="22"/>
          <w:szCs w:val="22"/>
        </w:rPr>
        <w:t>D.21</w:t>
      </w:r>
      <w:r w:rsidR="009E20F1">
        <w:rPr>
          <w:sz w:val="22"/>
          <w:szCs w:val="22"/>
        </w:rPr>
        <w:t>-</w:t>
      </w:r>
      <w:r w:rsidRPr="00612115">
        <w:rPr>
          <w:sz w:val="22"/>
          <w:szCs w:val="22"/>
        </w:rPr>
        <w:t>12</w:t>
      </w:r>
      <w:r w:rsidR="009E20F1">
        <w:rPr>
          <w:sz w:val="22"/>
          <w:szCs w:val="22"/>
        </w:rPr>
        <w:t>-</w:t>
      </w:r>
      <w:r w:rsidRPr="00612115">
        <w:rPr>
          <w:sz w:val="22"/>
          <w:szCs w:val="22"/>
        </w:rPr>
        <w:t>059 extending original statutory deadline from December 29, 2021 to May 31,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5E22" w14:textId="5E510810" w:rsidR="009D65E5" w:rsidRPr="008867C4" w:rsidRDefault="00860050" w:rsidP="009D65E5">
    <w:pPr>
      <w:widowControl w:val="0"/>
      <w:tabs>
        <w:tab w:val="center" w:pos="4320"/>
        <w:tab w:val="right" w:pos="8640"/>
      </w:tabs>
      <w:rPr>
        <w:b/>
      </w:rPr>
    </w:pPr>
    <w:r>
      <w:t>A.20-06-009  ALJ/ADR/</w:t>
    </w:r>
    <w:proofErr w:type="spellStart"/>
    <w:r>
      <w:t>smt</w:t>
    </w:r>
    <w:proofErr w:type="spellEnd"/>
    <w:r w:rsidR="009D65E5" w:rsidRPr="008867C4">
      <w:tab/>
    </w:r>
    <w:r w:rsidR="008867C4">
      <w:tab/>
    </w:r>
  </w:p>
  <w:p w14:paraId="22EDF27B" w14:textId="77777777" w:rsidR="008867C4" w:rsidRPr="008867C4" w:rsidRDefault="008867C4" w:rsidP="009D65E5">
    <w:pPr>
      <w:widowControl w:val="0"/>
      <w:tabs>
        <w:tab w:val="center" w:pos="4320"/>
        <w:tab w:val="right" w:pos="8640"/>
      </w:tabs>
      <w:rPr>
        <w:i/>
        <w:color w:val="FF0000"/>
      </w:rPr>
    </w:pPr>
  </w:p>
  <w:p w14:paraId="3FEE0A8B" w14:textId="77777777" w:rsidR="00B56D1F" w:rsidRPr="008867C4" w:rsidRDefault="00B56D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146C1C14"/>
    <w:multiLevelType w:val="multilevel"/>
    <w:tmpl w:val="D6A4D238"/>
    <w:styleLink w:val="FoFCoLOP"/>
    <w:lvl w:ilvl="0">
      <w:start w:val="1"/>
      <w:numFmt w:val="decimal"/>
      <w:pStyle w:val="Co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 w15:restartNumberingAfterBreak="0">
    <w:nsid w:val="15F056CB"/>
    <w:multiLevelType w:val="multilevel"/>
    <w:tmpl w:val="D6A4D238"/>
    <w:numStyleLink w:val="FoFCoLOP"/>
  </w:abstractNum>
  <w:abstractNum w:abstractNumId="3" w15:restartNumberingAfterBreak="0">
    <w:nsid w:val="2DD46003"/>
    <w:multiLevelType w:val="singleLevel"/>
    <w:tmpl w:val="2FB6A734"/>
    <w:lvl w:ilvl="0">
      <w:start w:val="1"/>
      <w:numFmt w:val="decimal"/>
      <w:lvlText w:val="%1."/>
      <w:legacy w:legacy="1" w:legacySpace="144" w:legacyIndent="0"/>
      <w:lvlJc w:val="left"/>
    </w:lvl>
  </w:abstractNum>
  <w:abstractNum w:abstractNumId="4"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1197B55"/>
    <w:multiLevelType w:val="multilevel"/>
    <w:tmpl w:val="7922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9636B5"/>
    <w:multiLevelType w:val="hybridMultilevel"/>
    <w:tmpl w:val="D03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B0A06"/>
    <w:multiLevelType w:val="singleLevel"/>
    <w:tmpl w:val="21AE8D44"/>
    <w:lvl w:ilvl="0">
      <w:start w:val="1"/>
      <w:numFmt w:val="decimal"/>
      <w:lvlText w:val="%1."/>
      <w:legacy w:legacy="1" w:legacySpace="0" w:legacyIndent="360"/>
      <w:lvlJc w:val="left"/>
    </w:lvl>
  </w:abstractNum>
  <w:abstractNum w:abstractNumId="9" w15:restartNumberingAfterBreak="0">
    <w:nsid w:val="78B22654"/>
    <w:multiLevelType w:val="multilevel"/>
    <w:tmpl w:val="2824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1C30FD"/>
    <w:multiLevelType w:val="singleLevel"/>
    <w:tmpl w:val="2FB6A734"/>
    <w:lvl w:ilvl="0">
      <w:start w:val="1"/>
      <w:numFmt w:val="decimal"/>
      <w:lvlText w:val="%1."/>
      <w:legacy w:legacy="1" w:legacySpace="144" w:legacyIndent="0"/>
      <w:lvlJc w:val="left"/>
    </w:lvl>
  </w:abstractNum>
  <w:abstractNum w:abstractNumId="11"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736970609">
    <w:abstractNumId w:val="3"/>
  </w:num>
  <w:num w:numId="2" w16cid:durableId="1044714901">
    <w:abstractNumId w:val="0"/>
  </w:num>
  <w:num w:numId="3" w16cid:durableId="1133714469">
    <w:abstractNumId w:val="10"/>
  </w:num>
  <w:num w:numId="4" w16cid:durableId="470514788">
    <w:abstractNumId w:val="8"/>
  </w:num>
  <w:num w:numId="5" w16cid:durableId="1995404655">
    <w:abstractNumId w:val="11"/>
  </w:num>
  <w:num w:numId="6" w16cid:durableId="1145855495">
    <w:abstractNumId w:val="7"/>
  </w:num>
  <w:num w:numId="7" w16cid:durableId="1638493191">
    <w:abstractNumId w:val="4"/>
  </w:num>
  <w:num w:numId="8" w16cid:durableId="742337015">
    <w:abstractNumId w:val="6"/>
  </w:num>
  <w:num w:numId="9" w16cid:durableId="1036541496">
    <w:abstractNumId w:val="9"/>
  </w:num>
  <w:num w:numId="10" w16cid:durableId="318654409">
    <w:abstractNumId w:val="5"/>
  </w:num>
  <w:num w:numId="11" w16cid:durableId="1149592655">
    <w:abstractNumId w:val="1"/>
  </w:num>
  <w:num w:numId="12" w16cid:durableId="1423602325">
    <w:abstractNumId w:val="2"/>
  </w:num>
  <w:num w:numId="13" w16cid:durableId="16288561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00E2"/>
    <w:rsid w:val="000062D4"/>
    <w:rsid w:val="00006E50"/>
    <w:rsid w:val="000127B2"/>
    <w:rsid w:val="0001473D"/>
    <w:rsid w:val="00015A35"/>
    <w:rsid w:val="00025274"/>
    <w:rsid w:val="000328ED"/>
    <w:rsid w:val="0003512F"/>
    <w:rsid w:val="00041437"/>
    <w:rsid w:val="00042A5D"/>
    <w:rsid w:val="000509D7"/>
    <w:rsid w:val="00051447"/>
    <w:rsid w:val="000537D4"/>
    <w:rsid w:val="000567E0"/>
    <w:rsid w:val="00057AD7"/>
    <w:rsid w:val="00061C1D"/>
    <w:rsid w:val="00061CE8"/>
    <w:rsid w:val="00074C89"/>
    <w:rsid w:val="00087148"/>
    <w:rsid w:val="000925BF"/>
    <w:rsid w:val="00092B9D"/>
    <w:rsid w:val="00094579"/>
    <w:rsid w:val="000A502E"/>
    <w:rsid w:val="000C4701"/>
    <w:rsid w:val="000D4AE9"/>
    <w:rsid w:val="000D55BD"/>
    <w:rsid w:val="000E479E"/>
    <w:rsid w:val="000E7BE7"/>
    <w:rsid w:val="000F13F5"/>
    <w:rsid w:val="000F1F94"/>
    <w:rsid w:val="000F41FC"/>
    <w:rsid w:val="000F650C"/>
    <w:rsid w:val="001005B8"/>
    <w:rsid w:val="00101E24"/>
    <w:rsid w:val="00101F4F"/>
    <w:rsid w:val="00105F5C"/>
    <w:rsid w:val="00107949"/>
    <w:rsid w:val="00110C8E"/>
    <w:rsid w:val="00111F4C"/>
    <w:rsid w:val="001139A6"/>
    <w:rsid w:val="00130693"/>
    <w:rsid w:val="00131406"/>
    <w:rsid w:val="00131E5E"/>
    <w:rsid w:val="00135903"/>
    <w:rsid w:val="00136FC2"/>
    <w:rsid w:val="0013757F"/>
    <w:rsid w:val="001401B6"/>
    <w:rsid w:val="0014247A"/>
    <w:rsid w:val="0014760F"/>
    <w:rsid w:val="00155678"/>
    <w:rsid w:val="0016171E"/>
    <w:rsid w:val="00167053"/>
    <w:rsid w:val="00167248"/>
    <w:rsid w:val="0017399C"/>
    <w:rsid w:val="00173E34"/>
    <w:rsid w:val="00175B9B"/>
    <w:rsid w:val="001851A1"/>
    <w:rsid w:val="00193C8B"/>
    <w:rsid w:val="001949BB"/>
    <w:rsid w:val="00195C02"/>
    <w:rsid w:val="00196DF3"/>
    <w:rsid w:val="001A11FD"/>
    <w:rsid w:val="001A2B2B"/>
    <w:rsid w:val="001B1A01"/>
    <w:rsid w:val="001C418A"/>
    <w:rsid w:val="001C4BD2"/>
    <w:rsid w:val="001D1BD0"/>
    <w:rsid w:val="001D5785"/>
    <w:rsid w:val="001E0849"/>
    <w:rsid w:val="001E6478"/>
    <w:rsid w:val="002025B6"/>
    <w:rsid w:val="002044CB"/>
    <w:rsid w:val="00210F9F"/>
    <w:rsid w:val="00215C8F"/>
    <w:rsid w:val="00220160"/>
    <w:rsid w:val="00222429"/>
    <w:rsid w:val="00226EA9"/>
    <w:rsid w:val="00227B8D"/>
    <w:rsid w:val="0023415A"/>
    <w:rsid w:val="00234684"/>
    <w:rsid w:val="002356BA"/>
    <w:rsid w:val="00240543"/>
    <w:rsid w:val="00244513"/>
    <w:rsid w:val="002527A5"/>
    <w:rsid w:val="002527E9"/>
    <w:rsid w:val="00253EE7"/>
    <w:rsid w:val="00261799"/>
    <w:rsid w:val="00262344"/>
    <w:rsid w:val="00271F0C"/>
    <w:rsid w:val="0027328D"/>
    <w:rsid w:val="002777D1"/>
    <w:rsid w:val="00286839"/>
    <w:rsid w:val="002870D2"/>
    <w:rsid w:val="002915AB"/>
    <w:rsid w:val="002A2AFF"/>
    <w:rsid w:val="002A7E4C"/>
    <w:rsid w:val="002B1603"/>
    <w:rsid w:val="002C0607"/>
    <w:rsid w:val="002C0C14"/>
    <w:rsid w:val="002C7106"/>
    <w:rsid w:val="002C7D21"/>
    <w:rsid w:val="002D0E69"/>
    <w:rsid w:val="002D105E"/>
    <w:rsid w:val="002D46C4"/>
    <w:rsid w:val="002E7228"/>
    <w:rsid w:val="002F0258"/>
    <w:rsid w:val="002F21CE"/>
    <w:rsid w:val="002F4EC8"/>
    <w:rsid w:val="002F625C"/>
    <w:rsid w:val="002F62EF"/>
    <w:rsid w:val="002F6BD1"/>
    <w:rsid w:val="002F7853"/>
    <w:rsid w:val="00304495"/>
    <w:rsid w:val="0030460C"/>
    <w:rsid w:val="00304CE2"/>
    <w:rsid w:val="003067E6"/>
    <w:rsid w:val="00314534"/>
    <w:rsid w:val="0031653E"/>
    <w:rsid w:val="00317916"/>
    <w:rsid w:val="003225E9"/>
    <w:rsid w:val="00322E9A"/>
    <w:rsid w:val="0032368B"/>
    <w:rsid w:val="00323EF8"/>
    <w:rsid w:val="00330349"/>
    <w:rsid w:val="003346EE"/>
    <w:rsid w:val="00334C52"/>
    <w:rsid w:val="0034018D"/>
    <w:rsid w:val="00340309"/>
    <w:rsid w:val="00340CAF"/>
    <w:rsid w:val="00341908"/>
    <w:rsid w:val="00342D73"/>
    <w:rsid w:val="00344874"/>
    <w:rsid w:val="003462B8"/>
    <w:rsid w:val="00354DF4"/>
    <w:rsid w:val="00356515"/>
    <w:rsid w:val="0036268A"/>
    <w:rsid w:val="00362FEC"/>
    <w:rsid w:val="003855F1"/>
    <w:rsid w:val="003910CB"/>
    <w:rsid w:val="0039260C"/>
    <w:rsid w:val="003941C4"/>
    <w:rsid w:val="003975E4"/>
    <w:rsid w:val="003A28F6"/>
    <w:rsid w:val="003A3FFB"/>
    <w:rsid w:val="003A5B9E"/>
    <w:rsid w:val="003A6C30"/>
    <w:rsid w:val="003D2753"/>
    <w:rsid w:val="003D293C"/>
    <w:rsid w:val="003D314E"/>
    <w:rsid w:val="003D76EC"/>
    <w:rsid w:val="003D7A1A"/>
    <w:rsid w:val="003E1580"/>
    <w:rsid w:val="003E1FAB"/>
    <w:rsid w:val="003E6DFD"/>
    <w:rsid w:val="003F1AAA"/>
    <w:rsid w:val="003F3DDF"/>
    <w:rsid w:val="00404A80"/>
    <w:rsid w:val="00406E09"/>
    <w:rsid w:val="00406F05"/>
    <w:rsid w:val="00410098"/>
    <w:rsid w:val="00411200"/>
    <w:rsid w:val="00421D42"/>
    <w:rsid w:val="00424493"/>
    <w:rsid w:val="00424843"/>
    <w:rsid w:val="00425893"/>
    <w:rsid w:val="00434D52"/>
    <w:rsid w:val="00434F77"/>
    <w:rsid w:val="00443117"/>
    <w:rsid w:val="00447572"/>
    <w:rsid w:val="00450831"/>
    <w:rsid w:val="00452F5B"/>
    <w:rsid w:val="004538E6"/>
    <w:rsid w:val="00456C4A"/>
    <w:rsid w:val="00465037"/>
    <w:rsid w:val="00465654"/>
    <w:rsid w:val="00466696"/>
    <w:rsid w:val="00474BED"/>
    <w:rsid w:val="00476CCE"/>
    <w:rsid w:val="00480AC3"/>
    <w:rsid w:val="004811C8"/>
    <w:rsid w:val="004860F2"/>
    <w:rsid w:val="004923AE"/>
    <w:rsid w:val="00495F20"/>
    <w:rsid w:val="004A48F7"/>
    <w:rsid w:val="004A75C0"/>
    <w:rsid w:val="004A79DE"/>
    <w:rsid w:val="004B10B1"/>
    <w:rsid w:val="004B5B56"/>
    <w:rsid w:val="004B5B63"/>
    <w:rsid w:val="004B68D1"/>
    <w:rsid w:val="004C69CF"/>
    <w:rsid w:val="004D0169"/>
    <w:rsid w:val="004D101F"/>
    <w:rsid w:val="004D63D6"/>
    <w:rsid w:val="004D767B"/>
    <w:rsid w:val="004E51D1"/>
    <w:rsid w:val="004E6B2C"/>
    <w:rsid w:val="004F1D45"/>
    <w:rsid w:val="004F6C4A"/>
    <w:rsid w:val="005004A5"/>
    <w:rsid w:val="00503589"/>
    <w:rsid w:val="0050422A"/>
    <w:rsid w:val="00505391"/>
    <w:rsid w:val="00512357"/>
    <w:rsid w:val="00512B9B"/>
    <w:rsid w:val="00513E80"/>
    <w:rsid w:val="0051774C"/>
    <w:rsid w:val="00517BEF"/>
    <w:rsid w:val="00517EAF"/>
    <w:rsid w:val="00522D3D"/>
    <w:rsid w:val="00530498"/>
    <w:rsid w:val="005330B4"/>
    <w:rsid w:val="005343F3"/>
    <w:rsid w:val="00540B67"/>
    <w:rsid w:val="005413B2"/>
    <w:rsid w:val="00550CD4"/>
    <w:rsid w:val="00552330"/>
    <w:rsid w:val="00553B36"/>
    <w:rsid w:val="00554B56"/>
    <w:rsid w:val="00566EB6"/>
    <w:rsid w:val="00580035"/>
    <w:rsid w:val="00586B57"/>
    <w:rsid w:val="0059642F"/>
    <w:rsid w:val="00597A9E"/>
    <w:rsid w:val="005A19D9"/>
    <w:rsid w:val="005A6278"/>
    <w:rsid w:val="005B5E0F"/>
    <w:rsid w:val="005B5FBB"/>
    <w:rsid w:val="005B619A"/>
    <w:rsid w:val="005B78AE"/>
    <w:rsid w:val="005C2D36"/>
    <w:rsid w:val="005C52D2"/>
    <w:rsid w:val="005C62B9"/>
    <w:rsid w:val="005D6082"/>
    <w:rsid w:val="005E1B52"/>
    <w:rsid w:val="005E2FD8"/>
    <w:rsid w:val="005F01FE"/>
    <w:rsid w:val="005F4AC7"/>
    <w:rsid w:val="005F589A"/>
    <w:rsid w:val="005F6E68"/>
    <w:rsid w:val="00600EF8"/>
    <w:rsid w:val="00607F12"/>
    <w:rsid w:val="006100B9"/>
    <w:rsid w:val="00612115"/>
    <w:rsid w:val="00614CA6"/>
    <w:rsid w:val="0062281C"/>
    <w:rsid w:val="0062368C"/>
    <w:rsid w:val="00625BDB"/>
    <w:rsid w:val="0062674D"/>
    <w:rsid w:val="00633154"/>
    <w:rsid w:val="00642AB4"/>
    <w:rsid w:val="00647EAD"/>
    <w:rsid w:val="00654214"/>
    <w:rsid w:val="00655970"/>
    <w:rsid w:val="00660256"/>
    <w:rsid w:val="006674E2"/>
    <w:rsid w:val="0067294E"/>
    <w:rsid w:val="0067542A"/>
    <w:rsid w:val="0067623F"/>
    <w:rsid w:val="00681294"/>
    <w:rsid w:val="006A1B2E"/>
    <w:rsid w:val="006A2927"/>
    <w:rsid w:val="006A2C2A"/>
    <w:rsid w:val="006A3F7B"/>
    <w:rsid w:val="006A7E18"/>
    <w:rsid w:val="006B473B"/>
    <w:rsid w:val="006B5192"/>
    <w:rsid w:val="006B5C09"/>
    <w:rsid w:val="006B6D82"/>
    <w:rsid w:val="006C11E7"/>
    <w:rsid w:val="006C259F"/>
    <w:rsid w:val="006C502C"/>
    <w:rsid w:val="006C50E8"/>
    <w:rsid w:val="006D06DB"/>
    <w:rsid w:val="006D74B1"/>
    <w:rsid w:val="006E3718"/>
    <w:rsid w:val="006E754F"/>
    <w:rsid w:val="006F16D6"/>
    <w:rsid w:val="006F3296"/>
    <w:rsid w:val="006F5823"/>
    <w:rsid w:val="00703294"/>
    <w:rsid w:val="00703FDC"/>
    <w:rsid w:val="00715DE4"/>
    <w:rsid w:val="007178BA"/>
    <w:rsid w:val="00727FF5"/>
    <w:rsid w:val="00730AEB"/>
    <w:rsid w:val="00740AE3"/>
    <w:rsid w:val="00756331"/>
    <w:rsid w:val="00757CFE"/>
    <w:rsid w:val="00760BBA"/>
    <w:rsid w:val="00763165"/>
    <w:rsid w:val="00763F27"/>
    <w:rsid w:val="00780122"/>
    <w:rsid w:val="00783368"/>
    <w:rsid w:val="007873B3"/>
    <w:rsid w:val="007938C2"/>
    <w:rsid w:val="007A4A8A"/>
    <w:rsid w:val="007A5E8A"/>
    <w:rsid w:val="007A6B7B"/>
    <w:rsid w:val="007B05D0"/>
    <w:rsid w:val="007B5FEE"/>
    <w:rsid w:val="007C256A"/>
    <w:rsid w:val="007C3C63"/>
    <w:rsid w:val="007D0F17"/>
    <w:rsid w:val="007E2869"/>
    <w:rsid w:val="007E3861"/>
    <w:rsid w:val="007E3A7B"/>
    <w:rsid w:val="007E448B"/>
    <w:rsid w:val="007E51E1"/>
    <w:rsid w:val="007E6897"/>
    <w:rsid w:val="007E7B14"/>
    <w:rsid w:val="007F3737"/>
    <w:rsid w:val="007F45AD"/>
    <w:rsid w:val="007F63A9"/>
    <w:rsid w:val="00801D2B"/>
    <w:rsid w:val="00803238"/>
    <w:rsid w:val="00803F45"/>
    <w:rsid w:val="008047A2"/>
    <w:rsid w:val="00804CB2"/>
    <w:rsid w:val="0080650C"/>
    <w:rsid w:val="00826873"/>
    <w:rsid w:val="008307A3"/>
    <w:rsid w:val="00831599"/>
    <w:rsid w:val="008321BC"/>
    <w:rsid w:val="00835FFA"/>
    <w:rsid w:val="0083699C"/>
    <w:rsid w:val="0083777F"/>
    <w:rsid w:val="00837CC2"/>
    <w:rsid w:val="00841B13"/>
    <w:rsid w:val="008449F5"/>
    <w:rsid w:val="0085193D"/>
    <w:rsid w:val="00860050"/>
    <w:rsid w:val="00861094"/>
    <w:rsid w:val="008650F1"/>
    <w:rsid w:val="0087177D"/>
    <w:rsid w:val="0087504A"/>
    <w:rsid w:val="008801D8"/>
    <w:rsid w:val="008839AC"/>
    <w:rsid w:val="008867C4"/>
    <w:rsid w:val="0089195D"/>
    <w:rsid w:val="00892D2C"/>
    <w:rsid w:val="008950C0"/>
    <w:rsid w:val="008A19B5"/>
    <w:rsid w:val="008A7141"/>
    <w:rsid w:val="008B0907"/>
    <w:rsid w:val="008B44A1"/>
    <w:rsid w:val="008B74D6"/>
    <w:rsid w:val="008C4179"/>
    <w:rsid w:val="008C4825"/>
    <w:rsid w:val="008C572C"/>
    <w:rsid w:val="008C6949"/>
    <w:rsid w:val="008C7E55"/>
    <w:rsid w:val="008D04ED"/>
    <w:rsid w:val="008D32EF"/>
    <w:rsid w:val="008D351D"/>
    <w:rsid w:val="008D5B7A"/>
    <w:rsid w:val="008E071B"/>
    <w:rsid w:val="008E1AAD"/>
    <w:rsid w:val="008F2E4B"/>
    <w:rsid w:val="008F6067"/>
    <w:rsid w:val="00901AE0"/>
    <w:rsid w:val="0090244F"/>
    <w:rsid w:val="009126CA"/>
    <w:rsid w:val="009206B2"/>
    <w:rsid w:val="00922F40"/>
    <w:rsid w:val="009252C5"/>
    <w:rsid w:val="0092571A"/>
    <w:rsid w:val="00927A42"/>
    <w:rsid w:val="00930A71"/>
    <w:rsid w:val="00932552"/>
    <w:rsid w:val="00932ECF"/>
    <w:rsid w:val="009362C1"/>
    <w:rsid w:val="009429BA"/>
    <w:rsid w:val="00950C51"/>
    <w:rsid w:val="00956B9D"/>
    <w:rsid w:val="00960C1A"/>
    <w:rsid w:val="00964994"/>
    <w:rsid w:val="00971649"/>
    <w:rsid w:val="00971F12"/>
    <w:rsid w:val="00972D20"/>
    <w:rsid w:val="00975976"/>
    <w:rsid w:val="00976D13"/>
    <w:rsid w:val="00976E36"/>
    <w:rsid w:val="009772DE"/>
    <w:rsid w:val="00984A45"/>
    <w:rsid w:val="009851FB"/>
    <w:rsid w:val="00986A6C"/>
    <w:rsid w:val="009906D4"/>
    <w:rsid w:val="00994A7E"/>
    <w:rsid w:val="00996C01"/>
    <w:rsid w:val="009A1097"/>
    <w:rsid w:val="009A3D07"/>
    <w:rsid w:val="009B3BEE"/>
    <w:rsid w:val="009B666F"/>
    <w:rsid w:val="009B6CF5"/>
    <w:rsid w:val="009D0404"/>
    <w:rsid w:val="009D18E9"/>
    <w:rsid w:val="009D2B3F"/>
    <w:rsid w:val="009D65AD"/>
    <w:rsid w:val="009D65E5"/>
    <w:rsid w:val="009D6F4E"/>
    <w:rsid w:val="009E20F1"/>
    <w:rsid w:val="009E2DB4"/>
    <w:rsid w:val="009E3647"/>
    <w:rsid w:val="009E459F"/>
    <w:rsid w:val="009E5EC3"/>
    <w:rsid w:val="009E7FAD"/>
    <w:rsid w:val="009F342C"/>
    <w:rsid w:val="009F58A6"/>
    <w:rsid w:val="009F75F2"/>
    <w:rsid w:val="00A032BB"/>
    <w:rsid w:val="00A06A43"/>
    <w:rsid w:val="00A12969"/>
    <w:rsid w:val="00A13543"/>
    <w:rsid w:val="00A15184"/>
    <w:rsid w:val="00A151EB"/>
    <w:rsid w:val="00A154C8"/>
    <w:rsid w:val="00A202E2"/>
    <w:rsid w:val="00A234EA"/>
    <w:rsid w:val="00A34AD4"/>
    <w:rsid w:val="00A43AAA"/>
    <w:rsid w:val="00A43F24"/>
    <w:rsid w:val="00A44D0F"/>
    <w:rsid w:val="00A606B2"/>
    <w:rsid w:val="00A61055"/>
    <w:rsid w:val="00A6132C"/>
    <w:rsid w:val="00A66FEE"/>
    <w:rsid w:val="00A67AE2"/>
    <w:rsid w:val="00A710E6"/>
    <w:rsid w:val="00A77338"/>
    <w:rsid w:val="00A773CB"/>
    <w:rsid w:val="00A8417F"/>
    <w:rsid w:val="00A907C1"/>
    <w:rsid w:val="00A937AE"/>
    <w:rsid w:val="00AA0B83"/>
    <w:rsid w:val="00AA4AF9"/>
    <w:rsid w:val="00AA6D92"/>
    <w:rsid w:val="00AB19EA"/>
    <w:rsid w:val="00AB4D07"/>
    <w:rsid w:val="00AB550A"/>
    <w:rsid w:val="00AC0351"/>
    <w:rsid w:val="00AC22A7"/>
    <w:rsid w:val="00AD387C"/>
    <w:rsid w:val="00AE1676"/>
    <w:rsid w:val="00AE4F8A"/>
    <w:rsid w:val="00AE7D6C"/>
    <w:rsid w:val="00B00B43"/>
    <w:rsid w:val="00B01B73"/>
    <w:rsid w:val="00B074AC"/>
    <w:rsid w:val="00B10965"/>
    <w:rsid w:val="00B11850"/>
    <w:rsid w:val="00B1451B"/>
    <w:rsid w:val="00B16C20"/>
    <w:rsid w:val="00B20BD9"/>
    <w:rsid w:val="00B22B31"/>
    <w:rsid w:val="00B24AA2"/>
    <w:rsid w:val="00B26F0F"/>
    <w:rsid w:val="00B27D1E"/>
    <w:rsid w:val="00B32B8D"/>
    <w:rsid w:val="00B36325"/>
    <w:rsid w:val="00B37F87"/>
    <w:rsid w:val="00B46D2B"/>
    <w:rsid w:val="00B5247A"/>
    <w:rsid w:val="00B56D1F"/>
    <w:rsid w:val="00B60541"/>
    <w:rsid w:val="00B618AF"/>
    <w:rsid w:val="00B669BB"/>
    <w:rsid w:val="00B67803"/>
    <w:rsid w:val="00B74C6A"/>
    <w:rsid w:val="00B81FCE"/>
    <w:rsid w:val="00B84D59"/>
    <w:rsid w:val="00B91922"/>
    <w:rsid w:val="00BA0468"/>
    <w:rsid w:val="00BA5503"/>
    <w:rsid w:val="00BB44ED"/>
    <w:rsid w:val="00BB54FD"/>
    <w:rsid w:val="00BB6F20"/>
    <w:rsid w:val="00BB73D0"/>
    <w:rsid w:val="00BD198E"/>
    <w:rsid w:val="00BD3A7D"/>
    <w:rsid w:val="00BD4C49"/>
    <w:rsid w:val="00BE024E"/>
    <w:rsid w:val="00BF29BD"/>
    <w:rsid w:val="00BF5098"/>
    <w:rsid w:val="00BF55ED"/>
    <w:rsid w:val="00C00C91"/>
    <w:rsid w:val="00C01E77"/>
    <w:rsid w:val="00C10B88"/>
    <w:rsid w:val="00C1545C"/>
    <w:rsid w:val="00C15B7D"/>
    <w:rsid w:val="00C16E68"/>
    <w:rsid w:val="00C24AB7"/>
    <w:rsid w:val="00C36CA6"/>
    <w:rsid w:val="00C41D06"/>
    <w:rsid w:val="00C465F8"/>
    <w:rsid w:val="00C47AFA"/>
    <w:rsid w:val="00C53620"/>
    <w:rsid w:val="00C61421"/>
    <w:rsid w:val="00C61499"/>
    <w:rsid w:val="00C64C08"/>
    <w:rsid w:val="00C64F42"/>
    <w:rsid w:val="00C669E7"/>
    <w:rsid w:val="00C6728B"/>
    <w:rsid w:val="00C845CC"/>
    <w:rsid w:val="00C84781"/>
    <w:rsid w:val="00C8610C"/>
    <w:rsid w:val="00C92116"/>
    <w:rsid w:val="00C92C19"/>
    <w:rsid w:val="00C92DF5"/>
    <w:rsid w:val="00C93A54"/>
    <w:rsid w:val="00C96143"/>
    <w:rsid w:val="00C96CA3"/>
    <w:rsid w:val="00CA0A6C"/>
    <w:rsid w:val="00CA0CE4"/>
    <w:rsid w:val="00CA0FC1"/>
    <w:rsid w:val="00CA1880"/>
    <w:rsid w:val="00CA590F"/>
    <w:rsid w:val="00CB1745"/>
    <w:rsid w:val="00CD223B"/>
    <w:rsid w:val="00CD3E32"/>
    <w:rsid w:val="00CD7C25"/>
    <w:rsid w:val="00CE0BC8"/>
    <w:rsid w:val="00CE2CE7"/>
    <w:rsid w:val="00CF15EF"/>
    <w:rsid w:val="00CF6206"/>
    <w:rsid w:val="00CF7328"/>
    <w:rsid w:val="00D0297D"/>
    <w:rsid w:val="00D059E8"/>
    <w:rsid w:val="00D1025D"/>
    <w:rsid w:val="00D11EB2"/>
    <w:rsid w:val="00D15031"/>
    <w:rsid w:val="00D15252"/>
    <w:rsid w:val="00D16326"/>
    <w:rsid w:val="00D2565F"/>
    <w:rsid w:val="00D4121E"/>
    <w:rsid w:val="00D42567"/>
    <w:rsid w:val="00D45AEF"/>
    <w:rsid w:val="00D46182"/>
    <w:rsid w:val="00D4645A"/>
    <w:rsid w:val="00D46888"/>
    <w:rsid w:val="00D5267C"/>
    <w:rsid w:val="00D54D0C"/>
    <w:rsid w:val="00D57386"/>
    <w:rsid w:val="00D60933"/>
    <w:rsid w:val="00D667B1"/>
    <w:rsid w:val="00D707CD"/>
    <w:rsid w:val="00D86F4A"/>
    <w:rsid w:val="00DA219C"/>
    <w:rsid w:val="00DB5F3F"/>
    <w:rsid w:val="00DB7725"/>
    <w:rsid w:val="00DC1094"/>
    <w:rsid w:val="00DC27FD"/>
    <w:rsid w:val="00DC67C5"/>
    <w:rsid w:val="00DC7DD7"/>
    <w:rsid w:val="00DD0A38"/>
    <w:rsid w:val="00DD1176"/>
    <w:rsid w:val="00DD6095"/>
    <w:rsid w:val="00DE1BDF"/>
    <w:rsid w:val="00DE2A82"/>
    <w:rsid w:val="00DE3439"/>
    <w:rsid w:val="00DE78BF"/>
    <w:rsid w:val="00E12A50"/>
    <w:rsid w:val="00E20F97"/>
    <w:rsid w:val="00E2131A"/>
    <w:rsid w:val="00E21CD4"/>
    <w:rsid w:val="00E23438"/>
    <w:rsid w:val="00E23751"/>
    <w:rsid w:val="00E2406A"/>
    <w:rsid w:val="00E304D2"/>
    <w:rsid w:val="00E34BDE"/>
    <w:rsid w:val="00E51FDB"/>
    <w:rsid w:val="00E56F14"/>
    <w:rsid w:val="00E57A55"/>
    <w:rsid w:val="00E6252E"/>
    <w:rsid w:val="00E75E91"/>
    <w:rsid w:val="00E808DE"/>
    <w:rsid w:val="00E81113"/>
    <w:rsid w:val="00E8152E"/>
    <w:rsid w:val="00E85745"/>
    <w:rsid w:val="00E92284"/>
    <w:rsid w:val="00E93F4E"/>
    <w:rsid w:val="00E952D7"/>
    <w:rsid w:val="00E96632"/>
    <w:rsid w:val="00EA04D2"/>
    <w:rsid w:val="00EA27F8"/>
    <w:rsid w:val="00EA2808"/>
    <w:rsid w:val="00EA3681"/>
    <w:rsid w:val="00EA39F7"/>
    <w:rsid w:val="00EB2219"/>
    <w:rsid w:val="00EB269F"/>
    <w:rsid w:val="00EB3821"/>
    <w:rsid w:val="00EB3847"/>
    <w:rsid w:val="00EB755F"/>
    <w:rsid w:val="00EC6F5D"/>
    <w:rsid w:val="00EC757F"/>
    <w:rsid w:val="00ED039D"/>
    <w:rsid w:val="00ED4BAB"/>
    <w:rsid w:val="00EE344A"/>
    <w:rsid w:val="00EE49C4"/>
    <w:rsid w:val="00EE6CFE"/>
    <w:rsid w:val="00EF12D5"/>
    <w:rsid w:val="00EF572C"/>
    <w:rsid w:val="00F01EFE"/>
    <w:rsid w:val="00F04812"/>
    <w:rsid w:val="00F05623"/>
    <w:rsid w:val="00F1271A"/>
    <w:rsid w:val="00F12B32"/>
    <w:rsid w:val="00F16256"/>
    <w:rsid w:val="00F20BE6"/>
    <w:rsid w:val="00F3093B"/>
    <w:rsid w:val="00F30959"/>
    <w:rsid w:val="00F30E30"/>
    <w:rsid w:val="00F32788"/>
    <w:rsid w:val="00F40C05"/>
    <w:rsid w:val="00F41819"/>
    <w:rsid w:val="00F4498F"/>
    <w:rsid w:val="00F52918"/>
    <w:rsid w:val="00F55348"/>
    <w:rsid w:val="00F60909"/>
    <w:rsid w:val="00F62153"/>
    <w:rsid w:val="00F63717"/>
    <w:rsid w:val="00F74A51"/>
    <w:rsid w:val="00F76342"/>
    <w:rsid w:val="00F80F60"/>
    <w:rsid w:val="00F83166"/>
    <w:rsid w:val="00F90B38"/>
    <w:rsid w:val="00F9128F"/>
    <w:rsid w:val="00F94675"/>
    <w:rsid w:val="00F94CB9"/>
    <w:rsid w:val="00F977D9"/>
    <w:rsid w:val="00FA471C"/>
    <w:rsid w:val="00FA72C3"/>
    <w:rsid w:val="00FB2904"/>
    <w:rsid w:val="00FB64CC"/>
    <w:rsid w:val="00FC078C"/>
    <w:rsid w:val="00FC0B07"/>
    <w:rsid w:val="00FC0FA5"/>
    <w:rsid w:val="00FC4362"/>
    <w:rsid w:val="00FC4E74"/>
    <w:rsid w:val="00FD4C17"/>
    <w:rsid w:val="00FD568F"/>
    <w:rsid w:val="00FD6F48"/>
    <w:rsid w:val="00FE0125"/>
    <w:rsid w:val="00FE0754"/>
    <w:rsid w:val="00FE312A"/>
    <w:rsid w:val="00FE31DA"/>
    <w:rsid w:val="00FE4066"/>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5E5"/>
    <w:rPr>
      <w:rFonts w:ascii="Book Antiqua" w:hAnsi="Book Antiqua"/>
      <w:sz w:val="26"/>
    </w:rPr>
  </w:style>
  <w:style w:type="paragraph" w:styleId="Heading1">
    <w:name w:val="heading 1"/>
    <w:basedOn w:val="Normal"/>
    <w:next w:val="standard"/>
    <w:qFormat/>
    <w:pPr>
      <w:keepNext/>
      <w:spacing w:before="120" w:after="12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40"/>
    <w:pPr>
      <w:spacing w:after="240"/>
    </w:pPr>
    <w:rPr>
      <w:sz w:val="24"/>
    </w:rPr>
  </w:style>
  <w:style w:type="character" w:styleId="FootnoteReference">
    <w:name w:val="footnote reference"/>
    <w:aliases w:val="o,fr,Style 3,o1,o2,o3,o4,o5,o6,o11,o21,o7,o + Times New Roman,Style 12,(NECG) Footnote Reference,Appel note de bas de p,Style 124,Style 58"/>
    <w:basedOn w:val="DefaultParagraphFont"/>
    <w:uiPriority w:val="99"/>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2C7106"/>
    <w:rPr>
      <w:rFonts w:ascii="Book Antiqua" w:hAnsi="Book Antiqua"/>
      <w:sz w:val="24"/>
    </w:rPr>
  </w:style>
  <w:style w:type="paragraph" w:styleId="NormalWeb">
    <w:name w:val="Normal (Web)"/>
    <w:basedOn w:val="Normal"/>
    <w:semiHidden/>
    <w:unhideWhenUsed/>
    <w:rsid w:val="00F9128F"/>
    <w:rPr>
      <w:rFonts w:ascii="Times New Roman" w:hAnsi="Times New Roman"/>
      <w:sz w:val="24"/>
      <w:szCs w:val="24"/>
    </w:rPr>
  </w:style>
  <w:style w:type="paragraph" w:customStyle="1" w:styleId="Standard0">
    <w:name w:val="Standard"/>
    <w:basedOn w:val="Normal"/>
    <w:qFormat/>
    <w:rsid w:val="005F01FE"/>
    <w:pPr>
      <w:spacing w:line="360" w:lineRule="auto"/>
      <w:ind w:firstLine="720"/>
    </w:pPr>
    <w:rPr>
      <w:rFonts w:eastAsiaTheme="minorHAnsi" w:cstheme="minorBidi"/>
      <w:szCs w:val="22"/>
    </w:rPr>
  </w:style>
  <w:style w:type="numbering" w:customStyle="1" w:styleId="FoFCoLOP">
    <w:name w:val="FoF/CoL/OP"/>
    <w:uiPriority w:val="99"/>
    <w:rsid w:val="00476CCE"/>
    <w:pPr>
      <w:numPr>
        <w:numId w:val="11"/>
      </w:numPr>
    </w:pPr>
  </w:style>
  <w:style w:type="paragraph" w:customStyle="1" w:styleId="CoL">
    <w:name w:val="CoL"/>
    <w:basedOn w:val="Normal"/>
    <w:uiPriority w:val="7"/>
    <w:qFormat/>
    <w:rsid w:val="00476CCE"/>
    <w:pPr>
      <w:numPr>
        <w:numId w:val="12"/>
      </w:numPr>
      <w:spacing w:line="360" w:lineRule="auto"/>
      <w:ind w:firstLine="547"/>
    </w:pPr>
    <w:rPr>
      <w:rFonts w:eastAsia="Calibri"/>
      <w:szCs w:val="22"/>
    </w:rPr>
  </w:style>
  <w:style w:type="paragraph" w:styleId="Revision">
    <w:name w:val="Revision"/>
    <w:hidden/>
    <w:uiPriority w:val="99"/>
    <w:semiHidden/>
    <w:rsid w:val="009206B2"/>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23299515">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325280152">
      <w:bodyDiv w:val="1"/>
      <w:marLeft w:val="0"/>
      <w:marRight w:val="0"/>
      <w:marTop w:val="0"/>
      <w:marBottom w:val="0"/>
      <w:divBdr>
        <w:top w:val="none" w:sz="0" w:space="0" w:color="auto"/>
        <w:left w:val="none" w:sz="0" w:space="0" w:color="auto"/>
        <w:bottom w:val="none" w:sz="0" w:space="0" w:color="auto"/>
        <w:right w:val="none" w:sz="0" w:space="0" w:color="auto"/>
      </w:divBdr>
    </w:div>
    <w:div w:id="580725313">
      <w:bodyDiv w:val="1"/>
      <w:marLeft w:val="0"/>
      <w:marRight w:val="0"/>
      <w:marTop w:val="0"/>
      <w:marBottom w:val="0"/>
      <w:divBdr>
        <w:top w:val="none" w:sz="0" w:space="0" w:color="auto"/>
        <w:left w:val="none" w:sz="0" w:space="0" w:color="auto"/>
        <w:bottom w:val="none" w:sz="0" w:space="0" w:color="auto"/>
        <w:right w:val="none" w:sz="0" w:space="0" w:color="auto"/>
      </w:divBdr>
    </w:div>
    <w:div w:id="694312881">
      <w:bodyDiv w:val="1"/>
      <w:marLeft w:val="0"/>
      <w:marRight w:val="0"/>
      <w:marTop w:val="0"/>
      <w:marBottom w:val="0"/>
      <w:divBdr>
        <w:top w:val="none" w:sz="0" w:space="0" w:color="auto"/>
        <w:left w:val="none" w:sz="0" w:space="0" w:color="auto"/>
        <w:bottom w:val="none" w:sz="0" w:space="0" w:color="auto"/>
        <w:right w:val="none" w:sz="0" w:space="0" w:color="auto"/>
      </w:divBdr>
    </w:div>
    <w:div w:id="81221462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1627418">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 w:id="1503618103">
      <w:bodyDiv w:val="1"/>
      <w:marLeft w:val="0"/>
      <w:marRight w:val="0"/>
      <w:marTop w:val="0"/>
      <w:marBottom w:val="0"/>
      <w:divBdr>
        <w:top w:val="none" w:sz="0" w:space="0" w:color="auto"/>
        <w:left w:val="none" w:sz="0" w:space="0" w:color="auto"/>
        <w:bottom w:val="none" w:sz="0" w:space="0" w:color="auto"/>
        <w:right w:val="none" w:sz="0" w:space="0" w:color="auto"/>
      </w:divBdr>
    </w:div>
    <w:div w:id="1623612322">
      <w:bodyDiv w:val="1"/>
      <w:marLeft w:val="0"/>
      <w:marRight w:val="0"/>
      <w:marTop w:val="0"/>
      <w:marBottom w:val="0"/>
      <w:divBdr>
        <w:top w:val="none" w:sz="0" w:space="0" w:color="auto"/>
        <w:left w:val="none" w:sz="0" w:space="0" w:color="auto"/>
        <w:bottom w:val="none" w:sz="0" w:space="0" w:color="auto"/>
        <w:right w:val="none" w:sz="0" w:space="0" w:color="auto"/>
      </w:divBdr>
      <w:divsChild>
        <w:div w:id="1769152069">
          <w:marLeft w:val="0"/>
          <w:marRight w:val="0"/>
          <w:marTop w:val="0"/>
          <w:marBottom w:val="0"/>
          <w:divBdr>
            <w:top w:val="none" w:sz="0" w:space="0" w:color="auto"/>
            <w:left w:val="none" w:sz="0" w:space="0" w:color="auto"/>
            <w:bottom w:val="none" w:sz="0" w:space="0" w:color="auto"/>
            <w:right w:val="none" w:sz="0" w:space="0" w:color="auto"/>
          </w:divBdr>
          <w:divsChild>
            <w:div w:id="1530872025">
              <w:marLeft w:val="0"/>
              <w:marRight w:val="0"/>
              <w:marTop w:val="0"/>
              <w:marBottom w:val="0"/>
              <w:divBdr>
                <w:top w:val="none" w:sz="0" w:space="0" w:color="auto"/>
                <w:left w:val="none" w:sz="0" w:space="0" w:color="auto"/>
                <w:bottom w:val="none" w:sz="0" w:space="0" w:color="auto"/>
                <w:right w:val="none" w:sz="0" w:space="0" w:color="auto"/>
              </w:divBdr>
              <w:divsChild>
                <w:div w:id="451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6644">
      <w:bodyDiv w:val="1"/>
      <w:marLeft w:val="0"/>
      <w:marRight w:val="0"/>
      <w:marTop w:val="0"/>
      <w:marBottom w:val="0"/>
      <w:divBdr>
        <w:top w:val="none" w:sz="0" w:space="0" w:color="auto"/>
        <w:left w:val="none" w:sz="0" w:space="0" w:color="auto"/>
        <w:bottom w:val="none" w:sz="0" w:space="0" w:color="auto"/>
        <w:right w:val="none" w:sz="0" w:space="0" w:color="auto"/>
      </w:divBdr>
    </w:div>
    <w:div w:id="1901553550">
      <w:bodyDiv w:val="1"/>
      <w:marLeft w:val="0"/>
      <w:marRight w:val="0"/>
      <w:marTop w:val="0"/>
      <w:marBottom w:val="0"/>
      <w:divBdr>
        <w:top w:val="none" w:sz="0" w:space="0" w:color="auto"/>
        <w:left w:val="none" w:sz="0" w:space="0" w:color="auto"/>
        <w:bottom w:val="none" w:sz="0" w:space="0" w:color="auto"/>
        <w:right w:val="none" w:sz="0" w:space="0" w:color="auto"/>
      </w:divBdr>
    </w:div>
    <w:div w:id="20295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3FAA-2E18-0244-A87A-AD734CECB2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655</ap:Words>
  <ap:Characters>3737</ap:Characters>
  <ap:Application>Microsoft Office Word</ap:Application>
  <ap:DocSecurity>0</ap:DocSecurity>
  <ap:Lines>31</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4384</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2022-05-24T14:34:51Z</dcterms:created>
  <dcterms:modified xsi:type="dcterms:W3CDTF">2022-05-24T14:34:51Z</dcterms:modified>
</cp:coreProperties>
</file>