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2BC" w:rsidP="009362BC" w:rsidRDefault="009362BC" w14:paraId="3D983721" w14:textId="5ACC20FC">
      <w:pPr>
        <w:spacing w:line="240" w:lineRule="auto"/>
        <w:ind w:firstLine="0"/>
        <w:rPr>
          <w:sz w:val="24"/>
        </w:rPr>
      </w:pPr>
    </w:p>
    <w:p w:rsidR="00F20A5C" w:rsidP="00F20A5C" w:rsidRDefault="00F20A5C" w14:paraId="1E6DFC24" w14:textId="77777777">
      <w:pPr>
        <w:pBdr>
          <w:bottom w:val="double" w:color="auto" w:sz="6" w:space="1"/>
        </w:pBdr>
        <w:tabs>
          <w:tab w:val="left" w:pos="7470"/>
          <w:tab w:val="left" w:pos="7830"/>
          <w:tab w:val="right" w:pos="11070"/>
        </w:tabs>
        <w:spacing w:line="240" w:lineRule="auto"/>
        <w:ind w:left="8010" w:hanging="8010"/>
        <w:rPr>
          <w:rFonts w:ascii="Arial" w:hAnsi="Arial"/>
          <w:i/>
          <w:sz w:val="24"/>
        </w:rPr>
      </w:pPr>
      <w:r>
        <w:rPr>
          <w:rFonts w:ascii="Arial" w:hAnsi="Arial"/>
          <w:sz w:val="16"/>
        </w:rPr>
        <w:t>STATE OF CALIFORNIA                                                                                                                        GAVIN NEWSOM,</w:t>
      </w:r>
      <w:r>
        <w:rPr>
          <w:rFonts w:ascii="Arial" w:hAnsi="Arial"/>
        </w:rPr>
        <w:t xml:space="preserve"> </w:t>
      </w:r>
      <w:r>
        <w:rPr>
          <w:rFonts w:ascii="Arial" w:hAnsi="Arial"/>
          <w:i/>
          <w:sz w:val="16"/>
        </w:rPr>
        <w:t>Governor</w:t>
      </w:r>
    </w:p>
    <w:p w:rsidR="00F20A5C" w:rsidP="00F20A5C" w:rsidRDefault="00F20A5C" w14:paraId="7C6EB436" w14:textId="77777777">
      <w:pPr>
        <w:tabs>
          <w:tab w:val="right" w:pos="11070"/>
        </w:tabs>
        <w:spacing w:before="80" w:line="240" w:lineRule="auto"/>
        <w:ind w:firstLine="0"/>
        <w:rPr>
          <w:rFonts w:ascii="Arial" w:hAnsi="Arial"/>
        </w:rPr>
      </w:pPr>
      <w:r>
        <w:rPr>
          <w:rFonts w:ascii="Arial" w:hAnsi="Arial"/>
        </w:rPr>
        <w:t>PUBLIC UTILITIES COMMISSION</w:t>
      </w:r>
    </w:p>
    <w:p w:rsidR="00F20A5C" w:rsidP="00F20A5C" w:rsidRDefault="00F20A5C" w14:paraId="3E04723B" w14:textId="77777777">
      <w:pPr>
        <w:tabs>
          <w:tab w:val="right" w:pos="11070"/>
        </w:tabs>
        <w:spacing w:before="80" w:line="240" w:lineRule="auto"/>
        <w:ind w:firstLine="0"/>
        <w:rPr>
          <w:rFonts w:ascii="Arial" w:hAnsi="Arial"/>
          <w:sz w:val="12"/>
        </w:rPr>
      </w:pPr>
      <w:smartTag w:uri="urn:schemas-microsoft-com:office:smarttags" w:element="Street">
        <w:smartTag w:uri="urn:schemas-microsoft-com:office:smarttags" w:element="address">
          <w:r>
            <w:rPr>
              <w:rFonts w:ascii="Arial" w:hAnsi="Arial"/>
              <w:sz w:val="12"/>
            </w:rPr>
            <w:t>505 VAN NESS AVENUE</w:t>
          </w:r>
        </w:smartTag>
      </w:smartTag>
    </w:p>
    <w:p w:rsidR="00F20A5C" w:rsidP="00F20A5C" w:rsidRDefault="00F20A5C" w14:paraId="4B9F0997" w14:textId="77777777">
      <w:pPr>
        <w:tabs>
          <w:tab w:val="right" w:pos="11070"/>
        </w:tabs>
        <w:spacing w:before="80" w:line="240" w:lineRule="auto"/>
        <w:ind w:firstLine="0"/>
        <w:rPr>
          <w:rFonts w:ascii="Arial" w:hAnsi="Arial"/>
          <w:sz w:val="12"/>
        </w:rPr>
      </w:pPr>
      <w:smartTag w:uri="urn:schemas-microsoft-com:office:smarttags" w:element="place">
        <w:smartTag w:uri="urn:schemas-microsoft-com:office:smarttags" w:element="City">
          <w:r>
            <w:rPr>
              <w:rFonts w:ascii="Arial" w:hAnsi="Arial"/>
              <w:sz w:val="12"/>
            </w:rPr>
            <w:t>SAN FRANCISCO</w:t>
          </w:r>
        </w:smartTag>
        <w:r>
          <w:rPr>
            <w:rFonts w:ascii="Arial" w:hAnsi="Arial"/>
            <w:sz w:val="12"/>
          </w:rPr>
          <w:t xml:space="preserve">, </w:t>
        </w:r>
        <w:smartTag w:uri="urn:schemas-microsoft-com:office:smarttags" w:element="State">
          <w:r>
            <w:rPr>
              <w:rFonts w:ascii="Arial" w:hAnsi="Arial"/>
              <w:sz w:val="12"/>
            </w:rPr>
            <w:t>CA</w:t>
          </w:r>
        </w:smartTag>
        <w:r>
          <w:rPr>
            <w:rFonts w:ascii="Arial" w:hAnsi="Arial"/>
            <w:sz w:val="12"/>
          </w:rPr>
          <w:t xml:space="preserve"> </w:t>
        </w:r>
        <w:smartTag w:uri="urn:schemas-microsoft-com:office:smarttags" w:element="PostalCode">
          <w:r>
            <w:rPr>
              <w:rFonts w:ascii="Arial" w:hAnsi="Arial"/>
              <w:sz w:val="12"/>
            </w:rPr>
            <w:t>94102-3298</w:t>
          </w:r>
        </w:smartTag>
      </w:smartTag>
    </w:p>
    <w:p w:rsidR="00F20A5C" w:rsidP="00F20A5C" w:rsidRDefault="00F20A5C" w14:paraId="2F3FBCA0" w14:textId="77777777">
      <w:pPr>
        <w:spacing w:line="240" w:lineRule="auto"/>
        <w:ind w:firstLine="0"/>
      </w:pPr>
    </w:p>
    <w:p w:rsidR="00F20A5C" w:rsidP="00F20A5C" w:rsidRDefault="00F20A5C" w14:paraId="3B3406A4" w14:textId="77777777">
      <w:pPr>
        <w:spacing w:line="240" w:lineRule="auto"/>
        <w:ind w:firstLine="0"/>
      </w:pPr>
    </w:p>
    <w:p w:rsidR="00F20A5C" w:rsidP="00F20A5C" w:rsidRDefault="00E75CC2" w14:paraId="55EF841D" w14:textId="67726067">
      <w:pPr>
        <w:spacing w:line="240" w:lineRule="auto"/>
        <w:ind w:firstLine="0"/>
        <w:rPr>
          <w:szCs w:val="26"/>
        </w:rPr>
      </w:pPr>
      <w:r>
        <w:rPr>
          <w:szCs w:val="26"/>
        </w:rPr>
        <w:t>May 26, 2022</w:t>
      </w:r>
    </w:p>
    <w:p w:rsidR="00F20A5C" w:rsidP="00F20A5C" w:rsidRDefault="00F20A5C" w14:paraId="60AC31C3" w14:textId="77777777">
      <w:pPr>
        <w:spacing w:line="240" w:lineRule="auto"/>
        <w:ind w:firstLine="0"/>
        <w:rPr>
          <w:szCs w:val="26"/>
        </w:rPr>
      </w:pPr>
    </w:p>
    <w:p w:rsidR="00F20A5C" w:rsidP="00F20A5C" w:rsidRDefault="00F20A5C" w14:paraId="48FDEEE4" w14:textId="77777777">
      <w:pPr>
        <w:spacing w:line="240" w:lineRule="auto"/>
        <w:ind w:firstLine="0"/>
        <w:rPr>
          <w:szCs w:val="26"/>
        </w:rPr>
      </w:pPr>
    </w:p>
    <w:p w:rsidR="00F20A5C" w:rsidP="00F20A5C" w:rsidRDefault="00F20A5C" w14:paraId="50C26DA1" w14:textId="77777777">
      <w:pPr>
        <w:spacing w:line="240" w:lineRule="auto"/>
        <w:ind w:firstLine="0"/>
        <w:rPr>
          <w:szCs w:val="26"/>
        </w:rPr>
      </w:pPr>
    </w:p>
    <w:p w:rsidR="00F20A5C" w:rsidP="00F20A5C" w:rsidRDefault="00F20A5C" w14:paraId="4DF49A4C" w14:textId="719308DB">
      <w:pPr>
        <w:spacing w:line="240" w:lineRule="auto"/>
        <w:ind w:firstLine="0"/>
        <w:rPr>
          <w:szCs w:val="26"/>
        </w:rPr>
      </w:pPr>
      <w:r>
        <w:rPr>
          <w:szCs w:val="26"/>
        </w:rPr>
        <w:t xml:space="preserve">TO PARTIES OF RECORD IN CASE </w:t>
      </w:r>
      <w:r w:rsidR="00E75CC2">
        <w:rPr>
          <w:szCs w:val="26"/>
        </w:rPr>
        <w:t>21-09-011</w:t>
      </w:r>
      <w:r>
        <w:rPr>
          <w:szCs w:val="26"/>
        </w:rPr>
        <w:t xml:space="preserve">, DECISION </w:t>
      </w:r>
      <w:r w:rsidR="00E75CC2">
        <w:rPr>
          <w:szCs w:val="26"/>
        </w:rPr>
        <w:t>22-05-031:</w:t>
      </w:r>
    </w:p>
    <w:p w:rsidR="00F20A5C" w:rsidP="00F20A5C" w:rsidRDefault="00F20A5C" w14:paraId="3BD02329" w14:textId="77777777">
      <w:pPr>
        <w:spacing w:line="240" w:lineRule="auto"/>
        <w:ind w:firstLine="0"/>
        <w:rPr>
          <w:szCs w:val="26"/>
        </w:rPr>
      </w:pPr>
    </w:p>
    <w:p w:rsidRPr="00055CDF" w:rsidR="00F20A5C" w:rsidP="00F20A5C" w:rsidRDefault="00F20A5C" w14:paraId="3AE1B5A9" w14:textId="342613BE">
      <w:pPr>
        <w:spacing w:line="240" w:lineRule="auto"/>
        <w:ind w:firstLine="0"/>
        <w:rPr>
          <w:szCs w:val="26"/>
        </w:rPr>
      </w:pPr>
      <w:r>
        <w:rPr>
          <w:szCs w:val="26"/>
        </w:rPr>
        <w:t xml:space="preserve">On </w:t>
      </w:r>
      <w:r w:rsidR="0099756A">
        <w:rPr>
          <w:szCs w:val="26"/>
        </w:rPr>
        <w:t>April 22, 2022</w:t>
      </w:r>
      <w:r>
        <w:rPr>
          <w:szCs w:val="26"/>
        </w:rPr>
        <w:t xml:space="preserve">, a Presiding Officer’s Decision in this proceeding was mailed to all parties.  Public Utilities Code Section 1701.2 and Rule 15.5(a) of the Commission’s Rules of Practice and Procedure provide that the Presiding Officer’s Decision becomes the decision of the Commission </w:t>
      </w:r>
      <w:r w:rsidRPr="008D42CE">
        <w:rPr>
          <w:rFonts w:cs="Courier New"/>
          <w:szCs w:val="26"/>
        </w:rPr>
        <w:t>if no appeal or request for review has been filed within 30 days of the mailing of the Presiding Officer’s Decision.</w:t>
      </w:r>
    </w:p>
    <w:p w:rsidR="00F20A5C" w:rsidP="00F20A5C" w:rsidRDefault="00F20A5C" w14:paraId="0002DF1A" w14:textId="77777777">
      <w:pPr>
        <w:spacing w:line="240" w:lineRule="auto"/>
        <w:ind w:firstLine="0"/>
        <w:rPr>
          <w:szCs w:val="26"/>
        </w:rPr>
      </w:pPr>
    </w:p>
    <w:p w:rsidR="00F20A5C" w:rsidP="00F20A5C" w:rsidRDefault="00F20A5C" w14:paraId="09359F99" w14:textId="77777777">
      <w:pPr>
        <w:spacing w:line="240" w:lineRule="auto"/>
        <w:ind w:firstLine="0"/>
        <w:rPr>
          <w:szCs w:val="26"/>
        </w:rPr>
      </w:pPr>
      <w:r>
        <w:rPr>
          <w:szCs w:val="26"/>
        </w:rPr>
        <w:t>No timely appeals to the Commission or requests for review have been filed.  Therefore, the Presiding Officer’s Decision is now the decision of the Commission.</w:t>
      </w:r>
    </w:p>
    <w:p w:rsidR="00F20A5C" w:rsidP="00F20A5C" w:rsidRDefault="00F20A5C" w14:paraId="69385812" w14:textId="77777777">
      <w:pPr>
        <w:spacing w:line="240" w:lineRule="auto"/>
        <w:ind w:firstLine="0"/>
        <w:rPr>
          <w:szCs w:val="26"/>
        </w:rPr>
      </w:pPr>
    </w:p>
    <w:p w:rsidR="00F20A5C" w:rsidP="00F20A5C" w:rsidRDefault="00F20A5C" w14:paraId="319787A6" w14:textId="77777777">
      <w:pPr>
        <w:spacing w:line="240" w:lineRule="auto"/>
        <w:ind w:firstLine="0"/>
        <w:rPr>
          <w:szCs w:val="26"/>
        </w:rPr>
      </w:pPr>
      <w:r>
        <w:rPr>
          <w:szCs w:val="26"/>
        </w:rPr>
        <w:t>The decision number is shown above.</w:t>
      </w:r>
    </w:p>
    <w:p w:rsidR="00F20A5C" w:rsidP="00F20A5C" w:rsidRDefault="00F20A5C" w14:paraId="1D3BB543" w14:textId="77777777">
      <w:pPr>
        <w:spacing w:line="240" w:lineRule="auto"/>
        <w:ind w:firstLine="0"/>
        <w:rPr>
          <w:szCs w:val="26"/>
        </w:rPr>
      </w:pPr>
    </w:p>
    <w:p w:rsidR="00F20A5C" w:rsidP="00F20A5C" w:rsidRDefault="00F20A5C" w14:paraId="6799F71A" w14:textId="77777777">
      <w:pPr>
        <w:spacing w:line="240" w:lineRule="auto"/>
        <w:ind w:firstLine="0"/>
        <w:rPr>
          <w:szCs w:val="26"/>
        </w:rPr>
      </w:pPr>
    </w:p>
    <w:p w:rsidR="00F20A5C" w:rsidP="00F20A5C" w:rsidRDefault="00F20A5C" w14:paraId="18A99257" w14:textId="77777777">
      <w:pPr>
        <w:spacing w:line="240" w:lineRule="auto"/>
        <w:ind w:firstLine="0"/>
        <w:rPr>
          <w:szCs w:val="26"/>
        </w:rPr>
      </w:pPr>
    </w:p>
    <w:p w:rsidRPr="00F063FD" w:rsidR="0099756A" w:rsidP="00F20A5C" w:rsidRDefault="00F063FD" w14:paraId="1B11C720" w14:textId="0C618DD7">
      <w:pPr>
        <w:spacing w:line="240" w:lineRule="auto"/>
        <w:ind w:firstLine="0"/>
        <w:rPr>
          <w:szCs w:val="26"/>
          <w:u w:val="single"/>
        </w:rPr>
      </w:pPr>
      <w:r w:rsidRPr="00F063FD">
        <w:rPr>
          <w:szCs w:val="26"/>
          <w:u w:val="single"/>
        </w:rPr>
        <w:t>/s</w:t>
      </w:r>
      <w:proofErr w:type="gramStart"/>
      <w:r w:rsidRPr="00F063FD">
        <w:rPr>
          <w:szCs w:val="26"/>
          <w:u w:val="single"/>
        </w:rPr>
        <w:t>/  ANNE</w:t>
      </w:r>
      <w:proofErr w:type="gramEnd"/>
      <w:r w:rsidRPr="00F063FD">
        <w:rPr>
          <w:szCs w:val="26"/>
          <w:u w:val="single"/>
        </w:rPr>
        <w:t xml:space="preserve"> E. SIMON</w:t>
      </w:r>
    </w:p>
    <w:p w:rsidR="00F20A5C" w:rsidP="00F20A5C" w:rsidRDefault="00F20A5C" w14:paraId="41EF3C18" w14:textId="4B190CED">
      <w:pPr>
        <w:spacing w:line="240" w:lineRule="auto"/>
        <w:ind w:firstLine="0"/>
        <w:rPr>
          <w:szCs w:val="26"/>
        </w:rPr>
      </w:pPr>
      <w:r>
        <w:rPr>
          <w:szCs w:val="26"/>
        </w:rPr>
        <w:t>Anne E. Simon</w:t>
      </w:r>
    </w:p>
    <w:p w:rsidR="00F20A5C" w:rsidP="00F20A5C" w:rsidRDefault="00F20A5C" w14:paraId="11E1381E" w14:textId="77777777">
      <w:pPr>
        <w:spacing w:line="240" w:lineRule="auto"/>
        <w:ind w:firstLine="0"/>
        <w:rPr>
          <w:szCs w:val="26"/>
        </w:rPr>
      </w:pPr>
      <w:r>
        <w:rPr>
          <w:szCs w:val="26"/>
        </w:rPr>
        <w:t>Chief Administrative Law Judge</w:t>
      </w:r>
    </w:p>
    <w:p w:rsidR="00F20A5C" w:rsidP="00F20A5C" w:rsidRDefault="00F20A5C" w14:paraId="083290BF" w14:textId="77777777">
      <w:pPr>
        <w:spacing w:line="240" w:lineRule="auto"/>
        <w:ind w:firstLine="0"/>
        <w:rPr>
          <w:szCs w:val="26"/>
        </w:rPr>
      </w:pPr>
    </w:p>
    <w:p w:rsidR="00F20A5C" w:rsidP="00F20A5C" w:rsidRDefault="00F20A5C" w14:paraId="16E7AB8F" w14:textId="77777777">
      <w:pPr>
        <w:spacing w:line="240" w:lineRule="auto"/>
        <w:ind w:firstLine="0"/>
        <w:rPr>
          <w:szCs w:val="26"/>
        </w:rPr>
      </w:pPr>
      <w:proofErr w:type="spellStart"/>
      <w:r>
        <w:rPr>
          <w:szCs w:val="26"/>
        </w:rPr>
        <w:t>AES:mph</w:t>
      </w:r>
      <w:proofErr w:type="spellEnd"/>
    </w:p>
    <w:p w:rsidR="00F20A5C" w:rsidP="00F20A5C" w:rsidRDefault="00F20A5C" w14:paraId="50AD3AF4" w14:textId="77777777">
      <w:pPr>
        <w:spacing w:line="240" w:lineRule="auto"/>
        <w:ind w:firstLine="0"/>
        <w:rPr>
          <w:szCs w:val="26"/>
        </w:rPr>
      </w:pPr>
    </w:p>
    <w:p w:rsidR="00F20A5C" w:rsidP="00F20A5C" w:rsidRDefault="00F20A5C" w14:paraId="20BB90B6" w14:textId="77777777">
      <w:pPr>
        <w:spacing w:line="240" w:lineRule="auto"/>
        <w:ind w:firstLine="0"/>
        <w:rPr>
          <w:szCs w:val="26"/>
        </w:rPr>
      </w:pPr>
      <w:r>
        <w:rPr>
          <w:szCs w:val="26"/>
        </w:rPr>
        <w:t>Attachment</w:t>
      </w:r>
    </w:p>
    <w:p w:rsidR="00DD58A2" w:rsidP="00F20A5C" w:rsidRDefault="00DD58A2" w14:paraId="095EDF43" w14:textId="77777777">
      <w:pPr>
        <w:tabs>
          <w:tab w:val="center" w:pos="4680"/>
          <w:tab w:val="right" w:pos="9090"/>
        </w:tabs>
        <w:spacing w:line="240" w:lineRule="auto"/>
        <w:ind w:firstLine="0"/>
        <w:sectPr w:rsidR="00DD58A2" w:rsidSect="00CB11EF">
          <w:headerReference w:type="default" r:id="rId8"/>
          <w:footerReference w:type="default" r:id="rId9"/>
          <w:pgSz w:w="12240" w:h="15840"/>
          <w:pgMar w:top="1728" w:right="1440" w:bottom="1440" w:left="1440" w:header="720" w:footer="720" w:gutter="0"/>
          <w:pgNumType w:start="1"/>
          <w:cols w:space="720"/>
          <w:titlePg/>
          <w:docGrid w:linePitch="360"/>
        </w:sectPr>
      </w:pPr>
    </w:p>
    <w:p w:rsidRPr="00355470" w:rsidR="00B60421" w:rsidP="00F20A5C" w:rsidRDefault="0035481B" w14:paraId="7986D8F9" w14:textId="3273B648">
      <w:pPr>
        <w:tabs>
          <w:tab w:val="center" w:pos="4680"/>
          <w:tab w:val="right" w:pos="9090"/>
        </w:tabs>
        <w:spacing w:line="240" w:lineRule="auto"/>
        <w:ind w:firstLine="0"/>
        <w:rPr>
          <w:b/>
          <w:bCs/>
        </w:rPr>
      </w:pPr>
      <w:r>
        <w:lastRenderedPageBreak/>
        <w:t>ALJ/POD-</w:t>
      </w:r>
      <w:r w:rsidR="008B7FD3">
        <w:t>GK1/mph</w:t>
      </w:r>
      <w:r w:rsidR="0017612F">
        <w:tab/>
      </w:r>
      <w:r w:rsidR="0017612F">
        <w:tab/>
      </w:r>
      <w:r w:rsidR="00803944">
        <w:rPr>
          <w:b/>
          <w:bCs/>
        </w:rPr>
        <w:t>Date of Issuance 5/26/2022</w:t>
      </w:r>
    </w:p>
    <w:p w:rsidR="0035481B" w:rsidP="008F0116" w:rsidRDefault="0035481B" w14:paraId="3A3EF563" w14:textId="77777777">
      <w:pPr>
        <w:ind w:firstLine="0"/>
      </w:pPr>
    </w:p>
    <w:p w:rsidR="00DA7B5D" w:rsidP="00436ACD" w:rsidRDefault="0017612F" w14:paraId="03920D91" w14:textId="1B2998FF">
      <w:pPr>
        <w:spacing w:line="240" w:lineRule="auto"/>
        <w:ind w:firstLine="0"/>
      </w:pPr>
      <w:r>
        <w:t>Decision</w:t>
      </w:r>
      <w:r w:rsidR="002A4E5C">
        <w:t xml:space="preserve"> </w:t>
      </w:r>
      <w:r w:rsidRPr="00803944" w:rsidR="00803944">
        <w:t>22-05-031</w:t>
      </w:r>
      <w:r w:rsidR="000316E6">
        <w:t xml:space="preserve">  </w:t>
      </w:r>
    </w:p>
    <w:p w:rsidRPr="00803944" w:rsidR="00760B7B" w:rsidP="00436ACD" w:rsidRDefault="00760B7B" w14:paraId="25DF2FC0" w14:textId="77777777">
      <w:pPr>
        <w:spacing w:line="240" w:lineRule="auto"/>
        <w:ind w:firstLine="0"/>
      </w:pPr>
    </w:p>
    <w:p w:rsidRPr="00795EF6" w:rsidR="00DA7B5D" w:rsidP="00E75AD4" w:rsidRDefault="00DA7B5D" w14:paraId="151F1A6B" w14:textId="77777777">
      <w:pPr>
        <w:spacing w:line="240" w:lineRule="auto"/>
        <w:ind w:firstLine="0"/>
        <w:rPr>
          <w:b/>
          <w:bCs/>
          <w:u w:val="single"/>
        </w:rPr>
      </w:pPr>
    </w:p>
    <w:p w:rsidR="00DA7B5D" w:rsidP="00BB0243" w:rsidRDefault="00DA7B5D" w14:paraId="65452AD3"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2988C415"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5760"/>
        <w:gridCol w:w="3600"/>
      </w:tblGrid>
      <w:tr w:rsidR="00DA7B5D" w:rsidTr="000E2C9F" w14:paraId="3B8D6A17" w14:textId="77777777">
        <w:trPr>
          <w:jc w:val="center"/>
        </w:trPr>
        <w:tc>
          <w:tcPr>
            <w:tcW w:w="5760" w:type="dxa"/>
            <w:tcBorders>
              <w:top w:val="nil"/>
              <w:left w:val="nil"/>
              <w:bottom w:val="single" w:color="auto" w:sz="4" w:space="0"/>
              <w:right w:val="single" w:color="auto" w:sz="4" w:space="0"/>
            </w:tcBorders>
          </w:tcPr>
          <w:p w:rsidRPr="009055FB" w:rsidR="009055FB" w:rsidP="009055FB" w:rsidRDefault="00B03242" w14:paraId="1EEE6F6C" w14:textId="4CB94DCB">
            <w:pPr>
              <w:spacing w:line="240" w:lineRule="auto"/>
              <w:ind w:firstLine="0"/>
              <w:rPr>
                <w:rFonts w:cs="Times New Roman"/>
                <w:szCs w:val="20"/>
              </w:rPr>
            </w:pPr>
            <w:proofErr w:type="spellStart"/>
            <w:r>
              <w:rPr>
                <w:rFonts w:cs="Times New Roman"/>
                <w:szCs w:val="20"/>
              </w:rPr>
              <w:t>Edita</w:t>
            </w:r>
            <w:proofErr w:type="spellEnd"/>
            <w:r>
              <w:rPr>
                <w:rFonts w:cs="Times New Roman"/>
                <w:szCs w:val="20"/>
              </w:rPr>
              <w:t xml:space="preserve"> Capuzzi</w:t>
            </w:r>
            <w:r w:rsidRPr="009055FB" w:rsidR="009055FB">
              <w:rPr>
                <w:rFonts w:cs="Times New Roman"/>
                <w:szCs w:val="20"/>
              </w:rPr>
              <w:t>,</w:t>
            </w:r>
          </w:p>
          <w:p w:rsidRPr="009055FB" w:rsidR="009055FB" w:rsidP="009055FB" w:rsidRDefault="009055FB" w14:paraId="3C3548E4" w14:textId="77777777">
            <w:pPr>
              <w:spacing w:line="240" w:lineRule="auto"/>
              <w:ind w:firstLine="0"/>
              <w:rPr>
                <w:rFonts w:cs="Times New Roman"/>
                <w:szCs w:val="20"/>
              </w:rPr>
            </w:pPr>
          </w:p>
          <w:p w:rsidRPr="009055FB" w:rsidR="009055FB" w:rsidP="009055FB" w:rsidRDefault="009055FB" w14:paraId="633A37AE" w14:textId="1BA7A170">
            <w:pPr>
              <w:spacing w:line="240" w:lineRule="auto"/>
              <w:ind w:firstLine="0"/>
              <w:jc w:val="right"/>
              <w:rPr>
                <w:rFonts w:cs="Times New Roman"/>
                <w:szCs w:val="20"/>
              </w:rPr>
            </w:pPr>
            <w:r w:rsidRPr="009055FB">
              <w:rPr>
                <w:rFonts w:cs="Times New Roman"/>
                <w:szCs w:val="20"/>
              </w:rPr>
              <w:t>Complainant</w:t>
            </w:r>
            <w:r w:rsidR="004B66C0">
              <w:rPr>
                <w:rFonts w:cs="Times New Roman"/>
                <w:szCs w:val="20"/>
              </w:rPr>
              <w:t>,</w:t>
            </w:r>
          </w:p>
          <w:p w:rsidRPr="009055FB" w:rsidR="009055FB" w:rsidP="009055FB" w:rsidRDefault="009055FB" w14:paraId="4B76FAC8" w14:textId="77777777">
            <w:pPr>
              <w:spacing w:line="240" w:lineRule="auto"/>
              <w:ind w:firstLine="0"/>
              <w:rPr>
                <w:rFonts w:cs="Times New Roman"/>
                <w:szCs w:val="20"/>
              </w:rPr>
            </w:pPr>
          </w:p>
          <w:p w:rsidRPr="009055FB" w:rsidR="009055FB" w:rsidP="009055FB" w:rsidRDefault="009055FB" w14:paraId="2E7FAC10" w14:textId="77777777">
            <w:pPr>
              <w:spacing w:line="240" w:lineRule="auto"/>
              <w:ind w:firstLine="0"/>
              <w:jc w:val="center"/>
              <w:rPr>
                <w:rFonts w:cs="Times New Roman"/>
                <w:szCs w:val="20"/>
              </w:rPr>
            </w:pPr>
            <w:r w:rsidRPr="009055FB">
              <w:rPr>
                <w:rFonts w:cs="Times New Roman"/>
                <w:szCs w:val="20"/>
              </w:rPr>
              <w:t>vs.</w:t>
            </w:r>
          </w:p>
          <w:p w:rsidRPr="009055FB" w:rsidR="009055FB" w:rsidP="009055FB" w:rsidRDefault="009055FB" w14:paraId="72F8C0BE" w14:textId="77777777">
            <w:pPr>
              <w:spacing w:line="240" w:lineRule="auto"/>
              <w:ind w:firstLine="0"/>
              <w:jc w:val="center"/>
              <w:rPr>
                <w:rFonts w:cs="Times New Roman"/>
                <w:szCs w:val="20"/>
              </w:rPr>
            </w:pPr>
          </w:p>
          <w:p w:rsidRPr="009055FB" w:rsidR="009055FB" w:rsidP="009055FB" w:rsidRDefault="009055FB" w14:paraId="4C073E8C" w14:textId="21B5B933">
            <w:pPr>
              <w:spacing w:line="240" w:lineRule="auto"/>
              <w:ind w:firstLine="0"/>
              <w:rPr>
                <w:rFonts w:cs="Times New Roman"/>
                <w:szCs w:val="20"/>
              </w:rPr>
            </w:pPr>
            <w:r w:rsidRPr="009055FB">
              <w:rPr>
                <w:rFonts w:cs="Times New Roman"/>
                <w:szCs w:val="20"/>
              </w:rPr>
              <w:t>S</w:t>
            </w:r>
            <w:r w:rsidR="00B03242">
              <w:rPr>
                <w:rFonts w:cs="Times New Roman"/>
                <w:szCs w:val="20"/>
              </w:rPr>
              <w:t>an Diego Gas &amp; Electric Company</w:t>
            </w:r>
            <w:r w:rsidRPr="009055FB">
              <w:rPr>
                <w:rFonts w:cs="Times New Roman"/>
                <w:szCs w:val="20"/>
              </w:rPr>
              <w:t xml:space="preserve"> (U</w:t>
            </w:r>
            <w:r w:rsidR="00B03242">
              <w:rPr>
                <w:rFonts w:cs="Times New Roman"/>
                <w:szCs w:val="20"/>
              </w:rPr>
              <w:t>902</w:t>
            </w:r>
            <w:r w:rsidRPr="009055FB">
              <w:rPr>
                <w:rFonts w:cs="Times New Roman"/>
                <w:szCs w:val="20"/>
              </w:rPr>
              <w:t xml:space="preserve">E), </w:t>
            </w:r>
          </w:p>
          <w:p w:rsidRPr="009055FB" w:rsidR="009055FB" w:rsidP="009055FB" w:rsidRDefault="009055FB" w14:paraId="4CF74EB6" w14:textId="77777777">
            <w:pPr>
              <w:spacing w:line="240" w:lineRule="auto"/>
              <w:ind w:firstLine="0"/>
              <w:rPr>
                <w:rFonts w:cs="Times New Roman"/>
                <w:szCs w:val="20"/>
              </w:rPr>
            </w:pPr>
          </w:p>
          <w:p w:rsidRPr="00646924" w:rsidR="00DA7B5D" w:rsidP="008B7FD3" w:rsidRDefault="009055FB" w14:paraId="55770B46" w14:textId="32A0CE4E">
            <w:pPr>
              <w:spacing w:line="240" w:lineRule="auto"/>
              <w:ind w:firstLine="0"/>
              <w:jc w:val="right"/>
              <w:rPr>
                <w:rFonts w:cs="Times New Roman"/>
                <w:szCs w:val="20"/>
              </w:rPr>
            </w:pPr>
            <w:r w:rsidRPr="009055FB">
              <w:rPr>
                <w:rFonts w:cs="Times New Roman"/>
                <w:szCs w:val="20"/>
              </w:rPr>
              <w:t>Defendant</w:t>
            </w:r>
            <w:r>
              <w:rPr>
                <w:rFonts w:cs="Arial"/>
                <w:szCs w:val="26"/>
              </w:rPr>
              <w:t>.</w:t>
            </w:r>
          </w:p>
          <w:p w:rsidRPr="00DA7B5D" w:rsidR="009055FB" w:rsidP="009055FB" w:rsidRDefault="009055FB" w14:paraId="7ED734E3" w14:textId="4CB84D37">
            <w:pPr>
              <w:spacing w:line="240" w:lineRule="auto"/>
              <w:ind w:firstLine="0"/>
              <w:rPr>
                <w:rFonts w:cs="Arial"/>
                <w:szCs w:val="26"/>
              </w:rPr>
            </w:pPr>
          </w:p>
        </w:tc>
        <w:tc>
          <w:tcPr>
            <w:tcW w:w="3600" w:type="dxa"/>
            <w:tcBorders>
              <w:top w:val="nil"/>
              <w:left w:val="single" w:color="auto" w:sz="4" w:space="0"/>
              <w:bottom w:val="nil"/>
              <w:right w:val="nil"/>
            </w:tcBorders>
            <w:vAlign w:val="center"/>
          </w:tcPr>
          <w:p w:rsidRPr="00DA7B5D" w:rsidR="00DA7B5D" w:rsidP="00412C83" w:rsidRDefault="009055FB" w14:paraId="2114F1D0" w14:textId="05454C74">
            <w:pPr>
              <w:spacing w:line="240" w:lineRule="auto"/>
              <w:ind w:firstLine="0"/>
              <w:jc w:val="center"/>
              <w:rPr>
                <w:rFonts w:cs="Arial"/>
                <w:szCs w:val="26"/>
              </w:rPr>
            </w:pPr>
            <w:r w:rsidRPr="009055FB">
              <w:rPr>
                <w:rFonts w:cs="Arial"/>
                <w:szCs w:val="26"/>
              </w:rPr>
              <w:t>Case 21-0</w:t>
            </w:r>
            <w:r w:rsidR="00B03242">
              <w:rPr>
                <w:rFonts w:cs="Arial"/>
                <w:szCs w:val="26"/>
              </w:rPr>
              <w:t>9-011</w:t>
            </w:r>
          </w:p>
        </w:tc>
      </w:tr>
    </w:tbl>
    <w:p w:rsidR="00D44DB6" w:rsidP="00D44DB6" w:rsidRDefault="00D44DB6" w14:paraId="6D6893F4" w14:textId="77777777">
      <w:pPr>
        <w:spacing w:line="240" w:lineRule="auto"/>
        <w:ind w:firstLine="0"/>
        <w:rPr>
          <w:rFonts w:cs="Arial"/>
          <w:i/>
          <w:szCs w:val="26"/>
        </w:rPr>
      </w:pPr>
    </w:p>
    <w:p w:rsidR="009055FB" w:rsidP="00D44DB6" w:rsidRDefault="009055FB" w14:paraId="1B3A6461" w14:textId="0B4C81CA">
      <w:pPr>
        <w:spacing w:line="240" w:lineRule="auto"/>
        <w:ind w:firstLine="0"/>
        <w:rPr>
          <w:rFonts w:cs="Arial"/>
          <w:i/>
          <w:szCs w:val="26"/>
        </w:rPr>
      </w:pPr>
    </w:p>
    <w:p w:rsidR="00A06ED3" w:rsidP="00BA5418" w:rsidRDefault="00B03242" w14:paraId="0CDEE958" w14:textId="767F85A1">
      <w:pPr>
        <w:pStyle w:val="ALJBodyText"/>
        <w:tabs>
          <w:tab w:val="left" w:pos="1620"/>
        </w:tabs>
      </w:pPr>
      <w:proofErr w:type="spellStart"/>
      <w:r>
        <w:rPr>
          <w:u w:val="single"/>
        </w:rPr>
        <w:t>Edita</w:t>
      </w:r>
      <w:proofErr w:type="spellEnd"/>
      <w:r>
        <w:rPr>
          <w:u w:val="single"/>
        </w:rPr>
        <w:t xml:space="preserve"> Capuzzi</w:t>
      </w:r>
      <w:r w:rsidR="00446753">
        <w:t>, Complainant</w:t>
      </w:r>
      <w:r>
        <w:t xml:space="preserve"> nonappearance at Prehearing Conference</w:t>
      </w:r>
      <w:r w:rsidR="00446753">
        <w:t>.</w:t>
      </w:r>
    </w:p>
    <w:p w:rsidR="00446753" w:rsidP="00BA5418" w:rsidRDefault="00B03242" w14:paraId="1BB3EB19" w14:textId="530679B0">
      <w:pPr>
        <w:pStyle w:val="ALJBodyText"/>
        <w:tabs>
          <w:tab w:val="left" w:pos="1620"/>
        </w:tabs>
        <w:spacing w:line="240" w:lineRule="auto"/>
        <w:ind w:left="2520" w:right="1080" w:hanging="540"/>
      </w:pPr>
      <w:r>
        <w:rPr>
          <w:u w:val="single"/>
        </w:rPr>
        <w:t>Rebecca Hansson</w:t>
      </w:r>
      <w:r w:rsidR="00446753">
        <w:t xml:space="preserve">, </w:t>
      </w:r>
      <w:r w:rsidR="00A51018">
        <w:t>Attorneys at Law</w:t>
      </w:r>
      <w:r w:rsidR="00446753">
        <w:t xml:space="preserve">, </w:t>
      </w:r>
      <w:r>
        <w:t>San Diego Gas &amp; Electric Company</w:t>
      </w:r>
      <w:r w:rsidR="00446753">
        <w:t>, Defendant.</w:t>
      </w:r>
    </w:p>
    <w:p w:rsidR="00A06ED3" w:rsidP="00D44DB6" w:rsidRDefault="00A06ED3" w14:paraId="4C3D2998" w14:textId="77777777">
      <w:pPr>
        <w:spacing w:line="240" w:lineRule="auto"/>
        <w:ind w:firstLine="0"/>
        <w:rPr>
          <w:rFonts w:cs="Arial"/>
          <w:i/>
          <w:szCs w:val="26"/>
        </w:rPr>
      </w:pPr>
    </w:p>
    <w:p w:rsidR="0098655A" w:rsidP="00D82A43" w:rsidRDefault="009055FB" w14:paraId="46EF9D4E" w14:textId="4201F034">
      <w:pPr>
        <w:pStyle w:val="Main"/>
        <w:spacing w:after="240"/>
      </w:pPr>
      <w:r w:rsidRPr="009055FB">
        <w:t>DECISION DISMISSING COMPLAINT</w:t>
      </w:r>
    </w:p>
    <w:p w:rsidR="005A148C" w:rsidP="009055FB" w:rsidRDefault="005A148C" w14:paraId="71729F89" w14:textId="41FBB3CB">
      <w:pPr>
        <w:pStyle w:val="Heading1"/>
        <w:numPr>
          <w:ilvl w:val="0"/>
          <w:numId w:val="0"/>
        </w:numPr>
        <w:ind w:left="720" w:hanging="720"/>
      </w:pPr>
      <w:bookmarkStart w:name="_Toc8123714" w:id="0"/>
      <w:bookmarkStart w:name="_Toc12866683" w:id="1"/>
      <w:r>
        <w:t>Summary</w:t>
      </w:r>
      <w:bookmarkEnd w:id="0"/>
      <w:bookmarkEnd w:id="1"/>
    </w:p>
    <w:p w:rsidR="009055FB" w:rsidP="00C36C79" w:rsidRDefault="009055FB" w14:paraId="79E69894" w14:textId="33A05262">
      <w:pPr>
        <w:pStyle w:val="Standard"/>
      </w:pPr>
      <w:r>
        <w:t xml:space="preserve">This decision dismisses the </w:t>
      </w:r>
      <w:r w:rsidR="0052277F">
        <w:t>c</w:t>
      </w:r>
      <w:r>
        <w:t xml:space="preserve">omplaint of </w:t>
      </w:r>
      <w:proofErr w:type="spellStart"/>
      <w:r w:rsidR="00B03242">
        <w:t>Edita</w:t>
      </w:r>
      <w:proofErr w:type="spellEnd"/>
      <w:r w:rsidR="00B03242">
        <w:t xml:space="preserve"> Capuzzi</w:t>
      </w:r>
      <w:r w:rsidR="003D169D">
        <w:t xml:space="preserve"> against San Diego Gas &amp; Electric Company</w:t>
      </w:r>
      <w:r w:rsidR="00B03242">
        <w:t>, with prejudice</w:t>
      </w:r>
      <w:r>
        <w:t xml:space="preserve"> for failure to prosecute. </w:t>
      </w:r>
    </w:p>
    <w:p w:rsidR="009055FB" w:rsidP="009055FB" w:rsidRDefault="009055FB" w14:paraId="1E784E25" w14:textId="3046EF05">
      <w:r>
        <w:t>Case 21-</w:t>
      </w:r>
      <w:r w:rsidR="00B03242">
        <w:t>09-011</w:t>
      </w:r>
      <w:r>
        <w:t xml:space="preserve"> is closed.</w:t>
      </w:r>
    </w:p>
    <w:p w:rsidR="009055FB" w:rsidP="009055FB" w:rsidRDefault="00100560" w14:paraId="085A95F8" w14:textId="6887B78F">
      <w:pPr>
        <w:pStyle w:val="Heading1"/>
      </w:pPr>
      <w:r>
        <w:t xml:space="preserve">Factual and Procedural </w:t>
      </w:r>
      <w:r w:rsidR="009055FB">
        <w:t>Background</w:t>
      </w:r>
    </w:p>
    <w:p w:rsidRPr="002929C9" w:rsidR="000C7330" w:rsidP="00C36C79" w:rsidRDefault="009055FB" w14:paraId="1A8D8C55" w14:textId="10021AF0">
      <w:pPr>
        <w:pStyle w:val="Standard"/>
      </w:pPr>
      <w:r>
        <w:t xml:space="preserve">On </w:t>
      </w:r>
      <w:r w:rsidR="004D5AB2">
        <w:t>September 24</w:t>
      </w:r>
      <w:r>
        <w:t xml:space="preserve">, 2021, </w:t>
      </w:r>
      <w:proofErr w:type="spellStart"/>
      <w:r w:rsidR="004D5AB2">
        <w:t>Edita</w:t>
      </w:r>
      <w:proofErr w:type="spellEnd"/>
      <w:r w:rsidR="004D5AB2">
        <w:t xml:space="preserve"> Capuzzi </w:t>
      </w:r>
      <w:r>
        <w:t>(</w:t>
      </w:r>
      <w:r w:rsidR="004D5AB2">
        <w:t>Capuzzi</w:t>
      </w:r>
      <w:r>
        <w:t xml:space="preserve"> or Complainant) filed </w:t>
      </w:r>
      <w:r w:rsidR="004D5AB2">
        <w:t xml:space="preserve">an Expedited Complaint or ECP </w:t>
      </w:r>
      <w:r>
        <w:t>against S</w:t>
      </w:r>
      <w:r w:rsidR="004D5AB2">
        <w:t>an Diego Gas &amp; Electric</w:t>
      </w:r>
      <w:r>
        <w:t xml:space="preserve"> Company (S</w:t>
      </w:r>
      <w:r w:rsidR="004D5AB2">
        <w:t>DG&amp;E</w:t>
      </w:r>
      <w:r>
        <w:t xml:space="preserve"> or Defendant), alleging </w:t>
      </w:r>
      <w:r w:rsidR="004D5AB2">
        <w:t>SDG&amp;E</w:t>
      </w:r>
      <w:r>
        <w:t>:</w:t>
      </w:r>
      <w:r w:rsidR="00446753">
        <w:t xml:space="preserve"> </w:t>
      </w:r>
      <w:r>
        <w:t xml:space="preserve"> 1) refused to provide </w:t>
      </w:r>
      <w:r w:rsidR="004D5AB2">
        <w:t xml:space="preserve">her with an Analog meter </w:t>
      </w:r>
      <w:r>
        <w:t>after being requested to do so</w:t>
      </w:r>
      <w:r w:rsidR="00E8209E">
        <w:t xml:space="preserve">; </w:t>
      </w:r>
      <w:r>
        <w:t xml:space="preserve">2) </w:t>
      </w:r>
      <w:r w:rsidR="00E8209E">
        <w:t xml:space="preserve">that as an opt out customer </w:t>
      </w:r>
      <w:r w:rsidR="004D5AB2">
        <w:lastRenderedPageBreak/>
        <w:t xml:space="preserve">SDG&amp;E refuses to inform the Complainant of the exact day that they will read </w:t>
      </w:r>
      <w:r w:rsidR="00E8209E">
        <w:t xml:space="preserve">her meter; and 3) </w:t>
      </w:r>
      <w:r w:rsidR="00D95FBD">
        <w:t xml:space="preserve">that SDG&amp;E is </w:t>
      </w:r>
      <w:r w:rsidR="007F23F9">
        <w:t>violating the opt out decision of May 12, 2012 of Amy Yip-Kikugawa.</w:t>
      </w:r>
      <w:r w:rsidR="002E5C2E">
        <w:rPr>
          <w:rStyle w:val="FootnoteReference"/>
        </w:rPr>
        <w:footnoteReference w:id="2"/>
      </w:r>
      <w:r w:rsidR="00963ABC">
        <w:t xml:space="preserve">  </w:t>
      </w:r>
      <w:r w:rsidR="005A723E">
        <w:t xml:space="preserve">Through her </w:t>
      </w:r>
      <w:r w:rsidR="001B00EB">
        <w:t>c</w:t>
      </w:r>
      <w:r w:rsidR="005A723E">
        <w:t>omplaint, Capuzzi sought a Commission Order directing SDG&amp;E to install an analog meter and tell her the exact day that SDG&amp;E would read the meter.</w:t>
      </w:r>
      <w:r w:rsidR="000C7330">
        <w:rPr>
          <w:rStyle w:val="FootnoteReference"/>
        </w:rPr>
        <w:footnoteReference w:id="3"/>
      </w:r>
    </w:p>
    <w:p w:rsidR="000C7330" w:rsidP="00C36C79" w:rsidRDefault="000C7330" w14:paraId="1FD9CC78" w14:textId="20F20876">
      <w:pPr>
        <w:pStyle w:val="Standard"/>
      </w:pPr>
      <w:r>
        <w:t xml:space="preserve">On October 11, 2021, the </w:t>
      </w:r>
      <w:r>
        <w:rPr>
          <w:i/>
          <w:iCs/>
        </w:rPr>
        <w:t xml:space="preserve">Instruction to Answer </w:t>
      </w:r>
      <w:r>
        <w:t>(ITA)</w:t>
      </w:r>
      <w:r>
        <w:rPr>
          <w:i/>
          <w:iCs/>
        </w:rPr>
        <w:t xml:space="preserve"> </w:t>
      </w:r>
      <w:r>
        <w:t xml:space="preserve">was issued.  The ITA </w:t>
      </w:r>
      <w:r w:rsidR="008E743F">
        <w:t xml:space="preserve">disclosed that the </w:t>
      </w:r>
      <w:r>
        <w:t xml:space="preserve">assigned Administrative Law Judge (ALJ) </w:t>
      </w:r>
      <w:r w:rsidR="008E743F">
        <w:t xml:space="preserve">for the instant proceeding is </w:t>
      </w:r>
      <w:r>
        <w:t xml:space="preserve">Gerald F. </w:t>
      </w:r>
      <w:r w:rsidR="008E743F">
        <w:t>Kelly</w:t>
      </w:r>
      <w:r>
        <w:t>.  The ITA also set the Expedited Complaint hearing for December 3, 2021. </w:t>
      </w:r>
    </w:p>
    <w:p w:rsidR="00DF70B0" w:rsidP="00C36C79" w:rsidRDefault="00DF70B0" w14:paraId="641FD635" w14:textId="02658CAE">
      <w:pPr>
        <w:pStyle w:val="Standard"/>
        <w:rPr>
          <w:rFonts w:ascii="Calibri" w:hAnsi="Calibri"/>
          <w:color w:val="000000"/>
        </w:rPr>
      </w:pPr>
      <w:r>
        <w:t xml:space="preserve">On October 23, 2021, the Complainant sent an email to the Commission </w:t>
      </w:r>
      <w:r w:rsidR="008E743F">
        <w:t>staff member</w:t>
      </w:r>
      <w:r>
        <w:t xml:space="preserve"> who issued the ITA.  This email indicated she wished to have some</w:t>
      </w:r>
      <w:r w:rsidR="00CF7DD5">
        <w:t>one</w:t>
      </w:r>
      <w:r>
        <w:t xml:space="preserve"> act as her </w:t>
      </w:r>
      <w:r w:rsidR="00CF7DD5">
        <w:t xml:space="preserve">formal </w:t>
      </w:r>
      <w:r>
        <w:t xml:space="preserve">representative.  This </w:t>
      </w:r>
      <w:r w:rsidR="008E743F">
        <w:t>staff member</w:t>
      </w:r>
      <w:r>
        <w:t xml:space="preserve"> forwarded the email to the Commission’s Public Advisor’s Office.  On October 25, 2021, the Commission’s Public Advisor’s Office sent an email to the Complainant and advised her that the Commission’s Rules of Practice and Procedure (Rules) govern proceedings before the Commission.  </w:t>
      </w:r>
      <w:r w:rsidR="001D3FCB">
        <w:t xml:space="preserve">The Public Advisor’s Office noted that </w:t>
      </w:r>
      <w:r>
        <w:t xml:space="preserve">Rule 4.6 governs Expedited Complaints.  Rule 4.6(b) states: </w:t>
      </w:r>
      <w:r>
        <w:rPr>
          <w:color w:val="000000"/>
        </w:rPr>
        <w:t>“</w:t>
      </w:r>
      <w:r w:rsidRPr="00DF70B0">
        <w:rPr>
          <w:color w:val="000000"/>
        </w:rPr>
        <w:t xml:space="preserve">No attorney at law shall represent any party other than himself under the Expedited Complaint </w:t>
      </w:r>
      <w:r w:rsidRPr="00DF70B0">
        <w:rPr>
          <w:color w:val="000000"/>
        </w:rPr>
        <w:lastRenderedPageBreak/>
        <w:t>Procedure.”</w:t>
      </w:r>
      <w:r>
        <w:rPr>
          <w:b/>
          <w:bCs/>
          <w:color w:val="000000"/>
        </w:rPr>
        <w:t xml:space="preserve">  </w:t>
      </w:r>
      <w:r>
        <w:rPr>
          <w:color w:val="000000"/>
        </w:rPr>
        <w:t xml:space="preserve">The Complainant was also informed that for her to have a non-attorney </w:t>
      </w:r>
      <w:r w:rsidR="00CF7DD5">
        <w:rPr>
          <w:color w:val="000000"/>
        </w:rPr>
        <w:t xml:space="preserve">formally </w:t>
      </w:r>
      <w:r>
        <w:rPr>
          <w:color w:val="000000"/>
        </w:rPr>
        <w:t xml:space="preserve">represent </w:t>
      </w:r>
      <w:r w:rsidR="00C74911">
        <w:rPr>
          <w:color w:val="000000"/>
        </w:rPr>
        <w:t xml:space="preserve">her, </w:t>
      </w:r>
      <w:r>
        <w:rPr>
          <w:color w:val="000000"/>
        </w:rPr>
        <w:t>she would need the approval of the ALJ.</w:t>
      </w:r>
      <w:r w:rsidR="001D3FCB">
        <w:rPr>
          <w:rStyle w:val="FootnoteReference"/>
          <w:color w:val="000000"/>
          <w:szCs w:val="26"/>
        </w:rPr>
        <w:footnoteReference w:id="4"/>
      </w:r>
    </w:p>
    <w:p w:rsidR="00DF70B0" w:rsidP="00C36C79" w:rsidRDefault="00DF70B0" w14:paraId="3469A125" w14:textId="1E6F56DD">
      <w:pPr>
        <w:pStyle w:val="Standard"/>
      </w:pPr>
      <w:r>
        <w:t xml:space="preserve">The Complainant replied to the email on October 25, 2021, indicating that she would like to have a non-attorney </w:t>
      </w:r>
      <w:r w:rsidR="00CF7DD5">
        <w:t xml:space="preserve">formally </w:t>
      </w:r>
      <w:r w:rsidR="001D3FCB">
        <w:t>re</w:t>
      </w:r>
      <w:r>
        <w:t xml:space="preserve">present </w:t>
      </w:r>
      <w:r w:rsidR="001D3FCB">
        <w:t xml:space="preserve">her </w:t>
      </w:r>
      <w:r>
        <w:t xml:space="preserve">at the hearing.  On November 1, 2021, the Public </w:t>
      </w:r>
      <w:r w:rsidR="009D5410">
        <w:t xml:space="preserve">Advisor’s </w:t>
      </w:r>
      <w:r>
        <w:t xml:space="preserve">Office informed the Complainant by email that if she was seeking to have UCAN act on her behalf </w:t>
      </w:r>
      <w:r w:rsidR="00CF7DD5">
        <w:t xml:space="preserve">as a formal representative </w:t>
      </w:r>
      <w:r>
        <w:t>at the hearing</w:t>
      </w:r>
      <w:r w:rsidR="00CF7DD5">
        <w:t>,</w:t>
      </w:r>
      <w:r>
        <w:t xml:space="preserve"> that the </w:t>
      </w:r>
      <w:r w:rsidR="008E743F">
        <w:t xml:space="preserve">assigned </w:t>
      </w:r>
      <w:r>
        <w:t xml:space="preserve">ALJ would not allow UCAN to </w:t>
      </w:r>
      <w:r w:rsidR="00CF7DD5">
        <w:t xml:space="preserve">do so </w:t>
      </w:r>
      <w:r>
        <w:t xml:space="preserve">in an </w:t>
      </w:r>
      <w:r w:rsidR="0062509A">
        <w:t>E</w:t>
      </w:r>
      <w:r>
        <w:t xml:space="preserve">xpedited </w:t>
      </w:r>
      <w:r w:rsidR="0062509A">
        <w:t>C</w:t>
      </w:r>
      <w:r>
        <w:t xml:space="preserve">omplaint as it is consistently his policy not to allow </w:t>
      </w:r>
      <w:r w:rsidR="00CF7DD5">
        <w:t xml:space="preserve">formal </w:t>
      </w:r>
      <w:r>
        <w:t xml:space="preserve">representatives in the Expedited Complaint process.  </w:t>
      </w:r>
    </w:p>
    <w:p w:rsidRPr="00D318B5" w:rsidR="00DF70B0" w:rsidP="00C36C79" w:rsidRDefault="00DF70B0" w14:paraId="0818CD27" w14:textId="5DB229AC">
      <w:pPr>
        <w:pStyle w:val="Standard"/>
      </w:pPr>
      <w:r>
        <w:t xml:space="preserve">On November 2, 2021, the Public Advisor’s Office sent an email to the Complainant to clarify that the </w:t>
      </w:r>
      <w:r w:rsidR="008E743F">
        <w:t xml:space="preserve">assigned </w:t>
      </w:r>
      <w:r>
        <w:t>ALJ stated that anyone she wanted could listen to the remote hearing, but they could not act on her behalf during the hearing.  At no point during her communications with the Public Advisor’s Office did the Complainant indicate that there were any special circumstances that would warrant her requiring special assistance at the Expedited Complainant hearing.</w:t>
      </w:r>
    </w:p>
    <w:p w:rsidR="008D1D01" w:rsidP="00C36C79" w:rsidRDefault="005A723E" w14:paraId="55E8D09D" w14:textId="77777777">
      <w:pPr>
        <w:pStyle w:val="Standard"/>
      </w:pPr>
      <w:r>
        <w:t xml:space="preserve">On November 1, 2021, SDG&amp;E filed its Answer.  </w:t>
      </w:r>
      <w:r w:rsidR="001B3D6A">
        <w:t>In its Answer, SDG&amp;E asserts that the Complainant failed to meet the burden of proof to establish that SDG&amp;E violated Commission rules, decisions, or any of its Tariffs.</w:t>
      </w:r>
      <w:r w:rsidR="001B3D6A">
        <w:rPr>
          <w:rStyle w:val="FootnoteReference"/>
        </w:rPr>
        <w:footnoteReference w:id="5"/>
      </w:r>
      <w:r w:rsidR="001B3D6A">
        <w:t xml:space="preserve">  SDG&amp;E also states that consistent with Tariff Schedule E-SMOP that they removed the Complainant’s Smart Meter and installed a digital meter in its place.</w:t>
      </w:r>
      <w:r w:rsidR="001B3D6A">
        <w:rPr>
          <w:rStyle w:val="FootnoteReference"/>
        </w:rPr>
        <w:footnoteReference w:id="6"/>
      </w:r>
      <w:r w:rsidR="00183C2A">
        <w:t xml:space="preserve">  </w:t>
      </w:r>
    </w:p>
    <w:p w:rsidR="008D1D01" w:rsidP="00C36C79" w:rsidRDefault="00183C2A" w14:paraId="65F1B129" w14:textId="77777777">
      <w:pPr>
        <w:pStyle w:val="Standard"/>
      </w:pPr>
      <w:r>
        <w:lastRenderedPageBreak/>
        <w:t>SDG&amp;E contends that installing the digital meter is consistent with Special Condition 1 of Schedule E-SMOP, which states that “a meter without wireless communications ability, will be used in place of the wireless meter to provide electric service for residential customers who elect this option.”</w:t>
      </w:r>
      <w:r>
        <w:rPr>
          <w:rStyle w:val="FootnoteReference"/>
        </w:rPr>
        <w:footnoteReference w:id="7"/>
      </w:r>
      <w:r>
        <w:t xml:space="preserve">  The Answer also notes that the Complainant is a Net Energy Metering (NEM) customer which precludes her from having an analog meter given the measurement intervals required for usage and billing </w:t>
      </w:r>
      <w:r w:rsidR="008721A2">
        <w:t>purposes.</w:t>
      </w:r>
      <w:r w:rsidR="008721A2">
        <w:rPr>
          <w:rStyle w:val="FootnoteReference"/>
        </w:rPr>
        <w:footnoteReference w:id="8"/>
      </w:r>
      <w:r w:rsidR="00E86F56">
        <w:t xml:space="preserve">  </w:t>
      </w:r>
    </w:p>
    <w:p w:rsidR="005A723E" w:rsidP="00C36C79" w:rsidRDefault="00E86F56" w14:paraId="1FFD487B" w14:textId="5F980481">
      <w:pPr>
        <w:pStyle w:val="Standard"/>
      </w:pPr>
      <w:r>
        <w:t xml:space="preserve">The Answer goes on to state that Schedule NEM-ST addresses metering requirements needed for a </w:t>
      </w:r>
      <w:r w:rsidR="008D1D01">
        <w:t>NEM customer.  Specifically, Special Condition 1, Section f, states the following:</w:t>
      </w:r>
    </w:p>
    <w:p w:rsidR="008D1D01" w:rsidP="00AB553F" w:rsidRDefault="008D1D01" w14:paraId="2D98DFAD" w14:textId="0ED13924">
      <w:pPr>
        <w:spacing w:after="120" w:line="240" w:lineRule="auto"/>
        <w:ind w:left="720" w:right="1440" w:firstLine="0"/>
      </w:pPr>
      <w:proofErr w:type="spellStart"/>
      <w:r w:rsidRPr="00A10D8E">
        <w:rPr>
          <w:rFonts w:cs="CIDFont+F4"/>
          <w:szCs w:val="24"/>
        </w:rPr>
        <w:t>Nonbypassable</w:t>
      </w:r>
      <w:proofErr w:type="spellEnd"/>
      <w:r w:rsidRPr="00A10D8E">
        <w:rPr>
          <w:rFonts w:cs="CIDFont+F4"/>
          <w:szCs w:val="24"/>
        </w:rPr>
        <w:t xml:space="preserve"> Charges: Pursuant to D. 16-01-044 are defined as Public Purpose</w:t>
      </w:r>
      <w:r>
        <w:rPr>
          <w:rFonts w:cs="CIDFont+F4"/>
          <w:szCs w:val="24"/>
        </w:rPr>
        <w:t xml:space="preserve"> </w:t>
      </w:r>
      <w:r w:rsidRPr="00A10D8E">
        <w:rPr>
          <w:rFonts w:cs="CIDFont+F4"/>
          <w:szCs w:val="24"/>
        </w:rPr>
        <w:t>Program (PPP) charges, Nuclear Decommissioning (ND) charges, the</w:t>
      </w:r>
      <w:r>
        <w:rPr>
          <w:rFonts w:cs="CIDFont+F4"/>
          <w:szCs w:val="24"/>
        </w:rPr>
        <w:t xml:space="preserve"> </w:t>
      </w:r>
      <w:r w:rsidRPr="00A10D8E">
        <w:rPr>
          <w:rFonts w:cs="CIDFont+F4"/>
          <w:szCs w:val="24"/>
        </w:rPr>
        <w:t>Competition Transition Charge (CTC), the Department of Water Resources Bond</w:t>
      </w:r>
      <w:r>
        <w:rPr>
          <w:rFonts w:cs="CIDFont+F4"/>
          <w:szCs w:val="24"/>
        </w:rPr>
        <w:t xml:space="preserve"> </w:t>
      </w:r>
      <w:r w:rsidRPr="00A10D8E">
        <w:rPr>
          <w:rFonts w:cs="CIDFont+F4"/>
          <w:szCs w:val="24"/>
        </w:rPr>
        <w:t xml:space="preserve">Charge (DWR-BC) and the Wildfire Fund </w:t>
      </w:r>
      <w:proofErr w:type="spellStart"/>
      <w:r w:rsidRPr="00A10D8E">
        <w:rPr>
          <w:rFonts w:cs="CIDFont+F4"/>
          <w:szCs w:val="24"/>
        </w:rPr>
        <w:t>NonBypassable</w:t>
      </w:r>
      <w:proofErr w:type="spellEnd"/>
      <w:r w:rsidRPr="00A10D8E">
        <w:rPr>
          <w:rFonts w:cs="CIDFont+F4"/>
          <w:szCs w:val="24"/>
        </w:rPr>
        <w:t xml:space="preserve"> Charge (WF-NBC).</w:t>
      </w:r>
      <w:r>
        <w:rPr>
          <w:rFonts w:cs="CIDFont+F4"/>
          <w:szCs w:val="24"/>
        </w:rPr>
        <w:t xml:space="preserve">  </w:t>
      </w:r>
      <w:r w:rsidRPr="00A10D8E">
        <w:rPr>
          <w:rFonts w:cs="CIDFont+F5"/>
          <w:szCs w:val="24"/>
        </w:rPr>
        <w:t xml:space="preserve">These shall be based upon the </w:t>
      </w:r>
      <w:proofErr w:type="spellStart"/>
      <w:r w:rsidRPr="00A10D8E">
        <w:rPr>
          <w:rFonts w:cs="CIDFont+F5"/>
          <w:szCs w:val="24"/>
        </w:rPr>
        <w:t>kWhs</w:t>
      </w:r>
      <w:proofErr w:type="spellEnd"/>
      <w:r w:rsidRPr="00A10D8E">
        <w:rPr>
          <w:rFonts w:cs="CIDFont+F5"/>
          <w:szCs w:val="24"/>
        </w:rPr>
        <w:t xml:space="preserve"> consumed in each metered interval net of</w:t>
      </w:r>
      <w:r>
        <w:rPr>
          <w:rFonts w:cs="CIDFont+F4"/>
          <w:szCs w:val="24"/>
        </w:rPr>
        <w:t xml:space="preserve"> </w:t>
      </w:r>
      <w:r w:rsidRPr="00A10D8E">
        <w:rPr>
          <w:rFonts w:cs="CIDFont+F5"/>
          <w:szCs w:val="24"/>
        </w:rPr>
        <w:t>exports, over the course of each monthly billing period.</w:t>
      </w:r>
      <w:r>
        <w:rPr>
          <w:rStyle w:val="FootnoteReference"/>
          <w:rFonts w:cs="CIDFont+F5"/>
          <w:szCs w:val="24"/>
        </w:rPr>
        <w:footnoteReference w:id="9"/>
      </w:r>
    </w:p>
    <w:p w:rsidR="00ED6CAF" w:rsidP="00C36C79" w:rsidRDefault="008D1D01" w14:paraId="10AA9AAA" w14:textId="30641768">
      <w:pPr>
        <w:pStyle w:val="Standard"/>
      </w:pPr>
      <w:r>
        <w:t>As it relates to the Complainant’s allegations that SDG&amp;E will not accommodate her schedule for meter reads</w:t>
      </w:r>
      <w:r w:rsidR="00ED6CAF">
        <w:t>, SDG&amp;E notes in its Answer that consistent with Tariff Schedule E-SMOP</w:t>
      </w:r>
      <w:r w:rsidR="00676F1B">
        <w:t>,</w:t>
      </w:r>
      <w:r w:rsidR="00ED6CAF">
        <w:t xml:space="preserve"> SDG&amp;E provides an estimated meter reading timeframe</w:t>
      </w:r>
      <w:r w:rsidR="00C73A16">
        <w:t xml:space="preserve"> and because she is a NEM customer, her meter reads are in fact done monthly</w:t>
      </w:r>
      <w:r w:rsidR="00ED6CAF">
        <w:t>.</w:t>
      </w:r>
      <w:r w:rsidR="00ED6CAF">
        <w:rPr>
          <w:rStyle w:val="FootnoteReference"/>
        </w:rPr>
        <w:footnoteReference w:id="10"/>
      </w:r>
      <w:r w:rsidR="00F50D26">
        <w:t xml:space="preserve">  Finally, the Answer notes that pursuant to General Section </w:t>
      </w:r>
      <w:r w:rsidR="00F50D26">
        <w:lastRenderedPageBreak/>
        <w:t>11, Access to Applicant’s Premises of Electric Rule 16, SDG&amp;E at all times shall have access to Complainant’s premises.</w:t>
      </w:r>
      <w:r w:rsidR="0007493A">
        <w:rPr>
          <w:rStyle w:val="FootnoteReference"/>
        </w:rPr>
        <w:footnoteReference w:id="11"/>
      </w:r>
      <w:r w:rsidR="00F50D26">
        <w:t xml:space="preserve"> </w:t>
      </w:r>
      <w:r w:rsidR="00ED6CAF">
        <w:t xml:space="preserve">  </w:t>
      </w:r>
    </w:p>
    <w:p w:rsidRPr="00D318B5" w:rsidR="00D318B5" w:rsidP="00C36C79" w:rsidRDefault="00D318B5" w14:paraId="6CAF3C15" w14:textId="0202E5A9">
      <w:pPr>
        <w:pStyle w:val="Standard"/>
        <w:rPr>
          <w:rFonts w:ascii="Calibri" w:hAnsi="Calibri"/>
        </w:rPr>
      </w:pPr>
      <w:r>
        <w:t xml:space="preserve">On November 18, 2021, the Complainant emailed a </w:t>
      </w:r>
      <w:r>
        <w:rPr>
          <w:i/>
          <w:iCs/>
        </w:rPr>
        <w:t>Motion for Reconsideration and Replacement of Administrative Law Judge</w:t>
      </w:r>
      <w:r>
        <w:t xml:space="preserve"> (Motion) to the Service List.  This Motion does not appear to have been properly filed.  It appears that it was only email</w:t>
      </w:r>
      <w:r w:rsidR="0007493A">
        <w:t>ed</w:t>
      </w:r>
      <w:r>
        <w:t xml:space="preserve"> to the Service List in this proceeding.  In the emailed Motion, the Complainant states the following:</w:t>
      </w:r>
    </w:p>
    <w:p w:rsidR="00D318B5" w:rsidP="009345B9" w:rsidRDefault="00D318B5" w14:paraId="1633B0BE" w14:textId="4B07BC3B">
      <w:pPr>
        <w:spacing w:after="120" w:line="240" w:lineRule="auto"/>
        <w:ind w:left="720" w:right="1440" w:firstLine="0"/>
        <w:rPr>
          <w:szCs w:val="26"/>
        </w:rPr>
      </w:pPr>
      <w:r>
        <w:rPr>
          <w:szCs w:val="26"/>
        </w:rPr>
        <w:t>I am requesting a change of judge because the judge is denying a representative and/or non-representative to assist me and/or participate with me at the December 3, 2021, hearing for my formal complaint … The judge’s actions appear to be against the law.  I believe the judge is showing bias/prejudice by not allowing persons with legal interest in the proceeding including a lawyer if I choose, to attend.  I request a change of judge and the ruling.</w:t>
      </w:r>
    </w:p>
    <w:p w:rsidR="00D318B5" w:rsidP="00C36C79" w:rsidRDefault="00D318B5" w14:paraId="2F45DD4A" w14:textId="23F4771A">
      <w:pPr>
        <w:pStyle w:val="Standard"/>
      </w:pPr>
      <w:r>
        <w:t>The emailed Motion then goes on to cite California Code of Judicial Ethics Canon 3(7), and states “A judge shall accord to every person who has a legal interest in a proceeding, or that person’s lawyer, the full right to be heard according to law.”</w:t>
      </w:r>
    </w:p>
    <w:p w:rsidR="00D318B5" w:rsidP="00C36C79" w:rsidRDefault="00D318B5" w14:paraId="26472199" w14:textId="13BE2CD0">
      <w:pPr>
        <w:pStyle w:val="Standard"/>
      </w:pPr>
      <w:r>
        <w:t xml:space="preserve">The Complainant </w:t>
      </w:r>
      <w:r w:rsidR="00C523B7">
        <w:t xml:space="preserve">also </w:t>
      </w:r>
      <w:r>
        <w:t>assert</w:t>
      </w:r>
      <w:r w:rsidR="00202D1B">
        <w:t>ed</w:t>
      </w:r>
      <w:r w:rsidR="00DF02AD">
        <w:t xml:space="preserve"> </w:t>
      </w:r>
      <w:r>
        <w:t xml:space="preserve">that the </w:t>
      </w:r>
      <w:r w:rsidR="00C523B7">
        <w:t xml:space="preserve">assigned </w:t>
      </w:r>
      <w:r>
        <w:t xml:space="preserve">ALJ </w:t>
      </w:r>
      <w:r w:rsidR="00C523B7">
        <w:t>was</w:t>
      </w:r>
      <w:r>
        <w:t xml:space="preserve"> not allowing persons with legal interest in the proceeding to attend.  </w:t>
      </w:r>
      <w:r w:rsidR="00F8443F">
        <w:t xml:space="preserve">  The assigned ALJ noted that t</w:t>
      </w:r>
      <w:r>
        <w:t>he only persons with a legal interest in the</w:t>
      </w:r>
      <w:r w:rsidR="00202D1B">
        <w:t xml:space="preserve"> original</w:t>
      </w:r>
      <w:r>
        <w:t xml:space="preserve"> </w:t>
      </w:r>
      <w:r w:rsidR="0052277F">
        <w:t>c</w:t>
      </w:r>
      <w:r>
        <w:t xml:space="preserve">omplaint are the Complainant and SDG&amp;E.  </w:t>
      </w:r>
      <w:r w:rsidR="00202D1B">
        <w:t>UCAN does not have a legal interest in th</w:t>
      </w:r>
      <w:r w:rsidR="00C51AD4">
        <w:t>is matter</w:t>
      </w:r>
      <w:r w:rsidR="00202D1B">
        <w:t xml:space="preserve">.  </w:t>
      </w:r>
      <w:r>
        <w:t xml:space="preserve">If there is another person who has a legal interest in this </w:t>
      </w:r>
      <w:r w:rsidR="00C51AD4">
        <w:t>matter</w:t>
      </w:r>
      <w:r>
        <w:t xml:space="preserve">, then they should have joined this proceeding as Complainants.  Page one of the </w:t>
      </w:r>
      <w:r w:rsidR="0052277F">
        <w:t>c</w:t>
      </w:r>
      <w:r>
        <w:t xml:space="preserve">omplaint Section </w:t>
      </w:r>
      <w:r>
        <w:lastRenderedPageBreak/>
        <w:t xml:space="preserve">D states: </w:t>
      </w:r>
      <w:r>
        <w:rPr>
          <w:i/>
          <w:iCs/>
        </w:rPr>
        <w:t>Provide name, address and phone number for each complainant.</w:t>
      </w:r>
      <w:r>
        <w:t>  The Complainant only listed herself in Section D as a Complainant.</w:t>
      </w:r>
    </w:p>
    <w:p w:rsidR="00F076FD" w:rsidP="00C36C79" w:rsidRDefault="00F076FD" w14:paraId="1631690E" w14:textId="72A56032">
      <w:pPr>
        <w:pStyle w:val="Standard"/>
      </w:pPr>
      <w:r>
        <w:t xml:space="preserve">On December 6, 2021, the assigned ALJ </w:t>
      </w:r>
      <w:r w:rsidR="00CD582E">
        <w:t xml:space="preserve">issued an </w:t>
      </w:r>
      <w:r>
        <w:t xml:space="preserve">email ruling to change the matter from an ECP to a </w:t>
      </w:r>
      <w:r w:rsidR="0052277F">
        <w:t>R</w:t>
      </w:r>
      <w:r>
        <w:t xml:space="preserve">egular </w:t>
      </w:r>
      <w:r w:rsidR="0052277F">
        <w:t>C</w:t>
      </w:r>
      <w:r>
        <w:t xml:space="preserve">omplaint.  This was done to accommodate the Complainant’s request to have an attorney represent her.  The </w:t>
      </w:r>
      <w:r w:rsidR="00397FCB">
        <w:br/>
      </w:r>
      <w:r>
        <w:t>December 6, 2021, email ruling notes in pertinent part the following:</w:t>
      </w:r>
    </w:p>
    <w:p w:rsidR="00F076FD" w:rsidP="00397FCB" w:rsidRDefault="00F076FD" w14:paraId="6767A9AF" w14:textId="12DB9014">
      <w:pPr>
        <w:spacing w:after="120" w:line="240" w:lineRule="auto"/>
        <w:ind w:left="720" w:right="1440" w:firstLine="0"/>
        <w:rPr>
          <w:color w:val="000000"/>
          <w:szCs w:val="26"/>
        </w:rPr>
      </w:pPr>
      <w:r>
        <w:rPr>
          <w:color w:val="000000"/>
          <w:szCs w:val="26"/>
        </w:rPr>
        <w:t xml:space="preserve">To accommodate the Complainant’s desire to have an attorney represent her in this matter, pursuant to Rule 4.6(g), this Expedited Complaint is being reclassified to a Regular Complaint under the Commission’s </w:t>
      </w:r>
      <w:r w:rsidR="0052277F">
        <w:rPr>
          <w:color w:val="000000"/>
          <w:szCs w:val="26"/>
        </w:rPr>
        <w:t>R</w:t>
      </w:r>
      <w:r>
        <w:rPr>
          <w:color w:val="000000"/>
          <w:szCs w:val="26"/>
        </w:rPr>
        <w:t xml:space="preserve">egular </w:t>
      </w:r>
      <w:r w:rsidR="0052277F">
        <w:rPr>
          <w:color w:val="000000"/>
          <w:szCs w:val="26"/>
        </w:rPr>
        <w:t>C</w:t>
      </w:r>
      <w:r>
        <w:rPr>
          <w:color w:val="000000"/>
          <w:szCs w:val="26"/>
        </w:rPr>
        <w:t>omplaint procedure.</w:t>
      </w:r>
    </w:p>
    <w:p w:rsidR="00F076FD" w:rsidP="00397FCB" w:rsidRDefault="00F076FD" w14:paraId="0EE59FE7" w14:textId="1AE6C5A6">
      <w:pPr>
        <w:spacing w:after="120" w:line="240" w:lineRule="auto"/>
        <w:ind w:left="720" w:right="1440" w:firstLine="0"/>
        <w:rPr>
          <w:color w:val="000000"/>
          <w:szCs w:val="26"/>
        </w:rPr>
      </w:pPr>
      <w:r>
        <w:rPr>
          <w:color w:val="000000"/>
          <w:szCs w:val="26"/>
        </w:rPr>
        <w:t xml:space="preserve">The Complainant shall notify the Commission’s Process Office at </w:t>
      </w:r>
      <w:hyperlink w:history="1" r:id="rId10">
        <w:r>
          <w:rPr>
            <w:rStyle w:val="Hyperlink"/>
            <w:szCs w:val="26"/>
          </w:rPr>
          <w:t>alj_process@cpuc.ca.gov</w:t>
        </w:r>
      </w:hyperlink>
      <w:r>
        <w:rPr>
          <w:color w:val="000000"/>
          <w:szCs w:val="26"/>
        </w:rPr>
        <w:t xml:space="preserve"> within 10 days of this email ruling with the contact information for her attorney or other representative so that the official Service List in this proceeding can be updated to include her representative. </w:t>
      </w:r>
    </w:p>
    <w:p w:rsidR="00F076FD" w:rsidP="00397FCB" w:rsidRDefault="00F076FD" w14:paraId="5DF0567A" w14:textId="093E708D">
      <w:pPr>
        <w:spacing w:after="120" w:line="240" w:lineRule="auto"/>
        <w:ind w:left="720" w:right="1440" w:firstLine="0"/>
        <w:rPr>
          <w:color w:val="000000"/>
          <w:szCs w:val="26"/>
        </w:rPr>
      </w:pPr>
      <w:r>
        <w:rPr>
          <w:color w:val="000000"/>
          <w:szCs w:val="26"/>
        </w:rPr>
        <w:t>The Defendant in this matter shall also notify the Commission’s Process Office within 10 days of this email ruling of the contact information for the attorney from SDG&amp;E who will represent the defendant in this matter.</w:t>
      </w:r>
    </w:p>
    <w:p w:rsidR="00F076FD" w:rsidP="00397FCB" w:rsidRDefault="00F076FD" w14:paraId="74799EB2" w14:textId="66661B49">
      <w:pPr>
        <w:spacing w:after="120" w:line="240" w:lineRule="auto"/>
        <w:ind w:left="720" w:right="1440" w:firstLine="0"/>
        <w:rPr>
          <w:color w:val="000000"/>
          <w:szCs w:val="26"/>
        </w:rPr>
      </w:pPr>
      <w:r>
        <w:rPr>
          <w:color w:val="000000"/>
          <w:szCs w:val="26"/>
        </w:rPr>
        <w:t>Once the Service List is updated, the ALJ will set a Prehearing Conference (PHC) and this complaint will proceed under the Regular Complaint process rather than the Expedited Complaint process.</w:t>
      </w:r>
    </w:p>
    <w:p w:rsidR="00F076FD" w:rsidP="00C36C79" w:rsidRDefault="00F076FD" w14:paraId="78DB7C11" w14:textId="1667FEEC">
      <w:pPr>
        <w:pStyle w:val="Standard"/>
      </w:pPr>
      <w:r>
        <w:t>The December 6, 2021</w:t>
      </w:r>
      <w:r w:rsidR="00CD582E">
        <w:t>,</w:t>
      </w:r>
      <w:r>
        <w:t xml:space="preserve"> email ruling did not address the Complainant’s emailed Motion for replacement of the ALJ </w:t>
      </w:r>
      <w:r w:rsidR="00CD582E">
        <w:t xml:space="preserve">and noted </w:t>
      </w:r>
      <w:r>
        <w:t xml:space="preserve">that </w:t>
      </w:r>
      <w:r w:rsidR="00CD582E">
        <w:t xml:space="preserve">the </w:t>
      </w:r>
      <w:r w:rsidR="000E6631">
        <w:t xml:space="preserve">Motion </w:t>
      </w:r>
      <w:r>
        <w:t xml:space="preserve">was not properly filed and </w:t>
      </w:r>
      <w:r w:rsidR="00CD582E">
        <w:t xml:space="preserve">that the Motion </w:t>
      </w:r>
      <w:r>
        <w:t xml:space="preserve">failed to comply with Commission Rules 9.2 and 9.4. </w:t>
      </w:r>
    </w:p>
    <w:p w:rsidR="00F076FD" w:rsidP="00C36C79" w:rsidRDefault="00F076FD" w14:paraId="17339E86" w14:textId="2FEFC507">
      <w:pPr>
        <w:pStyle w:val="Standard"/>
      </w:pPr>
      <w:r>
        <w:t> </w:t>
      </w:r>
      <w:r w:rsidR="00CD582E">
        <w:t>On December 8, 2021, the assigned ALJ issued an email ruling setting a Prehearing Conference for January 27, 2022.</w:t>
      </w:r>
    </w:p>
    <w:p w:rsidRPr="006C40F8" w:rsidR="006C40F8" w:rsidP="00C36C79" w:rsidRDefault="006C40F8" w14:paraId="51662AB8" w14:textId="4A165624">
      <w:pPr>
        <w:pStyle w:val="Standard"/>
        <w:rPr>
          <w:rFonts w:cs="Arial"/>
          <w:szCs w:val="20"/>
        </w:rPr>
      </w:pPr>
      <w:r>
        <w:lastRenderedPageBreak/>
        <w:t>On January 23, 202</w:t>
      </w:r>
      <w:r w:rsidR="00C51AD4">
        <w:t>2</w:t>
      </w:r>
      <w:r>
        <w:t>, the Complainant sent an email to the assigned ALJ, President Alice Reynolds</w:t>
      </w:r>
      <w:r w:rsidR="001E225C">
        <w:t>,</w:t>
      </w:r>
      <w:r>
        <w:t xml:space="preserve"> and various elected officials.  </w:t>
      </w:r>
      <w:r w:rsidR="001E225C">
        <w:t>Among other things she stated: “…</w:t>
      </w:r>
      <w:r w:rsidR="001E225C">
        <w:rPr>
          <w:rFonts w:cs="Arial"/>
          <w:szCs w:val="18"/>
        </w:rPr>
        <w:t xml:space="preserve"> </w:t>
      </w:r>
      <w:r w:rsidRPr="006C40F8">
        <w:rPr>
          <w:rFonts w:cs="Arial"/>
          <w:szCs w:val="18"/>
        </w:rPr>
        <w:t>I am not willing to be participating in hearings to re-argue the decision- it’s time-consuming and unnecessary as the decision already exists.</w:t>
      </w:r>
      <w:r w:rsidR="00C51AD4">
        <w:rPr>
          <w:rFonts w:cs="Arial"/>
          <w:szCs w:val="18"/>
        </w:rPr>
        <w:t>”</w:t>
      </w:r>
      <w:r w:rsidR="000E6631">
        <w:rPr>
          <w:rStyle w:val="FootnoteReference"/>
          <w:rFonts w:cs="Arial"/>
          <w:szCs w:val="18"/>
        </w:rPr>
        <w:footnoteReference w:id="12"/>
      </w:r>
      <w:r w:rsidRPr="006C40F8">
        <w:rPr>
          <w:rFonts w:cs="Arial"/>
          <w:szCs w:val="18"/>
        </w:rPr>
        <w:t xml:space="preserve"> </w:t>
      </w:r>
      <w:r w:rsidR="00B24DBC">
        <w:rPr>
          <w:rFonts w:cs="Arial"/>
          <w:szCs w:val="18"/>
        </w:rPr>
        <w:t>She also acknowledges in this email that she was told to “please attend the he</w:t>
      </w:r>
      <w:r w:rsidR="00C51AD4">
        <w:rPr>
          <w:rFonts w:cs="Arial"/>
          <w:szCs w:val="18"/>
        </w:rPr>
        <w:t>a</w:t>
      </w:r>
      <w:r w:rsidR="00B24DBC">
        <w:rPr>
          <w:rFonts w:cs="Arial"/>
          <w:szCs w:val="18"/>
        </w:rPr>
        <w:t>ring.”</w:t>
      </w:r>
      <w:r w:rsidR="00397FCB">
        <w:rPr>
          <w:rFonts w:cs="Arial"/>
          <w:szCs w:val="18"/>
        </w:rPr>
        <w:t xml:space="preserve"> </w:t>
      </w:r>
      <w:r w:rsidR="00726379">
        <w:rPr>
          <w:rFonts w:cs="Arial"/>
          <w:szCs w:val="20"/>
        </w:rPr>
        <w:t>She goes on in her email to state the following:</w:t>
      </w:r>
    </w:p>
    <w:p w:rsidR="006C40F8" w:rsidP="00397FCB" w:rsidRDefault="006C40F8" w14:paraId="5781BB32" w14:textId="44C40C5E">
      <w:pPr>
        <w:spacing w:after="120" w:line="240" w:lineRule="auto"/>
        <w:ind w:left="720" w:right="1440" w:firstLine="0"/>
        <w:rPr>
          <w:rFonts w:cs="Arial"/>
          <w:szCs w:val="18"/>
        </w:rPr>
      </w:pPr>
      <w:r w:rsidRPr="006C40F8">
        <w:rPr>
          <w:rFonts w:cs="Arial"/>
          <w:szCs w:val="18"/>
        </w:rPr>
        <w:t>I expect CPUC to enforce their own ruling with SDG&amp;E and do the following:</w:t>
      </w:r>
    </w:p>
    <w:p w:rsidR="006C40F8" w:rsidP="00397FCB" w:rsidRDefault="006C40F8" w14:paraId="26F74BA7" w14:textId="2380EC19">
      <w:pPr>
        <w:spacing w:after="120" w:line="240" w:lineRule="auto"/>
        <w:ind w:left="720" w:right="1440" w:firstLine="0"/>
        <w:rPr>
          <w:rFonts w:cs="Arial"/>
          <w:szCs w:val="18"/>
        </w:rPr>
      </w:pPr>
      <w:r w:rsidRPr="006C40F8">
        <w:rPr>
          <w:rFonts w:cs="Arial"/>
          <w:szCs w:val="18"/>
        </w:rPr>
        <w:t>-direct SDG&amp;E to remove the digital meter they installed without my </w:t>
      </w:r>
      <w:r w:rsidRPr="006C40F8">
        <w:rPr>
          <w:rFonts w:cs="Arial"/>
        </w:rPr>
        <w:t>consent</w:t>
      </w:r>
      <w:r w:rsidRPr="006C40F8">
        <w:rPr>
          <w:rFonts w:cs="Arial"/>
          <w:szCs w:val="18"/>
        </w:rPr>
        <w:t> and install an analog meter, as requested (enforcing the above CPUC decision).</w:t>
      </w:r>
    </w:p>
    <w:p w:rsidRPr="006C40F8" w:rsidR="006C40F8" w:rsidP="00397FCB" w:rsidRDefault="006C40F8" w14:paraId="781DFB04" w14:textId="058F4415">
      <w:pPr>
        <w:spacing w:after="120" w:line="240" w:lineRule="auto"/>
        <w:ind w:left="720" w:right="1440" w:firstLine="0"/>
      </w:pPr>
      <w:r w:rsidRPr="006C40F8">
        <w:rPr>
          <w:rFonts w:cs="Arial"/>
          <w:szCs w:val="18"/>
        </w:rPr>
        <w:t>-direct SDG&amp;E to show up on an every-other-month, scheduled basis and stop the harassment to switch back to the smart meter. My electric meter has not been read on a scheduled date for 9 months in a row, SDG&amp;E just shows up when they please, and in some cases they catch me at home, however in most cases I am not home as I </w:t>
      </w:r>
      <w:r w:rsidRPr="006C40F8">
        <w:rPr>
          <w:rFonts w:cs="Arial"/>
        </w:rPr>
        <w:t>have</w:t>
      </w:r>
      <w:r w:rsidRPr="006C40F8">
        <w:rPr>
          <w:rFonts w:cs="Arial"/>
          <w:szCs w:val="18"/>
        </w:rPr>
        <w:t> a very busy </w:t>
      </w:r>
      <w:r w:rsidRPr="006C40F8">
        <w:rPr>
          <w:rFonts w:cs="Arial"/>
        </w:rPr>
        <w:t>schedule</w:t>
      </w:r>
      <w:r w:rsidRPr="006C40F8">
        <w:rPr>
          <w:rFonts w:cs="Arial"/>
          <w:szCs w:val="18"/>
        </w:rPr>
        <w:t>, and the yard is gated, which leads to incorrect billing due to SDG&amp;E’s failure to show up on a scheduled date.</w:t>
      </w:r>
    </w:p>
    <w:p w:rsidRPr="006C40F8" w:rsidR="006C40F8" w:rsidP="00397FCB" w:rsidRDefault="006C40F8" w14:paraId="26C8D345" w14:textId="78A3F391">
      <w:pPr>
        <w:spacing w:after="120" w:line="240" w:lineRule="auto"/>
        <w:ind w:left="720" w:right="1440" w:firstLine="0"/>
        <w:rPr>
          <w:rFonts w:cs="Calibri"/>
        </w:rPr>
      </w:pPr>
      <w:r w:rsidRPr="006C40F8">
        <w:rPr>
          <w:rFonts w:cs="Arial"/>
          <w:szCs w:val="18"/>
        </w:rPr>
        <w:t>CPUC has the power to correct the situation as SDG&amp;E is not acting in accordance with CPUC’s own decision. Dragging me into unnecessary hearings while forbidding me to have non-attorney counsel or advocacy during the initial </w:t>
      </w:r>
      <w:r w:rsidRPr="006C40F8">
        <w:rPr>
          <w:rFonts w:cs="Arial"/>
        </w:rPr>
        <w:t>expedited</w:t>
      </w:r>
      <w:r w:rsidRPr="006C40F8">
        <w:rPr>
          <w:rFonts w:cs="Arial"/>
          <w:szCs w:val="18"/>
        </w:rPr>
        <w:t> hearing </w:t>
      </w:r>
      <w:r w:rsidRPr="006C40F8">
        <w:rPr>
          <w:rFonts w:cs="Arial"/>
        </w:rPr>
        <w:t>scheduled</w:t>
      </w:r>
      <w:r w:rsidRPr="006C40F8">
        <w:rPr>
          <w:rFonts w:cs="Arial"/>
          <w:szCs w:val="18"/>
        </w:rPr>
        <w:t> for 12/4/2021 (CPUC</w:t>
      </w:r>
      <w:r w:rsidRPr="006C40F8">
        <w:rPr>
          <w:rFonts w:cs="Arial"/>
        </w:rPr>
        <w:t>’</w:t>
      </w:r>
      <w:r w:rsidRPr="006C40F8">
        <w:rPr>
          <w:rFonts w:cs="Arial"/>
          <w:szCs w:val="18"/>
        </w:rPr>
        <w:t>s own rule 4.6 (b) only states that </w:t>
      </w:r>
      <w:r w:rsidRPr="006C40F8">
        <w:rPr>
          <w:rFonts w:cs="Arial"/>
        </w:rPr>
        <w:t>attorneys</w:t>
      </w:r>
      <w:r w:rsidRPr="006C40F8">
        <w:rPr>
          <w:rFonts w:cs="Arial"/>
          <w:szCs w:val="18"/>
        </w:rPr>
        <w:t> may not be present, however does not exclude </w:t>
      </w:r>
      <w:r w:rsidRPr="006C40F8">
        <w:rPr>
          <w:rFonts w:cs="Arial"/>
        </w:rPr>
        <w:t>advocates</w:t>
      </w:r>
      <w:r w:rsidRPr="006C40F8">
        <w:rPr>
          <w:rFonts w:cs="Arial"/>
          <w:szCs w:val="18"/>
        </w:rPr>
        <w:t xml:space="preserve"> or other informal counsel, which I requested several times and got denied), yet SDG&amp;E can have representation. Delaying the enforcement of </w:t>
      </w:r>
      <w:r w:rsidRPr="006C40F8">
        <w:rPr>
          <w:rFonts w:cs="Arial"/>
          <w:szCs w:val="18"/>
        </w:rPr>
        <w:lastRenderedPageBreak/>
        <w:t>CPUC’s own decision is very punitive to me, and shows favoritism forwards utilities. It is my understanding that CPUC is in place to protect the consumer, not the utility companies. </w:t>
      </w:r>
    </w:p>
    <w:p w:rsidRPr="00726379" w:rsidR="006C40F8" w:rsidP="006C40F8" w:rsidRDefault="006C40F8" w14:paraId="03260B06" w14:textId="642AF26C">
      <w:pPr>
        <w:rPr>
          <w:rFonts w:cs="Arial"/>
          <w:szCs w:val="20"/>
        </w:rPr>
      </w:pPr>
      <w:r w:rsidRPr="00726379">
        <w:rPr>
          <w:rFonts w:cs="Arial"/>
          <w:szCs w:val="18"/>
        </w:rPr>
        <w:t>I expect ALJ Kelly and CPUC to reconsider and correct the situation.</w:t>
      </w:r>
      <w:r w:rsidR="00C51AD4">
        <w:rPr>
          <w:rStyle w:val="FootnoteReference"/>
          <w:rFonts w:cs="Arial"/>
          <w:szCs w:val="18"/>
        </w:rPr>
        <w:footnoteReference w:id="13"/>
      </w:r>
    </w:p>
    <w:p w:rsidR="00EA2968" w:rsidP="00EA2968" w:rsidRDefault="00EA2968" w14:paraId="43830C38" w14:textId="77777777">
      <w:pPr>
        <w:rPr>
          <w:szCs w:val="26"/>
        </w:rPr>
      </w:pPr>
      <w:r>
        <w:rPr>
          <w:szCs w:val="26"/>
        </w:rPr>
        <w:t>On January 26, 2022, the assigned ALJ sent the following email to the official Service List in this proceeding, which the Complainant is on.  The ALJ’s email stated:</w:t>
      </w:r>
    </w:p>
    <w:p w:rsidR="00EA2968" w:rsidP="00397FCB" w:rsidRDefault="00EA2968" w14:paraId="439008B0" w14:textId="0DFAEF8B">
      <w:pPr>
        <w:spacing w:after="120" w:line="240" w:lineRule="auto"/>
        <w:ind w:left="720" w:right="1440" w:firstLine="0"/>
        <w:rPr>
          <w:szCs w:val="26"/>
        </w:rPr>
      </w:pPr>
      <w:r>
        <w:rPr>
          <w:szCs w:val="26"/>
        </w:rPr>
        <w:t xml:space="preserve">I am in receipt of your email.  As you may recall this matter was originally filed as an Expedited Complaint (ECP).  You previously asserted via email that you had a right to have an attorney/advocate represent you during the ECP process.  In order to accommodate your request to have an attorney/advocate act on your behalf during this proceeding, this matter was changed from an ECP to a </w:t>
      </w:r>
      <w:r w:rsidR="0052277F">
        <w:rPr>
          <w:szCs w:val="26"/>
        </w:rPr>
        <w:t>R</w:t>
      </w:r>
      <w:r>
        <w:rPr>
          <w:szCs w:val="26"/>
        </w:rPr>
        <w:t xml:space="preserve">egular </w:t>
      </w:r>
      <w:r w:rsidR="0052277F">
        <w:rPr>
          <w:szCs w:val="26"/>
        </w:rPr>
        <w:t>C</w:t>
      </w:r>
      <w:r>
        <w:rPr>
          <w:szCs w:val="26"/>
        </w:rPr>
        <w:t xml:space="preserve">omplaint.  </w:t>
      </w:r>
    </w:p>
    <w:p w:rsidR="00EA2968" w:rsidP="00397FCB" w:rsidRDefault="00EA2968" w14:paraId="07AA272D" w14:textId="5AFCEF83">
      <w:pPr>
        <w:spacing w:after="120" w:line="240" w:lineRule="auto"/>
        <w:ind w:left="720" w:right="1440" w:firstLine="0"/>
        <w:rPr>
          <w:szCs w:val="26"/>
        </w:rPr>
      </w:pPr>
      <w:r>
        <w:rPr>
          <w:szCs w:val="26"/>
        </w:rPr>
        <w:t xml:space="preserve">Part of the </w:t>
      </w:r>
      <w:r w:rsidR="0052277F">
        <w:rPr>
          <w:szCs w:val="26"/>
        </w:rPr>
        <w:t>R</w:t>
      </w:r>
      <w:r>
        <w:rPr>
          <w:szCs w:val="26"/>
        </w:rPr>
        <w:t xml:space="preserve">egular </w:t>
      </w:r>
      <w:r w:rsidR="0052277F">
        <w:rPr>
          <w:szCs w:val="26"/>
        </w:rPr>
        <w:t>C</w:t>
      </w:r>
      <w:r>
        <w:rPr>
          <w:szCs w:val="26"/>
        </w:rPr>
        <w:t>omplaint process is that there will be a Prehearing Conference (PHC).  The PHC is not an evidentiary hearing, but a prehearing conference.  The PHC is used to set the path forward for the matter.  The PHC is set for January 27, 2022</w:t>
      </w:r>
      <w:r w:rsidR="00A608CB">
        <w:rPr>
          <w:szCs w:val="26"/>
        </w:rPr>
        <w:t>,</w:t>
      </w:r>
      <w:r>
        <w:rPr>
          <w:szCs w:val="26"/>
        </w:rPr>
        <w:t xml:space="preserve"> at 11:00 AM.  It was also my understanding that Mr. Whitworth from UCAN would be assisting you in this matter.  Mr. Whitworth and I had a telephone conversation on December 17, 2021, where he and I discussed procedural matters and I explained to him the process for logging into the PHC hearing.</w:t>
      </w:r>
      <w:r w:rsidR="00C171BA">
        <w:rPr>
          <w:rStyle w:val="FootnoteReference"/>
          <w:szCs w:val="26"/>
        </w:rPr>
        <w:footnoteReference w:id="14"/>
      </w:r>
      <w:r>
        <w:rPr>
          <w:szCs w:val="26"/>
        </w:rPr>
        <w:t xml:space="preserve"> </w:t>
      </w:r>
    </w:p>
    <w:p w:rsidR="00EA2968" w:rsidP="00397FCB" w:rsidRDefault="00EA2968" w14:paraId="0F9FC540" w14:textId="0A71A5F9">
      <w:pPr>
        <w:spacing w:after="120" w:line="240" w:lineRule="auto"/>
        <w:ind w:left="720" w:right="1440" w:firstLine="0"/>
        <w:rPr>
          <w:szCs w:val="26"/>
        </w:rPr>
      </w:pPr>
      <w:r>
        <w:rPr>
          <w:szCs w:val="26"/>
        </w:rPr>
        <w:t xml:space="preserve">Finally, I would like to draw your attention to the Article 8 of the Commission’s Rules pertaining to ex </w:t>
      </w:r>
      <w:proofErr w:type="spellStart"/>
      <w:r>
        <w:rPr>
          <w:szCs w:val="26"/>
        </w:rPr>
        <w:t>parte</w:t>
      </w:r>
      <w:proofErr w:type="spellEnd"/>
      <w:r>
        <w:rPr>
          <w:szCs w:val="26"/>
        </w:rPr>
        <w:t xml:space="preserve"> communications.  I realize that you did not intentional mean </w:t>
      </w:r>
      <w:r>
        <w:rPr>
          <w:szCs w:val="26"/>
        </w:rPr>
        <w:lastRenderedPageBreak/>
        <w:t xml:space="preserve">to create an ex </w:t>
      </w:r>
      <w:proofErr w:type="spellStart"/>
      <w:r>
        <w:rPr>
          <w:szCs w:val="26"/>
        </w:rPr>
        <w:t>parte</w:t>
      </w:r>
      <w:proofErr w:type="spellEnd"/>
      <w:r>
        <w:rPr>
          <w:szCs w:val="26"/>
        </w:rPr>
        <w:t xml:space="preserve"> discussion, but because your email discussed a desired outcome of this proceeding, it could be classified as an ex </w:t>
      </w:r>
      <w:proofErr w:type="spellStart"/>
      <w:r>
        <w:rPr>
          <w:szCs w:val="26"/>
        </w:rPr>
        <w:t>parte</w:t>
      </w:r>
      <w:proofErr w:type="spellEnd"/>
      <w:r>
        <w:rPr>
          <w:szCs w:val="26"/>
        </w:rPr>
        <w:t xml:space="preserve"> discussion.  Out of an abundance of caution, I will be doing an ex </w:t>
      </w:r>
      <w:proofErr w:type="spellStart"/>
      <w:r>
        <w:rPr>
          <w:szCs w:val="26"/>
        </w:rPr>
        <w:t>parte</w:t>
      </w:r>
      <w:proofErr w:type="spellEnd"/>
      <w:r>
        <w:rPr>
          <w:szCs w:val="26"/>
        </w:rPr>
        <w:t xml:space="preserve"> notice of this communication shortly.  Additionally</w:t>
      </w:r>
      <w:r w:rsidR="00A608CB">
        <w:rPr>
          <w:szCs w:val="26"/>
        </w:rPr>
        <w:t>,</w:t>
      </w:r>
      <w:r>
        <w:rPr>
          <w:szCs w:val="26"/>
        </w:rPr>
        <w:t xml:space="preserve"> I am forwarding your communication to the service list in this proceeding.  </w:t>
      </w:r>
    </w:p>
    <w:p w:rsidR="00EA2968" w:rsidP="00397FCB" w:rsidRDefault="00EA2968" w14:paraId="776D85BA" w14:textId="5FB1581A">
      <w:pPr>
        <w:spacing w:after="120" w:line="240" w:lineRule="auto"/>
        <w:ind w:left="720" w:right="1440" w:firstLine="0"/>
        <w:rPr>
          <w:szCs w:val="26"/>
        </w:rPr>
      </w:pPr>
      <w:r>
        <w:rPr>
          <w:szCs w:val="26"/>
        </w:rPr>
        <w:t>Below is the link to the Commission’s Rules.  In the future, please do not include myself on any email where you are having a discussion about the specific issues or outcome of your case.  If you have basic questions about how the procedure will go forward you may send those questions to me and the entire service list.</w:t>
      </w:r>
    </w:p>
    <w:p w:rsidR="006C40F8" w:rsidP="00397FCB" w:rsidRDefault="00EA2968" w14:paraId="09C6DFF6" w14:textId="19ADF98E">
      <w:pPr>
        <w:spacing w:after="120" w:line="240" w:lineRule="auto"/>
        <w:ind w:left="720" w:right="1440" w:firstLine="0"/>
        <w:rPr>
          <w:szCs w:val="26"/>
        </w:rPr>
      </w:pPr>
      <w:r>
        <w:rPr>
          <w:szCs w:val="26"/>
        </w:rPr>
        <w:t>Please let me know if you have any questions</w:t>
      </w:r>
      <w:r w:rsidR="00A608CB">
        <w:rPr>
          <w:szCs w:val="26"/>
        </w:rPr>
        <w:t>.</w:t>
      </w:r>
    </w:p>
    <w:p w:rsidR="00A608CB" w:rsidP="00C36C79" w:rsidRDefault="00A608CB" w14:paraId="74278757" w14:textId="02450272">
      <w:pPr>
        <w:pStyle w:val="Standard"/>
      </w:pPr>
      <w:r>
        <w:t xml:space="preserve">On January 27, 2022, the assigned ALJ started the PHC.  Attorney for SDG&amp;E appeared.  Mr. Whitworth was also present at the PHC.  The Complainant </w:t>
      </w:r>
      <w:r w:rsidR="00387B9A">
        <w:t>failed to appear</w:t>
      </w:r>
      <w:r>
        <w:t>.  Mr. Whitworth indicated on the record that the Complainant informed him that she would not be attending the PHC.  Mr. Whitworth indicated that the Complain</w:t>
      </w:r>
      <w:r w:rsidR="0052277F">
        <w:t>an</w:t>
      </w:r>
      <w:r>
        <w:t xml:space="preserve">t </w:t>
      </w:r>
      <w:r w:rsidR="00C51AD4">
        <w:t>stated she wished</w:t>
      </w:r>
      <w:r>
        <w:t xml:space="preserve"> to proceed</w:t>
      </w:r>
      <w:r w:rsidR="00C51AD4">
        <w:t>,</w:t>
      </w:r>
      <w:r>
        <w:t xml:space="preserve"> but </w:t>
      </w:r>
      <w:r w:rsidR="00C51AD4">
        <w:t xml:space="preserve">stated she refused to </w:t>
      </w:r>
      <w:r>
        <w:t xml:space="preserve"> attend any hearings</w:t>
      </w:r>
      <w:r w:rsidR="00C51AD4">
        <w:t xml:space="preserve"> or participate in this matter</w:t>
      </w:r>
      <w:r>
        <w:t>.  It was explained to Mr. Whitworth that for the matter to proceed, the Complain</w:t>
      </w:r>
      <w:r w:rsidR="0052277F">
        <w:t>an</w:t>
      </w:r>
      <w:r>
        <w:t>t had to attend.  It was also made clear that if the Complain</w:t>
      </w:r>
      <w:r w:rsidR="0052277F">
        <w:t>an</w:t>
      </w:r>
      <w:r>
        <w:t xml:space="preserve">t refused to participate in the process that SDG&amp;E </w:t>
      </w:r>
      <w:r w:rsidR="00387B9A">
        <w:t>could</w:t>
      </w:r>
      <w:r>
        <w:t xml:space="preserve"> file a motion to dismiss the matter for failure to </w:t>
      </w:r>
      <w:r w:rsidR="00B86FFD">
        <w:t xml:space="preserve">prosecute.  </w:t>
      </w:r>
    </w:p>
    <w:p w:rsidR="00B86FFD" w:rsidP="00C36C79" w:rsidRDefault="00B86FFD" w14:paraId="7BCA7FB0" w14:textId="58D854C8">
      <w:pPr>
        <w:pStyle w:val="Standard"/>
      </w:pPr>
      <w:r>
        <w:t xml:space="preserve">Mr. Whitworth requested that he be allowed to call the Complainant and relay this information to her.  The assigned ALJ approved Mr. Whitworth’s request, but informed Mr. Whitworth that he needed to clearly inform the Complainant that if she failed to participate the matter would be dismissed.  Approximately 15 minutes after the scheduled start time of the PHC, Mr. Whitworth indicated on the record that the Complainant still declined to participate in the proceeding.  It was confirmed with him on the record that he </w:t>
      </w:r>
      <w:r>
        <w:lastRenderedPageBreak/>
        <w:t xml:space="preserve">explained the consequences of her refusal to participate in her complaint.  Mr. Whitworth confirmed he relayed that information to her.  Mr. Whitworth also confirmed on the record that neither he nor UCAN were acting as her official representative and that he was just assisting her with her </w:t>
      </w:r>
      <w:r w:rsidR="0052277F">
        <w:t>c</w:t>
      </w:r>
      <w:r>
        <w:t>omplaint.</w:t>
      </w:r>
    </w:p>
    <w:p w:rsidRPr="003C0532" w:rsidR="009978F7" w:rsidP="00C36C79" w:rsidRDefault="00442B99" w14:paraId="0A14F7E1" w14:textId="0EEBB031">
      <w:pPr>
        <w:pStyle w:val="Standard"/>
      </w:pPr>
      <w:r>
        <w:t>On February 1, 2022, the assigned ALJ in this matter received a telephone call from Dan Whitworth.</w:t>
      </w:r>
      <w:r w:rsidR="0049378A">
        <w:rPr>
          <w:rStyle w:val="FootnoteReference"/>
        </w:rPr>
        <w:footnoteReference w:id="15"/>
      </w:r>
      <w:r>
        <w:t xml:space="preserve">  As noted previously, Mr. Whitworth is not the Complainant’s formal representative.  Rather</w:t>
      </w:r>
      <w:r w:rsidR="00C74911">
        <w:t>,</w:t>
      </w:r>
      <w:r>
        <w:t xml:space="preserve"> he is a Consumer Advocate at UCAN and is simply assisting her in this matter.  Mr. Whitworth indicated during this telephone call that the Complainant still refused to participate in this matter but inquired whether the complainant could receive a decision on the merits without participating and whether the Complainant could file a claim for Intervenor Compensation for her time she spent on this matter.  Mr. Whitworth was advised that as the Complainant, Ms. Capuzzi had the burden of proof in this matter to prove that SDG&amp;E violated Commission Rules, Decisions, or their own tariffs and it was again reiterated that her outright refusal to actively participate in this matter would result in the dismissal of her complaint.  </w:t>
      </w:r>
      <w:r w:rsidR="0049378A">
        <w:t xml:space="preserve">He was also informed that she could not file an </w:t>
      </w:r>
      <w:r w:rsidR="006239CC">
        <w:t>Intervenor Compensation claim in her own adjudicatory proceeding.</w:t>
      </w:r>
    </w:p>
    <w:p w:rsidR="009978F7" w:rsidP="00C36C79" w:rsidRDefault="009055FB" w14:paraId="385EEB33" w14:textId="02544382">
      <w:pPr>
        <w:pStyle w:val="Standard"/>
      </w:pPr>
      <w:r w:rsidRPr="00E54289">
        <w:t xml:space="preserve">On </w:t>
      </w:r>
      <w:r w:rsidR="00E54289">
        <w:t>February 3, 2022</w:t>
      </w:r>
      <w:r>
        <w:t xml:space="preserve">, the Defendant filed a Motion to Dismiss. </w:t>
      </w:r>
      <w:r w:rsidR="00446753">
        <w:t xml:space="preserve"> </w:t>
      </w:r>
      <w:r>
        <w:t>In the Motion to Dismiss, S</w:t>
      </w:r>
      <w:r w:rsidR="009978F7">
        <w:t>DG&amp;E</w:t>
      </w:r>
      <w:r>
        <w:t xml:space="preserve"> argued that the Complainant’s failure to appear at the scheduled </w:t>
      </w:r>
      <w:r w:rsidRPr="00B52F5A" w:rsidR="00B52F5A">
        <w:t xml:space="preserve">PHC </w:t>
      </w:r>
      <w:r>
        <w:t xml:space="preserve">indicates that the Complainant is no longer pursuing </w:t>
      </w:r>
      <w:r w:rsidR="00D379A7">
        <w:t>her</w:t>
      </w:r>
      <w:r>
        <w:t xml:space="preserve"> claim. </w:t>
      </w:r>
      <w:r w:rsidR="00446753">
        <w:t xml:space="preserve"> </w:t>
      </w:r>
      <w:r w:rsidR="009978F7">
        <w:t>SDG&amp;E</w:t>
      </w:r>
      <w:r>
        <w:t xml:space="preserve"> also argued that the </w:t>
      </w:r>
      <w:r w:rsidR="0052277F">
        <w:t>c</w:t>
      </w:r>
      <w:r>
        <w:t xml:space="preserve">omplaint should be dismissed because the </w:t>
      </w:r>
      <w:r>
        <w:lastRenderedPageBreak/>
        <w:t xml:space="preserve">Complainant </w:t>
      </w:r>
      <w:r w:rsidR="00D379A7">
        <w:t>can</w:t>
      </w:r>
      <w:r>
        <w:t xml:space="preserve">not </w:t>
      </w:r>
      <w:r w:rsidR="00D379A7">
        <w:t>prove</w:t>
      </w:r>
      <w:r>
        <w:t xml:space="preserve"> any violation of law or Commission Order or Rule on the part of the Defendant.</w:t>
      </w:r>
      <w:r w:rsidR="00016A9D">
        <w:t xml:space="preserve">  The Complainant filed </w:t>
      </w:r>
      <w:r w:rsidR="00D379A7">
        <w:t>no</w:t>
      </w:r>
      <w:r w:rsidR="00016A9D">
        <w:t xml:space="preserve"> response to the Motion.</w:t>
      </w:r>
    </w:p>
    <w:p w:rsidR="00100560" w:rsidP="00100560" w:rsidRDefault="00100560" w14:paraId="5DE553D1" w14:textId="7AA6C78B">
      <w:pPr>
        <w:pStyle w:val="Heading1"/>
      </w:pPr>
      <w:r>
        <w:t>Discussion</w:t>
      </w:r>
    </w:p>
    <w:p w:rsidR="009055FB" w:rsidP="00C36C79" w:rsidRDefault="00E22A05" w14:paraId="3746FF17" w14:textId="325D406F">
      <w:pPr>
        <w:pStyle w:val="Standard"/>
      </w:pPr>
      <w:r>
        <w:t>T</w:t>
      </w:r>
      <w:r w:rsidR="009055FB">
        <w:t xml:space="preserve">he instant </w:t>
      </w:r>
      <w:r w:rsidR="0052277F">
        <w:t>c</w:t>
      </w:r>
      <w:r w:rsidR="009055FB">
        <w:t xml:space="preserve">omplaint is being dismissed for lack of prosecution. </w:t>
      </w:r>
      <w:r w:rsidR="00446753">
        <w:t xml:space="preserve"> </w:t>
      </w:r>
      <w:r w:rsidR="009055FB">
        <w:t>The dismissal of this complaint does not render a judgment on the merits of the case.</w:t>
      </w:r>
      <w:r w:rsidR="009978F7">
        <w:t xml:space="preserve">  However, based upon SDG&amp;E’s Answer, it appears that the Complainant would be unable to establish that SDG&amp;E violated any of its tariffs because as a NEM customer</w:t>
      </w:r>
      <w:r w:rsidR="003C0532">
        <w:t xml:space="preserve"> the Complainant cannot have an analog meter given the measurement intervals required for usage and billing purposes.  Additionally, as a NEM customer meter reads are in fact done monthly.</w:t>
      </w:r>
      <w:r w:rsidR="00C74911">
        <w:t xml:space="preserve">  </w:t>
      </w:r>
      <w:r w:rsidR="00AB60A3">
        <w:t xml:space="preserve">Based on her current </w:t>
      </w:r>
      <w:r w:rsidR="003B3B2A">
        <w:t>pleadings, the</w:t>
      </w:r>
      <w:r w:rsidR="00C74911">
        <w:t xml:space="preserve"> Complainant </w:t>
      </w:r>
      <w:r w:rsidR="00324CC6">
        <w:t xml:space="preserve">has </w:t>
      </w:r>
      <w:r w:rsidR="00C74911">
        <w:t>failed to establish that SDG&amp;E violated any Commission rules or decisions.</w:t>
      </w:r>
    </w:p>
    <w:p w:rsidR="00650B69" w:rsidP="00C36C79" w:rsidRDefault="003C0532" w14:paraId="7F3699BA" w14:textId="5E3C0A22">
      <w:pPr>
        <w:pStyle w:val="Standard"/>
      </w:pPr>
      <w:r>
        <w:t xml:space="preserve">The matter is being dismissed with prejudice because the Complainant </w:t>
      </w:r>
      <w:r w:rsidR="003B3B2A">
        <w:t xml:space="preserve">has </w:t>
      </w:r>
      <w:r>
        <w:t xml:space="preserve">willfully refused to participate in this proceeding.  She was </w:t>
      </w:r>
      <w:r w:rsidR="001F2D2E">
        <w:t xml:space="preserve">informed prior to the PHC that </w:t>
      </w:r>
      <w:r w:rsidR="003B3B2A">
        <w:t xml:space="preserve">her attendance/participation </w:t>
      </w:r>
      <w:r w:rsidR="001F2D2E">
        <w:t xml:space="preserve">she needed to attend.  </w:t>
      </w:r>
      <w:r w:rsidR="00B24DBC">
        <w:t xml:space="preserve">She admits and acknowledges on January 23, 2022, that she was told to “please attend the hearing.”  </w:t>
      </w:r>
      <w:r w:rsidR="001F2D2E">
        <w:t xml:space="preserve">She was also notified by Mr. Whitworth on the day of the PHC that the assigned ALJ advised him that her willful refusal to participate would result in her </w:t>
      </w:r>
      <w:r w:rsidR="0052277F">
        <w:t>c</w:t>
      </w:r>
      <w:r w:rsidR="001F2D2E">
        <w:t xml:space="preserve">omplaint being dismissed.  Mr. Whitworth confirmed to the ALJ and SDG&amp;E that the Complainant was informed that she was required to participate and that her refusal to do so meant that her </w:t>
      </w:r>
      <w:r w:rsidR="0052277F">
        <w:t>c</w:t>
      </w:r>
      <w:r w:rsidR="001F2D2E">
        <w:t xml:space="preserve">omplaint would be dismissed. He stated that </w:t>
      </w:r>
      <w:r w:rsidR="003C6E49">
        <w:t>despite</w:t>
      </w:r>
      <w:r w:rsidR="001F2D2E">
        <w:t xml:space="preserve"> being advised this she refused to participate.</w:t>
      </w:r>
      <w:r w:rsidR="003C6E49">
        <w:t xml:space="preserve">  </w:t>
      </w:r>
    </w:p>
    <w:p w:rsidR="003C0532" w:rsidP="00C36C79" w:rsidRDefault="00B24DBC" w14:paraId="7BEB6407" w14:textId="6692D717">
      <w:pPr>
        <w:pStyle w:val="Standard"/>
      </w:pPr>
      <w:r>
        <w:t xml:space="preserve">Here, the Complainant </w:t>
      </w:r>
      <w:r w:rsidR="00D81A07">
        <w:t xml:space="preserve">has </w:t>
      </w:r>
      <w:r>
        <w:t>chose</w:t>
      </w:r>
      <w:r w:rsidR="00D81A07">
        <w:t xml:space="preserve">n </w:t>
      </w:r>
      <w:r>
        <w:t xml:space="preserve">to willfully disrespect the </w:t>
      </w:r>
      <w:r w:rsidR="00D81A07">
        <w:t xml:space="preserve">adjudicatory </w:t>
      </w:r>
      <w:r>
        <w:t xml:space="preserve">process set forth by the Commission.  She was advised on multiple occasions that </w:t>
      </w:r>
      <w:r w:rsidR="00650B69">
        <w:t xml:space="preserve">she was required to attend </w:t>
      </w:r>
      <w:r w:rsidR="00D81A07">
        <w:t xml:space="preserve">the hearings for the Complaint that she filed.  The Complainant was informed that her </w:t>
      </w:r>
      <w:r w:rsidR="00650B69">
        <w:t xml:space="preserve"> outright refusal </w:t>
      </w:r>
      <w:r w:rsidR="00D81A07">
        <w:t xml:space="preserve">to engage in the </w:t>
      </w:r>
      <w:r w:rsidR="00D81A07">
        <w:lastRenderedPageBreak/>
        <w:t xml:space="preserve">adjudicatory process </w:t>
      </w:r>
      <w:r w:rsidR="00650B69">
        <w:t xml:space="preserve">would result in </w:t>
      </w:r>
      <w:r w:rsidR="00D81A07">
        <w:t>the Complaint</w:t>
      </w:r>
      <w:r w:rsidR="00650B69">
        <w:t xml:space="preserve"> being dismissed.  Despite being advised numerous times that there would be consequences for her outright refusal to participate in the proceeding she deliberately refused to participate.   </w:t>
      </w:r>
      <w:r w:rsidR="003C6E49">
        <w:t>Accordingly, it is appropriate to dismiss this matter with prejudice.</w:t>
      </w:r>
    </w:p>
    <w:p w:rsidR="009055FB" w:rsidP="009055FB" w:rsidRDefault="009055FB" w14:paraId="39B4D3FF" w14:textId="3F94343F">
      <w:pPr>
        <w:pStyle w:val="Heading1"/>
      </w:pPr>
      <w:r>
        <w:t>Assignment of Proceeding</w:t>
      </w:r>
    </w:p>
    <w:p w:rsidR="009055FB" w:rsidP="00C36C79" w:rsidRDefault="001F2D2E" w14:paraId="6935B1C7" w14:textId="0AAE89CA">
      <w:pPr>
        <w:pStyle w:val="Standard"/>
      </w:pPr>
      <w:r>
        <w:t>President Alice Reynold</w:t>
      </w:r>
      <w:r w:rsidR="009055FB">
        <w:t xml:space="preserve"> is the assigned Commissioner and </w:t>
      </w:r>
      <w:r w:rsidR="003C6E49">
        <w:t>Gerald F. Kelly</w:t>
      </w:r>
      <w:r w:rsidR="009055FB">
        <w:t xml:space="preserve"> is the assigned Administrative Law Judge in this proceeding.</w:t>
      </w:r>
    </w:p>
    <w:p w:rsidR="009055FB" w:rsidP="009055FB" w:rsidRDefault="009055FB" w14:paraId="3F7D3892" w14:textId="77777777">
      <w:pPr>
        <w:pStyle w:val="Dummy"/>
      </w:pPr>
      <w:r>
        <w:t>Findings of Fact</w:t>
      </w:r>
    </w:p>
    <w:p w:rsidR="007949EF" w:rsidP="009055FB" w:rsidRDefault="007949EF" w14:paraId="5D24CC4E" w14:textId="5F801F55">
      <w:pPr>
        <w:pStyle w:val="FoF"/>
      </w:pPr>
      <w:r w:rsidRPr="007949EF">
        <w:t xml:space="preserve">On September 24, 2021, </w:t>
      </w:r>
      <w:proofErr w:type="spellStart"/>
      <w:r w:rsidRPr="007949EF">
        <w:t>Edita</w:t>
      </w:r>
      <w:proofErr w:type="spellEnd"/>
      <w:r w:rsidRPr="007949EF">
        <w:t xml:space="preserve"> Capuzzi</w:t>
      </w:r>
      <w:r>
        <w:t>,</w:t>
      </w:r>
      <w:r w:rsidRPr="007949EF">
        <w:t xml:space="preserve"> Complainant</w:t>
      </w:r>
      <w:r>
        <w:t>,</w:t>
      </w:r>
      <w:r w:rsidRPr="007949EF">
        <w:t xml:space="preserve"> filed an Expedited Complaint or ECP against San Diego Gas &amp; Electric Company</w:t>
      </w:r>
    </w:p>
    <w:p w:rsidR="007949EF" w:rsidP="009055FB" w:rsidRDefault="007949EF" w14:paraId="513EF524" w14:textId="5041E67B">
      <w:pPr>
        <w:pStyle w:val="FoF"/>
      </w:pPr>
      <w:r w:rsidRPr="007949EF">
        <w:t>On December 6, 2021, the assigned ALJ issued an email ruling to change the matter from an ECP to a Regular Complaint</w:t>
      </w:r>
    </w:p>
    <w:p w:rsidRPr="001E2A62" w:rsidR="009055FB" w:rsidP="009055FB" w:rsidRDefault="009055FB" w14:paraId="41F0102E" w14:textId="7CD5C0BB">
      <w:pPr>
        <w:pStyle w:val="FoF"/>
      </w:pPr>
      <w:r w:rsidRPr="009055FB">
        <w:t xml:space="preserve">Notice of the </w:t>
      </w:r>
      <w:r w:rsidRPr="00B52F5A" w:rsidR="00B52F5A">
        <w:t xml:space="preserve">PHC </w:t>
      </w:r>
      <w:r w:rsidRPr="009055FB">
        <w:t xml:space="preserve">scheduled for </w:t>
      </w:r>
      <w:r w:rsidR="003C6E49">
        <w:t>January 27, 2022</w:t>
      </w:r>
      <w:r w:rsidRPr="009055FB">
        <w:t xml:space="preserve">, in the instant proceeding, was provided to the Service List on </w:t>
      </w:r>
      <w:r w:rsidR="003C6E49">
        <w:t>December 8</w:t>
      </w:r>
      <w:r w:rsidRPr="009055FB">
        <w:t>, 2021.</w:t>
      </w:r>
    </w:p>
    <w:p w:rsidR="0003130A" w:rsidP="009055FB" w:rsidRDefault="009055FB" w14:paraId="0381146E" w14:textId="02A1B700">
      <w:pPr>
        <w:pStyle w:val="FoF"/>
      </w:pPr>
      <w:r w:rsidRPr="009055FB">
        <w:t xml:space="preserve">On </w:t>
      </w:r>
      <w:r w:rsidR="0003130A">
        <w:t xml:space="preserve">January 23, 2022, the Complainant acknowledges that she was told to attend the </w:t>
      </w:r>
      <w:r w:rsidR="00016A9D">
        <w:t>PHC</w:t>
      </w:r>
      <w:r w:rsidR="00D379A7">
        <w:t xml:space="preserve">.  However, she </w:t>
      </w:r>
      <w:r w:rsidR="0003130A">
        <w:t>stated that she refused to attend any hearings in this matter.</w:t>
      </w:r>
    </w:p>
    <w:p w:rsidR="0003130A" w:rsidP="009055FB" w:rsidRDefault="0003130A" w14:paraId="6A9178DF" w14:textId="4A9A785D">
      <w:pPr>
        <w:pStyle w:val="FoF"/>
      </w:pPr>
      <w:r>
        <w:t xml:space="preserve">On January 26, 2022, the Assigned ALJ sent an email to the Service List addressed to the Complainant informing the Complainant that the PHC was the procedural method for setting the path forward for the proceeding.  The email also advised the Complainant </w:t>
      </w:r>
      <w:r w:rsidR="00C74911">
        <w:t>that</w:t>
      </w:r>
      <w:r>
        <w:t xml:space="preserve"> Mr. Dan Whitworth would be allowed to assist her at the PHC.</w:t>
      </w:r>
    </w:p>
    <w:p w:rsidR="0003130A" w:rsidP="009055FB" w:rsidRDefault="0003130A" w14:paraId="2B2435C8" w14:textId="3DF0441F">
      <w:pPr>
        <w:pStyle w:val="FoF"/>
      </w:pPr>
      <w:r>
        <w:t>On January 27, 2022, Mr. Whitworth stated that the Complainant informed him that she refused to attend any hearing.</w:t>
      </w:r>
    </w:p>
    <w:p w:rsidR="007A44F5" w:rsidP="00A64F3E" w:rsidRDefault="007A44F5" w14:paraId="6C19F102" w14:textId="502FFEFF">
      <w:pPr>
        <w:pStyle w:val="FoF"/>
      </w:pPr>
      <w:r>
        <w:t>The Complainant refused to attend the PHC on</w:t>
      </w:r>
      <w:r w:rsidR="00C34ABA">
        <w:t xml:space="preserve"> </w:t>
      </w:r>
      <w:r>
        <w:t>January 27, 2022.</w:t>
      </w:r>
    </w:p>
    <w:p w:rsidR="007A44F5" w:rsidP="009055FB" w:rsidRDefault="007A44F5" w14:paraId="13FC5283" w14:textId="2CE8F269">
      <w:pPr>
        <w:pStyle w:val="FoF"/>
      </w:pPr>
      <w:r>
        <w:lastRenderedPageBreak/>
        <w:t xml:space="preserve">Complainant </w:t>
      </w:r>
      <w:r w:rsidR="007949EF">
        <w:t>was informed, by telephone during the hearing,</w:t>
      </w:r>
      <w:r>
        <w:t xml:space="preserve"> that her attendance </w:t>
      </w:r>
      <w:r w:rsidR="00D379A7">
        <w:t>w</w:t>
      </w:r>
      <w:r>
        <w:t xml:space="preserve">as required and that her </w:t>
      </w:r>
      <w:r w:rsidR="001B00EB">
        <w:t>c</w:t>
      </w:r>
      <w:r>
        <w:t>omplaint would be dismissed if she refused to attend.</w:t>
      </w:r>
    </w:p>
    <w:p w:rsidR="009055FB" w:rsidP="009055FB" w:rsidRDefault="00057364" w14:paraId="31A99811" w14:textId="37DA68FD">
      <w:pPr>
        <w:pStyle w:val="FoF"/>
      </w:pPr>
      <w:r>
        <w:t xml:space="preserve">On February 1, 2022, Complainant </w:t>
      </w:r>
      <w:r w:rsidRPr="007949EF" w:rsidR="007949EF">
        <w:t xml:space="preserve">indicated </w:t>
      </w:r>
      <w:r w:rsidR="007949EF">
        <w:t xml:space="preserve">that she </w:t>
      </w:r>
      <w:r>
        <w:t>still refused to participate in this matte</w:t>
      </w:r>
      <w:r w:rsidR="007949EF">
        <w:t xml:space="preserve">r and was </w:t>
      </w:r>
      <w:r>
        <w:t xml:space="preserve">again informed that her complaint would be dismissed with prejudice for failure to prosecute.  </w:t>
      </w:r>
    </w:p>
    <w:p w:rsidR="009055FB" w:rsidP="009055FB" w:rsidRDefault="009055FB" w14:paraId="0D4F8A43" w14:textId="297BDA40">
      <w:pPr>
        <w:pStyle w:val="FoF"/>
      </w:pPr>
      <w:r>
        <w:t xml:space="preserve">On </w:t>
      </w:r>
      <w:r w:rsidR="00016A9D">
        <w:t>February 3, 2022</w:t>
      </w:r>
      <w:r>
        <w:t>, the Defendant filed a Motion to Dismiss Complaint</w:t>
      </w:r>
      <w:r w:rsidR="00D379A7">
        <w:t xml:space="preserve"> with prejudice</w:t>
      </w:r>
      <w:r>
        <w:t>.</w:t>
      </w:r>
    </w:p>
    <w:p w:rsidR="009055FB" w:rsidP="009055FB" w:rsidRDefault="009055FB" w14:paraId="3F77DF84" w14:textId="774A33E0">
      <w:pPr>
        <w:pStyle w:val="FoF"/>
      </w:pPr>
      <w:r>
        <w:t xml:space="preserve">The Complainant did not file a response to the Defendant’s Motion to Dismiss. </w:t>
      </w:r>
    </w:p>
    <w:p w:rsidR="009055FB" w:rsidP="009055FB" w:rsidRDefault="009055FB" w14:paraId="5232343B" w14:textId="77777777">
      <w:pPr>
        <w:pStyle w:val="Dummy"/>
      </w:pPr>
      <w:r>
        <w:t>Conclusions of Law</w:t>
      </w:r>
    </w:p>
    <w:p w:rsidRPr="001E2A62" w:rsidR="009055FB" w:rsidP="009055FB" w:rsidRDefault="009055FB" w14:paraId="6B0A951F" w14:textId="05D7BAE6">
      <w:pPr>
        <w:pStyle w:val="CoL"/>
      </w:pPr>
      <w:r w:rsidRPr="009055FB">
        <w:t xml:space="preserve">This proceeding should be dismissed </w:t>
      </w:r>
      <w:r w:rsidR="003C6E49">
        <w:t xml:space="preserve">with prejudice </w:t>
      </w:r>
      <w:r w:rsidRPr="009055FB">
        <w:t>for failure to prosecute</w:t>
      </w:r>
      <w:r>
        <w:t>.</w:t>
      </w:r>
    </w:p>
    <w:p w:rsidRPr="001E2A62" w:rsidR="009055FB" w:rsidP="009055FB" w:rsidRDefault="009055FB" w14:paraId="1007B05D" w14:textId="0E53501F">
      <w:pPr>
        <w:pStyle w:val="CoL"/>
        <w:spacing w:after="120"/>
      </w:pPr>
      <w:r w:rsidRPr="009055FB">
        <w:t>This proceeding should be closed</w:t>
      </w:r>
      <w:r>
        <w:t>.</w:t>
      </w:r>
    </w:p>
    <w:p w:rsidR="009055FB" w:rsidP="009055FB" w:rsidRDefault="009055FB" w14:paraId="106144FD" w14:textId="77777777">
      <w:pPr>
        <w:pStyle w:val="Mainex"/>
      </w:pPr>
      <w:r>
        <w:t>ORDER</w:t>
      </w:r>
    </w:p>
    <w:p w:rsidR="009055FB" w:rsidP="009055FB" w:rsidRDefault="009055FB" w14:paraId="7EA06ADC" w14:textId="77777777">
      <w:pPr>
        <w:keepNext/>
      </w:pPr>
      <w:r w:rsidRPr="00BB0243">
        <w:rPr>
          <w:b/>
        </w:rPr>
        <w:t>IT IS ORDERED</w:t>
      </w:r>
      <w:r>
        <w:t xml:space="preserve"> that:</w:t>
      </w:r>
    </w:p>
    <w:p w:rsidR="009055FB" w:rsidP="009055FB" w:rsidRDefault="009055FB" w14:paraId="6B30742A" w14:textId="4B11C87B">
      <w:pPr>
        <w:pStyle w:val="OP"/>
      </w:pPr>
      <w:r w:rsidRPr="009055FB">
        <w:t xml:space="preserve">The </w:t>
      </w:r>
      <w:r w:rsidR="001B00EB">
        <w:t>c</w:t>
      </w:r>
      <w:r w:rsidRPr="009055FB">
        <w:t xml:space="preserve">omplaint </w:t>
      </w:r>
      <w:r w:rsidR="003C6E49">
        <w:t xml:space="preserve">of </w:t>
      </w:r>
      <w:proofErr w:type="spellStart"/>
      <w:r w:rsidR="003C6E49">
        <w:t>Edita</w:t>
      </w:r>
      <w:proofErr w:type="spellEnd"/>
      <w:r w:rsidR="003C6E49">
        <w:t xml:space="preserve"> Capuzzi</w:t>
      </w:r>
      <w:r w:rsidRPr="009055FB">
        <w:t xml:space="preserve"> against S</w:t>
      </w:r>
      <w:r w:rsidR="003C6E49">
        <w:t>an Diego Gas &amp; Electric Company</w:t>
      </w:r>
      <w:r w:rsidRPr="009055FB">
        <w:t xml:space="preserve"> is dismissed</w:t>
      </w:r>
      <w:r w:rsidR="003C6E49">
        <w:t xml:space="preserve"> with prejudice</w:t>
      </w:r>
      <w:r w:rsidRPr="001E2A62">
        <w:t>.</w:t>
      </w:r>
    </w:p>
    <w:p w:rsidRPr="001E2A62" w:rsidR="009055FB" w:rsidP="009055FB" w:rsidRDefault="009055FB" w14:paraId="09CB3B67" w14:textId="26A9B2E3">
      <w:pPr>
        <w:pStyle w:val="OP"/>
      </w:pPr>
      <w:r w:rsidRPr="009055FB">
        <w:t>Case 21-0</w:t>
      </w:r>
      <w:r w:rsidR="003C6E49">
        <w:t>9-011</w:t>
      </w:r>
      <w:r w:rsidRPr="009055FB">
        <w:t xml:space="preserve"> is closed</w:t>
      </w:r>
      <w:r>
        <w:t>.</w:t>
      </w:r>
    </w:p>
    <w:p w:rsidR="009055FB" w:rsidP="009055FB" w:rsidRDefault="009055FB" w14:paraId="47EB43FB" w14:textId="77777777">
      <w:r>
        <w:t>This order is effective today.</w:t>
      </w:r>
    </w:p>
    <w:p w:rsidRPr="00446753" w:rsidR="00446753" w:rsidP="00446753" w:rsidRDefault="008F0116" w14:paraId="10105BE7" w14:textId="0A5D8600">
      <w:pPr>
        <w:rPr>
          <w:sz w:val="36"/>
          <w:szCs w:val="36"/>
        </w:rPr>
      </w:pPr>
      <w:r>
        <w:t xml:space="preserve">Dated </w:t>
      </w:r>
      <w:r w:rsidR="00560161">
        <w:t xml:space="preserve">May </w:t>
      </w:r>
      <w:r w:rsidR="009A31CF">
        <w:t>2</w:t>
      </w:r>
      <w:r w:rsidR="00560161">
        <w:t>6, 2022</w:t>
      </w:r>
      <w:r>
        <w:t>, at San Francisco, California</w:t>
      </w:r>
      <w:r w:rsidR="00446753">
        <w:t>.</w:t>
      </w:r>
    </w:p>
    <w:sectPr w:rsidRPr="00446753" w:rsidR="00446753" w:rsidSect="00CB11EF">
      <w:headerReference w:type="first" r:id="rId11"/>
      <w:footerReference w:type="first" r:id="rId12"/>
      <w:pgSz w:w="12240" w:h="15840"/>
      <w:pgMar w:top="172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C8DB" w14:textId="77777777" w:rsidR="002D7D9F" w:rsidRDefault="002D7D9F" w:rsidP="0098138E">
      <w:pPr>
        <w:spacing w:line="240" w:lineRule="auto"/>
      </w:pPr>
      <w:r>
        <w:separator/>
      </w:r>
    </w:p>
  </w:endnote>
  <w:endnote w:type="continuationSeparator" w:id="0">
    <w:p w14:paraId="612EFB25" w14:textId="77777777" w:rsidR="002D7D9F" w:rsidRDefault="002D7D9F"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0023" w14:textId="70D170B6" w:rsidR="00EE4315" w:rsidRDefault="00EE4315" w:rsidP="007E0FEE">
    <w:pPr>
      <w:ind w:firstLine="0"/>
      <w:jc w:val="center"/>
    </w:pPr>
    <w:r>
      <w:t xml:space="preserve">- </w:t>
    </w:r>
    <w:sdt>
      <w:sdtPr>
        <w:id w:val="1935164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49EF">
          <w:rPr>
            <w:noProof/>
          </w:rPr>
          <w:t>14</w:t>
        </w:r>
        <w:r>
          <w:rPr>
            <w:noProof/>
          </w:rPr>
          <w:fldChar w:fldCharType="end"/>
        </w:r>
        <w:r>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72476"/>
      <w:docPartObj>
        <w:docPartGallery w:val="Page Numbers (Bottom of Page)"/>
        <w:docPartUnique/>
      </w:docPartObj>
    </w:sdtPr>
    <w:sdtEndPr>
      <w:rPr>
        <w:noProof/>
      </w:rPr>
    </w:sdtEndPr>
    <w:sdtContent>
      <w:p w14:paraId="5B0DAD58" w14:textId="564BCC5F" w:rsidR="00DD58A2" w:rsidRDefault="003D654D" w:rsidP="00A06ED3">
        <w:pPr>
          <w:pStyle w:val="Footer"/>
          <w:ind w:firstLine="0"/>
        </w:pPr>
        <w:r w:rsidRPr="003D654D">
          <w:rPr>
            <w:rFonts w:cs="Arial"/>
            <w:color w:val="000000"/>
            <w:sz w:val="16"/>
            <w:szCs w:val="16"/>
            <w:shd w:val="clear" w:color="auto" w:fill="FFFFFF"/>
          </w:rPr>
          <w:t>479946069</w:t>
        </w:r>
        <w:r w:rsidR="00DD58A2">
          <w:tab/>
          <w:t xml:space="preserve">- </w:t>
        </w:r>
        <w:r w:rsidR="00DD58A2">
          <w:fldChar w:fldCharType="begin"/>
        </w:r>
        <w:r w:rsidR="00DD58A2">
          <w:instrText xml:space="preserve"> PAGE   \* MERGEFORMAT </w:instrText>
        </w:r>
        <w:r w:rsidR="00DD58A2">
          <w:fldChar w:fldCharType="separate"/>
        </w:r>
        <w:r w:rsidR="007949EF">
          <w:rPr>
            <w:noProof/>
          </w:rPr>
          <w:t>1</w:t>
        </w:r>
        <w:r w:rsidR="00DD58A2">
          <w:rPr>
            <w:noProof/>
          </w:rPr>
          <w:fldChar w:fldCharType="end"/>
        </w:r>
        <w:r w:rsidR="00DD58A2">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4DF4" w14:textId="77777777" w:rsidR="002D7D9F" w:rsidRDefault="002D7D9F" w:rsidP="00DF58E7">
      <w:pPr>
        <w:spacing w:line="240" w:lineRule="auto"/>
        <w:ind w:firstLine="0"/>
      </w:pPr>
      <w:r>
        <w:separator/>
      </w:r>
    </w:p>
  </w:footnote>
  <w:footnote w:type="continuationSeparator" w:id="0">
    <w:p w14:paraId="0F97DC16" w14:textId="77777777" w:rsidR="002D7D9F" w:rsidRDefault="002D7D9F" w:rsidP="00DF58E7">
      <w:pPr>
        <w:spacing w:line="240" w:lineRule="auto"/>
        <w:ind w:firstLine="0"/>
      </w:pPr>
      <w:r>
        <w:continuationSeparator/>
      </w:r>
    </w:p>
  </w:footnote>
  <w:footnote w:type="continuationNotice" w:id="1">
    <w:p w14:paraId="52500B28" w14:textId="77777777" w:rsidR="002D7D9F" w:rsidRPr="00DF58E7" w:rsidRDefault="002D7D9F"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01DDA120" w14:textId="788DB23F" w:rsidR="002E5C2E" w:rsidRPr="00F41DD5" w:rsidRDefault="002E5C2E" w:rsidP="00F41DD5">
      <w:pPr>
        <w:pStyle w:val="FootnoteText"/>
        <w:rPr>
          <w:szCs w:val="22"/>
        </w:rPr>
      </w:pPr>
      <w:r>
        <w:rPr>
          <w:rStyle w:val="FootnoteReference"/>
        </w:rPr>
        <w:footnoteRef/>
      </w:r>
      <w:r>
        <w:t xml:space="preserve"> </w:t>
      </w:r>
      <w:r w:rsidRPr="00F41DD5">
        <w:rPr>
          <w:szCs w:val="22"/>
        </w:rPr>
        <w:t xml:space="preserve">Capuzzi failed to offer any information as to the specific Application </w:t>
      </w:r>
      <w:r w:rsidR="00963ABC" w:rsidRPr="00F41DD5">
        <w:rPr>
          <w:szCs w:val="22"/>
        </w:rPr>
        <w:t xml:space="preserve">(A.) </w:t>
      </w:r>
      <w:r w:rsidRPr="00F41DD5">
        <w:rPr>
          <w:szCs w:val="22"/>
        </w:rPr>
        <w:t xml:space="preserve">or Decision </w:t>
      </w:r>
      <w:r w:rsidR="00963ABC" w:rsidRPr="00F41DD5">
        <w:rPr>
          <w:szCs w:val="22"/>
        </w:rPr>
        <w:t xml:space="preserve">(D.) </w:t>
      </w:r>
      <w:r w:rsidRPr="00F41DD5">
        <w:rPr>
          <w:szCs w:val="22"/>
        </w:rPr>
        <w:t>she was referring to.</w:t>
      </w:r>
      <w:r w:rsidR="00963ABC" w:rsidRPr="00F41DD5">
        <w:rPr>
          <w:szCs w:val="22"/>
        </w:rPr>
        <w:t xml:space="preserve">  It is possible that Capuzzi is referring to D.12-04-019, which modified </w:t>
      </w:r>
      <w:r w:rsidR="00F41DD5">
        <w:rPr>
          <w:szCs w:val="22"/>
        </w:rPr>
        <w:br/>
      </w:r>
      <w:r w:rsidR="00963ABC" w:rsidRPr="00F41DD5">
        <w:rPr>
          <w:szCs w:val="22"/>
        </w:rPr>
        <w:t>D.-07-04-043 and was issued as a final decision by the Commission on April 24, 2012.</w:t>
      </w:r>
      <w:r w:rsidR="002929C9" w:rsidRPr="00F41DD5">
        <w:rPr>
          <w:szCs w:val="22"/>
        </w:rPr>
        <w:t xml:space="preserve">  </w:t>
      </w:r>
    </w:p>
  </w:footnote>
  <w:footnote w:id="3">
    <w:p w14:paraId="132CA4EE" w14:textId="6EFC262D" w:rsidR="002929C9" w:rsidRPr="00F41DD5" w:rsidRDefault="000C7330" w:rsidP="00F41DD5">
      <w:pPr>
        <w:spacing w:after="120" w:line="240" w:lineRule="auto"/>
        <w:ind w:firstLine="0"/>
        <w:rPr>
          <w:rFonts w:ascii="Calibri" w:hAnsi="Calibri"/>
          <w:color w:val="000000"/>
          <w:sz w:val="22"/>
        </w:rPr>
      </w:pPr>
      <w:r w:rsidRPr="00F41DD5">
        <w:rPr>
          <w:rStyle w:val="FootnoteReference"/>
          <w:sz w:val="22"/>
        </w:rPr>
        <w:footnoteRef/>
      </w:r>
      <w:r w:rsidRPr="00F41DD5">
        <w:rPr>
          <w:sz w:val="22"/>
        </w:rPr>
        <w:t xml:space="preserve"> In her ECP, the Complainant listed the </w:t>
      </w:r>
      <w:r w:rsidR="002929C9" w:rsidRPr="00F41DD5">
        <w:rPr>
          <w:color w:val="000000"/>
          <w:sz w:val="22"/>
        </w:rPr>
        <w:t>Utility Consumers’ Action Network (UCAN) as a representative in this matter.  UCAN is a professional advocacy group who frequently litigates complex matters before the Commission on a regular basis.  (</w:t>
      </w:r>
      <w:r w:rsidR="002929C9" w:rsidRPr="00F41DD5">
        <w:rPr>
          <w:i/>
          <w:iCs/>
          <w:color w:val="000000"/>
          <w:sz w:val="22"/>
        </w:rPr>
        <w:t>See</w:t>
      </w:r>
      <w:r w:rsidR="002929C9" w:rsidRPr="00F41DD5">
        <w:rPr>
          <w:color w:val="000000"/>
          <w:sz w:val="22"/>
        </w:rPr>
        <w:t xml:space="preserve">, </w:t>
      </w:r>
      <w:hyperlink r:id="rId1" w:history="1">
        <w:r w:rsidR="002929C9" w:rsidRPr="00F41DD5">
          <w:rPr>
            <w:rStyle w:val="Hyperlink"/>
            <w:sz w:val="22"/>
          </w:rPr>
          <w:t>http://www.ucan.org</w:t>
        </w:r>
      </w:hyperlink>
      <w:r w:rsidR="002929C9" w:rsidRPr="00F41DD5">
        <w:rPr>
          <w:color w:val="000000"/>
          <w:sz w:val="22"/>
        </w:rPr>
        <w:t>).  UCAN typically does not represent individuals in ECPs.</w:t>
      </w:r>
      <w:r w:rsidR="00F262E6" w:rsidRPr="00F41DD5">
        <w:rPr>
          <w:color w:val="000000"/>
          <w:sz w:val="22"/>
        </w:rPr>
        <w:t xml:space="preserve">  It is also noted for the record that D.12-04-019 came about as a result of A.11-03-015 which was an </w:t>
      </w:r>
      <w:proofErr w:type="gramStart"/>
      <w:r w:rsidR="00F262E6" w:rsidRPr="00F41DD5">
        <w:rPr>
          <w:color w:val="000000"/>
          <w:sz w:val="22"/>
        </w:rPr>
        <w:t>Application</w:t>
      </w:r>
      <w:proofErr w:type="gramEnd"/>
      <w:r w:rsidR="00F262E6" w:rsidRPr="00F41DD5">
        <w:rPr>
          <w:color w:val="000000"/>
          <w:sz w:val="22"/>
        </w:rPr>
        <w:t xml:space="preserve"> filed by UCAN title</w:t>
      </w:r>
      <w:r w:rsidR="00CF7DD5" w:rsidRPr="00F41DD5">
        <w:rPr>
          <w:color w:val="000000"/>
          <w:sz w:val="22"/>
        </w:rPr>
        <w:t>d</w:t>
      </w:r>
      <w:r w:rsidR="00F262E6" w:rsidRPr="00F41DD5">
        <w:rPr>
          <w:color w:val="000000"/>
          <w:sz w:val="22"/>
        </w:rPr>
        <w:t xml:space="preserve"> “The Application of Utility Consumers’ Action Network for Modification of </w:t>
      </w:r>
      <w:r w:rsidR="00F41DD5">
        <w:rPr>
          <w:color w:val="000000"/>
          <w:sz w:val="22"/>
        </w:rPr>
        <w:br/>
      </w:r>
      <w:r w:rsidR="00DF70B0" w:rsidRPr="00F41DD5">
        <w:rPr>
          <w:color w:val="000000"/>
          <w:sz w:val="22"/>
        </w:rPr>
        <w:t>Decision 07-04-043 so as to Not Force Residential Customers to Use Smart Meters.”</w:t>
      </w:r>
    </w:p>
  </w:footnote>
  <w:footnote w:id="4">
    <w:p w14:paraId="01FA8358" w14:textId="7EEE4FA4" w:rsidR="001D3FCB" w:rsidRPr="00F41DD5" w:rsidRDefault="001D3FCB" w:rsidP="00F41DD5">
      <w:pPr>
        <w:pStyle w:val="FootnoteText"/>
        <w:rPr>
          <w:szCs w:val="22"/>
        </w:rPr>
      </w:pPr>
      <w:r w:rsidRPr="00F41DD5">
        <w:rPr>
          <w:rStyle w:val="FootnoteReference"/>
          <w:szCs w:val="22"/>
        </w:rPr>
        <w:footnoteRef/>
      </w:r>
      <w:r w:rsidRPr="00F41DD5">
        <w:rPr>
          <w:szCs w:val="22"/>
        </w:rPr>
        <w:t xml:space="preserve"> The Commission’s ECP process is </w:t>
      </w:r>
      <w:r w:rsidR="00CF7DD5" w:rsidRPr="00F41DD5">
        <w:rPr>
          <w:szCs w:val="22"/>
        </w:rPr>
        <w:t>like</w:t>
      </w:r>
      <w:r w:rsidRPr="00F41DD5">
        <w:rPr>
          <w:szCs w:val="22"/>
        </w:rPr>
        <w:t xml:space="preserve"> Small Claims actions conducted in Superior Court.</w:t>
      </w:r>
    </w:p>
  </w:footnote>
  <w:footnote w:id="5">
    <w:p w14:paraId="3923F513" w14:textId="32D6E6FE" w:rsidR="001B3D6A" w:rsidRDefault="001B3D6A">
      <w:pPr>
        <w:pStyle w:val="FootnoteText"/>
      </w:pPr>
      <w:r>
        <w:rPr>
          <w:rStyle w:val="FootnoteReference"/>
        </w:rPr>
        <w:footnoteRef/>
      </w:r>
      <w:r>
        <w:t xml:space="preserve"> Answer at 5.</w:t>
      </w:r>
    </w:p>
  </w:footnote>
  <w:footnote w:id="6">
    <w:p w14:paraId="322E69A1" w14:textId="2C2F5F8A" w:rsidR="001B3D6A" w:rsidRDefault="001B3D6A">
      <w:pPr>
        <w:pStyle w:val="FootnoteText"/>
      </w:pPr>
      <w:r>
        <w:rPr>
          <w:rStyle w:val="FootnoteReference"/>
        </w:rPr>
        <w:footnoteRef/>
      </w:r>
      <w:r>
        <w:t xml:space="preserve"> </w:t>
      </w:r>
      <w:r w:rsidRPr="00F14BF3">
        <w:rPr>
          <w:i/>
          <w:iCs/>
        </w:rPr>
        <w:t>Id</w:t>
      </w:r>
      <w:r>
        <w:t>. at 3.</w:t>
      </w:r>
    </w:p>
  </w:footnote>
  <w:footnote w:id="7">
    <w:p w14:paraId="0E2CB441" w14:textId="0E8437FF" w:rsidR="00183C2A" w:rsidRDefault="00183C2A">
      <w:pPr>
        <w:pStyle w:val="FootnoteText"/>
      </w:pPr>
      <w:r>
        <w:rPr>
          <w:rStyle w:val="FootnoteReference"/>
        </w:rPr>
        <w:footnoteRef/>
      </w:r>
      <w:r>
        <w:t xml:space="preserve"> </w:t>
      </w:r>
      <w:r w:rsidRPr="00F14BF3">
        <w:rPr>
          <w:i/>
          <w:iCs/>
        </w:rPr>
        <w:t>Ibid</w:t>
      </w:r>
      <w:r>
        <w:t>.</w:t>
      </w:r>
    </w:p>
  </w:footnote>
  <w:footnote w:id="8">
    <w:p w14:paraId="4348D3E8" w14:textId="21C21239" w:rsidR="008721A2" w:rsidRDefault="008721A2">
      <w:pPr>
        <w:pStyle w:val="FootnoteText"/>
      </w:pPr>
      <w:r>
        <w:rPr>
          <w:rStyle w:val="FootnoteReference"/>
        </w:rPr>
        <w:footnoteRef/>
      </w:r>
      <w:r>
        <w:t xml:space="preserve"> </w:t>
      </w:r>
      <w:r w:rsidRPr="00F14BF3">
        <w:rPr>
          <w:i/>
          <w:iCs/>
        </w:rPr>
        <w:t>Ibid</w:t>
      </w:r>
      <w:r>
        <w:t>.</w:t>
      </w:r>
    </w:p>
  </w:footnote>
  <w:footnote w:id="9">
    <w:p w14:paraId="0B89E5E9" w14:textId="3E61ADED" w:rsidR="008D1D01" w:rsidRDefault="008D1D01">
      <w:pPr>
        <w:pStyle w:val="FootnoteText"/>
      </w:pPr>
      <w:r>
        <w:rPr>
          <w:rStyle w:val="FootnoteReference"/>
        </w:rPr>
        <w:footnoteRef/>
      </w:r>
      <w:r>
        <w:t xml:space="preserve"> </w:t>
      </w:r>
      <w:r w:rsidRPr="00F14BF3">
        <w:rPr>
          <w:i/>
          <w:iCs/>
        </w:rPr>
        <w:t>Id</w:t>
      </w:r>
      <w:r>
        <w:t>. at 4.</w:t>
      </w:r>
    </w:p>
  </w:footnote>
  <w:footnote w:id="10">
    <w:p w14:paraId="39B83AA2" w14:textId="38103A8B" w:rsidR="00ED6CAF" w:rsidRDefault="00ED6CAF">
      <w:pPr>
        <w:pStyle w:val="FootnoteText"/>
      </w:pPr>
      <w:r>
        <w:rPr>
          <w:rStyle w:val="FootnoteReference"/>
        </w:rPr>
        <w:footnoteRef/>
      </w:r>
      <w:r>
        <w:t xml:space="preserve"> </w:t>
      </w:r>
      <w:r w:rsidRPr="00492F7D">
        <w:rPr>
          <w:i/>
          <w:iCs/>
        </w:rPr>
        <w:t>Ibid</w:t>
      </w:r>
      <w:r>
        <w:t>.</w:t>
      </w:r>
    </w:p>
  </w:footnote>
  <w:footnote w:id="11">
    <w:p w14:paraId="54BD66B4" w14:textId="61D7ECDA" w:rsidR="0007493A" w:rsidRDefault="0007493A">
      <w:pPr>
        <w:pStyle w:val="FootnoteText"/>
      </w:pPr>
      <w:r>
        <w:rPr>
          <w:rStyle w:val="FootnoteReference"/>
        </w:rPr>
        <w:footnoteRef/>
      </w:r>
      <w:r>
        <w:t xml:space="preserve"> In the </w:t>
      </w:r>
      <w:r w:rsidR="001B00EB">
        <w:t>c</w:t>
      </w:r>
      <w:r>
        <w:t>omplaint, Capuzzi asserts that she does not want SDG&amp;E showing up at her house unannounced because she does not trust SDG&amp;E’s employees around her children.  In an email dated January 23, 2022, she asserts that she wants to know when SDG&amp;E will come to her house because she has a busy schedule and will unlikely be at home to provide access to her meter.</w:t>
      </w:r>
    </w:p>
  </w:footnote>
  <w:footnote w:id="12">
    <w:p w14:paraId="7F79B60F" w14:textId="50FA920B" w:rsidR="000E6631" w:rsidRDefault="000E6631">
      <w:pPr>
        <w:pStyle w:val="FootnoteText"/>
      </w:pPr>
      <w:r>
        <w:rPr>
          <w:rStyle w:val="FootnoteReference"/>
        </w:rPr>
        <w:footnoteRef/>
      </w:r>
      <w:r>
        <w:t xml:space="preserve"> The assumption is that she is referring to D.12-04-019.  As noted </w:t>
      </w:r>
      <w:r w:rsidR="004141F6">
        <w:t xml:space="preserve">in </w:t>
      </w:r>
      <w:r>
        <w:t>SDG&amp;E’s Answer, the Complainant is a NEM customer and as set forth in the Answer, SDG&amp;E asserts its tariffs do not allow NEM customers to have analog meters and that digital meters are consistent with Tariff Schedule E-SMOP.</w:t>
      </w:r>
    </w:p>
  </w:footnote>
  <w:footnote w:id="13">
    <w:p w14:paraId="5EA2FB8A" w14:textId="2CF66C12" w:rsidR="00C51AD4" w:rsidRDefault="00C51AD4">
      <w:pPr>
        <w:pStyle w:val="FootnoteText"/>
      </w:pPr>
      <w:r>
        <w:rPr>
          <w:rStyle w:val="FootnoteReference"/>
        </w:rPr>
        <w:footnoteRef/>
      </w:r>
      <w:r>
        <w:t xml:space="preserve"> As noted below, the assigned ALJ treated this email as an ex </w:t>
      </w:r>
      <w:proofErr w:type="spellStart"/>
      <w:r>
        <w:t>parte</w:t>
      </w:r>
      <w:proofErr w:type="spellEnd"/>
      <w:r>
        <w:t xml:space="preserve"> communication.</w:t>
      </w:r>
    </w:p>
  </w:footnote>
  <w:footnote w:id="14">
    <w:p w14:paraId="79239C78" w14:textId="62AF1DD5" w:rsidR="00C171BA" w:rsidRDefault="00C171BA">
      <w:pPr>
        <w:pStyle w:val="FootnoteText"/>
      </w:pPr>
      <w:r>
        <w:rPr>
          <w:rStyle w:val="FootnoteReference"/>
        </w:rPr>
        <w:footnoteRef/>
      </w:r>
      <w:r>
        <w:t xml:space="preserve"> During the telephone conversation with Mr. Whitworth, Mr. Whitworth stated that neither he nor UCAN were acting as official representatives of the Complainant.  However, he indicated that he was simply assisting her in this matter.  The assigned ALJ decided that although </w:t>
      </w:r>
      <w:r w:rsidR="00397FCB">
        <w:br/>
      </w:r>
      <w:r>
        <w:t>Mr. Whitworth was not Capuzzi’s official representative, he could assist her in this matter.</w:t>
      </w:r>
    </w:p>
  </w:footnote>
  <w:footnote w:id="15">
    <w:p w14:paraId="5636C316" w14:textId="3CC69C9C" w:rsidR="0049378A" w:rsidRDefault="0049378A">
      <w:pPr>
        <w:pStyle w:val="FootnoteText"/>
      </w:pPr>
      <w:r>
        <w:rPr>
          <w:rStyle w:val="FootnoteReference"/>
        </w:rPr>
        <w:footnoteRef/>
      </w:r>
      <w:r>
        <w:t xml:space="preserve"> The assigned ALJ issued an email ruling which was served on the Service List for this proceeding to advise of the</w:t>
      </w:r>
      <w:r w:rsidR="00C74911">
        <w:t xml:space="preserve"> telephone call.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3464" w14:textId="02B7B993" w:rsidR="00795EF6" w:rsidRPr="00F92385" w:rsidRDefault="008B7FD3" w:rsidP="00795EF6">
    <w:pPr>
      <w:pStyle w:val="Header"/>
      <w:ind w:firstLine="0"/>
      <w:rPr>
        <w:b/>
        <w:i/>
        <w:color w:val="FF0000"/>
      </w:rPr>
    </w:pPr>
    <w:r>
      <w:t>C.21-09-</w:t>
    </w:r>
    <w:proofErr w:type="gramStart"/>
    <w:r>
      <w:t>011  ALJ</w:t>
    </w:r>
    <w:proofErr w:type="gramEnd"/>
    <w:r>
      <w:t>/POD-GK1/mph</w:t>
    </w:r>
    <w:r w:rsidR="00795EF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9BA8" w14:textId="77777777" w:rsidR="00DD58A2" w:rsidRDefault="00DD5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3C526EDE"/>
    <w:numStyleLink w:val="Headings"/>
  </w:abstractNum>
  <w:abstractNum w:abstractNumId="5" w15:restartNumberingAfterBreak="0">
    <w:nsid w:val="1E2242C9"/>
    <w:multiLevelType w:val="multilevel"/>
    <w:tmpl w:val="3C526EDE"/>
    <w:numStyleLink w:val="Headings"/>
  </w:abstractNum>
  <w:abstractNum w:abstractNumId="6" w15:restartNumberingAfterBreak="0">
    <w:nsid w:val="21FB58FE"/>
    <w:multiLevelType w:val="multilevel"/>
    <w:tmpl w:val="3C526EDE"/>
    <w:numStyleLink w:val="Headings"/>
  </w:abstractNum>
  <w:abstractNum w:abstractNumId="7" w15:restartNumberingAfterBreak="0">
    <w:nsid w:val="243663A0"/>
    <w:multiLevelType w:val="multilevel"/>
    <w:tmpl w:val="3C526EDE"/>
    <w:numStyleLink w:val="Headings"/>
  </w:abstractNum>
  <w:abstractNum w:abstractNumId="8" w15:restartNumberingAfterBreak="0">
    <w:nsid w:val="2B8124D7"/>
    <w:multiLevelType w:val="multilevel"/>
    <w:tmpl w:val="3C526EDE"/>
    <w:numStyleLink w:val="Headings"/>
  </w:abstractNum>
  <w:abstractNum w:abstractNumId="9"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0" w15:restartNumberingAfterBreak="0">
    <w:nsid w:val="59D042D7"/>
    <w:multiLevelType w:val="multilevel"/>
    <w:tmpl w:val="18F4A5AC"/>
    <w:numStyleLink w:val="FoFCoLOP"/>
  </w:abstractNum>
  <w:abstractNum w:abstractNumId="11" w15:restartNumberingAfterBreak="0">
    <w:nsid w:val="5A9E2171"/>
    <w:multiLevelType w:val="multilevel"/>
    <w:tmpl w:val="3C526EDE"/>
    <w:numStyleLink w:val="Headings"/>
  </w:abstractNum>
  <w:abstractNum w:abstractNumId="12" w15:restartNumberingAfterBreak="0">
    <w:nsid w:val="61A25780"/>
    <w:multiLevelType w:val="multilevel"/>
    <w:tmpl w:val="3C526EDE"/>
    <w:numStyleLink w:val="Headings"/>
  </w:abstractNum>
  <w:abstractNum w:abstractNumId="13"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9A0AFE"/>
    <w:multiLevelType w:val="multilevel"/>
    <w:tmpl w:val="18F4A5AC"/>
    <w:numStyleLink w:val="FoFCoLOP"/>
  </w:abstractNum>
  <w:num w:numId="1" w16cid:durableId="1082027306">
    <w:abstractNumId w:val="11"/>
  </w:num>
  <w:num w:numId="2" w16cid:durableId="2058973507">
    <w:abstractNumId w:val="1"/>
  </w:num>
  <w:num w:numId="3" w16cid:durableId="871771178">
    <w:abstractNumId w:val="10"/>
  </w:num>
  <w:num w:numId="4" w16cid:durableId="359010885">
    <w:abstractNumId w:val="2"/>
  </w:num>
  <w:num w:numId="5" w16cid:durableId="894972961">
    <w:abstractNumId w:val="14"/>
  </w:num>
  <w:num w:numId="6" w16cid:durableId="399790190">
    <w:abstractNumId w:val="9"/>
  </w:num>
  <w:num w:numId="7" w16cid:durableId="522942855">
    <w:abstractNumId w:val="5"/>
  </w:num>
  <w:num w:numId="8" w16cid:durableId="512033090">
    <w:abstractNumId w:val="13"/>
  </w:num>
  <w:num w:numId="9" w16cid:durableId="818498788">
    <w:abstractNumId w:val="0"/>
  </w:num>
  <w:num w:numId="10" w16cid:durableId="2006088789">
    <w:abstractNumId w:val="4"/>
  </w:num>
  <w:num w:numId="11" w16cid:durableId="940572912">
    <w:abstractNumId w:val="6"/>
  </w:num>
  <w:num w:numId="12" w16cid:durableId="643237174">
    <w:abstractNumId w:val="3"/>
  </w:num>
  <w:num w:numId="13" w16cid:durableId="164978087">
    <w:abstractNumId w:val="7"/>
  </w:num>
  <w:num w:numId="14" w16cid:durableId="180511933">
    <w:abstractNumId w:val="8"/>
  </w:num>
  <w:num w:numId="15" w16cid:durableId="1457791300">
    <w:abstractNumId w:val="12"/>
  </w:num>
  <w:num w:numId="16" w16cid:durableId="676537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928"/>
    <w:rsid w:val="00000F6A"/>
    <w:rsid w:val="00016A9D"/>
    <w:rsid w:val="0003130A"/>
    <w:rsid w:val="000316E6"/>
    <w:rsid w:val="00057364"/>
    <w:rsid w:val="0007115A"/>
    <w:rsid w:val="0007493A"/>
    <w:rsid w:val="000812D1"/>
    <w:rsid w:val="000973C8"/>
    <w:rsid w:val="000A2AA9"/>
    <w:rsid w:val="000A56F2"/>
    <w:rsid w:val="000A6E05"/>
    <w:rsid w:val="000B12FA"/>
    <w:rsid w:val="000B3EF9"/>
    <w:rsid w:val="000C08BF"/>
    <w:rsid w:val="000C3B9A"/>
    <w:rsid w:val="000C7330"/>
    <w:rsid w:val="000C7E57"/>
    <w:rsid w:val="000D25A8"/>
    <w:rsid w:val="000E270A"/>
    <w:rsid w:val="000E2C9F"/>
    <w:rsid w:val="000E4C53"/>
    <w:rsid w:val="000E6631"/>
    <w:rsid w:val="00100560"/>
    <w:rsid w:val="00101C3E"/>
    <w:rsid w:val="00121089"/>
    <w:rsid w:val="0017612F"/>
    <w:rsid w:val="00183C2A"/>
    <w:rsid w:val="001B00EB"/>
    <w:rsid w:val="001B3D6A"/>
    <w:rsid w:val="001C363F"/>
    <w:rsid w:val="001D3FCB"/>
    <w:rsid w:val="001E225C"/>
    <w:rsid w:val="001E2A62"/>
    <w:rsid w:val="001F2819"/>
    <w:rsid w:val="001F2D2E"/>
    <w:rsid w:val="001F5A31"/>
    <w:rsid w:val="00202D1B"/>
    <w:rsid w:val="002043EC"/>
    <w:rsid w:val="00223037"/>
    <w:rsid w:val="00243DC0"/>
    <w:rsid w:val="00247477"/>
    <w:rsid w:val="00270440"/>
    <w:rsid w:val="00284C78"/>
    <w:rsid w:val="00287BC5"/>
    <w:rsid w:val="002929C9"/>
    <w:rsid w:val="00293DEE"/>
    <w:rsid w:val="002A0B5D"/>
    <w:rsid w:val="002A4E5C"/>
    <w:rsid w:val="002C7FE9"/>
    <w:rsid w:val="002D0DC5"/>
    <w:rsid w:val="002D4EFD"/>
    <w:rsid w:val="002D7D9F"/>
    <w:rsid w:val="002E5C2E"/>
    <w:rsid w:val="00316071"/>
    <w:rsid w:val="00324CC6"/>
    <w:rsid w:val="00343E5C"/>
    <w:rsid w:val="0035481B"/>
    <w:rsid w:val="00355470"/>
    <w:rsid w:val="0036017B"/>
    <w:rsid w:val="00362755"/>
    <w:rsid w:val="00363E41"/>
    <w:rsid w:val="00373B93"/>
    <w:rsid w:val="00380CD1"/>
    <w:rsid w:val="003810EF"/>
    <w:rsid w:val="00387B9A"/>
    <w:rsid w:val="00397FCB"/>
    <w:rsid w:val="003A38F0"/>
    <w:rsid w:val="003B3B2A"/>
    <w:rsid w:val="003C0532"/>
    <w:rsid w:val="003C6E49"/>
    <w:rsid w:val="003D169D"/>
    <w:rsid w:val="003D654D"/>
    <w:rsid w:val="003F069A"/>
    <w:rsid w:val="003F4329"/>
    <w:rsid w:val="00412534"/>
    <w:rsid w:val="00412C83"/>
    <w:rsid w:val="004141F6"/>
    <w:rsid w:val="0042482C"/>
    <w:rsid w:val="00426014"/>
    <w:rsid w:val="0043093E"/>
    <w:rsid w:val="00436ACD"/>
    <w:rsid w:val="00442B99"/>
    <w:rsid w:val="00446753"/>
    <w:rsid w:val="00460B7D"/>
    <w:rsid w:val="00480CB0"/>
    <w:rsid w:val="00492F7D"/>
    <w:rsid w:val="0049378A"/>
    <w:rsid w:val="004B34EA"/>
    <w:rsid w:val="004B5494"/>
    <w:rsid w:val="004B66C0"/>
    <w:rsid w:val="004C7A2B"/>
    <w:rsid w:val="004C7D3A"/>
    <w:rsid w:val="004D5AB2"/>
    <w:rsid w:val="00500F9A"/>
    <w:rsid w:val="005018A8"/>
    <w:rsid w:val="00505A39"/>
    <w:rsid w:val="005067EE"/>
    <w:rsid w:val="0052277F"/>
    <w:rsid w:val="005240BF"/>
    <w:rsid w:val="00560161"/>
    <w:rsid w:val="005648E6"/>
    <w:rsid w:val="00585390"/>
    <w:rsid w:val="005939A5"/>
    <w:rsid w:val="005A00A7"/>
    <w:rsid w:val="005A148C"/>
    <w:rsid w:val="005A723E"/>
    <w:rsid w:val="005D4969"/>
    <w:rsid w:val="00606928"/>
    <w:rsid w:val="006239CC"/>
    <w:rsid w:val="0062509A"/>
    <w:rsid w:val="00630A79"/>
    <w:rsid w:val="00632207"/>
    <w:rsid w:val="0063491C"/>
    <w:rsid w:val="00646924"/>
    <w:rsid w:val="00650B69"/>
    <w:rsid w:val="00661AFE"/>
    <w:rsid w:val="00676F1B"/>
    <w:rsid w:val="00693300"/>
    <w:rsid w:val="006952C4"/>
    <w:rsid w:val="006B1100"/>
    <w:rsid w:val="006C1F10"/>
    <w:rsid w:val="006C40F8"/>
    <w:rsid w:val="006C41FD"/>
    <w:rsid w:val="006C78BA"/>
    <w:rsid w:val="006D59EC"/>
    <w:rsid w:val="006E0DAC"/>
    <w:rsid w:val="006E5E28"/>
    <w:rsid w:val="006E6574"/>
    <w:rsid w:val="00714CF2"/>
    <w:rsid w:val="007156B9"/>
    <w:rsid w:val="00720817"/>
    <w:rsid w:val="00722850"/>
    <w:rsid w:val="00726379"/>
    <w:rsid w:val="0073353F"/>
    <w:rsid w:val="00735A91"/>
    <w:rsid w:val="00737243"/>
    <w:rsid w:val="00742E45"/>
    <w:rsid w:val="007447AF"/>
    <w:rsid w:val="00750816"/>
    <w:rsid w:val="00760B7B"/>
    <w:rsid w:val="007657C1"/>
    <w:rsid w:val="007659CA"/>
    <w:rsid w:val="0077755F"/>
    <w:rsid w:val="007949EF"/>
    <w:rsid w:val="00795EF6"/>
    <w:rsid w:val="007A406D"/>
    <w:rsid w:val="007A44F5"/>
    <w:rsid w:val="007A4955"/>
    <w:rsid w:val="007A62B0"/>
    <w:rsid w:val="007B2C24"/>
    <w:rsid w:val="007C5A0C"/>
    <w:rsid w:val="007D5172"/>
    <w:rsid w:val="007E0FEE"/>
    <w:rsid w:val="007E5E6D"/>
    <w:rsid w:val="007F2017"/>
    <w:rsid w:val="007F23F9"/>
    <w:rsid w:val="007F57D0"/>
    <w:rsid w:val="007F6F86"/>
    <w:rsid w:val="00803944"/>
    <w:rsid w:val="008339BB"/>
    <w:rsid w:val="0083594B"/>
    <w:rsid w:val="0086419A"/>
    <w:rsid w:val="0087023B"/>
    <w:rsid w:val="008721A2"/>
    <w:rsid w:val="00890648"/>
    <w:rsid w:val="008A179F"/>
    <w:rsid w:val="008B0864"/>
    <w:rsid w:val="008B7FD3"/>
    <w:rsid w:val="008C2220"/>
    <w:rsid w:val="008C7413"/>
    <w:rsid w:val="008D16B7"/>
    <w:rsid w:val="008D1D01"/>
    <w:rsid w:val="008E6AE6"/>
    <w:rsid w:val="008E743F"/>
    <w:rsid w:val="008F0116"/>
    <w:rsid w:val="008F143D"/>
    <w:rsid w:val="009055FB"/>
    <w:rsid w:val="00920E90"/>
    <w:rsid w:val="00932865"/>
    <w:rsid w:val="009345B9"/>
    <w:rsid w:val="009362BC"/>
    <w:rsid w:val="00950293"/>
    <w:rsid w:val="00952696"/>
    <w:rsid w:val="00963ABC"/>
    <w:rsid w:val="00975B3F"/>
    <w:rsid w:val="0098138E"/>
    <w:rsid w:val="0098655A"/>
    <w:rsid w:val="0099756A"/>
    <w:rsid w:val="009978F7"/>
    <w:rsid w:val="009A31CF"/>
    <w:rsid w:val="009A4668"/>
    <w:rsid w:val="009C175E"/>
    <w:rsid w:val="009D5410"/>
    <w:rsid w:val="009E7C7F"/>
    <w:rsid w:val="00A06ED3"/>
    <w:rsid w:val="00A10910"/>
    <w:rsid w:val="00A17CE0"/>
    <w:rsid w:val="00A23D48"/>
    <w:rsid w:val="00A42306"/>
    <w:rsid w:val="00A44E8D"/>
    <w:rsid w:val="00A51018"/>
    <w:rsid w:val="00A55ACD"/>
    <w:rsid w:val="00A56D09"/>
    <w:rsid w:val="00A574B9"/>
    <w:rsid w:val="00A608CB"/>
    <w:rsid w:val="00A64F3E"/>
    <w:rsid w:val="00A67C8D"/>
    <w:rsid w:val="00A82372"/>
    <w:rsid w:val="00A901F5"/>
    <w:rsid w:val="00A913C7"/>
    <w:rsid w:val="00A91D7C"/>
    <w:rsid w:val="00A94E74"/>
    <w:rsid w:val="00AB553F"/>
    <w:rsid w:val="00AB60A3"/>
    <w:rsid w:val="00AB7875"/>
    <w:rsid w:val="00AC2937"/>
    <w:rsid w:val="00AC68EE"/>
    <w:rsid w:val="00AD5F4E"/>
    <w:rsid w:val="00AE7DC1"/>
    <w:rsid w:val="00B01126"/>
    <w:rsid w:val="00B01F7E"/>
    <w:rsid w:val="00B03242"/>
    <w:rsid w:val="00B24DBC"/>
    <w:rsid w:val="00B3087D"/>
    <w:rsid w:val="00B34794"/>
    <w:rsid w:val="00B41300"/>
    <w:rsid w:val="00B43DD0"/>
    <w:rsid w:val="00B52F5A"/>
    <w:rsid w:val="00B60421"/>
    <w:rsid w:val="00B72E9D"/>
    <w:rsid w:val="00B86FFD"/>
    <w:rsid w:val="00B876C3"/>
    <w:rsid w:val="00BA5418"/>
    <w:rsid w:val="00BB0243"/>
    <w:rsid w:val="00BB7353"/>
    <w:rsid w:val="00C07A4B"/>
    <w:rsid w:val="00C10B5F"/>
    <w:rsid w:val="00C171BA"/>
    <w:rsid w:val="00C34ABA"/>
    <w:rsid w:val="00C36C79"/>
    <w:rsid w:val="00C41344"/>
    <w:rsid w:val="00C51AD4"/>
    <w:rsid w:val="00C523B7"/>
    <w:rsid w:val="00C73A16"/>
    <w:rsid w:val="00C74911"/>
    <w:rsid w:val="00C913A1"/>
    <w:rsid w:val="00C9620D"/>
    <w:rsid w:val="00CA60C2"/>
    <w:rsid w:val="00CA6796"/>
    <w:rsid w:val="00CB11EF"/>
    <w:rsid w:val="00CC6A99"/>
    <w:rsid w:val="00CD582E"/>
    <w:rsid w:val="00CF4FBD"/>
    <w:rsid w:val="00CF7DD5"/>
    <w:rsid w:val="00D00AA3"/>
    <w:rsid w:val="00D07F73"/>
    <w:rsid w:val="00D14844"/>
    <w:rsid w:val="00D2041C"/>
    <w:rsid w:val="00D25ADE"/>
    <w:rsid w:val="00D318B5"/>
    <w:rsid w:val="00D379A7"/>
    <w:rsid w:val="00D43297"/>
    <w:rsid w:val="00D44DB6"/>
    <w:rsid w:val="00D50119"/>
    <w:rsid w:val="00D50512"/>
    <w:rsid w:val="00D51DD8"/>
    <w:rsid w:val="00D723A9"/>
    <w:rsid w:val="00D81A07"/>
    <w:rsid w:val="00D82A43"/>
    <w:rsid w:val="00D95FBD"/>
    <w:rsid w:val="00DA7B5D"/>
    <w:rsid w:val="00DC6652"/>
    <w:rsid w:val="00DD58A2"/>
    <w:rsid w:val="00DF02AD"/>
    <w:rsid w:val="00DF58E7"/>
    <w:rsid w:val="00DF70B0"/>
    <w:rsid w:val="00E11876"/>
    <w:rsid w:val="00E22A05"/>
    <w:rsid w:val="00E23CBB"/>
    <w:rsid w:val="00E37B59"/>
    <w:rsid w:val="00E411EA"/>
    <w:rsid w:val="00E53438"/>
    <w:rsid w:val="00E54289"/>
    <w:rsid w:val="00E725FC"/>
    <w:rsid w:val="00E75AD4"/>
    <w:rsid w:val="00E75CC2"/>
    <w:rsid w:val="00E8209E"/>
    <w:rsid w:val="00E86F56"/>
    <w:rsid w:val="00EA2968"/>
    <w:rsid w:val="00EA36C6"/>
    <w:rsid w:val="00EC30F9"/>
    <w:rsid w:val="00EC315F"/>
    <w:rsid w:val="00ED5725"/>
    <w:rsid w:val="00ED6CAF"/>
    <w:rsid w:val="00ED7031"/>
    <w:rsid w:val="00EE3060"/>
    <w:rsid w:val="00EE4315"/>
    <w:rsid w:val="00EF26A0"/>
    <w:rsid w:val="00EF6925"/>
    <w:rsid w:val="00F00F58"/>
    <w:rsid w:val="00F063FD"/>
    <w:rsid w:val="00F076FD"/>
    <w:rsid w:val="00F14BF3"/>
    <w:rsid w:val="00F20A5C"/>
    <w:rsid w:val="00F23279"/>
    <w:rsid w:val="00F262E6"/>
    <w:rsid w:val="00F26ED3"/>
    <w:rsid w:val="00F30190"/>
    <w:rsid w:val="00F41DD5"/>
    <w:rsid w:val="00F50D26"/>
    <w:rsid w:val="00F62B7A"/>
    <w:rsid w:val="00F6397D"/>
    <w:rsid w:val="00F7293E"/>
    <w:rsid w:val="00F76650"/>
    <w:rsid w:val="00F8443F"/>
    <w:rsid w:val="00F9187B"/>
    <w:rsid w:val="00F92385"/>
    <w:rsid w:val="00FA1B4F"/>
    <w:rsid w:val="00FC47F9"/>
    <w:rsid w:val="00FD0828"/>
    <w:rsid w:val="00FE2351"/>
    <w:rsid w:val="00FE5580"/>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0BD7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customStyle="1" w:styleId="ALJBodyText">
    <w:name w:val="ALJ Body Text"/>
    <w:basedOn w:val="Normal"/>
    <w:link w:val="ALJBodyTextChar"/>
    <w:qFormat/>
    <w:rsid w:val="00A06ED3"/>
    <w:rPr>
      <w:rFonts w:cs="Times New Roman"/>
      <w:szCs w:val="20"/>
    </w:rPr>
  </w:style>
  <w:style w:type="character" w:customStyle="1" w:styleId="ALJBodyTextChar">
    <w:name w:val="ALJ Body Text Char"/>
    <w:basedOn w:val="DefaultParagraphFont"/>
    <w:link w:val="ALJBodyText"/>
    <w:rsid w:val="00A06ED3"/>
    <w:rPr>
      <w:rFonts w:ascii="Book Antiqua" w:hAnsi="Book Antiqua" w:cs="Times New Roman"/>
      <w:sz w:val="26"/>
      <w:szCs w:val="20"/>
    </w:rPr>
  </w:style>
  <w:style w:type="character" w:customStyle="1" w:styleId="UnresolvedMention1">
    <w:name w:val="Unresolved Mention1"/>
    <w:basedOn w:val="DefaultParagraphFont"/>
    <w:uiPriority w:val="99"/>
    <w:semiHidden/>
    <w:unhideWhenUsed/>
    <w:rsid w:val="00EA2968"/>
    <w:rPr>
      <w:color w:val="605E5C"/>
      <w:shd w:val="clear" w:color="auto" w:fill="E1DFDD"/>
    </w:rPr>
  </w:style>
  <w:style w:type="paragraph" w:styleId="Revision">
    <w:name w:val="Revision"/>
    <w:hidden/>
    <w:uiPriority w:val="99"/>
    <w:semiHidden/>
    <w:rsid w:val="00C74911"/>
    <w:pPr>
      <w:spacing w:after="0" w:line="240" w:lineRule="auto"/>
    </w:pPr>
    <w:rPr>
      <w:rFonts w:ascii="Book Antiqua" w:hAnsi="Book Antiqua"/>
      <w:sz w:val="26"/>
    </w:rPr>
  </w:style>
  <w:style w:type="character" w:styleId="CommentReference">
    <w:name w:val="annotation reference"/>
    <w:basedOn w:val="DefaultParagraphFont"/>
    <w:uiPriority w:val="99"/>
    <w:semiHidden/>
    <w:unhideWhenUsed/>
    <w:rsid w:val="00C34ABA"/>
    <w:rPr>
      <w:sz w:val="16"/>
      <w:szCs w:val="16"/>
    </w:rPr>
  </w:style>
  <w:style w:type="paragraph" w:styleId="CommentText">
    <w:name w:val="annotation text"/>
    <w:basedOn w:val="Normal"/>
    <w:link w:val="CommentTextChar"/>
    <w:uiPriority w:val="99"/>
    <w:semiHidden/>
    <w:unhideWhenUsed/>
    <w:rsid w:val="00C34ABA"/>
    <w:pPr>
      <w:spacing w:line="240" w:lineRule="auto"/>
    </w:pPr>
    <w:rPr>
      <w:sz w:val="20"/>
      <w:szCs w:val="20"/>
    </w:rPr>
  </w:style>
  <w:style w:type="character" w:customStyle="1" w:styleId="CommentTextChar">
    <w:name w:val="Comment Text Char"/>
    <w:basedOn w:val="DefaultParagraphFont"/>
    <w:link w:val="CommentText"/>
    <w:uiPriority w:val="99"/>
    <w:semiHidden/>
    <w:rsid w:val="00C34ABA"/>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C34ABA"/>
    <w:rPr>
      <w:b/>
      <w:bCs/>
    </w:rPr>
  </w:style>
  <w:style w:type="character" w:customStyle="1" w:styleId="CommentSubjectChar">
    <w:name w:val="Comment Subject Char"/>
    <w:basedOn w:val="CommentTextChar"/>
    <w:link w:val="CommentSubject"/>
    <w:uiPriority w:val="99"/>
    <w:semiHidden/>
    <w:rsid w:val="00C34ABA"/>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0289">
      <w:bodyDiv w:val="1"/>
      <w:marLeft w:val="0"/>
      <w:marRight w:val="0"/>
      <w:marTop w:val="0"/>
      <w:marBottom w:val="0"/>
      <w:divBdr>
        <w:top w:val="none" w:sz="0" w:space="0" w:color="auto"/>
        <w:left w:val="none" w:sz="0" w:space="0" w:color="auto"/>
        <w:bottom w:val="none" w:sz="0" w:space="0" w:color="auto"/>
        <w:right w:val="none" w:sz="0" w:space="0" w:color="auto"/>
      </w:divBdr>
    </w:div>
    <w:div w:id="1082340145">
      <w:bodyDiv w:val="1"/>
      <w:marLeft w:val="0"/>
      <w:marRight w:val="0"/>
      <w:marTop w:val="0"/>
      <w:marBottom w:val="0"/>
      <w:divBdr>
        <w:top w:val="none" w:sz="0" w:space="0" w:color="auto"/>
        <w:left w:val="none" w:sz="0" w:space="0" w:color="auto"/>
        <w:bottom w:val="none" w:sz="0" w:space="0" w:color="auto"/>
        <w:right w:val="none" w:sz="0" w:space="0" w:color="auto"/>
      </w:divBdr>
    </w:div>
    <w:div w:id="1086272011">
      <w:bodyDiv w:val="1"/>
      <w:marLeft w:val="0"/>
      <w:marRight w:val="0"/>
      <w:marTop w:val="0"/>
      <w:marBottom w:val="0"/>
      <w:divBdr>
        <w:top w:val="none" w:sz="0" w:space="0" w:color="auto"/>
        <w:left w:val="none" w:sz="0" w:space="0" w:color="auto"/>
        <w:bottom w:val="none" w:sz="0" w:space="0" w:color="auto"/>
        <w:right w:val="none" w:sz="0" w:space="0" w:color="auto"/>
      </w:divBdr>
    </w:div>
    <w:div w:id="1196776873">
      <w:bodyDiv w:val="1"/>
      <w:marLeft w:val="0"/>
      <w:marRight w:val="0"/>
      <w:marTop w:val="0"/>
      <w:marBottom w:val="0"/>
      <w:divBdr>
        <w:top w:val="none" w:sz="0" w:space="0" w:color="auto"/>
        <w:left w:val="none" w:sz="0" w:space="0" w:color="auto"/>
        <w:bottom w:val="none" w:sz="0" w:space="0" w:color="auto"/>
        <w:right w:val="none" w:sz="0" w:space="0" w:color="auto"/>
      </w:divBdr>
    </w:div>
    <w:div w:id="1315524057">
      <w:bodyDiv w:val="1"/>
      <w:marLeft w:val="0"/>
      <w:marRight w:val="0"/>
      <w:marTop w:val="0"/>
      <w:marBottom w:val="0"/>
      <w:divBdr>
        <w:top w:val="none" w:sz="0" w:space="0" w:color="auto"/>
        <w:left w:val="none" w:sz="0" w:space="0" w:color="auto"/>
        <w:bottom w:val="none" w:sz="0" w:space="0" w:color="auto"/>
        <w:right w:val="none" w:sz="0" w:space="0" w:color="auto"/>
      </w:divBdr>
    </w:div>
    <w:div w:id="1565527632">
      <w:bodyDiv w:val="1"/>
      <w:marLeft w:val="0"/>
      <w:marRight w:val="0"/>
      <w:marTop w:val="0"/>
      <w:marBottom w:val="0"/>
      <w:divBdr>
        <w:top w:val="none" w:sz="0" w:space="0" w:color="auto"/>
        <w:left w:val="none" w:sz="0" w:space="0" w:color="auto"/>
        <w:bottom w:val="none" w:sz="0" w:space="0" w:color="auto"/>
        <w:right w:val="none" w:sz="0" w:space="0" w:color="auto"/>
      </w:divBdr>
    </w:div>
    <w:div w:id="1670599428">
      <w:bodyDiv w:val="1"/>
      <w:marLeft w:val="0"/>
      <w:marRight w:val="0"/>
      <w:marTop w:val="0"/>
      <w:marBottom w:val="0"/>
      <w:divBdr>
        <w:top w:val="none" w:sz="0" w:space="0" w:color="auto"/>
        <w:left w:val="none" w:sz="0" w:space="0" w:color="auto"/>
        <w:bottom w:val="none" w:sz="0" w:space="0" w:color="auto"/>
        <w:right w:val="none" w:sz="0" w:space="0" w:color="auto"/>
      </w:divBdr>
    </w:div>
    <w:div w:id="17875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CABD-3C5D-4A12-A3FF-F1002B00E57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3079</ap:Words>
  <ap:Characters>17553</ap:Characters>
  <ap:Application>Microsoft Office Word</ap:Application>
  <ap:DocSecurity>0</ap:DocSecurity>
  <ap:Lines>146</ap:Lines>
  <ap:Paragraphs>41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20591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2021-06-14T17:41:00Z</cp:lastPrinted>
  <dcterms:created xsi:type="dcterms:W3CDTF">2022-05-26T08:45:49Z</dcterms:created>
  <dcterms:modified xsi:type="dcterms:W3CDTF">2022-05-26T08:45:49Z</dcterms:modified>
</cp:coreProperties>
</file>