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C3782" w:rsidR="001755F4" w:rsidP="001755F4" w:rsidRDefault="001755F4" w14:paraId="6AF5D323" w14:textId="0A20065C">
      <w:pPr>
        <w:pStyle w:val="Header"/>
        <w:rPr>
          <w:b/>
          <w:bCs/>
        </w:rPr>
      </w:pPr>
      <w:r>
        <w:rPr>
          <w:color w:val="000000"/>
        </w:rPr>
        <w:t>ALJ/CF1/mph</w:t>
      </w:r>
      <w:r>
        <w:rPr>
          <w:color w:val="000000"/>
        </w:rPr>
        <w:tab/>
      </w:r>
      <w:r w:rsidR="000C3782">
        <w:rPr>
          <w:color w:val="000000"/>
        </w:rPr>
        <w:tab/>
      </w:r>
      <w:r w:rsidRPr="000C3782" w:rsidR="000C3782">
        <w:rPr>
          <w:b/>
          <w:bCs/>
          <w:color w:val="000000"/>
        </w:rPr>
        <w:t>Date of Issuance 6/8/2022</w:t>
      </w:r>
    </w:p>
    <w:p w:rsidR="001755F4" w:rsidRDefault="001755F4" w14:paraId="4B371529" w14:textId="73B1D7D4">
      <w:pPr>
        <w:suppressAutoHyphens/>
        <w:rPr>
          <w:color w:val="000000"/>
        </w:rPr>
      </w:pPr>
    </w:p>
    <w:p w:rsidR="001755F4" w:rsidRDefault="001755F4" w14:paraId="28DF65D0" w14:textId="77777777">
      <w:pPr>
        <w:suppressAutoHyphens/>
        <w:rPr>
          <w:color w:val="000000"/>
        </w:rPr>
      </w:pPr>
    </w:p>
    <w:p w:rsidR="001755F4" w:rsidRDefault="001755F4" w14:paraId="5F8804DA" w14:textId="77777777">
      <w:pPr>
        <w:suppressAutoHyphens/>
        <w:rPr>
          <w:color w:val="000000"/>
        </w:rPr>
      </w:pPr>
    </w:p>
    <w:p w:rsidR="00A92D0B" w:rsidRDefault="00A92D0B" w14:paraId="1790928C" w14:textId="3D61B1DD">
      <w:pPr>
        <w:suppressAutoHyphens/>
        <w:rPr>
          <w:color w:val="000000"/>
          <w:u w:val="single"/>
        </w:rPr>
      </w:pPr>
      <w:r w:rsidRPr="00AB1866">
        <w:rPr>
          <w:color w:val="000000"/>
        </w:rPr>
        <w:t xml:space="preserve">Decision </w:t>
      </w:r>
      <w:r w:rsidR="000C3782">
        <w:rPr>
          <w:color w:val="000000"/>
        </w:rPr>
        <w:t>22-06-017  June 2, 2022</w:t>
      </w:r>
    </w:p>
    <w:p w:rsidRPr="00AB1866" w:rsidR="001755F4" w:rsidRDefault="001755F4" w14:paraId="10372D43" w14:textId="77777777">
      <w:pPr>
        <w:suppressAutoHyphens/>
        <w:rPr>
          <w:color w:val="000000"/>
        </w:rPr>
      </w:pPr>
    </w:p>
    <w:p w:rsidRPr="00AB1866" w:rsidR="00A92D0B" w:rsidRDefault="00A92D0B" w14:paraId="2052B26B" w14:textId="77777777">
      <w:pPr>
        <w:pStyle w:val="titlebar"/>
        <w:rPr>
          <w:rFonts w:ascii="Times New Roman" w:hAnsi="Times New Roman"/>
          <w:color w:val="000000"/>
          <w:sz w:val="22"/>
          <w:szCs w:val="22"/>
        </w:rPr>
      </w:pPr>
    </w:p>
    <w:p w:rsidRPr="00AB1866" w:rsidR="00A92D0B" w:rsidRDefault="00A92D0B" w14:paraId="1F937722" w14:textId="77777777">
      <w:pPr>
        <w:pStyle w:val="titlebar"/>
        <w:rPr>
          <w:rFonts w:ascii="Times New Roman" w:hAnsi="Times New Roman"/>
          <w:color w:val="000000"/>
          <w:sz w:val="22"/>
          <w:szCs w:val="22"/>
        </w:rPr>
      </w:pPr>
      <w:r w:rsidRPr="00AB1866">
        <w:rPr>
          <w:rFonts w:ascii="Times New Roman" w:hAnsi="Times New Roman"/>
          <w:color w:val="000000"/>
          <w:sz w:val="22"/>
          <w:szCs w:val="22"/>
        </w:rPr>
        <w:t>BEFORE THE PUBLIC UTILITIES COMMISSION OF THE STATE OF CALIFORNIA</w:t>
      </w:r>
    </w:p>
    <w:p w:rsidRPr="00AB1866" w:rsidR="00A92D0B" w:rsidRDefault="00A92D0B" w14:paraId="774E1908" w14:textId="77777777">
      <w:pPr>
        <w:suppressAutoHyphens/>
        <w:rPr>
          <w:color w:val="000000"/>
        </w:rPr>
      </w:pPr>
    </w:p>
    <w:tbl>
      <w:tblPr>
        <w:tblW w:w="9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860"/>
        <w:gridCol w:w="4968"/>
      </w:tblGrid>
      <w:tr w:rsidRPr="00AB1866" w:rsidR="00A92D0B" w:rsidTr="00884E1F" w14:paraId="1DB99005" w14:textId="77777777">
        <w:tc>
          <w:tcPr>
            <w:tcW w:w="4860" w:type="dxa"/>
            <w:tcBorders>
              <w:top w:val="nil"/>
              <w:left w:val="nil"/>
            </w:tcBorders>
            <w:shd w:val="clear" w:color="auto" w:fill="auto"/>
          </w:tcPr>
          <w:p w:rsidRPr="00AB1866" w:rsidR="002615CE" w:rsidRDefault="003F7844" w14:paraId="0A234544" w14:textId="77777777">
            <w:pPr>
              <w:tabs>
                <w:tab w:val="left" w:pos="1440"/>
                <w:tab w:val="left" w:pos="3600"/>
              </w:tabs>
              <w:rPr>
                <w:color w:val="000000"/>
              </w:rPr>
            </w:pPr>
            <w:r w:rsidRPr="00AB1866">
              <w:rPr>
                <w:color w:val="000000"/>
              </w:rPr>
              <w:t xml:space="preserve">Order Instituting Rulemaking to </w:t>
            </w:r>
            <w:r w:rsidRPr="00AB1866" w:rsidR="00246294">
              <w:rPr>
                <w:color w:val="000000"/>
              </w:rPr>
              <w:t>Implement Electric Utility Wildfire Mitigation Plans Pursuant to Senate Bill 901 (2018).</w:t>
            </w:r>
          </w:p>
          <w:p w:rsidRPr="00AB1866" w:rsidR="00A92D0B" w:rsidRDefault="00A92D0B" w14:paraId="0624F0D6" w14:textId="77777777">
            <w:pPr>
              <w:rPr>
                <w:color w:val="000000"/>
              </w:rPr>
            </w:pPr>
          </w:p>
        </w:tc>
        <w:tc>
          <w:tcPr>
            <w:tcW w:w="4968" w:type="dxa"/>
            <w:tcBorders>
              <w:top w:val="nil"/>
              <w:bottom w:val="nil"/>
              <w:right w:val="nil"/>
            </w:tcBorders>
            <w:shd w:val="clear" w:color="auto" w:fill="auto"/>
          </w:tcPr>
          <w:p w:rsidR="00884E1F" w:rsidP="00884E1F" w:rsidRDefault="00884E1F" w14:paraId="57C2D033" w14:textId="77777777">
            <w:pPr>
              <w:tabs>
                <w:tab w:val="left" w:pos="1440"/>
                <w:tab w:val="left" w:pos="3600"/>
              </w:tabs>
              <w:jc w:val="center"/>
              <w:rPr>
                <w:color w:val="000000"/>
              </w:rPr>
            </w:pPr>
          </w:p>
          <w:p w:rsidRPr="00AB1866" w:rsidR="00A92D0B" w:rsidP="00884E1F" w:rsidRDefault="003F7844" w14:paraId="5237FEE2" w14:textId="673E2FF6">
            <w:pPr>
              <w:tabs>
                <w:tab w:val="left" w:pos="1440"/>
                <w:tab w:val="left" w:pos="3600"/>
              </w:tabs>
              <w:jc w:val="center"/>
              <w:rPr>
                <w:color w:val="000000"/>
              </w:rPr>
            </w:pPr>
            <w:r w:rsidRPr="00AB1866">
              <w:rPr>
                <w:color w:val="000000"/>
              </w:rPr>
              <w:t>Rulemaking</w:t>
            </w:r>
            <w:r w:rsidRPr="00AB1866" w:rsidR="002615CE">
              <w:rPr>
                <w:color w:val="000000"/>
              </w:rPr>
              <w:t xml:space="preserve"> </w:t>
            </w:r>
            <w:r w:rsidRPr="00AB1866" w:rsidR="00902D65">
              <w:rPr>
                <w:color w:val="000000"/>
              </w:rPr>
              <w:t>1</w:t>
            </w:r>
            <w:r w:rsidRPr="00AB1866" w:rsidR="00A37042">
              <w:rPr>
                <w:color w:val="000000"/>
              </w:rPr>
              <w:t>8</w:t>
            </w:r>
            <w:r w:rsidRPr="00AB1866" w:rsidR="002615CE">
              <w:rPr>
                <w:color w:val="000000"/>
              </w:rPr>
              <w:t>-</w:t>
            </w:r>
            <w:r w:rsidRPr="00AB1866" w:rsidR="00A37042">
              <w:rPr>
                <w:color w:val="000000"/>
              </w:rPr>
              <w:t>1</w:t>
            </w:r>
            <w:r w:rsidRPr="00AB1866" w:rsidR="001A3289">
              <w:rPr>
                <w:color w:val="000000"/>
              </w:rPr>
              <w:t>0</w:t>
            </w:r>
            <w:r w:rsidRPr="00AB1866" w:rsidR="002615CE">
              <w:rPr>
                <w:color w:val="000000"/>
              </w:rPr>
              <w:t>-0</w:t>
            </w:r>
            <w:r w:rsidRPr="00AB1866" w:rsidR="00FE38C2">
              <w:rPr>
                <w:color w:val="000000"/>
              </w:rPr>
              <w:t>0</w:t>
            </w:r>
            <w:r w:rsidRPr="00AB1866" w:rsidR="004561CB">
              <w:rPr>
                <w:color w:val="000000"/>
              </w:rPr>
              <w:t>7</w:t>
            </w:r>
          </w:p>
          <w:p w:rsidRPr="00AB1866" w:rsidR="00A92D0B" w:rsidP="003F7844" w:rsidRDefault="00A92D0B" w14:paraId="0F752FDB" w14:textId="77777777">
            <w:pPr>
              <w:tabs>
                <w:tab w:val="left" w:pos="1440"/>
                <w:tab w:val="left" w:pos="3600"/>
              </w:tabs>
              <w:rPr>
                <w:color w:val="000000"/>
              </w:rPr>
            </w:pPr>
          </w:p>
        </w:tc>
      </w:tr>
    </w:tbl>
    <w:p w:rsidRPr="00AB1866" w:rsidR="00FC72B7" w:rsidRDefault="00FC72B7" w14:paraId="72D6D0C7" w14:textId="77777777">
      <w:pPr>
        <w:jc w:val="center"/>
        <w:rPr>
          <w:b/>
          <w:color w:val="000000"/>
        </w:rPr>
      </w:pPr>
    </w:p>
    <w:p w:rsidRPr="00AB1866" w:rsidR="00AB62EB" w:rsidP="00AB62EB" w:rsidRDefault="00AB62EB" w14:paraId="36144EA4" w14:textId="7312D02B">
      <w:pPr>
        <w:jc w:val="center"/>
        <w:rPr>
          <w:b/>
          <w:color w:val="000000"/>
          <w:shd w:val="clear" w:color="auto" w:fill="CCFFCC"/>
        </w:rPr>
      </w:pPr>
      <w:r w:rsidRPr="00AB1866">
        <w:rPr>
          <w:b/>
          <w:color w:val="000000"/>
        </w:rPr>
        <w:t xml:space="preserve">DECISION GRANTING COMPENSATION TO THE </w:t>
      </w:r>
      <w:r w:rsidRPr="00AB1866" w:rsidR="00566FBA">
        <w:rPr>
          <w:b/>
          <w:color w:val="000000"/>
        </w:rPr>
        <w:t>GREEN POWER INSTITUTE</w:t>
      </w:r>
      <w:r w:rsidRPr="00AB1866">
        <w:rPr>
          <w:b/>
          <w:color w:val="000000"/>
        </w:rPr>
        <w:t xml:space="preserve"> FOR </w:t>
      </w:r>
      <w:r w:rsidRPr="00AB1866" w:rsidR="007E193F">
        <w:rPr>
          <w:b/>
          <w:color w:val="000000"/>
        </w:rPr>
        <w:t xml:space="preserve">SUBSTANTIAL </w:t>
      </w:r>
      <w:r w:rsidRPr="00AB1866">
        <w:rPr>
          <w:b/>
          <w:color w:val="000000"/>
        </w:rPr>
        <w:t xml:space="preserve">CONTRIBUTION TO DECISIONS </w:t>
      </w:r>
      <w:r w:rsidRPr="00AB1866" w:rsidR="007E193F">
        <w:rPr>
          <w:b/>
          <w:color w:val="000000"/>
        </w:rPr>
        <w:t>(D.)</w:t>
      </w:r>
      <w:r w:rsidRPr="00AB1866">
        <w:rPr>
          <w:b/>
          <w:color w:val="000000"/>
        </w:rPr>
        <w:t xml:space="preserve">19-05-036, </w:t>
      </w:r>
      <w:r w:rsidR="00E552F9">
        <w:rPr>
          <w:b/>
          <w:color w:val="000000"/>
        </w:rPr>
        <w:br/>
      </w:r>
      <w:r w:rsidRPr="00AB1866" w:rsidR="007E193F">
        <w:rPr>
          <w:b/>
          <w:color w:val="000000"/>
        </w:rPr>
        <w:t>D.</w:t>
      </w:r>
      <w:r w:rsidRPr="00AB1866">
        <w:rPr>
          <w:b/>
          <w:color w:val="000000"/>
        </w:rPr>
        <w:t xml:space="preserve">19-05-037, AND </w:t>
      </w:r>
      <w:r w:rsidRPr="00AB1866" w:rsidR="007E193F">
        <w:rPr>
          <w:b/>
          <w:color w:val="000000"/>
        </w:rPr>
        <w:t>D.</w:t>
      </w:r>
      <w:r w:rsidRPr="00AB1866">
        <w:rPr>
          <w:b/>
          <w:color w:val="000000"/>
        </w:rPr>
        <w:t>19-05-038</w:t>
      </w:r>
    </w:p>
    <w:p w:rsidRPr="00AB1866" w:rsidR="00A92D0B" w:rsidRDefault="00A92D0B" w14:paraId="4419B63B" w14:textId="77777777">
      <w:pPr>
        <w:suppressAutoHyphens/>
        <w:rPr>
          <w:color w:val="000000"/>
        </w:rPr>
      </w:pPr>
    </w:p>
    <w:tbl>
      <w:tblPr>
        <w:tblW w:w="9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585"/>
        <w:gridCol w:w="5243"/>
      </w:tblGrid>
      <w:tr w:rsidRPr="00AB1866" w:rsidR="00A92D0B" w:rsidTr="007F1C9A" w14:paraId="1C138101" w14:textId="77777777">
        <w:tc>
          <w:tcPr>
            <w:tcW w:w="4585" w:type="dxa"/>
            <w:shd w:val="clear" w:color="auto" w:fill="auto"/>
          </w:tcPr>
          <w:p w:rsidR="00A92D0B" w:rsidP="00A92D0B" w:rsidRDefault="005A63D4" w14:paraId="687CA6DB" w14:textId="77777777">
            <w:pPr>
              <w:tabs>
                <w:tab w:val="left" w:pos="1620"/>
                <w:tab w:val="right" w:pos="4500"/>
              </w:tabs>
              <w:spacing w:before="120"/>
              <w:rPr>
                <w:b/>
                <w:color w:val="000000"/>
                <w:sz w:val="22"/>
                <w:szCs w:val="22"/>
              </w:rPr>
            </w:pPr>
            <w:r w:rsidRPr="00AB1866">
              <w:rPr>
                <w:b/>
                <w:color w:val="000000"/>
                <w:sz w:val="22"/>
                <w:szCs w:val="22"/>
              </w:rPr>
              <w:t>Intervenor</w:t>
            </w:r>
            <w:r w:rsidRPr="00AB1866" w:rsidR="00A92D0B">
              <w:rPr>
                <w:b/>
                <w:color w:val="000000"/>
                <w:sz w:val="22"/>
                <w:szCs w:val="22"/>
              </w:rPr>
              <w:t>:</w:t>
            </w:r>
            <w:r w:rsidRPr="00AB1866" w:rsidR="002615CE">
              <w:rPr>
                <w:b/>
                <w:color w:val="000000"/>
                <w:sz w:val="22"/>
                <w:szCs w:val="22"/>
              </w:rPr>
              <w:t xml:space="preserve">  Green Power Institute</w:t>
            </w:r>
          </w:p>
          <w:p w:rsidRPr="00AB1866" w:rsidR="00884E1F" w:rsidP="00A92D0B" w:rsidRDefault="00884E1F" w14:paraId="2970C84E" w14:textId="699A88BD">
            <w:pPr>
              <w:tabs>
                <w:tab w:val="left" w:pos="1620"/>
                <w:tab w:val="right" w:pos="4500"/>
              </w:tabs>
              <w:spacing w:before="120"/>
              <w:rPr>
                <w:b/>
                <w:color w:val="000000"/>
                <w:sz w:val="22"/>
                <w:szCs w:val="22"/>
              </w:rPr>
            </w:pPr>
          </w:p>
        </w:tc>
        <w:tc>
          <w:tcPr>
            <w:tcW w:w="5243" w:type="dxa"/>
            <w:shd w:val="clear" w:color="auto" w:fill="auto"/>
          </w:tcPr>
          <w:p w:rsidR="00A92D0B" w:rsidP="00246294" w:rsidRDefault="00A92D0B" w14:paraId="2E2AFC96" w14:textId="7D7DE22F">
            <w:pPr>
              <w:tabs>
                <w:tab w:val="left" w:pos="1872"/>
                <w:tab w:val="right" w:pos="3672"/>
              </w:tabs>
              <w:spacing w:before="120"/>
              <w:rPr>
                <w:b/>
                <w:color w:val="000000"/>
                <w:sz w:val="22"/>
                <w:szCs w:val="22"/>
              </w:rPr>
            </w:pPr>
            <w:r w:rsidRPr="00AB1866">
              <w:rPr>
                <w:b/>
                <w:color w:val="000000"/>
                <w:sz w:val="22"/>
                <w:szCs w:val="22"/>
              </w:rPr>
              <w:t>For contribution to D</w:t>
            </w:r>
            <w:r w:rsidRPr="00AB1866" w:rsidR="00DE3A5D">
              <w:rPr>
                <w:b/>
                <w:color w:val="000000"/>
                <w:sz w:val="22"/>
                <w:szCs w:val="22"/>
              </w:rPr>
              <w:t>ecision</w:t>
            </w:r>
            <w:r w:rsidRPr="00AB1866" w:rsidR="00246294">
              <w:rPr>
                <w:b/>
                <w:color w:val="000000"/>
                <w:sz w:val="22"/>
                <w:szCs w:val="22"/>
              </w:rPr>
              <w:t>s</w:t>
            </w:r>
            <w:r w:rsidRPr="00AB1866" w:rsidR="00DE3A5D">
              <w:rPr>
                <w:b/>
                <w:color w:val="000000"/>
                <w:sz w:val="22"/>
                <w:szCs w:val="22"/>
              </w:rPr>
              <w:t xml:space="preserve"> </w:t>
            </w:r>
            <w:r w:rsidRPr="00AB1866" w:rsidR="00B70505">
              <w:rPr>
                <w:b/>
                <w:color w:val="000000"/>
                <w:sz w:val="22"/>
                <w:szCs w:val="22"/>
              </w:rPr>
              <w:t>(</w:t>
            </w:r>
            <w:r w:rsidRPr="00AB1866" w:rsidR="00AF61E6">
              <w:rPr>
                <w:b/>
                <w:color w:val="000000"/>
                <w:sz w:val="22"/>
                <w:szCs w:val="22"/>
              </w:rPr>
              <w:t>D</w:t>
            </w:r>
            <w:r w:rsidRPr="00AB1866" w:rsidR="004B7B37">
              <w:rPr>
                <w:b/>
                <w:color w:val="000000"/>
                <w:sz w:val="22"/>
                <w:szCs w:val="22"/>
              </w:rPr>
              <w:t>.</w:t>
            </w:r>
            <w:r w:rsidRPr="00AB1866" w:rsidR="00B70505">
              <w:rPr>
                <w:b/>
                <w:color w:val="000000"/>
                <w:sz w:val="22"/>
                <w:szCs w:val="22"/>
              </w:rPr>
              <w:t xml:space="preserve">) </w:t>
            </w:r>
            <w:r w:rsidRPr="00AB1866" w:rsidR="004B7B37">
              <w:rPr>
                <w:b/>
                <w:color w:val="000000"/>
                <w:sz w:val="22"/>
                <w:szCs w:val="22"/>
              </w:rPr>
              <w:t>1</w:t>
            </w:r>
            <w:r w:rsidRPr="00AB1866" w:rsidR="00C13E40">
              <w:rPr>
                <w:b/>
                <w:color w:val="000000"/>
                <w:sz w:val="22"/>
                <w:szCs w:val="22"/>
              </w:rPr>
              <w:t>9</w:t>
            </w:r>
            <w:r w:rsidRPr="00AB1866" w:rsidR="006B6EED">
              <w:rPr>
                <w:b/>
                <w:color w:val="000000"/>
                <w:sz w:val="22"/>
                <w:szCs w:val="22"/>
              </w:rPr>
              <w:t>-</w:t>
            </w:r>
            <w:r w:rsidRPr="00AB1866" w:rsidR="00C13E40">
              <w:rPr>
                <w:b/>
                <w:color w:val="000000"/>
                <w:sz w:val="22"/>
                <w:szCs w:val="22"/>
              </w:rPr>
              <w:t>0</w:t>
            </w:r>
            <w:r w:rsidRPr="00AB1866" w:rsidR="00246294">
              <w:rPr>
                <w:b/>
                <w:color w:val="000000"/>
                <w:sz w:val="22"/>
                <w:szCs w:val="22"/>
              </w:rPr>
              <w:t>5</w:t>
            </w:r>
            <w:r w:rsidRPr="00AB1866" w:rsidR="0068131B">
              <w:rPr>
                <w:b/>
                <w:color w:val="000000"/>
                <w:sz w:val="22"/>
                <w:szCs w:val="22"/>
              </w:rPr>
              <w:t>-0</w:t>
            </w:r>
            <w:r w:rsidRPr="00AB1866" w:rsidR="00246294">
              <w:rPr>
                <w:b/>
                <w:color w:val="000000"/>
                <w:sz w:val="22"/>
                <w:szCs w:val="22"/>
              </w:rPr>
              <w:t xml:space="preserve">36, </w:t>
            </w:r>
            <w:r w:rsidR="007F1C9A">
              <w:rPr>
                <w:b/>
                <w:color w:val="000000"/>
                <w:sz w:val="22"/>
                <w:szCs w:val="22"/>
              </w:rPr>
              <w:br/>
            </w:r>
            <w:r w:rsidRPr="00AB1866" w:rsidR="00246294">
              <w:rPr>
                <w:b/>
                <w:color w:val="000000"/>
                <w:sz w:val="22"/>
                <w:szCs w:val="22"/>
              </w:rPr>
              <w:t>D.19-05-037, D.19-05-038</w:t>
            </w:r>
          </w:p>
          <w:p w:rsidRPr="00AB1866" w:rsidR="00884E1F" w:rsidP="00246294" w:rsidRDefault="00884E1F" w14:paraId="66C12E20" w14:textId="111A047D">
            <w:pPr>
              <w:tabs>
                <w:tab w:val="left" w:pos="1872"/>
                <w:tab w:val="right" w:pos="3672"/>
              </w:tabs>
              <w:spacing w:before="120"/>
              <w:rPr>
                <w:b/>
                <w:color w:val="000000"/>
                <w:sz w:val="22"/>
                <w:szCs w:val="22"/>
              </w:rPr>
            </w:pPr>
          </w:p>
        </w:tc>
      </w:tr>
      <w:tr w:rsidRPr="00AB1866" w:rsidR="00A92D0B" w:rsidTr="007F1C9A" w14:paraId="6D70F282" w14:textId="77777777">
        <w:tc>
          <w:tcPr>
            <w:tcW w:w="4585" w:type="dxa"/>
            <w:shd w:val="clear" w:color="auto" w:fill="auto"/>
          </w:tcPr>
          <w:p w:rsidR="00B03F74" w:rsidP="00B03F74" w:rsidRDefault="00A92D0B" w14:paraId="35B7289A" w14:textId="77777777">
            <w:pPr>
              <w:tabs>
                <w:tab w:val="left" w:pos="1620"/>
                <w:tab w:val="right" w:pos="4500"/>
              </w:tabs>
              <w:spacing w:before="120"/>
              <w:rPr>
                <w:b/>
                <w:color w:val="000000"/>
                <w:sz w:val="22"/>
                <w:szCs w:val="22"/>
              </w:rPr>
            </w:pPr>
            <w:r w:rsidRPr="00AB1866">
              <w:rPr>
                <w:b/>
                <w:color w:val="000000"/>
                <w:sz w:val="22"/>
                <w:szCs w:val="22"/>
              </w:rPr>
              <w:t>Claimed:</w:t>
            </w:r>
            <w:r w:rsidRPr="00AB1866" w:rsidR="00FC72B7">
              <w:rPr>
                <w:b/>
                <w:color w:val="000000"/>
                <w:sz w:val="22"/>
                <w:szCs w:val="22"/>
              </w:rPr>
              <w:t xml:space="preserve"> </w:t>
            </w:r>
            <w:r w:rsidRPr="00AB1866" w:rsidR="008C1FDC">
              <w:rPr>
                <w:b/>
                <w:color w:val="000000"/>
                <w:sz w:val="22"/>
                <w:szCs w:val="22"/>
              </w:rPr>
              <w:t xml:space="preserve"> </w:t>
            </w:r>
            <w:r w:rsidRPr="00AB1866" w:rsidR="00FC72B7">
              <w:rPr>
                <w:b/>
                <w:color w:val="000000"/>
                <w:sz w:val="22"/>
                <w:szCs w:val="22"/>
              </w:rPr>
              <w:t>$</w:t>
            </w:r>
            <w:r w:rsidRPr="00AB1866" w:rsidR="00B03F74">
              <w:rPr>
                <w:b/>
                <w:color w:val="000000"/>
                <w:sz w:val="22"/>
                <w:szCs w:val="22"/>
              </w:rPr>
              <w:t>45,364</w:t>
            </w:r>
          </w:p>
          <w:p w:rsidRPr="00AB1866" w:rsidR="00884E1F" w:rsidP="00B03F74" w:rsidRDefault="00884E1F" w14:paraId="3348D51C" w14:textId="4228E3C7">
            <w:pPr>
              <w:tabs>
                <w:tab w:val="left" w:pos="1620"/>
                <w:tab w:val="right" w:pos="4500"/>
              </w:tabs>
              <w:spacing w:before="120"/>
              <w:rPr>
                <w:b/>
                <w:color w:val="000000"/>
                <w:sz w:val="22"/>
                <w:szCs w:val="22"/>
              </w:rPr>
            </w:pPr>
          </w:p>
        </w:tc>
        <w:tc>
          <w:tcPr>
            <w:tcW w:w="5243" w:type="dxa"/>
            <w:tcBorders>
              <w:bottom w:val="single" w:color="auto" w:sz="4" w:space="0"/>
            </w:tcBorders>
            <w:shd w:val="clear" w:color="auto" w:fill="auto"/>
          </w:tcPr>
          <w:p w:rsidR="00A92D0B" w:rsidP="00FC72B7" w:rsidRDefault="00A92D0B" w14:paraId="0A016E97" w14:textId="77777777">
            <w:pPr>
              <w:tabs>
                <w:tab w:val="left" w:pos="1872"/>
                <w:tab w:val="right" w:pos="3672"/>
              </w:tabs>
              <w:spacing w:before="120"/>
              <w:rPr>
                <w:b/>
                <w:color w:val="000000"/>
                <w:sz w:val="22"/>
                <w:szCs w:val="22"/>
              </w:rPr>
            </w:pPr>
            <w:r w:rsidRPr="00AB1866">
              <w:rPr>
                <w:b/>
                <w:color w:val="000000"/>
                <w:sz w:val="22"/>
                <w:szCs w:val="22"/>
              </w:rPr>
              <w:t>Awarded:</w:t>
            </w:r>
            <w:r w:rsidRPr="00AB1866" w:rsidR="00FC72B7">
              <w:rPr>
                <w:b/>
                <w:color w:val="000000"/>
                <w:sz w:val="22"/>
                <w:szCs w:val="22"/>
              </w:rPr>
              <w:t xml:space="preserve">  </w:t>
            </w:r>
            <w:r w:rsidRPr="00EB6AD9" w:rsidR="00EB6AD9">
              <w:rPr>
                <w:b/>
                <w:color w:val="000000"/>
                <w:sz w:val="22"/>
                <w:szCs w:val="22"/>
              </w:rPr>
              <w:t>$36,664.13</w:t>
            </w:r>
          </w:p>
          <w:p w:rsidRPr="00AB1866" w:rsidR="00884E1F" w:rsidP="00FC72B7" w:rsidRDefault="00884E1F" w14:paraId="0C247388" w14:textId="4E9D7795">
            <w:pPr>
              <w:tabs>
                <w:tab w:val="left" w:pos="1872"/>
                <w:tab w:val="right" w:pos="3672"/>
              </w:tabs>
              <w:spacing w:before="120"/>
              <w:rPr>
                <w:b/>
                <w:color w:val="000000"/>
                <w:sz w:val="22"/>
                <w:szCs w:val="22"/>
                <w:u w:val="single"/>
              </w:rPr>
            </w:pPr>
          </w:p>
        </w:tc>
      </w:tr>
      <w:tr w:rsidRPr="00AB1866" w:rsidR="00A92D0B" w:rsidTr="007F1C9A" w14:paraId="5C76B440" w14:textId="77777777">
        <w:tc>
          <w:tcPr>
            <w:tcW w:w="4585" w:type="dxa"/>
            <w:shd w:val="clear" w:color="auto" w:fill="auto"/>
          </w:tcPr>
          <w:p w:rsidR="00A92D0B" w:rsidP="00246294" w:rsidRDefault="00A92D0B" w14:paraId="3A3CD08D" w14:textId="77777777">
            <w:pPr>
              <w:tabs>
                <w:tab w:val="left" w:pos="3060"/>
                <w:tab w:val="right" w:pos="4500"/>
              </w:tabs>
              <w:spacing w:before="120"/>
              <w:rPr>
                <w:b/>
                <w:color w:val="000000"/>
                <w:sz w:val="22"/>
                <w:szCs w:val="22"/>
              </w:rPr>
            </w:pPr>
            <w:r w:rsidRPr="00AB1866">
              <w:rPr>
                <w:b/>
                <w:color w:val="000000"/>
                <w:sz w:val="22"/>
                <w:szCs w:val="22"/>
              </w:rPr>
              <w:t xml:space="preserve">Assigned Commissioner:  </w:t>
            </w:r>
            <w:r w:rsidRPr="00AB1866" w:rsidR="00D04D4A">
              <w:rPr>
                <w:b/>
                <w:color w:val="000000"/>
                <w:sz w:val="22"/>
                <w:szCs w:val="22"/>
              </w:rPr>
              <w:t>Alice Reynolds</w:t>
            </w:r>
            <w:r w:rsidRPr="00AB1866" w:rsidR="00D04D4A">
              <w:rPr>
                <w:rStyle w:val="FootnoteReference"/>
                <w:b/>
                <w:color w:val="000000"/>
                <w:sz w:val="22"/>
                <w:szCs w:val="22"/>
              </w:rPr>
              <w:footnoteReference w:id="1"/>
            </w:r>
          </w:p>
          <w:p w:rsidRPr="00AB1866" w:rsidR="00884E1F" w:rsidP="00246294" w:rsidRDefault="00884E1F" w14:paraId="211457B8" w14:textId="606FC09A">
            <w:pPr>
              <w:tabs>
                <w:tab w:val="left" w:pos="3060"/>
                <w:tab w:val="right" w:pos="4500"/>
              </w:tabs>
              <w:spacing w:before="120"/>
              <w:rPr>
                <w:b/>
                <w:color w:val="000000"/>
                <w:sz w:val="22"/>
                <w:szCs w:val="22"/>
                <w:u w:val="single"/>
              </w:rPr>
            </w:pPr>
          </w:p>
        </w:tc>
        <w:tc>
          <w:tcPr>
            <w:tcW w:w="5243" w:type="dxa"/>
            <w:shd w:val="clear" w:color="auto" w:fill="auto"/>
          </w:tcPr>
          <w:p w:rsidR="00A92D0B" w:rsidP="00246294" w:rsidRDefault="00A92D0B" w14:paraId="515D51F5" w14:textId="77777777">
            <w:pPr>
              <w:tabs>
                <w:tab w:val="left" w:pos="1872"/>
                <w:tab w:val="right" w:pos="3672"/>
              </w:tabs>
              <w:spacing w:before="120"/>
              <w:rPr>
                <w:b/>
                <w:color w:val="000000"/>
                <w:sz w:val="22"/>
                <w:szCs w:val="22"/>
              </w:rPr>
            </w:pPr>
            <w:r w:rsidRPr="00AB1866">
              <w:rPr>
                <w:b/>
                <w:color w:val="000000"/>
                <w:sz w:val="22"/>
                <w:szCs w:val="22"/>
              </w:rPr>
              <w:t>Assigned ALJ:</w:t>
            </w:r>
            <w:r w:rsidRPr="00AB1866" w:rsidR="00B70505">
              <w:rPr>
                <w:b/>
                <w:color w:val="000000"/>
                <w:sz w:val="22"/>
                <w:szCs w:val="22"/>
              </w:rPr>
              <w:t xml:space="preserve"> </w:t>
            </w:r>
            <w:r w:rsidRPr="00AB1866" w:rsidR="00DE55D7">
              <w:rPr>
                <w:b/>
                <w:color w:val="000000"/>
                <w:sz w:val="22"/>
                <w:szCs w:val="22"/>
              </w:rPr>
              <w:t xml:space="preserve"> </w:t>
            </w:r>
            <w:r w:rsidRPr="00AB1866" w:rsidR="00D04D4A">
              <w:rPr>
                <w:b/>
                <w:color w:val="000000"/>
                <w:sz w:val="22"/>
                <w:szCs w:val="22"/>
              </w:rPr>
              <w:t>Cathleen Fogel</w:t>
            </w:r>
            <w:r w:rsidRPr="00AB1866" w:rsidR="00D04D4A">
              <w:rPr>
                <w:rStyle w:val="FootnoteReference"/>
                <w:b/>
                <w:color w:val="000000"/>
                <w:sz w:val="22"/>
                <w:szCs w:val="22"/>
              </w:rPr>
              <w:footnoteReference w:id="2"/>
            </w:r>
          </w:p>
          <w:p w:rsidRPr="00AB1866" w:rsidR="00884E1F" w:rsidP="00246294" w:rsidRDefault="00884E1F" w14:paraId="2475F64D" w14:textId="4A198DAF">
            <w:pPr>
              <w:tabs>
                <w:tab w:val="left" w:pos="1872"/>
                <w:tab w:val="right" w:pos="3672"/>
              </w:tabs>
              <w:spacing w:before="120"/>
              <w:rPr>
                <w:b/>
                <w:color w:val="000000"/>
                <w:sz w:val="22"/>
                <w:szCs w:val="22"/>
                <w:u w:val="single"/>
              </w:rPr>
            </w:pPr>
          </w:p>
        </w:tc>
      </w:tr>
    </w:tbl>
    <w:p w:rsidR="006E2F4C" w:rsidRDefault="006E2F4C" w14:paraId="635A3DC2" w14:textId="77777777">
      <w:pPr>
        <w:rPr>
          <w:b/>
          <w:color w:val="000000"/>
        </w:rPr>
        <w:sectPr w:rsidR="006E2F4C" w:rsidSect="009C6490">
          <w:footerReference w:type="default" r:id="rId8"/>
          <w:pgSz w:w="12240" w:h="15840"/>
          <w:pgMar w:top="1440" w:right="1440" w:bottom="1440" w:left="1440" w:header="720" w:footer="720" w:gutter="0"/>
          <w:pgNumType w:fmt="numberInDash"/>
          <w:cols w:space="720"/>
          <w:docGrid w:linePitch="360"/>
        </w:sectPr>
      </w:pPr>
    </w:p>
    <w:p w:rsidRPr="00AB1866" w:rsidR="004561CB" w:rsidRDefault="004561CB" w14:paraId="50EDD1A4" w14:textId="77777777">
      <w:pPr>
        <w:rPr>
          <w:b/>
          <w:color w:val="000000"/>
        </w:rPr>
      </w:pPr>
    </w:p>
    <w:p w:rsidRPr="00AB1866" w:rsidR="00A92D0B" w:rsidRDefault="00A92D0B" w14:paraId="4E906AFA" w14:textId="77777777">
      <w:pPr>
        <w:rPr>
          <w:color w:val="000000"/>
        </w:rPr>
      </w:pPr>
      <w:r w:rsidRPr="00AB1866">
        <w:rPr>
          <w:b/>
          <w:color w:val="000000"/>
        </w:rPr>
        <w:t>PART I:  PROCEDURAL ISSUES</w:t>
      </w:r>
      <w:r w:rsidRPr="00AB1866" w:rsidR="00AB62EB">
        <w:rPr>
          <w:b/>
          <w:color w:val="000000"/>
        </w:rPr>
        <w:t>:</w:t>
      </w:r>
    </w:p>
    <w:p w:rsidRPr="00AB1866" w:rsidR="00A92D0B" w:rsidRDefault="00A92D0B" w14:paraId="1564CFF7" w14:textId="77777777">
      <w:pPr>
        <w:rPr>
          <w:color w:val="000000"/>
        </w:rPr>
      </w:pPr>
    </w:p>
    <w:tbl>
      <w:tblPr>
        <w:tblW w:w="98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708"/>
        <w:gridCol w:w="6120"/>
      </w:tblGrid>
      <w:tr w:rsidRPr="00AB1866" w:rsidR="00A92D0B" w:rsidTr="00F7505D" w14:paraId="7CB6E530" w14:textId="77777777">
        <w:trPr>
          <w:jc w:val="center"/>
        </w:trPr>
        <w:tc>
          <w:tcPr>
            <w:tcW w:w="3708" w:type="dxa"/>
            <w:shd w:val="clear" w:color="auto" w:fill="auto"/>
          </w:tcPr>
          <w:p w:rsidRPr="00AB1866" w:rsidR="00A92D0B" w:rsidP="00915118" w:rsidRDefault="00A92D0B" w14:paraId="578AF3B9" w14:textId="77777777">
            <w:pPr>
              <w:rPr>
                <w:b/>
                <w:color w:val="000000"/>
              </w:rPr>
            </w:pPr>
            <w:r w:rsidRPr="00AB1866">
              <w:rPr>
                <w:b/>
                <w:color w:val="000000"/>
              </w:rPr>
              <w:t xml:space="preserve">A.  Brief </w:t>
            </w:r>
            <w:r w:rsidRPr="00AB1866" w:rsidR="00A319DE">
              <w:rPr>
                <w:b/>
                <w:color w:val="000000"/>
              </w:rPr>
              <w:t>d</w:t>
            </w:r>
            <w:r w:rsidRPr="00AB1866">
              <w:rPr>
                <w:b/>
                <w:color w:val="000000"/>
              </w:rPr>
              <w:t>escription of Decision</w:t>
            </w:r>
            <w:r w:rsidRPr="00AB1866" w:rsidR="00902D65">
              <w:rPr>
                <w:b/>
                <w:color w:val="000000"/>
              </w:rPr>
              <w:t>s</w:t>
            </w:r>
            <w:r w:rsidRPr="00AB1866">
              <w:rPr>
                <w:b/>
                <w:color w:val="000000"/>
              </w:rPr>
              <w:t xml:space="preserve">: </w:t>
            </w:r>
          </w:p>
        </w:tc>
        <w:tc>
          <w:tcPr>
            <w:tcW w:w="6120" w:type="dxa"/>
            <w:shd w:val="clear" w:color="auto" w:fill="auto"/>
          </w:tcPr>
          <w:p w:rsidRPr="00AB1866" w:rsidR="00A92D0B" w:rsidP="00DE55D7" w:rsidRDefault="00C13E40" w14:paraId="08B4D481" w14:textId="77777777">
            <w:r w:rsidRPr="00AB1866">
              <w:rPr>
                <w:b/>
                <w:color w:val="000000"/>
              </w:rPr>
              <w:t>Decision D.19-0</w:t>
            </w:r>
            <w:r w:rsidRPr="00AB1866" w:rsidR="00246294">
              <w:rPr>
                <w:b/>
                <w:color w:val="000000"/>
              </w:rPr>
              <w:t>5</w:t>
            </w:r>
            <w:r w:rsidRPr="00AB1866">
              <w:rPr>
                <w:b/>
                <w:color w:val="000000"/>
              </w:rPr>
              <w:t>-0</w:t>
            </w:r>
            <w:r w:rsidRPr="00AB1866" w:rsidR="00246294">
              <w:rPr>
                <w:b/>
                <w:color w:val="000000"/>
              </w:rPr>
              <w:t>36</w:t>
            </w:r>
            <w:r w:rsidRPr="00AB1866">
              <w:rPr>
                <w:b/>
                <w:color w:val="000000"/>
              </w:rPr>
              <w:t xml:space="preserve"> </w:t>
            </w:r>
            <w:r w:rsidRPr="00AB1866" w:rsidR="00606FDE">
              <w:t>is the guidance decision on the wildfire mitigation plans of the wires utilities.</w:t>
            </w:r>
          </w:p>
          <w:p w:rsidRPr="00AB1866" w:rsidR="00606FDE" w:rsidP="00DE55D7" w:rsidRDefault="00606FDE" w14:paraId="1C49199B" w14:textId="77777777">
            <w:pPr>
              <w:rPr>
                <w:color w:val="000000"/>
              </w:rPr>
            </w:pPr>
            <w:r w:rsidRPr="00AB1866">
              <w:rPr>
                <w:b/>
                <w:color w:val="000000"/>
              </w:rPr>
              <w:t xml:space="preserve">Decision D.19-05-037 </w:t>
            </w:r>
            <w:r w:rsidRPr="00AB1866">
              <w:t xml:space="preserve">adopts </w:t>
            </w:r>
            <w:r w:rsidRPr="00AB1866" w:rsidR="00996421">
              <w:t>PG</w:t>
            </w:r>
            <w:r w:rsidRPr="00AB1866" w:rsidR="00996421">
              <w:rPr>
                <w:sz w:val="21"/>
                <w:szCs w:val="21"/>
              </w:rPr>
              <w:t>&amp;</w:t>
            </w:r>
            <w:r w:rsidRPr="00AB1866" w:rsidR="00996421">
              <w:t>E’s wildfire mitigation plan.</w:t>
            </w:r>
          </w:p>
          <w:p w:rsidRPr="00AB1866" w:rsidR="00996421" w:rsidP="00996421" w:rsidRDefault="00996421" w14:paraId="3B680063" w14:textId="77777777">
            <w:pPr>
              <w:rPr>
                <w:color w:val="000000"/>
              </w:rPr>
            </w:pPr>
            <w:r w:rsidRPr="00AB1866">
              <w:rPr>
                <w:b/>
                <w:color w:val="000000"/>
              </w:rPr>
              <w:t xml:space="preserve">Decision D.19-05-038 </w:t>
            </w:r>
            <w:r w:rsidRPr="00AB1866">
              <w:t>adopts SCE’s wildfire mitigation plan.</w:t>
            </w:r>
          </w:p>
          <w:p w:rsidRPr="00AB1866" w:rsidR="00D46302" w:rsidP="004561CB" w:rsidRDefault="00D46302" w14:paraId="1FE3AED5" w14:textId="77777777">
            <w:pPr>
              <w:rPr>
                <w:color w:val="000000"/>
              </w:rPr>
            </w:pPr>
          </w:p>
        </w:tc>
      </w:tr>
    </w:tbl>
    <w:p w:rsidRPr="00AB1866" w:rsidR="00FA69C7" w:rsidP="00FA69C7" w:rsidRDefault="00FA69C7" w14:paraId="0F834B0A" w14:textId="77777777">
      <w:pPr>
        <w:rPr>
          <w:color w:val="000000"/>
        </w:rPr>
      </w:pPr>
    </w:p>
    <w:p w:rsidRPr="00AB1866" w:rsidR="00A92D0B" w:rsidRDefault="005A63D4" w14:paraId="3AE287FD" w14:textId="77777777">
      <w:pPr>
        <w:numPr>
          <w:ilvl w:val="0"/>
          <w:numId w:val="5"/>
        </w:numPr>
        <w:rPr>
          <w:b/>
          <w:color w:val="000000"/>
        </w:rPr>
      </w:pPr>
      <w:r w:rsidRPr="00AB1866">
        <w:rPr>
          <w:b/>
          <w:color w:val="000000"/>
        </w:rPr>
        <w:t xml:space="preserve">Intervenor </w:t>
      </w:r>
      <w:r w:rsidRPr="00AB1866" w:rsidR="00A92D0B">
        <w:rPr>
          <w:b/>
          <w:color w:val="000000"/>
        </w:rPr>
        <w:t xml:space="preserve">must satisfy intervenor compensation </w:t>
      </w:r>
      <w:r w:rsidRPr="00AB1866" w:rsidR="00DE3A5D">
        <w:rPr>
          <w:b/>
          <w:color w:val="000000"/>
        </w:rPr>
        <w:t>requirements set forth in Pub. Util.</w:t>
      </w:r>
      <w:r w:rsidRPr="00AB1866" w:rsidR="00A92D0B">
        <w:rPr>
          <w:b/>
          <w:color w:val="000000"/>
        </w:rPr>
        <w:t xml:space="preserve"> Code §§ 1801-1812:</w:t>
      </w:r>
    </w:p>
    <w:p w:rsidRPr="00AB1866" w:rsidR="00A92D0B" w:rsidRDefault="00A92D0B" w14:paraId="1F87C815" w14:textId="77777777">
      <w:pPr>
        <w:tabs>
          <w:tab w:val="left" w:pos="360"/>
        </w:tabs>
        <w:rPr>
          <w:color w:val="000000"/>
        </w:rPr>
      </w:pPr>
    </w:p>
    <w:tbl>
      <w:tblPr>
        <w:tblW w:w="9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040"/>
        <w:gridCol w:w="2340"/>
        <w:gridCol w:w="2340"/>
      </w:tblGrid>
      <w:tr w:rsidRPr="00AB1866" w:rsidR="00A92D0B" w:rsidTr="00F7505D" w14:paraId="6C78799B" w14:textId="77777777">
        <w:trPr>
          <w:jc w:val="center"/>
        </w:trPr>
        <w:tc>
          <w:tcPr>
            <w:tcW w:w="5040" w:type="dxa"/>
            <w:tcBorders>
              <w:bottom w:val="single" w:color="auto" w:sz="4" w:space="0"/>
            </w:tcBorders>
            <w:shd w:val="clear" w:color="auto" w:fill="auto"/>
          </w:tcPr>
          <w:p w:rsidRPr="00AB1866" w:rsidR="00A92D0B" w:rsidP="00A92D0B" w:rsidRDefault="00A92D0B" w14:paraId="371398EF" w14:textId="77777777">
            <w:pPr>
              <w:tabs>
                <w:tab w:val="left" w:pos="360"/>
              </w:tabs>
              <w:spacing w:before="120"/>
              <w:jc w:val="center"/>
              <w:rPr>
                <w:color w:val="000000"/>
              </w:rPr>
            </w:pPr>
          </w:p>
        </w:tc>
        <w:tc>
          <w:tcPr>
            <w:tcW w:w="2340" w:type="dxa"/>
            <w:tcBorders>
              <w:bottom w:val="single" w:color="auto" w:sz="4" w:space="0"/>
            </w:tcBorders>
            <w:shd w:val="clear" w:color="auto" w:fill="auto"/>
          </w:tcPr>
          <w:p w:rsidRPr="00AB1866" w:rsidR="00A92D0B" w:rsidP="00A92D0B" w:rsidRDefault="005A63D4" w14:paraId="05DED15C" w14:textId="77777777">
            <w:pPr>
              <w:tabs>
                <w:tab w:val="left" w:pos="360"/>
              </w:tabs>
              <w:spacing w:before="120"/>
              <w:jc w:val="center"/>
              <w:rPr>
                <w:b/>
                <w:color w:val="000000"/>
                <w:sz w:val="22"/>
                <w:szCs w:val="22"/>
              </w:rPr>
            </w:pPr>
            <w:r w:rsidRPr="00AB1866">
              <w:rPr>
                <w:b/>
                <w:color w:val="000000"/>
                <w:sz w:val="22"/>
                <w:szCs w:val="22"/>
              </w:rPr>
              <w:t>Intervenor</w:t>
            </w:r>
          </w:p>
        </w:tc>
        <w:tc>
          <w:tcPr>
            <w:tcW w:w="2340" w:type="dxa"/>
            <w:tcBorders>
              <w:bottom w:val="single" w:color="auto" w:sz="4" w:space="0"/>
            </w:tcBorders>
            <w:shd w:val="clear" w:color="auto" w:fill="auto"/>
          </w:tcPr>
          <w:p w:rsidRPr="00AB1866" w:rsidR="00A92D0B" w:rsidP="00A92D0B" w:rsidRDefault="00A92D0B" w14:paraId="5012634E" w14:textId="77777777">
            <w:pPr>
              <w:tabs>
                <w:tab w:val="left" w:pos="360"/>
              </w:tabs>
              <w:spacing w:before="120"/>
              <w:jc w:val="center"/>
              <w:rPr>
                <w:b/>
                <w:color w:val="000000"/>
                <w:sz w:val="22"/>
                <w:szCs w:val="22"/>
              </w:rPr>
            </w:pPr>
            <w:r w:rsidRPr="00AB1866">
              <w:rPr>
                <w:b/>
                <w:color w:val="000000"/>
                <w:sz w:val="22"/>
                <w:szCs w:val="22"/>
              </w:rPr>
              <w:t>CPUC Verified</w:t>
            </w:r>
          </w:p>
        </w:tc>
      </w:tr>
      <w:tr w:rsidRPr="00AB1866" w:rsidR="00A92D0B" w:rsidTr="00F7505D" w14:paraId="379B6B53" w14:textId="77777777">
        <w:trPr>
          <w:jc w:val="center"/>
        </w:trPr>
        <w:tc>
          <w:tcPr>
            <w:tcW w:w="9720" w:type="dxa"/>
            <w:gridSpan w:val="3"/>
            <w:tcBorders>
              <w:top w:val="single" w:color="auto" w:sz="4" w:space="0"/>
              <w:left w:val="single" w:color="auto" w:sz="4" w:space="0"/>
              <w:bottom w:val="single" w:color="auto" w:sz="4" w:space="0"/>
              <w:right w:val="single" w:color="auto" w:sz="4" w:space="0"/>
            </w:tcBorders>
            <w:shd w:val="clear" w:color="auto" w:fill="E6E6E6"/>
          </w:tcPr>
          <w:p w:rsidRPr="00AB1866" w:rsidR="00A92D0B" w:rsidP="00A92D0B" w:rsidRDefault="00A92D0B" w14:paraId="64DE1A14" w14:textId="77777777">
            <w:pPr>
              <w:tabs>
                <w:tab w:val="left" w:pos="360"/>
              </w:tabs>
              <w:spacing w:before="60"/>
              <w:jc w:val="center"/>
              <w:rPr>
                <w:b/>
                <w:sz w:val="22"/>
                <w:szCs w:val="22"/>
              </w:rPr>
            </w:pPr>
            <w:r w:rsidRPr="00AB1866">
              <w:rPr>
                <w:b/>
                <w:sz w:val="22"/>
                <w:szCs w:val="22"/>
              </w:rPr>
              <w:t>Timely filing of notice of intent to claim compensation (NOI) (§ 1804(a)):</w:t>
            </w:r>
          </w:p>
        </w:tc>
      </w:tr>
      <w:tr w:rsidRPr="00AB1866" w:rsidR="00A92D0B" w:rsidTr="00F7505D" w14:paraId="1C5E3D90" w14:textId="77777777">
        <w:trPr>
          <w:jc w:val="center"/>
        </w:trPr>
        <w:tc>
          <w:tcPr>
            <w:tcW w:w="5040" w:type="dxa"/>
            <w:tcBorders>
              <w:top w:val="single" w:color="auto" w:sz="4" w:space="0"/>
            </w:tcBorders>
            <w:shd w:val="clear" w:color="auto" w:fill="auto"/>
          </w:tcPr>
          <w:p w:rsidRPr="00AB1866" w:rsidR="00A92D0B" w:rsidP="00A92D0B" w:rsidRDefault="00FC72B7" w14:paraId="607124DE" w14:textId="77777777">
            <w:pPr>
              <w:tabs>
                <w:tab w:val="left" w:pos="360"/>
              </w:tabs>
              <w:spacing w:before="120"/>
              <w:ind w:left="360" w:hanging="360"/>
              <w:rPr>
                <w:color w:val="000000"/>
                <w:sz w:val="22"/>
                <w:szCs w:val="22"/>
              </w:rPr>
            </w:pPr>
            <w:r w:rsidRPr="00AB1866">
              <w:rPr>
                <w:color w:val="000000"/>
                <w:sz w:val="22"/>
                <w:szCs w:val="22"/>
              </w:rPr>
              <w:t xml:space="preserve"> </w:t>
            </w:r>
            <w:r w:rsidRPr="00AB1866" w:rsidR="00A92D0B">
              <w:rPr>
                <w:color w:val="000000"/>
                <w:sz w:val="22"/>
                <w:szCs w:val="22"/>
              </w:rPr>
              <w:t>1.  Date of Prehearing Conference</w:t>
            </w:r>
            <w:r w:rsidRPr="00AB1866" w:rsidR="00A319DE">
              <w:rPr>
                <w:color w:val="000000"/>
                <w:sz w:val="22"/>
                <w:szCs w:val="22"/>
              </w:rPr>
              <w:t xml:space="preserve"> (PHC)</w:t>
            </w:r>
            <w:r w:rsidRPr="00AB1866" w:rsidR="00A92D0B">
              <w:rPr>
                <w:color w:val="000000"/>
                <w:sz w:val="22"/>
                <w:szCs w:val="22"/>
              </w:rPr>
              <w:t>:</w:t>
            </w:r>
          </w:p>
        </w:tc>
        <w:tc>
          <w:tcPr>
            <w:tcW w:w="2340" w:type="dxa"/>
            <w:tcBorders>
              <w:top w:val="single" w:color="auto" w:sz="4" w:space="0"/>
            </w:tcBorders>
            <w:shd w:val="clear" w:color="auto" w:fill="auto"/>
          </w:tcPr>
          <w:p w:rsidRPr="00AB1866" w:rsidR="00A92D0B" w:rsidP="00996421" w:rsidRDefault="00996421" w14:paraId="6FA0510E" w14:textId="77777777">
            <w:pPr>
              <w:tabs>
                <w:tab w:val="left" w:pos="360"/>
              </w:tabs>
              <w:spacing w:before="120"/>
              <w:rPr>
                <w:color w:val="000000"/>
              </w:rPr>
            </w:pPr>
            <w:r w:rsidRPr="00AB1866">
              <w:rPr>
                <w:color w:val="000000"/>
              </w:rPr>
              <w:t>November</w:t>
            </w:r>
            <w:r w:rsidRPr="00AB1866" w:rsidR="00313B11">
              <w:rPr>
                <w:color w:val="000000"/>
              </w:rPr>
              <w:t xml:space="preserve"> </w:t>
            </w:r>
            <w:r w:rsidRPr="00AB1866">
              <w:rPr>
                <w:color w:val="000000"/>
              </w:rPr>
              <w:t>14</w:t>
            </w:r>
            <w:r w:rsidRPr="00AB1866" w:rsidR="00313B11">
              <w:rPr>
                <w:color w:val="000000"/>
              </w:rPr>
              <w:t>, 201</w:t>
            </w:r>
            <w:r w:rsidRPr="00AB1866">
              <w:rPr>
                <w:color w:val="000000"/>
              </w:rPr>
              <w:t>8</w:t>
            </w:r>
          </w:p>
        </w:tc>
        <w:tc>
          <w:tcPr>
            <w:tcW w:w="2340" w:type="dxa"/>
            <w:tcBorders>
              <w:top w:val="single" w:color="auto" w:sz="4" w:space="0"/>
            </w:tcBorders>
            <w:shd w:val="clear" w:color="auto" w:fill="auto"/>
          </w:tcPr>
          <w:p w:rsidRPr="00AB1866" w:rsidR="00A92D0B" w:rsidP="00A92D0B" w:rsidRDefault="00AB62EB" w14:paraId="74528250" w14:textId="77777777">
            <w:pPr>
              <w:tabs>
                <w:tab w:val="left" w:pos="360"/>
              </w:tabs>
              <w:spacing w:before="120"/>
              <w:rPr>
                <w:color w:val="000000"/>
              </w:rPr>
            </w:pPr>
            <w:r w:rsidRPr="00AB1866">
              <w:rPr>
                <w:color w:val="000000"/>
              </w:rPr>
              <w:t>Verified</w:t>
            </w:r>
          </w:p>
        </w:tc>
      </w:tr>
      <w:tr w:rsidRPr="00AB1866" w:rsidR="00A92D0B" w:rsidTr="00F7505D" w14:paraId="4C0EC469" w14:textId="77777777">
        <w:trPr>
          <w:jc w:val="center"/>
        </w:trPr>
        <w:tc>
          <w:tcPr>
            <w:tcW w:w="5040" w:type="dxa"/>
            <w:shd w:val="clear" w:color="auto" w:fill="auto"/>
          </w:tcPr>
          <w:p w:rsidRPr="00AB1866" w:rsidR="00A92D0B" w:rsidP="00915118" w:rsidRDefault="00FC72B7" w14:paraId="666C7296" w14:textId="77777777">
            <w:pPr>
              <w:tabs>
                <w:tab w:val="left" w:pos="360"/>
              </w:tabs>
              <w:spacing w:before="120"/>
              <w:ind w:left="360" w:hanging="360"/>
              <w:rPr>
                <w:color w:val="000000"/>
                <w:sz w:val="22"/>
                <w:szCs w:val="22"/>
              </w:rPr>
            </w:pPr>
            <w:r w:rsidRPr="00AB1866">
              <w:rPr>
                <w:color w:val="000000"/>
                <w:sz w:val="22"/>
                <w:szCs w:val="22"/>
              </w:rPr>
              <w:t xml:space="preserve"> </w:t>
            </w:r>
            <w:r w:rsidRPr="00AB1866" w:rsidR="00A92D0B">
              <w:rPr>
                <w:color w:val="000000"/>
                <w:sz w:val="22"/>
                <w:szCs w:val="22"/>
              </w:rPr>
              <w:t xml:space="preserve">2.  Other </w:t>
            </w:r>
            <w:r w:rsidRPr="00AB1866" w:rsidR="00A319DE">
              <w:rPr>
                <w:color w:val="000000"/>
                <w:sz w:val="22"/>
                <w:szCs w:val="22"/>
              </w:rPr>
              <w:t>s</w:t>
            </w:r>
            <w:r w:rsidRPr="00AB1866" w:rsidR="00A92D0B">
              <w:rPr>
                <w:color w:val="000000"/>
                <w:sz w:val="22"/>
                <w:szCs w:val="22"/>
              </w:rPr>
              <w:t xml:space="preserve">pecified </w:t>
            </w:r>
            <w:r w:rsidRPr="00AB1866" w:rsidR="00A319DE">
              <w:rPr>
                <w:color w:val="000000"/>
                <w:sz w:val="22"/>
                <w:szCs w:val="22"/>
              </w:rPr>
              <w:t>d</w:t>
            </w:r>
            <w:r w:rsidRPr="00AB1866" w:rsidR="00A92D0B">
              <w:rPr>
                <w:color w:val="000000"/>
                <w:sz w:val="22"/>
                <w:szCs w:val="22"/>
              </w:rPr>
              <w:t>ate for NOI:</w:t>
            </w:r>
          </w:p>
        </w:tc>
        <w:tc>
          <w:tcPr>
            <w:tcW w:w="2340" w:type="dxa"/>
            <w:shd w:val="clear" w:color="auto" w:fill="auto"/>
          </w:tcPr>
          <w:p w:rsidRPr="00AB1866" w:rsidR="00A92D0B" w:rsidP="00A92D0B" w:rsidRDefault="00A92D0B" w14:paraId="6974C3F3" w14:textId="77777777">
            <w:pPr>
              <w:tabs>
                <w:tab w:val="left" w:pos="360"/>
              </w:tabs>
              <w:spacing w:before="120"/>
              <w:ind w:left="612"/>
              <w:rPr>
                <w:color w:val="000000"/>
              </w:rPr>
            </w:pPr>
          </w:p>
        </w:tc>
        <w:tc>
          <w:tcPr>
            <w:tcW w:w="2340" w:type="dxa"/>
            <w:shd w:val="clear" w:color="auto" w:fill="auto"/>
          </w:tcPr>
          <w:p w:rsidRPr="00AB1866" w:rsidR="00A92D0B" w:rsidP="00A92D0B" w:rsidRDefault="00A92D0B" w14:paraId="3F8E2ADA" w14:textId="77777777">
            <w:pPr>
              <w:tabs>
                <w:tab w:val="left" w:pos="360"/>
              </w:tabs>
              <w:spacing w:before="120"/>
              <w:rPr>
                <w:color w:val="000000"/>
              </w:rPr>
            </w:pPr>
          </w:p>
        </w:tc>
      </w:tr>
      <w:tr w:rsidRPr="00AB1866" w:rsidR="00A92D0B" w:rsidTr="00F7505D" w14:paraId="0021B9E0" w14:textId="77777777">
        <w:trPr>
          <w:jc w:val="center"/>
        </w:trPr>
        <w:tc>
          <w:tcPr>
            <w:tcW w:w="5040" w:type="dxa"/>
            <w:shd w:val="clear" w:color="auto" w:fill="auto"/>
          </w:tcPr>
          <w:p w:rsidRPr="00AB1866" w:rsidR="00A92D0B" w:rsidP="00915118" w:rsidRDefault="00FC72B7" w14:paraId="6D91DA77" w14:textId="77777777">
            <w:pPr>
              <w:tabs>
                <w:tab w:val="left" w:pos="360"/>
              </w:tabs>
              <w:spacing w:before="120"/>
              <w:ind w:left="360" w:hanging="360"/>
              <w:rPr>
                <w:color w:val="000000"/>
                <w:sz w:val="22"/>
                <w:szCs w:val="22"/>
              </w:rPr>
            </w:pPr>
            <w:r w:rsidRPr="00AB1866">
              <w:rPr>
                <w:color w:val="000000"/>
                <w:sz w:val="22"/>
                <w:szCs w:val="22"/>
              </w:rPr>
              <w:t xml:space="preserve"> </w:t>
            </w:r>
            <w:r w:rsidRPr="00AB1866" w:rsidR="00A92D0B">
              <w:rPr>
                <w:color w:val="000000"/>
                <w:sz w:val="22"/>
                <w:szCs w:val="22"/>
              </w:rPr>
              <w:t xml:space="preserve">3.  Date NOI </w:t>
            </w:r>
            <w:r w:rsidRPr="00AB1866" w:rsidR="00A319DE">
              <w:rPr>
                <w:color w:val="000000"/>
                <w:sz w:val="22"/>
                <w:szCs w:val="22"/>
              </w:rPr>
              <w:t>f</w:t>
            </w:r>
            <w:r w:rsidRPr="00AB1866" w:rsidR="00A92D0B">
              <w:rPr>
                <w:color w:val="000000"/>
                <w:sz w:val="22"/>
                <w:szCs w:val="22"/>
              </w:rPr>
              <w:t>iled:</w:t>
            </w:r>
          </w:p>
        </w:tc>
        <w:tc>
          <w:tcPr>
            <w:tcW w:w="2340" w:type="dxa"/>
            <w:tcBorders>
              <w:bottom w:val="single" w:color="auto" w:sz="4" w:space="0"/>
            </w:tcBorders>
            <w:shd w:val="clear" w:color="auto" w:fill="auto"/>
          </w:tcPr>
          <w:p w:rsidRPr="00AB1866" w:rsidR="00A92D0B" w:rsidP="00996421" w:rsidRDefault="00996421" w14:paraId="0F76FDC5" w14:textId="77777777">
            <w:pPr>
              <w:tabs>
                <w:tab w:val="left" w:pos="360"/>
              </w:tabs>
              <w:spacing w:before="120"/>
              <w:rPr>
                <w:color w:val="000000"/>
              </w:rPr>
            </w:pPr>
            <w:r w:rsidRPr="00AB1866">
              <w:rPr>
                <w:color w:val="000000"/>
              </w:rPr>
              <w:t>December</w:t>
            </w:r>
            <w:r w:rsidRPr="00AB1866" w:rsidR="00313B11">
              <w:rPr>
                <w:color w:val="000000"/>
              </w:rPr>
              <w:t xml:space="preserve"> </w:t>
            </w:r>
            <w:r w:rsidRPr="00AB1866">
              <w:rPr>
                <w:color w:val="000000"/>
              </w:rPr>
              <w:t>13</w:t>
            </w:r>
            <w:r w:rsidRPr="00AB1866" w:rsidR="00313B11">
              <w:rPr>
                <w:color w:val="000000"/>
              </w:rPr>
              <w:t>, 201</w:t>
            </w:r>
            <w:r w:rsidRPr="00AB1866">
              <w:rPr>
                <w:color w:val="000000"/>
              </w:rPr>
              <w:t>8</w:t>
            </w:r>
          </w:p>
        </w:tc>
        <w:tc>
          <w:tcPr>
            <w:tcW w:w="2340" w:type="dxa"/>
            <w:tcBorders>
              <w:bottom w:val="single" w:color="auto" w:sz="4" w:space="0"/>
            </w:tcBorders>
            <w:shd w:val="clear" w:color="auto" w:fill="auto"/>
          </w:tcPr>
          <w:p w:rsidRPr="00AB1866" w:rsidR="00A92D0B" w:rsidP="00A92D0B" w:rsidRDefault="00AB62EB" w14:paraId="62F22FD4" w14:textId="77777777">
            <w:pPr>
              <w:tabs>
                <w:tab w:val="left" w:pos="360"/>
              </w:tabs>
              <w:spacing w:before="120"/>
              <w:rPr>
                <w:color w:val="000000"/>
              </w:rPr>
            </w:pPr>
            <w:r w:rsidRPr="00AB1866">
              <w:rPr>
                <w:color w:val="000000"/>
              </w:rPr>
              <w:t>Verified</w:t>
            </w:r>
          </w:p>
        </w:tc>
      </w:tr>
      <w:tr w:rsidRPr="00AB1866" w:rsidR="00A92D0B" w:rsidTr="00F7505D" w14:paraId="662F60F5" w14:textId="77777777">
        <w:trPr>
          <w:jc w:val="center"/>
        </w:trPr>
        <w:tc>
          <w:tcPr>
            <w:tcW w:w="7380" w:type="dxa"/>
            <w:gridSpan w:val="2"/>
            <w:tcBorders>
              <w:bottom w:val="single" w:color="auto" w:sz="4" w:space="0"/>
            </w:tcBorders>
            <w:shd w:val="clear" w:color="auto" w:fill="auto"/>
          </w:tcPr>
          <w:p w:rsidRPr="00AB1866" w:rsidR="00A92D0B" w:rsidP="00A92D0B" w:rsidRDefault="00FC72B7" w14:paraId="28E48265" w14:textId="77777777">
            <w:pPr>
              <w:tabs>
                <w:tab w:val="left" w:pos="360"/>
              </w:tabs>
              <w:spacing w:before="120"/>
              <w:ind w:left="360" w:hanging="360"/>
              <w:rPr>
                <w:color w:val="000000"/>
                <w:sz w:val="22"/>
                <w:szCs w:val="22"/>
              </w:rPr>
            </w:pPr>
            <w:r w:rsidRPr="00AB1866">
              <w:rPr>
                <w:color w:val="000000"/>
                <w:sz w:val="22"/>
                <w:szCs w:val="22"/>
              </w:rPr>
              <w:t xml:space="preserve"> </w:t>
            </w:r>
            <w:r w:rsidRPr="00AB1866" w:rsidR="00A92D0B">
              <w:rPr>
                <w:color w:val="000000"/>
                <w:sz w:val="22"/>
                <w:szCs w:val="22"/>
              </w:rPr>
              <w:t xml:space="preserve">4. </w:t>
            </w:r>
            <w:r w:rsidRPr="00AB1866">
              <w:rPr>
                <w:color w:val="000000"/>
                <w:sz w:val="22"/>
                <w:szCs w:val="22"/>
              </w:rPr>
              <w:t xml:space="preserve"> </w:t>
            </w:r>
            <w:r w:rsidRPr="00AB1866" w:rsidR="00A92D0B">
              <w:rPr>
                <w:color w:val="000000"/>
                <w:sz w:val="22"/>
                <w:szCs w:val="22"/>
              </w:rPr>
              <w:t>Was the NOI timely filed?</w:t>
            </w:r>
          </w:p>
        </w:tc>
        <w:tc>
          <w:tcPr>
            <w:tcW w:w="2340" w:type="dxa"/>
            <w:tcBorders>
              <w:bottom w:val="single" w:color="auto" w:sz="4" w:space="0"/>
            </w:tcBorders>
            <w:shd w:val="clear" w:color="auto" w:fill="auto"/>
          </w:tcPr>
          <w:p w:rsidRPr="00AB1866" w:rsidR="00A92D0B" w:rsidP="00A92D0B" w:rsidRDefault="00AB62EB" w14:paraId="616B2320" w14:textId="77777777">
            <w:pPr>
              <w:tabs>
                <w:tab w:val="left" w:pos="360"/>
              </w:tabs>
              <w:spacing w:before="120"/>
              <w:rPr>
                <w:color w:val="000000"/>
              </w:rPr>
            </w:pPr>
            <w:r w:rsidRPr="00AB1866">
              <w:rPr>
                <w:color w:val="000000"/>
              </w:rPr>
              <w:t>Yes</w:t>
            </w:r>
          </w:p>
        </w:tc>
      </w:tr>
      <w:tr w:rsidRPr="00AB1866" w:rsidR="00A92D0B" w:rsidTr="00F7505D" w14:paraId="3091D2C0" w14:textId="77777777">
        <w:trPr>
          <w:jc w:val="center"/>
        </w:trPr>
        <w:tc>
          <w:tcPr>
            <w:tcW w:w="9720" w:type="dxa"/>
            <w:gridSpan w:val="3"/>
            <w:tcBorders>
              <w:top w:val="single" w:color="auto" w:sz="4" w:space="0"/>
              <w:left w:val="single" w:color="auto" w:sz="4" w:space="0"/>
              <w:bottom w:val="single" w:color="auto" w:sz="4" w:space="0"/>
              <w:right w:val="single" w:color="auto" w:sz="4" w:space="0"/>
            </w:tcBorders>
            <w:shd w:val="clear" w:color="auto" w:fill="E6E6E6"/>
          </w:tcPr>
          <w:p w:rsidRPr="00AB1866" w:rsidR="00A92D0B" w:rsidP="007E71C3" w:rsidRDefault="00A92D0B" w14:paraId="42A78B25" w14:textId="77777777">
            <w:pPr>
              <w:keepNext/>
              <w:keepLines/>
              <w:tabs>
                <w:tab w:val="left" w:pos="360"/>
              </w:tabs>
              <w:spacing w:before="60"/>
              <w:jc w:val="center"/>
              <w:rPr>
                <w:b/>
                <w:color w:val="000000"/>
                <w:sz w:val="22"/>
                <w:szCs w:val="22"/>
              </w:rPr>
            </w:pPr>
            <w:r w:rsidRPr="00AB1866">
              <w:rPr>
                <w:b/>
                <w:color w:val="000000"/>
                <w:sz w:val="22"/>
                <w:szCs w:val="22"/>
              </w:rPr>
              <w:t>Showing of customer or customer-related status (§ 1802(b)):</w:t>
            </w:r>
          </w:p>
        </w:tc>
      </w:tr>
      <w:tr w:rsidRPr="00AB1866" w:rsidR="00A92D0B" w:rsidTr="00F7505D" w14:paraId="5843C922" w14:textId="77777777">
        <w:trPr>
          <w:jc w:val="center"/>
        </w:trPr>
        <w:tc>
          <w:tcPr>
            <w:tcW w:w="5040" w:type="dxa"/>
            <w:tcBorders>
              <w:top w:val="single" w:color="auto" w:sz="4" w:space="0"/>
            </w:tcBorders>
            <w:shd w:val="clear" w:color="auto" w:fill="auto"/>
          </w:tcPr>
          <w:p w:rsidRPr="00AB1866" w:rsidR="00A92D0B" w:rsidP="007E71C3" w:rsidRDefault="00FC72B7" w14:paraId="654ECE17" w14:textId="77777777">
            <w:pPr>
              <w:keepNext/>
              <w:keepLines/>
              <w:spacing w:before="120"/>
              <w:ind w:left="360" w:hanging="360"/>
              <w:rPr>
                <w:color w:val="000000"/>
                <w:sz w:val="22"/>
                <w:szCs w:val="22"/>
              </w:rPr>
            </w:pPr>
            <w:r w:rsidRPr="00AB1866">
              <w:rPr>
                <w:color w:val="000000"/>
                <w:sz w:val="22"/>
                <w:szCs w:val="22"/>
              </w:rPr>
              <w:t xml:space="preserve"> </w:t>
            </w:r>
            <w:r w:rsidRPr="00AB1866" w:rsidR="00A92D0B">
              <w:rPr>
                <w:color w:val="000000"/>
                <w:sz w:val="22"/>
                <w:szCs w:val="22"/>
              </w:rPr>
              <w:t xml:space="preserve">5.  Based on ALJ ruling issued in proceeding </w:t>
            </w:r>
            <w:r w:rsidRPr="00AB1866" w:rsidR="00E3786F">
              <w:rPr>
                <w:color w:val="000000"/>
                <w:sz w:val="22"/>
                <w:szCs w:val="22"/>
              </w:rPr>
              <w:t xml:space="preserve">  </w:t>
            </w:r>
            <w:r w:rsidRPr="00AB1866" w:rsidR="00A92D0B">
              <w:rPr>
                <w:color w:val="000000"/>
                <w:sz w:val="22"/>
                <w:szCs w:val="22"/>
              </w:rPr>
              <w:t>number:</w:t>
            </w:r>
          </w:p>
        </w:tc>
        <w:tc>
          <w:tcPr>
            <w:tcW w:w="2340" w:type="dxa"/>
            <w:tcBorders>
              <w:top w:val="single" w:color="auto" w:sz="4" w:space="0"/>
            </w:tcBorders>
            <w:shd w:val="clear" w:color="auto" w:fill="auto"/>
          </w:tcPr>
          <w:p w:rsidRPr="00AB1866" w:rsidR="00A92D0B" w:rsidP="00AB0D5E" w:rsidRDefault="00A92D0B" w14:paraId="1B4526FE" w14:textId="77777777">
            <w:pPr>
              <w:keepNext/>
              <w:keepLines/>
              <w:tabs>
                <w:tab w:val="left" w:pos="360"/>
              </w:tabs>
              <w:spacing w:before="120"/>
              <w:ind w:left="360" w:hanging="360"/>
              <w:rPr>
                <w:color w:val="000000"/>
              </w:rPr>
            </w:pPr>
          </w:p>
        </w:tc>
        <w:tc>
          <w:tcPr>
            <w:tcW w:w="2340" w:type="dxa"/>
            <w:tcBorders>
              <w:top w:val="single" w:color="auto" w:sz="4" w:space="0"/>
            </w:tcBorders>
            <w:shd w:val="clear" w:color="auto" w:fill="auto"/>
          </w:tcPr>
          <w:p w:rsidRPr="00AB1866" w:rsidR="00A92D0B" w:rsidP="007E71C3" w:rsidRDefault="00FA33B4" w14:paraId="46F5A18F" w14:textId="77777777">
            <w:pPr>
              <w:keepNext/>
              <w:keepLines/>
              <w:tabs>
                <w:tab w:val="left" w:pos="360"/>
              </w:tabs>
              <w:spacing w:before="120"/>
              <w:rPr>
                <w:color w:val="000000"/>
              </w:rPr>
            </w:pPr>
            <w:r w:rsidRPr="00AB1866">
              <w:rPr>
                <w:color w:val="000000"/>
              </w:rPr>
              <w:t>R.12-12-010</w:t>
            </w:r>
          </w:p>
        </w:tc>
      </w:tr>
      <w:tr w:rsidRPr="00AB1866" w:rsidR="00A92D0B" w:rsidTr="00F7505D" w14:paraId="62860929" w14:textId="77777777">
        <w:trPr>
          <w:jc w:val="center"/>
        </w:trPr>
        <w:tc>
          <w:tcPr>
            <w:tcW w:w="5040" w:type="dxa"/>
            <w:shd w:val="clear" w:color="auto" w:fill="auto"/>
          </w:tcPr>
          <w:p w:rsidRPr="00AB1866" w:rsidR="00A92D0B" w:rsidP="00FC72B7" w:rsidRDefault="00FC72B7" w14:paraId="3B88038E" w14:textId="77777777">
            <w:pPr>
              <w:tabs>
                <w:tab w:val="left" w:pos="360"/>
              </w:tabs>
              <w:spacing w:before="120"/>
              <w:ind w:left="360" w:hanging="360"/>
              <w:rPr>
                <w:color w:val="000000"/>
                <w:sz w:val="22"/>
                <w:szCs w:val="22"/>
              </w:rPr>
            </w:pPr>
            <w:r w:rsidRPr="00AB1866">
              <w:rPr>
                <w:color w:val="000000"/>
                <w:sz w:val="22"/>
                <w:szCs w:val="22"/>
              </w:rPr>
              <w:t xml:space="preserve"> </w:t>
            </w:r>
            <w:r w:rsidRPr="00AB1866" w:rsidR="00A92D0B">
              <w:rPr>
                <w:color w:val="000000"/>
                <w:sz w:val="22"/>
                <w:szCs w:val="22"/>
              </w:rPr>
              <w:t>6.  Date of ALJ ruling:</w:t>
            </w:r>
          </w:p>
        </w:tc>
        <w:tc>
          <w:tcPr>
            <w:tcW w:w="2340" w:type="dxa"/>
            <w:shd w:val="clear" w:color="auto" w:fill="auto"/>
          </w:tcPr>
          <w:p w:rsidRPr="00AB1866" w:rsidR="00A92D0B" w:rsidP="00AF5142" w:rsidRDefault="00A92D0B" w14:paraId="6BFD2F22" w14:textId="77777777">
            <w:pPr>
              <w:tabs>
                <w:tab w:val="left" w:pos="360"/>
              </w:tabs>
              <w:spacing w:before="120"/>
              <w:ind w:left="360" w:hanging="360"/>
              <w:rPr>
                <w:color w:val="000000"/>
              </w:rPr>
            </w:pPr>
          </w:p>
        </w:tc>
        <w:tc>
          <w:tcPr>
            <w:tcW w:w="2340" w:type="dxa"/>
            <w:shd w:val="clear" w:color="auto" w:fill="auto"/>
          </w:tcPr>
          <w:p w:rsidRPr="00AB1866" w:rsidR="00A92D0B" w:rsidP="00A92D0B" w:rsidRDefault="00FA33B4" w14:paraId="6B060F4E" w14:textId="77777777">
            <w:pPr>
              <w:tabs>
                <w:tab w:val="left" w:pos="360"/>
              </w:tabs>
              <w:spacing w:before="120"/>
              <w:rPr>
                <w:color w:val="000000"/>
              </w:rPr>
            </w:pPr>
            <w:r w:rsidRPr="00AB1866">
              <w:rPr>
                <w:color w:val="000000"/>
              </w:rPr>
              <w:t>09/04/2014</w:t>
            </w:r>
          </w:p>
        </w:tc>
      </w:tr>
      <w:tr w:rsidRPr="00AB1866" w:rsidR="00A92D0B" w:rsidTr="00F7505D" w14:paraId="148806AE" w14:textId="77777777">
        <w:trPr>
          <w:jc w:val="center"/>
        </w:trPr>
        <w:tc>
          <w:tcPr>
            <w:tcW w:w="5040" w:type="dxa"/>
            <w:shd w:val="clear" w:color="auto" w:fill="auto"/>
          </w:tcPr>
          <w:p w:rsidRPr="00AB1866" w:rsidR="00A92D0B" w:rsidP="00FC72B7" w:rsidRDefault="00FC72B7" w14:paraId="4B1A6467" w14:textId="77777777">
            <w:pPr>
              <w:tabs>
                <w:tab w:val="left" w:pos="360"/>
              </w:tabs>
              <w:spacing w:before="120"/>
              <w:ind w:left="360" w:hanging="360"/>
              <w:rPr>
                <w:color w:val="000000"/>
                <w:sz w:val="22"/>
                <w:szCs w:val="22"/>
              </w:rPr>
            </w:pPr>
            <w:r w:rsidRPr="00AB1866">
              <w:rPr>
                <w:color w:val="000000"/>
                <w:sz w:val="22"/>
                <w:szCs w:val="22"/>
              </w:rPr>
              <w:t xml:space="preserve"> </w:t>
            </w:r>
            <w:r w:rsidRPr="00AB1866" w:rsidR="00A92D0B">
              <w:rPr>
                <w:color w:val="000000"/>
                <w:sz w:val="22"/>
                <w:szCs w:val="22"/>
              </w:rPr>
              <w:t>7.  Based on another CPUC determination (specify):</w:t>
            </w:r>
          </w:p>
        </w:tc>
        <w:tc>
          <w:tcPr>
            <w:tcW w:w="2340" w:type="dxa"/>
            <w:tcBorders>
              <w:bottom w:val="single" w:color="auto" w:sz="4" w:space="0"/>
            </w:tcBorders>
            <w:shd w:val="clear" w:color="auto" w:fill="auto"/>
          </w:tcPr>
          <w:p w:rsidRPr="00AB1866" w:rsidR="00A92D0B" w:rsidP="006E1C1E" w:rsidRDefault="005E2F4C" w14:paraId="4E8A9C95" w14:textId="77777777">
            <w:pPr>
              <w:tabs>
                <w:tab w:val="left" w:pos="360"/>
              </w:tabs>
              <w:spacing w:before="120"/>
              <w:ind w:hanging="360"/>
              <w:jc w:val="center"/>
              <w:rPr>
                <w:color w:val="000000"/>
              </w:rPr>
            </w:pPr>
            <w:r w:rsidRPr="00AB1866">
              <w:rPr>
                <w:color w:val="000000"/>
              </w:rPr>
              <w:t>D.1</w:t>
            </w:r>
            <w:r w:rsidRPr="00AB1866" w:rsidR="006E1C1E">
              <w:rPr>
                <w:color w:val="000000"/>
              </w:rPr>
              <w:t>9</w:t>
            </w:r>
            <w:r w:rsidRPr="00AB1866">
              <w:rPr>
                <w:color w:val="000000"/>
              </w:rPr>
              <w:t>-0</w:t>
            </w:r>
            <w:r w:rsidRPr="00AB1866" w:rsidR="006E1C1E">
              <w:rPr>
                <w:color w:val="000000"/>
              </w:rPr>
              <w:t>1</w:t>
            </w:r>
            <w:r w:rsidRPr="00AB1866">
              <w:rPr>
                <w:color w:val="000000"/>
              </w:rPr>
              <w:t>-01</w:t>
            </w:r>
            <w:r w:rsidRPr="00AB1866" w:rsidR="006E1C1E">
              <w:rPr>
                <w:color w:val="000000"/>
              </w:rPr>
              <w:t>6</w:t>
            </w:r>
          </w:p>
        </w:tc>
        <w:tc>
          <w:tcPr>
            <w:tcW w:w="2340" w:type="dxa"/>
            <w:tcBorders>
              <w:bottom w:val="single" w:color="auto" w:sz="4" w:space="0"/>
            </w:tcBorders>
            <w:shd w:val="clear" w:color="auto" w:fill="auto"/>
          </w:tcPr>
          <w:p w:rsidRPr="00AB1866" w:rsidR="00A92D0B" w:rsidP="00A92D0B" w:rsidRDefault="00EC3F9A" w14:paraId="36A5DFD0" w14:textId="77777777">
            <w:pPr>
              <w:tabs>
                <w:tab w:val="left" w:pos="360"/>
              </w:tabs>
              <w:spacing w:before="120"/>
              <w:rPr>
                <w:color w:val="000000"/>
              </w:rPr>
            </w:pPr>
            <w:r w:rsidRPr="00AB1866">
              <w:rPr>
                <w:color w:val="000000"/>
              </w:rPr>
              <w:t>Verified</w:t>
            </w:r>
          </w:p>
        </w:tc>
      </w:tr>
      <w:tr w:rsidRPr="00AB1866" w:rsidR="00A92D0B" w:rsidTr="00F7505D" w14:paraId="786FA8F2" w14:textId="77777777">
        <w:trPr>
          <w:jc w:val="center"/>
        </w:trPr>
        <w:tc>
          <w:tcPr>
            <w:tcW w:w="7380" w:type="dxa"/>
            <w:gridSpan w:val="2"/>
            <w:tcBorders>
              <w:bottom w:val="single" w:color="auto" w:sz="4" w:space="0"/>
            </w:tcBorders>
            <w:shd w:val="clear" w:color="auto" w:fill="auto"/>
          </w:tcPr>
          <w:p w:rsidRPr="00AB1866" w:rsidR="00A92D0B" w:rsidP="005A63D4" w:rsidRDefault="00FC72B7" w14:paraId="41750C11" w14:textId="77777777">
            <w:pPr>
              <w:tabs>
                <w:tab w:val="left" w:pos="360"/>
              </w:tabs>
              <w:spacing w:before="120"/>
              <w:ind w:left="360" w:hanging="360"/>
              <w:rPr>
                <w:color w:val="000000"/>
                <w:sz w:val="22"/>
                <w:szCs w:val="22"/>
              </w:rPr>
            </w:pPr>
            <w:r w:rsidRPr="00AB1866">
              <w:rPr>
                <w:color w:val="000000"/>
                <w:sz w:val="22"/>
                <w:szCs w:val="22"/>
              </w:rPr>
              <w:t xml:space="preserve"> </w:t>
            </w:r>
            <w:r w:rsidRPr="00AB1866" w:rsidR="00A92D0B">
              <w:rPr>
                <w:color w:val="000000"/>
                <w:sz w:val="22"/>
                <w:szCs w:val="22"/>
              </w:rPr>
              <w:t xml:space="preserve">8. </w:t>
            </w:r>
            <w:r w:rsidRPr="00AB1866">
              <w:rPr>
                <w:color w:val="000000"/>
                <w:sz w:val="22"/>
                <w:szCs w:val="22"/>
              </w:rPr>
              <w:t xml:space="preserve"> </w:t>
            </w:r>
            <w:r w:rsidRPr="00AB1866" w:rsidR="00A92D0B">
              <w:rPr>
                <w:color w:val="000000"/>
                <w:sz w:val="22"/>
                <w:szCs w:val="22"/>
              </w:rPr>
              <w:t xml:space="preserve">Has the </w:t>
            </w:r>
            <w:r w:rsidRPr="00AB1866" w:rsidR="005A63D4">
              <w:rPr>
                <w:color w:val="000000"/>
                <w:sz w:val="22"/>
                <w:szCs w:val="22"/>
              </w:rPr>
              <w:t xml:space="preserve">Intervenor </w:t>
            </w:r>
            <w:r w:rsidRPr="00AB1866" w:rsidR="00A92D0B">
              <w:rPr>
                <w:color w:val="000000"/>
                <w:sz w:val="22"/>
                <w:szCs w:val="22"/>
              </w:rPr>
              <w:t>demonstrated customer or customer-related status?</w:t>
            </w:r>
          </w:p>
        </w:tc>
        <w:tc>
          <w:tcPr>
            <w:tcW w:w="2340" w:type="dxa"/>
            <w:tcBorders>
              <w:bottom w:val="single" w:color="auto" w:sz="4" w:space="0"/>
            </w:tcBorders>
            <w:shd w:val="clear" w:color="auto" w:fill="auto"/>
          </w:tcPr>
          <w:p w:rsidRPr="00AB1866" w:rsidR="00A92D0B" w:rsidP="00A92D0B" w:rsidRDefault="00EC3F9A" w14:paraId="425CAD43" w14:textId="77777777">
            <w:pPr>
              <w:tabs>
                <w:tab w:val="left" w:pos="360"/>
              </w:tabs>
              <w:spacing w:before="120"/>
              <w:rPr>
                <w:color w:val="000000"/>
              </w:rPr>
            </w:pPr>
            <w:r w:rsidRPr="00AB1866">
              <w:rPr>
                <w:color w:val="000000"/>
              </w:rPr>
              <w:t>Yes</w:t>
            </w:r>
          </w:p>
        </w:tc>
      </w:tr>
      <w:tr w:rsidRPr="00AB1866" w:rsidR="00A92D0B" w:rsidTr="00F7505D" w14:paraId="21495D84" w14:textId="77777777">
        <w:trPr>
          <w:jc w:val="center"/>
        </w:trPr>
        <w:tc>
          <w:tcPr>
            <w:tcW w:w="9720" w:type="dxa"/>
            <w:gridSpan w:val="3"/>
            <w:tcBorders>
              <w:top w:val="single" w:color="auto" w:sz="4" w:space="0"/>
              <w:left w:val="single" w:color="auto" w:sz="4" w:space="0"/>
              <w:bottom w:val="single" w:color="auto" w:sz="4" w:space="0"/>
              <w:right w:val="single" w:color="auto" w:sz="4" w:space="0"/>
            </w:tcBorders>
            <w:shd w:val="clear" w:color="auto" w:fill="E6E6E6"/>
          </w:tcPr>
          <w:p w:rsidRPr="00AB1866" w:rsidR="00A92D0B" w:rsidP="00A92D0B" w:rsidRDefault="00A92D0B" w14:paraId="6EB1424C" w14:textId="77777777">
            <w:pPr>
              <w:tabs>
                <w:tab w:val="left" w:pos="360"/>
              </w:tabs>
              <w:spacing w:before="60"/>
              <w:jc w:val="center"/>
              <w:rPr>
                <w:color w:val="000000"/>
                <w:sz w:val="22"/>
                <w:szCs w:val="22"/>
              </w:rPr>
            </w:pPr>
            <w:r w:rsidRPr="00AB1866">
              <w:rPr>
                <w:b/>
                <w:color w:val="000000"/>
                <w:sz w:val="22"/>
                <w:szCs w:val="22"/>
              </w:rPr>
              <w:t>Showing of “significant financial hardship” (§ 1802(g)):</w:t>
            </w:r>
          </w:p>
        </w:tc>
      </w:tr>
      <w:tr w:rsidRPr="00AB1866" w:rsidR="00A92D0B" w:rsidTr="00F7505D" w14:paraId="5CC18850" w14:textId="77777777">
        <w:trPr>
          <w:jc w:val="center"/>
        </w:trPr>
        <w:tc>
          <w:tcPr>
            <w:tcW w:w="5040" w:type="dxa"/>
            <w:tcBorders>
              <w:top w:val="single" w:color="auto" w:sz="4" w:space="0"/>
            </w:tcBorders>
            <w:shd w:val="clear" w:color="auto" w:fill="auto"/>
          </w:tcPr>
          <w:p w:rsidRPr="00AB1866" w:rsidR="00A92D0B" w:rsidP="00E3786F" w:rsidRDefault="00FC72B7" w14:paraId="169546D4" w14:textId="77777777">
            <w:pPr>
              <w:tabs>
                <w:tab w:val="left" w:pos="315"/>
              </w:tabs>
              <w:spacing w:before="120"/>
              <w:ind w:left="360" w:hanging="360"/>
              <w:rPr>
                <w:color w:val="000000"/>
                <w:sz w:val="22"/>
                <w:szCs w:val="22"/>
              </w:rPr>
            </w:pPr>
            <w:r w:rsidRPr="00AB1866">
              <w:rPr>
                <w:color w:val="000000"/>
                <w:sz w:val="22"/>
                <w:szCs w:val="22"/>
              </w:rPr>
              <w:t xml:space="preserve"> </w:t>
            </w:r>
            <w:r w:rsidRPr="00AB1866" w:rsidR="00A92D0B">
              <w:rPr>
                <w:color w:val="000000"/>
                <w:sz w:val="22"/>
                <w:szCs w:val="22"/>
              </w:rPr>
              <w:t>9.  Based on ALJ ruling issued in proceeding number:</w:t>
            </w:r>
          </w:p>
        </w:tc>
        <w:tc>
          <w:tcPr>
            <w:tcW w:w="2340" w:type="dxa"/>
            <w:tcBorders>
              <w:top w:val="single" w:color="auto" w:sz="4" w:space="0"/>
            </w:tcBorders>
            <w:shd w:val="clear" w:color="auto" w:fill="auto"/>
          </w:tcPr>
          <w:p w:rsidRPr="00AB1866" w:rsidR="00A92D0B" w:rsidP="00AF5142" w:rsidRDefault="00A92D0B" w14:paraId="77CAFD7E" w14:textId="77777777">
            <w:pPr>
              <w:tabs>
                <w:tab w:val="left" w:pos="360"/>
              </w:tabs>
              <w:spacing w:before="120"/>
              <w:ind w:hanging="360"/>
              <w:jc w:val="center"/>
              <w:rPr>
                <w:color w:val="000000"/>
              </w:rPr>
            </w:pPr>
          </w:p>
        </w:tc>
        <w:tc>
          <w:tcPr>
            <w:tcW w:w="2340" w:type="dxa"/>
            <w:tcBorders>
              <w:top w:val="single" w:color="auto" w:sz="4" w:space="0"/>
            </w:tcBorders>
            <w:shd w:val="clear" w:color="auto" w:fill="auto"/>
          </w:tcPr>
          <w:p w:rsidRPr="00AB1866" w:rsidR="00A92D0B" w:rsidP="00A92D0B" w:rsidRDefault="00FA33B4" w14:paraId="416BB9BE" w14:textId="77777777">
            <w:pPr>
              <w:tabs>
                <w:tab w:val="left" w:pos="360"/>
              </w:tabs>
              <w:spacing w:before="120"/>
              <w:rPr>
                <w:color w:val="000000"/>
              </w:rPr>
            </w:pPr>
            <w:r w:rsidRPr="00AB1866">
              <w:rPr>
                <w:color w:val="000000"/>
              </w:rPr>
              <w:t>R.12-12-010</w:t>
            </w:r>
          </w:p>
        </w:tc>
      </w:tr>
      <w:tr w:rsidRPr="00AB1866" w:rsidR="00A92D0B" w:rsidTr="00F7505D" w14:paraId="01E33157" w14:textId="77777777">
        <w:trPr>
          <w:jc w:val="center"/>
        </w:trPr>
        <w:tc>
          <w:tcPr>
            <w:tcW w:w="5040" w:type="dxa"/>
            <w:shd w:val="clear" w:color="auto" w:fill="auto"/>
          </w:tcPr>
          <w:p w:rsidRPr="00AB1866" w:rsidR="00A92D0B" w:rsidP="00A92D0B" w:rsidRDefault="00A92D0B" w14:paraId="07973A2F" w14:textId="77777777">
            <w:pPr>
              <w:tabs>
                <w:tab w:val="left" w:pos="315"/>
              </w:tabs>
              <w:spacing w:before="120"/>
              <w:ind w:left="360" w:hanging="360"/>
              <w:rPr>
                <w:color w:val="000000"/>
                <w:sz w:val="22"/>
                <w:szCs w:val="22"/>
              </w:rPr>
            </w:pPr>
            <w:r w:rsidRPr="00AB1866">
              <w:rPr>
                <w:color w:val="000000"/>
                <w:sz w:val="22"/>
                <w:szCs w:val="22"/>
              </w:rPr>
              <w:t>10.</w:t>
            </w:r>
            <w:r w:rsidRPr="00AB1866">
              <w:rPr>
                <w:color w:val="000000"/>
                <w:sz w:val="22"/>
                <w:szCs w:val="22"/>
              </w:rPr>
              <w:tab/>
            </w:r>
            <w:r w:rsidRPr="00AB1866" w:rsidR="00FC72B7">
              <w:rPr>
                <w:color w:val="000000"/>
                <w:sz w:val="22"/>
                <w:szCs w:val="22"/>
              </w:rPr>
              <w:t xml:space="preserve"> </w:t>
            </w:r>
            <w:r w:rsidRPr="00AB1866">
              <w:rPr>
                <w:color w:val="000000"/>
                <w:sz w:val="22"/>
                <w:szCs w:val="22"/>
              </w:rPr>
              <w:t>Date of ALJ ruling:</w:t>
            </w:r>
          </w:p>
        </w:tc>
        <w:tc>
          <w:tcPr>
            <w:tcW w:w="2340" w:type="dxa"/>
            <w:shd w:val="clear" w:color="auto" w:fill="auto"/>
          </w:tcPr>
          <w:p w:rsidRPr="00AB1866" w:rsidR="00A92D0B" w:rsidP="00AF5142" w:rsidRDefault="00A92D0B" w14:paraId="4F9FDDBD" w14:textId="77777777">
            <w:pPr>
              <w:tabs>
                <w:tab w:val="left" w:pos="360"/>
              </w:tabs>
              <w:spacing w:before="120"/>
              <w:ind w:hanging="360"/>
              <w:jc w:val="center"/>
              <w:rPr>
                <w:color w:val="000000"/>
              </w:rPr>
            </w:pPr>
          </w:p>
        </w:tc>
        <w:tc>
          <w:tcPr>
            <w:tcW w:w="2340" w:type="dxa"/>
            <w:shd w:val="clear" w:color="auto" w:fill="auto"/>
          </w:tcPr>
          <w:p w:rsidRPr="00AB1866" w:rsidR="00A92D0B" w:rsidP="00A92D0B" w:rsidRDefault="00FA33B4" w14:paraId="430A6C22" w14:textId="77777777">
            <w:pPr>
              <w:tabs>
                <w:tab w:val="left" w:pos="360"/>
              </w:tabs>
              <w:spacing w:before="120"/>
              <w:rPr>
                <w:color w:val="000000"/>
              </w:rPr>
            </w:pPr>
            <w:r w:rsidRPr="00AB1866">
              <w:rPr>
                <w:color w:val="000000"/>
              </w:rPr>
              <w:t>09/04/2014</w:t>
            </w:r>
          </w:p>
        </w:tc>
      </w:tr>
      <w:tr w:rsidRPr="00AB1866" w:rsidR="00357F1A" w:rsidTr="00F7505D" w14:paraId="22D82D86" w14:textId="77777777">
        <w:trPr>
          <w:jc w:val="center"/>
        </w:trPr>
        <w:tc>
          <w:tcPr>
            <w:tcW w:w="5040" w:type="dxa"/>
            <w:shd w:val="clear" w:color="auto" w:fill="auto"/>
          </w:tcPr>
          <w:p w:rsidRPr="00AB1866" w:rsidR="00357F1A" w:rsidP="00357F1A" w:rsidRDefault="00357F1A" w14:paraId="03E89A0C" w14:textId="77777777">
            <w:pPr>
              <w:tabs>
                <w:tab w:val="left" w:pos="315"/>
              </w:tabs>
              <w:spacing w:before="120"/>
              <w:ind w:left="360" w:hanging="360"/>
              <w:rPr>
                <w:color w:val="000000"/>
                <w:sz w:val="22"/>
                <w:szCs w:val="22"/>
              </w:rPr>
            </w:pPr>
            <w:r w:rsidRPr="00AB1866">
              <w:rPr>
                <w:color w:val="000000"/>
                <w:sz w:val="22"/>
                <w:szCs w:val="22"/>
              </w:rPr>
              <w:t>11. Based on another CPUC determination (specify):</w:t>
            </w:r>
          </w:p>
        </w:tc>
        <w:tc>
          <w:tcPr>
            <w:tcW w:w="2340" w:type="dxa"/>
            <w:shd w:val="clear" w:color="auto" w:fill="auto"/>
          </w:tcPr>
          <w:p w:rsidRPr="00AB1866" w:rsidR="00357F1A" w:rsidP="006E1C1E" w:rsidRDefault="005E2F4C" w14:paraId="0D6A5DC3" w14:textId="77777777">
            <w:pPr>
              <w:tabs>
                <w:tab w:val="left" w:pos="360"/>
              </w:tabs>
              <w:spacing w:before="120"/>
              <w:ind w:hanging="360"/>
              <w:jc w:val="center"/>
              <w:rPr>
                <w:color w:val="000000"/>
              </w:rPr>
            </w:pPr>
            <w:r w:rsidRPr="00AB1866">
              <w:rPr>
                <w:color w:val="000000"/>
              </w:rPr>
              <w:t>D.1</w:t>
            </w:r>
            <w:r w:rsidRPr="00AB1866" w:rsidR="006E1C1E">
              <w:rPr>
                <w:color w:val="000000"/>
              </w:rPr>
              <w:t>9</w:t>
            </w:r>
            <w:r w:rsidRPr="00AB1866">
              <w:rPr>
                <w:color w:val="000000"/>
              </w:rPr>
              <w:t>-0</w:t>
            </w:r>
            <w:r w:rsidRPr="00AB1866" w:rsidR="006E1C1E">
              <w:rPr>
                <w:color w:val="000000"/>
              </w:rPr>
              <w:t>1</w:t>
            </w:r>
            <w:r w:rsidRPr="00AB1866">
              <w:rPr>
                <w:color w:val="000000"/>
              </w:rPr>
              <w:t>-01</w:t>
            </w:r>
            <w:r w:rsidRPr="00AB1866" w:rsidR="006E1C1E">
              <w:rPr>
                <w:color w:val="000000"/>
              </w:rPr>
              <w:t>6</w:t>
            </w:r>
          </w:p>
        </w:tc>
        <w:tc>
          <w:tcPr>
            <w:tcW w:w="2340" w:type="dxa"/>
            <w:shd w:val="clear" w:color="auto" w:fill="auto"/>
          </w:tcPr>
          <w:p w:rsidRPr="00AB1866" w:rsidR="00357F1A" w:rsidP="00A92D0B" w:rsidRDefault="00EC3F9A" w14:paraId="449BAA11" w14:textId="77777777">
            <w:pPr>
              <w:tabs>
                <w:tab w:val="left" w:pos="360"/>
              </w:tabs>
              <w:spacing w:before="120"/>
              <w:rPr>
                <w:color w:val="000000"/>
              </w:rPr>
            </w:pPr>
            <w:r w:rsidRPr="00AB1866">
              <w:rPr>
                <w:color w:val="000000"/>
              </w:rPr>
              <w:t>Verified</w:t>
            </w:r>
          </w:p>
        </w:tc>
      </w:tr>
      <w:tr w:rsidRPr="00AB1866" w:rsidR="00A92D0B" w:rsidTr="00F7505D" w14:paraId="78815F86" w14:textId="77777777">
        <w:trPr>
          <w:jc w:val="center"/>
        </w:trPr>
        <w:tc>
          <w:tcPr>
            <w:tcW w:w="7380" w:type="dxa"/>
            <w:gridSpan w:val="2"/>
            <w:tcBorders>
              <w:bottom w:val="single" w:color="auto" w:sz="4" w:space="0"/>
            </w:tcBorders>
            <w:shd w:val="clear" w:color="auto" w:fill="auto"/>
          </w:tcPr>
          <w:p w:rsidRPr="00AB1866" w:rsidR="00A92D0B" w:rsidP="005A63D4" w:rsidRDefault="00A92D0B" w14:paraId="5A5739A8" w14:textId="77777777">
            <w:pPr>
              <w:tabs>
                <w:tab w:val="left" w:pos="360"/>
              </w:tabs>
              <w:spacing w:before="120"/>
              <w:ind w:hanging="360"/>
              <w:rPr>
                <w:color w:val="000000"/>
                <w:sz w:val="22"/>
                <w:szCs w:val="22"/>
              </w:rPr>
            </w:pPr>
            <w:r w:rsidRPr="00AB1866">
              <w:rPr>
                <w:color w:val="000000"/>
                <w:sz w:val="22"/>
                <w:szCs w:val="22"/>
              </w:rPr>
              <w:t xml:space="preserve">12. 12. </w:t>
            </w:r>
            <w:r w:rsidRPr="00AB1866" w:rsidR="00FC72B7">
              <w:rPr>
                <w:color w:val="000000"/>
                <w:sz w:val="22"/>
                <w:szCs w:val="22"/>
              </w:rPr>
              <w:t xml:space="preserve"> </w:t>
            </w:r>
            <w:r w:rsidRPr="00AB1866">
              <w:rPr>
                <w:color w:val="000000"/>
                <w:sz w:val="22"/>
                <w:szCs w:val="22"/>
              </w:rPr>
              <w:t>Has the</w:t>
            </w:r>
            <w:r w:rsidRPr="00AB1866" w:rsidR="00A319DE">
              <w:rPr>
                <w:color w:val="000000"/>
                <w:sz w:val="22"/>
                <w:szCs w:val="22"/>
              </w:rPr>
              <w:t xml:space="preserve"> </w:t>
            </w:r>
            <w:r w:rsidRPr="00AB1866" w:rsidR="005A63D4">
              <w:rPr>
                <w:color w:val="000000"/>
                <w:sz w:val="22"/>
                <w:szCs w:val="22"/>
              </w:rPr>
              <w:t>Intervenor</w:t>
            </w:r>
            <w:r w:rsidRPr="00AB1866">
              <w:rPr>
                <w:color w:val="000000"/>
                <w:sz w:val="22"/>
                <w:szCs w:val="22"/>
              </w:rPr>
              <w:t xml:space="preserve"> demonstrated significant financial hardship?</w:t>
            </w:r>
          </w:p>
        </w:tc>
        <w:tc>
          <w:tcPr>
            <w:tcW w:w="2340" w:type="dxa"/>
            <w:tcBorders>
              <w:bottom w:val="single" w:color="auto" w:sz="4" w:space="0"/>
            </w:tcBorders>
            <w:shd w:val="clear" w:color="auto" w:fill="auto"/>
          </w:tcPr>
          <w:p w:rsidRPr="00AB1866" w:rsidR="00A92D0B" w:rsidP="00A92D0B" w:rsidRDefault="006B44DC" w14:paraId="5F4BC2E9" w14:textId="77777777">
            <w:pPr>
              <w:tabs>
                <w:tab w:val="left" w:pos="360"/>
              </w:tabs>
              <w:spacing w:before="120"/>
              <w:rPr>
                <w:color w:val="000000"/>
              </w:rPr>
            </w:pPr>
            <w:r w:rsidRPr="00AB1866">
              <w:rPr>
                <w:color w:val="000000"/>
              </w:rPr>
              <w:t>Yes</w:t>
            </w:r>
          </w:p>
        </w:tc>
      </w:tr>
      <w:tr w:rsidRPr="00AB1866" w:rsidR="00A92D0B" w:rsidTr="00F7505D" w14:paraId="60409217" w14:textId="77777777">
        <w:trPr>
          <w:jc w:val="center"/>
        </w:trPr>
        <w:tc>
          <w:tcPr>
            <w:tcW w:w="9720" w:type="dxa"/>
            <w:gridSpan w:val="3"/>
            <w:tcBorders>
              <w:top w:val="single" w:color="auto" w:sz="4" w:space="0"/>
              <w:left w:val="single" w:color="auto" w:sz="4" w:space="0"/>
              <w:bottom w:val="single" w:color="auto" w:sz="4" w:space="0"/>
              <w:right w:val="single" w:color="auto" w:sz="4" w:space="0"/>
            </w:tcBorders>
            <w:shd w:val="clear" w:color="auto" w:fill="E6E6E6"/>
          </w:tcPr>
          <w:p w:rsidRPr="00AB1866" w:rsidR="00A92D0B" w:rsidP="00A92D0B" w:rsidRDefault="00A92D0B" w14:paraId="163A93B0" w14:textId="77777777">
            <w:pPr>
              <w:tabs>
                <w:tab w:val="left" w:pos="360"/>
              </w:tabs>
              <w:spacing w:before="60"/>
              <w:jc w:val="center"/>
              <w:rPr>
                <w:color w:val="000000"/>
                <w:sz w:val="22"/>
                <w:szCs w:val="22"/>
              </w:rPr>
            </w:pPr>
            <w:r w:rsidRPr="00AB1866">
              <w:rPr>
                <w:b/>
                <w:color w:val="000000"/>
                <w:sz w:val="22"/>
                <w:szCs w:val="22"/>
              </w:rPr>
              <w:t>Timely request for compensation (§ 1804(c)):</w:t>
            </w:r>
          </w:p>
        </w:tc>
      </w:tr>
      <w:tr w:rsidRPr="00AB1866" w:rsidR="00A92D0B" w:rsidTr="00F7505D" w14:paraId="4702BDD7" w14:textId="77777777">
        <w:trPr>
          <w:jc w:val="center"/>
        </w:trPr>
        <w:tc>
          <w:tcPr>
            <w:tcW w:w="5040" w:type="dxa"/>
            <w:tcBorders>
              <w:top w:val="single" w:color="auto" w:sz="4" w:space="0"/>
            </w:tcBorders>
            <w:shd w:val="clear" w:color="auto" w:fill="auto"/>
          </w:tcPr>
          <w:p w:rsidRPr="00AB1866" w:rsidR="00A92D0B" w:rsidP="00A92D0B" w:rsidRDefault="00A92D0B" w14:paraId="28315D51" w14:textId="77777777">
            <w:pPr>
              <w:keepNext/>
              <w:tabs>
                <w:tab w:val="left" w:pos="612"/>
              </w:tabs>
              <w:spacing w:before="120"/>
              <w:ind w:left="360" w:hanging="360"/>
              <w:rPr>
                <w:color w:val="000000"/>
                <w:sz w:val="22"/>
                <w:szCs w:val="22"/>
              </w:rPr>
            </w:pPr>
            <w:r w:rsidRPr="00AB1866">
              <w:rPr>
                <w:color w:val="000000"/>
                <w:sz w:val="22"/>
                <w:szCs w:val="22"/>
              </w:rPr>
              <w:t>13.  Identify Final Decision:</w:t>
            </w:r>
          </w:p>
        </w:tc>
        <w:tc>
          <w:tcPr>
            <w:tcW w:w="2340" w:type="dxa"/>
            <w:tcBorders>
              <w:top w:val="single" w:color="auto" w:sz="4" w:space="0"/>
            </w:tcBorders>
            <w:shd w:val="clear" w:color="auto" w:fill="auto"/>
          </w:tcPr>
          <w:p w:rsidRPr="00AB1866" w:rsidR="00A92D0B" w:rsidP="006E1C1E" w:rsidRDefault="005E2F4C" w14:paraId="08D5A18E" w14:textId="77777777">
            <w:pPr>
              <w:tabs>
                <w:tab w:val="left" w:pos="360"/>
              </w:tabs>
              <w:spacing w:before="120"/>
              <w:rPr>
                <w:color w:val="000000"/>
              </w:rPr>
            </w:pPr>
            <w:r w:rsidRPr="00AB1866">
              <w:rPr>
                <w:color w:val="000000"/>
              </w:rPr>
              <w:t>D</w:t>
            </w:r>
            <w:r w:rsidRPr="00AB1866" w:rsidR="00D83A92">
              <w:rPr>
                <w:color w:val="000000"/>
              </w:rPr>
              <w:t>.1</w:t>
            </w:r>
            <w:r w:rsidRPr="00AB1866">
              <w:rPr>
                <w:color w:val="000000"/>
              </w:rPr>
              <w:t>9</w:t>
            </w:r>
            <w:r w:rsidRPr="00AB1866" w:rsidR="00D83A92">
              <w:rPr>
                <w:color w:val="000000"/>
              </w:rPr>
              <w:t>-</w:t>
            </w:r>
            <w:r w:rsidRPr="00AB1866">
              <w:rPr>
                <w:color w:val="000000"/>
              </w:rPr>
              <w:t>0</w:t>
            </w:r>
            <w:r w:rsidRPr="00AB1866" w:rsidR="006E1C1E">
              <w:rPr>
                <w:color w:val="000000"/>
              </w:rPr>
              <w:t>5</w:t>
            </w:r>
            <w:r w:rsidRPr="00AB1866" w:rsidR="00D83A92">
              <w:rPr>
                <w:color w:val="000000"/>
              </w:rPr>
              <w:t>-</w:t>
            </w:r>
            <w:r w:rsidRPr="00AB1866" w:rsidR="00AB0D5E">
              <w:rPr>
                <w:color w:val="000000"/>
              </w:rPr>
              <w:t>0</w:t>
            </w:r>
            <w:r w:rsidRPr="00AB1866" w:rsidR="006E1C1E">
              <w:rPr>
                <w:color w:val="000000"/>
              </w:rPr>
              <w:t>38</w:t>
            </w:r>
          </w:p>
        </w:tc>
        <w:tc>
          <w:tcPr>
            <w:tcW w:w="2340" w:type="dxa"/>
            <w:tcBorders>
              <w:top w:val="single" w:color="auto" w:sz="4" w:space="0"/>
            </w:tcBorders>
            <w:shd w:val="clear" w:color="auto" w:fill="auto"/>
          </w:tcPr>
          <w:p w:rsidRPr="00AB1866" w:rsidR="00A92D0B" w:rsidP="00A92D0B" w:rsidRDefault="00EC3F9A" w14:paraId="06A36FC0" w14:textId="77777777">
            <w:pPr>
              <w:tabs>
                <w:tab w:val="left" w:pos="360"/>
              </w:tabs>
              <w:spacing w:before="120"/>
              <w:rPr>
                <w:color w:val="000000"/>
              </w:rPr>
            </w:pPr>
            <w:r w:rsidRPr="00AB1866">
              <w:rPr>
                <w:color w:val="000000"/>
              </w:rPr>
              <w:t>Verified</w:t>
            </w:r>
          </w:p>
        </w:tc>
      </w:tr>
      <w:tr w:rsidRPr="00AB1866" w:rsidR="00A92D0B" w:rsidTr="00F7505D" w14:paraId="5566D934" w14:textId="77777777">
        <w:trPr>
          <w:jc w:val="center"/>
        </w:trPr>
        <w:tc>
          <w:tcPr>
            <w:tcW w:w="5040" w:type="dxa"/>
            <w:shd w:val="clear" w:color="auto" w:fill="auto"/>
          </w:tcPr>
          <w:p w:rsidRPr="00AB1866" w:rsidR="00A92D0B" w:rsidP="00A92D0B" w:rsidRDefault="00A92D0B" w14:paraId="4F39B792" w14:textId="77777777">
            <w:pPr>
              <w:keepNext/>
              <w:tabs>
                <w:tab w:val="left" w:pos="612"/>
              </w:tabs>
              <w:spacing w:before="120"/>
              <w:ind w:left="360" w:hanging="360"/>
              <w:rPr>
                <w:color w:val="000000"/>
                <w:sz w:val="22"/>
                <w:szCs w:val="22"/>
              </w:rPr>
            </w:pPr>
            <w:r w:rsidRPr="00AB1866">
              <w:rPr>
                <w:color w:val="000000"/>
                <w:sz w:val="22"/>
                <w:szCs w:val="22"/>
              </w:rPr>
              <w:t xml:space="preserve">14. </w:t>
            </w:r>
            <w:r w:rsidRPr="00AB1866" w:rsidR="00FC72B7">
              <w:rPr>
                <w:color w:val="000000"/>
                <w:sz w:val="22"/>
                <w:szCs w:val="22"/>
              </w:rPr>
              <w:t xml:space="preserve"> </w:t>
            </w:r>
            <w:r w:rsidRPr="00AB1866">
              <w:rPr>
                <w:color w:val="000000"/>
                <w:sz w:val="22"/>
                <w:szCs w:val="22"/>
              </w:rPr>
              <w:t xml:space="preserve">Date of </w:t>
            </w:r>
            <w:r w:rsidRPr="00AB1866" w:rsidR="00A319DE">
              <w:rPr>
                <w:color w:val="000000"/>
                <w:sz w:val="22"/>
                <w:szCs w:val="22"/>
              </w:rPr>
              <w:t>i</w:t>
            </w:r>
            <w:r w:rsidRPr="00AB1866">
              <w:rPr>
                <w:color w:val="000000"/>
                <w:sz w:val="22"/>
                <w:szCs w:val="22"/>
              </w:rPr>
              <w:t xml:space="preserve">ssuance of Final Order or Decision:    </w:t>
            </w:r>
          </w:p>
        </w:tc>
        <w:tc>
          <w:tcPr>
            <w:tcW w:w="2340" w:type="dxa"/>
            <w:shd w:val="clear" w:color="auto" w:fill="auto"/>
          </w:tcPr>
          <w:p w:rsidRPr="00AB1866" w:rsidR="00A92D0B" w:rsidP="006E1C1E" w:rsidRDefault="006E1C1E" w14:paraId="74444D67" w14:textId="77777777">
            <w:pPr>
              <w:tabs>
                <w:tab w:val="left" w:pos="360"/>
              </w:tabs>
              <w:spacing w:before="120"/>
              <w:rPr>
                <w:color w:val="000000"/>
              </w:rPr>
            </w:pPr>
            <w:r w:rsidRPr="00AB1866">
              <w:rPr>
                <w:color w:val="000000"/>
              </w:rPr>
              <w:t>June</w:t>
            </w:r>
            <w:r w:rsidRPr="00AB1866" w:rsidR="005E2F4C">
              <w:rPr>
                <w:color w:val="000000"/>
              </w:rPr>
              <w:t xml:space="preserve"> </w:t>
            </w:r>
            <w:r w:rsidRPr="00AB1866">
              <w:rPr>
                <w:color w:val="000000"/>
              </w:rPr>
              <w:t>4</w:t>
            </w:r>
            <w:r w:rsidRPr="00AB1866" w:rsidR="005E65D8">
              <w:rPr>
                <w:color w:val="000000"/>
              </w:rPr>
              <w:t>, 201</w:t>
            </w:r>
            <w:r w:rsidRPr="00AB1866" w:rsidR="00830CB3">
              <w:rPr>
                <w:color w:val="000000"/>
              </w:rPr>
              <w:t>9</w:t>
            </w:r>
          </w:p>
        </w:tc>
        <w:tc>
          <w:tcPr>
            <w:tcW w:w="2340" w:type="dxa"/>
            <w:shd w:val="clear" w:color="auto" w:fill="auto"/>
          </w:tcPr>
          <w:p w:rsidRPr="00AB1866" w:rsidR="00A92D0B" w:rsidP="00A92D0B" w:rsidRDefault="00EC3F9A" w14:paraId="7B5A61CC" w14:textId="77777777">
            <w:pPr>
              <w:tabs>
                <w:tab w:val="left" w:pos="360"/>
              </w:tabs>
              <w:spacing w:before="120"/>
              <w:rPr>
                <w:color w:val="000000"/>
              </w:rPr>
            </w:pPr>
            <w:r w:rsidRPr="00AB1866">
              <w:rPr>
                <w:color w:val="000000"/>
              </w:rPr>
              <w:t>Verified</w:t>
            </w:r>
          </w:p>
        </w:tc>
      </w:tr>
      <w:tr w:rsidRPr="00AB1866" w:rsidR="00A92D0B" w:rsidTr="00F7505D" w14:paraId="36E81BEC" w14:textId="77777777">
        <w:trPr>
          <w:jc w:val="center"/>
        </w:trPr>
        <w:tc>
          <w:tcPr>
            <w:tcW w:w="5040" w:type="dxa"/>
            <w:shd w:val="clear" w:color="auto" w:fill="auto"/>
          </w:tcPr>
          <w:p w:rsidRPr="00AB1866" w:rsidR="00A92D0B" w:rsidP="00A92D0B" w:rsidRDefault="00A92D0B" w14:paraId="65A770BC" w14:textId="77777777">
            <w:pPr>
              <w:keepNext/>
              <w:tabs>
                <w:tab w:val="left" w:pos="612"/>
              </w:tabs>
              <w:spacing w:before="120"/>
              <w:ind w:left="360" w:hanging="360"/>
              <w:rPr>
                <w:color w:val="000000"/>
                <w:sz w:val="22"/>
                <w:szCs w:val="22"/>
              </w:rPr>
            </w:pPr>
            <w:r w:rsidRPr="00AB1866">
              <w:rPr>
                <w:color w:val="000000"/>
                <w:sz w:val="22"/>
                <w:szCs w:val="22"/>
              </w:rPr>
              <w:t xml:space="preserve">15. </w:t>
            </w:r>
            <w:r w:rsidRPr="00AB1866" w:rsidR="00FC72B7">
              <w:rPr>
                <w:color w:val="000000"/>
                <w:sz w:val="22"/>
                <w:szCs w:val="22"/>
              </w:rPr>
              <w:t xml:space="preserve"> </w:t>
            </w:r>
            <w:r w:rsidRPr="00AB1866">
              <w:rPr>
                <w:color w:val="000000"/>
                <w:sz w:val="22"/>
                <w:szCs w:val="22"/>
              </w:rPr>
              <w:t>File date of compensation request:</w:t>
            </w:r>
          </w:p>
        </w:tc>
        <w:tc>
          <w:tcPr>
            <w:tcW w:w="2340" w:type="dxa"/>
            <w:shd w:val="clear" w:color="auto" w:fill="auto"/>
          </w:tcPr>
          <w:p w:rsidRPr="00AB1866" w:rsidR="00A92D0B" w:rsidP="00B03F74" w:rsidRDefault="006E1C1E" w14:paraId="639CDC1F" w14:textId="77777777">
            <w:pPr>
              <w:tabs>
                <w:tab w:val="left" w:pos="360"/>
              </w:tabs>
              <w:spacing w:before="120"/>
              <w:rPr>
                <w:color w:val="000000"/>
              </w:rPr>
            </w:pPr>
            <w:r w:rsidRPr="00AB1866">
              <w:rPr>
                <w:color w:val="000000"/>
              </w:rPr>
              <w:t>July</w:t>
            </w:r>
            <w:r w:rsidRPr="00AB1866" w:rsidR="005A6B98">
              <w:rPr>
                <w:color w:val="000000"/>
              </w:rPr>
              <w:t xml:space="preserve"> </w:t>
            </w:r>
            <w:r w:rsidRPr="00AB1866" w:rsidR="00B03F74">
              <w:rPr>
                <w:color w:val="000000"/>
              </w:rPr>
              <w:t>19</w:t>
            </w:r>
            <w:r w:rsidRPr="00AB1866" w:rsidR="005F316E">
              <w:rPr>
                <w:color w:val="000000"/>
              </w:rPr>
              <w:t>, 201</w:t>
            </w:r>
            <w:r w:rsidRPr="00AB1866" w:rsidR="00CB1B78">
              <w:rPr>
                <w:color w:val="000000"/>
              </w:rPr>
              <w:t>9</w:t>
            </w:r>
          </w:p>
        </w:tc>
        <w:tc>
          <w:tcPr>
            <w:tcW w:w="2340" w:type="dxa"/>
            <w:shd w:val="clear" w:color="auto" w:fill="auto"/>
          </w:tcPr>
          <w:p w:rsidRPr="00AB1866" w:rsidR="00A92D0B" w:rsidP="00A92D0B" w:rsidRDefault="00511DC9" w14:paraId="13B58CD2" w14:textId="77777777">
            <w:pPr>
              <w:tabs>
                <w:tab w:val="left" w:pos="360"/>
              </w:tabs>
              <w:spacing w:before="120"/>
              <w:rPr>
                <w:color w:val="000000"/>
              </w:rPr>
            </w:pPr>
            <w:r w:rsidRPr="00AB1866">
              <w:rPr>
                <w:color w:val="000000"/>
              </w:rPr>
              <w:t>Verified</w:t>
            </w:r>
          </w:p>
        </w:tc>
      </w:tr>
      <w:tr w:rsidRPr="00AB1866" w:rsidR="00A92D0B" w:rsidTr="00F7505D" w14:paraId="3C82C8F9" w14:textId="77777777">
        <w:trPr>
          <w:jc w:val="center"/>
        </w:trPr>
        <w:tc>
          <w:tcPr>
            <w:tcW w:w="7380" w:type="dxa"/>
            <w:gridSpan w:val="2"/>
            <w:shd w:val="clear" w:color="auto" w:fill="auto"/>
          </w:tcPr>
          <w:p w:rsidRPr="00AB1866" w:rsidR="00A92D0B" w:rsidP="00FC72B7" w:rsidRDefault="00A92D0B" w14:paraId="0183F917" w14:textId="77777777">
            <w:pPr>
              <w:tabs>
                <w:tab w:val="left" w:pos="360"/>
              </w:tabs>
              <w:spacing w:before="120"/>
              <w:ind w:left="360" w:hanging="360"/>
              <w:rPr>
                <w:color w:val="000000"/>
                <w:sz w:val="22"/>
                <w:szCs w:val="22"/>
              </w:rPr>
            </w:pPr>
            <w:r w:rsidRPr="00AB1866">
              <w:rPr>
                <w:color w:val="000000"/>
                <w:sz w:val="22"/>
                <w:szCs w:val="22"/>
              </w:rPr>
              <w:t>16. Was the request for compensation timely?</w:t>
            </w:r>
          </w:p>
        </w:tc>
        <w:tc>
          <w:tcPr>
            <w:tcW w:w="2340" w:type="dxa"/>
            <w:shd w:val="clear" w:color="auto" w:fill="auto"/>
          </w:tcPr>
          <w:p w:rsidRPr="00AB1866" w:rsidR="00A92D0B" w:rsidP="00A92D0B" w:rsidRDefault="00511DC9" w14:paraId="3EF79E5A" w14:textId="77777777">
            <w:pPr>
              <w:tabs>
                <w:tab w:val="left" w:pos="360"/>
              </w:tabs>
              <w:spacing w:before="120"/>
              <w:rPr>
                <w:color w:val="000000"/>
              </w:rPr>
            </w:pPr>
            <w:r w:rsidRPr="00AB1866">
              <w:rPr>
                <w:color w:val="000000"/>
              </w:rPr>
              <w:t>Yes</w:t>
            </w:r>
          </w:p>
        </w:tc>
      </w:tr>
    </w:tbl>
    <w:p w:rsidRPr="00AB1866" w:rsidR="00FA69C7" w:rsidP="00FA69C7" w:rsidRDefault="00FA69C7" w14:paraId="0064DB71" w14:textId="77777777">
      <w:pPr>
        <w:rPr>
          <w:color w:val="000000"/>
        </w:rPr>
      </w:pPr>
    </w:p>
    <w:p w:rsidRPr="00AB1866" w:rsidR="00A92D0B" w:rsidP="005465FD" w:rsidRDefault="00A92D0B" w14:paraId="38432F81" w14:textId="77777777">
      <w:pPr>
        <w:keepNext/>
        <w:keepLines/>
        <w:jc w:val="center"/>
        <w:rPr>
          <w:color w:val="000000"/>
          <w:sz w:val="22"/>
          <w:szCs w:val="22"/>
        </w:rPr>
      </w:pPr>
      <w:r w:rsidRPr="00AB1866">
        <w:rPr>
          <w:b/>
          <w:color w:val="000000"/>
        </w:rPr>
        <w:lastRenderedPageBreak/>
        <w:t>PART II:  SUBSTANTIAL CONTRIBUTION</w:t>
      </w:r>
    </w:p>
    <w:p w:rsidRPr="00AB1866" w:rsidR="00A92D0B" w:rsidP="005465FD" w:rsidRDefault="00A92D0B" w14:paraId="04823D36" w14:textId="77777777">
      <w:pPr>
        <w:keepNext/>
        <w:keepLines/>
        <w:rPr>
          <w:color w:val="000000"/>
        </w:rPr>
      </w:pPr>
    </w:p>
    <w:p w:rsidRPr="00AB1866" w:rsidR="00AA5455" w:rsidP="005465FD" w:rsidRDefault="00D075B1" w14:paraId="1372FE36" w14:textId="77777777">
      <w:pPr>
        <w:keepNext/>
        <w:keepLines/>
        <w:numPr>
          <w:ilvl w:val="0"/>
          <w:numId w:val="1"/>
        </w:numPr>
        <w:tabs>
          <w:tab w:val="num" w:pos="360"/>
        </w:tabs>
        <w:spacing w:after="120"/>
        <w:ind w:left="360"/>
        <w:rPr>
          <w:b/>
          <w:color w:val="000000"/>
          <w:sz w:val="20"/>
          <w:szCs w:val="20"/>
        </w:rPr>
      </w:pPr>
      <w:r w:rsidRPr="00AB1866">
        <w:rPr>
          <w:b/>
          <w:color w:val="000000"/>
        </w:rPr>
        <w:t xml:space="preserve">Did the </w:t>
      </w:r>
      <w:r w:rsidRPr="00AB1866" w:rsidR="005A63D4">
        <w:rPr>
          <w:b/>
          <w:color w:val="000000"/>
        </w:rPr>
        <w:t>Intervenor</w:t>
      </w:r>
      <w:r w:rsidRPr="00AB1866">
        <w:rPr>
          <w:b/>
          <w:color w:val="000000"/>
        </w:rPr>
        <w:t xml:space="preserve"> substantially contribute to the final decision</w:t>
      </w:r>
      <w:r w:rsidRPr="00AB1866" w:rsidR="00A92D0B">
        <w:rPr>
          <w:b/>
          <w:color w:val="000000"/>
        </w:rPr>
        <w:t xml:space="preserve"> (</w:t>
      </w:r>
      <w:r w:rsidRPr="00AB1866" w:rsidR="00A92D0B">
        <w:rPr>
          <w:b/>
          <w:i/>
          <w:color w:val="000000"/>
        </w:rPr>
        <w:t>see</w:t>
      </w:r>
      <w:r w:rsidRPr="00AB1866" w:rsidR="00A92D0B">
        <w:rPr>
          <w:b/>
          <w:color w:val="000000"/>
        </w:rPr>
        <w:t xml:space="preserve"> § 1802(i), § 1803(a)</w:t>
      </w:r>
      <w:r w:rsidRPr="00AB1866" w:rsidR="00F30DA8">
        <w:rPr>
          <w:b/>
          <w:color w:val="000000"/>
        </w:rPr>
        <w:t>,</w:t>
      </w:r>
      <w:r w:rsidRPr="00AB1866" w:rsidR="00A92D0B">
        <w:rPr>
          <w:b/>
          <w:color w:val="000000"/>
        </w:rPr>
        <w:t xml:space="preserve"> </w:t>
      </w:r>
      <w:r w:rsidRPr="00AB1866" w:rsidR="00F30DA8">
        <w:rPr>
          <w:b/>
          <w:color w:val="000000"/>
        </w:rPr>
        <w:t>and</w:t>
      </w:r>
      <w:r w:rsidRPr="00AB1866" w:rsidR="00A92D0B">
        <w:rPr>
          <w:b/>
          <w:color w:val="000000"/>
        </w:rPr>
        <w:t xml:space="preserve"> D.98-04-059). </w:t>
      </w:r>
    </w:p>
    <w:tbl>
      <w:tblPr>
        <w:tblW w:w="97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58"/>
        <w:gridCol w:w="4140"/>
        <w:gridCol w:w="2340"/>
      </w:tblGrid>
      <w:tr w:rsidRPr="00AB1866" w:rsidR="00A92D0B" w:rsidTr="00F7505D" w14:paraId="0F34D11C" w14:textId="77777777">
        <w:trPr>
          <w:jc w:val="center"/>
        </w:trPr>
        <w:tc>
          <w:tcPr>
            <w:tcW w:w="3258" w:type="dxa"/>
            <w:tcBorders>
              <w:bottom w:val="single" w:color="auto" w:sz="4" w:space="0"/>
            </w:tcBorders>
            <w:shd w:val="pct12" w:color="auto" w:fill="auto"/>
          </w:tcPr>
          <w:p w:rsidRPr="00AB1866" w:rsidR="00A92D0B" w:rsidP="00020C10" w:rsidRDefault="00D075B1" w14:paraId="3D8F1CEF" w14:textId="77777777">
            <w:pPr>
              <w:spacing w:before="120"/>
            </w:pPr>
            <w:r w:rsidRPr="00AB1866">
              <w:t>Intervenor’s Claimed Contribution(s)</w:t>
            </w:r>
          </w:p>
        </w:tc>
        <w:tc>
          <w:tcPr>
            <w:tcW w:w="4140" w:type="dxa"/>
            <w:tcBorders>
              <w:bottom w:val="single" w:color="auto" w:sz="4" w:space="0"/>
            </w:tcBorders>
            <w:shd w:val="pct12" w:color="auto" w:fill="auto"/>
          </w:tcPr>
          <w:p w:rsidRPr="00AB1866" w:rsidR="00A92D0B" w:rsidP="00020C10" w:rsidRDefault="00A92D0B" w14:paraId="3655C2F5" w14:textId="77777777">
            <w:pPr>
              <w:spacing w:before="120"/>
            </w:pPr>
            <w:r w:rsidRPr="00AB1866">
              <w:t xml:space="preserve">Specific References to </w:t>
            </w:r>
            <w:r w:rsidRPr="00AB1866" w:rsidR="00D075B1">
              <w:t>Intervenor’s Claimed Contribution(s)</w:t>
            </w:r>
          </w:p>
        </w:tc>
        <w:tc>
          <w:tcPr>
            <w:tcW w:w="2340" w:type="dxa"/>
            <w:shd w:val="pct12" w:color="auto" w:fill="auto"/>
          </w:tcPr>
          <w:p w:rsidRPr="00AB1866" w:rsidR="00A92D0B" w:rsidP="00020C10" w:rsidRDefault="00D075B1" w14:paraId="13250B72" w14:textId="77777777">
            <w:pPr>
              <w:spacing w:before="120"/>
            </w:pPr>
            <w:r w:rsidRPr="00AB1866">
              <w:t>CPUC Discussion</w:t>
            </w:r>
          </w:p>
        </w:tc>
      </w:tr>
      <w:tr w:rsidRPr="00AB1866" w:rsidR="00A92D0B" w:rsidTr="00F7505D" w14:paraId="3E1E9893" w14:textId="77777777">
        <w:trPr>
          <w:jc w:val="center"/>
        </w:trPr>
        <w:tc>
          <w:tcPr>
            <w:tcW w:w="3258" w:type="dxa"/>
            <w:shd w:val="clear" w:color="auto" w:fill="auto"/>
          </w:tcPr>
          <w:p w:rsidRPr="00AB1866" w:rsidR="006A17DC" w:rsidP="00FB3EB9" w:rsidRDefault="006A17DC" w14:paraId="7846D797" w14:textId="77777777">
            <w:pPr>
              <w:spacing w:before="120"/>
              <w:rPr>
                <w:b/>
                <w:color w:val="000000"/>
              </w:rPr>
            </w:pPr>
          </w:p>
        </w:tc>
        <w:tc>
          <w:tcPr>
            <w:tcW w:w="4140" w:type="dxa"/>
            <w:shd w:val="clear" w:color="auto" w:fill="auto"/>
          </w:tcPr>
          <w:p w:rsidRPr="00AB1866" w:rsidR="00A92D0B" w:rsidP="00A92D0B" w:rsidRDefault="00AE1756" w14:paraId="50C9B371" w14:textId="77777777">
            <w:pPr>
              <w:spacing w:before="120"/>
              <w:rPr>
                <w:color w:val="000000"/>
              </w:rPr>
            </w:pPr>
            <w:r w:rsidRPr="00AB1866">
              <w:rPr>
                <w:color w:val="000000"/>
              </w:rPr>
              <w:t xml:space="preserve">(Please note that Attachment 2 includes a list </w:t>
            </w:r>
            <w:r w:rsidRPr="00AB1866" w:rsidR="00741B42">
              <w:rPr>
                <w:color w:val="000000"/>
              </w:rPr>
              <w:t xml:space="preserve">issue areas, and </w:t>
            </w:r>
            <w:r w:rsidRPr="00AB1866">
              <w:rPr>
                <w:color w:val="000000"/>
              </w:rPr>
              <w:t>of GPI Pleadings relevant to this Claim.)</w:t>
            </w:r>
          </w:p>
          <w:p w:rsidRPr="00AB1866" w:rsidR="00FB3EB9" w:rsidP="00A92D0B" w:rsidRDefault="00FB3EB9" w14:paraId="64F5CBFE" w14:textId="77777777">
            <w:pPr>
              <w:spacing w:before="120"/>
              <w:rPr>
                <w:color w:val="000000"/>
              </w:rPr>
            </w:pPr>
          </w:p>
        </w:tc>
        <w:tc>
          <w:tcPr>
            <w:tcW w:w="2340" w:type="dxa"/>
            <w:shd w:val="clear" w:color="auto" w:fill="auto"/>
          </w:tcPr>
          <w:p w:rsidRPr="00AB1866" w:rsidR="00A92D0B" w:rsidP="00A92D0B" w:rsidRDefault="00511DC9" w14:paraId="449FB63A" w14:textId="77777777">
            <w:pPr>
              <w:spacing w:before="120"/>
              <w:rPr>
                <w:color w:val="000000"/>
              </w:rPr>
            </w:pPr>
            <w:r w:rsidRPr="00AB1866">
              <w:rPr>
                <w:color w:val="000000"/>
              </w:rPr>
              <w:t>Noted</w:t>
            </w:r>
          </w:p>
        </w:tc>
      </w:tr>
      <w:tr w:rsidRPr="00AB1866" w:rsidR="00A92D0B" w:rsidTr="00F7505D" w14:paraId="387C2050" w14:textId="77777777">
        <w:trPr>
          <w:jc w:val="center"/>
        </w:trPr>
        <w:tc>
          <w:tcPr>
            <w:tcW w:w="3258" w:type="dxa"/>
            <w:shd w:val="clear" w:color="auto" w:fill="auto"/>
          </w:tcPr>
          <w:p w:rsidRPr="00AB1866" w:rsidR="00A92D0B" w:rsidP="00A92D0B" w:rsidRDefault="005D0002" w14:paraId="36D02083" w14:textId="77777777">
            <w:pPr>
              <w:spacing w:before="120"/>
              <w:rPr>
                <w:b/>
                <w:color w:val="000000"/>
              </w:rPr>
            </w:pPr>
            <w:r w:rsidRPr="00AB1866">
              <w:rPr>
                <w:b/>
                <w:color w:val="000000"/>
              </w:rPr>
              <w:t xml:space="preserve">1.  </w:t>
            </w:r>
            <w:r w:rsidRPr="00AB1866" w:rsidR="007B441A">
              <w:rPr>
                <w:b/>
                <w:color w:val="000000"/>
              </w:rPr>
              <w:t>Meaning of Commission Approval</w:t>
            </w:r>
            <w:r w:rsidRPr="00AB1866">
              <w:rPr>
                <w:b/>
                <w:color w:val="000000"/>
              </w:rPr>
              <w:t>.</w:t>
            </w:r>
          </w:p>
          <w:p w:rsidRPr="00AB1866" w:rsidR="007B441A" w:rsidP="007B441A" w:rsidRDefault="007B441A" w14:paraId="697C04A6" w14:textId="77777777">
            <w:pPr>
              <w:spacing w:before="120"/>
            </w:pPr>
            <w:r w:rsidRPr="00AB1866">
              <w:t>The GPI made substantial contributions to D.19-05-036 in the issue area of specifying the meaning of Commission approval of utility Wildfire Mitigation Plans.  In particular, the utilities argued that Commission approval of their WMPs conferred a guarantee of cost recovery, while the GPI joined other intervenors in arguing that cost recovery is a matter left to the utilities’ general rate case, where cost reasonableness can be properly determined.  D.19-05-036 adopts the GPI’s position on this matter, representing a substantial contribution on our part.</w:t>
            </w:r>
          </w:p>
          <w:p w:rsidRPr="00AB1866" w:rsidR="00020C10" w:rsidP="00AA5455" w:rsidRDefault="00020C10" w14:paraId="55CB43F2" w14:textId="77777777">
            <w:pPr>
              <w:spacing w:before="120"/>
            </w:pPr>
          </w:p>
          <w:p w:rsidRPr="00AB1866" w:rsidR="00020C10" w:rsidP="00AA5455" w:rsidRDefault="00020C10" w14:paraId="71FA8D7A" w14:textId="77777777">
            <w:pPr>
              <w:spacing w:before="120"/>
              <w:rPr>
                <w:color w:val="000000"/>
              </w:rPr>
            </w:pPr>
          </w:p>
        </w:tc>
        <w:tc>
          <w:tcPr>
            <w:tcW w:w="4140" w:type="dxa"/>
            <w:shd w:val="clear" w:color="auto" w:fill="auto"/>
          </w:tcPr>
          <w:p w:rsidRPr="00AB1866" w:rsidR="002255EA" w:rsidP="00C069B5" w:rsidRDefault="00C445BC" w14:paraId="3412771C" w14:textId="77777777">
            <w:pPr>
              <w:spacing w:before="120"/>
              <w:rPr>
                <w:b/>
                <w:color w:val="000000"/>
              </w:rPr>
            </w:pPr>
            <w:r w:rsidRPr="00AB1866">
              <w:rPr>
                <w:b/>
                <w:color w:val="000000"/>
              </w:rPr>
              <w:t>Decision</w:t>
            </w:r>
          </w:p>
          <w:p w:rsidRPr="00AB1866" w:rsidR="007B441A" w:rsidP="007B441A" w:rsidRDefault="007B441A" w14:paraId="43703554" w14:textId="6C02F89C">
            <w:pPr>
              <w:spacing w:before="120"/>
            </w:pPr>
            <w:r w:rsidRPr="00AB1866">
              <w:t>By contrast, many parties assert that SB 901 requires keeping approval of the WMPs separate from a judgment on reasonableness of any associated expenditures. They assert that the statute requires that reasonableness be left to GRC applications. They oppose treating the WMP proposals as compliance requirements,</w:t>
            </w:r>
            <w:r w:rsidR="004D146E">
              <w:t xml:space="preserve"> </w:t>
            </w:r>
            <w:r w:rsidRPr="00AB1866">
              <w:t xml:space="preserve">and allege that SB 901 does not support the IOUs’ claim that a finding of substantial compliance with the targets in a WMP satisfies the prudent manager standard.  </w:t>
            </w:r>
            <w:r w:rsidR="00D63574">
              <w:br/>
            </w:r>
            <w:r w:rsidRPr="00AB1866">
              <w:t>[D.19-05-036, pg. 17.]</w:t>
            </w:r>
          </w:p>
          <w:p w:rsidRPr="00AB1866" w:rsidR="007B441A" w:rsidP="007B441A" w:rsidRDefault="007B441A" w14:paraId="42BAAE48" w14:textId="77777777">
            <w:pPr>
              <w:spacing w:before="120"/>
            </w:pPr>
            <w:r w:rsidRPr="00AB1866">
              <w:t>Similarly, Green Power Institute (GPI) suggests the Commission take a similar approach here as in the Integrated Resource Plan process, where approval does not guarantee cost recovery, “although it can authorize specific procurements that are included in the plans…. As far as we can tell, no such authorizations were requested in the February 6, 2019, WMP filings.”  [D.19-05-036, pg. 19.]</w:t>
            </w:r>
          </w:p>
          <w:p w:rsidRPr="00AB1866" w:rsidR="007B441A" w:rsidP="007B441A" w:rsidRDefault="007B441A" w14:paraId="0EBCE709" w14:textId="77777777">
            <w:pPr>
              <w:spacing w:before="120"/>
            </w:pPr>
            <w:r w:rsidRPr="00AB1866">
              <w:t xml:space="preserve">Approval of the WMP does not determine whether, at the time an IOU seeks recovery for the costs of carrying out its plan, the IOU complied with the prudent manager standard. Indeed, approval of a WMP here is not dispositive of an IOU’s ultimate cost </w:t>
            </w:r>
            <w:r w:rsidRPr="00AB1866">
              <w:lastRenderedPageBreak/>
              <w:t>recovery for the operations and maintenance costs of hardening its system, managing vegetation, increasing situational awareness and taking the other steps to mitigate wildfire risk.  [D.19-05-036, pg. 20.]</w:t>
            </w:r>
          </w:p>
          <w:p w:rsidRPr="00AB1866" w:rsidR="007B441A" w:rsidP="007B441A" w:rsidRDefault="007B441A" w14:paraId="7FF806CD" w14:textId="6EB334F1">
            <w:pPr>
              <w:spacing w:before="120"/>
            </w:pPr>
            <w:r w:rsidRPr="00AB1866">
              <w:t xml:space="preserve">The question remains: what does WMP approval mean? Here again the statute provides the answer: approval means that every WMP contains 19 elements that the SB 901 Legislature deemed essential to catastrophic wildfire mitigation. Those elements are aimed at ensuring an electrical corporation has plans in place to protect the public from catastrophic wildfire. Without SB 901, existing wildfire-prevention and other safety requirements might not include all of the elements on the list.  </w:t>
            </w:r>
            <w:r w:rsidR="00D63574">
              <w:br/>
            </w:r>
            <w:r w:rsidRPr="00AB1866">
              <w:t>[D.19-05-036, pg. 25.]</w:t>
            </w:r>
          </w:p>
          <w:p w:rsidRPr="00AB1866" w:rsidR="00C445BC" w:rsidP="00C069B5" w:rsidRDefault="00C445BC" w14:paraId="6929F210" w14:textId="77777777">
            <w:pPr>
              <w:spacing w:before="120"/>
              <w:rPr>
                <w:b/>
                <w:color w:val="000000"/>
              </w:rPr>
            </w:pPr>
            <w:r w:rsidRPr="00AB1866">
              <w:rPr>
                <w:b/>
                <w:color w:val="000000"/>
              </w:rPr>
              <w:t>Pleadings</w:t>
            </w:r>
          </w:p>
          <w:p w:rsidRPr="00AB1866" w:rsidR="007B441A" w:rsidP="007B441A" w:rsidRDefault="007B441A" w14:paraId="093838F1" w14:textId="77777777">
            <w:pPr>
              <w:spacing w:before="120"/>
            </w:pPr>
            <w:r w:rsidRPr="00AB1866">
              <w:t>The GPI believes that the development and approval of the wildfire mitigation plans should be treated as a long-term planning exercise, much in the spirit of the IRP process that is currently nearing the completion of the initial round of its application in R.16-02-007.  Approval of the individual IRPs of the LSEs does not guarantee cost recovery for any actions included in the plans, although it can authorize specific procurements that are included in the plans.  The same approach should be applied to the WMPs.  Approval of the WMPs should not guarantee cost recovery for any or all actions included in the plans, but there is no reason why specific funding authorizations should not be able to be considered within the context of approval of the overall plan.  [GPI Comments, 3/13/19, pgs. 1-2.]</w:t>
            </w:r>
          </w:p>
          <w:p w:rsidRPr="00AB1866" w:rsidR="007B441A" w:rsidP="007B441A" w:rsidRDefault="007B441A" w14:paraId="4CED22F5" w14:textId="77777777">
            <w:pPr>
              <w:spacing w:before="120"/>
            </w:pPr>
            <w:r w:rsidRPr="00AB1866">
              <w:t xml:space="preserve">The GPI supports the PD’s determination that approval of an IOU’s WMP does not guarantee cost recovery.  </w:t>
            </w:r>
            <w:r w:rsidRPr="00AB1866">
              <w:lastRenderedPageBreak/>
              <w:t>Cost recovery is a matter to be determined in an IOU’s general rate case, along with a host of other expenses.  Indeed, this allocation of the responsibility for determining the suitability of cost recovery in the general rate case is explicitly specified in SB 901.  We also support the PD’s determination that approval of a WMP simply means that the plan fulfills all of the 19 elements that are explicitly required by the underlying legislation, although we do believe that certifying a WMP’s overall orientation to fulfilling the overarching goal of reducing fire risks and losses also has to be considered a prerequisite to Commission approval of the plan.  [GPI Comments on the Guidance Decision, 5/20/19, pgs. 1-2.]</w:t>
            </w:r>
          </w:p>
          <w:p w:rsidRPr="00AB1866" w:rsidR="00AA5455" w:rsidP="007B441A" w:rsidRDefault="00AA5455" w14:paraId="4062EDB1" w14:textId="77777777">
            <w:pPr>
              <w:spacing w:before="120"/>
              <w:rPr>
                <w:color w:val="000000"/>
              </w:rPr>
            </w:pPr>
          </w:p>
        </w:tc>
        <w:tc>
          <w:tcPr>
            <w:tcW w:w="2340" w:type="dxa"/>
            <w:shd w:val="clear" w:color="auto" w:fill="auto"/>
          </w:tcPr>
          <w:p w:rsidRPr="00AB1866" w:rsidR="00A92D0B" w:rsidP="00A92D0B" w:rsidRDefault="00907751" w14:paraId="2E456D3A" w14:textId="77777777">
            <w:pPr>
              <w:spacing w:before="120"/>
              <w:rPr>
                <w:color w:val="000000"/>
              </w:rPr>
            </w:pPr>
            <w:r w:rsidRPr="00AB1866">
              <w:rPr>
                <w:color w:val="000000"/>
              </w:rPr>
              <w:lastRenderedPageBreak/>
              <w:t>Verified</w:t>
            </w:r>
          </w:p>
        </w:tc>
      </w:tr>
      <w:tr w:rsidRPr="00AB1866" w:rsidR="00AE1756" w:rsidTr="00F7505D" w14:paraId="1BF3C2D1" w14:textId="77777777">
        <w:trPr>
          <w:jc w:val="center"/>
        </w:trPr>
        <w:tc>
          <w:tcPr>
            <w:tcW w:w="3258" w:type="dxa"/>
            <w:shd w:val="clear" w:color="auto" w:fill="auto"/>
          </w:tcPr>
          <w:p w:rsidRPr="00AB1866" w:rsidR="005D0002" w:rsidP="005D0002" w:rsidRDefault="005D0002" w14:paraId="0CF07987" w14:textId="77777777">
            <w:pPr>
              <w:spacing w:before="120"/>
              <w:rPr>
                <w:b/>
                <w:color w:val="000000"/>
              </w:rPr>
            </w:pPr>
            <w:r w:rsidRPr="00AB1866">
              <w:rPr>
                <w:b/>
                <w:color w:val="000000"/>
              </w:rPr>
              <w:lastRenderedPageBreak/>
              <w:t xml:space="preserve">2.  </w:t>
            </w:r>
            <w:r w:rsidRPr="00AB1866" w:rsidR="007B441A">
              <w:rPr>
                <w:b/>
                <w:color w:val="000000"/>
              </w:rPr>
              <w:t>Metrics, Monitoring, Reporting</w:t>
            </w:r>
            <w:r w:rsidRPr="00AB1866" w:rsidR="00DE2BD4">
              <w:rPr>
                <w:b/>
                <w:color w:val="000000"/>
              </w:rPr>
              <w:t>.</w:t>
            </w:r>
          </w:p>
          <w:p w:rsidRPr="00AB1866" w:rsidR="00D83A9D" w:rsidP="00D83A9D" w:rsidRDefault="00D83A9D" w14:paraId="0072E911" w14:textId="77777777">
            <w:pPr>
              <w:spacing w:before="120"/>
              <w:rPr>
                <w:color w:val="000000"/>
              </w:rPr>
            </w:pPr>
            <w:r w:rsidRPr="00AB1866">
              <w:rPr>
                <w:color w:val="000000"/>
              </w:rPr>
              <w:t xml:space="preserve">The GPI made substantial contributions to Decisions D.19-05-036, D.19-05-037, and D.19-05-038 in the areas of metrics, monitoring and reporting.  We argued that there is value in using both activity-based metrics, which were favored by the utilities, and performance-based metrics, which were favored by many of the intervenors.  We also argued that context is needed in interpreting the performance of utilities with respect to their stated activity-based metrics.  Decision D.19-05-037 adopts our call to take context into account in interpreting the results of utility performance with respect to the activity metrics </w:t>
            </w:r>
            <w:r w:rsidRPr="00AB1866">
              <w:rPr>
                <w:color w:val="000000"/>
              </w:rPr>
              <w:lastRenderedPageBreak/>
              <w:t>in their WMPs, while D.19-05-036 makes the distinction between the two kinds of metrics, and calls for the application of context in interpreting results.  We also endorsed the effort described in D.19-05-036 to develop a standard template for metrics, monitoring and reporting to be used in future WMPs.  The GPI made substantial contributions to all three Decisions in the areas of metrics, monitoring and reporting.</w:t>
            </w:r>
          </w:p>
          <w:p w:rsidRPr="00AB1866" w:rsidR="006A17DC" w:rsidP="004E51BA" w:rsidRDefault="006A17DC" w14:paraId="5363ED6B" w14:textId="77777777">
            <w:pPr>
              <w:spacing w:before="120"/>
              <w:rPr>
                <w:color w:val="000000"/>
              </w:rPr>
            </w:pPr>
          </w:p>
          <w:p w:rsidRPr="00AB1866" w:rsidR="00253093" w:rsidP="004E51BA" w:rsidRDefault="00253093" w14:paraId="3B97FD36" w14:textId="77777777">
            <w:pPr>
              <w:spacing w:before="120"/>
              <w:rPr>
                <w:color w:val="000000"/>
              </w:rPr>
            </w:pPr>
          </w:p>
        </w:tc>
        <w:tc>
          <w:tcPr>
            <w:tcW w:w="4140" w:type="dxa"/>
            <w:shd w:val="clear" w:color="auto" w:fill="auto"/>
          </w:tcPr>
          <w:p w:rsidRPr="00AB1866" w:rsidR="00253093" w:rsidP="00253093" w:rsidRDefault="00253093" w14:paraId="50D9CFAA" w14:textId="77777777">
            <w:pPr>
              <w:spacing w:before="120"/>
              <w:rPr>
                <w:b/>
                <w:color w:val="000000"/>
              </w:rPr>
            </w:pPr>
            <w:r w:rsidRPr="00AB1866">
              <w:rPr>
                <w:b/>
                <w:color w:val="000000"/>
              </w:rPr>
              <w:lastRenderedPageBreak/>
              <w:t>Decision</w:t>
            </w:r>
          </w:p>
          <w:p w:rsidRPr="00AB1866" w:rsidR="00D83A9D" w:rsidP="00D83A9D" w:rsidRDefault="00D83A9D" w14:paraId="4F009ECC" w14:textId="77777777">
            <w:pPr>
              <w:spacing w:before="120"/>
              <w:rPr>
                <w:color w:val="000000"/>
              </w:rPr>
            </w:pPr>
            <w:r w:rsidRPr="00AB1866">
              <w:rPr>
                <w:color w:val="000000"/>
              </w:rPr>
              <w:t>The Commission's Safety and Enforcement Division (SED) will, through one or more workshops, work with all stakeholders, including the WMP filers, to develop a common template for capturing metrics of this type. These workshops should result in a list of metrics that provides the Commission, the Department of Forestry and Fire Protection (CAL FIRE), related agencies and researchers tools to evaluate the effectiveness of the WMPs at mitigating catastrophic wildfires. This is the statutory mandate, not simply program targets that measure how many actions an electrical corporation takes in the areas a Plan lists (e.g., how many trees it cuts down). To avoid confusion, these program targets should not be described as “metrics” in the future.  [D.19-05-036, pgs. 26-27.]</w:t>
            </w:r>
          </w:p>
          <w:p w:rsidRPr="00AB1866" w:rsidR="00D83A9D" w:rsidP="00D83A9D" w:rsidRDefault="00D83A9D" w14:paraId="65D8E37B" w14:textId="77777777">
            <w:pPr>
              <w:spacing w:before="120"/>
              <w:rPr>
                <w:color w:val="000000"/>
              </w:rPr>
            </w:pPr>
            <w:r w:rsidRPr="00AB1866">
              <w:rPr>
                <w:color w:val="000000"/>
              </w:rPr>
              <w:t xml:space="preserve">EPUC’s comments suggest a need for further refinement to PG&amp;E’s metrics, </w:t>
            </w:r>
            <w:r w:rsidRPr="00AB1866">
              <w:rPr>
                <w:color w:val="000000"/>
              </w:rPr>
              <w:lastRenderedPageBreak/>
              <w:t>and GPI discusses the value of using both activity-based and performance-based metrics. GPI and others also argue that it is not enough to compare the activity metrics with the targets; PG&amp;E should also provide sufficient context to understand whether there is a substantial benefit from the activity.  [D.19-05-037, pg. 46.]</w:t>
            </w:r>
          </w:p>
          <w:p w:rsidRPr="00AB1866" w:rsidR="00253093" w:rsidP="00253093" w:rsidRDefault="00253093" w14:paraId="4C9BCAB0" w14:textId="77777777">
            <w:pPr>
              <w:spacing w:before="120"/>
              <w:rPr>
                <w:b/>
                <w:color w:val="000000"/>
              </w:rPr>
            </w:pPr>
            <w:r w:rsidRPr="00AB1866">
              <w:rPr>
                <w:b/>
                <w:color w:val="000000"/>
              </w:rPr>
              <w:t>Pleadings</w:t>
            </w:r>
          </w:p>
          <w:p w:rsidRPr="00AB1866" w:rsidR="00D83A9D" w:rsidP="00D83A9D" w:rsidRDefault="00D83A9D" w14:paraId="0FBB9616" w14:textId="77777777">
            <w:pPr>
              <w:spacing w:before="120"/>
              <w:rPr>
                <w:color w:val="000000"/>
              </w:rPr>
            </w:pPr>
            <w:r w:rsidRPr="00AB1866">
              <w:rPr>
                <w:color w:val="000000"/>
              </w:rPr>
              <w:t>In the opinion of the GPI, there is a place for using both types of metrics, activity-based, and performance-based, in the WMPs.  There is no reason not to monitor both kinds of metrics as part of the SB 901-directed annual WMP process.  [GPI Comments, 3/13/19, pg. 7.]</w:t>
            </w:r>
          </w:p>
          <w:p w:rsidRPr="00AB1866" w:rsidR="00D83A9D" w:rsidP="00D83A9D" w:rsidRDefault="00D83A9D" w14:paraId="2A797CCC" w14:textId="77777777">
            <w:pPr>
              <w:spacing w:before="120"/>
              <w:rPr>
                <w:color w:val="000000"/>
              </w:rPr>
            </w:pPr>
            <w:r w:rsidRPr="00AB1866">
              <w:rPr>
                <w:color w:val="000000"/>
              </w:rPr>
              <w:t>What is missing is a thorough analysis of the annual level of the activity that needs to be pursued in the long run in order to be able to sustainably run a safe and reliable electric system.  For example, if the rights-of-way in a given region need to be cleared every five years in order to maintain them in fire-safe condition throughout the cycle, then in the long run twenty percent of the rights-of-way in the region need to be cleared annually, which should be installed as the long-run target.  Short-run targets may differ from long-run targets for any number of legitimate reasons, and when that is the case it should be discussed in the WMP.  [GPI Comments, 3/13/19, pgs. 7-8.]</w:t>
            </w:r>
          </w:p>
          <w:p w:rsidRPr="00AB1866" w:rsidR="00D83A9D" w:rsidP="00D83A9D" w:rsidRDefault="00D83A9D" w14:paraId="11B5576F" w14:textId="77777777">
            <w:pPr>
              <w:spacing w:before="120"/>
              <w:rPr>
                <w:color w:val="000000"/>
              </w:rPr>
            </w:pPr>
            <w:r w:rsidRPr="00AB1866">
              <w:rPr>
                <w:color w:val="000000"/>
              </w:rPr>
              <w:t xml:space="preserve">Most of the WMPs were loaded with activity-based metrics, such as number of trees cleared, or miles of powerline inspected and/or hardened.  Many of the intervenors, including the GPI, urged the inclusion in the plans of performance-based metrics, such as deaths and/or property damage sustained in wildfire events.  Indeed, the GPI </w:t>
            </w:r>
            <w:r w:rsidRPr="00AB1866">
              <w:rPr>
                <w:color w:val="000000"/>
              </w:rPr>
              <w:lastRenderedPageBreak/>
              <w:t>advocated, in our comments on the initial round of WMPs, including both activity-based and performance-based metrics in future WMPs.  [GPI Comments on the Guidance Decision, 5/20/19, pg. 3.]</w:t>
            </w:r>
          </w:p>
          <w:p w:rsidRPr="00AB1866" w:rsidR="00D83A9D" w:rsidP="00D83A9D" w:rsidRDefault="00D83A9D" w14:paraId="74E7EF13" w14:textId="77777777">
            <w:pPr>
              <w:spacing w:before="120"/>
              <w:rPr>
                <w:color w:val="000000"/>
              </w:rPr>
            </w:pPr>
            <w:r w:rsidRPr="00AB1866">
              <w:rPr>
                <w:color w:val="000000"/>
              </w:rPr>
              <w:t>With respect to metrics, we appreciate the PD’s embrace of our argument, “that it is not enough to compare the activity metrics with the targets; PG&amp;E should also provide sufficient context to understand whether there is a substantial benefit from the activity (PD, pg. 45).”  [GPI Comments on the Individual WMPs, 5/20/19, pg. 4.]</w:t>
            </w:r>
          </w:p>
          <w:p w:rsidRPr="00AB1866" w:rsidR="00A74DCF" w:rsidP="004C3CB8" w:rsidRDefault="00A74DCF" w14:paraId="00CB9D20" w14:textId="77777777">
            <w:pPr>
              <w:spacing w:before="120"/>
              <w:rPr>
                <w:color w:val="000000"/>
              </w:rPr>
            </w:pPr>
          </w:p>
        </w:tc>
        <w:tc>
          <w:tcPr>
            <w:tcW w:w="2340" w:type="dxa"/>
            <w:shd w:val="clear" w:color="auto" w:fill="auto"/>
          </w:tcPr>
          <w:p w:rsidRPr="00AB1866" w:rsidR="00AE1756" w:rsidP="00A92D0B" w:rsidRDefault="00CA10AE" w14:paraId="1E57736C" w14:textId="4007FB0A">
            <w:pPr>
              <w:spacing w:before="120"/>
              <w:rPr>
                <w:color w:val="000000"/>
              </w:rPr>
            </w:pPr>
            <w:r>
              <w:rPr>
                <w:color w:val="000000"/>
              </w:rPr>
              <w:lastRenderedPageBreak/>
              <w:t>Verified</w:t>
            </w:r>
          </w:p>
        </w:tc>
      </w:tr>
      <w:tr w:rsidRPr="00AB1866" w:rsidR="002255EA" w:rsidTr="00F7505D" w14:paraId="30C0F5FC" w14:textId="77777777">
        <w:trPr>
          <w:jc w:val="center"/>
        </w:trPr>
        <w:tc>
          <w:tcPr>
            <w:tcW w:w="3258" w:type="dxa"/>
            <w:shd w:val="clear" w:color="auto" w:fill="auto"/>
          </w:tcPr>
          <w:p w:rsidRPr="00AB1866" w:rsidR="0093682A" w:rsidP="0093682A" w:rsidRDefault="0093682A" w14:paraId="71857CF7" w14:textId="77777777">
            <w:pPr>
              <w:spacing w:before="120"/>
              <w:rPr>
                <w:b/>
                <w:color w:val="000000"/>
              </w:rPr>
            </w:pPr>
            <w:r w:rsidRPr="00AB1866">
              <w:rPr>
                <w:b/>
                <w:color w:val="000000"/>
              </w:rPr>
              <w:lastRenderedPageBreak/>
              <w:t xml:space="preserve">3.  </w:t>
            </w:r>
            <w:r w:rsidRPr="00AB1866" w:rsidR="00D83A9D">
              <w:rPr>
                <w:b/>
                <w:color w:val="000000"/>
              </w:rPr>
              <w:t>Vegetation Management</w:t>
            </w:r>
            <w:r w:rsidRPr="00AB1866">
              <w:rPr>
                <w:b/>
                <w:color w:val="000000"/>
              </w:rPr>
              <w:t>.</w:t>
            </w:r>
          </w:p>
          <w:p w:rsidRPr="00AB1866" w:rsidR="0038529B" w:rsidP="0038529B" w:rsidRDefault="0038529B" w14:paraId="2917F84B" w14:textId="77777777">
            <w:pPr>
              <w:spacing w:before="120"/>
              <w:rPr>
                <w:color w:val="000000"/>
              </w:rPr>
            </w:pPr>
            <w:r w:rsidRPr="00AB1866">
              <w:rPr>
                <w:color w:val="000000"/>
              </w:rPr>
              <w:t>The GPI made substantial contributions to Decisions D.19-05-036, D.19-05-037, and D.19-05-038 in the area of vegetation management operations, which are a key component in all of the WMPs.  In particular, the GPI urged the utilities performing vegetation management services to pay more attention to the biomass residues that are produced in the course of tree removal and trimming operations, and to make efforts to direct the residues to biomass power plants.  Although the Commission declines to adopt our proposals in the WMP Decisions, PG&amp;E and SCE acknowledge and embrace our suggestions in reply comments regarding their WMPs.  In any case the GPI made substantial contributions to the Decisions by enriching the record upon which the Decisions are based.</w:t>
            </w:r>
          </w:p>
          <w:p w:rsidRPr="00AB1866" w:rsidR="00DA2125" w:rsidP="00DA2125" w:rsidRDefault="00DA2125" w14:paraId="179D2E57" w14:textId="77777777">
            <w:pPr>
              <w:spacing w:before="120"/>
              <w:rPr>
                <w:color w:val="000000"/>
              </w:rPr>
            </w:pPr>
          </w:p>
        </w:tc>
        <w:tc>
          <w:tcPr>
            <w:tcW w:w="4140" w:type="dxa"/>
            <w:shd w:val="clear" w:color="auto" w:fill="auto"/>
          </w:tcPr>
          <w:p w:rsidRPr="00AB1866" w:rsidR="00537F0D" w:rsidP="00537F0D" w:rsidRDefault="00537F0D" w14:paraId="040771F6" w14:textId="77777777">
            <w:pPr>
              <w:spacing w:before="120"/>
              <w:rPr>
                <w:b/>
                <w:color w:val="000000"/>
              </w:rPr>
            </w:pPr>
            <w:r w:rsidRPr="00AB1866">
              <w:rPr>
                <w:b/>
                <w:color w:val="000000"/>
              </w:rPr>
              <w:lastRenderedPageBreak/>
              <w:t>Decision</w:t>
            </w:r>
          </w:p>
          <w:p w:rsidRPr="00AB1866" w:rsidR="0038529B" w:rsidP="0038529B" w:rsidRDefault="0038529B" w14:paraId="2CABA03E" w14:textId="77777777">
            <w:pPr>
              <w:spacing w:before="120"/>
              <w:rPr>
                <w:color w:val="000000"/>
              </w:rPr>
            </w:pPr>
            <w:r w:rsidRPr="00AB1866">
              <w:rPr>
                <w:color w:val="000000"/>
              </w:rPr>
              <w:t>The parties raise several concerns about PG&amp;E’s Enhanced Vegetation Management proposals, including the following (D.19-05-037, pg. 22):</w:t>
            </w:r>
          </w:p>
          <w:p w:rsidRPr="00AB1866" w:rsidR="0038529B" w:rsidP="0038529B" w:rsidRDefault="0038529B" w14:paraId="4F2F3500" w14:textId="77777777">
            <w:pPr>
              <w:numPr>
                <w:ilvl w:val="0"/>
                <w:numId w:val="8"/>
              </w:numPr>
              <w:spacing w:before="120"/>
              <w:rPr>
                <w:color w:val="000000"/>
              </w:rPr>
            </w:pPr>
            <w:r w:rsidRPr="00AB1866">
              <w:rPr>
                <w:color w:val="000000"/>
              </w:rPr>
              <w:t xml:space="preserve">Does or will PG&amp;E engage in clear-cutting, removing trees without proper permits, or failure to remove tree debris after cutting or trimming? </w:t>
            </w:r>
          </w:p>
          <w:p w:rsidRPr="00AB1866" w:rsidR="0038529B" w:rsidP="0038529B" w:rsidRDefault="0038529B" w14:paraId="61112FF8" w14:textId="77777777">
            <w:pPr>
              <w:spacing w:before="120"/>
              <w:rPr>
                <w:color w:val="000000"/>
              </w:rPr>
            </w:pPr>
            <w:r w:rsidRPr="00AB1866">
              <w:rPr>
                <w:color w:val="000000"/>
              </w:rPr>
              <w:t>In reply comments, PG&amp;E acknowledges the merit of several suggestions from parties, including that it increase communication with landowners, and inform landowners that PG&amp;E will remove tree-trimming debris upon request (D.19-05-037, pg. 24).</w:t>
            </w:r>
          </w:p>
          <w:p w:rsidRPr="00AB1866" w:rsidR="0038529B" w:rsidP="0038529B" w:rsidRDefault="0038529B" w14:paraId="6B6A174E" w14:textId="77777777">
            <w:pPr>
              <w:spacing w:before="120"/>
              <w:rPr>
                <w:color w:val="000000"/>
              </w:rPr>
            </w:pPr>
            <w:r w:rsidRPr="00AB1866">
              <w:rPr>
                <w:color w:val="000000"/>
              </w:rPr>
              <w:t xml:space="preserve">Green Power Institute (GPI) raises concerns about the disposition of biomass material or vegetation that utilities remove during tree trimming. GPI argues that piles of vegetation pose their own fire hazard and recommends that future WMPs require utilities to send vegetation to biomass plants and prohibit them from leaving cuttings or downed trees on the ground. In reply, </w:t>
            </w:r>
            <w:r w:rsidRPr="00AB1866">
              <w:rPr>
                <w:color w:val="000000"/>
              </w:rPr>
              <w:lastRenderedPageBreak/>
              <w:t>SCE states that its contractors remove all pruned vegetation.  [D.19-05-038, pg. 21.]</w:t>
            </w:r>
          </w:p>
          <w:p w:rsidRPr="00AB1866" w:rsidR="0038529B" w:rsidP="0038529B" w:rsidRDefault="0038529B" w14:paraId="600CFFD9" w14:textId="49086AA3">
            <w:pPr>
              <w:spacing w:before="120"/>
              <w:rPr>
                <w:color w:val="000000"/>
              </w:rPr>
            </w:pPr>
            <w:r w:rsidRPr="00AB1866">
              <w:rPr>
                <w:color w:val="000000"/>
              </w:rPr>
              <w:t xml:space="preserve">We do not address GPI’s biomass recommendations here, as they are more appropriately handled in proceedings focused on biomass power plants </w:t>
            </w:r>
            <w:r w:rsidR="00D63574">
              <w:rPr>
                <w:color w:val="000000"/>
              </w:rPr>
              <w:br/>
            </w:r>
            <w:r w:rsidRPr="00AB1866">
              <w:rPr>
                <w:color w:val="000000"/>
              </w:rPr>
              <w:t>(D.19-05-038, pg. 24).</w:t>
            </w:r>
          </w:p>
          <w:p w:rsidRPr="00AB1866" w:rsidR="00537F0D" w:rsidP="00537F0D" w:rsidRDefault="00537F0D" w14:paraId="6DC0130D" w14:textId="77777777">
            <w:pPr>
              <w:spacing w:before="120"/>
              <w:rPr>
                <w:b/>
                <w:color w:val="000000"/>
              </w:rPr>
            </w:pPr>
            <w:r w:rsidRPr="00AB1866">
              <w:rPr>
                <w:b/>
                <w:color w:val="000000"/>
              </w:rPr>
              <w:t>Pleadings</w:t>
            </w:r>
          </w:p>
          <w:p w:rsidRPr="00AB1866" w:rsidR="0038529B" w:rsidP="0038529B" w:rsidRDefault="0038529B" w14:paraId="7CA7D726" w14:textId="77777777">
            <w:pPr>
              <w:spacing w:before="120"/>
              <w:rPr>
                <w:color w:val="000000"/>
              </w:rPr>
            </w:pPr>
            <w:r w:rsidRPr="00AB1866">
              <w:rPr>
                <w:color w:val="000000"/>
              </w:rPr>
              <w:t>One issue that particularly concerns the GPI is the complete absence of information in the IOUs’ WMPs about the disposition of the biomass material that is removed by utility and contractor crews in their vegetation management programs.  Piled residues that are left in place for long periods of time become significant fire hazards in their own rights.  Moreover, in our opinion there is an obvious nexus between the generation and disposition of these residues and the California biomass industry that ought to be embraced.  [GPI Comments, 3/13/19, pg. 5.]</w:t>
            </w:r>
          </w:p>
          <w:p w:rsidRPr="00AB1866" w:rsidR="0038529B" w:rsidP="0038529B" w:rsidRDefault="0038529B" w14:paraId="4DF5CFB4" w14:textId="77777777">
            <w:pPr>
              <w:spacing w:before="120"/>
              <w:rPr>
                <w:color w:val="000000"/>
              </w:rPr>
            </w:pPr>
            <w:r w:rsidRPr="00AB1866">
              <w:rPr>
                <w:color w:val="000000"/>
              </w:rPr>
              <w:t>We encourage the utilities to develop programs and incentives to motivate the landowners whose vegetation is being cleared to send the removed material to its highest-valued beneficial use, which in many cases will be as fuel for the biomass industry.  In addition to arranging for the clearing, the utilities ought to offer full service options in which the material is fully removed from the site and treated for beneficial use, to the convenience of both the landowner and the utility performing the vegetation management operation.  [GPI Comments, 3/13/19, pg. 5.]</w:t>
            </w:r>
          </w:p>
          <w:p w:rsidRPr="00AB1866" w:rsidR="0038529B" w:rsidP="0038529B" w:rsidRDefault="0038529B" w14:paraId="6A2E12D1" w14:textId="77777777">
            <w:pPr>
              <w:spacing w:before="120"/>
              <w:rPr>
                <w:color w:val="000000"/>
              </w:rPr>
            </w:pPr>
            <w:r w:rsidRPr="00AB1866">
              <w:rPr>
                <w:color w:val="000000"/>
              </w:rPr>
              <w:t xml:space="preserve">We note that on page 25 of the PD on the PG&amp;E WMP the Commission acknowledges PG&amp;E’s willingness to embrace some of our ideas:  “In reply comments, PG&amp;E acknowledges the </w:t>
            </w:r>
            <w:r w:rsidRPr="00AB1866">
              <w:rPr>
                <w:color w:val="000000"/>
              </w:rPr>
              <w:lastRenderedPageBreak/>
              <w:t>merit of several suggestions from parties, including that it increase communication with landowners, and inform landowners that PG&amp;E will remove tree-trimming debris upon request (PD, pg. 25).”  We appreciate PG&amp;E’s willingness to embrace some of our suggestions, and encourage them to follow through fully in their implementation. [GPI Comments on the Individual WMPs, 5/20/19, pg. 3.]</w:t>
            </w:r>
          </w:p>
          <w:p w:rsidRPr="00AB1866" w:rsidR="0038529B" w:rsidP="0038529B" w:rsidRDefault="0038529B" w14:paraId="0494C162" w14:textId="77777777">
            <w:pPr>
              <w:spacing w:before="120"/>
              <w:rPr>
                <w:color w:val="000000"/>
              </w:rPr>
            </w:pPr>
            <w:r w:rsidRPr="00AB1866">
              <w:rPr>
                <w:color w:val="000000"/>
              </w:rPr>
              <w:t>The GPI is not asking the Commission to impose new requirements or prohibitions on vegetation-management practices, but simply to direct the WMP filers to include a consideration of the disposition of their vegetation-management residues in their Vegetation Management Plans.  We urge the Commission to direct all WMP filers, especially PG&amp;E, to include residue-management plans as part of their Vegetation Management Plans, and further to use these plans to pursue public outreach and education on the subject of vegetation management in general.  [GPI Comments on the Individual WMPs, 5/20/19, pg. 3.]</w:t>
            </w:r>
          </w:p>
          <w:p w:rsidRPr="00AB1866" w:rsidR="0038529B" w:rsidP="0038529B" w:rsidRDefault="0038529B" w14:paraId="59CB7DD4" w14:textId="77777777">
            <w:pPr>
              <w:spacing w:before="120"/>
              <w:rPr>
                <w:color w:val="000000"/>
              </w:rPr>
            </w:pPr>
            <w:r w:rsidRPr="00AB1866">
              <w:rPr>
                <w:color w:val="000000"/>
              </w:rPr>
              <w:t xml:space="preserve">In response to our suggestions regarding the disposition of the residues generated in the course of the utilities’ vegetation management operations, the PD states:  “We do not address GPI’s biomass recommendations here, as they are more appropriately handled in proceedings focused on biomass power plants (SCE WMP PD, pg. 24).”  We strongly disagree.  Not only are these issues not being addressed in any other proceedings, but failure to embrace our suggestion to encourage the utilities to include residue-management plans as part of their Vegetation Management Plans, and to use these plans to pursue public outreach and education, represents a significant lost opportunity.  </w:t>
            </w:r>
            <w:r w:rsidRPr="00AB1866">
              <w:rPr>
                <w:color w:val="000000"/>
              </w:rPr>
              <w:lastRenderedPageBreak/>
              <w:t>[GPI Comments on the Individual WMPs, 5/20/19, pg. 5.]</w:t>
            </w:r>
          </w:p>
          <w:p w:rsidRPr="00AB1866" w:rsidR="00537F0D" w:rsidP="00732140" w:rsidRDefault="00537F0D" w14:paraId="6EA714D1" w14:textId="77777777">
            <w:pPr>
              <w:spacing w:before="120"/>
              <w:rPr>
                <w:color w:val="000000"/>
              </w:rPr>
            </w:pPr>
          </w:p>
        </w:tc>
        <w:tc>
          <w:tcPr>
            <w:tcW w:w="2340" w:type="dxa"/>
            <w:shd w:val="clear" w:color="auto" w:fill="auto"/>
          </w:tcPr>
          <w:p w:rsidRPr="00AB1866" w:rsidR="002255EA" w:rsidP="00A92D0B" w:rsidRDefault="00893E74" w14:paraId="1AD677DC" w14:textId="5BB31A9D">
            <w:pPr>
              <w:spacing w:before="120"/>
              <w:rPr>
                <w:color w:val="000000"/>
              </w:rPr>
            </w:pPr>
            <w:r w:rsidRPr="00AB1866">
              <w:rPr>
                <w:color w:val="000000"/>
              </w:rPr>
              <w:lastRenderedPageBreak/>
              <w:t>Verified</w:t>
            </w:r>
            <w:r w:rsidR="00CA10AE">
              <w:rPr>
                <w:color w:val="000000"/>
              </w:rPr>
              <w:t xml:space="preserve">, in part. We note that D.19-05-038 summarizes GPI’s concern regarding the disposition of biomass material, however, the </w:t>
            </w:r>
            <w:r w:rsidR="00FA6839">
              <w:rPr>
                <w:color w:val="000000"/>
              </w:rPr>
              <w:t>commission</w:t>
            </w:r>
            <w:r w:rsidR="00CA10AE">
              <w:rPr>
                <w:color w:val="000000"/>
              </w:rPr>
              <w:t xml:space="preserve"> </w:t>
            </w:r>
            <w:r w:rsidR="00FA6839">
              <w:rPr>
                <w:color w:val="000000"/>
              </w:rPr>
              <w:t>elect</w:t>
            </w:r>
            <w:r w:rsidR="0040355B">
              <w:rPr>
                <w:color w:val="000000"/>
              </w:rPr>
              <w:t>ed</w:t>
            </w:r>
            <w:r w:rsidR="00FA6839">
              <w:rPr>
                <w:color w:val="000000"/>
              </w:rPr>
              <w:t xml:space="preserve"> not to address their concern in this proceeding. </w:t>
            </w:r>
            <w:r w:rsidR="0069176D">
              <w:rPr>
                <w:color w:val="000000"/>
              </w:rPr>
              <w:t xml:space="preserve">The Commission </w:t>
            </w:r>
            <w:r w:rsidR="00FA6839">
              <w:rPr>
                <w:color w:val="000000"/>
              </w:rPr>
              <w:t xml:space="preserve">credits </w:t>
            </w:r>
            <w:r w:rsidR="00CA10AE">
              <w:rPr>
                <w:color w:val="000000"/>
              </w:rPr>
              <w:t>MGRA and TURN</w:t>
            </w:r>
            <w:r w:rsidR="0069176D">
              <w:rPr>
                <w:color w:val="000000"/>
              </w:rPr>
              <w:t xml:space="preserve"> with a contribution on this issue</w:t>
            </w:r>
            <w:r w:rsidR="00FA6839">
              <w:rPr>
                <w:color w:val="000000"/>
              </w:rPr>
              <w:t xml:space="preserve">. </w:t>
            </w:r>
          </w:p>
        </w:tc>
      </w:tr>
      <w:tr w:rsidRPr="00AB1866" w:rsidR="000C77A7" w:rsidTr="00F7505D" w14:paraId="680AF6AD" w14:textId="77777777">
        <w:trPr>
          <w:jc w:val="center"/>
        </w:trPr>
        <w:tc>
          <w:tcPr>
            <w:tcW w:w="3258" w:type="dxa"/>
            <w:shd w:val="clear" w:color="auto" w:fill="auto"/>
          </w:tcPr>
          <w:p w:rsidRPr="00AB1866" w:rsidR="00732E72" w:rsidP="00732E72" w:rsidRDefault="00732E72" w14:paraId="75A98DD3" w14:textId="77777777">
            <w:pPr>
              <w:spacing w:before="120"/>
              <w:rPr>
                <w:b/>
                <w:color w:val="000000"/>
              </w:rPr>
            </w:pPr>
            <w:r w:rsidRPr="00AB1866">
              <w:rPr>
                <w:b/>
                <w:color w:val="000000"/>
              </w:rPr>
              <w:lastRenderedPageBreak/>
              <w:t xml:space="preserve">4.  </w:t>
            </w:r>
            <w:r w:rsidRPr="00AB1866" w:rsidR="0038529B">
              <w:rPr>
                <w:b/>
                <w:color w:val="000000"/>
              </w:rPr>
              <w:t>De-Energization</w:t>
            </w:r>
            <w:r w:rsidRPr="00AB1866">
              <w:rPr>
                <w:b/>
                <w:color w:val="000000"/>
              </w:rPr>
              <w:t>.</w:t>
            </w:r>
          </w:p>
          <w:p w:rsidRPr="00AB1866" w:rsidR="0038529B" w:rsidP="0038529B" w:rsidRDefault="0038529B" w14:paraId="04B2CA39" w14:textId="77777777">
            <w:pPr>
              <w:spacing w:before="120"/>
              <w:rPr>
                <w:color w:val="000000"/>
              </w:rPr>
            </w:pPr>
            <w:r w:rsidRPr="00AB1866">
              <w:rPr>
                <w:color w:val="000000"/>
              </w:rPr>
              <w:t>The GPI made substantial contributions to Decisions D.19-05-037 and D.19-05-038 in the area of de-energization of powerlines in order to avoid fire initiations by urging utilities to take a more nuanced view of the fire risks along their powerline rights-of-way than is provided by the CalFire fire-hazard classification system, and to improve the cooperation between the utilities and CalFire with respect to fire-prevention efforts.  We also clarified to SCE that we do not believe that de-energization decisions should be based on the existence of red flag conditions alone, but rather that a variety of factors should be taken into account.  The Decisions embrace the GPI’s suggestions regarding the need for community outreach before and during de-energization events, and in any case the GPI made substantial contributions by enriching the record that was the basis for the Decisions in this area.</w:t>
            </w:r>
          </w:p>
          <w:p w:rsidRPr="00AB1866" w:rsidR="000C77A7" w:rsidP="00E17A62" w:rsidRDefault="000C77A7" w14:paraId="5A0495D7" w14:textId="77777777">
            <w:pPr>
              <w:spacing w:before="120"/>
              <w:rPr>
                <w:color w:val="000000"/>
              </w:rPr>
            </w:pPr>
          </w:p>
        </w:tc>
        <w:tc>
          <w:tcPr>
            <w:tcW w:w="4140" w:type="dxa"/>
            <w:shd w:val="clear" w:color="auto" w:fill="auto"/>
          </w:tcPr>
          <w:p w:rsidRPr="00AB1866" w:rsidR="00732E72" w:rsidP="00732E72" w:rsidRDefault="00732E72" w14:paraId="7CF54E97" w14:textId="77777777">
            <w:pPr>
              <w:spacing w:before="120"/>
              <w:rPr>
                <w:b/>
                <w:color w:val="000000"/>
              </w:rPr>
            </w:pPr>
            <w:r w:rsidRPr="00AB1866">
              <w:rPr>
                <w:b/>
                <w:color w:val="000000"/>
              </w:rPr>
              <w:t>Decision</w:t>
            </w:r>
          </w:p>
          <w:p w:rsidRPr="00AB1866" w:rsidR="0038529B" w:rsidP="0038529B" w:rsidRDefault="0038529B" w14:paraId="69D4EFDD" w14:textId="77777777">
            <w:pPr>
              <w:spacing w:before="120"/>
              <w:rPr>
                <w:color w:val="000000"/>
              </w:rPr>
            </w:pPr>
            <w:r w:rsidRPr="00AB1866">
              <w:rPr>
                <w:color w:val="000000"/>
              </w:rPr>
              <w:t>In response to GPI’s suggestion that utilities de-energize during Red Flag Warning (RFW) conditions, SCE explains that RFW is only one criterion it considers in assessing the need for a PSPS. SCE states that it also considers a number of other variables when assessing risks, such as humidity, relative greenness of fuels, forecast wind speed and forecast wind gusts. [D.19-05-038, pg. 28.]</w:t>
            </w:r>
          </w:p>
          <w:p w:rsidRPr="00AB1866" w:rsidR="00732E72" w:rsidP="00732E72" w:rsidRDefault="00732E72" w14:paraId="2902D89D" w14:textId="77777777">
            <w:pPr>
              <w:spacing w:before="120"/>
              <w:rPr>
                <w:b/>
                <w:color w:val="000000"/>
              </w:rPr>
            </w:pPr>
            <w:r w:rsidRPr="00AB1866">
              <w:rPr>
                <w:b/>
                <w:color w:val="000000"/>
              </w:rPr>
              <w:t>Pleadings</w:t>
            </w:r>
          </w:p>
          <w:p w:rsidRPr="00AB1866" w:rsidR="0038529B" w:rsidP="0038529B" w:rsidRDefault="0038529B" w14:paraId="6D3CC504" w14:textId="77777777">
            <w:pPr>
              <w:spacing w:before="120"/>
              <w:rPr>
                <w:color w:val="000000"/>
              </w:rPr>
            </w:pPr>
            <w:r w:rsidRPr="00AB1866">
              <w:rPr>
                <w:color w:val="000000"/>
              </w:rPr>
              <w:t>In our opinion the utilities need to start working with state and federal agencies and interest groups to take a more granular approach to fire-risk assessment, recognizing that in addition to overall forestry-health conditions in an area, which is what drives the CalFire fire-hazard classification system, fire behavior is also strongly influenced by geographic and weather factors, which can vary considerably within a given forest hazard-category region.  [GPI Comments, 3/13/19, pg. 3.]</w:t>
            </w:r>
          </w:p>
          <w:p w:rsidRPr="00AB1866" w:rsidR="0038529B" w:rsidP="0038529B" w:rsidRDefault="0038529B" w14:paraId="4F5F1D51" w14:textId="77777777">
            <w:pPr>
              <w:spacing w:before="120"/>
              <w:rPr>
                <w:color w:val="000000"/>
              </w:rPr>
            </w:pPr>
            <w:r w:rsidRPr="00AB1866">
              <w:rPr>
                <w:color w:val="000000"/>
              </w:rPr>
              <w:t xml:space="preserve">We have no objection to the content of the paragraph in the PD, but for the record the GPI did not suggest that utilities de-energize during all declared Red Flag Warning (RFW) conditions.  This is a misinterpretation on SCE’s </w:t>
            </w:r>
            <w:r w:rsidRPr="00E97DB4">
              <w:rPr>
                <w:color w:val="000000"/>
              </w:rPr>
              <w:t>part.  The entirety of our discussion of de-energization in our comments on the WMPs was focused on public outreach.  We did not discuss the criteria for when to trigger a PSPS occurrence.  We</w:t>
            </w:r>
            <w:r w:rsidRPr="00AB1866">
              <w:rPr>
                <w:color w:val="000000"/>
              </w:rPr>
              <w:t xml:space="preserve"> mentioned that de-energizations would occur under RFW conditions, but we did not mean to imply that they would happen under all RFW conditions.  We </w:t>
            </w:r>
            <w:r w:rsidRPr="00AB1866">
              <w:rPr>
                <w:color w:val="000000"/>
              </w:rPr>
              <w:lastRenderedPageBreak/>
              <w:t>fully agree with SCE that other factors should also be considered.  [GPI Comments on the Individual WMPs, 5/20/19, pg. 7.]</w:t>
            </w:r>
          </w:p>
          <w:p w:rsidRPr="00AB1866" w:rsidR="000C77A7" w:rsidP="00A0694E" w:rsidRDefault="000C77A7" w14:paraId="0EF497CD" w14:textId="77777777">
            <w:pPr>
              <w:spacing w:before="120"/>
              <w:rPr>
                <w:color w:val="000000"/>
              </w:rPr>
            </w:pPr>
          </w:p>
        </w:tc>
        <w:tc>
          <w:tcPr>
            <w:tcW w:w="2340" w:type="dxa"/>
            <w:shd w:val="clear" w:color="auto" w:fill="auto"/>
          </w:tcPr>
          <w:p w:rsidR="00857B66" w:rsidP="00E70239" w:rsidRDefault="00323EF5" w14:paraId="1B3351F6" w14:textId="77777777">
            <w:pPr>
              <w:spacing w:before="120"/>
            </w:pPr>
            <w:r w:rsidRPr="00AB1866">
              <w:rPr>
                <w:color w:val="000000"/>
              </w:rPr>
              <w:lastRenderedPageBreak/>
              <w:t>Verified</w:t>
            </w:r>
            <w:r w:rsidR="00FF2E21">
              <w:rPr>
                <w:color w:val="000000"/>
              </w:rPr>
              <w:t xml:space="preserve">, in part. </w:t>
            </w:r>
            <w:r w:rsidR="00602302">
              <w:rPr>
                <w:color w:val="000000"/>
              </w:rPr>
              <w:t xml:space="preserve">GPI’s March </w:t>
            </w:r>
            <w:r w:rsidR="00E70239">
              <w:rPr>
                <w:color w:val="000000"/>
              </w:rPr>
              <w:t xml:space="preserve">2019 </w:t>
            </w:r>
            <w:r w:rsidR="00602302">
              <w:rPr>
                <w:color w:val="000000"/>
              </w:rPr>
              <w:t>comments on page 6 state “</w:t>
            </w:r>
            <w:r w:rsidR="0085129D">
              <w:t xml:space="preserve">One area in which community outreach and education is particularly needed is in connection with the use of de-energizations during red-flag fire conditions. At this point in time there is widespread public misunderstanding and suspicion surrounding the use of de-energizations, as well as confusion regarding how to maintain essential services during the sometimes extended blackouts. Overcoming this problem will require a well-designed and executed public outreach program. This effort will require a good deal more than simply public relations. Genuine interaction with and participation on the part of the public is necessary. These efforts can be limited to specific regions of the grid that are identified </w:t>
            </w:r>
            <w:r w:rsidR="0085129D">
              <w:lastRenderedPageBreak/>
              <w:t xml:space="preserve">candidates for de-energization.” </w:t>
            </w:r>
          </w:p>
          <w:p w:rsidR="00857B66" w:rsidP="00E70239" w:rsidRDefault="00857B66" w14:paraId="064CA622" w14:textId="77777777">
            <w:pPr>
              <w:spacing w:before="120"/>
            </w:pPr>
          </w:p>
          <w:p w:rsidRPr="00AB1866" w:rsidR="000C77A7" w:rsidP="0085129D" w:rsidRDefault="0085129D" w14:paraId="5870521D" w14:textId="3006A040">
            <w:pPr>
              <w:spacing w:before="120"/>
              <w:rPr>
                <w:color w:val="000000"/>
              </w:rPr>
            </w:pPr>
            <w:r>
              <w:t>We do not find further discussion regarding public outreach in GPI’s March or May comments.</w:t>
            </w:r>
            <w:r w:rsidR="003511BE">
              <w:t xml:space="preserve"> We find that GPI’s comments are lacking detail regarding </w:t>
            </w:r>
            <w:r w:rsidR="00E3365E">
              <w:t>a recommendation on how to improve public outreach.</w:t>
            </w:r>
          </w:p>
        </w:tc>
      </w:tr>
      <w:tr w:rsidRPr="00AB1866" w:rsidR="0038529B" w:rsidTr="00F7505D" w14:paraId="30789559" w14:textId="77777777">
        <w:trPr>
          <w:jc w:val="center"/>
        </w:trPr>
        <w:tc>
          <w:tcPr>
            <w:tcW w:w="3258" w:type="dxa"/>
            <w:shd w:val="clear" w:color="auto" w:fill="auto"/>
          </w:tcPr>
          <w:p w:rsidRPr="00AB1866" w:rsidR="0038529B" w:rsidP="0038529B" w:rsidRDefault="00B03F74" w14:paraId="07A64A61" w14:textId="77777777">
            <w:pPr>
              <w:spacing w:before="120"/>
              <w:rPr>
                <w:b/>
                <w:color w:val="000000"/>
              </w:rPr>
            </w:pPr>
            <w:r w:rsidRPr="00AB1866">
              <w:rPr>
                <w:b/>
                <w:color w:val="000000"/>
              </w:rPr>
              <w:lastRenderedPageBreak/>
              <w:t>5</w:t>
            </w:r>
            <w:r w:rsidRPr="00AB1866" w:rsidR="0038529B">
              <w:rPr>
                <w:b/>
                <w:color w:val="000000"/>
              </w:rPr>
              <w:t>.  Emergency Preparedness, Outreach and Response.</w:t>
            </w:r>
          </w:p>
          <w:p w:rsidRPr="00AB1866" w:rsidR="0038529B" w:rsidP="0038529B" w:rsidRDefault="0038529B" w14:paraId="11802490" w14:textId="77777777">
            <w:pPr>
              <w:spacing w:before="120"/>
              <w:rPr>
                <w:color w:val="000000"/>
              </w:rPr>
            </w:pPr>
            <w:r w:rsidRPr="00AB1866">
              <w:rPr>
                <w:color w:val="000000"/>
              </w:rPr>
              <w:t>The GPI made substantial contributions to Decisions D.19-05-037 and D.19-05-038 in the area of emergency preparedness, outreach and response, including proposing that these activities be pursued beyond strictly Tiers 2 and 3 HFTD zones, proposing that these activities be pursued more vigorously in connection with de-energization events (before, during and after), and in connection with the treatment of residues from vegetation management operations.  The Decisions adopt some of our proposals, and decline others, but in all cases we made substantial contributions by enriching the record underlying the Decisions in this area.</w:t>
            </w:r>
          </w:p>
          <w:p w:rsidRPr="00AB1866" w:rsidR="0038529B" w:rsidP="00732E72" w:rsidRDefault="0038529B" w14:paraId="7C075A10" w14:textId="77777777">
            <w:pPr>
              <w:spacing w:before="120"/>
              <w:rPr>
                <w:b/>
                <w:color w:val="000000"/>
              </w:rPr>
            </w:pPr>
          </w:p>
        </w:tc>
        <w:tc>
          <w:tcPr>
            <w:tcW w:w="4140" w:type="dxa"/>
            <w:shd w:val="clear" w:color="auto" w:fill="auto"/>
          </w:tcPr>
          <w:p w:rsidRPr="00AB1866" w:rsidR="0038529B" w:rsidP="0038529B" w:rsidRDefault="0038529B" w14:paraId="41170908" w14:textId="77777777">
            <w:pPr>
              <w:spacing w:before="120"/>
              <w:rPr>
                <w:b/>
                <w:color w:val="000000"/>
              </w:rPr>
            </w:pPr>
            <w:r w:rsidRPr="00AB1866">
              <w:rPr>
                <w:b/>
                <w:color w:val="000000"/>
              </w:rPr>
              <w:t>Decision</w:t>
            </w:r>
          </w:p>
          <w:p w:rsidRPr="00AB1866" w:rsidR="0038529B" w:rsidP="0038529B" w:rsidRDefault="0038529B" w14:paraId="2BC23D11" w14:textId="77777777">
            <w:pPr>
              <w:spacing w:before="120"/>
              <w:rPr>
                <w:color w:val="000000"/>
              </w:rPr>
            </w:pPr>
            <w:r w:rsidRPr="00AB1866">
              <w:rPr>
                <w:color w:val="000000"/>
              </w:rPr>
              <w:t>Parties also recommend specific actions for PG&amp;E to take, such as … increasing outreach associated with possible de-energization events, and conducting outreach in both HFTD and non-HFTD areas. …  In its reply comments, PG&amp;E states it already takes many of these actions, and is open to expanding its outreach in many of the ways that parties suggest to better reach providers of critical services in communities.   [D.19-05-037, pg. 37.]</w:t>
            </w:r>
          </w:p>
          <w:p w:rsidRPr="00AB1866" w:rsidR="0038529B" w:rsidP="0038529B" w:rsidRDefault="0038529B" w14:paraId="55AD81C0" w14:textId="4FE98089">
            <w:pPr>
              <w:spacing w:before="120"/>
              <w:rPr>
                <w:color w:val="000000"/>
              </w:rPr>
            </w:pPr>
            <w:r w:rsidRPr="00AB1866">
              <w:rPr>
                <w:color w:val="000000"/>
              </w:rPr>
              <w:t xml:space="preserve">On other topics, GPI suggests that SCE conduct public outreach and education about wildfires outside of the Tier 2 and 3 HFTD zones. SCE agrees and will execute a communication campaign in 2019 to all its customers about its wildfire mitigation activities.  </w:t>
            </w:r>
            <w:r w:rsidR="003E23EC">
              <w:rPr>
                <w:color w:val="000000"/>
              </w:rPr>
              <w:br/>
            </w:r>
            <w:r w:rsidRPr="00AB1866">
              <w:rPr>
                <w:color w:val="000000"/>
              </w:rPr>
              <w:t>[D.19-05-038, pgs. 35-36.]</w:t>
            </w:r>
          </w:p>
          <w:p w:rsidRPr="00AB1866" w:rsidR="0038529B" w:rsidP="0038529B" w:rsidRDefault="0038529B" w14:paraId="7C579503" w14:textId="77777777">
            <w:pPr>
              <w:spacing w:before="120"/>
              <w:rPr>
                <w:b/>
                <w:color w:val="000000"/>
              </w:rPr>
            </w:pPr>
            <w:r w:rsidRPr="00AB1866">
              <w:rPr>
                <w:b/>
                <w:color w:val="000000"/>
              </w:rPr>
              <w:t>Pleadings</w:t>
            </w:r>
          </w:p>
          <w:p w:rsidRPr="00AB1866" w:rsidR="00617154" w:rsidP="00617154" w:rsidRDefault="00617154" w14:paraId="46FC945E" w14:textId="2FF10771">
            <w:pPr>
              <w:spacing w:before="120"/>
              <w:rPr>
                <w:color w:val="000000"/>
              </w:rPr>
            </w:pPr>
            <w:r w:rsidRPr="00AB1866">
              <w:rPr>
                <w:color w:val="000000"/>
              </w:rPr>
              <w:t xml:space="preserve">One area in which community outreach and education is particularly needed is in connection with the use of de-energizations during red-flag fire conditions.  At this point in time there is widespread public misunderstanding </w:t>
            </w:r>
            <w:r w:rsidRPr="00AB1866">
              <w:rPr>
                <w:color w:val="000000"/>
              </w:rPr>
              <w:lastRenderedPageBreak/>
              <w:t xml:space="preserve">and suspicion surrounding the use of </w:t>
            </w:r>
            <w:r w:rsidR="00F33879">
              <w:rPr>
                <w:color w:val="000000"/>
              </w:rPr>
              <w:br/>
            </w:r>
            <w:r w:rsidRPr="00AB1866">
              <w:rPr>
                <w:color w:val="000000"/>
              </w:rPr>
              <w:t>de-energizations, as well as confusion regarding how to maintain essential services during the sometimes extended blackouts.  Overcoming this problem will require a well-designed and executed public outreach program.  This effort will require a good deal more than simply public relations.  Genuine interaction with and participation on the part of the public is necessary.  [GPI Comments, 3/13/19, pg. 6.]</w:t>
            </w:r>
          </w:p>
          <w:p w:rsidRPr="00AB1866" w:rsidR="00617154" w:rsidP="00617154" w:rsidRDefault="00617154" w14:paraId="62D4B2C9" w14:textId="4CB75337">
            <w:pPr>
              <w:spacing w:before="120"/>
              <w:rPr>
                <w:color w:val="000000"/>
              </w:rPr>
            </w:pPr>
            <w:r w:rsidRPr="00AB1866">
              <w:rPr>
                <w:color w:val="000000"/>
              </w:rPr>
              <w:t xml:space="preserve">With respect to public outreach, we appreciate PG&amp;E’s willingness to increase communication with landowners and offer residue removal services.  We also encourage PG&amp;E to not only include information about its own vegetation-management efforts in its messaging, but also information about fire mitigation measures that customers can take to protect their own lives and property.  [GPI Comments on the Individual WMPs, 5/20/19, </w:t>
            </w:r>
            <w:r w:rsidR="00F33879">
              <w:rPr>
                <w:color w:val="000000"/>
              </w:rPr>
              <w:br/>
            </w:r>
            <w:r w:rsidRPr="00AB1866">
              <w:rPr>
                <w:color w:val="000000"/>
              </w:rPr>
              <w:t>pgs. 3-4.]</w:t>
            </w:r>
          </w:p>
          <w:p w:rsidRPr="00AB1866" w:rsidR="00617154" w:rsidP="00617154" w:rsidRDefault="00617154" w14:paraId="14DBC4A7" w14:textId="77777777">
            <w:pPr>
              <w:spacing w:before="120"/>
              <w:rPr>
                <w:color w:val="000000"/>
              </w:rPr>
            </w:pPr>
            <w:r w:rsidRPr="00AB1866">
              <w:rPr>
                <w:color w:val="000000"/>
              </w:rPr>
              <w:t>With respect to public outreach, we appreciate SCE’s willingness to reach out beyond only the highest-risk zones with respect to delivering a wildfire preparedness and prevention message, although the utility’s extensive desert areas probably do not need significant resources spent on wildfire issues.  We are confident that SCE understands this.  We also encourage SCE to not only include information about its own wildfire-mitigation efforts in its messaging, but also information about fire-mitigation measures that customers can take to protect their own lives and property.  [GPI Comments on the Individual WMPs, 5/20/19, pg. 7.]</w:t>
            </w:r>
          </w:p>
          <w:p w:rsidRPr="00AB1866" w:rsidR="0038529B" w:rsidP="00732E72" w:rsidRDefault="0038529B" w14:paraId="4E140944" w14:textId="77777777">
            <w:pPr>
              <w:spacing w:before="120"/>
              <w:rPr>
                <w:b/>
                <w:color w:val="000000"/>
              </w:rPr>
            </w:pPr>
          </w:p>
        </w:tc>
        <w:tc>
          <w:tcPr>
            <w:tcW w:w="2340" w:type="dxa"/>
            <w:shd w:val="clear" w:color="auto" w:fill="auto"/>
          </w:tcPr>
          <w:p w:rsidRPr="00AB1866" w:rsidR="0038529B" w:rsidP="00A92D0B" w:rsidRDefault="00651029" w14:paraId="71B4644B" w14:textId="77777777">
            <w:pPr>
              <w:spacing w:before="120"/>
              <w:rPr>
                <w:color w:val="000000"/>
              </w:rPr>
            </w:pPr>
            <w:r w:rsidRPr="00AB1866">
              <w:rPr>
                <w:color w:val="000000"/>
              </w:rPr>
              <w:lastRenderedPageBreak/>
              <w:t>Verified</w:t>
            </w:r>
          </w:p>
        </w:tc>
      </w:tr>
    </w:tbl>
    <w:p w:rsidRPr="00AB1866" w:rsidR="00D04D4A" w:rsidP="00B70505" w:rsidRDefault="00D04D4A" w14:paraId="1D0633CD" w14:textId="77777777">
      <w:pPr>
        <w:keepNext/>
        <w:keepLines/>
        <w:ind w:left="360"/>
        <w:rPr>
          <w:b/>
          <w:color w:val="000000"/>
          <w:sz w:val="22"/>
          <w:szCs w:val="22"/>
        </w:rPr>
      </w:pPr>
    </w:p>
    <w:p w:rsidRPr="00AB1866" w:rsidR="00A92D0B" w:rsidP="00B70505" w:rsidRDefault="00A92D0B" w14:paraId="11FE095B" w14:textId="77777777">
      <w:pPr>
        <w:keepNext/>
        <w:keepLines/>
        <w:numPr>
          <w:ilvl w:val="0"/>
          <w:numId w:val="1"/>
        </w:numPr>
        <w:tabs>
          <w:tab w:val="num" w:pos="360"/>
        </w:tabs>
        <w:ind w:left="360"/>
        <w:rPr>
          <w:b/>
          <w:color w:val="000000"/>
          <w:sz w:val="22"/>
          <w:szCs w:val="22"/>
        </w:rPr>
      </w:pPr>
      <w:r w:rsidRPr="00AB1866">
        <w:rPr>
          <w:b/>
          <w:color w:val="000000"/>
        </w:rPr>
        <w:t xml:space="preserve">Duplication of Effort </w:t>
      </w:r>
      <w:r w:rsidRPr="00AB1866">
        <w:rPr>
          <w:b/>
          <w:color w:val="000000"/>
          <w:sz w:val="22"/>
          <w:szCs w:val="22"/>
        </w:rPr>
        <w:t xml:space="preserve">(§ 1801.3(f) </w:t>
      </w:r>
      <w:r w:rsidRPr="00AB1866" w:rsidR="00F30DA8">
        <w:rPr>
          <w:b/>
          <w:color w:val="000000"/>
          <w:sz w:val="22"/>
          <w:szCs w:val="22"/>
        </w:rPr>
        <w:t xml:space="preserve">and § </w:t>
      </w:r>
      <w:r w:rsidRPr="00AB1866">
        <w:rPr>
          <w:b/>
          <w:color w:val="000000"/>
          <w:sz w:val="22"/>
          <w:szCs w:val="22"/>
        </w:rPr>
        <w:t>1802.5):</w:t>
      </w:r>
    </w:p>
    <w:p w:rsidRPr="00AB1866" w:rsidR="00D04D4A" w:rsidP="00B70505" w:rsidRDefault="00D04D4A" w14:paraId="59B99F48" w14:textId="77777777">
      <w:pPr>
        <w:keepNext/>
        <w:keepLines/>
        <w:ind w:left="360"/>
        <w:rPr>
          <w:b/>
          <w:color w:val="000000"/>
          <w:sz w:val="22"/>
          <w:szCs w:val="22"/>
        </w:rPr>
      </w:pPr>
    </w:p>
    <w:tbl>
      <w:tblPr>
        <w:tblW w:w="97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048"/>
        <w:gridCol w:w="1710"/>
        <w:gridCol w:w="1980"/>
      </w:tblGrid>
      <w:tr w:rsidRPr="00AB1866" w:rsidR="00A92D0B" w:rsidTr="00F7505D" w14:paraId="677A78FE" w14:textId="77777777">
        <w:trPr>
          <w:jc w:val="center"/>
        </w:trPr>
        <w:tc>
          <w:tcPr>
            <w:tcW w:w="6048" w:type="dxa"/>
            <w:shd w:val="clear" w:color="auto" w:fill="auto"/>
          </w:tcPr>
          <w:p w:rsidRPr="00AB1866" w:rsidR="00A92D0B" w:rsidP="00DE3A5D" w:rsidRDefault="00A92D0B" w14:paraId="412061FA" w14:textId="77777777">
            <w:pPr>
              <w:keepNext/>
              <w:keepLines/>
              <w:spacing w:before="120"/>
              <w:rPr>
                <w:color w:val="000000"/>
                <w:sz w:val="22"/>
                <w:szCs w:val="22"/>
              </w:rPr>
            </w:pPr>
          </w:p>
        </w:tc>
        <w:tc>
          <w:tcPr>
            <w:tcW w:w="1710" w:type="dxa"/>
            <w:tcBorders>
              <w:bottom w:val="single" w:color="auto" w:sz="4" w:space="0"/>
            </w:tcBorders>
            <w:shd w:val="clear" w:color="auto" w:fill="auto"/>
          </w:tcPr>
          <w:p w:rsidRPr="00AB1866" w:rsidR="00A92D0B" w:rsidP="00DE3A5D" w:rsidRDefault="005A63D4" w14:paraId="125B7EFA" w14:textId="77777777">
            <w:pPr>
              <w:keepNext/>
              <w:keepLines/>
              <w:spacing w:before="120"/>
              <w:jc w:val="center"/>
              <w:rPr>
                <w:b/>
                <w:color w:val="000000"/>
                <w:sz w:val="22"/>
                <w:szCs w:val="22"/>
              </w:rPr>
            </w:pPr>
            <w:r w:rsidRPr="00AB1866">
              <w:rPr>
                <w:b/>
                <w:color w:val="000000"/>
                <w:sz w:val="22"/>
                <w:szCs w:val="22"/>
              </w:rPr>
              <w:t>Interveno</w:t>
            </w:r>
            <w:r w:rsidRPr="00AB1866" w:rsidR="00204E3A">
              <w:rPr>
                <w:b/>
                <w:color w:val="000000"/>
                <w:sz w:val="22"/>
                <w:szCs w:val="22"/>
              </w:rPr>
              <w:t>r</w:t>
            </w:r>
            <w:r w:rsidRPr="00AB1866">
              <w:rPr>
                <w:b/>
                <w:color w:val="000000"/>
                <w:sz w:val="22"/>
                <w:szCs w:val="22"/>
              </w:rPr>
              <w:t xml:space="preserve">’s </w:t>
            </w:r>
            <w:r w:rsidRPr="00AB1866" w:rsidR="00D075B1">
              <w:rPr>
                <w:b/>
                <w:color w:val="000000"/>
                <w:sz w:val="22"/>
                <w:szCs w:val="22"/>
              </w:rPr>
              <w:t>Assertion</w:t>
            </w:r>
          </w:p>
        </w:tc>
        <w:tc>
          <w:tcPr>
            <w:tcW w:w="1980" w:type="dxa"/>
            <w:shd w:val="clear" w:color="auto" w:fill="auto"/>
          </w:tcPr>
          <w:p w:rsidRPr="00AB1866" w:rsidR="00A92D0B" w:rsidP="00D075B1" w:rsidRDefault="00A92D0B" w14:paraId="5B22F76A" w14:textId="77777777">
            <w:pPr>
              <w:keepNext/>
              <w:keepLines/>
              <w:spacing w:before="120"/>
              <w:jc w:val="center"/>
              <w:rPr>
                <w:b/>
                <w:color w:val="000000"/>
                <w:sz w:val="22"/>
                <w:szCs w:val="22"/>
              </w:rPr>
            </w:pPr>
            <w:r w:rsidRPr="00AB1866">
              <w:rPr>
                <w:b/>
                <w:color w:val="000000"/>
                <w:sz w:val="22"/>
                <w:szCs w:val="22"/>
              </w:rPr>
              <w:t xml:space="preserve">CPUC </w:t>
            </w:r>
            <w:r w:rsidRPr="00AB1866" w:rsidR="00D075B1">
              <w:rPr>
                <w:b/>
                <w:color w:val="000000"/>
                <w:sz w:val="22"/>
                <w:szCs w:val="22"/>
              </w:rPr>
              <w:t>Discussion</w:t>
            </w:r>
          </w:p>
        </w:tc>
      </w:tr>
      <w:tr w:rsidRPr="00AB1866" w:rsidR="00A92D0B" w:rsidTr="00F7505D" w14:paraId="62C70F79" w14:textId="77777777">
        <w:trPr>
          <w:jc w:val="center"/>
        </w:trPr>
        <w:tc>
          <w:tcPr>
            <w:tcW w:w="6048" w:type="dxa"/>
            <w:shd w:val="clear" w:color="auto" w:fill="auto"/>
          </w:tcPr>
          <w:p w:rsidRPr="00AB1866" w:rsidR="00A92D0B" w:rsidP="00DE3A5D" w:rsidRDefault="00A92D0B" w14:paraId="6080A028" w14:textId="77777777">
            <w:pPr>
              <w:keepNext/>
              <w:keepLines/>
              <w:spacing w:before="120"/>
              <w:ind w:left="360" w:hanging="360"/>
              <w:rPr>
                <w:b/>
                <w:color w:val="000000"/>
              </w:rPr>
            </w:pPr>
            <w:r w:rsidRPr="00AB1866">
              <w:rPr>
                <w:b/>
                <w:color w:val="000000"/>
              </w:rPr>
              <w:t>a.</w:t>
            </w:r>
            <w:r w:rsidRPr="00AB1866">
              <w:rPr>
                <w:b/>
                <w:color w:val="000000"/>
              </w:rPr>
              <w:tab/>
            </w:r>
            <w:r w:rsidRPr="00AB1866" w:rsidR="00A7212C">
              <w:rPr>
                <w:b/>
              </w:rPr>
              <w:t xml:space="preserve">Was the </w:t>
            </w:r>
            <w:r w:rsidRPr="00AB1866" w:rsidR="00A7212C">
              <w:rPr>
                <w:b/>
                <w:color w:val="000000"/>
              </w:rPr>
              <w:t>Public Advocate’s Office of the Public Utilities Commission</w:t>
            </w:r>
            <w:r w:rsidRPr="00AB1866" w:rsidR="00A7212C">
              <w:rPr>
                <w:b/>
              </w:rPr>
              <w:t xml:space="preserve"> </w:t>
            </w:r>
            <w:r w:rsidRPr="00AB1866" w:rsidR="00A7212C">
              <w:rPr>
                <w:b/>
                <w:color w:val="000000"/>
              </w:rPr>
              <w:t>(Cal Advocates</w:t>
            </w:r>
            <w:r w:rsidRPr="00AB1866" w:rsidR="00A7212C">
              <w:rPr>
                <w:b/>
              </w:rPr>
              <w:t>) a party to the proceeding</w:t>
            </w:r>
            <w:r w:rsidRPr="00AB1866" w:rsidR="00A7212C">
              <w:rPr>
                <w:b/>
                <w:color w:val="000000"/>
              </w:rPr>
              <w:t>?</w:t>
            </w:r>
            <w:r w:rsidRPr="00AB1866" w:rsidR="00A7212C">
              <w:rPr>
                <w:rStyle w:val="FootnoteReference"/>
                <w:b/>
                <w:color w:val="000000"/>
              </w:rPr>
              <w:footnoteReference w:id="3"/>
            </w:r>
          </w:p>
        </w:tc>
        <w:tc>
          <w:tcPr>
            <w:tcW w:w="1710" w:type="dxa"/>
            <w:shd w:val="clear" w:color="auto" w:fill="auto"/>
          </w:tcPr>
          <w:p w:rsidRPr="00AB1866" w:rsidR="00A92D0B" w:rsidP="00DE3A5D" w:rsidRDefault="003D380C" w14:paraId="418D1059" w14:textId="77777777">
            <w:pPr>
              <w:keepNext/>
              <w:keepLines/>
              <w:spacing w:before="120"/>
              <w:rPr>
                <w:bCs/>
                <w:color w:val="000000"/>
              </w:rPr>
            </w:pPr>
            <w:r w:rsidRPr="00AB1866">
              <w:rPr>
                <w:bCs/>
                <w:color w:val="000000"/>
              </w:rPr>
              <w:t>Yes</w:t>
            </w:r>
          </w:p>
        </w:tc>
        <w:tc>
          <w:tcPr>
            <w:tcW w:w="1980" w:type="dxa"/>
            <w:shd w:val="clear" w:color="auto" w:fill="auto"/>
          </w:tcPr>
          <w:p w:rsidRPr="00AB1866" w:rsidR="00A92D0B" w:rsidP="00DE3A5D" w:rsidRDefault="000C7ECB" w14:paraId="5BB8FCCC" w14:textId="77777777">
            <w:pPr>
              <w:keepNext/>
              <w:keepLines/>
              <w:spacing w:before="120"/>
              <w:rPr>
                <w:bCs/>
                <w:color w:val="000000"/>
              </w:rPr>
            </w:pPr>
            <w:r w:rsidRPr="00AB1866">
              <w:rPr>
                <w:bCs/>
                <w:color w:val="000000"/>
              </w:rPr>
              <w:t>Yes</w:t>
            </w:r>
          </w:p>
        </w:tc>
      </w:tr>
      <w:tr w:rsidRPr="00AB1866" w:rsidR="00A92D0B" w:rsidTr="00F7505D" w14:paraId="33AFAAF3" w14:textId="77777777">
        <w:trPr>
          <w:jc w:val="center"/>
        </w:trPr>
        <w:tc>
          <w:tcPr>
            <w:tcW w:w="6048" w:type="dxa"/>
            <w:shd w:val="clear" w:color="auto" w:fill="auto"/>
          </w:tcPr>
          <w:p w:rsidRPr="00AB1866" w:rsidR="00A92D0B" w:rsidP="00A92D0B" w:rsidRDefault="00A92D0B" w14:paraId="09A98E58" w14:textId="77777777">
            <w:pPr>
              <w:tabs>
                <w:tab w:val="left" w:pos="360"/>
              </w:tabs>
              <w:spacing w:before="120"/>
              <w:ind w:left="360" w:hanging="360"/>
              <w:rPr>
                <w:b/>
                <w:color w:val="000000"/>
              </w:rPr>
            </w:pPr>
            <w:r w:rsidRPr="00AB1866">
              <w:rPr>
                <w:b/>
                <w:color w:val="000000"/>
              </w:rPr>
              <w:t>b.</w:t>
            </w:r>
            <w:r w:rsidRPr="00AB1866">
              <w:rPr>
                <w:b/>
                <w:color w:val="000000"/>
              </w:rPr>
              <w:tab/>
              <w:t xml:space="preserve">Were there other parties to the proceeding with positions similar to yours? </w:t>
            </w:r>
          </w:p>
        </w:tc>
        <w:tc>
          <w:tcPr>
            <w:tcW w:w="1710" w:type="dxa"/>
            <w:shd w:val="clear" w:color="auto" w:fill="auto"/>
          </w:tcPr>
          <w:p w:rsidRPr="00AB1866" w:rsidR="00A92D0B" w:rsidP="00A92D0B" w:rsidRDefault="003D380C" w14:paraId="48C68356" w14:textId="77777777">
            <w:pPr>
              <w:spacing w:before="120"/>
              <w:rPr>
                <w:bCs/>
                <w:color w:val="000000"/>
              </w:rPr>
            </w:pPr>
            <w:r w:rsidRPr="00AB1866">
              <w:rPr>
                <w:bCs/>
                <w:color w:val="000000"/>
              </w:rPr>
              <w:t>Yes</w:t>
            </w:r>
          </w:p>
        </w:tc>
        <w:tc>
          <w:tcPr>
            <w:tcW w:w="1980" w:type="dxa"/>
            <w:shd w:val="clear" w:color="auto" w:fill="auto"/>
          </w:tcPr>
          <w:p w:rsidRPr="00AB1866" w:rsidR="00A92D0B" w:rsidP="00A92D0B" w:rsidRDefault="000C7ECB" w14:paraId="02A94B05" w14:textId="77777777">
            <w:pPr>
              <w:spacing w:before="120"/>
              <w:rPr>
                <w:bCs/>
                <w:color w:val="000000"/>
              </w:rPr>
            </w:pPr>
            <w:r w:rsidRPr="00AB1866">
              <w:rPr>
                <w:bCs/>
                <w:color w:val="000000"/>
              </w:rPr>
              <w:t>Yes</w:t>
            </w:r>
          </w:p>
        </w:tc>
      </w:tr>
      <w:tr w:rsidRPr="00AB1866" w:rsidR="00A92D0B" w:rsidTr="00F7505D" w14:paraId="2F4554F1" w14:textId="77777777">
        <w:trPr>
          <w:jc w:val="center"/>
        </w:trPr>
        <w:tc>
          <w:tcPr>
            <w:tcW w:w="7758" w:type="dxa"/>
            <w:gridSpan w:val="2"/>
            <w:shd w:val="clear" w:color="auto" w:fill="auto"/>
          </w:tcPr>
          <w:p w:rsidRPr="00AB1866" w:rsidR="00A92D0B" w:rsidP="009E0E7A" w:rsidRDefault="00A92D0B" w14:paraId="753E0597" w14:textId="01BED60B">
            <w:pPr>
              <w:spacing w:before="120"/>
              <w:ind w:left="360" w:hanging="360"/>
              <w:rPr>
                <w:color w:val="000000"/>
              </w:rPr>
            </w:pPr>
            <w:r w:rsidRPr="00AB1866">
              <w:rPr>
                <w:b/>
                <w:color w:val="000000"/>
              </w:rPr>
              <w:t>c.</w:t>
            </w:r>
            <w:r w:rsidRPr="00AB1866">
              <w:rPr>
                <w:b/>
                <w:color w:val="000000"/>
              </w:rPr>
              <w:tab/>
              <w:t>If so, provide name of other parties:</w:t>
            </w:r>
            <w:r w:rsidRPr="00AB1866" w:rsidR="00F65D3B">
              <w:rPr>
                <w:color w:val="000000"/>
              </w:rPr>
              <w:t xml:space="preserve"> TURN, CLECA, M</w:t>
            </w:r>
            <w:r w:rsidRPr="00AB1866" w:rsidR="00C56303">
              <w:rPr>
                <w:color w:val="000000"/>
              </w:rPr>
              <w:t>ussey Grade Road Alliance, Protect Our Communities Foundation, CEJA, EPUC, and SBUA.</w:t>
            </w:r>
          </w:p>
          <w:p w:rsidRPr="00AB1866" w:rsidR="00A92D0B" w:rsidP="00A92D0B" w:rsidRDefault="00A92D0B" w14:paraId="6769767A" w14:textId="77777777">
            <w:pPr>
              <w:spacing w:before="120"/>
              <w:ind w:left="360" w:hanging="360"/>
              <w:rPr>
                <w:b/>
                <w:color w:val="000000"/>
              </w:rPr>
            </w:pPr>
          </w:p>
        </w:tc>
        <w:tc>
          <w:tcPr>
            <w:tcW w:w="1980" w:type="dxa"/>
            <w:shd w:val="clear" w:color="auto" w:fill="auto"/>
          </w:tcPr>
          <w:p w:rsidRPr="00AB1866" w:rsidR="00A92D0B" w:rsidP="00A92D0B" w:rsidRDefault="000C7ECB" w14:paraId="53F313A4" w14:textId="72DAE5BD">
            <w:pPr>
              <w:spacing w:before="120"/>
              <w:rPr>
                <w:bCs/>
                <w:color w:val="000000"/>
              </w:rPr>
            </w:pPr>
            <w:r w:rsidRPr="00E25173">
              <w:rPr>
                <w:bCs/>
                <w:color w:val="000000"/>
              </w:rPr>
              <w:t>Verified</w:t>
            </w:r>
          </w:p>
        </w:tc>
      </w:tr>
      <w:tr w:rsidRPr="00AB1866" w:rsidR="00A92D0B" w:rsidTr="00F7505D" w14:paraId="162B2AA4" w14:textId="77777777">
        <w:trPr>
          <w:jc w:val="center"/>
        </w:trPr>
        <w:tc>
          <w:tcPr>
            <w:tcW w:w="7758" w:type="dxa"/>
            <w:gridSpan w:val="2"/>
            <w:shd w:val="clear" w:color="auto" w:fill="auto"/>
          </w:tcPr>
          <w:p w:rsidRPr="00AB1866" w:rsidR="00A92D0B" w:rsidP="00A92D0B" w:rsidRDefault="00A92D0B" w14:paraId="11D87DA4" w14:textId="77777777">
            <w:pPr>
              <w:tabs>
                <w:tab w:val="left" w:pos="360"/>
              </w:tabs>
              <w:spacing w:before="120"/>
              <w:ind w:left="360" w:hanging="360"/>
              <w:rPr>
                <w:b/>
                <w:color w:val="000000"/>
              </w:rPr>
            </w:pPr>
            <w:r w:rsidRPr="00AB1866">
              <w:rPr>
                <w:b/>
                <w:color w:val="000000"/>
              </w:rPr>
              <w:t>d.</w:t>
            </w:r>
            <w:r w:rsidRPr="00AB1866">
              <w:rPr>
                <w:b/>
                <w:color w:val="000000"/>
              </w:rPr>
              <w:tab/>
            </w:r>
            <w:r w:rsidRPr="00AB1866" w:rsidR="00D075B1">
              <w:rPr>
                <w:b/>
                <w:color w:val="000000"/>
              </w:rPr>
              <w:t xml:space="preserve">Intervenor’s </w:t>
            </w:r>
            <w:r w:rsidRPr="00AB1866" w:rsidR="00A319DE">
              <w:rPr>
                <w:b/>
                <w:color w:val="000000"/>
              </w:rPr>
              <w:t>c</w:t>
            </w:r>
            <w:r w:rsidRPr="00AB1866" w:rsidR="00D075B1">
              <w:rPr>
                <w:b/>
                <w:color w:val="000000"/>
              </w:rPr>
              <w:t xml:space="preserve">laim of </w:t>
            </w:r>
            <w:r w:rsidRPr="00AB1866" w:rsidR="00A319DE">
              <w:rPr>
                <w:b/>
                <w:color w:val="000000"/>
              </w:rPr>
              <w:t>n</w:t>
            </w:r>
            <w:r w:rsidRPr="00AB1866" w:rsidR="00D075B1">
              <w:rPr>
                <w:b/>
                <w:color w:val="000000"/>
              </w:rPr>
              <w:t>on-</w:t>
            </w:r>
            <w:r w:rsidRPr="00AB1866" w:rsidR="00A319DE">
              <w:rPr>
                <w:b/>
                <w:color w:val="000000"/>
              </w:rPr>
              <w:t>d</w:t>
            </w:r>
            <w:r w:rsidRPr="00AB1866" w:rsidR="00D075B1">
              <w:rPr>
                <w:b/>
                <w:color w:val="000000"/>
              </w:rPr>
              <w:t>uplication:</w:t>
            </w:r>
            <w:r w:rsidRPr="00AB1866" w:rsidR="00F748A2">
              <w:rPr>
                <w:b/>
                <w:color w:val="000000"/>
              </w:rPr>
              <w:t xml:space="preserve">  </w:t>
            </w:r>
            <w:r w:rsidRPr="00AB1866" w:rsidR="00F748A2">
              <w:rPr>
                <w:color w:val="000000"/>
              </w:rPr>
              <w:t xml:space="preserve">This proceeding covers a wide variety of topics related to </w:t>
            </w:r>
            <w:r w:rsidRPr="00AB1866" w:rsidR="00976C24">
              <w:rPr>
                <w:color w:val="000000"/>
              </w:rPr>
              <w:t xml:space="preserve">the </w:t>
            </w:r>
            <w:r w:rsidRPr="00AB1866" w:rsidR="00EF2860">
              <w:rPr>
                <w:color w:val="000000"/>
              </w:rPr>
              <w:t xml:space="preserve">state’s </w:t>
            </w:r>
            <w:r w:rsidRPr="00AB1866" w:rsidR="009D2026">
              <w:rPr>
                <w:color w:val="000000"/>
              </w:rPr>
              <w:t>resource adequacy</w:t>
            </w:r>
            <w:r w:rsidRPr="00AB1866" w:rsidR="00EF2860">
              <w:rPr>
                <w:color w:val="000000"/>
              </w:rPr>
              <w:t xml:space="preserve"> program</w:t>
            </w:r>
            <w:r w:rsidRPr="00AB1866" w:rsidR="00F748A2">
              <w:rPr>
                <w:color w:val="000000"/>
              </w:rPr>
              <w:t xml:space="preserve">.  </w:t>
            </w:r>
            <w:r w:rsidRPr="00AB1866" w:rsidR="00BC79CC">
              <w:rPr>
                <w:color w:val="000000"/>
              </w:rPr>
              <w:t>The Green Power Institute has been an active participant in the Commission’s</w:t>
            </w:r>
            <w:r w:rsidRPr="00AB1866" w:rsidR="008C1FDC">
              <w:rPr>
                <w:color w:val="000000"/>
              </w:rPr>
              <w:t xml:space="preserve"> </w:t>
            </w:r>
            <w:r w:rsidRPr="00AB1866" w:rsidR="00777E54">
              <w:rPr>
                <w:color w:val="000000"/>
              </w:rPr>
              <w:t>RPS</w:t>
            </w:r>
            <w:r w:rsidRPr="00AB1866" w:rsidR="009D2026">
              <w:rPr>
                <w:color w:val="000000"/>
              </w:rPr>
              <w:t>,</w:t>
            </w:r>
            <w:r w:rsidRPr="00AB1866" w:rsidR="00777E54">
              <w:rPr>
                <w:color w:val="000000"/>
              </w:rPr>
              <w:t xml:space="preserve"> LTPP</w:t>
            </w:r>
            <w:r w:rsidRPr="00AB1866" w:rsidR="009D2026">
              <w:rPr>
                <w:color w:val="000000"/>
              </w:rPr>
              <w:t>, and other proceedings for which renewable energy plays a key role</w:t>
            </w:r>
            <w:r w:rsidRPr="00AB1866" w:rsidR="00BC79CC">
              <w:rPr>
                <w:color w:val="000000"/>
              </w:rPr>
              <w:t>, and is continuing these efforts in the pre</w:t>
            </w:r>
            <w:r w:rsidRPr="00AB1866" w:rsidR="003E1855">
              <w:rPr>
                <w:color w:val="000000"/>
              </w:rPr>
              <w:t>sent proceeding (R.1</w:t>
            </w:r>
            <w:r w:rsidRPr="00AB1866" w:rsidR="009D2026">
              <w:rPr>
                <w:color w:val="000000"/>
              </w:rPr>
              <w:t>8</w:t>
            </w:r>
            <w:r w:rsidRPr="00AB1866" w:rsidR="003E1855">
              <w:rPr>
                <w:color w:val="000000"/>
              </w:rPr>
              <w:t>-</w:t>
            </w:r>
            <w:r w:rsidRPr="00AB1866" w:rsidR="009D2026">
              <w:rPr>
                <w:color w:val="000000"/>
              </w:rPr>
              <w:t>1</w:t>
            </w:r>
            <w:r w:rsidRPr="00AB1866" w:rsidR="00A7212C">
              <w:rPr>
                <w:color w:val="000000"/>
              </w:rPr>
              <w:t>0</w:t>
            </w:r>
            <w:r w:rsidRPr="00AB1866" w:rsidR="003E1855">
              <w:rPr>
                <w:color w:val="000000"/>
              </w:rPr>
              <w:t>-00</w:t>
            </w:r>
            <w:r w:rsidRPr="00AB1866" w:rsidR="009E0E7A">
              <w:rPr>
                <w:color w:val="000000"/>
              </w:rPr>
              <w:t>7</w:t>
            </w:r>
            <w:r w:rsidRPr="00AB1866" w:rsidR="00BC79CC">
              <w:rPr>
                <w:color w:val="000000"/>
              </w:rPr>
              <w:t>)</w:t>
            </w:r>
            <w:r w:rsidRPr="00AB1866" w:rsidR="00F748A2">
              <w:rPr>
                <w:color w:val="000000"/>
              </w:rPr>
              <w:t>.</w:t>
            </w:r>
            <w:r w:rsidRPr="00AB1866" w:rsidR="00976C24">
              <w:rPr>
                <w:color w:val="000000"/>
              </w:rPr>
              <w:t xml:space="preserve"> </w:t>
            </w:r>
            <w:r w:rsidRPr="00AB1866" w:rsidR="00F748A2">
              <w:rPr>
                <w:color w:val="000000"/>
              </w:rPr>
              <w:t xml:space="preserve"> </w:t>
            </w:r>
            <w:r w:rsidRPr="00AB1866" w:rsidR="00EF2860">
              <w:rPr>
                <w:color w:val="000000"/>
              </w:rPr>
              <w:t xml:space="preserve">The </w:t>
            </w:r>
            <w:r w:rsidRPr="00AB1866" w:rsidR="00F748A2">
              <w:rPr>
                <w:color w:val="000000"/>
              </w:rPr>
              <w:t xml:space="preserve">Green Power </w:t>
            </w:r>
            <w:r w:rsidRPr="00AB1866" w:rsidR="00EF2860">
              <w:rPr>
                <w:color w:val="000000"/>
              </w:rPr>
              <w:t xml:space="preserve">Institute </w:t>
            </w:r>
            <w:r w:rsidRPr="00AB1866" w:rsidR="00F748A2">
              <w:rPr>
                <w:color w:val="000000"/>
              </w:rPr>
              <w:t>coordinated its efforts in this proceeding with other parties in order to avoid duplication of effort</w:t>
            </w:r>
            <w:r w:rsidRPr="00AB1866" w:rsidR="00EF2860">
              <w:rPr>
                <w:color w:val="000000"/>
              </w:rPr>
              <w:t>,</w:t>
            </w:r>
            <w:r w:rsidRPr="00AB1866" w:rsidR="00777E54">
              <w:rPr>
                <w:color w:val="000000"/>
              </w:rPr>
              <w:t xml:space="preserve"> </w:t>
            </w:r>
            <w:r w:rsidRPr="00AB1866" w:rsidR="00F748A2">
              <w:rPr>
                <w:color w:val="000000"/>
              </w:rPr>
              <w:t>and added significantly to the outcome of the Commission’s deliberations</w:t>
            </w:r>
            <w:r w:rsidRPr="00AB1866" w:rsidR="00FE34B4">
              <w:rPr>
                <w:color w:val="000000"/>
              </w:rPr>
              <w:t xml:space="preserve"> through our own unique perspective</w:t>
            </w:r>
            <w:r w:rsidRPr="00AB1866" w:rsidR="00F748A2">
              <w:rPr>
                <w:color w:val="000000"/>
              </w:rPr>
              <w:t>.  Some amount of duplication has occurred in this proceeding on all sides of contentious issues, but Green Power avoided duplication to the extent possible, and tried to minimize it where it was unavoidable.</w:t>
            </w:r>
          </w:p>
          <w:p w:rsidRPr="00AB1866" w:rsidR="00A92D0B" w:rsidP="00A92D0B" w:rsidRDefault="00A92D0B" w14:paraId="3958B91F" w14:textId="77777777">
            <w:pPr>
              <w:tabs>
                <w:tab w:val="left" w:pos="360"/>
              </w:tabs>
              <w:spacing w:before="120"/>
              <w:ind w:left="360" w:hanging="360"/>
              <w:rPr>
                <w:b/>
                <w:color w:val="000000"/>
              </w:rPr>
            </w:pPr>
          </w:p>
        </w:tc>
        <w:tc>
          <w:tcPr>
            <w:tcW w:w="1980" w:type="dxa"/>
            <w:shd w:val="clear" w:color="auto" w:fill="auto"/>
          </w:tcPr>
          <w:p w:rsidRPr="00AB1866" w:rsidR="00A92D0B" w:rsidP="00EB235C" w:rsidRDefault="00857B66" w14:paraId="1BC2AB1D" w14:textId="66651CD9">
            <w:pPr>
              <w:tabs>
                <w:tab w:val="left" w:pos="360"/>
              </w:tabs>
              <w:spacing w:before="120"/>
              <w:rPr>
                <w:bCs/>
                <w:color w:val="000000"/>
              </w:rPr>
            </w:pPr>
            <w:r>
              <w:rPr>
                <w:bCs/>
                <w:color w:val="000000"/>
              </w:rPr>
              <w:t xml:space="preserve">Not verified. </w:t>
            </w:r>
            <w:r w:rsidR="00027384">
              <w:rPr>
                <w:bCs/>
                <w:color w:val="000000"/>
              </w:rPr>
              <w:t xml:space="preserve">GPI’s claimed explanation of non-duplication </w:t>
            </w:r>
            <w:r w:rsidR="009C11FE">
              <w:rPr>
                <w:bCs/>
                <w:color w:val="000000"/>
              </w:rPr>
              <w:t>references a resource adequacy proceeding</w:t>
            </w:r>
            <w:r w:rsidR="00027384">
              <w:rPr>
                <w:bCs/>
                <w:color w:val="000000"/>
              </w:rPr>
              <w:t xml:space="preserve"> </w:t>
            </w:r>
            <w:r w:rsidR="00E63552">
              <w:rPr>
                <w:bCs/>
                <w:color w:val="000000"/>
              </w:rPr>
              <w:t>which is</w:t>
            </w:r>
            <w:r w:rsidR="00027384">
              <w:rPr>
                <w:bCs/>
                <w:color w:val="000000"/>
              </w:rPr>
              <w:t xml:space="preserve"> not the topic of this</w:t>
            </w:r>
            <w:r w:rsidR="009C11FE">
              <w:rPr>
                <w:bCs/>
                <w:color w:val="000000"/>
              </w:rPr>
              <w:t xml:space="preserve"> proceeding</w:t>
            </w:r>
            <w:r w:rsidR="00027384">
              <w:rPr>
                <w:bCs/>
                <w:color w:val="000000"/>
              </w:rPr>
              <w:t>.</w:t>
            </w:r>
            <w:r w:rsidR="009C11FE">
              <w:rPr>
                <w:bCs/>
                <w:color w:val="000000"/>
              </w:rPr>
              <w:t xml:space="preserve"> </w:t>
            </w:r>
          </w:p>
        </w:tc>
      </w:tr>
    </w:tbl>
    <w:p w:rsidRPr="00AB1866" w:rsidR="00B70505" w:rsidRDefault="00B70505" w14:paraId="2BF3AC40" w14:textId="77777777">
      <w:pPr>
        <w:tabs>
          <w:tab w:val="left" w:pos="1440"/>
        </w:tabs>
        <w:rPr>
          <w:color w:val="000000"/>
        </w:rPr>
      </w:pPr>
    </w:p>
    <w:p w:rsidRPr="00AB1866" w:rsidR="00A92D0B" w:rsidP="00B70505" w:rsidRDefault="00A92D0B" w14:paraId="3E23EAC4" w14:textId="77777777">
      <w:pPr>
        <w:jc w:val="center"/>
        <w:rPr>
          <w:color w:val="000000"/>
          <w:sz w:val="22"/>
          <w:szCs w:val="22"/>
        </w:rPr>
      </w:pPr>
      <w:r w:rsidRPr="00AB1866">
        <w:rPr>
          <w:b/>
          <w:color w:val="000000"/>
        </w:rPr>
        <w:t>PART III:</w:t>
      </w:r>
      <w:r w:rsidRPr="00AB1866">
        <w:rPr>
          <w:b/>
          <w:color w:val="000000"/>
        </w:rPr>
        <w:tab/>
        <w:t>REASONABLENESS OF REQUESTED COMPENSATION</w:t>
      </w:r>
    </w:p>
    <w:p w:rsidRPr="00AB1866" w:rsidR="00A92D0B" w:rsidP="003B5103" w:rsidRDefault="00A92D0B" w14:paraId="02F2410A" w14:textId="77777777">
      <w:pPr>
        <w:spacing w:line="120" w:lineRule="auto"/>
        <w:rPr>
          <w:color w:val="000000"/>
        </w:rPr>
      </w:pPr>
    </w:p>
    <w:p w:rsidRPr="00AB1866" w:rsidR="00A92D0B" w:rsidRDefault="00A92D0B" w14:paraId="22B5DC53" w14:textId="77777777">
      <w:pPr>
        <w:numPr>
          <w:ilvl w:val="0"/>
          <w:numId w:val="2"/>
        </w:numPr>
        <w:tabs>
          <w:tab w:val="clear" w:pos="900"/>
          <w:tab w:val="num" w:pos="360"/>
        </w:tabs>
        <w:spacing w:after="120"/>
        <w:ind w:left="360"/>
        <w:rPr>
          <w:b/>
          <w:color w:val="000000"/>
        </w:rPr>
      </w:pPr>
      <w:r w:rsidRPr="00AB1866">
        <w:rPr>
          <w:b/>
          <w:color w:val="000000"/>
        </w:rPr>
        <w:t xml:space="preserve">General Claim of Reasonableness </w:t>
      </w:r>
      <w:r w:rsidRPr="00AB1866" w:rsidR="00F30DA8">
        <w:rPr>
          <w:b/>
          <w:color w:val="000000"/>
          <w:sz w:val="22"/>
          <w:szCs w:val="22"/>
        </w:rPr>
        <w:t xml:space="preserve">(§ </w:t>
      </w:r>
      <w:r w:rsidRPr="00AB1866">
        <w:rPr>
          <w:b/>
          <w:color w:val="000000"/>
          <w:sz w:val="22"/>
          <w:szCs w:val="22"/>
        </w:rPr>
        <w:t xml:space="preserve">1801 </w:t>
      </w:r>
      <w:r w:rsidRPr="00AB1866" w:rsidR="00F30DA8">
        <w:rPr>
          <w:b/>
          <w:color w:val="000000"/>
          <w:sz w:val="22"/>
          <w:szCs w:val="22"/>
        </w:rPr>
        <w:t>and §</w:t>
      </w:r>
      <w:r w:rsidRPr="00AB1866">
        <w:rPr>
          <w:b/>
          <w:color w:val="000000"/>
          <w:sz w:val="22"/>
          <w:szCs w:val="22"/>
        </w:rPr>
        <w:t xml:space="preserve"> 1806):</w:t>
      </w:r>
    </w:p>
    <w:tbl>
      <w:tblPr>
        <w:tblW w:w="97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488"/>
        <w:gridCol w:w="2250"/>
      </w:tblGrid>
      <w:tr w:rsidRPr="00AB1866" w:rsidR="00A92D0B" w:rsidTr="00F7505D" w14:paraId="25581657" w14:textId="77777777">
        <w:trPr>
          <w:jc w:val="center"/>
        </w:trPr>
        <w:tc>
          <w:tcPr>
            <w:tcW w:w="7488" w:type="dxa"/>
            <w:tcBorders>
              <w:bottom w:val="single" w:color="auto" w:sz="4" w:space="0"/>
            </w:tcBorders>
            <w:shd w:val="clear" w:color="auto" w:fill="auto"/>
          </w:tcPr>
          <w:p w:rsidRPr="00AB1866" w:rsidR="00A92D0B" w:rsidRDefault="00A92D0B" w14:paraId="35D21EC4" w14:textId="77777777">
            <w:pPr>
              <w:rPr>
                <w:b/>
                <w:color w:val="000000"/>
                <w:sz w:val="22"/>
                <w:szCs w:val="22"/>
              </w:rPr>
            </w:pPr>
            <w:r w:rsidRPr="00AB1866">
              <w:rPr>
                <w:b/>
                <w:color w:val="000000"/>
                <w:sz w:val="22"/>
                <w:szCs w:val="22"/>
              </w:rPr>
              <w:t xml:space="preserve">a. </w:t>
            </w:r>
            <w:r w:rsidRPr="00AB1866" w:rsidR="00D075B1">
              <w:rPr>
                <w:b/>
                <w:color w:val="000000"/>
                <w:sz w:val="22"/>
                <w:szCs w:val="22"/>
              </w:rPr>
              <w:t xml:space="preserve">Intervenor’s </w:t>
            </w:r>
            <w:r w:rsidRPr="00AB1866" w:rsidR="00A319DE">
              <w:rPr>
                <w:b/>
                <w:color w:val="000000"/>
                <w:sz w:val="22"/>
                <w:szCs w:val="22"/>
              </w:rPr>
              <w:t>c</w:t>
            </w:r>
            <w:r w:rsidRPr="00AB1866" w:rsidR="00D075B1">
              <w:rPr>
                <w:b/>
                <w:color w:val="000000"/>
                <w:sz w:val="22"/>
                <w:szCs w:val="22"/>
              </w:rPr>
              <w:t xml:space="preserve">laim of </w:t>
            </w:r>
            <w:r w:rsidRPr="00AB1866" w:rsidR="00A319DE">
              <w:rPr>
                <w:b/>
                <w:color w:val="000000"/>
                <w:sz w:val="22"/>
                <w:szCs w:val="22"/>
              </w:rPr>
              <w:t>c</w:t>
            </w:r>
            <w:r w:rsidRPr="00AB1866" w:rsidR="00D075B1">
              <w:rPr>
                <w:b/>
                <w:color w:val="000000"/>
                <w:sz w:val="22"/>
                <w:szCs w:val="22"/>
              </w:rPr>
              <w:t xml:space="preserve">ost </w:t>
            </w:r>
            <w:r w:rsidRPr="00AB1866" w:rsidR="00A319DE">
              <w:rPr>
                <w:b/>
                <w:color w:val="000000"/>
                <w:sz w:val="22"/>
                <w:szCs w:val="22"/>
              </w:rPr>
              <w:t>r</w:t>
            </w:r>
            <w:r w:rsidRPr="00AB1866" w:rsidR="00D075B1">
              <w:rPr>
                <w:b/>
                <w:color w:val="000000"/>
                <w:sz w:val="22"/>
                <w:szCs w:val="22"/>
              </w:rPr>
              <w:t>easonableness:</w:t>
            </w:r>
          </w:p>
          <w:p w:rsidRPr="00AB1866" w:rsidR="00DC4980" w:rsidP="00DC4980" w:rsidRDefault="00DC4980" w14:paraId="58F3220A" w14:textId="77777777">
            <w:pPr>
              <w:rPr>
                <w:color w:val="000000"/>
                <w:sz w:val="22"/>
                <w:szCs w:val="22"/>
              </w:rPr>
            </w:pPr>
          </w:p>
          <w:p w:rsidRPr="00AB1866" w:rsidR="00DC4980" w:rsidP="00DC4980" w:rsidRDefault="00DC4980" w14:paraId="026DB580" w14:textId="77777777">
            <w:pPr>
              <w:rPr>
                <w:color w:val="000000"/>
                <w:sz w:val="22"/>
                <w:szCs w:val="22"/>
              </w:rPr>
            </w:pPr>
            <w:r w:rsidRPr="00AB1866">
              <w:rPr>
                <w:color w:val="000000"/>
                <w:sz w:val="22"/>
                <w:szCs w:val="22"/>
              </w:rPr>
              <w:t xml:space="preserve">The GPI is providing, in Attachment 2, a listing of all of the pleadings we provided in this Proceeding, </w:t>
            </w:r>
            <w:r w:rsidRPr="00AB1866" w:rsidR="00B101B9">
              <w:rPr>
                <w:color w:val="000000"/>
                <w:sz w:val="22"/>
                <w:szCs w:val="22"/>
              </w:rPr>
              <w:t>R.</w:t>
            </w:r>
            <w:r w:rsidRPr="00AB1866" w:rsidR="00B52F63">
              <w:rPr>
                <w:color w:val="000000"/>
                <w:sz w:val="22"/>
                <w:szCs w:val="22"/>
              </w:rPr>
              <w:t>1</w:t>
            </w:r>
            <w:r w:rsidRPr="00AB1866" w:rsidR="009D2026">
              <w:rPr>
                <w:color w:val="000000"/>
                <w:sz w:val="22"/>
                <w:szCs w:val="22"/>
              </w:rPr>
              <w:t>8</w:t>
            </w:r>
            <w:r w:rsidRPr="00AB1866">
              <w:rPr>
                <w:color w:val="000000"/>
                <w:sz w:val="22"/>
                <w:szCs w:val="22"/>
              </w:rPr>
              <w:t>-</w:t>
            </w:r>
            <w:r w:rsidRPr="00AB1866" w:rsidR="009D2026">
              <w:rPr>
                <w:color w:val="000000"/>
                <w:sz w:val="22"/>
                <w:szCs w:val="22"/>
              </w:rPr>
              <w:t>1</w:t>
            </w:r>
            <w:r w:rsidRPr="00AB1866" w:rsidR="0087510F">
              <w:rPr>
                <w:color w:val="000000"/>
                <w:sz w:val="22"/>
                <w:szCs w:val="22"/>
              </w:rPr>
              <w:t>0</w:t>
            </w:r>
            <w:r w:rsidRPr="00AB1866" w:rsidR="00B52F63">
              <w:rPr>
                <w:color w:val="000000"/>
                <w:sz w:val="22"/>
                <w:szCs w:val="22"/>
              </w:rPr>
              <w:t>-0</w:t>
            </w:r>
            <w:r w:rsidRPr="00AB1866" w:rsidR="003F714D">
              <w:rPr>
                <w:color w:val="000000"/>
                <w:sz w:val="22"/>
                <w:szCs w:val="22"/>
              </w:rPr>
              <w:t>0</w:t>
            </w:r>
            <w:r w:rsidRPr="00AB1866" w:rsidR="005A6B98">
              <w:rPr>
                <w:color w:val="000000"/>
                <w:sz w:val="22"/>
                <w:szCs w:val="22"/>
              </w:rPr>
              <w:t>7</w:t>
            </w:r>
            <w:r w:rsidRPr="00AB1866" w:rsidR="008C1FDC">
              <w:rPr>
                <w:color w:val="000000"/>
                <w:sz w:val="22"/>
                <w:szCs w:val="22"/>
              </w:rPr>
              <w:t>,</w:t>
            </w:r>
            <w:r w:rsidRPr="00AB1866" w:rsidR="00DF1739">
              <w:rPr>
                <w:color w:val="000000"/>
                <w:sz w:val="22"/>
                <w:szCs w:val="22"/>
              </w:rPr>
              <w:t xml:space="preserve"> </w:t>
            </w:r>
            <w:r w:rsidRPr="00AB1866">
              <w:rPr>
                <w:color w:val="000000"/>
                <w:sz w:val="22"/>
                <w:szCs w:val="22"/>
              </w:rPr>
              <w:t>that are relevant to matters covered by this Claim, and a detailed breakdown of GPI staff time spent for work performed that was directly related to our substantial contributions to Decision</w:t>
            </w:r>
            <w:r w:rsidRPr="00AB1866" w:rsidR="009D2026">
              <w:rPr>
                <w:color w:val="000000"/>
                <w:sz w:val="22"/>
                <w:szCs w:val="22"/>
              </w:rPr>
              <w:t>s</w:t>
            </w:r>
            <w:r w:rsidRPr="00AB1866" w:rsidR="00B101B9">
              <w:rPr>
                <w:color w:val="000000"/>
                <w:sz w:val="22"/>
                <w:szCs w:val="22"/>
              </w:rPr>
              <w:t xml:space="preserve"> </w:t>
            </w:r>
            <w:r w:rsidRPr="00AB1866" w:rsidR="0087510F">
              <w:rPr>
                <w:color w:val="000000"/>
                <w:sz w:val="22"/>
                <w:szCs w:val="22"/>
              </w:rPr>
              <w:t>D</w:t>
            </w:r>
            <w:r w:rsidRPr="00AB1866" w:rsidR="004B7B37">
              <w:rPr>
                <w:color w:val="000000"/>
                <w:sz w:val="22"/>
                <w:szCs w:val="22"/>
              </w:rPr>
              <w:t>.1</w:t>
            </w:r>
            <w:r w:rsidRPr="00AB1866" w:rsidR="0087510F">
              <w:rPr>
                <w:color w:val="000000"/>
                <w:sz w:val="22"/>
                <w:szCs w:val="22"/>
              </w:rPr>
              <w:t>9</w:t>
            </w:r>
            <w:r w:rsidRPr="00AB1866" w:rsidR="004B7B37">
              <w:rPr>
                <w:color w:val="000000"/>
                <w:sz w:val="22"/>
                <w:szCs w:val="22"/>
              </w:rPr>
              <w:t>-</w:t>
            </w:r>
            <w:r w:rsidRPr="00AB1866" w:rsidR="00777E54">
              <w:rPr>
                <w:color w:val="000000"/>
                <w:sz w:val="22"/>
                <w:szCs w:val="22"/>
              </w:rPr>
              <w:t>0</w:t>
            </w:r>
            <w:r w:rsidRPr="00AB1866" w:rsidR="009D2026">
              <w:rPr>
                <w:color w:val="000000"/>
                <w:sz w:val="22"/>
                <w:szCs w:val="22"/>
              </w:rPr>
              <w:t>5</w:t>
            </w:r>
            <w:r w:rsidRPr="00AB1866" w:rsidR="004B7B37">
              <w:rPr>
                <w:color w:val="000000"/>
                <w:sz w:val="22"/>
                <w:szCs w:val="22"/>
              </w:rPr>
              <w:t>-0</w:t>
            </w:r>
            <w:r w:rsidRPr="00AB1866" w:rsidR="009D2026">
              <w:rPr>
                <w:color w:val="000000"/>
                <w:sz w:val="22"/>
                <w:szCs w:val="22"/>
              </w:rPr>
              <w:t>36, D.19-05-037 and D.19-05-038</w:t>
            </w:r>
            <w:r w:rsidRPr="00AB1866">
              <w:rPr>
                <w:color w:val="000000"/>
                <w:sz w:val="22"/>
                <w:szCs w:val="22"/>
              </w:rPr>
              <w:t>.</w:t>
            </w:r>
          </w:p>
          <w:p w:rsidRPr="00AB1866" w:rsidR="00DC4980" w:rsidP="00DC4980" w:rsidRDefault="00DC4980" w14:paraId="45D89723" w14:textId="77777777">
            <w:pPr>
              <w:rPr>
                <w:color w:val="000000"/>
                <w:sz w:val="22"/>
                <w:szCs w:val="22"/>
              </w:rPr>
            </w:pPr>
          </w:p>
          <w:p w:rsidRPr="00AB1866" w:rsidR="00DC4980" w:rsidP="00DC4980" w:rsidRDefault="00DC4980" w14:paraId="212AF6EE" w14:textId="77777777">
            <w:pPr>
              <w:rPr>
                <w:color w:val="000000"/>
                <w:sz w:val="22"/>
                <w:szCs w:val="22"/>
              </w:rPr>
            </w:pPr>
            <w:r w:rsidRPr="00AB1866">
              <w:rPr>
                <w:color w:val="000000"/>
                <w:sz w:val="22"/>
                <w:szCs w:val="22"/>
              </w:rPr>
              <w:t>The hours claimed herein in support of Decision</w:t>
            </w:r>
            <w:r w:rsidRPr="00AB1866" w:rsidR="009D2026">
              <w:rPr>
                <w:color w:val="000000"/>
                <w:sz w:val="22"/>
                <w:szCs w:val="22"/>
              </w:rPr>
              <w:t>s</w:t>
            </w:r>
            <w:r w:rsidRPr="00AB1866">
              <w:rPr>
                <w:color w:val="000000"/>
                <w:sz w:val="22"/>
                <w:szCs w:val="22"/>
              </w:rPr>
              <w:t xml:space="preserve"> </w:t>
            </w:r>
            <w:r w:rsidRPr="00AB1866" w:rsidR="009D2026">
              <w:rPr>
                <w:color w:val="000000"/>
                <w:sz w:val="22"/>
                <w:szCs w:val="22"/>
              </w:rPr>
              <w:t>D.19-05-036, D.19-05-037 and D.19-05-038</w:t>
            </w:r>
            <w:r w:rsidRPr="00AB1866" w:rsidR="00832E42">
              <w:rPr>
                <w:color w:val="000000"/>
                <w:sz w:val="22"/>
                <w:szCs w:val="22"/>
              </w:rPr>
              <w:t xml:space="preserve"> </w:t>
            </w:r>
            <w:r w:rsidRPr="00AB1866">
              <w:rPr>
                <w:color w:val="000000"/>
                <w:sz w:val="22"/>
                <w:szCs w:val="22"/>
              </w:rPr>
              <w:t xml:space="preserve">are reasonable given the scope of the Proceeding, and the strong </w:t>
            </w:r>
            <w:r w:rsidRPr="00AB1866">
              <w:rPr>
                <w:color w:val="000000"/>
                <w:sz w:val="22"/>
                <w:szCs w:val="22"/>
              </w:rPr>
              <w:lastRenderedPageBreak/>
              <w:t>participation by the GPI.  GPI staff maintained detailed contemporaneous time records indicating the number of hours devoted</w:t>
            </w:r>
            <w:r w:rsidRPr="00AB1866" w:rsidR="00777E54">
              <w:rPr>
                <w:color w:val="000000"/>
                <w:sz w:val="22"/>
                <w:szCs w:val="22"/>
              </w:rPr>
              <w:t xml:space="preserve"> to the matters settled by this</w:t>
            </w:r>
            <w:r w:rsidRPr="00AB1866">
              <w:rPr>
                <w:color w:val="000000"/>
                <w:sz w:val="22"/>
                <w:szCs w:val="22"/>
              </w:rPr>
              <w:t xml:space="preserve"> Decision in this case.  In preparing Attachment 2, Dr. Morris reviewed all of the recorded hours devoted to this proceeding, and included only those that were reasonable and contributory to the underlying tasks.  As a result, the GPI submits that all of the hours included in the attachment are reasonable, and should be compensated in full.</w:t>
            </w:r>
          </w:p>
          <w:p w:rsidRPr="00AB1866" w:rsidR="00DC4980" w:rsidP="00DC4980" w:rsidRDefault="00DC4980" w14:paraId="084FD172" w14:textId="77777777">
            <w:pPr>
              <w:rPr>
                <w:color w:val="000000"/>
                <w:sz w:val="22"/>
                <w:szCs w:val="22"/>
              </w:rPr>
            </w:pPr>
          </w:p>
          <w:p w:rsidRPr="00AB1866" w:rsidR="00DC4980" w:rsidP="00DC4980" w:rsidRDefault="00DC4980" w14:paraId="7922B2BD" w14:textId="77777777">
            <w:pPr>
              <w:rPr>
                <w:color w:val="000000"/>
                <w:sz w:val="22"/>
                <w:szCs w:val="22"/>
              </w:rPr>
            </w:pPr>
            <w:r w:rsidRPr="00AB1866">
              <w:rPr>
                <w:color w:val="000000"/>
                <w:sz w:val="22"/>
                <w:szCs w:val="22"/>
              </w:rPr>
              <w:t xml:space="preserve">Dr. Morris is a renewable energy analyst and consultant with more than </w:t>
            </w:r>
            <w:r w:rsidRPr="00AB1866" w:rsidR="00DF1739">
              <w:rPr>
                <w:color w:val="000000"/>
                <w:sz w:val="22"/>
                <w:szCs w:val="22"/>
              </w:rPr>
              <w:t>35</w:t>
            </w:r>
            <w:r w:rsidRPr="00AB1866">
              <w:rPr>
                <w:color w:val="000000"/>
                <w:sz w:val="22"/>
                <w:szCs w:val="22"/>
              </w:rPr>
              <w:t xml:space="preserve"> years of diversified experience and accomplishments in the energy and environmental fields.  He is a nationally recognized expert on biomass and renewable energy, climate change and greenhouse-gas emissions analysis, integrated resources planning, and analysis of the environmental impacts of electric power generation.  Dr. Morris holds a BA in Natural Science from the University of Pennsylvania, an MSc in Biochemistry from the University of Toronto, and a PhD in Energy and Resources from the University of California, Berkeley.</w:t>
            </w:r>
          </w:p>
          <w:p w:rsidRPr="00AB1866" w:rsidR="00DC4980" w:rsidP="00DC4980" w:rsidRDefault="00DC4980" w14:paraId="433002EF" w14:textId="77777777">
            <w:pPr>
              <w:rPr>
                <w:color w:val="000000"/>
                <w:sz w:val="22"/>
                <w:szCs w:val="22"/>
              </w:rPr>
            </w:pPr>
          </w:p>
          <w:p w:rsidRPr="00AB1866" w:rsidR="00DC4980" w:rsidP="00DC4980" w:rsidRDefault="00DC4980" w14:paraId="23ED517C" w14:textId="77777777">
            <w:pPr>
              <w:rPr>
                <w:color w:val="000000"/>
                <w:sz w:val="22"/>
                <w:szCs w:val="22"/>
              </w:rPr>
            </w:pPr>
            <w:r w:rsidRPr="00AB1866">
              <w:rPr>
                <w:color w:val="000000"/>
                <w:sz w:val="22"/>
                <w:szCs w:val="22"/>
              </w:rPr>
              <w:t>Dr. Morris has been actively involved in electric utility restructuring in California throughout the past two decades.  He served as editor and facilitator for the Renewables Working Group to the California Public Utilities Commission in 1996 during the original restructuring effort, consultant to the CEC Renewables Program Committee, consultant to the Governor’s Office of Planning and Research on renewable energy policy during the energy crisis years, and has provided expert testimony in a variety of regulatory and legislative proceedings, as well as in civil litigation.</w:t>
            </w:r>
          </w:p>
          <w:p w:rsidRPr="00AB1866" w:rsidR="00F75180" w:rsidP="00F75180" w:rsidRDefault="00F75180" w14:paraId="625BC089" w14:textId="77777777">
            <w:pPr>
              <w:rPr>
                <w:color w:val="000000"/>
                <w:sz w:val="22"/>
                <w:szCs w:val="22"/>
              </w:rPr>
            </w:pPr>
          </w:p>
          <w:p w:rsidRPr="00AB1866" w:rsidR="00001FE9" w:rsidP="00B03F74" w:rsidRDefault="00DC4980" w14:paraId="74F63456" w14:textId="77777777">
            <w:pPr>
              <w:rPr>
                <w:color w:val="000000"/>
                <w:sz w:val="22"/>
                <w:szCs w:val="22"/>
              </w:rPr>
            </w:pPr>
            <w:r w:rsidRPr="00AB1866">
              <w:rPr>
                <w:color w:val="000000"/>
                <w:sz w:val="22"/>
                <w:szCs w:val="22"/>
              </w:rPr>
              <w:t xml:space="preserve">Decision D.98-04-059 states, on pgs. 33-34, “Participation must be productive in the sense that the costs of participation should bear a reasonable relationship to the benefits realized through such participation.  …  At a minimum, when the benefits are intangible, the customer should present information sufficient to justify a Commission finding that the overall benefits of a customer’s participation will exceed a customer’s costs.”  This proceeding </w:t>
            </w:r>
            <w:r w:rsidRPr="00AB1866" w:rsidR="005B5BA1">
              <w:rPr>
                <w:color w:val="000000"/>
                <w:sz w:val="22"/>
                <w:szCs w:val="22"/>
              </w:rPr>
              <w:t>i</w:t>
            </w:r>
            <w:r w:rsidRPr="00AB1866">
              <w:rPr>
                <w:color w:val="000000"/>
                <w:sz w:val="22"/>
                <w:szCs w:val="22"/>
              </w:rPr>
              <w:t xml:space="preserve">s concerned with </w:t>
            </w:r>
            <w:r w:rsidRPr="00AB1866" w:rsidR="00414C68">
              <w:rPr>
                <w:color w:val="000000"/>
                <w:sz w:val="22"/>
                <w:szCs w:val="22"/>
              </w:rPr>
              <w:t>the wires utilities reducing the risks that the electrical systems under their control will spark future wildfires in California</w:t>
            </w:r>
            <w:r w:rsidRPr="00AB1866" w:rsidR="00052207">
              <w:rPr>
                <w:color w:val="000000"/>
                <w:sz w:val="22"/>
                <w:szCs w:val="22"/>
              </w:rPr>
              <w:t>.</w:t>
            </w:r>
            <w:r w:rsidRPr="00AB1866" w:rsidR="00A01DAD">
              <w:rPr>
                <w:color w:val="000000"/>
                <w:sz w:val="22"/>
                <w:szCs w:val="22"/>
              </w:rPr>
              <w:t xml:space="preserve">  The</w:t>
            </w:r>
            <w:r w:rsidRPr="00AB1866">
              <w:rPr>
                <w:color w:val="000000"/>
                <w:sz w:val="22"/>
                <w:szCs w:val="22"/>
              </w:rPr>
              <w:t xml:space="preserve"> cost </w:t>
            </w:r>
            <w:r w:rsidRPr="00AB1866" w:rsidR="00414C68">
              <w:rPr>
                <w:color w:val="000000"/>
                <w:sz w:val="22"/>
                <w:szCs w:val="22"/>
              </w:rPr>
              <w:t>savings</w:t>
            </w:r>
            <w:r w:rsidRPr="00AB1866" w:rsidR="004148C4">
              <w:rPr>
                <w:color w:val="000000"/>
                <w:sz w:val="22"/>
                <w:szCs w:val="22"/>
              </w:rPr>
              <w:t xml:space="preserve"> and environmental benefits</w:t>
            </w:r>
            <w:r w:rsidRPr="00AB1866" w:rsidR="00A01DAD">
              <w:rPr>
                <w:color w:val="000000"/>
                <w:sz w:val="22"/>
                <w:szCs w:val="22"/>
              </w:rPr>
              <w:t xml:space="preserve"> of</w:t>
            </w:r>
            <w:r w:rsidRPr="00AB1866" w:rsidR="00414C68">
              <w:rPr>
                <w:color w:val="000000"/>
                <w:sz w:val="22"/>
                <w:szCs w:val="22"/>
              </w:rPr>
              <w:t xml:space="preserve"> reducing wildfire risks</w:t>
            </w:r>
            <w:r w:rsidRPr="00AB1866" w:rsidR="00A01DAD">
              <w:rPr>
                <w:color w:val="000000"/>
                <w:sz w:val="22"/>
                <w:szCs w:val="22"/>
              </w:rPr>
              <w:t xml:space="preserve"> </w:t>
            </w:r>
            <w:r w:rsidRPr="00AB1866">
              <w:rPr>
                <w:color w:val="000000"/>
                <w:sz w:val="22"/>
                <w:szCs w:val="22"/>
              </w:rPr>
              <w:t>overwhelm the cost of our participation in this proceeding.</w:t>
            </w:r>
          </w:p>
        </w:tc>
        <w:tc>
          <w:tcPr>
            <w:tcW w:w="2250" w:type="dxa"/>
            <w:shd w:val="clear" w:color="auto" w:fill="auto"/>
          </w:tcPr>
          <w:p w:rsidRPr="00AB1866" w:rsidR="00A92D0B" w:rsidP="00A92D0B" w:rsidRDefault="00A92D0B" w14:paraId="2442CF04" w14:textId="77777777">
            <w:pPr>
              <w:pBdr>
                <w:bottom w:val="single" w:color="auto" w:sz="12" w:space="1"/>
              </w:pBdr>
              <w:spacing w:before="120"/>
              <w:jc w:val="center"/>
              <w:rPr>
                <w:b/>
                <w:color w:val="000000"/>
                <w:sz w:val="22"/>
                <w:szCs w:val="22"/>
              </w:rPr>
            </w:pPr>
            <w:r w:rsidRPr="00AB1866">
              <w:rPr>
                <w:b/>
                <w:color w:val="000000"/>
                <w:sz w:val="22"/>
                <w:szCs w:val="22"/>
              </w:rPr>
              <w:lastRenderedPageBreak/>
              <w:t xml:space="preserve">CPUC </w:t>
            </w:r>
            <w:r w:rsidRPr="00AB1866" w:rsidR="00D075B1">
              <w:rPr>
                <w:b/>
                <w:color w:val="000000"/>
                <w:sz w:val="22"/>
                <w:szCs w:val="22"/>
              </w:rPr>
              <w:t>Discussion</w:t>
            </w:r>
          </w:p>
          <w:p w:rsidRPr="00AB1866" w:rsidR="00D075B1" w:rsidP="00127CB3" w:rsidRDefault="00127CB3" w14:paraId="320C8506" w14:textId="77777777">
            <w:pPr>
              <w:spacing w:before="120"/>
              <w:rPr>
                <w:bCs/>
                <w:color w:val="000000"/>
              </w:rPr>
            </w:pPr>
            <w:r w:rsidRPr="00AB1866">
              <w:rPr>
                <w:bCs/>
                <w:color w:val="000000"/>
              </w:rPr>
              <w:t>Noted</w:t>
            </w:r>
          </w:p>
        </w:tc>
      </w:tr>
      <w:tr w:rsidRPr="00AB1866" w:rsidR="00A92D0B" w:rsidTr="00F7505D" w14:paraId="0725F0FF" w14:textId="77777777">
        <w:trPr>
          <w:jc w:val="center"/>
        </w:trPr>
        <w:tc>
          <w:tcPr>
            <w:tcW w:w="7488" w:type="dxa"/>
            <w:shd w:val="clear" w:color="auto" w:fill="auto"/>
          </w:tcPr>
          <w:p w:rsidRPr="00AB1866" w:rsidR="00A92D0B" w:rsidRDefault="00A92D0B" w14:paraId="3F5DD54E" w14:textId="77777777">
            <w:pPr>
              <w:rPr>
                <w:b/>
                <w:color w:val="000000"/>
                <w:sz w:val="22"/>
                <w:szCs w:val="22"/>
              </w:rPr>
            </w:pPr>
            <w:r w:rsidRPr="00AB1866">
              <w:rPr>
                <w:b/>
                <w:color w:val="000000"/>
                <w:sz w:val="22"/>
                <w:szCs w:val="22"/>
              </w:rPr>
              <w:t xml:space="preserve">b. Reasonableness of </w:t>
            </w:r>
            <w:r w:rsidRPr="00AB1866" w:rsidR="00A319DE">
              <w:rPr>
                <w:b/>
                <w:color w:val="000000"/>
                <w:sz w:val="22"/>
                <w:szCs w:val="22"/>
              </w:rPr>
              <w:t>h</w:t>
            </w:r>
            <w:r w:rsidRPr="00AB1866">
              <w:rPr>
                <w:b/>
                <w:color w:val="000000"/>
                <w:sz w:val="22"/>
                <w:szCs w:val="22"/>
              </w:rPr>
              <w:t xml:space="preserve">ours </w:t>
            </w:r>
            <w:r w:rsidRPr="00AB1866" w:rsidR="00A319DE">
              <w:rPr>
                <w:b/>
                <w:color w:val="000000"/>
                <w:sz w:val="22"/>
                <w:szCs w:val="22"/>
              </w:rPr>
              <w:t>c</w:t>
            </w:r>
            <w:r w:rsidRPr="00AB1866">
              <w:rPr>
                <w:b/>
                <w:color w:val="000000"/>
                <w:sz w:val="22"/>
                <w:szCs w:val="22"/>
              </w:rPr>
              <w:t>laimed</w:t>
            </w:r>
            <w:r w:rsidRPr="00AB1866" w:rsidR="00A319DE">
              <w:rPr>
                <w:b/>
                <w:color w:val="000000"/>
                <w:sz w:val="22"/>
                <w:szCs w:val="22"/>
              </w:rPr>
              <w:t>:</w:t>
            </w:r>
          </w:p>
          <w:p w:rsidRPr="00AB1866" w:rsidR="00EE5405" w:rsidP="00EE5405" w:rsidRDefault="00EE5405" w14:paraId="0DCCF90A" w14:textId="77777777">
            <w:pPr>
              <w:rPr>
                <w:color w:val="000000"/>
                <w:sz w:val="22"/>
                <w:szCs w:val="22"/>
              </w:rPr>
            </w:pPr>
            <w:r w:rsidRPr="00AB1866">
              <w:rPr>
                <w:color w:val="000000"/>
                <w:sz w:val="22"/>
                <w:szCs w:val="22"/>
              </w:rPr>
              <w:t>The GPI made Significant Contributi</w:t>
            </w:r>
            <w:r w:rsidRPr="00AB1866" w:rsidR="00A63590">
              <w:rPr>
                <w:color w:val="000000"/>
                <w:sz w:val="22"/>
                <w:szCs w:val="22"/>
              </w:rPr>
              <w:t>ons to Decision</w:t>
            </w:r>
            <w:r w:rsidRPr="00AB1866" w:rsidR="00414C68">
              <w:rPr>
                <w:color w:val="000000"/>
                <w:sz w:val="22"/>
                <w:szCs w:val="22"/>
              </w:rPr>
              <w:t>s</w:t>
            </w:r>
            <w:r w:rsidRPr="00AB1866">
              <w:rPr>
                <w:color w:val="000000"/>
                <w:sz w:val="22"/>
                <w:szCs w:val="22"/>
              </w:rPr>
              <w:t xml:space="preserve"> </w:t>
            </w:r>
            <w:r w:rsidRPr="00AB1866" w:rsidR="00414C68">
              <w:rPr>
                <w:color w:val="000000"/>
                <w:sz w:val="22"/>
                <w:szCs w:val="22"/>
              </w:rPr>
              <w:t>D.19-05-036, D.19-05-037 and D.19-05-038</w:t>
            </w:r>
            <w:r w:rsidRPr="00AB1866" w:rsidR="004D2125">
              <w:rPr>
                <w:color w:val="000000"/>
                <w:sz w:val="22"/>
                <w:szCs w:val="22"/>
              </w:rPr>
              <w:t xml:space="preserve">, </w:t>
            </w:r>
            <w:r w:rsidRPr="00AB1866">
              <w:rPr>
                <w:color w:val="000000"/>
                <w:sz w:val="22"/>
                <w:szCs w:val="22"/>
              </w:rPr>
              <w:t>by participating in</w:t>
            </w:r>
            <w:r w:rsidRPr="00AB1866" w:rsidR="008C1FDC">
              <w:rPr>
                <w:color w:val="000000"/>
                <w:sz w:val="22"/>
                <w:szCs w:val="22"/>
              </w:rPr>
              <w:t xml:space="preserve"> workshops and</w:t>
            </w:r>
            <w:r w:rsidRPr="00AB1866">
              <w:rPr>
                <w:color w:val="000000"/>
                <w:sz w:val="22"/>
                <w:szCs w:val="22"/>
              </w:rPr>
              <w:t xml:space="preserve"> working groups, and providing a series of Commission filings on the various topics that were under consideration in the Proceeding, and are covered by this Claim.  Attachment 2 provides a detailed breakdown of the hours that were expended in making our Contributions.  The hourly rates and costs claimed are reasonable and consistent with awards to other intervenors with comparable experience and expertise.  The Commission should grant the GPI’s claim in its entirety.</w:t>
            </w:r>
          </w:p>
          <w:p w:rsidRPr="00AB1866" w:rsidR="00A92D0B" w:rsidRDefault="00A92D0B" w14:paraId="0B7AB719" w14:textId="77777777">
            <w:pPr>
              <w:rPr>
                <w:color w:val="000000"/>
                <w:sz w:val="22"/>
                <w:szCs w:val="22"/>
              </w:rPr>
            </w:pPr>
          </w:p>
        </w:tc>
        <w:tc>
          <w:tcPr>
            <w:tcW w:w="2250" w:type="dxa"/>
            <w:shd w:val="clear" w:color="auto" w:fill="auto"/>
          </w:tcPr>
          <w:p w:rsidRPr="00AB1866" w:rsidR="00A92D0B" w:rsidP="00A92D0B" w:rsidRDefault="00127CB3" w14:paraId="7DCEF1FA" w14:textId="77777777">
            <w:pPr>
              <w:spacing w:before="120"/>
              <w:rPr>
                <w:color w:val="000000"/>
                <w:sz w:val="22"/>
                <w:szCs w:val="22"/>
              </w:rPr>
            </w:pPr>
            <w:r w:rsidRPr="00AB1866">
              <w:rPr>
                <w:bCs/>
                <w:color w:val="000000"/>
              </w:rPr>
              <w:t>Noted</w:t>
            </w:r>
          </w:p>
        </w:tc>
      </w:tr>
      <w:tr w:rsidRPr="00AB1866" w:rsidR="00A92D0B" w:rsidTr="00F7505D" w14:paraId="5E52BD07" w14:textId="77777777">
        <w:trPr>
          <w:jc w:val="center"/>
        </w:trPr>
        <w:tc>
          <w:tcPr>
            <w:tcW w:w="7488" w:type="dxa"/>
            <w:shd w:val="clear" w:color="auto" w:fill="auto"/>
          </w:tcPr>
          <w:p w:rsidRPr="00AB1866" w:rsidR="00A92D0B" w:rsidRDefault="00A92D0B" w14:paraId="559B0CC6" w14:textId="77777777">
            <w:pPr>
              <w:rPr>
                <w:b/>
                <w:sz w:val="22"/>
                <w:szCs w:val="22"/>
              </w:rPr>
            </w:pPr>
            <w:r w:rsidRPr="00AB1866">
              <w:rPr>
                <w:b/>
                <w:sz w:val="22"/>
                <w:szCs w:val="22"/>
              </w:rPr>
              <w:t xml:space="preserve">c. Allocation of </w:t>
            </w:r>
            <w:r w:rsidRPr="00AB1866" w:rsidR="00A319DE">
              <w:rPr>
                <w:b/>
                <w:sz w:val="22"/>
                <w:szCs w:val="22"/>
              </w:rPr>
              <w:t>h</w:t>
            </w:r>
            <w:r w:rsidRPr="00AB1866">
              <w:rPr>
                <w:b/>
                <w:sz w:val="22"/>
                <w:szCs w:val="22"/>
              </w:rPr>
              <w:t xml:space="preserve">ours by </w:t>
            </w:r>
            <w:r w:rsidRPr="00AB1866" w:rsidR="00A319DE">
              <w:rPr>
                <w:b/>
                <w:sz w:val="22"/>
                <w:szCs w:val="22"/>
              </w:rPr>
              <w:t>i</w:t>
            </w:r>
            <w:r w:rsidRPr="00AB1866">
              <w:rPr>
                <w:b/>
                <w:sz w:val="22"/>
                <w:szCs w:val="22"/>
              </w:rPr>
              <w:t>ssue</w:t>
            </w:r>
            <w:r w:rsidRPr="00AB1866" w:rsidR="00A319DE">
              <w:rPr>
                <w:b/>
                <w:sz w:val="22"/>
                <w:szCs w:val="22"/>
              </w:rPr>
              <w:t>:</w:t>
            </w:r>
          </w:p>
          <w:p w:rsidRPr="00AB1866" w:rsidR="00AE1756" w:rsidRDefault="00AE1756" w14:paraId="3845F33A" w14:textId="77777777">
            <w:pPr>
              <w:rPr>
                <w:b/>
                <w:sz w:val="22"/>
                <w:szCs w:val="22"/>
              </w:rPr>
            </w:pPr>
          </w:p>
          <w:p w:rsidRPr="00AB1866" w:rsidR="00FB3EB9" w:rsidP="00FB3EB9" w:rsidRDefault="00FB3EB9" w14:paraId="6E90D61A" w14:textId="77777777">
            <w:pPr>
              <w:rPr>
                <w:rFonts w:eastAsia="Calibri"/>
                <w:sz w:val="22"/>
                <w:szCs w:val="22"/>
              </w:rPr>
            </w:pPr>
            <w:r w:rsidRPr="00AB1866">
              <w:rPr>
                <w:rFonts w:eastAsia="Calibri"/>
                <w:sz w:val="22"/>
                <w:szCs w:val="22"/>
              </w:rPr>
              <w:t xml:space="preserve"> 1. </w:t>
            </w:r>
            <w:r w:rsidRPr="00AB1866" w:rsidR="00617154">
              <w:rPr>
                <w:rFonts w:eastAsia="Calibri"/>
                <w:sz w:val="22"/>
                <w:szCs w:val="22"/>
              </w:rPr>
              <w:t>Meaning of Commission Approval</w:t>
            </w:r>
            <w:r w:rsidRPr="00AB1866" w:rsidR="0090651C">
              <w:rPr>
                <w:rFonts w:eastAsia="Calibri"/>
                <w:sz w:val="22"/>
                <w:szCs w:val="22"/>
              </w:rPr>
              <w:t xml:space="preserve">                              </w:t>
            </w:r>
            <w:r w:rsidRPr="00AB1866" w:rsidR="0090651C">
              <w:rPr>
                <w:rFonts w:eastAsia="Calibri"/>
                <w:sz w:val="36"/>
                <w:szCs w:val="36"/>
              </w:rPr>
              <w:t xml:space="preserve"> </w:t>
            </w:r>
            <w:r w:rsidRPr="00AB1866" w:rsidR="0090651C">
              <w:rPr>
                <w:rFonts w:eastAsia="Calibri"/>
                <w:sz w:val="22"/>
                <w:szCs w:val="22"/>
              </w:rPr>
              <w:t xml:space="preserve">       </w:t>
            </w:r>
            <w:r w:rsidRPr="00AB1866" w:rsidR="00617154">
              <w:rPr>
                <w:rFonts w:eastAsia="Calibri"/>
                <w:sz w:val="22"/>
                <w:szCs w:val="22"/>
              </w:rPr>
              <w:t xml:space="preserve"> </w:t>
            </w:r>
            <w:r w:rsidRPr="00AB1866" w:rsidR="0090651C">
              <w:rPr>
                <w:rFonts w:eastAsia="Calibri"/>
                <w:sz w:val="22"/>
                <w:szCs w:val="22"/>
              </w:rPr>
              <w:t xml:space="preserve"> </w:t>
            </w:r>
            <w:r w:rsidRPr="00AB1866" w:rsidR="00617154">
              <w:rPr>
                <w:rFonts w:eastAsia="Calibri"/>
                <w:sz w:val="22"/>
                <w:szCs w:val="22"/>
              </w:rPr>
              <w:t>1</w:t>
            </w:r>
            <w:r w:rsidRPr="00AB1866" w:rsidR="0090651C">
              <w:rPr>
                <w:rFonts w:eastAsia="Calibri"/>
                <w:sz w:val="22"/>
                <w:szCs w:val="22"/>
              </w:rPr>
              <w:t>5</w:t>
            </w:r>
            <w:r w:rsidRPr="00AB1866">
              <w:rPr>
                <w:rFonts w:eastAsia="Calibri"/>
                <w:sz w:val="19"/>
                <w:szCs w:val="19"/>
              </w:rPr>
              <w:t>%</w:t>
            </w:r>
          </w:p>
          <w:p w:rsidRPr="00AB1866" w:rsidR="00FB3EB9" w:rsidP="00FB3EB9" w:rsidRDefault="003B1E48" w14:paraId="4572A213" w14:textId="77777777">
            <w:pPr>
              <w:rPr>
                <w:rFonts w:eastAsia="Calibri"/>
                <w:sz w:val="22"/>
                <w:szCs w:val="22"/>
              </w:rPr>
            </w:pPr>
            <w:r w:rsidRPr="00AB1866">
              <w:rPr>
                <w:rFonts w:eastAsia="Calibri"/>
                <w:sz w:val="22"/>
                <w:szCs w:val="22"/>
              </w:rPr>
              <w:t xml:space="preserve"> 2.</w:t>
            </w:r>
            <w:r w:rsidRPr="00AB1866" w:rsidR="00617154">
              <w:rPr>
                <w:rFonts w:eastAsia="Calibri"/>
                <w:sz w:val="22"/>
                <w:szCs w:val="22"/>
              </w:rPr>
              <w:t xml:space="preserve"> Metrics, Monitoring, Reporting</w:t>
            </w:r>
            <w:r w:rsidRPr="00AB1866" w:rsidR="0090651C">
              <w:rPr>
                <w:rFonts w:eastAsia="Calibri"/>
                <w:sz w:val="22"/>
                <w:szCs w:val="22"/>
              </w:rPr>
              <w:t xml:space="preserve">                            </w:t>
            </w:r>
            <w:r w:rsidRPr="00AB1866" w:rsidR="0090651C">
              <w:rPr>
                <w:rFonts w:eastAsia="Calibri"/>
                <w:sz w:val="28"/>
                <w:szCs w:val="28"/>
              </w:rPr>
              <w:t xml:space="preserve"> </w:t>
            </w:r>
            <w:r w:rsidRPr="00AB1866" w:rsidR="0090651C">
              <w:rPr>
                <w:rFonts w:eastAsia="Calibri"/>
                <w:sz w:val="22"/>
                <w:szCs w:val="22"/>
              </w:rPr>
              <w:t xml:space="preserve">             </w:t>
            </w:r>
            <w:r w:rsidRPr="00AB1866" w:rsidR="00617154">
              <w:rPr>
                <w:rFonts w:eastAsia="Calibri"/>
                <w:sz w:val="22"/>
                <w:szCs w:val="22"/>
              </w:rPr>
              <w:t xml:space="preserve"> </w:t>
            </w:r>
            <w:r w:rsidRPr="00AB1866" w:rsidR="0090651C">
              <w:rPr>
                <w:rFonts w:eastAsia="Calibri"/>
                <w:sz w:val="22"/>
                <w:szCs w:val="22"/>
              </w:rPr>
              <w:t xml:space="preserve">   2</w:t>
            </w:r>
            <w:r w:rsidRPr="00AB1866" w:rsidR="00E23808">
              <w:rPr>
                <w:rFonts w:eastAsia="Calibri"/>
                <w:sz w:val="22"/>
                <w:szCs w:val="22"/>
              </w:rPr>
              <w:t>5</w:t>
            </w:r>
            <w:r w:rsidRPr="00AB1866" w:rsidR="00155C6E">
              <w:rPr>
                <w:rFonts w:eastAsia="Calibri"/>
                <w:sz w:val="19"/>
                <w:szCs w:val="19"/>
              </w:rPr>
              <w:t>%</w:t>
            </w:r>
          </w:p>
          <w:p w:rsidRPr="00AB1866" w:rsidR="00FB3EB9" w:rsidP="00FB3EB9" w:rsidRDefault="00FB3EB9" w14:paraId="59C08BD7" w14:textId="77777777">
            <w:pPr>
              <w:rPr>
                <w:rFonts w:eastAsia="Calibri"/>
                <w:sz w:val="22"/>
                <w:szCs w:val="22"/>
              </w:rPr>
            </w:pPr>
            <w:r w:rsidRPr="00AB1866">
              <w:rPr>
                <w:rFonts w:eastAsia="Calibri"/>
                <w:sz w:val="22"/>
                <w:szCs w:val="22"/>
              </w:rPr>
              <w:t xml:space="preserve"> 3.</w:t>
            </w:r>
            <w:r w:rsidRPr="00AB1866" w:rsidR="00617154">
              <w:rPr>
                <w:rFonts w:eastAsia="Calibri"/>
                <w:sz w:val="22"/>
                <w:szCs w:val="22"/>
              </w:rPr>
              <w:t xml:space="preserve"> Vegetation Management</w:t>
            </w:r>
            <w:r w:rsidRPr="00AB1866" w:rsidR="0090651C">
              <w:rPr>
                <w:rFonts w:eastAsia="Calibri"/>
                <w:sz w:val="22"/>
                <w:szCs w:val="22"/>
              </w:rPr>
              <w:t xml:space="preserve">        </w:t>
            </w:r>
            <w:r w:rsidRPr="00AB1866" w:rsidR="0090651C">
              <w:rPr>
                <w:rFonts w:eastAsia="Calibri"/>
                <w:sz w:val="28"/>
                <w:szCs w:val="28"/>
              </w:rPr>
              <w:t xml:space="preserve">  </w:t>
            </w:r>
            <w:r w:rsidRPr="00AB1866" w:rsidR="0090651C">
              <w:rPr>
                <w:rFonts w:eastAsia="Calibri"/>
                <w:sz w:val="22"/>
                <w:szCs w:val="22"/>
              </w:rPr>
              <w:t xml:space="preserve">   </w:t>
            </w:r>
            <w:r w:rsidRPr="00AB1866" w:rsidR="00617154">
              <w:rPr>
                <w:rFonts w:eastAsia="Calibri"/>
                <w:sz w:val="22"/>
                <w:szCs w:val="22"/>
              </w:rPr>
              <w:t xml:space="preserve">                                        </w:t>
            </w:r>
            <w:r w:rsidRPr="00AB1866" w:rsidR="0090651C">
              <w:rPr>
                <w:rFonts w:eastAsia="Calibri"/>
                <w:sz w:val="22"/>
                <w:szCs w:val="22"/>
              </w:rPr>
              <w:t xml:space="preserve">    </w:t>
            </w:r>
            <w:r w:rsidRPr="00AB1866" w:rsidR="00617154">
              <w:rPr>
                <w:rFonts w:eastAsia="Calibri"/>
                <w:sz w:val="22"/>
                <w:szCs w:val="22"/>
              </w:rPr>
              <w:t>3</w:t>
            </w:r>
            <w:r w:rsidRPr="00AB1866" w:rsidR="0090651C">
              <w:rPr>
                <w:rFonts w:eastAsia="Calibri"/>
                <w:sz w:val="22"/>
                <w:szCs w:val="22"/>
              </w:rPr>
              <w:t>0</w:t>
            </w:r>
            <w:r w:rsidRPr="00AB1866" w:rsidR="00155C6E">
              <w:rPr>
                <w:rFonts w:eastAsia="Calibri"/>
                <w:sz w:val="19"/>
                <w:szCs w:val="19"/>
              </w:rPr>
              <w:t>%</w:t>
            </w:r>
          </w:p>
          <w:p w:rsidRPr="00AB1866" w:rsidR="0090651C" w:rsidP="0090651C" w:rsidRDefault="0090651C" w14:paraId="4AC1A83F" w14:textId="77777777">
            <w:pPr>
              <w:rPr>
                <w:rFonts w:eastAsia="Calibri"/>
                <w:sz w:val="22"/>
                <w:szCs w:val="22"/>
              </w:rPr>
            </w:pPr>
            <w:r w:rsidRPr="00AB1866">
              <w:rPr>
                <w:rFonts w:eastAsia="Calibri"/>
                <w:sz w:val="22"/>
                <w:szCs w:val="22"/>
              </w:rPr>
              <w:lastRenderedPageBreak/>
              <w:t xml:space="preserve"> 4.</w:t>
            </w:r>
            <w:r w:rsidRPr="00AB1866" w:rsidR="00617154">
              <w:rPr>
                <w:rFonts w:eastAsia="Calibri"/>
                <w:sz w:val="22"/>
                <w:szCs w:val="22"/>
              </w:rPr>
              <w:t xml:space="preserve"> De-Energization</w:t>
            </w:r>
            <w:r w:rsidRPr="00AB1866">
              <w:rPr>
                <w:rFonts w:eastAsia="Calibri"/>
                <w:sz w:val="22"/>
                <w:szCs w:val="22"/>
              </w:rPr>
              <w:t xml:space="preserve">      </w:t>
            </w:r>
            <w:r w:rsidRPr="00AB1866">
              <w:rPr>
                <w:rFonts w:eastAsia="Calibri"/>
                <w:sz w:val="28"/>
                <w:szCs w:val="28"/>
              </w:rPr>
              <w:t xml:space="preserve"> </w:t>
            </w:r>
            <w:r w:rsidRPr="00AB1866">
              <w:rPr>
                <w:rFonts w:eastAsia="Calibri"/>
                <w:sz w:val="22"/>
                <w:szCs w:val="22"/>
              </w:rPr>
              <w:t xml:space="preserve">                   </w:t>
            </w:r>
            <w:r w:rsidRPr="00AB1866">
              <w:rPr>
                <w:rFonts w:eastAsia="Calibri"/>
                <w:sz w:val="18"/>
                <w:szCs w:val="18"/>
              </w:rPr>
              <w:t xml:space="preserve">  </w:t>
            </w:r>
            <w:r w:rsidRPr="00AB1866">
              <w:rPr>
                <w:rFonts w:eastAsia="Calibri"/>
                <w:sz w:val="22"/>
                <w:szCs w:val="22"/>
              </w:rPr>
              <w:t xml:space="preserve">                                    </w:t>
            </w:r>
            <w:r w:rsidRPr="00AB1866">
              <w:rPr>
                <w:rFonts w:eastAsia="Calibri"/>
                <w:sz w:val="32"/>
                <w:szCs w:val="32"/>
              </w:rPr>
              <w:t xml:space="preserve"> </w:t>
            </w:r>
            <w:r w:rsidRPr="00AB1866" w:rsidR="00617154">
              <w:rPr>
                <w:rFonts w:eastAsia="Calibri"/>
                <w:sz w:val="22"/>
                <w:szCs w:val="22"/>
              </w:rPr>
              <w:t xml:space="preserve">     1</w:t>
            </w:r>
            <w:r w:rsidRPr="00AB1866">
              <w:rPr>
                <w:rFonts w:eastAsia="Calibri"/>
                <w:sz w:val="22"/>
                <w:szCs w:val="22"/>
              </w:rPr>
              <w:t>0</w:t>
            </w:r>
            <w:r w:rsidRPr="00AB1866">
              <w:rPr>
                <w:rFonts w:eastAsia="Calibri"/>
                <w:sz w:val="19"/>
                <w:szCs w:val="19"/>
              </w:rPr>
              <w:t>%</w:t>
            </w:r>
          </w:p>
          <w:p w:rsidRPr="00AB1866" w:rsidR="005B7DAB" w:rsidP="00617154" w:rsidRDefault="00617154" w14:paraId="02605D5F" w14:textId="77777777">
            <w:pPr>
              <w:rPr>
                <w:rFonts w:eastAsia="Calibri"/>
                <w:sz w:val="19"/>
                <w:szCs w:val="19"/>
              </w:rPr>
            </w:pPr>
            <w:r w:rsidRPr="00AB1866">
              <w:rPr>
                <w:rFonts w:eastAsia="Calibri"/>
                <w:sz w:val="22"/>
                <w:szCs w:val="22"/>
              </w:rPr>
              <w:t xml:space="preserve"> 5. Emergency Preparedness, Outreach and Response     </w:t>
            </w:r>
            <w:r w:rsidRPr="00AB1866">
              <w:rPr>
                <w:rFonts w:eastAsia="Calibri"/>
                <w:sz w:val="16"/>
                <w:szCs w:val="16"/>
              </w:rPr>
              <w:t xml:space="preserve"> </w:t>
            </w:r>
            <w:r w:rsidRPr="00AB1866">
              <w:rPr>
                <w:rFonts w:eastAsia="Calibri"/>
                <w:sz w:val="22"/>
                <w:szCs w:val="22"/>
              </w:rPr>
              <w:t xml:space="preserve">           20</w:t>
            </w:r>
            <w:r w:rsidRPr="00AB1866">
              <w:rPr>
                <w:rFonts w:eastAsia="Calibri"/>
                <w:sz w:val="19"/>
                <w:szCs w:val="19"/>
              </w:rPr>
              <w:t>%</w:t>
            </w:r>
          </w:p>
          <w:p w:rsidRPr="00AB1866" w:rsidR="00617154" w:rsidP="00617154" w:rsidRDefault="00617154" w14:paraId="45EAA8E1" w14:textId="77777777">
            <w:pPr>
              <w:rPr>
                <w:b/>
                <w:sz w:val="22"/>
                <w:szCs w:val="22"/>
              </w:rPr>
            </w:pPr>
          </w:p>
        </w:tc>
        <w:tc>
          <w:tcPr>
            <w:tcW w:w="2250" w:type="dxa"/>
            <w:shd w:val="clear" w:color="auto" w:fill="auto"/>
          </w:tcPr>
          <w:p w:rsidRPr="00AB1866" w:rsidR="00A92D0B" w:rsidP="00A92D0B" w:rsidRDefault="009A5B80" w14:paraId="565D8F63" w14:textId="77777777">
            <w:pPr>
              <w:spacing w:before="120"/>
              <w:rPr>
                <w:color w:val="000000"/>
                <w:sz w:val="22"/>
                <w:szCs w:val="22"/>
              </w:rPr>
            </w:pPr>
            <w:r w:rsidRPr="00AB1866">
              <w:rPr>
                <w:bCs/>
                <w:color w:val="000000"/>
              </w:rPr>
              <w:lastRenderedPageBreak/>
              <w:t>Noted</w:t>
            </w:r>
          </w:p>
        </w:tc>
      </w:tr>
    </w:tbl>
    <w:p w:rsidRPr="00AB1866" w:rsidR="00B70505" w:rsidP="00B70505" w:rsidRDefault="00B70505" w14:paraId="272A9D3F" w14:textId="77777777">
      <w:pPr>
        <w:keepNext/>
        <w:keepLines/>
        <w:ind w:left="360"/>
        <w:rPr>
          <w:b/>
          <w:color w:val="000000"/>
        </w:rPr>
      </w:pPr>
    </w:p>
    <w:p w:rsidRPr="00AB1866" w:rsidR="00A92D0B" w:rsidP="008F7B39" w:rsidRDefault="00A92D0B" w14:paraId="28DF3C5A" w14:textId="77777777">
      <w:pPr>
        <w:keepNext/>
        <w:keepLines/>
        <w:numPr>
          <w:ilvl w:val="0"/>
          <w:numId w:val="2"/>
        </w:numPr>
        <w:tabs>
          <w:tab w:val="clear" w:pos="900"/>
          <w:tab w:val="num" w:pos="360"/>
        </w:tabs>
        <w:ind w:left="360"/>
        <w:rPr>
          <w:b/>
          <w:color w:val="000000"/>
        </w:rPr>
      </w:pPr>
      <w:r w:rsidRPr="00AB1866">
        <w:rPr>
          <w:b/>
          <w:color w:val="000000"/>
        </w:rPr>
        <w:t>Specific Claim:</w:t>
      </w:r>
      <w:r w:rsidRPr="00AB1866" w:rsidR="00B70505">
        <w:rPr>
          <w:b/>
          <w:color w:val="000000"/>
        </w:rPr>
        <w:t>*</w:t>
      </w:r>
    </w:p>
    <w:p w:rsidRPr="00AB1866" w:rsidR="00B70505" w:rsidP="00B70505" w:rsidRDefault="00B70505" w14:paraId="171B0098" w14:textId="77777777">
      <w:pPr>
        <w:keepNext/>
        <w:keepLines/>
        <w:ind w:left="360"/>
        <w:rPr>
          <w:b/>
          <w:color w:val="000000"/>
        </w:rPr>
      </w:pPr>
    </w:p>
    <w:tbl>
      <w:tblPr>
        <w:tblW w:w="101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8"/>
        <w:gridCol w:w="900"/>
        <w:gridCol w:w="720"/>
        <w:gridCol w:w="77"/>
        <w:gridCol w:w="798"/>
        <w:gridCol w:w="25"/>
        <w:gridCol w:w="810"/>
        <w:gridCol w:w="90"/>
        <w:gridCol w:w="1800"/>
        <w:gridCol w:w="1080"/>
        <w:gridCol w:w="900"/>
        <w:gridCol w:w="1080"/>
        <w:gridCol w:w="1440"/>
      </w:tblGrid>
      <w:tr w:rsidRPr="00AB1866" w:rsidR="00A92D0B" w:rsidTr="00F7505D" w14:paraId="0991046E" w14:textId="77777777">
        <w:trPr>
          <w:jc w:val="center"/>
        </w:trPr>
        <w:tc>
          <w:tcPr>
            <w:tcW w:w="6768" w:type="dxa"/>
            <w:gridSpan w:val="10"/>
            <w:tcBorders>
              <w:bottom w:val="single" w:color="auto" w:sz="4" w:space="0"/>
              <w:right w:val="single" w:color="auto" w:sz="24" w:space="0"/>
            </w:tcBorders>
            <w:shd w:val="clear" w:color="auto" w:fill="auto"/>
          </w:tcPr>
          <w:p w:rsidRPr="00AB1866" w:rsidR="00A92D0B" w:rsidP="00DE3A5D" w:rsidRDefault="00A92D0B" w14:paraId="01F28E08" w14:textId="77777777">
            <w:pPr>
              <w:keepNext/>
              <w:keepLines/>
              <w:spacing w:before="60" w:after="60"/>
              <w:jc w:val="center"/>
              <w:rPr>
                <w:b/>
                <w:smallCaps/>
                <w:color w:val="000000"/>
              </w:rPr>
            </w:pPr>
            <w:r w:rsidRPr="00AB1866">
              <w:rPr>
                <w:b/>
                <w:smallCaps/>
                <w:color w:val="000000"/>
              </w:rPr>
              <w:t>Claimed</w:t>
            </w:r>
          </w:p>
        </w:tc>
        <w:tc>
          <w:tcPr>
            <w:tcW w:w="3420" w:type="dxa"/>
            <w:gridSpan w:val="3"/>
            <w:tcBorders>
              <w:left w:val="single" w:color="auto" w:sz="24" w:space="0"/>
              <w:bottom w:val="single" w:color="auto" w:sz="4" w:space="0"/>
            </w:tcBorders>
            <w:shd w:val="clear" w:color="auto" w:fill="auto"/>
          </w:tcPr>
          <w:p w:rsidRPr="00AB1866" w:rsidR="00A92D0B" w:rsidP="00DE3A5D" w:rsidRDefault="00A92D0B" w14:paraId="513F6EF8" w14:textId="77777777">
            <w:pPr>
              <w:keepNext/>
              <w:keepLines/>
              <w:spacing w:before="60" w:after="60"/>
              <w:jc w:val="center"/>
              <w:rPr>
                <w:b/>
                <w:smallCaps/>
                <w:color w:val="000000"/>
              </w:rPr>
            </w:pPr>
            <w:r w:rsidRPr="00AB1866">
              <w:rPr>
                <w:b/>
                <w:smallCaps/>
                <w:color w:val="000000"/>
              </w:rPr>
              <w:t>CPUC Award</w:t>
            </w:r>
          </w:p>
        </w:tc>
      </w:tr>
      <w:tr w:rsidRPr="00AB1866" w:rsidR="00A92D0B" w:rsidTr="00F7505D" w14:paraId="57739D84" w14:textId="77777777">
        <w:trPr>
          <w:jc w:val="center"/>
        </w:trPr>
        <w:tc>
          <w:tcPr>
            <w:tcW w:w="10188" w:type="dxa"/>
            <w:gridSpan w:val="13"/>
            <w:tcBorders>
              <w:top w:val="single" w:color="auto" w:sz="4" w:space="0"/>
              <w:left w:val="single" w:color="auto" w:sz="4" w:space="0"/>
              <w:bottom w:val="single" w:color="auto" w:sz="4" w:space="0"/>
              <w:right w:val="single" w:color="auto" w:sz="4" w:space="0"/>
            </w:tcBorders>
            <w:shd w:val="clear" w:color="auto" w:fill="E6E6E6"/>
          </w:tcPr>
          <w:p w:rsidRPr="00AB1866" w:rsidR="00A92D0B" w:rsidP="00DE3A5D" w:rsidRDefault="00A92D0B" w14:paraId="1B639C65" w14:textId="77777777">
            <w:pPr>
              <w:keepNext/>
              <w:keepLines/>
              <w:spacing w:before="60" w:after="60"/>
              <w:jc w:val="center"/>
              <w:rPr>
                <w:b/>
              </w:rPr>
            </w:pPr>
            <w:r w:rsidRPr="00AB1866">
              <w:rPr>
                <w:b/>
              </w:rPr>
              <w:t>ATTORNEY, EXPERT, AND ADVOCATE FEES</w:t>
            </w:r>
          </w:p>
        </w:tc>
      </w:tr>
      <w:tr w:rsidRPr="00AB1866" w:rsidR="00A92D0B" w:rsidTr="00F7505D" w14:paraId="456526DF" w14:textId="77777777">
        <w:trPr>
          <w:jc w:val="center"/>
        </w:trPr>
        <w:tc>
          <w:tcPr>
            <w:tcW w:w="1368" w:type="dxa"/>
            <w:gridSpan w:val="2"/>
            <w:tcBorders>
              <w:top w:val="single" w:color="auto" w:sz="4" w:space="0"/>
              <w:bottom w:val="single" w:color="auto" w:sz="4" w:space="0"/>
            </w:tcBorders>
            <w:shd w:val="clear" w:color="auto" w:fill="auto"/>
            <w:vAlign w:val="bottom"/>
          </w:tcPr>
          <w:p w:rsidRPr="00AB1866" w:rsidR="00A92D0B" w:rsidP="00DE3A5D" w:rsidRDefault="00A92D0B" w14:paraId="096EAE18" w14:textId="77777777">
            <w:pPr>
              <w:keepNext/>
              <w:keepLines/>
              <w:spacing w:before="60" w:after="60"/>
              <w:jc w:val="center"/>
              <w:rPr>
                <w:b/>
                <w:color w:val="000000"/>
              </w:rPr>
            </w:pPr>
            <w:r w:rsidRPr="00AB1866">
              <w:rPr>
                <w:b/>
                <w:color w:val="000000"/>
              </w:rPr>
              <w:t>Item</w:t>
            </w:r>
          </w:p>
        </w:tc>
        <w:tc>
          <w:tcPr>
            <w:tcW w:w="797" w:type="dxa"/>
            <w:gridSpan w:val="2"/>
            <w:tcBorders>
              <w:top w:val="single" w:color="auto" w:sz="4" w:space="0"/>
              <w:bottom w:val="single" w:color="auto" w:sz="4" w:space="0"/>
            </w:tcBorders>
            <w:shd w:val="clear" w:color="auto" w:fill="auto"/>
            <w:vAlign w:val="bottom"/>
          </w:tcPr>
          <w:p w:rsidRPr="00AB1866" w:rsidR="00A92D0B" w:rsidP="00DE3A5D" w:rsidRDefault="00A92D0B" w14:paraId="761979BA" w14:textId="77777777">
            <w:pPr>
              <w:keepNext/>
              <w:keepLines/>
              <w:spacing w:before="60" w:after="60"/>
              <w:jc w:val="center"/>
              <w:rPr>
                <w:b/>
                <w:color w:val="000000"/>
              </w:rPr>
            </w:pPr>
            <w:r w:rsidRPr="00AB1866">
              <w:rPr>
                <w:b/>
                <w:color w:val="000000"/>
              </w:rPr>
              <w:t>Year</w:t>
            </w:r>
          </w:p>
        </w:tc>
        <w:tc>
          <w:tcPr>
            <w:tcW w:w="798" w:type="dxa"/>
            <w:tcBorders>
              <w:top w:val="single" w:color="auto" w:sz="4" w:space="0"/>
              <w:bottom w:val="single" w:color="auto" w:sz="4" w:space="0"/>
            </w:tcBorders>
            <w:shd w:val="clear" w:color="auto" w:fill="auto"/>
            <w:vAlign w:val="bottom"/>
          </w:tcPr>
          <w:p w:rsidRPr="00AB1866" w:rsidR="00A92D0B" w:rsidP="00DE3A5D" w:rsidRDefault="00A92D0B" w14:paraId="4A5FB873" w14:textId="77777777">
            <w:pPr>
              <w:keepNext/>
              <w:keepLines/>
              <w:spacing w:before="60" w:after="60"/>
              <w:jc w:val="center"/>
              <w:rPr>
                <w:b/>
                <w:color w:val="000000"/>
              </w:rPr>
            </w:pPr>
            <w:r w:rsidRPr="00AB1866">
              <w:rPr>
                <w:b/>
                <w:color w:val="000000"/>
              </w:rPr>
              <w:t>Hours</w:t>
            </w:r>
          </w:p>
        </w:tc>
        <w:tc>
          <w:tcPr>
            <w:tcW w:w="835" w:type="dxa"/>
            <w:gridSpan w:val="2"/>
            <w:tcBorders>
              <w:top w:val="single" w:color="auto" w:sz="4" w:space="0"/>
              <w:bottom w:val="single" w:color="auto" w:sz="4" w:space="0"/>
            </w:tcBorders>
            <w:shd w:val="clear" w:color="auto" w:fill="auto"/>
            <w:vAlign w:val="bottom"/>
          </w:tcPr>
          <w:p w:rsidRPr="00AB1866" w:rsidR="00A92D0B" w:rsidP="00DE3A5D" w:rsidRDefault="00A92D0B" w14:paraId="5533F290" w14:textId="77777777">
            <w:pPr>
              <w:keepNext/>
              <w:keepLines/>
              <w:spacing w:before="60" w:after="60"/>
              <w:jc w:val="center"/>
              <w:rPr>
                <w:b/>
                <w:color w:val="000000"/>
              </w:rPr>
            </w:pPr>
            <w:r w:rsidRPr="00AB1866">
              <w:rPr>
                <w:b/>
                <w:color w:val="000000"/>
              </w:rPr>
              <w:t>Rate</w:t>
            </w:r>
            <w:r w:rsidRPr="00AB1866" w:rsidR="00E3786F">
              <w:rPr>
                <w:b/>
                <w:color w:val="000000"/>
              </w:rPr>
              <w:t xml:space="preserve"> $</w:t>
            </w:r>
          </w:p>
        </w:tc>
        <w:tc>
          <w:tcPr>
            <w:tcW w:w="1890" w:type="dxa"/>
            <w:gridSpan w:val="2"/>
            <w:tcBorders>
              <w:top w:val="single" w:color="auto" w:sz="4" w:space="0"/>
              <w:bottom w:val="single" w:color="auto" w:sz="4" w:space="0"/>
              <w:right w:val="single" w:color="auto" w:sz="4" w:space="0"/>
            </w:tcBorders>
            <w:shd w:val="clear" w:color="auto" w:fill="auto"/>
            <w:vAlign w:val="bottom"/>
          </w:tcPr>
          <w:p w:rsidRPr="00AB1866" w:rsidR="00A92D0B" w:rsidP="00DE3A5D" w:rsidRDefault="00A92D0B" w14:paraId="44ED4F89" w14:textId="77777777">
            <w:pPr>
              <w:keepNext/>
              <w:keepLines/>
              <w:spacing w:before="60" w:after="60"/>
              <w:jc w:val="center"/>
              <w:rPr>
                <w:b/>
                <w:color w:val="000000"/>
              </w:rPr>
            </w:pPr>
            <w:r w:rsidRPr="00AB1866">
              <w:rPr>
                <w:b/>
                <w:color w:val="000000"/>
              </w:rPr>
              <w:t>Basis for Rate*</w:t>
            </w:r>
          </w:p>
        </w:tc>
        <w:tc>
          <w:tcPr>
            <w:tcW w:w="1080" w:type="dxa"/>
            <w:tcBorders>
              <w:top w:val="single" w:color="auto" w:sz="4" w:space="0"/>
              <w:left w:val="single" w:color="auto" w:sz="4" w:space="0"/>
              <w:bottom w:val="single" w:color="auto" w:sz="4" w:space="0"/>
              <w:right w:val="single" w:color="auto" w:sz="24" w:space="0"/>
            </w:tcBorders>
            <w:shd w:val="clear" w:color="auto" w:fill="auto"/>
            <w:vAlign w:val="bottom"/>
          </w:tcPr>
          <w:p w:rsidRPr="00AB1866" w:rsidR="00A92D0B" w:rsidP="00DE3A5D" w:rsidRDefault="00A92D0B" w14:paraId="5F1110B6" w14:textId="77777777">
            <w:pPr>
              <w:keepNext/>
              <w:keepLines/>
              <w:spacing w:before="60" w:after="60"/>
              <w:jc w:val="center"/>
              <w:rPr>
                <w:b/>
                <w:color w:val="000000"/>
              </w:rPr>
            </w:pPr>
            <w:r w:rsidRPr="00AB1866">
              <w:rPr>
                <w:b/>
                <w:color w:val="000000"/>
              </w:rPr>
              <w:t>Total $</w:t>
            </w:r>
          </w:p>
        </w:tc>
        <w:tc>
          <w:tcPr>
            <w:tcW w:w="900" w:type="dxa"/>
            <w:tcBorders>
              <w:top w:val="single" w:color="auto" w:sz="4" w:space="0"/>
              <w:left w:val="single" w:color="auto" w:sz="4" w:space="0"/>
            </w:tcBorders>
            <w:shd w:val="clear" w:color="auto" w:fill="auto"/>
            <w:vAlign w:val="bottom"/>
          </w:tcPr>
          <w:p w:rsidRPr="00AB1866" w:rsidR="00A92D0B" w:rsidP="00DE3A5D" w:rsidRDefault="00A92D0B" w14:paraId="2CBAFD12" w14:textId="77777777">
            <w:pPr>
              <w:keepNext/>
              <w:keepLines/>
              <w:spacing w:before="60" w:after="60"/>
              <w:jc w:val="center"/>
              <w:rPr>
                <w:b/>
                <w:color w:val="000000"/>
              </w:rPr>
            </w:pPr>
            <w:r w:rsidRPr="00AB1866">
              <w:rPr>
                <w:b/>
                <w:color w:val="000000"/>
              </w:rPr>
              <w:t>Hours</w:t>
            </w:r>
          </w:p>
        </w:tc>
        <w:tc>
          <w:tcPr>
            <w:tcW w:w="1080" w:type="dxa"/>
            <w:tcBorders>
              <w:top w:val="single" w:color="auto" w:sz="4" w:space="0"/>
            </w:tcBorders>
            <w:shd w:val="clear" w:color="auto" w:fill="auto"/>
            <w:vAlign w:val="bottom"/>
          </w:tcPr>
          <w:p w:rsidRPr="00AB1866" w:rsidR="00A92D0B" w:rsidP="00DE3A5D" w:rsidRDefault="00A92D0B" w14:paraId="1C8B650C" w14:textId="77777777">
            <w:pPr>
              <w:keepNext/>
              <w:keepLines/>
              <w:spacing w:before="60" w:after="60"/>
              <w:jc w:val="center"/>
              <w:rPr>
                <w:b/>
                <w:color w:val="000000"/>
              </w:rPr>
            </w:pPr>
            <w:r w:rsidRPr="00AB1866">
              <w:rPr>
                <w:b/>
                <w:color w:val="000000"/>
              </w:rPr>
              <w:t>Rate</w:t>
            </w:r>
            <w:r w:rsidRPr="00AB1866" w:rsidR="00E3786F">
              <w:rPr>
                <w:b/>
                <w:color w:val="000000"/>
              </w:rPr>
              <w:t xml:space="preserve"> $</w:t>
            </w:r>
          </w:p>
        </w:tc>
        <w:tc>
          <w:tcPr>
            <w:tcW w:w="1440" w:type="dxa"/>
            <w:tcBorders>
              <w:top w:val="single" w:color="auto" w:sz="4" w:space="0"/>
            </w:tcBorders>
            <w:shd w:val="clear" w:color="auto" w:fill="auto"/>
            <w:vAlign w:val="bottom"/>
          </w:tcPr>
          <w:p w:rsidRPr="00AB1866" w:rsidR="00A92D0B" w:rsidP="00DE3A5D" w:rsidRDefault="00A92D0B" w14:paraId="2AB0381B" w14:textId="77777777">
            <w:pPr>
              <w:keepNext/>
              <w:keepLines/>
              <w:spacing w:before="60" w:after="60"/>
              <w:jc w:val="center"/>
              <w:rPr>
                <w:b/>
                <w:color w:val="000000"/>
              </w:rPr>
            </w:pPr>
            <w:r w:rsidRPr="00AB1866">
              <w:rPr>
                <w:b/>
                <w:color w:val="000000"/>
              </w:rPr>
              <w:t>Total $</w:t>
            </w:r>
          </w:p>
        </w:tc>
      </w:tr>
      <w:tr w:rsidRPr="00AB1866" w:rsidR="00880AA7" w:rsidTr="00F7505D" w14:paraId="6CAAB6F6" w14:textId="77777777">
        <w:trPr>
          <w:jc w:val="center"/>
        </w:trPr>
        <w:tc>
          <w:tcPr>
            <w:tcW w:w="1368" w:type="dxa"/>
            <w:gridSpan w:val="2"/>
            <w:shd w:val="clear" w:color="auto" w:fill="auto"/>
          </w:tcPr>
          <w:p w:rsidRPr="00AB1866" w:rsidR="00880AA7" w:rsidP="00FF03D9" w:rsidRDefault="00880AA7" w14:paraId="5491024A" w14:textId="77777777">
            <w:pPr>
              <w:spacing w:before="60" w:after="60"/>
              <w:rPr>
                <w:color w:val="000000"/>
              </w:rPr>
            </w:pPr>
            <w:r w:rsidRPr="00AB1866">
              <w:rPr>
                <w:color w:val="000000"/>
              </w:rPr>
              <w:t xml:space="preserve"> G. Morris</w:t>
            </w:r>
          </w:p>
        </w:tc>
        <w:tc>
          <w:tcPr>
            <w:tcW w:w="797" w:type="dxa"/>
            <w:gridSpan w:val="2"/>
            <w:shd w:val="clear" w:color="auto" w:fill="auto"/>
          </w:tcPr>
          <w:p w:rsidRPr="00AB1866" w:rsidR="00880AA7" w:rsidP="0090651C" w:rsidRDefault="00880AA7" w14:paraId="5A11C372" w14:textId="77777777">
            <w:pPr>
              <w:spacing w:before="60" w:after="60"/>
              <w:jc w:val="center"/>
              <w:rPr>
                <w:color w:val="000000"/>
              </w:rPr>
            </w:pPr>
            <w:r w:rsidRPr="00AB1866">
              <w:rPr>
                <w:color w:val="000000"/>
              </w:rPr>
              <w:t>201</w:t>
            </w:r>
            <w:r w:rsidRPr="00AB1866" w:rsidR="0090651C">
              <w:rPr>
                <w:color w:val="000000"/>
              </w:rPr>
              <w:t>8</w:t>
            </w:r>
          </w:p>
        </w:tc>
        <w:tc>
          <w:tcPr>
            <w:tcW w:w="798" w:type="dxa"/>
            <w:shd w:val="clear" w:color="auto" w:fill="auto"/>
          </w:tcPr>
          <w:p w:rsidRPr="00AB1866" w:rsidR="00880AA7" w:rsidP="00880AA7" w:rsidRDefault="00E23808" w14:paraId="7683E233" w14:textId="77777777">
            <w:pPr>
              <w:spacing w:before="60" w:after="60"/>
              <w:jc w:val="right"/>
              <w:rPr>
                <w:color w:val="000000"/>
              </w:rPr>
            </w:pPr>
            <w:r w:rsidRPr="00AB1866">
              <w:rPr>
                <w:color w:val="000000"/>
              </w:rPr>
              <w:t>16</w:t>
            </w:r>
          </w:p>
        </w:tc>
        <w:tc>
          <w:tcPr>
            <w:tcW w:w="835" w:type="dxa"/>
            <w:gridSpan w:val="2"/>
            <w:shd w:val="clear" w:color="auto" w:fill="auto"/>
          </w:tcPr>
          <w:p w:rsidRPr="00AB1866" w:rsidR="00880AA7" w:rsidP="007F0F4E" w:rsidRDefault="00880AA7" w14:paraId="3C89AD0C" w14:textId="77777777">
            <w:pPr>
              <w:spacing w:before="60" w:after="60"/>
              <w:jc w:val="center"/>
              <w:rPr>
                <w:color w:val="000000"/>
              </w:rPr>
            </w:pPr>
            <w:r w:rsidRPr="00AB1866">
              <w:rPr>
                <w:color w:val="000000"/>
              </w:rPr>
              <w:t>2</w:t>
            </w:r>
            <w:r w:rsidRPr="00AB1866" w:rsidR="007F0F4E">
              <w:rPr>
                <w:color w:val="000000"/>
              </w:rPr>
              <w:t>8</w:t>
            </w:r>
            <w:r w:rsidRPr="00AB1866">
              <w:rPr>
                <w:color w:val="000000"/>
              </w:rPr>
              <w:t>5</w:t>
            </w:r>
          </w:p>
        </w:tc>
        <w:tc>
          <w:tcPr>
            <w:tcW w:w="1890" w:type="dxa"/>
            <w:gridSpan w:val="2"/>
            <w:tcBorders>
              <w:right w:val="single" w:color="auto" w:sz="4" w:space="0"/>
            </w:tcBorders>
            <w:shd w:val="clear" w:color="auto" w:fill="auto"/>
          </w:tcPr>
          <w:p w:rsidRPr="00AB1866" w:rsidR="00880AA7" w:rsidP="00EC750A" w:rsidRDefault="007F0F4E" w14:paraId="08C07C34" w14:textId="77777777">
            <w:pPr>
              <w:spacing w:before="60" w:after="60"/>
              <w:jc w:val="center"/>
              <w:rPr>
                <w:color w:val="000000"/>
              </w:rPr>
            </w:pPr>
            <w:r w:rsidRPr="00AB1866">
              <w:rPr>
                <w:color w:val="000000"/>
              </w:rPr>
              <w:t>D.18-05-035</w:t>
            </w:r>
          </w:p>
        </w:tc>
        <w:tc>
          <w:tcPr>
            <w:tcW w:w="1080" w:type="dxa"/>
            <w:tcBorders>
              <w:top w:val="single" w:color="auto" w:sz="4" w:space="0"/>
              <w:left w:val="single" w:color="auto" w:sz="4" w:space="0"/>
              <w:bottom w:val="single" w:color="auto" w:sz="4" w:space="0"/>
              <w:right w:val="single" w:color="auto" w:sz="24" w:space="0"/>
            </w:tcBorders>
            <w:shd w:val="clear" w:color="auto" w:fill="auto"/>
          </w:tcPr>
          <w:p w:rsidRPr="00AB1866" w:rsidR="00880AA7" w:rsidP="00E23808" w:rsidRDefault="00E23808" w14:paraId="5B699E5F" w14:textId="77777777">
            <w:pPr>
              <w:spacing w:before="60" w:after="60"/>
              <w:jc w:val="right"/>
              <w:rPr>
                <w:color w:val="000000"/>
              </w:rPr>
            </w:pPr>
            <w:r w:rsidRPr="00AB1866">
              <w:rPr>
                <w:color w:val="000000"/>
              </w:rPr>
              <w:t>4</w:t>
            </w:r>
            <w:r w:rsidRPr="00AB1866" w:rsidR="007F0F4E">
              <w:rPr>
                <w:color w:val="000000"/>
              </w:rPr>
              <w:t>,5</w:t>
            </w:r>
            <w:r w:rsidRPr="00AB1866">
              <w:rPr>
                <w:color w:val="000000"/>
              </w:rPr>
              <w:t>60</w:t>
            </w:r>
          </w:p>
        </w:tc>
        <w:tc>
          <w:tcPr>
            <w:tcW w:w="900" w:type="dxa"/>
            <w:tcBorders>
              <w:left w:val="single" w:color="auto" w:sz="4" w:space="0"/>
            </w:tcBorders>
            <w:shd w:val="clear" w:color="auto" w:fill="auto"/>
          </w:tcPr>
          <w:p w:rsidRPr="00AB1866" w:rsidR="00880AA7" w:rsidP="009A5B80" w:rsidRDefault="000D55A4" w14:paraId="7DED8749" w14:textId="6EAE65B8">
            <w:pPr>
              <w:spacing w:before="60" w:after="60"/>
              <w:rPr>
                <w:color w:val="000000"/>
              </w:rPr>
            </w:pPr>
            <w:r>
              <w:rPr>
                <w:color w:val="000000"/>
              </w:rPr>
              <w:t>1</w:t>
            </w:r>
            <w:r w:rsidR="001339CD">
              <w:rPr>
                <w:color w:val="000000"/>
              </w:rPr>
              <w:t>4</w:t>
            </w:r>
            <w:r>
              <w:rPr>
                <w:color w:val="000000"/>
              </w:rPr>
              <w:t>.</w:t>
            </w:r>
            <w:r w:rsidR="001339CD">
              <w:rPr>
                <w:color w:val="000000"/>
              </w:rPr>
              <w:t>04</w:t>
            </w:r>
            <w:r w:rsidR="00E156F7">
              <w:rPr>
                <w:color w:val="000000"/>
              </w:rPr>
              <w:t>[4, 5,6]</w:t>
            </w:r>
          </w:p>
        </w:tc>
        <w:tc>
          <w:tcPr>
            <w:tcW w:w="1080" w:type="dxa"/>
            <w:shd w:val="clear" w:color="auto" w:fill="auto"/>
          </w:tcPr>
          <w:p w:rsidRPr="00AB1866" w:rsidR="00880AA7" w:rsidP="009A5B80" w:rsidRDefault="009A5B80" w14:paraId="1C6C077D" w14:textId="0E53027B">
            <w:pPr>
              <w:spacing w:before="60" w:after="60"/>
              <w:rPr>
                <w:color w:val="000000"/>
              </w:rPr>
            </w:pPr>
            <w:r w:rsidRPr="00AB1866">
              <w:rPr>
                <w:color w:val="000000"/>
              </w:rPr>
              <w:t>$</w:t>
            </w:r>
            <w:r w:rsidRPr="00AB1866" w:rsidR="00FF11AA">
              <w:rPr>
                <w:color w:val="000000"/>
              </w:rPr>
              <w:t>285</w:t>
            </w:r>
            <w:r w:rsidRPr="00AB1866" w:rsidR="000431A1">
              <w:rPr>
                <w:color w:val="000000"/>
              </w:rPr>
              <w:t xml:space="preserve"> [1]</w:t>
            </w:r>
          </w:p>
        </w:tc>
        <w:tc>
          <w:tcPr>
            <w:tcW w:w="1440" w:type="dxa"/>
            <w:shd w:val="clear" w:color="auto" w:fill="auto"/>
          </w:tcPr>
          <w:p w:rsidRPr="00AB1866" w:rsidR="00880AA7" w:rsidP="009A5B80" w:rsidRDefault="00FF11AA" w14:paraId="77680592" w14:textId="1F4EB5CF">
            <w:pPr>
              <w:spacing w:before="60" w:after="60"/>
              <w:rPr>
                <w:color w:val="000000"/>
              </w:rPr>
            </w:pPr>
            <w:r w:rsidRPr="00AB1866">
              <w:rPr>
                <w:color w:val="000000"/>
              </w:rPr>
              <w:t>$</w:t>
            </w:r>
            <w:r w:rsidRPr="00C672D1" w:rsidR="00C672D1">
              <w:rPr>
                <w:color w:val="000000"/>
              </w:rPr>
              <w:t xml:space="preserve">4,001.40 </w:t>
            </w:r>
          </w:p>
        </w:tc>
      </w:tr>
      <w:tr w:rsidRPr="00AB1866" w:rsidR="00EC750A" w:rsidTr="00F7505D" w14:paraId="40136F79" w14:textId="77777777">
        <w:trPr>
          <w:jc w:val="center"/>
        </w:trPr>
        <w:tc>
          <w:tcPr>
            <w:tcW w:w="1368" w:type="dxa"/>
            <w:gridSpan w:val="2"/>
            <w:shd w:val="clear" w:color="auto" w:fill="auto"/>
          </w:tcPr>
          <w:p w:rsidRPr="00AB1866" w:rsidR="00EC750A" w:rsidP="00F42C85" w:rsidRDefault="00EC750A" w14:paraId="6C39DE32" w14:textId="77777777">
            <w:pPr>
              <w:spacing w:before="60" w:after="60"/>
              <w:rPr>
                <w:color w:val="000000"/>
              </w:rPr>
            </w:pPr>
            <w:r w:rsidRPr="00AB1866">
              <w:rPr>
                <w:color w:val="000000"/>
              </w:rPr>
              <w:t xml:space="preserve"> G. Morris</w:t>
            </w:r>
          </w:p>
        </w:tc>
        <w:tc>
          <w:tcPr>
            <w:tcW w:w="797" w:type="dxa"/>
            <w:gridSpan w:val="2"/>
            <w:shd w:val="clear" w:color="auto" w:fill="auto"/>
          </w:tcPr>
          <w:p w:rsidRPr="00AB1866" w:rsidR="00EC750A" w:rsidP="00F42C85" w:rsidRDefault="00EC750A" w14:paraId="030E147C" w14:textId="77777777">
            <w:pPr>
              <w:spacing w:before="60" w:after="60"/>
              <w:jc w:val="center"/>
              <w:rPr>
                <w:color w:val="000000"/>
              </w:rPr>
            </w:pPr>
            <w:r w:rsidRPr="00AB1866">
              <w:rPr>
                <w:color w:val="000000"/>
              </w:rPr>
              <w:t>201</w:t>
            </w:r>
            <w:r w:rsidRPr="00AB1866" w:rsidR="0090651C">
              <w:rPr>
                <w:color w:val="000000"/>
              </w:rPr>
              <w:t>9</w:t>
            </w:r>
          </w:p>
        </w:tc>
        <w:tc>
          <w:tcPr>
            <w:tcW w:w="798" w:type="dxa"/>
            <w:shd w:val="clear" w:color="auto" w:fill="auto"/>
          </w:tcPr>
          <w:p w:rsidRPr="00AB1866" w:rsidR="00EC750A" w:rsidP="00E23808" w:rsidRDefault="007F0F4E" w14:paraId="4E349750" w14:textId="77777777">
            <w:pPr>
              <w:spacing w:before="60" w:after="60"/>
              <w:jc w:val="right"/>
              <w:rPr>
                <w:color w:val="000000"/>
              </w:rPr>
            </w:pPr>
            <w:r w:rsidRPr="00AB1866">
              <w:rPr>
                <w:color w:val="000000"/>
              </w:rPr>
              <w:t>1</w:t>
            </w:r>
            <w:r w:rsidRPr="00AB1866" w:rsidR="00E23808">
              <w:rPr>
                <w:color w:val="000000"/>
              </w:rPr>
              <w:t>18</w:t>
            </w:r>
          </w:p>
        </w:tc>
        <w:tc>
          <w:tcPr>
            <w:tcW w:w="835" w:type="dxa"/>
            <w:gridSpan w:val="2"/>
            <w:shd w:val="clear" w:color="auto" w:fill="auto"/>
          </w:tcPr>
          <w:p w:rsidRPr="00AB1866" w:rsidR="00EC750A" w:rsidP="00F42C85" w:rsidRDefault="007F0F4E" w14:paraId="529DAFBB" w14:textId="77777777">
            <w:pPr>
              <w:spacing w:before="60" w:after="60"/>
              <w:jc w:val="center"/>
              <w:rPr>
                <w:color w:val="000000"/>
              </w:rPr>
            </w:pPr>
            <w:r w:rsidRPr="00AB1866">
              <w:rPr>
                <w:color w:val="000000"/>
              </w:rPr>
              <w:t>32</w:t>
            </w:r>
            <w:r w:rsidRPr="00AB1866" w:rsidR="00EC750A">
              <w:rPr>
                <w:color w:val="000000"/>
              </w:rPr>
              <w:t>5</w:t>
            </w:r>
          </w:p>
        </w:tc>
        <w:tc>
          <w:tcPr>
            <w:tcW w:w="1890" w:type="dxa"/>
            <w:gridSpan w:val="2"/>
            <w:tcBorders>
              <w:right w:val="single" w:color="auto" w:sz="4" w:space="0"/>
            </w:tcBorders>
            <w:shd w:val="clear" w:color="auto" w:fill="auto"/>
          </w:tcPr>
          <w:p w:rsidRPr="00AB1866" w:rsidR="00EC750A" w:rsidP="00F42C85" w:rsidRDefault="00B03F74" w14:paraId="066B7759" w14:textId="77777777">
            <w:pPr>
              <w:spacing w:before="60" w:after="60"/>
              <w:jc w:val="center"/>
              <w:rPr>
                <w:color w:val="000000"/>
              </w:rPr>
            </w:pPr>
            <w:r w:rsidRPr="00AB1866">
              <w:rPr>
                <w:color w:val="000000"/>
              </w:rPr>
              <w:t>See Comment 1 below</w:t>
            </w:r>
          </w:p>
        </w:tc>
        <w:tc>
          <w:tcPr>
            <w:tcW w:w="1080" w:type="dxa"/>
            <w:tcBorders>
              <w:top w:val="single" w:color="auto" w:sz="4" w:space="0"/>
              <w:left w:val="single" w:color="auto" w:sz="4" w:space="0"/>
              <w:bottom w:val="single" w:color="auto" w:sz="4" w:space="0"/>
              <w:right w:val="single" w:color="auto" w:sz="24" w:space="0"/>
            </w:tcBorders>
            <w:shd w:val="clear" w:color="auto" w:fill="auto"/>
          </w:tcPr>
          <w:p w:rsidRPr="00AB1866" w:rsidR="00EC750A" w:rsidP="00E23808" w:rsidRDefault="00E23808" w14:paraId="63CE3FB6" w14:textId="77777777">
            <w:pPr>
              <w:spacing w:before="60" w:after="60"/>
              <w:jc w:val="right"/>
              <w:rPr>
                <w:color w:val="000000"/>
              </w:rPr>
            </w:pPr>
            <w:r w:rsidRPr="00AB1866">
              <w:rPr>
                <w:color w:val="000000"/>
              </w:rPr>
              <w:t>38</w:t>
            </w:r>
            <w:r w:rsidRPr="00AB1866" w:rsidR="00EC750A">
              <w:rPr>
                <w:color w:val="000000"/>
              </w:rPr>
              <w:t>,</w:t>
            </w:r>
            <w:r w:rsidRPr="00AB1866">
              <w:rPr>
                <w:color w:val="000000"/>
              </w:rPr>
              <w:t>35</w:t>
            </w:r>
            <w:r w:rsidRPr="00AB1866" w:rsidR="007F0F4E">
              <w:rPr>
                <w:color w:val="000000"/>
              </w:rPr>
              <w:t>0</w:t>
            </w:r>
          </w:p>
        </w:tc>
        <w:tc>
          <w:tcPr>
            <w:tcW w:w="900" w:type="dxa"/>
            <w:tcBorders>
              <w:left w:val="single" w:color="auto" w:sz="4" w:space="0"/>
            </w:tcBorders>
            <w:shd w:val="clear" w:color="auto" w:fill="auto"/>
          </w:tcPr>
          <w:p w:rsidRPr="00AB1866" w:rsidR="00EC750A" w:rsidP="009A5B80" w:rsidRDefault="00511DA2" w14:paraId="7A6F13A9" w14:textId="23430EA4">
            <w:pPr>
              <w:spacing w:before="60" w:after="60"/>
              <w:rPr>
                <w:color w:val="000000"/>
              </w:rPr>
            </w:pPr>
            <w:r>
              <w:rPr>
                <w:color w:val="000000"/>
              </w:rPr>
              <w:t>9</w:t>
            </w:r>
            <w:r w:rsidR="00767922">
              <w:rPr>
                <w:color w:val="000000"/>
              </w:rPr>
              <w:t>7</w:t>
            </w:r>
            <w:r>
              <w:rPr>
                <w:color w:val="000000"/>
              </w:rPr>
              <w:t>.</w:t>
            </w:r>
            <w:r w:rsidR="00767922">
              <w:rPr>
                <w:color w:val="000000"/>
              </w:rPr>
              <w:t>45</w:t>
            </w:r>
            <w:r w:rsidR="00E156F7">
              <w:rPr>
                <w:color w:val="000000"/>
              </w:rPr>
              <w:t xml:space="preserve"> [4, 5, 6]</w:t>
            </w:r>
          </w:p>
        </w:tc>
        <w:tc>
          <w:tcPr>
            <w:tcW w:w="1080" w:type="dxa"/>
            <w:shd w:val="clear" w:color="auto" w:fill="auto"/>
          </w:tcPr>
          <w:p w:rsidRPr="00AB1866" w:rsidR="00EC750A" w:rsidP="009A5B80" w:rsidRDefault="00FF11AA" w14:paraId="125245D7" w14:textId="035251D6">
            <w:pPr>
              <w:spacing w:before="60" w:after="60"/>
              <w:rPr>
                <w:color w:val="000000"/>
              </w:rPr>
            </w:pPr>
            <w:r w:rsidRPr="00AB1866">
              <w:rPr>
                <w:color w:val="000000"/>
              </w:rPr>
              <w:t>$325</w:t>
            </w:r>
            <w:r w:rsidRPr="00AB1866" w:rsidR="000431A1">
              <w:rPr>
                <w:color w:val="000000"/>
              </w:rPr>
              <w:t xml:space="preserve"> [</w:t>
            </w:r>
            <w:r w:rsidRPr="00AB1866" w:rsidR="00A345E6">
              <w:rPr>
                <w:color w:val="000000"/>
              </w:rPr>
              <w:t>1</w:t>
            </w:r>
            <w:r w:rsidRPr="00AB1866" w:rsidR="000431A1">
              <w:rPr>
                <w:color w:val="000000"/>
              </w:rPr>
              <w:t>]</w:t>
            </w:r>
          </w:p>
        </w:tc>
        <w:tc>
          <w:tcPr>
            <w:tcW w:w="1440" w:type="dxa"/>
            <w:shd w:val="clear" w:color="auto" w:fill="auto"/>
          </w:tcPr>
          <w:p w:rsidR="00384C7E" w:rsidP="005F6EC3" w:rsidRDefault="00FF11AA" w14:paraId="78E009C8" w14:textId="18A7389A">
            <w:pPr>
              <w:spacing w:before="60" w:after="60"/>
              <w:rPr>
                <w:color w:val="000000"/>
              </w:rPr>
            </w:pPr>
            <w:r w:rsidRPr="00AB1866">
              <w:rPr>
                <w:color w:val="000000"/>
              </w:rPr>
              <w:t>$</w:t>
            </w:r>
            <w:r w:rsidRPr="00C672D1" w:rsidR="00C672D1">
              <w:rPr>
                <w:color w:val="000000"/>
              </w:rPr>
              <w:t xml:space="preserve">31,671.25 </w:t>
            </w:r>
            <w:r w:rsidR="00384C7E">
              <w:rPr>
                <w:color w:val="000000"/>
              </w:rPr>
              <w:t xml:space="preserve"> </w:t>
            </w:r>
          </w:p>
          <w:p w:rsidRPr="00AB1866" w:rsidR="00EC750A" w:rsidP="009A5B80" w:rsidRDefault="00EC750A" w14:paraId="794DFDED" w14:textId="23E955FF">
            <w:pPr>
              <w:spacing w:before="60" w:after="60"/>
              <w:rPr>
                <w:color w:val="000000"/>
              </w:rPr>
            </w:pPr>
          </w:p>
        </w:tc>
      </w:tr>
      <w:tr w:rsidRPr="00AB1866" w:rsidR="00EC750A" w:rsidTr="00F7505D" w14:paraId="560E9BFC" w14:textId="77777777">
        <w:trPr>
          <w:jc w:val="center"/>
        </w:trPr>
        <w:tc>
          <w:tcPr>
            <w:tcW w:w="6768" w:type="dxa"/>
            <w:gridSpan w:val="10"/>
            <w:tcBorders>
              <w:bottom w:val="single" w:color="auto" w:sz="4" w:space="0"/>
              <w:right w:val="single" w:color="auto" w:sz="24" w:space="0"/>
            </w:tcBorders>
            <w:shd w:val="clear" w:color="auto" w:fill="auto"/>
            <w:vAlign w:val="bottom"/>
          </w:tcPr>
          <w:p w:rsidRPr="00AB1866" w:rsidR="00EC750A" w:rsidP="00E23808" w:rsidRDefault="00EC750A" w14:paraId="44A850E5" w14:textId="262BD414">
            <w:pPr>
              <w:spacing w:before="60" w:after="60"/>
              <w:rPr>
                <w:color w:val="000000"/>
              </w:rPr>
            </w:pPr>
            <w:r w:rsidRPr="00AB1866">
              <w:rPr>
                <w:b/>
                <w:i/>
                <w:color w:val="000000"/>
              </w:rPr>
              <w:t xml:space="preserve">                                                                             Subtotal: </w:t>
            </w:r>
            <w:r w:rsidRPr="00AB1866">
              <w:rPr>
                <w:b/>
                <w:color w:val="000000"/>
              </w:rPr>
              <w:t>$</w:t>
            </w:r>
            <w:r w:rsidRPr="00AB1866" w:rsidR="00E23808">
              <w:rPr>
                <w:b/>
                <w:color w:val="000000"/>
              </w:rPr>
              <w:t>42</w:t>
            </w:r>
            <w:r w:rsidRPr="00AB1866">
              <w:rPr>
                <w:b/>
                <w:color w:val="000000"/>
              </w:rPr>
              <w:t>,</w:t>
            </w:r>
            <w:r w:rsidRPr="00AB1866" w:rsidR="00E23808">
              <w:rPr>
                <w:b/>
                <w:color w:val="000000"/>
              </w:rPr>
              <w:t>910</w:t>
            </w:r>
          </w:p>
        </w:tc>
        <w:tc>
          <w:tcPr>
            <w:tcW w:w="3420" w:type="dxa"/>
            <w:gridSpan w:val="3"/>
            <w:tcBorders>
              <w:left w:val="single" w:color="auto" w:sz="24" w:space="0"/>
              <w:bottom w:val="single" w:color="auto" w:sz="4" w:space="0"/>
            </w:tcBorders>
            <w:shd w:val="clear" w:color="auto" w:fill="auto"/>
            <w:vAlign w:val="bottom"/>
          </w:tcPr>
          <w:p w:rsidRPr="00AB1866" w:rsidR="00EC750A" w:rsidP="00B70505" w:rsidRDefault="00EC750A" w14:paraId="0834362A" w14:textId="3EC4E1C3">
            <w:pPr>
              <w:tabs>
                <w:tab w:val="left" w:pos="957"/>
              </w:tabs>
              <w:spacing w:before="60" w:after="60"/>
              <w:jc w:val="right"/>
              <w:rPr>
                <w:color w:val="000000"/>
              </w:rPr>
            </w:pPr>
            <w:r w:rsidRPr="00AB1866">
              <w:rPr>
                <w:b/>
                <w:i/>
                <w:color w:val="000000"/>
              </w:rPr>
              <w:t>Subtotal:</w:t>
            </w:r>
            <w:r w:rsidRPr="007B0952" w:rsidR="007B0952">
              <w:rPr>
                <w:b/>
                <w:i/>
                <w:color w:val="000000"/>
              </w:rPr>
              <w:t xml:space="preserve"> $35,672.65</w:t>
            </w:r>
          </w:p>
        </w:tc>
      </w:tr>
      <w:tr w:rsidRPr="00AB1866" w:rsidR="00EC750A" w:rsidTr="00F7505D" w14:paraId="7E884593" w14:textId="77777777">
        <w:trPr>
          <w:jc w:val="center"/>
        </w:trPr>
        <w:tc>
          <w:tcPr>
            <w:tcW w:w="10188" w:type="dxa"/>
            <w:gridSpan w:val="13"/>
            <w:tcBorders>
              <w:top w:val="single" w:color="auto" w:sz="4" w:space="0"/>
              <w:left w:val="single" w:color="auto" w:sz="4" w:space="0"/>
              <w:bottom w:val="single" w:color="auto" w:sz="4" w:space="0"/>
              <w:right w:val="single" w:color="auto" w:sz="4" w:space="0"/>
            </w:tcBorders>
            <w:shd w:val="clear" w:color="auto" w:fill="E6E6E6"/>
          </w:tcPr>
          <w:p w:rsidRPr="00AB1866" w:rsidR="00EC750A" w:rsidP="00A92D0B" w:rsidRDefault="00EC750A" w14:paraId="0982EB44" w14:textId="77777777">
            <w:pPr>
              <w:spacing w:before="60" w:after="60"/>
              <w:jc w:val="center"/>
              <w:rPr>
                <w:color w:val="000000"/>
              </w:rPr>
            </w:pPr>
            <w:r w:rsidRPr="00AB1866">
              <w:rPr>
                <w:b/>
                <w:color w:val="000000"/>
              </w:rPr>
              <w:t xml:space="preserve">INTERVENOR COMPENSATION CLAIM PREPARATION </w:t>
            </w:r>
            <w:r w:rsidRPr="00AB1866">
              <w:rPr>
                <w:b/>
                <w:smallCaps/>
                <w:color w:val="000000"/>
              </w:rPr>
              <w:t xml:space="preserve"> **</w:t>
            </w:r>
          </w:p>
        </w:tc>
      </w:tr>
      <w:tr w:rsidRPr="00AB1866" w:rsidR="00EC750A" w:rsidTr="00F7505D" w14:paraId="7A0CBEB2" w14:textId="77777777">
        <w:trPr>
          <w:jc w:val="center"/>
        </w:trPr>
        <w:tc>
          <w:tcPr>
            <w:tcW w:w="1368" w:type="dxa"/>
            <w:gridSpan w:val="2"/>
            <w:tcBorders>
              <w:top w:val="single" w:color="auto" w:sz="4" w:space="0"/>
              <w:bottom w:val="single" w:color="auto" w:sz="4" w:space="0"/>
            </w:tcBorders>
            <w:shd w:val="clear" w:color="auto" w:fill="auto"/>
          </w:tcPr>
          <w:p w:rsidRPr="00AB1866" w:rsidR="00EC750A" w:rsidP="00A92D0B" w:rsidRDefault="00EC750A" w14:paraId="4CE2093E" w14:textId="77777777">
            <w:pPr>
              <w:spacing w:before="60" w:after="60"/>
              <w:jc w:val="center"/>
              <w:rPr>
                <w:b/>
                <w:color w:val="000000"/>
              </w:rPr>
            </w:pPr>
            <w:r w:rsidRPr="00AB1866">
              <w:rPr>
                <w:b/>
                <w:color w:val="000000"/>
              </w:rPr>
              <w:t>Item</w:t>
            </w:r>
          </w:p>
        </w:tc>
        <w:tc>
          <w:tcPr>
            <w:tcW w:w="720" w:type="dxa"/>
            <w:tcBorders>
              <w:top w:val="single" w:color="auto" w:sz="4" w:space="0"/>
              <w:bottom w:val="single" w:color="auto" w:sz="4" w:space="0"/>
            </w:tcBorders>
            <w:shd w:val="clear" w:color="auto" w:fill="auto"/>
          </w:tcPr>
          <w:p w:rsidRPr="00AB1866" w:rsidR="00EC750A" w:rsidP="00A92D0B" w:rsidRDefault="00EC750A" w14:paraId="16897EA5" w14:textId="77777777">
            <w:pPr>
              <w:spacing w:before="60" w:after="60"/>
              <w:jc w:val="center"/>
              <w:rPr>
                <w:b/>
                <w:color w:val="000000"/>
              </w:rPr>
            </w:pPr>
            <w:r w:rsidRPr="00AB1866">
              <w:rPr>
                <w:b/>
                <w:color w:val="000000"/>
              </w:rPr>
              <w:t>Year</w:t>
            </w:r>
          </w:p>
        </w:tc>
        <w:tc>
          <w:tcPr>
            <w:tcW w:w="900" w:type="dxa"/>
            <w:gridSpan w:val="3"/>
            <w:tcBorders>
              <w:top w:val="single" w:color="auto" w:sz="4" w:space="0"/>
              <w:bottom w:val="single" w:color="auto" w:sz="4" w:space="0"/>
            </w:tcBorders>
            <w:shd w:val="clear" w:color="auto" w:fill="auto"/>
          </w:tcPr>
          <w:p w:rsidRPr="00AB1866" w:rsidR="00EC750A" w:rsidP="00A92D0B" w:rsidRDefault="00EC750A" w14:paraId="33CC41BB" w14:textId="77777777">
            <w:pPr>
              <w:spacing w:before="60" w:after="60"/>
              <w:jc w:val="center"/>
              <w:rPr>
                <w:b/>
                <w:color w:val="000000"/>
              </w:rPr>
            </w:pPr>
            <w:r w:rsidRPr="00AB1866">
              <w:rPr>
                <w:b/>
                <w:color w:val="000000"/>
              </w:rPr>
              <w:t>Hours</w:t>
            </w:r>
          </w:p>
        </w:tc>
        <w:tc>
          <w:tcPr>
            <w:tcW w:w="900" w:type="dxa"/>
            <w:gridSpan w:val="2"/>
            <w:tcBorders>
              <w:top w:val="single" w:color="auto" w:sz="4" w:space="0"/>
              <w:bottom w:val="single" w:color="auto" w:sz="4" w:space="0"/>
            </w:tcBorders>
            <w:shd w:val="clear" w:color="auto" w:fill="auto"/>
          </w:tcPr>
          <w:p w:rsidRPr="00AB1866" w:rsidR="00EC750A" w:rsidP="00A92D0B" w:rsidRDefault="00EC750A" w14:paraId="3E0268D8" w14:textId="77777777">
            <w:pPr>
              <w:spacing w:before="60" w:after="60"/>
              <w:jc w:val="center"/>
              <w:rPr>
                <w:b/>
                <w:color w:val="000000"/>
              </w:rPr>
            </w:pPr>
            <w:r w:rsidRPr="00AB1866">
              <w:rPr>
                <w:b/>
                <w:color w:val="000000"/>
              </w:rPr>
              <w:t xml:space="preserve">Rate $ </w:t>
            </w:r>
          </w:p>
        </w:tc>
        <w:tc>
          <w:tcPr>
            <w:tcW w:w="1800" w:type="dxa"/>
            <w:tcBorders>
              <w:top w:val="single" w:color="auto" w:sz="4" w:space="0"/>
              <w:bottom w:val="single" w:color="auto" w:sz="4" w:space="0"/>
              <w:right w:val="single" w:color="auto" w:sz="4" w:space="0"/>
            </w:tcBorders>
            <w:shd w:val="clear" w:color="auto" w:fill="auto"/>
          </w:tcPr>
          <w:p w:rsidRPr="00AB1866" w:rsidR="00EC750A" w:rsidP="00A92D0B" w:rsidRDefault="00EC750A" w14:paraId="7D7CEC00" w14:textId="77777777">
            <w:pPr>
              <w:spacing w:before="60" w:after="60"/>
              <w:jc w:val="center"/>
              <w:rPr>
                <w:b/>
                <w:color w:val="000000"/>
              </w:rPr>
            </w:pPr>
            <w:r w:rsidRPr="00AB1866">
              <w:rPr>
                <w:b/>
                <w:color w:val="000000"/>
              </w:rPr>
              <w:t>Basis for Rate*</w:t>
            </w:r>
          </w:p>
        </w:tc>
        <w:tc>
          <w:tcPr>
            <w:tcW w:w="1080" w:type="dxa"/>
            <w:tcBorders>
              <w:top w:val="single" w:color="auto" w:sz="4" w:space="0"/>
              <w:left w:val="single" w:color="auto" w:sz="4" w:space="0"/>
              <w:bottom w:val="single" w:color="auto" w:sz="4" w:space="0"/>
              <w:right w:val="single" w:color="auto" w:sz="24" w:space="0"/>
            </w:tcBorders>
            <w:shd w:val="clear" w:color="auto" w:fill="auto"/>
          </w:tcPr>
          <w:p w:rsidRPr="00AB1866" w:rsidR="00EC750A" w:rsidP="00A92D0B" w:rsidRDefault="00EC750A" w14:paraId="3C76AB6B" w14:textId="77777777">
            <w:pPr>
              <w:spacing w:before="60" w:after="60"/>
              <w:jc w:val="center"/>
              <w:rPr>
                <w:b/>
                <w:color w:val="000000"/>
              </w:rPr>
            </w:pPr>
            <w:r w:rsidRPr="00AB1866">
              <w:rPr>
                <w:b/>
                <w:color w:val="000000"/>
              </w:rPr>
              <w:t>Total $</w:t>
            </w:r>
          </w:p>
        </w:tc>
        <w:tc>
          <w:tcPr>
            <w:tcW w:w="900" w:type="dxa"/>
            <w:tcBorders>
              <w:top w:val="single" w:color="auto" w:sz="4" w:space="0"/>
              <w:left w:val="single" w:color="auto" w:sz="4" w:space="0"/>
            </w:tcBorders>
            <w:shd w:val="clear" w:color="auto" w:fill="auto"/>
          </w:tcPr>
          <w:p w:rsidRPr="00AB1866" w:rsidR="00EC750A" w:rsidP="00A92D0B" w:rsidRDefault="00EC750A" w14:paraId="2F9B059C" w14:textId="77777777">
            <w:pPr>
              <w:spacing w:before="60" w:after="60"/>
              <w:jc w:val="center"/>
              <w:rPr>
                <w:b/>
                <w:color w:val="000000"/>
              </w:rPr>
            </w:pPr>
            <w:r w:rsidRPr="00AB1866">
              <w:rPr>
                <w:b/>
                <w:color w:val="000000"/>
              </w:rPr>
              <w:t>Hours</w:t>
            </w:r>
          </w:p>
        </w:tc>
        <w:tc>
          <w:tcPr>
            <w:tcW w:w="1080" w:type="dxa"/>
            <w:tcBorders>
              <w:top w:val="single" w:color="auto" w:sz="4" w:space="0"/>
            </w:tcBorders>
            <w:shd w:val="clear" w:color="auto" w:fill="auto"/>
          </w:tcPr>
          <w:p w:rsidRPr="00AB1866" w:rsidR="00EC750A" w:rsidP="00A92D0B" w:rsidRDefault="00EC750A" w14:paraId="6932EE10" w14:textId="77777777">
            <w:pPr>
              <w:spacing w:before="60" w:after="60"/>
              <w:jc w:val="center"/>
              <w:rPr>
                <w:b/>
                <w:color w:val="000000"/>
              </w:rPr>
            </w:pPr>
            <w:r w:rsidRPr="00AB1866">
              <w:rPr>
                <w:b/>
                <w:color w:val="000000"/>
              </w:rPr>
              <w:t xml:space="preserve">Rate </w:t>
            </w:r>
          </w:p>
        </w:tc>
        <w:tc>
          <w:tcPr>
            <w:tcW w:w="1440" w:type="dxa"/>
            <w:tcBorders>
              <w:top w:val="single" w:color="auto" w:sz="4" w:space="0"/>
            </w:tcBorders>
            <w:shd w:val="clear" w:color="auto" w:fill="auto"/>
          </w:tcPr>
          <w:p w:rsidRPr="00AB1866" w:rsidR="00EC750A" w:rsidP="00A92D0B" w:rsidRDefault="00EC750A" w14:paraId="61E3C516" w14:textId="77777777">
            <w:pPr>
              <w:spacing w:before="60" w:after="60"/>
              <w:jc w:val="center"/>
              <w:rPr>
                <w:b/>
                <w:color w:val="000000"/>
              </w:rPr>
            </w:pPr>
            <w:r w:rsidRPr="00AB1866">
              <w:rPr>
                <w:b/>
                <w:color w:val="000000"/>
              </w:rPr>
              <w:t>Total $</w:t>
            </w:r>
          </w:p>
        </w:tc>
      </w:tr>
      <w:tr w:rsidRPr="00AB1866" w:rsidR="00EC750A" w:rsidTr="00F7505D" w14:paraId="7B4ADEA4" w14:textId="77777777">
        <w:trPr>
          <w:jc w:val="center"/>
        </w:trPr>
        <w:tc>
          <w:tcPr>
            <w:tcW w:w="1368" w:type="dxa"/>
            <w:gridSpan w:val="2"/>
            <w:shd w:val="clear" w:color="auto" w:fill="auto"/>
          </w:tcPr>
          <w:p w:rsidRPr="00AB1866" w:rsidR="00EC750A" w:rsidP="00A92D0B" w:rsidRDefault="00EC750A" w14:paraId="55FCAD78" w14:textId="77777777">
            <w:pPr>
              <w:spacing w:before="60" w:after="60"/>
              <w:rPr>
                <w:color w:val="000000"/>
              </w:rPr>
            </w:pPr>
            <w:r w:rsidRPr="00AB1866">
              <w:rPr>
                <w:color w:val="000000"/>
              </w:rPr>
              <w:t xml:space="preserve"> G. Morris  </w:t>
            </w:r>
          </w:p>
        </w:tc>
        <w:tc>
          <w:tcPr>
            <w:tcW w:w="720" w:type="dxa"/>
            <w:shd w:val="clear" w:color="auto" w:fill="auto"/>
          </w:tcPr>
          <w:p w:rsidRPr="00AB1866" w:rsidR="00EC750A" w:rsidP="007F0F4E" w:rsidRDefault="00EC750A" w14:paraId="5997C9B5" w14:textId="77777777">
            <w:pPr>
              <w:spacing w:before="60" w:after="60"/>
              <w:jc w:val="center"/>
              <w:rPr>
                <w:color w:val="000000"/>
              </w:rPr>
            </w:pPr>
            <w:r w:rsidRPr="00AB1866">
              <w:rPr>
                <w:color w:val="000000"/>
              </w:rPr>
              <w:t>201</w:t>
            </w:r>
            <w:r w:rsidRPr="00AB1866" w:rsidR="007F0F4E">
              <w:rPr>
                <w:color w:val="000000"/>
              </w:rPr>
              <w:t>9</w:t>
            </w:r>
          </w:p>
        </w:tc>
        <w:tc>
          <w:tcPr>
            <w:tcW w:w="900" w:type="dxa"/>
            <w:gridSpan w:val="3"/>
            <w:shd w:val="clear" w:color="auto" w:fill="auto"/>
          </w:tcPr>
          <w:p w:rsidRPr="00AB1866" w:rsidR="00EC750A" w:rsidP="00EA2414" w:rsidRDefault="00E23808" w14:paraId="2F21FAEC" w14:textId="77777777">
            <w:pPr>
              <w:spacing w:before="60" w:after="60"/>
              <w:jc w:val="right"/>
            </w:pPr>
            <w:r w:rsidRPr="00AB1866">
              <w:t>15</w:t>
            </w:r>
          </w:p>
        </w:tc>
        <w:tc>
          <w:tcPr>
            <w:tcW w:w="900" w:type="dxa"/>
            <w:gridSpan w:val="2"/>
            <w:shd w:val="clear" w:color="auto" w:fill="auto"/>
          </w:tcPr>
          <w:p w:rsidRPr="00AB1866" w:rsidR="00EC750A" w:rsidP="00CC61C3" w:rsidRDefault="00EC750A" w14:paraId="45A4053A" w14:textId="77777777">
            <w:pPr>
              <w:spacing w:before="60" w:after="60"/>
              <w:jc w:val="center"/>
              <w:rPr>
                <w:color w:val="000000"/>
              </w:rPr>
            </w:pPr>
            <w:r w:rsidRPr="00AB1866">
              <w:rPr>
                <w:color w:val="000000"/>
              </w:rPr>
              <w:t>1</w:t>
            </w:r>
            <w:r w:rsidRPr="00AB1866" w:rsidR="00CC61C3">
              <w:rPr>
                <w:color w:val="000000"/>
              </w:rPr>
              <w:t>6</w:t>
            </w:r>
            <w:r w:rsidRPr="00AB1866">
              <w:rPr>
                <w:color w:val="000000"/>
              </w:rPr>
              <w:t>2.50</w:t>
            </w:r>
          </w:p>
        </w:tc>
        <w:tc>
          <w:tcPr>
            <w:tcW w:w="1800" w:type="dxa"/>
            <w:tcBorders>
              <w:right w:val="single" w:color="auto" w:sz="4" w:space="0"/>
            </w:tcBorders>
            <w:shd w:val="clear" w:color="auto" w:fill="auto"/>
          </w:tcPr>
          <w:p w:rsidRPr="00AB1866" w:rsidR="00EC750A" w:rsidP="007F0F4E" w:rsidRDefault="00EC750A" w14:paraId="40696593" w14:textId="77777777">
            <w:pPr>
              <w:spacing w:before="60" w:after="60"/>
              <w:jc w:val="center"/>
              <w:rPr>
                <w:color w:val="000000"/>
              </w:rPr>
            </w:pPr>
            <w:r w:rsidRPr="00AB1866">
              <w:rPr>
                <w:color w:val="000000"/>
              </w:rPr>
              <w:t>½ rate for 201</w:t>
            </w:r>
            <w:r w:rsidRPr="00AB1866" w:rsidR="007F0F4E">
              <w:rPr>
                <w:color w:val="000000"/>
              </w:rPr>
              <w:t>9</w:t>
            </w:r>
          </w:p>
        </w:tc>
        <w:tc>
          <w:tcPr>
            <w:tcW w:w="1080" w:type="dxa"/>
            <w:tcBorders>
              <w:top w:val="single" w:color="auto" w:sz="4" w:space="0"/>
              <w:left w:val="single" w:color="auto" w:sz="4" w:space="0"/>
              <w:bottom w:val="single" w:color="auto" w:sz="4" w:space="0"/>
              <w:right w:val="single" w:color="auto" w:sz="24" w:space="0"/>
            </w:tcBorders>
            <w:shd w:val="clear" w:color="auto" w:fill="auto"/>
          </w:tcPr>
          <w:p w:rsidRPr="00AB1866" w:rsidR="00EC750A" w:rsidP="00E23808" w:rsidRDefault="00E23808" w14:paraId="266A9AA3" w14:textId="77777777">
            <w:pPr>
              <w:spacing w:before="60" w:after="60"/>
              <w:jc w:val="right"/>
              <w:rPr>
                <w:color w:val="000000"/>
              </w:rPr>
            </w:pPr>
            <w:r w:rsidRPr="00AB1866">
              <w:rPr>
                <w:color w:val="000000"/>
              </w:rPr>
              <w:t>2</w:t>
            </w:r>
            <w:r w:rsidRPr="00AB1866" w:rsidR="00EC750A">
              <w:rPr>
                <w:color w:val="000000"/>
              </w:rPr>
              <w:t>,</w:t>
            </w:r>
            <w:r w:rsidRPr="00AB1866">
              <w:rPr>
                <w:color w:val="000000"/>
              </w:rPr>
              <w:t>438</w:t>
            </w:r>
          </w:p>
        </w:tc>
        <w:tc>
          <w:tcPr>
            <w:tcW w:w="900" w:type="dxa"/>
            <w:tcBorders>
              <w:left w:val="single" w:color="auto" w:sz="4" w:space="0"/>
              <w:right w:val="single" w:color="auto" w:sz="4" w:space="0"/>
            </w:tcBorders>
            <w:shd w:val="clear" w:color="auto" w:fill="auto"/>
          </w:tcPr>
          <w:p w:rsidRPr="00AB1866" w:rsidR="00EC750A" w:rsidP="009A5B80" w:rsidRDefault="00246C85" w14:paraId="62BB17B6" w14:textId="3E07BEEC">
            <w:pPr>
              <w:spacing w:before="60" w:after="60"/>
              <w:rPr>
                <w:color w:val="000000"/>
              </w:rPr>
            </w:pPr>
            <w:r>
              <w:rPr>
                <w:color w:val="000000"/>
              </w:rPr>
              <w:t xml:space="preserve"> 6</w:t>
            </w:r>
            <w:r w:rsidR="005B69BB">
              <w:rPr>
                <w:color w:val="000000"/>
              </w:rPr>
              <w:t xml:space="preserve"> [</w:t>
            </w:r>
            <w:r w:rsidR="00E156F7">
              <w:rPr>
                <w:color w:val="000000"/>
              </w:rPr>
              <w:t>2</w:t>
            </w:r>
            <w:r w:rsidR="005B69BB">
              <w:rPr>
                <w:color w:val="000000"/>
              </w:rPr>
              <w:t>]</w:t>
            </w:r>
          </w:p>
        </w:tc>
        <w:tc>
          <w:tcPr>
            <w:tcW w:w="1080" w:type="dxa"/>
            <w:tcBorders>
              <w:left w:val="single" w:color="auto" w:sz="4" w:space="0"/>
            </w:tcBorders>
            <w:shd w:val="clear" w:color="auto" w:fill="auto"/>
          </w:tcPr>
          <w:p w:rsidRPr="00AB1866" w:rsidR="00EC750A" w:rsidP="009A5B80" w:rsidRDefault="00FF11AA" w14:paraId="3E89794F" w14:textId="77777777">
            <w:pPr>
              <w:spacing w:before="60" w:after="60"/>
              <w:rPr>
                <w:color w:val="000000"/>
              </w:rPr>
            </w:pPr>
            <w:r w:rsidRPr="00AB1866">
              <w:rPr>
                <w:color w:val="000000"/>
              </w:rPr>
              <w:t>$162.50</w:t>
            </w:r>
          </w:p>
        </w:tc>
        <w:tc>
          <w:tcPr>
            <w:tcW w:w="1440" w:type="dxa"/>
            <w:shd w:val="clear" w:color="auto" w:fill="auto"/>
          </w:tcPr>
          <w:p w:rsidRPr="00AB1866" w:rsidR="00EC750A" w:rsidP="009A5B80" w:rsidRDefault="00FF11AA" w14:paraId="3AFF9D86" w14:textId="1A692492">
            <w:pPr>
              <w:spacing w:before="60" w:after="60"/>
              <w:rPr>
                <w:color w:val="000000"/>
              </w:rPr>
            </w:pPr>
            <w:r w:rsidRPr="00AB1866">
              <w:rPr>
                <w:color w:val="000000"/>
              </w:rPr>
              <w:t>$</w:t>
            </w:r>
            <w:r w:rsidRPr="003B6A78" w:rsidR="003B6A78">
              <w:rPr>
                <w:color w:val="000000"/>
              </w:rPr>
              <w:t>975.00</w:t>
            </w:r>
          </w:p>
        </w:tc>
      </w:tr>
      <w:tr w:rsidRPr="00AB1866" w:rsidR="00EC750A" w:rsidTr="00F7505D" w14:paraId="47B0B59F" w14:textId="77777777">
        <w:trPr>
          <w:jc w:val="center"/>
        </w:trPr>
        <w:tc>
          <w:tcPr>
            <w:tcW w:w="6768" w:type="dxa"/>
            <w:gridSpan w:val="10"/>
            <w:tcBorders>
              <w:bottom w:val="single" w:color="auto" w:sz="4" w:space="0"/>
              <w:right w:val="single" w:color="auto" w:sz="24" w:space="0"/>
            </w:tcBorders>
            <w:shd w:val="clear" w:color="auto" w:fill="auto"/>
            <w:vAlign w:val="bottom"/>
          </w:tcPr>
          <w:p w:rsidRPr="00AB1866" w:rsidR="00EC750A" w:rsidP="00E23808" w:rsidRDefault="00EC750A" w14:paraId="024C25EE" w14:textId="7A73DAC7">
            <w:pPr>
              <w:spacing w:before="60" w:after="60"/>
              <w:rPr>
                <w:color w:val="000000"/>
              </w:rPr>
            </w:pPr>
            <w:r w:rsidRPr="00AB1866">
              <w:rPr>
                <w:b/>
                <w:i/>
                <w:color w:val="000000"/>
              </w:rPr>
              <w:t xml:space="preserve">                                                                                Subtotal: </w:t>
            </w:r>
            <w:r w:rsidRPr="00AB1866">
              <w:rPr>
                <w:b/>
                <w:color w:val="000000"/>
              </w:rPr>
              <w:t>$</w:t>
            </w:r>
            <w:r w:rsidRPr="00AB1866" w:rsidR="00CC61C3">
              <w:rPr>
                <w:b/>
                <w:color w:val="000000"/>
              </w:rPr>
              <w:t xml:space="preserve">  </w:t>
            </w:r>
            <w:r w:rsidRPr="00AB1866" w:rsidR="00E23808">
              <w:rPr>
                <w:b/>
                <w:color w:val="000000"/>
              </w:rPr>
              <w:t>2</w:t>
            </w:r>
            <w:r w:rsidRPr="00AB1866">
              <w:rPr>
                <w:b/>
                <w:color w:val="000000"/>
              </w:rPr>
              <w:t>,</w:t>
            </w:r>
            <w:r w:rsidRPr="00AB1866" w:rsidR="00E23808">
              <w:rPr>
                <w:b/>
                <w:color w:val="000000"/>
              </w:rPr>
              <w:t>438</w:t>
            </w:r>
          </w:p>
        </w:tc>
        <w:tc>
          <w:tcPr>
            <w:tcW w:w="3420" w:type="dxa"/>
            <w:gridSpan w:val="3"/>
            <w:tcBorders>
              <w:left w:val="single" w:color="auto" w:sz="24" w:space="0"/>
              <w:bottom w:val="single" w:color="auto" w:sz="4" w:space="0"/>
            </w:tcBorders>
            <w:shd w:val="clear" w:color="auto" w:fill="auto"/>
            <w:vAlign w:val="bottom"/>
          </w:tcPr>
          <w:p w:rsidRPr="00AB1866" w:rsidR="00EC750A" w:rsidP="00B70505" w:rsidRDefault="00EC750A" w14:paraId="3E57C1C0" w14:textId="7FCCA919">
            <w:pPr>
              <w:spacing w:before="60" w:after="60"/>
              <w:jc w:val="right"/>
              <w:rPr>
                <w:color w:val="000000"/>
              </w:rPr>
            </w:pPr>
            <w:r w:rsidRPr="00AB1866">
              <w:rPr>
                <w:b/>
                <w:i/>
                <w:color w:val="000000"/>
              </w:rPr>
              <w:t xml:space="preserve">Subtotal: </w:t>
            </w:r>
            <w:r w:rsidRPr="00AB1866">
              <w:rPr>
                <w:b/>
                <w:color w:val="000000"/>
              </w:rPr>
              <w:t>$</w:t>
            </w:r>
            <w:r w:rsidR="003B6A78">
              <w:rPr>
                <w:b/>
                <w:color w:val="000000"/>
              </w:rPr>
              <w:t>975.00</w:t>
            </w:r>
          </w:p>
        </w:tc>
      </w:tr>
      <w:tr w:rsidRPr="00AB1866" w:rsidR="001A13FE" w:rsidTr="00F7505D" w14:paraId="365B1AE6" w14:textId="77777777">
        <w:trPr>
          <w:jc w:val="center"/>
        </w:trPr>
        <w:tc>
          <w:tcPr>
            <w:tcW w:w="10188" w:type="dxa"/>
            <w:gridSpan w:val="13"/>
            <w:tcBorders>
              <w:top w:val="single" w:color="auto" w:sz="4" w:space="0"/>
              <w:left w:val="single" w:color="auto" w:sz="4" w:space="0"/>
              <w:bottom w:val="single" w:color="auto" w:sz="4" w:space="0"/>
              <w:right w:val="single" w:color="auto" w:sz="4" w:space="0"/>
            </w:tcBorders>
            <w:shd w:val="clear" w:color="auto" w:fill="E6E6E6"/>
          </w:tcPr>
          <w:p w:rsidRPr="00AB1866" w:rsidR="001A13FE" w:rsidP="00F2706C" w:rsidRDefault="001A13FE" w14:paraId="6134818E" w14:textId="77777777">
            <w:pPr>
              <w:spacing w:before="60" w:after="60"/>
              <w:jc w:val="center"/>
              <w:rPr>
                <w:b/>
                <w:smallCaps/>
                <w:color w:val="000000"/>
              </w:rPr>
            </w:pPr>
            <w:r w:rsidRPr="00AB1866">
              <w:rPr>
                <w:b/>
                <w:smallCaps/>
                <w:color w:val="000000"/>
              </w:rPr>
              <w:t>COSTS</w:t>
            </w:r>
          </w:p>
        </w:tc>
      </w:tr>
      <w:tr w:rsidRPr="00AB1866" w:rsidR="001A13FE" w:rsidTr="00F7505D" w14:paraId="26DCAB96" w14:textId="77777777">
        <w:trPr>
          <w:jc w:val="center"/>
        </w:trPr>
        <w:tc>
          <w:tcPr>
            <w:tcW w:w="468" w:type="dxa"/>
            <w:tcBorders>
              <w:top w:val="single" w:color="auto" w:sz="4" w:space="0"/>
              <w:bottom w:val="single" w:color="auto" w:sz="4" w:space="0"/>
            </w:tcBorders>
            <w:shd w:val="clear" w:color="auto" w:fill="auto"/>
          </w:tcPr>
          <w:p w:rsidRPr="00AB1866" w:rsidR="001A13FE" w:rsidP="00F2706C" w:rsidRDefault="001A13FE" w14:paraId="6023BC20" w14:textId="77777777">
            <w:pPr>
              <w:spacing w:before="60" w:after="60"/>
              <w:jc w:val="center"/>
              <w:rPr>
                <w:b/>
                <w:color w:val="000000"/>
              </w:rPr>
            </w:pPr>
            <w:r w:rsidRPr="00AB1866">
              <w:rPr>
                <w:b/>
                <w:color w:val="000000"/>
              </w:rPr>
              <w:t>#</w:t>
            </w:r>
          </w:p>
        </w:tc>
        <w:tc>
          <w:tcPr>
            <w:tcW w:w="1620" w:type="dxa"/>
            <w:gridSpan w:val="2"/>
            <w:tcBorders>
              <w:top w:val="single" w:color="auto" w:sz="4" w:space="0"/>
              <w:bottom w:val="single" w:color="auto" w:sz="4" w:space="0"/>
            </w:tcBorders>
            <w:shd w:val="clear" w:color="auto" w:fill="auto"/>
          </w:tcPr>
          <w:p w:rsidRPr="00AB1866" w:rsidR="001A13FE" w:rsidP="00F2706C" w:rsidRDefault="001A13FE" w14:paraId="55F4F7E8" w14:textId="77777777">
            <w:pPr>
              <w:spacing w:before="60" w:after="60"/>
              <w:jc w:val="center"/>
              <w:rPr>
                <w:b/>
                <w:color w:val="000000"/>
              </w:rPr>
            </w:pPr>
            <w:r w:rsidRPr="00AB1866">
              <w:rPr>
                <w:b/>
                <w:color w:val="000000"/>
              </w:rPr>
              <w:t>Item</w:t>
            </w:r>
          </w:p>
        </w:tc>
        <w:tc>
          <w:tcPr>
            <w:tcW w:w="3600" w:type="dxa"/>
            <w:gridSpan w:val="6"/>
            <w:tcBorders>
              <w:top w:val="single" w:color="auto" w:sz="4" w:space="0"/>
              <w:left w:val="single" w:color="auto" w:sz="4" w:space="0"/>
              <w:bottom w:val="single" w:color="auto" w:sz="4" w:space="0"/>
              <w:right w:val="single" w:color="auto" w:sz="4" w:space="0"/>
            </w:tcBorders>
            <w:shd w:val="clear" w:color="auto" w:fill="FFFFFF"/>
          </w:tcPr>
          <w:p w:rsidRPr="00AB1866" w:rsidR="001A13FE" w:rsidP="00F2706C" w:rsidRDefault="001A13FE" w14:paraId="31D768C8" w14:textId="77777777">
            <w:pPr>
              <w:spacing w:before="60" w:after="60"/>
              <w:jc w:val="center"/>
              <w:rPr>
                <w:b/>
                <w:color w:val="000000"/>
              </w:rPr>
            </w:pPr>
            <w:r w:rsidRPr="00AB1866">
              <w:rPr>
                <w:b/>
                <w:color w:val="000000"/>
              </w:rPr>
              <w:t>Detail</w:t>
            </w:r>
          </w:p>
        </w:tc>
        <w:tc>
          <w:tcPr>
            <w:tcW w:w="1080" w:type="dxa"/>
            <w:tcBorders>
              <w:top w:val="single" w:color="auto" w:sz="4" w:space="0"/>
              <w:left w:val="single" w:color="auto" w:sz="4" w:space="0"/>
              <w:bottom w:val="single" w:color="auto" w:sz="4" w:space="0"/>
              <w:right w:val="single" w:color="auto" w:sz="24" w:space="0"/>
            </w:tcBorders>
            <w:shd w:val="clear" w:color="auto" w:fill="auto"/>
          </w:tcPr>
          <w:p w:rsidRPr="00AB1866" w:rsidR="001A13FE" w:rsidP="00F2706C" w:rsidRDefault="001A13FE" w14:paraId="2FDB90E8" w14:textId="77777777">
            <w:pPr>
              <w:spacing w:before="60" w:after="60"/>
              <w:jc w:val="center"/>
              <w:rPr>
                <w:b/>
                <w:color w:val="000000"/>
              </w:rPr>
            </w:pPr>
            <w:r w:rsidRPr="00AB1866">
              <w:rPr>
                <w:b/>
                <w:color w:val="000000"/>
              </w:rPr>
              <w:t>Amount</w:t>
            </w:r>
          </w:p>
        </w:tc>
        <w:tc>
          <w:tcPr>
            <w:tcW w:w="3420" w:type="dxa"/>
            <w:gridSpan w:val="3"/>
            <w:tcBorders>
              <w:top w:val="single" w:color="auto" w:sz="4" w:space="0"/>
              <w:left w:val="single" w:color="auto" w:sz="24" w:space="0"/>
            </w:tcBorders>
            <w:shd w:val="clear" w:color="auto" w:fill="auto"/>
          </w:tcPr>
          <w:p w:rsidRPr="00AB1866" w:rsidR="001A13FE" w:rsidP="00F2706C" w:rsidRDefault="001A13FE" w14:paraId="1552DC5D" w14:textId="77777777">
            <w:pPr>
              <w:spacing w:before="60" w:after="60"/>
              <w:jc w:val="center"/>
              <w:rPr>
                <w:b/>
                <w:color w:val="000000"/>
              </w:rPr>
            </w:pPr>
            <w:r w:rsidRPr="00AB1866">
              <w:rPr>
                <w:b/>
                <w:color w:val="000000"/>
              </w:rPr>
              <w:t>Amount</w:t>
            </w:r>
          </w:p>
        </w:tc>
      </w:tr>
      <w:tr w:rsidRPr="00AB1866" w:rsidR="001A13FE" w:rsidTr="00F7505D" w14:paraId="3D88401E" w14:textId="77777777">
        <w:trPr>
          <w:jc w:val="center"/>
        </w:trPr>
        <w:tc>
          <w:tcPr>
            <w:tcW w:w="468" w:type="dxa"/>
            <w:tcBorders>
              <w:bottom w:val="single" w:color="auto" w:sz="4" w:space="0"/>
            </w:tcBorders>
            <w:shd w:val="clear" w:color="auto" w:fill="auto"/>
          </w:tcPr>
          <w:p w:rsidRPr="00AB1866" w:rsidR="001A13FE" w:rsidP="00380703" w:rsidRDefault="001A13FE" w14:paraId="7AAF5E20" w14:textId="77777777">
            <w:pPr>
              <w:spacing w:before="60" w:after="60"/>
              <w:jc w:val="center"/>
              <w:rPr>
                <w:color w:val="000000"/>
              </w:rPr>
            </w:pPr>
          </w:p>
        </w:tc>
        <w:tc>
          <w:tcPr>
            <w:tcW w:w="1620" w:type="dxa"/>
            <w:gridSpan w:val="2"/>
            <w:tcBorders>
              <w:bottom w:val="single" w:color="auto" w:sz="4" w:space="0"/>
            </w:tcBorders>
            <w:shd w:val="clear" w:color="auto" w:fill="auto"/>
          </w:tcPr>
          <w:p w:rsidRPr="00AB1866" w:rsidR="001A13FE" w:rsidP="00F2706C" w:rsidRDefault="001A13FE" w14:paraId="34BADA27" w14:textId="77777777">
            <w:pPr>
              <w:spacing w:before="60" w:after="60"/>
              <w:rPr>
                <w:color w:val="000000"/>
              </w:rPr>
            </w:pPr>
            <w:r w:rsidRPr="00AB1866">
              <w:rPr>
                <w:color w:val="000000"/>
              </w:rPr>
              <w:t>Postage</w:t>
            </w:r>
          </w:p>
        </w:tc>
        <w:tc>
          <w:tcPr>
            <w:tcW w:w="3600" w:type="dxa"/>
            <w:gridSpan w:val="6"/>
            <w:tcBorders>
              <w:top w:val="single" w:color="auto" w:sz="4" w:space="0"/>
              <w:left w:val="single" w:color="auto" w:sz="4" w:space="0"/>
              <w:bottom w:val="single" w:color="auto" w:sz="4" w:space="0"/>
              <w:right w:val="single" w:color="auto" w:sz="4" w:space="0"/>
            </w:tcBorders>
            <w:shd w:val="clear" w:color="auto" w:fill="auto"/>
          </w:tcPr>
          <w:p w:rsidRPr="00AB1866" w:rsidR="001A13FE" w:rsidP="00F2706C" w:rsidRDefault="001A13FE" w14:paraId="7F4FCCA0" w14:textId="77777777">
            <w:pPr>
              <w:spacing w:before="60" w:after="60"/>
              <w:rPr>
                <w:color w:val="000000"/>
              </w:rPr>
            </w:pPr>
            <w:r w:rsidRPr="00AB1866">
              <w:rPr>
                <w:color w:val="000000"/>
              </w:rPr>
              <w:t>Postage for serving documents (see Attachment 2 for detail)</w:t>
            </w:r>
          </w:p>
        </w:tc>
        <w:tc>
          <w:tcPr>
            <w:tcW w:w="1080" w:type="dxa"/>
            <w:tcBorders>
              <w:top w:val="single" w:color="auto" w:sz="4" w:space="0"/>
              <w:left w:val="single" w:color="auto" w:sz="4" w:space="0"/>
              <w:bottom w:val="single" w:color="auto" w:sz="4" w:space="0"/>
              <w:right w:val="single" w:color="auto" w:sz="24" w:space="0"/>
            </w:tcBorders>
            <w:shd w:val="clear" w:color="auto" w:fill="auto"/>
          </w:tcPr>
          <w:p w:rsidRPr="00AB1866" w:rsidR="001A13FE" w:rsidP="00F2706C" w:rsidRDefault="00954FAD" w14:paraId="336A1AC0" w14:textId="77777777">
            <w:pPr>
              <w:spacing w:before="60" w:after="60"/>
              <w:jc w:val="right"/>
            </w:pPr>
            <w:r w:rsidRPr="00AB1866">
              <w:t>16</w:t>
            </w:r>
          </w:p>
        </w:tc>
        <w:tc>
          <w:tcPr>
            <w:tcW w:w="3420" w:type="dxa"/>
            <w:gridSpan w:val="3"/>
            <w:tcBorders>
              <w:left w:val="single" w:color="auto" w:sz="24" w:space="0"/>
            </w:tcBorders>
            <w:shd w:val="clear" w:color="auto" w:fill="auto"/>
          </w:tcPr>
          <w:p w:rsidRPr="00AB1866" w:rsidR="001A13FE" w:rsidP="00E156F7" w:rsidRDefault="00FF11AA" w14:paraId="0890FEB6" w14:textId="31BFEF8C">
            <w:pPr>
              <w:spacing w:before="60" w:after="60"/>
              <w:jc w:val="right"/>
              <w:rPr>
                <w:color w:val="000000"/>
              </w:rPr>
            </w:pPr>
            <w:r w:rsidRPr="00AB1866">
              <w:rPr>
                <w:color w:val="000000"/>
              </w:rPr>
              <w:t>$16.48[</w:t>
            </w:r>
            <w:r w:rsidRPr="00AB1866" w:rsidR="00A345E6">
              <w:rPr>
                <w:color w:val="000000"/>
              </w:rPr>
              <w:t>3</w:t>
            </w:r>
            <w:r w:rsidRPr="00AB1866">
              <w:rPr>
                <w:color w:val="000000"/>
              </w:rPr>
              <w:t>]</w:t>
            </w:r>
          </w:p>
        </w:tc>
      </w:tr>
      <w:tr w:rsidRPr="00AB1866" w:rsidR="001A13FE" w:rsidTr="00F7505D" w14:paraId="1CE36AFE" w14:textId="77777777">
        <w:trPr>
          <w:jc w:val="center"/>
        </w:trPr>
        <w:tc>
          <w:tcPr>
            <w:tcW w:w="6768" w:type="dxa"/>
            <w:gridSpan w:val="10"/>
            <w:tcBorders>
              <w:bottom w:val="single" w:color="auto" w:sz="4" w:space="0"/>
              <w:right w:val="single" w:color="auto" w:sz="24" w:space="0"/>
            </w:tcBorders>
            <w:shd w:val="clear" w:color="auto" w:fill="auto"/>
            <w:vAlign w:val="bottom"/>
          </w:tcPr>
          <w:p w:rsidRPr="00AB1866" w:rsidR="001A13FE" w:rsidP="00954FAD" w:rsidRDefault="001A13FE" w14:paraId="2F109AFD" w14:textId="108E0432">
            <w:pPr>
              <w:spacing w:before="60" w:after="60"/>
              <w:rPr>
                <w:color w:val="000000"/>
              </w:rPr>
            </w:pPr>
            <w:r w:rsidRPr="00AB1866">
              <w:rPr>
                <w:b/>
                <w:i/>
                <w:color w:val="000000"/>
              </w:rPr>
              <w:t xml:space="preserve">                                                                                 Subtotal: </w:t>
            </w:r>
            <w:r w:rsidRPr="00AB1866">
              <w:rPr>
                <w:b/>
                <w:color w:val="000000"/>
              </w:rPr>
              <w:t>$</w:t>
            </w:r>
            <w:r w:rsidRPr="00AB1866" w:rsidR="00954FAD">
              <w:rPr>
                <w:b/>
                <w:color w:val="000000"/>
              </w:rPr>
              <w:t>16</w:t>
            </w:r>
          </w:p>
        </w:tc>
        <w:tc>
          <w:tcPr>
            <w:tcW w:w="3420" w:type="dxa"/>
            <w:gridSpan w:val="3"/>
            <w:tcBorders>
              <w:left w:val="single" w:color="auto" w:sz="24" w:space="0"/>
              <w:bottom w:val="single" w:color="auto" w:sz="4" w:space="0"/>
            </w:tcBorders>
            <w:shd w:val="clear" w:color="auto" w:fill="auto"/>
            <w:vAlign w:val="bottom"/>
          </w:tcPr>
          <w:p w:rsidRPr="00AB1866" w:rsidR="001A13FE" w:rsidP="00B70505" w:rsidRDefault="001A13FE" w14:paraId="2B169874" w14:textId="77777777">
            <w:pPr>
              <w:spacing w:before="60" w:after="60"/>
              <w:jc w:val="right"/>
              <w:rPr>
                <w:color w:val="000000"/>
              </w:rPr>
            </w:pPr>
            <w:r w:rsidRPr="00AB1866">
              <w:rPr>
                <w:b/>
                <w:i/>
                <w:color w:val="000000"/>
              </w:rPr>
              <w:t xml:space="preserve">Subtotal: </w:t>
            </w:r>
            <w:r w:rsidRPr="00AB1866">
              <w:rPr>
                <w:b/>
                <w:color w:val="000000"/>
              </w:rPr>
              <w:t>$</w:t>
            </w:r>
            <w:r w:rsidRPr="00AB1866" w:rsidR="00FF11AA">
              <w:rPr>
                <w:b/>
                <w:color w:val="000000"/>
              </w:rPr>
              <w:t>16.48</w:t>
            </w:r>
          </w:p>
        </w:tc>
      </w:tr>
      <w:tr w:rsidRPr="00AB1866" w:rsidR="00EC750A" w:rsidTr="00F7505D" w14:paraId="6955FF2B" w14:textId="77777777">
        <w:trPr>
          <w:jc w:val="center"/>
        </w:trPr>
        <w:tc>
          <w:tcPr>
            <w:tcW w:w="6768" w:type="dxa"/>
            <w:gridSpan w:val="10"/>
            <w:tcBorders>
              <w:top w:val="single" w:color="auto" w:sz="4" w:space="0"/>
              <w:bottom w:val="single" w:color="auto" w:sz="4" w:space="0"/>
              <w:right w:val="single" w:color="auto" w:sz="24" w:space="0"/>
            </w:tcBorders>
            <w:shd w:val="clear" w:color="auto" w:fill="E6E6E6"/>
            <w:vAlign w:val="bottom"/>
          </w:tcPr>
          <w:p w:rsidRPr="00AB1866" w:rsidR="00EC750A" w:rsidP="00954FAD" w:rsidRDefault="00EC750A" w14:paraId="5B8C4560" w14:textId="77777777">
            <w:pPr>
              <w:spacing w:before="60" w:after="60"/>
              <w:jc w:val="center"/>
              <w:rPr>
                <w:b/>
                <w:color w:val="000000"/>
              </w:rPr>
            </w:pPr>
            <w:r w:rsidRPr="00AB1866">
              <w:rPr>
                <w:b/>
                <w:color w:val="000000"/>
              </w:rPr>
              <w:t xml:space="preserve">                         TOTAL REQUEST: $        </w:t>
            </w:r>
            <w:r w:rsidRPr="00AB1866" w:rsidR="00FB56C8">
              <w:rPr>
                <w:b/>
                <w:color w:val="000000"/>
              </w:rPr>
              <w:t>45</w:t>
            </w:r>
            <w:r w:rsidRPr="00AB1866">
              <w:rPr>
                <w:b/>
                <w:color w:val="000000"/>
              </w:rPr>
              <w:t>,</w:t>
            </w:r>
            <w:r w:rsidRPr="00AB1866" w:rsidR="00FB56C8">
              <w:rPr>
                <w:b/>
                <w:color w:val="000000"/>
              </w:rPr>
              <w:t>3</w:t>
            </w:r>
            <w:r w:rsidRPr="00AB1866" w:rsidR="00954FAD">
              <w:rPr>
                <w:b/>
                <w:color w:val="000000"/>
              </w:rPr>
              <w:t>64</w:t>
            </w:r>
          </w:p>
        </w:tc>
        <w:tc>
          <w:tcPr>
            <w:tcW w:w="3420" w:type="dxa"/>
            <w:gridSpan w:val="3"/>
            <w:tcBorders>
              <w:left w:val="single" w:color="auto" w:sz="24" w:space="0"/>
            </w:tcBorders>
            <w:shd w:val="clear" w:color="auto" w:fill="E6E6E6"/>
            <w:vAlign w:val="bottom"/>
          </w:tcPr>
          <w:p w:rsidRPr="00AB1866" w:rsidR="00EC750A" w:rsidP="00B70505" w:rsidRDefault="00EC750A" w14:paraId="2F4E4912" w14:textId="4BA89337">
            <w:pPr>
              <w:spacing w:before="60" w:after="60"/>
              <w:jc w:val="right"/>
              <w:rPr>
                <w:b/>
                <w:color w:val="000000"/>
              </w:rPr>
            </w:pPr>
            <w:r w:rsidRPr="00AB1866">
              <w:rPr>
                <w:b/>
                <w:color w:val="000000"/>
              </w:rPr>
              <w:t xml:space="preserve">TOTAL AWARD: </w:t>
            </w:r>
            <w:r w:rsidRPr="00DB052D" w:rsidR="00DB052D">
              <w:rPr>
                <w:b/>
                <w:color w:val="000000"/>
              </w:rPr>
              <w:t>$36,664.13</w:t>
            </w:r>
          </w:p>
        </w:tc>
      </w:tr>
      <w:tr w:rsidRPr="00AB1866" w:rsidR="00EC750A" w:rsidTr="00F7505D" w14:paraId="5FF23939" w14:textId="77777777">
        <w:trPr>
          <w:jc w:val="center"/>
        </w:trPr>
        <w:tc>
          <w:tcPr>
            <w:tcW w:w="10188" w:type="dxa"/>
            <w:gridSpan w:val="13"/>
            <w:tcBorders>
              <w:top w:val="single" w:color="auto" w:sz="4" w:space="0"/>
              <w:bottom w:val="single" w:color="auto" w:sz="4" w:space="0"/>
            </w:tcBorders>
            <w:shd w:val="clear" w:color="auto" w:fill="auto"/>
          </w:tcPr>
          <w:p w:rsidRPr="00AB1866" w:rsidR="00EC750A" w:rsidP="00D075B1" w:rsidRDefault="00EC750A" w14:paraId="232B0757" w14:textId="77777777">
            <w:pPr>
              <w:spacing w:before="60" w:after="60"/>
              <w:rPr>
                <w:color w:val="000000"/>
                <w:sz w:val="20"/>
                <w:szCs w:val="20"/>
              </w:rPr>
            </w:pPr>
            <w:r w:rsidRPr="00AB1866">
              <w:rPr>
                <w:color w:val="000000"/>
                <w:sz w:val="20"/>
                <w:szCs w:val="20"/>
              </w:rPr>
              <w:t xml:space="preserve">  **We remind all intervenors that Commission staff may audit their records related to the award and that intervenors must make and retain adequate accounting and other documentation to support all claims for intervenor compensation.  Intervenor’s records should identify specific issues for which it seeks compensation, the actual time spent by each employee or consultant, the applicable hourly rates, fees paid to consultants and any other costs for which compensation was claimed.  The records pertaining to an award of compensation shall be retained for at least three years from the date of the final decision making the award. </w:t>
            </w:r>
          </w:p>
          <w:p w:rsidRPr="00AB1866" w:rsidR="00EC750A" w:rsidP="00963EEF" w:rsidRDefault="00EC750A" w14:paraId="44C54B9A" w14:textId="77777777">
            <w:pPr>
              <w:spacing w:before="60" w:after="60"/>
              <w:rPr>
                <w:color w:val="000000"/>
                <w:sz w:val="20"/>
                <w:szCs w:val="20"/>
              </w:rPr>
            </w:pPr>
            <w:r w:rsidRPr="00AB1866">
              <w:rPr>
                <w:color w:val="000000"/>
                <w:sz w:val="20"/>
                <w:szCs w:val="20"/>
              </w:rPr>
              <w:t>**Travel and Reasonable Claim preparation time typically compensated at ½ of preparer’s normal hourly rate</w:t>
            </w:r>
            <w:r w:rsidRPr="00AB1866" w:rsidDel="00D075B1">
              <w:rPr>
                <w:color w:val="000000"/>
                <w:sz w:val="20"/>
                <w:szCs w:val="20"/>
              </w:rPr>
              <w:t xml:space="preserve"> </w:t>
            </w:r>
          </w:p>
        </w:tc>
      </w:tr>
    </w:tbl>
    <w:p w:rsidRPr="00AB1866" w:rsidR="003348A5" w:rsidP="00741B42" w:rsidRDefault="003348A5" w14:paraId="6A8A1739" w14:textId="77777777">
      <w:pPr>
        <w:rPr>
          <w:b/>
          <w:sz w:val="22"/>
          <w:szCs w:val="22"/>
        </w:rPr>
      </w:pPr>
    </w:p>
    <w:p w:rsidRPr="00AB1866" w:rsidR="00A92D0B" w:rsidP="00816F6E" w:rsidRDefault="00A92D0B" w14:paraId="4EA9C58A" w14:textId="77777777">
      <w:pPr>
        <w:keepNext/>
        <w:keepLines/>
        <w:numPr>
          <w:ilvl w:val="0"/>
          <w:numId w:val="2"/>
        </w:numPr>
        <w:tabs>
          <w:tab w:val="clear" w:pos="900"/>
        </w:tabs>
        <w:ind w:left="360"/>
        <w:rPr>
          <w:b/>
          <w:color w:val="000000"/>
        </w:rPr>
      </w:pPr>
      <w:r w:rsidRPr="00AB1866">
        <w:rPr>
          <w:b/>
        </w:rPr>
        <w:lastRenderedPageBreak/>
        <w:t>Atta</w:t>
      </w:r>
      <w:r w:rsidRPr="00AB1866" w:rsidR="00127CB3">
        <w:rPr>
          <w:b/>
        </w:rPr>
        <w:t>c</w:t>
      </w:r>
      <w:r w:rsidRPr="00AB1866">
        <w:rPr>
          <w:b/>
        </w:rPr>
        <w:t>hments Documenting Specific Claim and Comments on Part III</w:t>
      </w:r>
      <w:r w:rsidRPr="00AB1866">
        <w:rPr>
          <w:b/>
          <w:color w:val="000000"/>
        </w:rPr>
        <w:t>:</w:t>
      </w:r>
      <w:r w:rsidRPr="00AB1866" w:rsidR="00D04D4A">
        <w:rPr>
          <w:b/>
          <w:color w:val="000000"/>
        </w:rPr>
        <w:t xml:space="preserve"> (</w:t>
      </w:r>
      <w:r w:rsidRPr="00AB1866" w:rsidR="00D04D4A">
        <w:rPr>
          <w:b/>
          <w:i/>
          <w:color w:val="000000"/>
          <w:u w:val="single"/>
        </w:rPr>
        <w:t>attachments not attached to final Decision)</w:t>
      </w:r>
    </w:p>
    <w:p w:rsidRPr="00AB1866" w:rsidR="00B70505" w:rsidP="00816F6E" w:rsidRDefault="00B70505" w14:paraId="620C252F" w14:textId="77777777">
      <w:pPr>
        <w:keepNext/>
        <w:keepLines/>
        <w:ind w:left="360"/>
        <w:rPr>
          <w:b/>
          <w:color w:val="000000"/>
          <w:sz w:val="20"/>
          <w:szCs w:val="20"/>
        </w:rPr>
      </w:pPr>
    </w:p>
    <w:tbl>
      <w:tblPr>
        <w:tblW w:w="101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48"/>
        <w:gridCol w:w="8640"/>
      </w:tblGrid>
      <w:tr w:rsidRPr="00AB1866" w:rsidR="00A92D0B" w:rsidTr="00F7505D" w14:paraId="0EBE5185" w14:textId="77777777">
        <w:trPr>
          <w:jc w:val="center"/>
        </w:trPr>
        <w:tc>
          <w:tcPr>
            <w:tcW w:w="1548" w:type="dxa"/>
            <w:shd w:val="clear" w:color="auto" w:fill="auto"/>
          </w:tcPr>
          <w:p w:rsidRPr="00AB1866" w:rsidR="00A92D0B" w:rsidP="00816F6E" w:rsidRDefault="00A92D0B" w14:paraId="06FB650D" w14:textId="77777777">
            <w:pPr>
              <w:keepNext/>
              <w:keepLines/>
              <w:tabs>
                <w:tab w:val="left" w:pos="1260"/>
              </w:tabs>
              <w:spacing w:before="120"/>
              <w:jc w:val="center"/>
              <w:rPr>
                <w:b/>
                <w:color w:val="000000"/>
                <w:sz w:val="18"/>
                <w:szCs w:val="18"/>
              </w:rPr>
            </w:pPr>
            <w:r w:rsidRPr="00AB1866">
              <w:rPr>
                <w:b/>
                <w:color w:val="000000"/>
                <w:sz w:val="18"/>
                <w:szCs w:val="18"/>
              </w:rPr>
              <w:t>Attachment or Comment  #</w:t>
            </w:r>
          </w:p>
        </w:tc>
        <w:tc>
          <w:tcPr>
            <w:tcW w:w="8640" w:type="dxa"/>
            <w:tcBorders>
              <w:bottom w:val="single" w:color="auto" w:sz="4" w:space="0"/>
            </w:tcBorders>
            <w:shd w:val="clear" w:color="auto" w:fill="auto"/>
          </w:tcPr>
          <w:p w:rsidRPr="00AB1866" w:rsidR="00A92D0B" w:rsidP="00816F6E" w:rsidRDefault="00A92D0B" w14:paraId="7560698E" w14:textId="77777777">
            <w:pPr>
              <w:keepNext/>
              <w:keepLines/>
              <w:tabs>
                <w:tab w:val="left" w:pos="1260"/>
              </w:tabs>
              <w:spacing w:before="120"/>
              <w:jc w:val="center"/>
              <w:rPr>
                <w:b/>
                <w:color w:val="000000"/>
                <w:sz w:val="22"/>
                <w:szCs w:val="22"/>
              </w:rPr>
            </w:pPr>
            <w:r w:rsidRPr="00AB1866">
              <w:rPr>
                <w:b/>
                <w:color w:val="000000"/>
                <w:sz w:val="22"/>
                <w:szCs w:val="22"/>
              </w:rPr>
              <w:t>Description/Comment</w:t>
            </w:r>
          </w:p>
        </w:tc>
      </w:tr>
      <w:tr w:rsidRPr="00AB1866" w:rsidR="00066FED" w:rsidTr="00F7505D" w14:paraId="45258BA1" w14:textId="77777777">
        <w:trPr>
          <w:jc w:val="center"/>
        </w:trPr>
        <w:tc>
          <w:tcPr>
            <w:tcW w:w="1548" w:type="dxa"/>
            <w:tcBorders>
              <w:bottom w:val="single" w:color="auto" w:sz="4" w:space="0"/>
            </w:tcBorders>
            <w:shd w:val="clear" w:color="auto" w:fill="auto"/>
          </w:tcPr>
          <w:p w:rsidRPr="00AB1866" w:rsidR="00066FED" w:rsidP="00816F6E" w:rsidRDefault="00066FED" w14:paraId="364A0235" w14:textId="77777777">
            <w:pPr>
              <w:keepNext/>
              <w:keepLines/>
              <w:tabs>
                <w:tab w:val="left" w:pos="1260"/>
              </w:tabs>
              <w:spacing w:before="120"/>
              <w:rPr>
                <w:color w:val="000000"/>
                <w:sz w:val="22"/>
                <w:szCs w:val="22"/>
              </w:rPr>
            </w:pPr>
            <w:r w:rsidRPr="00AB1866">
              <w:rPr>
                <w:color w:val="000000"/>
                <w:sz w:val="22"/>
                <w:szCs w:val="22"/>
              </w:rPr>
              <w:t>Attachment 1</w:t>
            </w:r>
          </w:p>
        </w:tc>
        <w:tc>
          <w:tcPr>
            <w:tcW w:w="8640" w:type="dxa"/>
            <w:tcBorders>
              <w:bottom w:val="single" w:color="auto" w:sz="4" w:space="0"/>
            </w:tcBorders>
            <w:shd w:val="clear" w:color="auto" w:fill="auto"/>
          </w:tcPr>
          <w:p w:rsidRPr="00AB1866" w:rsidR="00066FED" w:rsidP="00816F6E" w:rsidRDefault="00066FED" w14:paraId="50436925" w14:textId="77777777">
            <w:pPr>
              <w:keepNext/>
              <w:keepLines/>
              <w:tabs>
                <w:tab w:val="left" w:pos="1260"/>
              </w:tabs>
              <w:spacing w:before="120"/>
              <w:rPr>
                <w:b/>
                <w:color w:val="000000"/>
                <w:sz w:val="22"/>
                <w:szCs w:val="22"/>
              </w:rPr>
            </w:pPr>
            <w:r w:rsidRPr="00AB1866">
              <w:rPr>
                <w:b/>
                <w:color w:val="000000"/>
                <w:sz w:val="22"/>
                <w:szCs w:val="22"/>
              </w:rPr>
              <w:t>Certificate of Service</w:t>
            </w:r>
          </w:p>
        </w:tc>
      </w:tr>
      <w:tr w:rsidRPr="00AB1866" w:rsidR="00066FED" w:rsidTr="00F7505D" w14:paraId="18A6D2A9" w14:textId="77777777">
        <w:trPr>
          <w:jc w:val="center"/>
        </w:trPr>
        <w:tc>
          <w:tcPr>
            <w:tcW w:w="1548" w:type="dxa"/>
            <w:tcBorders>
              <w:bottom w:val="single" w:color="auto" w:sz="4" w:space="0"/>
            </w:tcBorders>
            <w:shd w:val="clear" w:color="auto" w:fill="auto"/>
          </w:tcPr>
          <w:p w:rsidRPr="00AB1866" w:rsidR="00066FED" w:rsidP="00A92D0B" w:rsidRDefault="00066FED" w14:paraId="4C6A7B80" w14:textId="77777777">
            <w:pPr>
              <w:tabs>
                <w:tab w:val="left" w:pos="1260"/>
              </w:tabs>
              <w:spacing w:before="120"/>
              <w:rPr>
                <w:color w:val="000000"/>
                <w:sz w:val="22"/>
                <w:szCs w:val="22"/>
              </w:rPr>
            </w:pPr>
            <w:r w:rsidRPr="00AB1866">
              <w:rPr>
                <w:color w:val="000000"/>
                <w:sz w:val="22"/>
                <w:szCs w:val="22"/>
              </w:rPr>
              <w:t>Attachment 2</w:t>
            </w:r>
          </w:p>
        </w:tc>
        <w:tc>
          <w:tcPr>
            <w:tcW w:w="8640" w:type="dxa"/>
            <w:tcBorders>
              <w:bottom w:val="single" w:color="auto" w:sz="4" w:space="0"/>
            </w:tcBorders>
            <w:shd w:val="clear" w:color="auto" w:fill="auto"/>
          </w:tcPr>
          <w:p w:rsidRPr="00AB1866" w:rsidR="00066FED" w:rsidP="00A92D0B" w:rsidRDefault="00066FED" w14:paraId="2C10B970" w14:textId="77777777">
            <w:pPr>
              <w:tabs>
                <w:tab w:val="left" w:pos="1260"/>
              </w:tabs>
              <w:spacing w:before="120"/>
              <w:rPr>
                <w:b/>
                <w:color w:val="000000"/>
                <w:sz w:val="22"/>
                <w:szCs w:val="22"/>
              </w:rPr>
            </w:pPr>
            <w:r w:rsidRPr="00AB1866">
              <w:rPr>
                <w:b/>
                <w:color w:val="000000"/>
                <w:sz w:val="22"/>
                <w:szCs w:val="22"/>
              </w:rPr>
              <w:t>Allocation of effort by issue, list of pleadings, breakdown of hourly efforts</w:t>
            </w:r>
          </w:p>
        </w:tc>
      </w:tr>
      <w:tr w:rsidRPr="00AB1866" w:rsidR="00066FED" w:rsidTr="00F7505D" w14:paraId="18E3A412" w14:textId="77777777">
        <w:trPr>
          <w:jc w:val="center"/>
        </w:trPr>
        <w:tc>
          <w:tcPr>
            <w:tcW w:w="1548" w:type="dxa"/>
            <w:shd w:val="clear" w:color="auto" w:fill="auto"/>
          </w:tcPr>
          <w:p w:rsidRPr="00AB1866" w:rsidR="00066FED" w:rsidP="00A92D0B" w:rsidRDefault="002C55E3" w14:paraId="52EC501F" w14:textId="77777777">
            <w:pPr>
              <w:tabs>
                <w:tab w:val="left" w:pos="1260"/>
              </w:tabs>
              <w:spacing w:before="120"/>
              <w:rPr>
                <w:color w:val="000000"/>
                <w:sz w:val="22"/>
                <w:szCs w:val="22"/>
              </w:rPr>
            </w:pPr>
            <w:r w:rsidRPr="00AB1866">
              <w:rPr>
                <w:color w:val="000000"/>
                <w:sz w:val="22"/>
                <w:szCs w:val="22"/>
              </w:rPr>
              <w:t>Comment 1</w:t>
            </w:r>
          </w:p>
        </w:tc>
        <w:tc>
          <w:tcPr>
            <w:tcW w:w="8640" w:type="dxa"/>
            <w:shd w:val="clear" w:color="auto" w:fill="auto"/>
          </w:tcPr>
          <w:p w:rsidRPr="00AB1866" w:rsidR="002C55E3" w:rsidP="002C55E3" w:rsidRDefault="002C55E3" w14:paraId="4ECA8DFA" w14:textId="77777777">
            <w:pPr>
              <w:tabs>
                <w:tab w:val="left" w:pos="1260"/>
              </w:tabs>
              <w:spacing w:before="120"/>
              <w:rPr>
                <w:color w:val="000000"/>
                <w:sz w:val="22"/>
                <w:szCs w:val="22"/>
              </w:rPr>
            </w:pPr>
            <w:r w:rsidRPr="00AB1866">
              <w:rPr>
                <w:color w:val="000000"/>
                <w:sz w:val="22"/>
                <w:szCs w:val="22"/>
              </w:rPr>
              <w:t>Dr. Morris’ approved rate for 2018 is $285/hr (D.18-05-035).  Dr. Morris has been actively practicing before the Commission since 2003.  Based on his more than 16 years of practice before the Commission, we are asking for a transition into the highest-experience category for Dr. Morris, resulting in a 2019 rate of $325/hr.  Dr. Morris received one step-increase in each of the first two experience categories, and no category-promotion between them.  This request is consistent with D.07-01-009 and D.08-04-010.</w:t>
            </w:r>
          </w:p>
          <w:p w:rsidRPr="00AB1866" w:rsidR="002C55E3" w:rsidP="002C55E3" w:rsidRDefault="002C55E3" w14:paraId="4BB58C0F" w14:textId="77777777">
            <w:pPr>
              <w:tabs>
                <w:tab w:val="left" w:pos="1260"/>
              </w:tabs>
              <w:spacing w:before="120"/>
              <w:rPr>
                <w:color w:val="000000"/>
                <w:sz w:val="22"/>
                <w:szCs w:val="22"/>
              </w:rPr>
            </w:pPr>
            <w:r w:rsidRPr="00AB1866">
              <w:rPr>
                <w:color w:val="000000"/>
                <w:sz w:val="22"/>
                <w:szCs w:val="22"/>
              </w:rPr>
              <w:t>Dr. Morris has been representing the GPI before the Commission since the beginning of 2003, and thus has accumulated more than 16 years of experience.  He was already a senior-level renewable-energy expert before beginning his work at the Commission.  During his more than 16 years of practice before the Commission, Dr. Morris has received two step increases in rate from PUC, in 2009 and 2014.  During his years of practice before the Commission Dr. Morris has become a respected authority on matters relating to renewable-energy policy issues and greenhouse-gas emissions and climate-change policy issues, and has made many important contributions to the Commission’s deliberations.  Dr. Morris deserves to transition into the highest-experience category for experts (13+ years) in his approved PUC rate.  The requested rate of $325 for 2019 leaves Dr. Morris well within the mid-range approved for his experience level ($185-455, per Re</w:t>
            </w:r>
            <w:r w:rsidRPr="00AB1866" w:rsidR="00D94D44">
              <w:rPr>
                <w:color w:val="000000"/>
                <w:sz w:val="22"/>
                <w:szCs w:val="22"/>
              </w:rPr>
              <w:t>solution ALJ-357, April 8, 2019</w:t>
            </w:r>
            <w:r w:rsidRPr="00AB1866">
              <w:rPr>
                <w:color w:val="000000"/>
                <w:sz w:val="22"/>
                <w:szCs w:val="22"/>
              </w:rPr>
              <w:t>).  We use this rate in this Request for Award.</w:t>
            </w:r>
            <w:r w:rsidRPr="00AB1866" w:rsidR="00D94D44">
              <w:rPr>
                <w:color w:val="000000"/>
                <w:sz w:val="22"/>
                <w:szCs w:val="22"/>
              </w:rPr>
              <w:t xml:space="preserve">  Please note that we are making this same rate request for Dr. Morris for 2019 in intervenor claim</w:t>
            </w:r>
            <w:r w:rsidRPr="00AB1866" w:rsidR="005461E8">
              <w:rPr>
                <w:color w:val="000000"/>
                <w:sz w:val="22"/>
                <w:szCs w:val="22"/>
              </w:rPr>
              <w:t>s</w:t>
            </w:r>
            <w:r w:rsidRPr="00AB1866" w:rsidR="00D94D44">
              <w:rPr>
                <w:color w:val="000000"/>
                <w:sz w:val="22"/>
                <w:szCs w:val="22"/>
              </w:rPr>
              <w:t xml:space="preserve"> in R.17-07-007 a</w:t>
            </w:r>
            <w:r w:rsidRPr="00AB1866" w:rsidR="005461E8">
              <w:rPr>
                <w:color w:val="000000"/>
                <w:sz w:val="22"/>
                <w:szCs w:val="22"/>
              </w:rPr>
              <w:t xml:space="preserve">nd R.16-02-007, both of which were </w:t>
            </w:r>
            <w:r w:rsidRPr="00AB1866" w:rsidR="00D94D44">
              <w:rPr>
                <w:color w:val="000000"/>
                <w:sz w:val="22"/>
                <w:szCs w:val="22"/>
              </w:rPr>
              <w:t>filed on 5/24/19.</w:t>
            </w:r>
          </w:p>
          <w:p w:rsidRPr="00AB1866" w:rsidR="00066FED" w:rsidP="00A92D0B" w:rsidRDefault="00066FED" w14:paraId="0ECAE5EE" w14:textId="77777777">
            <w:pPr>
              <w:tabs>
                <w:tab w:val="left" w:pos="1260"/>
              </w:tabs>
              <w:spacing w:before="120"/>
              <w:rPr>
                <w:b/>
                <w:color w:val="000000"/>
                <w:sz w:val="22"/>
                <w:szCs w:val="22"/>
              </w:rPr>
            </w:pPr>
          </w:p>
        </w:tc>
      </w:tr>
    </w:tbl>
    <w:p w:rsidRPr="00AB1866" w:rsidR="00D04D4A" w:rsidP="00B70505" w:rsidRDefault="00D04D4A" w14:paraId="7019FA63" w14:textId="77777777">
      <w:pPr>
        <w:ind w:left="907"/>
        <w:rPr>
          <w:b/>
          <w:color w:val="000000"/>
        </w:rPr>
      </w:pPr>
    </w:p>
    <w:p w:rsidRPr="00AB1866" w:rsidR="00A92D0B" w:rsidP="008F7B39" w:rsidRDefault="00A92D0B" w14:paraId="2FA79C7B" w14:textId="77777777">
      <w:pPr>
        <w:numPr>
          <w:ilvl w:val="0"/>
          <w:numId w:val="2"/>
        </w:numPr>
        <w:ind w:left="907"/>
        <w:rPr>
          <w:b/>
          <w:color w:val="000000"/>
        </w:rPr>
      </w:pPr>
      <w:r w:rsidRPr="00AB1866">
        <w:rPr>
          <w:b/>
          <w:color w:val="000000"/>
        </w:rPr>
        <w:t>CPUC Disallowances</w:t>
      </w:r>
      <w:r w:rsidRPr="00AB1866" w:rsidR="00D075B1">
        <w:rPr>
          <w:b/>
          <w:color w:val="000000"/>
        </w:rPr>
        <w:t xml:space="preserve"> </w:t>
      </w:r>
      <w:r w:rsidRPr="00AB1866" w:rsidR="00A319DE">
        <w:rPr>
          <w:b/>
          <w:color w:val="000000"/>
        </w:rPr>
        <w:t>and</w:t>
      </w:r>
      <w:r w:rsidRPr="00AB1866" w:rsidR="00D075B1">
        <w:rPr>
          <w:b/>
          <w:color w:val="000000"/>
        </w:rPr>
        <w:t xml:space="preserve"> </w:t>
      </w:r>
      <w:r w:rsidRPr="00AB1866">
        <w:rPr>
          <w:b/>
          <w:color w:val="000000"/>
        </w:rPr>
        <w:t>Adjustments</w:t>
      </w:r>
      <w:r w:rsidRPr="00AB1866">
        <w:rPr>
          <w:b/>
          <w:color w:val="000000"/>
          <w:sz w:val="22"/>
          <w:szCs w:val="22"/>
        </w:rPr>
        <w:t>:</w:t>
      </w:r>
    </w:p>
    <w:p w:rsidRPr="00AB1866" w:rsidR="00D04D4A" w:rsidP="00B70505" w:rsidRDefault="00D04D4A" w14:paraId="4C2ADF8B" w14:textId="77777777">
      <w:pPr>
        <w:ind w:left="907"/>
        <w:rPr>
          <w:b/>
          <w:color w:val="000000"/>
        </w:rPr>
      </w:pPr>
    </w:p>
    <w:tbl>
      <w:tblPr>
        <w:tblW w:w="101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48"/>
        <w:gridCol w:w="8640"/>
      </w:tblGrid>
      <w:tr w:rsidRPr="00AB1866" w:rsidR="00A92D0B" w:rsidTr="00F7505D" w14:paraId="1906F972" w14:textId="77777777">
        <w:trPr>
          <w:jc w:val="center"/>
        </w:trPr>
        <w:tc>
          <w:tcPr>
            <w:tcW w:w="1548" w:type="dxa"/>
            <w:shd w:val="pct12" w:color="auto" w:fill="auto"/>
          </w:tcPr>
          <w:p w:rsidRPr="00AB1866" w:rsidR="00A92D0B" w:rsidP="00A92D0B" w:rsidRDefault="00072C81" w14:paraId="23CEAE91" w14:textId="77777777">
            <w:pPr>
              <w:tabs>
                <w:tab w:val="left" w:pos="1440"/>
              </w:tabs>
              <w:spacing w:before="120"/>
              <w:jc w:val="center"/>
              <w:rPr>
                <w:b/>
                <w:color w:val="000000"/>
                <w:sz w:val="22"/>
                <w:szCs w:val="22"/>
              </w:rPr>
            </w:pPr>
            <w:r w:rsidRPr="00AB1866">
              <w:rPr>
                <w:b/>
                <w:color w:val="000000"/>
                <w:sz w:val="22"/>
                <w:szCs w:val="22"/>
              </w:rPr>
              <w:t>Item</w:t>
            </w:r>
          </w:p>
        </w:tc>
        <w:tc>
          <w:tcPr>
            <w:tcW w:w="8640" w:type="dxa"/>
            <w:shd w:val="pct12" w:color="auto" w:fill="auto"/>
          </w:tcPr>
          <w:p w:rsidRPr="00AB1866" w:rsidR="00A92D0B" w:rsidP="00A92D0B" w:rsidRDefault="00A92D0B" w14:paraId="4B0BA6B3" w14:textId="77777777">
            <w:pPr>
              <w:tabs>
                <w:tab w:val="left" w:pos="1440"/>
              </w:tabs>
              <w:spacing w:before="120"/>
              <w:jc w:val="center"/>
              <w:rPr>
                <w:b/>
                <w:color w:val="000000"/>
                <w:sz w:val="22"/>
                <w:szCs w:val="22"/>
              </w:rPr>
            </w:pPr>
            <w:r w:rsidRPr="00AB1866">
              <w:rPr>
                <w:b/>
                <w:color w:val="000000"/>
                <w:sz w:val="22"/>
                <w:szCs w:val="22"/>
              </w:rPr>
              <w:t>Reason</w:t>
            </w:r>
          </w:p>
        </w:tc>
      </w:tr>
      <w:tr w:rsidRPr="00AB1866" w:rsidR="000431A1" w:rsidTr="00F7505D" w14:paraId="12D39AD6" w14:textId="77777777">
        <w:trPr>
          <w:jc w:val="center"/>
        </w:trPr>
        <w:tc>
          <w:tcPr>
            <w:tcW w:w="1548" w:type="dxa"/>
            <w:shd w:val="clear" w:color="auto" w:fill="auto"/>
          </w:tcPr>
          <w:p w:rsidRPr="00AB1866" w:rsidR="000431A1" w:rsidP="00A92D0B" w:rsidRDefault="000431A1" w14:paraId="3C3EBCEE" w14:textId="3251DBF0">
            <w:pPr>
              <w:tabs>
                <w:tab w:val="left" w:pos="1440"/>
              </w:tabs>
              <w:spacing w:before="120"/>
              <w:rPr>
                <w:color w:val="000000"/>
              </w:rPr>
            </w:pPr>
            <w:r w:rsidRPr="00AB1866">
              <w:rPr>
                <w:color w:val="000000"/>
              </w:rPr>
              <w:t>[1]</w:t>
            </w:r>
            <w:r w:rsidRPr="00AB1866" w:rsidR="00A345E6">
              <w:rPr>
                <w:color w:val="000000"/>
              </w:rPr>
              <w:t xml:space="preserve"> Gregory Morris (Dr. Morris) </w:t>
            </w:r>
          </w:p>
        </w:tc>
        <w:tc>
          <w:tcPr>
            <w:tcW w:w="8640" w:type="dxa"/>
            <w:shd w:val="clear" w:color="auto" w:fill="auto"/>
          </w:tcPr>
          <w:p w:rsidRPr="00AB1866" w:rsidR="000431A1" w:rsidP="00A92D0B" w:rsidRDefault="000431A1" w14:paraId="4DE2DA0A" w14:textId="2F69A2A5">
            <w:pPr>
              <w:tabs>
                <w:tab w:val="left" w:pos="1440"/>
              </w:tabs>
              <w:spacing w:before="120"/>
              <w:rPr>
                <w:color w:val="000000"/>
              </w:rPr>
            </w:pPr>
            <w:r w:rsidRPr="00AB1866">
              <w:rPr>
                <w:color w:val="000000"/>
              </w:rPr>
              <w:t>D.18-05-035 approved a 2018 hourly rate of $285</w:t>
            </w:r>
            <w:r w:rsidRPr="00AB1866" w:rsidR="00A345E6">
              <w:rPr>
                <w:color w:val="000000"/>
              </w:rPr>
              <w:t xml:space="preserve"> and D.19-12-019 approved a 2019 hourly rate of $325 for Dr. Morris.</w:t>
            </w:r>
          </w:p>
        </w:tc>
      </w:tr>
      <w:tr w:rsidRPr="00AB1866" w:rsidR="00067AE7" w:rsidTr="00F7505D" w14:paraId="359D9E16" w14:textId="77777777">
        <w:trPr>
          <w:jc w:val="center"/>
        </w:trPr>
        <w:tc>
          <w:tcPr>
            <w:tcW w:w="1548" w:type="dxa"/>
            <w:shd w:val="clear" w:color="auto" w:fill="auto"/>
          </w:tcPr>
          <w:p w:rsidRPr="00AB1866" w:rsidR="00067AE7" w:rsidP="00067AE7" w:rsidRDefault="00067AE7" w14:paraId="3B9C4AC7" w14:textId="33630F74">
            <w:pPr>
              <w:tabs>
                <w:tab w:val="left" w:pos="1440"/>
              </w:tabs>
              <w:spacing w:before="120"/>
              <w:rPr>
                <w:color w:val="000000"/>
              </w:rPr>
            </w:pPr>
            <w:r>
              <w:rPr>
                <w:color w:val="000000"/>
              </w:rPr>
              <w:t>[</w:t>
            </w:r>
            <w:r w:rsidR="00E156F7">
              <w:rPr>
                <w:color w:val="000000"/>
              </w:rPr>
              <w:t>2</w:t>
            </w:r>
            <w:r>
              <w:rPr>
                <w:color w:val="000000"/>
              </w:rPr>
              <w:t>] IComp Prep Hours</w:t>
            </w:r>
          </w:p>
        </w:tc>
        <w:tc>
          <w:tcPr>
            <w:tcW w:w="8640" w:type="dxa"/>
            <w:shd w:val="clear" w:color="auto" w:fill="auto"/>
          </w:tcPr>
          <w:p w:rsidR="00067AE7" w:rsidP="00067AE7" w:rsidRDefault="00067AE7" w14:paraId="13FFE1C0" w14:textId="7FA8E83C">
            <w:pPr>
              <w:tabs>
                <w:tab w:val="left" w:pos="1440"/>
              </w:tabs>
              <w:spacing w:before="120"/>
            </w:pPr>
            <w:r>
              <w:t>GPI did not include IComp prep hours in the timesheet provided. Furthermore, we find the claimed amount of 15 hours to be excessive for the work produced.</w:t>
            </w:r>
            <w:r w:rsidR="0003134A">
              <w:t xml:space="preserve"> </w:t>
            </w:r>
            <w:r>
              <w:t xml:space="preserve">We make a 60% reduction to the IComp hours for a total of 6 hours allowed. </w:t>
            </w:r>
          </w:p>
          <w:p w:rsidRPr="00AB1866" w:rsidR="00EB46F6" w:rsidP="00067AE7" w:rsidRDefault="00480AF0" w14:paraId="75ED8F41" w14:textId="38B69E46">
            <w:pPr>
              <w:tabs>
                <w:tab w:val="left" w:pos="1440"/>
              </w:tabs>
              <w:spacing w:before="120"/>
              <w:rPr>
                <w:color w:val="000000"/>
              </w:rPr>
            </w:pPr>
            <w:r w:rsidRPr="00CE4FD8">
              <w:rPr>
                <w:color w:val="000000"/>
              </w:rPr>
              <w:t>We remind GPI to include</w:t>
            </w:r>
            <w:r w:rsidR="00662F1D">
              <w:rPr>
                <w:i/>
                <w:iCs/>
                <w:color w:val="000000"/>
              </w:rPr>
              <w:t xml:space="preserve"> </w:t>
            </w:r>
            <w:r w:rsidR="00662F1D">
              <w:rPr>
                <w:color w:val="000000"/>
              </w:rPr>
              <w:t>time spent preparing the intervenor compensation claim</w:t>
            </w:r>
            <w:r w:rsidR="00CE4FD8">
              <w:rPr>
                <w:color w:val="000000"/>
              </w:rPr>
              <w:t xml:space="preserve"> in</w:t>
            </w:r>
            <w:r w:rsidR="00662F1D">
              <w:rPr>
                <w:color w:val="000000"/>
              </w:rPr>
              <w:t xml:space="preserve"> the timesheet attachment to their request.</w:t>
            </w:r>
            <w:r>
              <w:rPr>
                <w:i/>
                <w:iCs/>
                <w:color w:val="000000"/>
              </w:rPr>
              <w:t xml:space="preserve"> </w:t>
            </w:r>
            <w:r w:rsidRPr="00CE4FD8" w:rsidR="007E05D0">
              <w:rPr>
                <w:i/>
                <w:iCs/>
                <w:color w:val="000000"/>
              </w:rPr>
              <w:t>See</w:t>
            </w:r>
            <w:r w:rsidR="007E05D0">
              <w:rPr>
                <w:color w:val="000000"/>
              </w:rPr>
              <w:t xml:space="preserve"> </w:t>
            </w:r>
            <w:r w:rsidRPr="003E25A1" w:rsidR="003E25A1">
              <w:rPr>
                <w:color w:val="000000"/>
              </w:rPr>
              <w:t xml:space="preserve">Intervenor Compensation Program Guide </w:t>
            </w:r>
            <w:r w:rsidR="0056192B">
              <w:rPr>
                <w:color w:val="000000"/>
              </w:rPr>
              <w:t>at</w:t>
            </w:r>
            <w:r w:rsidR="00E77C53">
              <w:rPr>
                <w:color w:val="000000"/>
              </w:rPr>
              <w:t xml:space="preserve"> 22.</w:t>
            </w:r>
          </w:p>
        </w:tc>
      </w:tr>
      <w:tr w:rsidRPr="00AB1866" w:rsidR="00A92D0B" w:rsidTr="00F7505D" w14:paraId="52680EE1" w14:textId="77777777">
        <w:trPr>
          <w:jc w:val="center"/>
        </w:trPr>
        <w:tc>
          <w:tcPr>
            <w:tcW w:w="1548" w:type="dxa"/>
            <w:shd w:val="clear" w:color="auto" w:fill="auto"/>
          </w:tcPr>
          <w:p w:rsidRPr="00AB1866" w:rsidR="00A92D0B" w:rsidP="00A92D0B" w:rsidRDefault="00FF11AA" w14:paraId="7AC67400" w14:textId="2D56E638">
            <w:pPr>
              <w:tabs>
                <w:tab w:val="left" w:pos="1440"/>
              </w:tabs>
              <w:spacing w:before="120"/>
              <w:rPr>
                <w:color w:val="000000"/>
              </w:rPr>
            </w:pPr>
            <w:r w:rsidRPr="00AB1866">
              <w:rPr>
                <w:color w:val="000000"/>
              </w:rPr>
              <w:t>[</w:t>
            </w:r>
            <w:r w:rsidRPr="00AB1866" w:rsidR="00A345E6">
              <w:rPr>
                <w:color w:val="000000"/>
              </w:rPr>
              <w:t>3</w:t>
            </w:r>
            <w:r w:rsidRPr="00AB1866">
              <w:rPr>
                <w:color w:val="000000"/>
              </w:rPr>
              <w:t>]</w:t>
            </w:r>
            <w:r w:rsidRPr="00AB1866" w:rsidR="00A345E6">
              <w:rPr>
                <w:color w:val="000000"/>
              </w:rPr>
              <w:t xml:space="preserve"> Other Fees Total</w:t>
            </w:r>
          </w:p>
        </w:tc>
        <w:tc>
          <w:tcPr>
            <w:tcW w:w="8640" w:type="dxa"/>
            <w:shd w:val="clear" w:color="auto" w:fill="auto"/>
          </w:tcPr>
          <w:p w:rsidRPr="00AB1866" w:rsidR="00A92D0B" w:rsidP="00A92D0B" w:rsidRDefault="00FF11AA" w14:paraId="2A5D252E" w14:textId="132C3816">
            <w:pPr>
              <w:tabs>
                <w:tab w:val="left" w:pos="1440"/>
              </w:tabs>
              <w:spacing w:before="120"/>
              <w:rPr>
                <w:color w:val="000000"/>
              </w:rPr>
            </w:pPr>
            <w:r w:rsidRPr="00AB1866">
              <w:rPr>
                <w:color w:val="000000"/>
              </w:rPr>
              <w:t xml:space="preserve">Amount adjusted to </w:t>
            </w:r>
            <w:r w:rsidRPr="00AB1866" w:rsidR="00B70505">
              <w:rPr>
                <w:color w:val="000000"/>
              </w:rPr>
              <w:t>reflect accurate postage costs</w:t>
            </w:r>
            <w:r w:rsidRPr="00AB1866" w:rsidR="00174AAD">
              <w:rPr>
                <w:color w:val="000000"/>
              </w:rPr>
              <w:t>.</w:t>
            </w:r>
          </w:p>
        </w:tc>
      </w:tr>
      <w:tr w:rsidRPr="00AB1866" w:rsidR="00420C3E" w:rsidTr="00F7505D" w14:paraId="60363D73" w14:textId="77777777">
        <w:trPr>
          <w:jc w:val="center"/>
        </w:trPr>
        <w:tc>
          <w:tcPr>
            <w:tcW w:w="1548" w:type="dxa"/>
            <w:shd w:val="clear" w:color="auto" w:fill="auto"/>
          </w:tcPr>
          <w:p w:rsidRPr="00AB1866" w:rsidR="00420C3E" w:rsidP="00420C3E" w:rsidRDefault="00BA0876" w14:paraId="2CB69F2C" w14:textId="4FDAB134">
            <w:pPr>
              <w:tabs>
                <w:tab w:val="left" w:pos="1440"/>
              </w:tabs>
              <w:spacing w:before="120"/>
              <w:rPr>
                <w:color w:val="000000"/>
              </w:rPr>
            </w:pPr>
            <w:r>
              <w:rPr>
                <w:color w:val="000000"/>
              </w:rPr>
              <w:lastRenderedPageBreak/>
              <w:t>[</w:t>
            </w:r>
            <w:r w:rsidR="00E156F7">
              <w:rPr>
                <w:color w:val="000000"/>
              </w:rPr>
              <w:t>4</w:t>
            </w:r>
            <w:r>
              <w:rPr>
                <w:color w:val="000000"/>
              </w:rPr>
              <w:t xml:space="preserve">] </w:t>
            </w:r>
            <w:r w:rsidR="00197410">
              <w:rPr>
                <w:color w:val="000000"/>
              </w:rPr>
              <w:t>Morris’  Hours</w:t>
            </w:r>
          </w:p>
        </w:tc>
        <w:tc>
          <w:tcPr>
            <w:tcW w:w="8640" w:type="dxa"/>
            <w:shd w:val="clear" w:color="auto" w:fill="auto"/>
          </w:tcPr>
          <w:p w:rsidRPr="00AB1866" w:rsidR="00420C3E" w:rsidP="00420C3E" w:rsidRDefault="001A43DF" w14:paraId="75051CFE" w14:textId="35A04037">
            <w:pPr>
              <w:tabs>
                <w:tab w:val="left" w:pos="1440"/>
              </w:tabs>
              <w:spacing w:before="120"/>
              <w:rPr>
                <w:color w:val="000000"/>
              </w:rPr>
            </w:pPr>
            <w:r>
              <w:t xml:space="preserve">The following timesheet entries for Morris are disallowed for lack of substantial contribution: </w:t>
            </w:r>
            <w:r w:rsidR="003B3E82">
              <w:t xml:space="preserve">11/14/18, “Attempt to remote attend PHC, but webcast failed to broadcast”, 0.5 hour, </w:t>
            </w:r>
            <w:r w:rsidR="007E6D37">
              <w:t xml:space="preserve">and </w:t>
            </w:r>
            <w:r w:rsidRPr="00146D56" w:rsidR="00146D56">
              <w:t>5/23/2019</w:t>
            </w:r>
            <w:r w:rsidR="00146D56">
              <w:t>, “</w:t>
            </w:r>
            <w:r w:rsidRPr="00146D56" w:rsidR="00146D56">
              <w:t>Review parties’ Comments on the PDs</w:t>
            </w:r>
            <w:r w:rsidR="00146D56">
              <w:t xml:space="preserve">”, </w:t>
            </w:r>
            <w:r w:rsidRPr="00146D56" w:rsidR="00146D56">
              <w:t>4</w:t>
            </w:r>
            <w:r w:rsidR="00146D56">
              <w:t xml:space="preserve"> hours.</w:t>
            </w:r>
            <w:r w:rsidR="007E6D37">
              <w:t xml:space="preserve"> </w:t>
            </w:r>
          </w:p>
        </w:tc>
      </w:tr>
      <w:tr w:rsidRPr="00AB1866" w:rsidR="00D36C1E" w:rsidTr="00F7505D" w14:paraId="31C4EE58" w14:textId="77777777">
        <w:trPr>
          <w:jc w:val="center"/>
        </w:trPr>
        <w:tc>
          <w:tcPr>
            <w:tcW w:w="1548" w:type="dxa"/>
            <w:shd w:val="clear" w:color="auto" w:fill="auto"/>
          </w:tcPr>
          <w:p w:rsidR="00D36C1E" w:rsidP="00D36C1E" w:rsidRDefault="00197410" w14:paraId="5FFE7DAB" w14:textId="13A1FDE3">
            <w:pPr>
              <w:tabs>
                <w:tab w:val="left" w:pos="1440"/>
              </w:tabs>
              <w:spacing w:before="120"/>
              <w:rPr>
                <w:color w:val="000000"/>
              </w:rPr>
            </w:pPr>
            <w:r>
              <w:rPr>
                <w:color w:val="000000"/>
              </w:rPr>
              <w:t>[</w:t>
            </w:r>
            <w:r w:rsidR="00E156F7">
              <w:rPr>
                <w:color w:val="000000"/>
              </w:rPr>
              <w:t>5</w:t>
            </w:r>
            <w:r>
              <w:rPr>
                <w:color w:val="000000"/>
              </w:rPr>
              <w:t xml:space="preserve">] </w:t>
            </w:r>
            <w:r w:rsidR="00E156F7">
              <w:rPr>
                <w:color w:val="000000"/>
              </w:rPr>
              <w:t>Time records</w:t>
            </w:r>
          </w:p>
        </w:tc>
        <w:tc>
          <w:tcPr>
            <w:tcW w:w="8640" w:type="dxa"/>
            <w:shd w:val="clear" w:color="auto" w:fill="auto"/>
          </w:tcPr>
          <w:p w:rsidR="00D36C1E" w:rsidP="00D36C1E" w:rsidRDefault="00D36C1E" w14:paraId="4127DFE3" w14:textId="5818326A">
            <w:pPr>
              <w:tabs>
                <w:tab w:val="left" w:pos="1440"/>
              </w:tabs>
              <w:spacing w:before="120"/>
            </w:pPr>
            <w:r w:rsidRPr="00DF1FC7">
              <w:rPr>
                <w:color w:val="000000"/>
              </w:rPr>
              <w:t>Time records must not combine several issues in one timesheet entry. Instead, the time must be allocated by issues within each task. As the time spent on each issue is not clearly allocated, we divide the total number of hours by the number of issues listed to get the time spent on each issue.</w:t>
            </w:r>
            <w:r>
              <w:rPr>
                <w:color w:val="000000"/>
              </w:rPr>
              <w:t xml:space="preserve"> </w:t>
            </w:r>
            <w:r w:rsidRPr="00600A59">
              <w:rPr>
                <w:i/>
                <w:iCs/>
                <w:color w:val="000000"/>
              </w:rPr>
              <w:t>See</w:t>
            </w:r>
            <w:r w:rsidRPr="00D106C6">
              <w:rPr>
                <w:color w:val="000000"/>
              </w:rPr>
              <w:t xml:space="preserve"> Intervenor Compensation Program Guide at 2</w:t>
            </w:r>
            <w:r>
              <w:rPr>
                <w:color w:val="000000"/>
              </w:rPr>
              <w:t>6</w:t>
            </w:r>
            <w:r w:rsidRPr="00D106C6">
              <w:rPr>
                <w:color w:val="000000"/>
              </w:rPr>
              <w:t>.</w:t>
            </w:r>
            <w:r>
              <w:rPr>
                <w:color w:val="000000"/>
              </w:rPr>
              <w:t xml:space="preserve"> We therefore disallow </w:t>
            </w:r>
            <w:r w:rsidR="00197410">
              <w:rPr>
                <w:color w:val="000000"/>
              </w:rPr>
              <w:t>Morris</w:t>
            </w:r>
            <w:r>
              <w:rPr>
                <w:color w:val="000000"/>
              </w:rPr>
              <w:t>’</w:t>
            </w:r>
            <w:r w:rsidR="00197410">
              <w:rPr>
                <w:color w:val="000000"/>
              </w:rPr>
              <w:t xml:space="preserve"> </w:t>
            </w:r>
            <w:r>
              <w:rPr>
                <w:color w:val="000000"/>
              </w:rPr>
              <w:t>hours by 5%.</w:t>
            </w:r>
          </w:p>
        </w:tc>
      </w:tr>
      <w:tr w:rsidRPr="00AB1866" w:rsidR="00197410" w:rsidTr="00F7505D" w14:paraId="77E079DC" w14:textId="77777777">
        <w:trPr>
          <w:jc w:val="center"/>
        </w:trPr>
        <w:tc>
          <w:tcPr>
            <w:tcW w:w="1548" w:type="dxa"/>
            <w:shd w:val="clear" w:color="auto" w:fill="auto"/>
          </w:tcPr>
          <w:p w:rsidR="00197410" w:rsidP="00197410" w:rsidRDefault="00197410" w14:paraId="1D785843" w14:textId="4895B792">
            <w:pPr>
              <w:tabs>
                <w:tab w:val="left" w:pos="1440"/>
              </w:tabs>
              <w:spacing w:before="120"/>
              <w:rPr>
                <w:color w:val="000000"/>
              </w:rPr>
            </w:pPr>
            <w:r>
              <w:rPr>
                <w:color w:val="000000"/>
              </w:rPr>
              <w:t>[</w:t>
            </w:r>
            <w:r w:rsidR="00E156F7">
              <w:rPr>
                <w:color w:val="000000"/>
              </w:rPr>
              <w:t>6</w:t>
            </w:r>
            <w:r>
              <w:rPr>
                <w:color w:val="000000"/>
              </w:rPr>
              <w:t>] Substantial Contribution- % Disallowance</w:t>
            </w:r>
          </w:p>
        </w:tc>
        <w:tc>
          <w:tcPr>
            <w:tcW w:w="8640" w:type="dxa"/>
            <w:shd w:val="clear" w:color="auto" w:fill="auto"/>
          </w:tcPr>
          <w:p w:rsidRPr="00DF1FC7" w:rsidR="00197410" w:rsidP="00197410" w:rsidRDefault="00197410" w14:paraId="2CDEBC09" w14:textId="03894AE8">
            <w:pPr>
              <w:tabs>
                <w:tab w:val="left" w:pos="1440"/>
              </w:tabs>
              <w:spacing w:before="120"/>
              <w:rPr>
                <w:color w:val="000000"/>
              </w:rPr>
            </w:pPr>
            <w:r>
              <w:t xml:space="preserve">As determined in our analysis of </w:t>
            </w:r>
            <w:r w:rsidR="006D099B">
              <w:t>GPI</w:t>
            </w:r>
            <w:r>
              <w:t xml:space="preserve">’s claims of substantial contributions (Part II(A)), </w:t>
            </w:r>
            <w:r w:rsidR="006D099B">
              <w:t xml:space="preserve">GPI </w:t>
            </w:r>
            <w:r>
              <w:t xml:space="preserve">does not meet </w:t>
            </w:r>
            <w:r w:rsidR="00E97DB4">
              <w:t xml:space="preserve">all of the </w:t>
            </w:r>
            <w:r>
              <w:t xml:space="preserve">substantial contribution standards of Section 1802(j) or Section 1802.5 for issues </w:t>
            </w:r>
            <w:r w:rsidR="00A66A20">
              <w:t>3</w:t>
            </w:r>
            <w:r>
              <w:t xml:space="preserve"> and </w:t>
            </w:r>
            <w:r w:rsidR="00A66A20">
              <w:t>4</w:t>
            </w:r>
            <w:r>
              <w:t xml:space="preserve">. We disallow 20% percent of the hours claimed on issue </w:t>
            </w:r>
            <w:r w:rsidR="00A66A20">
              <w:t>3</w:t>
            </w:r>
            <w:r>
              <w:t xml:space="preserve">, and </w:t>
            </w:r>
            <w:r w:rsidR="006D099B">
              <w:t>2</w:t>
            </w:r>
            <w:r>
              <w:t xml:space="preserve">0% of the hours claimed on issue </w:t>
            </w:r>
            <w:r w:rsidR="00A66A20">
              <w:t>4</w:t>
            </w:r>
            <w:r>
              <w:t xml:space="preserve">. </w:t>
            </w:r>
          </w:p>
        </w:tc>
      </w:tr>
    </w:tbl>
    <w:p w:rsidRPr="00AB1866" w:rsidR="00954FAD" w:rsidP="00954FAD" w:rsidRDefault="00954FAD" w14:paraId="7D0FBE47" w14:textId="77777777">
      <w:pPr>
        <w:tabs>
          <w:tab w:val="left" w:pos="1260"/>
        </w:tabs>
        <w:jc w:val="center"/>
        <w:rPr>
          <w:b/>
          <w:color w:val="000000"/>
        </w:rPr>
      </w:pPr>
    </w:p>
    <w:p w:rsidRPr="00AB1866" w:rsidR="00A92D0B" w:rsidP="00B03F74" w:rsidRDefault="00A92D0B" w14:paraId="6003A340" w14:textId="77777777">
      <w:pPr>
        <w:tabs>
          <w:tab w:val="left" w:pos="1260"/>
        </w:tabs>
        <w:spacing w:before="120"/>
        <w:jc w:val="center"/>
        <w:rPr>
          <w:b/>
          <w:color w:val="000000"/>
        </w:rPr>
      </w:pPr>
      <w:r w:rsidRPr="00AB1866">
        <w:rPr>
          <w:b/>
          <w:color w:val="000000"/>
        </w:rPr>
        <w:t>PART IV:</w:t>
      </w:r>
      <w:r w:rsidRPr="00AB1866">
        <w:rPr>
          <w:b/>
          <w:color w:val="000000"/>
        </w:rPr>
        <w:tab/>
        <w:t>OPPOSITIONS AND COMMENTS</w:t>
      </w:r>
    </w:p>
    <w:p w:rsidRPr="00AB1866" w:rsidR="00D04D4A" w:rsidP="00B03F74" w:rsidRDefault="00D04D4A" w14:paraId="069AB907" w14:textId="77777777">
      <w:pPr>
        <w:tabs>
          <w:tab w:val="left" w:pos="1260"/>
        </w:tabs>
        <w:spacing w:before="120"/>
        <w:jc w:val="center"/>
        <w:rPr>
          <w:b/>
          <w:color w:val="000000"/>
        </w:rPr>
      </w:pPr>
    </w:p>
    <w:p w:rsidRPr="00AB1866" w:rsidR="00A92D0B" w:rsidRDefault="00A92D0B" w14:paraId="78B8EECC" w14:textId="77777777">
      <w:pPr>
        <w:tabs>
          <w:tab w:val="left" w:pos="1260"/>
        </w:tabs>
        <w:ind w:left="1267" w:hanging="1267"/>
        <w:jc w:val="center"/>
        <w:rPr>
          <w:b/>
          <w:color w:val="000000"/>
          <w:sz w:val="20"/>
        </w:rPr>
      </w:pPr>
      <w:r w:rsidRPr="00AB1866">
        <w:rPr>
          <w:b/>
          <w:color w:val="000000"/>
          <w:sz w:val="20"/>
        </w:rPr>
        <w:t>Within 30 days after service of this Claim, Commission Staff</w:t>
      </w:r>
    </w:p>
    <w:p w:rsidRPr="00AB1866" w:rsidR="00A92D0B" w:rsidRDefault="00A92D0B" w14:paraId="69ADFD38" w14:textId="77777777">
      <w:pPr>
        <w:tabs>
          <w:tab w:val="left" w:pos="1260"/>
        </w:tabs>
        <w:ind w:left="1267" w:hanging="1267"/>
        <w:jc w:val="center"/>
        <w:rPr>
          <w:b/>
          <w:color w:val="000000"/>
          <w:sz w:val="20"/>
        </w:rPr>
      </w:pPr>
      <w:r w:rsidRPr="00AB1866">
        <w:rPr>
          <w:b/>
          <w:color w:val="000000"/>
          <w:sz w:val="20"/>
        </w:rPr>
        <w:t>or any other party may file a response to the Claim (</w:t>
      </w:r>
      <w:r w:rsidRPr="00AB1866">
        <w:rPr>
          <w:b/>
          <w:i/>
          <w:color w:val="000000"/>
          <w:sz w:val="20"/>
        </w:rPr>
        <w:t>see</w:t>
      </w:r>
      <w:r w:rsidRPr="00AB1866">
        <w:rPr>
          <w:b/>
          <w:color w:val="000000"/>
          <w:sz w:val="20"/>
        </w:rPr>
        <w:t xml:space="preserve"> § 1804(c))</w:t>
      </w:r>
    </w:p>
    <w:p w:rsidRPr="00AB1866" w:rsidR="00A92D0B" w:rsidRDefault="00A92D0B" w14:paraId="52D849F3" w14:textId="77777777">
      <w:pPr>
        <w:tabs>
          <w:tab w:val="left" w:pos="1260"/>
        </w:tabs>
        <w:spacing w:before="60"/>
        <w:ind w:left="1267" w:hanging="1267"/>
        <w:jc w:val="center"/>
        <w:rPr>
          <w:color w:val="000000"/>
        </w:rPr>
      </w:pPr>
    </w:p>
    <w:tbl>
      <w:tblPr>
        <w:tblW w:w="101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488"/>
        <w:gridCol w:w="2700"/>
      </w:tblGrid>
      <w:tr w:rsidRPr="00AB1866" w:rsidR="00A92D0B" w:rsidTr="00F7505D" w14:paraId="4D11159A" w14:textId="77777777">
        <w:trPr>
          <w:jc w:val="center"/>
        </w:trPr>
        <w:tc>
          <w:tcPr>
            <w:tcW w:w="7488" w:type="dxa"/>
            <w:shd w:val="clear" w:color="auto" w:fill="auto"/>
          </w:tcPr>
          <w:p w:rsidRPr="00AB1866" w:rsidR="00A92D0B" w:rsidP="00A92D0B" w:rsidRDefault="00A92D0B" w14:paraId="4E99CBBD" w14:textId="77777777">
            <w:pPr>
              <w:spacing w:after="240"/>
              <w:rPr>
                <w:color w:val="000000"/>
              </w:rPr>
            </w:pPr>
            <w:r w:rsidRPr="00AB1866">
              <w:rPr>
                <w:b/>
                <w:color w:val="000000"/>
              </w:rPr>
              <w:t>A.  Opposition:  Did any party oppose the Claim?</w:t>
            </w:r>
          </w:p>
        </w:tc>
        <w:tc>
          <w:tcPr>
            <w:tcW w:w="2700" w:type="dxa"/>
            <w:shd w:val="clear" w:color="auto" w:fill="auto"/>
          </w:tcPr>
          <w:p w:rsidRPr="00AB1866" w:rsidR="00A92D0B" w:rsidP="00A92D0B" w:rsidRDefault="004D7F70" w14:paraId="7D29F10A" w14:textId="77777777">
            <w:pPr>
              <w:spacing w:after="240"/>
              <w:rPr>
                <w:color w:val="000000"/>
              </w:rPr>
            </w:pPr>
            <w:r w:rsidRPr="00AB1866">
              <w:rPr>
                <w:color w:val="000000"/>
              </w:rPr>
              <w:t>No</w:t>
            </w:r>
          </w:p>
        </w:tc>
      </w:tr>
    </w:tbl>
    <w:p w:rsidRPr="00AB1866" w:rsidR="00A92D0B" w:rsidRDefault="00A92D0B" w14:paraId="23769049" w14:textId="77777777">
      <w:pPr>
        <w:spacing w:after="240"/>
        <w:ind w:firstLine="907"/>
        <w:rPr>
          <w:color w:val="000000"/>
        </w:rPr>
      </w:pPr>
    </w:p>
    <w:tbl>
      <w:tblPr>
        <w:tblW w:w="101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488"/>
        <w:gridCol w:w="2700"/>
      </w:tblGrid>
      <w:tr w:rsidRPr="00AB1866" w:rsidR="00A92D0B" w:rsidTr="00F7505D" w14:paraId="04AC5196" w14:textId="77777777">
        <w:trPr>
          <w:jc w:val="center"/>
        </w:trPr>
        <w:tc>
          <w:tcPr>
            <w:tcW w:w="7488" w:type="dxa"/>
            <w:shd w:val="clear" w:color="auto" w:fill="auto"/>
          </w:tcPr>
          <w:p w:rsidRPr="00AB1866" w:rsidR="00A92D0B" w:rsidP="00DE3A5D" w:rsidRDefault="00A92D0B" w14:paraId="168A041C" w14:textId="77777777">
            <w:pPr>
              <w:keepNext/>
              <w:keepLines/>
              <w:spacing w:after="240"/>
              <w:rPr>
                <w:color w:val="000000"/>
              </w:rPr>
            </w:pPr>
            <w:r w:rsidRPr="00AB1866">
              <w:rPr>
                <w:b/>
                <w:color w:val="000000"/>
              </w:rPr>
              <w:t>B.  Comment Period:  Was the 30-day comment period waived (</w:t>
            </w:r>
            <w:r w:rsidRPr="00AB1866">
              <w:rPr>
                <w:b/>
                <w:i/>
                <w:color w:val="000000"/>
              </w:rPr>
              <w:t>see</w:t>
            </w:r>
            <w:r w:rsidRPr="00AB1866">
              <w:rPr>
                <w:b/>
                <w:color w:val="000000"/>
              </w:rPr>
              <w:t xml:space="preserve"> Rule 14.6(</w:t>
            </w:r>
            <w:r w:rsidRPr="00AB1866" w:rsidR="00963EEF">
              <w:rPr>
                <w:b/>
                <w:color w:val="000000"/>
              </w:rPr>
              <w:t>c</w:t>
            </w:r>
            <w:r w:rsidRPr="00AB1866">
              <w:rPr>
                <w:b/>
                <w:color w:val="000000"/>
              </w:rPr>
              <w:t>)(6))?</w:t>
            </w:r>
          </w:p>
        </w:tc>
        <w:tc>
          <w:tcPr>
            <w:tcW w:w="2700" w:type="dxa"/>
            <w:shd w:val="clear" w:color="auto" w:fill="auto"/>
          </w:tcPr>
          <w:p w:rsidRPr="00AB1866" w:rsidR="00A92D0B" w:rsidP="00DE3A5D" w:rsidRDefault="004D7F70" w14:paraId="47CC5381" w14:textId="77777777">
            <w:pPr>
              <w:keepNext/>
              <w:keepLines/>
              <w:spacing w:after="240"/>
              <w:rPr>
                <w:color w:val="000000"/>
              </w:rPr>
            </w:pPr>
            <w:r w:rsidRPr="00AB1866">
              <w:rPr>
                <w:color w:val="000000"/>
              </w:rPr>
              <w:t>Yes</w:t>
            </w:r>
          </w:p>
        </w:tc>
      </w:tr>
    </w:tbl>
    <w:p w:rsidRPr="00AB1866" w:rsidR="00D04D4A" w:rsidRDefault="00D04D4A" w14:paraId="61C2932C" w14:textId="77777777">
      <w:pPr>
        <w:jc w:val="center"/>
        <w:rPr>
          <w:b/>
          <w:color w:val="000000"/>
          <w:u w:val="single"/>
        </w:rPr>
      </w:pPr>
    </w:p>
    <w:p w:rsidRPr="00AB1866" w:rsidR="00A92D0B" w:rsidRDefault="00A92D0B" w14:paraId="0094FB38" w14:textId="77777777">
      <w:pPr>
        <w:jc w:val="center"/>
        <w:rPr>
          <w:b/>
          <w:color w:val="000000"/>
          <w:u w:val="single"/>
        </w:rPr>
      </w:pPr>
      <w:r w:rsidRPr="00AB1866">
        <w:rPr>
          <w:b/>
          <w:color w:val="000000"/>
          <w:u w:val="single"/>
        </w:rPr>
        <w:t>FINDINGS OF FACT</w:t>
      </w:r>
    </w:p>
    <w:p w:rsidRPr="00AB1866" w:rsidR="00A92D0B" w:rsidRDefault="00A92D0B" w14:paraId="6E764CF6" w14:textId="77777777">
      <w:pPr>
        <w:rPr>
          <w:color w:val="000000"/>
        </w:rPr>
      </w:pPr>
    </w:p>
    <w:p w:rsidRPr="00AB1866" w:rsidR="00A92D0B" w:rsidRDefault="00566FBA" w14:paraId="4B736D5B" w14:textId="77777777">
      <w:pPr>
        <w:numPr>
          <w:ilvl w:val="0"/>
          <w:numId w:val="3"/>
        </w:numPr>
        <w:tabs>
          <w:tab w:val="clear" w:pos="900"/>
          <w:tab w:val="num" w:pos="540"/>
        </w:tabs>
        <w:ind w:left="540" w:hanging="540"/>
      </w:pPr>
      <w:r w:rsidRPr="00AB1866">
        <w:t>Green Power Institute</w:t>
      </w:r>
      <w:r w:rsidRPr="00AB1866" w:rsidR="005A63D4">
        <w:t xml:space="preserve"> </w:t>
      </w:r>
      <w:r w:rsidRPr="00AB1866" w:rsidR="00A92D0B">
        <w:t>has made a substantia</w:t>
      </w:r>
      <w:r w:rsidRPr="00AB1866" w:rsidR="00DE3A5D">
        <w:t>l contribution to D</w:t>
      </w:r>
      <w:r w:rsidRPr="00AB1866" w:rsidR="004D7F70">
        <w:t xml:space="preserve">.19-05-036, </w:t>
      </w:r>
      <w:r w:rsidRPr="00AB1866" w:rsidR="00B70505">
        <w:br/>
      </w:r>
      <w:r w:rsidRPr="00AB1866" w:rsidR="004D7F70">
        <w:t>D.19-05-037, and D.19-05-038.</w:t>
      </w:r>
    </w:p>
    <w:p w:rsidRPr="00AB1866" w:rsidR="00A92D0B" w:rsidRDefault="00A92D0B" w14:paraId="26372855" w14:textId="77777777">
      <w:pPr>
        <w:numPr>
          <w:ilvl w:val="0"/>
          <w:numId w:val="3"/>
        </w:numPr>
        <w:tabs>
          <w:tab w:val="clear" w:pos="900"/>
          <w:tab w:val="num" w:pos="540"/>
        </w:tabs>
        <w:spacing w:before="240"/>
        <w:ind w:left="547" w:hanging="547"/>
      </w:pPr>
      <w:r w:rsidRPr="00AB1866">
        <w:t xml:space="preserve">The requested hourly rates for </w:t>
      </w:r>
      <w:r w:rsidRPr="00AB1866" w:rsidR="00566FBA">
        <w:t>Green Po</w:t>
      </w:r>
      <w:r w:rsidRPr="00AB1866" w:rsidR="001E4D5B">
        <w:t>w</w:t>
      </w:r>
      <w:r w:rsidRPr="00AB1866" w:rsidR="00566FBA">
        <w:t>er Institute’s</w:t>
      </w:r>
      <w:r w:rsidRPr="00AB1866" w:rsidR="005A63D4">
        <w:t xml:space="preserve"> </w:t>
      </w:r>
      <w:r w:rsidRPr="00AB1866">
        <w:t>representatives</w:t>
      </w:r>
      <w:r w:rsidRPr="00AB1866" w:rsidR="00B70505">
        <w:t xml:space="preserve"> </w:t>
      </w:r>
      <w:r w:rsidRPr="00AB1866">
        <w:t>are comparable to market rates paid to experts and advocates having comparable training and experience and offering similar services.</w:t>
      </w:r>
    </w:p>
    <w:p w:rsidRPr="00AB1866" w:rsidR="00A92D0B" w:rsidRDefault="00A92D0B" w14:paraId="2D130A6A" w14:textId="77777777">
      <w:pPr>
        <w:numPr>
          <w:ilvl w:val="0"/>
          <w:numId w:val="3"/>
        </w:numPr>
        <w:tabs>
          <w:tab w:val="clear" w:pos="900"/>
          <w:tab w:val="num" w:pos="540"/>
        </w:tabs>
        <w:spacing w:before="240"/>
        <w:ind w:left="547" w:hanging="547"/>
      </w:pPr>
      <w:r w:rsidRPr="00AB1866">
        <w:t>The claimed costs and expenses</w:t>
      </w:r>
      <w:r w:rsidRPr="00AB1866" w:rsidR="00C25EA5">
        <w:t xml:space="preserve">, </w:t>
      </w:r>
      <w:r w:rsidRPr="00AB1866">
        <w:t>as adjusted herein,</w:t>
      </w:r>
      <w:r w:rsidRPr="00AB1866" w:rsidR="00C25EA5">
        <w:t xml:space="preserve"> </w:t>
      </w:r>
      <w:r w:rsidRPr="00AB1866">
        <w:t xml:space="preserve">are reasonable and commensurate with the work performed. </w:t>
      </w:r>
    </w:p>
    <w:p w:rsidRPr="00AB1866" w:rsidR="00A92D0B" w:rsidRDefault="00A92D0B" w14:paraId="4E834D90" w14:textId="2D733B07">
      <w:pPr>
        <w:numPr>
          <w:ilvl w:val="0"/>
          <w:numId w:val="3"/>
        </w:numPr>
        <w:tabs>
          <w:tab w:val="clear" w:pos="900"/>
          <w:tab w:val="num" w:pos="540"/>
        </w:tabs>
        <w:spacing w:before="240"/>
        <w:ind w:left="547" w:hanging="547"/>
      </w:pPr>
      <w:r w:rsidRPr="00AB1866">
        <w:t xml:space="preserve">The total of reasonable </w:t>
      </w:r>
      <w:r w:rsidRPr="00AB1866" w:rsidR="003C608A">
        <w:t xml:space="preserve">compensation </w:t>
      </w:r>
      <w:r w:rsidRPr="00AB1866">
        <w:t xml:space="preserve">is </w:t>
      </w:r>
      <w:r w:rsidRPr="00EB6AD9" w:rsidR="00EB6AD9">
        <w:t>$36,664.13</w:t>
      </w:r>
      <w:r w:rsidRPr="00AB1866">
        <w:t>.</w:t>
      </w:r>
    </w:p>
    <w:p w:rsidRPr="00AB1866" w:rsidR="00954FAD" w:rsidRDefault="00954FAD" w14:paraId="1E436AFA" w14:textId="77777777">
      <w:pPr>
        <w:spacing w:before="120"/>
        <w:rPr>
          <w:color w:val="000000"/>
        </w:rPr>
      </w:pPr>
    </w:p>
    <w:p w:rsidRPr="00AB1866" w:rsidR="00A92D0B" w:rsidP="00A84446" w:rsidRDefault="00A92D0B" w14:paraId="1B6BAE3F" w14:textId="77777777">
      <w:pPr>
        <w:keepNext/>
        <w:keepLines/>
        <w:jc w:val="center"/>
        <w:rPr>
          <w:b/>
          <w:color w:val="000000"/>
          <w:u w:val="single"/>
        </w:rPr>
      </w:pPr>
      <w:r w:rsidRPr="00AB1866">
        <w:rPr>
          <w:b/>
          <w:color w:val="000000"/>
          <w:u w:val="single"/>
        </w:rPr>
        <w:lastRenderedPageBreak/>
        <w:t>CONCLUSION OF LAW</w:t>
      </w:r>
    </w:p>
    <w:p w:rsidRPr="00AB1866" w:rsidR="00A92D0B" w:rsidP="00A84446" w:rsidRDefault="00A92D0B" w14:paraId="0D086DEC" w14:textId="77777777">
      <w:pPr>
        <w:keepNext/>
        <w:keepLines/>
        <w:numPr>
          <w:ilvl w:val="0"/>
          <w:numId w:val="6"/>
        </w:numPr>
        <w:tabs>
          <w:tab w:val="clear" w:pos="900"/>
          <w:tab w:val="num" w:pos="360"/>
        </w:tabs>
        <w:spacing w:before="240"/>
        <w:ind w:left="360"/>
        <w:rPr>
          <w:color w:val="000000"/>
        </w:rPr>
      </w:pPr>
      <w:r w:rsidRPr="00AB1866">
        <w:rPr>
          <w:color w:val="000000"/>
        </w:rPr>
        <w:t>The Claim, with any adjustment set forth above, satisfies</w:t>
      </w:r>
      <w:r w:rsidRPr="00AB1866" w:rsidR="00DE3A5D">
        <w:rPr>
          <w:color w:val="000000"/>
        </w:rPr>
        <w:t xml:space="preserve"> all requirements of Pub. Util.</w:t>
      </w:r>
      <w:r w:rsidRPr="00AB1866">
        <w:rPr>
          <w:color w:val="000000"/>
        </w:rPr>
        <w:t xml:space="preserve"> Code §§ 1801-1812.</w:t>
      </w:r>
    </w:p>
    <w:p w:rsidRPr="00AB1866" w:rsidR="00161C10" w:rsidP="00A84446" w:rsidRDefault="00161C10" w14:paraId="176DB1B5" w14:textId="77777777">
      <w:pPr>
        <w:keepNext/>
        <w:keepLines/>
        <w:jc w:val="center"/>
        <w:rPr>
          <w:b/>
          <w:color w:val="000000"/>
          <w:u w:val="single"/>
        </w:rPr>
      </w:pPr>
    </w:p>
    <w:p w:rsidRPr="00AB1866" w:rsidR="00A92D0B" w:rsidP="00A84446" w:rsidRDefault="00A92D0B" w14:paraId="66471E5B" w14:textId="77777777">
      <w:pPr>
        <w:keepNext/>
        <w:keepLines/>
        <w:jc w:val="center"/>
        <w:rPr>
          <w:b/>
          <w:color w:val="000000"/>
          <w:u w:val="single"/>
        </w:rPr>
      </w:pPr>
      <w:r w:rsidRPr="00AB1866">
        <w:rPr>
          <w:b/>
          <w:color w:val="000000"/>
          <w:u w:val="single"/>
        </w:rPr>
        <w:t>ORDER</w:t>
      </w:r>
    </w:p>
    <w:p w:rsidRPr="00AB1866" w:rsidR="00A92D0B" w:rsidP="00A84446" w:rsidRDefault="00A92D0B" w14:paraId="51646C56" w14:textId="77777777">
      <w:pPr>
        <w:keepNext/>
        <w:keepLines/>
        <w:jc w:val="center"/>
        <w:rPr>
          <w:b/>
          <w:color w:val="000000"/>
          <w:u w:val="single"/>
        </w:rPr>
      </w:pPr>
    </w:p>
    <w:p w:rsidRPr="00AB1866" w:rsidR="00A92D0B" w:rsidRDefault="00566FBA" w14:paraId="149D12EF" w14:textId="11755C1C">
      <w:pPr>
        <w:numPr>
          <w:ilvl w:val="0"/>
          <w:numId w:val="4"/>
        </w:numPr>
        <w:tabs>
          <w:tab w:val="clear" w:pos="900"/>
          <w:tab w:val="num" w:pos="540"/>
        </w:tabs>
        <w:ind w:left="540" w:hanging="540"/>
        <w:rPr>
          <w:color w:val="000000"/>
        </w:rPr>
      </w:pPr>
      <w:r w:rsidRPr="00AB1866">
        <w:rPr>
          <w:color w:val="000000"/>
        </w:rPr>
        <w:t>Green Power Institute</w:t>
      </w:r>
      <w:r w:rsidRPr="00AB1866" w:rsidR="005A63D4">
        <w:rPr>
          <w:color w:val="000000"/>
        </w:rPr>
        <w:t xml:space="preserve"> </w:t>
      </w:r>
      <w:r w:rsidRPr="00AB1866" w:rsidR="007E193F">
        <w:rPr>
          <w:color w:val="000000"/>
        </w:rPr>
        <w:t xml:space="preserve">shall be </w:t>
      </w:r>
      <w:r w:rsidRPr="00AB1866" w:rsidR="00A92D0B">
        <w:rPr>
          <w:color w:val="000000"/>
        </w:rPr>
        <w:t xml:space="preserve">awarded </w:t>
      </w:r>
      <w:r w:rsidRPr="00EB6AD9" w:rsidR="00EB6AD9">
        <w:t>$36,664.13</w:t>
      </w:r>
      <w:r w:rsidRPr="00AB1866" w:rsidR="00C25EA5">
        <w:t>.</w:t>
      </w:r>
    </w:p>
    <w:p w:rsidRPr="00AB1866" w:rsidR="00A92D0B" w:rsidRDefault="00A92D0B" w14:paraId="68EC1FAE" w14:textId="5595763E">
      <w:pPr>
        <w:numPr>
          <w:ilvl w:val="0"/>
          <w:numId w:val="4"/>
        </w:numPr>
        <w:tabs>
          <w:tab w:val="clear" w:pos="900"/>
          <w:tab w:val="num" w:pos="540"/>
        </w:tabs>
        <w:spacing w:before="240"/>
        <w:ind w:left="547" w:hanging="547"/>
      </w:pPr>
      <w:r w:rsidRPr="00AB1866">
        <w:t xml:space="preserve">Within 30 days of the effective date of this decision, </w:t>
      </w:r>
      <w:r w:rsidRPr="00AB1866" w:rsidR="00C25EA5">
        <w:t>Pacific Gas and Electric Company</w:t>
      </w:r>
      <w:r w:rsidR="00EA6FBD">
        <w:t xml:space="preserve"> </w:t>
      </w:r>
      <w:r w:rsidRPr="00AB1866">
        <w:t xml:space="preserve">shall pay </w:t>
      </w:r>
      <w:r w:rsidRPr="00AB1866" w:rsidR="00566FBA">
        <w:t>Green Power Institute</w:t>
      </w:r>
      <w:r w:rsidRPr="00AB1866" w:rsidR="005A63D4">
        <w:t xml:space="preserve"> </w:t>
      </w:r>
      <w:r w:rsidRPr="00AB1866">
        <w:t>the total award</w:t>
      </w:r>
      <w:r w:rsidR="00EA6FBD">
        <w:t>.</w:t>
      </w:r>
      <w:r w:rsidRPr="00AB1866">
        <w:t xml:space="preserve"> Payment of the award shall include</w:t>
      </w:r>
      <w:r w:rsidRPr="00AB1866" w:rsidR="004E3939">
        <w:t xml:space="preserve"> compound </w:t>
      </w:r>
      <w:r w:rsidRPr="00AB1866">
        <w:t xml:space="preserve">interest at the rate earned on prime, three-month </w:t>
      </w:r>
      <w:r w:rsidRPr="00AB1866" w:rsidR="00214B22">
        <w:t xml:space="preserve">non-financial </w:t>
      </w:r>
      <w:r w:rsidRPr="00AB1866">
        <w:t>commercial paper as reported in Federal Reserve Statistical Release H.15, beginning</w:t>
      </w:r>
      <w:r w:rsidRPr="00AB1866" w:rsidR="00357F1A">
        <w:t xml:space="preserve"> </w:t>
      </w:r>
      <w:r w:rsidRPr="00AB1866" w:rsidR="00CD59CA">
        <w:t>October 2, 2019</w:t>
      </w:r>
      <w:r w:rsidRPr="00AB1866" w:rsidR="00357F1A">
        <w:t xml:space="preserve">, </w:t>
      </w:r>
      <w:r w:rsidRPr="00AB1866">
        <w:t>the 75</w:t>
      </w:r>
      <w:r w:rsidRPr="00AB1866">
        <w:rPr>
          <w:vertAlign w:val="superscript"/>
        </w:rPr>
        <w:t>th</w:t>
      </w:r>
      <w:r w:rsidRPr="00AB1866">
        <w:t xml:space="preserve"> day after the filing of </w:t>
      </w:r>
      <w:r w:rsidRPr="00AB1866" w:rsidR="00566FBA">
        <w:t>Green Power Institute’s</w:t>
      </w:r>
      <w:r w:rsidRPr="00AB1866" w:rsidR="005A63D4">
        <w:t xml:space="preserve"> </w:t>
      </w:r>
      <w:r w:rsidRPr="00AB1866">
        <w:t>request, and continuing until full payment is made.</w:t>
      </w:r>
    </w:p>
    <w:p w:rsidRPr="00AB1866" w:rsidR="00A92D0B" w:rsidP="00DE3A5D" w:rsidRDefault="00A92D0B" w14:paraId="458853A4" w14:textId="77777777">
      <w:pPr>
        <w:keepNext/>
        <w:keepLines/>
        <w:numPr>
          <w:ilvl w:val="0"/>
          <w:numId w:val="4"/>
        </w:numPr>
        <w:tabs>
          <w:tab w:val="clear" w:pos="900"/>
          <w:tab w:val="num" w:pos="540"/>
        </w:tabs>
        <w:spacing w:before="240"/>
        <w:ind w:left="547" w:hanging="547"/>
      </w:pPr>
      <w:r w:rsidRPr="00AB1866">
        <w:t>The comment period for today’s decision is waived.</w:t>
      </w:r>
    </w:p>
    <w:p w:rsidRPr="00AB1866" w:rsidR="00A92D0B" w:rsidP="00B70505" w:rsidRDefault="00A92D0B" w14:paraId="19FD96F8" w14:textId="77777777">
      <w:pPr>
        <w:keepNext/>
        <w:keepLines/>
        <w:spacing w:before="240"/>
        <w:ind w:left="547"/>
        <w:rPr>
          <w:color w:val="000000"/>
        </w:rPr>
      </w:pPr>
      <w:r w:rsidRPr="00AB1866">
        <w:rPr>
          <w:color w:val="000000"/>
        </w:rPr>
        <w:t>This decision is effective today.</w:t>
      </w:r>
    </w:p>
    <w:p w:rsidR="00A92D0B" w:rsidP="00631578" w:rsidRDefault="00A92D0B" w14:paraId="30955A26" w14:textId="37183240">
      <w:pPr>
        <w:keepNext/>
        <w:keepLines/>
        <w:spacing w:before="240"/>
        <w:ind w:firstLine="547"/>
        <w:rPr>
          <w:color w:val="000000"/>
        </w:rPr>
      </w:pPr>
      <w:r w:rsidRPr="00AB1866">
        <w:rPr>
          <w:color w:val="000000"/>
        </w:rPr>
        <w:t xml:space="preserve">Dated </w:t>
      </w:r>
      <w:r w:rsidR="00013EE3">
        <w:rPr>
          <w:color w:val="000000"/>
        </w:rPr>
        <w:t>June 2, 2022</w:t>
      </w:r>
      <w:r w:rsidRPr="00AB1866">
        <w:rPr>
          <w:color w:val="000000"/>
        </w:rPr>
        <w:t>, at San Francisco, California.</w:t>
      </w:r>
    </w:p>
    <w:p w:rsidR="00013EE3" w:rsidP="00631578" w:rsidRDefault="00013EE3" w14:paraId="364C916D" w14:textId="3273C3B6">
      <w:pPr>
        <w:keepNext/>
        <w:keepLines/>
        <w:spacing w:before="240"/>
        <w:ind w:firstLine="547"/>
        <w:rPr>
          <w:color w:val="000000"/>
        </w:rPr>
      </w:pPr>
    </w:p>
    <w:p w:rsidRPr="00AE0DE2" w:rsidR="00013EE3" w:rsidP="00013EE3" w:rsidRDefault="00013EE3" w14:paraId="551D0C8C" w14:textId="77777777">
      <w:pPr>
        <w:autoSpaceDE w:val="0"/>
        <w:autoSpaceDN w:val="0"/>
        <w:adjustRightInd w:val="0"/>
        <w:ind w:left="4320"/>
        <w:jc w:val="both"/>
        <w:rPr>
          <w:rFonts w:ascii="Book Antiqua" w:hAnsi="Book Antiqua"/>
          <w:sz w:val="26"/>
          <w:szCs w:val="20"/>
        </w:rPr>
      </w:pPr>
      <w:bookmarkStart w:name="_Hlk17215919" w:id="0"/>
      <w:r>
        <w:rPr>
          <w:rFonts w:ascii="Book Antiqua" w:hAnsi="Book Antiqua"/>
          <w:sz w:val="26"/>
          <w:szCs w:val="20"/>
        </w:rPr>
        <w:t>ALICE REYNOLDS</w:t>
      </w:r>
    </w:p>
    <w:p w:rsidR="00013EE3" w:rsidP="00013EE3" w:rsidRDefault="00013EE3" w14:paraId="56772E4D" w14:textId="77777777">
      <w:pPr>
        <w:autoSpaceDE w:val="0"/>
        <w:autoSpaceDN w:val="0"/>
        <w:adjustRightInd w:val="0"/>
        <w:ind w:firstLine="5490"/>
        <w:jc w:val="both"/>
        <w:rPr>
          <w:rFonts w:ascii="Book Antiqua" w:hAnsi="Book Antiqua"/>
          <w:sz w:val="26"/>
          <w:szCs w:val="20"/>
        </w:rPr>
      </w:pPr>
      <w:r w:rsidRPr="00AE0DE2">
        <w:rPr>
          <w:rFonts w:ascii="Book Antiqua" w:hAnsi="Book Antiqua"/>
          <w:sz w:val="26"/>
          <w:szCs w:val="20"/>
        </w:rPr>
        <w:t>President</w:t>
      </w:r>
    </w:p>
    <w:p w:rsidRPr="00AE0DE2" w:rsidR="00013EE3" w:rsidP="00013EE3" w:rsidRDefault="00013EE3" w14:paraId="353818D7" w14:textId="77777777">
      <w:pPr>
        <w:autoSpaceDE w:val="0"/>
        <w:autoSpaceDN w:val="0"/>
        <w:adjustRightInd w:val="0"/>
        <w:ind w:left="4320"/>
        <w:jc w:val="both"/>
        <w:rPr>
          <w:rFonts w:ascii="Book Antiqua" w:hAnsi="Book Antiqua"/>
          <w:sz w:val="26"/>
          <w:szCs w:val="20"/>
        </w:rPr>
      </w:pPr>
      <w:r w:rsidRPr="00AE0DE2">
        <w:rPr>
          <w:rFonts w:ascii="Book Antiqua" w:hAnsi="Book Antiqua"/>
          <w:sz w:val="26"/>
          <w:szCs w:val="20"/>
        </w:rPr>
        <w:t>CLIFFORD RECHTSCHAFFEN</w:t>
      </w:r>
    </w:p>
    <w:p w:rsidR="00013EE3" w:rsidP="00013EE3" w:rsidRDefault="00013EE3" w14:paraId="441DB3EA" w14:textId="77777777">
      <w:pPr>
        <w:autoSpaceDE w:val="0"/>
        <w:autoSpaceDN w:val="0"/>
        <w:adjustRightInd w:val="0"/>
        <w:ind w:left="4320"/>
        <w:jc w:val="both"/>
        <w:rPr>
          <w:rFonts w:ascii="Book Antiqua" w:hAnsi="Book Antiqua"/>
          <w:sz w:val="26"/>
          <w:szCs w:val="20"/>
        </w:rPr>
      </w:pPr>
      <w:r w:rsidRPr="00AE0DE2">
        <w:rPr>
          <w:rFonts w:ascii="Book Antiqua" w:hAnsi="Book Antiqua"/>
          <w:sz w:val="26"/>
          <w:szCs w:val="20"/>
        </w:rPr>
        <w:t>GENEVIEVE SHIROMA</w:t>
      </w:r>
    </w:p>
    <w:p w:rsidR="00013EE3" w:rsidP="00013EE3" w:rsidRDefault="00013EE3" w14:paraId="428C009C" w14:textId="77777777">
      <w:pPr>
        <w:autoSpaceDE w:val="0"/>
        <w:autoSpaceDN w:val="0"/>
        <w:adjustRightInd w:val="0"/>
        <w:ind w:left="3600" w:firstLine="720"/>
        <w:jc w:val="both"/>
        <w:rPr>
          <w:rFonts w:ascii="Book Antiqua" w:hAnsi="Book Antiqua"/>
          <w:sz w:val="26"/>
          <w:szCs w:val="20"/>
        </w:rPr>
      </w:pPr>
      <w:r>
        <w:rPr>
          <w:rFonts w:ascii="Book Antiqua" w:hAnsi="Book Antiqua"/>
          <w:sz w:val="26"/>
          <w:szCs w:val="20"/>
        </w:rPr>
        <w:t>DARCIE L. HOUCK</w:t>
      </w:r>
    </w:p>
    <w:p w:rsidRPr="00AE0DE2" w:rsidR="00013EE3" w:rsidP="00013EE3" w:rsidRDefault="00013EE3" w14:paraId="10002A08" w14:textId="77777777">
      <w:pPr>
        <w:autoSpaceDE w:val="0"/>
        <w:autoSpaceDN w:val="0"/>
        <w:adjustRightInd w:val="0"/>
        <w:ind w:left="3600" w:firstLine="720"/>
        <w:jc w:val="both"/>
        <w:rPr>
          <w:rFonts w:ascii="Book Antiqua" w:hAnsi="Book Antiqua"/>
          <w:sz w:val="26"/>
          <w:szCs w:val="20"/>
        </w:rPr>
      </w:pPr>
      <w:r>
        <w:rPr>
          <w:rFonts w:ascii="Book Antiqua" w:hAnsi="Book Antiqua"/>
          <w:sz w:val="26"/>
          <w:szCs w:val="20"/>
        </w:rPr>
        <w:t>JOHN R.D. REYNOLDS</w:t>
      </w:r>
    </w:p>
    <w:p w:rsidRPr="00AE0DE2" w:rsidR="00013EE3" w:rsidP="00013EE3" w:rsidRDefault="00013EE3" w14:paraId="715921B6" w14:textId="77777777">
      <w:pPr>
        <w:autoSpaceDE w:val="0"/>
        <w:autoSpaceDN w:val="0"/>
        <w:adjustRightInd w:val="0"/>
        <w:ind w:left="4320" w:firstLine="990"/>
        <w:jc w:val="both"/>
        <w:rPr>
          <w:rFonts w:ascii="Book Antiqua" w:hAnsi="Book Antiqua"/>
          <w:sz w:val="26"/>
          <w:szCs w:val="20"/>
        </w:rPr>
      </w:pPr>
      <w:r w:rsidRPr="00AE0DE2">
        <w:rPr>
          <w:rFonts w:ascii="Book Antiqua" w:hAnsi="Book Antiqua"/>
          <w:sz w:val="26"/>
          <w:szCs w:val="20"/>
        </w:rPr>
        <w:t>Commissioners</w:t>
      </w:r>
    </w:p>
    <w:bookmarkEnd w:id="0"/>
    <w:p w:rsidR="00013EE3" w:rsidP="00013EE3" w:rsidRDefault="00013EE3" w14:paraId="1E27F10A" w14:textId="77777777">
      <w:pPr>
        <w:keepNext/>
        <w:keepLines/>
        <w:ind w:firstLine="547"/>
        <w:rPr>
          <w:color w:val="000000"/>
        </w:rPr>
      </w:pPr>
    </w:p>
    <w:p w:rsidR="00F7505D" w:rsidP="00631578" w:rsidRDefault="00F7505D" w14:paraId="0118B68B" w14:textId="2C1F9797">
      <w:pPr>
        <w:keepNext/>
        <w:keepLines/>
        <w:spacing w:before="240"/>
        <w:ind w:firstLine="547"/>
        <w:rPr>
          <w:color w:val="000000"/>
        </w:rPr>
      </w:pPr>
    </w:p>
    <w:p w:rsidR="00F7505D" w:rsidP="00631578" w:rsidRDefault="00F7505D" w14:paraId="58A08629" w14:textId="77777777">
      <w:pPr>
        <w:keepNext/>
        <w:keepLines/>
        <w:spacing w:before="240"/>
        <w:ind w:firstLine="547"/>
        <w:rPr>
          <w:color w:val="000000"/>
        </w:rPr>
        <w:sectPr w:rsidR="00F7505D" w:rsidSect="009C6490">
          <w:headerReference w:type="default" r:id="rId9"/>
          <w:footerReference w:type="default" r:id="rId10"/>
          <w:pgSz w:w="12240" w:h="15840"/>
          <w:pgMar w:top="1440" w:right="1440" w:bottom="1440" w:left="1440" w:header="720" w:footer="720" w:gutter="0"/>
          <w:pgNumType w:fmt="numberInDash"/>
          <w:cols w:space="720"/>
          <w:docGrid w:linePitch="360"/>
        </w:sectPr>
      </w:pPr>
    </w:p>
    <w:p w:rsidRPr="00AB1866" w:rsidR="00F7505D" w:rsidP="00631578" w:rsidRDefault="00F7505D" w14:paraId="530742F5" w14:textId="77777777">
      <w:pPr>
        <w:keepNext/>
        <w:keepLines/>
        <w:spacing w:before="240"/>
        <w:ind w:firstLine="547"/>
        <w:rPr>
          <w:color w:val="000000"/>
        </w:rPr>
      </w:pPr>
    </w:p>
    <w:p w:rsidRPr="00AB1866" w:rsidR="00CD59CA" w:rsidP="00CD59CA" w:rsidRDefault="00CD59CA" w14:paraId="3C686096" w14:textId="38EFAB94">
      <w:pPr>
        <w:pStyle w:val="standard"/>
        <w:ind w:firstLine="0"/>
        <w:jc w:val="center"/>
        <w:rPr>
          <w:rFonts w:ascii="Times New Roman" w:hAnsi="Times New Roman"/>
          <w:b/>
          <w:szCs w:val="26"/>
        </w:rPr>
      </w:pPr>
      <w:r w:rsidRPr="00AB1866">
        <w:rPr>
          <w:rFonts w:ascii="Times New Roman" w:hAnsi="Times New Roman"/>
          <w:b/>
          <w:szCs w:val="26"/>
        </w:rPr>
        <w:t>APPENDIX</w:t>
      </w:r>
    </w:p>
    <w:p w:rsidRPr="00AB1866" w:rsidR="00CD59CA" w:rsidP="00CD59CA" w:rsidRDefault="00CD59CA" w14:paraId="0B4E21C1" w14:textId="77777777">
      <w:pPr>
        <w:pStyle w:val="standard"/>
        <w:jc w:val="center"/>
        <w:rPr>
          <w:rFonts w:ascii="Times New Roman" w:hAnsi="Times New Roman"/>
        </w:rPr>
      </w:pPr>
      <w:r w:rsidRPr="00AB1866">
        <w:rPr>
          <w:rFonts w:ascii="Times New Roman" w:hAnsi="Times New Roman"/>
          <w:sz w:val="28"/>
          <w:szCs w:val="28"/>
        </w:rPr>
        <w:t>Compensation Decision Summary Information</w:t>
      </w:r>
    </w:p>
    <w:tbl>
      <w:tblPr>
        <w:tblW w:w="103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80"/>
        <w:gridCol w:w="3735"/>
        <w:gridCol w:w="2475"/>
        <w:gridCol w:w="1260"/>
      </w:tblGrid>
      <w:tr w:rsidRPr="00AB1866" w:rsidR="00CD59CA" w:rsidTr="00D16F9F" w14:paraId="46E602E6" w14:textId="77777777">
        <w:trPr>
          <w:trHeight w:val="288"/>
          <w:jc w:val="center"/>
        </w:trPr>
        <w:tc>
          <w:tcPr>
            <w:tcW w:w="2880" w:type="dxa"/>
            <w:tcBorders>
              <w:top w:val="single" w:color="auto" w:sz="4" w:space="0"/>
              <w:left w:val="single" w:color="auto" w:sz="4" w:space="0"/>
              <w:bottom w:val="single" w:color="auto" w:sz="4" w:space="0"/>
              <w:right w:val="single" w:color="auto" w:sz="4" w:space="0"/>
            </w:tcBorders>
          </w:tcPr>
          <w:p w:rsidRPr="00AB1866" w:rsidR="00CD59CA" w:rsidP="005C2F87" w:rsidRDefault="00CD59CA" w14:paraId="4F71929F" w14:textId="77777777">
            <w:r w:rsidRPr="00AB1866">
              <w:t>Compensation Decision:</w:t>
            </w:r>
          </w:p>
        </w:tc>
        <w:tc>
          <w:tcPr>
            <w:tcW w:w="3735" w:type="dxa"/>
            <w:tcBorders>
              <w:top w:val="single" w:color="auto" w:sz="4" w:space="0"/>
              <w:left w:val="single" w:color="auto" w:sz="4" w:space="0"/>
              <w:bottom w:val="single" w:color="auto" w:sz="4" w:space="0"/>
              <w:right w:val="single" w:color="auto" w:sz="4" w:space="0"/>
            </w:tcBorders>
          </w:tcPr>
          <w:p w:rsidRPr="00AB1866" w:rsidR="00CD59CA" w:rsidP="005C2F87" w:rsidRDefault="00FE2003" w14:paraId="5312CFBA" w14:textId="674C30BE">
            <w:r>
              <w:t>D2206017</w:t>
            </w:r>
          </w:p>
        </w:tc>
        <w:tc>
          <w:tcPr>
            <w:tcW w:w="2475" w:type="dxa"/>
            <w:tcBorders>
              <w:top w:val="single" w:color="auto" w:sz="4" w:space="0"/>
              <w:left w:val="single" w:color="auto" w:sz="4" w:space="0"/>
              <w:bottom w:val="single" w:color="auto" w:sz="4" w:space="0"/>
              <w:right w:val="single" w:color="auto" w:sz="4" w:space="0"/>
            </w:tcBorders>
          </w:tcPr>
          <w:p w:rsidRPr="00AB1866" w:rsidR="00CD59CA" w:rsidP="005C2F87" w:rsidRDefault="00CD59CA" w14:paraId="13B7F6FA" w14:textId="77777777">
            <w:r w:rsidRPr="00AB1866">
              <w:t xml:space="preserve">Modifies Decision? </w:t>
            </w:r>
          </w:p>
        </w:tc>
        <w:tc>
          <w:tcPr>
            <w:tcW w:w="1260" w:type="dxa"/>
            <w:tcBorders>
              <w:top w:val="single" w:color="auto" w:sz="4" w:space="0"/>
              <w:left w:val="single" w:color="auto" w:sz="4" w:space="0"/>
              <w:bottom w:val="single" w:color="auto" w:sz="4" w:space="0"/>
              <w:right w:val="single" w:color="auto" w:sz="4" w:space="0"/>
            </w:tcBorders>
          </w:tcPr>
          <w:p w:rsidRPr="00AB1866" w:rsidR="00CD59CA" w:rsidP="005C2F87" w:rsidRDefault="001E4D5B" w14:paraId="138A9796" w14:textId="77777777">
            <w:pPr>
              <w:jc w:val="center"/>
            </w:pPr>
            <w:r w:rsidRPr="00AB1866">
              <w:t>No</w:t>
            </w:r>
          </w:p>
        </w:tc>
      </w:tr>
      <w:tr w:rsidRPr="00AB1866" w:rsidR="00CD59CA" w:rsidTr="00D16F9F" w14:paraId="68EFC805" w14:textId="77777777">
        <w:trPr>
          <w:trHeight w:val="288"/>
          <w:jc w:val="center"/>
        </w:trPr>
        <w:tc>
          <w:tcPr>
            <w:tcW w:w="2880" w:type="dxa"/>
            <w:tcBorders>
              <w:top w:val="single" w:color="auto" w:sz="4" w:space="0"/>
              <w:left w:val="single" w:color="auto" w:sz="4" w:space="0"/>
              <w:bottom w:val="single" w:color="auto" w:sz="4" w:space="0"/>
              <w:right w:val="single" w:color="auto" w:sz="4" w:space="0"/>
            </w:tcBorders>
          </w:tcPr>
          <w:p w:rsidRPr="00AB1866" w:rsidR="00CD59CA" w:rsidP="005C2F87" w:rsidRDefault="00CD59CA" w14:paraId="010A0E3F" w14:textId="77777777">
            <w:r w:rsidRPr="00AB1866">
              <w:t>Contribution Decision(s):</w:t>
            </w:r>
          </w:p>
        </w:tc>
        <w:tc>
          <w:tcPr>
            <w:tcW w:w="7470" w:type="dxa"/>
            <w:gridSpan w:val="3"/>
            <w:tcBorders>
              <w:top w:val="single" w:color="auto" w:sz="4" w:space="0"/>
              <w:left w:val="single" w:color="auto" w:sz="4" w:space="0"/>
              <w:bottom w:val="single" w:color="auto" w:sz="4" w:space="0"/>
              <w:right w:val="single" w:color="auto" w:sz="4" w:space="0"/>
            </w:tcBorders>
          </w:tcPr>
          <w:p w:rsidRPr="00AB1866" w:rsidR="00CD59CA" w:rsidP="005C2F87" w:rsidRDefault="00CD59CA" w14:paraId="79D12E72" w14:textId="77777777">
            <w:r w:rsidRPr="00AB1866">
              <w:t>D1905036, D1905037, and D1905038</w:t>
            </w:r>
          </w:p>
        </w:tc>
      </w:tr>
      <w:tr w:rsidRPr="00AB1866" w:rsidR="00CD59CA" w:rsidTr="00D16F9F" w14:paraId="1B7CB902" w14:textId="77777777">
        <w:trPr>
          <w:trHeight w:val="288"/>
          <w:jc w:val="center"/>
        </w:trPr>
        <w:tc>
          <w:tcPr>
            <w:tcW w:w="2880" w:type="dxa"/>
            <w:tcBorders>
              <w:top w:val="single" w:color="auto" w:sz="4" w:space="0"/>
              <w:left w:val="single" w:color="auto" w:sz="4" w:space="0"/>
              <w:bottom w:val="single" w:color="auto" w:sz="4" w:space="0"/>
              <w:right w:val="single" w:color="auto" w:sz="4" w:space="0"/>
            </w:tcBorders>
            <w:shd w:val="clear" w:color="auto" w:fill="auto"/>
          </w:tcPr>
          <w:p w:rsidRPr="00AB1866" w:rsidR="00CD59CA" w:rsidP="005C2F87" w:rsidRDefault="00CD59CA" w14:paraId="51D94FE4" w14:textId="77777777">
            <w:r w:rsidRPr="00AB1866">
              <w:t>Proceeding(s):</w:t>
            </w:r>
          </w:p>
        </w:tc>
        <w:tc>
          <w:tcPr>
            <w:tcW w:w="7470" w:type="dxa"/>
            <w:gridSpan w:val="3"/>
            <w:tcBorders>
              <w:top w:val="single" w:color="auto" w:sz="4" w:space="0"/>
              <w:left w:val="single" w:color="auto" w:sz="4" w:space="0"/>
              <w:bottom w:val="single" w:color="auto" w:sz="4" w:space="0"/>
              <w:right w:val="single" w:color="auto" w:sz="4" w:space="0"/>
            </w:tcBorders>
            <w:shd w:val="clear" w:color="auto" w:fill="auto"/>
          </w:tcPr>
          <w:p w:rsidRPr="00AB1866" w:rsidR="00CD59CA" w:rsidP="005C2F87" w:rsidRDefault="00CD59CA" w14:paraId="18DAC322" w14:textId="77777777">
            <w:r w:rsidRPr="00AB1866">
              <w:t>R1810007</w:t>
            </w:r>
          </w:p>
        </w:tc>
      </w:tr>
      <w:tr w:rsidRPr="00AB1866" w:rsidR="00CD59CA" w:rsidTr="00D16F9F" w14:paraId="33CAC5C3" w14:textId="77777777">
        <w:trPr>
          <w:trHeight w:val="288"/>
          <w:jc w:val="center"/>
        </w:trPr>
        <w:tc>
          <w:tcPr>
            <w:tcW w:w="2880" w:type="dxa"/>
            <w:tcBorders>
              <w:top w:val="single" w:color="auto" w:sz="4" w:space="0"/>
              <w:left w:val="single" w:color="auto" w:sz="4" w:space="0"/>
              <w:bottom w:val="single" w:color="auto" w:sz="4" w:space="0"/>
              <w:right w:val="single" w:color="auto" w:sz="4" w:space="0"/>
            </w:tcBorders>
          </w:tcPr>
          <w:p w:rsidRPr="00AB1866" w:rsidR="00CD59CA" w:rsidP="005C2F87" w:rsidRDefault="00CD59CA" w14:paraId="1AD24A69" w14:textId="77777777">
            <w:r w:rsidRPr="00AB1866">
              <w:t>Author:</w:t>
            </w:r>
          </w:p>
        </w:tc>
        <w:tc>
          <w:tcPr>
            <w:tcW w:w="7470" w:type="dxa"/>
            <w:gridSpan w:val="3"/>
            <w:tcBorders>
              <w:top w:val="single" w:color="auto" w:sz="4" w:space="0"/>
              <w:left w:val="single" w:color="auto" w:sz="4" w:space="0"/>
              <w:bottom w:val="single" w:color="auto" w:sz="4" w:space="0"/>
              <w:right w:val="single" w:color="auto" w:sz="4" w:space="0"/>
            </w:tcBorders>
          </w:tcPr>
          <w:p w:rsidRPr="00AB1866" w:rsidR="00CD59CA" w:rsidP="005C2F87" w:rsidRDefault="00CD59CA" w14:paraId="107D58F7" w14:textId="77777777">
            <w:r w:rsidRPr="00AB1866">
              <w:t xml:space="preserve">ALJ </w:t>
            </w:r>
            <w:r w:rsidRPr="00AB1866" w:rsidR="00D04D4A">
              <w:t>Fogel</w:t>
            </w:r>
          </w:p>
        </w:tc>
      </w:tr>
      <w:tr w:rsidRPr="00AB1866" w:rsidR="00CD59CA" w:rsidTr="00D16F9F" w14:paraId="776D5CAA" w14:textId="77777777">
        <w:trPr>
          <w:trHeight w:val="278"/>
          <w:jc w:val="center"/>
        </w:trPr>
        <w:tc>
          <w:tcPr>
            <w:tcW w:w="2880" w:type="dxa"/>
            <w:tcBorders>
              <w:top w:val="single" w:color="auto" w:sz="4" w:space="0"/>
              <w:left w:val="single" w:color="auto" w:sz="4" w:space="0"/>
              <w:bottom w:val="single" w:color="auto" w:sz="4" w:space="0"/>
              <w:right w:val="single" w:color="auto" w:sz="4" w:space="0"/>
            </w:tcBorders>
          </w:tcPr>
          <w:p w:rsidRPr="00AB1866" w:rsidR="00CD59CA" w:rsidP="005C2F87" w:rsidRDefault="00CD59CA" w14:paraId="05118F01" w14:textId="77777777">
            <w:r w:rsidRPr="00AB1866">
              <w:t>Payer(s):</w:t>
            </w:r>
          </w:p>
        </w:tc>
        <w:tc>
          <w:tcPr>
            <w:tcW w:w="7470" w:type="dxa"/>
            <w:gridSpan w:val="3"/>
            <w:tcBorders>
              <w:top w:val="single" w:color="auto" w:sz="4" w:space="0"/>
              <w:left w:val="single" w:color="auto" w:sz="4" w:space="0"/>
              <w:bottom w:val="single" w:color="auto" w:sz="4" w:space="0"/>
              <w:right w:val="single" w:color="auto" w:sz="4" w:space="0"/>
            </w:tcBorders>
          </w:tcPr>
          <w:p w:rsidRPr="00AB1866" w:rsidR="00CD59CA" w:rsidP="005C2F87" w:rsidRDefault="00CD59CA" w14:paraId="0DA7BF95" w14:textId="0D6FEE0E">
            <w:r w:rsidRPr="00AB1866">
              <w:t>Pacific Gas and Electric</w:t>
            </w:r>
            <w:r w:rsidRPr="00AB1866" w:rsidR="00D04D4A">
              <w:t xml:space="preserve"> Company</w:t>
            </w:r>
          </w:p>
        </w:tc>
      </w:tr>
    </w:tbl>
    <w:p w:rsidRPr="00AB1866" w:rsidR="00CD59CA" w:rsidP="00CD59CA" w:rsidRDefault="00CD59CA" w14:paraId="3988E609" w14:textId="77777777"/>
    <w:p w:rsidRPr="00AB1866" w:rsidR="00CD59CA" w:rsidP="00CD59CA" w:rsidRDefault="00CD59CA" w14:paraId="53EDBFE9" w14:textId="77777777"/>
    <w:p w:rsidRPr="00AB1866" w:rsidR="00CD59CA" w:rsidP="00CD59CA" w:rsidRDefault="00CD59CA" w14:paraId="62E822E9" w14:textId="77777777">
      <w:pPr>
        <w:jc w:val="center"/>
        <w:rPr>
          <w:sz w:val="28"/>
          <w:szCs w:val="28"/>
        </w:rPr>
      </w:pPr>
      <w:r w:rsidRPr="00AB1866">
        <w:rPr>
          <w:sz w:val="28"/>
          <w:szCs w:val="28"/>
        </w:rPr>
        <w:t>Intervenor Information</w:t>
      </w:r>
    </w:p>
    <w:p w:rsidRPr="00AB1866" w:rsidR="00CD59CA" w:rsidP="00CD59CA" w:rsidRDefault="00CD59CA" w14:paraId="7E90399B" w14:textId="77777777"/>
    <w:tbl>
      <w:tblPr>
        <w:tblW w:w="103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044"/>
        <w:gridCol w:w="1376"/>
        <w:gridCol w:w="1530"/>
        <w:gridCol w:w="1603"/>
        <w:gridCol w:w="1296"/>
        <w:gridCol w:w="2478"/>
      </w:tblGrid>
      <w:tr w:rsidRPr="00AB1866" w:rsidR="00CD59CA" w:rsidTr="00D16F9F" w14:paraId="7BB3DB10" w14:textId="77777777">
        <w:trPr>
          <w:jc w:val="center"/>
        </w:trPr>
        <w:tc>
          <w:tcPr>
            <w:tcW w:w="2044" w:type="dxa"/>
            <w:tcBorders>
              <w:top w:val="single" w:color="auto" w:sz="4" w:space="0"/>
              <w:left w:val="single" w:color="auto" w:sz="4" w:space="0"/>
              <w:bottom w:val="single" w:color="auto" w:sz="4" w:space="0"/>
              <w:right w:val="single" w:color="auto" w:sz="4" w:space="0"/>
            </w:tcBorders>
          </w:tcPr>
          <w:p w:rsidRPr="00AB1866" w:rsidR="00CD59CA" w:rsidP="005C2F87" w:rsidRDefault="00CD59CA" w14:paraId="7DFEDDE6" w14:textId="77777777">
            <w:pPr>
              <w:jc w:val="center"/>
            </w:pPr>
            <w:r w:rsidRPr="00AB1866">
              <w:t>Intervenor</w:t>
            </w:r>
          </w:p>
        </w:tc>
        <w:tc>
          <w:tcPr>
            <w:tcW w:w="1376" w:type="dxa"/>
            <w:tcBorders>
              <w:top w:val="single" w:color="auto" w:sz="4" w:space="0"/>
              <w:left w:val="single" w:color="auto" w:sz="4" w:space="0"/>
              <w:bottom w:val="single" w:color="auto" w:sz="4" w:space="0"/>
              <w:right w:val="single" w:color="auto" w:sz="4" w:space="0"/>
            </w:tcBorders>
          </w:tcPr>
          <w:p w:rsidRPr="00AB1866" w:rsidR="00CD59CA" w:rsidP="005C2F87" w:rsidRDefault="00CD59CA" w14:paraId="3593C4A7" w14:textId="77777777">
            <w:pPr>
              <w:jc w:val="center"/>
            </w:pPr>
            <w:r w:rsidRPr="00AB1866">
              <w:t>Date Claim Filed</w:t>
            </w:r>
          </w:p>
        </w:tc>
        <w:tc>
          <w:tcPr>
            <w:tcW w:w="1530" w:type="dxa"/>
            <w:tcBorders>
              <w:top w:val="single" w:color="auto" w:sz="4" w:space="0"/>
              <w:left w:val="single" w:color="auto" w:sz="4" w:space="0"/>
              <w:bottom w:val="single" w:color="auto" w:sz="4" w:space="0"/>
              <w:right w:val="single" w:color="auto" w:sz="4" w:space="0"/>
            </w:tcBorders>
          </w:tcPr>
          <w:p w:rsidRPr="00AB1866" w:rsidR="00CD59CA" w:rsidP="005C2F87" w:rsidRDefault="00CD59CA" w14:paraId="00EC1D81" w14:textId="77777777">
            <w:pPr>
              <w:jc w:val="center"/>
            </w:pPr>
            <w:r w:rsidRPr="00AB1866">
              <w:t>Amount Requested</w:t>
            </w:r>
          </w:p>
        </w:tc>
        <w:tc>
          <w:tcPr>
            <w:tcW w:w="1603" w:type="dxa"/>
            <w:tcBorders>
              <w:top w:val="single" w:color="auto" w:sz="4" w:space="0"/>
              <w:left w:val="single" w:color="auto" w:sz="4" w:space="0"/>
              <w:bottom w:val="single" w:color="auto" w:sz="4" w:space="0"/>
              <w:right w:val="single" w:color="auto" w:sz="4" w:space="0"/>
            </w:tcBorders>
          </w:tcPr>
          <w:p w:rsidRPr="00AB1866" w:rsidR="00CD59CA" w:rsidP="005C2F87" w:rsidRDefault="00CD59CA" w14:paraId="7D348160" w14:textId="77777777">
            <w:pPr>
              <w:jc w:val="center"/>
            </w:pPr>
            <w:r w:rsidRPr="00AB1866">
              <w:t>Amount Awarded</w:t>
            </w:r>
          </w:p>
        </w:tc>
        <w:tc>
          <w:tcPr>
            <w:tcW w:w="1296" w:type="dxa"/>
            <w:tcBorders>
              <w:top w:val="single" w:color="auto" w:sz="4" w:space="0"/>
              <w:left w:val="single" w:color="auto" w:sz="4" w:space="0"/>
              <w:bottom w:val="single" w:color="auto" w:sz="4" w:space="0"/>
              <w:right w:val="single" w:color="auto" w:sz="4" w:space="0"/>
            </w:tcBorders>
          </w:tcPr>
          <w:p w:rsidRPr="00AB1866" w:rsidR="00CD59CA" w:rsidP="005C2F87" w:rsidRDefault="00CD59CA" w14:paraId="625443D3" w14:textId="77777777">
            <w:pPr>
              <w:jc w:val="center"/>
            </w:pPr>
            <w:r w:rsidRPr="00AB1866">
              <w:t>Multiplier?</w:t>
            </w:r>
          </w:p>
        </w:tc>
        <w:tc>
          <w:tcPr>
            <w:tcW w:w="2478" w:type="dxa"/>
            <w:tcBorders>
              <w:top w:val="single" w:color="auto" w:sz="4" w:space="0"/>
              <w:left w:val="single" w:color="auto" w:sz="4" w:space="0"/>
              <w:bottom w:val="single" w:color="auto" w:sz="4" w:space="0"/>
              <w:right w:val="single" w:color="auto" w:sz="4" w:space="0"/>
            </w:tcBorders>
          </w:tcPr>
          <w:p w:rsidRPr="00AB1866" w:rsidR="00CD59CA" w:rsidP="005C2F87" w:rsidRDefault="00CD59CA" w14:paraId="55BAD616" w14:textId="77777777">
            <w:pPr>
              <w:jc w:val="center"/>
            </w:pPr>
            <w:r w:rsidRPr="00AB1866">
              <w:t>Reason Change/Disallowance</w:t>
            </w:r>
          </w:p>
        </w:tc>
      </w:tr>
      <w:tr w:rsidRPr="00AB1866" w:rsidR="00CD59CA" w:rsidTr="00D16F9F" w14:paraId="04BCD3C9" w14:textId="77777777">
        <w:trPr>
          <w:jc w:val="center"/>
        </w:trPr>
        <w:tc>
          <w:tcPr>
            <w:tcW w:w="2044" w:type="dxa"/>
            <w:tcBorders>
              <w:top w:val="single" w:color="auto" w:sz="4" w:space="0"/>
              <w:left w:val="single" w:color="auto" w:sz="4" w:space="0"/>
              <w:bottom w:val="single" w:color="auto" w:sz="4" w:space="0"/>
              <w:right w:val="single" w:color="auto" w:sz="4" w:space="0"/>
            </w:tcBorders>
          </w:tcPr>
          <w:p w:rsidRPr="00AB1866" w:rsidR="00CD59CA" w:rsidP="00174AAD" w:rsidRDefault="00CD59CA" w14:paraId="3DE7E32F" w14:textId="77777777">
            <w:r w:rsidRPr="00AB1866">
              <w:t>Green Power Institute</w:t>
            </w:r>
            <w:r w:rsidRPr="00AB1866" w:rsidR="00566FBA">
              <w:t xml:space="preserve"> (GPI)</w:t>
            </w:r>
          </w:p>
        </w:tc>
        <w:tc>
          <w:tcPr>
            <w:tcW w:w="1376" w:type="dxa"/>
            <w:tcBorders>
              <w:top w:val="single" w:color="auto" w:sz="4" w:space="0"/>
              <w:left w:val="single" w:color="auto" w:sz="4" w:space="0"/>
              <w:bottom w:val="single" w:color="auto" w:sz="4" w:space="0"/>
              <w:right w:val="single" w:color="auto" w:sz="4" w:space="0"/>
            </w:tcBorders>
          </w:tcPr>
          <w:p w:rsidRPr="00AB1866" w:rsidR="00CD59CA" w:rsidP="00174AAD" w:rsidRDefault="00CD59CA" w14:paraId="04034AFC" w14:textId="77777777">
            <w:r w:rsidRPr="00AB1866">
              <w:t>July 1</w:t>
            </w:r>
            <w:r w:rsidRPr="00AB1866" w:rsidR="0021213A">
              <w:t>9</w:t>
            </w:r>
            <w:r w:rsidRPr="00AB1866">
              <w:t>, 2019</w:t>
            </w:r>
          </w:p>
        </w:tc>
        <w:tc>
          <w:tcPr>
            <w:tcW w:w="1530" w:type="dxa"/>
            <w:tcBorders>
              <w:top w:val="single" w:color="auto" w:sz="4" w:space="0"/>
              <w:left w:val="single" w:color="auto" w:sz="4" w:space="0"/>
              <w:bottom w:val="single" w:color="auto" w:sz="4" w:space="0"/>
              <w:right w:val="single" w:color="auto" w:sz="4" w:space="0"/>
            </w:tcBorders>
          </w:tcPr>
          <w:p w:rsidRPr="00AB1866" w:rsidR="00CD59CA" w:rsidP="00174AAD" w:rsidRDefault="0021213A" w14:paraId="0D604EE9" w14:textId="77777777">
            <w:r w:rsidRPr="00AB1866">
              <w:t>$45,364</w:t>
            </w:r>
          </w:p>
        </w:tc>
        <w:tc>
          <w:tcPr>
            <w:tcW w:w="1603" w:type="dxa"/>
            <w:tcBorders>
              <w:top w:val="single" w:color="auto" w:sz="4" w:space="0"/>
              <w:left w:val="single" w:color="auto" w:sz="4" w:space="0"/>
              <w:bottom w:val="single" w:color="auto" w:sz="4" w:space="0"/>
              <w:right w:val="single" w:color="auto" w:sz="4" w:space="0"/>
            </w:tcBorders>
          </w:tcPr>
          <w:p w:rsidRPr="00AB1866" w:rsidR="00CD59CA" w:rsidP="00174AAD" w:rsidRDefault="00CE1376" w14:paraId="42BFFE50" w14:textId="70404417">
            <w:r w:rsidRPr="00EB6AD9">
              <w:t>$36,664.13</w:t>
            </w:r>
          </w:p>
        </w:tc>
        <w:tc>
          <w:tcPr>
            <w:tcW w:w="1296" w:type="dxa"/>
            <w:tcBorders>
              <w:top w:val="single" w:color="auto" w:sz="4" w:space="0"/>
              <w:left w:val="single" w:color="auto" w:sz="4" w:space="0"/>
              <w:bottom w:val="single" w:color="auto" w:sz="4" w:space="0"/>
              <w:right w:val="single" w:color="auto" w:sz="4" w:space="0"/>
            </w:tcBorders>
          </w:tcPr>
          <w:p w:rsidRPr="00AB1866" w:rsidR="00CD59CA" w:rsidP="00174AAD" w:rsidRDefault="00CD59CA" w14:paraId="5A8C0958" w14:textId="77777777">
            <w:r w:rsidRPr="00AB1866">
              <w:t>N/A</w:t>
            </w:r>
          </w:p>
        </w:tc>
        <w:tc>
          <w:tcPr>
            <w:tcW w:w="2478" w:type="dxa"/>
            <w:tcBorders>
              <w:top w:val="single" w:color="auto" w:sz="4" w:space="0"/>
              <w:left w:val="single" w:color="auto" w:sz="4" w:space="0"/>
              <w:bottom w:val="single" w:color="auto" w:sz="4" w:space="0"/>
              <w:right w:val="single" w:color="auto" w:sz="4" w:space="0"/>
            </w:tcBorders>
          </w:tcPr>
          <w:p w:rsidRPr="00AB1866" w:rsidR="00CD59CA" w:rsidP="00174AAD" w:rsidRDefault="006611A0" w14:paraId="494F5D58" w14:textId="4CED5CE4">
            <w:r>
              <w:t xml:space="preserve">Lack of substantial contribution, timesheet formatting deduction. </w:t>
            </w:r>
          </w:p>
        </w:tc>
      </w:tr>
    </w:tbl>
    <w:p w:rsidRPr="00AB1866" w:rsidR="00CD59CA" w:rsidP="00CD59CA" w:rsidRDefault="00CD59CA" w14:paraId="5B157F30" w14:textId="77777777"/>
    <w:p w:rsidRPr="00AB1866" w:rsidR="00CD59CA" w:rsidP="00CD59CA" w:rsidRDefault="00CD59CA" w14:paraId="62BD44FA" w14:textId="77777777"/>
    <w:p w:rsidRPr="00AB1866" w:rsidR="00CD59CA" w:rsidP="00CD59CA" w:rsidRDefault="00CD59CA" w14:paraId="120C2448" w14:textId="77777777">
      <w:pPr>
        <w:jc w:val="center"/>
        <w:rPr>
          <w:sz w:val="28"/>
          <w:szCs w:val="28"/>
        </w:rPr>
      </w:pPr>
      <w:r w:rsidRPr="00AB1866">
        <w:rPr>
          <w:sz w:val="28"/>
          <w:szCs w:val="28"/>
        </w:rPr>
        <w:t>Hourly Fee Information</w:t>
      </w:r>
    </w:p>
    <w:p w:rsidRPr="00AB1866" w:rsidR="00CD59CA" w:rsidP="00CD59CA" w:rsidRDefault="00CD59CA" w14:paraId="76D8A27D" w14:textId="77777777">
      <w:pPr>
        <w:jc w:val="center"/>
        <w:rPr>
          <w:shd w:val="clear" w:color="auto" w:fill="CCFFCC"/>
        </w:rPr>
      </w:pPr>
    </w:p>
    <w:tbl>
      <w:tblPr>
        <w:tblW w:w="103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10"/>
        <w:gridCol w:w="1770"/>
        <w:gridCol w:w="1920"/>
        <w:gridCol w:w="1620"/>
        <w:gridCol w:w="1710"/>
        <w:gridCol w:w="1620"/>
      </w:tblGrid>
      <w:tr w:rsidRPr="00AB1866" w:rsidR="00CD59CA" w:rsidTr="00D16F9F" w14:paraId="797333AA" w14:textId="77777777">
        <w:trPr>
          <w:trHeight w:val="288"/>
          <w:jc w:val="center"/>
        </w:trPr>
        <w:tc>
          <w:tcPr>
            <w:tcW w:w="1710" w:type="dxa"/>
            <w:tcBorders>
              <w:top w:val="single" w:color="auto" w:sz="4" w:space="0"/>
              <w:left w:val="single" w:color="auto" w:sz="4" w:space="0"/>
              <w:bottom w:val="single" w:color="auto" w:sz="4" w:space="0"/>
              <w:right w:val="single" w:color="auto" w:sz="4" w:space="0"/>
            </w:tcBorders>
          </w:tcPr>
          <w:p w:rsidRPr="00AB1866" w:rsidR="00CD59CA" w:rsidP="005C2F87" w:rsidRDefault="00CD59CA" w14:paraId="6FDE886C" w14:textId="77777777">
            <w:pPr>
              <w:jc w:val="center"/>
            </w:pPr>
            <w:r w:rsidRPr="00AB1866">
              <w:t>First Name</w:t>
            </w:r>
          </w:p>
        </w:tc>
        <w:tc>
          <w:tcPr>
            <w:tcW w:w="1770" w:type="dxa"/>
            <w:tcBorders>
              <w:top w:val="single" w:color="auto" w:sz="4" w:space="0"/>
              <w:left w:val="single" w:color="auto" w:sz="4" w:space="0"/>
              <w:bottom w:val="single" w:color="auto" w:sz="4" w:space="0"/>
              <w:right w:val="single" w:color="auto" w:sz="4" w:space="0"/>
            </w:tcBorders>
          </w:tcPr>
          <w:p w:rsidRPr="00AB1866" w:rsidR="00CD59CA" w:rsidP="005C2F87" w:rsidRDefault="00CD59CA" w14:paraId="4724908B" w14:textId="77777777">
            <w:pPr>
              <w:jc w:val="center"/>
            </w:pPr>
            <w:r w:rsidRPr="00AB1866">
              <w:t>Last Name</w:t>
            </w:r>
          </w:p>
        </w:tc>
        <w:tc>
          <w:tcPr>
            <w:tcW w:w="1920" w:type="dxa"/>
            <w:tcBorders>
              <w:top w:val="single" w:color="auto" w:sz="4" w:space="0"/>
              <w:left w:val="single" w:color="auto" w:sz="4" w:space="0"/>
              <w:bottom w:val="single" w:color="auto" w:sz="4" w:space="0"/>
              <w:right w:val="single" w:color="auto" w:sz="4" w:space="0"/>
            </w:tcBorders>
          </w:tcPr>
          <w:p w:rsidRPr="00AB1866" w:rsidR="00CD59CA" w:rsidP="005C2F87" w:rsidRDefault="00CD59CA" w14:paraId="60CA0155" w14:textId="77777777">
            <w:pPr>
              <w:ind w:left="12" w:firstLine="12"/>
              <w:jc w:val="center"/>
            </w:pPr>
            <w:r w:rsidRPr="00AB1866">
              <w:t>Attorney, Expert, or Advocate</w:t>
            </w:r>
          </w:p>
        </w:tc>
        <w:tc>
          <w:tcPr>
            <w:tcW w:w="1620" w:type="dxa"/>
            <w:tcBorders>
              <w:top w:val="single" w:color="auto" w:sz="4" w:space="0"/>
              <w:left w:val="single" w:color="auto" w:sz="4" w:space="0"/>
              <w:bottom w:val="single" w:color="auto" w:sz="4" w:space="0"/>
              <w:right w:val="single" w:color="auto" w:sz="4" w:space="0"/>
            </w:tcBorders>
          </w:tcPr>
          <w:p w:rsidRPr="00AB1866" w:rsidR="00CD59CA" w:rsidP="005C2F87" w:rsidRDefault="00CD59CA" w14:paraId="40A1F5BE" w14:textId="77777777">
            <w:pPr>
              <w:jc w:val="center"/>
            </w:pPr>
            <w:r w:rsidRPr="00AB1866">
              <w:t>Hourly Fee Requested</w:t>
            </w:r>
          </w:p>
        </w:tc>
        <w:tc>
          <w:tcPr>
            <w:tcW w:w="1710" w:type="dxa"/>
            <w:tcBorders>
              <w:top w:val="single" w:color="auto" w:sz="4" w:space="0"/>
              <w:left w:val="single" w:color="auto" w:sz="4" w:space="0"/>
              <w:bottom w:val="single" w:color="auto" w:sz="4" w:space="0"/>
              <w:right w:val="single" w:color="auto" w:sz="4" w:space="0"/>
            </w:tcBorders>
          </w:tcPr>
          <w:p w:rsidRPr="00AB1866" w:rsidR="00CD59CA" w:rsidP="005C2F87" w:rsidRDefault="00CD59CA" w14:paraId="205D4807" w14:textId="77777777">
            <w:pPr>
              <w:jc w:val="center"/>
            </w:pPr>
            <w:r w:rsidRPr="00AB1866">
              <w:t>Year Hourly Fee Requested</w:t>
            </w:r>
          </w:p>
        </w:tc>
        <w:tc>
          <w:tcPr>
            <w:tcW w:w="1620" w:type="dxa"/>
            <w:tcBorders>
              <w:top w:val="single" w:color="auto" w:sz="4" w:space="0"/>
              <w:left w:val="single" w:color="auto" w:sz="4" w:space="0"/>
              <w:bottom w:val="single" w:color="auto" w:sz="4" w:space="0"/>
              <w:right w:val="single" w:color="auto" w:sz="4" w:space="0"/>
            </w:tcBorders>
          </w:tcPr>
          <w:p w:rsidRPr="00AB1866" w:rsidR="00CD59CA" w:rsidP="005C2F87" w:rsidRDefault="00CD59CA" w14:paraId="35A0EB64" w14:textId="77777777">
            <w:pPr>
              <w:jc w:val="center"/>
            </w:pPr>
            <w:r w:rsidRPr="00AB1866">
              <w:t>Hourly Fee Adopted</w:t>
            </w:r>
          </w:p>
        </w:tc>
      </w:tr>
      <w:tr w:rsidRPr="00AB1866" w:rsidR="0021213A" w:rsidTr="00D16F9F" w14:paraId="09DED24A" w14:textId="77777777">
        <w:trPr>
          <w:trHeight w:val="288"/>
          <w:jc w:val="center"/>
        </w:trPr>
        <w:tc>
          <w:tcPr>
            <w:tcW w:w="1710" w:type="dxa"/>
            <w:tcBorders>
              <w:top w:val="single" w:color="auto" w:sz="4" w:space="0"/>
              <w:left w:val="single" w:color="auto" w:sz="4" w:space="0"/>
              <w:bottom w:val="single" w:color="auto" w:sz="4" w:space="0"/>
              <w:right w:val="single" w:color="auto" w:sz="4" w:space="0"/>
            </w:tcBorders>
          </w:tcPr>
          <w:p w:rsidRPr="00AB1866" w:rsidR="0021213A" w:rsidP="00174AAD" w:rsidRDefault="0021213A" w14:paraId="539206E1" w14:textId="77777777">
            <w:r w:rsidRPr="00AB1866">
              <w:t>Gregory</w:t>
            </w:r>
          </w:p>
        </w:tc>
        <w:tc>
          <w:tcPr>
            <w:tcW w:w="1770" w:type="dxa"/>
            <w:tcBorders>
              <w:top w:val="single" w:color="auto" w:sz="4" w:space="0"/>
              <w:left w:val="single" w:color="auto" w:sz="4" w:space="0"/>
              <w:bottom w:val="single" w:color="auto" w:sz="4" w:space="0"/>
              <w:right w:val="single" w:color="auto" w:sz="4" w:space="0"/>
            </w:tcBorders>
          </w:tcPr>
          <w:p w:rsidRPr="00AB1866" w:rsidR="0021213A" w:rsidP="00174AAD" w:rsidRDefault="0021213A" w14:paraId="241EC4F9" w14:textId="77777777">
            <w:r w:rsidRPr="00AB1866">
              <w:t>Morris</w:t>
            </w:r>
          </w:p>
        </w:tc>
        <w:tc>
          <w:tcPr>
            <w:tcW w:w="1920" w:type="dxa"/>
            <w:tcBorders>
              <w:top w:val="single" w:color="auto" w:sz="4" w:space="0"/>
              <w:left w:val="single" w:color="auto" w:sz="4" w:space="0"/>
              <w:bottom w:val="single" w:color="auto" w:sz="4" w:space="0"/>
              <w:right w:val="single" w:color="auto" w:sz="4" w:space="0"/>
            </w:tcBorders>
          </w:tcPr>
          <w:p w:rsidRPr="00AB1866" w:rsidR="0021213A" w:rsidP="00174AAD" w:rsidRDefault="0021213A" w14:paraId="4B775920" w14:textId="77777777">
            <w:pPr>
              <w:ind w:left="12" w:firstLine="12"/>
            </w:pPr>
            <w:r w:rsidRPr="00AB1866">
              <w:t>Expert</w:t>
            </w:r>
          </w:p>
        </w:tc>
        <w:tc>
          <w:tcPr>
            <w:tcW w:w="1620" w:type="dxa"/>
            <w:tcBorders>
              <w:top w:val="single" w:color="auto" w:sz="4" w:space="0"/>
              <w:left w:val="single" w:color="auto" w:sz="4" w:space="0"/>
              <w:bottom w:val="single" w:color="auto" w:sz="4" w:space="0"/>
              <w:right w:val="single" w:color="auto" w:sz="4" w:space="0"/>
            </w:tcBorders>
          </w:tcPr>
          <w:p w:rsidRPr="00AB1866" w:rsidR="0021213A" w:rsidP="00174AAD" w:rsidRDefault="0021213A" w14:paraId="3CA30435" w14:textId="77777777">
            <w:r w:rsidRPr="00AB1866">
              <w:t>$285</w:t>
            </w:r>
          </w:p>
        </w:tc>
        <w:tc>
          <w:tcPr>
            <w:tcW w:w="1710" w:type="dxa"/>
            <w:tcBorders>
              <w:top w:val="single" w:color="auto" w:sz="4" w:space="0"/>
              <w:left w:val="single" w:color="auto" w:sz="4" w:space="0"/>
              <w:bottom w:val="single" w:color="auto" w:sz="4" w:space="0"/>
              <w:right w:val="single" w:color="auto" w:sz="4" w:space="0"/>
            </w:tcBorders>
          </w:tcPr>
          <w:p w:rsidRPr="00AB1866" w:rsidR="0021213A" w:rsidP="00174AAD" w:rsidRDefault="0021213A" w14:paraId="54E52817" w14:textId="77777777">
            <w:r w:rsidRPr="00AB1866">
              <w:t>2018</w:t>
            </w:r>
          </w:p>
        </w:tc>
        <w:tc>
          <w:tcPr>
            <w:tcW w:w="1620" w:type="dxa"/>
            <w:tcBorders>
              <w:top w:val="single" w:color="auto" w:sz="4" w:space="0"/>
              <w:left w:val="single" w:color="auto" w:sz="4" w:space="0"/>
              <w:bottom w:val="single" w:color="auto" w:sz="4" w:space="0"/>
              <w:right w:val="single" w:color="auto" w:sz="4" w:space="0"/>
            </w:tcBorders>
          </w:tcPr>
          <w:p w:rsidRPr="00AB1866" w:rsidR="0021213A" w:rsidP="00174AAD" w:rsidRDefault="0021213A" w14:paraId="763FD517" w14:textId="77777777">
            <w:r w:rsidRPr="00AB1866">
              <w:t>$285</w:t>
            </w:r>
          </w:p>
        </w:tc>
      </w:tr>
      <w:tr w:rsidRPr="00AB1866" w:rsidR="0021213A" w:rsidTr="00D16F9F" w14:paraId="151FADE8" w14:textId="77777777">
        <w:trPr>
          <w:trHeight w:val="288"/>
          <w:jc w:val="center"/>
        </w:trPr>
        <w:tc>
          <w:tcPr>
            <w:tcW w:w="1710" w:type="dxa"/>
            <w:tcBorders>
              <w:top w:val="single" w:color="auto" w:sz="4" w:space="0"/>
              <w:left w:val="single" w:color="auto" w:sz="4" w:space="0"/>
              <w:bottom w:val="single" w:color="auto" w:sz="4" w:space="0"/>
              <w:right w:val="single" w:color="auto" w:sz="4" w:space="0"/>
            </w:tcBorders>
          </w:tcPr>
          <w:p w:rsidRPr="00AB1866" w:rsidR="0021213A" w:rsidP="00174AAD" w:rsidRDefault="0021213A" w14:paraId="443608F8" w14:textId="77777777">
            <w:r w:rsidRPr="00AB1866">
              <w:t>Gregory</w:t>
            </w:r>
          </w:p>
        </w:tc>
        <w:tc>
          <w:tcPr>
            <w:tcW w:w="1770" w:type="dxa"/>
            <w:tcBorders>
              <w:top w:val="single" w:color="auto" w:sz="4" w:space="0"/>
              <w:left w:val="single" w:color="auto" w:sz="4" w:space="0"/>
              <w:bottom w:val="single" w:color="auto" w:sz="4" w:space="0"/>
              <w:right w:val="single" w:color="auto" w:sz="4" w:space="0"/>
            </w:tcBorders>
          </w:tcPr>
          <w:p w:rsidRPr="00AB1866" w:rsidR="0021213A" w:rsidP="00174AAD" w:rsidRDefault="0021213A" w14:paraId="6802F2C0" w14:textId="77777777">
            <w:r w:rsidRPr="00AB1866">
              <w:t>Morris</w:t>
            </w:r>
          </w:p>
        </w:tc>
        <w:tc>
          <w:tcPr>
            <w:tcW w:w="1920" w:type="dxa"/>
            <w:tcBorders>
              <w:top w:val="single" w:color="auto" w:sz="4" w:space="0"/>
              <w:left w:val="single" w:color="auto" w:sz="4" w:space="0"/>
              <w:bottom w:val="single" w:color="auto" w:sz="4" w:space="0"/>
              <w:right w:val="single" w:color="auto" w:sz="4" w:space="0"/>
            </w:tcBorders>
          </w:tcPr>
          <w:p w:rsidRPr="00AB1866" w:rsidR="0021213A" w:rsidP="00174AAD" w:rsidRDefault="0021213A" w14:paraId="542795BA" w14:textId="77777777">
            <w:pPr>
              <w:ind w:left="12" w:firstLine="12"/>
            </w:pPr>
            <w:r w:rsidRPr="00AB1866">
              <w:t>Expert</w:t>
            </w:r>
          </w:p>
        </w:tc>
        <w:tc>
          <w:tcPr>
            <w:tcW w:w="1620" w:type="dxa"/>
            <w:tcBorders>
              <w:top w:val="single" w:color="auto" w:sz="4" w:space="0"/>
              <w:left w:val="single" w:color="auto" w:sz="4" w:space="0"/>
              <w:bottom w:val="single" w:color="auto" w:sz="4" w:space="0"/>
              <w:right w:val="single" w:color="auto" w:sz="4" w:space="0"/>
            </w:tcBorders>
          </w:tcPr>
          <w:p w:rsidRPr="00AB1866" w:rsidR="0021213A" w:rsidP="00174AAD" w:rsidRDefault="0021213A" w14:paraId="0DA7E294" w14:textId="77777777">
            <w:r w:rsidRPr="00AB1866">
              <w:t>$325</w:t>
            </w:r>
          </w:p>
        </w:tc>
        <w:tc>
          <w:tcPr>
            <w:tcW w:w="1710" w:type="dxa"/>
            <w:tcBorders>
              <w:top w:val="single" w:color="auto" w:sz="4" w:space="0"/>
              <w:left w:val="single" w:color="auto" w:sz="4" w:space="0"/>
              <w:bottom w:val="single" w:color="auto" w:sz="4" w:space="0"/>
              <w:right w:val="single" w:color="auto" w:sz="4" w:space="0"/>
            </w:tcBorders>
          </w:tcPr>
          <w:p w:rsidRPr="00AB1866" w:rsidR="0021213A" w:rsidP="00174AAD" w:rsidRDefault="0021213A" w14:paraId="7CAC11B7" w14:textId="77777777">
            <w:r w:rsidRPr="00AB1866">
              <w:t>2019</w:t>
            </w:r>
          </w:p>
        </w:tc>
        <w:tc>
          <w:tcPr>
            <w:tcW w:w="1620" w:type="dxa"/>
            <w:tcBorders>
              <w:top w:val="single" w:color="auto" w:sz="4" w:space="0"/>
              <w:left w:val="single" w:color="auto" w:sz="4" w:space="0"/>
              <w:bottom w:val="single" w:color="auto" w:sz="4" w:space="0"/>
              <w:right w:val="single" w:color="auto" w:sz="4" w:space="0"/>
            </w:tcBorders>
          </w:tcPr>
          <w:p w:rsidRPr="00AB1866" w:rsidR="0021213A" w:rsidP="00174AAD" w:rsidRDefault="0021213A" w14:paraId="7030A465" w14:textId="77777777">
            <w:r w:rsidRPr="00AB1866">
              <w:t>$325</w:t>
            </w:r>
          </w:p>
        </w:tc>
      </w:tr>
    </w:tbl>
    <w:p w:rsidRPr="00AB1866" w:rsidR="00CD59CA" w:rsidP="00CD59CA" w:rsidRDefault="00CD59CA" w14:paraId="7B5F5074" w14:textId="77777777">
      <w:pPr>
        <w:spacing w:line="360" w:lineRule="auto"/>
        <w:rPr>
          <w:b/>
        </w:rPr>
      </w:pPr>
    </w:p>
    <w:p w:rsidR="00072C81" w:rsidP="00B70505" w:rsidRDefault="00CD59CA" w14:paraId="129E74AB" w14:textId="77777777">
      <w:pPr>
        <w:jc w:val="center"/>
      </w:pPr>
      <w:r w:rsidRPr="00C76490">
        <w:rPr>
          <w:b/>
        </w:rPr>
        <w:t xml:space="preserve">(END OF </w:t>
      </w:r>
      <w:r w:rsidRPr="00C76490">
        <w:rPr>
          <w:b/>
          <w:szCs w:val="26"/>
        </w:rPr>
        <w:t>APPENDIX</w:t>
      </w:r>
      <w:r>
        <w:rPr>
          <w:rFonts w:ascii="Helvetica" w:hAnsi="Helvetica"/>
          <w:b/>
        </w:rPr>
        <w:t>)</w:t>
      </w:r>
    </w:p>
    <w:sectPr w:rsidR="00072C81" w:rsidSect="009C6490">
      <w:headerReference w:type="default" r:id="rId11"/>
      <w:footerReference w:type="default" r:id="rId12"/>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CEAFD" w14:textId="77777777" w:rsidR="00B24193" w:rsidRDefault="00B24193" w:rsidP="00885956">
      <w:r>
        <w:separator/>
      </w:r>
    </w:p>
  </w:endnote>
  <w:endnote w:type="continuationSeparator" w:id="0">
    <w:p w14:paraId="288AE4E5" w14:textId="77777777" w:rsidR="00B24193" w:rsidRDefault="00B24193" w:rsidP="0088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FF7FB" w14:textId="4336BA8B" w:rsidR="00815638" w:rsidRDefault="009A2C24" w:rsidP="009170FC">
    <w:pPr>
      <w:pStyle w:val="Footer"/>
    </w:pPr>
    <w:r w:rsidRPr="009A2C24">
      <w:rPr>
        <w:rFonts w:ascii="Arial" w:hAnsi="Arial" w:cs="Arial"/>
        <w:color w:val="000000"/>
        <w:sz w:val="16"/>
        <w:szCs w:val="16"/>
        <w:shd w:val="clear" w:color="auto" w:fill="FFFFFF"/>
      </w:rPr>
      <w:t>484092465</w:t>
    </w:r>
    <w:r w:rsidR="009170FC">
      <w:rPr>
        <w:rFonts w:ascii="Arial" w:hAnsi="Arial" w:cs="Arial"/>
        <w:color w:val="000000"/>
        <w:sz w:val="18"/>
        <w:szCs w:val="18"/>
        <w:shd w:val="clear" w:color="auto" w:fill="FFFFFF"/>
      </w:rPr>
      <w:tab/>
    </w:r>
    <w:r w:rsidR="00D04D4A">
      <w:fldChar w:fldCharType="begin"/>
    </w:r>
    <w:r w:rsidR="00D04D4A">
      <w:instrText xml:space="preserve"> PAGE   \* MERGEFORMAT </w:instrText>
    </w:r>
    <w:r w:rsidR="00D04D4A">
      <w:fldChar w:fldCharType="separate"/>
    </w:r>
    <w:r w:rsidR="00D04D4A">
      <w:rPr>
        <w:noProof/>
      </w:rPr>
      <w:t>2</w:t>
    </w:r>
    <w:r w:rsidR="00D04D4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F002" w14:textId="77777777" w:rsidR="006E2F4C" w:rsidRDefault="006E2F4C" w:rsidP="00B70505">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A82AB" w14:textId="1E939996" w:rsidR="00F7505D" w:rsidRPr="00F7505D" w:rsidRDefault="00F7505D" w:rsidP="00F75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0F42E" w14:textId="77777777" w:rsidR="00B24193" w:rsidRDefault="00B24193" w:rsidP="00885956">
      <w:r>
        <w:separator/>
      </w:r>
    </w:p>
  </w:footnote>
  <w:footnote w:type="continuationSeparator" w:id="0">
    <w:p w14:paraId="33B3C511" w14:textId="77777777" w:rsidR="00B24193" w:rsidRDefault="00B24193" w:rsidP="00885956">
      <w:r>
        <w:continuationSeparator/>
      </w:r>
    </w:p>
  </w:footnote>
  <w:footnote w:id="1">
    <w:p w14:paraId="35AD83FF" w14:textId="77777777" w:rsidR="00D04D4A" w:rsidRDefault="00D04D4A" w:rsidP="00B70505">
      <w:pPr>
        <w:pStyle w:val="FootnoteText"/>
        <w:spacing w:after="120"/>
      </w:pPr>
      <w:r>
        <w:rPr>
          <w:rStyle w:val="FootnoteReference"/>
        </w:rPr>
        <w:footnoteRef/>
      </w:r>
      <w:r>
        <w:t xml:space="preserve"> This proceeding was reassigned to President Alice Reynolds on January 31, 2022.</w:t>
      </w:r>
    </w:p>
  </w:footnote>
  <w:footnote w:id="2">
    <w:p w14:paraId="5CAD9232" w14:textId="77777777" w:rsidR="00D04D4A" w:rsidRDefault="00D04D4A" w:rsidP="00B70505">
      <w:pPr>
        <w:pStyle w:val="FootnoteText"/>
        <w:spacing w:after="120"/>
      </w:pPr>
      <w:r>
        <w:rPr>
          <w:rStyle w:val="FootnoteReference"/>
        </w:rPr>
        <w:footnoteRef/>
      </w:r>
      <w:r>
        <w:t xml:space="preserve"> This proceeding was reassigned to ALJ Cathleen Fogel on July 9, 2020.</w:t>
      </w:r>
    </w:p>
  </w:footnote>
  <w:footnote w:id="3">
    <w:p w14:paraId="09CE69B9" w14:textId="77777777" w:rsidR="00A7212C" w:rsidRDefault="00A7212C" w:rsidP="00B70505">
      <w:pPr>
        <w:pStyle w:val="NormalWeb"/>
        <w:spacing w:after="120"/>
      </w:pPr>
      <w:r>
        <w:rPr>
          <w:rStyle w:val="FootnoteReference"/>
        </w:rPr>
        <w:footnoteRef/>
      </w:r>
      <w:r>
        <w:t xml:space="preserve"> </w:t>
      </w:r>
      <w:r w:rsidRPr="00D30039">
        <w:rPr>
          <w:color w:val="000000"/>
          <w:sz w:val="20"/>
          <w:szCs w:val="20"/>
        </w:rPr>
        <w:t>The Office of Ratepayer Advocates was renamed the Public Advocate</w:t>
      </w:r>
      <w:r>
        <w:rPr>
          <w:color w:val="000000"/>
          <w:sz w:val="20"/>
          <w:szCs w:val="20"/>
        </w:rPr>
        <w:t>’</w:t>
      </w:r>
      <w:r w:rsidRPr="00D30039">
        <w:rPr>
          <w:color w:val="000000"/>
          <w:sz w:val="20"/>
          <w:szCs w:val="20"/>
        </w:rPr>
        <w:t>s Office of the Public Utilities Commission pursuant to Senate Bill No. 854, which the Governor approved on June 27, 2018.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9712A" w14:textId="415ED470" w:rsidR="006E2F4C" w:rsidRPr="001755F4" w:rsidRDefault="001755F4">
    <w:pPr>
      <w:pStyle w:val="Header"/>
      <w:rPr>
        <w:b/>
        <w:bCs/>
      </w:rPr>
    </w:pPr>
    <w:r>
      <w:t>R.18-10-007</w:t>
    </w:r>
    <w:r w:rsidR="00E552F9">
      <w:t xml:space="preserve">  </w:t>
    </w:r>
    <w:r w:rsidR="00E552F9">
      <w:rPr>
        <w:color w:val="000000"/>
      </w:rPr>
      <w:t>ALJ/CF1/mph</w:t>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EB7F0" w14:textId="6E08B582" w:rsidR="00F7505D" w:rsidRPr="001755F4" w:rsidRDefault="00F7505D">
    <w:pPr>
      <w:pStyle w:val="Header"/>
      <w:rPr>
        <w:b/>
        <w:bCs/>
      </w:rPr>
    </w:pPr>
    <w:r>
      <w:t xml:space="preserve">R.18-10-007  </w:t>
    </w:r>
    <w:r>
      <w:rPr>
        <w:color w:val="000000"/>
      </w:rPr>
      <w:t>ALJ/CF1/mph</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B5AE7"/>
    <w:multiLevelType w:val="hybridMultilevel"/>
    <w:tmpl w:val="2892EF34"/>
    <w:lvl w:ilvl="0" w:tplc="7B3657A2">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02E60CD"/>
    <w:multiLevelType w:val="hybridMultilevel"/>
    <w:tmpl w:val="A5FC35B8"/>
    <w:lvl w:ilvl="0" w:tplc="DAA6AB9C">
      <w:start w:val="2"/>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7C64237"/>
    <w:multiLevelType w:val="hybridMultilevel"/>
    <w:tmpl w:val="01440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9104FC"/>
    <w:multiLevelType w:val="hybridMultilevel"/>
    <w:tmpl w:val="AF42F70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57EE0BC7"/>
    <w:multiLevelType w:val="hybridMultilevel"/>
    <w:tmpl w:val="17C8B27A"/>
    <w:lvl w:ilvl="0" w:tplc="0409000F">
      <w:start w:val="1"/>
      <w:numFmt w:val="decimal"/>
      <w:lvlText w:val="%1."/>
      <w:lvlJc w:val="left"/>
      <w:pPr>
        <w:tabs>
          <w:tab w:val="num" w:pos="900"/>
        </w:tabs>
        <w:ind w:left="900" w:hanging="360"/>
      </w:pPr>
    </w:lvl>
    <w:lvl w:ilvl="1" w:tplc="A2982BDA">
      <w:start w:val="1"/>
      <w:numFmt w:val="upp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663372CD"/>
    <w:multiLevelType w:val="hybridMultilevel"/>
    <w:tmpl w:val="C428C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78737B1"/>
    <w:multiLevelType w:val="hybridMultilevel"/>
    <w:tmpl w:val="E55236BA"/>
    <w:lvl w:ilvl="0" w:tplc="7B3657A2">
      <w:start w:val="1"/>
      <w:numFmt w:val="upperLetter"/>
      <w:lvlText w:val="%1."/>
      <w:lvlJc w:val="left"/>
      <w:pPr>
        <w:tabs>
          <w:tab w:val="num" w:pos="630"/>
        </w:tabs>
        <w:ind w:left="630" w:hanging="360"/>
      </w:pPr>
      <w:rPr>
        <w:rFonts w:hint="default"/>
      </w:rPr>
    </w:lvl>
    <w:lvl w:ilvl="1" w:tplc="EC9EF088">
      <w:start w:val="1"/>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A8179A5"/>
    <w:multiLevelType w:val="hybridMultilevel"/>
    <w:tmpl w:val="26C0DFD0"/>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39298077">
    <w:abstractNumId w:val="6"/>
  </w:num>
  <w:num w:numId="2" w16cid:durableId="629483682">
    <w:abstractNumId w:val="0"/>
  </w:num>
  <w:num w:numId="3" w16cid:durableId="914049276">
    <w:abstractNumId w:val="7"/>
  </w:num>
  <w:num w:numId="4" w16cid:durableId="1154175934">
    <w:abstractNumId w:val="3"/>
  </w:num>
  <w:num w:numId="5" w16cid:durableId="1200359051">
    <w:abstractNumId w:val="1"/>
  </w:num>
  <w:num w:numId="6" w16cid:durableId="1314523560">
    <w:abstractNumId w:val="4"/>
  </w:num>
  <w:num w:numId="7" w16cid:durableId="2026012407">
    <w:abstractNumId w:val="5"/>
  </w:num>
  <w:num w:numId="8" w16cid:durableId="978222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F83"/>
    <w:rsid w:val="00001710"/>
    <w:rsid w:val="00001FE9"/>
    <w:rsid w:val="00003A49"/>
    <w:rsid w:val="00006CFE"/>
    <w:rsid w:val="00013991"/>
    <w:rsid w:val="00013EE3"/>
    <w:rsid w:val="00020C10"/>
    <w:rsid w:val="00021E8F"/>
    <w:rsid w:val="00026A15"/>
    <w:rsid w:val="00027384"/>
    <w:rsid w:val="0003134A"/>
    <w:rsid w:val="00036F54"/>
    <w:rsid w:val="000431A1"/>
    <w:rsid w:val="00052207"/>
    <w:rsid w:val="0006036A"/>
    <w:rsid w:val="00066FED"/>
    <w:rsid w:val="00067793"/>
    <w:rsid w:val="00067AE7"/>
    <w:rsid w:val="00072C81"/>
    <w:rsid w:val="0008180D"/>
    <w:rsid w:val="00083F6B"/>
    <w:rsid w:val="0008655A"/>
    <w:rsid w:val="0008663B"/>
    <w:rsid w:val="00092D45"/>
    <w:rsid w:val="00097365"/>
    <w:rsid w:val="000975E0"/>
    <w:rsid w:val="000A2B5E"/>
    <w:rsid w:val="000B357E"/>
    <w:rsid w:val="000B3592"/>
    <w:rsid w:val="000B5717"/>
    <w:rsid w:val="000C3782"/>
    <w:rsid w:val="000C5688"/>
    <w:rsid w:val="000C6B3B"/>
    <w:rsid w:val="000C77A7"/>
    <w:rsid w:val="000C7ECB"/>
    <w:rsid w:val="000D55A4"/>
    <w:rsid w:val="000D6CA0"/>
    <w:rsid w:val="000E0F58"/>
    <w:rsid w:val="000E6ABD"/>
    <w:rsid w:val="000E788D"/>
    <w:rsid w:val="000F067D"/>
    <w:rsid w:val="000F39E1"/>
    <w:rsid w:val="000F595C"/>
    <w:rsid w:val="001004AE"/>
    <w:rsid w:val="0010289B"/>
    <w:rsid w:val="00110D89"/>
    <w:rsid w:val="00114628"/>
    <w:rsid w:val="00127CB3"/>
    <w:rsid w:val="0013208E"/>
    <w:rsid w:val="001339CD"/>
    <w:rsid w:val="001359B4"/>
    <w:rsid w:val="001428D7"/>
    <w:rsid w:val="00146D56"/>
    <w:rsid w:val="001517A6"/>
    <w:rsid w:val="00155C6E"/>
    <w:rsid w:val="00157CA6"/>
    <w:rsid w:val="00161C10"/>
    <w:rsid w:val="00167359"/>
    <w:rsid w:val="00171ED0"/>
    <w:rsid w:val="00172921"/>
    <w:rsid w:val="00174AAD"/>
    <w:rsid w:val="001755F4"/>
    <w:rsid w:val="001824F3"/>
    <w:rsid w:val="00185F27"/>
    <w:rsid w:val="001908AD"/>
    <w:rsid w:val="00191CD9"/>
    <w:rsid w:val="001962EB"/>
    <w:rsid w:val="00197410"/>
    <w:rsid w:val="001A13FE"/>
    <w:rsid w:val="001A3289"/>
    <w:rsid w:val="001A43DF"/>
    <w:rsid w:val="001A7D4A"/>
    <w:rsid w:val="001B0228"/>
    <w:rsid w:val="001C21AE"/>
    <w:rsid w:val="001C4DB0"/>
    <w:rsid w:val="001D3A01"/>
    <w:rsid w:val="001D6574"/>
    <w:rsid w:val="001E0862"/>
    <w:rsid w:val="001E2310"/>
    <w:rsid w:val="001E2ACE"/>
    <w:rsid w:val="001E4D5B"/>
    <w:rsid w:val="001F5000"/>
    <w:rsid w:val="00204E3A"/>
    <w:rsid w:val="002051B6"/>
    <w:rsid w:val="0021213A"/>
    <w:rsid w:val="00212E10"/>
    <w:rsid w:val="00214B22"/>
    <w:rsid w:val="00220A5C"/>
    <w:rsid w:val="002255EA"/>
    <w:rsid w:val="00232176"/>
    <w:rsid w:val="00232D84"/>
    <w:rsid w:val="00235C30"/>
    <w:rsid w:val="00237BE1"/>
    <w:rsid w:val="00246294"/>
    <w:rsid w:val="002466F8"/>
    <w:rsid w:val="00246C85"/>
    <w:rsid w:val="0025147A"/>
    <w:rsid w:val="00253093"/>
    <w:rsid w:val="002578C2"/>
    <w:rsid w:val="002615CE"/>
    <w:rsid w:val="002632F7"/>
    <w:rsid w:val="00263606"/>
    <w:rsid w:val="00264333"/>
    <w:rsid w:val="002701E4"/>
    <w:rsid w:val="002707E7"/>
    <w:rsid w:val="00270E2E"/>
    <w:rsid w:val="00273208"/>
    <w:rsid w:val="00275450"/>
    <w:rsid w:val="00291B5D"/>
    <w:rsid w:val="00296300"/>
    <w:rsid w:val="00296727"/>
    <w:rsid w:val="00296FC1"/>
    <w:rsid w:val="002A14BA"/>
    <w:rsid w:val="002B345D"/>
    <w:rsid w:val="002B3D73"/>
    <w:rsid w:val="002B3FAD"/>
    <w:rsid w:val="002C5222"/>
    <w:rsid w:val="002C55E3"/>
    <w:rsid w:val="002D4C89"/>
    <w:rsid w:val="002E5F83"/>
    <w:rsid w:val="00302A2C"/>
    <w:rsid w:val="003069D9"/>
    <w:rsid w:val="00306D0E"/>
    <w:rsid w:val="00310BCF"/>
    <w:rsid w:val="00313B11"/>
    <w:rsid w:val="0032137D"/>
    <w:rsid w:val="00323932"/>
    <w:rsid w:val="00323EF5"/>
    <w:rsid w:val="00325858"/>
    <w:rsid w:val="003261F7"/>
    <w:rsid w:val="0033141B"/>
    <w:rsid w:val="00334414"/>
    <w:rsid w:val="003348A5"/>
    <w:rsid w:val="00344B67"/>
    <w:rsid w:val="003511BE"/>
    <w:rsid w:val="00356969"/>
    <w:rsid w:val="00357F1A"/>
    <w:rsid w:val="00373592"/>
    <w:rsid w:val="00377884"/>
    <w:rsid w:val="0037797E"/>
    <w:rsid w:val="00380703"/>
    <w:rsid w:val="00384C7E"/>
    <w:rsid w:val="00384ED9"/>
    <w:rsid w:val="0038529B"/>
    <w:rsid w:val="00391AB1"/>
    <w:rsid w:val="00397A73"/>
    <w:rsid w:val="003A135B"/>
    <w:rsid w:val="003B13F2"/>
    <w:rsid w:val="003B1782"/>
    <w:rsid w:val="003B1E48"/>
    <w:rsid w:val="003B32B4"/>
    <w:rsid w:val="003B3E82"/>
    <w:rsid w:val="003B5103"/>
    <w:rsid w:val="003B56B1"/>
    <w:rsid w:val="003B6A78"/>
    <w:rsid w:val="003C02CC"/>
    <w:rsid w:val="003C1D33"/>
    <w:rsid w:val="003C270C"/>
    <w:rsid w:val="003C608A"/>
    <w:rsid w:val="003D380C"/>
    <w:rsid w:val="003E044D"/>
    <w:rsid w:val="003E1476"/>
    <w:rsid w:val="003E1855"/>
    <w:rsid w:val="003E18FA"/>
    <w:rsid w:val="003E23EC"/>
    <w:rsid w:val="003E25A1"/>
    <w:rsid w:val="003F38A2"/>
    <w:rsid w:val="003F714D"/>
    <w:rsid w:val="003F74C0"/>
    <w:rsid w:val="003F7844"/>
    <w:rsid w:val="0040355B"/>
    <w:rsid w:val="0040695F"/>
    <w:rsid w:val="00413BFE"/>
    <w:rsid w:val="004148C4"/>
    <w:rsid w:val="00414C68"/>
    <w:rsid w:val="004160A7"/>
    <w:rsid w:val="00420C3E"/>
    <w:rsid w:val="0042538C"/>
    <w:rsid w:val="00427D38"/>
    <w:rsid w:val="004534E7"/>
    <w:rsid w:val="004561CB"/>
    <w:rsid w:val="004633F3"/>
    <w:rsid w:val="00470F11"/>
    <w:rsid w:val="00477FD8"/>
    <w:rsid w:val="00480AF0"/>
    <w:rsid w:val="00481693"/>
    <w:rsid w:val="00481E71"/>
    <w:rsid w:val="00497B12"/>
    <w:rsid w:val="004A7F07"/>
    <w:rsid w:val="004B0052"/>
    <w:rsid w:val="004B40B4"/>
    <w:rsid w:val="004B7B37"/>
    <w:rsid w:val="004C09C7"/>
    <w:rsid w:val="004C2B07"/>
    <w:rsid w:val="004C3CB8"/>
    <w:rsid w:val="004D107A"/>
    <w:rsid w:val="004D146E"/>
    <w:rsid w:val="004D2125"/>
    <w:rsid w:val="004D5BA4"/>
    <w:rsid w:val="004D6B6D"/>
    <w:rsid w:val="004D701C"/>
    <w:rsid w:val="004D7F70"/>
    <w:rsid w:val="004E0395"/>
    <w:rsid w:val="004E3939"/>
    <w:rsid w:val="004E3D93"/>
    <w:rsid w:val="004E51BA"/>
    <w:rsid w:val="005014BC"/>
    <w:rsid w:val="00503F25"/>
    <w:rsid w:val="005040AC"/>
    <w:rsid w:val="00504399"/>
    <w:rsid w:val="00507CC9"/>
    <w:rsid w:val="00511CEB"/>
    <w:rsid w:val="00511DA2"/>
    <w:rsid w:val="00511DC9"/>
    <w:rsid w:val="00516CE7"/>
    <w:rsid w:val="0051744E"/>
    <w:rsid w:val="005215EF"/>
    <w:rsid w:val="00523E7B"/>
    <w:rsid w:val="00537F0D"/>
    <w:rsid w:val="00540087"/>
    <w:rsid w:val="005461E8"/>
    <w:rsid w:val="005465FD"/>
    <w:rsid w:val="00547145"/>
    <w:rsid w:val="00551967"/>
    <w:rsid w:val="00554405"/>
    <w:rsid w:val="0056192B"/>
    <w:rsid w:val="00565B9D"/>
    <w:rsid w:val="00566FBA"/>
    <w:rsid w:val="00583663"/>
    <w:rsid w:val="005912FA"/>
    <w:rsid w:val="00597C33"/>
    <w:rsid w:val="005A53F1"/>
    <w:rsid w:val="005A63D4"/>
    <w:rsid w:val="005A65C2"/>
    <w:rsid w:val="005A6B98"/>
    <w:rsid w:val="005B4918"/>
    <w:rsid w:val="005B5BA1"/>
    <w:rsid w:val="005B69BB"/>
    <w:rsid w:val="005B7DAB"/>
    <w:rsid w:val="005C2F87"/>
    <w:rsid w:val="005C327F"/>
    <w:rsid w:val="005C55FF"/>
    <w:rsid w:val="005D0002"/>
    <w:rsid w:val="005D55AE"/>
    <w:rsid w:val="005D7B79"/>
    <w:rsid w:val="005E2997"/>
    <w:rsid w:val="005E2F4C"/>
    <w:rsid w:val="005E64AC"/>
    <w:rsid w:val="005E65D8"/>
    <w:rsid w:val="005F316E"/>
    <w:rsid w:val="005F4D82"/>
    <w:rsid w:val="005F6EC3"/>
    <w:rsid w:val="00602302"/>
    <w:rsid w:val="0060436F"/>
    <w:rsid w:val="006056A2"/>
    <w:rsid w:val="00606970"/>
    <w:rsid w:val="00606FDE"/>
    <w:rsid w:val="00616DFB"/>
    <w:rsid w:val="00617154"/>
    <w:rsid w:val="00631578"/>
    <w:rsid w:val="00640CE6"/>
    <w:rsid w:val="00640EF6"/>
    <w:rsid w:val="00644AA8"/>
    <w:rsid w:val="0065087E"/>
    <w:rsid w:val="00651029"/>
    <w:rsid w:val="00651212"/>
    <w:rsid w:val="006516E6"/>
    <w:rsid w:val="00654E79"/>
    <w:rsid w:val="00660D7E"/>
    <w:rsid w:val="006611A0"/>
    <w:rsid w:val="00662F1D"/>
    <w:rsid w:val="006637D2"/>
    <w:rsid w:val="00665ABF"/>
    <w:rsid w:val="00667925"/>
    <w:rsid w:val="00673595"/>
    <w:rsid w:val="00673767"/>
    <w:rsid w:val="00676472"/>
    <w:rsid w:val="0067725C"/>
    <w:rsid w:val="0068131B"/>
    <w:rsid w:val="00681A57"/>
    <w:rsid w:val="0069176D"/>
    <w:rsid w:val="00692084"/>
    <w:rsid w:val="00692738"/>
    <w:rsid w:val="00692CB7"/>
    <w:rsid w:val="006961DD"/>
    <w:rsid w:val="006A0D95"/>
    <w:rsid w:val="006A17DC"/>
    <w:rsid w:val="006A7272"/>
    <w:rsid w:val="006B1370"/>
    <w:rsid w:val="006B30E6"/>
    <w:rsid w:val="006B3712"/>
    <w:rsid w:val="006B44DC"/>
    <w:rsid w:val="006B6EED"/>
    <w:rsid w:val="006D099B"/>
    <w:rsid w:val="006D1BE0"/>
    <w:rsid w:val="006D70B0"/>
    <w:rsid w:val="006D724E"/>
    <w:rsid w:val="006E1C1E"/>
    <w:rsid w:val="006E2F03"/>
    <w:rsid w:val="006E2F4C"/>
    <w:rsid w:val="006E53DD"/>
    <w:rsid w:val="00702D3F"/>
    <w:rsid w:val="00703180"/>
    <w:rsid w:val="00703D5A"/>
    <w:rsid w:val="0071380E"/>
    <w:rsid w:val="007153E7"/>
    <w:rsid w:val="00730DA9"/>
    <w:rsid w:val="00732140"/>
    <w:rsid w:val="00732E72"/>
    <w:rsid w:val="00735A7C"/>
    <w:rsid w:val="00741B42"/>
    <w:rsid w:val="00741F10"/>
    <w:rsid w:val="0074620B"/>
    <w:rsid w:val="00753C85"/>
    <w:rsid w:val="00757394"/>
    <w:rsid w:val="007669BC"/>
    <w:rsid w:val="00767922"/>
    <w:rsid w:val="007700BE"/>
    <w:rsid w:val="00773FD2"/>
    <w:rsid w:val="00777E54"/>
    <w:rsid w:val="00783BA9"/>
    <w:rsid w:val="00792561"/>
    <w:rsid w:val="007931AC"/>
    <w:rsid w:val="00796BD5"/>
    <w:rsid w:val="007A3B03"/>
    <w:rsid w:val="007A4017"/>
    <w:rsid w:val="007B0952"/>
    <w:rsid w:val="007B441A"/>
    <w:rsid w:val="007B4C26"/>
    <w:rsid w:val="007B5165"/>
    <w:rsid w:val="007B5D14"/>
    <w:rsid w:val="007C1B69"/>
    <w:rsid w:val="007D5238"/>
    <w:rsid w:val="007D55B6"/>
    <w:rsid w:val="007D6BB7"/>
    <w:rsid w:val="007E05D0"/>
    <w:rsid w:val="007E0CD9"/>
    <w:rsid w:val="007E193F"/>
    <w:rsid w:val="007E28E7"/>
    <w:rsid w:val="007E6D37"/>
    <w:rsid w:val="007E71C3"/>
    <w:rsid w:val="007F0F4E"/>
    <w:rsid w:val="007F1C9A"/>
    <w:rsid w:val="00802101"/>
    <w:rsid w:val="00804AA5"/>
    <w:rsid w:val="0081103B"/>
    <w:rsid w:val="00815638"/>
    <w:rsid w:val="00816F6E"/>
    <w:rsid w:val="00821A5F"/>
    <w:rsid w:val="00822A23"/>
    <w:rsid w:val="008276E6"/>
    <w:rsid w:val="00830CB3"/>
    <w:rsid w:val="00832E42"/>
    <w:rsid w:val="00837E3D"/>
    <w:rsid w:val="008404F0"/>
    <w:rsid w:val="008459AC"/>
    <w:rsid w:val="0085129D"/>
    <w:rsid w:val="0085179B"/>
    <w:rsid w:val="0085246E"/>
    <w:rsid w:val="008532E0"/>
    <w:rsid w:val="00854F57"/>
    <w:rsid w:val="00857B66"/>
    <w:rsid w:val="00867651"/>
    <w:rsid w:val="008749E9"/>
    <w:rsid w:val="0087510F"/>
    <w:rsid w:val="00880AA7"/>
    <w:rsid w:val="00882791"/>
    <w:rsid w:val="008844B6"/>
    <w:rsid w:val="00884E1F"/>
    <w:rsid w:val="00885321"/>
    <w:rsid w:val="00885956"/>
    <w:rsid w:val="00893E74"/>
    <w:rsid w:val="00897DC1"/>
    <w:rsid w:val="008A21F5"/>
    <w:rsid w:val="008A5DC2"/>
    <w:rsid w:val="008A7F79"/>
    <w:rsid w:val="008B67E2"/>
    <w:rsid w:val="008B6F19"/>
    <w:rsid w:val="008B7362"/>
    <w:rsid w:val="008C1FDC"/>
    <w:rsid w:val="008E012A"/>
    <w:rsid w:val="008E3450"/>
    <w:rsid w:val="008E6B32"/>
    <w:rsid w:val="008F0327"/>
    <w:rsid w:val="008F3195"/>
    <w:rsid w:val="008F7B39"/>
    <w:rsid w:val="009004BF"/>
    <w:rsid w:val="00902950"/>
    <w:rsid w:val="00902D65"/>
    <w:rsid w:val="00904FDF"/>
    <w:rsid w:val="0090651C"/>
    <w:rsid w:val="00907751"/>
    <w:rsid w:val="00915118"/>
    <w:rsid w:val="009170FC"/>
    <w:rsid w:val="00925FAB"/>
    <w:rsid w:val="00934F4D"/>
    <w:rsid w:val="0093682A"/>
    <w:rsid w:val="00937586"/>
    <w:rsid w:val="00941480"/>
    <w:rsid w:val="00943A02"/>
    <w:rsid w:val="009449E8"/>
    <w:rsid w:val="0095212F"/>
    <w:rsid w:val="00952BDD"/>
    <w:rsid w:val="00954FAD"/>
    <w:rsid w:val="00963EEF"/>
    <w:rsid w:val="00976C24"/>
    <w:rsid w:val="009855B7"/>
    <w:rsid w:val="009874CC"/>
    <w:rsid w:val="00996421"/>
    <w:rsid w:val="009A2B34"/>
    <w:rsid w:val="009A2C24"/>
    <w:rsid w:val="009A4CFC"/>
    <w:rsid w:val="009A5B80"/>
    <w:rsid w:val="009B0875"/>
    <w:rsid w:val="009B3A4A"/>
    <w:rsid w:val="009C114C"/>
    <w:rsid w:val="009C11FE"/>
    <w:rsid w:val="009C2658"/>
    <w:rsid w:val="009C2D78"/>
    <w:rsid w:val="009C6490"/>
    <w:rsid w:val="009D1BF0"/>
    <w:rsid w:val="009D2026"/>
    <w:rsid w:val="009D67FA"/>
    <w:rsid w:val="009D6F61"/>
    <w:rsid w:val="009E0B56"/>
    <w:rsid w:val="009E0B64"/>
    <w:rsid w:val="009E0E7A"/>
    <w:rsid w:val="009E1BA5"/>
    <w:rsid w:val="009E2460"/>
    <w:rsid w:val="009E4891"/>
    <w:rsid w:val="009F23C0"/>
    <w:rsid w:val="009F3FA2"/>
    <w:rsid w:val="009F4517"/>
    <w:rsid w:val="009F6B4F"/>
    <w:rsid w:val="00A01B74"/>
    <w:rsid w:val="00A01DAD"/>
    <w:rsid w:val="00A0474E"/>
    <w:rsid w:val="00A062D8"/>
    <w:rsid w:val="00A0694E"/>
    <w:rsid w:val="00A11468"/>
    <w:rsid w:val="00A23A44"/>
    <w:rsid w:val="00A25A48"/>
    <w:rsid w:val="00A319DE"/>
    <w:rsid w:val="00A345E6"/>
    <w:rsid w:val="00A34CB9"/>
    <w:rsid w:val="00A36D0C"/>
    <w:rsid w:val="00A37042"/>
    <w:rsid w:val="00A37BF5"/>
    <w:rsid w:val="00A4356B"/>
    <w:rsid w:val="00A473CA"/>
    <w:rsid w:val="00A5421B"/>
    <w:rsid w:val="00A61EE9"/>
    <w:rsid w:val="00A620FE"/>
    <w:rsid w:val="00A63590"/>
    <w:rsid w:val="00A66A20"/>
    <w:rsid w:val="00A67E89"/>
    <w:rsid w:val="00A72067"/>
    <w:rsid w:val="00A7212C"/>
    <w:rsid w:val="00A731E3"/>
    <w:rsid w:val="00A74DCF"/>
    <w:rsid w:val="00A75D2D"/>
    <w:rsid w:val="00A8301C"/>
    <w:rsid w:val="00A83F11"/>
    <w:rsid w:val="00A84446"/>
    <w:rsid w:val="00A86988"/>
    <w:rsid w:val="00A92A4E"/>
    <w:rsid w:val="00A92D0B"/>
    <w:rsid w:val="00A94A0A"/>
    <w:rsid w:val="00AA1740"/>
    <w:rsid w:val="00AA3815"/>
    <w:rsid w:val="00AA3D68"/>
    <w:rsid w:val="00AA5455"/>
    <w:rsid w:val="00AB0D5E"/>
    <w:rsid w:val="00AB1866"/>
    <w:rsid w:val="00AB2F7F"/>
    <w:rsid w:val="00AB497A"/>
    <w:rsid w:val="00AB62EB"/>
    <w:rsid w:val="00AB7C86"/>
    <w:rsid w:val="00AC16E0"/>
    <w:rsid w:val="00AC5A4B"/>
    <w:rsid w:val="00AC6CAA"/>
    <w:rsid w:val="00AD742A"/>
    <w:rsid w:val="00AE1756"/>
    <w:rsid w:val="00AE429F"/>
    <w:rsid w:val="00AF2BE2"/>
    <w:rsid w:val="00AF32EA"/>
    <w:rsid w:val="00AF5142"/>
    <w:rsid w:val="00AF54AF"/>
    <w:rsid w:val="00AF61E6"/>
    <w:rsid w:val="00B00BCD"/>
    <w:rsid w:val="00B03F74"/>
    <w:rsid w:val="00B05BBC"/>
    <w:rsid w:val="00B06B6D"/>
    <w:rsid w:val="00B101B9"/>
    <w:rsid w:val="00B12B05"/>
    <w:rsid w:val="00B1593B"/>
    <w:rsid w:val="00B24193"/>
    <w:rsid w:val="00B266D6"/>
    <w:rsid w:val="00B3023A"/>
    <w:rsid w:val="00B31565"/>
    <w:rsid w:val="00B360E3"/>
    <w:rsid w:val="00B51C2B"/>
    <w:rsid w:val="00B52F63"/>
    <w:rsid w:val="00B55CCD"/>
    <w:rsid w:val="00B62AC0"/>
    <w:rsid w:val="00B648BB"/>
    <w:rsid w:val="00B66782"/>
    <w:rsid w:val="00B70505"/>
    <w:rsid w:val="00B73CCD"/>
    <w:rsid w:val="00B83A87"/>
    <w:rsid w:val="00B8783B"/>
    <w:rsid w:val="00B95A48"/>
    <w:rsid w:val="00BA0876"/>
    <w:rsid w:val="00BA475F"/>
    <w:rsid w:val="00BA548C"/>
    <w:rsid w:val="00BB49BB"/>
    <w:rsid w:val="00BB4D3A"/>
    <w:rsid w:val="00BB63BC"/>
    <w:rsid w:val="00BC532C"/>
    <w:rsid w:val="00BC79CC"/>
    <w:rsid w:val="00BD72FC"/>
    <w:rsid w:val="00BE15C2"/>
    <w:rsid w:val="00BE2E2B"/>
    <w:rsid w:val="00BE45D0"/>
    <w:rsid w:val="00BE4EF7"/>
    <w:rsid w:val="00BE76DF"/>
    <w:rsid w:val="00BF2F45"/>
    <w:rsid w:val="00BF6BD5"/>
    <w:rsid w:val="00C01C0E"/>
    <w:rsid w:val="00C02E5A"/>
    <w:rsid w:val="00C04FF4"/>
    <w:rsid w:val="00C069B5"/>
    <w:rsid w:val="00C06DE3"/>
    <w:rsid w:val="00C104C5"/>
    <w:rsid w:val="00C110B7"/>
    <w:rsid w:val="00C11752"/>
    <w:rsid w:val="00C13E40"/>
    <w:rsid w:val="00C17FE8"/>
    <w:rsid w:val="00C204EA"/>
    <w:rsid w:val="00C223B5"/>
    <w:rsid w:val="00C25EA5"/>
    <w:rsid w:val="00C27B66"/>
    <w:rsid w:val="00C372E0"/>
    <w:rsid w:val="00C445BC"/>
    <w:rsid w:val="00C45CE5"/>
    <w:rsid w:val="00C47B95"/>
    <w:rsid w:val="00C56303"/>
    <w:rsid w:val="00C574A1"/>
    <w:rsid w:val="00C672D1"/>
    <w:rsid w:val="00C742D7"/>
    <w:rsid w:val="00C7563A"/>
    <w:rsid w:val="00C76490"/>
    <w:rsid w:val="00C765A2"/>
    <w:rsid w:val="00C80771"/>
    <w:rsid w:val="00C90B95"/>
    <w:rsid w:val="00C91E57"/>
    <w:rsid w:val="00CA10AE"/>
    <w:rsid w:val="00CB1B78"/>
    <w:rsid w:val="00CB5804"/>
    <w:rsid w:val="00CB5CE3"/>
    <w:rsid w:val="00CB72DF"/>
    <w:rsid w:val="00CC2F64"/>
    <w:rsid w:val="00CC4B40"/>
    <w:rsid w:val="00CC61C3"/>
    <w:rsid w:val="00CD2622"/>
    <w:rsid w:val="00CD50AA"/>
    <w:rsid w:val="00CD59CA"/>
    <w:rsid w:val="00CD6886"/>
    <w:rsid w:val="00CE1376"/>
    <w:rsid w:val="00CE4FD8"/>
    <w:rsid w:val="00CE57CD"/>
    <w:rsid w:val="00CF1B25"/>
    <w:rsid w:val="00CF4314"/>
    <w:rsid w:val="00D00A6D"/>
    <w:rsid w:val="00D03096"/>
    <w:rsid w:val="00D04D4A"/>
    <w:rsid w:val="00D075B1"/>
    <w:rsid w:val="00D16F9F"/>
    <w:rsid w:val="00D27D5F"/>
    <w:rsid w:val="00D308AE"/>
    <w:rsid w:val="00D35C9A"/>
    <w:rsid w:val="00D36884"/>
    <w:rsid w:val="00D36927"/>
    <w:rsid w:val="00D36C1E"/>
    <w:rsid w:val="00D4056F"/>
    <w:rsid w:val="00D42E4B"/>
    <w:rsid w:val="00D46302"/>
    <w:rsid w:val="00D517BE"/>
    <w:rsid w:val="00D549C4"/>
    <w:rsid w:val="00D61E4F"/>
    <w:rsid w:val="00D63574"/>
    <w:rsid w:val="00D66074"/>
    <w:rsid w:val="00D7213C"/>
    <w:rsid w:val="00D738E9"/>
    <w:rsid w:val="00D74E92"/>
    <w:rsid w:val="00D75482"/>
    <w:rsid w:val="00D81604"/>
    <w:rsid w:val="00D82E93"/>
    <w:rsid w:val="00D83A92"/>
    <w:rsid w:val="00D83A9D"/>
    <w:rsid w:val="00D84F94"/>
    <w:rsid w:val="00D9255E"/>
    <w:rsid w:val="00D94D44"/>
    <w:rsid w:val="00DA2125"/>
    <w:rsid w:val="00DA3AEE"/>
    <w:rsid w:val="00DA5A34"/>
    <w:rsid w:val="00DA7E41"/>
    <w:rsid w:val="00DB052D"/>
    <w:rsid w:val="00DC1122"/>
    <w:rsid w:val="00DC4980"/>
    <w:rsid w:val="00DC4B15"/>
    <w:rsid w:val="00DC5F27"/>
    <w:rsid w:val="00DD52BB"/>
    <w:rsid w:val="00DE2BD4"/>
    <w:rsid w:val="00DE3A5D"/>
    <w:rsid w:val="00DE4570"/>
    <w:rsid w:val="00DE55D7"/>
    <w:rsid w:val="00DE6E8E"/>
    <w:rsid w:val="00DF1739"/>
    <w:rsid w:val="00DF49A1"/>
    <w:rsid w:val="00E003B0"/>
    <w:rsid w:val="00E00FCE"/>
    <w:rsid w:val="00E05995"/>
    <w:rsid w:val="00E156F7"/>
    <w:rsid w:val="00E15DC3"/>
    <w:rsid w:val="00E17A62"/>
    <w:rsid w:val="00E21EA5"/>
    <w:rsid w:val="00E23808"/>
    <w:rsid w:val="00E25173"/>
    <w:rsid w:val="00E3177D"/>
    <w:rsid w:val="00E3365E"/>
    <w:rsid w:val="00E3786F"/>
    <w:rsid w:val="00E41689"/>
    <w:rsid w:val="00E41B02"/>
    <w:rsid w:val="00E43968"/>
    <w:rsid w:val="00E44C13"/>
    <w:rsid w:val="00E45BDD"/>
    <w:rsid w:val="00E52992"/>
    <w:rsid w:val="00E52CBF"/>
    <w:rsid w:val="00E54AF1"/>
    <w:rsid w:val="00E552F9"/>
    <w:rsid w:val="00E55DD6"/>
    <w:rsid w:val="00E60942"/>
    <w:rsid w:val="00E63552"/>
    <w:rsid w:val="00E651E0"/>
    <w:rsid w:val="00E70239"/>
    <w:rsid w:val="00E77C53"/>
    <w:rsid w:val="00E845D4"/>
    <w:rsid w:val="00E9366A"/>
    <w:rsid w:val="00E959A0"/>
    <w:rsid w:val="00E97DB4"/>
    <w:rsid w:val="00EA02DC"/>
    <w:rsid w:val="00EA2414"/>
    <w:rsid w:val="00EA6FBD"/>
    <w:rsid w:val="00EB235C"/>
    <w:rsid w:val="00EB46F6"/>
    <w:rsid w:val="00EB616A"/>
    <w:rsid w:val="00EB6AD9"/>
    <w:rsid w:val="00EC181E"/>
    <w:rsid w:val="00EC3F9A"/>
    <w:rsid w:val="00EC4A4F"/>
    <w:rsid w:val="00EC750A"/>
    <w:rsid w:val="00ED05A3"/>
    <w:rsid w:val="00ED3DB4"/>
    <w:rsid w:val="00ED775C"/>
    <w:rsid w:val="00EE101D"/>
    <w:rsid w:val="00EE3EDF"/>
    <w:rsid w:val="00EE5405"/>
    <w:rsid w:val="00EF2860"/>
    <w:rsid w:val="00EF3FEA"/>
    <w:rsid w:val="00EF416F"/>
    <w:rsid w:val="00EF65F3"/>
    <w:rsid w:val="00F04904"/>
    <w:rsid w:val="00F216D4"/>
    <w:rsid w:val="00F2706C"/>
    <w:rsid w:val="00F273C7"/>
    <w:rsid w:val="00F3052C"/>
    <w:rsid w:val="00F306F0"/>
    <w:rsid w:val="00F30DA8"/>
    <w:rsid w:val="00F33879"/>
    <w:rsid w:val="00F34C1F"/>
    <w:rsid w:val="00F35C96"/>
    <w:rsid w:val="00F42C85"/>
    <w:rsid w:val="00F42E51"/>
    <w:rsid w:val="00F44B2B"/>
    <w:rsid w:val="00F45D93"/>
    <w:rsid w:val="00F47E87"/>
    <w:rsid w:val="00F5193D"/>
    <w:rsid w:val="00F5316A"/>
    <w:rsid w:val="00F613A5"/>
    <w:rsid w:val="00F63352"/>
    <w:rsid w:val="00F64BD9"/>
    <w:rsid w:val="00F65D3B"/>
    <w:rsid w:val="00F66626"/>
    <w:rsid w:val="00F703B2"/>
    <w:rsid w:val="00F748A2"/>
    <w:rsid w:val="00F74DBE"/>
    <w:rsid w:val="00F7505D"/>
    <w:rsid w:val="00F75180"/>
    <w:rsid w:val="00F81778"/>
    <w:rsid w:val="00F834E1"/>
    <w:rsid w:val="00F92A67"/>
    <w:rsid w:val="00FA33B4"/>
    <w:rsid w:val="00FA6839"/>
    <w:rsid w:val="00FA69C7"/>
    <w:rsid w:val="00FB077D"/>
    <w:rsid w:val="00FB3EB9"/>
    <w:rsid w:val="00FB5510"/>
    <w:rsid w:val="00FB56C8"/>
    <w:rsid w:val="00FC575B"/>
    <w:rsid w:val="00FC72B7"/>
    <w:rsid w:val="00FD01C0"/>
    <w:rsid w:val="00FD0CBC"/>
    <w:rsid w:val="00FE2003"/>
    <w:rsid w:val="00FE34B4"/>
    <w:rsid w:val="00FE38C2"/>
    <w:rsid w:val="00FF03D9"/>
    <w:rsid w:val="00FF11AA"/>
    <w:rsid w:val="00FF2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975F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8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bar">
    <w:name w:val="title bar"/>
    <w:basedOn w:val="Normal"/>
    <w:pPr>
      <w:keepNext/>
      <w:suppressAutoHyphens/>
      <w:jc w:val="center"/>
    </w:pPr>
    <w:rPr>
      <w:rFonts w:ascii="Helvetica" w:hAnsi="Helvetica"/>
      <w:b/>
      <w:sz w:val="26"/>
      <w:szCs w:val="20"/>
    </w:rPr>
  </w:style>
  <w:style w:type="character" w:styleId="Hyperlink">
    <w:name w:val="Hyperlink"/>
    <w:rsid w:val="00885956"/>
    <w:rPr>
      <w:color w:val="3754D4"/>
      <w:u w:val="single"/>
    </w:rPr>
  </w:style>
  <w:style w:type="paragraph" w:styleId="FootnoteText">
    <w:name w:val="footnote text"/>
    <w:basedOn w:val="Normal"/>
    <w:link w:val="FootnoteTextChar"/>
    <w:uiPriority w:val="99"/>
    <w:rsid w:val="00885956"/>
    <w:rPr>
      <w:sz w:val="20"/>
      <w:szCs w:val="20"/>
    </w:rPr>
  </w:style>
  <w:style w:type="character" w:customStyle="1" w:styleId="FootnoteTextChar">
    <w:name w:val="Footnote Text Char"/>
    <w:basedOn w:val="DefaultParagraphFont"/>
    <w:link w:val="FootnoteText"/>
    <w:uiPriority w:val="99"/>
    <w:rsid w:val="00885956"/>
  </w:style>
  <w:style w:type="character" w:styleId="FootnoteReference">
    <w:name w:val="footnote reference"/>
    <w:uiPriority w:val="99"/>
    <w:rsid w:val="00885956"/>
    <w:rPr>
      <w:vertAlign w:val="superscript"/>
    </w:rPr>
  </w:style>
  <w:style w:type="paragraph" w:styleId="ListParagraph">
    <w:name w:val="List Paragraph"/>
    <w:basedOn w:val="Normal"/>
    <w:uiPriority w:val="34"/>
    <w:qFormat/>
    <w:rsid w:val="00885956"/>
    <w:pPr>
      <w:ind w:left="720"/>
    </w:pPr>
    <w:rPr>
      <w:rFonts w:ascii="Calibri" w:eastAsia="Calibri" w:hAnsi="Calibri"/>
      <w:sz w:val="22"/>
      <w:szCs w:val="22"/>
    </w:rPr>
  </w:style>
  <w:style w:type="character" w:styleId="FollowedHyperlink">
    <w:name w:val="FollowedHyperlink"/>
    <w:rsid w:val="00885956"/>
    <w:rPr>
      <w:color w:val="800080"/>
      <w:u w:val="single"/>
    </w:rPr>
  </w:style>
  <w:style w:type="paragraph" w:styleId="Header">
    <w:name w:val="header"/>
    <w:basedOn w:val="Normal"/>
    <w:link w:val="HeaderChar"/>
    <w:uiPriority w:val="99"/>
    <w:rsid w:val="00B00BCD"/>
    <w:pPr>
      <w:tabs>
        <w:tab w:val="center" w:pos="4680"/>
        <w:tab w:val="right" w:pos="9360"/>
      </w:tabs>
    </w:pPr>
  </w:style>
  <w:style w:type="character" w:customStyle="1" w:styleId="HeaderChar">
    <w:name w:val="Header Char"/>
    <w:link w:val="Header"/>
    <w:uiPriority w:val="99"/>
    <w:rsid w:val="00B00BCD"/>
    <w:rPr>
      <w:sz w:val="24"/>
      <w:szCs w:val="24"/>
    </w:rPr>
  </w:style>
  <w:style w:type="paragraph" w:styleId="Footer">
    <w:name w:val="footer"/>
    <w:basedOn w:val="Normal"/>
    <w:link w:val="FooterChar"/>
    <w:uiPriority w:val="99"/>
    <w:rsid w:val="00B00BCD"/>
    <w:pPr>
      <w:tabs>
        <w:tab w:val="center" w:pos="4680"/>
        <w:tab w:val="right" w:pos="9360"/>
      </w:tabs>
    </w:pPr>
  </w:style>
  <w:style w:type="character" w:customStyle="1" w:styleId="FooterChar">
    <w:name w:val="Footer Char"/>
    <w:link w:val="Footer"/>
    <w:uiPriority w:val="99"/>
    <w:rsid w:val="00B00BCD"/>
    <w:rPr>
      <w:sz w:val="24"/>
      <w:szCs w:val="24"/>
    </w:rPr>
  </w:style>
  <w:style w:type="paragraph" w:styleId="BalloonText">
    <w:name w:val="Balloon Text"/>
    <w:basedOn w:val="Normal"/>
    <w:link w:val="BalloonTextChar"/>
    <w:rsid w:val="00B00BCD"/>
    <w:rPr>
      <w:rFonts w:ascii="Tahoma" w:hAnsi="Tahoma" w:cs="Tahoma"/>
      <w:sz w:val="16"/>
      <w:szCs w:val="16"/>
    </w:rPr>
  </w:style>
  <w:style w:type="character" w:customStyle="1" w:styleId="BalloonTextChar">
    <w:name w:val="Balloon Text Char"/>
    <w:link w:val="BalloonText"/>
    <w:rsid w:val="00B00BCD"/>
    <w:rPr>
      <w:rFonts w:ascii="Tahoma" w:hAnsi="Tahoma" w:cs="Tahoma"/>
      <w:sz w:val="16"/>
      <w:szCs w:val="16"/>
    </w:rPr>
  </w:style>
  <w:style w:type="paragraph" w:styleId="Revision">
    <w:name w:val="Revision"/>
    <w:hidden/>
    <w:uiPriority w:val="99"/>
    <w:semiHidden/>
    <w:rsid w:val="00B55CCD"/>
    <w:rPr>
      <w:sz w:val="24"/>
      <w:szCs w:val="24"/>
    </w:rPr>
  </w:style>
  <w:style w:type="character" w:styleId="CommentReference">
    <w:name w:val="annotation reference"/>
    <w:rsid w:val="00963EEF"/>
    <w:rPr>
      <w:sz w:val="16"/>
      <w:szCs w:val="16"/>
    </w:rPr>
  </w:style>
  <w:style w:type="paragraph" w:styleId="CommentText">
    <w:name w:val="annotation text"/>
    <w:basedOn w:val="Normal"/>
    <w:link w:val="CommentTextChar"/>
    <w:rsid w:val="00963EEF"/>
    <w:rPr>
      <w:sz w:val="20"/>
      <w:szCs w:val="20"/>
    </w:rPr>
  </w:style>
  <w:style w:type="character" w:customStyle="1" w:styleId="CommentTextChar">
    <w:name w:val="Comment Text Char"/>
    <w:basedOn w:val="DefaultParagraphFont"/>
    <w:link w:val="CommentText"/>
    <w:rsid w:val="00963EEF"/>
  </w:style>
  <w:style w:type="paragraph" w:styleId="CommentSubject">
    <w:name w:val="annotation subject"/>
    <w:basedOn w:val="CommentText"/>
    <w:next w:val="CommentText"/>
    <w:link w:val="CommentSubjectChar"/>
    <w:rsid w:val="00963EEF"/>
    <w:rPr>
      <w:b/>
      <w:bCs/>
    </w:rPr>
  </w:style>
  <w:style w:type="character" w:customStyle="1" w:styleId="CommentSubjectChar">
    <w:name w:val="Comment Subject Char"/>
    <w:link w:val="CommentSubject"/>
    <w:rsid w:val="00963EEF"/>
    <w:rPr>
      <w:b/>
      <w:bCs/>
    </w:rPr>
  </w:style>
  <w:style w:type="character" w:styleId="PlaceholderText">
    <w:name w:val="Placeholder Text"/>
    <w:uiPriority w:val="99"/>
    <w:semiHidden/>
    <w:rsid w:val="00BE45D0"/>
    <w:rPr>
      <w:color w:val="808080"/>
    </w:rPr>
  </w:style>
  <w:style w:type="paragraph" w:styleId="NormalWeb">
    <w:name w:val="Normal (Web)"/>
    <w:basedOn w:val="Normal"/>
    <w:uiPriority w:val="99"/>
    <w:unhideWhenUsed/>
    <w:rsid w:val="00A7212C"/>
    <w:rPr>
      <w:rFonts w:eastAsia="Calibri"/>
    </w:rPr>
  </w:style>
  <w:style w:type="character" w:customStyle="1" w:styleId="standardChar">
    <w:name w:val="standard Char"/>
    <w:link w:val="standard"/>
    <w:locked/>
    <w:rsid w:val="00CD59CA"/>
    <w:rPr>
      <w:rFonts w:ascii="Palatino" w:hAnsi="Palatino"/>
      <w:sz w:val="26"/>
    </w:rPr>
  </w:style>
  <w:style w:type="paragraph" w:customStyle="1" w:styleId="standard">
    <w:name w:val="standard"/>
    <w:basedOn w:val="Normal"/>
    <w:link w:val="standardChar"/>
    <w:rsid w:val="00CD59CA"/>
    <w:pPr>
      <w:spacing w:line="360" w:lineRule="auto"/>
      <w:ind w:firstLine="720"/>
    </w:pPr>
    <w:rPr>
      <w:rFonts w:ascii="Palatino" w:hAnsi="Palatino"/>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96776">
      <w:bodyDiv w:val="1"/>
      <w:marLeft w:val="0"/>
      <w:marRight w:val="0"/>
      <w:marTop w:val="0"/>
      <w:marBottom w:val="0"/>
      <w:divBdr>
        <w:top w:val="none" w:sz="0" w:space="0" w:color="auto"/>
        <w:left w:val="none" w:sz="0" w:space="0" w:color="auto"/>
        <w:bottom w:val="none" w:sz="0" w:space="0" w:color="auto"/>
        <w:right w:val="none" w:sz="0" w:space="0" w:color="auto"/>
      </w:divBdr>
    </w:div>
    <w:div w:id="248317543">
      <w:bodyDiv w:val="1"/>
      <w:marLeft w:val="0"/>
      <w:marRight w:val="0"/>
      <w:marTop w:val="0"/>
      <w:marBottom w:val="0"/>
      <w:divBdr>
        <w:top w:val="none" w:sz="0" w:space="0" w:color="auto"/>
        <w:left w:val="none" w:sz="0" w:space="0" w:color="auto"/>
        <w:bottom w:val="none" w:sz="0" w:space="0" w:color="auto"/>
        <w:right w:val="none" w:sz="0" w:space="0" w:color="auto"/>
      </w:divBdr>
    </w:div>
    <w:div w:id="406464342">
      <w:bodyDiv w:val="1"/>
      <w:marLeft w:val="0"/>
      <w:marRight w:val="0"/>
      <w:marTop w:val="0"/>
      <w:marBottom w:val="0"/>
      <w:divBdr>
        <w:top w:val="none" w:sz="0" w:space="0" w:color="auto"/>
        <w:left w:val="none" w:sz="0" w:space="0" w:color="auto"/>
        <w:bottom w:val="none" w:sz="0" w:space="0" w:color="auto"/>
        <w:right w:val="none" w:sz="0" w:space="0" w:color="auto"/>
      </w:divBdr>
    </w:div>
    <w:div w:id="496265189">
      <w:bodyDiv w:val="1"/>
      <w:marLeft w:val="0"/>
      <w:marRight w:val="0"/>
      <w:marTop w:val="0"/>
      <w:marBottom w:val="0"/>
      <w:divBdr>
        <w:top w:val="none" w:sz="0" w:space="0" w:color="auto"/>
        <w:left w:val="none" w:sz="0" w:space="0" w:color="auto"/>
        <w:bottom w:val="none" w:sz="0" w:space="0" w:color="auto"/>
        <w:right w:val="none" w:sz="0" w:space="0" w:color="auto"/>
      </w:divBdr>
    </w:div>
    <w:div w:id="870269003">
      <w:bodyDiv w:val="1"/>
      <w:marLeft w:val="0"/>
      <w:marRight w:val="0"/>
      <w:marTop w:val="0"/>
      <w:marBottom w:val="0"/>
      <w:divBdr>
        <w:top w:val="none" w:sz="0" w:space="0" w:color="auto"/>
        <w:left w:val="none" w:sz="0" w:space="0" w:color="auto"/>
        <w:bottom w:val="none" w:sz="0" w:space="0" w:color="auto"/>
        <w:right w:val="none" w:sz="0" w:space="0" w:color="auto"/>
      </w:divBdr>
    </w:div>
    <w:div w:id="905846692">
      <w:bodyDiv w:val="1"/>
      <w:marLeft w:val="0"/>
      <w:marRight w:val="0"/>
      <w:marTop w:val="0"/>
      <w:marBottom w:val="0"/>
      <w:divBdr>
        <w:top w:val="none" w:sz="0" w:space="0" w:color="auto"/>
        <w:left w:val="none" w:sz="0" w:space="0" w:color="auto"/>
        <w:bottom w:val="none" w:sz="0" w:space="0" w:color="auto"/>
        <w:right w:val="none" w:sz="0" w:space="0" w:color="auto"/>
      </w:divBdr>
    </w:div>
    <w:div w:id="1176574205">
      <w:bodyDiv w:val="1"/>
      <w:marLeft w:val="0"/>
      <w:marRight w:val="0"/>
      <w:marTop w:val="0"/>
      <w:marBottom w:val="0"/>
      <w:divBdr>
        <w:top w:val="none" w:sz="0" w:space="0" w:color="auto"/>
        <w:left w:val="none" w:sz="0" w:space="0" w:color="auto"/>
        <w:bottom w:val="none" w:sz="0" w:space="0" w:color="auto"/>
        <w:right w:val="none" w:sz="0" w:space="0" w:color="auto"/>
      </w:divBdr>
    </w:div>
    <w:div w:id="1340035668">
      <w:bodyDiv w:val="1"/>
      <w:marLeft w:val="0"/>
      <w:marRight w:val="0"/>
      <w:marTop w:val="0"/>
      <w:marBottom w:val="0"/>
      <w:divBdr>
        <w:top w:val="none" w:sz="0" w:space="0" w:color="auto"/>
        <w:left w:val="none" w:sz="0" w:space="0" w:color="auto"/>
        <w:bottom w:val="none" w:sz="0" w:space="0" w:color="auto"/>
        <w:right w:val="none" w:sz="0" w:space="0" w:color="auto"/>
      </w:divBdr>
    </w:div>
    <w:div w:id="1448768748">
      <w:bodyDiv w:val="1"/>
      <w:marLeft w:val="0"/>
      <w:marRight w:val="0"/>
      <w:marTop w:val="0"/>
      <w:marBottom w:val="0"/>
      <w:divBdr>
        <w:top w:val="none" w:sz="0" w:space="0" w:color="auto"/>
        <w:left w:val="none" w:sz="0" w:space="0" w:color="auto"/>
        <w:bottom w:val="none" w:sz="0" w:space="0" w:color="auto"/>
        <w:right w:val="none" w:sz="0" w:space="0" w:color="auto"/>
      </w:divBdr>
    </w:div>
    <w:div w:id="1537428959">
      <w:bodyDiv w:val="1"/>
      <w:marLeft w:val="0"/>
      <w:marRight w:val="0"/>
      <w:marTop w:val="0"/>
      <w:marBottom w:val="0"/>
      <w:divBdr>
        <w:top w:val="none" w:sz="0" w:space="0" w:color="auto"/>
        <w:left w:val="none" w:sz="0" w:space="0" w:color="auto"/>
        <w:bottom w:val="none" w:sz="0" w:space="0" w:color="auto"/>
        <w:right w:val="none" w:sz="0" w:space="0" w:color="auto"/>
      </w:divBdr>
    </w:div>
    <w:div w:id="1569926547">
      <w:bodyDiv w:val="1"/>
      <w:marLeft w:val="0"/>
      <w:marRight w:val="0"/>
      <w:marTop w:val="0"/>
      <w:marBottom w:val="0"/>
      <w:divBdr>
        <w:top w:val="none" w:sz="0" w:space="0" w:color="auto"/>
        <w:left w:val="none" w:sz="0" w:space="0" w:color="auto"/>
        <w:bottom w:val="none" w:sz="0" w:space="0" w:color="auto"/>
        <w:right w:val="none" w:sz="0" w:space="0" w:color="auto"/>
      </w:divBdr>
    </w:div>
    <w:div w:id="1619292148">
      <w:bodyDiv w:val="1"/>
      <w:marLeft w:val="0"/>
      <w:marRight w:val="0"/>
      <w:marTop w:val="0"/>
      <w:marBottom w:val="0"/>
      <w:divBdr>
        <w:top w:val="none" w:sz="0" w:space="0" w:color="auto"/>
        <w:left w:val="none" w:sz="0" w:space="0" w:color="auto"/>
        <w:bottom w:val="none" w:sz="0" w:space="0" w:color="auto"/>
        <w:right w:val="none" w:sz="0" w:space="0" w:color="auto"/>
      </w:divBdr>
    </w:div>
    <w:div w:id="1705523283">
      <w:bodyDiv w:val="1"/>
      <w:marLeft w:val="0"/>
      <w:marRight w:val="0"/>
      <w:marTop w:val="0"/>
      <w:marBottom w:val="0"/>
      <w:divBdr>
        <w:top w:val="none" w:sz="0" w:space="0" w:color="auto"/>
        <w:left w:val="none" w:sz="0" w:space="0" w:color="auto"/>
        <w:bottom w:val="none" w:sz="0" w:space="0" w:color="auto"/>
        <w:right w:val="none" w:sz="0" w:space="0" w:color="auto"/>
      </w:divBdr>
    </w:div>
    <w:div w:id="1989087701">
      <w:bodyDiv w:val="1"/>
      <w:marLeft w:val="0"/>
      <w:marRight w:val="0"/>
      <w:marTop w:val="0"/>
      <w:marBottom w:val="0"/>
      <w:divBdr>
        <w:top w:val="none" w:sz="0" w:space="0" w:color="auto"/>
        <w:left w:val="none" w:sz="0" w:space="0" w:color="auto"/>
        <w:bottom w:val="none" w:sz="0" w:space="0" w:color="auto"/>
        <w:right w:val="none" w:sz="0" w:space="0" w:color="auto"/>
      </w:divBdr>
    </w:div>
    <w:div w:id="2015644036">
      <w:bodyDiv w:val="1"/>
      <w:marLeft w:val="0"/>
      <w:marRight w:val="0"/>
      <w:marTop w:val="0"/>
      <w:marBottom w:val="0"/>
      <w:divBdr>
        <w:top w:val="none" w:sz="0" w:space="0" w:color="auto"/>
        <w:left w:val="none" w:sz="0" w:space="0" w:color="auto"/>
        <w:bottom w:val="none" w:sz="0" w:space="0" w:color="auto"/>
        <w:right w:val="none" w:sz="0" w:space="0" w:color="auto"/>
      </w:divBdr>
    </w:div>
    <w:div w:id="213794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86D7E-1B78-43A1-B089-55F4A827C0CF}">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19</ap:Pages>
  <ap:Words>5438</ap:Words>
  <ap:Characters>31001</ap:Characters>
  <ap:Application>Microsoft Office Word</ap:Application>
  <ap:DocSecurity>0</ap:DocSecurity>
  <ap:Lines>258</ap:Lines>
  <ap:Paragraphs>72</ap:Paragraphs>
  <ap:ScaleCrop>false</ap:ScaleCrop>
  <ap:HeadingPairs>
    <vt:vector baseType="variant" size="2">
      <vt:variant>
        <vt:lpstr>Title</vt:lpstr>
      </vt:variant>
      <vt:variant>
        <vt:i4>1</vt:i4>
      </vt:variant>
    </vt:vector>
  </ap:HeadingPairs>
  <ap:TitlesOfParts>
    <vt:vector baseType="lpstr" size="1">
      <vt:lpstr>_</vt:lpstr>
    </vt:vector>
  </ap:TitlesOfParts>
  <ap:LinksUpToDate>false</ap:LinksUpToDate>
  <ap:CharactersWithSpaces>36367</ap:CharactersWithSpaces>
  <ap:SharedDoc>false</ap:SharedDoc>
  <ap:HyperlinkBase/>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2013-07-15T17:59:00Z</cp:lastPrinted>
  <dcterms:created xsi:type="dcterms:W3CDTF">2022-06-08T08:43:39Z</dcterms:created>
  <dcterms:modified xsi:type="dcterms:W3CDTF">2022-06-08T08:43:39Z</dcterms:modified>
</cp:coreProperties>
</file>