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7426" w:rsidR="00347426" w:rsidP="00301DED" w:rsidRDefault="00347426" w14:paraId="4A83D507" w14:textId="21E105CB">
      <w:pPr>
        <w:tabs>
          <w:tab w:val="right" w:pos="9360"/>
        </w:tabs>
        <w:spacing w:line="240" w:lineRule="auto"/>
        <w:ind w:firstLine="0"/>
        <w:rPr>
          <w:b/>
          <w:bCs/>
        </w:rPr>
      </w:pPr>
      <w:r>
        <w:t>ALJ/PM6/</w:t>
      </w:r>
      <w:proofErr w:type="spellStart"/>
      <w:r>
        <w:t>TJG</w:t>
      </w:r>
      <w:proofErr w:type="spellEnd"/>
      <w:r>
        <w:t>/nd3</w:t>
      </w:r>
      <w:r>
        <w:tab/>
      </w:r>
      <w:r w:rsidRPr="00301DED" w:rsidR="00301DED">
        <w:rPr>
          <w:b/>
          <w:bCs/>
        </w:rPr>
        <w:t>Date of Issuance 6/10/2022</w:t>
      </w:r>
    </w:p>
    <w:p w:rsidR="00347426" w:rsidP="00347426" w:rsidRDefault="00347426" w14:paraId="54905F8F" w14:textId="5D850D09">
      <w:pPr>
        <w:spacing w:line="240" w:lineRule="auto"/>
        <w:ind w:firstLine="0"/>
      </w:pPr>
    </w:p>
    <w:p w:rsidR="008B74B0" w:rsidP="00347426" w:rsidRDefault="008B74B0" w14:paraId="5451FF4A" w14:textId="68BB9EBC">
      <w:pPr>
        <w:spacing w:line="240" w:lineRule="auto"/>
        <w:ind w:firstLine="0"/>
      </w:pPr>
    </w:p>
    <w:p w:rsidR="008B74B0" w:rsidP="00347426" w:rsidRDefault="008B74B0" w14:paraId="00C57EDF" w14:textId="2751CDC7">
      <w:pPr>
        <w:spacing w:line="240" w:lineRule="auto"/>
        <w:ind w:firstLine="0"/>
      </w:pPr>
      <w:r>
        <w:t xml:space="preserve">Decision </w:t>
      </w:r>
      <w:r w:rsidRPr="00C64C25" w:rsidR="00301DED">
        <w:t>22-06-013</w:t>
      </w:r>
      <w:r w:rsidR="00301DED">
        <w:t xml:space="preserve">  June 2, 2022</w:t>
      </w:r>
    </w:p>
    <w:p w:rsidR="008B74B0" w:rsidP="00347426" w:rsidRDefault="008B74B0" w14:paraId="12A8F24C" w14:textId="77777777">
      <w:pPr>
        <w:spacing w:line="240" w:lineRule="auto"/>
        <w:ind w:firstLine="0"/>
      </w:pPr>
    </w:p>
    <w:p w:rsidRPr="00347426" w:rsidR="00347426" w:rsidP="00347426" w:rsidRDefault="00347426" w14:paraId="40B324E7" w14:textId="77777777">
      <w:pPr>
        <w:spacing w:line="240" w:lineRule="auto"/>
        <w:ind w:firstLine="0"/>
      </w:pPr>
    </w:p>
    <w:p w:rsidR="00DA7B5D" w:rsidP="00BB0243" w:rsidRDefault="00DA7B5D" w14:paraId="3CA983B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Pr="00D549DC" w:rsidR="00DA7B5D" w:rsidP="008F0116" w:rsidRDefault="00DA7B5D" w14:paraId="4E2E57B9" w14:textId="6CEEEDFB">
      <w:pPr>
        <w:spacing w:line="240" w:lineRule="auto"/>
        <w:ind w:firstLine="0"/>
        <w:rPr>
          <w:rFonts w:ascii="Arial" w:hAnsi="Arial" w:cs="Arial"/>
          <w:szCs w:val="24"/>
        </w:rPr>
      </w:pPr>
    </w:p>
    <w:p w:rsidRPr="00D549DC" w:rsidR="00E951EA" w:rsidP="008F0116" w:rsidRDefault="00E951EA" w14:paraId="252CAB26" w14:textId="77777777">
      <w:pPr>
        <w:spacing w:line="240" w:lineRule="auto"/>
        <w:ind w:firstLine="0"/>
        <w:rPr>
          <w:rFonts w:ascii="Arial" w:hAnsi="Arial" w:cs="Arial"/>
          <w:szCs w:val="24"/>
        </w:rPr>
      </w:pPr>
    </w:p>
    <w:tbl>
      <w:tblPr>
        <w:tblStyle w:val="TableGrid"/>
        <w:tblW w:w="9360" w:type="dxa"/>
        <w:jc w:val="center"/>
        <w:tblLayout w:type="fixed"/>
        <w:tblLook w:val="04A0" w:firstRow="1" w:lastRow="0" w:firstColumn="1" w:lastColumn="0" w:noHBand="0" w:noVBand="1"/>
      </w:tblPr>
      <w:tblGrid>
        <w:gridCol w:w="5400"/>
        <w:gridCol w:w="3960"/>
      </w:tblGrid>
      <w:tr w:rsidR="00DA7B5D" w:rsidTr="00E177D8" w14:paraId="441304AB" w14:textId="77777777">
        <w:trPr>
          <w:jc w:val="center"/>
        </w:trPr>
        <w:tc>
          <w:tcPr>
            <w:tcW w:w="5400" w:type="dxa"/>
            <w:tcBorders>
              <w:top w:val="nil"/>
              <w:left w:val="nil"/>
              <w:bottom w:val="single" w:color="auto" w:sz="4" w:space="0"/>
              <w:right w:val="single" w:color="auto" w:sz="4" w:space="0"/>
            </w:tcBorders>
          </w:tcPr>
          <w:p w:rsidRPr="00D549DC" w:rsidR="00DA7B5D" w:rsidP="00C10B5F" w:rsidRDefault="00D34F4C" w14:paraId="719A87CD" w14:textId="066796F1">
            <w:pPr>
              <w:spacing w:line="240" w:lineRule="auto"/>
              <w:ind w:firstLine="0"/>
              <w:rPr>
                <w:szCs w:val="26"/>
              </w:rPr>
            </w:pPr>
            <w:r w:rsidRPr="00D549DC">
              <w:rPr>
                <w:szCs w:val="24"/>
              </w:rPr>
              <w:t>Application of SAN JOSE WATER COMPANY (U168W) for Approval of Cost Recovery for Advanced Metering infrastructure.</w:t>
            </w:r>
          </w:p>
          <w:p w:rsidRPr="00DA7B5D" w:rsidR="00347426" w:rsidP="00C10B5F" w:rsidRDefault="00347426" w14:paraId="62E82B0C" w14:textId="4A13B884">
            <w:pPr>
              <w:spacing w:line="240" w:lineRule="auto"/>
              <w:ind w:firstLine="0"/>
              <w:rPr>
                <w:rFonts w:cs="Arial"/>
                <w:szCs w:val="26"/>
              </w:rPr>
            </w:pPr>
          </w:p>
        </w:tc>
        <w:tc>
          <w:tcPr>
            <w:tcW w:w="3960" w:type="dxa"/>
            <w:tcBorders>
              <w:top w:val="nil"/>
              <w:left w:val="single" w:color="auto" w:sz="4" w:space="0"/>
              <w:bottom w:val="nil"/>
              <w:right w:val="nil"/>
            </w:tcBorders>
            <w:vAlign w:val="center"/>
          </w:tcPr>
          <w:p w:rsidRPr="00DA7B5D" w:rsidR="00DA7B5D" w:rsidP="00412C83" w:rsidRDefault="00E951EA" w14:paraId="7FC85933" w14:textId="335F6F32">
            <w:pPr>
              <w:spacing w:line="240" w:lineRule="auto"/>
              <w:ind w:firstLine="0"/>
              <w:jc w:val="center"/>
              <w:rPr>
                <w:rFonts w:cs="Arial"/>
                <w:szCs w:val="26"/>
              </w:rPr>
            </w:pPr>
            <w:r>
              <w:rPr>
                <w:rFonts w:cs="Arial"/>
                <w:szCs w:val="26"/>
              </w:rPr>
              <w:t xml:space="preserve">Application </w:t>
            </w:r>
            <w:r w:rsidRPr="00D549DC" w:rsidR="00F82765">
              <w:rPr>
                <w:szCs w:val="24"/>
              </w:rPr>
              <w:t>19</w:t>
            </w:r>
            <w:r w:rsidRPr="00D549DC" w:rsidR="009B4801">
              <w:rPr>
                <w:szCs w:val="24"/>
              </w:rPr>
              <w:noBreakHyphen/>
            </w:r>
            <w:r w:rsidRPr="00D549DC" w:rsidR="00F82765">
              <w:rPr>
                <w:szCs w:val="24"/>
              </w:rPr>
              <w:t>12</w:t>
            </w:r>
            <w:r w:rsidRPr="00D549DC" w:rsidR="009B4801">
              <w:rPr>
                <w:szCs w:val="24"/>
              </w:rPr>
              <w:noBreakHyphen/>
            </w:r>
            <w:r w:rsidRPr="00D549DC" w:rsidR="00F82765">
              <w:rPr>
                <w:szCs w:val="24"/>
              </w:rPr>
              <w:t>002</w:t>
            </w:r>
          </w:p>
        </w:tc>
      </w:tr>
    </w:tbl>
    <w:p w:rsidRPr="00D549DC" w:rsidR="00DA7B5D" w:rsidP="008F0116" w:rsidRDefault="00DA7B5D" w14:paraId="28A6F9CD" w14:textId="77777777">
      <w:pPr>
        <w:spacing w:line="240" w:lineRule="auto"/>
        <w:ind w:firstLine="0"/>
        <w:rPr>
          <w:rFonts w:ascii="Arial" w:hAnsi="Arial" w:cs="Arial"/>
          <w:szCs w:val="24"/>
        </w:rPr>
      </w:pPr>
    </w:p>
    <w:p w:rsidRPr="00D549DC" w:rsidR="00DA7B5D" w:rsidP="00390265" w:rsidRDefault="00DA7B5D" w14:paraId="28C9F39B" w14:textId="77777777">
      <w:pPr>
        <w:spacing w:line="240" w:lineRule="auto"/>
        <w:ind w:firstLine="0"/>
        <w:rPr>
          <w:rFonts w:cs="Arial"/>
          <w:b/>
          <w:bCs/>
          <w:szCs w:val="24"/>
        </w:rPr>
      </w:pPr>
    </w:p>
    <w:p w:rsidR="00390265" w:rsidP="00000E84" w:rsidRDefault="00E951EA" w14:paraId="118262C3" w14:textId="33DB9859">
      <w:pPr>
        <w:pStyle w:val="Dummy"/>
        <w:jc w:val="center"/>
      </w:pPr>
      <w:bookmarkStart w:name="_Toc67650853" w:id="0"/>
      <w:bookmarkStart w:name="_Toc101900322" w:id="1"/>
      <w:r w:rsidRPr="00390265">
        <w:t>DECISION GRANTING JOINT MOTION FOR APPROVAL</w:t>
      </w:r>
      <w:r w:rsidR="00347426">
        <w:br/>
      </w:r>
      <w:r w:rsidRPr="00390265">
        <w:t xml:space="preserve">OF SETTLEMENT BETWEEN </w:t>
      </w:r>
      <w:bookmarkEnd w:id="0"/>
      <w:r w:rsidRPr="00390265" w:rsidR="00390265">
        <w:t>SAN JOSE WATER COMPANY,</w:t>
      </w:r>
      <w:r w:rsidR="00347426">
        <w:br/>
      </w:r>
      <w:r w:rsidRPr="00390265" w:rsidR="00390265">
        <w:t>PUBLIC ADVOCATES OFFICE</w:t>
      </w:r>
      <w:r w:rsidR="00347426">
        <w:t>,</w:t>
      </w:r>
      <w:r w:rsidRPr="00390265" w:rsidR="00390265">
        <w:t xml:space="preserve"> </w:t>
      </w:r>
      <w:r w:rsidR="00390265">
        <w:t xml:space="preserve">AND </w:t>
      </w:r>
      <w:r w:rsidRPr="00390265" w:rsidR="00390265">
        <w:t>WATER RATE ADVOCATES</w:t>
      </w:r>
      <w:r w:rsidR="00347426">
        <w:br/>
      </w:r>
      <w:r w:rsidRPr="00390265" w:rsidR="00390265">
        <w:t>FOR</w:t>
      </w:r>
      <w:r w:rsidRPr="00390265" w:rsidR="00390265">
        <w:rPr>
          <w:spacing w:val="1"/>
        </w:rPr>
        <w:t xml:space="preserve"> </w:t>
      </w:r>
      <w:r w:rsidRPr="00390265" w:rsidR="00390265">
        <w:t>TRANSPARENCY,</w:t>
      </w:r>
      <w:r w:rsidRPr="00390265" w:rsidR="00390265">
        <w:rPr>
          <w:spacing w:val="-2"/>
        </w:rPr>
        <w:t xml:space="preserve"> </w:t>
      </w:r>
      <w:r w:rsidRPr="00390265" w:rsidR="00390265">
        <w:t>EQUITY</w:t>
      </w:r>
      <w:r w:rsidRPr="00390265" w:rsidR="00390265">
        <w:rPr>
          <w:spacing w:val="-6"/>
        </w:rPr>
        <w:t xml:space="preserve"> </w:t>
      </w:r>
      <w:r w:rsidRPr="00390265" w:rsidR="00390265">
        <w:t>AND</w:t>
      </w:r>
      <w:r w:rsidRPr="00390265" w:rsidR="00390265">
        <w:rPr>
          <w:spacing w:val="-1"/>
        </w:rPr>
        <w:t xml:space="preserve"> </w:t>
      </w:r>
      <w:r w:rsidRPr="00390265" w:rsidR="00390265">
        <w:t>SUSTAINABILITY</w:t>
      </w:r>
      <w:bookmarkEnd w:id="1"/>
    </w:p>
    <w:p w:rsidR="0098655A" w:rsidP="00347426" w:rsidRDefault="0098655A" w14:paraId="3F8A3D0B" w14:textId="39492E9E">
      <w:pPr>
        <w:spacing w:line="240" w:lineRule="auto"/>
        <w:ind w:firstLine="0"/>
      </w:pPr>
    </w:p>
    <w:p w:rsidR="005A148C" w:rsidP="005A148C" w:rsidRDefault="005A148C" w14:paraId="35549DE6" w14:textId="77777777">
      <w:pPr>
        <w:pStyle w:val="Dummy"/>
      </w:pPr>
      <w:bookmarkStart w:name="_Toc8123714" w:id="2"/>
      <w:bookmarkStart w:name="_Toc67650854" w:id="3"/>
      <w:bookmarkStart w:name="_Toc101900323" w:id="4"/>
      <w:r>
        <w:t>Summary</w:t>
      </w:r>
      <w:bookmarkEnd w:id="2"/>
      <w:bookmarkEnd w:id="3"/>
      <w:bookmarkEnd w:id="4"/>
    </w:p>
    <w:p w:rsidR="00182C9E" w:rsidP="00987EBE" w:rsidRDefault="00531DFB" w14:paraId="5C922EF6" w14:textId="7C06668D">
      <w:pPr>
        <w:pStyle w:val="Standard"/>
      </w:pPr>
      <w:bookmarkStart w:name="OLE_LINK3" w:id="5"/>
      <w:bookmarkStart w:name="OLE_LINK4" w:id="6"/>
      <w:bookmarkStart w:name="_Toc8123715" w:id="7"/>
      <w:r w:rsidRPr="00531DFB">
        <w:t xml:space="preserve">This decision adopts and approves the </w:t>
      </w:r>
      <w:r w:rsidRPr="009C2B0F" w:rsidR="00390265">
        <w:rPr>
          <w:iCs/>
        </w:rPr>
        <w:t>All</w:t>
      </w:r>
      <w:r w:rsidRPr="009C2B0F" w:rsidR="009B4801">
        <w:rPr>
          <w:iCs/>
        </w:rPr>
        <w:noBreakHyphen/>
      </w:r>
      <w:r w:rsidRPr="009C2B0F" w:rsidR="00390265">
        <w:rPr>
          <w:iCs/>
        </w:rPr>
        <w:t>Party Settlement Agreement</w:t>
      </w:r>
      <w:r w:rsidRPr="00390265" w:rsidR="00390265">
        <w:rPr>
          <w:iCs/>
        </w:rPr>
        <w:t xml:space="preserve"> </w:t>
      </w:r>
      <w:r w:rsidR="00D84D3F">
        <w:rPr>
          <w:iCs/>
        </w:rPr>
        <w:t>(</w:t>
      </w:r>
      <w:r w:rsidRPr="009C2B0F" w:rsidR="00D84D3F">
        <w:rPr>
          <w:iCs/>
        </w:rPr>
        <w:t>Settlement Agreement</w:t>
      </w:r>
      <w:r w:rsidR="00D84D3F">
        <w:rPr>
          <w:iCs/>
        </w:rPr>
        <w:t xml:space="preserve">) </w:t>
      </w:r>
      <w:r w:rsidR="00035937">
        <w:rPr>
          <w:iCs/>
        </w:rPr>
        <w:t>b</w:t>
      </w:r>
      <w:r w:rsidRPr="00390265" w:rsidR="00390265">
        <w:rPr>
          <w:iCs/>
        </w:rPr>
        <w:t xml:space="preserve">etween </w:t>
      </w:r>
      <w:r w:rsidRPr="009C2B0F" w:rsidR="005F12F2">
        <w:rPr>
          <w:iCs/>
        </w:rPr>
        <w:t>San </w:t>
      </w:r>
      <w:r w:rsidRPr="009C2B0F" w:rsidR="00390265">
        <w:rPr>
          <w:iCs/>
        </w:rPr>
        <w:t xml:space="preserve">Jose Water </w:t>
      </w:r>
      <w:r w:rsidRPr="009C2B0F" w:rsidR="00390265">
        <w:t>Company</w:t>
      </w:r>
      <w:r w:rsidR="005B0115">
        <w:rPr>
          <w:iCs/>
        </w:rPr>
        <w:t xml:space="preserve"> </w:t>
      </w:r>
      <w:r w:rsidR="007B0323">
        <w:rPr>
          <w:iCs/>
        </w:rPr>
        <w:t>(</w:t>
      </w:r>
      <w:r w:rsidRPr="009C2B0F" w:rsidR="007B0323">
        <w:rPr>
          <w:iCs/>
        </w:rPr>
        <w:t>SJWC</w:t>
      </w:r>
      <w:r w:rsidR="007B0323">
        <w:rPr>
          <w:iCs/>
        </w:rPr>
        <w:t>)</w:t>
      </w:r>
      <w:r w:rsidRPr="00390265" w:rsidR="00390265">
        <w:rPr>
          <w:iCs/>
        </w:rPr>
        <w:t xml:space="preserve">, </w:t>
      </w:r>
      <w:bookmarkStart w:name="_Hlk83126556" w:id="8"/>
      <w:r w:rsidRPr="009C2B0F" w:rsidR="00390265">
        <w:t>Water Rate Advocates for Transparency, Equity, and Sustainability</w:t>
      </w:r>
      <w:r w:rsidR="005B0115">
        <w:rPr>
          <w:iCs/>
        </w:rPr>
        <w:t xml:space="preserve"> </w:t>
      </w:r>
      <w:bookmarkEnd w:id="8"/>
      <w:r w:rsidRPr="00390265" w:rsidR="00390265">
        <w:rPr>
          <w:iCs/>
        </w:rPr>
        <w:t xml:space="preserve">and the </w:t>
      </w:r>
      <w:r w:rsidRPr="009C2B0F" w:rsidR="003D19B0">
        <w:t xml:space="preserve">Public Advocates Office of the California Public Utilities Commission </w:t>
      </w:r>
      <w:r w:rsidR="00035937">
        <w:rPr>
          <w:iCs/>
        </w:rPr>
        <w:t>(</w:t>
      </w:r>
      <w:r w:rsidRPr="009C2B0F" w:rsidR="00035937">
        <w:t>collectively</w:t>
      </w:r>
      <w:r w:rsidRPr="009C2B0F" w:rsidR="00A01D9F">
        <w:t xml:space="preserve">, </w:t>
      </w:r>
      <w:r w:rsidR="00035937">
        <w:rPr>
          <w:iCs/>
        </w:rPr>
        <w:t xml:space="preserve">the </w:t>
      </w:r>
      <w:r w:rsidRPr="009C2B0F" w:rsidR="00A01D9F">
        <w:rPr>
          <w:iCs/>
        </w:rPr>
        <w:t>P</w:t>
      </w:r>
      <w:r w:rsidRPr="009C2B0F" w:rsidR="00035937">
        <w:rPr>
          <w:iCs/>
        </w:rPr>
        <w:t>arties</w:t>
      </w:r>
      <w:r w:rsidR="00035937">
        <w:rPr>
          <w:iCs/>
        </w:rPr>
        <w:t>)</w:t>
      </w:r>
      <w:r w:rsidRPr="00531DFB">
        <w:t xml:space="preserve"> pertaining to </w:t>
      </w:r>
      <w:proofErr w:type="spellStart"/>
      <w:r w:rsidRPr="009C2B0F" w:rsidR="00A567F2">
        <w:t>SJWC</w:t>
      </w:r>
      <w:r w:rsidR="00390265">
        <w:t>’s</w:t>
      </w:r>
      <w:proofErr w:type="spellEnd"/>
      <w:r w:rsidR="00390265">
        <w:t xml:space="preserve"> </w:t>
      </w:r>
      <w:r w:rsidRPr="00531DFB">
        <w:t>application for a</w:t>
      </w:r>
      <w:r w:rsidR="00390265">
        <w:t xml:space="preserve">pproval of cost recovery for </w:t>
      </w:r>
      <w:r w:rsidRPr="009C2B0F" w:rsidR="00AB376F">
        <w:t>Advanced Metering Infrastructure</w:t>
      </w:r>
      <w:r w:rsidR="004B2B1F">
        <w:t xml:space="preserve"> (</w:t>
      </w:r>
      <w:r w:rsidRPr="009C2B0F" w:rsidR="004B2B1F">
        <w:t>AMI</w:t>
      </w:r>
      <w:r w:rsidR="004B2B1F">
        <w:t>)</w:t>
      </w:r>
      <w:r w:rsidR="00AB376F">
        <w:t xml:space="preserve"> </w:t>
      </w:r>
      <w:r w:rsidRPr="009C2B0F" w:rsidR="00BC5AE8">
        <w:t>filed December</w:t>
      </w:r>
      <w:r w:rsidRPr="009C2B0F" w:rsidR="00A01D9F">
        <w:t> </w:t>
      </w:r>
      <w:r w:rsidRPr="009C2B0F" w:rsidR="00BC5AE8">
        <w:t>6,</w:t>
      </w:r>
      <w:r w:rsidRPr="009C2B0F" w:rsidR="00A01D9F">
        <w:t> </w:t>
      </w:r>
      <w:r w:rsidRPr="009C2B0F" w:rsidR="00BC5AE8">
        <w:t>2019</w:t>
      </w:r>
      <w:r w:rsidR="00186F2F">
        <w:t xml:space="preserve"> (</w:t>
      </w:r>
      <w:r w:rsidRPr="009C2B0F" w:rsidR="00EA4FEB">
        <w:t>the</w:t>
      </w:r>
      <w:r w:rsidR="00EA4FEB">
        <w:t xml:space="preserve"> </w:t>
      </w:r>
      <w:r w:rsidRPr="009C2B0F" w:rsidR="00186F2F">
        <w:t>Application</w:t>
      </w:r>
      <w:r w:rsidR="00186F2F">
        <w:t>)</w:t>
      </w:r>
      <w:r w:rsidR="00BC5AE8">
        <w:t xml:space="preserve">. </w:t>
      </w:r>
    </w:p>
    <w:p w:rsidRPr="00035937" w:rsidR="00531DFB" w:rsidP="00987EBE" w:rsidRDefault="005F12F2" w14:paraId="1E39B09C" w14:textId="4246DB44">
      <w:pPr>
        <w:pStyle w:val="Standard"/>
      </w:pPr>
      <w:r>
        <w:t>Attachment </w:t>
      </w:r>
      <w:r w:rsidRPr="00035937" w:rsidR="00531DFB">
        <w:t xml:space="preserve">1 to this </w:t>
      </w:r>
      <w:r w:rsidRPr="00035937" w:rsidR="005B0115">
        <w:t>d</w:t>
      </w:r>
      <w:r w:rsidRPr="00035937" w:rsidR="00531DFB">
        <w:t xml:space="preserve">ecision is the Settlement Agreement, which resolves all </w:t>
      </w:r>
      <w:r w:rsidRPr="00035937" w:rsidR="00854FC8">
        <w:t xml:space="preserve">disputes </w:t>
      </w:r>
      <w:r w:rsidRPr="00035937" w:rsidR="00531DFB">
        <w:t>related to the Application</w:t>
      </w:r>
      <w:r w:rsidRPr="00035937" w:rsidR="005B0115">
        <w:t>,</w:t>
      </w:r>
      <w:r w:rsidRPr="00035937" w:rsidR="00531DFB">
        <w:t xml:space="preserve"> and memorializes the modifications to the Application </w:t>
      </w:r>
      <w:r w:rsidR="00A90B7A">
        <w:t xml:space="preserve">upon which </w:t>
      </w:r>
      <w:r w:rsidRPr="00035937" w:rsidR="00531DFB">
        <w:t xml:space="preserve">the </w:t>
      </w:r>
      <w:r w:rsidRPr="009C2B0F" w:rsidR="00CD398E">
        <w:t>Parties</w:t>
      </w:r>
      <w:r w:rsidRPr="00035937" w:rsidR="00CD398E">
        <w:t xml:space="preserve"> </w:t>
      </w:r>
      <w:r w:rsidRPr="00035937" w:rsidR="00531DFB">
        <w:t>agree</w:t>
      </w:r>
      <w:r w:rsidR="0090128B">
        <w:t>.</w:t>
      </w:r>
      <w:r w:rsidRPr="00035937" w:rsidR="00531DFB">
        <w:t xml:space="preserve"> </w:t>
      </w:r>
    </w:p>
    <w:p w:rsidRPr="00035937" w:rsidR="00035937" w:rsidP="00987EBE" w:rsidRDefault="001C1295" w14:paraId="263905B9" w14:textId="247E59A8">
      <w:pPr>
        <w:pStyle w:val="Standard"/>
        <w:rPr>
          <w:szCs w:val="26"/>
        </w:rPr>
      </w:pPr>
      <w:r w:rsidRPr="00035937">
        <w:lastRenderedPageBreak/>
        <w:t>Under the terms of the</w:t>
      </w:r>
      <w:r w:rsidR="0090128B">
        <w:t xml:space="preserve"> </w:t>
      </w:r>
      <w:r w:rsidRPr="009C2B0F" w:rsidR="00CD398E">
        <w:t>Parties</w:t>
      </w:r>
      <w:r w:rsidR="0090128B">
        <w:t>’</w:t>
      </w:r>
      <w:r w:rsidRPr="00035937">
        <w:t xml:space="preserve"> </w:t>
      </w:r>
      <w:r w:rsidRPr="00035937" w:rsidR="005B0115">
        <w:t>S</w:t>
      </w:r>
      <w:r w:rsidRPr="00035937">
        <w:t xml:space="preserve">ettlement </w:t>
      </w:r>
      <w:r w:rsidRPr="00035937" w:rsidR="005B0115">
        <w:t>A</w:t>
      </w:r>
      <w:r w:rsidRPr="00035937">
        <w:t xml:space="preserve">greement, </w:t>
      </w:r>
      <w:r w:rsidRPr="009C2B0F" w:rsidR="00C07920">
        <w:t>SJWC</w:t>
      </w:r>
      <w:r w:rsidRPr="00035937" w:rsidR="005B0115">
        <w:rPr>
          <w:iCs/>
        </w:rPr>
        <w:t xml:space="preserve"> </w:t>
      </w:r>
      <w:r w:rsidRPr="00035937">
        <w:t xml:space="preserve">is to achieve full deployment of its </w:t>
      </w:r>
      <w:r w:rsidRPr="009C2B0F" w:rsidR="00327FFD">
        <w:t>AMI</w:t>
      </w:r>
      <w:r w:rsidR="00327FFD">
        <w:t xml:space="preserve"> </w:t>
      </w:r>
      <w:r w:rsidR="00E15B4B">
        <w:t xml:space="preserve">program </w:t>
      </w:r>
      <w:r w:rsidRPr="00035937" w:rsidR="005B0115">
        <w:t>within four years after issuance of this decision</w:t>
      </w:r>
      <w:r w:rsidRPr="00035937" w:rsidR="00FF4E7A">
        <w:t xml:space="preserve">, during which SJWC will utilize traditional and electronic means to educate customers about the program. The recorded costs of the deployment </w:t>
      </w:r>
      <w:r w:rsidRPr="00035937" w:rsidR="00096D0E">
        <w:t xml:space="preserve">will be included in rate base through annual </w:t>
      </w:r>
      <w:r w:rsidR="004A36A9">
        <w:t>Tier 2</w:t>
      </w:r>
      <w:r w:rsidRPr="00035937" w:rsidR="00096D0E">
        <w:t xml:space="preserve"> </w:t>
      </w:r>
      <w:r w:rsidRPr="009C2B0F" w:rsidR="0020324D">
        <w:t>Advice Letter</w:t>
      </w:r>
      <w:r w:rsidRPr="009C2B0F" w:rsidR="007054A2">
        <w:t xml:space="preserve"> </w:t>
      </w:r>
      <w:r w:rsidRPr="00035937" w:rsidR="00096D0E">
        <w:t>filings, and t</w:t>
      </w:r>
      <w:r w:rsidRPr="00035937" w:rsidR="005B0115">
        <w:t xml:space="preserve">he Commission is asked to adopt </w:t>
      </w:r>
      <w:r w:rsidRPr="00035937" w:rsidR="00FF4E7A">
        <w:t>new</w:t>
      </w:r>
      <w:r w:rsidRPr="00035937" w:rsidR="005B0115">
        <w:t xml:space="preserve"> Performance Incentive Mechanism </w:t>
      </w:r>
      <w:r w:rsidRPr="00035937" w:rsidR="00FF4E7A">
        <w:t xml:space="preserve">criteria </w:t>
      </w:r>
      <w:r w:rsidRPr="00035937" w:rsidR="005B0115">
        <w:t>to monitor</w:t>
      </w:r>
      <w:r w:rsidRPr="00035937" w:rsidR="00096D0E">
        <w:t xml:space="preserve"> </w:t>
      </w:r>
      <w:proofErr w:type="spellStart"/>
      <w:r w:rsidRPr="009C2B0F" w:rsidR="009E5A92">
        <w:t>SJWC</w:t>
      </w:r>
      <w:r w:rsidRPr="00035937" w:rsidR="00035937">
        <w:t>’s</w:t>
      </w:r>
      <w:proofErr w:type="spellEnd"/>
      <w:r w:rsidRPr="00035937" w:rsidR="00035937">
        <w:t xml:space="preserve"> </w:t>
      </w:r>
      <w:r w:rsidRPr="00035937" w:rsidR="00FF4E7A">
        <w:t>compliance with</w:t>
      </w:r>
      <w:r w:rsidRPr="00035937" w:rsidR="00096D0E">
        <w:t xml:space="preserve"> </w:t>
      </w:r>
      <w:r w:rsidRPr="00035937" w:rsidR="00035937">
        <w:t xml:space="preserve">certain criteria that the </w:t>
      </w:r>
      <w:r w:rsidRPr="009C2B0F" w:rsidR="00CD398E">
        <w:t>Parties</w:t>
      </w:r>
      <w:r w:rsidRPr="00035937" w:rsidR="00CD398E">
        <w:t xml:space="preserve"> </w:t>
      </w:r>
      <w:r w:rsidRPr="00035937" w:rsidR="00035937">
        <w:t xml:space="preserve">agree should be put in place in connection with the </w:t>
      </w:r>
      <w:r w:rsidR="004B2B1F">
        <w:t xml:space="preserve">AMI </w:t>
      </w:r>
      <w:r w:rsidRPr="00035937" w:rsidR="00096D0E">
        <w:t>deployment</w:t>
      </w:r>
      <w:r w:rsidRPr="00035937" w:rsidR="00035937">
        <w:t>.</w:t>
      </w:r>
    </w:p>
    <w:p w:rsidRPr="00531DFB" w:rsidR="00531DFB" w:rsidP="00987EBE" w:rsidRDefault="00531DFB" w14:paraId="63F50500" w14:textId="537DA4FD">
      <w:pPr>
        <w:pStyle w:val="Standard"/>
      </w:pPr>
      <w:r w:rsidRPr="00531DFB">
        <w:t xml:space="preserve">We find that the Settlement Agreement between the </w:t>
      </w:r>
      <w:r w:rsidRPr="009C2B0F" w:rsidR="00CD398E">
        <w:t>Parties</w:t>
      </w:r>
      <w:r w:rsidRPr="00531DFB" w:rsidR="00CD398E">
        <w:t xml:space="preserve"> </w:t>
      </w:r>
      <w:r w:rsidRPr="00531DFB">
        <w:t xml:space="preserve">is reasonable based upon the whole record in this proceeding and is consistent with the law and in the public interest. </w:t>
      </w:r>
    </w:p>
    <w:p w:rsidRPr="00531DFB" w:rsidR="00531DFB" w:rsidP="00987EBE" w:rsidRDefault="00531DFB" w14:paraId="49CDB3AE" w14:textId="39E6AB4B">
      <w:pPr>
        <w:pStyle w:val="standard0"/>
      </w:pPr>
      <w:r w:rsidRPr="00531DFB">
        <w:t xml:space="preserve">This </w:t>
      </w:r>
      <w:r w:rsidRPr="00987EBE">
        <w:t>Decision</w:t>
      </w:r>
      <w:r w:rsidRPr="00531DFB">
        <w:t xml:space="preserve"> closes proceeding A</w:t>
      </w:r>
      <w:r w:rsidR="009679A8">
        <w:t xml:space="preserve">pplication </w:t>
      </w:r>
      <w:r w:rsidRPr="00531DFB">
        <w:t>19</w:t>
      </w:r>
      <w:r w:rsidR="009B4801">
        <w:noBreakHyphen/>
      </w:r>
      <w:r w:rsidR="00BC5AE8">
        <w:t>12</w:t>
      </w:r>
      <w:r w:rsidR="009B4801">
        <w:noBreakHyphen/>
      </w:r>
      <w:r w:rsidRPr="00531DFB">
        <w:t>0</w:t>
      </w:r>
      <w:r w:rsidR="00BC5AE8">
        <w:t>02</w:t>
      </w:r>
      <w:r w:rsidRPr="00531DFB">
        <w:t>.</w:t>
      </w:r>
    </w:p>
    <w:p w:rsidR="005A148C" w:rsidP="00DE6ED2" w:rsidRDefault="002C7FE9" w14:paraId="08656BB0" w14:textId="1B243F66">
      <w:pPr>
        <w:pStyle w:val="Heading1"/>
        <w:numPr>
          <w:ilvl w:val="0"/>
          <w:numId w:val="12"/>
        </w:numPr>
      </w:pPr>
      <w:bookmarkStart w:name="_Toc67650855" w:id="9"/>
      <w:bookmarkStart w:name="_Toc101900324" w:id="10"/>
      <w:bookmarkEnd w:id="5"/>
      <w:bookmarkEnd w:id="6"/>
      <w:r w:rsidRPr="00121089">
        <w:t>Background</w:t>
      </w:r>
      <w:bookmarkEnd w:id="7"/>
      <w:bookmarkEnd w:id="9"/>
      <w:bookmarkEnd w:id="10"/>
    </w:p>
    <w:p w:rsidR="00180B45" w:rsidP="009B4801" w:rsidRDefault="00772D4A" w14:paraId="0ED93484" w14:textId="31EA1224">
      <w:pPr>
        <w:pStyle w:val="Standard"/>
      </w:pPr>
      <w:r w:rsidRPr="003003E8">
        <w:t xml:space="preserve">On </w:t>
      </w:r>
      <w:r w:rsidR="006D2B45">
        <w:t>December</w:t>
      </w:r>
      <w:r w:rsidR="00132F7C">
        <w:t> </w:t>
      </w:r>
      <w:r w:rsidR="006D2B45">
        <w:t>6</w:t>
      </w:r>
      <w:r w:rsidRPr="003003E8">
        <w:t>,</w:t>
      </w:r>
      <w:r w:rsidR="00132F7C">
        <w:t> </w:t>
      </w:r>
      <w:r w:rsidRPr="003003E8">
        <w:t xml:space="preserve">2019, </w:t>
      </w:r>
      <w:r w:rsidRPr="009C2B0F" w:rsidR="005F12F2">
        <w:t>San </w:t>
      </w:r>
      <w:r w:rsidRPr="009C2B0F" w:rsidR="006D2B45">
        <w:t xml:space="preserve">Jose Water Company </w:t>
      </w:r>
      <w:r w:rsidR="006D2B45">
        <w:t>(</w:t>
      </w:r>
      <w:r w:rsidRPr="009C2B0F" w:rsidR="006D2B45">
        <w:rPr>
          <w:iCs/>
        </w:rPr>
        <w:t>SJW</w:t>
      </w:r>
      <w:r w:rsidRPr="009C2B0F" w:rsidR="002A5432">
        <w:rPr>
          <w:iCs/>
        </w:rPr>
        <w:t>C</w:t>
      </w:r>
      <w:r w:rsidR="006D2B45">
        <w:t>)</w:t>
      </w:r>
      <w:r w:rsidRPr="003003E8">
        <w:t xml:space="preserve"> filed </w:t>
      </w:r>
      <w:r w:rsidRPr="009C2B0F" w:rsidR="009679A8">
        <w:t>Application</w:t>
      </w:r>
      <w:r w:rsidR="009679A8">
        <w:t xml:space="preserve"> (</w:t>
      </w:r>
      <w:r w:rsidRPr="009C2B0F">
        <w:rPr>
          <w:iCs/>
        </w:rPr>
        <w:t>A.</w:t>
      </w:r>
      <w:r w:rsidR="009679A8">
        <w:t>)</w:t>
      </w:r>
      <w:r w:rsidR="00464A40">
        <w:t> </w:t>
      </w:r>
      <w:r w:rsidRPr="009C2B0F">
        <w:t>19</w:t>
      </w:r>
      <w:r w:rsidRPr="009C2B0F" w:rsidR="009B4801">
        <w:noBreakHyphen/>
      </w:r>
      <w:r w:rsidRPr="009C2B0F" w:rsidR="006D2B45">
        <w:t>12</w:t>
      </w:r>
      <w:r w:rsidRPr="009C2B0F" w:rsidR="009B4801">
        <w:noBreakHyphen/>
      </w:r>
      <w:r w:rsidRPr="009C2B0F">
        <w:t>0</w:t>
      </w:r>
      <w:r w:rsidRPr="009C2B0F" w:rsidR="006D2B45">
        <w:t>02</w:t>
      </w:r>
      <w:r w:rsidRPr="009C2B0F">
        <w:t xml:space="preserve">, </w:t>
      </w:r>
      <w:r w:rsidRPr="009C2B0F" w:rsidR="006575DE">
        <w:t>for approval of cost recovery</w:t>
      </w:r>
      <w:r w:rsidR="006575DE">
        <w:t xml:space="preserve"> for </w:t>
      </w:r>
      <w:r w:rsidRPr="009C2B0F" w:rsidR="00AB376F">
        <w:t>Advanced Metering Infrastructure</w:t>
      </w:r>
      <w:r w:rsidR="001E6630">
        <w:t xml:space="preserve"> (</w:t>
      </w:r>
      <w:r w:rsidRPr="009C2B0F" w:rsidR="001E6630">
        <w:t>AMI</w:t>
      </w:r>
      <w:r w:rsidR="001E6630">
        <w:t>)</w:t>
      </w:r>
      <w:r w:rsidR="00AB376F">
        <w:t xml:space="preserve"> </w:t>
      </w:r>
      <w:r w:rsidR="006575DE">
        <w:t>(</w:t>
      </w:r>
      <w:r w:rsidRPr="009C2B0F" w:rsidR="00EA4FEB">
        <w:t>the</w:t>
      </w:r>
      <w:r w:rsidR="00EA4FEB">
        <w:t xml:space="preserve"> </w:t>
      </w:r>
      <w:r w:rsidRPr="009C2B0F" w:rsidR="006575DE">
        <w:t>Application</w:t>
      </w:r>
      <w:r w:rsidR="006575DE">
        <w:t xml:space="preserve">).  It is </w:t>
      </w:r>
      <w:r w:rsidR="006D2B45">
        <w:t xml:space="preserve">seeking authorization to increase rates for water service to fund the deployment of </w:t>
      </w:r>
      <w:r w:rsidRPr="009C2B0F" w:rsidR="00E15B4B">
        <w:rPr>
          <w:iCs/>
        </w:rPr>
        <w:t>AMI</w:t>
      </w:r>
      <w:r w:rsidR="006D2B45">
        <w:rPr>
          <w:spacing w:val="-4"/>
        </w:rPr>
        <w:t xml:space="preserve"> </w:t>
      </w:r>
      <w:r w:rsidR="006D2B45">
        <w:t>throughout</w:t>
      </w:r>
      <w:r w:rsidR="006D2B45">
        <w:rPr>
          <w:spacing w:val="-2"/>
        </w:rPr>
        <w:t xml:space="preserve"> </w:t>
      </w:r>
      <w:r w:rsidR="006D2B45">
        <w:t>its</w:t>
      </w:r>
      <w:r w:rsidR="006D2B45">
        <w:rPr>
          <w:spacing w:val="-2"/>
        </w:rPr>
        <w:t xml:space="preserve"> </w:t>
      </w:r>
      <w:r w:rsidR="006D2B45">
        <w:t>service</w:t>
      </w:r>
      <w:r w:rsidR="006D2B45">
        <w:rPr>
          <w:spacing w:val="-4"/>
        </w:rPr>
        <w:t xml:space="preserve"> </w:t>
      </w:r>
      <w:r w:rsidR="006D2B45">
        <w:t>area.</w:t>
      </w:r>
      <w:r w:rsidR="004E261E">
        <w:rPr>
          <w:rStyle w:val="FootnoteReference"/>
        </w:rPr>
        <w:footnoteReference w:id="2"/>
      </w:r>
      <w:r w:rsidR="004E261E">
        <w:t xml:space="preserve"> </w:t>
      </w:r>
      <w:r w:rsidRPr="00531DFB" w:rsidR="006D2B45">
        <w:t xml:space="preserve"> </w:t>
      </w:r>
      <w:r w:rsidR="00180B45">
        <w:t>In this Application, SJWC seeks to increase its rates to cover costs related to AMI deployment.  SJWC proposes an increase of $2,315,000 or 0.61</w:t>
      </w:r>
      <w:r w:rsidR="009E10A9">
        <w:t> percent</w:t>
      </w:r>
      <w:r w:rsidR="00180B45">
        <w:t xml:space="preserve"> in 2021, an increase of $3,960,000 or 1.04</w:t>
      </w:r>
      <w:r w:rsidR="009E10A9">
        <w:t> percent</w:t>
      </w:r>
      <w:r w:rsidR="00180B45">
        <w:t xml:space="preserve"> in 2022, an increase of $2,510,000 or 0.65</w:t>
      </w:r>
      <w:r w:rsidR="009E10A9">
        <w:t> percent</w:t>
      </w:r>
      <w:r w:rsidR="00180B45">
        <w:t xml:space="preserve"> in 2023 and an increase of $341,000 or 0.09</w:t>
      </w:r>
      <w:r w:rsidR="009E10A9">
        <w:t> percent</w:t>
      </w:r>
      <w:r w:rsidR="00180B45">
        <w:t xml:space="preserve"> in 2024.</w:t>
      </w:r>
      <w:r w:rsidR="00180B45">
        <w:rPr>
          <w:rStyle w:val="FootnoteReference"/>
        </w:rPr>
        <w:footnoteReference w:id="3"/>
      </w:r>
    </w:p>
    <w:p w:rsidR="00772D4A" w:rsidP="009B4801" w:rsidRDefault="00E15B4B" w14:paraId="5C066044" w14:textId="66888410">
      <w:pPr>
        <w:pStyle w:val="Standard"/>
      </w:pPr>
      <w:r>
        <w:lastRenderedPageBreak/>
        <w:t xml:space="preserve">SJWC </w:t>
      </w:r>
      <w:r w:rsidR="00BF1E10">
        <w:t xml:space="preserve">contends that AMI technology includes advanced meters that can take up to hourly readings </w:t>
      </w:r>
      <w:r w:rsidR="008701A9">
        <w:t xml:space="preserve">with </w:t>
      </w:r>
      <w:r w:rsidR="00BF1E10">
        <w:t xml:space="preserve">a data transmission system </w:t>
      </w:r>
      <w:r w:rsidR="008701A9">
        <w:t xml:space="preserve">that can </w:t>
      </w:r>
      <w:r w:rsidR="00BF1E10">
        <w:t xml:space="preserve">provide this water usage data to both customers and utility staff in real time.  </w:t>
      </w:r>
      <w:r w:rsidR="008701A9">
        <w:t>SJWC</w:t>
      </w:r>
      <w:r w:rsidR="00BF1E10">
        <w:t xml:space="preserve"> believes that this technology is a critical tool that will help customers comply with the state water use standards, reduce water loss through early notification of the presence of leaks, and minimize </w:t>
      </w:r>
      <w:proofErr w:type="spellStart"/>
      <w:r w:rsidR="00BF1E10">
        <w:t>SJWC’s</w:t>
      </w:r>
      <w:proofErr w:type="spellEnd"/>
      <w:r w:rsidR="00BF1E10">
        <w:t xml:space="preserve"> and the state of California’s carbon footprint.</w:t>
      </w:r>
      <w:r w:rsidR="00BF1E10">
        <w:rPr>
          <w:rStyle w:val="FootnoteReference"/>
        </w:rPr>
        <w:footnoteReference w:id="4"/>
      </w:r>
    </w:p>
    <w:p w:rsidR="00BF1E10" w:rsidP="009B4801" w:rsidRDefault="00BF1E10" w14:paraId="6F45CE50" w14:textId="0394809A">
      <w:pPr>
        <w:pStyle w:val="Standard"/>
      </w:pPr>
      <w:r>
        <w:t>SJWC contends that, with AMI, customers have an improved ability to manage their near real</w:t>
      </w:r>
      <w:r w:rsidR="009B4801">
        <w:noBreakHyphen/>
      </w:r>
      <w:r>
        <w:t xml:space="preserve">time water consumption and detect water leaks, better capabilities to troubleshoot and investigate high usage, and the ability to comply with conservation mandates. </w:t>
      </w:r>
      <w:r w:rsidR="008D3544">
        <w:t xml:space="preserve">SJWC asserts that </w:t>
      </w:r>
      <w:r>
        <w:t>AMI could help communities conserve water by minimizing water waste, thereby reducing the energy, greenhouse gas emissions, and chemical use associated with producing water that is ultimately lost</w:t>
      </w:r>
      <w:r w:rsidR="00B44BBE">
        <w:t> —</w:t>
      </w:r>
      <w:r>
        <w:t xml:space="preserve"> in addition to reducing greenhouse gas emissions via fewer meter reading truck miles driven. AMI could benefit water utilities, </w:t>
      </w:r>
      <w:r w:rsidR="008D3544">
        <w:t xml:space="preserve">they argue, </w:t>
      </w:r>
      <w:r>
        <w:t>helping to eliminate the hazardous work of manual meter reading, and improving identification of leaks, backflow, theft, and meter tampering. This in turn results in improved water quality across the system and a more equitable distribution of costs.</w:t>
      </w:r>
      <w:r>
        <w:rPr>
          <w:rStyle w:val="FootnoteReference"/>
        </w:rPr>
        <w:footnoteReference w:id="5"/>
      </w:r>
    </w:p>
    <w:p w:rsidR="00DE3D49" w:rsidP="009B4801" w:rsidRDefault="00DE3D49" w14:paraId="24228275" w14:textId="2245521C">
      <w:pPr>
        <w:pStyle w:val="Standard"/>
      </w:pPr>
      <w:proofErr w:type="spellStart"/>
      <w:r>
        <w:t>S</w:t>
      </w:r>
      <w:r w:rsidR="0043102E">
        <w:t>JWC</w:t>
      </w:r>
      <w:r>
        <w:t>’s</w:t>
      </w:r>
      <w:proofErr w:type="spellEnd"/>
      <w:r>
        <w:t xml:space="preserve"> present rates are those authorized by Commission </w:t>
      </w:r>
      <w:r w:rsidRPr="009C2B0F" w:rsidR="0082573A">
        <w:t>D</w:t>
      </w:r>
      <w:r w:rsidRPr="009C2B0F">
        <w:t>ecision</w:t>
      </w:r>
      <w:r>
        <w:t xml:space="preserve"> </w:t>
      </w:r>
      <w:r w:rsidR="0082573A">
        <w:t>(</w:t>
      </w:r>
      <w:r w:rsidRPr="009C2B0F">
        <w:rPr>
          <w:iCs/>
        </w:rPr>
        <w:t>D.</w:t>
      </w:r>
      <w:r w:rsidR="0082573A">
        <w:t>) </w:t>
      </w:r>
      <w:r>
        <w:t>18</w:t>
      </w:r>
      <w:r w:rsidR="009B4801">
        <w:noBreakHyphen/>
      </w:r>
      <w:r>
        <w:t>11</w:t>
      </w:r>
      <w:r w:rsidR="009B4801">
        <w:noBreakHyphen/>
      </w:r>
      <w:r>
        <w:t>025 (as corrected by D.19</w:t>
      </w:r>
      <w:r w:rsidR="009B4801">
        <w:noBreakHyphen/>
      </w:r>
      <w:r>
        <w:t>06</w:t>
      </w:r>
      <w:r w:rsidR="009B4801">
        <w:noBreakHyphen/>
      </w:r>
      <w:r>
        <w:t>018, D.19</w:t>
      </w:r>
      <w:r w:rsidR="009B4801">
        <w:noBreakHyphen/>
      </w:r>
      <w:r>
        <w:t>06</w:t>
      </w:r>
      <w:r w:rsidR="009B4801">
        <w:noBreakHyphen/>
      </w:r>
      <w:r>
        <w:t>010, D.13</w:t>
      </w:r>
      <w:r w:rsidR="009B4801">
        <w:noBreakHyphen/>
      </w:r>
      <w:r>
        <w:t>07</w:t>
      </w:r>
      <w:r w:rsidR="009B4801">
        <w:noBreakHyphen/>
      </w:r>
      <w:r>
        <w:t xml:space="preserve">028 and implemented by </w:t>
      </w:r>
      <w:r w:rsidRPr="009C2B0F" w:rsidR="007B5CD1">
        <w:t>Advice Letter</w:t>
      </w:r>
      <w:r w:rsidR="007B5CD1">
        <w:t xml:space="preserve"> </w:t>
      </w:r>
      <w:r w:rsidRPr="009C2B0F" w:rsidR="007B5CD1">
        <w:t>(AL)</w:t>
      </w:r>
      <w:r w:rsidR="007054A2">
        <w:t xml:space="preserve"> </w:t>
      </w:r>
      <w:r>
        <w:t>No.</w:t>
      </w:r>
      <w:r w:rsidR="005F12F2">
        <w:t> </w:t>
      </w:r>
      <w:r>
        <w:t>5</w:t>
      </w:r>
      <w:r w:rsidR="00D51FE2">
        <w:t>56</w:t>
      </w:r>
      <w:r>
        <w:t>)</w:t>
      </w:r>
      <w:r w:rsidR="00C46EB0">
        <w:t xml:space="preserve"> and by </w:t>
      </w:r>
      <w:r w:rsidR="005F12F2">
        <w:t xml:space="preserve">AL </w:t>
      </w:r>
      <w:r w:rsidR="00C46EB0">
        <w:t>Nos.</w:t>
      </w:r>
      <w:r w:rsidR="007054A2">
        <w:t> </w:t>
      </w:r>
      <w:r w:rsidR="00A0349A">
        <w:t>561A and 566</w:t>
      </w:r>
      <w:r>
        <w:t>.</w:t>
      </w:r>
      <w:r w:rsidR="007B4472">
        <w:t xml:space="preserve"> </w:t>
      </w:r>
      <w:r>
        <w:t xml:space="preserve"> The </w:t>
      </w:r>
      <w:r w:rsidR="00813E16">
        <w:lastRenderedPageBreak/>
        <w:t>most recent</w:t>
      </w:r>
      <w:r>
        <w:t xml:space="preserve"> rates</w:t>
      </w:r>
      <w:r w:rsidR="00813E16">
        <w:t xml:space="preserve"> as of the filing of the Application</w:t>
      </w:r>
      <w:r>
        <w:t xml:space="preserve"> are set forth in the rate schedules provided as </w:t>
      </w:r>
      <w:r w:rsidR="00FB6E2E">
        <w:t>Exhibit </w:t>
      </w:r>
      <w:r>
        <w:t>C to th</w:t>
      </w:r>
      <w:r w:rsidR="007B4472">
        <w:t>e</w:t>
      </w:r>
      <w:r>
        <w:t xml:space="preserve"> </w:t>
      </w:r>
      <w:r w:rsidR="007B4472">
        <w:t>A</w:t>
      </w:r>
      <w:r>
        <w:t>pplication.</w:t>
      </w:r>
      <w:r w:rsidR="007B4472">
        <w:rPr>
          <w:rStyle w:val="FootnoteReference"/>
        </w:rPr>
        <w:footnoteReference w:id="6"/>
      </w:r>
    </w:p>
    <w:p w:rsidR="005A17F3" w:rsidP="00152B77" w:rsidRDefault="005A17F3" w14:paraId="79DA0A35" w14:textId="77777777">
      <w:pPr>
        <w:pStyle w:val="Heading2"/>
      </w:pPr>
      <w:bookmarkStart w:name="_Toc101900325" w:id="11"/>
      <w:r>
        <w:t>Procedural Background</w:t>
      </w:r>
      <w:bookmarkEnd w:id="11"/>
    </w:p>
    <w:p w:rsidRPr="000F2389" w:rsidR="005A17F3" w:rsidP="00F943E2" w:rsidRDefault="007B4472" w14:paraId="265660CF" w14:textId="2E65917B">
      <w:pPr>
        <w:pStyle w:val="Standard"/>
        <w:rPr>
          <w:rFonts w:cs="ArialMT"/>
        </w:rPr>
      </w:pPr>
      <w:r>
        <w:t>T</w:t>
      </w:r>
      <w:r w:rsidR="005A17F3">
        <w:t>he Application was filed on December</w:t>
      </w:r>
      <w:r w:rsidR="003D19B0">
        <w:t> </w:t>
      </w:r>
      <w:r w:rsidR="005A17F3">
        <w:t>6,</w:t>
      </w:r>
      <w:r w:rsidR="003D19B0">
        <w:t> </w:t>
      </w:r>
      <w:r w:rsidR="005A17F3">
        <w:t>2019</w:t>
      </w:r>
      <w:r w:rsidR="003D19B0">
        <w:t>,</w:t>
      </w:r>
      <w:r w:rsidR="00DB3C5C">
        <w:t xml:space="preserve"> and </w:t>
      </w:r>
      <w:r w:rsidRPr="000F2389" w:rsidR="005A17F3">
        <w:t xml:space="preserve">appeared on the Commission’s Daily Calendar on </w:t>
      </w:r>
      <w:r w:rsidR="00A70B77">
        <w:t>the same date.</w:t>
      </w:r>
      <w:r w:rsidRPr="000F2389" w:rsidR="005A17F3">
        <w:t xml:space="preserve">  On </w:t>
      </w:r>
      <w:r w:rsidRPr="00A70B77" w:rsidR="005A17F3">
        <w:t>December</w:t>
      </w:r>
      <w:r w:rsidR="003D19B0">
        <w:t> </w:t>
      </w:r>
      <w:r w:rsidRPr="00A70B77" w:rsidR="005A17F3">
        <w:t>19,</w:t>
      </w:r>
      <w:r w:rsidR="003D19B0">
        <w:t> </w:t>
      </w:r>
      <w:r w:rsidRPr="00A70B77" w:rsidR="005A17F3">
        <w:t>2019</w:t>
      </w:r>
      <w:r w:rsidRPr="000F2389" w:rsidR="005A17F3">
        <w:t xml:space="preserve">, in </w:t>
      </w:r>
      <w:r w:rsidRPr="009C2B0F" w:rsidR="005A17F3">
        <w:t>Resolution</w:t>
      </w:r>
      <w:r w:rsidRPr="000F2389" w:rsidR="005A17F3">
        <w:t xml:space="preserve"> </w:t>
      </w:r>
      <w:r w:rsidR="003D19B0">
        <w:t>(</w:t>
      </w:r>
      <w:r w:rsidRPr="009C2B0F" w:rsidR="003D19B0">
        <w:rPr>
          <w:iCs/>
        </w:rPr>
        <w:t>Res.</w:t>
      </w:r>
      <w:r w:rsidR="003D19B0">
        <w:t>) </w:t>
      </w:r>
      <w:r w:rsidRPr="000F2389" w:rsidR="005A17F3">
        <w:t>ALJ</w:t>
      </w:r>
      <w:r w:rsidR="003D19B0">
        <w:t> </w:t>
      </w:r>
      <w:r w:rsidRPr="000F2389" w:rsidR="005A17F3">
        <w:t>176</w:t>
      </w:r>
      <w:r w:rsidR="009B4801">
        <w:noBreakHyphen/>
      </w:r>
      <w:r w:rsidR="005A17F3">
        <w:t>3453</w:t>
      </w:r>
      <w:r w:rsidRPr="000F2389" w:rsidR="005A17F3">
        <w:t xml:space="preserve">, </w:t>
      </w:r>
      <w:r w:rsidRPr="00F943E2" w:rsidR="005A17F3">
        <w:t>the</w:t>
      </w:r>
      <w:r w:rsidRPr="000F2389" w:rsidR="005A17F3">
        <w:t xml:space="preserve"> Commission preliminarily designated the proceeding as ratesetting and concluded that hearings would be necessary. </w:t>
      </w:r>
    </w:p>
    <w:p w:rsidRPr="000F2389" w:rsidR="005A17F3" w:rsidP="00F943E2" w:rsidRDefault="005A17F3" w14:paraId="5ACCA749" w14:textId="4A9773E2">
      <w:pPr>
        <w:pStyle w:val="Standard"/>
      </w:pPr>
      <w:r w:rsidRPr="000F2389">
        <w:t xml:space="preserve">On </w:t>
      </w:r>
      <w:r>
        <w:t>January</w:t>
      </w:r>
      <w:r w:rsidR="008669B3">
        <w:t> </w:t>
      </w:r>
      <w:r>
        <w:t>6,</w:t>
      </w:r>
      <w:r w:rsidR="008669B3">
        <w:t> </w:t>
      </w:r>
      <w:r>
        <w:t>2020</w:t>
      </w:r>
      <w:r w:rsidRPr="000F2389">
        <w:t xml:space="preserve">, </w:t>
      </w:r>
      <w:r w:rsidR="003A71A1">
        <w:t xml:space="preserve">the </w:t>
      </w:r>
      <w:r w:rsidRPr="009C2B0F" w:rsidR="003D19B0">
        <w:t xml:space="preserve">Public Advocates Office of the California Public Utilities Commission </w:t>
      </w:r>
      <w:r w:rsidR="00D91EE8">
        <w:t>(</w:t>
      </w:r>
      <w:r w:rsidRPr="009C2B0F" w:rsidR="00157DF9">
        <w:rPr>
          <w:iCs/>
        </w:rPr>
        <w:t>Cal Advoc</w:t>
      </w:r>
      <w:r w:rsidRPr="009C2B0F" w:rsidR="00D91EE8">
        <w:rPr>
          <w:iCs/>
        </w:rPr>
        <w:t>ate</w:t>
      </w:r>
      <w:r w:rsidRPr="009C2B0F" w:rsidR="003D19B0">
        <w:rPr>
          <w:iCs/>
        </w:rPr>
        <w:t>s</w:t>
      </w:r>
      <w:r w:rsidR="00D91EE8">
        <w:t>)</w:t>
      </w:r>
      <w:r w:rsidRPr="000F2389">
        <w:t xml:space="preserve"> filed a </w:t>
      </w:r>
      <w:r w:rsidRPr="009C2B0F">
        <w:t>protest to the Application</w:t>
      </w:r>
      <w:r w:rsidRPr="009C2B0F" w:rsidR="00153E56">
        <w:t xml:space="preserve"> </w:t>
      </w:r>
      <w:r w:rsidR="00153E56">
        <w:t>(</w:t>
      </w:r>
      <w:r w:rsidRPr="009C2B0F" w:rsidR="00153E56">
        <w:rPr>
          <w:iCs/>
        </w:rPr>
        <w:t>Protest</w:t>
      </w:r>
      <w:r w:rsidR="00153E56">
        <w:t>)</w:t>
      </w:r>
      <w:r w:rsidRPr="000F2389">
        <w:t>, indicating that</w:t>
      </w:r>
      <w:r w:rsidR="00A70B77">
        <w:t xml:space="preserve"> it would conduct discovery and analysis in order to provide recommendations to the Commission on the requests made by SJWC in its Application, including</w:t>
      </w:r>
      <w:r w:rsidR="00E94A5A">
        <w:t xml:space="preserve">:  </w:t>
      </w:r>
      <w:r w:rsidR="00A70B77">
        <w:t>(1)</w:t>
      </w:r>
      <w:r w:rsidR="00A3395E">
        <w:t> </w:t>
      </w:r>
      <w:r w:rsidR="00A70B77">
        <w:t>the cost</w:t>
      </w:r>
      <w:r w:rsidR="009B4801">
        <w:noBreakHyphen/>
      </w:r>
      <w:r w:rsidR="00A70B77">
        <w:t xml:space="preserve">effectiveness of </w:t>
      </w:r>
      <w:proofErr w:type="spellStart"/>
      <w:r w:rsidR="00A70B77">
        <w:t>SJWC’s</w:t>
      </w:r>
      <w:proofErr w:type="spellEnd"/>
      <w:r w:rsidR="00A70B77">
        <w:t xml:space="preserve"> proposed deployment of AMI</w:t>
      </w:r>
      <w:r w:rsidR="002305F9">
        <w:t xml:space="preserve"> (Project)</w:t>
      </w:r>
      <w:r w:rsidR="00A70B77">
        <w:t>; (2)</w:t>
      </w:r>
      <w:r w:rsidR="00A3395E">
        <w:t> </w:t>
      </w:r>
      <w:r w:rsidR="00A70B77">
        <w:t>the reasonableness of project assumptions and estimates; (3)</w:t>
      </w:r>
      <w:r w:rsidR="00A3395E">
        <w:t> </w:t>
      </w:r>
      <w:r w:rsidR="00A70B77">
        <w:t xml:space="preserve">the reasonableness of </w:t>
      </w:r>
      <w:proofErr w:type="spellStart"/>
      <w:r w:rsidR="00A70B77">
        <w:t>SJWC’s</w:t>
      </w:r>
      <w:proofErr w:type="spellEnd"/>
      <w:r w:rsidR="00A70B77">
        <w:t xml:space="preserve"> proposed ratemaking</w:t>
      </w:r>
      <w:r w:rsidR="00A3395E">
        <w:t>;</w:t>
      </w:r>
      <w:r w:rsidR="00A70B77">
        <w:t xml:space="preserve"> and (4)</w:t>
      </w:r>
      <w:r w:rsidR="00A3395E">
        <w:t> </w:t>
      </w:r>
      <w:r w:rsidR="00A70B77">
        <w:t xml:space="preserve">the adequacy of </w:t>
      </w:r>
      <w:proofErr w:type="spellStart"/>
      <w:r w:rsidR="00A70B77">
        <w:t>SJWC’s</w:t>
      </w:r>
      <w:proofErr w:type="spellEnd"/>
      <w:r w:rsidR="00A70B77">
        <w:t xml:space="preserve"> customer education program and data privacy.</w:t>
      </w:r>
      <w:r w:rsidRPr="000F2389">
        <w:rPr>
          <w:rStyle w:val="FootnoteReference"/>
          <w:szCs w:val="26"/>
        </w:rPr>
        <w:footnoteReference w:id="7"/>
      </w:r>
      <w:r w:rsidRPr="000F2389">
        <w:t xml:space="preserve">  </w:t>
      </w:r>
    </w:p>
    <w:p w:rsidR="007B4472" w:rsidP="00F943E2" w:rsidRDefault="005A17F3" w14:paraId="3BED88EB" w14:textId="410C13CA">
      <w:pPr>
        <w:pStyle w:val="Standard"/>
      </w:pPr>
      <w:r>
        <w:t xml:space="preserve">A </w:t>
      </w:r>
      <w:r w:rsidRPr="009C2B0F">
        <w:t xml:space="preserve">prehearing conference </w:t>
      </w:r>
      <w:r>
        <w:t>(</w:t>
      </w:r>
      <w:r w:rsidRPr="009C2B0F">
        <w:rPr>
          <w:iCs/>
        </w:rPr>
        <w:t>PHC</w:t>
      </w:r>
      <w:r>
        <w:t>) was held on February</w:t>
      </w:r>
      <w:r w:rsidR="00977093">
        <w:t> </w:t>
      </w:r>
      <w:r>
        <w:t>6,</w:t>
      </w:r>
      <w:r w:rsidR="00977093">
        <w:t> </w:t>
      </w:r>
      <w:r>
        <w:t>2020, to determine the issues of law and fact, determine the need for hearing, set the schedule for resolving the matter, and address other matters as necessary.</w:t>
      </w:r>
      <w:r w:rsidR="00D91EE8">
        <w:t xml:space="preserve"> </w:t>
      </w:r>
      <w:r w:rsidR="00C44307">
        <w:t xml:space="preserve"> </w:t>
      </w:r>
      <w:r w:rsidRPr="009C2B0F" w:rsidR="00D91EE8">
        <w:t xml:space="preserve">Water Rate Advocates for Transparency, Equity, and Sustainability </w:t>
      </w:r>
      <w:r w:rsidR="00D91EE8">
        <w:rPr>
          <w:iCs/>
        </w:rPr>
        <w:t>(</w:t>
      </w:r>
      <w:proofErr w:type="spellStart"/>
      <w:r w:rsidRPr="009C2B0F" w:rsidR="00D91EE8">
        <w:rPr>
          <w:iCs/>
        </w:rPr>
        <w:t>WRATES</w:t>
      </w:r>
      <w:proofErr w:type="spellEnd"/>
      <w:r w:rsidR="00D91EE8">
        <w:rPr>
          <w:iCs/>
        </w:rPr>
        <w:t xml:space="preserve">) appeared at the PHC to present an oral motion for party status, which was granted. </w:t>
      </w:r>
    </w:p>
    <w:p w:rsidR="00A70B77" w:rsidP="00F943E2" w:rsidRDefault="00A70B77" w14:paraId="7FCD82AF" w14:textId="4FD6A6E3">
      <w:pPr>
        <w:pStyle w:val="Standard"/>
      </w:pPr>
      <w:r w:rsidRPr="000F2389">
        <w:lastRenderedPageBreak/>
        <w:t xml:space="preserve">The assigned Commissioner issued the Scoping Memo and Ruling on </w:t>
      </w:r>
      <w:r w:rsidR="003144FD">
        <w:t>April</w:t>
      </w:r>
      <w:r w:rsidR="00394428">
        <w:t> </w:t>
      </w:r>
      <w:r w:rsidRPr="00E16357">
        <w:t>1</w:t>
      </w:r>
      <w:r w:rsidR="003144FD">
        <w:t>6</w:t>
      </w:r>
      <w:r w:rsidRPr="00E16357">
        <w:t>, 2020</w:t>
      </w:r>
      <w:r w:rsidRPr="000F2389">
        <w:t>, settin</w:t>
      </w:r>
      <w:r w:rsidR="008C2570">
        <w:t>g</w:t>
      </w:r>
      <w:r w:rsidRPr="000F2389">
        <w:t xml:space="preserve"> the following as issues to be determined in the proceeding</w:t>
      </w:r>
      <w:r w:rsidR="00E94A5A">
        <w:t xml:space="preserve">:  </w:t>
      </w:r>
    </w:p>
    <w:p w:rsidR="0062346B" w:rsidP="00DE6ED2" w:rsidRDefault="008C2570" w14:paraId="5C47BBFE" w14:textId="7F6BCEAA">
      <w:pPr>
        <w:pStyle w:val="Standard"/>
        <w:numPr>
          <w:ilvl w:val="0"/>
          <w:numId w:val="11"/>
        </w:numPr>
        <w:spacing w:after="120" w:line="240" w:lineRule="auto"/>
        <w:ind w:left="1080" w:right="1440"/>
      </w:pPr>
      <w:r>
        <w:t xml:space="preserve">Whether </w:t>
      </w:r>
      <w:proofErr w:type="spellStart"/>
      <w:r w:rsidR="00A70B77">
        <w:t>S</w:t>
      </w:r>
      <w:r>
        <w:t>JW</w:t>
      </w:r>
      <w:r w:rsidR="00D91EE8">
        <w:t>C</w:t>
      </w:r>
      <w:r>
        <w:t>’s</w:t>
      </w:r>
      <w:proofErr w:type="spellEnd"/>
      <w:r w:rsidR="00A70B77">
        <w:t xml:space="preserve"> proposed </w:t>
      </w:r>
      <w:r w:rsidRPr="009C2B0F" w:rsidR="0062346B">
        <w:rPr>
          <w:iCs/>
        </w:rPr>
        <w:t>Project</w:t>
      </w:r>
      <w:r w:rsidR="0062346B">
        <w:t xml:space="preserve"> </w:t>
      </w:r>
      <w:r>
        <w:t>is</w:t>
      </w:r>
      <w:r w:rsidR="00A70B77">
        <w:t xml:space="preserve"> reasonable</w:t>
      </w:r>
      <w:r>
        <w:t xml:space="preserve"> and cost effective</w:t>
      </w:r>
      <w:r w:rsidR="00A70B77">
        <w:t xml:space="preserve">? </w:t>
      </w:r>
    </w:p>
    <w:p w:rsidR="0062346B" w:rsidP="00DE6ED2" w:rsidRDefault="0062346B" w14:paraId="4FE22F29" w14:textId="613ED9A1">
      <w:pPr>
        <w:pStyle w:val="Standard"/>
        <w:numPr>
          <w:ilvl w:val="0"/>
          <w:numId w:val="11"/>
        </w:numPr>
        <w:spacing w:after="120" w:line="240" w:lineRule="auto"/>
        <w:ind w:left="1080" w:right="1440"/>
      </w:pPr>
      <w:r>
        <w:t xml:space="preserve">Whether </w:t>
      </w:r>
      <w:proofErr w:type="spellStart"/>
      <w:r>
        <w:t>SJW</w:t>
      </w:r>
      <w:r w:rsidR="00D91EE8">
        <w:t>C</w:t>
      </w:r>
      <w:r>
        <w:t>’s</w:t>
      </w:r>
      <w:proofErr w:type="spellEnd"/>
      <w:r>
        <w:t xml:space="preserve"> </w:t>
      </w:r>
      <w:r w:rsidR="00A70B77">
        <w:t>assumptions and estimates</w:t>
      </w:r>
      <w:r>
        <w:t xml:space="preserve"> are</w:t>
      </w:r>
      <w:r w:rsidR="00A70B77">
        <w:t xml:space="preserve"> reasonable?</w:t>
      </w:r>
    </w:p>
    <w:p w:rsidR="0062346B" w:rsidP="00DE6ED2" w:rsidRDefault="0062346B" w14:paraId="78D56731" w14:textId="6DC9A103">
      <w:pPr>
        <w:pStyle w:val="Standard"/>
        <w:numPr>
          <w:ilvl w:val="0"/>
          <w:numId w:val="11"/>
        </w:numPr>
        <w:spacing w:after="120" w:line="240" w:lineRule="auto"/>
        <w:ind w:left="1080" w:right="1440"/>
      </w:pPr>
      <w:r>
        <w:t xml:space="preserve">Whether </w:t>
      </w:r>
      <w:proofErr w:type="spellStart"/>
      <w:r>
        <w:t>SJW</w:t>
      </w:r>
      <w:r w:rsidR="00D91EE8">
        <w:t>C</w:t>
      </w:r>
      <w:r>
        <w:t>’s</w:t>
      </w:r>
      <w:proofErr w:type="spellEnd"/>
      <w:r>
        <w:t xml:space="preserve"> </w:t>
      </w:r>
      <w:r w:rsidR="00A70B77">
        <w:t xml:space="preserve">proposed rate increases </w:t>
      </w:r>
      <w:r>
        <w:t xml:space="preserve">are </w:t>
      </w:r>
      <w:r w:rsidR="00A70B77">
        <w:t>reasonable?</w:t>
      </w:r>
    </w:p>
    <w:p w:rsidR="0062346B" w:rsidP="00DE6ED2" w:rsidRDefault="0062346B" w14:paraId="046F0710" w14:textId="77777777">
      <w:pPr>
        <w:pStyle w:val="Standard"/>
        <w:numPr>
          <w:ilvl w:val="0"/>
          <w:numId w:val="11"/>
        </w:numPr>
        <w:spacing w:after="120" w:line="240" w:lineRule="auto"/>
        <w:ind w:left="1080" w:right="1440"/>
      </w:pPr>
      <w:r>
        <w:t>Whether</w:t>
      </w:r>
      <w:r w:rsidR="00A70B77">
        <w:t xml:space="preserve"> the proposed Project create</w:t>
      </w:r>
      <w:r>
        <w:t>s</w:t>
      </w:r>
      <w:r w:rsidR="00A70B77">
        <w:t xml:space="preserve"> any direct or indirect public benefits</w:t>
      </w:r>
      <w:r>
        <w:t>?</w:t>
      </w:r>
    </w:p>
    <w:p w:rsidR="0062346B" w:rsidP="00DE6ED2" w:rsidRDefault="0062346B" w14:paraId="4A2D9A43" w14:textId="43458787">
      <w:pPr>
        <w:pStyle w:val="Standard"/>
        <w:numPr>
          <w:ilvl w:val="0"/>
          <w:numId w:val="11"/>
        </w:numPr>
        <w:spacing w:after="120" w:line="240" w:lineRule="auto"/>
        <w:ind w:left="1080" w:right="1440"/>
      </w:pPr>
      <w:r>
        <w:t>Whether SJW</w:t>
      </w:r>
      <w:r w:rsidR="00D91EE8">
        <w:t>C</w:t>
      </w:r>
      <w:r>
        <w:t xml:space="preserve"> will have </w:t>
      </w:r>
      <w:r w:rsidR="00A70B77">
        <w:t>an adequate customer education program regarding this Project?</w:t>
      </w:r>
    </w:p>
    <w:p w:rsidR="00A70B77" w:rsidP="00DE6ED2" w:rsidRDefault="0062346B" w14:paraId="6BBD12B4" w14:textId="35AF1BB1">
      <w:pPr>
        <w:pStyle w:val="Standard"/>
        <w:numPr>
          <w:ilvl w:val="0"/>
          <w:numId w:val="11"/>
        </w:numPr>
        <w:spacing w:after="120" w:line="240" w:lineRule="auto"/>
        <w:ind w:left="1080" w:right="1440"/>
      </w:pPr>
      <w:r>
        <w:t>Whether the</w:t>
      </w:r>
      <w:r w:rsidR="00A70B77">
        <w:t xml:space="preserve"> Project contain</w:t>
      </w:r>
      <w:r>
        <w:t>s</w:t>
      </w:r>
      <w:r w:rsidR="00A70B77">
        <w:t xml:space="preserve"> adequate data privacy standards?</w:t>
      </w:r>
    </w:p>
    <w:p w:rsidRPr="003144FD" w:rsidR="003144FD" w:rsidP="00F943E2" w:rsidRDefault="003144FD" w14:paraId="24B1AC80" w14:textId="39FF8411">
      <w:pPr>
        <w:pStyle w:val="Standard"/>
        <w:rPr>
          <w:szCs w:val="26"/>
        </w:rPr>
      </w:pPr>
      <w:r w:rsidRPr="003144FD">
        <w:rPr>
          <w:szCs w:val="26"/>
        </w:rPr>
        <w:t>SJW</w:t>
      </w:r>
      <w:r w:rsidR="00D91EE8">
        <w:rPr>
          <w:szCs w:val="26"/>
        </w:rPr>
        <w:t>C</w:t>
      </w:r>
      <w:r w:rsidRPr="003144FD">
        <w:rPr>
          <w:szCs w:val="26"/>
        </w:rPr>
        <w:t xml:space="preserve">, </w:t>
      </w:r>
      <w:r w:rsidR="00157DF9">
        <w:rPr>
          <w:szCs w:val="26"/>
        </w:rPr>
        <w:t>Cal Advoc</w:t>
      </w:r>
      <w:r w:rsidR="00703C76">
        <w:rPr>
          <w:szCs w:val="26"/>
        </w:rPr>
        <w:t xml:space="preserve">ates </w:t>
      </w:r>
      <w:r w:rsidRPr="003144FD">
        <w:rPr>
          <w:szCs w:val="26"/>
        </w:rPr>
        <w:t xml:space="preserve">and </w:t>
      </w:r>
      <w:proofErr w:type="spellStart"/>
      <w:r w:rsidRPr="003144FD">
        <w:rPr>
          <w:szCs w:val="26"/>
        </w:rPr>
        <w:t>WRATES</w:t>
      </w:r>
      <w:proofErr w:type="spellEnd"/>
      <w:r w:rsidRPr="003144FD">
        <w:rPr>
          <w:szCs w:val="26"/>
        </w:rPr>
        <w:t xml:space="preserve"> engaged in settlement negotiations,</w:t>
      </w:r>
      <w:r w:rsidRPr="003144FD">
        <w:rPr>
          <w:spacing w:val="1"/>
          <w:szCs w:val="26"/>
        </w:rPr>
        <w:t xml:space="preserve"> </w:t>
      </w:r>
      <w:r w:rsidRPr="003144FD">
        <w:rPr>
          <w:szCs w:val="26"/>
        </w:rPr>
        <w:t>including a formally noticed settlement conference held on October</w:t>
      </w:r>
      <w:r w:rsidR="008812CA">
        <w:rPr>
          <w:szCs w:val="26"/>
        </w:rPr>
        <w:t> </w:t>
      </w:r>
      <w:r w:rsidRPr="003144FD">
        <w:rPr>
          <w:szCs w:val="26"/>
        </w:rPr>
        <w:t>9,</w:t>
      </w:r>
      <w:r w:rsidR="008812CA">
        <w:rPr>
          <w:szCs w:val="26"/>
        </w:rPr>
        <w:t> </w:t>
      </w:r>
      <w:r w:rsidRPr="003144FD">
        <w:rPr>
          <w:szCs w:val="26"/>
        </w:rPr>
        <w:t xml:space="preserve">2020 in compliance with </w:t>
      </w:r>
      <w:r w:rsidR="001F18F5">
        <w:rPr>
          <w:szCs w:val="26"/>
        </w:rPr>
        <w:t>Rule </w:t>
      </w:r>
      <w:r w:rsidRPr="003144FD">
        <w:rPr>
          <w:szCs w:val="26"/>
        </w:rPr>
        <w:t>12.1(b)</w:t>
      </w:r>
      <w:r w:rsidR="001F18F5">
        <w:rPr>
          <w:szCs w:val="26"/>
        </w:rPr>
        <w:t xml:space="preserve"> of the Commission’s Rules of Practice and Procedure</w:t>
      </w:r>
      <w:r w:rsidRPr="003144FD">
        <w:rPr>
          <w:szCs w:val="26"/>
        </w:rPr>
        <w:t>.</w:t>
      </w:r>
      <w:r w:rsidRPr="000B3AC5" w:rsidR="000B3AC5">
        <w:rPr>
          <w:vertAlign w:val="superscript"/>
        </w:rPr>
        <w:t xml:space="preserve"> </w:t>
      </w:r>
      <w:r w:rsidRPr="002B12C2" w:rsidR="000B3AC5">
        <w:rPr>
          <w:vertAlign w:val="superscript"/>
        </w:rPr>
        <w:footnoteReference w:id="8"/>
      </w:r>
      <w:r w:rsidRPr="003144FD">
        <w:rPr>
          <w:szCs w:val="26"/>
        </w:rPr>
        <w:t xml:space="preserve"> </w:t>
      </w:r>
      <w:r w:rsidR="00D91EE8">
        <w:rPr>
          <w:szCs w:val="26"/>
        </w:rPr>
        <w:t xml:space="preserve"> On June</w:t>
      </w:r>
      <w:r w:rsidR="008812CA">
        <w:rPr>
          <w:szCs w:val="26"/>
        </w:rPr>
        <w:t> </w:t>
      </w:r>
      <w:r w:rsidR="00D91EE8">
        <w:rPr>
          <w:szCs w:val="26"/>
        </w:rPr>
        <w:t>10,</w:t>
      </w:r>
      <w:r w:rsidR="008812CA">
        <w:rPr>
          <w:szCs w:val="26"/>
        </w:rPr>
        <w:t> </w:t>
      </w:r>
      <w:r w:rsidR="00D91EE8">
        <w:rPr>
          <w:szCs w:val="26"/>
        </w:rPr>
        <w:t>2021,</w:t>
      </w:r>
      <w:r w:rsidRPr="003144FD">
        <w:rPr>
          <w:szCs w:val="26"/>
        </w:rPr>
        <w:t xml:space="preserve"> S</w:t>
      </w:r>
      <w:r w:rsidR="00D91EE8">
        <w:rPr>
          <w:szCs w:val="26"/>
        </w:rPr>
        <w:t>J</w:t>
      </w:r>
      <w:r w:rsidRPr="003144FD">
        <w:rPr>
          <w:szCs w:val="26"/>
        </w:rPr>
        <w:t>W</w:t>
      </w:r>
      <w:r w:rsidR="00D91EE8">
        <w:rPr>
          <w:szCs w:val="26"/>
        </w:rPr>
        <w:t>C and</w:t>
      </w:r>
      <w:r w:rsidRPr="003144FD">
        <w:rPr>
          <w:szCs w:val="26"/>
        </w:rPr>
        <w:t xml:space="preserve"> </w:t>
      </w:r>
      <w:r w:rsidR="00157DF9">
        <w:rPr>
          <w:szCs w:val="26"/>
        </w:rPr>
        <w:t>Cal Advoc</w:t>
      </w:r>
      <w:r w:rsidRPr="003144FD">
        <w:rPr>
          <w:szCs w:val="26"/>
        </w:rPr>
        <w:t>ate</w:t>
      </w:r>
      <w:r w:rsidR="00703C76">
        <w:rPr>
          <w:szCs w:val="26"/>
        </w:rPr>
        <w:t>s</w:t>
      </w:r>
      <w:r w:rsidRPr="003144FD">
        <w:rPr>
          <w:szCs w:val="26"/>
        </w:rPr>
        <w:t xml:space="preserve"> agreed to settle the proceeding and concurrently filed a </w:t>
      </w:r>
      <w:r w:rsidRPr="009C2B0F">
        <w:t>Joint Motion for Approval of the Settlement Agreement</w:t>
      </w:r>
      <w:r w:rsidRPr="009C2B0F" w:rsidR="00A51261">
        <w:t xml:space="preserve"> </w:t>
      </w:r>
      <w:r w:rsidR="00A51261">
        <w:rPr>
          <w:szCs w:val="26"/>
        </w:rPr>
        <w:t>(</w:t>
      </w:r>
      <w:r w:rsidRPr="009C2B0F" w:rsidR="00A51261">
        <w:rPr>
          <w:szCs w:val="26"/>
        </w:rPr>
        <w:t>Joint Motion</w:t>
      </w:r>
      <w:r w:rsidR="00A51261">
        <w:rPr>
          <w:szCs w:val="26"/>
        </w:rPr>
        <w:t>)</w:t>
      </w:r>
      <w:r w:rsidRPr="003144FD">
        <w:rPr>
          <w:szCs w:val="26"/>
        </w:rPr>
        <w:t>.</w:t>
      </w:r>
      <w:r w:rsidR="00A51261">
        <w:rPr>
          <w:rStyle w:val="FootnoteReference"/>
          <w:szCs w:val="26"/>
        </w:rPr>
        <w:footnoteReference w:id="9"/>
      </w:r>
      <w:r w:rsidR="00784971">
        <w:rPr>
          <w:szCs w:val="26"/>
        </w:rPr>
        <w:t xml:space="preserve">  </w:t>
      </w:r>
      <w:r w:rsidR="003C390D">
        <w:rPr>
          <w:szCs w:val="26"/>
        </w:rPr>
        <w:t>On August</w:t>
      </w:r>
      <w:r w:rsidR="00A64B4E">
        <w:rPr>
          <w:szCs w:val="26"/>
        </w:rPr>
        <w:t> </w:t>
      </w:r>
      <w:r w:rsidR="003C390D">
        <w:rPr>
          <w:szCs w:val="26"/>
        </w:rPr>
        <w:t>5,</w:t>
      </w:r>
      <w:r w:rsidR="00A64B4E">
        <w:rPr>
          <w:szCs w:val="26"/>
        </w:rPr>
        <w:t> </w:t>
      </w:r>
      <w:r w:rsidR="003C390D">
        <w:rPr>
          <w:szCs w:val="26"/>
        </w:rPr>
        <w:t xml:space="preserve">2021, </w:t>
      </w:r>
      <w:proofErr w:type="spellStart"/>
      <w:r w:rsidRPr="003144FD">
        <w:rPr>
          <w:szCs w:val="26"/>
        </w:rPr>
        <w:t>WRATES</w:t>
      </w:r>
      <w:proofErr w:type="spellEnd"/>
      <w:r w:rsidRPr="003144FD">
        <w:rPr>
          <w:szCs w:val="26"/>
        </w:rPr>
        <w:t xml:space="preserve"> joined the Settlement Agreement and Joint Motion to approve the settlement.</w:t>
      </w:r>
      <w:r w:rsidR="00A51261">
        <w:rPr>
          <w:rStyle w:val="FootnoteReference"/>
          <w:szCs w:val="26"/>
        </w:rPr>
        <w:footnoteReference w:id="10"/>
      </w:r>
      <w:r w:rsidRPr="003144FD">
        <w:rPr>
          <w:szCs w:val="26"/>
        </w:rPr>
        <w:t xml:space="preserve">  </w:t>
      </w:r>
    </w:p>
    <w:p w:rsidR="0063491C" w:rsidP="00152B77" w:rsidRDefault="00405BBF" w14:paraId="142AA261" w14:textId="4E06ECF7">
      <w:pPr>
        <w:pStyle w:val="Heading2"/>
      </w:pPr>
      <w:bookmarkStart w:name="_Toc8123716" w:id="12"/>
      <w:bookmarkStart w:name="_Toc67650856" w:id="13"/>
      <w:bookmarkStart w:name="_Toc101900326" w:id="14"/>
      <w:r>
        <w:lastRenderedPageBreak/>
        <w:t>Parties</w:t>
      </w:r>
      <w:bookmarkEnd w:id="12"/>
      <w:bookmarkEnd w:id="13"/>
      <w:bookmarkEnd w:id="14"/>
    </w:p>
    <w:p w:rsidRPr="00405BBF" w:rsidR="00405BBF" w:rsidP="00F943E2" w:rsidRDefault="00A76A0D" w14:paraId="5235BC22" w14:textId="2047BDFA">
      <w:pPr>
        <w:pStyle w:val="Standard"/>
      </w:pPr>
      <w:bookmarkStart w:name="_Toc8123717" w:id="15"/>
      <w:r w:rsidRPr="003339E4">
        <w:t>S</w:t>
      </w:r>
      <w:r w:rsidR="006D2B45">
        <w:t>JW</w:t>
      </w:r>
      <w:r w:rsidR="00D91EE8">
        <w:t>C</w:t>
      </w:r>
      <w:r w:rsidR="006D2B45">
        <w:t xml:space="preserve"> </w:t>
      </w:r>
      <w:r w:rsidRPr="00E16357" w:rsidR="00405BBF">
        <w:t>is a</w:t>
      </w:r>
      <w:r w:rsidRPr="00405BBF" w:rsidR="00405BBF">
        <w:t xml:space="preserve"> public utility </w:t>
      </w:r>
      <w:r w:rsidR="00E67C30">
        <w:t xml:space="preserve">engaged in the supply and distribution of water for domestic and industrial purposes in </w:t>
      </w:r>
      <w:r w:rsidR="005F12F2">
        <w:t>San </w:t>
      </w:r>
      <w:r w:rsidR="00E67C30">
        <w:t>Jose</w:t>
      </w:r>
      <w:r w:rsidR="007B4ED2">
        <w:t>,</w:t>
      </w:r>
      <w:r w:rsidR="00E67C30">
        <w:t xml:space="preserve"> Cupertino, Campbell, </w:t>
      </w:r>
      <w:r w:rsidR="0082197C">
        <w:t>Los </w:t>
      </w:r>
      <w:r w:rsidR="00E67C30">
        <w:t xml:space="preserve">Gatos, Monte Sereno, Saratoga, and in unincorporated territory in the County of </w:t>
      </w:r>
      <w:r w:rsidR="0082197C">
        <w:t>Santa </w:t>
      </w:r>
      <w:r w:rsidR="00E67C30">
        <w:t xml:space="preserve">Clara.  It </w:t>
      </w:r>
      <w:r w:rsidR="006D2B45">
        <w:t>provid</w:t>
      </w:r>
      <w:r w:rsidR="00E67C30">
        <w:t>es</w:t>
      </w:r>
      <w:r w:rsidR="006D2B45">
        <w:t xml:space="preserve"> water service to approximately </w:t>
      </w:r>
      <w:r w:rsidR="00CD5A88">
        <w:t>one million</w:t>
      </w:r>
      <w:r w:rsidR="006D2B45">
        <w:t xml:space="preserve"> people in the greater </w:t>
      </w:r>
      <w:r w:rsidR="005F12F2">
        <w:t>San </w:t>
      </w:r>
      <w:r w:rsidR="006D2B45">
        <w:t xml:space="preserve">Jose metropolitan area. </w:t>
      </w:r>
      <w:r w:rsidR="00E67C30">
        <w:t xml:space="preserve"> </w:t>
      </w:r>
      <w:proofErr w:type="spellStart"/>
      <w:r w:rsidR="00D91EE8">
        <w:t>SJWC</w:t>
      </w:r>
      <w:r w:rsidR="006D2B45">
        <w:t>’s</w:t>
      </w:r>
      <w:proofErr w:type="spellEnd"/>
      <w:r w:rsidR="006D2B45">
        <w:t xml:space="preserve"> service area encompasses about 140</w:t>
      </w:r>
      <w:r w:rsidR="00BF0768">
        <w:t> square mile</w:t>
      </w:r>
      <w:r w:rsidR="006D2B45">
        <w:t>s and includes approximately 230,000 active metered services.</w:t>
      </w:r>
      <w:r w:rsidRPr="00405BBF" w:rsidR="00405BBF">
        <w:rPr>
          <w:vertAlign w:val="superscript"/>
        </w:rPr>
        <w:footnoteReference w:id="11"/>
      </w:r>
      <w:r w:rsidRPr="00405BBF" w:rsidR="00405BBF">
        <w:t xml:space="preserve">  </w:t>
      </w:r>
    </w:p>
    <w:p w:rsidR="008C2570" w:rsidP="00F943E2" w:rsidRDefault="005A17F3" w14:paraId="02A3B811" w14:textId="7A197B09">
      <w:pPr>
        <w:pStyle w:val="Standard"/>
        <w:rPr>
          <w:iCs/>
        </w:rPr>
      </w:pPr>
      <w:proofErr w:type="spellStart"/>
      <w:r w:rsidRPr="00390265">
        <w:rPr>
          <w:iCs/>
        </w:rPr>
        <w:t>W</w:t>
      </w:r>
      <w:r w:rsidR="00D91EE8">
        <w:rPr>
          <w:iCs/>
        </w:rPr>
        <w:t>RATES</w:t>
      </w:r>
      <w:proofErr w:type="spellEnd"/>
      <w:r>
        <w:rPr>
          <w:iCs/>
        </w:rPr>
        <w:t xml:space="preserve"> is an advocacy group, </w:t>
      </w:r>
      <w:r w:rsidR="00B95346">
        <w:rPr>
          <w:iCs/>
        </w:rPr>
        <w:t xml:space="preserve">comprised of engineers and other scientific professionals, </w:t>
      </w:r>
      <w:r>
        <w:rPr>
          <w:iCs/>
        </w:rPr>
        <w:t>whose goal is water conservation</w:t>
      </w:r>
      <w:r w:rsidR="00FA55FC">
        <w:rPr>
          <w:iCs/>
        </w:rPr>
        <w:t xml:space="preserve"> and community education</w:t>
      </w:r>
      <w:r>
        <w:rPr>
          <w:iCs/>
        </w:rPr>
        <w:t>.</w:t>
      </w:r>
      <w:r w:rsidR="00582BC2">
        <w:rPr>
          <w:iCs/>
        </w:rPr>
        <w:t xml:space="preserve"> </w:t>
      </w:r>
      <w:r>
        <w:rPr>
          <w:iCs/>
        </w:rPr>
        <w:t xml:space="preserve"> </w:t>
      </w:r>
      <w:r w:rsidR="00B95346">
        <w:rPr>
          <w:iCs/>
        </w:rPr>
        <w:t>They intend to work with SJWC to develop</w:t>
      </w:r>
      <w:r w:rsidR="002E5EF7">
        <w:rPr>
          <w:iCs/>
        </w:rPr>
        <w:t xml:space="preserve"> approaches to identify baseline measurements on water leakage on both the utility and customer side. </w:t>
      </w:r>
      <w:r>
        <w:rPr>
          <w:iCs/>
        </w:rPr>
        <w:t xml:space="preserve"> </w:t>
      </w:r>
      <w:proofErr w:type="spellStart"/>
      <w:r>
        <w:rPr>
          <w:iCs/>
        </w:rPr>
        <w:t>WRATES</w:t>
      </w:r>
      <w:proofErr w:type="spellEnd"/>
      <w:r>
        <w:rPr>
          <w:iCs/>
        </w:rPr>
        <w:t xml:space="preserve"> became a party to the proceeding at the PHC.</w:t>
      </w:r>
      <w:r w:rsidR="002E5EF7">
        <w:rPr>
          <w:rStyle w:val="FootnoteReference"/>
          <w:iCs/>
        </w:rPr>
        <w:footnoteReference w:id="12"/>
      </w:r>
      <w:r>
        <w:rPr>
          <w:iCs/>
        </w:rPr>
        <w:t xml:space="preserve">  </w:t>
      </w:r>
    </w:p>
    <w:p w:rsidR="00180B45" w:rsidP="00F943E2" w:rsidRDefault="00157DF9" w14:paraId="40D10B36" w14:textId="02FC6CDC">
      <w:pPr>
        <w:pStyle w:val="Standard"/>
        <w:rPr>
          <w:color w:val="000000"/>
        </w:rPr>
      </w:pPr>
      <w:bookmarkStart w:name="_Hlk62288596" w:id="16"/>
      <w:r>
        <w:t>Cal Advoc</w:t>
      </w:r>
      <w:r w:rsidRPr="00405BBF" w:rsidR="00405BBF">
        <w:t>ate</w:t>
      </w:r>
      <w:r w:rsidR="00703C76">
        <w:t>s</w:t>
      </w:r>
      <w:r w:rsidRPr="00405BBF" w:rsidR="00405BBF">
        <w:t xml:space="preserve"> </w:t>
      </w:r>
      <w:bookmarkEnd w:id="16"/>
      <w:r w:rsidRPr="00405BBF" w:rsidR="00405BBF">
        <w:t xml:space="preserve">serves as representative on behalf of </w:t>
      </w:r>
      <w:r w:rsidRPr="00405BBF" w:rsidR="00405BBF">
        <w:rPr>
          <w:color w:val="000000"/>
        </w:rPr>
        <w:t>California consumers.</w:t>
      </w:r>
      <w:r w:rsidRPr="00405BBF" w:rsidR="00405BBF">
        <w:rPr>
          <w:color w:val="000000"/>
          <w:vertAlign w:val="superscript"/>
        </w:rPr>
        <w:footnoteReference w:id="13"/>
      </w:r>
      <w:r w:rsidRPr="00405BBF" w:rsidR="00405BBF">
        <w:rPr>
          <w:color w:val="000000"/>
        </w:rPr>
        <w:t xml:space="preserve"> </w:t>
      </w:r>
      <w:r w:rsidR="00132EE1">
        <w:rPr>
          <w:color w:val="000000"/>
        </w:rPr>
        <w:t xml:space="preserve"> </w:t>
      </w:r>
      <w:r>
        <w:rPr>
          <w:color w:val="000000"/>
        </w:rPr>
        <w:t>Cal Advoc</w:t>
      </w:r>
      <w:r w:rsidRPr="00405BBF" w:rsidR="00405BBF">
        <w:rPr>
          <w:color w:val="000000"/>
        </w:rPr>
        <w:t>ate</w:t>
      </w:r>
      <w:r w:rsidR="00703C76">
        <w:rPr>
          <w:color w:val="000000"/>
        </w:rPr>
        <w:t>s</w:t>
      </w:r>
      <w:r w:rsidR="00432A64">
        <w:rPr>
          <w:color w:val="000000"/>
        </w:rPr>
        <w:t xml:space="preserve">’ </w:t>
      </w:r>
      <w:r w:rsidRPr="00405BBF" w:rsidR="00405BBF">
        <w:rPr>
          <w:color w:val="000000"/>
        </w:rPr>
        <w:t xml:space="preserve">statutory mandate requires it to “advocate on behalf of the interests of public utility customers and subscribers within the jurisdiction of the commission” and “obtain the lowest possible rate for service consistent with reliable and safe service levels.” </w:t>
      </w:r>
    </w:p>
    <w:p w:rsidRPr="00405BBF" w:rsidR="00180B45" w:rsidP="00F943E2" w:rsidRDefault="00F53082" w14:paraId="59B438EA" w14:textId="62D65DAB">
      <w:pPr>
        <w:pStyle w:val="Standard"/>
        <w:rPr>
          <w:color w:val="000000"/>
        </w:rPr>
      </w:pPr>
      <w:proofErr w:type="spellStart"/>
      <w:r>
        <w:t>WRATES</w:t>
      </w:r>
      <w:proofErr w:type="spellEnd"/>
      <w:r>
        <w:t xml:space="preserve"> and </w:t>
      </w:r>
      <w:r w:rsidR="00157DF9">
        <w:t>Cal Advoc</w:t>
      </w:r>
      <w:r w:rsidR="00703C76">
        <w:t xml:space="preserve">ates </w:t>
      </w:r>
      <w:r>
        <w:t xml:space="preserve">question whether </w:t>
      </w:r>
      <w:proofErr w:type="spellStart"/>
      <w:r>
        <w:t>SJWC’s</w:t>
      </w:r>
      <w:proofErr w:type="spellEnd"/>
      <w:r>
        <w:t xml:space="preserve"> proposals about costs of AMI deployment are reasonable.  To address this, </w:t>
      </w:r>
      <w:r w:rsidR="00157DF9">
        <w:t>Cal Advoc</w:t>
      </w:r>
      <w:r w:rsidR="00703C76">
        <w:t xml:space="preserve">ates </w:t>
      </w:r>
      <w:r>
        <w:t xml:space="preserve">proposes a </w:t>
      </w:r>
      <w:r w:rsidRPr="009C2B0F" w:rsidR="00B8706C">
        <w:t>Performance Incentive Mechanism</w:t>
      </w:r>
      <w:r w:rsidRPr="009C2B0F">
        <w:t xml:space="preserve"> </w:t>
      </w:r>
      <w:r>
        <w:t>(</w:t>
      </w:r>
      <w:r w:rsidRPr="009C2B0F">
        <w:rPr>
          <w:iCs/>
        </w:rPr>
        <w:t>PIM</w:t>
      </w:r>
      <w:r>
        <w:t xml:space="preserve">) to measure and monitor whether SJWC meets its goals and achieves the benefits for customers that it expects. </w:t>
      </w:r>
    </w:p>
    <w:p w:rsidRPr="007417CD" w:rsidR="007A00FC" w:rsidP="00152B77" w:rsidRDefault="007A00FC" w14:paraId="4EE23A5C" w14:textId="5B70AF1A">
      <w:pPr>
        <w:pStyle w:val="Heading2"/>
      </w:pPr>
      <w:bookmarkStart w:name="_Toc67650858" w:id="17"/>
      <w:bookmarkStart w:name="_Toc101900327" w:id="18"/>
      <w:bookmarkEnd w:id="15"/>
      <w:r>
        <w:lastRenderedPageBreak/>
        <w:t>Settlement of Disputes</w:t>
      </w:r>
      <w:bookmarkEnd w:id="17"/>
      <w:bookmarkEnd w:id="18"/>
    </w:p>
    <w:p w:rsidRPr="007417CD" w:rsidR="002B2E4D" w:rsidP="003B1C1A" w:rsidRDefault="00812BA3" w14:paraId="32594342" w14:textId="0F571BF5">
      <w:pPr>
        <w:pStyle w:val="Standard"/>
      </w:pPr>
      <w:bookmarkStart w:name="_Toc8123718" w:id="19"/>
      <w:r w:rsidRPr="009C2B0F">
        <w:rPr>
          <w:iCs/>
        </w:rPr>
        <w:t xml:space="preserve">SJWC, </w:t>
      </w:r>
      <w:proofErr w:type="spellStart"/>
      <w:r w:rsidRPr="009C2B0F">
        <w:rPr>
          <w:iCs/>
        </w:rPr>
        <w:t>WRATES</w:t>
      </w:r>
      <w:proofErr w:type="spellEnd"/>
      <w:r w:rsidRPr="009C2B0F" w:rsidR="00A30C12">
        <w:rPr>
          <w:iCs/>
        </w:rPr>
        <w:t>,</w:t>
      </w:r>
      <w:r w:rsidRPr="009C2B0F">
        <w:rPr>
          <w:iCs/>
        </w:rPr>
        <w:t xml:space="preserve"> and Cal Advocates (</w:t>
      </w:r>
      <w:r w:rsidRPr="009C2B0F">
        <w:t xml:space="preserve">collectively, the </w:t>
      </w:r>
      <w:r w:rsidRPr="009C2B0F">
        <w:rPr>
          <w:iCs/>
        </w:rPr>
        <w:t>Parties</w:t>
      </w:r>
      <w:r>
        <w:rPr>
          <w:iCs/>
        </w:rPr>
        <w:t xml:space="preserve">) </w:t>
      </w:r>
      <w:r w:rsidRPr="007417CD" w:rsidR="002B2E4D">
        <w:t>met and conferred several times in the weeks following the PHC</w:t>
      </w:r>
      <w:r w:rsidRPr="007417CD" w:rsidR="00E405A5">
        <w:t>.  On October</w:t>
      </w:r>
      <w:r w:rsidR="00E36A81">
        <w:t> </w:t>
      </w:r>
      <w:r w:rsidRPr="007417CD" w:rsidR="00E405A5">
        <w:t>9,</w:t>
      </w:r>
      <w:r w:rsidR="00E36A81">
        <w:t> </w:t>
      </w:r>
      <w:r w:rsidRPr="007417CD" w:rsidR="00E405A5">
        <w:t xml:space="preserve">2020, the </w:t>
      </w:r>
      <w:r w:rsidRPr="009C2B0F" w:rsidR="00CD398E">
        <w:t>Parties</w:t>
      </w:r>
      <w:r w:rsidRPr="007417CD" w:rsidR="00CD398E">
        <w:t xml:space="preserve"> </w:t>
      </w:r>
      <w:r w:rsidRPr="007417CD" w:rsidR="00E405A5">
        <w:t xml:space="preserve">held a formally noticed settlement conference in compliance with </w:t>
      </w:r>
      <w:r w:rsidR="001F18F5">
        <w:t>Rule </w:t>
      </w:r>
      <w:r w:rsidRPr="007417CD" w:rsidR="00E405A5">
        <w:t xml:space="preserve">12.1(b).  They agreed to settle the proceeding on </w:t>
      </w:r>
      <w:r w:rsidR="00931653">
        <w:t>August</w:t>
      </w:r>
      <w:r w:rsidR="00445A28">
        <w:t> </w:t>
      </w:r>
      <w:r w:rsidR="00931653">
        <w:t>5</w:t>
      </w:r>
      <w:r w:rsidRPr="007417CD" w:rsidR="00E405A5">
        <w:t>,</w:t>
      </w:r>
      <w:r w:rsidR="00445A28">
        <w:t> </w:t>
      </w:r>
      <w:r w:rsidRPr="007417CD" w:rsidR="00E405A5">
        <w:t>2021.</w:t>
      </w:r>
      <w:r w:rsidRPr="007417CD" w:rsidR="002B2E4D">
        <w:rPr>
          <w:rStyle w:val="FootnoteReference"/>
          <w:sz w:val="28"/>
          <w:szCs w:val="28"/>
        </w:rPr>
        <w:footnoteReference w:id="14"/>
      </w:r>
      <w:r w:rsidRPr="007417CD" w:rsidR="002B2E4D">
        <w:t xml:space="preserve">  </w:t>
      </w:r>
      <w:r w:rsidR="00130201">
        <w:t xml:space="preserve">As discussed below, the settlement includes a PIM as proposed by </w:t>
      </w:r>
      <w:r w:rsidR="00157DF9">
        <w:t>Cal Advoc</w:t>
      </w:r>
      <w:r w:rsidR="00130201">
        <w:t>ate</w:t>
      </w:r>
      <w:r w:rsidR="003012A5">
        <w:t>s</w:t>
      </w:r>
      <w:r w:rsidR="00130201">
        <w:t xml:space="preserve">. </w:t>
      </w:r>
    </w:p>
    <w:p w:rsidR="005A148C" w:rsidP="00DE6ED2" w:rsidRDefault="007A00FC" w14:paraId="6C906A05" w14:textId="2267E889">
      <w:pPr>
        <w:pStyle w:val="Heading1"/>
        <w:numPr>
          <w:ilvl w:val="0"/>
          <w:numId w:val="12"/>
        </w:numPr>
      </w:pPr>
      <w:bookmarkStart w:name="_Toc67650859" w:id="20"/>
      <w:bookmarkStart w:name="_Toc101900328" w:id="21"/>
      <w:r w:rsidRPr="00E16357">
        <w:t xml:space="preserve">Summary of </w:t>
      </w:r>
      <w:r w:rsidRPr="00987EBE">
        <w:t>Settlement</w:t>
      </w:r>
      <w:r w:rsidRPr="00E16357">
        <w:t xml:space="preserve"> Provisions </w:t>
      </w:r>
      <w:r w:rsidRPr="00E16357" w:rsidR="00A76A0D">
        <w:br/>
      </w:r>
      <w:r w:rsidRPr="00A05877">
        <w:t>Addressing</w:t>
      </w:r>
      <w:r w:rsidRPr="00E16357">
        <w:t xml:space="preserve"> Scope</w:t>
      </w:r>
      <w:bookmarkEnd w:id="19"/>
      <w:bookmarkEnd w:id="20"/>
      <w:bookmarkEnd w:id="21"/>
    </w:p>
    <w:p w:rsidRPr="00086B3D" w:rsidR="007A00FC" w:rsidP="00152B77" w:rsidRDefault="0085531F" w14:paraId="745E2D71" w14:textId="4CC5B788">
      <w:pPr>
        <w:pStyle w:val="Heading2"/>
      </w:pPr>
      <w:bookmarkStart w:name="_Toc101900329" w:id="22"/>
      <w:r w:rsidRPr="00086B3D">
        <w:t>Performance Incentive Mechanism</w:t>
      </w:r>
      <w:bookmarkEnd w:id="22"/>
      <w:r w:rsidR="00086B3D">
        <w:t xml:space="preserve"> </w:t>
      </w:r>
    </w:p>
    <w:p w:rsidR="002A4661" w:rsidP="003B1C1A" w:rsidRDefault="002A4661" w14:paraId="5D46BB18" w14:textId="79AD6966">
      <w:pPr>
        <w:pStyle w:val="Standard"/>
      </w:pPr>
      <w:bookmarkStart w:name="_Toc8123719" w:id="23"/>
      <w:r w:rsidRPr="00086B3D">
        <w:t xml:space="preserve">The </w:t>
      </w:r>
      <w:r w:rsidRPr="009C2B0F" w:rsidR="00CD398E">
        <w:t>Parties</w:t>
      </w:r>
      <w:r w:rsidRPr="00086B3D" w:rsidR="00CD398E">
        <w:t xml:space="preserve"> </w:t>
      </w:r>
      <w:r w:rsidRPr="00086B3D">
        <w:t xml:space="preserve">agree that </w:t>
      </w:r>
      <w:r w:rsidR="00520F72">
        <w:t>SJWC</w:t>
      </w:r>
      <w:r w:rsidR="008662BD">
        <w:t xml:space="preserve"> </w:t>
      </w:r>
      <w:r w:rsidRPr="00086B3D">
        <w:t xml:space="preserve">will achieve full deployment of its </w:t>
      </w:r>
      <w:r>
        <w:t xml:space="preserve">AMI </w:t>
      </w:r>
      <w:r w:rsidRPr="00086B3D">
        <w:t xml:space="preserve">within four years of a final decision from the Commission. </w:t>
      </w:r>
    </w:p>
    <w:p w:rsidR="002B2E4D" w:rsidP="003B1C1A" w:rsidRDefault="00157DF9" w14:paraId="6F7B4909" w14:textId="3356878F">
      <w:pPr>
        <w:pStyle w:val="Standard"/>
      </w:pPr>
      <w:r>
        <w:t>Cal Advoc</w:t>
      </w:r>
      <w:r w:rsidRPr="00086B3D" w:rsidR="0085531F">
        <w:t>ates propose</w:t>
      </w:r>
      <w:r w:rsidR="00EE3737">
        <w:t>s</w:t>
      </w:r>
      <w:r w:rsidR="002A4661">
        <w:t xml:space="preserve">, and all </w:t>
      </w:r>
      <w:r w:rsidRPr="009C2B0F" w:rsidR="00CD398E">
        <w:t>Parties</w:t>
      </w:r>
      <w:r w:rsidR="00CD398E">
        <w:t xml:space="preserve"> </w:t>
      </w:r>
      <w:r w:rsidR="002A4661">
        <w:t xml:space="preserve">agree, </w:t>
      </w:r>
      <w:r w:rsidRPr="00086B3D" w:rsidR="0085531F">
        <w:t xml:space="preserve">that there should be a </w:t>
      </w:r>
      <w:r w:rsidRPr="009C2B0F" w:rsidR="0085531F">
        <w:t>PI</w:t>
      </w:r>
      <w:r w:rsidRPr="009C2B0F" w:rsidR="001C54EE">
        <w:t>M</w:t>
      </w:r>
      <w:r w:rsidRPr="00086B3D" w:rsidR="0085531F">
        <w:t xml:space="preserve"> in place to monitor whether </w:t>
      </w:r>
      <w:proofErr w:type="spellStart"/>
      <w:r w:rsidRPr="00086B3D" w:rsidR="0085531F">
        <w:t>SJWC’s</w:t>
      </w:r>
      <w:proofErr w:type="spellEnd"/>
      <w:r w:rsidRPr="00086B3D" w:rsidR="0085531F">
        <w:t xml:space="preserve"> AMI </w:t>
      </w:r>
      <w:r w:rsidRPr="00086B3D" w:rsidR="00086B3D">
        <w:t xml:space="preserve">is meeting its goals and achieving stated customer benefits.  </w:t>
      </w:r>
      <w:r w:rsidR="00086B3D">
        <w:t xml:space="preserve">The </w:t>
      </w:r>
      <w:r w:rsidRPr="009C2B0F" w:rsidR="00CD398E">
        <w:t>Parties</w:t>
      </w:r>
      <w:r w:rsidR="00CD398E">
        <w:t xml:space="preserve"> </w:t>
      </w:r>
      <w:r w:rsidR="00086B3D">
        <w:t>agree</w:t>
      </w:r>
      <w:r w:rsidR="00EE3737">
        <w:t>s</w:t>
      </w:r>
      <w:r w:rsidR="00086B3D">
        <w:t xml:space="preserve"> that SJWC </w:t>
      </w:r>
      <w:r w:rsidR="00F404B5">
        <w:t>must</w:t>
      </w:r>
      <w:r w:rsidR="00086B3D">
        <w:t xml:space="preserve"> provide annual updates to the Commission’s Water Division to demonstrate that it is in compliance with </w:t>
      </w:r>
      <w:r w:rsidR="002A4661">
        <w:t xml:space="preserve">the </w:t>
      </w:r>
      <w:r w:rsidR="00683EBA">
        <w:t>S</w:t>
      </w:r>
      <w:r w:rsidR="002A4661">
        <w:t xml:space="preserve">ettlement </w:t>
      </w:r>
      <w:r w:rsidR="00683EBA">
        <w:t>A</w:t>
      </w:r>
      <w:r w:rsidR="002A4661">
        <w:t xml:space="preserve">greement before it may recover the associated revenue for the PIM requirement during the next calendar year. </w:t>
      </w:r>
      <w:r w:rsidR="00EE0A87">
        <w:t xml:space="preserve"> </w:t>
      </w:r>
      <w:proofErr w:type="spellStart"/>
      <w:r w:rsidR="00EE0A87">
        <w:t>SJWC’s</w:t>
      </w:r>
      <w:proofErr w:type="spellEnd"/>
      <w:r w:rsidR="00EE0A87">
        <w:t xml:space="preserve"> compliance will be evaluated upon (1)</w:t>
      </w:r>
      <w:r w:rsidR="00714C8D">
        <w:t> </w:t>
      </w:r>
      <w:r w:rsidR="00F404B5">
        <w:t>c</w:t>
      </w:r>
      <w:r w:rsidR="00EE0A87">
        <w:t>ustomer/</w:t>
      </w:r>
      <w:r w:rsidR="00F404B5">
        <w:t>s</w:t>
      </w:r>
      <w:r w:rsidR="00EE0A87">
        <w:t xml:space="preserve">ubscriber </w:t>
      </w:r>
      <w:r w:rsidR="00F404B5">
        <w:t>e</w:t>
      </w:r>
      <w:r w:rsidR="00EE0A87">
        <w:t xml:space="preserve">nrollment in </w:t>
      </w:r>
      <w:r w:rsidR="00381762">
        <w:t>the</w:t>
      </w:r>
      <w:r w:rsidR="00EE0A87">
        <w:t xml:space="preserve"> </w:t>
      </w:r>
      <w:proofErr w:type="spellStart"/>
      <w:r w:rsidR="00EE0A87">
        <w:t>WaterSmart</w:t>
      </w:r>
      <w:proofErr w:type="spellEnd"/>
      <w:r w:rsidR="00EE0A87">
        <w:t xml:space="preserve"> Portal; (2)</w:t>
      </w:r>
      <w:r w:rsidR="00714C8D">
        <w:t> </w:t>
      </w:r>
      <w:r w:rsidR="00F404B5">
        <w:t>c</w:t>
      </w:r>
      <w:r w:rsidR="00EE0A87">
        <w:t>ustomer/</w:t>
      </w:r>
      <w:r w:rsidR="00F404B5">
        <w:t>s</w:t>
      </w:r>
      <w:r w:rsidR="00EE0A87">
        <w:t xml:space="preserve">ubscriber </w:t>
      </w:r>
      <w:r w:rsidR="00F404B5">
        <w:t>l</w:t>
      </w:r>
      <w:r w:rsidR="00EE0A87">
        <w:t xml:space="preserve">eak </w:t>
      </w:r>
      <w:r w:rsidR="00F404B5">
        <w:t>a</w:t>
      </w:r>
      <w:r w:rsidR="00EE0A87">
        <w:t>lerts; (3)</w:t>
      </w:r>
      <w:r w:rsidR="00714C8D">
        <w:t> </w:t>
      </w:r>
      <w:r w:rsidR="00F404B5">
        <w:t>w</w:t>
      </w:r>
      <w:r w:rsidR="00EE0A87">
        <w:t xml:space="preserve">ater </w:t>
      </w:r>
      <w:r w:rsidR="00F404B5">
        <w:t>l</w:t>
      </w:r>
      <w:r w:rsidR="00EE0A87">
        <w:t>oss associated with leaks; (4)</w:t>
      </w:r>
      <w:r w:rsidR="00714C8D">
        <w:t> </w:t>
      </w:r>
      <w:r w:rsidR="00F404B5">
        <w:t>b</w:t>
      </w:r>
      <w:r w:rsidR="00EE0A87">
        <w:t>ill adjustments for leaks</w:t>
      </w:r>
      <w:r w:rsidR="00714C8D">
        <w:t>;</w:t>
      </w:r>
      <w:r w:rsidR="00EE0A87">
        <w:t xml:space="preserve"> and (5)</w:t>
      </w:r>
      <w:r w:rsidR="00714C8D">
        <w:t> </w:t>
      </w:r>
      <w:r w:rsidR="00F404B5">
        <w:t>s</w:t>
      </w:r>
      <w:r w:rsidR="00EE0A87">
        <w:t>avings fro</w:t>
      </w:r>
      <w:r w:rsidR="00F404B5">
        <w:t>m</w:t>
      </w:r>
      <w:r w:rsidR="00EE0A87">
        <w:t xml:space="preserve"> </w:t>
      </w:r>
      <w:r w:rsidR="00F404B5">
        <w:t>f</w:t>
      </w:r>
      <w:r w:rsidR="00EE0A87">
        <w:t>ield operations.</w:t>
      </w:r>
      <w:r w:rsidR="00B92F82">
        <w:rPr>
          <w:rStyle w:val="FootnoteReference"/>
        </w:rPr>
        <w:footnoteReference w:id="15"/>
      </w:r>
      <w:r w:rsidR="00EE0A87">
        <w:t xml:space="preserve">  </w:t>
      </w:r>
    </w:p>
    <w:p w:rsidRPr="00086B3D" w:rsidR="001C204A" w:rsidP="003B1C1A" w:rsidRDefault="001C204A" w14:paraId="24E55807" w14:textId="199B5A35">
      <w:pPr>
        <w:pStyle w:val="Standard"/>
      </w:pPr>
      <w:r>
        <w:t xml:space="preserve">Beginning </w:t>
      </w:r>
      <w:r w:rsidR="009C6714">
        <w:t xml:space="preserve">in </w:t>
      </w:r>
      <w:r>
        <w:t xml:space="preserve">the year after one year </w:t>
      </w:r>
      <w:r w:rsidR="0006007F">
        <w:t xml:space="preserve">of </w:t>
      </w:r>
      <w:r>
        <w:t xml:space="preserve">full deployment of </w:t>
      </w:r>
      <w:proofErr w:type="spellStart"/>
      <w:r w:rsidR="008B1A84">
        <w:t>SJWC’s</w:t>
      </w:r>
      <w:proofErr w:type="spellEnd"/>
      <w:r>
        <w:t xml:space="preserve"> AMI and ending 15</w:t>
      </w:r>
      <w:r w:rsidR="0097073A">
        <w:t> </w:t>
      </w:r>
      <w:r>
        <w:t xml:space="preserve">years </w:t>
      </w:r>
      <w:r w:rsidR="00C3025D">
        <w:t>later</w:t>
      </w:r>
      <w:r>
        <w:t>, S</w:t>
      </w:r>
      <w:r w:rsidR="008B1A84">
        <w:t>JWC</w:t>
      </w:r>
      <w:r>
        <w:t xml:space="preserve"> shall</w:t>
      </w:r>
      <w:r w:rsidR="00B46926">
        <w:t xml:space="preserve"> demonstrate compliance with the </w:t>
      </w:r>
      <w:r w:rsidR="00F82F9E">
        <w:t xml:space="preserve">five PIM requirements </w:t>
      </w:r>
      <w:r w:rsidR="008D4767">
        <w:t>fo</w:t>
      </w:r>
      <w:r w:rsidR="00B06226">
        <w:t>r</w:t>
      </w:r>
      <w:r w:rsidR="008D4767">
        <w:t xml:space="preserve"> each year through either its Step</w:t>
      </w:r>
      <w:r w:rsidR="009B4801">
        <w:noBreakHyphen/>
      </w:r>
      <w:r w:rsidR="007E4D72">
        <w:t xml:space="preserve">Rate </w:t>
      </w:r>
      <w:r w:rsidR="004957AE">
        <w:t>AL</w:t>
      </w:r>
      <w:r w:rsidR="007E4D72">
        <w:t xml:space="preserve"> filings or </w:t>
      </w:r>
      <w:r w:rsidRPr="009C2B0F" w:rsidR="00C44307">
        <w:t>general rate case</w:t>
      </w:r>
      <w:r w:rsidR="00C44307">
        <w:t xml:space="preserve"> </w:t>
      </w:r>
      <w:r w:rsidRPr="009C2B0F" w:rsidR="00C44307">
        <w:t>(GRC)</w:t>
      </w:r>
      <w:r w:rsidR="007E4D72">
        <w:t xml:space="preserve"> filings.</w:t>
      </w:r>
    </w:p>
    <w:p w:rsidRPr="000C035B" w:rsidR="007A00FC" w:rsidP="00152B77" w:rsidRDefault="001C54EE" w14:paraId="54EB13CF" w14:textId="68218D26">
      <w:pPr>
        <w:pStyle w:val="Heading2"/>
      </w:pPr>
      <w:bookmarkStart w:name="_Toc67650861" w:id="25"/>
      <w:bookmarkStart w:name="_Toc101900330" w:id="26"/>
      <w:r>
        <w:lastRenderedPageBreak/>
        <w:t xml:space="preserve">Depreciation </w:t>
      </w:r>
      <w:r w:rsidR="00860F1F">
        <w:t xml:space="preserve">Rate </w:t>
      </w:r>
      <w:r>
        <w:t>Agreement</w:t>
      </w:r>
      <w:bookmarkEnd w:id="25"/>
      <w:bookmarkEnd w:id="26"/>
    </w:p>
    <w:p w:rsidRPr="000C035B" w:rsidR="002B2E4D" w:rsidP="003B1C1A" w:rsidRDefault="0049577F" w14:paraId="4836D5BB" w14:textId="5649CF41">
      <w:pPr>
        <w:pStyle w:val="Standard"/>
      </w:pPr>
      <w:r w:rsidRPr="000C035B">
        <w:t xml:space="preserve">The </w:t>
      </w:r>
      <w:r w:rsidRPr="009C2B0F" w:rsidR="00CD398E">
        <w:t>Parties</w:t>
      </w:r>
      <w:r w:rsidRPr="000C035B" w:rsidR="00CD398E">
        <w:t xml:space="preserve"> </w:t>
      </w:r>
      <w:r w:rsidRPr="000C035B">
        <w:t xml:space="preserve">agree that SJWC may use the depreciation rate authorized in its </w:t>
      </w:r>
      <w:r w:rsidRPr="009C2B0F">
        <w:t xml:space="preserve">2018 </w:t>
      </w:r>
      <w:r w:rsidRPr="009C2B0F">
        <w:rPr>
          <w:iCs/>
        </w:rPr>
        <w:t>GRC</w:t>
      </w:r>
      <w:r w:rsidRPr="000C035B">
        <w:t xml:space="preserve"> in D.18</w:t>
      </w:r>
      <w:r w:rsidR="009B4801">
        <w:noBreakHyphen/>
      </w:r>
      <w:r w:rsidRPr="000C035B">
        <w:t>11</w:t>
      </w:r>
      <w:r w:rsidR="009B4801">
        <w:noBreakHyphen/>
      </w:r>
      <w:r w:rsidRPr="000C035B">
        <w:t>025</w:t>
      </w:r>
      <w:r w:rsidRPr="000C035B" w:rsidR="006F501E">
        <w:rPr>
          <w:rStyle w:val="FootnoteReference"/>
        </w:rPr>
        <w:footnoteReference w:id="16"/>
      </w:r>
      <w:r w:rsidRPr="000C035B" w:rsidR="00700C0C">
        <w:t xml:space="preserve">, but that assets will be depreciated over the life span of the </w:t>
      </w:r>
      <w:r w:rsidRPr="009C2B0F" w:rsidR="00AA3873">
        <w:t>P</w:t>
      </w:r>
      <w:r w:rsidRPr="009C2B0F" w:rsidR="00700C0C">
        <w:t>roject</w:t>
      </w:r>
      <w:r w:rsidRPr="000C035B" w:rsidR="00700C0C">
        <w:t>.</w:t>
      </w:r>
      <w:r w:rsidRPr="000C035B" w:rsidR="00700C0C">
        <w:rPr>
          <w:rStyle w:val="FootnoteReference"/>
        </w:rPr>
        <w:footnoteReference w:id="17"/>
      </w:r>
      <w:r w:rsidRPr="000C035B" w:rsidR="00700C0C">
        <w:t xml:space="preserve"> </w:t>
      </w:r>
    </w:p>
    <w:p w:rsidRPr="008F1811" w:rsidR="007A00FC" w:rsidP="00152B77" w:rsidRDefault="006D7D95" w14:paraId="1C2889B8" w14:textId="3B85B0F2">
      <w:pPr>
        <w:pStyle w:val="Heading2"/>
      </w:pPr>
      <w:bookmarkStart w:name="_Toc101900331" w:id="28"/>
      <w:bookmarkStart w:name="_Toc67650862" w:id="29"/>
      <w:r w:rsidRPr="008F1811">
        <w:t>Meter Replacement Savings</w:t>
      </w:r>
      <w:bookmarkEnd w:id="28"/>
      <w:r w:rsidRPr="008F1811">
        <w:t xml:space="preserve"> </w:t>
      </w:r>
      <w:bookmarkEnd w:id="29"/>
    </w:p>
    <w:p w:rsidRPr="008F1811" w:rsidR="002B2E4D" w:rsidP="003B1C1A" w:rsidRDefault="00AF5BC0" w14:paraId="7967FB31" w14:textId="193DEC7E">
      <w:pPr>
        <w:pStyle w:val="Standard"/>
      </w:pPr>
      <w:r w:rsidRPr="008F1811">
        <w:t xml:space="preserve">The </w:t>
      </w:r>
      <w:r w:rsidRPr="008F1811" w:rsidR="00D84B73">
        <w:t xml:space="preserve">SJWC and </w:t>
      </w:r>
      <w:r w:rsidR="00157DF9">
        <w:t>Cal Advoc</w:t>
      </w:r>
      <w:r w:rsidRPr="008F1811" w:rsidR="00D84B73">
        <w:t>ates</w:t>
      </w:r>
      <w:r w:rsidRPr="008F1811">
        <w:t xml:space="preserve"> </w:t>
      </w:r>
      <w:r w:rsidRPr="008F1811" w:rsidR="00D84B73">
        <w:t xml:space="preserve">disagreed </w:t>
      </w:r>
      <w:r w:rsidRPr="008F1811">
        <w:t>about whether estimated cost savings for meter replacement from 2022</w:t>
      </w:r>
      <w:r w:rsidR="009B4801">
        <w:noBreakHyphen/>
      </w:r>
      <w:r w:rsidRPr="008F1811">
        <w:t>2027 should be</w:t>
      </w:r>
      <w:r w:rsidRPr="008F1811" w:rsidR="00126A93">
        <w:t xml:space="preserve"> characterized as capital cost savings and associated with AMI.  </w:t>
      </w:r>
      <w:r w:rsidR="00157DF9">
        <w:t>Cal Advoc</w:t>
      </w:r>
      <w:r w:rsidRPr="008F1811" w:rsidR="00126A93">
        <w:t>ates contended that meter replacement is necessary whether or not AMI is implemented, therefore cost savings related to meter replacement between 2022</w:t>
      </w:r>
      <w:r w:rsidR="009B4801">
        <w:noBreakHyphen/>
      </w:r>
      <w:r w:rsidRPr="008F1811" w:rsidR="00126A93">
        <w:t xml:space="preserve">2027 </w:t>
      </w:r>
      <w:r w:rsidRPr="008F1811" w:rsidR="00CB18D9">
        <w:t xml:space="preserve">should not be characterized as capital cost savings.  </w:t>
      </w:r>
      <w:r w:rsidRPr="008F1811" w:rsidR="00D84B73">
        <w:t xml:space="preserve">The </w:t>
      </w:r>
      <w:r w:rsidRPr="009C2B0F" w:rsidR="00CD398E">
        <w:t>Parties</w:t>
      </w:r>
      <w:r w:rsidRPr="008F1811" w:rsidR="00CD398E">
        <w:t xml:space="preserve"> </w:t>
      </w:r>
      <w:r w:rsidRPr="008F1811" w:rsidR="00D84B73">
        <w:t xml:space="preserve">agree that cost savings associated with meter replacement will be included within </w:t>
      </w:r>
      <w:proofErr w:type="spellStart"/>
      <w:r w:rsidRPr="008F1811" w:rsidR="00D84B73">
        <w:t>SJWC’s</w:t>
      </w:r>
      <w:proofErr w:type="spellEnd"/>
      <w:r w:rsidRPr="008F1811" w:rsidR="00D84B73">
        <w:t xml:space="preserve"> line items for field operations cost savings</w:t>
      </w:r>
      <w:r w:rsidRPr="008F1811" w:rsidR="008F1811">
        <w:t>, which are part of its annual step</w:t>
      </w:r>
      <w:r w:rsidR="009B4801">
        <w:noBreakHyphen/>
      </w:r>
      <w:r w:rsidRPr="008F1811" w:rsidR="008F1811">
        <w:t>rate and GRC filing reporting requirements for AMI</w:t>
      </w:r>
      <w:r w:rsidR="008F1811">
        <w:t>.</w:t>
      </w:r>
      <w:r w:rsidR="008F1811">
        <w:rPr>
          <w:rStyle w:val="FootnoteReference"/>
        </w:rPr>
        <w:footnoteReference w:id="18"/>
      </w:r>
      <w:r w:rsidRPr="00EB13D4" w:rsidR="002B2E4D">
        <w:rPr>
          <w:color w:val="00B050"/>
        </w:rPr>
        <w:t xml:space="preserve">  </w:t>
      </w:r>
    </w:p>
    <w:p w:rsidRPr="008F1811" w:rsidR="007A00FC" w:rsidP="00152B77" w:rsidRDefault="007A00FC" w14:paraId="5448CA24" w14:textId="560AECA1">
      <w:pPr>
        <w:pStyle w:val="Heading2"/>
      </w:pPr>
      <w:bookmarkStart w:name="_Toc101900332" w:id="30"/>
      <w:bookmarkStart w:name="_Toc67650863" w:id="31"/>
      <w:r w:rsidRPr="008F1811">
        <w:t xml:space="preserve">Customer </w:t>
      </w:r>
      <w:r w:rsidRPr="008F1811" w:rsidR="00860F1F">
        <w:t>Education</w:t>
      </w:r>
      <w:bookmarkEnd w:id="30"/>
      <w:r w:rsidRPr="008F1811" w:rsidR="00860F1F">
        <w:t xml:space="preserve"> </w:t>
      </w:r>
      <w:bookmarkEnd w:id="31"/>
    </w:p>
    <w:p w:rsidRPr="002B1E13" w:rsidR="002B2E4D" w:rsidP="003B1C1A" w:rsidRDefault="00661E80" w14:paraId="084BF86C" w14:textId="7D389A5B">
      <w:pPr>
        <w:pStyle w:val="Standard"/>
      </w:pPr>
      <w:r w:rsidRPr="006C062D">
        <w:t xml:space="preserve">SJWC plans an extensive </w:t>
      </w:r>
      <w:r w:rsidRPr="006C062D" w:rsidR="001F4CC0">
        <w:t xml:space="preserve">outreach and education campaign to educate its customers about the AMI program.  This will include </w:t>
      </w:r>
      <w:r w:rsidRPr="006C062D" w:rsidR="00254F1C">
        <w:t xml:space="preserve">community events, publishing brochures in multiple languages and conducting a Google ads campaign.  </w:t>
      </w:r>
      <w:proofErr w:type="spellStart"/>
      <w:r w:rsidRPr="006C062D" w:rsidR="00254F1C">
        <w:t>WRATES</w:t>
      </w:r>
      <w:proofErr w:type="spellEnd"/>
      <w:r w:rsidRPr="006C062D" w:rsidR="00254F1C">
        <w:t xml:space="preserve"> criticized the program, noting that a “trusted source” is necessary to inform ratepayers </w:t>
      </w:r>
      <w:r w:rsidRPr="006C062D" w:rsidR="006C062D">
        <w:t>about PIM.</w:t>
      </w:r>
      <w:r w:rsidR="006C062D">
        <w:rPr>
          <w:color w:val="00B050"/>
        </w:rPr>
        <w:t xml:space="preserve">  </w:t>
      </w:r>
      <w:r w:rsidRPr="00895A53" w:rsidR="00895A53">
        <w:t xml:space="preserve">The </w:t>
      </w:r>
      <w:r w:rsidRPr="009C2B0F" w:rsidR="00CD398E">
        <w:t>Parties</w:t>
      </w:r>
      <w:r w:rsidRPr="00895A53" w:rsidR="00CD398E">
        <w:t xml:space="preserve"> </w:t>
      </w:r>
      <w:r w:rsidRPr="00895A53" w:rsidR="00895A53">
        <w:t xml:space="preserve">agree that SJWC will </w:t>
      </w:r>
      <w:r w:rsidRPr="00895A53" w:rsidR="00895A53">
        <w:lastRenderedPageBreak/>
        <w:t xml:space="preserve">utilize </w:t>
      </w:r>
      <w:r w:rsidRPr="002B1E13" w:rsidR="00895A53">
        <w:t>traditional and electronic means to educate ratepayers about the AMI program.</w:t>
      </w:r>
      <w:r w:rsidRPr="002B1E13" w:rsidR="004B66B0">
        <w:rPr>
          <w:rStyle w:val="FootnoteReference"/>
        </w:rPr>
        <w:footnoteReference w:id="19"/>
      </w:r>
      <w:r w:rsidRPr="002B1E13" w:rsidR="001F4CC0">
        <w:t xml:space="preserve"> </w:t>
      </w:r>
      <w:r w:rsidRPr="002B1E13">
        <w:t xml:space="preserve"> </w:t>
      </w:r>
    </w:p>
    <w:p w:rsidRPr="002B1E13" w:rsidR="001E32D9" w:rsidP="00152B77" w:rsidRDefault="004B66B0" w14:paraId="729D5B77" w14:textId="4D9F111C">
      <w:pPr>
        <w:pStyle w:val="Heading2"/>
      </w:pPr>
      <w:bookmarkStart w:name="_Toc67650864" w:id="32"/>
      <w:bookmarkStart w:name="_Toc101900333" w:id="33"/>
      <w:r w:rsidRPr="002B1E13">
        <w:t>Customer/Subscriber P</w:t>
      </w:r>
      <w:r w:rsidRPr="002B1E13" w:rsidR="00860F1F">
        <w:t xml:space="preserve">rivacy </w:t>
      </w:r>
      <w:bookmarkEnd w:id="32"/>
      <w:r w:rsidRPr="002B1E13">
        <w:t>Agreement</w:t>
      </w:r>
      <w:bookmarkEnd w:id="33"/>
    </w:p>
    <w:p w:rsidRPr="00BE2A3D" w:rsidR="001E32D9" w:rsidP="003B1C1A" w:rsidRDefault="004B66B0" w14:paraId="25311D32" w14:textId="4EECB381">
      <w:pPr>
        <w:pStyle w:val="Standard"/>
      </w:pPr>
      <w:r w:rsidRPr="002B1E13">
        <w:t xml:space="preserve">SJWC will comply with the California Consumer Privacy Act with respect to the AMI program.  It will require all bidders for the AMI system to comply with security requirements </w:t>
      </w:r>
      <w:r w:rsidRPr="002B1E13" w:rsidR="00704C34">
        <w:t>to saf</w:t>
      </w:r>
      <w:r w:rsidRPr="002B1E13">
        <w:t>eguard data from the time of initial transmission through long</w:t>
      </w:r>
      <w:r w:rsidR="009B4801">
        <w:noBreakHyphen/>
      </w:r>
      <w:r w:rsidRPr="002B1E13">
        <w:t xml:space="preserve">term storage.  </w:t>
      </w:r>
      <w:r w:rsidRPr="002B1E13" w:rsidR="00704C34">
        <w:t>Customer</w:t>
      </w:r>
      <w:r w:rsidR="009B4801">
        <w:noBreakHyphen/>
      </w:r>
      <w:r w:rsidRPr="002B1E13" w:rsidR="00704C34">
        <w:t xml:space="preserve">specific information such as customer name, address, account number and/or bill payment status will not be transmitted over the </w:t>
      </w:r>
      <w:r w:rsidRPr="002B1E13" w:rsidR="002B1E13">
        <w:t>network</w:t>
      </w:r>
      <w:r w:rsidRPr="00BE2A3D" w:rsidR="002B1E13">
        <w:t>.</w:t>
      </w:r>
      <w:r w:rsidRPr="00BE2A3D" w:rsidR="002B1E13">
        <w:rPr>
          <w:rStyle w:val="FootnoteReference"/>
        </w:rPr>
        <w:footnoteReference w:id="20"/>
      </w:r>
      <w:r w:rsidRPr="00BE2A3D" w:rsidR="002B1E13">
        <w:t xml:space="preserve">  </w:t>
      </w:r>
    </w:p>
    <w:p w:rsidRPr="00BE2A3D" w:rsidR="007A00FC" w:rsidP="00152B77" w:rsidRDefault="002B1E13" w14:paraId="74C4CEEA" w14:textId="3472EF79">
      <w:pPr>
        <w:pStyle w:val="Heading2"/>
      </w:pPr>
      <w:bookmarkStart w:name="_Toc101900334" w:id="34"/>
      <w:bookmarkStart w:name="_Toc67650865" w:id="35"/>
      <w:r w:rsidRPr="00BE2A3D">
        <w:t>Cost Recovery Agreement</w:t>
      </w:r>
      <w:bookmarkEnd w:id="34"/>
      <w:r w:rsidRPr="00BE2A3D" w:rsidR="001E32D9">
        <w:t xml:space="preserve"> </w:t>
      </w:r>
      <w:bookmarkEnd w:id="35"/>
    </w:p>
    <w:p w:rsidRPr="0035456C" w:rsidR="002B2E4D" w:rsidP="003B1C1A" w:rsidRDefault="002B1E13" w14:paraId="3778AF07" w14:textId="6CAFCEDA">
      <w:pPr>
        <w:pStyle w:val="Standard"/>
      </w:pPr>
      <w:r w:rsidRPr="00BE2A3D">
        <w:t xml:space="preserve">SJWC and </w:t>
      </w:r>
      <w:r w:rsidR="00157DF9">
        <w:t>Cal Advoc</w:t>
      </w:r>
      <w:r w:rsidRPr="00BE2A3D">
        <w:t xml:space="preserve">ates agree that costs of the AMI deployment, after being used and useful, will be included in rate base through annual </w:t>
      </w:r>
      <w:r w:rsidR="004A36A9">
        <w:t>Tier 2</w:t>
      </w:r>
      <w:r w:rsidRPr="00BE2A3D">
        <w:t xml:space="preserve"> </w:t>
      </w:r>
      <w:r w:rsidR="004957AE">
        <w:t>AL</w:t>
      </w:r>
      <w:r w:rsidRPr="00BE2A3D">
        <w:t xml:space="preserve"> filings.  </w:t>
      </w:r>
      <w:r w:rsidRPr="00BE2A3D" w:rsidR="00BE2A3D">
        <w:t>Capitalized interest will not be compounded, instead i</w:t>
      </w:r>
      <w:r w:rsidRPr="00BE2A3D" w:rsidR="002B2E4D">
        <w:t>n</w:t>
      </w:r>
      <w:r w:rsidRPr="00BE2A3D">
        <w:t xml:space="preserve">terest during construction will be accrued on a monthly basis </w:t>
      </w:r>
      <w:r w:rsidRPr="00BE2A3D" w:rsidR="00BE2A3D">
        <w:t xml:space="preserve">at </w:t>
      </w:r>
      <w:proofErr w:type="spellStart"/>
      <w:r w:rsidRPr="00BE2A3D" w:rsidR="00BE2A3D">
        <w:t>SJWC’s</w:t>
      </w:r>
      <w:proofErr w:type="spellEnd"/>
      <w:r w:rsidRPr="00BE2A3D" w:rsidR="00BE2A3D">
        <w:t xml:space="preserve"> actual weighted average cost of debt.</w:t>
      </w:r>
      <w:r w:rsidR="001834EB">
        <w:rPr>
          <w:rStyle w:val="FootnoteReference"/>
        </w:rPr>
        <w:footnoteReference w:id="21"/>
      </w:r>
      <w:r w:rsidR="00BE2A3D">
        <w:rPr>
          <w:color w:val="00B050"/>
        </w:rPr>
        <w:t xml:space="preserve"> </w:t>
      </w:r>
      <w:r w:rsidRPr="00EB13D4" w:rsidR="002B2E4D">
        <w:rPr>
          <w:color w:val="00B050"/>
        </w:rPr>
        <w:t xml:space="preserve"> </w:t>
      </w:r>
    </w:p>
    <w:p w:rsidRPr="0035456C" w:rsidR="001E32D9" w:rsidP="00152B77" w:rsidRDefault="002A1803" w14:paraId="04CF02D4" w14:textId="252209CD">
      <w:pPr>
        <w:pStyle w:val="Heading2"/>
      </w:pPr>
      <w:bookmarkStart w:name="_Toc67650866" w:id="36"/>
      <w:bookmarkStart w:name="_Toc101900335" w:id="37"/>
      <w:r w:rsidRPr="0035456C">
        <w:t>Billing Agreement</w:t>
      </w:r>
      <w:bookmarkEnd w:id="36"/>
      <w:bookmarkEnd w:id="37"/>
    </w:p>
    <w:p w:rsidR="0035456C" w:rsidP="003B1C1A" w:rsidRDefault="00157DF9" w14:paraId="2BE26315" w14:textId="5D45D91D">
      <w:pPr>
        <w:pStyle w:val="Standard"/>
      </w:pPr>
      <w:r>
        <w:t>Cal Advoc</w:t>
      </w:r>
      <w:r w:rsidRPr="0035456C" w:rsidR="001834EB">
        <w:t xml:space="preserve">ates and </w:t>
      </w:r>
      <w:proofErr w:type="spellStart"/>
      <w:r w:rsidRPr="0035456C" w:rsidR="001834EB">
        <w:t>WRATES</w:t>
      </w:r>
      <w:proofErr w:type="spellEnd"/>
      <w:r w:rsidRPr="0035456C" w:rsidR="001834EB">
        <w:t xml:space="preserve"> </w:t>
      </w:r>
      <w:r w:rsidRPr="0035456C" w:rsidR="00737CC2">
        <w:t xml:space="preserve">express concern that </w:t>
      </w:r>
      <w:proofErr w:type="spellStart"/>
      <w:r w:rsidRPr="0035456C" w:rsidR="00737CC2">
        <w:t>SJWC’s</w:t>
      </w:r>
      <w:proofErr w:type="spellEnd"/>
      <w:r w:rsidRPr="0035456C" w:rsidR="00737CC2">
        <w:t xml:space="preserve"> methods for calculating service charges are inaccurate, do not conform to </w:t>
      </w:r>
      <w:proofErr w:type="spellStart"/>
      <w:r w:rsidRPr="0035456C" w:rsidR="00737CC2">
        <w:t>SJWC’s</w:t>
      </w:r>
      <w:proofErr w:type="spellEnd"/>
      <w:r w:rsidRPr="0035456C" w:rsidR="00737CC2">
        <w:t xml:space="preserve"> tariff and</w:t>
      </w:r>
      <w:r w:rsidR="00D57505">
        <w:t xml:space="preserve"> that corrections for these issues</w:t>
      </w:r>
      <w:r w:rsidRPr="0035456C" w:rsidR="00737CC2">
        <w:t xml:space="preserve"> should be made at </w:t>
      </w:r>
      <w:proofErr w:type="spellStart"/>
      <w:r w:rsidRPr="0035456C" w:rsidR="00737CC2">
        <w:t>SJWC’s</w:t>
      </w:r>
      <w:proofErr w:type="spellEnd"/>
      <w:r w:rsidRPr="0035456C" w:rsidR="00737CC2">
        <w:t xml:space="preserve"> own expense.  They contend that, as a result of </w:t>
      </w:r>
      <w:proofErr w:type="spellStart"/>
      <w:r w:rsidRPr="0035456C" w:rsidR="00737CC2">
        <w:t>SJWC’s</w:t>
      </w:r>
      <w:proofErr w:type="spellEnd"/>
      <w:r w:rsidRPr="0035456C" w:rsidR="00737CC2">
        <w:t xml:space="preserve"> error, </w:t>
      </w:r>
      <w:r w:rsidRPr="0035456C" w:rsidR="000C03BB">
        <w:t xml:space="preserve">customer bills may fund over </w:t>
      </w:r>
      <w:r w:rsidR="00801BCF">
        <w:t>three</w:t>
      </w:r>
      <w:r w:rsidR="009E10A9">
        <w:t> </w:t>
      </w:r>
      <w:r w:rsidRPr="0035456C" w:rsidR="000C03BB">
        <w:t xml:space="preserve">percent more than the actual costs of AMI.  For this reason, they argue that the Commission should require SJWC to adopt a uniform process of prorating </w:t>
      </w:r>
      <w:r w:rsidRPr="0035456C" w:rsidR="000C03BB">
        <w:lastRenderedPageBreak/>
        <w:t xml:space="preserve">monthly service charges, and that the Commission should require SJWC, not </w:t>
      </w:r>
      <w:r w:rsidRPr="0035456C" w:rsidR="0035456C">
        <w:t>customers</w:t>
      </w:r>
      <w:r w:rsidRPr="0035456C" w:rsidR="000C03BB">
        <w:t>, to absorb the costs of correcting its billing practices.</w:t>
      </w:r>
    </w:p>
    <w:p w:rsidR="00987EBE" w:rsidP="00DC2ED1" w:rsidRDefault="0035456C" w14:paraId="656AC320" w14:textId="461907E1">
      <w:pPr>
        <w:pStyle w:val="Standard"/>
      </w:pPr>
      <w:r>
        <w:t xml:space="preserve">The </w:t>
      </w:r>
      <w:r w:rsidRPr="009C2B0F" w:rsidR="00CD398E">
        <w:t>Parties</w:t>
      </w:r>
      <w:r w:rsidR="00CD398E">
        <w:t xml:space="preserve"> </w:t>
      </w:r>
      <w:r>
        <w:t xml:space="preserve">agree that, within three months from the issuance of the Commission’s decision approving the </w:t>
      </w:r>
      <w:r w:rsidR="00683EBA">
        <w:t>S</w:t>
      </w:r>
      <w:r>
        <w:t xml:space="preserve">ettlement </w:t>
      </w:r>
      <w:r w:rsidR="00683EBA">
        <w:t>A</w:t>
      </w:r>
      <w:r>
        <w:t xml:space="preserve">greement, SJWC </w:t>
      </w:r>
      <w:r w:rsidR="00D45DC4">
        <w:t xml:space="preserve">must implement one standard uniform formula to accurately calculate and prorate monthly service charges for its </w:t>
      </w:r>
      <w:r w:rsidRPr="00DC2ED1" w:rsidR="00D45DC4">
        <w:t>customers</w:t>
      </w:r>
      <w:r w:rsidR="00D45DC4">
        <w:t>/subscribers.  The costs to implement such a formula shall be borne by SJWC and not recovered from ratepayers.</w:t>
      </w:r>
      <w:r w:rsidR="00D45DC4">
        <w:rPr>
          <w:rStyle w:val="FootnoteReference"/>
        </w:rPr>
        <w:footnoteReference w:id="22"/>
      </w:r>
    </w:p>
    <w:p w:rsidR="00FA1B4F" w:rsidP="00DE6ED2" w:rsidRDefault="00A82EED" w14:paraId="6769CD8D" w14:textId="75713AA7">
      <w:pPr>
        <w:pStyle w:val="Heading1"/>
        <w:numPr>
          <w:ilvl w:val="0"/>
          <w:numId w:val="12"/>
        </w:numPr>
      </w:pPr>
      <w:bookmarkStart w:name="_Toc8123721" w:id="38"/>
      <w:bookmarkStart w:name="_Toc67650870" w:id="39"/>
      <w:bookmarkStart w:name="_Toc101900336" w:id="40"/>
      <w:bookmarkEnd w:id="23"/>
      <w:r>
        <w:t>Settlement Standard of Review</w:t>
      </w:r>
      <w:bookmarkEnd w:id="38"/>
      <w:bookmarkEnd w:id="39"/>
      <w:bookmarkEnd w:id="40"/>
    </w:p>
    <w:p w:rsidRPr="002B12C2" w:rsidR="002B2E4D" w:rsidP="003B1C1A" w:rsidRDefault="002B2E4D" w14:paraId="6D18A430" w14:textId="4761DD7B">
      <w:pPr>
        <w:pStyle w:val="Standard"/>
      </w:pPr>
      <w:bookmarkStart w:name="_Toc8123723" w:id="41"/>
      <w:r w:rsidRPr="002B12C2">
        <w:t xml:space="preserve">The requirements for approval of a settlement are set forth in </w:t>
      </w:r>
      <w:r w:rsidR="001F18F5">
        <w:t>Rule </w:t>
      </w:r>
      <w:r w:rsidRPr="002B12C2">
        <w:t xml:space="preserve">12.1(a).  The Commission will only approve a proposed settlement if we find that the settlement satisfies </w:t>
      </w:r>
      <w:r w:rsidR="001F18F5">
        <w:t>Rule </w:t>
      </w:r>
      <w:r w:rsidRPr="002B12C2">
        <w:t xml:space="preserve">12.1(d), which requires a settlement to be “reasonable in light of the whole record, consistent with law, and in the public interest.”  The Commission will not approve settlements, whether contested or uncontested, unless the settlement satisfies the Rule.  </w:t>
      </w:r>
      <w:r w:rsidR="001F18F5">
        <w:t>Rule </w:t>
      </w:r>
      <w:r w:rsidRPr="002B12C2">
        <w:t>12.5 limits the applicability of a settlement.</w:t>
      </w:r>
      <w:r w:rsidRPr="002B12C2">
        <w:rPr>
          <w:vertAlign w:val="superscript"/>
        </w:rPr>
        <w:footnoteReference w:id="23"/>
      </w:r>
    </w:p>
    <w:p w:rsidRPr="00E16357" w:rsidR="00A82EED" w:rsidP="00152B77" w:rsidRDefault="00A82EED" w14:paraId="228F6D51" w14:textId="71E37C28">
      <w:pPr>
        <w:pStyle w:val="Heading2"/>
      </w:pPr>
      <w:bookmarkStart w:name="_Toc67650871" w:id="42"/>
      <w:bookmarkStart w:name="_Toc101900337" w:id="43"/>
      <w:r w:rsidRPr="00E16357">
        <w:t xml:space="preserve">The Settlement Agreement </w:t>
      </w:r>
      <w:r w:rsidR="00273779">
        <w:t xml:space="preserve">Is Reasonable </w:t>
      </w:r>
      <w:r w:rsidR="00A05877">
        <w:br/>
      </w:r>
      <w:r w:rsidR="00273779">
        <w:t>In Light of the Whole Record</w:t>
      </w:r>
      <w:bookmarkEnd w:id="42"/>
      <w:bookmarkEnd w:id="43"/>
    </w:p>
    <w:p w:rsidRPr="00D4159F" w:rsidR="00A82EED" w:rsidP="003B1C1A" w:rsidRDefault="002B2E4D" w14:paraId="3A9C14CB" w14:textId="5FCE22AB">
      <w:pPr>
        <w:pStyle w:val="Standard"/>
      </w:pPr>
      <w:r w:rsidRPr="00080E1E">
        <w:t xml:space="preserve">To determine whether a settlement meets the standard of review in </w:t>
      </w:r>
      <w:r w:rsidR="001F18F5">
        <w:t>Rule </w:t>
      </w:r>
      <w:r w:rsidRPr="00080E1E">
        <w:t xml:space="preserve">12.1, the Commission must be convinced that the </w:t>
      </w:r>
      <w:r w:rsidRPr="009C2B0F" w:rsidR="00CD398E">
        <w:t>Parties</w:t>
      </w:r>
      <w:r w:rsidRPr="00080E1E" w:rsidR="00CD398E">
        <w:t xml:space="preserve"> </w:t>
      </w:r>
      <w:r w:rsidRPr="00080E1E">
        <w:t>had a sound and thorough understanding of the application and of the record supporting the application.  The record in this proceeding consists of</w:t>
      </w:r>
      <w:r w:rsidR="00E94A5A">
        <w:t xml:space="preserve">:  </w:t>
      </w:r>
      <w:r w:rsidRPr="00080E1E">
        <w:t>(1</w:t>
      </w:r>
      <w:r w:rsidR="00C956AC">
        <w:t>) </w:t>
      </w:r>
      <w:r w:rsidRPr="00080E1E">
        <w:t>the Application and</w:t>
      </w:r>
      <w:r w:rsidRPr="00080E1E" w:rsidR="00DB3C5C">
        <w:t xml:space="preserve"> five </w:t>
      </w:r>
      <w:r w:rsidRPr="00080E1E">
        <w:t>attachments; (2</w:t>
      </w:r>
      <w:r w:rsidR="00C956AC">
        <w:t>) </w:t>
      </w:r>
      <w:r w:rsidRPr="00080E1E">
        <w:t xml:space="preserve">the prepared testimony of </w:t>
      </w:r>
      <w:r w:rsidRPr="00080E1E" w:rsidR="00146C87">
        <w:t>three</w:t>
      </w:r>
      <w:r w:rsidRPr="00080E1E">
        <w:t xml:space="preserve"> witnesses in support of the </w:t>
      </w:r>
      <w:r w:rsidRPr="00080E1E">
        <w:lastRenderedPageBreak/>
        <w:t>Application; (3</w:t>
      </w:r>
      <w:r w:rsidR="00C956AC">
        <w:t>) </w:t>
      </w:r>
      <w:r w:rsidRPr="00080E1E">
        <w:t xml:space="preserve">the </w:t>
      </w:r>
      <w:r w:rsidRPr="00080E1E" w:rsidR="00146C87">
        <w:t xml:space="preserve">joint statements </w:t>
      </w:r>
      <w:r w:rsidRPr="00080E1E" w:rsidR="00FD358A">
        <w:t xml:space="preserve">and motions </w:t>
      </w:r>
      <w:r w:rsidRPr="00080E1E" w:rsidR="00146C87">
        <w:t xml:space="preserve">of the </w:t>
      </w:r>
      <w:r w:rsidRPr="009C2B0F" w:rsidR="00CD398E">
        <w:t>Parties</w:t>
      </w:r>
      <w:r w:rsidRPr="00080E1E" w:rsidR="00CD398E">
        <w:t xml:space="preserve"> </w:t>
      </w:r>
      <w:r w:rsidRPr="00080E1E" w:rsidR="00146C87">
        <w:t xml:space="preserve">dated </w:t>
      </w:r>
      <w:r w:rsidRPr="00080E1E" w:rsidR="00640CB3">
        <w:t>May</w:t>
      </w:r>
      <w:r w:rsidR="00C956AC">
        <w:t> </w:t>
      </w:r>
      <w:r w:rsidRPr="00080E1E" w:rsidR="00640CB3">
        <w:t>7</w:t>
      </w:r>
      <w:r w:rsidR="00C956AC">
        <w:t>, 2021</w:t>
      </w:r>
      <w:r w:rsidRPr="00080E1E" w:rsidR="00640CB3">
        <w:t>, June</w:t>
      </w:r>
      <w:r w:rsidR="00C956AC">
        <w:t> </w:t>
      </w:r>
      <w:r w:rsidRPr="00080E1E" w:rsidR="00640CB3">
        <w:t>10</w:t>
      </w:r>
      <w:r w:rsidR="00C956AC">
        <w:t>, 2021,</w:t>
      </w:r>
      <w:r w:rsidRPr="00080E1E" w:rsidR="00640CB3">
        <w:t xml:space="preserve"> and August</w:t>
      </w:r>
      <w:r w:rsidR="00C956AC">
        <w:t> </w:t>
      </w:r>
      <w:r w:rsidRPr="00080E1E" w:rsidR="00640CB3">
        <w:t>5,</w:t>
      </w:r>
      <w:r w:rsidR="00C956AC">
        <w:t> </w:t>
      </w:r>
      <w:r w:rsidRPr="00080E1E" w:rsidR="00640CB3">
        <w:t>2021</w:t>
      </w:r>
      <w:r w:rsidR="008C2578">
        <w:t>; (4</w:t>
      </w:r>
      <w:r w:rsidR="00C956AC">
        <w:t>) </w:t>
      </w:r>
      <w:r w:rsidR="008C2578">
        <w:t xml:space="preserve">the Public Advocates </w:t>
      </w:r>
      <w:r w:rsidR="00390530">
        <w:t xml:space="preserve">Office Report and </w:t>
      </w:r>
      <w:r w:rsidRPr="0026531E" w:rsidR="00390530">
        <w:t xml:space="preserve">Recommendations dated </w:t>
      </w:r>
      <w:r w:rsidRPr="0026531E" w:rsidR="00520F72">
        <w:t>May</w:t>
      </w:r>
      <w:r w:rsidR="00FC2301">
        <w:t> </w:t>
      </w:r>
      <w:r w:rsidRPr="0026531E" w:rsidR="00520F72">
        <w:t>1,</w:t>
      </w:r>
      <w:r w:rsidR="00FC2301">
        <w:t> </w:t>
      </w:r>
      <w:r w:rsidRPr="0026531E" w:rsidR="00520F72">
        <w:t>2020</w:t>
      </w:r>
      <w:r w:rsidRPr="0026531E" w:rsidR="00390530">
        <w:t>; (</w:t>
      </w:r>
      <w:r w:rsidR="00390530">
        <w:t>5</w:t>
      </w:r>
      <w:r w:rsidR="00C956AC">
        <w:t>) </w:t>
      </w:r>
      <w:r w:rsidR="005F12F2">
        <w:t>San </w:t>
      </w:r>
      <w:r w:rsidR="00390530">
        <w:t>Jose Water Company Rebuttal Testimony</w:t>
      </w:r>
      <w:r w:rsidR="00503D91">
        <w:t>;</w:t>
      </w:r>
      <w:r w:rsidR="007D69F2">
        <w:t xml:space="preserve"> and </w:t>
      </w:r>
      <w:r w:rsidRPr="00080E1E">
        <w:t>(</w:t>
      </w:r>
      <w:r w:rsidR="00390530">
        <w:t>6</w:t>
      </w:r>
      <w:r w:rsidR="00C956AC">
        <w:t>) </w:t>
      </w:r>
      <w:r w:rsidRPr="00080E1E">
        <w:t xml:space="preserve">the </w:t>
      </w:r>
      <w:r w:rsidRPr="00080E1E" w:rsidR="006C3178">
        <w:t>transcript</w:t>
      </w:r>
      <w:r w:rsidRPr="00080E1E" w:rsidR="00080E1E">
        <w:t xml:space="preserve">s </w:t>
      </w:r>
      <w:r w:rsidRPr="00080E1E" w:rsidR="006C3178">
        <w:t xml:space="preserve">of the </w:t>
      </w:r>
      <w:r w:rsidRPr="00080E1E" w:rsidR="00080E1E">
        <w:t>February</w:t>
      </w:r>
      <w:r w:rsidR="00BF5D97">
        <w:t> </w:t>
      </w:r>
      <w:r w:rsidRPr="00080E1E" w:rsidR="00080E1E">
        <w:t>6</w:t>
      </w:r>
      <w:r w:rsidRPr="00080E1E" w:rsidR="006C3178">
        <w:t>,</w:t>
      </w:r>
      <w:r w:rsidR="00BF5D97">
        <w:t> </w:t>
      </w:r>
      <w:r w:rsidRPr="00080E1E" w:rsidR="006C3178">
        <w:t>202</w:t>
      </w:r>
      <w:r w:rsidRPr="00080E1E" w:rsidR="00080E1E">
        <w:t>0</w:t>
      </w:r>
      <w:r w:rsidRPr="00080E1E" w:rsidR="006C3178">
        <w:t xml:space="preserve"> </w:t>
      </w:r>
      <w:r w:rsidR="00FB74FF">
        <w:t xml:space="preserve">PHC </w:t>
      </w:r>
      <w:r w:rsidRPr="00080E1E" w:rsidR="00080E1E">
        <w:t>and May</w:t>
      </w:r>
      <w:r w:rsidR="00BF5D97">
        <w:t> </w:t>
      </w:r>
      <w:r w:rsidRPr="00080E1E" w:rsidR="00080E1E">
        <w:t>11,</w:t>
      </w:r>
      <w:r w:rsidR="00BF5D97">
        <w:t> </w:t>
      </w:r>
      <w:r w:rsidRPr="00080E1E" w:rsidR="00080E1E">
        <w:t>2021 status conference</w:t>
      </w:r>
      <w:r w:rsidR="007D69F2">
        <w:t>.</w:t>
      </w:r>
      <w:r w:rsidR="007D69F2">
        <w:rPr>
          <w:rStyle w:val="FootnoteReference"/>
        </w:rPr>
        <w:footnoteReference w:id="24"/>
      </w:r>
      <w:r w:rsidRPr="00080E1E">
        <w:t xml:space="preserve"> </w:t>
      </w:r>
    </w:p>
    <w:p w:rsidRPr="00D4159F" w:rsidR="002B2E4D" w:rsidP="00660857" w:rsidRDefault="002B2E4D" w14:paraId="5A75A766" w14:textId="393A441B">
      <w:pPr>
        <w:pStyle w:val="Standard"/>
      </w:pPr>
      <w:r w:rsidRPr="00D4159F">
        <w:t xml:space="preserve">The testimony and supporting exhibits submitted in this proceeding demonstrate that </w:t>
      </w:r>
      <w:bookmarkStart w:name="_Hlk65071273" w:id="44"/>
      <w:r w:rsidRPr="00D4159F">
        <w:t xml:space="preserve">the </w:t>
      </w:r>
      <w:r w:rsidRPr="009C2B0F" w:rsidR="00CD398E">
        <w:t>Parties</w:t>
      </w:r>
      <w:r w:rsidRPr="00D4159F" w:rsidR="00CD398E">
        <w:t xml:space="preserve"> </w:t>
      </w:r>
      <w:r w:rsidRPr="00D4159F">
        <w:t xml:space="preserve">have a sound and thorough understanding of the underlying assumptions and </w:t>
      </w:r>
      <w:r w:rsidRPr="00D4159F" w:rsidR="00D4159F">
        <w:t xml:space="preserve">of </w:t>
      </w:r>
      <w:r w:rsidRPr="00D4159F">
        <w:t xml:space="preserve">the record.  </w:t>
      </w:r>
      <w:bookmarkEnd w:id="44"/>
      <w:r w:rsidRPr="00D4159F">
        <w:t xml:space="preserve">The Settlement Agreement resolves the concerns that </w:t>
      </w:r>
      <w:r w:rsidR="00157DF9">
        <w:t>Cal Advoc</w:t>
      </w:r>
      <w:r w:rsidRPr="00D4159F" w:rsidR="00D4159F">
        <w:t xml:space="preserve">ates </w:t>
      </w:r>
      <w:r w:rsidRPr="00D4159F">
        <w:t>raise</w:t>
      </w:r>
      <w:r w:rsidRPr="00D4159F" w:rsidR="00D4159F">
        <w:t>s</w:t>
      </w:r>
      <w:r w:rsidRPr="00D4159F">
        <w:t xml:space="preserve"> in its </w:t>
      </w:r>
      <w:r w:rsidRPr="009C2B0F" w:rsidR="00AA3873">
        <w:t>P</w:t>
      </w:r>
      <w:r w:rsidRPr="009C2B0F">
        <w:t>rotest</w:t>
      </w:r>
      <w:r w:rsidRPr="00D4159F" w:rsidR="00D4159F">
        <w:t>,</w:t>
      </w:r>
      <w:r w:rsidRPr="00D4159F">
        <w:t xml:space="preserve"> addresses the issues within the scoping memorandum and provides sufficient information to permit the Commission to discharge its regulatory obligations. </w:t>
      </w:r>
    </w:p>
    <w:p w:rsidRPr="00D4159F" w:rsidR="006E359F" w:rsidP="00A4660F" w:rsidRDefault="002B2E4D" w14:paraId="55279EFD" w14:textId="27FE4B87">
      <w:pPr>
        <w:pStyle w:val="Standard"/>
      </w:pPr>
      <w:r w:rsidRPr="00D4159F">
        <w:t xml:space="preserve">The Settlement Agreement resolves competing concerns in a collaborative and cooperative manner.  The </w:t>
      </w:r>
      <w:r w:rsidRPr="009C2B0F" w:rsidR="00CD398E">
        <w:t>Parties</w:t>
      </w:r>
      <w:r w:rsidRPr="00D4159F" w:rsidR="00CD398E">
        <w:t xml:space="preserve"> </w:t>
      </w:r>
      <w:r w:rsidRPr="00D4159F">
        <w:t xml:space="preserve">have demonstrated that they have extensively researched and debated the issues to arrive at appropriate recommendations for settlement of their disputes.  By reaching agreement, the </w:t>
      </w:r>
      <w:r w:rsidRPr="009C2B0F" w:rsidR="00CD398E">
        <w:t>Parties</w:t>
      </w:r>
      <w:r w:rsidRPr="00D4159F" w:rsidR="00CD398E">
        <w:t xml:space="preserve"> </w:t>
      </w:r>
      <w:r w:rsidRPr="00D4159F">
        <w:t xml:space="preserve">also avoided the costs of further litigation. </w:t>
      </w:r>
    </w:p>
    <w:p w:rsidR="006E359F" w:rsidP="00152B77" w:rsidRDefault="006E359F" w14:paraId="6C0B3B5B" w14:textId="77777777">
      <w:pPr>
        <w:pStyle w:val="Heading2"/>
      </w:pPr>
      <w:bookmarkStart w:name="_Toc67650872" w:id="45"/>
      <w:bookmarkStart w:name="_Toc101900338" w:id="46"/>
      <w:r>
        <w:t>The Settlement is Consistent with the Law</w:t>
      </w:r>
      <w:bookmarkEnd w:id="45"/>
      <w:bookmarkEnd w:id="46"/>
    </w:p>
    <w:p w:rsidRPr="002B12C2" w:rsidR="00A72AF4" w:rsidP="00F943E2" w:rsidRDefault="00EB13D4" w14:paraId="24CD7D88" w14:textId="4A0AE987">
      <w:pPr>
        <w:pStyle w:val="standard0"/>
      </w:pPr>
      <w:r w:rsidRPr="00390265">
        <w:rPr>
          <w:iCs/>
        </w:rPr>
        <w:t xml:space="preserve">SJWC, </w:t>
      </w:r>
      <w:proofErr w:type="spellStart"/>
      <w:r w:rsidRPr="00390265">
        <w:rPr>
          <w:iCs/>
        </w:rPr>
        <w:t>WRATES</w:t>
      </w:r>
      <w:proofErr w:type="spellEnd"/>
      <w:r w:rsidRPr="00390265">
        <w:rPr>
          <w:iCs/>
        </w:rPr>
        <w:t xml:space="preserve"> and </w:t>
      </w:r>
      <w:r w:rsidR="00157DF9">
        <w:rPr>
          <w:iCs/>
        </w:rPr>
        <w:t>Cal Advoc</w:t>
      </w:r>
      <w:r w:rsidRPr="00390265">
        <w:rPr>
          <w:iCs/>
        </w:rPr>
        <w:t>ates</w:t>
      </w:r>
      <w:r w:rsidRPr="002B12C2">
        <w:t xml:space="preserve"> </w:t>
      </w:r>
      <w:r w:rsidRPr="002B12C2" w:rsidR="006E359F">
        <w:t xml:space="preserve">contend that the settlement is </w:t>
      </w:r>
      <w:r w:rsidR="006E359F">
        <w:t xml:space="preserve">consistent with applicable law and </w:t>
      </w:r>
      <w:r>
        <w:t xml:space="preserve">addresses the </w:t>
      </w:r>
      <w:r w:rsidR="006E359F">
        <w:t>Commission</w:t>
      </w:r>
      <w:r>
        <w:t>’s</w:t>
      </w:r>
      <w:r w:rsidR="006E359F">
        <w:t xml:space="preserve"> d</w:t>
      </w:r>
      <w:r>
        <w:t>irective to commence transition to the use of AMI for Class</w:t>
      </w:r>
      <w:r w:rsidR="00B7176F">
        <w:t> </w:t>
      </w:r>
      <w:r>
        <w:t xml:space="preserve">A and </w:t>
      </w:r>
      <w:r w:rsidR="00B7176F">
        <w:t>Class </w:t>
      </w:r>
      <w:r>
        <w:t xml:space="preserve">B water services to increase data for customer and operational use, produce conservation signals </w:t>
      </w:r>
      <w:r>
        <w:lastRenderedPageBreak/>
        <w:t>through real</w:t>
      </w:r>
      <w:r w:rsidR="009B4801">
        <w:noBreakHyphen/>
      </w:r>
      <w:r>
        <w:t>time data delivery, improve water management, reduce leaks and promote equity and sustainability.</w:t>
      </w:r>
      <w:r w:rsidR="006E359F">
        <w:rPr>
          <w:rStyle w:val="FootnoteReference"/>
        </w:rPr>
        <w:footnoteReference w:id="25"/>
      </w:r>
      <w:r w:rsidR="006E359F">
        <w:t xml:space="preserve"> </w:t>
      </w:r>
      <w:r w:rsidR="00BB32A9">
        <w:t xml:space="preserve"> </w:t>
      </w:r>
      <w:r w:rsidR="006E359F">
        <w:t xml:space="preserve">The issues resolved in the Settlement Agreement are within the scope of the proceeding and nothing in the settlement </w:t>
      </w:r>
      <w:r w:rsidRPr="00AA1BDA" w:rsidR="006E359F">
        <w:t>contravenes any statute or</w:t>
      </w:r>
      <w:r w:rsidR="006E359F">
        <w:t xml:space="preserve"> </w:t>
      </w:r>
      <w:r w:rsidRPr="00AA1BDA" w:rsidR="006E359F">
        <w:t>Commission decision or rule</w:t>
      </w:r>
      <w:r w:rsidR="006E359F">
        <w:t>.</w:t>
      </w:r>
    </w:p>
    <w:p w:rsidR="00A72AF4" w:rsidP="00152B77" w:rsidRDefault="00A72AF4" w14:paraId="7A5590FC" w14:textId="77777777">
      <w:pPr>
        <w:pStyle w:val="Heading2"/>
      </w:pPr>
      <w:bookmarkStart w:name="_Toc67650873" w:id="47"/>
      <w:bookmarkStart w:name="_Toc101900339" w:id="48"/>
      <w:r>
        <w:t>The Settlement is in the Public Interest</w:t>
      </w:r>
      <w:bookmarkEnd w:id="47"/>
      <w:bookmarkEnd w:id="48"/>
    </w:p>
    <w:p w:rsidRPr="002B12C2" w:rsidR="002B2E4D" w:rsidP="00F943E2" w:rsidRDefault="007F6356" w14:paraId="5883E4EC" w14:textId="08F70E80">
      <w:pPr>
        <w:pStyle w:val="standard0"/>
      </w:pPr>
      <w:r w:rsidRPr="00390265">
        <w:rPr>
          <w:iCs/>
        </w:rPr>
        <w:t xml:space="preserve">SJWC, </w:t>
      </w:r>
      <w:proofErr w:type="spellStart"/>
      <w:r w:rsidRPr="00390265">
        <w:rPr>
          <w:iCs/>
        </w:rPr>
        <w:t>WRATES</w:t>
      </w:r>
      <w:proofErr w:type="spellEnd"/>
      <w:r w:rsidRPr="00390265">
        <w:rPr>
          <w:iCs/>
        </w:rPr>
        <w:t xml:space="preserve"> and </w:t>
      </w:r>
      <w:r w:rsidR="00157DF9">
        <w:rPr>
          <w:iCs/>
        </w:rPr>
        <w:t>Cal Advoc</w:t>
      </w:r>
      <w:r w:rsidRPr="00390265">
        <w:rPr>
          <w:iCs/>
        </w:rPr>
        <w:t>ates</w:t>
      </w:r>
      <w:r w:rsidRPr="002B12C2" w:rsidR="00A72AF4">
        <w:t xml:space="preserve"> contend that the settlement is in the public interest, because </w:t>
      </w:r>
      <w:r>
        <w:t>its approval will provide efficient resolution of contested issues</w:t>
      </w:r>
      <w:r w:rsidR="00AC6111">
        <w:t>,</w:t>
      </w:r>
      <w:r>
        <w:t xml:space="preserve"> will avoid unnecessary litigation expense, will conserve Commission resources and will allow SJWC to begin deployment of AMI throughout its service area.  </w:t>
      </w:r>
      <w:r w:rsidR="009C57E6">
        <w:t xml:space="preserve">Approval </w:t>
      </w:r>
      <w:r>
        <w:t xml:space="preserve">of the </w:t>
      </w:r>
      <w:r w:rsidR="009C57E6">
        <w:t>Settlement Agreement</w:t>
      </w:r>
      <w:r w:rsidRPr="002B12C2" w:rsidR="00A72AF4">
        <w:t xml:space="preserve"> allows S</w:t>
      </w:r>
      <w:r>
        <w:t>JWC</w:t>
      </w:r>
      <w:r w:rsidRPr="002B12C2" w:rsidR="00A72AF4">
        <w:t xml:space="preserve"> to recover a</w:t>
      </w:r>
      <w:r w:rsidRPr="0074315F" w:rsidR="0074315F">
        <w:t xml:space="preserve"> </w:t>
      </w:r>
      <w:r w:rsidRPr="002B12C2" w:rsidR="0074315F">
        <w:t>reasonable rate of return and promotes safety, reliability, operational efficiency and infrastructure development and investment, while at the same time keeping customer rates as low as is reasonable.</w:t>
      </w:r>
      <w:r w:rsidRPr="002B12C2" w:rsidR="0074315F">
        <w:rPr>
          <w:rStyle w:val="FootnoteReference"/>
          <w:sz w:val="28"/>
          <w:szCs w:val="28"/>
        </w:rPr>
        <w:footnoteReference w:id="26"/>
      </w:r>
      <w:r w:rsidRPr="002B12C2" w:rsidR="0074315F">
        <w:t xml:space="preserve"> </w:t>
      </w:r>
    </w:p>
    <w:p w:rsidRPr="007954C2" w:rsidR="00A82EED" w:rsidP="00F943E2" w:rsidRDefault="002B2E4D" w14:paraId="7A32088B" w14:textId="5A7E3F95">
      <w:pPr>
        <w:pStyle w:val="standard0"/>
      </w:pPr>
      <w:r w:rsidRPr="002B12C2">
        <w:t xml:space="preserve">We conclude that the Settlement Agreement meets the requirements under </w:t>
      </w:r>
      <w:r w:rsidR="00196992">
        <w:t>Rule </w:t>
      </w:r>
      <w:r w:rsidRPr="002B12C2">
        <w:t>12.1.</w:t>
      </w:r>
    </w:p>
    <w:p w:rsidRPr="007954C2" w:rsidR="00ED6F68" w:rsidP="00DE6ED2" w:rsidRDefault="00A82EED" w14:paraId="4063E86E" w14:textId="47D3C053">
      <w:pPr>
        <w:pStyle w:val="Heading1"/>
        <w:numPr>
          <w:ilvl w:val="0"/>
          <w:numId w:val="12"/>
        </w:numPr>
      </w:pPr>
      <w:bookmarkStart w:name="_Toc67650874" w:id="49"/>
      <w:bookmarkStart w:name="_Toc101900340" w:id="50"/>
      <w:r w:rsidRPr="007954C2">
        <w:t>Request for Confidential Treatment</w:t>
      </w:r>
      <w:bookmarkEnd w:id="41"/>
      <w:bookmarkEnd w:id="49"/>
      <w:bookmarkEnd w:id="50"/>
    </w:p>
    <w:p w:rsidRPr="005D607B" w:rsidR="007827D5" w:rsidP="00F943E2" w:rsidRDefault="00ED6F68" w14:paraId="369DE4FE" w14:textId="662A19C2">
      <w:pPr>
        <w:pStyle w:val="standard0"/>
      </w:pPr>
      <w:r w:rsidRPr="005D607B">
        <w:t>S</w:t>
      </w:r>
      <w:r w:rsidRPr="005D607B" w:rsidR="00F00916">
        <w:t>JWC</w:t>
      </w:r>
      <w:r w:rsidRPr="005D607B">
        <w:t xml:space="preserve"> and </w:t>
      </w:r>
      <w:r w:rsidR="00157DF9">
        <w:t>Cal Advoc</w:t>
      </w:r>
      <w:r w:rsidRPr="005D607B" w:rsidR="00AE4F74">
        <w:t>ate</w:t>
      </w:r>
      <w:r w:rsidRPr="005D607B" w:rsidR="00F00916">
        <w:t>s</w:t>
      </w:r>
      <w:r w:rsidRPr="005D607B" w:rsidR="00FD6EC6">
        <w:t xml:space="preserve"> </w:t>
      </w:r>
      <w:r w:rsidRPr="005D607B">
        <w:t xml:space="preserve">each submitted </w:t>
      </w:r>
      <w:r w:rsidRPr="005D607B" w:rsidR="00AE4F74">
        <w:t>confidential documents.</w:t>
      </w:r>
      <w:r w:rsidRPr="005D607B">
        <w:rPr>
          <w:vertAlign w:val="superscript"/>
        </w:rPr>
        <w:footnoteReference w:id="27"/>
      </w:r>
      <w:r w:rsidRPr="005D607B">
        <w:t xml:space="preserve">  </w:t>
      </w:r>
      <w:r w:rsidR="008D599A">
        <w:t>Pub</w:t>
      </w:r>
      <w:r w:rsidR="004C7370">
        <w:t>. Util.</w:t>
      </w:r>
      <w:r w:rsidR="008D599A">
        <w:t xml:space="preserve"> </w:t>
      </w:r>
      <w:r w:rsidR="00D57505">
        <w:t xml:space="preserve">Code </w:t>
      </w:r>
      <w:r w:rsidR="00DC2ED1">
        <w:t>Section </w:t>
      </w:r>
      <w:r w:rsidRPr="005D607B">
        <w:t xml:space="preserve">583 and </w:t>
      </w:r>
      <w:r w:rsidRPr="009C2B0F">
        <w:rPr>
          <w:rFonts w:eastAsiaTheme="minorHAnsi" w:cstheme="minorBidi"/>
          <w:szCs w:val="22"/>
        </w:rPr>
        <w:t>General Order</w:t>
      </w:r>
      <w:r w:rsidRPr="009C2B0F" w:rsidR="00DC2ED1">
        <w:rPr>
          <w:rFonts w:eastAsiaTheme="minorHAnsi" w:cstheme="minorBidi"/>
          <w:szCs w:val="22"/>
        </w:rPr>
        <w:t xml:space="preserve"> </w:t>
      </w:r>
      <w:r w:rsidR="00DC2ED1">
        <w:t>(</w:t>
      </w:r>
      <w:r w:rsidRPr="009C2B0F" w:rsidR="00DC2ED1">
        <w:t>GO</w:t>
      </w:r>
      <w:r w:rsidR="00DC2ED1">
        <w:t>) </w:t>
      </w:r>
      <w:r w:rsidRPr="005D607B">
        <w:t>66</w:t>
      </w:r>
      <w:r w:rsidR="009B4801">
        <w:noBreakHyphen/>
      </w:r>
      <w:r w:rsidRPr="005D607B">
        <w:t xml:space="preserve">C authorize the Commission to exclude certain information from public inspection, if revealing </w:t>
      </w:r>
      <w:r w:rsidRPr="005D607B">
        <w:lastRenderedPageBreak/>
        <w:t xml:space="preserve">the reports, records or information would place the </w:t>
      </w:r>
      <w:r w:rsidRPr="00F943E2">
        <w:t>regulated</w:t>
      </w:r>
      <w:r w:rsidRPr="005D607B">
        <w:t xml:space="preserve"> company at an unfair business disadvantage.  </w:t>
      </w:r>
    </w:p>
    <w:p w:rsidRPr="00DD6F99" w:rsidR="00ED6F68" w:rsidP="00225B19" w:rsidRDefault="007827D5" w14:paraId="19843CA0" w14:textId="0AF6DE71">
      <w:r w:rsidRPr="00DD6F99">
        <w:t>A</w:t>
      </w:r>
      <w:r w:rsidRPr="00DD6F99" w:rsidR="00ED6F68">
        <w:t xml:space="preserve">bsent additional concerns or protests, the public interest in protecting confidential financial information outweighs the public interest in disclosing the information.  </w:t>
      </w:r>
      <w:r w:rsidRPr="00DD6F99">
        <w:t xml:space="preserve">SJWC and </w:t>
      </w:r>
      <w:r w:rsidR="00157DF9">
        <w:t>Cal Advoc</w:t>
      </w:r>
      <w:r w:rsidRPr="00DD6F99">
        <w:t>ate</w:t>
      </w:r>
      <w:r w:rsidRPr="00DD6F99" w:rsidR="00CB0250">
        <w:t>s</w:t>
      </w:r>
      <w:r w:rsidRPr="00DD6F99" w:rsidR="00ED6F68">
        <w:t xml:space="preserve"> </w:t>
      </w:r>
      <w:r w:rsidR="003B442C">
        <w:t xml:space="preserve">filed Motions requesting confidential handling of those documents on April 28 and 29, 2022 respectively.  </w:t>
      </w:r>
      <w:r w:rsidRPr="005F08CB" w:rsidR="00225B19">
        <w:t>Pursuant to Rule 11.5, we seal the confidential portions of the evidentiary record</w:t>
      </w:r>
      <w:r w:rsidR="00225B19">
        <w:t xml:space="preserve">, </w:t>
      </w:r>
      <w:r w:rsidRPr="005F08CB" w:rsidR="00225B19">
        <w:t>and pursuant to D.06-06-066, authorize the confidential treatment of those exhibits as set forth in the ordering paragraphs of this decision.</w:t>
      </w:r>
      <w:bookmarkStart w:name="_Toc406407432" w:id="51"/>
      <w:r w:rsidRPr="005F08CB" w:rsidR="00225B19">
        <w:t xml:space="preserve"> </w:t>
      </w:r>
      <w:bookmarkEnd w:id="51"/>
      <w:r w:rsidR="003B442C">
        <w:t xml:space="preserve">The Motions </w:t>
      </w:r>
      <w:r w:rsidR="00225B19">
        <w:t>should be</w:t>
      </w:r>
      <w:r w:rsidR="003B442C">
        <w:t xml:space="preserve"> granted. </w:t>
      </w:r>
    </w:p>
    <w:p w:rsidRPr="00446FE2" w:rsidR="00EE032F" w:rsidP="00DE6ED2" w:rsidRDefault="004957AE" w14:paraId="16C1C832" w14:textId="11CCFEEA">
      <w:pPr>
        <w:pStyle w:val="Heading1"/>
        <w:numPr>
          <w:ilvl w:val="0"/>
          <w:numId w:val="12"/>
        </w:numPr>
      </w:pPr>
      <w:bookmarkStart w:name="_Toc67650875" w:id="52"/>
      <w:bookmarkStart w:name="_Toc101900341" w:id="53"/>
      <w:r>
        <w:t>AL</w:t>
      </w:r>
      <w:r w:rsidRPr="00446FE2" w:rsidR="00EE032F">
        <w:t xml:space="preserve"> Requirements</w:t>
      </w:r>
      <w:bookmarkEnd w:id="52"/>
      <w:bookmarkEnd w:id="53"/>
    </w:p>
    <w:p w:rsidRPr="00446FE2" w:rsidR="00885617" w:rsidP="00DC2ED1" w:rsidRDefault="00EE032F" w14:paraId="10D1085C" w14:textId="139C19A3">
      <w:pPr>
        <w:pStyle w:val="standard0"/>
      </w:pPr>
      <w:r w:rsidRPr="00446FE2">
        <w:t xml:space="preserve">The Settlement Agreement includes provisions about revenue adjustments, and adjustments to </w:t>
      </w:r>
      <w:r w:rsidRPr="00446FE2" w:rsidR="009E6D4E">
        <w:t xml:space="preserve">billing </w:t>
      </w:r>
      <w:r w:rsidRPr="00446FE2">
        <w:t xml:space="preserve">which </w:t>
      </w:r>
      <w:r w:rsidR="009C57E6">
        <w:t>require</w:t>
      </w:r>
      <w:r w:rsidRPr="00446FE2">
        <w:t xml:space="preserve"> </w:t>
      </w:r>
      <w:proofErr w:type="spellStart"/>
      <w:r w:rsidR="007054A2">
        <w:t>AL</w:t>
      </w:r>
      <w:r w:rsidR="009C57E6">
        <w:t>s</w:t>
      </w:r>
      <w:proofErr w:type="spellEnd"/>
      <w:r w:rsidR="009C57E6">
        <w:t xml:space="preserve"> to be submitted</w:t>
      </w:r>
      <w:r w:rsidRPr="00446FE2">
        <w:t xml:space="preserve">.  For each, </w:t>
      </w:r>
      <w:r w:rsidRPr="00446FE2" w:rsidR="009E6D4E">
        <w:t>SJWC</w:t>
      </w:r>
      <w:r w:rsidRPr="00446FE2">
        <w:t xml:space="preserve"> is required to </w:t>
      </w:r>
      <w:r w:rsidR="009C57E6">
        <w:t>submit</w:t>
      </w:r>
      <w:r w:rsidRPr="00446FE2">
        <w:t xml:space="preserve"> revised tariff schedules which comply with </w:t>
      </w:r>
      <w:r w:rsidR="00DC2ED1">
        <w:t>GO </w:t>
      </w:r>
      <w:r w:rsidRPr="00446FE2">
        <w:t>96</w:t>
      </w:r>
      <w:r w:rsidR="009B4801">
        <w:noBreakHyphen/>
      </w:r>
      <w:r w:rsidRPr="00446FE2" w:rsidR="001554A1">
        <w:t>B</w:t>
      </w:r>
      <w:r w:rsidRPr="00446FE2">
        <w:t xml:space="preserve"> for approval by the Commission’s </w:t>
      </w:r>
      <w:r w:rsidRPr="00446FE2" w:rsidR="009E6D4E">
        <w:t>Water</w:t>
      </w:r>
      <w:r w:rsidRPr="00446FE2">
        <w:t xml:space="preserve"> Division, within 90 days of the effective date.  Supporting work papers shall be included with each </w:t>
      </w:r>
      <w:r w:rsidR="007054A2">
        <w:t>AL</w:t>
      </w:r>
      <w:r w:rsidRPr="00446FE2">
        <w:t xml:space="preserve">.  </w:t>
      </w:r>
    </w:p>
    <w:p w:rsidRPr="00446FE2" w:rsidR="00365973" w:rsidP="00DE6ED2" w:rsidRDefault="006E359F" w14:paraId="11A4D16B" w14:textId="3F4B5A9D">
      <w:pPr>
        <w:pStyle w:val="Heading1"/>
        <w:numPr>
          <w:ilvl w:val="0"/>
          <w:numId w:val="12"/>
        </w:numPr>
      </w:pPr>
      <w:bookmarkStart w:name="_Toc5554217" w:id="54"/>
      <w:bookmarkStart w:name="_Toc10564348" w:id="55"/>
      <w:bookmarkStart w:name="_Toc56429944" w:id="56"/>
      <w:bookmarkStart w:name="_Toc67650877" w:id="57"/>
      <w:bookmarkStart w:name="_Toc101900342" w:id="58"/>
      <w:bookmarkStart w:name="_Hlk65580065" w:id="59"/>
      <w:bookmarkStart w:name="_Toc8123725" w:id="60"/>
      <w:r w:rsidRPr="00446FE2">
        <w:t xml:space="preserve">Admission of </w:t>
      </w:r>
      <w:r w:rsidRPr="00446FE2" w:rsidR="00365973">
        <w:t>Testimony</w:t>
      </w:r>
      <w:bookmarkEnd w:id="54"/>
      <w:bookmarkEnd w:id="55"/>
      <w:bookmarkEnd w:id="56"/>
      <w:r w:rsidRPr="00446FE2">
        <w:t xml:space="preserve"> into the Record</w:t>
      </w:r>
      <w:bookmarkEnd w:id="57"/>
      <w:bookmarkEnd w:id="58"/>
    </w:p>
    <w:p w:rsidRPr="00446FE2" w:rsidR="00264967" w:rsidP="00DC2ED1" w:rsidRDefault="00365973" w14:paraId="1A84E24E" w14:textId="710BA768">
      <w:pPr>
        <w:pStyle w:val="standard0"/>
      </w:pPr>
      <w:r w:rsidRPr="00446FE2">
        <w:rPr>
          <w:szCs w:val="26"/>
        </w:rPr>
        <w:t>In their Settlement Agreement, S</w:t>
      </w:r>
      <w:r w:rsidR="00DD6F99">
        <w:rPr>
          <w:szCs w:val="26"/>
        </w:rPr>
        <w:t xml:space="preserve">JWC </w:t>
      </w:r>
      <w:r w:rsidRPr="00446FE2" w:rsidR="0067093C">
        <w:rPr>
          <w:szCs w:val="26"/>
        </w:rPr>
        <w:t xml:space="preserve">and </w:t>
      </w:r>
      <w:r w:rsidR="00157DF9">
        <w:rPr>
          <w:szCs w:val="26"/>
        </w:rPr>
        <w:t>Cal Advoc</w:t>
      </w:r>
      <w:r w:rsidRPr="00446FE2" w:rsidR="0067093C">
        <w:rPr>
          <w:szCs w:val="26"/>
        </w:rPr>
        <w:t>ate</w:t>
      </w:r>
      <w:r w:rsidR="004F332E">
        <w:rPr>
          <w:szCs w:val="26"/>
        </w:rPr>
        <w:t xml:space="preserve">s </w:t>
      </w:r>
      <w:r w:rsidRPr="00446FE2">
        <w:rPr>
          <w:szCs w:val="26"/>
        </w:rPr>
        <w:t xml:space="preserve">agree to admission into evidence of </w:t>
      </w:r>
      <w:r w:rsidRPr="00446FE2" w:rsidR="00B93342">
        <w:rPr>
          <w:szCs w:val="26"/>
        </w:rPr>
        <w:t xml:space="preserve">prepared </w:t>
      </w:r>
      <w:r w:rsidRPr="00DC2ED1">
        <w:t>testimony</w:t>
      </w:r>
      <w:r w:rsidRPr="00446FE2">
        <w:rPr>
          <w:szCs w:val="26"/>
        </w:rPr>
        <w:t xml:space="preserve"> and </w:t>
      </w:r>
      <w:r w:rsidRPr="00446FE2" w:rsidR="0067093C">
        <w:rPr>
          <w:szCs w:val="26"/>
        </w:rPr>
        <w:t xml:space="preserve">certain </w:t>
      </w:r>
      <w:r w:rsidRPr="00446FE2">
        <w:rPr>
          <w:szCs w:val="26"/>
        </w:rPr>
        <w:t xml:space="preserve">exhibits and agree to waive cross examination of witnesses regarding prepared testimony and exhibits. </w:t>
      </w:r>
      <w:r w:rsidRPr="00446FE2" w:rsidR="00464A40">
        <w:rPr>
          <w:szCs w:val="26"/>
        </w:rPr>
        <w:t xml:space="preserve"> </w:t>
      </w:r>
      <w:r w:rsidRPr="00446FE2">
        <w:rPr>
          <w:szCs w:val="26"/>
        </w:rPr>
        <w:t xml:space="preserve">Accordingly, pursuant to </w:t>
      </w:r>
      <w:r w:rsidR="001F18F5">
        <w:rPr>
          <w:szCs w:val="26"/>
        </w:rPr>
        <w:t>Rule </w:t>
      </w:r>
      <w:r w:rsidRPr="00446FE2">
        <w:rPr>
          <w:szCs w:val="26"/>
        </w:rPr>
        <w:t xml:space="preserve">13.8, the Commission receives the testimony served by the </w:t>
      </w:r>
      <w:r w:rsidRPr="009C2B0F" w:rsidR="00CD398E">
        <w:t>Parties</w:t>
      </w:r>
      <w:r w:rsidRPr="00446FE2" w:rsidR="00CD398E">
        <w:rPr>
          <w:szCs w:val="26"/>
        </w:rPr>
        <w:t xml:space="preserve"> </w:t>
      </w:r>
      <w:r w:rsidRPr="00446FE2">
        <w:rPr>
          <w:szCs w:val="26"/>
        </w:rPr>
        <w:t>as exhibits into the record</w:t>
      </w:r>
      <w:r w:rsidRPr="00446FE2" w:rsidR="00446FE2">
        <w:rPr>
          <w:szCs w:val="26"/>
        </w:rPr>
        <w:t xml:space="preserve"> as evidence supporting the Settlement Agreement and approval of this case.</w:t>
      </w:r>
    </w:p>
    <w:p w:rsidR="00A82EED" w:rsidP="00DE6ED2" w:rsidRDefault="00264967" w14:paraId="46ED736A" w14:textId="1941B19A">
      <w:pPr>
        <w:pStyle w:val="Heading1"/>
        <w:numPr>
          <w:ilvl w:val="0"/>
          <w:numId w:val="12"/>
        </w:numPr>
      </w:pPr>
      <w:bookmarkStart w:name="_Toc101900343" w:id="61"/>
      <w:r>
        <w:t>Waiver of Comment Period</w:t>
      </w:r>
      <w:bookmarkEnd w:id="59"/>
      <w:bookmarkEnd w:id="61"/>
    </w:p>
    <w:p w:rsidRPr="00EC1DA2" w:rsidR="00C86615" w:rsidP="00DC2ED1" w:rsidRDefault="00D1003B" w14:paraId="48B0DFE8" w14:textId="4A43ABC3">
      <w:pPr>
        <w:pStyle w:val="standard0"/>
      </w:pPr>
      <w:r w:rsidRPr="00390265">
        <w:rPr>
          <w:iCs/>
        </w:rPr>
        <w:t xml:space="preserve">SJWC and </w:t>
      </w:r>
      <w:r w:rsidR="00157DF9">
        <w:rPr>
          <w:iCs/>
        </w:rPr>
        <w:t>Cal Advoc</w:t>
      </w:r>
      <w:r w:rsidR="00264967">
        <w:rPr>
          <w:iCs/>
        </w:rPr>
        <w:t>ate</w:t>
      </w:r>
      <w:r w:rsidR="00683EBA">
        <w:rPr>
          <w:iCs/>
        </w:rPr>
        <w:t>s</w:t>
      </w:r>
      <w:r w:rsidRPr="002B12C2">
        <w:t xml:space="preserve"> </w:t>
      </w:r>
      <w:r w:rsidRPr="00EC1DA2" w:rsidR="00C86615">
        <w:t xml:space="preserve">resolved </w:t>
      </w:r>
      <w:r w:rsidR="00157DF9">
        <w:rPr>
          <w:iCs/>
        </w:rPr>
        <w:t>Cal Advoc</w:t>
      </w:r>
      <w:r w:rsidR="001F7F6D">
        <w:rPr>
          <w:iCs/>
        </w:rPr>
        <w:t>ates’</w:t>
      </w:r>
      <w:r w:rsidRPr="002B12C2" w:rsidR="001F7F6D">
        <w:t xml:space="preserve"> </w:t>
      </w:r>
      <w:r w:rsidRPr="009C2B0F" w:rsidR="00AA3873">
        <w:rPr>
          <w:rFonts w:eastAsiaTheme="minorHAnsi" w:cstheme="minorBidi"/>
          <w:szCs w:val="22"/>
        </w:rPr>
        <w:t>P</w:t>
      </w:r>
      <w:r w:rsidRPr="009C2B0F" w:rsidR="00C86615">
        <w:rPr>
          <w:rFonts w:eastAsiaTheme="minorHAnsi" w:cstheme="minorBidi"/>
          <w:szCs w:val="22"/>
        </w:rPr>
        <w:t>rotest</w:t>
      </w:r>
      <w:r w:rsidRPr="00EC1DA2" w:rsidR="00C86615">
        <w:t xml:space="preserve"> and filed a </w:t>
      </w:r>
      <w:r w:rsidRPr="009C2B0F" w:rsidR="000C29D7">
        <w:t>J</w:t>
      </w:r>
      <w:r w:rsidRPr="009C2B0F" w:rsidR="00C86615">
        <w:t>oint</w:t>
      </w:r>
      <w:r w:rsidRPr="00EC1DA2" w:rsidR="00C86615">
        <w:t xml:space="preserve"> Motion on </w:t>
      </w:r>
      <w:r w:rsidR="00645E23">
        <w:t>June</w:t>
      </w:r>
      <w:r w:rsidR="004E3333">
        <w:t> </w:t>
      </w:r>
      <w:r w:rsidR="00645E23">
        <w:t>10,</w:t>
      </w:r>
      <w:r w:rsidR="004E3333">
        <w:t> </w:t>
      </w:r>
      <w:r w:rsidR="00645E23">
        <w:t>2021</w:t>
      </w:r>
      <w:r w:rsidRPr="00EC1DA2" w:rsidR="00C86615">
        <w:t xml:space="preserve">. </w:t>
      </w:r>
      <w:r w:rsidR="004E3333">
        <w:t xml:space="preserve"> </w:t>
      </w:r>
      <w:proofErr w:type="spellStart"/>
      <w:r w:rsidR="00645E23">
        <w:t>WRATES</w:t>
      </w:r>
      <w:proofErr w:type="spellEnd"/>
      <w:r w:rsidR="00645E23">
        <w:t xml:space="preserve"> joined the settlement August</w:t>
      </w:r>
      <w:r w:rsidR="004E3333">
        <w:t> </w:t>
      </w:r>
      <w:r w:rsidR="00645E23">
        <w:t>5,</w:t>
      </w:r>
      <w:r w:rsidR="004E3333">
        <w:t> </w:t>
      </w:r>
      <w:r w:rsidR="00645E23">
        <w:t xml:space="preserve">2021. </w:t>
      </w:r>
      <w:r w:rsidR="004E3333">
        <w:t xml:space="preserve"> </w:t>
      </w:r>
      <w:r w:rsidRPr="00EC1DA2" w:rsidR="00C86615">
        <w:t xml:space="preserve">This </w:t>
      </w:r>
      <w:r w:rsidRPr="00EC1DA2" w:rsidR="00C86615">
        <w:lastRenderedPageBreak/>
        <w:t xml:space="preserve">proposed decision grants the </w:t>
      </w:r>
      <w:r w:rsidR="00B241E9">
        <w:t>J</w:t>
      </w:r>
      <w:r w:rsidRPr="00EC1DA2" w:rsidR="00C86615">
        <w:t xml:space="preserve">oint Motion. </w:t>
      </w:r>
      <w:r w:rsidR="004E3333">
        <w:t xml:space="preserve"> </w:t>
      </w:r>
      <w:r w:rsidRPr="00EC1DA2" w:rsidR="00C86615">
        <w:t xml:space="preserve">Therefore, this is now an uncontested matter in which the proposed decision grants the relief requested.  Accordingly, pursuant to </w:t>
      </w:r>
      <w:r w:rsidRPr="005C40E7" w:rsidR="005C40E7">
        <w:t>Pub.</w:t>
      </w:r>
      <w:r w:rsidR="005C40E7">
        <w:t> </w:t>
      </w:r>
      <w:r w:rsidRPr="005C40E7" w:rsidR="005C40E7">
        <w:t>Util.</w:t>
      </w:r>
      <w:r w:rsidR="005C40E7">
        <w:t xml:space="preserve"> </w:t>
      </w:r>
      <w:r w:rsidR="00D57505">
        <w:t xml:space="preserve">Code </w:t>
      </w:r>
      <w:r w:rsidR="004E3333">
        <w:t>Section</w:t>
      </w:r>
      <w:r w:rsidR="00445A28">
        <w:t> </w:t>
      </w:r>
      <w:r w:rsidRPr="00EC1DA2" w:rsidR="00C86615">
        <w:t xml:space="preserve">311(g)(2) and </w:t>
      </w:r>
      <w:r w:rsidR="001F18F5">
        <w:t>Rule </w:t>
      </w:r>
      <w:r w:rsidRPr="00EC1DA2" w:rsidR="00C86615">
        <w:t>14.6(c)(2), the otherwise applicable 30</w:t>
      </w:r>
      <w:r w:rsidR="009B4801">
        <w:noBreakHyphen/>
      </w:r>
      <w:r w:rsidRPr="00EC1DA2" w:rsidR="00C86615">
        <w:t>day period for public review and comment is waived.</w:t>
      </w:r>
    </w:p>
    <w:p w:rsidR="003003E8" w:rsidP="00DE6ED2" w:rsidRDefault="003003E8" w14:paraId="381BC08F" w14:textId="1CF165EF">
      <w:pPr>
        <w:pStyle w:val="Heading1"/>
        <w:numPr>
          <w:ilvl w:val="0"/>
          <w:numId w:val="12"/>
        </w:numPr>
      </w:pPr>
      <w:bookmarkStart w:name="_Toc67650879" w:id="62"/>
      <w:bookmarkStart w:name="_Toc101900344" w:id="63"/>
      <w:r>
        <w:t>Categorization and Need for Hearings</w:t>
      </w:r>
      <w:bookmarkEnd w:id="62"/>
      <w:bookmarkEnd w:id="63"/>
    </w:p>
    <w:p w:rsidR="003003E8" w:rsidP="00DC2ED1" w:rsidRDefault="00454280" w14:paraId="5A3557C6" w14:textId="0DE3F11B">
      <w:pPr>
        <w:pStyle w:val="standard0"/>
      </w:pPr>
      <w:r>
        <w:t xml:space="preserve">In </w:t>
      </w:r>
      <w:r w:rsidR="003D19B0">
        <w:t>Res. </w:t>
      </w:r>
      <w:r w:rsidRPr="00EC1DA2" w:rsidR="003003E8">
        <w:t>ALJ 176</w:t>
      </w:r>
      <w:r w:rsidR="009B4801">
        <w:noBreakHyphen/>
      </w:r>
      <w:r w:rsidRPr="00EC1DA2" w:rsidR="003003E8">
        <w:t>34</w:t>
      </w:r>
      <w:r w:rsidR="00645E23">
        <w:t>53</w:t>
      </w:r>
      <w:r w:rsidRPr="00EC1DA2" w:rsidR="003003E8">
        <w:t xml:space="preserve"> dated </w:t>
      </w:r>
      <w:r w:rsidR="00645E23">
        <w:t>December</w:t>
      </w:r>
      <w:r w:rsidR="00B95B49">
        <w:t> </w:t>
      </w:r>
      <w:r w:rsidR="00645E23">
        <w:t>19,</w:t>
      </w:r>
      <w:r w:rsidR="00B95B49">
        <w:t> </w:t>
      </w:r>
      <w:r w:rsidR="00645E23">
        <w:t>2019</w:t>
      </w:r>
      <w:r w:rsidRPr="00EC1DA2" w:rsidR="003003E8">
        <w:t>, the Commission preliminarily categorized the Application as ratesetting, and preliminarily determined that hearings were necessary. A</w:t>
      </w:r>
      <w:r w:rsidR="0094385F">
        <w:t xml:space="preserve">t the time that the </w:t>
      </w:r>
      <w:r w:rsidRPr="00EC1DA2" w:rsidR="003003E8">
        <w:t xml:space="preserve">PHC was held on </w:t>
      </w:r>
      <w:r w:rsidR="00645E23">
        <w:t>February</w:t>
      </w:r>
      <w:r w:rsidR="00585107">
        <w:t> </w:t>
      </w:r>
      <w:r w:rsidR="00645E23">
        <w:t>6,</w:t>
      </w:r>
      <w:r w:rsidR="00585107">
        <w:t> </w:t>
      </w:r>
      <w:r w:rsidR="00645E23">
        <w:t>2020</w:t>
      </w:r>
      <w:r w:rsidRPr="00EC1DA2" w:rsidR="003003E8">
        <w:t xml:space="preserve">, </w:t>
      </w:r>
      <w:r w:rsidR="0094385F">
        <w:t>hearings still appeared necessary. T</w:t>
      </w:r>
      <w:r w:rsidR="00645E23">
        <w:t xml:space="preserve">he </w:t>
      </w:r>
      <w:r w:rsidR="00FB74FF">
        <w:t>A</w:t>
      </w:r>
      <w:r w:rsidR="00645E23">
        <w:t>ssigned Commissioner’s</w:t>
      </w:r>
      <w:r w:rsidRPr="00EC1DA2" w:rsidR="003003E8">
        <w:t xml:space="preserve"> </w:t>
      </w:r>
      <w:r w:rsidRPr="000F2389" w:rsidR="00645E23">
        <w:t xml:space="preserve">Scoping Memo and Ruling </w:t>
      </w:r>
      <w:r w:rsidR="00645E23">
        <w:t>dated April</w:t>
      </w:r>
      <w:r w:rsidR="00E4344D">
        <w:t> </w:t>
      </w:r>
      <w:r w:rsidRPr="00E16357" w:rsidR="00645E23">
        <w:t>1</w:t>
      </w:r>
      <w:r w:rsidR="00645E23">
        <w:t>6</w:t>
      </w:r>
      <w:r w:rsidRPr="00E16357" w:rsidR="00645E23">
        <w:t>, 2020</w:t>
      </w:r>
      <w:r w:rsidRPr="000F2389" w:rsidR="00645E23">
        <w:t xml:space="preserve">, </w:t>
      </w:r>
      <w:r w:rsidR="00645E23">
        <w:t xml:space="preserve">indicated that </w:t>
      </w:r>
      <w:r>
        <w:t>there was an issue about how any required public participation hearing or evidentiary hearing</w:t>
      </w:r>
      <w:r w:rsidR="0094385F">
        <w:t>s</w:t>
      </w:r>
      <w:r>
        <w:t xml:space="preserve"> would be carried out (because of the COVID</w:t>
      </w:r>
      <w:r w:rsidR="0094385F">
        <w:t xml:space="preserve"> pandemic)</w:t>
      </w:r>
      <w:r>
        <w:t xml:space="preserve"> </w:t>
      </w:r>
      <w:r w:rsidR="0094385F">
        <w:t xml:space="preserve">however, the categorization was not changed. </w:t>
      </w:r>
      <w:r w:rsidRPr="00EC1DA2" w:rsidR="003003E8">
        <w:t xml:space="preserve">Because we have determined that the </w:t>
      </w:r>
      <w:r w:rsidR="00B94F59">
        <w:t>J</w:t>
      </w:r>
      <w:r w:rsidRPr="00EC1DA2" w:rsidR="003003E8">
        <w:t xml:space="preserve">oint </w:t>
      </w:r>
      <w:r w:rsidR="00B94F59">
        <w:t>M</w:t>
      </w:r>
      <w:r w:rsidRPr="00EC1DA2" w:rsidR="003003E8">
        <w:t>otion should be approved, evidentiary hearings are not needed in this proceeding.</w:t>
      </w:r>
    </w:p>
    <w:p w:rsidR="003003E8" w:rsidP="00DE6ED2" w:rsidRDefault="003003E8" w14:paraId="09EC5E33" w14:textId="6B61D407">
      <w:pPr>
        <w:pStyle w:val="Heading1"/>
        <w:numPr>
          <w:ilvl w:val="0"/>
          <w:numId w:val="12"/>
        </w:numPr>
      </w:pPr>
      <w:bookmarkStart w:name="_Toc67650880" w:id="64"/>
      <w:bookmarkStart w:name="_Toc101900345" w:id="65"/>
      <w:r>
        <w:t>Assignment of Proceeding</w:t>
      </w:r>
      <w:bookmarkEnd w:id="64"/>
      <w:bookmarkEnd w:id="65"/>
    </w:p>
    <w:p w:rsidRPr="003003E8" w:rsidR="00574D7E" w:rsidP="00DC2ED1" w:rsidRDefault="0094385F" w14:paraId="03A70EF6" w14:textId="49501A2E">
      <w:pPr>
        <w:pStyle w:val="standard0"/>
      </w:pPr>
      <w:r>
        <w:t>Darcie</w:t>
      </w:r>
      <w:r w:rsidR="00DC2ED1">
        <w:t> </w:t>
      </w:r>
      <w:r>
        <w:t xml:space="preserve">L. Houck </w:t>
      </w:r>
      <w:r w:rsidRPr="00EC1DA2" w:rsidR="003003E8">
        <w:t>is the assigned Commissioner</w:t>
      </w:r>
      <w:r w:rsidR="00264967">
        <w:t>.</w:t>
      </w:r>
      <w:r w:rsidRPr="00EC1DA2" w:rsidR="003003E8">
        <w:t xml:space="preserve"> </w:t>
      </w:r>
      <w:r w:rsidR="00DC2ED1">
        <w:t xml:space="preserve"> </w:t>
      </w:r>
      <w:r w:rsidRPr="00EC1DA2" w:rsidR="003003E8">
        <w:t>Patricia</w:t>
      </w:r>
      <w:r w:rsidR="00EF6DEA">
        <w:t> </w:t>
      </w:r>
      <w:r w:rsidR="00772797">
        <w:t>B.</w:t>
      </w:r>
      <w:r w:rsidR="00EF6DEA">
        <w:t> </w:t>
      </w:r>
      <w:r w:rsidRPr="00EC1DA2" w:rsidR="003003E8">
        <w:t xml:space="preserve">Miles </w:t>
      </w:r>
      <w:r w:rsidR="00772797">
        <w:t>and Thomas</w:t>
      </w:r>
      <w:r w:rsidR="00EF6DEA">
        <w:t> </w:t>
      </w:r>
      <w:r w:rsidR="00772797">
        <w:t>J.</w:t>
      </w:r>
      <w:r w:rsidR="00EF6DEA">
        <w:t> </w:t>
      </w:r>
      <w:r w:rsidR="00772797">
        <w:t>Glegola are co</w:t>
      </w:r>
      <w:r w:rsidR="009B4801">
        <w:noBreakHyphen/>
      </w:r>
      <w:r w:rsidR="00772797">
        <w:t>assigned as t</w:t>
      </w:r>
      <w:r w:rsidRPr="00EC1DA2" w:rsidR="003003E8">
        <w:t xml:space="preserve">he </w:t>
      </w:r>
      <w:r w:rsidR="000542FF">
        <w:t>Administrative Law Judge</w:t>
      </w:r>
      <w:r w:rsidR="00772797">
        <w:t>s</w:t>
      </w:r>
      <w:r w:rsidRPr="00EC1DA2" w:rsidR="003003E8">
        <w:t xml:space="preserve"> in this proceeding.</w:t>
      </w:r>
    </w:p>
    <w:p w:rsidR="005939A5" w:rsidP="005939A5" w:rsidRDefault="005939A5" w14:paraId="18F0C9B9" w14:textId="77777777">
      <w:pPr>
        <w:pStyle w:val="Dummy"/>
      </w:pPr>
      <w:bookmarkStart w:name="_Toc67650881" w:id="66"/>
      <w:bookmarkStart w:name="_Toc101900346" w:id="67"/>
      <w:r>
        <w:t>Findings of Fact</w:t>
      </w:r>
      <w:bookmarkEnd w:id="60"/>
      <w:bookmarkEnd w:id="66"/>
      <w:bookmarkEnd w:id="67"/>
    </w:p>
    <w:p w:rsidRPr="00574D7E" w:rsidR="00574D7E" w:rsidP="003003E8" w:rsidRDefault="00574D7E" w14:paraId="24CEC3A6" w14:textId="498FBA3E">
      <w:pPr>
        <w:pStyle w:val="FoF"/>
        <w:rPr>
          <w:color w:val="00B050"/>
        </w:rPr>
      </w:pPr>
      <w:r>
        <w:t xml:space="preserve"> The Settlement Agreement is the product of good</w:t>
      </w:r>
      <w:r w:rsidR="009B4801">
        <w:noBreakHyphen/>
      </w:r>
      <w:r>
        <w:t xml:space="preserve">faith, arms’ length negotiation between Parties reflecting all of the affected interests. </w:t>
      </w:r>
    </w:p>
    <w:p w:rsidRPr="00772797" w:rsidR="00574D7E" w:rsidP="003003E8" w:rsidRDefault="00574D7E" w14:paraId="6DD9D110" w14:textId="4F72D0DF">
      <w:pPr>
        <w:pStyle w:val="FoF"/>
      </w:pPr>
      <w:r>
        <w:t xml:space="preserve">Each of the terms of the Settlement Agreement is the result of good faith compromise. </w:t>
      </w:r>
    </w:p>
    <w:p w:rsidRPr="00702384" w:rsidR="00F62B7A" w:rsidP="003003E8" w:rsidRDefault="003003E8" w14:paraId="4AF7A53C" w14:textId="565D73D9">
      <w:pPr>
        <w:pStyle w:val="FoF"/>
      </w:pPr>
      <w:r w:rsidRPr="00772797">
        <w:t xml:space="preserve">On </w:t>
      </w:r>
      <w:r w:rsidRPr="00772797" w:rsidR="00772797">
        <w:t>December</w:t>
      </w:r>
      <w:r w:rsidR="00E4344D">
        <w:t> </w:t>
      </w:r>
      <w:r w:rsidRPr="00772797" w:rsidR="00772797">
        <w:t>6,</w:t>
      </w:r>
      <w:r w:rsidR="00E4344D">
        <w:t> </w:t>
      </w:r>
      <w:r w:rsidRPr="00772797" w:rsidR="00772797">
        <w:t>2019</w:t>
      </w:r>
      <w:r w:rsidRPr="00772797">
        <w:t>, S</w:t>
      </w:r>
      <w:r w:rsidRPr="00772797" w:rsidR="00772797">
        <w:t>JWC</w:t>
      </w:r>
      <w:r w:rsidRPr="00772797">
        <w:t xml:space="preserve"> filed Application</w:t>
      </w:r>
      <w:r w:rsidRPr="00772797" w:rsidR="00A9219C">
        <w:t> </w:t>
      </w:r>
      <w:r w:rsidRPr="00702384">
        <w:t>19</w:t>
      </w:r>
      <w:r w:rsidR="009B4801">
        <w:noBreakHyphen/>
      </w:r>
      <w:r w:rsidRPr="00702384" w:rsidR="00772797">
        <w:t>12</w:t>
      </w:r>
      <w:r w:rsidR="009B4801">
        <w:noBreakHyphen/>
      </w:r>
      <w:r w:rsidRPr="00702384">
        <w:t>0</w:t>
      </w:r>
      <w:r w:rsidRPr="00702384" w:rsidR="00772797">
        <w:t>02</w:t>
      </w:r>
      <w:r w:rsidRPr="00702384">
        <w:t>, for a</w:t>
      </w:r>
      <w:r w:rsidRPr="00702384" w:rsidR="00772797">
        <w:t xml:space="preserve">pproval of cost recovery for </w:t>
      </w:r>
      <w:r w:rsidRPr="009C2B0F" w:rsidR="00AB376F">
        <w:t>Advanced Metering Infrastructure</w:t>
      </w:r>
      <w:r w:rsidRPr="00702384" w:rsidR="00772797">
        <w:t xml:space="preserve">. </w:t>
      </w:r>
    </w:p>
    <w:p w:rsidRPr="00702384" w:rsidR="003003E8" w:rsidP="003003E8" w:rsidRDefault="003003E8" w14:paraId="2642F708" w14:textId="1B05F0E1">
      <w:pPr>
        <w:pStyle w:val="FoF"/>
      </w:pPr>
      <w:bookmarkStart w:name="_Toc8123726" w:id="68"/>
      <w:r w:rsidRPr="00702384">
        <w:lastRenderedPageBreak/>
        <w:t>S</w:t>
      </w:r>
      <w:r w:rsidRPr="00702384" w:rsidR="00772797">
        <w:t>JWC</w:t>
      </w:r>
      <w:r w:rsidRPr="00702384">
        <w:t xml:space="preserve"> is a public utility engaged in the </w:t>
      </w:r>
      <w:r w:rsidRPr="00702384" w:rsidR="00702384">
        <w:t xml:space="preserve">supply and distribution of water for domestic and industrial purposes and serves approximately </w:t>
      </w:r>
      <w:r w:rsidR="00CD5A88">
        <w:t>one million</w:t>
      </w:r>
      <w:r w:rsidRPr="00702384">
        <w:t xml:space="preserve"> customers in the </w:t>
      </w:r>
      <w:r w:rsidR="005F12F2">
        <w:t>San </w:t>
      </w:r>
      <w:r w:rsidRPr="00702384" w:rsidR="00702384">
        <w:t>Jose metropolitan area.</w:t>
      </w:r>
    </w:p>
    <w:p w:rsidRPr="00D121EE" w:rsidR="003003E8" w:rsidP="003003E8" w:rsidRDefault="003003E8" w14:paraId="357591CF" w14:textId="16B2C3CA">
      <w:pPr>
        <w:pStyle w:val="FoF"/>
      </w:pPr>
      <w:r w:rsidRPr="00702384">
        <w:t xml:space="preserve">A protest was filed by </w:t>
      </w:r>
      <w:r w:rsidR="00157DF9">
        <w:t>Cal Advoc</w:t>
      </w:r>
      <w:r w:rsidRPr="00702384" w:rsidR="00702384">
        <w:t>ate</w:t>
      </w:r>
      <w:r w:rsidR="00A806B9">
        <w:t>s</w:t>
      </w:r>
      <w:r w:rsidRPr="00702384" w:rsidR="00702384">
        <w:t xml:space="preserve"> </w:t>
      </w:r>
      <w:r w:rsidRPr="00702384">
        <w:t xml:space="preserve">on </w:t>
      </w:r>
      <w:r w:rsidRPr="00702384" w:rsidR="00702384">
        <w:t>January</w:t>
      </w:r>
      <w:r w:rsidR="00685EBB">
        <w:t> </w:t>
      </w:r>
      <w:r w:rsidRPr="00702384" w:rsidR="00702384">
        <w:t>6,</w:t>
      </w:r>
      <w:r w:rsidR="00685EBB">
        <w:t> </w:t>
      </w:r>
      <w:r w:rsidRPr="00702384" w:rsidR="00702384">
        <w:t>2020</w:t>
      </w:r>
      <w:r w:rsidRPr="00702384">
        <w:t xml:space="preserve">, and </w:t>
      </w:r>
      <w:proofErr w:type="spellStart"/>
      <w:r w:rsidRPr="00702384" w:rsidR="00702384">
        <w:t>WRATES</w:t>
      </w:r>
      <w:proofErr w:type="spellEnd"/>
      <w:r w:rsidRPr="00702384" w:rsidR="00702384">
        <w:t xml:space="preserve"> was granted party status at the PHC held February</w:t>
      </w:r>
      <w:r w:rsidR="00685EBB">
        <w:t> </w:t>
      </w:r>
      <w:r w:rsidRPr="00702384" w:rsidR="00702384">
        <w:t>6,</w:t>
      </w:r>
      <w:r w:rsidR="00685EBB">
        <w:t> </w:t>
      </w:r>
      <w:r w:rsidRPr="00702384" w:rsidR="00702384">
        <w:t>2020.</w:t>
      </w:r>
      <w:r w:rsidRPr="00702384">
        <w:t xml:space="preserve"> </w:t>
      </w:r>
    </w:p>
    <w:p w:rsidRPr="00D121EE" w:rsidR="003003E8" w:rsidP="003003E8" w:rsidRDefault="003003E8" w14:paraId="22D20806" w14:textId="40E41604">
      <w:pPr>
        <w:pStyle w:val="FoF"/>
      </w:pPr>
      <w:r w:rsidRPr="00D121EE">
        <w:t xml:space="preserve">On </w:t>
      </w:r>
      <w:r w:rsidRPr="00D121EE" w:rsidR="00D121EE">
        <w:t>June</w:t>
      </w:r>
      <w:r w:rsidR="00B83220">
        <w:t> </w:t>
      </w:r>
      <w:r w:rsidRPr="00D121EE" w:rsidR="00D121EE">
        <w:t>10,</w:t>
      </w:r>
      <w:r w:rsidR="00B83220">
        <w:t> </w:t>
      </w:r>
      <w:r w:rsidRPr="00D121EE" w:rsidR="00D121EE">
        <w:t xml:space="preserve">2021, SJWC and </w:t>
      </w:r>
      <w:r w:rsidR="00157DF9">
        <w:t>Cal Advoc</w:t>
      </w:r>
      <w:r w:rsidRPr="00D121EE" w:rsidR="00D121EE">
        <w:t xml:space="preserve">ates </w:t>
      </w:r>
      <w:r w:rsidRPr="00D121EE">
        <w:t xml:space="preserve">filed a Settlement Agreement resolving their disputes about the proceeding. </w:t>
      </w:r>
      <w:r w:rsidRPr="00D121EE" w:rsidR="00D121EE">
        <w:t xml:space="preserve"> </w:t>
      </w:r>
      <w:proofErr w:type="spellStart"/>
      <w:r w:rsidRPr="00D121EE" w:rsidR="00D121EE">
        <w:t>WRATES</w:t>
      </w:r>
      <w:proofErr w:type="spellEnd"/>
      <w:r w:rsidRPr="00D121EE" w:rsidR="00D121EE">
        <w:t xml:space="preserve"> became a signatory to the Settlement Agreement on August</w:t>
      </w:r>
      <w:r w:rsidR="00B83220">
        <w:t> </w:t>
      </w:r>
      <w:r w:rsidRPr="00D121EE" w:rsidR="00D121EE">
        <w:t>5,</w:t>
      </w:r>
      <w:r w:rsidR="00B83220">
        <w:t> </w:t>
      </w:r>
      <w:r w:rsidRPr="00D121EE" w:rsidR="00D121EE">
        <w:t xml:space="preserve">2021. </w:t>
      </w:r>
    </w:p>
    <w:p w:rsidRPr="00A15EA6" w:rsidR="00782CC4" w:rsidP="00DE6ED2" w:rsidRDefault="003003E8" w14:paraId="2224F920" w14:textId="2802397C">
      <w:pPr>
        <w:pStyle w:val="FoF"/>
        <w:numPr>
          <w:ilvl w:val="0"/>
          <w:numId w:val="9"/>
        </w:numPr>
        <w:ind w:firstLine="547"/>
      </w:pPr>
      <w:r w:rsidRPr="00D121EE">
        <w:t xml:space="preserve">The Settlement Agreement describes each party's </w:t>
      </w:r>
      <w:r w:rsidRPr="00A15EA6">
        <w:t>position and the</w:t>
      </w:r>
      <w:r w:rsidRPr="00A15EA6" w:rsidR="00D121EE">
        <w:t xml:space="preserve"> compromises they reached to resolve the</w:t>
      </w:r>
      <w:r w:rsidRPr="00A15EA6">
        <w:t>ir differences</w:t>
      </w:r>
      <w:r w:rsidRPr="00A15EA6" w:rsidR="00D121EE">
        <w:t>.</w:t>
      </w:r>
    </w:p>
    <w:p w:rsidR="00782CC4" w:rsidP="00DE6ED2" w:rsidRDefault="00A15EA6" w14:paraId="7F76003C" w14:textId="34BFBFCD">
      <w:pPr>
        <w:pStyle w:val="FoF"/>
        <w:numPr>
          <w:ilvl w:val="0"/>
          <w:numId w:val="9"/>
        </w:numPr>
        <w:ind w:firstLine="547"/>
      </w:pPr>
      <w:r w:rsidRPr="00A15EA6">
        <w:t xml:space="preserve">In the Settlement Agreement, SJWC and </w:t>
      </w:r>
      <w:r w:rsidR="00157DF9">
        <w:t>Cal Advoc</w:t>
      </w:r>
      <w:r w:rsidRPr="00A15EA6" w:rsidR="00782CC4">
        <w:t xml:space="preserve">ates request the admittance of their </w:t>
      </w:r>
      <w:r w:rsidRPr="00A15EA6">
        <w:t xml:space="preserve">exhibits </w:t>
      </w:r>
      <w:r w:rsidRPr="00A15EA6" w:rsidR="00782CC4">
        <w:t>into evidence</w:t>
      </w:r>
      <w:r w:rsidRPr="00A15EA6">
        <w:t>.</w:t>
      </w:r>
    </w:p>
    <w:p w:rsidR="00225B19" w:rsidP="001A08FA" w:rsidRDefault="00225B19" w14:paraId="1CEAE183" w14:textId="06E2C7BC">
      <w:pPr>
        <w:pStyle w:val="FoF"/>
      </w:pPr>
      <w:r>
        <w:t xml:space="preserve">SJWC and Cal Advocates </w:t>
      </w:r>
      <w:r w:rsidRPr="0022472E">
        <w:t>request that the public and confidential versions of its Testimony and Exhibits included with its Application be received into evidence should be granted pursuant to Rule 11.5, GO 66-C and D.06</w:t>
      </w:r>
      <w:r w:rsidRPr="0022472E">
        <w:noBreakHyphen/>
        <w:t>06-066.</w:t>
      </w:r>
    </w:p>
    <w:p w:rsidRPr="00A15EA6" w:rsidR="003003E8" w:rsidP="003003E8" w:rsidRDefault="003003E8" w14:paraId="19B71994" w14:textId="77777777">
      <w:pPr>
        <w:pStyle w:val="FoF"/>
      </w:pPr>
      <w:r w:rsidRPr="00A15EA6">
        <w:t>The settlement does not violate any statute, Commission decision or rule.</w:t>
      </w:r>
    </w:p>
    <w:p w:rsidRPr="00A15EA6" w:rsidR="003003E8" w:rsidP="003003E8" w:rsidRDefault="003003E8" w14:paraId="68DEACA9" w14:textId="566D87EA">
      <w:pPr>
        <w:pStyle w:val="FoF"/>
      </w:pPr>
      <w:r w:rsidRPr="00A15EA6">
        <w:t xml:space="preserve">The </w:t>
      </w:r>
      <w:r w:rsidRPr="009C2B0F" w:rsidR="00CD398E">
        <w:t>Parties</w:t>
      </w:r>
      <w:r w:rsidRPr="00A15EA6" w:rsidR="00CD398E">
        <w:t xml:space="preserve"> </w:t>
      </w:r>
      <w:r w:rsidRPr="00A15EA6">
        <w:t xml:space="preserve">demonstrate a sound and thorough understanding of the underlying assumptions and data in the record. </w:t>
      </w:r>
    </w:p>
    <w:p w:rsidRPr="00A15EA6" w:rsidR="005939A5" w:rsidP="005939A5" w:rsidRDefault="005939A5" w14:paraId="7D6239D2" w14:textId="77777777">
      <w:pPr>
        <w:pStyle w:val="Dummy"/>
      </w:pPr>
      <w:bookmarkStart w:name="_Toc67650882" w:id="69"/>
      <w:bookmarkStart w:name="_Toc101900347" w:id="70"/>
      <w:r w:rsidRPr="00A15EA6">
        <w:t>Conclusions of Law</w:t>
      </w:r>
      <w:bookmarkEnd w:id="68"/>
      <w:bookmarkEnd w:id="69"/>
      <w:bookmarkEnd w:id="70"/>
    </w:p>
    <w:p w:rsidRPr="00A15EA6" w:rsidR="00574D7E" w:rsidP="003003E8" w:rsidRDefault="00574D7E" w14:paraId="0DF35C5C" w14:textId="72FE7818">
      <w:pPr>
        <w:pStyle w:val="CoL"/>
      </w:pPr>
      <w:r w:rsidRPr="00A15EA6">
        <w:t xml:space="preserve">The Settlement Agreement is reasonable in light of the record as a whole. </w:t>
      </w:r>
    </w:p>
    <w:p w:rsidRPr="00A15EA6" w:rsidR="00574D7E" w:rsidP="003003E8" w:rsidRDefault="00574D7E" w14:paraId="237AE525" w14:textId="78E63C1D">
      <w:pPr>
        <w:pStyle w:val="CoL"/>
      </w:pPr>
      <w:r w:rsidRPr="00A15EA6">
        <w:t xml:space="preserve">The Settlement Agreement does not violate any laws or prior Commission decisions. </w:t>
      </w:r>
    </w:p>
    <w:p w:rsidRPr="00A15EA6" w:rsidR="00574D7E" w:rsidP="003003E8" w:rsidRDefault="00574D7E" w14:paraId="16AD252D" w14:textId="77777777">
      <w:pPr>
        <w:pStyle w:val="CoL"/>
      </w:pPr>
      <w:r w:rsidRPr="00A15EA6">
        <w:t xml:space="preserve">The Settlement Agreement taken as a whole is in the public interest. </w:t>
      </w:r>
    </w:p>
    <w:p w:rsidRPr="00A15EA6" w:rsidR="00574D7E" w:rsidP="003003E8" w:rsidRDefault="00574D7E" w14:paraId="660ACB67" w14:textId="78DF7C2E">
      <w:pPr>
        <w:pStyle w:val="CoL"/>
      </w:pPr>
      <w:r w:rsidRPr="00A15EA6">
        <w:t xml:space="preserve">The Settlement Agreement meets the criteria for approval of settlements in </w:t>
      </w:r>
      <w:r w:rsidR="001F18F5">
        <w:t>Rule </w:t>
      </w:r>
      <w:r w:rsidRPr="00A15EA6">
        <w:t>12(1)(d).</w:t>
      </w:r>
    </w:p>
    <w:p w:rsidRPr="00A15EA6" w:rsidR="00574D7E" w:rsidP="003003E8" w:rsidRDefault="00574D7E" w14:paraId="7ADAD2CF" w14:textId="77777777">
      <w:pPr>
        <w:pStyle w:val="CoL"/>
      </w:pPr>
      <w:r w:rsidRPr="00A15EA6">
        <w:t xml:space="preserve">The Settlement Agreement should be approved. </w:t>
      </w:r>
    </w:p>
    <w:p w:rsidRPr="00A15EA6" w:rsidR="00574D7E" w:rsidP="00574D7E" w:rsidRDefault="003003E8" w14:paraId="7A857C0B" w14:textId="4C7A5308">
      <w:pPr>
        <w:pStyle w:val="CoL"/>
      </w:pPr>
      <w:r w:rsidRPr="00A15EA6">
        <w:lastRenderedPageBreak/>
        <w:t xml:space="preserve">The proposed Settlement Agreement satisfies the requirements of </w:t>
      </w:r>
      <w:r w:rsidR="001F18F5">
        <w:t>Rule </w:t>
      </w:r>
      <w:r w:rsidRPr="00A15EA6">
        <w:t xml:space="preserve">12.1, which provides that the Commission will not approve a settlement unless the settlement is reasonable in light of the whole record, consistent with law, and in the public interest. </w:t>
      </w:r>
    </w:p>
    <w:p w:rsidRPr="00A15EA6" w:rsidR="003003E8" w:rsidP="00574D7E" w:rsidRDefault="00782CC4" w14:paraId="60E2BE69" w14:textId="1744A12C">
      <w:pPr>
        <w:pStyle w:val="CoL"/>
      </w:pPr>
      <w:r w:rsidRPr="00A15EA6">
        <w:t xml:space="preserve">The request to receive the testimony </w:t>
      </w:r>
      <w:r w:rsidRPr="00A15EA6" w:rsidR="00A15EA6">
        <w:t xml:space="preserve">and exhibits </w:t>
      </w:r>
      <w:r w:rsidRPr="00A15EA6">
        <w:t xml:space="preserve">of </w:t>
      </w:r>
      <w:r w:rsidRPr="00A15EA6" w:rsidR="00A15EA6">
        <w:t xml:space="preserve">SJWC and </w:t>
      </w:r>
      <w:r w:rsidR="00157DF9">
        <w:t>Cal Advoc</w:t>
      </w:r>
      <w:r w:rsidRPr="00A15EA6" w:rsidR="00A15EA6">
        <w:t>ates</w:t>
      </w:r>
      <w:r w:rsidRPr="00A15EA6">
        <w:t xml:space="preserve"> into the record, should be granted.</w:t>
      </w:r>
    </w:p>
    <w:p w:rsidRPr="00A15EA6" w:rsidR="00DF657B" w:rsidP="00DE6ED2" w:rsidRDefault="00DF657B" w14:paraId="21AB2112" w14:textId="15FADE0F">
      <w:pPr>
        <w:pStyle w:val="CoL"/>
        <w:numPr>
          <w:ilvl w:val="0"/>
          <w:numId w:val="10"/>
        </w:numPr>
        <w:ind w:firstLine="547"/>
      </w:pPr>
      <w:r w:rsidRPr="00A15EA6">
        <w:t xml:space="preserve">All rulings previously issued by </w:t>
      </w:r>
      <w:r w:rsidR="00A15EA6">
        <w:t xml:space="preserve">either </w:t>
      </w:r>
      <w:r w:rsidR="000C2B74">
        <w:t xml:space="preserve">of the </w:t>
      </w:r>
      <w:r w:rsidR="00A15EA6">
        <w:t>co</w:t>
      </w:r>
      <w:r w:rsidR="009B4801">
        <w:noBreakHyphen/>
      </w:r>
      <w:r w:rsidRPr="00A15EA6">
        <w:t>assigned ALJ</w:t>
      </w:r>
      <w:r w:rsidR="000C2B74">
        <w:t>s</w:t>
      </w:r>
      <w:r w:rsidRPr="00A15EA6">
        <w:t xml:space="preserve"> in this proceeding should be deemed affirmed herein.</w:t>
      </w:r>
    </w:p>
    <w:p w:rsidRPr="00A15EA6" w:rsidR="003003E8" w:rsidP="003003E8" w:rsidRDefault="003003E8" w14:paraId="19D27891" w14:textId="744F47B4">
      <w:pPr>
        <w:pStyle w:val="CoL"/>
      </w:pPr>
      <w:r w:rsidRPr="00A15EA6">
        <w:t>This is an uncontested matter in which the decision grants the relief requested, and therefore, the otherwise applicable 30</w:t>
      </w:r>
      <w:r w:rsidR="009B4801">
        <w:noBreakHyphen/>
      </w:r>
      <w:r w:rsidRPr="00A15EA6">
        <w:t xml:space="preserve">day period for public review should be waived, pursuant to </w:t>
      </w:r>
      <w:r w:rsidRPr="005C40E7" w:rsidR="005C40E7">
        <w:t>Pub.</w:t>
      </w:r>
      <w:r w:rsidR="005C40E7">
        <w:t> </w:t>
      </w:r>
      <w:r w:rsidRPr="005C40E7" w:rsidR="005C40E7">
        <w:t>Util.</w:t>
      </w:r>
      <w:r w:rsidR="005C40E7">
        <w:t xml:space="preserve"> </w:t>
      </w:r>
      <w:r w:rsidR="00D57505">
        <w:t xml:space="preserve">Code </w:t>
      </w:r>
      <w:r w:rsidR="00644196">
        <w:t>Section </w:t>
      </w:r>
      <w:r w:rsidRPr="00A15EA6">
        <w:t>311(g)(2).</w:t>
      </w:r>
    </w:p>
    <w:p w:rsidRPr="00A15EA6" w:rsidR="003003E8" w:rsidP="003003E8" w:rsidRDefault="003003E8" w14:paraId="3ED8038A" w14:textId="77777777">
      <w:pPr>
        <w:pStyle w:val="CoL"/>
      </w:pPr>
      <w:r w:rsidRPr="00A15EA6">
        <w:t>This decision should be effective immediately.</w:t>
      </w:r>
    </w:p>
    <w:p w:rsidRPr="00A15EA6" w:rsidR="003003E8" w:rsidP="003003E8" w:rsidRDefault="003003E8" w14:paraId="532021EC" w14:textId="1579015E">
      <w:pPr>
        <w:pStyle w:val="CoL"/>
      </w:pPr>
      <w:r w:rsidRPr="00A15EA6">
        <w:t xml:space="preserve">This proceeding should be closed. </w:t>
      </w:r>
    </w:p>
    <w:p w:rsidR="00BB0243" w:rsidP="000A6E05" w:rsidRDefault="005939A5" w14:paraId="1CDEA13E" w14:textId="77777777">
      <w:pPr>
        <w:pStyle w:val="Mainex"/>
      </w:pPr>
      <w:bookmarkStart w:name="_Toc67650883" w:id="71"/>
      <w:bookmarkStart w:name="_Toc101900348" w:id="72"/>
      <w:r>
        <w:t>O</w:t>
      </w:r>
      <w:r w:rsidR="00722850">
        <w:t>RDER</w:t>
      </w:r>
      <w:bookmarkEnd w:id="71"/>
      <w:bookmarkEnd w:id="72"/>
    </w:p>
    <w:p w:rsidR="00BB0243" w:rsidP="000A6E05" w:rsidRDefault="00BB0243" w14:paraId="23DC802C" w14:textId="77777777">
      <w:pPr>
        <w:keepNext/>
      </w:pPr>
      <w:r w:rsidRPr="00BB0243">
        <w:rPr>
          <w:b/>
        </w:rPr>
        <w:t>IT IS ORDERED</w:t>
      </w:r>
      <w:r>
        <w:t xml:space="preserve"> that:</w:t>
      </w:r>
    </w:p>
    <w:p w:rsidRPr="005B696E" w:rsidR="00932865" w:rsidP="001E2A62" w:rsidRDefault="003003E8" w14:paraId="5D2DD7BF" w14:textId="5035F087">
      <w:pPr>
        <w:pStyle w:val="OP"/>
      </w:pPr>
      <w:r w:rsidRPr="000F2389">
        <w:rPr>
          <w:szCs w:val="26"/>
        </w:rPr>
        <w:t xml:space="preserve">The Joint Motion of </w:t>
      </w:r>
      <w:r w:rsidR="005F12F2">
        <w:rPr>
          <w:szCs w:val="26"/>
        </w:rPr>
        <w:t>San </w:t>
      </w:r>
      <w:r w:rsidR="00A15EA6">
        <w:rPr>
          <w:szCs w:val="26"/>
        </w:rPr>
        <w:t xml:space="preserve">Jose Water Company, </w:t>
      </w:r>
      <w:r w:rsidRPr="000F2389">
        <w:rPr>
          <w:szCs w:val="26"/>
        </w:rPr>
        <w:t xml:space="preserve">the Public Advocates Office </w:t>
      </w:r>
      <w:r w:rsidR="00432A64">
        <w:rPr>
          <w:szCs w:val="26"/>
        </w:rPr>
        <w:t>of</w:t>
      </w:r>
      <w:r w:rsidRPr="000F2389">
        <w:rPr>
          <w:szCs w:val="26"/>
        </w:rPr>
        <w:t xml:space="preserve"> the California Public Utilities Commission</w:t>
      </w:r>
      <w:r w:rsidR="00B241E9">
        <w:rPr>
          <w:szCs w:val="26"/>
        </w:rPr>
        <w:t>,</w:t>
      </w:r>
      <w:r w:rsidRPr="000F2389">
        <w:rPr>
          <w:szCs w:val="26"/>
        </w:rPr>
        <w:t xml:space="preserve"> and the </w:t>
      </w:r>
      <w:r w:rsidR="00A15EA6">
        <w:rPr>
          <w:szCs w:val="26"/>
        </w:rPr>
        <w:t>Water Rate Advocates for Transparency, Equity and Sustainability</w:t>
      </w:r>
      <w:r w:rsidRPr="000F2389">
        <w:rPr>
          <w:szCs w:val="26"/>
        </w:rPr>
        <w:t xml:space="preserve"> for Adoption of Settlement Agreement pertaining to </w:t>
      </w:r>
      <w:r w:rsidR="000C2CF8">
        <w:rPr>
          <w:szCs w:val="26"/>
        </w:rPr>
        <w:t xml:space="preserve">the Application of </w:t>
      </w:r>
      <w:r w:rsidR="005F12F2">
        <w:rPr>
          <w:szCs w:val="26"/>
        </w:rPr>
        <w:t>San </w:t>
      </w:r>
      <w:r w:rsidR="000C2CF8">
        <w:rPr>
          <w:szCs w:val="26"/>
        </w:rPr>
        <w:t xml:space="preserve">Jose Water Company for Approval of Cost Recovery for Advanced Metering Infrastructure </w:t>
      </w:r>
      <w:r w:rsidRPr="000F2389">
        <w:rPr>
          <w:szCs w:val="26"/>
        </w:rPr>
        <w:t>is approved.</w:t>
      </w:r>
    </w:p>
    <w:p w:rsidR="008E6100" w:rsidP="001E2A62" w:rsidRDefault="00B414F5" w14:paraId="35624234" w14:textId="39A4514E">
      <w:pPr>
        <w:pStyle w:val="OP"/>
      </w:pPr>
      <w:r>
        <w:t xml:space="preserve">During the deployment phase, </w:t>
      </w:r>
      <w:r w:rsidR="00A806B9">
        <w:t>seven days</w:t>
      </w:r>
      <w:r w:rsidR="00812E49">
        <w:t xml:space="preserve"> </w:t>
      </w:r>
      <w:r w:rsidR="00976E22">
        <w:t>a</w:t>
      </w:r>
      <w:r w:rsidR="00F90634">
        <w:t xml:space="preserve">fter </w:t>
      </w:r>
      <w:r w:rsidR="0003438B">
        <w:t xml:space="preserve">each </w:t>
      </w:r>
      <w:r w:rsidR="00F65E12">
        <w:t xml:space="preserve">delay in the deployment of the </w:t>
      </w:r>
      <w:r w:rsidR="00483D4F">
        <w:t>Advanced</w:t>
      </w:r>
      <w:r w:rsidR="00483D4F">
        <w:rPr>
          <w:spacing w:val="1"/>
        </w:rPr>
        <w:t xml:space="preserve"> </w:t>
      </w:r>
      <w:r w:rsidR="00483D4F">
        <w:t>Metering</w:t>
      </w:r>
      <w:r w:rsidR="00483D4F">
        <w:rPr>
          <w:spacing w:val="-3"/>
        </w:rPr>
        <w:t xml:space="preserve"> </w:t>
      </w:r>
      <w:r w:rsidR="00483D4F">
        <w:t xml:space="preserve">Infrastructure </w:t>
      </w:r>
      <w:r w:rsidR="0003438B">
        <w:t>is</w:t>
      </w:r>
      <w:r w:rsidR="00F65E12">
        <w:t xml:space="preserve"> </w:t>
      </w:r>
      <w:r w:rsidR="0003438B">
        <w:t xml:space="preserve">encountered and </w:t>
      </w:r>
      <w:r w:rsidR="00DF747B">
        <w:t xml:space="preserve">after </w:t>
      </w:r>
      <w:r w:rsidR="005F12F2">
        <w:t>San </w:t>
      </w:r>
      <w:r w:rsidR="00976E22">
        <w:t xml:space="preserve">Jose Water Company </w:t>
      </w:r>
      <w:r w:rsidR="002A64AE">
        <w:t xml:space="preserve">and the </w:t>
      </w:r>
      <w:r w:rsidRPr="00DC6386" w:rsidR="008E092D">
        <w:t xml:space="preserve">Public Advocates Office of the California Public Utilities Commission </w:t>
      </w:r>
      <w:r w:rsidR="0003438B">
        <w:t xml:space="preserve">subsequently </w:t>
      </w:r>
      <w:r w:rsidR="00DF747B">
        <w:t xml:space="preserve">meet and </w:t>
      </w:r>
      <w:r w:rsidR="00795F1E">
        <w:t xml:space="preserve">agree to </w:t>
      </w:r>
      <w:r w:rsidR="002A64AE">
        <w:t xml:space="preserve">modify the </w:t>
      </w:r>
      <w:r w:rsidR="00812E49">
        <w:t>deployment schedule</w:t>
      </w:r>
      <w:r w:rsidR="008E6100">
        <w:t xml:space="preserve">, </w:t>
      </w:r>
      <w:r w:rsidR="005F12F2">
        <w:t>San </w:t>
      </w:r>
      <w:r w:rsidR="00046872">
        <w:t xml:space="preserve">Jose Water Company shall inform the Water Division </w:t>
      </w:r>
      <w:r w:rsidR="00046872">
        <w:lastRenderedPageBreak/>
        <w:t>of the Commission</w:t>
      </w:r>
      <w:r w:rsidR="00AE6A09">
        <w:t xml:space="preserve"> by letter</w:t>
      </w:r>
      <w:r w:rsidR="00046872">
        <w:t xml:space="preserve"> </w:t>
      </w:r>
      <w:r w:rsidR="00D74C3B">
        <w:t>on agreed</w:t>
      </w:r>
      <w:r w:rsidR="009B4801">
        <w:noBreakHyphen/>
      </w:r>
      <w:r w:rsidR="00D74C3B">
        <w:t>upon modifications to the deployment schedul</w:t>
      </w:r>
      <w:r w:rsidR="00AE6A09">
        <w:t>e</w:t>
      </w:r>
      <w:r w:rsidR="00D74C3B">
        <w:t>.</w:t>
      </w:r>
    </w:p>
    <w:p w:rsidR="00AE6A09" w:rsidP="001E2A62" w:rsidRDefault="0033379A" w14:paraId="15E8107A" w14:textId="571F4DCB">
      <w:pPr>
        <w:pStyle w:val="OP"/>
      </w:pPr>
      <w:r w:rsidRPr="0033379A">
        <w:t xml:space="preserve">During the deployment phase, </w:t>
      </w:r>
      <w:r w:rsidR="005F12F2">
        <w:t>San </w:t>
      </w:r>
      <w:r w:rsidRPr="0033379A">
        <w:t>Jose Water Company</w:t>
      </w:r>
      <w:r w:rsidR="00D82770">
        <w:t xml:space="preserve"> </w:t>
      </w:r>
      <w:r w:rsidRPr="0033379A">
        <w:t>shall</w:t>
      </w:r>
      <w:r w:rsidR="00A806B9">
        <w:t xml:space="preserve"> provide </w:t>
      </w:r>
      <w:r w:rsidR="003C4DBC">
        <w:t>reports on January</w:t>
      </w:r>
      <w:r w:rsidR="003041EA">
        <w:t> </w:t>
      </w:r>
      <w:r w:rsidR="003C4DBC">
        <w:t>15 and July</w:t>
      </w:r>
      <w:r w:rsidR="003041EA">
        <w:t> </w:t>
      </w:r>
      <w:r w:rsidR="003C4DBC">
        <w:t>15 which</w:t>
      </w:r>
      <w:r w:rsidRPr="0033379A">
        <w:t xml:space="preserve"> inform the Public Advocates Office and</w:t>
      </w:r>
      <w:r w:rsidR="003C4DBC">
        <w:t xml:space="preserve"> the</w:t>
      </w:r>
      <w:r w:rsidRPr="0033379A">
        <w:t xml:space="preserve"> Water Division of the California Public Utilities Commission </w:t>
      </w:r>
      <w:r w:rsidR="003C4DBC">
        <w:t>of</w:t>
      </w:r>
      <w:r w:rsidRPr="0033379A">
        <w:t xml:space="preserve"> the number of meters deployed, the anticipated remaining deployment schedule, and associated delays with the deployment beyond </w:t>
      </w:r>
      <w:r w:rsidR="00D82770">
        <w:t>S</w:t>
      </w:r>
      <w:r w:rsidR="003B442C">
        <w:t>an Jose Water Company’s</w:t>
      </w:r>
      <w:r w:rsidRPr="0033379A">
        <w:t xml:space="preserve"> control.</w:t>
      </w:r>
    </w:p>
    <w:p w:rsidR="00E908E1" w:rsidP="001E2A62" w:rsidRDefault="00D0417B" w14:paraId="3BD3B827" w14:textId="13CA5AE7">
      <w:pPr>
        <w:pStyle w:val="OP"/>
      </w:pPr>
      <w:r>
        <w:t>For</w:t>
      </w:r>
      <w:r w:rsidR="00712A28">
        <w:t xml:space="preserve"> </w:t>
      </w:r>
      <w:r w:rsidR="007A6993">
        <w:t>15 </w:t>
      </w:r>
      <w:r>
        <w:t>years after one year of full deployment of the</w:t>
      </w:r>
      <w:r w:rsidR="00FC75E2">
        <w:t xml:space="preserve"> </w:t>
      </w:r>
      <w:r w:rsidR="007526B3">
        <w:t>Advanced</w:t>
      </w:r>
      <w:r w:rsidR="007526B3">
        <w:rPr>
          <w:spacing w:val="1"/>
        </w:rPr>
        <w:t xml:space="preserve"> </w:t>
      </w:r>
      <w:r w:rsidR="007526B3">
        <w:t>Metering</w:t>
      </w:r>
      <w:r w:rsidR="007526B3">
        <w:rPr>
          <w:spacing w:val="-3"/>
        </w:rPr>
        <w:t xml:space="preserve"> </w:t>
      </w:r>
      <w:r w:rsidR="007526B3">
        <w:t>Infrastructure</w:t>
      </w:r>
      <w:r>
        <w:t xml:space="preserve">, </w:t>
      </w:r>
      <w:r w:rsidR="005F12F2">
        <w:t>San </w:t>
      </w:r>
      <w:r w:rsidR="007C08CB">
        <w:t xml:space="preserve">Jose Water Company shall </w:t>
      </w:r>
      <w:r w:rsidR="00951E77">
        <w:t>demonstrate</w:t>
      </w:r>
      <w:r w:rsidR="00193E78">
        <w:t xml:space="preserve"> </w:t>
      </w:r>
      <w:r w:rsidR="00C77188">
        <w:t>compliance with the</w:t>
      </w:r>
      <w:r w:rsidR="00F06423">
        <w:t xml:space="preserve"> </w:t>
      </w:r>
      <w:r w:rsidR="00320B1C">
        <w:t xml:space="preserve">Performance Incentive Mechanism </w:t>
      </w:r>
      <w:r w:rsidR="00E21FEB">
        <w:t>requirements</w:t>
      </w:r>
      <w:r w:rsidR="00B85F5E">
        <w:t xml:space="preserve"> and metrics</w:t>
      </w:r>
      <w:r w:rsidR="002A7ED2">
        <w:t>,</w:t>
      </w:r>
      <w:r w:rsidR="00E21FEB">
        <w:t xml:space="preserve"> </w:t>
      </w:r>
      <w:r w:rsidR="0046163C">
        <w:t>defined in the Settlement Agreement</w:t>
      </w:r>
      <w:r w:rsidR="002A7ED2">
        <w:t>,</w:t>
      </w:r>
      <w:r w:rsidR="0046163C">
        <w:t xml:space="preserve"> </w:t>
      </w:r>
      <w:r w:rsidR="00601287">
        <w:t>in</w:t>
      </w:r>
      <w:r w:rsidR="00CB1512">
        <w:t xml:space="preserve"> </w:t>
      </w:r>
      <w:r w:rsidR="00180EA8">
        <w:t>a</w:t>
      </w:r>
      <w:r w:rsidR="007C08CB">
        <w:t xml:space="preserve"> </w:t>
      </w:r>
      <w:r w:rsidR="00601287">
        <w:t>Step</w:t>
      </w:r>
      <w:r w:rsidR="009B4801">
        <w:noBreakHyphen/>
      </w:r>
      <w:r w:rsidR="00601287">
        <w:t xml:space="preserve">Rate </w:t>
      </w:r>
      <w:r w:rsidR="004957AE">
        <w:t>A</w:t>
      </w:r>
      <w:r w:rsidR="001D1098">
        <w:t xml:space="preserve">dvice </w:t>
      </w:r>
      <w:r w:rsidR="004957AE">
        <w:t>L</w:t>
      </w:r>
      <w:r w:rsidR="001D1098">
        <w:t>etter</w:t>
      </w:r>
      <w:r w:rsidR="00601287">
        <w:t xml:space="preserve"> </w:t>
      </w:r>
      <w:r w:rsidR="001D1098">
        <w:t xml:space="preserve">(AL) </w:t>
      </w:r>
      <w:r w:rsidR="00180EA8">
        <w:t xml:space="preserve">or in a </w:t>
      </w:r>
      <w:r w:rsidR="004A36A9">
        <w:t>Tier 2</w:t>
      </w:r>
      <w:r w:rsidR="00180EA8">
        <w:t xml:space="preserve"> </w:t>
      </w:r>
      <w:r w:rsidR="004957AE">
        <w:t>AL</w:t>
      </w:r>
      <w:r w:rsidR="00180EA8">
        <w:t xml:space="preserve"> submission no later than November</w:t>
      </w:r>
      <w:r w:rsidR="00C75B5A">
        <w:t> </w:t>
      </w:r>
      <w:r w:rsidR="00180EA8">
        <w:t xml:space="preserve">16 of each year. </w:t>
      </w:r>
      <w:r w:rsidR="00000AFA">
        <w:t xml:space="preserve"> This shall include:</w:t>
      </w:r>
    </w:p>
    <w:p w:rsidR="00C85ACF" w:rsidP="002D2881" w:rsidRDefault="00620A72" w14:paraId="2EC475D5" w14:textId="150F9217">
      <w:pPr>
        <w:pStyle w:val="OP"/>
        <w:numPr>
          <w:ilvl w:val="1"/>
          <w:numId w:val="4"/>
        </w:numPr>
        <w:spacing w:after="120" w:line="240" w:lineRule="auto"/>
        <w:ind w:left="1224" w:right="1440" w:hanging="144"/>
      </w:pPr>
      <w:r>
        <w:t>Customer</w:t>
      </w:r>
      <w:r w:rsidR="007A12FA">
        <w:t>/Subscriber</w:t>
      </w:r>
      <w:r>
        <w:t xml:space="preserve"> enrollment </w:t>
      </w:r>
      <w:r w:rsidR="007A12FA">
        <w:t xml:space="preserve">in the </w:t>
      </w:r>
      <w:proofErr w:type="spellStart"/>
      <w:r w:rsidR="007A12FA">
        <w:t>WaterSmart</w:t>
      </w:r>
      <w:proofErr w:type="spellEnd"/>
      <w:r w:rsidR="007A12FA">
        <w:t xml:space="preserve"> Portal,</w:t>
      </w:r>
    </w:p>
    <w:p w:rsidR="007D69FB" w:rsidP="002D2881" w:rsidRDefault="00FC1985" w14:paraId="6EEAC10F" w14:textId="116445DD">
      <w:pPr>
        <w:pStyle w:val="OP"/>
        <w:numPr>
          <w:ilvl w:val="1"/>
          <w:numId w:val="4"/>
        </w:numPr>
        <w:spacing w:after="120" w:line="240" w:lineRule="auto"/>
        <w:ind w:left="1224" w:right="1440" w:hanging="144"/>
      </w:pPr>
      <w:r>
        <w:t>Customer</w:t>
      </w:r>
      <w:r w:rsidR="007A12FA">
        <w:t>/Subscriber leak alerts,</w:t>
      </w:r>
    </w:p>
    <w:p w:rsidR="00C56ECB" w:rsidP="002D2881" w:rsidRDefault="007A12FA" w14:paraId="3173018E" w14:textId="7F2ACECA">
      <w:pPr>
        <w:pStyle w:val="OP"/>
        <w:numPr>
          <w:ilvl w:val="1"/>
          <w:numId w:val="4"/>
        </w:numPr>
        <w:spacing w:after="120" w:line="240" w:lineRule="auto"/>
        <w:ind w:left="1224" w:right="1440" w:hanging="144"/>
      </w:pPr>
      <w:r>
        <w:t>Water loss</w:t>
      </w:r>
      <w:r w:rsidR="00463223">
        <w:t xml:space="preserve"> associated with leaks</w:t>
      </w:r>
      <w:r>
        <w:t>,</w:t>
      </w:r>
    </w:p>
    <w:p w:rsidR="0045311F" w:rsidP="002D2881" w:rsidRDefault="007A12FA" w14:paraId="6266C2DB" w14:textId="73FA8602">
      <w:pPr>
        <w:pStyle w:val="OP"/>
        <w:numPr>
          <w:ilvl w:val="1"/>
          <w:numId w:val="4"/>
        </w:numPr>
        <w:spacing w:after="120" w:line="240" w:lineRule="auto"/>
        <w:ind w:left="1224" w:right="1440" w:hanging="144"/>
      </w:pPr>
      <w:r>
        <w:t>Bill adjustments for leaks,</w:t>
      </w:r>
    </w:p>
    <w:p w:rsidRPr="008E6100" w:rsidR="00A76277" w:rsidP="002D2881" w:rsidRDefault="00911B23" w14:paraId="1D9C2AE7" w14:textId="3D603558">
      <w:pPr>
        <w:pStyle w:val="OP"/>
        <w:numPr>
          <w:ilvl w:val="1"/>
          <w:numId w:val="4"/>
        </w:numPr>
        <w:spacing w:after="120" w:line="240" w:lineRule="auto"/>
        <w:ind w:left="1224" w:right="1440" w:hanging="144"/>
      </w:pPr>
      <w:r>
        <w:t>And savings from field operations</w:t>
      </w:r>
      <w:r w:rsidR="0028615D">
        <w:t>.</w:t>
      </w:r>
    </w:p>
    <w:p w:rsidRPr="0072439F" w:rsidR="005B696E" w:rsidP="00907167" w:rsidRDefault="00907167" w14:paraId="0EB737F6" w14:textId="092D5BCB">
      <w:pPr>
        <w:pStyle w:val="OP"/>
      </w:pPr>
      <w:r w:rsidRPr="00907167">
        <w:t xml:space="preserve">Beginning </w:t>
      </w:r>
      <w:r w:rsidR="0052681F">
        <w:t>3</w:t>
      </w:r>
      <w:r w:rsidRPr="00907167">
        <w:t xml:space="preserve">0 days after the annual anniversary date of this decision </w:t>
      </w:r>
      <w:r w:rsidR="00BF2F30">
        <w:t xml:space="preserve">beginning </w:t>
      </w:r>
      <w:r w:rsidRPr="00907167">
        <w:t>in 2023 and</w:t>
      </w:r>
      <w:r w:rsidR="0052681F">
        <w:t xml:space="preserve"> after each anniversary date through </w:t>
      </w:r>
      <w:r w:rsidRPr="00907167">
        <w:t xml:space="preserve">2026, </w:t>
      </w:r>
      <w:r w:rsidR="005F12F2">
        <w:t>San </w:t>
      </w:r>
      <w:r w:rsidR="005B696E">
        <w:t xml:space="preserve">Jose Water Company </w:t>
      </w:r>
      <w:r w:rsidR="00FF39A6">
        <w:t xml:space="preserve">(SJWC) </w:t>
      </w:r>
      <w:r w:rsidR="005B696E">
        <w:t xml:space="preserve">shall file a </w:t>
      </w:r>
      <w:r w:rsidR="004A36A9">
        <w:t>Tier 2</w:t>
      </w:r>
      <w:r w:rsidR="005B696E">
        <w:t xml:space="preserve"> </w:t>
      </w:r>
      <w:r w:rsidR="004957AE">
        <w:t>A</w:t>
      </w:r>
      <w:r w:rsidR="008A3CE3">
        <w:t xml:space="preserve">dvice </w:t>
      </w:r>
      <w:r w:rsidR="004957AE">
        <w:t>L</w:t>
      </w:r>
      <w:r w:rsidR="008A3CE3">
        <w:t>etter</w:t>
      </w:r>
      <w:r w:rsidR="005B696E">
        <w:t xml:space="preserve"> annually to include the recorded costs </w:t>
      </w:r>
      <w:r w:rsidR="005B0D12">
        <w:t xml:space="preserve">of deployment of the </w:t>
      </w:r>
      <w:r w:rsidRPr="009C2B0F" w:rsidR="00AB376F">
        <w:t>Advanced Metering Infrastructure</w:t>
      </w:r>
      <w:r w:rsidR="00AB376F">
        <w:t xml:space="preserve"> </w:t>
      </w:r>
      <w:r w:rsidR="005B0D12">
        <w:t>into rate base after it is made used and useful.</w:t>
      </w:r>
      <w:r w:rsidR="00B83220">
        <w:t xml:space="preserve"> </w:t>
      </w:r>
      <w:r w:rsidR="005B0D12">
        <w:t xml:space="preserve"> Interest during construction will be accrued on a monthly basis </w:t>
      </w:r>
      <w:r w:rsidR="0072439F">
        <w:t xml:space="preserve">at </w:t>
      </w:r>
      <w:proofErr w:type="spellStart"/>
      <w:r w:rsidR="0072439F">
        <w:t>SJWC’s</w:t>
      </w:r>
      <w:proofErr w:type="spellEnd"/>
      <w:r w:rsidR="0072439F">
        <w:t xml:space="preserve"> actual weighted average cost of debt.</w:t>
      </w:r>
    </w:p>
    <w:p w:rsidRPr="001E2A62" w:rsidR="001A08FA" w:rsidP="001E2A62" w:rsidRDefault="0072439F" w14:paraId="33E5AA5F" w14:textId="66F84EC4">
      <w:pPr>
        <w:pStyle w:val="OP"/>
      </w:pPr>
      <w:r>
        <w:rPr>
          <w:szCs w:val="26"/>
        </w:rPr>
        <w:t xml:space="preserve">No later than </w:t>
      </w:r>
      <w:r w:rsidR="003C5FAB">
        <w:rPr>
          <w:szCs w:val="26"/>
        </w:rPr>
        <w:t>90 days</w:t>
      </w:r>
      <w:r>
        <w:rPr>
          <w:szCs w:val="26"/>
        </w:rPr>
        <w:t xml:space="preserve"> from today, </w:t>
      </w:r>
      <w:r w:rsidR="005F12F2">
        <w:rPr>
          <w:szCs w:val="26"/>
        </w:rPr>
        <w:t>San </w:t>
      </w:r>
      <w:r>
        <w:rPr>
          <w:szCs w:val="26"/>
        </w:rPr>
        <w:t xml:space="preserve">Jose Water Company shall file a </w:t>
      </w:r>
      <w:r w:rsidR="004A36A9">
        <w:rPr>
          <w:szCs w:val="26"/>
        </w:rPr>
        <w:t>Tier 2</w:t>
      </w:r>
      <w:r>
        <w:rPr>
          <w:szCs w:val="26"/>
        </w:rPr>
        <w:t xml:space="preserve"> </w:t>
      </w:r>
      <w:r w:rsidR="004957AE">
        <w:rPr>
          <w:szCs w:val="26"/>
        </w:rPr>
        <w:t>A</w:t>
      </w:r>
      <w:r w:rsidR="00FF39A6">
        <w:rPr>
          <w:szCs w:val="26"/>
        </w:rPr>
        <w:t xml:space="preserve">dvice </w:t>
      </w:r>
      <w:r w:rsidR="004957AE">
        <w:rPr>
          <w:szCs w:val="26"/>
        </w:rPr>
        <w:t>L</w:t>
      </w:r>
      <w:r w:rsidR="00FF39A6">
        <w:rPr>
          <w:szCs w:val="26"/>
        </w:rPr>
        <w:t>etter</w:t>
      </w:r>
      <w:r>
        <w:rPr>
          <w:szCs w:val="26"/>
        </w:rPr>
        <w:t xml:space="preserve"> to modify its tariffs to include a description of the “Uniform </w:t>
      </w:r>
      <w:r>
        <w:rPr>
          <w:szCs w:val="26"/>
        </w:rPr>
        <w:lastRenderedPageBreak/>
        <w:t xml:space="preserve">Formula” </w:t>
      </w:r>
      <w:r w:rsidR="002A6204">
        <w:rPr>
          <w:szCs w:val="26"/>
        </w:rPr>
        <w:t>that it will use to calculate and prorate monthly service charges as resolved and agreed upon in the Settlement Agreement.</w:t>
      </w:r>
    </w:p>
    <w:p w:rsidR="001A08FA" w:rsidP="001A08FA" w:rsidRDefault="000C2CF8" w14:paraId="690A04C3" w14:textId="1F809518">
      <w:pPr>
        <w:pStyle w:val="OP"/>
      </w:pPr>
      <w:r w:rsidRPr="001A08FA">
        <w:rPr>
          <w:szCs w:val="26"/>
        </w:rPr>
        <w:t xml:space="preserve">The request of </w:t>
      </w:r>
      <w:r w:rsidRPr="001A08FA" w:rsidR="005F12F2">
        <w:rPr>
          <w:szCs w:val="26"/>
        </w:rPr>
        <w:t>San </w:t>
      </w:r>
      <w:r w:rsidRPr="001A08FA">
        <w:rPr>
          <w:szCs w:val="26"/>
        </w:rPr>
        <w:t xml:space="preserve">Jose Water Company and the Public Advocates Office of the California Public Utilities Commission that certain exhibits receive confidential treatment </w:t>
      </w:r>
      <w:r w:rsidRPr="001A08FA" w:rsidR="00D95427">
        <w:rPr>
          <w:szCs w:val="26"/>
        </w:rPr>
        <w:t>is granted</w:t>
      </w:r>
      <w:r w:rsidRPr="0022472E" w:rsidR="001A08FA">
        <w:t xml:space="preserve"> for a period of three years from the date of this order. </w:t>
      </w:r>
      <w:r w:rsidR="001A08FA">
        <w:t xml:space="preserve"> </w:t>
      </w:r>
      <w:r w:rsidRPr="0022472E" w:rsidR="001A08FA">
        <w:t xml:space="preserve">During this three year period, this information shall not be publicly disclosed except on further Commission order or Administrative Law Judge ruling.  If </w:t>
      </w:r>
      <w:r w:rsidR="001A08FA">
        <w:t xml:space="preserve">either </w:t>
      </w:r>
      <w:r w:rsidRPr="0022472E" w:rsidR="001A08FA">
        <w:t>S</w:t>
      </w:r>
      <w:r w:rsidR="001A08FA">
        <w:t xml:space="preserve">an Jose Water Company or the Public Advocates Office of the California Public Utilities Commission </w:t>
      </w:r>
      <w:r w:rsidRPr="0022472E" w:rsidR="001A08FA">
        <w:t xml:space="preserve">believe that it is necessary for this information to remain under seal for longer than three years, </w:t>
      </w:r>
      <w:r w:rsidR="001A08FA">
        <w:t xml:space="preserve">either of them </w:t>
      </w:r>
      <w:r w:rsidRPr="0022472E" w:rsidR="001A08FA">
        <w:t>may file a new motion showing good cause for extending this order by no later</w:t>
      </w:r>
      <w:r w:rsidR="001A08FA">
        <w:t xml:space="preserve"> than 30 </w:t>
      </w:r>
      <w:r w:rsidRPr="0022472E" w:rsidR="001A08FA">
        <w:t>days before the expiration of this order.</w:t>
      </w:r>
    </w:p>
    <w:p w:rsidRPr="00561369" w:rsidR="00251CE1" w:rsidP="001A08FA" w:rsidRDefault="00DF657B" w14:paraId="4B4E1FC1" w14:textId="358AF5CD">
      <w:pPr>
        <w:pStyle w:val="OP"/>
      </w:pPr>
      <w:r w:rsidRPr="00CD55E7">
        <w:t>All rulings</w:t>
      </w:r>
      <w:r>
        <w:t xml:space="preserve"> previously</w:t>
      </w:r>
      <w:r w:rsidRPr="00CD55E7">
        <w:t xml:space="preserve"> issued by </w:t>
      </w:r>
      <w:r w:rsidR="00D95427">
        <w:t>either of the co</w:t>
      </w:r>
      <w:r w:rsidR="009B4801">
        <w:noBreakHyphen/>
      </w:r>
      <w:r w:rsidRPr="00CD55E7">
        <w:t>assigned Administrative Law Judge</w:t>
      </w:r>
      <w:r w:rsidR="00D95427">
        <w:t>s</w:t>
      </w:r>
      <w:r w:rsidRPr="00CD55E7">
        <w:t xml:space="preserve"> are affirmed herein</w:t>
      </w:r>
      <w:r>
        <w:t>.</w:t>
      </w:r>
      <w:r w:rsidR="00251CE1">
        <w:t xml:space="preserve"> </w:t>
      </w:r>
    </w:p>
    <w:p w:rsidRPr="003003E8" w:rsidR="003003E8" w:rsidP="00B3087D" w:rsidRDefault="003003E8" w14:paraId="6BA67A17" w14:textId="28CFEA0A">
      <w:pPr>
        <w:pStyle w:val="OP"/>
      </w:pPr>
      <w:r w:rsidRPr="000F2389">
        <w:rPr>
          <w:szCs w:val="26"/>
        </w:rPr>
        <w:t>Evidentiary hearings are not required in this proceeding</w:t>
      </w:r>
      <w:r>
        <w:rPr>
          <w:szCs w:val="26"/>
        </w:rPr>
        <w:t>.</w:t>
      </w:r>
    </w:p>
    <w:p w:rsidR="003003E8" w:rsidP="00B3087D" w:rsidRDefault="003003E8" w14:paraId="4B5244D8" w14:textId="6412EC50">
      <w:pPr>
        <w:pStyle w:val="OP"/>
      </w:pPr>
      <w:r w:rsidRPr="000F2389">
        <w:rPr>
          <w:szCs w:val="26"/>
        </w:rPr>
        <w:t>Application 19</w:t>
      </w:r>
      <w:r w:rsidR="009B4801">
        <w:rPr>
          <w:szCs w:val="26"/>
        </w:rPr>
        <w:noBreakHyphen/>
      </w:r>
      <w:r w:rsidR="00D95427">
        <w:rPr>
          <w:szCs w:val="26"/>
        </w:rPr>
        <w:t>12</w:t>
      </w:r>
      <w:r w:rsidR="009B4801">
        <w:rPr>
          <w:szCs w:val="26"/>
        </w:rPr>
        <w:noBreakHyphen/>
      </w:r>
      <w:r w:rsidRPr="000F2389">
        <w:rPr>
          <w:szCs w:val="26"/>
        </w:rPr>
        <w:t>0</w:t>
      </w:r>
      <w:r w:rsidR="00D95427">
        <w:rPr>
          <w:szCs w:val="26"/>
        </w:rPr>
        <w:t>02</w:t>
      </w:r>
      <w:r w:rsidRPr="000F2389">
        <w:rPr>
          <w:szCs w:val="26"/>
        </w:rPr>
        <w:t xml:space="preserve"> is closed</w:t>
      </w:r>
      <w:r>
        <w:rPr>
          <w:szCs w:val="26"/>
        </w:rPr>
        <w:t>.</w:t>
      </w:r>
    </w:p>
    <w:p w:rsidRPr="002F3CF4" w:rsidR="008F0116" w:rsidP="008F0116" w:rsidRDefault="008F0116" w14:paraId="0E254098" w14:textId="1E78510D">
      <w:r w:rsidRPr="002F3CF4">
        <w:t xml:space="preserve">This </w:t>
      </w:r>
      <w:r w:rsidRPr="002F3CF4" w:rsidR="00892FFD">
        <w:t>O</w:t>
      </w:r>
      <w:r w:rsidRPr="002F3CF4">
        <w:t>rder is effective today.</w:t>
      </w:r>
    </w:p>
    <w:p w:rsidRPr="002F3CF4" w:rsidR="00714CF2" w:rsidP="00816E05" w:rsidRDefault="008F0116" w14:paraId="462BC629" w14:textId="3D879E3A">
      <w:r w:rsidRPr="002F3CF4">
        <w:t xml:space="preserve">Dated </w:t>
      </w:r>
      <w:r w:rsidRPr="002F3CF4" w:rsidR="00301DED">
        <w:t>June 2, 2022</w:t>
      </w:r>
      <w:r w:rsidRPr="002F3CF4">
        <w:t xml:space="preserve">, at </w:t>
      </w:r>
      <w:r w:rsidRPr="002F3CF4" w:rsidR="003112BD">
        <w:t>San Francisco</w:t>
      </w:r>
      <w:r w:rsidRPr="002F3CF4">
        <w:t>, California</w:t>
      </w:r>
      <w:r w:rsidRPr="002F3CF4" w:rsidR="00713CA4">
        <w:t>.</w:t>
      </w:r>
    </w:p>
    <w:p w:rsidRPr="002F3CF4" w:rsidR="002F3CF4" w:rsidP="008605BC" w:rsidRDefault="002F3CF4" w14:paraId="398003D9" w14:textId="77777777">
      <w:pPr>
        <w:keepNext/>
        <w:autoSpaceDE w:val="0"/>
        <w:autoSpaceDN w:val="0"/>
        <w:adjustRightInd w:val="0"/>
        <w:ind w:left="4320" w:firstLine="0"/>
        <w:jc w:val="both"/>
        <w:rPr>
          <w:rFonts w:cs="Times New Roman"/>
          <w:szCs w:val="20"/>
        </w:rPr>
      </w:pPr>
    </w:p>
    <w:p w:rsidRPr="002F3CF4" w:rsidR="002F3CF4" w:rsidP="002F3CF4" w:rsidRDefault="002F3CF4" w14:paraId="7F207106" w14:textId="77777777">
      <w:pPr>
        <w:keepNext/>
        <w:autoSpaceDE w:val="0"/>
        <w:autoSpaceDN w:val="0"/>
        <w:adjustRightInd w:val="0"/>
        <w:spacing w:line="240" w:lineRule="auto"/>
        <w:ind w:left="4320" w:firstLine="0"/>
        <w:jc w:val="both"/>
        <w:rPr>
          <w:rFonts w:cs="Times New Roman"/>
          <w:szCs w:val="20"/>
        </w:rPr>
      </w:pPr>
      <w:r w:rsidRPr="002F3CF4">
        <w:rPr>
          <w:rFonts w:cs="Times New Roman"/>
          <w:szCs w:val="20"/>
        </w:rPr>
        <w:t>ALICE REYNOLDS</w:t>
      </w:r>
    </w:p>
    <w:p w:rsidRPr="002F3CF4" w:rsidR="002F3CF4" w:rsidP="002F3CF4" w:rsidRDefault="002F3CF4" w14:paraId="1A9CE12D" w14:textId="77777777">
      <w:pPr>
        <w:keepNext/>
        <w:autoSpaceDE w:val="0"/>
        <w:autoSpaceDN w:val="0"/>
        <w:adjustRightInd w:val="0"/>
        <w:spacing w:line="240" w:lineRule="auto"/>
        <w:ind w:left="5400" w:firstLine="0"/>
        <w:jc w:val="both"/>
        <w:rPr>
          <w:rFonts w:cs="Times New Roman"/>
          <w:szCs w:val="20"/>
        </w:rPr>
      </w:pPr>
      <w:r w:rsidRPr="002F3CF4">
        <w:rPr>
          <w:rFonts w:cs="Times New Roman"/>
          <w:szCs w:val="20"/>
        </w:rPr>
        <w:t>President</w:t>
      </w:r>
    </w:p>
    <w:p w:rsidRPr="002F3CF4" w:rsidR="002F3CF4" w:rsidP="002F3CF4" w:rsidRDefault="002F3CF4" w14:paraId="0F7747B4" w14:textId="77777777">
      <w:pPr>
        <w:keepNext/>
        <w:autoSpaceDE w:val="0"/>
        <w:autoSpaceDN w:val="0"/>
        <w:adjustRightInd w:val="0"/>
        <w:spacing w:line="240" w:lineRule="auto"/>
        <w:ind w:left="4320" w:firstLine="0"/>
        <w:jc w:val="both"/>
        <w:rPr>
          <w:rFonts w:cs="Times New Roman"/>
          <w:szCs w:val="20"/>
        </w:rPr>
      </w:pPr>
      <w:r w:rsidRPr="002F3CF4">
        <w:rPr>
          <w:rFonts w:cs="Times New Roman"/>
          <w:szCs w:val="20"/>
        </w:rPr>
        <w:t>CLIFFORD RECHTSCHAFFEN</w:t>
      </w:r>
    </w:p>
    <w:p w:rsidRPr="002F3CF4" w:rsidR="002F3CF4" w:rsidP="002F3CF4" w:rsidRDefault="002F3CF4" w14:paraId="6E067B63" w14:textId="77777777">
      <w:pPr>
        <w:keepNext/>
        <w:autoSpaceDE w:val="0"/>
        <w:autoSpaceDN w:val="0"/>
        <w:adjustRightInd w:val="0"/>
        <w:spacing w:line="240" w:lineRule="auto"/>
        <w:ind w:left="4320" w:firstLine="0"/>
        <w:jc w:val="both"/>
        <w:rPr>
          <w:rFonts w:cs="Times New Roman"/>
          <w:szCs w:val="20"/>
        </w:rPr>
      </w:pPr>
      <w:r w:rsidRPr="002F3CF4">
        <w:rPr>
          <w:rFonts w:cs="Times New Roman"/>
          <w:szCs w:val="20"/>
        </w:rPr>
        <w:t>GENEVIEVE SHIROMA</w:t>
      </w:r>
    </w:p>
    <w:p w:rsidRPr="002F3CF4" w:rsidR="002F3CF4" w:rsidP="002F3CF4" w:rsidRDefault="002F3CF4" w14:paraId="09B86B3F" w14:textId="77777777">
      <w:pPr>
        <w:keepNext/>
        <w:autoSpaceDE w:val="0"/>
        <w:autoSpaceDN w:val="0"/>
        <w:adjustRightInd w:val="0"/>
        <w:spacing w:line="240" w:lineRule="auto"/>
        <w:ind w:left="4320" w:firstLine="0"/>
        <w:jc w:val="both"/>
        <w:rPr>
          <w:rFonts w:cs="Times New Roman"/>
          <w:szCs w:val="20"/>
        </w:rPr>
      </w:pPr>
      <w:r w:rsidRPr="002F3CF4">
        <w:rPr>
          <w:rFonts w:cs="Times New Roman"/>
          <w:szCs w:val="20"/>
        </w:rPr>
        <w:t>DARCIE L. HOUCK</w:t>
      </w:r>
    </w:p>
    <w:p w:rsidRPr="002F3CF4" w:rsidR="002F3CF4" w:rsidP="002F3CF4" w:rsidRDefault="002F3CF4" w14:paraId="02F7011E" w14:textId="77777777">
      <w:pPr>
        <w:keepNext/>
        <w:autoSpaceDE w:val="0"/>
        <w:autoSpaceDN w:val="0"/>
        <w:adjustRightInd w:val="0"/>
        <w:spacing w:line="240" w:lineRule="auto"/>
        <w:ind w:left="4320" w:firstLine="0"/>
        <w:jc w:val="both"/>
        <w:rPr>
          <w:rFonts w:cs="Times New Roman"/>
          <w:szCs w:val="20"/>
        </w:rPr>
      </w:pPr>
      <w:r w:rsidRPr="002F3CF4">
        <w:rPr>
          <w:rFonts w:cs="Times New Roman"/>
          <w:szCs w:val="20"/>
        </w:rPr>
        <w:t>JOHN R.D. REYNOLDS</w:t>
      </w:r>
    </w:p>
    <w:p w:rsidRPr="002F3CF4" w:rsidR="002F3CF4" w:rsidP="002F3CF4" w:rsidRDefault="002F3CF4" w14:paraId="58F29C56" w14:textId="77777777">
      <w:pPr>
        <w:keepNext/>
        <w:autoSpaceDE w:val="0"/>
        <w:autoSpaceDN w:val="0"/>
        <w:adjustRightInd w:val="0"/>
        <w:spacing w:line="240" w:lineRule="auto"/>
        <w:ind w:left="5400" w:firstLine="0"/>
        <w:jc w:val="both"/>
        <w:rPr>
          <w:rFonts w:cs="Times New Roman"/>
          <w:szCs w:val="20"/>
        </w:rPr>
      </w:pPr>
      <w:r w:rsidRPr="002F3CF4">
        <w:rPr>
          <w:rFonts w:cs="Times New Roman"/>
          <w:szCs w:val="20"/>
        </w:rPr>
        <w:t>Commissioners</w:t>
      </w:r>
    </w:p>
    <w:p w:rsidR="00301DED" w:rsidP="00816E05" w:rsidRDefault="00301DED" w14:paraId="695C696C" w14:textId="77777777"/>
    <w:p w:rsidR="00933FE0" w:rsidP="00713CA4" w:rsidRDefault="00933FE0" w14:paraId="187D73CF" w14:textId="77777777">
      <w:pPr>
        <w:spacing w:line="240" w:lineRule="auto"/>
        <w:sectPr w:rsidR="00933FE0" w:rsidSect="00925A8F">
          <w:headerReference w:type="default" r:id="rId8"/>
          <w:footerReference w:type="default" r:id="rId9"/>
          <w:footerReference w:type="first" r:id="rId10"/>
          <w:pgSz w:w="12240" w:h="15840"/>
          <w:pgMar w:top="1728" w:right="1440" w:bottom="1440" w:left="1440" w:header="720" w:footer="720" w:gutter="0"/>
          <w:pgNumType w:start="1"/>
          <w:cols w:space="720"/>
          <w:titlePg/>
          <w:docGrid w:linePitch="360"/>
        </w:sectPr>
      </w:pPr>
    </w:p>
    <w:p w:rsidR="00933FE0" w:rsidP="00933FE0" w:rsidRDefault="00933FE0" w14:paraId="4E81B385" w14:textId="77777777">
      <w:pPr>
        <w:ind w:firstLine="0"/>
      </w:pPr>
    </w:p>
    <w:p w:rsidR="00933FE0" w:rsidP="00933FE0" w:rsidRDefault="00933FE0" w14:paraId="60D0E4BC" w14:textId="77777777">
      <w:pPr>
        <w:ind w:firstLine="0"/>
      </w:pPr>
    </w:p>
    <w:p w:rsidR="00933FE0" w:rsidP="00933FE0" w:rsidRDefault="00933FE0" w14:paraId="48E3DDF5" w14:textId="77777777">
      <w:pPr>
        <w:ind w:firstLine="0"/>
      </w:pPr>
    </w:p>
    <w:p w:rsidR="00933FE0" w:rsidP="00933FE0" w:rsidRDefault="00933FE0" w14:paraId="68C6DBCA" w14:textId="77777777">
      <w:pPr>
        <w:ind w:firstLine="0"/>
      </w:pPr>
    </w:p>
    <w:p w:rsidR="00933FE0" w:rsidP="00933FE0" w:rsidRDefault="00933FE0" w14:paraId="2FEAC1C8" w14:textId="77777777">
      <w:pPr>
        <w:ind w:firstLine="0"/>
      </w:pPr>
    </w:p>
    <w:p w:rsidR="00933FE0" w:rsidP="00933FE0" w:rsidRDefault="00933FE0" w14:paraId="5C18D0A0" w14:textId="77777777">
      <w:pPr>
        <w:ind w:firstLine="0"/>
      </w:pPr>
    </w:p>
    <w:p w:rsidR="00933FE0" w:rsidP="00933FE0" w:rsidRDefault="00933FE0" w14:paraId="3F086217" w14:textId="77777777">
      <w:pPr>
        <w:ind w:firstLine="0"/>
      </w:pPr>
    </w:p>
    <w:p w:rsidR="00933FE0" w:rsidP="00933FE0" w:rsidRDefault="00933FE0" w14:paraId="3FA7EFA3" w14:textId="77777777">
      <w:pPr>
        <w:ind w:firstLine="0"/>
        <w:jc w:val="center"/>
        <w:rPr>
          <w:b/>
          <w:bCs/>
          <w:sz w:val="50"/>
        </w:rPr>
      </w:pPr>
      <w:r>
        <w:rPr>
          <w:b/>
          <w:bCs/>
          <w:sz w:val="50"/>
        </w:rPr>
        <w:t xml:space="preserve">ATTACHMENT 1 </w:t>
      </w:r>
    </w:p>
    <w:p w:rsidR="00933FE0" w:rsidP="00933FE0" w:rsidRDefault="00933FE0" w14:paraId="28A10D8B" w14:textId="77777777">
      <w:pPr>
        <w:spacing w:after="160" w:line="259" w:lineRule="auto"/>
        <w:ind w:firstLine="0"/>
        <w:rPr>
          <w:b/>
          <w:bCs/>
          <w:sz w:val="50"/>
        </w:rPr>
      </w:pPr>
    </w:p>
    <w:sectPr w:rsidR="00933FE0" w:rsidSect="00933FE0">
      <w:footerReference w:type="default" r:id="rId11"/>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435F" w14:textId="77777777" w:rsidR="009E6F1B" w:rsidRDefault="009E6F1B" w:rsidP="0098138E">
      <w:pPr>
        <w:spacing w:line="240" w:lineRule="auto"/>
      </w:pPr>
      <w:r>
        <w:separator/>
      </w:r>
    </w:p>
  </w:endnote>
  <w:endnote w:type="continuationSeparator" w:id="0">
    <w:p w14:paraId="22099586" w14:textId="77777777" w:rsidR="009E6F1B" w:rsidRDefault="009E6F1B"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4805" w14:textId="5FA2614A" w:rsidR="00024120" w:rsidRDefault="00024120" w:rsidP="00024120">
    <w:pPr>
      <w:pStyle w:val="Footer"/>
      <w:ind w:firstLine="0"/>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57C5" w14:textId="722805C5" w:rsidR="00D91027" w:rsidRDefault="003A552A" w:rsidP="00925A8F">
    <w:pPr>
      <w:pStyle w:val="Footer"/>
      <w:ind w:firstLine="0"/>
    </w:pPr>
    <w:r w:rsidRPr="003A552A">
      <w:rPr>
        <w:rFonts w:ascii="Arial" w:hAnsi="Arial"/>
        <w:sz w:val="16"/>
      </w:rPr>
      <w:t>484461456</w:t>
    </w:r>
    <w:r w:rsidR="00925A8F">
      <w:tab/>
    </w:r>
    <w:r w:rsidR="009B4801">
      <w:noBreakHyphen/>
    </w:r>
    <w:r w:rsidR="00D91027">
      <w:t xml:space="preserve"> </w:t>
    </w:r>
    <w:r w:rsidR="00D91027">
      <w:fldChar w:fldCharType="begin"/>
    </w:r>
    <w:r w:rsidR="00D91027">
      <w:instrText xml:space="preserve"> PAGE   \* MERGEFORMAT </w:instrText>
    </w:r>
    <w:r w:rsidR="00D91027">
      <w:fldChar w:fldCharType="separate"/>
    </w:r>
    <w:r w:rsidR="00D91027">
      <w:rPr>
        <w:noProof/>
      </w:rPr>
      <w:t>1</w:t>
    </w:r>
    <w:r w:rsidR="00D91027">
      <w:rPr>
        <w:noProof/>
      </w:rPr>
      <w:fldChar w:fldCharType="end"/>
    </w:r>
    <w:r w:rsidR="00D91027">
      <w:rPr>
        <w:noProof/>
      </w:rPr>
      <w:t xml:space="preserve"> </w:t>
    </w:r>
    <w:r w:rsidR="009B4801">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10B" w14:textId="395AE546" w:rsidR="00933FE0" w:rsidRDefault="00933FE0" w:rsidP="00933FE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8357" w14:textId="77777777" w:rsidR="009E6F1B" w:rsidRDefault="009E6F1B" w:rsidP="00DF58E7">
      <w:pPr>
        <w:spacing w:line="240" w:lineRule="auto"/>
        <w:ind w:firstLine="0"/>
      </w:pPr>
      <w:r>
        <w:separator/>
      </w:r>
    </w:p>
  </w:footnote>
  <w:footnote w:type="continuationSeparator" w:id="0">
    <w:p w14:paraId="4977D8A4" w14:textId="77777777" w:rsidR="009E6F1B" w:rsidRDefault="009E6F1B" w:rsidP="00DF58E7">
      <w:pPr>
        <w:spacing w:line="240" w:lineRule="auto"/>
        <w:ind w:firstLine="0"/>
      </w:pPr>
      <w:r>
        <w:continuationSeparator/>
      </w:r>
    </w:p>
  </w:footnote>
  <w:footnote w:type="continuationNotice" w:id="1">
    <w:p w14:paraId="58993E5A" w14:textId="77777777" w:rsidR="009E6F1B" w:rsidRPr="00DF58E7" w:rsidRDefault="009E6F1B" w:rsidP="00DF58E7">
      <w:pPr>
        <w:spacing w:line="240" w:lineRule="auto"/>
        <w:ind w:firstLine="0"/>
        <w:jc w:val="right"/>
        <w:rPr>
          <w:i/>
          <w:sz w:val="22"/>
        </w:rPr>
      </w:pPr>
    </w:p>
  </w:footnote>
  <w:footnote w:id="2">
    <w:p w14:paraId="389B445D" w14:textId="4387D33C" w:rsidR="004E261E" w:rsidRDefault="004E261E" w:rsidP="00D6609E">
      <w:pPr>
        <w:pStyle w:val="FootnoteText"/>
      </w:pPr>
      <w:r>
        <w:rPr>
          <w:rStyle w:val="FootnoteReference"/>
        </w:rPr>
        <w:footnoteRef/>
      </w:r>
      <w:r>
        <w:t xml:space="preserve"> The Application includes six attachments</w:t>
      </w:r>
      <w:r w:rsidR="00E94A5A">
        <w:t xml:space="preserve">:  </w:t>
      </w:r>
      <w:r>
        <w:t>(</w:t>
      </w:r>
      <w:r w:rsidR="00753B1F">
        <w:t>A</w:t>
      </w:r>
      <w:r w:rsidR="00CD59B9">
        <w:t>) </w:t>
      </w:r>
      <w:r>
        <w:t>December</w:t>
      </w:r>
      <w:r w:rsidR="005F12F2">
        <w:t> </w:t>
      </w:r>
      <w:r>
        <w:t>25,</w:t>
      </w:r>
      <w:r w:rsidR="005F12F2">
        <w:t> </w:t>
      </w:r>
      <w:r>
        <w:t>2019 AMI Report; (</w:t>
      </w:r>
      <w:r w:rsidR="00753B1F">
        <w:t>B</w:t>
      </w:r>
      <w:r w:rsidR="00CD59B9">
        <w:t>) </w:t>
      </w:r>
      <w:r w:rsidR="002F14CF">
        <w:t>Financial Statements</w:t>
      </w:r>
      <w:r w:rsidR="00753B1F">
        <w:t>;</w:t>
      </w:r>
      <w:r w:rsidR="002F14CF">
        <w:t xml:space="preserve"> (C</w:t>
      </w:r>
      <w:r w:rsidR="00CD59B9">
        <w:t>) </w:t>
      </w:r>
      <w:r w:rsidR="002F14CF">
        <w:t>Tariff Pages w Current Rates; (D</w:t>
      </w:r>
      <w:r w:rsidR="00CD59B9">
        <w:t>) </w:t>
      </w:r>
      <w:r w:rsidR="002F14CF">
        <w:t>Summary of Earnings</w:t>
      </w:r>
      <w:r w:rsidR="00403B96">
        <w:t>,</w:t>
      </w:r>
      <w:r w:rsidR="002F14CF">
        <w:t xml:space="preserve"> and (E</w:t>
      </w:r>
      <w:r w:rsidR="00CD59B9">
        <w:t>) </w:t>
      </w:r>
      <w:r w:rsidR="002F14CF">
        <w:t>Proposed Customer Notice. SJWC also served direct testimony of John Tang (on Policy, Revenue Requirement, Rate Implementation)</w:t>
      </w:r>
      <w:r w:rsidR="00E633D5">
        <w:t>,</w:t>
      </w:r>
      <w:r w:rsidR="002F14CF">
        <w:t xml:space="preserve"> Jake Walsh (</w:t>
      </w:r>
      <w:r w:rsidR="00403B96">
        <w:t>on Engineering)</w:t>
      </w:r>
      <w:r w:rsidR="004543F6">
        <w:t>,</w:t>
      </w:r>
      <w:r w:rsidR="002F14CF">
        <w:t xml:space="preserve"> and Tricia Anklan </w:t>
      </w:r>
      <w:r w:rsidR="00403B96">
        <w:t>(on Business Case for AMI).</w:t>
      </w:r>
    </w:p>
  </w:footnote>
  <w:footnote w:id="3">
    <w:p w14:paraId="1664E44B" w14:textId="77777777" w:rsidR="00180B45" w:rsidRDefault="00180B45" w:rsidP="00180B45">
      <w:pPr>
        <w:pStyle w:val="FootnoteText"/>
      </w:pPr>
      <w:r>
        <w:rPr>
          <w:rStyle w:val="FootnoteReference"/>
        </w:rPr>
        <w:footnoteRef/>
      </w:r>
      <w:r>
        <w:t xml:space="preserve"> </w:t>
      </w:r>
      <w:r w:rsidRPr="004B347F">
        <w:rPr>
          <w:i/>
          <w:iCs/>
        </w:rPr>
        <w:t>See</w:t>
      </w:r>
      <w:r>
        <w:t xml:space="preserve"> Application at 16.</w:t>
      </w:r>
    </w:p>
  </w:footnote>
  <w:footnote w:id="4">
    <w:p w14:paraId="665193A1" w14:textId="1B482FD7" w:rsidR="00BF1E10" w:rsidRPr="00BF1E10" w:rsidRDefault="00BF1E10">
      <w:pPr>
        <w:pStyle w:val="FootnoteText"/>
      </w:pPr>
      <w:r>
        <w:rPr>
          <w:rStyle w:val="FootnoteReference"/>
        </w:rPr>
        <w:footnoteRef/>
      </w:r>
      <w:r>
        <w:t xml:space="preserve"> </w:t>
      </w:r>
      <w:r w:rsidRPr="00BF1E10">
        <w:rPr>
          <w:i/>
          <w:iCs/>
        </w:rPr>
        <w:t xml:space="preserve">See </w:t>
      </w:r>
      <w:r>
        <w:t>Application at 1.</w:t>
      </w:r>
    </w:p>
  </w:footnote>
  <w:footnote w:id="5">
    <w:p w14:paraId="52F633AF" w14:textId="641AE482" w:rsidR="00BF1E10" w:rsidRDefault="00BF1E10">
      <w:pPr>
        <w:pStyle w:val="FootnoteText"/>
      </w:pPr>
      <w:r>
        <w:rPr>
          <w:rStyle w:val="FootnoteReference"/>
        </w:rPr>
        <w:footnoteRef/>
      </w:r>
      <w:r>
        <w:t xml:space="preserve"> </w:t>
      </w:r>
      <w:r w:rsidR="007B28C1" w:rsidRPr="007B28C1">
        <w:rPr>
          <w:i/>
          <w:iCs/>
        </w:rPr>
        <w:t>Id</w:t>
      </w:r>
      <w:r w:rsidR="007B28C1">
        <w:t xml:space="preserve"> at 3.</w:t>
      </w:r>
    </w:p>
  </w:footnote>
  <w:footnote w:id="6">
    <w:p w14:paraId="27132D56" w14:textId="54E979E1" w:rsidR="007B4472" w:rsidRPr="007B4472" w:rsidRDefault="007B4472">
      <w:pPr>
        <w:pStyle w:val="FootnoteText"/>
      </w:pPr>
      <w:r>
        <w:rPr>
          <w:rStyle w:val="FootnoteReference"/>
        </w:rPr>
        <w:footnoteRef/>
      </w:r>
      <w:r>
        <w:t xml:space="preserve"> </w:t>
      </w:r>
      <w:r w:rsidRPr="007B4472">
        <w:rPr>
          <w:i/>
          <w:iCs/>
        </w:rPr>
        <w:t xml:space="preserve">See </w:t>
      </w:r>
      <w:r>
        <w:t>Application at 15.</w:t>
      </w:r>
    </w:p>
  </w:footnote>
  <w:footnote w:id="7">
    <w:p w14:paraId="340C2040" w14:textId="37B0873E" w:rsidR="0091470D" w:rsidRPr="00D549DC" w:rsidRDefault="005A17F3" w:rsidP="005A17F3">
      <w:pPr>
        <w:pStyle w:val="FootnoteText"/>
      </w:pPr>
      <w:r>
        <w:rPr>
          <w:rStyle w:val="FootnoteReference"/>
        </w:rPr>
        <w:footnoteRef/>
      </w:r>
      <w:r>
        <w:t xml:space="preserve"> </w:t>
      </w:r>
      <w:r w:rsidR="003967DA" w:rsidRPr="003967DA">
        <w:rPr>
          <w:i/>
          <w:iCs/>
        </w:rPr>
        <w:t>See</w:t>
      </w:r>
      <w:r w:rsidR="003967DA">
        <w:t xml:space="preserve"> </w:t>
      </w:r>
      <w:r w:rsidR="00F065A0">
        <w:t>January</w:t>
      </w:r>
      <w:r w:rsidR="0091470D">
        <w:t> </w:t>
      </w:r>
      <w:r w:rsidR="00F065A0">
        <w:t>6,</w:t>
      </w:r>
      <w:r w:rsidR="0091470D">
        <w:t> </w:t>
      </w:r>
      <w:r w:rsidR="003967DA">
        <w:t xml:space="preserve">2001 </w:t>
      </w:r>
      <w:r w:rsidR="00153E56">
        <w:t>Protest</w:t>
      </w:r>
      <w:r w:rsidR="00F065A0">
        <w:t xml:space="preserve"> </w:t>
      </w:r>
      <w:r w:rsidR="00153E56">
        <w:t>at 1</w:t>
      </w:r>
      <w:r w:rsidR="009B4801">
        <w:noBreakHyphen/>
      </w:r>
      <w:r w:rsidR="00153E56">
        <w:t>2</w:t>
      </w:r>
      <w:r w:rsidR="00153E56" w:rsidRPr="00213DCC">
        <w:t>.</w:t>
      </w:r>
      <w:r w:rsidRPr="00213DCC">
        <w:t xml:space="preserve"> </w:t>
      </w:r>
      <w:r w:rsidR="00157DF9" w:rsidRPr="00213DCC">
        <w:t>Cal Advoc</w:t>
      </w:r>
      <w:r w:rsidR="00703C76" w:rsidRPr="00213DCC">
        <w:t xml:space="preserve">ates </w:t>
      </w:r>
      <w:r w:rsidR="000C035B" w:rsidRPr="00213DCC">
        <w:t xml:space="preserve">also submitted a Report and Recommendations dated </w:t>
      </w:r>
      <w:r w:rsidR="00520F72" w:rsidRPr="00213DCC">
        <w:t>May</w:t>
      </w:r>
      <w:r w:rsidR="0091470D" w:rsidRPr="00213DCC">
        <w:t> </w:t>
      </w:r>
      <w:r w:rsidR="00520F72" w:rsidRPr="00213DCC">
        <w:t>1,</w:t>
      </w:r>
      <w:r w:rsidR="0091470D" w:rsidRPr="00213DCC">
        <w:t> </w:t>
      </w:r>
      <w:r w:rsidR="00520F72" w:rsidRPr="00213DCC">
        <w:t>2020</w:t>
      </w:r>
      <w:r w:rsidR="008C2578" w:rsidRPr="00213DCC">
        <w:t xml:space="preserve"> with testimony by </w:t>
      </w:r>
      <w:r w:rsidR="00F00916" w:rsidRPr="00213DCC">
        <w:t>four witnesses</w:t>
      </w:r>
      <w:r w:rsidR="00E94A5A" w:rsidRPr="00213DCC">
        <w:t xml:space="preserve">:  </w:t>
      </w:r>
      <w:r w:rsidR="00F00916" w:rsidRPr="00213DCC">
        <w:t>Brian</w:t>
      </w:r>
      <w:r w:rsidR="005E1F09">
        <w:t> </w:t>
      </w:r>
      <w:r w:rsidR="00F00916" w:rsidRPr="0091470D">
        <w:t>Yu, Justin</w:t>
      </w:r>
      <w:r w:rsidR="005E1F09">
        <w:t> </w:t>
      </w:r>
      <w:r w:rsidR="00F00916" w:rsidRPr="0091470D">
        <w:t>Menda, Prashanta</w:t>
      </w:r>
      <w:r w:rsidR="005E1F09">
        <w:t> </w:t>
      </w:r>
      <w:r w:rsidR="00F00916" w:rsidRPr="0091470D">
        <w:t xml:space="preserve">Adhikari and </w:t>
      </w:r>
      <w:r w:rsidR="0091470D">
        <w:t>K.</w:t>
      </w:r>
      <w:r w:rsidR="00F00916" w:rsidRPr="0091470D">
        <w:t>M</w:t>
      </w:r>
      <w:r w:rsidR="0091470D">
        <w:t>.</w:t>
      </w:r>
      <w:r w:rsidR="005E1F09">
        <w:t> </w:t>
      </w:r>
      <w:r w:rsidR="00F00916" w:rsidRPr="0091470D">
        <w:t>Jawadul</w:t>
      </w:r>
      <w:r w:rsidR="005E1F09">
        <w:t> </w:t>
      </w:r>
      <w:r w:rsidR="00F00916" w:rsidRPr="0091470D">
        <w:t>Baki.</w:t>
      </w:r>
      <w:r w:rsidR="00F00916" w:rsidRPr="00D549DC">
        <w:t xml:space="preserve"> </w:t>
      </w:r>
    </w:p>
  </w:footnote>
  <w:footnote w:id="8">
    <w:p w14:paraId="3D09BF5F" w14:textId="77777777" w:rsidR="000B3AC5" w:rsidRPr="00E60C2A" w:rsidRDefault="000B3AC5" w:rsidP="000B3AC5">
      <w:pPr>
        <w:pStyle w:val="FootnoteText"/>
        <w:rPr>
          <w:szCs w:val="22"/>
        </w:rPr>
      </w:pPr>
      <w:r w:rsidRPr="00E60C2A">
        <w:rPr>
          <w:rStyle w:val="FootnoteReference"/>
          <w:szCs w:val="22"/>
        </w:rPr>
        <w:footnoteRef/>
      </w:r>
      <w:r w:rsidRPr="00E60C2A">
        <w:rPr>
          <w:szCs w:val="22"/>
        </w:rPr>
        <w:t xml:space="preserve">  All </w:t>
      </w:r>
      <w:r w:rsidRPr="002B2E4D">
        <w:t>subsequent</w:t>
      </w:r>
      <w:r w:rsidRPr="00E60C2A">
        <w:rPr>
          <w:szCs w:val="22"/>
        </w:rPr>
        <w:t xml:space="preserve"> Rules refer to the Commission’s Rules of Practice and Procedure. </w:t>
      </w:r>
    </w:p>
  </w:footnote>
  <w:footnote w:id="9">
    <w:p w14:paraId="5A8E8AD6" w14:textId="11654D11" w:rsidR="00A51261" w:rsidRDefault="00A51261">
      <w:pPr>
        <w:pStyle w:val="FootnoteText"/>
      </w:pPr>
      <w:r>
        <w:rPr>
          <w:rStyle w:val="FootnoteReference"/>
        </w:rPr>
        <w:footnoteRef/>
      </w:r>
      <w:r>
        <w:t xml:space="preserve"> </w:t>
      </w:r>
      <w:r w:rsidRPr="006D7D95">
        <w:rPr>
          <w:i/>
          <w:iCs/>
        </w:rPr>
        <w:t>See</w:t>
      </w:r>
      <w:r w:rsidRPr="006D7D95">
        <w:t xml:space="preserve"> </w:t>
      </w:r>
      <w:r>
        <w:t>June</w:t>
      </w:r>
      <w:r w:rsidR="003E4158">
        <w:t> </w:t>
      </w:r>
      <w:r>
        <w:t>10</w:t>
      </w:r>
      <w:r w:rsidRPr="006D7D95">
        <w:t>,</w:t>
      </w:r>
      <w:r w:rsidR="003E4158">
        <w:t> </w:t>
      </w:r>
      <w:r w:rsidRPr="006D7D95">
        <w:t xml:space="preserve">2021 Joint Motion of SJWC and </w:t>
      </w:r>
      <w:r w:rsidR="00157DF9">
        <w:t>Cal Advoc</w:t>
      </w:r>
      <w:r w:rsidR="00703C76">
        <w:t xml:space="preserve">ates </w:t>
      </w:r>
      <w:r w:rsidRPr="006D7D95">
        <w:t>for Approval of Settlement Agreement (Joint Motion)</w:t>
      </w:r>
      <w:r w:rsidR="00931653">
        <w:t xml:space="preserve">. </w:t>
      </w:r>
      <w:r w:rsidR="005F12F2">
        <w:t>Attachment </w:t>
      </w:r>
      <w:r w:rsidR="00931653">
        <w:t>A to the Joint Motion is the Proposed Settlement Agreement.</w:t>
      </w:r>
    </w:p>
  </w:footnote>
  <w:footnote w:id="10">
    <w:p w14:paraId="58957F49" w14:textId="3DAAF9BD" w:rsidR="00A51261" w:rsidRDefault="00A51261">
      <w:pPr>
        <w:pStyle w:val="FootnoteText"/>
      </w:pPr>
      <w:r>
        <w:rPr>
          <w:rStyle w:val="FootnoteReference"/>
        </w:rPr>
        <w:footnoteRef/>
      </w:r>
      <w:r>
        <w:t xml:space="preserve"> </w:t>
      </w:r>
      <w:r w:rsidRPr="006D7D95">
        <w:rPr>
          <w:i/>
          <w:iCs/>
        </w:rPr>
        <w:t>See</w:t>
      </w:r>
      <w:r w:rsidRPr="006D7D95">
        <w:t xml:space="preserve"> </w:t>
      </w:r>
      <w:r>
        <w:t>August</w:t>
      </w:r>
      <w:r w:rsidR="0041546A">
        <w:t> </w:t>
      </w:r>
      <w:r>
        <w:t>5</w:t>
      </w:r>
      <w:r w:rsidRPr="006D7D95">
        <w:t>,</w:t>
      </w:r>
      <w:r w:rsidR="0041546A">
        <w:t> </w:t>
      </w:r>
      <w:r w:rsidRPr="006D7D95">
        <w:t xml:space="preserve">2021 Joint Motion of SJWC and </w:t>
      </w:r>
      <w:r w:rsidR="00157DF9">
        <w:t>Cal Advoc</w:t>
      </w:r>
      <w:r w:rsidR="00703C76">
        <w:t xml:space="preserve">ates </w:t>
      </w:r>
      <w:r w:rsidRPr="006D7D95">
        <w:t>for Approval of Settlement Agreement</w:t>
      </w:r>
      <w:r>
        <w:t xml:space="preserve">, the substance of which is identical to the </w:t>
      </w:r>
      <w:r w:rsidRPr="006D7D95">
        <w:t>Joint Motion</w:t>
      </w:r>
      <w:r w:rsidR="00931653">
        <w:t xml:space="preserve">, but which adds WRATES as a signatory to the Motion and settlement Agreement.  </w:t>
      </w:r>
    </w:p>
  </w:footnote>
  <w:footnote w:id="11">
    <w:p w14:paraId="4D3502DF" w14:textId="7A7B96A1" w:rsidR="00DF657B" w:rsidRPr="00464A40" w:rsidRDefault="00DF657B" w:rsidP="00405BBF">
      <w:pPr>
        <w:pStyle w:val="FootnoteText"/>
      </w:pPr>
      <w:r>
        <w:rPr>
          <w:rStyle w:val="FootnoteReference"/>
        </w:rPr>
        <w:footnoteRef/>
      </w:r>
      <w:r>
        <w:t xml:space="preserve"> </w:t>
      </w:r>
      <w:r w:rsidR="006D2B45">
        <w:t xml:space="preserve">Application at 2. </w:t>
      </w:r>
      <w:r>
        <w:t xml:space="preserve"> </w:t>
      </w:r>
      <w:r w:rsidR="005527E3">
        <w:t>SJWC</w:t>
      </w:r>
      <w:r w:rsidR="007B4ED2">
        <w:t>’s</w:t>
      </w:r>
      <w:r w:rsidRPr="00464A40">
        <w:t xml:space="preserve"> principal place of business is </w:t>
      </w:r>
      <w:r w:rsidR="000E12B7">
        <w:t>110 W. T</w:t>
      </w:r>
      <w:r w:rsidR="007B4ED2">
        <w:t xml:space="preserve">aylor Street, </w:t>
      </w:r>
      <w:r w:rsidR="005F12F2">
        <w:t>San </w:t>
      </w:r>
      <w:r w:rsidR="007B4ED2">
        <w:t>Jose, California 95110.</w:t>
      </w:r>
    </w:p>
  </w:footnote>
  <w:footnote w:id="12">
    <w:p w14:paraId="590034F6" w14:textId="6CB3EC0E" w:rsidR="002E5EF7" w:rsidRPr="002E5EF7" w:rsidRDefault="002E5EF7">
      <w:pPr>
        <w:pStyle w:val="FootnoteText"/>
      </w:pPr>
      <w:r w:rsidRPr="002E5EF7">
        <w:rPr>
          <w:rStyle w:val="FootnoteReference"/>
          <w:i/>
          <w:iCs/>
        </w:rPr>
        <w:footnoteRef/>
      </w:r>
      <w:r w:rsidRPr="002E5EF7">
        <w:rPr>
          <w:i/>
          <w:iCs/>
        </w:rPr>
        <w:t xml:space="preserve"> See</w:t>
      </w:r>
      <w:r>
        <w:rPr>
          <w:i/>
          <w:iCs/>
        </w:rPr>
        <w:t xml:space="preserve"> </w:t>
      </w:r>
      <w:r w:rsidRPr="002E5EF7">
        <w:t xml:space="preserve">PHC </w:t>
      </w:r>
      <w:r>
        <w:t>Transcript dated February</w:t>
      </w:r>
      <w:r w:rsidR="00E36A81">
        <w:t> </w:t>
      </w:r>
      <w:r>
        <w:t>6,</w:t>
      </w:r>
      <w:r w:rsidR="00E36A81">
        <w:t> </w:t>
      </w:r>
      <w:r>
        <w:t>2020</w:t>
      </w:r>
      <w:r w:rsidR="00E36A81">
        <w:t>,</w:t>
      </w:r>
      <w:r>
        <w:t xml:space="preserve"> at page</w:t>
      </w:r>
      <w:r w:rsidR="00E36A81">
        <w:t> </w:t>
      </w:r>
      <w:r>
        <w:t>14</w:t>
      </w:r>
      <w:r w:rsidR="00E36A81">
        <w:t>,</w:t>
      </w:r>
      <w:r>
        <w:t xml:space="preserve"> line</w:t>
      </w:r>
      <w:r w:rsidR="00E36A81">
        <w:t> </w:t>
      </w:r>
      <w:r>
        <w:t>20–page</w:t>
      </w:r>
      <w:r w:rsidR="00E36A81">
        <w:t> </w:t>
      </w:r>
      <w:r>
        <w:t>16</w:t>
      </w:r>
      <w:r w:rsidR="00E36A81">
        <w:t>,</w:t>
      </w:r>
      <w:r>
        <w:t xml:space="preserve"> line</w:t>
      </w:r>
      <w:r w:rsidR="00E36A81">
        <w:t> </w:t>
      </w:r>
      <w:r>
        <w:t xml:space="preserve">15. </w:t>
      </w:r>
    </w:p>
  </w:footnote>
  <w:footnote w:id="13">
    <w:p w14:paraId="05BBF231" w14:textId="25B840B2" w:rsidR="00DF657B" w:rsidRPr="00464A40" w:rsidRDefault="00DF657B" w:rsidP="00405BBF">
      <w:pPr>
        <w:pStyle w:val="standard0"/>
        <w:widowControl w:val="0"/>
        <w:spacing w:after="120" w:line="240" w:lineRule="auto"/>
        <w:ind w:firstLine="0"/>
        <w:rPr>
          <w:color w:val="000000"/>
          <w:sz w:val="22"/>
          <w:szCs w:val="22"/>
        </w:rPr>
      </w:pPr>
      <w:r w:rsidRPr="00464A40">
        <w:rPr>
          <w:rStyle w:val="FootnoteReference"/>
          <w:color w:val="000000"/>
          <w:sz w:val="22"/>
          <w:szCs w:val="22"/>
        </w:rPr>
        <w:footnoteRef/>
      </w:r>
      <w:r w:rsidRPr="00464A40">
        <w:rPr>
          <w:color w:val="000000"/>
          <w:sz w:val="22"/>
          <w:szCs w:val="22"/>
        </w:rPr>
        <w:t xml:space="preserve">  </w:t>
      </w:r>
      <w:r w:rsidRPr="00464A40">
        <w:rPr>
          <w:i/>
          <w:color w:val="000000"/>
          <w:sz w:val="22"/>
          <w:szCs w:val="22"/>
        </w:rPr>
        <w:t>See</w:t>
      </w:r>
      <w:r w:rsidRPr="00464A40">
        <w:rPr>
          <w:color w:val="000000"/>
          <w:sz w:val="22"/>
          <w:szCs w:val="22"/>
        </w:rPr>
        <w:t xml:space="preserve"> </w:t>
      </w:r>
      <w:r w:rsidR="005C40E7">
        <w:rPr>
          <w:color w:val="000000"/>
          <w:sz w:val="22"/>
          <w:szCs w:val="22"/>
        </w:rPr>
        <w:t xml:space="preserve">California </w:t>
      </w:r>
      <w:r w:rsidRPr="00464A40">
        <w:rPr>
          <w:color w:val="000000"/>
          <w:sz w:val="22"/>
          <w:szCs w:val="22"/>
        </w:rPr>
        <w:t xml:space="preserve">Public Utilities </w:t>
      </w:r>
      <w:r w:rsidR="005C40E7">
        <w:rPr>
          <w:color w:val="000000"/>
          <w:sz w:val="22"/>
          <w:szCs w:val="22"/>
        </w:rPr>
        <w:t xml:space="preserve">(Pub. Util.) </w:t>
      </w:r>
      <w:r w:rsidRPr="00464A40">
        <w:rPr>
          <w:color w:val="000000"/>
          <w:sz w:val="22"/>
          <w:szCs w:val="22"/>
        </w:rPr>
        <w:t xml:space="preserve">Code </w:t>
      </w:r>
      <w:r w:rsidR="00445A28">
        <w:rPr>
          <w:color w:val="000000"/>
          <w:sz w:val="22"/>
          <w:szCs w:val="22"/>
        </w:rPr>
        <w:t>§ </w:t>
      </w:r>
      <w:r w:rsidRPr="00464A40">
        <w:rPr>
          <w:color w:val="000000"/>
          <w:sz w:val="22"/>
          <w:szCs w:val="22"/>
        </w:rPr>
        <w:t>309.5.</w:t>
      </w:r>
    </w:p>
  </w:footnote>
  <w:footnote w:id="14">
    <w:p w14:paraId="21175965" w14:textId="17CD4253" w:rsidR="00DF3CF4" w:rsidRPr="00DF3CF4" w:rsidRDefault="00DF657B" w:rsidP="002B2E4D">
      <w:pPr>
        <w:pStyle w:val="FootnoteText"/>
      </w:pPr>
      <w:r>
        <w:rPr>
          <w:rStyle w:val="FootnoteReference"/>
        </w:rPr>
        <w:footnoteRef/>
      </w:r>
      <w:r>
        <w:t xml:space="preserve">  </w:t>
      </w:r>
      <w:r w:rsidRPr="006D7D95">
        <w:rPr>
          <w:i/>
          <w:iCs/>
        </w:rPr>
        <w:t>See</w:t>
      </w:r>
      <w:r w:rsidRPr="006D7D95">
        <w:t xml:space="preserve"> </w:t>
      </w:r>
      <w:r w:rsidR="00A90B7A" w:rsidRPr="006D7D95">
        <w:t xml:space="preserve">Joint Motion </w:t>
      </w:r>
      <w:r w:rsidRPr="006D7D95">
        <w:t xml:space="preserve">at </w:t>
      </w:r>
      <w:r w:rsidR="00E405A5" w:rsidRPr="006D7D95">
        <w:t>2.</w:t>
      </w:r>
      <w:r w:rsidRPr="006D7D95">
        <w:t xml:space="preserve">  </w:t>
      </w:r>
    </w:p>
  </w:footnote>
  <w:footnote w:id="15">
    <w:p w14:paraId="1F5803C0" w14:textId="4429F9ED" w:rsidR="00B92F82" w:rsidRPr="002803A6" w:rsidRDefault="00B92F82">
      <w:pPr>
        <w:pStyle w:val="FootnoteText"/>
      </w:pPr>
      <w:r>
        <w:rPr>
          <w:rStyle w:val="FootnoteReference"/>
        </w:rPr>
        <w:footnoteRef/>
      </w:r>
      <w:r w:rsidR="00D6609E">
        <w:t xml:space="preserve"> </w:t>
      </w:r>
      <w:r>
        <w:t xml:space="preserve"> </w:t>
      </w:r>
      <w:bookmarkStart w:id="24" w:name="_Hlk98854622"/>
      <w:r w:rsidRPr="00B92F82">
        <w:rPr>
          <w:i/>
          <w:iCs/>
        </w:rPr>
        <w:t>See</w:t>
      </w:r>
      <w:r>
        <w:rPr>
          <w:i/>
          <w:iCs/>
        </w:rPr>
        <w:t xml:space="preserve"> </w:t>
      </w:r>
      <w:r w:rsidR="002803A6">
        <w:t xml:space="preserve">Joint Motion, </w:t>
      </w:r>
      <w:r w:rsidR="005F12F2">
        <w:t>Attachment </w:t>
      </w:r>
      <w:r w:rsidR="002803A6">
        <w:t>A at A</w:t>
      </w:r>
      <w:r w:rsidR="009B4801">
        <w:noBreakHyphen/>
      </w:r>
      <w:r w:rsidR="002803A6">
        <w:t>5 to A</w:t>
      </w:r>
      <w:r w:rsidR="009B4801">
        <w:noBreakHyphen/>
      </w:r>
      <w:r w:rsidR="002803A6">
        <w:t>6.</w:t>
      </w:r>
    </w:p>
    <w:bookmarkEnd w:id="24"/>
  </w:footnote>
  <w:footnote w:id="16">
    <w:p w14:paraId="0B164F95" w14:textId="1439F5F1" w:rsidR="006F501E" w:rsidRPr="006F501E" w:rsidRDefault="006F501E">
      <w:pPr>
        <w:pStyle w:val="FootnoteText"/>
      </w:pPr>
      <w:r>
        <w:rPr>
          <w:rStyle w:val="FootnoteReference"/>
        </w:rPr>
        <w:footnoteRef/>
      </w:r>
      <w:r w:rsidR="00D6609E">
        <w:t xml:space="preserve"> </w:t>
      </w:r>
      <w:r>
        <w:t xml:space="preserve"> </w:t>
      </w:r>
      <w:r w:rsidRPr="006F501E">
        <w:rPr>
          <w:i/>
          <w:iCs/>
        </w:rPr>
        <w:t>See</w:t>
      </w:r>
      <w:r>
        <w:rPr>
          <w:i/>
          <w:iCs/>
        </w:rPr>
        <w:t xml:space="preserve"> </w:t>
      </w:r>
      <w:r>
        <w:t>D.18</w:t>
      </w:r>
      <w:r w:rsidR="009B4801">
        <w:noBreakHyphen/>
      </w:r>
      <w:r w:rsidR="003D0487">
        <w:t>11</w:t>
      </w:r>
      <w:r w:rsidR="009B4801">
        <w:noBreakHyphen/>
      </w:r>
      <w:r w:rsidR="003D0487">
        <w:t>025 November</w:t>
      </w:r>
      <w:r w:rsidR="009E194F">
        <w:t> </w:t>
      </w:r>
      <w:r w:rsidR="003D0487">
        <w:t>29,</w:t>
      </w:r>
      <w:r w:rsidR="009E194F">
        <w:t> </w:t>
      </w:r>
      <w:r w:rsidR="003D0487">
        <w:t xml:space="preserve">2018 Decision Approving Settlement Agreement </w:t>
      </w:r>
      <w:r>
        <w:t>In the Matter of the Application of SAN JOSE WATER COMPANY (U168W) for an Order authorizing it to increase rates charged for water service by $34,288,100 or 9.76</w:t>
      </w:r>
      <w:bookmarkStart w:id="27" w:name="_Hlk101905415"/>
      <w:r w:rsidR="00AB376F" w:rsidRPr="009C2B0F">
        <w:t> percent</w:t>
      </w:r>
      <w:bookmarkEnd w:id="27"/>
      <w:r>
        <w:t xml:space="preserve"> in 2019, by $14,231,800 or 3.70</w:t>
      </w:r>
      <w:r w:rsidR="00AB376F" w:rsidRPr="009C2B0F">
        <w:t> percent</w:t>
      </w:r>
      <w:r>
        <w:t xml:space="preserve"> in 2020, and by $20,581,700 or 5.17</w:t>
      </w:r>
      <w:r w:rsidR="00AB376F" w:rsidRPr="009C2B0F">
        <w:t> percent</w:t>
      </w:r>
      <w:r>
        <w:t xml:space="preserve"> in 2021.</w:t>
      </w:r>
    </w:p>
  </w:footnote>
  <w:footnote w:id="17">
    <w:p w14:paraId="0D036607" w14:textId="72C18E33" w:rsidR="00700C0C" w:rsidRDefault="00700C0C">
      <w:pPr>
        <w:pStyle w:val="FootnoteText"/>
      </w:pPr>
      <w:r>
        <w:rPr>
          <w:rStyle w:val="FootnoteReference"/>
        </w:rPr>
        <w:footnoteRef/>
      </w:r>
      <w:r>
        <w:t xml:space="preserve"> </w:t>
      </w:r>
      <w:r w:rsidR="00D6609E">
        <w:t xml:space="preserve"> </w:t>
      </w:r>
      <w:r w:rsidRPr="00B92F82">
        <w:rPr>
          <w:i/>
          <w:iCs/>
        </w:rPr>
        <w:t>See</w:t>
      </w:r>
      <w:r>
        <w:rPr>
          <w:i/>
          <w:iCs/>
        </w:rPr>
        <w:t xml:space="preserve"> </w:t>
      </w:r>
      <w:r>
        <w:t xml:space="preserve">Joint Motion, </w:t>
      </w:r>
      <w:r w:rsidR="005F12F2">
        <w:t>Attachment </w:t>
      </w:r>
      <w:r>
        <w:t>A at A</w:t>
      </w:r>
      <w:r w:rsidR="009B4801">
        <w:noBreakHyphen/>
      </w:r>
      <w:r>
        <w:t>6 to A</w:t>
      </w:r>
      <w:r w:rsidR="009B4801">
        <w:noBreakHyphen/>
      </w:r>
      <w:r>
        <w:t>7.</w:t>
      </w:r>
    </w:p>
  </w:footnote>
  <w:footnote w:id="18">
    <w:p w14:paraId="2C5805F1" w14:textId="06793F61" w:rsidR="008F1811" w:rsidRDefault="008F1811">
      <w:pPr>
        <w:pStyle w:val="FootnoteText"/>
      </w:pPr>
      <w:r>
        <w:rPr>
          <w:rStyle w:val="FootnoteReference"/>
        </w:rPr>
        <w:footnoteRef/>
      </w:r>
      <w:r w:rsidR="00D6609E">
        <w:t xml:space="preserve"> </w:t>
      </w:r>
      <w:r>
        <w:t xml:space="preserve"> </w:t>
      </w:r>
      <w:r w:rsidRPr="00B92F82">
        <w:rPr>
          <w:i/>
          <w:iCs/>
        </w:rPr>
        <w:t>See</w:t>
      </w:r>
      <w:r>
        <w:rPr>
          <w:i/>
          <w:iCs/>
        </w:rPr>
        <w:t xml:space="preserve"> </w:t>
      </w:r>
      <w:r>
        <w:t xml:space="preserve">Joint Motion, </w:t>
      </w:r>
      <w:r w:rsidR="005F12F2">
        <w:t>Attachment </w:t>
      </w:r>
      <w:r>
        <w:t>A at A</w:t>
      </w:r>
      <w:r w:rsidR="009B4801">
        <w:noBreakHyphen/>
      </w:r>
      <w:r>
        <w:t>7.</w:t>
      </w:r>
    </w:p>
  </w:footnote>
  <w:footnote w:id="19">
    <w:p w14:paraId="14B6E4AC" w14:textId="748121A9" w:rsidR="004B66B0" w:rsidRDefault="004B66B0">
      <w:pPr>
        <w:pStyle w:val="FootnoteText"/>
      </w:pPr>
      <w:r>
        <w:rPr>
          <w:rStyle w:val="FootnoteReference"/>
        </w:rPr>
        <w:footnoteRef/>
      </w:r>
      <w:r>
        <w:t xml:space="preserve"> </w:t>
      </w:r>
      <w:r w:rsidR="00D6609E">
        <w:t xml:space="preserve"> </w:t>
      </w:r>
      <w:r w:rsidRPr="00B92F82">
        <w:rPr>
          <w:i/>
          <w:iCs/>
        </w:rPr>
        <w:t>See</w:t>
      </w:r>
      <w:r>
        <w:rPr>
          <w:i/>
          <w:iCs/>
        </w:rPr>
        <w:t xml:space="preserve"> </w:t>
      </w:r>
      <w:r>
        <w:t xml:space="preserve">Joint Motion, </w:t>
      </w:r>
      <w:r w:rsidR="005F12F2">
        <w:t>Attachment </w:t>
      </w:r>
      <w:r>
        <w:t>A at A</w:t>
      </w:r>
      <w:r w:rsidR="009B4801">
        <w:noBreakHyphen/>
      </w:r>
      <w:r>
        <w:t>8.</w:t>
      </w:r>
    </w:p>
  </w:footnote>
  <w:footnote w:id="20">
    <w:p w14:paraId="42EE50CF" w14:textId="18F53DCB" w:rsidR="002B1E13" w:rsidRDefault="002B1E13">
      <w:pPr>
        <w:pStyle w:val="FootnoteText"/>
      </w:pPr>
      <w:r>
        <w:rPr>
          <w:rStyle w:val="FootnoteReference"/>
        </w:rPr>
        <w:footnoteRef/>
      </w:r>
      <w:r w:rsidR="00D6609E">
        <w:t xml:space="preserve"> </w:t>
      </w:r>
      <w:r>
        <w:t xml:space="preserve"> </w:t>
      </w:r>
      <w:r w:rsidRPr="002B1E13">
        <w:rPr>
          <w:i/>
          <w:iCs/>
        </w:rPr>
        <w:t>Id.</w:t>
      </w:r>
    </w:p>
  </w:footnote>
  <w:footnote w:id="21">
    <w:p w14:paraId="6BBB65FF" w14:textId="5CB03178" w:rsidR="001834EB" w:rsidRDefault="001834EB">
      <w:pPr>
        <w:pStyle w:val="FootnoteText"/>
      </w:pPr>
      <w:r>
        <w:rPr>
          <w:rStyle w:val="FootnoteReference"/>
        </w:rPr>
        <w:footnoteRef/>
      </w:r>
      <w:r>
        <w:t xml:space="preserve"> </w:t>
      </w:r>
      <w:r w:rsidRPr="002B1E13">
        <w:rPr>
          <w:i/>
          <w:iCs/>
        </w:rPr>
        <w:t>Id.</w:t>
      </w:r>
    </w:p>
  </w:footnote>
  <w:footnote w:id="22">
    <w:p w14:paraId="563451C9" w14:textId="3AF96D15" w:rsidR="00D45DC4" w:rsidRDefault="00D45DC4">
      <w:pPr>
        <w:pStyle w:val="FootnoteText"/>
      </w:pPr>
      <w:r>
        <w:rPr>
          <w:rStyle w:val="FootnoteReference"/>
        </w:rPr>
        <w:footnoteRef/>
      </w:r>
      <w:r>
        <w:t xml:space="preserve"> </w:t>
      </w:r>
      <w:r w:rsidRPr="00B92F82">
        <w:rPr>
          <w:i/>
          <w:iCs/>
        </w:rPr>
        <w:t>See</w:t>
      </w:r>
      <w:r>
        <w:rPr>
          <w:i/>
          <w:iCs/>
        </w:rPr>
        <w:t xml:space="preserve"> </w:t>
      </w:r>
      <w:r>
        <w:t xml:space="preserve">Joint Motion, </w:t>
      </w:r>
      <w:r w:rsidR="005F12F2">
        <w:t>Attachment </w:t>
      </w:r>
      <w:r>
        <w:t>A at A</w:t>
      </w:r>
      <w:r w:rsidR="009B4801">
        <w:noBreakHyphen/>
      </w:r>
      <w:r>
        <w:t>9.</w:t>
      </w:r>
    </w:p>
  </w:footnote>
  <w:footnote w:id="23">
    <w:p w14:paraId="2214C59B" w14:textId="53FF9F6F" w:rsidR="00DF657B" w:rsidRPr="00E60C2A" w:rsidRDefault="00DF657B" w:rsidP="002B2E4D">
      <w:pPr>
        <w:pStyle w:val="FootnoteText"/>
        <w:rPr>
          <w:szCs w:val="22"/>
        </w:rPr>
      </w:pPr>
      <w:r w:rsidRPr="00E60C2A">
        <w:rPr>
          <w:rStyle w:val="FootnoteReference"/>
          <w:szCs w:val="22"/>
        </w:rPr>
        <w:footnoteRef/>
      </w:r>
      <w:r w:rsidRPr="00E60C2A">
        <w:rPr>
          <w:szCs w:val="22"/>
        </w:rPr>
        <w:t xml:space="preserve">  </w:t>
      </w:r>
      <w:r w:rsidR="001F18F5">
        <w:t>Rule </w:t>
      </w:r>
      <w:r w:rsidRPr="00E60C2A">
        <w:rPr>
          <w:szCs w:val="22"/>
        </w:rPr>
        <w:t>12.5</w:t>
      </w:r>
      <w:r w:rsidR="00A3489E">
        <w:rPr>
          <w:szCs w:val="22"/>
        </w:rPr>
        <w:t>:</w:t>
      </w:r>
      <w:r w:rsidRPr="00E60C2A">
        <w:rPr>
          <w:szCs w:val="22"/>
        </w:rPr>
        <w:t xml:space="preserve"> “Commission adoption of a settlement is binding on all parties to the proceeding in which the settlement is proposed.  Unless the Commission expressly provides otherwise, such adoption does not constitute approval of, or precedent regarding, any principle or issue in the proceeding or in any future proceeding.” </w:t>
      </w:r>
    </w:p>
  </w:footnote>
  <w:footnote w:id="24">
    <w:p w14:paraId="2C9F724D" w14:textId="5729B132" w:rsidR="007D69F2" w:rsidRDefault="007D69F2">
      <w:pPr>
        <w:pStyle w:val="FootnoteText"/>
      </w:pPr>
      <w:r>
        <w:rPr>
          <w:rStyle w:val="FootnoteReference"/>
        </w:rPr>
        <w:footnoteRef/>
      </w:r>
      <w:r>
        <w:t xml:space="preserve"> We note here that Exhibits</w:t>
      </w:r>
      <w:r w:rsidR="005E67C3">
        <w:t> </w:t>
      </w:r>
      <w:r>
        <w:t>A</w:t>
      </w:r>
      <w:r w:rsidR="009B4801">
        <w:noBreakHyphen/>
      </w:r>
      <w:r>
        <w:t>J submitted by WRATES on May</w:t>
      </w:r>
      <w:r w:rsidR="00ED1C51">
        <w:t> </w:t>
      </w:r>
      <w:r>
        <w:t>3,</w:t>
      </w:r>
      <w:r w:rsidR="00ED1C51">
        <w:t> </w:t>
      </w:r>
      <w:r>
        <w:t xml:space="preserve">2021 with its </w:t>
      </w:r>
      <w:r w:rsidR="006C665A">
        <w:t xml:space="preserve">Proposed Exhibit and Witness List are not included in the record herein, as </w:t>
      </w:r>
      <w:r w:rsidR="00FD1AB7">
        <w:t>WRATES expressly acknowledges in its May</w:t>
      </w:r>
      <w:r w:rsidR="00ED1C51">
        <w:t> </w:t>
      </w:r>
      <w:r w:rsidR="00FD1AB7">
        <w:t>13,</w:t>
      </w:r>
      <w:r w:rsidR="00ED1C51">
        <w:t> </w:t>
      </w:r>
      <w:r w:rsidR="00FD1AB7">
        <w:t>2021 Response</w:t>
      </w:r>
      <w:r w:rsidR="00EC0B08">
        <w:t xml:space="preserve"> in Opposition to </w:t>
      </w:r>
      <w:r w:rsidR="005F12F2">
        <w:t>San </w:t>
      </w:r>
      <w:r w:rsidR="00EC0B08">
        <w:t xml:space="preserve">Jose Water Company’s Motion </w:t>
      </w:r>
      <w:r w:rsidR="00EC0B08" w:rsidRPr="006C7024">
        <w:rPr>
          <w:i/>
          <w:iCs/>
        </w:rPr>
        <w:t>in Limine</w:t>
      </w:r>
      <w:r w:rsidR="00EC0B08">
        <w:t xml:space="preserve"> to Exclude Exhibits</w:t>
      </w:r>
      <w:r w:rsidR="00B7176F">
        <w:t> </w:t>
      </w:r>
      <w:r w:rsidR="00EC0B08">
        <w:t>A through J,</w:t>
      </w:r>
      <w:r w:rsidR="00FD1AB7">
        <w:t xml:space="preserve"> that </w:t>
      </w:r>
      <w:r w:rsidR="006C665A">
        <w:t>they were expressly</w:t>
      </w:r>
      <w:r w:rsidR="00FD1AB7">
        <w:t xml:space="preserve"> “intended for possible use in cross</w:t>
      </w:r>
      <w:r w:rsidR="009B4801">
        <w:noBreakHyphen/>
      </w:r>
      <w:r w:rsidR="00FD1AB7">
        <w:t xml:space="preserve">examination and were not intentionally submitted as testimony” and that WRATES “does not intend to offer any testimony at this time. The Exhibits, as WRATES understands, are not part of the record.” </w:t>
      </w:r>
    </w:p>
  </w:footnote>
  <w:footnote w:id="25">
    <w:p w14:paraId="094E4902" w14:textId="5677705E" w:rsidR="006E359F" w:rsidRPr="001A6D96" w:rsidRDefault="006E359F" w:rsidP="006E359F">
      <w:pPr>
        <w:pStyle w:val="FootnoteText"/>
      </w:pPr>
      <w:r>
        <w:rPr>
          <w:rStyle w:val="FootnoteReference"/>
        </w:rPr>
        <w:footnoteRef/>
      </w:r>
      <w:r>
        <w:t xml:space="preserve"> </w:t>
      </w:r>
      <w:r w:rsidRPr="001A6D96">
        <w:rPr>
          <w:i/>
          <w:iCs/>
        </w:rPr>
        <w:t>See</w:t>
      </w:r>
      <w:r>
        <w:rPr>
          <w:i/>
          <w:iCs/>
        </w:rPr>
        <w:t xml:space="preserve"> </w:t>
      </w:r>
      <w:r w:rsidR="00E04A9F">
        <w:t>Joint Motion</w:t>
      </w:r>
      <w:r>
        <w:t xml:space="preserve"> at </w:t>
      </w:r>
      <w:r w:rsidR="00EB13D4">
        <w:t>4</w:t>
      </w:r>
      <w:r w:rsidR="009B4801">
        <w:noBreakHyphen/>
      </w:r>
      <w:r w:rsidR="00EB13D4">
        <w:t xml:space="preserve">5 and </w:t>
      </w:r>
      <w:r>
        <w:t>fn</w:t>
      </w:r>
      <w:r w:rsidR="00022115">
        <w:t>. </w:t>
      </w:r>
      <w:r w:rsidR="00EB13D4">
        <w:t>4 citing D.16</w:t>
      </w:r>
      <w:r w:rsidR="009B4801">
        <w:noBreakHyphen/>
      </w:r>
      <w:r w:rsidR="00EB13D4">
        <w:t>12</w:t>
      </w:r>
      <w:r w:rsidR="009B4801">
        <w:noBreakHyphen/>
      </w:r>
      <w:r w:rsidR="00EB13D4">
        <w:t xml:space="preserve">026, </w:t>
      </w:r>
      <w:r w:rsidR="00EB13D4">
        <w:rPr>
          <w:i/>
          <w:iCs/>
        </w:rPr>
        <w:t>Order Instituting Rulemaking on the Commission’s Own Motion into Addressing the Commission’s Water Action Plan Objec</w:t>
      </w:r>
      <w:r w:rsidR="00D1003B">
        <w:rPr>
          <w:i/>
          <w:iCs/>
        </w:rPr>
        <w:t>t</w:t>
      </w:r>
      <w:r w:rsidR="00EB13D4">
        <w:rPr>
          <w:i/>
          <w:iCs/>
        </w:rPr>
        <w:t>ive of Setting Rates that Balance Investment, Conservation, and Affordability for Class</w:t>
      </w:r>
      <w:r w:rsidR="005124B6">
        <w:rPr>
          <w:i/>
          <w:iCs/>
        </w:rPr>
        <w:t> </w:t>
      </w:r>
      <w:r w:rsidR="00EB13D4">
        <w:rPr>
          <w:i/>
          <w:iCs/>
        </w:rPr>
        <w:t>A and Class</w:t>
      </w:r>
      <w:r w:rsidR="005124B6">
        <w:rPr>
          <w:i/>
          <w:iCs/>
        </w:rPr>
        <w:t> </w:t>
      </w:r>
      <w:r w:rsidR="00EB13D4">
        <w:rPr>
          <w:i/>
          <w:iCs/>
        </w:rPr>
        <w:t xml:space="preserve">B Water Utilities, </w:t>
      </w:r>
      <w:r w:rsidR="00EB13D4" w:rsidRPr="00D1003B">
        <w:t>Decision Providing Guidance on Water Rate Structure and Tiered Rates</w:t>
      </w:r>
      <w:r w:rsidR="00022115">
        <w:t xml:space="preserve"> at </w:t>
      </w:r>
      <w:r w:rsidR="00E04A9F">
        <w:t>63.</w:t>
      </w:r>
      <w:r>
        <w:t xml:space="preserve"> </w:t>
      </w:r>
    </w:p>
  </w:footnote>
  <w:footnote w:id="26">
    <w:p w14:paraId="744E029D" w14:textId="45254E69" w:rsidR="0074315F" w:rsidRPr="00C86615" w:rsidRDefault="0074315F" w:rsidP="0074315F">
      <w:pPr>
        <w:pStyle w:val="FootnoteText"/>
        <w:rPr>
          <w:szCs w:val="22"/>
        </w:rPr>
      </w:pPr>
      <w:r>
        <w:rPr>
          <w:rStyle w:val="FootnoteReference"/>
        </w:rPr>
        <w:footnoteRef/>
      </w:r>
      <w:r>
        <w:t xml:space="preserve">  </w:t>
      </w:r>
      <w:r w:rsidRPr="00A9219C">
        <w:rPr>
          <w:i/>
          <w:iCs/>
          <w:szCs w:val="22"/>
        </w:rPr>
        <w:t>See</w:t>
      </w:r>
      <w:r w:rsidRPr="00C86615">
        <w:rPr>
          <w:szCs w:val="22"/>
        </w:rPr>
        <w:t xml:space="preserve"> </w:t>
      </w:r>
      <w:r w:rsidR="00AE4F74">
        <w:rPr>
          <w:szCs w:val="22"/>
        </w:rPr>
        <w:t>Joint Motion</w:t>
      </w:r>
      <w:r w:rsidRPr="00C86615">
        <w:rPr>
          <w:szCs w:val="22"/>
        </w:rPr>
        <w:t xml:space="preserve"> at 9.</w:t>
      </w:r>
    </w:p>
  </w:footnote>
  <w:footnote w:id="27">
    <w:p w14:paraId="57FE86B3" w14:textId="13B10E39" w:rsidR="00ED6F68" w:rsidRPr="00E60C2A" w:rsidRDefault="00ED6F68" w:rsidP="00ED6F68">
      <w:pPr>
        <w:pStyle w:val="FootnoteText"/>
        <w:rPr>
          <w:szCs w:val="22"/>
        </w:rPr>
      </w:pPr>
      <w:r w:rsidRPr="009F21B6">
        <w:rPr>
          <w:vertAlign w:val="superscript"/>
        </w:rPr>
        <w:footnoteRef/>
      </w:r>
      <w:r w:rsidRPr="009F21B6">
        <w:rPr>
          <w:szCs w:val="22"/>
        </w:rPr>
        <w:t xml:space="preserve"> </w:t>
      </w:r>
      <w:r w:rsidR="00AE4F74">
        <w:rPr>
          <w:szCs w:val="22"/>
        </w:rPr>
        <w:t xml:space="preserve">SJWC submitted a confidential version of </w:t>
      </w:r>
      <w:r w:rsidR="007954C2">
        <w:rPr>
          <w:szCs w:val="22"/>
        </w:rPr>
        <w:t>the testimony of Tricia Anklan (SJW</w:t>
      </w:r>
      <w:r w:rsidR="009B4801">
        <w:rPr>
          <w:szCs w:val="22"/>
        </w:rPr>
        <w:noBreakHyphen/>
      </w:r>
      <w:r w:rsidR="007954C2">
        <w:rPr>
          <w:szCs w:val="22"/>
        </w:rPr>
        <w:t>3C) and of its</w:t>
      </w:r>
      <w:r w:rsidR="00784971">
        <w:rPr>
          <w:szCs w:val="22"/>
        </w:rPr>
        <w:t xml:space="preserve"> </w:t>
      </w:r>
      <w:r w:rsidR="00AE4F74">
        <w:rPr>
          <w:szCs w:val="22"/>
        </w:rPr>
        <w:t>Rebuttal</w:t>
      </w:r>
      <w:r w:rsidR="007954C2">
        <w:rPr>
          <w:szCs w:val="22"/>
        </w:rPr>
        <w:t xml:space="preserve"> Testimony (SJW</w:t>
      </w:r>
      <w:r w:rsidR="009B4801">
        <w:rPr>
          <w:szCs w:val="22"/>
        </w:rPr>
        <w:noBreakHyphen/>
      </w:r>
      <w:r w:rsidR="007954C2">
        <w:rPr>
          <w:szCs w:val="22"/>
        </w:rPr>
        <w:t>4C).</w:t>
      </w:r>
      <w:r w:rsidR="00AE4F74">
        <w:rPr>
          <w:szCs w:val="22"/>
        </w:rPr>
        <w:t xml:space="preserve"> </w:t>
      </w:r>
      <w:r w:rsidR="00784971">
        <w:rPr>
          <w:szCs w:val="22"/>
        </w:rPr>
        <w:t xml:space="preserve"> </w:t>
      </w:r>
      <w:r w:rsidR="00157DF9">
        <w:rPr>
          <w:szCs w:val="22"/>
        </w:rPr>
        <w:t>Cal Advoc</w:t>
      </w:r>
      <w:r w:rsidR="00703C76">
        <w:rPr>
          <w:szCs w:val="22"/>
        </w:rPr>
        <w:t xml:space="preserve">ates </w:t>
      </w:r>
      <w:r w:rsidR="00AE4F74">
        <w:rPr>
          <w:szCs w:val="22"/>
        </w:rPr>
        <w:t xml:space="preserve">submitted a confidential version of its </w:t>
      </w:r>
      <w:r w:rsidR="007954C2">
        <w:rPr>
          <w:szCs w:val="22"/>
        </w:rPr>
        <w:t>Public Advocates Office Report and Recommendations (</w:t>
      </w:r>
      <w:r w:rsidR="009E6D4E">
        <w:rPr>
          <w:szCs w:val="22"/>
        </w:rPr>
        <w:t>PAO</w:t>
      </w:r>
      <w:r w:rsidR="009B4801">
        <w:rPr>
          <w:szCs w:val="22"/>
        </w:rPr>
        <w:noBreakHyphen/>
      </w:r>
      <w:r w:rsidR="009E6D4E">
        <w:rPr>
          <w:szCs w:val="22"/>
        </w:rPr>
        <w:t>1C)</w:t>
      </w:r>
      <w:r w:rsidR="00644D02">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EAC5" w14:textId="120914C4" w:rsidR="00925A8F" w:rsidRDefault="00925A8F" w:rsidP="00925A8F">
    <w:pPr>
      <w:pStyle w:val="Header"/>
      <w:tabs>
        <w:tab w:val="clear" w:pos="4680"/>
      </w:tabs>
      <w:ind w:firstLine="0"/>
    </w:pPr>
    <w:r>
      <w:t>A.19</w:t>
    </w:r>
    <w:r>
      <w:noBreakHyphen/>
      <w:t>12</w:t>
    </w:r>
    <w:r>
      <w:noBreakHyphen/>
      <w:t>002  ALJ/PM6/</w:t>
    </w:r>
    <w:proofErr w:type="spellStart"/>
    <w:r>
      <w:t>TJG</w:t>
    </w:r>
    <w:proofErr w:type="spellEnd"/>
    <w:r>
      <w:t>/nd3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202D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2ADD1F93"/>
    <w:multiLevelType w:val="hybridMultilevel"/>
    <w:tmpl w:val="E9CE05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2757097"/>
    <w:multiLevelType w:val="multilevel"/>
    <w:tmpl w:val="12A23A88"/>
    <w:lvl w:ilvl="0">
      <w:start w:val="1"/>
      <w:numFmt w:val="decimal"/>
      <w:lvlText w:val="%1."/>
      <w:lvlJc w:val="left"/>
      <w:pPr>
        <w:ind w:left="475" w:hanging="475"/>
      </w:pPr>
      <w:rPr>
        <w:rFonts w:hint="default"/>
      </w:rPr>
    </w:lvl>
    <w:lvl w:ilvl="1">
      <w:start w:val="1"/>
      <w:numFmt w:val="decimal"/>
      <w:pStyle w:val="Heading2"/>
      <w:lvlText w:val="%1.%2."/>
      <w:lvlJc w:val="left"/>
      <w:pPr>
        <w:ind w:left="1224" w:hanging="749"/>
      </w:pPr>
      <w:rPr>
        <w:rFonts w:hint="default"/>
      </w:rPr>
    </w:lvl>
    <w:lvl w:ilvl="2">
      <w:start w:val="1"/>
      <w:numFmt w:val="decimal"/>
      <w:pStyle w:val="Heading3"/>
      <w:lvlText w:val="%1.%2.%3."/>
      <w:lvlJc w:val="left"/>
      <w:pPr>
        <w:ind w:left="2160" w:hanging="93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1F6D42"/>
    <w:multiLevelType w:val="multilevel"/>
    <w:tmpl w:val="46F0D04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260"/>
        </w:tabs>
        <w:ind w:left="126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396F1A1D"/>
    <w:multiLevelType w:val="singleLevel"/>
    <w:tmpl w:val="739A51AE"/>
    <w:lvl w:ilvl="0">
      <w:start w:val="1"/>
      <w:numFmt w:val="decimal"/>
      <w:lvlText w:val="%1."/>
      <w:legacy w:legacy="1" w:legacySpace="144" w:legacyIndent="0"/>
      <w:lvlJc w:val="left"/>
    </w:lvl>
  </w:abstractNum>
  <w:abstractNum w:abstractNumId="7" w15:restartNumberingAfterBreak="0">
    <w:nsid w:val="51AD23B5"/>
    <w:multiLevelType w:val="multilevel"/>
    <w:tmpl w:val="19D6A3D6"/>
    <w:lvl w:ilvl="0">
      <w:start w:val="1"/>
      <w:numFmt w:val="decimal"/>
      <w:pStyle w:val="ALJHeading1"/>
      <w:lvlText w:val="%1."/>
      <w:lvlJc w:val="left"/>
      <w:pPr>
        <w:ind w:left="360" w:hanging="360"/>
      </w:pPr>
    </w:lvl>
    <w:lvl w:ilvl="1">
      <w:start w:val="1"/>
      <w:numFmt w:val="decimal"/>
      <w:pStyle w:val="ALJHeading2"/>
      <w:lvlText w:val="%1.%2."/>
      <w:lvlJc w:val="left"/>
      <w:pPr>
        <w:ind w:left="702" w:hanging="432"/>
      </w:pPr>
    </w:lvl>
    <w:lvl w:ilvl="2">
      <w:start w:val="1"/>
      <w:numFmt w:val="decimal"/>
      <w:pStyle w:val="ALJHeading3"/>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673877"/>
    <w:multiLevelType w:val="singleLevel"/>
    <w:tmpl w:val="739A51AE"/>
    <w:lvl w:ilvl="0">
      <w:start w:val="1"/>
      <w:numFmt w:val="decimal"/>
      <w:lvlText w:val="%1."/>
      <w:legacy w:legacy="1" w:legacySpace="144" w:legacyIndent="0"/>
      <w:lvlJc w:val="left"/>
    </w:lvl>
  </w:abstractNum>
  <w:abstractNum w:abstractNumId="9" w15:restartNumberingAfterBreak="0">
    <w:nsid w:val="59D042D7"/>
    <w:multiLevelType w:val="multilevel"/>
    <w:tmpl w:val="18F4A5AC"/>
    <w:numStyleLink w:val="FoFCoLOP"/>
  </w:abstractNum>
  <w:abstractNum w:abstractNumId="10" w15:restartNumberingAfterBreak="0">
    <w:nsid w:val="61A25780"/>
    <w:multiLevelType w:val="multilevel"/>
    <w:tmpl w:val="46F0D04E"/>
    <w:numStyleLink w:val="Headings"/>
  </w:abstractNum>
  <w:abstractNum w:abstractNumId="11" w15:restartNumberingAfterBreak="0">
    <w:nsid w:val="789A0AFE"/>
    <w:multiLevelType w:val="multilevel"/>
    <w:tmpl w:val="18F4A5AC"/>
    <w:numStyleLink w:val="FoFCoLOP"/>
  </w:abstractNum>
  <w:num w:numId="1" w16cid:durableId="1640843883">
    <w:abstractNumId w:val="1"/>
  </w:num>
  <w:num w:numId="2" w16cid:durableId="204870764">
    <w:abstractNumId w:val="9"/>
    <w:lvlOverride w:ilvl="0">
      <w:lvl w:ilvl="0">
        <w:start w:val="1"/>
        <w:numFmt w:val="decimal"/>
        <w:pStyle w:val="FoF"/>
        <w:lvlText w:val="%1."/>
        <w:lvlJc w:val="right"/>
        <w:pPr>
          <w:ind w:left="0" w:firstLine="540"/>
        </w:pPr>
        <w:rPr>
          <w:rFonts w:hint="default"/>
          <w:color w:val="auto"/>
          <w:sz w:val="26"/>
          <w:szCs w:val="26"/>
        </w:rPr>
      </w:lvl>
    </w:lvlOverride>
  </w:num>
  <w:num w:numId="3" w16cid:durableId="70010338">
    <w:abstractNumId w:val="2"/>
  </w:num>
  <w:num w:numId="4" w16cid:durableId="1420247100">
    <w:abstractNumId w:val="11"/>
  </w:num>
  <w:num w:numId="5" w16cid:durableId="1632325532">
    <w:abstractNumId w:val="5"/>
  </w:num>
  <w:num w:numId="6" w16cid:durableId="1352104346">
    <w:abstractNumId w:val="0"/>
  </w:num>
  <w:num w:numId="7" w16cid:durableId="1920014279">
    <w:abstractNumId w:val="10"/>
  </w:num>
  <w:num w:numId="8" w16cid:durableId="1113017806">
    <w:abstractNumId w:val="7"/>
  </w:num>
  <w:num w:numId="9" w16cid:durableId="1509561742">
    <w:abstractNumId w:val="9"/>
  </w:num>
  <w:num w:numId="10" w16cid:durableId="1991473290">
    <w:abstractNumId w:val="2"/>
    <w:lvlOverride w:ilvl="0">
      <w:lvl w:ilvl="0">
        <w:start w:val="1"/>
        <w:numFmt w:val="decimal"/>
        <w:pStyle w:val="CoL"/>
        <w:lvlText w:val="%1."/>
        <w:lvlJc w:val="right"/>
        <w:pPr>
          <w:ind w:left="0" w:firstLine="540"/>
        </w:pPr>
        <w:rPr>
          <w:rFonts w:hint="default"/>
          <w:b w:val="0"/>
          <w:bCs/>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11" w16cid:durableId="1412432092">
    <w:abstractNumId w:val="3"/>
  </w:num>
  <w:num w:numId="12" w16cid:durableId="788471520">
    <w:abstractNumId w:val="4"/>
  </w:num>
  <w:num w:numId="13" w16cid:durableId="864563616">
    <w:abstractNumId w:val="11"/>
  </w:num>
  <w:num w:numId="14" w16cid:durableId="75978376">
    <w:abstractNumId w:val="11"/>
  </w:num>
  <w:num w:numId="15" w16cid:durableId="1294217885">
    <w:abstractNumId w:val="11"/>
  </w:num>
  <w:num w:numId="16" w16cid:durableId="1556619671">
    <w:abstractNumId w:val="11"/>
  </w:num>
  <w:num w:numId="17" w16cid:durableId="300379820">
    <w:abstractNumId w:val="6"/>
  </w:num>
  <w:num w:numId="18" w16cid:durableId="83495956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A"/>
    <w:rsid w:val="000003E4"/>
    <w:rsid w:val="00000AFA"/>
    <w:rsid w:val="00000E84"/>
    <w:rsid w:val="00000F6A"/>
    <w:rsid w:val="00006A0A"/>
    <w:rsid w:val="000206C5"/>
    <w:rsid w:val="00022115"/>
    <w:rsid w:val="00024120"/>
    <w:rsid w:val="0003438B"/>
    <w:rsid w:val="00035937"/>
    <w:rsid w:val="00044306"/>
    <w:rsid w:val="00045AEB"/>
    <w:rsid w:val="00046872"/>
    <w:rsid w:val="000542FF"/>
    <w:rsid w:val="00055298"/>
    <w:rsid w:val="00057A9F"/>
    <w:rsid w:val="0006007F"/>
    <w:rsid w:val="00061632"/>
    <w:rsid w:val="0007115A"/>
    <w:rsid w:val="00076810"/>
    <w:rsid w:val="00080E1E"/>
    <w:rsid w:val="00086B3D"/>
    <w:rsid w:val="00096D0E"/>
    <w:rsid w:val="000973C8"/>
    <w:rsid w:val="000A1792"/>
    <w:rsid w:val="000A2AA9"/>
    <w:rsid w:val="000A3DA9"/>
    <w:rsid w:val="000A4541"/>
    <w:rsid w:val="000A4A75"/>
    <w:rsid w:val="000A56F2"/>
    <w:rsid w:val="000A6E05"/>
    <w:rsid w:val="000B12FA"/>
    <w:rsid w:val="000B2A70"/>
    <w:rsid w:val="000B3AC5"/>
    <w:rsid w:val="000B555F"/>
    <w:rsid w:val="000C035B"/>
    <w:rsid w:val="000C03BB"/>
    <w:rsid w:val="000C08BF"/>
    <w:rsid w:val="000C23F5"/>
    <w:rsid w:val="000C29D7"/>
    <w:rsid w:val="000C2B74"/>
    <w:rsid w:val="000C2CF8"/>
    <w:rsid w:val="000C3B9A"/>
    <w:rsid w:val="000D25A8"/>
    <w:rsid w:val="000E12B7"/>
    <w:rsid w:val="000E270A"/>
    <w:rsid w:val="000E4C53"/>
    <w:rsid w:val="000F2DE7"/>
    <w:rsid w:val="000F64FC"/>
    <w:rsid w:val="00111533"/>
    <w:rsid w:val="00115E84"/>
    <w:rsid w:val="001168BC"/>
    <w:rsid w:val="00121089"/>
    <w:rsid w:val="00124FC4"/>
    <w:rsid w:val="001264EA"/>
    <w:rsid w:val="00126A93"/>
    <w:rsid w:val="00130201"/>
    <w:rsid w:val="001311D7"/>
    <w:rsid w:val="00131632"/>
    <w:rsid w:val="00132EE1"/>
    <w:rsid w:val="00132F7C"/>
    <w:rsid w:val="00134E43"/>
    <w:rsid w:val="00146C87"/>
    <w:rsid w:val="00147703"/>
    <w:rsid w:val="00150D6E"/>
    <w:rsid w:val="00152B77"/>
    <w:rsid w:val="00153E56"/>
    <w:rsid w:val="001554A1"/>
    <w:rsid w:val="00157DF9"/>
    <w:rsid w:val="00160E82"/>
    <w:rsid w:val="00166329"/>
    <w:rsid w:val="0017197C"/>
    <w:rsid w:val="00180B45"/>
    <w:rsid w:val="00180EA8"/>
    <w:rsid w:val="00182C9E"/>
    <w:rsid w:val="001834EB"/>
    <w:rsid w:val="00183CA6"/>
    <w:rsid w:val="00186F2F"/>
    <w:rsid w:val="00193E78"/>
    <w:rsid w:val="00196992"/>
    <w:rsid w:val="00197172"/>
    <w:rsid w:val="001A08FA"/>
    <w:rsid w:val="001A62A4"/>
    <w:rsid w:val="001A7CE6"/>
    <w:rsid w:val="001C1295"/>
    <w:rsid w:val="001C204A"/>
    <w:rsid w:val="001C363F"/>
    <w:rsid w:val="001C54EE"/>
    <w:rsid w:val="001D1098"/>
    <w:rsid w:val="001E2A62"/>
    <w:rsid w:val="001E32D9"/>
    <w:rsid w:val="001E6630"/>
    <w:rsid w:val="001F0BD5"/>
    <w:rsid w:val="001F159D"/>
    <w:rsid w:val="001F18F5"/>
    <w:rsid w:val="001F2819"/>
    <w:rsid w:val="001F2A3D"/>
    <w:rsid w:val="001F4CC0"/>
    <w:rsid w:val="001F589C"/>
    <w:rsid w:val="001F7F6D"/>
    <w:rsid w:val="002021A5"/>
    <w:rsid w:val="0020324D"/>
    <w:rsid w:val="002043EC"/>
    <w:rsid w:val="00207CCA"/>
    <w:rsid w:val="0021119D"/>
    <w:rsid w:val="00213DCC"/>
    <w:rsid w:val="00220D04"/>
    <w:rsid w:val="00221CD4"/>
    <w:rsid w:val="00225B19"/>
    <w:rsid w:val="00225C1E"/>
    <w:rsid w:val="002305F9"/>
    <w:rsid w:val="00243DC0"/>
    <w:rsid w:val="00247477"/>
    <w:rsid w:val="00251CE1"/>
    <w:rsid w:val="00253D2A"/>
    <w:rsid w:val="00254F1C"/>
    <w:rsid w:val="0025754E"/>
    <w:rsid w:val="00264967"/>
    <w:rsid w:val="0026531E"/>
    <w:rsid w:val="00270440"/>
    <w:rsid w:val="00273779"/>
    <w:rsid w:val="002803A6"/>
    <w:rsid w:val="0028615D"/>
    <w:rsid w:val="00287BC5"/>
    <w:rsid w:val="00293DEE"/>
    <w:rsid w:val="002A0B5D"/>
    <w:rsid w:val="002A1803"/>
    <w:rsid w:val="002A4661"/>
    <w:rsid w:val="002A5432"/>
    <w:rsid w:val="002A6204"/>
    <w:rsid w:val="002A64AE"/>
    <w:rsid w:val="002A7ED2"/>
    <w:rsid w:val="002B1E13"/>
    <w:rsid w:val="002B2E4D"/>
    <w:rsid w:val="002B5D95"/>
    <w:rsid w:val="002C210F"/>
    <w:rsid w:val="002C7FE9"/>
    <w:rsid w:val="002D0DC5"/>
    <w:rsid w:val="002D2881"/>
    <w:rsid w:val="002D4EFD"/>
    <w:rsid w:val="002D6897"/>
    <w:rsid w:val="002D71B5"/>
    <w:rsid w:val="002E5EF7"/>
    <w:rsid w:val="002F14CF"/>
    <w:rsid w:val="002F3CF4"/>
    <w:rsid w:val="003003E8"/>
    <w:rsid w:val="003012A5"/>
    <w:rsid w:val="00301DED"/>
    <w:rsid w:val="003041EA"/>
    <w:rsid w:val="003051F3"/>
    <w:rsid w:val="003112BD"/>
    <w:rsid w:val="003144FD"/>
    <w:rsid w:val="00316071"/>
    <w:rsid w:val="00320B1C"/>
    <w:rsid w:val="003260AA"/>
    <w:rsid w:val="00327FFD"/>
    <w:rsid w:val="0033379A"/>
    <w:rsid w:val="003339E4"/>
    <w:rsid w:val="003402BD"/>
    <w:rsid w:val="0034173D"/>
    <w:rsid w:val="00343E5C"/>
    <w:rsid w:val="00344FB8"/>
    <w:rsid w:val="00346F71"/>
    <w:rsid w:val="00347426"/>
    <w:rsid w:val="00353B9E"/>
    <w:rsid w:val="00353FF3"/>
    <w:rsid w:val="0035456C"/>
    <w:rsid w:val="0035778C"/>
    <w:rsid w:val="0036017B"/>
    <w:rsid w:val="00362755"/>
    <w:rsid w:val="00365973"/>
    <w:rsid w:val="00373B93"/>
    <w:rsid w:val="00380CD1"/>
    <w:rsid w:val="00381762"/>
    <w:rsid w:val="00390265"/>
    <w:rsid w:val="00390530"/>
    <w:rsid w:val="00394428"/>
    <w:rsid w:val="003967DA"/>
    <w:rsid w:val="00397624"/>
    <w:rsid w:val="003A1ABD"/>
    <w:rsid w:val="003A38F0"/>
    <w:rsid w:val="003A552A"/>
    <w:rsid w:val="003A71A1"/>
    <w:rsid w:val="003B1C1A"/>
    <w:rsid w:val="003B2F9D"/>
    <w:rsid w:val="003B442C"/>
    <w:rsid w:val="003C250D"/>
    <w:rsid w:val="003C3599"/>
    <w:rsid w:val="003C390D"/>
    <w:rsid w:val="003C4DBC"/>
    <w:rsid w:val="003C5FAB"/>
    <w:rsid w:val="003D0487"/>
    <w:rsid w:val="003D19B0"/>
    <w:rsid w:val="003D28AC"/>
    <w:rsid w:val="003E4158"/>
    <w:rsid w:val="003F069A"/>
    <w:rsid w:val="003F1A0E"/>
    <w:rsid w:val="003F4329"/>
    <w:rsid w:val="003F580C"/>
    <w:rsid w:val="003F7131"/>
    <w:rsid w:val="00403196"/>
    <w:rsid w:val="00403B96"/>
    <w:rsid w:val="00405BBF"/>
    <w:rsid w:val="00412534"/>
    <w:rsid w:val="00412C83"/>
    <w:rsid w:val="004132FE"/>
    <w:rsid w:val="0041546A"/>
    <w:rsid w:val="004162F3"/>
    <w:rsid w:val="0042580A"/>
    <w:rsid w:val="00426014"/>
    <w:rsid w:val="00426FE1"/>
    <w:rsid w:val="004276A6"/>
    <w:rsid w:val="0042771F"/>
    <w:rsid w:val="00430F5D"/>
    <w:rsid w:val="0043102E"/>
    <w:rsid w:val="00432A64"/>
    <w:rsid w:val="00434842"/>
    <w:rsid w:val="00434A65"/>
    <w:rsid w:val="00435B7E"/>
    <w:rsid w:val="00437038"/>
    <w:rsid w:val="00443522"/>
    <w:rsid w:val="00445A28"/>
    <w:rsid w:val="00446FE2"/>
    <w:rsid w:val="00447A19"/>
    <w:rsid w:val="00452200"/>
    <w:rsid w:val="00452A58"/>
    <w:rsid w:val="0045311F"/>
    <w:rsid w:val="00454280"/>
    <w:rsid w:val="004543F6"/>
    <w:rsid w:val="004566FE"/>
    <w:rsid w:val="00460B7D"/>
    <w:rsid w:val="0046163C"/>
    <w:rsid w:val="00463223"/>
    <w:rsid w:val="00464A40"/>
    <w:rsid w:val="00466ED1"/>
    <w:rsid w:val="004673DF"/>
    <w:rsid w:val="00476D31"/>
    <w:rsid w:val="00480CB0"/>
    <w:rsid w:val="00483D4F"/>
    <w:rsid w:val="0049577F"/>
    <w:rsid w:val="004957AE"/>
    <w:rsid w:val="004A36A9"/>
    <w:rsid w:val="004B2B1F"/>
    <w:rsid w:val="004B347F"/>
    <w:rsid w:val="004B34EA"/>
    <w:rsid w:val="004B5494"/>
    <w:rsid w:val="004B66B0"/>
    <w:rsid w:val="004C1FDD"/>
    <w:rsid w:val="004C7370"/>
    <w:rsid w:val="004C7A2B"/>
    <w:rsid w:val="004C7D3A"/>
    <w:rsid w:val="004D4F14"/>
    <w:rsid w:val="004E261E"/>
    <w:rsid w:val="004E3333"/>
    <w:rsid w:val="004F332E"/>
    <w:rsid w:val="005018A8"/>
    <w:rsid w:val="00503D91"/>
    <w:rsid w:val="00505A39"/>
    <w:rsid w:val="00506F41"/>
    <w:rsid w:val="005124B6"/>
    <w:rsid w:val="00520F72"/>
    <w:rsid w:val="005226F7"/>
    <w:rsid w:val="005240BF"/>
    <w:rsid w:val="0052681F"/>
    <w:rsid w:val="00531DFB"/>
    <w:rsid w:val="005362DD"/>
    <w:rsid w:val="005471AC"/>
    <w:rsid w:val="005527E3"/>
    <w:rsid w:val="0055564C"/>
    <w:rsid w:val="0055568C"/>
    <w:rsid w:val="00561369"/>
    <w:rsid w:val="005618B9"/>
    <w:rsid w:val="005655B6"/>
    <w:rsid w:val="005739E1"/>
    <w:rsid w:val="00574D7E"/>
    <w:rsid w:val="00582BC2"/>
    <w:rsid w:val="00585107"/>
    <w:rsid w:val="00585390"/>
    <w:rsid w:val="005868F1"/>
    <w:rsid w:val="00591F11"/>
    <w:rsid w:val="005939A5"/>
    <w:rsid w:val="00597AEF"/>
    <w:rsid w:val="005A148C"/>
    <w:rsid w:val="005A17F3"/>
    <w:rsid w:val="005A6C22"/>
    <w:rsid w:val="005B0115"/>
    <w:rsid w:val="005B09BC"/>
    <w:rsid w:val="005B0D12"/>
    <w:rsid w:val="005B37C9"/>
    <w:rsid w:val="005B696E"/>
    <w:rsid w:val="005C40E7"/>
    <w:rsid w:val="005C60A9"/>
    <w:rsid w:val="005D607B"/>
    <w:rsid w:val="005D73BA"/>
    <w:rsid w:val="005E05BD"/>
    <w:rsid w:val="005E1F09"/>
    <w:rsid w:val="005E67C3"/>
    <w:rsid w:val="005F080A"/>
    <w:rsid w:val="005F0BBF"/>
    <w:rsid w:val="005F12F2"/>
    <w:rsid w:val="005F2883"/>
    <w:rsid w:val="00601072"/>
    <w:rsid w:val="00601287"/>
    <w:rsid w:val="006104A8"/>
    <w:rsid w:val="00611EA6"/>
    <w:rsid w:val="00620A72"/>
    <w:rsid w:val="0062346B"/>
    <w:rsid w:val="00627071"/>
    <w:rsid w:val="00632207"/>
    <w:rsid w:val="00633E61"/>
    <w:rsid w:val="0063491C"/>
    <w:rsid w:val="00640CB3"/>
    <w:rsid w:val="00644196"/>
    <w:rsid w:val="00644D02"/>
    <w:rsid w:val="00644E6A"/>
    <w:rsid w:val="00645E23"/>
    <w:rsid w:val="006473E4"/>
    <w:rsid w:val="00650519"/>
    <w:rsid w:val="006505FF"/>
    <w:rsid w:val="00651FB4"/>
    <w:rsid w:val="0065303D"/>
    <w:rsid w:val="00654D4C"/>
    <w:rsid w:val="006575DE"/>
    <w:rsid w:val="00660857"/>
    <w:rsid w:val="00661AFE"/>
    <w:rsid w:val="00661E80"/>
    <w:rsid w:val="006629D6"/>
    <w:rsid w:val="0067093C"/>
    <w:rsid w:val="00683EBA"/>
    <w:rsid w:val="00685EBB"/>
    <w:rsid w:val="006A38D2"/>
    <w:rsid w:val="006A4EDD"/>
    <w:rsid w:val="006B462C"/>
    <w:rsid w:val="006B7B02"/>
    <w:rsid w:val="006C062D"/>
    <w:rsid w:val="006C1F10"/>
    <w:rsid w:val="006C3178"/>
    <w:rsid w:val="006C6447"/>
    <w:rsid w:val="006C665A"/>
    <w:rsid w:val="006C7024"/>
    <w:rsid w:val="006D2591"/>
    <w:rsid w:val="006D291A"/>
    <w:rsid w:val="006D2B45"/>
    <w:rsid w:val="006D326A"/>
    <w:rsid w:val="006D5DEE"/>
    <w:rsid w:val="006D7D95"/>
    <w:rsid w:val="006E0953"/>
    <w:rsid w:val="006E359F"/>
    <w:rsid w:val="006E5E28"/>
    <w:rsid w:val="006E6574"/>
    <w:rsid w:val="006E76A9"/>
    <w:rsid w:val="006F0EB3"/>
    <w:rsid w:val="006F10DE"/>
    <w:rsid w:val="006F14E9"/>
    <w:rsid w:val="006F501E"/>
    <w:rsid w:val="00700C0C"/>
    <w:rsid w:val="00702384"/>
    <w:rsid w:val="00703C76"/>
    <w:rsid w:val="00704C34"/>
    <w:rsid w:val="007054A2"/>
    <w:rsid w:val="00707DB1"/>
    <w:rsid w:val="00712A28"/>
    <w:rsid w:val="00713CA4"/>
    <w:rsid w:val="00714C8D"/>
    <w:rsid w:val="00714CF2"/>
    <w:rsid w:val="007154E3"/>
    <w:rsid w:val="007156B9"/>
    <w:rsid w:val="00720817"/>
    <w:rsid w:val="00722850"/>
    <w:rsid w:val="0072439F"/>
    <w:rsid w:val="0073353F"/>
    <w:rsid w:val="00735A91"/>
    <w:rsid w:val="00735B5B"/>
    <w:rsid w:val="00735D46"/>
    <w:rsid w:val="00737CC2"/>
    <w:rsid w:val="00740922"/>
    <w:rsid w:val="007417CD"/>
    <w:rsid w:val="00741A15"/>
    <w:rsid w:val="00742E45"/>
    <w:rsid w:val="0074315F"/>
    <w:rsid w:val="007447AF"/>
    <w:rsid w:val="00750816"/>
    <w:rsid w:val="007520F6"/>
    <w:rsid w:val="007526B3"/>
    <w:rsid w:val="00753B1F"/>
    <w:rsid w:val="007657C1"/>
    <w:rsid w:val="00772797"/>
    <w:rsid w:val="00772D4A"/>
    <w:rsid w:val="0077755F"/>
    <w:rsid w:val="007827D5"/>
    <w:rsid w:val="00782CC4"/>
    <w:rsid w:val="00784971"/>
    <w:rsid w:val="007954C2"/>
    <w:rsid w:val="00795F1E"/>
    <w:rsid w:val="007A00FC"/>
    <w:rsid w:val="007A1255"/>
    <w:rsid w:val="007A12FA"/>
    <w:rsid w:val="007A406D"/>
    <w:rsid w:val="007A62B0"/>
    <w:rsid w:val="007A6993"/>
    <w:rsid w:val="007A7F96"/>
    <w:rsid w:val="007B0323"/>
    <w:rsid w:val="007B28C1"/>
    <w:rsid w:val="007B4472"/>
    <w:rsid w:val="007B4ED2"/>
    <w:rsid w:val="007B5CD1"/>
    <w:rsid w:val="007C08CB"/>
    <w:rsid w:val="007C16DE"/>
    <w:rsid w:val="007C4289"/>
    <w:rsid w:val="007C5A0C"/>
    <w:rsid w:val="007D49D8"/>
    <w:rsid w:val="007D69F2"/>
    <w:rsid w:val="007D69FB"/>
    <w:rsid w:val="007D784C"/>
    <w:rsid w:val="007E0FEE"/>
    <w:rsid w:val="007E4D72"/>
    <w:rsid w:val="007F2017"/>
    <w:rsid w:val="007F6356"/>
    <w:rsid w:val="00800872"/>
    <w:rsid w:val="00801BCF"/>
    <w:rsid w:val="0081096F"/>
    <w:rsid w:val="00812BA3"/>
    <w:rsid w:val="00812E49"/>
    <w:rsid w:val="00813E16"/>
    <w:rsid w:val="00816E05"/>
    <w:rsid w:val="0082197C"/>
    <w:rsid w:val="0082573A"/>
    <w:rsid w:val="008339BB"/>
    <w:rsid w:val="008538A2"/>
    <w:rsid w:val="00854FC8"/>
    <w:rsid w:val="0085531F"/>
    <w:rsid w:val="008605BC"/>
    <w:rsid w:val="00860F1F"/>
    <w:rsid w:val="00863676"/>
    <w:rsid w:val="0086419A"/>
    <w:rsid w:val="008662BD"/>
    <w:rsid w:val="008669B3"/>
    <w:rsid w:val="008701A9"/>
    <w:rsid w:val="0087023B"/>
    <w:rsid w:val="008812CA"/>
    <w:rsid w:val="00885617"/>
    <w:rsid w:val="00887D18"/>
    <w:rsid w:val="00892FFD"/>
    <w:rsid w:val="00895A53"/>
    <w:rsid w:val="008A179F"/>
    <w:rsid w:val="008A2DF3"/>
    <w:rsid w:val="008A3CE3"/>
    <w:rsid w:val="008A5425"/>
    <w:rsid w:val="008B0864"/>
    <w:rsid w:val="008B1A84"/>
    <w:rsid w:val="008B6969"/>
    <w:rsid w:val="008B74B0"/>
    <w:rsid w:val="008B7BE9"/>
    <w:rsid w:val="008C2570"/>
    <w:rsid w:val="008C2578"/>
    <w:rsid w:val="008C2B5C"/>
    <w:rsid w:val="008C7413"/>
    <w:rsid w:val="008D16B7"/>
    <w:rsid w:val="008D259B"/>
    <w:rsid w:val="008D3544"/>
    <w:rsid w:val="008D4767"/>
    <w:rsid w:val="008D599A"/>
    <w:rsid w:val="008D5B59"/>
    <w:rsid w:val="008D7523"/>
    <w:rsid w:val="008E01C9"/>
    <w:rsid w:val="008E092D"/>
    <w:rsid w:val="008E4105"/>
    <w:rsid w:val="008E6100"/>
    <w:rsid w:val="008E6AE6"/>
    <w:rsid w:val="008E7C0C"/>
    <w:rsid w:val="008F0116"/>
    <w:rsid w:val="008F143D"/>
    <w:rsid w:val="008F1811"/>
    <w:rsid w:val="008F7B9E"/>
    <w:rsid w:val="0090128B"/>
    <w:rsid w:val="00907167"/>
    <w:rsid w:val="00911116"/>
    <w:rsid w:val="0091186A"/>
    <w:rsid w:val="00911B23"/>
    <w:rsid w:val="0091470D"/>
    <w:rsid w:val="00916B99"/>
    <w:rsid w:val="00916D10"/>
    <w:rsid w:val="00921A44"/>
    <w:rsid w:val="009224BD"/>
    <w:rsid w:val="00925A8F"/>
    <w:rsid w:val="009265D7"/>
    <w:rsid w:val="00931653"/>
    <w:rsid w:val="00932865"/>
    <w:rsid w:val="00933FE0"/>
    <w:rsid w:val="0094385F"/>
    <w:rsid w:val="00950688"/>
    <w:rsid w:val="00951E77"/>
    <w:rsid w:val="009546CA"/>
    <w:rsid w:val="009562FF"/>
    <w:rsid w:val="00960B73"/>
    <w:rsid w:val="00960E3D"/>
    <w:rsid w:val="009679A8"/>
    <w:rsid w:val="0097073A"/>
    <w:rsid w:val="009747AC"/>
    <w:rsid w:val="00975715"/>
    <w:rsid w:val="00976E22"/>
    <w:rsid w:val="00977093"/>
    <w:rsid w:val="0098138E"/>
    <w:rsid w:val="0098655A"/>
    <w:rsid w:val="00987EBE"/>
    <w:rsid w:val="0099697F"/>
    <w:rsid w:val="009A6E15"/>
    <w:rsid w:val="009B4801"/>
    <w:rsid w:val="009B4D89"/>
    <w:rsid w:val="009B6B58"/>
    <w:rsid w:val="009C2B0F"/>
    <w:rsid w:val="009C2F82"/>
    <w:rsid w:val="009C57E6"/>
    <w:rsid w:val="009C6714"/>
    <w:rsid w:val="009C7179"/>
    <w:rsid w:val="009D3A52"/>
    <w:rsid w:val="009E10A9"/>
    <w:rsid w:val="009E194F"/>
    <w:rsid w:val="009E5A92"/>
    <w:rsid w:val="009E5DBF"/>
    <w:rsid w:val="009E6D4E"/>
    <w:rsid w:val="009E6F1B"/>
    <w:rsid w:val="009E7C7F"/>
    <w:rsid w:val="00A01D9F"/>
    <w:rsid w:val="00A0349A"/>
    <w:rsid w:val="00A05877"/>
    <w:rsid w:val="00A15196"/>
    <w:rsid w:val="00A15EA6"/>
    <w:rsid w:val="00A16014"/>
    <w:rsid w:val="00A17CE0"/>
    <w:rsid w:val="00A23D48"/>
    <w:rsid w:val="00A30C12"/>
    <w:rsid w:val="00A3395E"/>
    <w:rsid w:val="00A3489E"/>
    <w:rsid w:val="00A42306"/>
    <w:rsid w:val="00A44E8D"/>
    <w:rsid w:val="00A4660F"/>
    <w:rsid w:val="00A51261"/>
    <w:rsid w:val="00A55ACD"/>
    <w:rsid w:val="00A567F2"/>
    <w:rsid w:val="00A60DDE"/>
    <w:rsid w:val="00A64B4E"/>
    <w:rsid w:val="00A70B77"/>
    <w:rsid w:val="00A72AF4"/>
    <w:rsid w:val="00A76277"/>
    <w:rsid w:val="00A76A0D"/>
    <w:rsid w:val="00A806B9"/>
    <w:rsid w:val="00A82EED"/>
    <w:rsid w:val="00A90B7A"/>
    <w:rsid w:val="00A9219C"/>
    <w:rsid w:val="00AA3873"/>
    <w:rsid w:val="00AB376F"/>
    <w:rsid w:val="00AB7875"/>
    <w:rsid w:val="00AC066F"/>
    <w:rsid w:val="00AC6111"/>
    <w:rsid w:val="00AC68EE"/>
    <w:rsid w:val="00AD6F38"/>
    <w:rsid w:val="00AE4F74"/>
    <w:rsid w:val="00AE6A09"/>
    <w:rsid w:val="00AE715E"/>
    <w:rsid w:val="00AF5BC0"/>
    <w:rsid w:val="00B0053D"/>
    <w:rsid w:val="00B005E0"/>
    <w:rsid w:val="00B01F7E"/>
    <w:rsid w:val="00B05EA0"/>
    <w:rsid w:val="00B06226"/>
    <w:rsid w:val="00B20AB6"/>
    <w:rsid w:val="00B210DF"/>
    <w:rsid w:val="00B241E9"/>
    <w:rsid w:val="00B3087D"/>
    <w:rsid w:val="00B30930"/>
    <w:rsid w:val="00B34794"/>
    <w:rsid w:val="00B349E7"/>
    <w:rsid w:val="00B414F5"/>
    <w:rsid w:val="00B44BBE"/>
    <w:rsid w:val="00B46926"/>
    <w:rsid w:val="00B55B9F"/>
    <w:rsid w:val="00B57693"/>
    <w:rsid w:val="00B60421"/>
    <w:rsid w:val="00B61AD0"/>
    <w:rsid w:val="00B7176F"/>
    <w:rsid w:val="00B80893"/>
    <w:rsid w:val="00B83220"/>
    <w:rsid w:val="00B83ED1"/>
    <w:rsid w:val="00B85F5E"/>
    <w:rsid w:val="00B8706C"/>
    <w:rsid w:val="00B8738A"/>
    <w:rsid w:val="00B92F82"/>
    <w:rsid w:val="00B93342"/>
    <w:rsid w:val="00B935BF"/>
    <w:rsid w:val="00B936D7"/>
    <w:rsid w:val="00B94F59"/>
    <w:rsid w:val="00B95346"/>
    <w:rsid w:val="00B95B49"/>
    <w:rsid w:val="00B96D4B"/>
    <w:rsid w:val="00BA625E"/>
    <w:rsid w:val="00BB0243"/>
    <w:rsid w:val="00BB32A9"/>
    <w:rsid w:val="00BB5777"/>
    <w:rsid w:val="00BB747C"/>
    <w:rsid w:val="00BC10AD"/>
    <w:rsid w:val="00BC5AE8"/>
    <w:rsid w:val="00BE2A3D"/>
    <w:rsid w:val="00BE4B16"/>
    <w:rsid w:val="00BF0768"/>
    <w:rsid w:val="00BF1E10"/>
    <w:rsid w:val="00BF2F30"/>
    <w:rsid w:val="00BF5D97"/>
    <w:rsid w:val="00C077F3"/>
    <w:rsid w:val="00C07920"/>
    <w:rsid w:val="00C10B5F"/>
    <w:rsid w:val="00C140F7"/>
    <w:rsid w:val="00C15D32"/>
    <w:rsid w:val="00C1720C"/>
    <w:rsid w:val="00C3025D"/>
    <w:rsid w:val="00C36647"/>
    <w:rsid w:val="00C44307"/>
    <w:rsid w:val="00C46EB0"/>
    <w:rsid w:val="00C471A6"/>
    <w:rsid w:val="00C551C0"/>
    <w:rsid w:val="00C56ECB"/>
    <w:rsid w:val="00C75B5A"/>
    <w:rsid w:val="00C77188"/>
    <w:rsid w:val="00C8290E"/>
    <w:rsid w:val="00C85ACF"/>
    <w:rsid w:val="00C86615"/>
    <w:rsid w:val="00C86693"/>
    <w:rsid w:val="00C913A1"/>
    <w:rsid w:val="00C956AC"/>
    <w:rsid w:val="00CB0250"/>
    <w:rsid w:val="00CB1512"/>
    <w:rsid w:val="00CB18D9"/>
    <w:rsid w:val="00CB273B"/>
    <w:rsid w:val="00CC6A99"/>
    <w:rsid w:val="00CD2DB5"/>
    <w:rsid w:val="00CD398E"/>
    <w:rsid w:val="00CD3F2C"/>
    <w:rsid w:val="00CD59B9"/>
    <w:rsid w:val="00CD5A88"/>
    <w:rsid w:val="00CD61E3"/>
    <w:rsid w:val="00CD7A73"/>
    <w:rsid w:val="00CD7B9C"/>
    <w:rsid w:val="00CE3D0D"/>
    <w:rsid w:val="00CE63C5"/>
    <w:rsid w:val="00CE7B02"/>
    <w:rsid w:val="00CF5F6A"/>
    <w:rsid w:val="00D00AA3"/>
    <w:rsid w:val="00D024F0"/>
    <w:rsid w:val="00D0417B"/>
    <w:rsid w:val="00D07F73"/>
    <w:rsid w:val="00D1003B"/>
    <w:rsid w:val="00D121EE"/>
    <w:rsid w:val="00D14844"/>
    <w:rsid w:val="00D2041C"/>
    <w:rsid w:val="00D221E8"/>
    <w:rsid w:val="00D2353B"/>
    <w:rsid w:val="00D25ADE"/>
    <w:rsid w:val="00D34F4C"/>
    <w:rsid w:val="00D3577E"/>
    <w:rsid w:val="00D4159F"/>
    <w:rsid w:val="00D43297"/>
    <w:rsid w:val="00D44DB6"/>
    <w:rsid w:val="00D45DC4"/>
    <w:rsid w:val="00D50119"/>
    <w:rsid w:val="00D51FE2"/>
    <w:rsid w:val="00D5403E"/>
    <w:rsid w:val="00D549DC"/>
    <w:rsid w:val="00D561FC"/>
    <w:rsid w:val="00D57505"/>
    <w:rsid w:val="00D63A7B"/>
    <w:rsid w:val="00D6609E"/>
    <w:rsid w:val="00D7183A"/>
    <w:rsid w:val="00D725B7"/>
    <w:rsid w:val="00D72D62"/>
    <w:rsid w:val="00D73C18"/>
    <w:rsid w:val="00D74C3B"/>
    <w:rsid w:val="00D77C7D"/>
    <w:rsid w:val="00D82770"/>
    <w:rsid w:val="00D82A43"/>
    <w:rsid w:val="00D8476C"/>
    <w:rsid w:val="00D84B73"/>
    <w:rsid w:val="00D84D3F"/>
    <w:rsid w:val="00D87433"/>
    <w:rsid w:val="00D91027"/>
    <w:rsid w:val="00D914F9"/>
    <w:rsid w:val="00D91EE8"/>
    <w:rsid w:val="00D92A53"/>
    <w:rsid w:val="00D95427"/>
    <w:rsid w:val="00D96898"/>
    <w:rsid w:val="00DA7B5D"/>
    <w:rsid w:val="00DB3C5C"/>
    <w:rsid w:val="00DB543E"/>
    <w:rsid w:val="00DC2ED1"/>
    <w:rsid w:val="00DD34DC"/>
    <w:rsid w:val="00DD6F99"/>
    <w:rsid w:val="00DE3D49"/>
    <w:rsid w:val="00DE6ED2"/>
    <w:rsid w:val="00DF3CF4"/>
    <w:rsid w:val="00DF58E7"/>
    <w:rsid w:val="00DF657B"/>
    <w:rsid w:val="00DF747B"/>
    <w:rsid w:val="00E011BF"/>
    <w:rsid w:val="00E03DEF"/>
    <w:rsid w:val="00E04A9F"/>
    <w:rsid w:val="00E11876"/>
    <w:rsid w:val="00E152FB"/>
    <w:rsid w:val="00E15B4B"/>
    <w:rsid w:val="00E16357"/>
    <w:rsid w:val="00E177D8"/>
    <w:rsid w:val="00E21047"/>
    <w:rsid w:val="00E21FEB"/>
    <w:rsid w:val="00E23CBB"/>
    <w:rsid w:val="00E2608B"/>
    <w:rsid w:val="00E36A81"/>
    <w:rsid w:val="00E37B59"/>
    <w:rsid w:val="00E405A5"/>
    <w:rsid w:val="00E4344D"/>
    <w:rsid w:val="00E53438"/>
    <w:rsid w:val="00E633D5"/>
    <w:rsid w:val="00E63421"/>
    <w:rsid w:val="00E67C30"/>
    <w:rsid w:val="00E70C94"/>
    <w:rsid w:val="00E725FC"/>
    <w:rsid w:val="00E908E1"/>
    <w:rsid w:val="00E91DBD"/>
    <w:rsid w:val="00E94A5A"/>
    <w:rsid w:val="00E951EA"/>
    <w:rsid w:val="00EA00BE"/>
    <w:rsid w:val="00EA36C6"/>
    <w:rsid w:val="00EA40D3"/>
    <w:rsid w:val="00EA4141"/>
    <w:rsid w:val="00EA4FEB"/>
    <w:rsid w:val="00EB13D4"/>
    <w:rsid w:val="00EC0B08"/>
    <w:rsid w:val="00EC0F91"/>
    <w:rsid w:val="00EC30F9"/>
    <w:rsid w:val="00EC6472"/>
    <w:rsid w:val="00ED1C51"/>
    <w:rsid w:val="00ED5725"/>
    <w:rsid w:val="00ED6F68"/>
    <w:rsid w:val="00ED7031"/>
    <w:rsid w:val="00ED7050"/>
    <w:rsid w:val="00EE032F"/>
    <w:rsid w:val="00EE0A87"/>
    <w:rsid w:val="00EE3060"/>
    <w:rsid w:val="00EE3737"/>
    <w:rsid w:val="00EE4315"/>
    <w:rsid w:val="00EF6925"/>
    <w:rsid w:val="00EF6DEA"/>
    <w:rsid w:val="00F00916"/>
    <w:rsid w:val="00F040FA"/>
    <w:rsid w:val="00F06423"/>
    <w:rsid w:val="00F065A0"/>
    <w:rsid w:val="00F14BE4"/>
    <w:rsid w:val="00F22C8E"/>
    <w:rsid w:val="00F26ED3"/>
    <w:rsid w:val="00F404B5"/>
    <w:rsid w:val="00F453A6"/>
    <w:rsid w:val="00F53082"/>
    <w:rsid w:val="00F619B5"/>
    <w:rsid w:val="00F62B7A"/>
    <w:rsid w:val="00F63203"/>
    <w:rsid w:val="00F6397D"/>
    <w:rsid w:val="00F65E12"/>
    <w:rsid w:val="00F67877"/>
    <w:rsid w:val="00F703DF"/>
    <w:rsid w:val="00F7293E"/>
    <w:rsid w:val="00F76650"/>
    <w:rsid w:val="00F82765"/>
    <w:rsid w:val="00F82F9E"/>
    <w:rsid w:val="00F877BD"/>
    <w:rsid w:val="00F90634"/>
    <w:rsid w:val="00F9187B"/>
    <w:rsid w:val="00F92385"/>
    <w:rsid w:val="00F943E2"/>
    <w:rsid w:val="00F97035"/>
    <w:rsid w:val="00FA1B4F"/>
    <w:rsid w:val="00FA55FC"/>
    <w:rsid w:val="00FB5C01"/>
    <w:rsid w:val="00FB6E2E"/>
    <w:rsid w:val="00FB74FF"/>
    <w:rsid w:val="00FC0D78"/>
    <w:rsid w:val="00FC1985"/>
    <w:rsid w:val="00FC2301"/>
    <w:rsid w:val="00FC3332"/>
    <w:rsid w:val="00FC47F9"/>
    <w:rsid w:val="00FC75E2"/>
    <w:rsid w:val="00FD1AB7"/>
    <w:rsid w:val="00FD2380"/>
    <w:rsid w:val="00FD358A"/>
    <w:rsid w:val="00FD6EC6"/>
    <w:rsid w:val="00FE2351"/>
    <w:rsid w:val="00FE337D"/>
    <w:rsid w:val="00FE5580"/>
    <w:rsid w:val="00FF110C"/>
    <w:rsid w:val="00FF39A6"/>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1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8E01C9"/>
    <w:pPr>
      <w:ind w:right="2160"/>
    </w:pPr>
    <w:rPr>
      <w:rFonts w:eastAsiaTheme="majorEastAsia" w:cstheme="majorBidi"/>
      <w:szCs w:val="32"/>
    </w:rPr>
  </w:style>
  <w:style w:type="paragraph" w:styleId="Heading2">
    <w:name w:val="heading 2"/>
    <w:basedOn w:val="Dummy"/>
    <w:next w:val="Standard"/>
    <w:link w:val="Heading2Char"/>
    <w:qFormat/>
    <w:rsid w:val="00D92A53"/>
    <w:pPr>
      <w:numPr>
        <w:ilvl w:val="1"/>
        <w:numId w:val="12"/>
      </w:numPr>
      <w:ind w:right="2160"/>
      <w:outlineLvl w:val="1"/>
    </w:pPr>
  </w:style>
  <w:style w:type="paragraph" w:styleId="Heading3">
    <w:name w:val="heading 3"/>
    <w:basedOn w:val="Dummy"/>
    <w:next w:val="Standard"/>
    <w:link w:val="Heading3Char"/>
    <w:qFormat/>
    <w:rsid w:val="008E01C9"/>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qFormat/>
    <w:rsid w:val="000E270A"/>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qFormat/>
    <w:rsid w:val="000E270A"/>
    <w:pPr>
      <w:numPr>
        <w:ilvl w:val="4"/>
        <w:numId w:val="7"/>
      </w:numPr>
      <w:ind w:right="2160"/>
      <w:outlineLvl w:val="4"/>
    </w:pPr>
    <w:rPr>
      <w:rFonts w:eastAsiaTheme="majorEastAsia" w:cstheme="majorBidi"/>
    </w:rPr>
  </w:style>
  <w:style w:type="paragraph" w:styleId="Heading6">
    <w:name w:val="heading 6"/>
    <w:basedOn w:val="Dummy"/>
    <w:next w:val="Standard"/>
    <w:link w:val="Heading6Char"/>
    <w:qFormat/>
    <w:rsid w:val="000E270A"/>
    <w:pPr>
      <w:numPr>
        <w:ilvl w:val="5"/>
        <w:numId w:val="7"/>
      </w:numPr>
      <w:spacing w:before="40"/>
      <w:ind w:right="2160"/>
      <w:outlineLvl w:val="5"/>
    </w:pPr>
    <w:rPr>
      <w:rFonts w:eastAsiaTheme="majorEastAsia" w:cstheme="majorBidi"/>
    </w:rPr>
  </w:style>
  <w:style w:type="paragraph" w:styleId="Heading7">
    <w:name w:val="heading 7"/>
    <w:basedOn w:val="Normal"/>
    <w:next w:val="Normal"/>
    <w:link w:val="Heading7Char"/>
    <w:qFormat/>
    <w:rsid w:val="00ED6F68"/>
    <w:pPr>
      <w:tabs>
        <w:tab w:val="num" w:pos="360"/>
        <w:tab w:val="left" w:pos="2520"/>
      </w:tabs>
      <w:spacing w:before="120" w:after="120" w:line="240" w:lineRule="auto"/>
      <w:ind w:left="2520" w:hanging="1800"/>
      <w:outlineLvl w:val="6"/>
    </w:pPr>
    <w:rPr>
      <w:rFonts w:ascii="Helvetica" w:eastAsia="Times New Roman" w:hAnsi="Helvetica" w:cs="Times New Roman"/>
      <w:b/>
      <w:szCs w:val="24"/>
    </w:rPr>
  </w:style>
  <w:style w:type="paragraph" w:styleId="Heading8">
    <w:name w:val="heading 8"/>
    <w:basedOn w:val="Normal"/>
    <w:next w:val="Normal"/>
    <w:link w:val="Heading8Char"/>
    <w:qFormat/>
    <w:rsid w:val="00ED6F68"/>
    <w:pPr>
      <w:tabs>
        <w:tab w:val="num" w:pos="360"/>
      </w:tabs>
      <w:spacing w:before="120" w:after="120" w:line="240" w:lineRule="auto"/>
      <w:ind w:left="2700" w:hanging="1890"/>
      <w:outlineLvl w:val="7"/>
    </w:pPr>
    <w:rPr>
      <w:rFonts w:ascii="Helvetica" w:eastAsia="Times New Roman" w:hAnsi="Helvetica" w:cs="Times New Roman"/>
      <w:b/>
      <w:iCs/>
      <w:sz w:val="24"/>
      <w:szCs w:val="24"/>
    </w:rPr>
  </w:style>
  <w:style w:type="paragraph" w:styleId="Heading9">
    <w:name w:val="heading 9"/>
    <w:basedOn w:val="Normal"/>
    <w:next w:val="Normal"/>
    <w:link w:val="Heading9Char"/>
    <w:qFormat/>
    <w:rsid w:val="00ED6F68"/>
    <w:pPr>
      <w:tabs>
        <w:tab w:val="num" w:pos="360"/>
      </w:tabs>
      <w:spacing w:before="240" w:after="60" w:line="240" w:lineRule="auto"/>
      <w:ind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01C9"/>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D92A53"/>
    <w:rPr>
      <w:rFonts w:ascii="Arial" w:hAnsi="Arial" w:cs="Arial"/>
      <w:b/>
      <w:sz w:val="26"/>
      <w:szCs w:val="26"/>
    </w:rPr>
  </w:style>
  <w:style w:type="character" w:customStyle="1" w:styleId="Heading3Char">
    <w:name w:val="Heading 3 Char"/>
    <w:basedOn w:val="DefaultParagraphFont"/>
    <w:link w:val="Heading3"/>
    <w:rsid w:val="008E01C9"/>
    <w:rPr>
      <w:rFonts w:ascii="Arial" w:eastAsiaTheme="majorEastAsia" w:hAnsi="Arial" w:cstheme="majorBidi"/>
      <w:b/>
      <w:sz w:val="26"/>
      <w:szCs w:val="24"/>
    </w:rPr>
  </w:style>
  <w:style w:type="character" w:customStyle="1" w:styleId="Heading4Char">
    <w:name w:val="Heading 4 Char"/>
    <w:basedOn w:val="DefaultParagraphFont"/>
    <w:link w:val="Heading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045AEB"/>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045AEB"/>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045AEB"/>
    <w:pPr>
      <w:spacing w:line="240" w:lineRule="auto"/>
      <w:ind w:left="1987"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ALTS FOOTNOTE"/>
    <w:basedOn w:val="Normal"/>
    <w:link w:val="FootnoteTextChar"/>
    <w:qFormat/>
    <w:rsid w:val="00B01F7E"/>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f Char1"/>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12,(NECG) Footnote Reference,Appel note de bas de p,Style 124,Style 58,Style 17,Style 20,Style 13,fr1,fr2,fr3,Footnote,Style 8"/>
    <w:basedOn w:val="DefaultParagraphFont"/>
    <w:unhideWhenUsed/>
    <w:rsid w:val="00DF58E7"/>
    <w:rPr>
      <w:vertAlign w:val="superscript"/>
    </w:rPr>
  </w:style>
  <w:style w:type="paragraph" w:customStyle="1" w:styleId="FoF">
    <w:name w:val="FoF"/>
    <w:basedOn w:val="Standard"/>
    <w:uiPriority w:val="6"/>
    <w:qFormat/>
    <w:rsid w:val="001E2A62"/>
    <w:pPr>
      <w:numPr>
        <w:numId w:val="2"/>
      </w:numPr>
      <w:ind w:firstLine="547"/>
    </w:pPr>
  </w:style>
  <w:style w:type="paragraph" w:customStyle="1" w:styleId="CoL">
    <w:name w:val="CoL"/>
    <w:basedOn w:val="Standard"/>
    <w:uiPriority w:val="7"/>
    <w:qFormat/>
    <w:rsid w:val="001E2A62"/>
    <w:pPr>
      <w:numPr>
        <w:numId w:val="3"/>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7"/>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7"/>
      </w:numPr>
      <w:spacing w:after="120" w:line="240" w:lineRule="auto"/>
    </w:pPr>
  </w:style>
  <w:style w:type="paragraph" w:customStyle="1" w:styleId="main0">
    <w:name w:val="main"/>
    <w:basedOn w:val="Normal"/>
    <w:link w:val="mainChar"/>
    <w:rsid w:val="00E951EA"/>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E951EA"/>
    <w:rPr>
      <w:rFonts w:ascii="Helvetica" w:eastAsia="Times New Roman" w:hAnsi="Helvetica" w:cs="Times New Roman"/>
      <w:b/>
      <w:sz w:val="26"/>
      <w:szCs w:val="20"/>
    </w:rPr>
  </w:style>
  <w:style w:type="paragraph" w:customStyle="1" w:styleId="standard0">
    <w:name w:val="standard"/>
    <w:basedOn w:val="Normal"/>
    <w:link w:val="standardChar"/>
    <w:rsid w:val="00987EBE"/>
    <w:rPr>
      <w:rFonts w:eastAsia="Times New Roman" w:cs="Times New Roman"/>
      <w:szCs w:val="20"/>
    </w:rPr>
  </w:style>
  <w:style w:type="character" w:customStyle="1" w:styleId="standardChar">
    <w:name w:val="standard Char"/>
    <w:link w:val="standard0"/>
    <w:rsid w:val="00987EBE"/>
    <w:rPr>
      <w:rFonts w:ascii="Book Antiqua" w:eastAsia="Times New Roman" w:hAnsi="Book Antiqua" w:cs="Times New Roman"/>
      <w:sz w:val="26"/>
      <w:szCs w:val="20"/>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f Char"/>
    <w:rsid w:val="00531DFB"/>
    <w:rPr>
      <w:rFonts w:ascii="Palatino" w:hAnsi="Palatino"/>
      <w:sz w:val="24"/>
    </w:rPr>
  </w:style>
  <w:style w:type="paragraph" w:customStyle="1" w:styleId="sub1">
    <w:name w:val="sub1"/>
    <w:basedOn w:val="Normal"/>
    <w:rsid w:val="007A00FC"/>
    <w:rPr>
      <w:rFonts w:ascii="Palatino" w:eastAsia="Times New Roman" w:hAnsi="Palatino" w:cs="Times New Roman"/>
      <w:szCs w:val="20"/>
    </w:rPr>
  </w:style>
  <w:style w:type="paragraph" w:customStyle="1" w:styleId="sub2">
    <w:name w:val="sub2"/>
    <w:basedOn w:val="Normal"/>
    <w:rsid w:val="007A00FC"/>
    <w:rPr>
      <w:rFonts w:ascii="Palatino" w:eastAsia="Times New Roman" w:hAnsi="Palatino" w:cs="Times New Roman"/>
      <w:szCs w:val="20"/>
    </w:rPr>
  </w:style>
  <w:style w:type="paragraph" w:customStyle="1" w:styleId="xmsonormal">
    <w:name w:val="x_msonormal"/>
    <w:basedOn w:val="Normal"/>
    <w:rsid w:val="00182C9E"/>
    <w:pPr>
      <w:spacing w:line="240" w:lineRule="auto"/>
      <w:ind w:firstLine="0"/>
    </w:pPr>
    <w:rPr>
      <w:rFonts w:ascii="Calibri" w:hAnsi="Calibri" w:cs="Calibri"/>
      <w:sz w:val="22"/>
    </w:rPr>
  </w:style>
  <w:style w:type="paragraph" w:styleId="ListParagraph">
    <w:name w:val="List Paragraph"/>
    <w:basedOn w:val="Normal"/>
    <w:uiPriority w:val="34"/>
    <w:rsid w:val="005739E1"/>
    <w:pPr>
      <w:ind w:left="720"/>
      <w:contextualSpacing/>
    </w:pPr>
  </w:style>
  <w:style w:type="character" w:styleId="CommentReference">
    <w:name w:val="annotation reference"/>
    <w:basedOn w:val="DefaultParagraphFont"/>
    <w:uiPriority w:val="99"/>
    <w:semiHidden/>
    <w:unhideWhenUsed/>
    <w:rsid w:val="005362DD"/>
    <w:rPr>
      <w:sz w:val="16"/>
      <w:szCs w:val="16"/>
    </w:rPr>
  </w:style>
  <w:style w:type="paragraph" w:styleId="CommentText">
    <w:name w:val="annotation text"/>
    <w:basedOn w:val="Normal"/>
    <w:link w:val="CommentTextChar"/>
    <w:uiPriority w:val="99"/>
    <w:unhideWhenUsed/>
    <w:rsid w:val="005362DD"/>
    <w:pPr>
      <w:spacing w:line="240" w:lineRule="auto"/>
    </w:pPr>
    <w:rPr>
      <w:sz w:val="20"/>
      <w:szCs w:val="20"/>
    </w:rPr>
  </w:style>
  <w:style w:type="character" w:customStyle="1" w:styleId="CommentTextChar">
    <w:name w:val="Comment Text Char"/>
    <w:basedOn w:val="DefaultParagraphFont"/>
    <w:link w:val="CommentText"/>
    <w:uiPriority w:val="99"/>
    <w:rsid w:val="005362D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362DD"/>
    <w:rPr>
      <w:b/>
      <w:bCs/>
    </w:rPr>
  </w:style>
  <w:style w:type="character" w:customStyle="1" w:styleId="CommentSubjectChar">
    <w:name w:val="Comment Subject Char"/>
    <w:basedOn w:val="CommentTextChar"/>
    <w:link w:val="CommentSubject"/>
    <w:uiPriority w:val="99"/>
    <w:semiHidden/>
    <w:rsid w:val="005362DD"/>
    <w:rPr>
      <w:rFonts w:ascii="Book Antiqua" w:hAnsi="Book Antiqua"/>
      <w:b/>
      <w:bCs/>
      <w:sz w:val="20"/>
      <w:szCs w:val="20"/>
    </w:rPr>
  </w:style>
  <w:style w:type="paragraph" w:customStyle="1" w:styleId="ALJHeading1">
    <w:name w:val="ALJ Heading 1"/>
    <w:basedOn w:val="Normal"/>
    <w:next w:val="Normal"/>
    <w:qFormat/>
    <w:rsid w:val="00365973"/>
    <w:pPr>
      <w:keepNext/>
      <w:numPr>
        <w:numId w:val="8"/>
      </w:numPr>
      <w:spacing w:after="120" w:line="240" w:lineRule="auto"/>
      <w:ind w:right="720"/>
    </w:pPr>
    <w:rPr>
      <w:rFonts w:ascii="Arial" w:hAnsi="Arial" w:cs="Arial"/>
      <w:b/>
      <w:szCs w:val="20"/>
    </w:rPr>
  </w:style>
  <w:style w:type="paragraph" w:customStyle="1" w:styleId="ALJHeading2">
    <w:name w:val="ALJ Heading 2"/>
    <w:basedOn w:val="Normal"/>
    <w:next w:val="Normal"/>
    <w:qFormat/>
    <w:rsid w:val="00365973"/>
    <w:pPr>
      <w:keepNext/>
      <w:numPr>
        <w:ilvl w:val="1"/>
        <w:numId w:val="8"/>
      </w:numPr>
      <w:tabs>
        <w:tab w:val="left" w:pos="1080"/>
      </w:tabs>
      <w:spacing w:after="120" w:line="240" w:lineRule="auto"/>
    </w:pPr>
    <w:rPr>
      <w:rFonts w:ascii="Arial" w:hAnsi="Arial" w:cs="Arial"/>
      <w:b/>
      <w:szCs w:val="20"/>
    </w:rPr>
  </w:style>
  <w:style w:type="paragraph" w:customStyle="1" w:styleId="ALJHeading3">
    <w:name w:val="ALJ Heading 3"/>
    <w:basedOn w:val="Normal"/>
    <w:next w:val="Normal"/>
    <w:qFormat/>
    <w:rsid w:val="00365973"/>
    <w:pPr>
      <w:keepNext/>
      <w:numPr>
        <w:ilvl w:val="2"/>
        <w:numId w:val="8"/>
      </w:numPr>
      <w:spacing w:after="120" w:line="240" w:lineRule="auto"/>
    </w:pPr>
    <w:rPr>
      <w:rFonts w:ascii="Arial" w:hAnsi="Arial" w:cs="Arial"/>
      <w:b/>
      <w:szCs w:val="20"/>
    </w:rPr>
  </w:style>
  <w:style w:type="paragraph" w:styleId="Revision">
    <w:name w:val="Revision"/>
    <w:hidden/>
    <w:uiPriority w:val="99"/>
    <w:semiHidden/>
    <w:rsid w:val="00464A40"/>
    <w:pPr>
      <w:spacing w:after="0" w:line="240" w:lineRule="auto"/>
    </w:pPr>
    <w:rPr>
      <w:rFonts w:ascii="Book Antiqua" w:hAnsi="Book Antiqua"/>
      <w:sz w:val="26"/>
    </w:rPr>
  </w:style>
  <w:style w:type="paragraph" w:customStyle="1" w:styleId="TableParagraph">
    <w:name w:val="Table Paragraph"/>
    <w:basedOn w:val="Normal"/>
    <w:uiPriority w:val="1"/>
    <w:qFormat/>
    <w:rsid w:val="00390265"/>
    <w:pPr>
      <w:widowControl w:val="0"/>
      <w:autoSpaceDE w:val="0"/>
      <w:autoSpaceDN w:val="0"/>
      <w:spacing w:line="256" w:lineRule="exact"/>
      <w:ind w:left="107" w:firstLine="0"/>
    </w:pPr>
    <w:rPr>
      <w:rFonts w:ascii="Times New Roman" w:eastAsia="Times New Roman" w:hAnsi="Times New Roman" w:cs="Times New Roman"/>
      <w:sz w:val="22"/>
    </w:rPr>
  </w:style>
  <w:style w:type="paragraph" w:styleId="BodyText">
    <w:name w:val="Body Text"/>
    <w:basedOn w:val="Normal"/>
    <w:link w:val="BodyTextChar"/>
    <w:uiPriority w:val="1"/>
    <w:qFormat/>
    <w:rsid w:val="003144FD"/>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44FD"/>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D6F68"/>
    <w:rPr>
      <w:rFonts w:ascii="Helvetica" w:eastAsia="Times New Roman" w:hAnsi="Helvetica" w:cs="Times New Roman"/>
      <w:b/>
      <w:sz w:val="26"/>
      <w:szCs w:val="24"/>
    </w:rPr>
  </w:style>
  <w:style w:type="character" w:customStyle="1" w:styleId="Heading8Char">
    <w:name w:val="Heading 8 Char"/>
    <w:basedOn w:val="DefaultParagraphFont"/>
    <w:link w:val="Heading8"/>
    <w:rsid w:val="00ED6F68"/>
    <w:rPr>
      <w:rFonts w:ascii="Helvetica" w:eastAsia="Times New Roman" w:hAnsi="Helvetica" w:cs="Times New Roman"/>
      <w:b/>
      <w:iCs/>
      <w:sz w:val="24"/>
      <w:szCs w:val="24"/>
    </w:rPr>
  </w:style>
  <w:style w:type="character" w:customStyle="1" w:styleId="Heading9Char">
    <w:name w:val="Heading 9 Char"/>
    <w:basedOn w:val="DefaultParagraphFont"/>
    <w:link w:val="Heading9"/>
    <w:rsid w:val="00ED6F68"/>
    <w:rPr>
      <w:rFonts w:ascii="Arial" w:eastAsia="Times New Roman" w:hAnsi="Arial" w:cs="Arial"/>
    </w:rPr>
  </w:style>
  <w:style w:type="paragraph" w:customStyle="1" w:styleId="BoxCheck1">
    <w:name w:val="Box&amp;Check1"/>
    <w:basedOn w:val="Normal"/>
    <w:qFormat/>
    <w:rsid w:val="00FD2380"/>
    <w:pPr>
      <w:spacing w:line="240" w:lineRule="exact"/>
      <w:ind w:left="288" w:hanging="288"/>
    </w:pPr>
    <w:rPr>
      <w:rFonts w:ascii="Times New Roman" w:hAnsi="Times New Roman"/>
      <w:sz w:val="24"/>
    </w:rPr>
  </w:style>
  <w:style w:type="paragraph" w:customStyle="1" w:styleId="num1">
    <w:name w:val="num1"/>
    <w:basedOn w:val="Normal"/>
    <w:rsid w:val="00225B19"/>
    <w:pPr>
      <w:tabs>
        <w:tab w:val="left" w:pos="-720"/>
      </w:tabs>
      <w:suppressAutoHyphens/>
      <w:ind w:firstLine="360"/>
    </w:pPr>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3829</ap:Words>
  <ap:Characters>21830</ap:Characters>
  <ap:Application>Microsoft Office Word</ap:Application>
  <ap:DocSecurity>0</ap:DocSecurity>
  <ap:Lines>181</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25608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2021-03-22T19:30:00Z</cp:lastPrinted>
  <dcterms:created xsi:type="dcterms:W3CDTF">2022-06-10T12:33:00Z</dcterms:created>
  <dcterms:modified xsi:type="dcterms:W3CDTF">2022-06-10T12:33:00Z</dcterms:modified>
</cp:coreProperties>
</file>