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3C87" w:rsidP="00D93C87" w:rsidRDefault="00D93C87" w14:paraId="4A1389AD" w14:textId="41862F09">
      <w:pPr>
        <w:suppressAutoHyphens/>
        <w:rPr>
          <w:rFonts w:asciiTheme="majorBidi" w:hAnsiTheme="majorBidi" w:cstheme="majorBidi"/>
          <w:color w:val="000000"/>
        </w:rPr>
      </w:pPr>
      <w:r>
        <w:rPr>
          <w:rFonts w:asciiTheme="majorBidi" w:hAnsiTheme="majorBidi" w:cstheme="majorBidi"/>
          <w:color w:val="000000"/>
        </w:rPr>
        <w:t>ALJ/VUK/</w:t>
      </w:r>
      <w:proofErr w:type="spellStart"/>
      <w:r>
        <w:rPr>
          <w:rFonts w:asciiTheme="majorBidi" w:hAnsiTheme="majorBidi" w:cstheme="majorBidi"/>
          <w:color w:val="000000"/>
        </w:rPr>
        <w:t>sgu</w:t>
      </w:r>
      <w:proofErr w:type="spellEnd"/>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PROPOSED DECISION</w:t>
      </w:r>
      <w:r>
        <w:rPr>
          <w:rFonts w:asciiTheme="majorBidi" w:hAnsiTheme="majorBidi" w:cstheme="majorBidi"/>
          <w:color w:val="000000"/>
        </w:rPr>
        <w:tab/>
      </w:r>
      <w:r>
        <w:rPr>
          <w:rFonts w:asciiTheme="majorBidi" w:hAnsiTheme="majorBidi" w:cstheme="majorBidi"/>
          <w:color w:val="000000"/>
        </w:rPr>
        <w:tab/>
        <w:t xml:space="preserve">            </w:t>
      </w:r>
      <w:r w:rsidR="00FD3645">
        <w:rPr>
          <w:rFonts w:asciiTheme="majorBidi" w:hAnsiTheme="majorBidi" w:cstheme="majorBidi"/>
          <w:color w:val="000000"/>
        </w:rPr>
        <w:t xml:space="preserve">  </w:t>
      </w:r>
      <w:r>
        <w:rPr>
          <w:rFonts w:asciiTheme="majorBidi" w:hAnsiTheme="majorBidi" w:cstheme="majorBidi"/>
          <w:color w:val="000000"/>
        </w:rPr>
        <w:t>Agenda ID #</w:t>
      </w:r>
      <w:r w:rsidR="00FD3645">
        <w:rPr>
          <w:rFonts w:asciiTheme="majorBidi" w:hAnsiTheme="majorBidi" w:cstheme="majorBidi"/>
          <w:color w:val="000000"/>
        </w:rPr>
        <w:t>20778</w:t>
      </w:r>
    </w:p>
    <w:p w:rsidR="00D93C87" w:rsidP="00D93C87" w:rsidRDefault="00D93C87" w14:paraId="6A959D71" w14:textId="3D9266E6">
      <w:pPr>
        <w:suppressAutoHyphens/>
        <w:rPr>
          <w:rFonts w:asciiTheme="majorBidi" w:hAnsiTheme="majorBidi" w:cstheme="majorBidi"/>
          <w:color w:val="000000"/>
        </w:rPr>
      </w:pP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 xml:space="preserve">  </w:t>
      </w:r>
      <w:r w:rsidR="00855C7F">
        <w:rPr>
          <w:rFonts w:asciiTheme="majorBidi" w:hAnsiTheme="majorBidi" w:cstheme="majorBidi"/>
          <w:color w:val="000000"/>
        </w:rPr>
        <w:t xml:space="preserve">  </w:t>
      </w:r>
      <w:r w:rsidRPr="00403F1B">
        <w:rPr>
          <w:rFonts w:asciiTheme="majorBidi" w:hAnsiTheme="majorBidi" w:cstheme="majorBidi"/>
          <w:color w:val="000000"/>
        </w:rPr>
        <w:t>Quasi-Legislative</w:t>
      </w:r>
    </w:p>
    <w:p w:rsidR="00D93C87" w:rsidRDefault="00D93C87" w14:paraId="3E75A16F" w14:textId="77777777">
      <w:pPr>
        <w:suppressAutoHyphens/>
        <w:rPr>
          <w:color w:val="000000"/>
        </w:rPr>
      </w:pPr>
    </w:p>
    <w:p w:rsidR="00D93C87" w:rsidRDefault="00D93C87" w14:paraId="57F36036" w14:textId="77777777">
      <w:pPr>
        <w:suppressAutoHyphens/>
        <w:rPr>
          <w:color w:val="000000"/>
        </w:rPr>
      </w:pPr>
    </w:p>
    <w:p w:rsidR="00D93C87" w:rsidRDefault="00D93C87" w14:paraId="6B05D532" w14:textId="77777777">
      <w:pPr>
        <w:suppressAutoHyphens/>
        <w:rPr>
          <w:color w:val="000000"/>
        </w:rPr>
      </w:pPr>
    </w:p>
    <w:p w:rsidRPr="007F620E" w:rsidR="00A92D0B" w:rsidRDefault="00A92D0B" w14:paraId="7411A4B2" w14:textId="2EBEDBDF">
      <w:pPr>
        <w:suppressAutoHyphens/>
        <w:rPr>
          <w:color w:val="000000"/>
        </w:rPr>
      </w:pPr>
      <w:r w:rsidRPr="007F620E">
        <w:rPr>
          <w:color w:val="000000"/>
        </w:rPr>
        <w:t xml:space="preserve">Decision </w:t>
      </w:r>
      <w:r w:rsidRPr="002744FC" w:rsidR="006A7044">
        <w:rPr>
          <w:color w:val="000000"/>
        </w:rPr>
        <w:t>________________</w:t>
      </w:r>
    </w:p>
    <w:p w:rsidRPr="007F620E" w:rsidR="00A92D0B" w:rsidRDefault="00A92D0B" w14:paraId="63E82464" w14:textId="77777777">
      <w:pPr>
        <w:pStyle w:val="titlebar"/>
        <w:rPr>
          <w:rFonts w:ascii="Times New Roman" w:hAnsi="Times New Roman"/>
          <w:color w:val="000000"/>
          <w:sz w:val="24"/>
          <w:szCs w:val="24"/>
        </w:rPr>
      </w:pPr>
    </w:p>
    <w:p w:rsidRPr="007F620E" w:rsidR="00A92D0B" w:rsidRDefault="00A92D0B" w14:paraId="5BC9078A" w14:textId="77777777">
      <w:pPr>
        <w:pStyle w:val="titlebar"/>
        <w:rPr>
          <w:rFonts w:ascii="Times New Roman" w:hAnsi="Times New Roman"/>
          <w:color w:val="000000"/>
          <w:sz w:val="24"/>
          <w:szCs w:val="24"/>
        </w:rPr>
      </w:pPr>
    </w:p>
    <w:p w:rsidRPr="007F620E" w:rsidR="00A92D0B" w:rsidRDefault="00A92D0B" w14:paraId="4A331299" w14:textId="77777777">
      <w:pPr>
        <w:pStyle w:val="titlebar"/>
        <w:rPr>
          <w:rFonts w:ascii="Times New Roman" w:hAnsi="Times New Roman"/>
          <w:color w:val="000000"/>
          <w:sz w:val="24"/>
          <w:szCs w:val="24"/>
        </w:rPr>
      </w:pPr>
      <w:r w:rsidRPr="007F620E">
        <w:rPr>
          <w:rFonts w:ascii="Times New Roman" w:hAnsi="Times New Roman"/>
          <w:color w:val="000000"/>
          <w:sz w:val="24"/>
          <w:szCs w:val="24"/>
        </w:rPr>
        <w:t>BEFORE THE PUBLIC UTILITIES COMMISSION OF THE STATE OF CALIFORNIA</w:t>
      </w:r>
    </w:p>
    <w:p w:rsidRPr="007F620E" w:rsidR="00A92D0B" w:rsidRDefault="00A92D0B" w14:paraId="245D4CC7" w14:textId="77777777">
      <w:pPr>
        <w:suppressAutoHyphens/>
        <w:rPr>
          <w:color w:val="000000"/>
        </w:rPr>
      </w:pPr>
    </w:p>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CC"/>
        <w:tblLayout w:type="fixed"/>
        <w:tblLook w:val="0000" w:firstRow="0" w:lastRow="0" w:firstColumn="0" w:lastColumn="0" w:noHBand="0" w:noVBand="0"/>
      </w:tblPr>
      <w:tblGrid>
        <w:gridCol w:w="4765"/>
        <w:gridCol w:w="5040"/>
      </w:tblGrid>
      <w:tr w:rsidRPr="007F620E" w:rsidR="00A92D0B" w:rsidTr="00D93C87" w14:paraId="75BA05FF" w14:textId="77777777">
        <w:tc>
          <w:tcPr>
            <w:tcW w:w="4765" w:type="dxa"/>
          </w:tcPr>
          <w:p w:rsidRPr="007F620E" w:rsidR="00A92D0B" w:rsidRDefault="003534F2" w14:paraId="2A5735ED" w14:textId="0DF02AB7">
            <w:pPr>
              <w:tabs>
                <w:tab w:val="left" w:pos="1440"/>
                <w:tab w:val="left" w:pos="3600"/>
              </w:tabs>
              <w:rPr>
                <w:color w:val="000000"/>
              </w:rPr>
            </w:pPr>
            <w:r>
              <w:rPr>
                <w:color w:val="000000"/>
              </w:rPr>
              <w:t>Order Instituting Rulemaking to Examine Electric Utility De-Energization of Power Lines in Dangerous Conditions.</w:t>
            </w:r>
          </w:p>
          <w:p w:rsidRPr="007F620E" w:rsidR="00A92D0B" w:rsidRDefault="00A92D0B" w14:paraId="6EBC9172" w14:textId="77777777">
            <w:pPr>
              <w:rPr>
                <w:color w:val="000000"/>
              </w:rPr>
            </w:pPr>
          </w:p>
        </w:tc>
        <w:tc>
          <w:tcPr>
            <w:tcW w:w="5040" w:type="dxa"/>
          </w:tcPr>
          <w:p w:rsidRPr="007F620E" w:rsidR="00A92D0B" w:rsidP="00D93C87" w:rsidRDefault="003534F2" w14:paraId="5324C623" w14:textId="77777777">
            <w:pPr>
              <w:tabs>
                <w:tab w:val="left" w:pos="1440"/>
                <w:tab w:val="left" w:pos="3600"/>
              </w:tabs>
              <w:jc w:val="center"/>
              <w:rPr>
                <w:color w:val="000000"/>
              </w:rPr>
            </w:pPr>
            <w:r>
              <w:rPr>
                <w:color w:val="000000"/>
              </w:rPr>
              <w:t>Rulemaking 18-12-005</w:t>
            </w:r>
          </w:p>
          <w:p w:rsidRPr="007F620E" w:rsidR="00A92D0B" w:rsidP="00D93C87" w:rsidRDefault="00A92D0B" w14:paraId="44D21324" w14:textId="77777777">
            <w:pPr>
              <w:tabs>
                <w:tab w:val="left" w:pos="1440"/>
                <w:tab w:val="left" w:pos="3600"/>
              </w:tabs>
              <w:jc w:val="center"/>
              <w:rPr>
                <w:color w:val="000000"/>
              </w:rPr>
            </w:pPr>
            <w:r w:rsidRPr="007F620E">
              <w:rPr>
                <w:color w:val="000000"/>
              </w:rPr>
              <w:t xml:space="preserve">(Filed </w:t>
            </w:r>
            <w:r w:rsidR="003534F2">
              <w:rPr>
                <w:color w:val="000000"/>
              </w:rPr>
              <w:t>December 13, 2018</w:t>
            </w:r>
            <w:r w:rsidRPr="007F620E">
              <w:rPr>
                <w:color w:val="000000"/>
              </w:rPr>
              <w:t>)</w:t>
            </w:r>
          </w:p>
          <w:p w:rsidRPr="007F620E" w:rsidR="00A92D0B" w:rsidRDefault="00A92D0B" w14:paraId="4A353188" w14:textId="77777777">
            <w:pPr>
              <w:jc w:val="center"/>
              <w:rPr>
                <w:color w:val="000000"/>
              </w:rPr>
            </w:pPr>
          </w:p>
        </w:tc>
      </w:tr>
    </w:tbl>
    <w:p w:rsidRPr="007F620E" w:rsidR="00FC72B7" w:rsidRDefault="00FC72B7" w14:paraId="7C84EE6F" w14:textId="77777777">
      <w:pPr>
        <w:jc w:val="center"/>
        <w:rPr>
          <w:b/>
          <w:color w:val="000000"/>
        </w:rPr>
      </w:pPr>
    </w:p>
    <w:p w:rsidRPr="00691528" w:rsidR="00A92D0B" w:rsidRDefault="003D00DF" w14:paraId="12BC209F" w14:textId="1E64BA40">
      <w:pPr>
        <w:jc w:val="center"/>
        <w:rPr>
          <w:b/>
        </w:rPr>
      </w:pPr>
      <w:r>
        <w:rPr>
          <w:b/>
        </w:rPr>
        <w:t xml:space="preserve">DECISION GRANTING </w:t>
      </w:r>
      <w:r w:rsidRPr="00691528">
        <w:rPr>
          <w:b/>
        </w:rPr>
        <w:t xml:space="preserve">COMPENSATION </w:t>
      </w:r>
      <w:r>
        <w:rPr>
          <w:b/>
        </w:rPr>
        <w:t>TO MENDOCINO, NAPA, AND SONOMA COUNTIES, AND THE CITY OF SANTA ROSA</w:t>
      </w:r>
      <w:r w:rsidRPr="003D00DF">
        <w:rPr>
          <w:b/>
        </w:rPr>
        <w:t xml:space="preserve"> FOR SUBSTANTIAL CONTRIBUTION TO DECISION 19-05</w:t>
      </w:r>
      <w:r w:rsidR="006B7B55">
        <w:rPr>
          <w:b/>
        </w:rPr>
        <w:t>-</w:t>
      </w:r>
      <w:r w:rsidRPr="003D00DF">
        <w:rPr>
          <w:b/>
        </w:rPr>
        <w:t>042</w:t>
      </w:r>
    </w:p>
    <w:p w:rsidRPr="00691528" w:rsidR="00374FD1" w:rsidRDefault="00374FD1" w14:paraId="5F1005EE" w14:textId="77777777">
      <w:pPr>
        <w:jc w:val="center"/>
        <w:rPr>
          <w:b/>
          <w:shd w:val="clear" w:color="auto" w:fill="CCFFCC"/>
        </w:rPr>
      </w:pPr>
    </w:p>
    <w:p w:rsidRPr="007F620E" w:rsidR="00A92D0B" w:rsidRDefault="00A92D0B" w14:paraId="5C08DF40" w14:textId="77777777">
      <w:pPr>
        <w:suppressAutoHyphens/>
        <w:rPr>
          <w:color w:val="000000"/>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88"/>
        <w:gridCol w:w="5940"/>
      </w:tblGrid>
      <w:tr w:rsidRPr="007F620E" w:rsidR="00A92D0B" w:rsidTr="00623D99" w14:paraId="35124829" w14:textId="77777777">
        <w:tc>
          <w:tcPr>
            <w:tcW w:w="3888" w:type="dxa"/>
            <w:shd w:val="clear" w:color="auto" w:fill="auto"/>
          </w:tcPr>
          <w:p w:rsidRPr="00691528" w:rsidR="00775F52" w:rsidP="00A92D0B" w:rsidRDefault="005A63D4" w14:paraId="55BED858" w14:textId="587CBAF6">
            <w:pPr>
              <w:tabs>
                <w:tab w:val="left" w:pos="1620"/>
                <w:tab w:val="right" w:pos="4500"/>
              </w:tabs>
              <w:spacing w:before="120"/>
              <w:rPr>
                <w:color w:val="000000"/>
              </w:rPr>
            </w:pPr>
            <w:r w:rsidRPr="007F620E">
              <w:rPr>
                <w:b/>
                <w:color w:val="000000"/>
              </w:rPr>
              <w:t>Intervenor</w:t>
            </w:r>
            <w:r w:rsidR="004E48A2">
              <w:rPr>
                <w:b/>
                <w:color w:val="000000"/>
              </w:rPr>
              <w:t>s</w:t>
            </w:r>
            <w:r w:rsidRPr="007F620E" w:rsidR="00F63C29">
              <w:rPr>
                <w:b/>
                <w:color w:val="000000"/>
              </w:rPr>
              <w:t>:</w:t>
            </w:r>
            <w:r w:rsidR="00691528">
              <w:rPr>
                <w:b/>
                <w:color w:val="000000"/>
              </w:rPr>
              <w:t xml:space="preserve"> </w:t>
            </w:r>
            <w:r w:rsidRPr="002744FC" w:rsidR="003D00DF">
              <w:rPr>
                <w:bCs/>
                <w:color w:val="000000"/>
              </w:rPr>
              <w:t xml:space="preserve">Mendocino County, </w:t>
            </w:r>
            <w:r w:rsidRPr="002744FC" w:rsidR="00775F52">
              <w:rPr>
                <w:bCs/>
                <w:color w:val="000000"/>
              </w:rPr>
              <w:t>Napa County</w:t>
            </w:r>
            <w:r w:rsidRPr="002744FC" w:rsidR="00623D99">
              <w:rPr>
                <w:bCs/>
                <w:color w:val="000000"/>
              </w:rPr>
              <w:t>,</w:t>
            </w:r>
            <w:r w:rsidRPr="002744FC" w:rsidR="003D00DF">
              <w:rPr>
                <w:bCs/>
                <w:color w:val="000000"/>
              </w:rPr>
              <w:t xml:space="preserve"> Sonoma County, and City of Santa Rosa</w:t>
            </w:r>
          </w:p>
        </w:tc>
        <w:tc>
          <w:tcPr>
            <w:tcW w:w="5940" w:type="dxa"/>
            <w:shd w:val="clear" w:color="auto" w:fill="auto"/>
          </w:tcPr>
          <w:p w:rsidRPr="007F620E" w:rsidR="00A92D0B" w:rsidP="00DE3A5D" w:rsidRDefault="00A92D0B" w14:paraId="157E9B23" w14:textId="77777777">
            <w:pPr>
              <w:tabs>
                <w:tab w:val="left" w:pos="1872"/>
                <w:tab w:val="right" w:pos="3672"/>
              </w:tabs>
              <w:spacing w:before="120"/>
              <w:rPr>
                <w:b/>
                <w:color w:val="000000"/>
              </w:rPr>
            </w:pPr>
            <w:r w:rsidRPr="007F620E">
              <w:rPr>
                <w:b/>
                <w:color w:val="000000"/>
              </w:rPr>
              <w:t>For contribution to D</w:t>
            </w:r>
            <w:r w:rsidRPr="007F620E" w:rsidR="00DE3A5D">
              <w:rPr>
                <w:b/>
                <w:color w:val="000000"/>
              </w:rPr>
              <w:t xml:space="preserve">ecision (D.) </w:t>
            </w:r>
            <w:r w:rsidRPr="002744FC" w:rsidR="003534F2">
              <w:rPr>
                <w:bCs/>
                <w:color w:val="000000"/>
              </w:rPr>
              <w:t>19-05-042</w:t>
            </w:r>
          </w:p>
        </w:tc>
      </w:tr>
      <w:tr w:rsidRPr="007F620E" w:rsidR="00A92D0B" w:rsidTr="009A7144" w14:paraId="755980E8" w14:textId="77777777">
        <w:tc>
          <w:tcPr>
            <w:tcW w:w="3888" w:type="dxa"/>
            <w:shd w:val="clear" w:color="auto" w:fill="auto"/>
          </w:tcPr>
          <w:p w:rsidRPr="002744FC" w:rsidR="003C386B" w:rsidP="00623D99" w:rsidRDefault="00623D99" w14:paraId="0D5F32EB" w14:textId="77777777">
            <w:pPr>
              <w:tabs>
                <w:tab w:val="left" w:pos="957"/>
              </w:tabs>
              <w:spacing w:before="60" w:after="60"/>
              <w:ind w:right="72"/>
              <w:rPr>
                <w:bCs/>
                <w:iCs/>
                <w:color w:val="000000"/>
              </w:rPr>
            </w:pPr>
            <w:r w:rsidRPr="002744FC">
              <w:rPr>
                <w:b/>
                <w:iCs/>
                <w:color w:val="000000"/>
              </w:rPr>
              <w:t>Claimed</w:t>
            </w:r>
            <w:r w:rsidRPr="002744FC" w:rsidR="002A1B9C">
              <w:rPr>
                <w:b/>
                <w:iCs/>
                <w:color w:val="000000"/>
              </w:rPr>
              <w:t xml:space="preserve">: </w:t>
            </w:r>
            <w:r w:rsidRPr="002744FC" w:rsidR="002A1B9C">
              <w:rPr>
                <w:bCs/>
                <w:iCs/>
                <w:color w:val="000000"/>
              </w:rPr>
              <w:t>$76,283.63</w:t>
            </w:r>
          </w:p>
          <w:p w:rsidRPr="002744FC" w:rsidR="00623D99" w:rsidP="00623D99" w:rsidRDefault="00623D99" w14:paraId="49AEF413" w14:textId="2BE50E38">
            <w:pPr>
              <w:tabs>
                <w:tab w:val="left" w:pos="957"/>
              </w:tabs>
              <w:spacing w:before="60" w:after="60"/>
              <w:ind w:right="72"/>
              <w:rPr>
                <w:bCs/>
                <w:iCs/>
                <w:color w:val="000000"/>
              </w:rPr>
            </w:pPr>
            <w:r w:rsidRPr="002744FC">
              <w:rPr>
                <w:bCs/>
                <w:iCs/>
                <w:color w:val="000000"/>
              </w:rPr>
              <w:br/>
              <w:t>Mendocino: $5,505.57</w:t>
            </w:r>
          </w:p>
          <w:p w:rsidRPr="002744FC" w:rsidR="00623D99" w:rsidP="00623D99" w:rsidRDefault="00623D99" w14:paraId="57D65F0F" w14:textId="5A867BEA">
            <w:pPr>
              <w:tabs>
                <w:tab w:val="left" w:pos="957"/>
              </w:tabs>
              <w:spacing w:before="60" w:after="60"/>
              <w:ind w:right="72"/>
              <w:rPr>
                <w:bCs/>
                <w:iCs/>
                <w:color w:val="000000"/>
              </w:rPr>
            </w:pPr>
            <w:r w:rsidRPr="002744FC">
              <w:rPr>
                <w:bCs/>
                <w:iCs/>
                <w:color w:val="000000"/>
              </w:rPr>
              <w:t>Napa: $31,918.31</w:t>
            </w:r>
            <w:r w:rsidRPr="002744FC" w:rsidR="00F22FE2">
              <w:rPr>
                <w:rStyle w:val="FootnoteReference"/>
                <w:bCs/>
                <w:iCs/>
                <w:color w:val="000000"/>
              </w:rPr>
              <w:footnoteReference w:id="2"/>
            </w:r>
          </w:p>
          <w:p w:rsidRPr="002744FC" w:rsidR="00623D99" w:rsidP="00623D99" w:rsidRDefault="00623D99" w14:paraId="56099A57" w14:textId="71C47E5E">
            <w:pPr>
              <w:tabs>
                <w:tab w:val="left" w:pos="957"/>
              </w:tabs>
              <w:spacing w:before="60" w:after="60"/>
              <w:ind w:right="72"/>
              <w:rPr>
                <w:bCs/>
                <w:iCs/>
                <w:color w:val="000000"/>
              </w:rPr>
            </w:pPr>
            <w:r w:rsidRPr="002744FC">
              <w:rPr>
                <w:bCs/>
                <w:iCs/>
                <w:color w:val="000000"/>
              </w:rPr>
              <w:t>Sonoma: $26,393.61</w:t>
            </w:r>
            <w:r w:rsidRPr="002744FC" w:rsidR="00F22FE2">
              <w:rPr>
                <w:rStyle w:val="FootnoteReference"/>
                <w:bCs/>
                <w:iCs/>
                <w:color w:val="000000"/>
              </w:rPr>
              <w:footnoteReference w:id="3"/>
            </w:r>
          </w:p>
          <w:p w:rsidRPr="003C386B" w:rsidR="00671B55" w:rsidP="002A1B9C" w:rsidRDefault="00623D99" w14:paraId="2855572F" w14:textId="0FDF49D5">
            <w:pPr>
              <w:tabs>
                <w:tab w:val="left" w:pos="1620"/>
                <w:tab w:val="right" w:pos="4500"/>
              </w:tabs>
              <w:spacing w:before="120"/>
              <w:rPr>
                <w:iCs/>
                <w:color w:val="000000"/>
                <w:u w:val="single"/>
              </w:rPr>
            </w:pPr>
            <w:r w:rsidRPr="002744FC">
              <w:rPr>
                <w:bCs/>
                <w:iCs/>
                <w:color w:val="000000"/>
              </w:rPr>
              <w:t>Santa Rosa: $12,466.14</w:t>
            </w:r>
            <w:r w:rsidRPr="002744FC">
              <w:rPr>
                <w:bCs/>
                <w:iCs/>
                <w:color w:val="000000"/>
              </w:rPr>
              <w:br/>
            </w:r>
            <w:r w:rsidRPr="003C386B">
              <w:rPr>
                <w:bCs/>
                <w:iCs/>
                <w:color w:val="000000"/>
              </w:rPr>
              <w:t>See Comment #2.</w:t>
            </w:r>
          </w:p>
        </w:tc>
        <w:tc>
          <w:tcPr>
            <w:tcW w:w="5940" w:type="dxa"/>
            <w:tcBorders>
              <w:bottom w:val="single" w:color="auto" w:sz="4" w:space="0"/>
            </w:tcBorders>
            <w:shd w:val="clear" w:color="auto" w:fill="auto"/>
          </w:tcPr>
          <w:p w:rsidRPr="00A404EF" w:rsidR="00A404EF" w:rsidP="00A404EF" w:rsidRDefault="00A404EF" w14:paraId="54F3085C" w14:textId="5E86FB05">
            <w:pPr>
              <w:tabs>
                <w:tab w:val="left" w:pos="1872"/>
                <w:tab w:val="right" w:pos="3672"/>
              </w:tabs>
              <w:spacing w:before="120"/>
              <w:rPr>
                <w:b/>
                <w:color w:val="000000"/>
              </w:rPr>
            </w:pPr>
            <w:r w:rsidRPr="00A404EF">
              <w:rPr>
                <w:b/>
                <w:color w:val="000000"/>
              </w:rPr>
              <w:t xml:space="preserve">TOTAL AWARD: </w:t>
            </w:r>
            <w:r w:rsidRPr="002744FC">
              <w:rPr>
                <w:bCs/>
                <w:color w:val="000000"/>
              </w:rPr>
              <w:t>$74,206.13</w:t>
            </w:r>
          </w:p>
          <w:p w:rsidRPr="002744FC" w:rsidR="00A404EF" w:rsidP="00A404EF" w:rsidRDefault="00A404EF" w14:paraId="0A94A1E5" w14:textId="77777777">
            <w:pPr>
              <w:tabs>
                <w:tab w:val="left" w:pos="1872"/>
                <w:tab w:val="right" w:pos="3672"/>
              </w:tabs>
              <w:spacing w:before="120"/>
              <w:rPr>
                <w:bCs/>
                <w:color w:val="000000"/>
              </w:rPr>
            </w:pPr>
            <w:r w:rsidRPr="002744FC">
              <w:rPr>
                <w:bCs/>
                <w:color w:val="000000"/>
              </w:rPr>
              <w:t>Mendocino:</w:t>
            </w:r>
            <w:r w:rsidRPr="002744FC">
              <w:rPr>
                <w:bCs/>
                <w:color w:val="000000"/>
              </w:rPr>
              <w:tab/>
              <w:t xml:space="preserve">$5,502.88 </w:t>
            </w:r>
          </w:p>
          <w:p w:rsidRPr="002744FC" w:rsidR="00A404EF" w:rsidP="00A404EF" w:rsidRDefault="00A404EF" w14:paraId="031373F6" w14:textId="77777777">
            <w:pPr>
              <w:tabs>
                <w:tab w:val="left" w:pos="1872"/>
                <w:tab w:val="right" w:pos="3672"/>
              </w:tabs>
              <w:spacing w:before="120"/>
              <w:rPr>
                <w:bCs/>
                <w:color w:val="000000"/>
              </w:rPr>
            </w:pPr>
            <w:r w:rsidRPr="002744FC">
              <w:rPr>
                <w:bCs/>
                <w:color w:val="000000"/>
              </w:rPr>
              <w:t>Napa:</w:t>
            </w:r>
            <w:r w:rsidRPr="002744FC">
              <w:rPr>
                <w:bCs/>
                <w:color w:val="000000"/>
              </w:rPr>
              <w:tab/>
              <w:t xml:space="preserve">$26,279.67 </w:t>
            </w:r>
          </w:p>
          <w:p w:rsidRPr="002744FC" w:rsidR="00A404EF" w:rsidP="00A404EF" w:rsidRDefault="00A404EF" w14:paraId="1C544676" w14:textId="77777777">
            <w:pPr>
              <w:tabs>
                <w:tab w:val="left" w:pos="1872"/>
                <w:tab w:val="right" w:pos="3672"/>
              </w:tabs>
              <w:spacing w:before="120"/>
              <w:rPr>
                <w:bCs/>
                <w:color w:val="000000"/>
              </w:rPr>
            </w:pPr>
            <w:r w:rsidRPr="002744FC">
              <w:rPr>
                <w:bCs/>
                <w:color w:val="000000"/>
              </w:rPr>
              <w:t>Sonoma:</w:t>
            </w:r>
            <w:r w:rsidRPr="002744FC">
              <w:rPr>
                <w:bCs/>
                <w:color w:val="000000"/>
              </w:rPr>
              <w:tab/>
              <w:t>$29,965.62</w:t>
            </w:r>
          </w:p>
          <w:p w:rsidRPr="007F620E" w:rsidR="00D86F03" w:rsidP="00D86F03" w:rsidRDefault="00A404EF" w14:paraId="6CFE5D98" w14:textId="2A8185CB">
            <w:pPr>
              <w:tabs>
                <w:tab w:val="left" w:pos="1872"/>
                <w:tab w:val="right" w:pos="3672"/>
              </w:tabs>
              <w:spacing w:before="120"/>
              <w:rPr>
                <w:b/>
                <w:color w:val="000000"/>
                <w:u w:val="single"/>
              </w:rPr>
            </w:pPr>
            <w:r w:rsidRPr="002744FC">
              <w:rPr>
                <w:bCs/>
                <w:color w:val="000000"/>
              </w:rPr>
              <w:t>Santa Rosa:</w:t>
            </w:r>
            <w:r w:rsidRPr="002744FC">
              <w:rPr>
                <w:bCs/>
                <w:color w:val="000000"/>
              </w:rPr>
              <w:tab/>
              <w:t>$12,457.95</w:t>
            </w:r>
          </w:p>
        </w:tc>
      </w:tr>
      <w:tr w:rsidRPr="007F620E" w:rsidR="00A92D0B" w:rsidTr="009A7144" w14:paraId="0813739C" w14:textId="77777777">
        <w:tc>
          <w:tcPr>
            <w:tcW w:w="3888" w:type="dxa"/>
            <w:shd w:val="clear" w:color="auto" w:fill="auto"/>
          </w:tcPr>
          <w:p w:rsidRPr="00691528" w:rsidR="00A92D0B" w:rsidP="00A92D0B" w:rsidRDefault="00AE2601" w14:paraId="05B34BAE" w14:textId="2DD08C39">
            <w:pPr>
              <w:tabs>
                <w:tab w:val="left" w:pos="3060"/>
                <w:tab w:val="right" w:pos="4500"/>
              </w:tabs>
              <w:spacing w:before="120"/>
              <w:rPr>
                <w:color w:val="000000"/>
                <w:u w:val="single"/>
              </w:rPr>
            </w:pPr>
            <w:r w:rsidRPr="007F620E">
              <w:rPr>
                <w:b/>
                <w:color w:val="000000"/>
              </w:rPr>
              <w:t xml:space="preserve">Assigned Commissioner: </w:t>
            </w:r>
            <w:r w:rsidRPr="002744FC">
              <w:rPr>
                <w:bCs/>
                <w:color w:val="000000"/>
              </w:rPr>
              <w:t>Alice Reynolds</w:t>
            </w:r>
            <w:r w:rsidRPr="002744FC">
              <w:rPr>
                <w:rStyle w:val="FootnoteReference"/>
                <w:bCs/>
                <w:color w:val="000000"/>
              </w:rPr>
              <w:footnoteReference w:id="4"/>
            </w:r>
          </w:p>
        </w:tc>
        <w:tc>
          <w:tcPr>
            <w:tcW w:w="5940" w:type="dxa"/>
            <w:shd w:val="clear" w:color="auto" w:fill="auto"/>
          </w:tcPr>
          <w:p w:rsidRPr="00691528" w:rsidR="00A92D0B" w:rsidP="00A92D0B" w:rsidRDefault="00A92D0B" w14:paraId="4A6B0E61" w14:textId="1992F8AC">
            <w:pPr>
              <w:tabs>
                <w:tab w:val="left" w:pos="1872"/>
                <w:tab w:val="right" w:pos="3672"/>
              </w:tabs>
              <w:spacing w:before="120"/>
              <w:rPr>
                <w:color w:val="000000"/>
                <w:u w:val="single"/>
              </w:rPr>
            </w:pPr>
            <w:r w:rsidRPr="007F620E">
              <w:rPr>
                <w:b/>
                <w:color w:val="000000"/>
              </w:rPr>
              <w:t>Assigned ALJ</w:t>
            </w:r>
            <w:r w:rsidR="003C386B">
              <w:rPr>
                <w:b/>
                <w:color w:val="000000"/>
              </w:rPr>
              <w:t>s</w:t>
            </w:r>
            <w:r w:rsidRPr="007F620E">
              <w:rPr>
                <w:b/>
                <w:color w:val="000000"/>
              </w:rPr>
              <w:t>:</w:t>
            </w:r>
            <w:r w:rsidRPr="007F620E" w:rsidR="00F63C29">
              <w:rPr>
                <w:b/>
                <w:color w:val="000000"/>
              </w:rPr>
              <w:t xml:space="preserve"> </w:t>
            </w:r>
            <w:r w:rsidRPr="002744FC" w:rsidR="00623D99">
              <w:rPr>
                <w:bCs/>
                <w:color w:val="000000"/>
              </w:rPr>
              <w:t xml:space="preserve">Valerie Kao </w:t>
            </w:r>
            <w:r w:rsidRPr="002744FC" w:rsidR="003C386B">
              <w:rPr>
                <w:bCs/>
                <w:color w:val="000000"/>
              </w:rPr>
              <w:t xml:space="preserve">and </w:t>
            </w:r>
            <w:r w:rsidRPr="002744FC" w:rsidR="00623D99">
              <w:rPr>
                <w:bCs/>
                <w:color w:val="000000"/>
              </w:rPr>
              <w:t>Regina DeAngelis</w:t>
            </w:r>
            <w:r w:rsidR="00623D99">
              <w:rPr>
                <w:b/>
                <w:color w:val="000000"/>
              </w:rPr>
              <w:t xml:space="preserve"> </w:t>
            </w:r>
          </w:p>
        </w:tc>
      </w:tr>
    </w:tbl>
    <w:p w:rsidRPr="007F620E" w:rsidR="00A92D0B" w:rsidRDefault="00A92D0B" w14:paraId="3B961468" w14:textId="77777777">
      <w:pPr>
        <w:rPr>
          <w:color w:val="000000"/>
        </w:rPr>
      </w:pPr>
    </w:p>
    <w:p w:rsidR="00691528" w:rsidP="00691528" w:rsidRDefault="00A92D0B" w14:paraId="07999F8B" w14:textId="77777777">
      <w:pPr>
        <w:jc w:val="center"/>
        <w:rPr>
          <w:b/>
          <w:color w:val="000000"/>
        </w:rPr>
      </w:pPr>
      <w:r w:rsidRPr="007F620E">
        <w:rPr>
          <w:b/>
          <w:color w:val="000000"/>
        </w:rPr>
        <w:t>PART I:  PROCEDURAL ISSUES</w:t>
      </w:r>
    </w:p>
    <w:p w:rsidRPr="007F620E" w:rsidR="00A92D0B" w:rsidRDefault="00A92D0B" w14:paraId="74091D03" w14:textId="77777777">
      <w:pPr>
        <w:rPr>
          <w:color w:val="000000"/>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8"/>
        <w:gridCol w:w="6120"/>
      </w:tblGrid>
      <w:tr w:rsidRPr="007F620E" w:rsidR="00A92D0B" w:rsidTr="009A7144" w14:paraId="1A10F322" w14:textId="77777777">
        <w:tc>
          <w:tcPr>
            <w:tcW w:w="3708" w:type="dxa"/>
            <w:shd w:val="clear" w:color="auto" w:fill="auto"/>
          </w:tcPr>
          <w:p w:rsidRPr="007F620E" w:rsidR="00A92D0B" w:rsidP="00915118" w:rsidRDefault="00A92D0B" w14:paraId="1CAAFF5E" w14:textId="77777777">
            <w:pPr>
              <w:rPr>
                <w:b/>
                <w:color w:val="000000"/>
              </w:rPr>
            </w:pPr>
            <w:r w:rsidRPr="007F620E">
              <w:rPr>
                <w:b/>
                <w:color w:val="000000"/>
              </w:rPr>
              <w:t xml:space="preserve">A.  Brief </w:t>
            </w:r>
            <w:r w:rsidRPr="007F620E" w:rsidR="00A319DE">
              <w:rPr>
                <w:b/>
                <w:color w:val="000000"/>
              </w:rPr>
              <w:t>d</w:t>
            </w:r>
            <w:r w:rsidRPr="007F620E">
              <w:rPr>
                <w:b/>
                <w:color w:val="000000"/>
              </w:rPr>
              <w:t xml:space="preserve">escription of Decision: </w:t>
            </w:r>
          </w:p>
        </w:tc>
        <w:tc>
          <w:tcPr>
            <w:tcW w:w="6120" w:type="dxa"/>
            <w:shd w:val="clear" w:color="auto" w:fill="auto"/>
          </w:tcPr>
          <w:p w:rsidRPr="007F620E" w:rsidR="00C02649" w:rsidP="00D93C87" w:rsidRDefault="0077487D" w14:paraId="77A89960" w14:textId="4DCBC444">
            <w:pPr>
              <w:rPr>
                <w:color w:val="000000"/>
              </w:rPr>
            </w:pPr>
            <w:r>
              <w:rPr>
                <w:color w:val="000000"/>
              </w:rPr>
              <w:t>Decision 19-05-042 adopts de-energization communication and notification guidelines for the electric investor-owned utilities, and updates the requirements established in Resolution ESRB-8.</w:t>
            </w:r>
          </w:p>
        </w:tc>
      </w:tr>
    </w:tbl>
    <w:p w:rsidRPr="007F620E" w:rsidR="00A92D0B" w:rsidRDefault="00A92D0B" w14:paraId="174C318D" w14:textId="77777777">
      <w:pPr>
        <w:rPr>
          <w:color w:val="000000"/>
        </w:rPr>
      </w:pPr>
    </w:p>
    <w:p w:rsidRPr="007F620E" w:rsidR="00A92D0B" w:rsidRDefault="005A63D4" w14:paraId="6115ABAA" w14:textId="77777777">
      <w:pPr>
        <w:numPr>
          <w:ilvl w:val="0"/>
          <w:numId w:val="5"/>
        </w:numPr>
        <w:rPr>
          <w:b/>
          <w:color w:val="000000"/>
        </w:rPr>
      </w:pPr>
      <w:r w:rsidRPr="007F620E">
        <w:rPr>
          <w:b/>
          <w:color w:val="000000"/>
        </w:rPr>
        <w:lastRenderedPageBreak/>
        <w:t xml:space="preserve">Intervenor </w:t>
      </w:r>
      <w:r w:rsidRPr="007F620E" w:rsidR="00A92D0B">
        <w:rPr>
          <w:b/>
          <w:color w:val="000000"/>
        </w:rPr>
        <w:t xml:space="preserve">must satisfy intervenor compensation </w:t>
      </w:r>
      <w:r w:rsidRPr="007F620E" w:rsidR="00DE3A5D">
        <w:rPr>
          <w:b/>
          <w:color w:val="000000"/>
        </w:rPr>
        <w:t>requirements set forth in Pub. Util.</w:t>
      </w:r>
      <w:r w:rsidRPr="007F620E" w:rsidR="00A92D0B">
        <w:rPr>
          <w:b/>
          <w:color w:val="000000"/>
        </w:rPr>
        <w:t xml:space="preserve"> Code §§ 1801-1812</w:t>
      </w:r>
      <w:r w:rsidR="003B6A1B">
        <w:rPr>
          <w:rStyle w:val="FootnoteReference"/>
          <w:b/>
          <w:color w:val="000000"/>
        </w:rPr>
        <w:footnoteReference w:id="5"/>
      </w:r>
      <w:r w:rsidRPr="007F620E" w:rsidR="00A92D0B">
        <w:rPr>
          <w:b/>
          <w:color w:val="000000"/>
        </w:rPr>
        <w:t>:</w:t>
      </w:r>
    </w:p>
    <w:p w:rsidRPr="007F620E" w:rsidR="00A92D0B" w:rsidRDefault="00A92D0B" w14:paraId="17677080" w14:textId="77777777">
      <w:pPr>
        <w:tabs>
          <w:tab w:val="left" w:pos="360"/>
        </w:tabs>
        <w:rPr>
          <w:color w:val="000000"/>
        </w:rPr>
      </w:pPr>
    </w:p>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40"/>
        <w:gridCol w:w="2340"/>
        <w:gridCol w:w="2340"/>
      </w:tblGrid>
      <w:tr w:rsidRPr="007F620E" w:rsidR="00A92D0B" w:rsidTr="00180E8C" w14:paraId="18EFBE27" w14:textId="77777777">
        <w:tc>
          <w:tcPr>
            <w:tcW w:w="5040" w:type="dxa"/>
            <w:tcBorders>
              <w:bottom w:val="single" w:color="auto" w:sz="4" w:space="0"/>
            </w:tcBorders>
            <w:shd w:val="clear" w:color="auto" w:fill="auto"/>
          </w:tcPr>
          <w:p w:rsidRPr="007F620E" w:rsidR="00A92D0B" w:rsidP="00A92D0B" w:rsidRDefault="00A92D0B" w14:paraId="7653ACDF" w14:textId="77777777">
            <w:pPr>
              <w:tabs>
                <w:tab w:val="left" w:pos="360"/>
              </w:tabs>
              <w:spacing w:before="120"/>
              <w:jc w:val="center"/>
              <w:rPr>
                <w:color w:val="000000"/>
              </w:rPr>
            </w:pPr>
          </w:p>
        </w:tc>
        <w:tc>
          <w:tcPr>
            <w:tcW w:w="2340" w:type="dxa"/>
            <w:tcBorders>
              <w:bottom w:val="single" w:color="auto" w:sz="4" w:space="0"/>
            </w:tcBorders>
            <w:shd w:val="clear" w:color="auto" w:fill="auto"/>
          </w:tcPr>
          <w:p w:rsidRPr="007F620E" w:rsidR="00A92D0B" w:rsidP="00A92D0B" w:rsidRDefault="005A63D4" w14:paraId="031BE711" w14:textId="77777777">
            <w:pPr>
              <w:tabs>
                <w:tab w:val="left" w:pos="360"/>
              </w:tabs>
              <w:spacing w:before="120"/>
              <w:jc w:val="center"/>
              <w:rPr>
                <w:b/>
                <w:color w:val="000000"/>
              </w:rPr>
            </w:pPr>
            <w:r w:rsidRPr="007F620E">
              <w:rPr>
                <w:b/>
                <w:color w:val="000000"/>
              </w:rPr>
              <w:t>Intervenor</w:t>
            </w:r>
          </w:p>
        </w:tc>
        <w:tc>
          <w:tcPr>
            <w:tcW w:w="2340" w:type="dxa"/>
            <w:tcBorders>
              <w:bottom w:val="single" w:color="auto" w:sz="4" w:space="0"/>
            </w:tcBorders>
            <w:shd w:val="clear" w:color="auto" w:fill="auto"/>
          </w:tcPr>
          <w:p w:rsidRPr="007F620E" w:rsidR="00A92D0B" w:rsidP="0081626F" w:rsidRDefault="00A92D0B" w14:paraId="607C3AFC" w14:textId="77777777">
            <w:pPr>
              <w:tabs>
                <w:tab w:val="left" w:pos="360"/>
              </w:tabs>
              <w:spacing w:before="120"/>
              <w:jc w:val="center"/>
              <w:rPr>
                <w:b/>
                <w:color w:val="000000"/>
              </w:rPr>
            </w:pPr>
            <w:r w:rsidRPr="007F620E">
              <w:rPr>
                <w:b/>
                <w:color w:val="000000"/>
              </w:rPr>
              <w:t xml:space="preserve">CPUC </w:t>
            </w:r>
            <w:r w:rsidR="0081626F">
              <w:rPr>
                <w:b/>
                <w:color w:val="000000"/>
              </w:rPr>
              <w:t>Verification</w:t>
            </w:r>
          </w:p>
        </w:tc>
      </w:tr>
      <w:tr w:rsidRPr="007F620E" w:rsidR="00A92D0B" w:rsidTr="00180E8C" w14:paraId="08004D5E"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F620E" w:rsidR="00A92D0B" w:rsidP="00A92D0B" w:rsidRDefault="00A92D0B" w14:paraId="405E982A" w14:textId="77777777">
            <w:pPr>
              <w:tabs>
                <w:tab w:val="left" w:pos="360"/>
              </w:tabs>
              <w:spacing w:before="60"/>
              <w:jc w:val="center"/>
              <w:rPr>
                <w:b/>
              </w:rPr>
            </w:pPr>
            <w:r w:rsidRPr="007F620E">
              <w:rPr>
                <w:b/>
              </w:rPr>
              <w:t>Timely filing of notice of intent to claim compensation (NOI) (§ 1804(a)):</w:t>
            </w:r>
          </w:p>
        </w:tc>
      </w:tr>
      <w:tr w:rsidRPr="007F620E" w:rsidR="00A92D0B" w:rsidTr="009A7144" w14:paraId="65C4B39E" w14:textId="77777777">
        <w:tc>
          <w:tcPr>
            <w:tcW w:w="5040" w:type="dxa"/>
            <w:tcBorders>
              <w:top w:val="single" w:color="auto" w:sz="4" w:space="0"/>
            </w:tcBorders>
            <w:shd w:val="clear" w:color="auto" w:fill="auto"/>
          </w:tcPr>
          <w:p w:rsidRPr="007F620E" w:rsidR="00A92D0B" w:rsidP="00ED6B6B" w:rsidRDefault="00FC72B7" w14:paraId="0EA4B4EA" w14:textId="77777777">
            <w:pPr>
              <w:tabs>
                <w:tab w:val="left" w:pos="360"/>
              </w:tabs>
              <w:spacing w:before="120"/>
              <w:ind w:left="360" w:hanging="360"/>
              <w:rPr>
                <w:color w:val="000000"/>
              </w:rPr>
            </w:pPr>
            <w:r w:rsidRPr="007F620E">
              <w:rPr>
                <w:color w:val="000000"/>
              </w:rPr>
              <w:t xml:space="preserve"> </w:t>
            </w:r>
            <w:r w:rsidRPr="007F620E" w:rsidR="00A92D0B">
              <w:rPr>
                <w:color w:val="000000"/>
              </w:rPr>
              <w:t>1.  Date of Prehearing Conference:</w:t>
            </w:r>
          </w:p>
        </w:tc>
        <w:tc>
          <w:tcPr>
            <w:tcW w:w="2340" w:type="dxa"/>
            <w:tcBorders>
              <w:top w:val="single" w:color="auto" w:sz="4" w:space="0"/>
            </w:tcBorders>
            <w:shd w:val="clear" w:color="auto" w:fill="auto"/>
          </w:tcPr>
          <w:p w:rsidRPr="007F620E" w:rsidR="00A92D0B" w:rsidP="00FD0570" w:rsidRDefault="00FD0570" w14:paraId="5FBD3D76" w14:textId="77777777">
            <w:pPr>
              <w:keepNext/>
              <w:keepLines/>
              <w:tabs>
                <w:tab w:val="left" w:pos="360"/>
              </w:tabs>
              <w:spacing w:before="120"/>
              <w:ind w:left="360" w:hanging="360"/>
              <w:rPr>
                <w:color w:val="000000"/>
              </w:rPr>
            </w:pPr>
            <w:r>
              <w:rPr>
                <w:color w:val="000000"/>
              </w:rPr>
              <w:t>February 19, 2019</w:t>
            </w:r>
          </w:p>
        </w:tc>
        <w:tc>
          <w:tcPr>
            <w:tcW w:w="2340" w:type="dxa"/>
            <w:tcBorders>
              <w:top w:val="single" w:color="auto" w:sz="4" w:space="0"/>
            </w:tcBorders>
            <w:shd w:val="clear" w:color="auto" w:fill="auto"/>
          </w:tcPr>
          <w:p w:rsidRPr="007F620E" w:rsidR="00A92D0B" w:rsidP="009A62F6" w:rsidRDefault="006D7577" w14:paraId="79EBCA81" w14:textId="77777777">
            <w:pPr>
              <w:tabs>
                <w:tab w:val="left" w:pos="360"/>
              </w:tabs>
              <w:spacing w:before="120"/>
              <w:jc w:val="both"/>
              <w:rPr>
                <w:color w:val="000000"/>
              </w:rPr>
            </w:pPr>
            <w:r>
              <w:rPr>
                <w:color w:val="000000"/>
              </w:rPr>
              <w:t>Verified</w:t>
            </w:r>
          </w:p>
        </w:tc>
      </w:tr>
      <w:tr w:rsidRPr="007F620E" w:rsidR="00A92D0B" w:rsidTr="009A7144" w14:paraId="309B37CF" w14:textId="77777777">
        <w:tc>
          <w:tcPr>
            <w:tcW w:w="5040" w:type="dxa"/>
            <w:shd w:val="clear" w:color="auto" w:fill="auto"/>
          </w:tcPr>
          <w:p w:rsidRPr="007F620E" w:rsidR="00A92D0B" w:rsidP="00915118" w:rsidRDefault="00FC72B7" w14:paraId="462B9EDF" w14:textId="77777777">
            <w:pPr>
              <w:tabs>
                <w:tab w:val="left" w:pos="360"/>
              </w:tabs>
              <w:spacing w:before="120"/>
              <w:ind w:left="360" w:hanging="360"/>
              <w:rPr>
                <w:color w:val="000000"/>
              </w:rPr>
            </w:pPr>
            <w:r w:rsidRPr="007F620E">
              <w:rPr>
                <w:color w:val="000000"/>
              </w:rPr>
              <w:t xml:space="preserve"> </w:t>
            </w:r>
            <w:r w:rsidRPr="007F620E" w:rsidR="00A92D0B">
              <w:rPr>
                <w:color w:val="000000"/>
              </w:rPr>
              <w:t xml:space="preserve">2.  Other </w:t>
            </w:r>
            <w:r w:rsidRPr="007F620E" w:rsidR="00A319DE">
              <w:rPr>
                <w:color w:val="000000"/>
              </w:rPr>
              <w:t>s</w:t>
            </w:r>
            <w:r w:rsidRPr="007F620E" w:rsidR="00A92D0B">
              <w:rPr>
                <w:color w:val="000000"/>
              </w:rPr>
              <w:t xml:space="preserve">pecified </w:t>
            </w:r>
            <w:r w:rsidRPr="007F620E" w:rsidR="00A319DE">
              <w:rPr>
                <w:color w:val="000000"/>
              </w:rPr>
              <w:t>d</w:t>
            </w:r>
            <w:r w:rsidRPr="007F620E" w:rsidR="00A92D0B">
              <w:rPr>
                <w:color w:val="000000"/>
              </w:rPr>
              <w:t>ate for NOI:</w:t>
            </w:r>
          </w:p>
        </w:tc>
        <w:tc>
          <w:tcPr>
            <w:tcW w:w="2340" w:type="dxa"/>
            <w:shd w:val="clear" w:color="auto" w:fill="auto"/>
          </w:tcPr>
          <w:p w:rsidRPr="007F620E" w:rsidR="00A92D0B" w:rsidP="00045A2F" w:rsidRDefault="00A92D0B" w14:paraId="127AAF20" w14:textId="77777777">
            <w:pPr>
              <w:keepNext/>
              <w:keepLines/>
              <w:tabs>
                <w:tab w:val="left" w:pos="360"/>
              </w:tabs>
              <w:spacing w:before="120"/>
              <w:ind w:left="360" w:hanging="360"/>
              <w:rPr>
                <w:color w:val="000000"/>
              </w:rPr>
            </w:pPr>
          </w:p>
        </w:tc>
        <w:tc>
          <w:tcPr>
            <w:tcW w:w="2340" w:type="dxa"/>
            <w:shd w:val="clear" w:color="auto" w:fill="auto"/>
          </w:tcPr>
          <w:p w:rsidRPr="007F620E" w:rsidR="00A92D0B" w:rsidP="009A62F6" w:rsidRDefault="00A92D0B" w14:paraId="079D1780" w14:textId="77777777">
            <w:pPr>
              <w:tabs>
                <w:tab w:val="left" w:pos="360"/>
              </w:tabs>
              <w:spacing w:before="120"/>
              <w:jc w:val="both"/>
              <w:rPr>
                <w:color w:val="000000"/>
              </w:rPr>
            </w:pPr>
          </w:p>
        </w:tc>
      </w:tr>
      <w:tr w:rsidRPr="007F620E" w:rsidR="00A92D0B" w:rsidTr="009A7144" w14:paraId="077FA058" w14:textId="77777777">
        <w:tc>
          <w:tcPr>
            <w:tcW w:w="5040" w:type="dxa"/>
            <w:shd w:val="clear" w:color="auto" w:fill="auto"/>
          </w:tcPr>
          <w:p w:rsidRPr="007F620E" w:rsidR="00A92D0B" w:rsidP="00915118" w:rsidRDefault="00FC72B7" w14:paraId="4DB8BD6A" w14:textId="77777777">
            <w:pPr>
              <w:tabs>
                <w:tab w:val="left" w:pos="360"/>
              </w:tabs>
              <w:spacing w:before="120"/>
              <w:ind w:left="360" w:hanging="360"/>
              <w:rPr>
                <w:color w:val="000000"/>
              </w:rPr>
            </w:pPr>
            <w:r w:rsidRPr="007F620E">
              <w:rPr>
                <w:color w:val="000000"/>
              </w:rPr>
              <w:t xml:space="preserve"> </w:t>
            </w:r>
            <w:r w:rsidRPr="007F620E" w:rsidR="00A92D0B">
              <w:rPr>
                <w:color w:val="000000"/>
              </w:rPr>
              <w:t xml:space="preserve">3.  Date NOI </w:t>
            </w:r>
            <w:r w:rsidRPr="007F620E" w:rsidR="00A319DE">
              <w:rPr>
                <w:color w:val="000000"/>
              </w:rPr>
              <w:t>f</w:t>
            </w:r>
            <w:r w:rsidRPr="007F620E" w:rsidR="00A92D0B">
              <w:rPr>
                <w:color w:val="000000"/>
              </w:rPr>
              <w:t>iled:</w:t>
            </w:r>
          </w:p>
        </w:tc>
        <w:tc>
          <w:tcPr>
            <w:tcW w:w="2340" w:type="dxa"/>
            <w:tcBorders>
              <w:bottom w:val="single" w:color="auto" w:sz="4" w:space="0"/>
            </w:tcBorders>
            <w:shd w:val="clear" w:color="auto" w:fill="auto"/>
          </w:tcPr>
          <w:p w:rsidRPr="007F620E" w:rsidR="00A92D0B" w:rsidP="00045A2F" w:rsidRDefault="00FD0570" w14:paraId="434774B5" w14:textId="77777777">
            <w:pPr>
              <w:keepNext/>
              <w:keepLines/>
              <w:tabs>
                <w:tab w:val="left" w:pos="360"/>
              </w:tabs>
              <w:spacing w:before="120"/>
              <w:ind w:left="360" w:hanging="360"/>
              <w:rPr>
                <w:color w:val="000000"/>
              </w:rPr>
            </w:pPr>
            <w:r>
              <w:rPr>
                <w:color w:val="000000"/>
              </w:rPr>
              <w:t>March 21, 2019</w:t>
            </w:r>
          </w:p>
        </w:tc>
        <w:tc>
          <w:tcPr>
            <w:tcW w:w="2340" w:type="dxa"/>
            <w:tcBorders>
              <w:bottom w:val="single" w:color="auto" w:sz="4" w:space="0"/>
            </w:tcBorders>
            <w:shd w:val="clear" w:color="auto" w:fill="auto"/>
          </w:tcPr>
          <w:p w:rsidRPr="007F620E" w:rsidR="00A92D0B" w:rsidP="009A62F6" w:rsidRDefault="00691AAB" w14:paraId="27551E7E" w14:textId="77777777">
            <w:pPr>
              <w:tabs>
                <w:tab w:val="left" w:pos="360"/>
              </w:tabs>
              <w:spacing w:before="120"/>
              <w:jc w:val="both"/>
              <w:rPr>
                <w:color w:val="000000"/>
              </w:rPr>
            </w:pPr>
            <w:r>
              <w:rPr>
                <w:color w:val="000000"/>
              </w:rPr>
              <w:t>Verified</w:t>
            </w:r>
          </w:p>
        </w:tc>
      </w:tr>
      <w:tr w:rsidRPr="007F620E" w:rsidR="00A92D0B" w:rsidTr="00180E8C" w14:paraId="0A43B839" w14:textId="77777777">
        <w:tc>
          <w:tcPr>
            <w:tcW w:w="7380" w:type="dxa"/>
            <w:gridSpan w:val="2"/>
            <w:tcBorders>
              <w:bottom w:val="single" w:color="auto" w:sz="4" w:space="0"/>
            </w:tcBorders>
            <w:shd w:val="clear" w:color="auto" w:fill="auto"/>
          </w:tcPr>
          <w:p w:rsidRPr="007F620E" w:rsidR="00A92D0B" w:rsidP="00A92D0B" w:rsidRDefault="00FC72B7" w14:paraId="4636F7E8" w14:textId="77777777">
            <w:pPr>
              <w:tabs>
                <w:tab w:val="left" w:pos="360"/>
              </w:tabs>
              <w:spacing w:before="120"/>
              <w:ind w:left="360" w:hanging="360"/>
              <w:rPr>
                <w:color w:val="000000"/>
              </w:rPr>
            </w:pPr>
            <w:r w:rsidRPr="007F620E">
              <w:rPr>
                <w:color w:val="000000"/>
              </w:rPr>
              <w:t xml:space="preserve"> </w:t>
            </w:r>
            <w:r w:rsidRPr="007F620E" w:rsidR="00A92D0B">
              <w:rPr>
                <w:color w:val="000000"/>
              </w:rPr>
              <w:t xml:space="preserve">4. </w:t>
            </w:r>
            <w:r w:rsidRPr="007F620E">
              <w:rPr>
                <w:color w:val="000000"/>
              </w:rPr>
              <w:t xml:space="preserve"> </w:t>
            </w:r>
            <w:r w:rsidRPr="007F620E" w:rsidR="00A92D0B">
              <w:rPr>
                <w:color w:val="000000"/>
              </w:rPr>
              <w:t>Was the NOI timely filed?</w:t>
            </w:r>
          </w:p>
        </w:tc>
        <w:tc>
          <w:tcPr>
            <w:tcW w:w="2340" w:type="dxa"/>
            <w:tcBorders>
              <w:bottom w:val="single" w:color="auto" w:sz="4" w:space="0"/>
            </w:tcBorders>
            <w:shd w:val="clear" w:color="auto" w:fill="auto"/>
          </w:tcPr>
          <w:p w:rsidRPr="007F620E" w:rsidR="00A92D0B" w:rsidP="00A92D0B" w:rsidRDefault="00691AAB" w14:paraId="45D15201" w14:textId="39690922">
            <w:pPr>
              <w:tabs>
                <w:tab w:val="left" w:pos="360"/>
              </w:tabs>
              <w:spacing w:before="120"/>
              <w:rPr>
                <w:color w:val="000000"/>
              </w:rPr>
            </w:pPr>
            <w:r>
              <w:rPr>
                <w:color w:val="000000"/>
              </w:rPr>
              <w:t>Yes</w:t>
            </w:r>
          </w:p>
        </w:tc>
      </w:tr>
      <w:tr w:rsidRPr="007F620E" w:rsidR="00A92D0B" w:rsidTr="00180E8C" w14:paraId="701F6DF1"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7F620E" w:rsidR="00A92D0B" w:rsidP="00ED6B6B" w:rsidRDefault="00A92D0B" w14:paraId="62FF1D99" w14:textId="77777777">
            <w:pPr>
              <w:keepNext/>
              <w:keepLines/>
              <w:tabs>
                <w:tab w:val="left" w:pos="360"/>
              </w:tabs>
              <w:spacing w:before="60"/>
              <w:jc w:val="center"/>
              <w:rPr>
                <w:b/>
                <w:color w:val="000000"/>
              </w:rPr>
            </w:pPr>
            <w:r w:rsidRPr="007F620E">
              <w:rPr>
                <w:b/>
                <w:color w:val="000000"/>
              </w:rPr>
              <w:t xml:space="preserve">Showing of </w:t>
            </w:r>
            <w:r w:rsidRPr="007F620E" w:rsidR="00F63C29">
              <w:rPr>
                <w:b/>
                <w:color w:val="000000"/>
              </w:rPr>
              <w:t xml:space="preserve">eligible </w:t>
            </w:r>
            <w:r w:rsidRPr="007F620E">
              <w:rPr>
                <w:b/>
                <w:color w:val="000000"/>
              </w:rPr>
              <w:t xml:space="preserve">customer </w:t>
            </w:r>
            <w:r w:rsidRPr="007F620E" w:rsidR="00F63C29">
              <w:rPr>
                <w:b/>
                <w:color w:val="000000"/>
              </w:rPr>
              <w:t xml:space="preserve">status (§ 1802(b) or eligible local government entity </w:t>
            </w:r>
            <w:r w:rsidR="00ED6B6B">
              <w:rPr>
                <w:b/>
                <w:color w:val="000000"/>
              </w:rPr>
              <w:t>status</w:t>
            </w:r>
            <w:r w:rsidRPr="007F620E" w:rsidR="00F63C29">
              <w:rPr>
                <w:b/>
                <w:color w:val="000000"/>
              </w:rPr>
              <w:br/>
              <w:t>(§§ 1802(d), 1802.4)</w:t>
            </w:r>
            <w:r w:rsidRPr="007F620E">
              <w:rPr>
                <w:b/>
                <w:color w:val="000000"/>
              </w:rPr>
              <w:t>:</w:t>
            </w:r>
          </w:p>
        </w:tc>
      </w:tr>
      <w:tr w:rsidRPr="007F620E" w:rsidR="00A92D0B" w:rsidTr="009A7144" w14:paraId="5A4BEDB7" w14:textId="77777777">
        <w:tc>
          <w:tcPr>
            <w:tcW w:w="5040" w:type="dxa"/>
            <w:tcBorders>
              <w:top w:val="single" w:color="auto" w:sz="4" w:space="0"/>
            </w:tcBorders>
            <w:shd w:val="clear" w:color="auto" w:fill="auto"/>
          </w:tcPr>
          <w:p w:rsidRPr="007F620E" w:rsidR="00A92D0B" w:rsidP="007E71C3" w:rsidRDefault="00FC72B7" w14:paraId="00C99DF5" w14:textId="77777777">
            <w:pPr>
              <w:keepNext/>
              <w:keepLines/>
              <w:spacing w:before="120"/>
              <w:ind w:left="360" w:hanging="360"/>
              <w:rPr>
                <w:color w:val="000000"/>
              </w:rPr>
            </w:pPr>
            <w:r w:rsidRPr="007F620E">
              <w:rPr>
                <w:color w:val="000000"/>
              </w:rPr>
              <w:t xml:space="preserve"> </w:t>
            </w:r>
            <w:r w:rsidRPr="007F620E" w:rsidR="00A92D0B">
              <w:rPr>
                <w:color w:val="000000"/>
              </w:rPr>
              <w:t xml:space="preserve">5.  Based on ALJ ruling issued in proceeding </w:t>
            </w:r>
            <w:r w:rsidRPr="007F620E" w:rsidR="00E3786F">
              <w:rPr>
                <w:color w:val="000000"/>
              </w:rPr>
              <w:t xml:space="preserve">  </w:t>
            </w:r>
            <w:r w:rsidRPr="007F620E" w:rsidR="00A92D0B">
              <w:rPr>
                <w:color w:val="000000"/>
              </w:rPr>
              <w:t>number:</w:t>
            </w:r>
          </w:p>
        </w:tc>
        <w:tc>
          <w:tcPr>
            <w:tcW w:w="2340" w:type="dxa"/>
            <w:tcBorders>
              <w:top w:val="single" w:color="auto" w:sz="4" w:space="0"/>
            </w:tcBorders>
            <w:shd w:val="clear" w:color="auto" w:fill="auto"/>
          </w:tcPr>
          <w:p w:rsidRPr="007F620E" w:rsidR="00A92D0B" w:rsidP="007E71C3" w:rsidRDefault="00EE21DC" w14:paraId="51BD6697" w14:textId="77777777">
            <w:pPr>
              <w:keepNext/>
              <w:keepLines/>
              <w:tabs>
                <w:tab w:val="left" w:pos="360"/>
              </w:tabs>
              <w:spacing w:before="120"/>
              <w:ind w:left="360" w:hanging="360"/>
              <w:rPr>
                <w:color w:val="000000"/>
              </w:rPr>
            </w:pPr>
            <w:r>
              <w:rPr>
                <w:color w:val="000000"/>
              </w:rPr>
              <w:t>See Comment #1</w:t>
            </w:r>
          </w:p>
        </w:tc>
        <w:tc>
          <w:tcPr>
            <w:tcW w:w="2340" w:type="dxa"/>
            <w:tcBorders>
              <w:top w:val="single" w:color="auto" w:sz="4" w:space="0"/>
            </w:tcBorders>
            <w:shd w:val="clear" w:color="auto" w:fill="auto"/>
          </w:tcPr>
          <w:p w:rsidRPr="007F620E" w:rsidR="00A92D0B" w:rsidP="007E71C3" w:rsidRDefault="00691AAB" w14:paraId="6A159D99" w14:textId="5FBFC551">
            <w:pPr>
              <w:keepNext/>
              <w:keepLines/>
              <w:tabs>
                <w:tab w:val="left" w:pos="360"/>
              </w:tabs>
              <w:spacing w:before="120"/>
              <w:rPr>
                <w:color w:val="000000"/>
              </w:rPr>
            </w:pPr>
            <w:r>
              <w:rPr>
                <w:color w:val="000000"/>
              </w:rPr>
              <w:t>R</w:t>
            </w:r>
            <w:r w:rsidR="003C386B">
              <w:rPr>
                <w:color w:val="000000"/>
              </w:rPr>
              <w:t>.</w:t>
            </w:r>
            <w:r>
              <w:rPr>
                <w:color w:val="000000"/>
              </w:rPr>
              <w:t>18-12-005</w:t>
            </w:r>
          </w:p>
        </w:tc>
      </w:tr>
      <w:tr w:rsidRPr="007F620E" w:rsidR="00A92D0B" w:rsidTr="009A7144" w14:paraId="5C3DDC25" w14:textId="77777777">
        <w:tc>
          <w:tcPr>
            <w:tcW w:w="5040" w:type="dxa"/>
            <w:shd w:val="clear" w:color="auto" w:fill="auto"/>
          </w:tcPr>
          <w:p w:rsidRPr="007F620E" w:rsidR="00A92D0B" w:rsidP="00FC72B7" w:rsidRDefault="00FC72B7" w14:paraId="2DEB7E57" w14:textId="77777777">
            <w:pPr>
              <w:tabs>
                <w:tab w:val="left" w:pos="360"/>
              </w:tabs>
              <w:spacing w:before="120"/>
              <w:ind w:left="360" w:hanging="360"/>
              <w:rPr>
                <w:color w:val="000000"/>
              </w:rPr>
            </w:pPr>
            <w:r w:rsidRPr="007F620E">
              <w:rPr>
                <w:color w:val="000000"/>
              </w:rPr>
              <w:t xml:space="preserve"> </w:t>
            </w:r>
            <w:r w:rsidRPr="007F620E" w:rsidR="00A92D0B">
              <w:rPr>
                <w:color w:val="000000"/>
              </w:rPr>
              <w:t>6.  Date of ALJ ruling:</w:t>
            </w:r>
          </w:p>
        </w:tc>
        <w:tc>
          <w:tcPr>
            <w:tcW w:w="2340" w:type="dxa"/>
            <w:shd w:val="clear" w:color="auto" w:fill="auto"/>
          </w:tcPr>
          <w:p w:rsidRPr="007F620E" w:rsidR="00A92D0B" w:rsidP="00A92D0B" w:rsidRDefault="00A92D0B" w14:paraId="3E5AA8EC" w14:textId="77777777">
            <w:pPr>
              <w:tabs>
                <w:tab w:val="left" w:pos="360"/>
              </w:tabs>
              <w:spacing w:before="120"/>
              <w:ind w:left="360" w:hanging="360"/>
              <w:rPr>
                <w:color w:val="000000"/>
              </w:rPr>
            </w:pPr>
          </w:p>
        </w:tc>
        <w:tc>
          <w:tcPr>
            <w:tcW w:w="2340" w:type="dxa"/>
            <w:shd w:val="clear" w:color="auto" w:fill="auto"/>
          </w:tcPr>
          <w:p w:rsidRPr="007F620E" w:rsidR="00A92D0B" w:rsidP="00A92D0B" w:rsidRDefault="007C0156" w14:paraId="370F2CFE" w14:textId="1B12EE1B">
            <w:pPr>
              <w:tabs>
                <w:tab w:val="left" w:pos="360"/>
              </w:tabs>
              <w:spacing w:before="120"/>
              <w:rPr>
                <w:color w:val="000000"/>
              </w:rPr>
            </w:pPr>
            <w:r>
              <w:rPr>
                <w:color w:val="000000"/>
              </w:rPr>
              <w:t>June 16, 2020</w:t>
            </w:r>
          </w:p>
        </w:tc>
      </w:tr>
      <w:tr w:rsidRPr="007F620E" w:rsidR="00A92D0B" w:rsidTr="009A7144" w14:paraId="6F02F35F" w14:textId="77777777">
        <w:tc>
          <w:tcPr>
            <w:tcW w:w="5040" w:type="dxa"/>
            <w:shd w:val="clear" w:color="auto" w:fill="auto"/>
          </w:tcPr>
          <w:p w:rsidRPr="007F620E" w:rsidR="00A92D0B" w:rsidP="00FC72B7" w:rsidRDefault="00FC72B7" w14:paraId="4C336968" w14:textId="77777777">
            <w:pPr>
              <w:tabs>
                <w:tab w:val="left" w:pos="360"/>
              </w:tabs>
              <w:spacing w:before="120"/>
              <w:ind w:left="360" w:hanging="360"/>
              <w:rPr>
                <w:color w:val="000000"/>
              </w:rPr>
            </w:pPr>
            <w:r w:rsidRPr="007F620E">
              <w:rPr>
                <w:color w:val="000000"/>
              </w:rPr>
              <w:t xml:space="preserve"> </w:t>
            </w:r>
            <w:r w:rsidRPr="007F620E" w:rsidR="00A92D0B">
              <w:rPr>
                <w:color w:val="000000"/>
              </w:rPr>
              <w:t>7.  Based on another CPUC determination (specify):</w:t>
            </w:r>
          </w:p>
        </w:tc>
        <w:tc>
          <w:tcPr>
            <w:tcW w:w="2340" w:type="dxa"/>
            <w:tcBorders>
              <w:bottom w:val="single" w:color="auto" w:sz="4" w:space="0"/>
            </w:tcBorders>
            <w:shd w:val="clear" w:color="auto" w:fill="auto"/>
          </w:tcPr>
          <w:p w:rsidRPr="007F620E" w:rsidR="00A92D0B" w:rsidP="00A92D0B" w:rsidRDefault="00A92D0B" w14:paraId="6B5F9F2F" w14:textId="77777777">
            <w:pPr>
              <w:tabs>
                <w:tab w:val="left" w:pos="360"/>
              </w:tabs>
              <w:spacing w:before="120"/>
              <w:ind w:left="360" w:hanging="360"/>
              <w:rPr>
                <w:color w:val="000000"/>
              </w:rPr>
            </w:pPr>
          </w:p>
        </w:tc>
        <w:tc>
          <w:tcPr>
            <w:tcW w:w="2340" w:type="dxa"/>
            <w:tcBorders>
              <w:bottom w:val="single" w:color="auto" w:sz="4" w:space="0"/>
            </w:tcBorders>
            <w:shd w:val="clear" w:color="auto" w:fill="auto"/>
          </w:tcPr>
          <w:p w:rsidRPr="007F620E" w:rsidR="00A92D0B" w:rsidP="00A92D0B" w:rsidRDefault="00A92D0B" w14:paraId="4E6AB733" w14:textId="172704C0">
            <w:pPr>
              <w:tabs>
                <w:tab w:val="left" w:pos="360"/>
              </w:tabs>
              <w:spacing w:before="120"/>
              <w:rPr>
                <w:color w:val="000000"/>
              </w:rPr>
            </w:pPr>
          </w:p>
        </w:tc>
      </w:tr>
      <w:tr w:rsidRPr="007F620E" w:rsidR="00A92D0B" w:rsidTr="00180E8C" w14:paraId="3CB439F5" w14:textId="77777777">
        <w:tc>
          <w:tcPr>
            <w:tcW w:w="7380" w:type="dxa"/>
            <w:gridSpan w:val="2"/>
            <w:tcBorders>
              <w:bottom w:val="single" w:color="auto" w:sz="4" w:space="0"/>
            </w:tcBorders>
            <w:shd w:val="clear" w:color="auto" w:fill="auto"/>
          </w:tcPr>
          <w:p w:rsidRPr="007F620E" w:rsidR="00A92D0B" w:rsidP="00ED6B6B" w:rsidRDefault="00FC72B7" w14:paraId="5F3F672A" w14:textId="77777777">
            <w:pPr>
              <w:tabs>
                <w:tab w:val="left" w:pos="360"/>
              </w:tabs>
              <w:spacing w:before="120"/>
              <w:ind w:left="360" w:hanging="360"/>
              <w:rPr>
                <w:color w:val="000000"/>
              </w:rPr>
            </w:pPr>
            <w:r w:rsidRPr="007F620E">
              <w:rPr>
                <w:color w:val="000000"/>
              </w:rPr>
              <w:t xml:space="preserve"> </w:t>
            </w:r>
            <w:r w:rsidRPr="007F620E" w:rsidR="00A92D0B">
              <w:rPr>
                <w:color w:val="000000"/>
              </w:rPr>
              <w:t xml:space="preserve">8. </w:t>
            </w:r>
            <w:r w:rsidRPr="007F620E">
              <w:rPr>
                <w:color w:val="000000"/>
              </w:rPr>
              <w:t xml:space="preserve"> </w:t>
            </w:r>
            <w:r w:rsidRPr="007F620E" w:rsidR="00A92D0B">
              <w:rPr>
                <w:color w:val="000000"/>
              </w:rPr>
              <w:t xml:space="preserve">Has the </w:t>
            </w:r>
            <w:r w:rsidRPr="007F620E" w:rsidR="005A63D4">
              <w:rPr>
                <w:color w:val="000000"/>
              </w:rPr>
              <w:t xml:space="preserve">Intervenor </w:t>
            </w:r>
            <w:r w:rsidRPr="007F620E" w:rsidR="00A92D0B">
              <w:rPr>
                <w:color w:val="000000"/>
              </w:rPr>
              <w:t xml:space="preserve">demonstrated </w:t>
            </w:r>
            <w:r w:rsidRPr="00ED6B6B" w:rsidR="00A92D0B">
              <w:t>customer</w:t>
            </w:r>
            <w:r w:rsidRPr="007F620E" w:rsidR="00A92D0B">
              <w:rPr>
                <w:color w:val="000000"/>
              </w:rPr>
              <w:t xml:space="preserve"> </w:t>
            </w:r>
            <w:r w:rsidR="00ED6B6B">
              <w:rPr>
                <w:color w:val="000000"/>
              </w:rPr>
              <w:t>status or eligible government entity status</w:t>
            </w:r>
            <w:r w:rsidRPr="007F620E" w:rsidR="00A92D0B">
              <w:rPr>
                <w:color w:val="000000"/>
              </w:rPr>
              <w:t>?</w:t>
            </w:r>
          </w:p>
        </w:tc>
        <w:tc>
          <w:tcPr>
            <w:tcW w:w="2340" w:type="dxa"/>
            <w:tcBorders>
              <w:bottom w:val="single" w:color="auto" w:sz="4" w:space="0"/>
            </w:tcBorders>
            <w:shd w:val="clear" w:color="auto" w:fill="auto"/>
          </w:tcPr>
          <w:p w:rsidRPr="007F620E" w:rsidR="00A92D0B" w:rsidP="00A92D0B" w:rsidRDefault="006E0386" w14:paraId="1E65A694" w14:textId="77777777">
            <w:pPr>
              <w:tabs>
                <w:tab w:val="left" w:pos="360"/>
              </w:tabs>
              <w:spacing w:before="120"/>
              <w:rPr>
                <w:color w:val="000000"/>
              </w:rPr>
            </w:pPr>
            <w:r>
              <w:rPr>
                <w:color w:val="000000"/>
              </w:rPr>
              <w:t>Yes</w:t>
            </w:r>
          </w:p>
        </w:tc>
      </w:tr>
      <w:tr w:rsidRPr="007F620E" w:rsidR="00A92D0B" w:rsidTr="00180E8C" w14:paraId="14C590EC"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7F620E" w:rsidR="00A92D0B" w:rsidP="00ED6B6B" w:rsidRDefault="00A92D0B" w14:paraId="69203CB3" w14:textId="77777777">
            <w:pPr>
              <w:tabs>
                <w:tab w:val="left" w:pos="360"/>
              </w:tabs>
              <w:spacing w:before="60"/>
              <w:jc w:val="center"/>
              <w:rPr>
                <w:color w:val="000000"/>
              </w:rPr>
            </w:pPr>
            <w:r w:rsidRPr="007F620E">
              <w:rPr>
                <w:b/>
                <w:color w:val="000000"/>
              </w:rPr>
              <w:t>Showing of “significant</w:t>
            </w:r>
            <w:r w:rsidRPr="007F620E" w:rsidR="00F63C29">
              <w:rPr>
                <w:b/>
                <w:color w:val="000000"/>
              </w:rPr>
              <w:t xml:space="preserve"> financial hardship” (§1802(</w:t>
            </w:r>
            <w:r w:rsidR="00175865">
              <w:rPr>
                <w:b/>
                <w:color w:val="000000"/>
              </w:rPr>
              <w:t>h</w:t>
            </w:r>
            <w:r w:rsidRPr="007F620E" w:rsidR="00F63C29">
              <w:rPr>
                <w:b/>
                <w:color w:val="000000"/>
              </w:rPr>
              <w:t xml:space="preserve">) or </w:t>
            </w:r>
            <w:r w:rsidRPr="007F620E" w:rsidR="00ED6B6B">
              <w:rPr>
                <w:b/>
                <w:color w:val="000000"/>
              </w:rPr>
              <w:t>§</w:t>
            </w:r>
            <w:r w:rsidRPr="007F620E" w:rsidR="00F63C29">
              <w:rPr>
                <w:b/>
                <w:color w:val="000000"/>
              </w:rPr>
              <w:t>1803.1(b))</w:t>
            </w:r>
            <w:r w:rsidR="00C02649">
              <w:rPr>
                <w:b/>
                <w:color w:val="000000"/>
              </w:rPr>
              <w:t>:</w:t>
            </w:r>
          </w:p>
        </w:tc>
      </w:tr>
      <w:tr w:rsidRPr="007F620E" w:rsidR="00A92D0B" w:rsidTr="009A7144" w14:paraId="33A11B21" w14:textId="77777777">
        <w:tc>
          <w:tcPr>
            <w:tcW w:w="5040" w:type="dxa"/>
            <w:tcBorders>
              <w:top w:val="single" w:color="auto" w:sz="4" w:space="0"/>
            </w:tcBorders>
            <w:shd w:val="clear" w:color="auto" w:fill="auto"/>
          </w:tcPr>
          <w:p w:rsidRPr="007F620E" w:rsidR="00A92D0B" w:rsidP="00E3786F" w:rsidRDefault="00FC72B7" w14:paraId="7A5564CE" w14:textId="77777777">
            <w:pPr>
              <w:tabs>
                <w:tab w:val="left" w:pos="315"/>
              </w:tabs>
              <w:spacing w:before="120"/>
              <w:ind w:left="360" w:hanging="360"/>
              <w:rPr>
                <w:color w:val="000000"/>
              </w:rPr>
            </w:pPr>
            <w:r w:rsidRPr="007F620E">
              <w:rPr>
                <w:color w:val="000000"/>
              </w:rPr>
              <w:t xml:space="preserve"> </w:t>
            </w:r>
            <w:r w:rsidRPr="007F620E" w:rsidR="00A92D0B">
              <w:rPr>
                <w:color w:val="000000"/>
              </w:rPr>
              <w:t>9.  Based on ALJ ruling issued in proceeding number:</w:t>
            </w:r>
          </w:p>
        </w:tc>
        <w:tc>
          <w:tcPr>
            <w:tcW w:w="2340" w:type="dxa"/>
            <w:tcBorders>
              <w:top w:val="single" w:color="auto" w:sz="4" w:space="0"/>
            </w:tcBorders>
            <w:shd w:val="clear" w:color="auto" w:fill="auto"/>
          </w:tcPr>
          <w:p w:rsidRPr="007F620E" w:rsidR="00A92D0B" w:rsidP="00EE21DC" w:rsidRDefault="00EE21DC" w14:paraId="39092015" w14:textId="77777777">
            <w:pPr>
              <w:tabs>
                <w:tab w:val="right" w:pos="2124"/>
              </w:tabs>
              <w:spacing w:before="120"/>
              <w:ind w:left="360" w:hanging="360"/>
              <w:jc w:val="center"/>
              <w:rPr>
                <w:color w:val="000000"/>
              </w:rPr>
            </w:pPr>
            <w:r>
              <w:rPr>
                <w:color w:val="000000"/>
              </w:rPr>
              <w:t>See Comment #1</w:t>
            </w:r>
          </w:p>
        </w:tc>
        <w:tc>
          <w:tcPr>
            <w:tcW w:w="2340" w:type="dxa"/>
            <w:tcBorders>
              <w:top w:val="single" w:color="auto" w:sz="4" w:space="0"/>
            </w:tcBorders>
            <w:shd w:val="clear" w:color="auto" w:fill="auto"/>
          </w:tcPr>
          <w:p w:rsidRPr="007F620E" w:rsidR="00A92D0B" w:rsidP="00A92D0B" w:rsidRDefault="006E0386" w14:paraId="2E20992D" w14:textId="49A7DB10">
            <w:pPr>
              <w:tabs>
                <w:tab w:val="left" w:pos="360"/>
              </w:tabs>
              <w:spacing w:before="120"/>
              <w:rPr>
                <w:color w:val="000000"/>
              </w:rPr>
            </w:pPr>
            <w:r>
              <w:rPr>
                <w:color w:val="000000"/>
              </w:rPr>
              <w:t>R</w:t>
            </w:r>
            <w:r w:rsidR="003C386B">
              <w:rPr>
                <w:color w:val="000000"/>
              </w:rPr>
              <w:t>.</w:t>
            </w:r>
            <w:r>
              <w:rPr>
                <w:color w:val="000000"/>
              </w:rPr>
              <w:t>18-12-005</w:t>
            </w:r>
          </w:p>
        </w:tc>
      </w:tr>
      <w:tr w:rsidRPr="007F620E" w:rsidR="00A92D0B" w:rsidTr="009A7144" w14:paraId="20ADC2F6" w14:textId="77777777">
        <w:tc>
          <w:tcPr>
            <w:tcW w:w="5040" w:type="dxa"/>
            <w:shd w:val="clear" w:color="auto" w:fill="auto"/>
          </w:tcPr>
          <w:p w:rsidRPr="007F620E" w:rsidR="00A92D0B" w:rsidP="00A92D0B" w:rsidRDefault="007C0156" w14:paraId="469A9B47" w14:textId="5005D10B">
            <w:pPr>
              <w:tabs>
                <w:tab w:val="left" w:pos="315"/>
              </w:tabs>
              <w:spacing w:before="120"/>
              <w:ind w:left="360" w:hanging="360"/>
              <w:rPr>
                <w:color w:val="000000"/>
              </w:rPr>
            </w:pPr>
            <w:r>
              <w:rPr>
                <w:color w:val="000000"/>
              </w:rPr>
              <w:t>10. Date of ALJ ruling:</w:t>
            </w:r>
          </w:p>
        </w:tc>
        <w:tc>
          <w:tcPr>
            <w:tcW w:w="2340" w:type="dxa"/>
            <w:shd w:val="clear" w:color="auto" w:fill="auto"/>
          </w:tcPr>
          <w:p w:rsidRPr="007F620E" w:rsidR="00A92D0B" w:rsidP="00A92D0B" w:rsidRDefault="00A92D0B" w14:paraId="3443C7EA" w14:textId="77777777">
            <w:pPr>
              <w:tabs>
                <w:tab w:val="left" w:pos="360"/>
              </w:tabs>
              <w:spacing w:before="120"/>
              <w:ind w:hanging="360"/>
              <w:rPr>
                <w:color w:val="000000"/>
              </w:rPr>
            </w:pPr>
          </w:p>
        </w:tc>
        <w:tc>
          <w:tcPr>
            <w:tcW w:w="2340" w:type="dxa"/>
            <w:shd w:val="clear" w:color="auto" w:fill="auto"/>
          </w:tcPr>
          <w:p w:rsidRPr="007F620E" w:rsidR="00A92D0B" w:rsidP="00A92D0B" w:rsidRDefault="007C0156" w14:paraId="27591CAC" w14:textId="342D3A75">
            <w:pPr>
              <w:tabs>
                <w:tab w:val="left" w:pos="360"/>
              </w:tabs>
              <w:spacing w:before="120"/>
              <w:rPr>
                <w:color w:val="000000"/>
              </w:rPr>
            </w:pPr>
            <w:r>
              <w:rPr>
                <w:color w:val="000000"/>
              </w:rPr>
              <w:t>January 28, 2021</w:t>
            </w:r>
          </w:p>
        </w:tc>
      </w:tr>
      <w:tr w:rsidRPr="007F620E" w:rsidR="00357F1A" w:rsidTr="009A7144" w14:paraId="7AC45A55" w14:textId="77777777">
        <w:tc>
          <w:tcPr>
            <w:tcW w:w="5040" w:type="dxa"/>
            <w:shd w:val="clear" w:color="auto" w:fill="auto"/>
          </w:tcPr>
          <w:p w:rsidRPr="007F620E" w:rsidR="00357F1A" w:rsidP="00357F1A" w:rsidRDefault="00357F1A" w14:paraId="451D0DFD" w14:textId="77777777">
            <w:pPr>
              <w:tabs>
                <w:tab w:val="left" w:pos="315"/>
              </w:tabs>
              <w:spacing w:before="120"/>
              <w:ind w:left="360" w:hanging="360"/>
              <w:rPr>
                <w:color w:val="000000"/>
              </w:rPr>
            </w:pPr>
            <w:r w:rsidRPr="007F620E">
              <w:rPr>
                <w:color w:val="000000"/>
              </w:rPr>
              <w:t>11. Based on another CPUC determination (specify):</w:t>
            </w:r>
          </w:p>
        </w:tc>
        <w:tc>
          <w:tcPr>
            <w:tcW w:w="2340" w:type="dxa"/>
            <w:shd w:val="clear" w:color="auto" w:fill="auto"/>
          </w:tcPr>
          <w:p w:rsidRPr="007F620E" w:rsidR="00357F1A" w:rsidP="00A92D0B" w:rsidRDefault="00357F1A" w14:paraId="06AE8CB6" w14:textId="77777777">
            <w:pPr>
              <w:tabs>
                <w:tab w:val="left" w:pos="360"/>
              </w:tabs>
              <w:spacing w:before="120"/>
              <w:ind w:hanging="360"/>
              <w:rPr>
                <w:color w:val="000000"/>
              </w:rPr>
            </w:pPr>
          </w:p>
        </w:tc>
        <w:tc>
          <w:tcPr>
            <w:tcW w:w="2340" w:type="dxa"/>
            <w:shd w:val="clear" w:color="auto" w:fill="auto"/>
          </w:tcPr>
          <w:p w:rsidRPr="007F620E" w:rsidR="00357F1A" w:rsidP="00A92D0B" w:rsidRDefault="00357F1A" w14:paraId="7158E7DF" w14:textId="4EEDEDAD">
            <w:pPr>
              <w:tabs>
                <w:tab w:val="left" w:pos="360"/>
              </w:tabs>
              <w:spacing w:before="120"/>
              <w:rPr>
                <w:color w:val="000000"/>
              </w:rPr>
            </w:pPr>
          </w:p>
        </w:tc>
      </w:tr>
      <w:tr w:rsidRPr="007F620E" w:rsidR="00A92D0B" w:rsidTr="00180E8C" w14:paraId="54A7D17A" w14:textId="77777777">
        <w:tc>
          <w:tcPr>
            <w:tcW w:w="7380" w:type="dxa"/>
            <w:gridSpan w:val="2"/>
            <w:tcBorders>
              <w:bottom w:val="single" w:color="auto" w:sz="4" w:space="0"/>
            </w:tcBorders>
            <w:shd w:val="clear" w:color="auto" w:fill="auto"/>
          </w:tcPr>
          <w:p w:rsidRPr="007F620E" w:rsidR="00A92D0B" w:rsidP="005A63D4" w:rsidRDefault="00180E8C" w14:paraId="59CA66B0" w14:textId="77777777">
            <w:pPr>
              <w:tabs>
                <w:tab w:val="left" w:pos="360"/>
              </w:tabs>
              <w:spacing w:before="120"/>
              <w:ind w:hanging="360"/>
              <w:rPr>
                <w:color w:val="000000"/>
              </w:rPr>
            </w:pPr>
            <w:r>
              <w:rPr>
                <w:color w:val="000000"/>
              </w:rPr>
              <w:t>12</w:t>
            </w:r>
            <w:r w:rsidRPr="007F620E" w:rsidR="00A92D0B">
              <w:rPr>
                <w:color w:val="000000"/>
              </w:rPr>
              <w:t xml:space="preserve"> 12. </w:t>
            </w:r>
            <w:r w:rsidRPr="007F620E" w:rsidR="00FC72B7">
              <w:rPr>
                <w:color w:val="000000"/>
              </w:rPr>
              <w:t xml:space="preserve"> </w:t>
            </w:r>
            <w:r w:rsidRPr="007F620E" w:rsidR="00A92D0B">
              <w:rPr>
                <w:color w:val="000000"/>
              </w:rPr>
              <w:t>Has the</w:t>
            </w:r>
            <w:r w:rsidRPr="007F620E" w:rsidR="00A319DE">
              <w:rPr>
                <w:color w:val="000000"/>
              </w:rPr>
              <w:t xml:space="preserve"> </w:t>
            </w:r>
            <w:r w:rsidRPr="007F620E" w:rsidR="005A63D4">
              <w:rPr>
                <w:color w:val="000000"/>
              </w:rPr>
              <w:t>Intervenor</w:t>
            </w:r>
            <w:r w:rsidRPr="007F620E" w:rsidR="00A92D0B">
              <w:rPr>
                <w:color w:val="000000"/>
              </w:rPr>
              <w:t xml:space="preserve"> demonstrated significant financial hardship?</w:t>
            </w:r>
          </w:p>
        </w:tc>
        <w:tc>
          <w:tcPr>
            <w:tcW w:w="2340" w:type="dxa"/>
            <w:tcBorders>
              <w:bottom w:val="single" w:color="auto" w:sz="4" w:space="0"/>
            </w:tcBorders>
            <w:shd w:val="clear" w:color="auto" w:fill="auto"/>
          </w:tcPr>
          <w:p w:rsidRPr="007F620E" w:rsidR="00A92D0B" w:rsidP="00A92D0B" w:rsidRDefault="00E04EE6" w14:paraId="44D258DC" w14:textId="77777777">
            <w:pPr>
              <w:tabs>
                <w:tab w:val="left" w:pos="360"/>
              </w:tabs>
              <w:spacing w:before="120"/>
              <w:rPr>
                <w:color w:val="000000"/>
              </w:rPr>
            </w:pPr>
            <w:r>
              <w:rPr>
                <w:color w:val="000000"/>
              </w:rPr>
              <w:t>Yes</w:t>
            </w:r>
          </w:p>
        </w:tc>
      </w:tr>
      <w:tr w:rsidRPr="007F620E" w:rsidR="00A92D0B" w:rsidTr="00180E8C" w14:paraId="635888B7"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7F620E" w:rsidR="00A92D0B" w:rsidP="00A92D0B" w:rsidRDefault="00A92D0B" w14:paraId="451C2231" w14:textId="77777777">
            <w:pPr>
              <w:tabs>
                <w:tab w:val="left" w:pos="360"/>
              </w:tabs>
              <w:spacing w:before="60"/>
              <w:jc w:val="center"/>
              <w:rPr>
                <w:color w:val="000000"/>
              </w:rPr>
            </w:pPr>
            <w:r w:rsidRPr="007F620E">
              <w:rPr>
                <w:b/>
                <w:color w:val="000000"/>
              </w:rPr>
              <w:t>Timely request for compensation (§ 1804(c)):</w:t>
            </w:r>
          </w:p>
        </w:tc>
      </w:tr>
      <w:tr w:rsidRPr="007F620E" w:rsidR="00A92D0B" w:rsidTr="009A7144" w14:paraId="7FCC7C32" w14:textId="77777777">
        <w:tc>
          <w:tcPr>
            <w:tcW w:w="5040" w:type="dxa"/>
            <w:tcBorders>
              <w:top w:val="single" w:color="auto" w:sz="4" w:space="0"/>
            </w:tcBorders>
            <w:shd w:val="clear" w:color="auto" w:fill="auto"/>
          </w:tcPr>
          <w:p w:rsidRPr="007F620E" w:rsidR="00A92D0B" w:rsidP="00A92D0B" w:rsidRDefault="00A92D0B" w14:paraId="5681C94B" w14:textId="77777777">
            <w:pPr>
              <w:keepNext/>
              <w:tabs>
                <w:tab w:val="left" w:pos="612"/>
              </w:tabs>
              <w:spacing w:before="120"/>
              <w:ind w:left="360" w:hanging="360"/>
              <w:rPr>
                <w:color w:val="000000"/>
              </w:rPr>
            </w:pPr>
            <w:r w:rsidRPr="007F620E">
              <w:rPr>
                <w:color w:val="000000"/>
              </w:rPr>
              <w:t>13.  Identify Final Decision:</w:t>
            </w:r>
          </w:p>
        </w:tc>
        <w:tc>
          <w:tcPr>
            <w:tcW w:w="2340" w:type="dxa"/>
            <w:tcBorders>
              <w:top w:val="single" w:color="auto" w:sz="4" w:space="0"/>
            </w:tcBorders>
            <w:shd w:val="clear" w:color="auto" w:fill="auto"/>
          </w:tcPr>
          <w:p w:rsidRPr="007F620E" w:rsidR="00A92D0B" w:rsidP="00A92D0B" w:rsidRDefault="009F12D8" w14:paraId="4C1422E7" w14:textId="77777777">
            <w:pPr>
              <w:tabs>
                <w:tab w:val="left" w:pos="360"/>
              </w:tabs>
              <w:spacing w:before="120"/>
              <w:rPr>
                <w:color w:val="000000"/>
              </w:rPr>
            </w:pPr>
            <w:r>
              <w:rPr>
                <w:color w:val="000000"/>
              </w:rPr>
              <w:t>D.19-05-042</w:t>
            </w:r>
          </w:p>
        </w:tc>
        <w:tc>
          <w:tcPr>
            <w:tcW w:w="2340" w:type="dxa"/>
            <w:tcBorders>
              <w:top w:val="single" w:color="auto" w:sz="4" w:space="0"/>
            </w:tcBorders>
            <w:shd w:val="clear" w:color="auto" w:fill="auto"/>
          </w:tcPr>
          <w:p w:rsidRPr="007F620E" w:rsidR="00A92D0B" w:rsidP="00A92D0B" w:rsidRDefault="00E04EE6" w14:paraId="3B8BDDE5" w14:textId="77777777">
            <w:pPr>
              <w:tabs>
                <w:tab w:val="left" w:pos="360"/>
              </w:tabs>
              <w:spacing w:before="120"/>
              <w:rPr>
                <w:color w:val="000000"/>
              </w:rPr>
            </w:pPr>
            <w:r>
              <w:rPr>
                <w:color w:val="000000"/>
              </w:rPr>
              <w:t>Verified</w:t>
            </w:r>
          </w:p>
        </w:tc>
      </w:tr>
      <w:tr w:rsidRPr="007F620E" w:rsidR="00A92D0B" w:rsidTr="009A7144" w14:paraId="3EB05E57" w14:textId="77777777">
        <w:tc>
          <w:tcPr>
            <w:tcW w:w="5040" w:type="dxa"/>
            <w:shd w:val="clear" w:color="auto" w:fill="auto"/>
          </w:tcPr>
          <w:p w:rsidRPr="007F620E" w:rsidR="00A92D0B" w:rsidP="00A92D0B" w:rsidRDefault="00A92D0B" w14:paraId="62C57A7B" w14:textId="77777777">
            <w:pPr>
              <w:keepNext/>
              <w:tabs>
                <w:tab w:val="left" w:pos="612"/>
              </w:tabs>
              <w:spacing w:before="120"/>
              <w:ind w:left="360" w:hanging="360"/>
              <w:rPr>
                <w:color w:val="000000"/>
              </w:rPr>
            </w:pPr>
            <w:r w:rsidRPr="007F620E">
              <w:rPr>
                <w:color w:val="000000"/>
              </w:rPr>
              <w:t xml:space="preserve">14. </w:t>
            </w:r>
            <w:r w:rsidRPr="007F620E" w:rsidR="00FC72B7">
              <w:rPr>
                <w:color w:val="000000"/>
              </w:rPr>
              <w:t xml:space="preserve"> </w:t>
            </w:r>
            <w:r w:rsidRPr="007F620E">
              <w:rPr>
                <w:color w:val="000000"/>
              </w:rPr>
              <w:t xml:space="preserve">Date of </w:t>
            </w:r>
            <w:r w:rsidRPr="007F620E" w:rsidR="00A319DE">
              <w:rPr>
                <w:color w:val="000000"/>
              </w:rPr>
              <w:t>i</w:t>
            </w:r>
            <w:r w:rsidRPr="007F620E">
              <w:rPr>
                <w:color w:val="000000"/>
              </w:rPr>
              <w:t xml:space="preserve">ssuance of Final Order or Decision:    </w:t>
            </w:r>
          </w:p>
        </w:tc>
        <w:tc>
          <w:tcPr>
            <w:tcW w:w="2340" w:type="dxa"/>
            <w:shd w:val="clear" w:color="auto" w:fill="auto"/>
          </w:tcPr>
          <w:p w:rsidRPr="007F620E" w:rsidR="00A92D0B" w:rsidP="00A92D0B" w:rsidRDefault="009F12D8" w14:paraId="4CF8A550" w14:textId="77777777">
            <w:pPr>
              <w:tabs>
                <w:tab w:val="left" w:pos="360"/>
              </w:tabs>
              <w:spacing w:before="120"/>
              <w:rPr>
                <w:color w:val="000000"/>
              </w:rPr>
            </w:pPr>
            <w:r>
              <w:rPr>
                <w:color w:val="000000"/>
              </w:rPr>
              <w:t>June 4, 2019</w:t>
            </w:r>
          </w:p>
        </w:tc>
        <w:tc>
          <w:tcPr>
            <w:tcW w:w="2340" w:type="dxa"/>
            <w:shd w:val="clear" w:color="auto" w:fill="auto"/>
          </w:tcPr>
          <w:p w:rsidRPr="007F620E" w:rsidR="00A92D0B" w:rsidP="00A92D0B" w:rsidRDefault="00E04EE6" w14:paraId="79EAC5BA" w14:textId="77777777">
            <w:pPr>
              <w:tabs>
                <w:tab w:val="left" w:pos="360"/>
              </w:tabs>
              <w:spacing w:before="120"/>
              <w:rPr>
                <w:color w:val="000000"/>
              </w:rPr>
            </w:pPr>
            <w:r>
              <w:rPr>
                <w:color w:val="000000"/>
              </w:rPr>
              <w:t>Verified</w:t>
            </w:r>
          </w:p>
        </w:tc>
      </w:tr>
      <w:tr w:rsidRPr="007F620E" w:rsidR="00A92D0B" w:rsidTr="009A7144" w14:paraId="7C3D65C6" w14:textId="77777777">
        <w:tc>
          <w:tcPr>
            <w:tcW w:w="5040" w:type="dxa"/>
            <w:shd w:val="clear" w:color="auto" w:fill="auto"/>
          </w:tcPr>
          <w:p w:rsidRPr="007F620E" w:rsidR="00A92D0B" w:rsidP="00A92D0B" w:rsidRDefault="00A92D0B" w14:paraId="0F200D7E" w14:textId="77777777">
            <w:pPr>
              <w:keepNext/>
              <w:tabs>
                <w:tab w:val="left" w:pos="612"/>
              </w:tabs>
              <w:spacing w:before="120"/>
              <w:ind w:left="360" w:hanging="360"/>
              <w:rPr>
                <w:color w:val="000000"/>
              </w:rPr>
            </w:pPr>
            <w:r w:rsidRPr="007F620E">
              <w:rPr>
                <w:color w:val="000000"/>
              </w:rPr>
              <w:t xml:space="preserve">15. </w:t>
            </w:r>
            <w:r w:rsidRPr="007F620E" w:rsidR="00FC72B7">
              <w:rPr>
                <w:color w:val="000000"/>
              </w:rPr>
              <w:t xml:space="preserve"> </w:t>
            </w:r>
            <w:r w:rsidRPr="007F620E">
              <w:rPr>
                <w:color w:val="000000"/>
              </w:rPr>
              <w:t>File date of compensation request:</w:t>
            </w:r>
          </w:p>
        </w:tc>
        <w:tc>
          <w:tcPr>
            <w:tcW w:w="2340" w:type="dxa"/>
            <w:shd w:val="clear" w:color="auto" w:fill="auto"/>
          </w:tcPr>
          <w:p w:rsidRPr="007F620E" w:rsidR="00A92D0B" w:rsidP="00A92D0B" w:rsidRDefault="009F12D8" w14:paraId="5BB2651A" w14:textId="77777777">
            <w:pPr>
              <w:tabs>
                <w:tab w:val="left" w:pos="360"/>
              </w:tabs>
              <w:spacing w:before="120"/>
              <w:rPr>
                <w:color w:val="000000"/>
              </w:rPr>
            </w:pPr>
            <w:r>
              <w:rPr>
                <w:color w:val="000000"/>
              </w:rPr>
              <w:t>August 5, 2019</w:t>
            </w:r>
            <w:r>
              <w:rPr>
                <w:rStyle w:val="FootnoteReference"/>
                <w:color w:val="000000"/>
              </w:rPr>
              <w:footnoteReference w:id="6"/>
            </w:r>
          </w:p>
        </w:tc>
        <w:tc>
          <w:tcPr>
            <w:tcW w:w="2340" w:type="dxa"/>
            <w:shd w:val="clear" w:color="auto" w:fill="auto"/>
          </w:tcPr>
          <w:p w:rsidRPr="007F620E" w:rsidR="00A92D0B" w:rsidP="00A92D0B" w:rsidRDefault="009B44A5" w14:paraId="65DD777A" w14:textId="77777777">
            <w:pPr>
              <w:tabs>
                <w:tab w:val="left" w:pos="360"/>
              </w:tabs>
              <w:spacing w:before="120"/>
              <w:rPr>
                <w:color w:val="000000"/>
              </w:rPr>
            </w:pPr>
            <w:r>
              <w:rPr>
                <w:color w:val="000000"/>
              </w:rPr>
              <w:t>Verified</w:t>
            </w:r>
          </w:p>
        </w:tc>
      </w:tr>
      <w:tr w:rsidRPr="007F620E" w:rsidR="00A92D0B" w:rsidTr="00180E8C" w14:paraId="643DFC96" w14:textId="77777777">
        <w:tc>
          <w:tcPr>
            <w:tcW w:w="7380" w:type="dxa"/>
            <w:gridSpan w:val="2"/>
            <w:shd w:val="clear" w:color="auto" w:fill="auto"/>
          </w:tcPr>
          <w:p w:rsidRPr="007F620E" w:rsidR="00A92D0B" w:rsidP="00FC72B7" w:rsidRDefault="00A92D0B" w14:paraId="5A7650B1" w14:textId="77777777">
            <w:pPr>
              <w:tabs>
                <w:tab w:val="left" w:pos="360"/>
              </w:tabs>
              <w:spacing w:before="120"/>
              <w:ind w:left="360" w:hanging="360"/>
              <w:rPr>
                <w:color w:val="000000"/>
              </w:rPr>
            </w:pPr>
            <w:r w:rsidRPr="007F620E">
              <w:rPr>
                <w:color w:val="000000"/>
              </w:rPr>
              <w:t>16. Was the request for compensation timely?</w:t>
            </w:r>
          </w:p>
        </w:tc>
        <w:tc>
          <w:tcPr>
            <w:tcW w:w="2340" w:type="dxa"/>
            <w:shd w:val="clear" w:color="auto" w:fill="auto"/>
          </w:tcPr>
          <w:p w:rsidRPr="007F620E" w:rsidR="00A92D0B" w:rsidP="00A92D0B" w:rsidRDefault="0045654C" w14:paraId="08028892" w14:textId="77777777">
            <w:pPr>
              <w:tabs>
                <w:tab w:val="left" w:pos="360"/>
              </w:tabs>
              <w:spacing w:before="120"/>
              <w:rPr>
                <w:color w:val="000000"/>
              </w:rPr>
            </w:pPr>
            <w:r>
              <w:rPr>
                <w:color w:val="000000"/>
              </w:rPr>
              <w:t>Yes</w:t>
            </w:r>
          </w:p>
        </w:tc>
      </w:tr>
    </w:tbl>
    <w:p w:rsidR="00A92D0B" w:rsidRDefault="00A92D0B" w14:paraId="3910057F" w14:textId="3C93FE32">
      <w:pPr>
        <w:tabs>
          <w:tab w:val="left" w:pos="360"/>
        </w:tabs>
        <w:rPr>
          <w:b/>
          <w:color w:val="000000"/>
        </w:rPr>
      </w:pPr>
    </w:p>
    <w:p w:rsidR="008E0A38" w:rsidRDefault="008E0A38" w14:paraId="148B8C79" w14:textId="4898BC4C">
      <w:pPr>
        <w:tabs>
          <w:tab w:val="left" w:pos="360"/>
        </w:tabs>
        <w:rPr>
          <w:b/>
          <w:color w:val="000000"/>
        </w:rPr>
      </w:pPr>
    </w:p>
    <w:p w:rsidR="008E0A38" w:rsidRDefault="008E0A38" w14:paraId="267C8E3F" w14:textId="1369CA2D">
      <w:pPr>
        <w:tabs>
          <w:tab w:val="left" w:pos="360"/>
        </w:tabs>
        <w:rPr>
          <w:b/>
          <w:color w:val="000000"/>
        </w:rPr>
      </w:pPr>
    </w:p>
    <w:p w:rsidRPr="007F620E" w:rsidR="008E0A38" w:rsidRDefault="008E0A38" w14:paraId="5C7DD82B" w14:textId="77777777">
      <w:pPr>
        <w:tabs>
          <w:tab w:val="left" w:pos="360"/>
        </w:tabs>
        <w:rPr>
          <w:b/>
          <w:color w:val="000000"/>
        </w:rPr>
      </w:pPr>
    </w:p>
    <w:p w:rsidRPr="00623D99" w:rsidR="00A92D0B" w:rsidP="009A7144" w:rsidRDefault="00A92D0B" w14:paraId="0CC29A62" w14:textId="270A5D44">
      <w:pPr>
        <w:numPr>
          <w:ilvl w:val="0"/>
          <w:numId w:val="5"/>
        </w:numPr>
        <w:tabs>
          <w:tab w:val="left" w:pos="360"/>
        </w:tabs>
        <w:rPr>
          <w:color w:val="000000"/>
        </w:rPr>
      </w:pPr>
      <w:r w:rsidRPr="00623D99">
        <w:rPr>
          <w:b/>
          <w:color w:val="000000"/>
        </w:rPr>
        <w:lastRenderedPageBreak/>
        <w:t>Additional Comments on Part I</w:t>
      </w:r>
      <w:r w:rsidRPr="00623D99" w:rsidR="00C02649">
        <w:rPr>
          <w:b/>
          <w:color w:val="000000"/>
        </w:rPr>
        <w:t>:</w:t>
      </w:r>
      <w:r w:rsidRPr="00623D99">
        <w:rPr>
          <w:b/>
          <w:color w:val="000000"/>
        </w:rPr>
        <w:t xml:space="preserve"> </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2"/>
        <w:gridCol w:w="3896"/>
        <w:gridCol w:w="4950"/>
      </w:tblGrid>
      <w:tr w:rsidRPr="007F620E" w:rsidR="003C608A" w:rsidTr="003B6A1B" w14:paraId="65024D28" w14:textId="77777777">
        <w:trPr>
          <w:trHeight w:val="589"/>
        </w:trPr>
        <w:tc>
          <w:tcPr>
            <w:tcW w:w="892" w:type="dxa"/>
            <w:tcBorders>
              <w:bottom w:val="single" w:color="auto" w:sz="4" w:space="0"/>
            </w:tcBorders>
            <w:shd w:val="clear" w:color="auto" w:fill="D9D9D9" w:themeFill="background1" w:themeFillShade="D9"/>
          </w:tcPr>
          <w:p w:rsidRPr="007F620E" w:rsidR="003C608A" w:rsidP="00A92D0B" w:rsidRDefault="003C608A" w14:paraId="20A969D6" w14:textId="77777777">
            <w:pPr>
              <w:tabs>
                <w:tab w:val="left" w:pos="360"/>
              </w:tabs>
              <w:spacing w:before="120"/>
              <w:jc w:val="center"/>
              <w:rPr>
                <w:b/>
                <w:color w:val="000000"/>
              </w:rPr>
            </w:pPr>
            <w:r w:rsidRPr="007F620E">
              <w:rPr>
                <w:b/>
                <w:color w:val="000000"/>
              </w:rPr>
              <w:t>#</w:t>
            </w:r>
          </w:p>
        </w:tc>
        <w:tc>
          <w:tcPr>
            <w:tcW w:w="3896" w:type="dxa"/>
            <w:tcBorders>
              <w:bottom w:val="single" w:color="auto" w:sz="4" w:space="0"/>
            </w:tcBorders>
            <w:shd w:val="clear" w:color="auto" w:fill="D9D9D9" w:themeFill="background1" w:themeFillShade="D9"/>
          </w:tcPr>
          <w:p w:rsidRPr="007F620E" w:rsidR="003C608A" w:rsidP="00A92D0B" w:rsidRDefault="003C608A" w14:paraId="1E4DEE1E" w14:textId="77777777">
            <w:pPr>
              <w:tabs>
                <w:tab w:val="left" w:pos="360"/>
              </w:tabs>
              <w:spacing w:before="120"/>
              <w:jc w:val="center"/>
              <w:rPr>
                <w:b/>
                <w:color w:val="000000"/>
              </w:rPr>
            </w:pPr>
            <w:r w:rsidRPr="007F620E">
              <w:rPr>
                <w:b/>
                <w:color w:val="000000"/>
              </w:rPr>
              <w:t>Intervenor’s Comment(s)</w:t>
            </w:r>
          </w:p>
        </w:tc>
        <w:tc>
          <w:tcPr>
            <w:tcW w:w="4950" w:type="dxa"/>
            <w:shd w:val="clear" w:color="auto" w:fill="D9D9D9" w:themeFill="background1" w:themeFillShade="D9"/>
          </w:tcPr>
          <w:p w:rsidRPr="007F620E" w:rsidR="003C608A" w:rsidP="00A92D0B" w:rsidRDefault="003C608A" w14:paraId="2EB4B14B" w14:textId="77777777">
            <w:pPr>
              <w:tabs>
                <w:tab w:val="left" w:pos="360"/>
              </w:tabs>
              <w:spacing w:before="120"/>
              <w:jc w:val="center"/>
              <w:rPr>
                <w:b/>
                <w:color w:val="000000"/>
              </w:rPr>
            </w:pPr>
            <w:r w:rsidRPr="007F620E">
              <w:rPr>
                <w:b/>
                <w:color w:val="000000"/>
              </w:rPr>
              <w:t>CPUC Discussion</w:t>
            </w:r>
          </w:p>
        </w:tc>
      </w:tr>
      <w:tr w:rsidRPr="007F620E" w:rsidR="003C608A" w:rsidTr="009A7144" w14:paraId="3F0B6FBF" w14:textId="77777777">
        <w:trPr>
          <w:trHeight w:val="67"/>
        </w:trPr>
        <w:tc>
          <w:tcPr>
            <w:tcW w:w="892" w:type="dxa"/>
            <w:shd w:val="clear" w:color="auto" w:fill="auto"/>
          </w:tcPr>
          <w:p w:rsidRPr="007F620E" w:rsidR="003C608A" w:rsidP="00A92D0B" w:rsidRDefault="00EE21DC" w14:paraId="2456D93D" w14:textId="77777777">
            <w:pPr>
              <w:tabs>
                <w:tab w:val="left" w:pos="360"/>
              </w:tabs>
              <w:spacing w:before="120"/>
              <w:rPr>
                <w:color w:val="000000"/>
              </w:rPr>
            </w:pPr>
            <w:r>
              <w:rPr>
                <w:color w:val="000000"/>
              </w:rPr>
              <w:t>1</w:t>
            </w:r>
          </w:p>
        </w:tc>
        <w:tc>
          <w:tcPr>
            <w:tcW w:w="3896" w:type="dxa"/>
            <w:shd w:val="clear" w:color="auto" w:fill="auto"/>
          </w:tcPr>
          <w:p w:rsidRPr="007F620E" w:rsidR="003C608A" w:rsidP="00A92D0B" w:rsidRDefault="00EE21DC" w14:paraId="32D8CD9B" w14:textId="77777777">
            <w:pPr>
              <w:tabs>
                <w:tab w:val="left" w:pos="360"/>
              </w:tabs>
              <w:spacing w:before="120"/>
              <w:rPr>
                <w:color w:val="000000"/>
              </w:rPr>
            </w:pPr>
            <w:r>
              <w:rPr>
                <w:color w:val="000000"/>
              </w:rPr>
              <w:t xml:space="preserve">As of the date of this compensation claim, no ruling has yet been issued </w:t>
            </w:r>
            <w:r w:rsidR="00264B85">
              <w:rPr>
                <w:color w:val="000000"/>
              </w:rPr>
              <w:t xml:space="preserve">by the Commission </w:t>
            </w:r>
            <w:r>
              <w:rPr>
                <w:color w:val="000000"/>
              </w:rPr>
              <w:t xml:space="preserve">on the local governments’ eligibility to claim compensation or showing of financial hardship.  The local governments are submitting this claim by the statutory deadline, without an eligibility or hardship determination, at the direction of ALJ Semcer.  </w:t>
            </w:r>
          </w:p>
        </w:tc>
        <w:tc>
          <w:tcPr>
            <w:tcW w:w="4950" w:type="dxa"/>
            <w:shd w:val="clear" w:color="auto" w:fill="auto"/>
          </w:tcPr>
          <w:p w:rsidRPr="00267B4A" w:rsidR="003C608A" w:rsidP="00267B4A" w:rsidRDefault="001A538E" w14:paraId="425481FC" w14:textId="2121C2F8">
            <w:pPr>
              <w:spacing w:after="240"/>
            </w:pPr>
            <w:r>
              <w:rPr>
                <w:color w:val="000000"/>
              </w:rPr>
              <w:t>A ruling issued on June 16, 2020</w:t>
            </w:r>
            <w:r w:rsidR="003C386B">
              <w:rPr>
                <w:color w:val="000000"/>
              </w:rPr>
              <w:t>,</w:t>
            </w:r>
            <w:r>
              <w:rPr>
                <w:color w:val="000000"/>
              </w:rPr>
              <w:t xml:space="preserve"> determined that the Counties of Mendocino, Napa, and Sonoma, and the City of Santa Rosa are eligible local government entities (ELGEs), pursuant to </w:t>
            </w:r>
            <w:r>
              <w:t>Section 1802(d). The June 16, 2020</w:t>
            </w:r>
            <w:r w:rsidR="003C386B">
              <w:t>,</w:t>
            </w:r>
            <w:r>
              <w:t xml:space="preserve"> ruling also found that this proceeding is a forum for the ELGEs’ participation, pursuant to Sections 1802.4 and 1803.1(c). A</w:t>
            </w:r>
            <w:r>
              <w:rPr>
                <w:color w:val="000000"/>
              </w:rPr>
              <w:t xml:space="preserve"> ruling issued on January 28, 2021</w:t>
            </w:r>
            <w:r w:rsidR="003C386B">
              <w:rPr>
                <w:color w:val="000000"/>
              </w:rPr>
              <w:t>,</w:t>
            </w:r>
            <w:r>
              <w:rPr>
                <w:color w:val="000000"/>
              </w:rPr>
              <w:t xml:space="preserve"> found that the ELGEs have demonstrated significant financial hardship.</w:t>
            </w:r>
          </w:p>
        </w:tc>
      </w:tr>
      <w:tr w:rsidRPr="007F620E" w:rsidR="00853B05" w:rsidTr="009A7144" w14:paraId="4F999820" w14:textId="77777777">
        <w:trPr>
          <w:trHeight w:val="67"/>
        </w:trPr>
        <w:tc>
          <w:tcPr>
            <w:tcW w:w="892" w:type="dxa"/>
            <w:shd w:val="clear" w:color="auto" w:fill="auto"/>
          </w:tcPr>
          <w:p w:rsidR="00853B05" w:rsidP="00A92D0B" w:rsidRDefault="00853B05" w14:paraId="34CACC01" w14:textId="77777777">
            <w:pPr>
              <w:tabs>
                <w:tab w:val="left" w:pos="360"/>
              </w:tabs>
              <w:spacing w:before="120"/>
              <w:rPr>
                <w:color w:val="000000"/>
              </w:rPr>
            </w:pPr>
            <w:r>
              <w:rPr>
                <w:color w:val="000000"/>
              </w:rPr>
              <w:t>2</w:t>
            </w:r>
          </w:p>
        </w:tc>
        <w:tc>
          <w:tcPr>
            <w:tcW w:w="3896" w:type="dxa"/>
            <w:shd w:val="clear" w:color="auto" w:fill="auto"/>
          </w:tcPr>
          <w:p w:rsidR="00671B55" w:rsidP="007C3608" w:rsidRDefault="00853B05" w14:paraId="6300FF21" w14:textId="77777777">
            <w:pPr>
              <w:tabs>
                <w:tab w:val="left" w:pos="360"/>
              </w:tabs>
              <w:spacing w:before="120"/>
              <w:rPr>
                <w:color w:val="000000"/>
              </w:rPr>
            </w:pPr>
            <w:r>
              <w:rPr>
                <w:color w:val="000000"/>
              </w:rPr>
              <w:t xml:space="preserve">Mendocino, Napa, and Sonoma Counties, and the City of Santa Rosa (the Joint Local Governments) are filing a single compensation request at the direction of ALJ Semcer, to alleviate the administrative burden on Commission staff associated with the submission of four virtually identical compensation claims.  Because the Joint Local Governments participated in this proceeding as a coalition, which submitted joint pleadings, their substantive contributions to the final decision are equally attributable to each local government.  </w:t>
            </w:r>
            <w:r w:rsidR="00671B55">
              <w:rPr>
                <w:color w:val="000000"/>
              </w:rPr>
              <w:t xml:space="preserve">To prevent duplicative compensation to the four local governments based on their unified contributions to D.19-05-042, each local government has submitted a separate time sheet and compensation dollar amount.  The time sheets and associated claim amounts reflect the </w:t>
            </w:r>
            <w:r w:rsidR="004D656B">
              <w:rPr>
                <w:color w:val="000000"/>
              </w:rPr>
              <w:t xml:space="preserve">local government’s allocated </w:t>
            </w:r>
            <w:r w:rsidR="00671B55">
              <w:rPr>
                <w:color w:val="000000"/>
              </w:rPr>
              <w:t xml:space="preserve">fraction of the total time the local governments’ counsel spent on issues for the coalition as a whole, as well as the time spent by each local government’s attorneys and experts.  </w:t>
            </w:r>
            <w:r w:rsidR="004D656B">
              <w:rPr>
                <w:color w:val="000000"/>
              </w:rPr>
              <w:t xml:space="preserve">For example, when all four local governments were party to a pleading, the hours recorded for Ms. Somogyi </w:t>
            </w:r>
            <w:r w:rsidR="004D656B">
              <w:rPr>
                <w:color w:val="000000"/>
              </w:rPr>
              <w:lastRenderedPageBreak/>
              <w:t xml:space="preserve">in the attached time sheets is one-fourth of the total time spent on that action or issue, while the hours recorded for each local government’s internal attorneys and experts is not divided.  </w:t>
            </w:r>
            <w:r w:rsidR="004E48A2">
              <w:rPr>
                <w:color w:val="000000"/>
              </w:rPr>
              <w:t xml:space="preserve">It is important to note, however, that due to a number of internal agreements amongst the Joint Local Governments, </w:t>
            </w:r>
            <w:r w:rsidR="004D7111">
              <w:rPr>
                <w:color w:val="000000"/>
              </w:rPr>
              <w:t xml:space="preserve">Ms. Somogyi’s time for work undertaken on behalf of the coalition was not always allocated on an equal percentage basis between the local governments for the entirety of the proceeding.  The detailed timesheets attached to this claim reflect the agreed-to allocations, and the claim amounts for each local government also reflect the agreed-to allocations for all costs.  </w:t>
            </w:r>
          </w:p>
        </w:tc>
        <w:tc>
          <w:tcPr>
            <w:tcW w:w="4950" w:type="dxa"/>
            <w:shd w:val="clear" w:color="auto" w:fill="auto"/>
          </w:tcPr>
          <w:p w:rsidRPr="007F620E" w:rsidR="00853B05" w:rsidP="00A92D0B" w:rsidRDefault="009B44A5" w14:paraId="38487ABE" w14:textId="77777777">
            <w:pPr>
              <w:tabs>
                <w:tab w:val="left" w:pos="360"/>
              </w:tabs>
              <w:spacing w:before="120"/>
              <w:rPr>
                <w:color w:val="000000"/>
              </w:rPr>
            </w:pPr>
            <w:r>
              <w:rPr>
                <w:color w:val="000000"/>
              </w:rPr>
              <w:lastRenderedPageBreak/>
              <w:t>Noted</w:t>
            </w:r>
          </w:p>
        </w:tc>
      </w:tr>
    </w:tbl>
    <w:p w:rsidR="00A92D0B" w:rsidRDefault="00A92D0B" w14:paraId="526DD9F1" w14:textId="77777777">
      <w:pPr>
        <w:ind w:left="900"/>
        <w:rPr>
          <w:color w:val="000000"/>
        </w:rPr>
      </w:pPr>
    </w:p>
    <w:p w:rsidRPr="007F620E" w:rsidR="00E25078" w:rsidRDefault="00E25078" w14:paraId="5B4ED5FB" w14:textId="77777777">
      <w:pPr>
        <w:ind w:left="900"/>
        <w:rPr>
          <w:color w:val="000000"/>
        </w:rPr>
      </w:pPr>
    </w:p>
    <w:p w:rsidR="003B6A1B" w:rsidP="00691528" w:rsidRDefault="00A92D0B" w14:paraId="7A73D971" w14:textId="77777777">
      <w:pPr>
        <w:jc w:val="center"/>
        <w:rPr>
          <w:b/>
          <w:color w:val="000000"/>
        </w:rPr>
      </w:pPr>
      <w:r w:rsidRPr="007F620E">
        <w:rPr>
          <w:b/>
          <w:color w:val="000000"/>
        </w:rPr>
        <w:t>PART II:  SUBSTANTIAL CONTRIBUTION</w:t>
      </w:r>
    </w:p>
    <w:p w:rsidRPr="007F620E" w:rsidR="00A92D0B" w:rsidRDefault="00A92D0B" w14:paraId="7AF97394" w14:textId="77777777">
      <w:pPr>
        <w:rPr>
          <w:color w:val="000000"/>
        </w:rPr>
      </w:pPr>
    </w:p>
    <w:p w:rsidRPr="00C02649" w:rsidR="00A92D0B" w:rsidP="00C02649" w:rsidRDefault="00D075B1" w14:paraId="4ED3F771" w14:textId="500BBBA9">
      <w:pPr>
        <w:numPr>
          <w:ilvl w:val="0"/>
          <w:numId w:val="1"/>
        </w:numPr>
        <w:tabs>
          <w:tab w:val="clear" w:pos="900"/>
          <w:tab w:val="num" w:pos="360"/>
        </w:tabs>
        <w:spacing w:after="120"/>
        <w:ind w:left="360"/>
        <w:rPr>
          <w:b/>
          <w:color w:val="000000"/>
        </w:rPr>
      </w:pPr>
      <w:r w:rsidRPr="007F620E">
        <w:rPr>
          <w:b/>
          <w:color w:val="000000"/>
        </w:rPr>
        <w:t xml:space="preserve">Did the </w:t>
      </w:r>
      <w:r w:rsidRPr="007F620E" w:rsidR="005A63D4">
        <w:rPr>
          <w:b/>
          <w:color w:val="000000"/>
        </w:rPr>
        <w:t>Intervenor</w:t>
      </w:r>
      <w:r w:rsidRPr="007F620E">
        <w:rPr>
          <w:b/>
          <w:color w:val="000000"/>
        </w:rPr>
        <w:t xml:space="preserve"> substantially contribute to the final decision</w:t>
      </w:r>
      <w:r w:rsidRPr="007F620E" w:rsidR="00A92D0B">
        <w:rPr>
          <w:b/>
          <w:color w:val="000000"/>
        </w:rPr>
        <w:t xml:space="preserve"> (</w:t>
      </w:r>
      <w:r w:rsidRPr="007F620E" w:rsidR="00A92D0B">
        <w:rPr>
          <w:b/>
          <w:i/>
          <w:color w:val="000000"/>
        </w:rPr>
        <w:t>see</w:t>
      </w:r>
      <w:r w:rsidRPr="007F620E" w:rsidR="00A92D0B">
        <w:rPr>
          <w:b/>
          <w:color w:val="000000"/>
        </w:rPr>
        <w:t xml:space="preserve"> § 1802(</w:t>
      </w:r>
      <w:r w:rsidR="00ED6B6B">
        <w:rPr>
          <w:b/>
          <w:color w:val="000000"/>
        </w:rPr>
        <w:t>j</w:t>
      </w:r>
      <w:r w:rsidRPr="007F620E" w:rsidR="00A92D0B">
        <w:rPr>
          <w:b/>
          <w:color w:val="000000"/>
        </w:rPr>
        <w:t xml:space="preserve">), </w:t>
      </w:r>
      <w:r w:rsidRPr="007F620E" w:rsidR="001E77CF">
        <w:rPr>
          <w:b/>
          <w:color w:val="000000"/>
        </w:rPr>
        <w:br/>
      </w:r>
      <w:r w:rsidRPr="007F620E" w:rsidR="00A92D0B">
        <w:rPr>
          <w:b/>
          <w:color w:val="000000"/>
        </w:rPr>
        <w:t>§ 1803(a)</w:t>
      </w:r>
      <w:r w:rsidRPr="007F620E" w:rsidR="00F30DA8">
        <w:rPr>
          <w:b/>
          <w:color w:val="000000"/>
        </w:rPr>
        <w:t>,</w:t>
      </w:r>
      <w:r w:rsidRPr="007F620E" w:rsidR="00A92D0B">
        <w:rPr>
          <w:b/>
          <w:color w:val="000000"/>
        </w:rPr>
        <w:t xml:space="preserve"> </w:t>
      </w:r>
      <w:r w:rsidR="00ED6B6B">
        <w:rPr>
          <w:b/>
          <w:color w:val="000000"/>
        </w:rPr>
        <w:t xml:space="preserve">1803.1(a) </w:t>
      </w:r>
      <w:r w:rsidRPr="007F620E" w:rsidR="00F30DA8">
        <w:rPr>
          <w:b/>
          <w:color w:val="000000"/>
        </w:rPr>
        <w:t>and</w:t>
      </w:r>
      <w:r w:rsidRPr="007F620E" w:rsidR="00A92D0B">
        <w:rPr>
          <w:b/>
          <w:color w:val="000000"/>
        </w:rPr>
        <w:t xml:space="preserve"> D.98-04-059)</w:t>
      </w:r>
      <w:r w:rsidR="00C02649">
        <w:rPr>
          <w:b/>
          <w:color w:val="000000"/>
        </w:rPr>
        <w:t>:</w:t>
      </w:r>
    </w:p>
    <w:p w:rsidRPr="007F620E" w:rsidR="00FE3BAE" w:rsidP="00FE3BAE" w:rsidRDefault="00FE3BAE" w14:paraId="34C87B80" w14:textId="77777777">
      <w:pPr>
        <w:spacing w:after="120"/>
        <w:ind w:left="360"/>
        <w:rPr>
          <w:b/>
          <w:color w:val="000000"/>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48"/>
        <w:gridCol w:w="3756"/>
        <w:gridCol w:w="2934"/>
      </w:tblGrid>
      <w:tr w:rsidRPr="007F620E" w:rsidR="00AA31B4" w:rsidTr="00B00BCD" w14:paraId="4D3A7E83" w14:textId="77777777">
        <w:tc>
          <w:tcPr>
            <w:tcW w:w="3258" w:type="dxa"/>
            <w:tcBorders>
              <w:bottom w:val="single" w:color="auto" w:sz="4" w:space="0"/>
            </w:tcBorders>
            <w:shd w:val="pct12" w:color="auto" w:fill="auto"/>
          </w:tcPr>
          <w:p w:rsidRPr="007F620E" w:rsidR="00A92D0B" w:rsidP="00A92D0B" w:rsidRDefault="00D075B1" w14:paraId="0A36A1FD" w14:textId="77777777">
            <w:pPr>
              <w:spacing w:before="120"/>
              <w:jc w:val="center"/>
              <w:rPr>
                <w:b/>
                <w:color w:val="000000"/>
              </w:rPr>
            </w:pPr>
            <w:r w:rsidRPr="007F620E">
              <w:rPr>
                <w:b/>
                <w:color w:val="000000"/>
              </w:rPr>
              <w:t>Intervenor’s Claimed Contribution(s)</w:t>
            </w:r>
          </w:p>
        </w:tc>
        <w:tc>
          <w:tcPr>
            <w:tcW w:w="4140" w:type="dxa"/>
            <w:tcBorders>
              <w:bottom w:val="single" w:color="auto" w:sz="4" w:space="0"/>
            </w:tcBorders>
            <w:shd w:val="pct12" w:color="auto" w:fill="auto"/>
          </w:tcPr>
          <w:p w:rsidRPr="007F620E" w:rsidR="00A92D0B" w:rsidP="00D075B1" w:rsidRDefault="00A92D0B" w14:paraId="6CF11B22" w14:textId="77777777">
            <w:pPr>
              <w:spacing w:before="120"/>
              <w:jc w:val="center"/>
              <w:rPr>
                <w:b/>
                <w:color w:val="000000"/>
              </w:rPr>
            </w:pPr>
            <w:r w:rsidRPr="007F620E">
              <w:rPr>
                <w:b/>
                <w:color w:val="000000"/>
              </w:rPr>
              <w:t xml:space="preserve">Specific References to </w:t>
            </w:r>
            <w:r w:rsidRPr="007F620E" w:rsidR="00D075B1">
              <w:rPr>
                <w:b/>
                <w:color w:val="000000"/>
              </w:rPr>
              <w:t>Intervenor’s Claimed Contribution(s)</w:t>
            </w:r>
          </w:p>
        </w:tc>
        <w:tc>
          <w:tcPr>
            <w:tcW w:w="2340" w:type="dxa"/>
            <w:shd w:val="pct12" w:color="auto" w:fill="auto"/>
          </w:tcPr>
          <w:p w:rsidRPr="007F620E" w:rsidR="00A92D0B" w:rsidP="00A92D0B" w:rsidRDefault="00D075B1" w14:paraId="78AAD857" w14:textId="77777777">
            <w:pPr>
              <w:spacing w:before="120"/>
              <w:jc w:val="center"/>
              <w:rPr>
                <w:b/>
                <w:color w:val="000000"/>
              </w:rPr>
            </w:pPr>
            <w:r w:rsidRPr="007F620E">
              <w:rPr>
                <w:b/>
                <w:color w:val="000000"/>
              </w:rPr>
              <w:t>CPUC Discussion</w:t>
            </w:r>
          </w:p>
        </w:tc>
      </w:tr>
      <w:tr w:rsidRPr="007F620E" w:rsidR="00AA31B4" w:rsidTr="009A7144" w14:paraId="0FA58942" w14:textId="77777777">
        <w:trPr>
          <w:trHeight w:val="3345"/>
        </w:trPr>
        <w:tc>
          <w:tcPr>
            <w:tcW w:w="3258" w:type="dxa"/>
            <w:shd w:val="clear" w:color="auto" w:fill="auto"/>
          </w:tcPr>
          <w:p w:rsidR="00A92D0B" w:rsidP="00A92D0B" w:rsidRDefault="00A92D0B" w14:paraId="581439A3" w14:textId="77777777">
            <w:pPr>
              <w:spacing w:before="120"/>
              <w:rPr>
                <w:color w:val="000000"/>
              </w:rPr>
            </w:pPr>
            <w:r w:rsidRPr="00853B05">
              <w:rPr>
                <w:b/>
                <w:color w:val="000000"/>
              </w:rPr>
              <w:t>1.</w:t>
            </w:r>
            <w:r w:rsidRPr="00853B05" w:rsidR="00E25078">
              <w:rPr>
                <w:b/>
                <w:color w:val="000000"/>
              </w:rPr>
              <w:t xml:space="preserve"> </w:t>
            </w:r>
            <w:r w:rsidRPr="00853B05" w:rsidR="00853B05">
              <w:rPr>
                <w:b/>
                <w:color w:val="000000"/>
              </w:rPr>
              <w:t xml:space="preserve">Definitions. </w:t>
            </w:r>
          </w:p>
          <w:p w:rsidR="00801E21" w:rsidP="00A92D0B" w:rsidRDefault="00CC12C1" w14:paraId="1AF3F816" w14:textId="77777777">
            <w:pPr>
              <w:spacing w:before="120"/>
              <w:rPr>
                <w:color w:val="000000"/>
              </w:rPr>
            </w:pPr>
            <w:r>
              <w:rPr>
                <w:b/>
                <w:color w:val="000000"/>
              </w:rPr>
              <w:t xml:space="preserve">1.A   </w:t>
            </w:r>
            <w:r w:rsidR="00853B05">
              <w:rPr>
                <w:color w:val="000000"/>
              </w:rPr>
              <w:t xml:space="preserve">The Joint Local Governments </w:t>
            </w:r>
            <w:r w:rsidR="00B33E85">
              <w:rPr>
                <w:color w:val="000000"/>
              </w:rPr>
              <w:t xml:space="preserve">made a substantial contribution to the definitions adopted in D.19-05-042.  </w:t>
            </w:r>
            <w:r w:rsidR="00E3268D">
              <w:rPr>
                <w:color w:val="000000"/>
              </w:rPr>
              <w:t>Specifically, the final decision included Public Health Departments in the list of critical facilities in the healthcare sector</w:t>
            </w:r>
            <w:r w:rsidR="008D69BE">
              <w:rPr>
                <w:color w:val="000000"/>
              </w:rPr>
              <w:t>, which the Proposed Decision did not do</w:t>
            </w:r>
            <w:r w:rsidR="00E3268D">
              <w:rPr>
                <w:color w:val="000000"/>
              </w:rPr>
              <w:t xml:space="preserve">.  </w:t>
            </w:r>
          </w:p>
          <w:p w:rsidRPr="007F620E" w:rsidR="00E25078" w:rsidP="00A92D0B" w:rsidRDefault="00E25078" w14:paraId="1C811D9D" w14:textId="77777777">
            <w:pPr>
              <w:spacing w:before="120"/>
              <w:rPr>
                <w:color w:val="000000"/>
              </w:rPr>
            </w:pPr>
          </w:p>
        </w:tc>
        <w:tc>
          <w:tcPr>
            <w:tcW w:w="4140" w:type="dxa"/>
            <w:shd w:val="clear" w:color="auto" w:fill="auto"/>
          </w:tcPr>
          <w:p w:rsidR="00E3268D" w:rsidP="00A92D0B" w:rsidRDefault="00E3268D" w14:paraId="2059DDAA" w14:textId="77777777">
            <w:pPr>
              <w:spacing w:before="120"/>
              <w:rPr>
                <w:color w:val="000000"/>
              </w:rPr>
            </w:pPr>
          </w:p>
          <w:p w:rsidR="00DD6981" w:rsidP="00801E21" w:rsidRDefault="00E3268D" w14:paraId="32997D21" w14:textId="77777777">
            <w:pPr>
              <w:spacing w:before="120"/>
              <w:rPr>
                <w:color w:val="000000"/>
              </w:rPr>
            </w:pPr>
            <w:r>
              <w:rPr>
                <w:color w:val="000000"/>
              </w:rPr>
              <w:t xml:space="preserve">D.19-05-042, pp. 76, </w:t>
            </w:r>
            <w:r w:rsidR="008D69BE">
              <w:rPr>
                <w:color w:val="000000"/>
              </w:rPr>
              <w:t>112, A5</w:t>
            </w:r>
            <w:r>
              <w:rPr>
                <w:color w:val="000000"/>
              </w:rPr>
              <w:t xml:space="preserve"> </w:t>
            </w:r>
          </w:p>
          <w:p w:rsidR="00DD6981" w:rsidP="00801E21" w:rsidRDefault="00DD6981" w14:paraId="45622192" w14:textId="77777777">
            <w:pPr>
              <w:spacing w:before="120"/>
              <w:rPr>
                <w:color w:val="000000"/>
              </w:rPr>
            </w:pPr>
          </w:p>
          <w:p w:rsidR="00E3268D" w:rsidP="00801E21" w:rsidRDefault="00E3268D" w14:paraId="60AEBBEC" w14:textId="77777777">
            <w:pPr>
              <w:spacing w:before="120"/>
              <w:rPr>
                <w:color w:val="000000"/>
              </w:rPr>
            </w:pPr>
            <w:r>
              <w:rPr>
                <w:color w:val="000000"/>
              </w:rPr>
              <w:t>Joint Local Governments</w:t>
            </w:r>
            <w:r w:rsidR="006B09A5">
              <w:rPr>
                <w:color w:val="000000"/>
              </w:rPr>
              <w:t>’</w:t>
            </w:r>
            <w:r w:rsidR="00801E21">
              <w:rPr>
                <w:color w:val="000000"/>
              </w:rPr>
              <w:t xml:space="preserve"> </w:t>
            </w:r>
            <w:r>
              <w:rPr>
                <w:color w:val="000000"/>
              </w:rPr>
              <w:t>Opening Commen</w:t>
            </w:r>
            <w:r w:rsidR="00DD6981">
              <w:rPr>
                <w:color w:val="000000"/>
              </w:rPr>
              <w:t>ts on the Proposed Decision, p. </w:t>
            </w:r>
            <w:r>
              <w:rPr>
                <w:color w:val="000000"/>
              </w:rPr>
              <w:t>3</w:t>
            </w:r>
            <w:r w:rsidR="008D69BE">
              <w:rPr>
                <w:color w:val="000000"/>
              </w:rPr>
              <w:t>.</w:t>
            </w:r>
          </w:p>
          <w:p w:rsidR="00801E21" w:rsidP="00801E21" w:rsidRDefault="00801E21" w14:paraId="2A6C3D6E" w14:textId="77777777">
            <w:pPr>
              <w:spacing w:before="120"/>
              <w:rPr>
                <w:color w:val="000000"/>
              </w:rPr>
            </w:pPr>
          </w:p>
          <w:p w:rsidR="00801E21" w:rsidP="00801E21" w:rsidRDefault="00801E21" w14:paraId="157D5FA2" w14:textId="77777777">
            <w:pPr>
              <w:spacing w:before="120"/>
              <w:rPr>
                <w:color w:val="000000"/>
              </w:rPr>
            </w:pPr>
          </w:p>
          <w:p w:rsidRPr="007F620E" w:rsidR="00801E21" w:rsidP="00801E21" w:rsidRDefault="00801E21" w14:paraId="05CA85F3" w14:textId="77777777">
            <w:pPr>
              <w:spacing w:before="120"/>
              <w:rPr>
                <w:color w:val="000000"/>
              </w:rPr>
            </w:pPr>
          </w:p>
        </w:tc>
        <w:tc>
          <w:tcPr>
            <w:tcW w:w="2340" w:type="dxa"/>
            <w:shd w:val="clear" w:color="auto" w:fill="auto"/>
          </w:tcPr>
          <w:p w:rsidR="00A92D0B" w:rsidP="00A92D0B" w:rsidRDefault="00DC7BAA" w14:paraId="28D42EC8" w14:textId="76FEB77A">
            <w:pPr>
              <w:spacing w:before="120"/>
              <w:rPr>
                <w:color w:val="000000"/>
              </w:rPr>
            </w:pPr>
            <w:r>
              <w:rPr>
                <w:color w:val="000000"/>
              </w:rPr>
              <w:t>Verified</w:t>
            </w:r>
          </w:p>
          <w:p w:rsidR="009D5933" w:rsidP="00A92D0B" w:rsidRDefault="009D5933" w14:paraId="03A7FB77" w14:textId="77777777">
            <w:pPr>
              <w:spacing w:before="120"/>
              <w:rPr>
                <w:color w:val="000000"/>
              </w:rPr>
            </w:pPr>
          </w:p>
          <w:p w:rsidR="009D5933" w:rsidP="00A92D0B" w:rsidRDefault="009D5933" w14:paraId="28231A39" w14:textId="0DA7D0D3">
            <w:pPr>
              <w:spacing w:before="120"/>
              <w:rPr>
                <w:color w:val="000000"/>
              </w:rPr>
            </w:pPr>
            <w:r>
              <w:rPr>
                <w:color w:val="000000"/>
              </w:rPr>
              <w:t xml:space="preserve">Opening Comments </w:t>
            </w:r>
            <w:r w:rsidR="00DC7BAA">
              <w:rPr>
                <w:color w:val="000000"/>
              </w:rPr>
              <w:t xml:space="preserve">filed </w:t>
            </w:r>
            <w:r w:rsidR="007D432D">
              <w:rPr>
                <w:color w:val="000000"/>
              </w:rPr>
              <w:t>March 25, 2019</w:t>
            </w:r>
          </w:p>
          <w:p w:rsidR="007D432D" w:rsidP="00A92D0B" w:rsidRDefault="007D432D" w14:paraId="4AA7DA66" w14:textId="77777777">
            <w:pPr>
              <w:spacing w:before="120"/>
              <w:rPr>
                <w:color w:val="000000"/>
              </w:rPr>
            </w:pPr>
          </w:p>
          <w:p w:rsidRPr="007F620E" w:rsidR="007D432D" w:rsidP="00A92D0B" w:rsidRDefault="007D432D" w14:paraId="45816251" w14:textId="1D07ADEB">
            <w:pPr>
              <w:spacing w:before="120"/>
              <w:rPr>
                <w:color w:val="000000"/>
              </w:rPr>
            </w:pPr>
          </w:p>
        </w:tc>
      </w:tr>
      <w:tr w:rsidRPr="007F620E" w:rsidR="00AA31B4" w:rsidTr="009A7144" w14:paraId="3798654C" w14:textId="77777777">
        <w:trPr>
          <w:trHeight w:val="2060"/>
        </w:trPr>
        <w:tc>
          <w:tcPr>
            <w:tcW w:w="3258" w:type="dxa"/>
            <w:shd w:val="clear" w:color="auto" w:fill="auto"/>
          </w:tcPr>
          <w:p w:rsidRPr="005F724F" w:rsidR="005F724F" w:rsidP="00A92D0B" w:rsidRDefault="00A92D0B" w14:paraId="5C8F558F" w14:textId="77777777">
            <w:pPr>
              <w:spacing w:before="120"/>
              <w:rPr>
                <w:color w:val="000000"/>
              </w:rPr>
            </w:pPr>
            <w:r w:rsidRPr="00CC12C1">
              <w:rPr>
                <w:b/>
                <w:color w:val="000000"/>
              </w:rPr>
              <w:lastRenderedPageBreak/>
              <w:t>2.</w:t>
            </w:r>
            <w:r w:rsidR="00E25078">
              <w:rPr>
                <w:color w:val="000000"/>
              </w:rPr>
              <w:t xml:space="preserve"> </w:t>
            </w:r>
            <w:r w:rsidR="005F724F">
              <w:rPr>
                <w:b/>
                <w:color w:val="000000"/>
              </w:rPr>
              <w:t>Notification and Communication</w:t>
            </w:r>
          </w:p>
          <w:p w:rsidRPr="007F620E" w:rsidR="00CC12C1" w:rsidP="00A92D0B" w:rsidRDefault="00CC12C1" w14:paraId="01D22BB7" w14:textId="77777777">
            <w:pPr>
              <w:spacing w:before="120"/>
              <w:rPr>
                <w:color w:val="000000"/>
              </w:rPr>
            </w:pPr>
            <w:r>
              <w:rPr>
                <w:b/>
                <w:color w:val="000000"/>
              </w:rPr>
              <w:t xml:space="preserve">2.A   </w:t>
            </w:r>
            <w:r w:rsidR="00A138F3">
              <w:rPr>
                <w:color w:val="000000"/>
              </w:rPr>
              <w:t xml:space="preserve">The Joint Local Governments advocated repeatedly that it is imperative that the utilities partner with local governments and first responders to ensure effective notice and to improve communication. </w:t>
            </w:r>
            <w:r w:rsidR="00364B63">
              <w:rPr>
                <w:color w:val="000000"/>
              </w:rPr>
              <w:t xml:space="preserve"> </w:t>
            </w:r>
            <w:r w:rsidR="00A138F3">
              <w:rPr>
                <w:color w:val="000000"/>
              </w:rPr>
              <w:t>The Commission directed the utilities to work closely with public safety partners to identify the entities and customers that must be notified in advance of a PSPS and to establish effective lines of communication.</w:t>
            </w:r>
          </w:p>
        </w:tc>
        <w:tc>
          <w:tcPr>
            <w:tcW w:w="4140" w:type="dxa"/>
            <w:shd w:val="clear" w:color="auto" w:fill="auto"/>
          </w:tcPr>
          <w:p w:rsidR="001A4827" w:rsidP="00A92D0B" w:rsidRDefault="001A4827" w14:paraId="76E3BA02" w14:textId="77777777">
            <w:pPr>
              <w:spacing w:before="120"/>
              <w:rPr>
                <w:color w:val="000000"/>
              </w:rPr>
            </w:pPr>
          </w:p>
          <w:p w:rsidR="00DD6981" w:rsidP="00A92D0B" w:rsidRDefault="001A4827" w14:paraId="1963D737" w14:textId="77777777">
            <w:pPr>
              <w:spacing w:before="120"/>
              <w:rPr>
                <w:color w:val="000000"/>
              </w:rPr>
            </w:pPr>
            <w:r>
              <w:rPr>
                <w:color w:val="000000"/>
              </w:rPr>
              <w:t>D.19-05-042, pp. 78–</w:t>
            </w:r>
            <w:r w:rsidR="00D9771D">
              <w:rPr>
                <w:color w:val="000000"/>
              </w:rPr>
              <w:t>81</w:t>
            </w:r>
            <w:r w:rsidR="00AF6B69">
              <w:rPr>
                <w:color w:val="000000"/>
              </w:rPr>
              <w:t>, 90</w:t>
            </w:r>
            <w:r w:rsidR="00624F30">
              <w:rPr>
                <w:color w:val="000000"/>
              </w:rPr>
              <w:t>, 93, 97, 99, 101, A5, A12, A13, A17, A18, A20</w:t>
            </w:r>
            <w:r w:rsidR="00AF6B69">
              <w:rPr>
                <w:color w:val="000000"/>
              </w:rPr>
              <w:t>.</w:t>
            </w:r>
            <w:r w:rsidR="003917D8">
              <w:rPr>
                <w:color w:val="000000"/>
              </w:rPr>
              <w:t xml:space="preserve"> </w:t>
            </w:r>
            <w:r>
              <w:rPr>
                <w:color w:val="000000"/>
              </w:rPr>
              <w:t xml:space="preserve"> </w:t>
            </w:r>
          </w:p>
          <w:p w:rsidR="00A138F3" w:rsidP="00A92D0B" w:rsidRDefault="00A138F3" w14:paraId="26442688" w14:textId="77777777">
            <w:pPr>
              <w:spacing w:before="120"/>
              <w:rPr>
                <w:color w:val="000000"/>
              </w:rPr>
            </w:pPr>
          </w:p>
          <w:p w:rsidRPr="008A7E9A" w:rsidR="001A4827" w:rsidP="00A92D0B" w:rsidRDefault="008F1D04" w14:paraId="1F87092C" w14:textId="77777777">
            <w:pPr>
              <w:spacing w:before="120"/>
              <w:rPr>
                <w:color w:val="000000"/>
              </w:rPr>
            </w:pPr>
            <w:r>
              <w:rPr>
                <w:color w:val="000000"/>
              </w:rPr>
              <w:t xml:space="preserve">Counties’ Comments on R.18-12-005, pp. 5–6; </w:t>
            </w:r>
            <w:r w:rsidR="00DA0B90">
              <w:rPr>
                <w:color w:val="000000"/>
              </w:rPr>
              <w:t xml:space="preserve">Joint Local Governments’ Comments on Staff Proposal, pp. 10–11; </w:t>
            </w:r>
            <w:r w:rsidR="00A138F3">
              <w:rPr>
                <w:color w:val="000000"/>
              </w:rPr>
              <w:t xml:space="preserve">Joint Local Governments’ Comments on Proposed Decision, </w:t>
            </w:r>
            <w:r w:rsidR="008A7E9A">
              <w:rPr>
                <w:i/>
                <w:color w:val="000000"/>
              </w:rPr>
              <w:t>passim</w:t>
            </w:r>
            <w:r w:rsidR="008A7E9A">
              <w:rPr>
                <w:color w:val="000000"/>
              </w:rPr>
              <w:t xml:space="preserve">. </w:t>
            </w:r>
          </w:p>
          <w:p w:rsidRPr="007F620E" w:rsidR="00801E21" w:rsidP="00A92D0B" w:rsidRDefault="00801E21" w14:paraId="1A77A7B1" w14:textId="77777777">
            <w:pPr>
              <w:spacing w:before="120"/>
              <w:rPr>
                <w:color w:val="000000"/>
              </w:rPr>
            </w:pPr>
          </w:p>
        </w:tc>
        <w:tc>
          <w:tcPr>
            <w:tcW w:w="2340" w:type="dxa"/>
            <w:shd w:val="clear" w:color="auto" w:fill="auto"/>
          </w:tcPr>
          <w:p w:rsidR="002004E7" w:rsidP="00A92D0B" w:rsidRDefault="00DC7BAA" w14:paraId="7B68E872" w14:textId="32AECFDD">
            <w:pPr>
              <w:spacing w:before="120"/>
              <w:rPr>
                <w:color w:val="000000"/>
              </w:rPr>
            </w:pPr>
            <w:r>
              <w:rPr>
                <w:color w:val="000000"/>
              </w:rPr>
              <w:t>Verified</w:t>
            </w:r>
          </w:p>
          <w:p w:rsidR="00A92D0B" w:rsidP="00A92D0B" w:rsidRDefault="00B76603" w14:paraId="02AA51A2" w14:textId="650B5085">
            <w:pPr>
              <w:spacing w:before="120"/>
              <w:rPr>
                <w:color w:val="000000"/>
              </w:rPr>
            </w:pPr>
            <w:r>
              <w:rPr>
                <w:color w:val="000000"/>
              </w:rPr>
              <w:t>Comments</w:t>
            </w:r>
            <w:r w:rsidR="002004E7">
              <w:rPr>
                <w:color w:val="000000"/>
              </w:rPr>
              <w:t xml:space="preserve"> to Staff Proposal</w:t>
            </w:r>
            <w:r w:rsidR="007D432D">
              <w:rPr>
                <w:color w:val="000000"/>
              </w:rPr>
              <w:t xml:space="preserve"> and Scoping Ruling </w:t>
            </w:r>
            <w:r w:rsidR="00DC7BAA">
              <w:rPr>
                <w:color w:val="000000"/>
              </w:rPr>
              <w:t xml:space="preserve">filed </w:t>
            </w:r>
            <w:r w:rsidR="007D432D">
              <w:rPr>
                <w:color w:val="000000"/>
              </w:rPr>
              <w:t>April 2, 2019</w:t>
            </w:r>
          </w:p>
          <w:p w:rsidR="002004E7" w:rsidP="00A92D0B" w:rsidRDefault="002004E7" w14:paraId="147875A1" w14:textId="78531E78">
            <w:pPr>
              <w:spacing w:before="120"/>
              <w:rPr>
                <w:color w:val="000000"/>
              </w:rPr>
            </w:pPr>
            <w:r>
              <w:rPr>
                <w:color w:val="000000"/>
              </w:rPr>
              <w:t xml:space="preserve">Comments </w:t>
            </w:r>
            <w:r w:rsidR="004F211B">
              <w:rPr>
                <w:color w:val="000000"/>
              </w:rPr>
              <w:t>to</w:t>
            </w:r>
            <w:r>
              <w:rPr>
                <w:color w:val="000000"/>
              </w:rPr>
              <w:t xml:space="preserve"> Proposed Decision </w:t>
            </w:r>
            <w:r w:rsidR="00DC7BAA">
              <w:rPr>
                <w:color w:val="000000"/>
              </w:rPr>
              <w:t xml:space="preserve">filed </w:t>
            </w:r>
            <w:r w:rsidR="006E6AC1">
              <w:rPr>
                <w:color w:val="000000"/>
              </w:rPr>
              <w:t>May 16, 2019</w:t>
            </w:r>
          </w:p>
          <w:p w:rsidR="006E6AC1" w:rsidP="00A92D0B" w:rsidRDefault="006E6AC1" w14:paraId="45123A85" w14:textId="6527589C">
            <w:pPr>
              <w:spacing w:before="120"/>
              <w:rPr>
                <w:color w:val="000000"/>
              </w:rPr>
            </w:pPr>
            <w:r>
              <w:rPr>
                <w:color w:val="000000"/>
              </w:rPr>
              <w:t>Reply comments to PD filed May 21, 2019</w:t>
            </w:r>
          </w:p>
          <w:p w:rsidR="006E6AC1" w:rsidP="00A92D0B" w:rsidRDefault="006E6AC1" w14:paraId="3F4B0A48" w14:textId="77777777">
            <w:pPr>
              <w:spacing w:before="120"/>
              <w:rPr>
                <w:color w:val="000000"/>
              </w:rPr>
            </w:pPr>
          </w:p>
          <w:p w:rsidRPr="007F620E" w:rsidR="006E6AC1" w:rsidP="00A92D0B" w:rsidRDefault="006E6AC1" w14:paraId="5B0A5CD6" w14:textId="4118823B">
            <w:pPr>
              <w:spacing w:before="120"/>
              <w:rPr>
                <w:color w:val="000000"/>
              </w:rPr>
            </w:pPr>
          </w:p>
        </w:tc>
      </w:tr>
      <w:tr w:rsidRPr="007F620E" w:rsidR="00AA31B4" w:rsidTr="009A7144" w14:paraId="3C46EF64" w14:textId="77777777">
        <w:trPr>
          <w:trHeight w:val="170"/>
        </w:trPr>
        <w:tc>
          <w:tcPr>
            <w:tcW w:w="3258" w:type="dxa"/>
            <w:shd w:val="clear" w:color="auto" w:fill="auto"/>
          </w:tcPr>
          <w:p w:rsidR="00134D82" w:rsidP="00A92D0B" w:rsidRDefault="00134D82" w14:paraId="6C72E022" w14:textId="77777777">
            <w:pPr>
              <w:spacing w:before="120"/>
              <w:rPr>
                <w:color w:val="000000"/>
              </w:rPr>
            </w:pPr>
            <w:r>
              <w:rPr>
                <w:b/>
                <w:color w:val="000000"/>
              </w:rPr>
              <w:t xml:space="preserve">2.B   </w:t>
            </w:r>
            <w:r>
              <w:rPr>
                <w:color w:val="000000"/>
              </w:rPr>
              <w:t xml:space="preserve">Decision 19-05-042 directs the utilities to partner with local and state agencies to develop a plan with the goal of identifying and notifying AFN populations on a going-forward basis, which is a course of action the Joint Local Governments advocated repeatedly, rather than continuing PG&amp;E’s practice of only relying on its medical baseline registry.  </w:t>
            </w:r>
          </w:p>
          <w:p w:rsidRPr="00CC12C1" w:rsidR="002A5A67" w:rsidP="00A92D0B" w:rsidRDefault="002A5A67" w14:paraId="0E0D7C27" w14:textId="77777777">
            <w:pPr>
              <w:spacing w:before="120"/>
              <w:rPr>
                <w:b/>
                <w:color w:val="000000"/>
              </w:rPr>
            </w:pPr>
          </w:p>
        </w:tc>
        <w:tc>
          <w:tcPr>
            <w:tcW w:w="4140" w:type="dxa"/>
            <w:shd w:val="clear" w:color="auto" w:fill="auto"/>
          </w:tcPr>
          <w:p w:rsidR="00134D82" w:rsidP="00134D82" w:rsidRDefault="00134D82" w14:paraId="3660AB20" w14:textId="77777777">
            <w:pPr>
              <w:spacing w:before="120"/>
              <w:rPr>
                <w:color w:val="000000"/>
              </w:rPr>
            </w:pPr>
            <w:r>
              <w:rPr>
                <w:color w:val="000000"/>
              </w:rPr>
              <w:t xml:space="preserve">D.19-05-042, pp. </w:t>
            </w:r>
            <w:r w:rsidR="00AB01FC">
              <w:rPr>
                <w:color w:val="000000"/>
              </w:rPr>
              <w:t xml:space="preserve">77–78, </w:t>
            </w:r>
            <w:r>
              <w:rPr>
                <w:color w:val="000000"/>
              </w:rPr>
              <w:t xml:space="preserve">81–82, 88, </w:t>
            </w:r>
            <w:r w:rsidR="00AB01FC">
              <w:rPr>
                <w:color w:val="000000"/>
              </w:rPr>
              <w:t>90, A12–A13.</w:t>
            </w:r>
          </w:p>
          <w:p w:rsidR="00134D82" w:rsidP="00134D82" w:rsidRDefault="00134D82" w14:paraId="3591C4FD" w14:textId="77777777">
            <w:pPr>
              <w:spacing w:before="120"/>
              <w:rPr>
                <w:color w:val="000000"/>
              </w:rPr>
            </w:pPr>
          </w:p>
          <w:p w:rsidR="00134D82" w:rsidP="00134D82" w:rsidRDefault="00134D82" w14:paraId="343EFA00" w14:textId="77777777">
            <w:pPr>
              <w:spacing w:before="120"/>
              <w:rPr>
                <w:color w:val="000000"/>
              </w:rPr>
            </w:pPr>
            <w:r>
              <w:rPr>
                <w:color w:val="000000"/>
              </w:rPr>
              <w:t>Counties’ Comments on R.18-12-005, pp. 15–16; Joint Local Governments’ Comments</w:t>
            </w:r>
            <w:r w:rsidR="00AB01FC">
              <w:rPr>
                <w:color w:val="000000"/>
              </w:rPr>
              <w:t xml:space="preserve"> on Staff Proposal, pp. 6, 8–10.</w:t>
            </w:r>
          </w:p>
        </w:tc>
        <w:tc>
          <w:tcPr>
            <w:tcW w:w="2340" w:type="dxa"/>
            <w:shd w:val="clear" w:color="auto" w:fill="auto"/>
          </w:tcPr>
          <w:p w:rsidR="00134D82" w:rsidP="00A92D0B" w:rsidRDefault="00DC7BAA" w14:paraId="6F098E8A" w14:textId="280E178E">
            <w:pPr>
              <w:spacing w:before="120"/>
              <w:rPr>
                <w:color w:val="000000"/>
              </w:rPr>
            </w:pPr>
            <w:r>
              <w:rPr>
                <w:color w:val="000000"/>
              </w:rPr>
              <w:t>Verified</w:t>
            </w:r>
          </w:p>
          <w:p w:rsidRPr="007F620E" w:rsidR="002004E7" w:rsidP="00A92D0B" w:rsidRDefault="002004E7" w14:paraId="23277883" w14:textId="7162FB7A">
            <w:pPr>
              <w:spacing w:before="120"/>
              <w:rPr>
                <w:color w:val="000000"/>
              </w:rPr>
            </w:pPr>
          </w:p>
        </w:tc>
      </w:tr>
      <w:tr w:rsidRPr="007F620E" w:rsidR="00AA31B4" w:rsidTr="009A7144" w14:paraId="3006A215" w14:textId="77777777">
        <w:trPr>
          <w:trHeight w:val="70"/>
        </w:trPr>
        <w:tc>
          <w:tcPr>
            <w:tcW w:w="3258" w:type="dxa"/>
            <w:shd w:val="clear" w:color="auto" w:fill="auto"/>
          </w:tcPr>
          <w:p w:rsidR="00CC12C1" w:rsidP="00A92D0B" w:rsidRDefault="00134D82" w14:paraId="085A92D8" w14:textId="77777777">
            <w:pPr>
              <w:spacing w:before="120"/>
              <w:rPr>
                <w:color w:val="000000"/>
              </w:rPr>
            </w:pPr>
            <w:r>
              <w:rPr>
                <w:b/>
                <w:color w:val="000000"/>
              </w:rPr>
              <w:t>2.C</w:t>
            </w:r>
            <w:r w:rsidR="00CC12C1">
              <w:rPr>
                <w:b/>
                <w:color w:val="000000"/>
              </w:rPr>
              <w:t xml:space="preserve">   </w:t>
            </w:r>
            <w:r w:rsidR="00A308C3">
              <w:rPr>
                <w:color w:val="000000"/>
              </w:rPr>
              <w:t xml:space="preserve">The Joint Local Governments advocated that </w:t>
            </w:r>
            <w:r w:rsidR="00CC12C1">
              <w:rPr>
                <w:color w:val="000000"/>
              </w:rPr>
              <w:t xml:space="preserve">PG&amp;E should </w:t>
            </w:r>
            <w:r w:rsidR="00F11B84">
              <w:rPr>
                <w:color w:val="000000"/>
              </w:rPr>
              <w:t xml:space="preserve">avoid duplicating existing communication systems and should </w:t>
            </w:r>
            <w:r w:rsidR="00CC12C1">
              <w:rPr>
                <w:color w:val="000000"/>
              </w:rPr>
              <w:t xml:space="preserve">leverage local governments’ emergency notification systems (Nixle, Nextdoor, Reverse 911, etc.) to provide notice and </w:t>
            </w:r>
            <w:r w:rsidR="00CC12C1">
              <w:rPr>
                <w:color w:val="000000"/>
              </w:rPr>
              <w:lastRenderedPageBreak/>
              <w:t>information to residents.</w:t>
            </w:r>
            <w:r w:rsidR="002A3214">
              <w:rPr>
                <w:color w:val="000000"/>
              </w:rPr>
              <w:t xml:space="preserve">  The Commission adopted the recommendation. </w:t>
            </w:r>
          </w:p>
          <w:p w:rsidRPr="00CC12C1" w:rsidR="00CC12C1" w:rsidP="00A92D0B" w:rsidRDefault="00CC12C1" w14:paraId="15C00ED6" w14:textId="77777777">
            <w:pPr>
              <w:spacing w:before="120"/>
              <w:rPr>
                <w:b/>
                <w:color w:val="000000"/>
              </w:rPr>
            </w:pPr>
          </w:p>
        </w:tc>
        <w:tc>
          <w:tcPr>
            <w:tcW w:w="4140" w:type="dxa"/>
            <w:shd w:val="clear" w:color="auto" w:fill="auto"/>
          </w:tcPr>
          <w:p w:rsidR="008771F5" w:rsidP="00A92D0B" w:rsidRDefault="00CC12C1" w14:paraId="0405DB39" w14:textId="77777777">
            <w:pPr>
              <w:spacing w:before="120"/>
              <w:rPr>
                <w:color w:val="000000"/>
              </w:rPr>
            </w:pPr>
            <w:r>
              <w:rPr>
                <w:color w:val="000000"/>
              </w:rPr>
              <w:lastRenderedPageBreak/>
              <w:t xml:space="preserve">D.19-05-042, pp. </w:t>
            </w:r>
            <w:r w:rsidR="002A5A67">
              <w:rPr>
                <w:color w:val="000000"/>
              </w:rPr>
              <w:t xml:space="preserve">52, </w:t>
            </w:r>
            <w:r>
              <w:rPr>
                <w:color w:val="000000"/>
              </w:rPr>
              <w:t xml:space="preserve">86, </w:t>
            </w:r>
            <w:r w:rsidR="002A5A67">
              <w:rPr>
                <w:color w:val="000000"/>
              </w:rPr>
              <w:t>89, COL 16, A2, A10.</w:t>
            </w:r>
          </w:p>
          <w:p w:rsidR="008771F5" w:rsidP="00A92D0B" w:rsidRDefault="008771F5" w14:paraId="6FB7C503" w14:textId="77777777">
            <w:pPr>
              <w:spacing w:before="120"/>
              <w:rPr>
                <w:color w:val="000000"/>
              </w:rPr>
            </w:pPr>
          </w:p>
          <w:p w:rsidR="00CC12C1" w:rsidP="00A92D0B" w:rsidRDefault="00CC12C1" w14:paraId="780E03D7" w14:textId="77777777">
            <w:pPr>
              <w:spacing w:before="120"/>
              <w:rPr>
                <w:color w:val="000000"/>
              </w:rPr>
            </w:pPr>
            <w:r>
              <w:rPr>
                <w:color w:val="000000"/>
              </w:rPr>
              <w:t xml:space="preserve">Counties’ Comments on R.18-12-005, p. 6; Joint Local Governments’ Comments on Staff Proposal, p. 7; </w:t>
            </w:r>
            <w:r w:rsidR="00F11B84">
              <w:rPr>
                <w:color w:val="000000"/>
              </w:rPr>
              <w:t xml:space="preserve">Joint Local Governments’ Comments on Proposed Decision, p. 5.  </w:t>
            </w:r>
          </w:p>
          <w:p w:rsidR="00CC12C1" w:rsidP="00A92D0B" w:rsidRDefault="00CC12C1" w14:paraId="4CB643C5" w14:textId="77777777">
            <w:pPr>
              <w:spacing w:before="120"/>
              <w:rPr>
                <w:color w:val="000000"/>
              </w:rPr>
            </w:pPr>
          </w:p>
          <w:p w:rsidR="00CC12C1" w:rsidP="00A92D0B" w:rsidRDefault="00CC12C1" w14:paraId="0752AF5E" w14:textId="77777777">
            <w:pPr>
              <w:spacing w:before="120"/>
              <w:rPr>
                <w:color w:val="000000"/>
              </w:rPr>
            </w:pPr>
          </w:p>
        </w:tc>
        <w:tc>
          <w:tcPr>
            <w:tcW w:w="2340" w:type="dxa"/>
            <w:shd w:val="clear" w:color="auto" w:fill="auto"/>
          </w:tcPr>
          <w:p w:rsidRPr="007F620E" w:rsidR="004F211B" w:rsidP="00A92D0B" w:rsidRDefault="00DC7BAA" w14:paraId="342FFCEB" w14:textId="0AB989A1">
            <w:pPr>
              <w:spacing w:before="120"/>
              <w:rPr>
                <w:color w:val="000000"/>
              </w:rPr>
            </w:pPr>
            <w:r>
              <w:rPr>
                <w:color w:val="000000"/>
              </w:rPr>
              <w:lastRenderedPageBreak/>
              <w:t>Verified</w:t>
            </w:r>
          </w:p>
        </w:tc>
      </w:tr>
      <w:tr w:rsidRPr="007F620E" w:rsidR="00AA31B4" w:rsidTr="009A7144" w14:paraId="7AB957DB" w14:textId="77777777">
        <w:trPr>
          <w:trHeight w:val="1770"/>
        </w:trPr>
        <w:tc>
          <w:tcPr>
            <w:tcW w:w="3258" w:type="dxa"/>
            <w:shd w:val="clear" w:color="auto" w:fill="auto"/>
          </w:tcPr>
          <w:p w:rsidR="00A308C3" w:rsidP="00A92D0B" w:rsidRDefault="002A5A67" w14:paraId="0984C9E3" w14:textId="77777777">
            <w:pPr>
              <w:spacing w:before="120"/>
              <w:rPr>
                <w:color w:val="000000"/>
              </w:rPr>
            </w:pPr>
            <w:r>
              <w:rPr>
                <w:b/>
                <w:color w:val="000000"/>
              </w:rPr>
              <w:t>2.D</w:t>
            </w:r>
            <w:r w:rsidR="00CC12C1">
              <w:rPr>
                <w:b/>
                <w:color w:val="000000"/>
              </w:rPr>
              <w:t xml:space="preserve">   </w:t>
            </w:r>
            <w:r w:rsidR="00A308C3">
              <w:rPr>
                <w:color w:val="000000"/>
              </w:rPr>
              <w:t>The Joint Local Governments recommended that n</w:t>
            </w:r>
            <w:r w:rsidR="009B07BF">
              <w:rPr>
                <w:color w:val="000000"/>
              </w:rPr>
              <w:t>otifications to customers must be made in threshold non-English languages</w:t>
            </w:r>
            <w:r w:rsidR="00A308C3">
              <w:rPr>
                <w:color w:val="000000"/>
              </w:rPr>
              <w:t>.</w:t>
            </w:r>
            <w:r w:rsidR="00364B63">
              <w:rPr>
                <w:color w:val="000000"/>
              </w:rPr>
              <w:t xml:space="preserve">  </w:t>
            </w:r>
            <w:r w:rsidR="00A308C3">
              <w:rPr>
                <w:color w:val="000000"/>
              </w:rPr>
              <w:t>The Commission adopted this recommendation by revising the Proposed Decision to direct the utilities to provide notifications and other communications in English, Spanish, Chinese (including Cantonese, Mandarin, and other Chinese languages), Tagalog, and Vietnamese, an Korean and Russian where those languages are prevalent in the utilities’ service territories.</w:t>
            </w:r>
          </w:p>
          <w:p w:rsidR="00CC12C1" w:rsidP="00A92D0B" w:rsidRDefault="00CC12C1" w14:paraId="4641BD2A" w14:textId="77777777">
            <w:pPr>
              <w:spacing w:before="120"/>
              <w:rPr>
                <w:color w:val="000000"/>
              </w:rPr>
            </w:pPr>
          </w:p>
        </w:tc>
        <w:tc>
          <w:tcPr>
            <w:tcW w:w="4140" w:type="dxa"/>
            <w:shd w:val="clear" w:color="auto" w:fill="auto"/>
          </w:tcPr>
          <w:p w:rsidR="00CC12C1" w:rsidP="00A92D0B" w:rsidRDefault="00CC12C1" w14:paraId="6302DAD5" w14:textId="77777777">
            <w:pPr>
              <w:spacing w:before="120"/>
              <w:rPr>
                <w:color w:val="000000"/>
              </w:rPr>
            </w:pPr>
          </w:p>
          <w:p w:rsidR="00D40692" w:rsidP="00A92D0B" w:rsidRDefault="009B07BF" w14:paraId="7F9210C4" w14:textId="77777777">
            <w:pPr>
              <w:spacing w:before="120"/>
              <w:rPr>
                <w:color w:val="000000"/>
              </w:rPr>
            </w:pPr>
            <w:r>
              <w:rPr>
                <w:color w:val="000000"/>
              </w:rPr>
              <w:t xml:space="preserve">D.19-05-042, pp. 70, 97–98, 99, 112, 113, FOF 39, </w:t>
            </w:r>
            <w:r w:rsidR="00264148">
              <w:rPr>
                <w:color w:val="000000"/>
              </w:rPr>
              <w:t>COL 19, COL 24</w:t>
            </w:r>
            <w:r w:rsidR="0078574A">
              <w:rPr>
                <w:color w:val="000000"/>
              </w:rPr>
              <w:t>.</w:t>
            </w:r>
            <w:r>
              <w:rPr>
                <w:color w:val="000000"/>
              </w:rPr>
              <w:t xml:space="preserve"> </w:t>
            </w:r>
          </w:p>
          <w:p w:rsidR="00D40692" w:rsidP="00A92D0B" w:rsidRDefault="00D40692" w14:paraId="219A24EB" w14:textId="77777777">
            <w:pPr>
              <w:spacing w:before="120"/>
              <w:rPr>
                <w:color w:val="000000"/>
              </w:rPr>
            </w:pPr>
          </w:p>
          <w:p w:rsidR="00A308C3" w:rsidP="00A92D0B" w:rsidRDefault="00A308C3" w14:paraId="31870CA3" w14:textId="77777777">
            <w:pPr>
              <w:spacing w:before="120"/>
              <w:rPr>
                <w:color w:val="000000"/>
              </w:rPr>
            </w:pPr>
          </w:p>
          <w:p w:rsidR="00CC12C1" w:rsidP="00A92D0B" w:rsidRDefault="009B07BF" w14:paraId="24FC84B6" w14:textId="77777777">
            <w:pPr>
              <w:spacing w:before="120"/>
              <w:rPr>
                <w:color w:val="000000"/>
              </w:rPr>
            </w:pPr>
            <w:r>
              <w:rPr>
                <w:color w:val="000000"/>
              </w:rPr>
              <w:t>Joint Local Governments’ Comments on Proposed Decision, p. 6.</w:t>
            </w:r>
            <w:r w:rsidR="00CC12C1">
              <w:rPr>
                <w:color w:val="000000"/>
              </w:rPr>
              <w:t xml:space="preserve"> </w:t>
            </w:r>
          </w:p>
          <w:p w:rsidR="00CC12C1" w:rsidP="00A92D0B" w:rsidRDefault="00CC12C1" w14:paraId="067BF623" w14:textId="77777777">
            <w:pPr>
              <w:spacing w:before="120"/>
              <w:rPr>
                <w:color w:val="000000"/>
              </w:rPr>
            </w:pPr>
          </w:p>
          <w:p w:rsidR="00CC12C1" w:rsidP="00A92D0B" w:rsidRDefault="00CC12C1" w14:paraId="5C9E6325" w14:textId="77777777">
            <w:pPr>
              <w:spacing w:before="120"/>
              <w:rPr>
                <w:color w:val="000000"/>
              </w:rPr>
            </w:pPr>
          </w:p>
        </w:tc>
        <w:tc>
          <w:tcPr>
            <w:tcW w:w="2340" w:type="dxa"/>
            <w:shd w:val="clear" w:color="auto" w:fill="auto"/>
          </w:tcPr>
          <w:p w:rsidR="00CC12C1" w:rsidP="00A92D0B" w:rsidRDefault="00DC7BAA" w14:paraId="434E78C1" w14:textId="07238AA9">
            <w:pPr>
              <w:spacing w:before="120"/>
              <w:rPr>
                <w:color w:val="000000"/>
              </w:rPr>
            </w:pPr>
            <w:r>
              <w:rPr>
                <w:color w:val="000000"/>
              </w:rPr>
              <w:t>Verified</w:t>
            </w:r>
          </w:p>
          <w:p w:rsidRPr="007F620E" w:rsidR="0019675F" w:rsidP="00A92D0B" w:rsidRDefault="0019675F" w14:paraId="347B56AF" w14:textId="7508869B">
            <w:pPr>
              <w:spacing w:before="120"/>
              <w:rPr>
                <w:color w:val="000000"/>
              </w:rPr>
            </w:pPr>
          </w:p>
        </w:tc>
      </w:tr>
      <w:tr w:rsidRPr="007F620E" w:rsidR="00AA31B4" w:rsidTr="009A7144" w14:paraId="5E7A959B" w14:textId="77777777">
        <w:trPr>
          <w:trHeight w:val="350"/>
        </w:trPr>
        <w:tc>
          <w:tcPr>
            <w:tcW w:w="3258" w:type="dxa"/>
            <w:shd w:val="clear" w:color="auto" w:fill="auto"/>
          </w:tcPr>
          <w:p w:rsidR="00CC12C1" w:rsidP="00A92D0B" w:rsidRDefault="002A5A67" w14:paraId="336C560F" w14:textId="77777777">
            <w:pPr>
              <w:spacing w:before="120"/>
              <w:rPr>
                <w:color w:val="000000"/>
              </w:rPr>
            </w:pPr>
            <w:r>
              <w:rPr>
                <w:b/>
                <w:color w:val="000000"/>
              </w:rPr>
              <w:t>2.E</w:t>
            </w:r>
            <w:r w:rsidR="00CC12C1">
              <w:rPr>
                <w:b/>
                <w:color w:val="000000"/>
              </w:rPr>
              <w:t xml:space="preserve">   </w:t>
            </w:r>
            <w:r w:rsidR="00AB01FC">
              <w:rPr>
                <w:color w:val="000000"/>
              </w:rPr>
              <w:t xml:space="preserve">The Joint Local Governments advocated that </w:t>
            </w:r>
            <w:r w:rsidR="00CC12C1">
              <w:rPr>
                <w:color w:val="000000"/>
              </w:rPr>
              <w:t>PG&amp;E should adopt SEMS model for communication</w:t>
            </w:r>
            <w:r w:rsidR="00AB01FC">
              <w:rPr>
                <w:color w:val="000000"/>
              </w:rPr>
              <w:t xml:space="preserve"> with public safety partners.  They further urged the importance of updating contact information annually</w:t>
            </w:r>
            <w:r w:rsidR="00CC12C1">
              <w:rPr>
                <w:color w:val="000000"/>
              </w:rPr>
              <w:t xml:space="preserve">. </w:t>
            </w:r>
            <w:r w:rsidR="00364B63">
              <w:rPr>
                <w:color w:val="000000"/>
              </w:rPr>
              <w:t xml:space="preserve"> The Commission adopted these recommendations. </w:t>
            </w:r>
          </w:p>
          <w:p w:rsidR="00CC12C1" w:rsidP="00A92D0B" w:rsidRDefault="00CC12C1" w14:paraId="5E2E4DB2" w14:textId="77777777">
            <w:pPr>
              <w:spacing w:before="120"/>
              <w:rPr>
                <w:color w:val="000000"/>
              </w:rPr>
            </w:pPr>
          </w:p>
        </w:tc>
        <w:tc>
          <w:tcPr>
            <w:tcW w:w="4140" w:type="dxa"/>
            <w:shd w:val="clear" w:color="auto" w:fill="auto"/>
          </w:tcPr>
          <w:p w:rsidR="00D40692" w:rsidP="00A92D0B" w:rsidRDefault="00CC12C1" w14:paraId="3167941C" w14:textId="77777777">
            <w:pPr>
              <w:spacing w:before="120"/>
              <w:rPr>
                <w:color w:val="000000"/>
              </w:rPr>
            </w:pPr>
            <w:r>
              <w:rPr>
                <w:color w:val="000000"/>
              </w:rPr>
              <w:t xml:space="preserve">D.19-05-042, pp. </w:t>
            </w:r>
            <w:r w:rsidR="00FF1766">
              <w:rPr>
                <w:color w:val="000000"/>
              </w:rPr>
              <w:t xml:space="preserve">5, 12, 47, 52, </w:t>
            </w:r>
            <w:r>
              <w:rPr>
                <w:color w:val="000000"/>
              </w:rPr>
              <w:t>85, 89</w:t>
            </w:r>
            <w:r w:rsidR="00FF1766">
              <w:rPr>
                <w:color w:val="000000"/>
              </w:rPr>
              <w:t xml:space="preserve">, 100, 101, A19, COL 28. </w:t>
            </w:r>
            <w:r>
              <w:rPr>
                <w:color w:val="000000"/>
              </w:rPr>
              <w:t xml:space="preserve"> </w:t>
            </w:r>
          </w:p>
          <w:p w:rsidR="00D40692" w:rsidP="00A92D0B" w:rsidRDefault="00D40692" w14:paraId="6DA9C5F8" w14:textId="77777777">
            <w:pPr>
              <w:spacing w:before="120"/>
              <w:rPr>
                <w:color w:val="000000"/>
              </w:rPr>
            </w:pPr>
          </w:p>
          <w:p w:rsidR="00CC12C1" w:rsidP="00A92D0B" w:rsidRDefault="00CC12C1" w14:paraId="251CA618" w14:textId="77777777">
            <w:pPr>
              <w:spacing w:before="120"/>
              <w:rPr>
                <w:color w:val="000000"/>
              </w:rPr>
            </w:pPr>
            <w:r>
              <w:rPr>
                <w:color w:val="000000"/>
              </w:rPr>
              <w:t xml:space="preserve">Counties’ Comments on R.18-12-005, pp. 11, 14; Joint Local Governments’ Comments on Staff Proposal, pp. 3–4, 11; </w:t>
            </w:r>
            <w:r w:rsidR="007D1569">
              <w:rPr>
                <w:color w:val="000000"/>
              </w:rPr>
              <w:t>Joint Local Governments’ Comments on Proposed Decision, pp. 4, 7.</w:t>
            </w:r>
          </w:p>
          <w:p w:rsidR="00CC12C1" w:rsidP="00A92D0B" w:rsidRDefault="00CC12C1" w14:paraId="571CA8E1" w14:textId="77777777">
            <w:pPr>
              <w:spacing w:before="120"/>
              <w:rPr>
                <w:color w:val="000000"/>
              </w:rPr>
            </w:pPr>
          </w:p>
        </w:tc>
        <w:tc>
          <w:tcPr>
            <w:tcW w:w="2340" w:type="dxa"/>
            <w:shd w:val="clear" w:color="auto" w:fill="auto"/>
          </w:tcPr>
          <w:p w:rsidRPr="007F620E" w:rsidR="005E385B" w:rsidP="00A92D0B" w:rsidRDefault="00903FF8" w14:paraId="02D91EAD" w14:textId="4FC9CD44">
            <w:pPr>
              <w:spacing w:before="120"/>
              <w:rPr>
                <w:color w:val="000000"/>
              </w:rPr>
            </w:pPr>
            <w:r>
              <w:rPr>
                <w:color w:val="000000"/>
              </w:rPr>
              <w:t>Verified</w:t>
            </w:r>
          </w:p>
        </w:tc>
      </w:tr>
      <w:tr w:rsidRPr="007F620E" w:rsidR="00AA31B4" w:rsidTr="009A7144" w14:paraId="115CC4FA" w14:textId="77777777">
        <w:trPr>
          <w:trHeight w:val="1800"/>
        </w:trPr>
        <w:tc>
          <w:tcPr>
            <w:tcW w:w="3258" w:type="dxa"/>
            <w:shd w:val="clear" w:color="auto" w:fill="auto"/>
          </w:tcPr>
          <w:p w:rsidR="002A3214" w:rsidP="00A92D0B" w:rsidRDefault="002A5A67" w14:paraId="1FCA5572" w14:textId="77777777">
            <w:pPr>
              <w:spacing w:before="120"/>
              <w:rPr>
                <w:color w:val="000000"/>
              </w:rPr>
            </w:pPr>
            <w:r>
              <w:rPr>
                <w:b/>
                <w:color w:val="000000"/>
              </w:rPr>
              <w:t>2.F</w:t>
            </w:r>
            <w:r w:rsidR="00CC12C1">
              <w:rPr>
                <w:b/>
                <w:color w:val="000000"/>
              </w:rPr>
              <w:t xml:space="preserve">   </w:t>
            </w:r>
            <w:r w:rsidR="00CC12C1">
              <w:rPr>
                <w:color w:val="000000"/>
              </w:rPr>
              <w:t xml:space="preserve">The </w:t>
            </w:r>
            <w:r w:rsidR="002A3214">
              <w:rPr>
                <w:color w:val="000000"/>
              </w:rPr>
              <w:t xml:space="preserve">Joint Local Governments advocated that the </w:t>
            </w:r>
            <w:r w:rsidR="00CC12C1">
              <w:rPr>
                <w:color w:val="000000"/>
              </w:rPr>
              <w:t>utility should establish a 24-hour information hotline that will remain act</w:t>
            </w:r>
            <w:r w:rsidR="002A3214">
              <w:rPr>
                <w:color w:val="000000"/>
              </w:rPr>
              <w:t xml:space="preserve">ive until the power is restored.  The </w:t>
            </w:r>
            <w:r w:rsidR="002A3214">
              <w:rPr>
                <w:color w:val="000000"/>
              </w:rPr>
              <w:lastRenderedPageBreak/>
              <w:t xml:space="preserve">Commission adopted this recommendation. </w:t>
            </w:r>
          </w:p>
          <w:p w:rsidR="00CC12C1" w:rsidP="00A92D0B" w:rsidRDefault="00CC12C1" w14:paraId="303CC3BE" w14:textId="77777777">
            <w:pPr>
              <w:spacing w:before="120"/>
              <w:rPr>
                <w:color w:val="000000"/>
              </w:rPr>
            </w:pPr>
          </w:p>
        </w:tc>
        <w:tc>
          <w:tcPr>
            <w:tcW w:w="4140" w:type="dxa"/>
            <w:shd w:val="clear" w:color="auto" w:fill="auto"/>
          </w:tcPr>
          <w:p w:rsidR="00CC12C1" w:rsidP="00A92D0B" w:rsidRDefault="008A7E9A" w14:paraId="262E14E2" w14:textId="77777777">
            <w:pPr>
              <w:spacing w:before="120"/>
              <w:rPr>
                <w:color w:val="000000"/>
              </w:rPr>
            </w:pPr>
            <w:r>
              <w:rPr>
                <w:color w:val="000000"/>
              </w:rPr>
              <w:lastRenderedPageBreak/>
              <w:t>D.19-05-042, pp. 9</w:t>
            </w:r>
            <w:r w:rsidR="00382386">
              <w:rPr>
                <w:color w:val="000000"/>
              </w:rPr>
              <w:t>6–97, A18.</w:t>
            </w:r>
            <w:r>
              <w:rPr>
                <w:color w:val="000000"/>
              </w:rPr>
              <w:t xml:space="preserve"> </w:t>
            </w:r>
          </w:p>
          <w:p w:rsidR="00BA7FED" w:rsidP="00A92D0B" w:rsidRDefault="00BA7FED" w14:paraId="50E3F92B" w14:textId="77777777">
            <w:pPr>
              <w:spacing w:before="120"/>
              <w:rPr>
                <w:color w:val="000000"/>
              </w:rPr>
            </w:pPr>
          </w:p>
          <w:p w:rsidR="00CC12C1" w:rsidP="00A92D0B" w:rsidRDefault="00CC12C1" w14:paraId="54DAC302" w14:textId="77777777">
            <w:pPr>
              <w:spacing w:before="120"/>
              <w:rPr>
                <w:color w:val="000000"/>
              </w:rPr>
            </w:pPr>
            <w:r>
              <w:rPr>
                <w:color w:val="000000"/>
              </w:rPr>
              <w:t xml:space="preserve">Joint Local Governments’ Comments on Staff Proposal, p. 7; </w:t>
            </w:r>
            <w:r w:rsidR="006D170F">
              <w:rPr>
                <w:color w:val="000000"/>
              </w:rPr>
              <w:t xml:space="preserve">Joint Local Governments’ Opening </w:t>
            </w:r>
            <w:r w:rsidR="006D170F">
              <w:rPr>
                <w:color w:val="000000"/>
              </w:rPr>
              <w:lastRenderedPageBreak/>
              <w:t xml:space="preserve">Comments on Proposed Decision, p. 7.  </w:t>
            </w:r>
          </w:p>
        </w:tc>
        <w:tc>
          <w:tcPr>
            <w:tcW w:w="2340" w:type="dxa"/>
            <w:shd w:val="clear" w:color="auto" w:fill="auto"/>
          </w:tcPr>
          <w:p w:rsidR="00CC12C1" w:rsidP="00A92D0B" w:rsidRDefault="00903FF8" w14:paraId="6777FC24" w14:textId="7BB3B7FF">
            <w:pPr>
              <w:spacing w:before="120"/>
              <w:rPr>
                <w:color w:val="000000"/>
              </w:rPr>
            </w:pPr>
            <w:r>
              <w:rPr>
                <w:color w:val="000000"/>
              </w:rPr>
              <w:lastRenderedPageBreak/>
              <w:t>Verified</w:t>
            </w:r>
          </w:p>
          <w:p w:rsidR="006701B0" w:rsidP="00A92D0B" w:rsidRDefault="006701B0" w14:paraId="0110D7CF" w14:textId="77777777">
            <w:pPr>
              <w:spacing w:before="120"/>
              <w:rPr>
                <w:color w:val="000000"/>
              </w:rPr>
            </w:pPr>
          </w:p>
          <w:p w:rsidR="006701B0" w:rsidP="00A92D0B" w:rsidRDefault="006701B0" w14:paraId="7E33D4CC" w14:textId="1D32006F">
            <w:pPr>
              <w:spacing w:before="120"/>
              <w:rPr>
                <w:color w:val="000000"/>
              </w:rPr>
            </w:pPr>
          </w:p>
          <w:p w:rsidR="006A3FD4" w:rsidP="00A92D0B" w:rsidRDefault="006A3FD4" w14:paraId="25778395" w14:textId="77777777">
            <w:pPr>
              <w:spacing w:before="120"/>
              <w:rPr>
                <w:color w:val="000000"/>
              </w:rPr>
            </w:pPr>
          </w:p>
          <w:p w:rsidRPr="007F620E" w:rsidR="0086221E" w:rsidP="00A92D0B" w:rsidRDefault="0086221E" w14:paraId="74FFB8AD" w14:textId="1B4493A5">
            <w:pPr>
              <w:spacing w:before="120"/>
              <w:rPr>
                <w:color w:val="000000"/>
              </w:rPr>
            </w:pPr>
          </w:p>
        </w:tc>
      </w:tr>
      <w:tr w:rsidRPr="007F620E" w:rsidR="00AA31B4" w:rsidTr="009A7144" w14:paraId="78C079F4" w14:textId="77777777">
        <w:trPr>
          <w:trHeight w:val="1800"/>
        </w:trPr>
        <w:tc>
          <w:tcPr>
            <w:tcW w:w="3258" w:type="dxa"/>
            <w:shd w:val="clear" w:color="auto" w:fill="auto"/>
          </w:tcPr>
          <w:p w:rsidR="008771F5" w:rsidP="00A92D0B" w:rsidRDefault="008771F5" w14:paraId="2EFD75AD" w14:textId="77777777">
            <w:pPr>
              <w:spacing w:before="120"/>
              <w:rPr>
                <w:color w:val="000000"/>
              </w:rPr>
            </w:pPr>
            <w:r>
              <w:rPr>
                <w:b/>
                <w:color w:val="000000"/>
              </w:rPr>
              <w:t>2.</w:t>
            </w:r>
            <w:r w:rsidR="002A5A67">
              <w:rPr>
                <w:b/>
                <w:color w:val="000000"/>
              </w:rPr>
              <w:t>G</w:t>
            </w:r>
            <w:r>
              <w:rPr>
                <w:color w:val="000000"/>
              </w:rPr>
              <w:t xml:space="preserve"> The Joint Local Governments raised the issue of residents of master-metered properties not being the utility’s customer of record, which means that the residents are not notified of potential de-energization.  The Commission directed the utilities to work with local jurisdictions to improve outreach and communication with master-metered property owners.</w:t>
            </w:r>
          </w:p>
          <w:p w:rsidRPr="008771F5" w:rsidR="008771F5" w:rsidP="00A92D0B" w:rsidRDefault="008771F5" w14:paraId="4C9832EE" w14:textId="77777777">
            <w:pPr>
              <w:spacing w:before="120"/>
              <w:rPr>
                <w:color w:val="000000"/>
              </w:rPr>
            </w:pPr>
          </w:p>
        </w:tc>
        <w:tc>
          <w:tcPr>
            <w:tcW w:w="4140" w:type="dxa"/>
            <w:shd w:val="clear" w:color="auto" w:fill="auto"/>
          </w:tcPr>
          <w:p w:rsidR="008771F5" w:rsidP="00A92D0B" w:rsidRDefault="008771F5" w14:paraId="05E6C070" w14:textId="77777777">
            <w:pPr>
              <w:spacing w:before="120"/>
              <w:rPr>
                <w:color w:val="000000"/>
              </w:rPr>
            </w:pPr>
            <w:r>
              <w:rPr>
                <w:color w:val="000000"/>
              </w:rPr>
              <w:t>D.19-05-042, p. 82.</w:t>
            </w:r>
          </w:p>
          <w:p w:rsidR="008771F5" w:rsidP="00A92D0B" w:rsidRDefault="008771F5" w14:paraId="0071325A" w14:textId="77777777">
            <w:pPr>
              <w:spacing w:before="120"/>
              <w:rPr>
                <w:color w:val="000000"/>
              </w:rPr>
            </w:pPr>
          </w:p>
          <w:p w:rsidR="008771F5" w:rsidP="00A92D0B" w:rsidRDefault="008F0F1F" w14:paraId="11A559E0" w14:textId="77777777">
            <w:pPr>
              <w:spacing w:before="120"/>
              <w:rPr>
                <w:color w:val="000000"/>
              </w:rPr>
            </w:pPr>
            <w:r>
              <w:rPr>
                <w:color w:val="000000"/>
              </w:rPr>
              <w:t xml:space="preserve">Counties’ Comments on R.18-12-005, p. 7; Joint Local Governments’ Comments on Staff Proposal, p. 9; Joint Local Governments’ Opening Comments on Proposed Decision, p. 4. </w:t>
            </w:r>
          </w:p>
        </w:tc>
        <w:tc>
          <w:tcPr>
            <w:tcW w:w="2340" w:type="dxa"/>
            <w:shd w:val="clear" w:color="auto" w:fill="auto"/>
          </w:tcPr>
          <w:p w:rsidR="0089585B" w:rsidP="00A92D0B" w:rsidRDefault="007D432D" w14:paraId="32669176" w14:textId="426106C2">
            <w:pPr>
              <w:spacing w:before="120"/>
              <w:rPr>
                <w:color w:val="000000"/>
              </w:rPr>
            </w:pPr>
            <w:r>
              <w:rPr>
                <w:color w:val="000000"/>
              </w:rPr>
              <w:t xml:space="preserve">Verified </w:t>
            </w:r>
          </w:p>
          <w:p w:rsidRPr="007F620E" w:rsidR="0089585B" w:rsidP="00A92D0B" w:rsidRDefault="0089585B" w14:paraId="23E73A9E" w14:textId="77777777">
            <w:pPr>
              <w:spacing w:before="120"/>
              <w:rPr>
                <w:color w:val="000000"/>
              </w:rPr>
            </w:pPr>
          </w:p>
        </w:tc>
      </w:tr>
      <w:tr w:rsidR="00AA31B4" w:rsidTr="009A7144" w14:paraId="5BE50C91" w14:textId="77777777">
        <w:trPr>
          <w:trHeight w:val="350"/>
        </w:trPr>
        <w:tc>
          <w:tcPr>
            <w:tcW w:w="3258" w:type="dxa"/>
            <w:shd w:val="clear" w:color="auto" w:fill="auto"/>
          </w:tcPr>
          <w:p w:rsidRPr="001A4827" w:rsidR="006A7987" w:rsidP="006A7987" w:rsidRDefault="006A7987" w14:paraId="0B1370D4" w14:textId="77777777">
            <w:pPr>
              <w:spacing w:before="120"/>
              <w:rPr>
                <w:b/>
                <w:color w:val="000000"/>
              </w:rPr>
            </w:pPr>
            <w:r w:rsidRPr="00CC12C1">
              <w:rPr>
                <w:b/>
                <w:color w:val="000000"/>
              </w:rPr>
              <w:t>3.</w:t>
            </w:r>
            <w:r>
              <w:rPr>
                <w:color w:val="000000"/>
              </w:rPr>
              <w:t xml:space="preserve"> </w:t>
            </w:r>
            <w:r>
              <w:rPr>
                <w:b/>
                <w:color w:val="000000"/>
              </w:rPr>
              <w:t>Information-sharing with public safety partners</w:t>
            </w:r>
          </w:p>
          <w:p w:rsidR="006A7987" w:rsidP="006A7987" w:rsidRDefault="006A7987" w14:paraId="03DC3588" w14:textId="77777777">
            <w:pPr>
              <w:spacing w:before="120"/>
              <w:rPr>
                <w:color w:val="000000"/>
              </w:rPr>
            </w:pPr>
            <w:r>
              <w:rPr>
                <w:b/>
                <w:color w:val="000000"/>
              </w:rPr>
              <w:t xml:space="preserve">3.A  </w:t>
            </w:r>
            <w:r>
              <w:rPr>
                <w:color w:val="000000"/>
              </w:rPr>
              <w:t xml:space="preserve">The Joint Local Governments argued that access to PG&amp;E’s internal situational awareness information and decision-making criteria is crucial for local governments and first responders.  The Joint Local Governments advocated that PG&amp;E should establish web-based information portal for state and local public safety personnel.  The portal should include maps, weather forecasting information, and other relevant situational awareness information.  The Commission agreed and directed PG&amp;E to share its situational awareness </w:t>
            </w:r>
            <w:r>
              <w:rPr>
                <w:color w:val="000000"/>
              </w:rPr>
              <w:lastRenderedPageBreak/>
              <w:t xml:space="preserve">information with state and local public safety partners. </w:t>
            </w:r>
          </w:p>
          <w:p w:rsidRPr="007F620E" w:rsidR="006A7987" w:rsidP="006A7987" w:rsidRDefault="006A7987" w14:paraId="31FE64F2" w14:textId="77777777">
            <w:pPr>
              <w:spacing w:before="120"/>
              <w:rPr>
                <w:color w:val="000000"/>
              </w:rPr>
            </w:pPr>
          </w:p>
        </w:tc>
        <w:tc>
          <w:tcPr>
            <w:tcW w:w="4140" w:type="dxa"/>
            <w:shd w:val="clear" w:color="auto" w:fill="auto"/>
          </w:tcPr>
          <w:p w:rsidR="006A7987" w:rsidP="006A7987" w:rsidRDefault="006A7987" w14:paraId="077356C8" w14:textId="77777777">
            <w:pPr>
              <w:spacing w:before="120"/>
              <w:rPr>
                <w:color w:val="000000"/>
              </w:rPr>
            </w:pPr>
          </w:p>
          <w:p w:rsidR="006A7987" w:rsidP="006A7987" w:rsidRDefault="006A7987" w14:paraId="6ED4F957" w14:textId="77777777">
            <w:pPr>
              <w:spacing w:before="120"/>
              <w:rPr>
                <w:color w:val="000000"/>
              </w:rPr>
            </w:pPr>
          </w:p>
          <w:p w:rsidR="006A7987" w:rsidP="006A7987" w:rsidRDefault="006A7987" w14:paraId="7B6E71C4" w14:textId="77777777">
            <w:pPr>
              <w:spacing w:before="120"/>
              <w:rPr>
                <w:color w:val="000000"/>
              </w:rPr>
            </w:pPr>
            <w:r>
              <w:rPr>
                <w:color w:val="000000"/>
              </w:rPr>
              <w:t>D.19-05-042, pp. 91, 92, 94–95, A14, A17.</w:t>
            </w:r>
          </w:p>
          <w:p w:rsidR="006A7987" w:rsidP="006A7987" w:rsidRDefault="006A7987" w14:paraId="570F7373" w14:textId="77777777">
            <w:pPr>
              <w:spacing w:before="120"/>
              <w:rPr>
                <w:color w:val="000000"/>
              </w:rPr>
            </w:pPr>
          </w:p>
          <w:p w:rsidR="006A7987" w:rsidP="006A7987" w:rsidRDefault="006A7987" w14:paraId="06CCD760" w14:textId="77777777">
            <w:pPr>
              <w:spacing w:before="120"/>
              <w:rPr>
                <w:color w:val="000000"/>
              </w:rPr>
            </w:pPr>
            <w:r>
              <w:rPr>
                <w:color w:val="000000"/>
              </w:rPr>
              <w:t xml:space="preserve">Counties’ Comments on R.18-12-005, pp. 4, 5, 13; Joint Local Governments’ Comments on Staff Proposal, pp. 2, 5, 11. </w:t>
            </w:r>
          </w:p>
          <w:p w:rsidRPr="007F620E" w:rsidR="006A7987" w:rsidP="006A7987" w:rsidRDefault="006A7987" w14:paraId="7B6F341F" w14:textId="77777777">
            <w:pPr>
              <w:spacing w:before="120"/>
              <w:rPr>
                <w:color w:val="000000"/>
              </w:rPr>
            </w:pPr>
          </w:p>
        </w:tc>
        <w:tc>
          <w:tcPr>
            <w:tcW w:w="3258" w:type="dxa"/>
            <w:shd w:val="clear" w:color="auto" w:fill="auto"/>
          </w:tcPr>
          <w:p w:rsidR="000C0356" w:rsidP="006A7987" w:rsidRDefault="007D432D" w14:paraId="62C32923" w14:textId="7FB80844">
            <w:pPr>
              <w:rPr>
                <w:color w:val="000000"/>
              </w:rPr>
            </w:pPr>
            <w:r>
              <w:rPr>
                <w:color w:val="000000"/>
              </w:rPr>
              <w:t>Verified</w:t>
            </w:r>
          </w:p>
          <w:p w:rsidR="000C0356" w:rsidP="006A7987" w:rsidRDefault="000C0356" w14:paraId="5CB5C95A" w14:textId="77777777">
            <w:pPr>
              <w:rPr>
                <w:color w:val="000000"/>
              </w:rPr>
            </w:pPr>
          </w:p>
          <w:p w:rsidR="000C0356" w:rsidP="006A7987" w:rsidRDefault="000C0356" w14:paraId="57C3B855" w14:textId="77777777">
            <w:pPr>
              <w:rPr>
                <w:color w:val="000000"/>
              </w:rPr>
            </w:pPr>
          </w:p>
          <w:p w:rsidR="000C0356" w:rsidP="006A7987" w:rsidRDefault="000C0356" w14:paraId="6F6398B4" w14:textId="77777777">
            <w:pPr>
              <w:rPr>
                <w:color w:val="000000"/>
              </w:rPr>
            </w:pPr>
          </w:p>
          <w:p w:rsidR="000C0356" w:rsidP="006A7987" w:rsidRDefault="000C0356" w14:paraId="4912881B" w14:textId="77777777">
            <w:pPr>
              <w:rPr>
                <w:color w:val="000000"/>
              </w:rPr>
            </w:pPr>
          </w:p>
          <w:p w:rsidR="000C0356" w:rsidP="006A7987" w:rsidRDefault="000C0356" w14:paraId="7B46A7ED" w14:textId="77777777">
            <w:pPr>
              <w:rPr>
                <w:color w:val="000000"/>
              </w:rPr>
            </w:pPr>
          </w:p>
          <w:p w:rsidRPr="004D074F" w:rsidR="006A7987" w:rsidP="006A7987" w:rsidRDefault="006A7987" w14:paraId="742F7694" w14:textId="123F12DC"/>
        </w:tc>
      </w:tr>
      <w:tr w:rsidRPr="007F620E" w:rsidR="00AA31B4" w:rsidTr="009A7144" w14:paraId="6F1D36AD" w14:textId="77777777">
        <w:trPr>
          <w:trHeight w:val="2175"/>
        </w:trPr>
        <w:tc>
          <w:tcPr>
            <w:tcW w:w="3258" w:type="dxa"/>
            <w:shd w:val="clear" w:color="auto" w:fill="auto"/>
          </w:tcPr>
          <w:p w:rsidR="006A7987" w:rsidP="006A7987" w:rsidRDefault="006A7987" w14:paraId="7D1FF9CD" w14:textId="77777777">
            <w:pPr>
              <w:spacing w:before="120"/>
              <w:rPr>
                <w:color w:val="000000"/>
              </w:rPr>
            </w:pPr>
            <w:r>
              <w:rPr>
                <w:b/>
                <w:color w:val="000000"/>
              </w:rPr>
              <w:t xml:space="preserve">3.B   </w:t>
            </w:r>
            <w:r>
              <w:rPr>
                <w:color w:val="000000"/>
              </w:rPr>
              <w:t xml:space="preserve">The Joint Local Governments advocated that liaisons from CalOES and local government should be placed in PG&amp;E’s EOC during PSPS events; the Joint Local Governments further advocated that PG&amp;E should place a liaison officer with decision-making authority in the local EOC.  The Commission directed the utilities to allow local government liaisons in the utility EOC on request, and further directed that the utilities embed a liaison in the local EOC at the local government’s request.  </w:t>
            </w:r>
          </w:p>
          <w:p w:rsidR="006A7987" w:rsidP="006A7987" w:rsidRDefault="006A7987" w14:paraId="4EBF3997" w14:textId="77777777">
            <w:pPr>
              <w:spacing w:before="120"/>
              <w:rPr>
                <w:color w:val="000000"/>
              </w:rPr>
            </w:pPr>
          </w:p>
        </w:tc>
        <w:tc>
          <w:tcPr>
            <w:tcW w:w="4140" w:type="dxa"/>
            <w:shd w:val="clear" w:color="auto" w:fill="auto"/>
          </w:tcPr>
          <w:p w:rsidR="006A7987" w:rsidP="006A7987" w:rsidRDefault="006A7987" w14:paraId="1911231C" w14:textId="77777777">
            <w:pPr>
              <w:spacing w:before="120"/>
              <w:rPr>
                <w:color w:val="000000"/>
              </w:rPr>
            </w:pPr>
            <w:r>
              <w:rPr>
                <w:color w:val="000000"/>
              </w:rPr>
              <w:t xml:space="preserve">D.19-05-042, pp. 55, 99–100, 102, 103, 114, COL 30, COL 31, A21.  </w:t>
            </w:r>
          </w:p>
          <w:p w:rsidR="006A7987" w:rsidP="006A7987" w:rsidRDefault="006A7987" w14:paraId="417CA710" w14:textId="77777777">
            <w:pPr>
              <w:spacing w:before="120"/>
              <w:rPr>
                <w:color w:val="000000"/>
              </w:rPr>
            </w:pPr>
          </w:p>
          <w:p w:rsidR="006A7987" w:rsidP="006A7987" w:rsidRDefault="006A7987" w14:paraId="6621EC00" w14:textId="77777777">
            <w:pPr>
              <w:spacing w:before="120"/>
              <w:rPr>
                <w:color w:val="000000"/>
              </w:rPr>
            </w:pPr>
            <w:r>
              <w:rPr>
                <w:color w:val="000000"/>
              </w:rPr>
              <w:t xml:space="preserve">Counties’ Comments on R.18-12-005, p. 13; Joint Local Governments’ Comments on Staff Proposal, p. 12; </w:t>
            </w:r>
          </w:p>
          <w:p w:rsidR="006A7987" w:rsidP="006A7987" w:rsidRDefault="006A7987" w14:paraId="3E679803" w14:textId="77777777">
            <w:pPr>
              <w:spacing w:before="120"/>
              <w:rPr>
                <w:color w:val="000000"/>
              </w:rPr>
            </w:pPr>
          </w:p>
          <w:p w:rsidR="006A7987" w:rsidP="006A7987" w:rsidRDefault="006A7987" w14:paraId="273F8707" w14:textId="77777777">
            <w:pPr>
              <w:spacing w:before="120"/>
              <w:rPr>
                <w:color w:val="000000"/>
              </w:rPr>
            </w:pPr>
          </w:p>
        </w:tc>
        <w:tc>
          <w:tcPr>
            <w:tcW w:w="2340" w:type="dxa"/>
            <w:shd w:val="clear" w:color="auto" w:fill="auto"/>
          </w:tcPr>
          <w:p w:rsidRPr="007F620E" w:rsidR="002C6CAD" w:rsidP="00AA31B4" w:rsidRDefault="007D432D" w14:paraId="4B2BEC83" w14:textId="5F7E05EB">
            <w:pPr>
              <w:spacing w:before="120"/>
              <w:rPr>
                <w:color w:val="000000"/>
              </w:rPr>
            </w:pPr>
            <w:r>
              <w:rPr>
                <w:color w:val="000000"/>
              </w:rPr>
              <w:t>Verified</w:t>
            </w:r>
            <w:r w:rsidR="002C6CAD">
              <w:rPr>
                <w:color w:val="000000"/>
              </w:rPr>
              <w:t xml:space="preserve"> </w:t>
            </w:r>
          </w:p>
        </w:tc>
      </w:tr>
      <w:tr w:rsidRPr="007F620E" w:rsidR="00AA31B4" w:rsidTr="009A7144" w14:paraId="61D3EA45" w14:textId="77777777">
        <w:trPr>
          <w:trHeight w:val="2295"/>
        </w:trPr>
        <w:tc>
          <w:tcPr>
            <w:tcW w:w="3258" w:type="dxa"/>
            <w:shd w:val="clear" w:color="auto" w:fill="auto"/>
          </w:tcPr>
          <w:p w:rsidR="006A7987" w:rsidP="006A7987" w:rsidRDefault="006A7987" w14:paraId="4EC789ED" w14:textId="77777777">
            <w:pPr>
              <w:spacing w:before="120"/>
              <w:rPr>
                <w:color w:val="000000"/>
              </w:rPr>
            </w:pPr>
            <w:r>
              <w:rPr>
                <w:b/>
                <w:color w:val="000000"/>
              </w:rPr>
              <w:t xml:space="preserve">3.C   </w:t>
            </w:r>
            <w:r>
              <w:rPr>
                <w:color w:val="000000"/>
              </w:rPr>
              <w:t xml:space="preserve">The Joint Local Governments explained the importance of having the utility participate in increased table-top exercises with local public safety partners, and stressed the importance of testing the lines of communication between the utility and public safety partners frequently throughout the year to ensure the system is working effectively.  The Commission adopted this recommendation. </w:t>
            </w:r>
          </w:p>
          <w:p w:rsidR="006A7987" w:rsidP="006A7987" w:rsidRDefault="006A7987" w14:paraId="58032555" w14:textId="77777777">
            <w:pPr>
              <w:spacing w:before="120"/>
              <w:rPr>
                <w:color w:val="000000"/>
              </w:rPr>
            </w:pPr>
          </w:p>
        </w:tc>
        <w:tc>
          <w:tcPr>
            <w:tcW w:w="4140" w:type="dxa"/>
            <w:shd w:val="clear" w:color="auto" w:fill="auto"/>
          </w:tcPr>
          <w:p w:rsidR="006A7987" w:rsidP="006A7987" w:rsidRDefault="006A7987" w14:paraId="0BBC1EB9" w14:textId="77777777">
            <w:pPr>
              <w:spacing w:before="120"/>
              <w:rPr>
                <w:color w:val="000000"/>
              </w:rPr>
            </w:pPr>
            <w:r>
              <w:rPr>
                <w:color w:val="000000"/>
              </w:rPr>
              <w:t xml:space="preserve">D.19-05-042, pp. 80, A11. </w:t>
            </w:r>
          </w:p>
          <w:p w:rsidR="006A7987" w:rsidP="006A7987" w:rsidRDefault="006A7987" w14:paraId="4AF367D0" w14:textId="77777777">
            <w:pPr>
              <w:spacing w:before="120"/>
              <w:rPr>
                <w:color w:val="000000"/>
              </w:rPr>
            </w:pPr>
          </w:p>
          <w:p w:rsidR="006A7987" w:rsidP="006A7987" w:rsidRDefault="006A7987" w14:paraId="76E270C6" w14:textId="77777777">
            <w:pPr>
              <w:spacing w:before="120"/>
              <w:rPr>
                <w:color w:val="000000"/>
              </w:rPr>
            </w:pPr>
            <w:r>
              <w:rPr>
                <w:color w:val="000000"/>
              </w:rPr>
              <w:t xml:space="preserve">Joint Local Governments’ Comments on Staff Proposal, p. 11; Joint Local Governments’ Comments on Proposed Decision, pp. 2–3. </w:t>
            </w:r>
          </w:p>
        </w:tc>
        <w:tc>
          <w:tcPr>
            <w:tcW w:w="2340" w:type="dxa"/>
            <w:shd w:val="clear" w:color="auto" w:fill="auto"/>
          </w:tcPr>
          <w:p w:rsidRPr="007F620E" w:rsidR="002C6CAD" w:rsidP="006A7987" w:rsidRDefault="007D432D" w14:paraId="680D5071" w14:textId="12603414">
            <w:pPr>
              <w:spacing w:before="120"/>
              <w:rPr>
                <w:color w:val="000000"/>
              </w:rPr>
            </w:pPr>
            <w:r>
              <w:rPr>
                <w:color w:val="000000"/>
              </w:rPr>
              <w:t>Verified</w:t>
            </w:r>
          </w:p>
        </w:tc>
      </w:tr>
      <w:tr w:rsidRPr="007F620E" w:rsidR="00AA31B4" w:rsidTr="009A7144" w14:paraId="4ABDACC8" w14:textId="77777777">
        <w:tc>
          <w:tcPr>
            <w:tcW w:w="3258" w:type="dxa"/>
            <w:shd w:val="clear" w:color="auto" w:fill="auto"/>
          </w:tcPr>
          <w:p w:rsidR="006A7987" w:rsidP="006A7987" w:rsidRDefault="006A7987" w14:paraId="19CF5680" w14:textId="77777777">
            <w:pPr>
              <w:spacing w:before="120"/>
              <w:rPr>
                <w:color w:val="000000"/>
              </w:rPr>
            </w:pPr>
            <w:r>
              <w:rPr>
                <w:b/>
                <w:color w:val="000000"/>
              </w:rPr>
              <w:t>4.  Post-event Reporting</w:t>
            </w:r>
          </w:p>
          <w:p w:rsidRPr="00054313" w:rsidR="006A7987" w:rsidP="006A7987" w:rsidRDefault="006A7987" w14:paraId="42362286" w14:textId="77777777">
            <w:pPr>
              <w:spacing w:before="120"/>
              <w:rPr>
                <w:color w:val="000000"/>
              </w:rPr>
            </w:pPr>
            <w:r>
              <w:rPr>
                <w:color w:val="000000"/>
              </w:rPr>
              <w:t xml:space="preserve">The Joint Local Governments advocated that </w:t>
            </w:r>
            <w:r>
              <w:rPr>
                <w:color w:val="000000"/>
              </w:rPr>
              <w:lastRenderedPageBreak/>
              <w:t xml:space="preserve">communities impacted by PSPS event should be surveyed at the local government, first responder, and resident levels to provide first-hand feedback on how the utility’s notification, communication, coordination, and decision-making worked in practice.  The Commission adopted this recommendation. </w:t>
            </w:r>
          </w:p>
        </w:tc>
        <w:tc>
          <w:tcPr>
            <w:tcW w:w="4140" w:type="dxa"/>
            <w:shd w:val="clear" w:color="auto" w:fill="auto"/>
          </w:tcPr>
          <w:p w:rsidR="006A7987" w:rsidP="006A7987" w:rsidRDefault="006A7987" w14:paraId="31D74719" w14:textId="77777777">
            <w:pPr>
              <w:spacing w:before="120"/>
              <w:rPr>
                <w:color w:val="000000"/>
              </w:rPr>
            </w:pPr>
          </w:p>
          <w:p w:rsidR="006A7987" w:rsidP="006A7987" w:rsidRDefault="006A7987" w14:paraId="2ACF4A72" w14:textId="77777777">
            <w:pPr>
              <w:spacing w:before="120"/>
              <w:rPr>
                <w:color w:val="000000"/>
              </w:rPr>
            </w:pPr>
            <w:r>
              <w:rPr>
                <w:color w:val="000000"/>
              </w:rPr>
              <w:t xml:space="preserve">D.19-05-042, pp. 107, A22. </w:t>
            </w:r>
          </w:p>
          <w:p w:rsidR="006A7987" w:rsidP="006A7987" w:rsidRDefault="006A7987" w14:paraId="6D67D260" w14:textId="77777777">
            <w:pPr>
              <w:spacing w:before="120"/>
              <w:rPr>
                <w:color w:val="000000"/>
              </w:rPr>
            </w:pPr>
          </w:p>
          <w:p w:rsidR="006A7987" w:rsidP="006A7987" w:rsidRDefault="006A7987" w14:paraId="42FE9A58" w14:textId="77777777">
            <w:pPr>
              <w:spacing w:before="120"/>
              <w:rPr>
                <w:color w:val="000000"/>
              </w:rPr>
            </w:pPr>
            <w:r>
              <w:rPr>
                <w:color w:val="000000"/>
              </w:rPr>
              <w:lastRenderedPageBreak/>
              <w:t xml:space="preserve">Counties’ Comments on R.18-12-005, p. 17; Joint Local Governments’ Comments on Staff Proposal, pp. 12–13. </w:t>
            </w:r>
          </w:p>
        </w:tc>
        <w:tc>
          <w:tcPr>
            <w:tcW w:w="2340" w:type="dxa"/>
            <w:shd w:val="clear" w:color="auto" w:fill="auto"/>
          </w:tcPr>
          <w:p w:rsidRPr="007F620E" w:rsidR="002C6CAD" w:rsidP="006A7987" w:rsidRDefault="007D432D" w14:paraId="3C740A58" w14:textId="2ADD694F">
            <w:pPr>
              <w:spacing w:before="120"/>
              <w:rPr>
                <w:color w:val="000000"/>
              </w:rPr>
            </w:pPr>
            <w:r>
              <w:rPr>
                <w:color w:val="000000"/>
              </w:rPr>
              <w:lastRenderedPageBreak/>
              <w:t>Verified</w:t>
            </w:r>
          </w:p>
        </w:tc>
      </w:tr>
    </w:tbl>
    <w:p w:rsidRPr="007F620E" w:rsidR="00A92D0B" w:rsidRDefault="00A92D0B" w14:paraId="699A5430" w14:textId="77777777">
      <w:pPr>
        <w:rPr>
          <w:color w:val="000000"/>
        </w:rPr>
      </w:pPr>
    </w:p>
    <w:p w:rsidRPr="007F620E" w:rsidR="00A92D0B" w:rsidP="00DE3A5D" w:rsidRDefault="00A92D0B" w14:paraId="609CA5FA" w14:textId="77777777">
      <w:pPr>
        <w:keepNext/>
        <w:keepLines/>
        <w:numPr>
          <w:ilvl w:val="0"/>
          <w:numId w:val="1"/>
        </w:numPr>
        <w:tabs>
          <w:tab w:val="clear" w:pos="900"/>
          <w:tab w:val="num" w:pos="360"/>
        </w:tabs>
        <w:spacing w:after="120"/>
        <w:ind w:left="360"/>
        <w:rPr>
          <w:b/>
          <w:color w:val="000000"/>
        </w:rPr>
      </w:pPr>
      <w:r w:rsidRPr="007F620E">
        <w:rPr>
          <w:b/>
          <w:color w:val="000000"/>
        </w:rPr>
        <w:t xml:space="preserve">Duplication of Effort (§ 1801.3(f) </w:t>
      </w:r>
      <w:r w:rsidRPr="007F620E" w:rsidR="00F30DA8">
        <w:rPr>
          <w:b/>
          <w:color w:val="000000"/>
        </w:rPr>
        <w:t xml:space="preserve">and § </w:t>
      </w:r>
      <w:r w:rsidR="0022302F">
        <w:rPr>
          <w:b/>
          <w:color w:val="000000"/>
        </w:rPr>
        <w:t>1802.5)</w:t>
      </w:r>
      <w:r w:rsidR="00C02649">
        <w:rPr>
          <w:b/>
          <w:color w:val="000000"/>
        </w:rPr>
        <w:t>:</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048"/>
        <w:gridCol w:w="1710"/>
        <w:gridCol w:w="1980"/>
      </w:tblGrid>
      <w:tr w:rsidRPr="007F620E" w:rsidR="00A92D0B" w:rsidTr="003B6A1B" w14:paraId="0A89C179" w14:textId="77777777">
        <w:tc>
          <w:tcPr>
            <w:tcW w:w="6048" w:type="dxa"/>
            <w:shd w:val="clear" w:color="auto" w:fill="D9D9D9" w:themeFill="background1" w:themeFillShade="D9"/>
          </w:tcPr>
          <w:p w:rsidRPr="007F620E" w:rsidR="00A92D0B" w:rsidP="00DE3A5D" w:rsidRDefault="00A92D0B" w14:paraId="74986147" w14:textId="77777777">
            <w:pPr>
              <w:keepNext/>
              <w:keepLines/>
              <w:spacing w:before="120"/>
              <w:rPr>
                <w:color w:val="000000"/>
              </w:rPr>
            </w:pPr>
          </w:p>
        </w:tc>
        <w:tc>
          <w:tcPr>
            <w:tcW w:w="1710" w:type="dxa"/>
            <w:tcBorders>
              <w:bottom w:val="single" w:color="auto" w:sz="4" w:space="0"/>
            </w:tcBorders>
            <w:shd w:val="clear" w:color="auto" w:fill="D9D9D9" w:themeFill="background1" w:themeFillShade="D9"/>
          </w:tcPr>
          <w:p w:rsidRPr="007F620E" w:rsidR="00A92D0B" w:rsidP="00DE3A5D" w:rsidRDefault="005A63D4" w14:paraId="14D8CB7E" w14:textId="77777777">
            <w:pPr>
              <w:keepNext/>
              <w:keepLines/>
              <w:spacing w:before="120"/>
              <w:jc w:val="center"/>
              <w:rPr>
                <w:b/>
                <w:color w:val="000000"/>
              </w:rPr>
            </w:pPr>
            <w:r w:rsidRPr="007F620E">
              <w:rPr>
                <w:b/>
                <w:color w:val="000000"/>
              </w:rPr>
              <w:t>Interveno</w:t>
            </w:r>
            <w:r w:rsidRPr="007F620E" w:rsidR="00204E3A">
              <w:rPr>
                <w:b/>
                <w:color w:val="000000"/>
              </w:rPr>
              <w:t>r</w:t>
            </w:r>
            <w:r w:rsidRPr="007F620E">
              <w:rPr>
                <w:b/>
                <w:color w:val="000000"/>
              </w:rPr>
              <w:t xml:space="preserve">’s </w:t>
            </w:r>
            <w:r w:rsidRPr="007F620E" w:rsidR="00D075B1">
              <w:rPr>
                <w:b/>
                <w:color w:val="000000"/>
              </w:rPr>
              <w:t>Assertion</w:t>
            </w:r>
          </w:p>
        </w:tc>
        <w:tc>
          <w:tcPr>
            <w:tcW w:w="1980" w:type="dxa"/>
            <w:shd w:val="clear" w:color="auto" w:fill="D9D9D9" w:themeFill="background1" w:themeFillShade="D9"/>
          </w:tcPr>
          <w:p w:rsidRPr="007F620E" w:rsidR="00A92D0B" w:rsidP="00D075B1" w:rsidRDefault="00A92D0B" w14:paraId="5C036D6C" w14:textId="77777777">
            <w:pPr>
              <w:keepNext/>
              <w:keepLines/>
              <w:spacing w:before="120"/>
              <w:jc w:val="center"/>
              <w:rPr>
                <w:b/>
                <w:color w:val="000000"/>
              </w:rPr>
            </w:pPr>
            <w:r w:rsidRPr="007F620E">
              <w:rPr>
                <w:b/>
                <w:color w:val="000000"/>
              </w:rPr>
              <w:t xml:space="preserve">CPUC </w:t>
            </w:r>
            <w:r w:rsidRPr="007F620E" w:rsidR="00D075B1">
              <w:rPr>
                <w:b/>
                <w:color w:val="000000"/>
              </w:rPr>
              <w:t>Discussion</w:t>
            </w:r>
          </w:p>
        </w:tc>
      </w:tr>
      <w:tr w:rsidRPr="007F620E" w:rsidR="00A92D0B" w:rsidTr="009A7144" w14:paraId="0807C4D3" w14:textId="77777777">
        <w:tc>
          <w:tcPr>
            <w:tcW w:w="6048" w:type="dxa"/>
            <w:shd w:val="clear" w:color="auto" w:fill="auto"/>
          </w:tcPr>
          <w:p w:rsidRPr="007F620E" w:rsidR="00A92D0B" w:rsidP="00DE3A5D" w:rsidRDefault="00A92D0B" w14:paraId="61CFEE63" w14:textId="77777777">
            <w:pPr>
              <w:keepNext/>
              <w:keepLines/>
              <w:spacing w:before="120"/>
              <w:ind w:left="360" w:hanging="360"/>
              <w:rPr>
                <w:b/>
                <w:color w:val="000000"/>
              </w:rPr>
            </w:pPr>
            <w:r w:rsidRPr="007F620E">
              <w:rPr>
                <w:b/>
                <w:color w:val="000000"/>
              </w:rPr>
              <w:t>a.</w:t>
            </w:r>
            <w:r w:rsidRPr="007F620E">
              <w:rPr>
                <w:b/>
                <w:color w:val="000000"/>
              </w:rPr>
              <w:tab/>
            </w:r>
            <w:r w:rsidRPr="007F620E">
              <w:rPr>
                <w:b/>
              </w:rPr>
              <w:t xml:space="preserve">Was </w:t>
            </w:r>
            <w:r w:rsidRPr="009E48E4">
              <w:rPr>
                <w:b/>
              </w:rPr>
              <w:t xml:space="preserve">the </w:t>
            </w:r>
            <w:r w:rsidRPr="009E48E4" w:rsidR="009E48E4">
              <w:rPr>
                <w:b/>
                <w:color w:val="000000"/>
                <w:sz w:val="22"/>
                <w:szCs w:val="22"/>
              </w:rPr>
              <w:t>Public Advocate</w:t>
            </w:r>
            <w:r w:rsidR="00621A7C">
              <w:rPr>
                <w:b/>
                <w:color w:val="000000"/>
                <w:sz w:val="22"/>
                <w:szCs w:val="22"/>
              </w:rPr>
              <w:t>’</w:t>
            </w:r>
            <w:r w:rsidRPr="009E48E4" w:rsidR="009E48E4">
              <w:rPr>
                <w:b/>
                <w:color w:val="000000"/>
                <w:sz w:val="22"/>
                <w:szCs w:val="22"/>
              </w:rPr>
              <w:t>s Office of the Public Utilities Commission</w:t>
            </w:r>
            <w:r w:rsidRPr="009E48E4" w:rsidR="009E48E4">
              <w:rPr>
                <w:b/>
              </w:rPr>
              <w:t xml:space="preserve"> </w:t>
            </w:r>
            <w:r w:rsidRPr="00B55D78">
              <w:rPr>
                <w:b/>
                <w:color w:val="000000"/>
                <w:sz w:val="22"/>
                <w:szCs w:val="22"/>
              </w:rPr>
              <w:t>(</w:t>
            </w:r>
            <w:r w:rsidRPr="00B55D78" w:rsidR="00B55D78">
              <w:rPr>
                <w:b/>
                <w:color w:val="000000"/>
                <w:sz w:val="22"/>
                <w:szCs w:val="22"/>
              </w:rPr>
              <w:t>Cal Advocates</w:t>
            </w:r>
            <w:r w:rsidRPr="007F620E">
              <w:rPr>
                <w:b/>
              </w:rPr>
              <w:t>) a party to the proceeding</w:t>
            </w:r>
            <w:r w:rsidRPr="007F620E">
              <w:rPr>
                <w:b/>
                <w:color w:val="000000"/>
              </w:rPr>
              <w:t>?</w:t>
            </w:r>
            <w:r w:rsidR="009E48E4">
              <w:rPr>
                <w:rStyle w:val="FootnoteReference"/>
                <w:b/>
                <w:color w:val="000000"/>
              </w:rPr>
              <w:footnoteReference w:id="7"/>
            </w:r>
          </w:p>
        </w:tc>
        <w:tc>
          <w:tcPr>
            <w:tcW w:w="1710" w:type="dxa"/>
            <w:shd w:val="clear" w:color="auto" w:fill="auto"/>
          </w:tcPr>
          <w:p w:rsidRPr="00E25078" w:rsidR="00A92D0B" w:rsidP="00DE3A5D" w:rsidRDefault="00660CF7" w14:paraId="00F924FC" w14:textId="77777777">
            <w:pPr>
              <w:keepNext/>
              <w:keepLines/>
              <w:spacing w:before="120"/>
              <w:rPr>
                <w:color w:val="000000"/>
              </w:rPr>
            </w:pPr>
            <w:r>
              <w:rPr>
                <w:color w:val="000000"/>
              </w:rPr>
              <w:t>Yes.</w:t>
            </w:r>
          </w:p>
        </w:tc>
        <w:tc>
          <w:tcPr>
            <w:tcW w:w="1980" w:type="dxa"/>
            <w:shd w:val="clear" w:color="auto" w:fill="auto"/>
          </w:tcPr>
          <w:p w:rsidRPr="00E25078" w:rsidR="00A92D0B" w:rsidP="00C53AAB" w:rsidRDefault="00ED2975" w14:paraId="710C82ED" w14:textId="598C1DA8">
            <w:pPr>
              <w:keepNext/>
              <w:keepLines/>
              <w:spacing w:before="120"/>
              <w:rPr>
                <w:color w:val="000000"/>
              </w:rPr>
            </w:pPr>
            <w:r>
              <w:rPr>
                <w:color w:val="000000"/>
              </w:rPr>
              <w:t>Verified</w:t>
            </w:r>
          </w:p>
        </w:tc>
      </w:tr>
      <w:tr w:rsidRPr="007F620E" w:rsidR="00A92D0B" w:rsidTr="009A7144" w14:paraId="30E916E4" w14:textId="77777777">
        <w:tc>
          <w:tcPr>
            <w:tcW w:w="6048" w:type="dxa"/>
            <w:shd w:val="clear" w:color="auto" w:fill="auto"/>
          </w:tcPr>
          <w:p w:rsidRPr="007F620E" w:rsidR="00A92D0B" w:rsidP="00A92D0B" w:rsidRDefault="00A92D0B" w14:paraId="2D1681EF" w14:textId="77777777">
            <w:pPr>
              <w:tabs>
                <w:tab w:val="left" w:pos="360"/>
              </w:tabs>
              <w:spacing w:before="120"/>
              <w:ind w:left="360" w:hanging="360"/>
              <w:rPr>
                <w:b/>
                <w:color w:val="000000"/>
              </w:rPr>
            </w:pPr>
            <w:r w:rsidRPr="007F620E">
              <w:rPr>
                <w:b/>
                <w:color w:val="000000"/>
              </w:rPr>
              <w:t>b.</w:t>
            </w:r>
            <w:r w:rsidRPr="007F620E">
              <w:rPr>
                <w:b/>
                <w:color w:val="000000"/>
              </w:rPr>
              <w:tab/>
              <w:t xml:space="preserve">Were there other parties to the proceeding with positions similar to yours? </w:t>
            </w:r>
          </w:p>
        </w:tc>
        <w:tc>
          <w:tcPr>
            <w:tcW w:w="1710" w:type="dxa"/>
            <w:shd w:val="clear" w:color="auto" w:fill="auto"/>
          </w:tcPr>
          <w:p w:rsidRPr="00E25078" w:rsidR="00A92D0B" w:rsidP="00A92D0B" w:rsidRDefault="00660CF7" w14:paraId="538378E7" w14:textId="77777777">
            <w:pPr>
              <w:spacing w:before="120"/>
              <w:rPr>
                <w:color w:val="000000"/>
              </w:rPr>
            </w:pPr>
            <w:r>
              <w:rPr>
                <w:color w:val="000000"/>
              </w:rPr>
              <w:t>Yes</w:t>
            </w:r>
            <w:r w:rsidR="00B46BFC">
              <w:rPr>
                <w:color w:val="000000"/>
              </w:rPr>
              <w:t>, on some issues</w:t>
            </w:r>
            <w:r>
              <w:rPr>
                <w:color w:val="000000"/>
              </w:rPr>
              <w:t>.</w:t>
            </w:r>
          </w:p>
        </w:tc>
        <w:tc>
          <w:tcPr>
            <w:tcW w:w="1980" w:type="dxa"/>
            <w:shd w:val="clear" w:color="auto" w:fill="auto"/>
          </w:tcPr>
          <w:p w:rsidRPr="00E25078" w:rsidR="00A92D0B" w:rsidP="00A92D0B" w:rsidRDefault="005C7C1B" w14:paraId="75C20FE7" w14:textId="2D4274CD">
            <w:pPr>
              <w:spacing w:before="120"/>
              <w:rPr>
                <w:color w:val="000000"/>
              </w:rPr>
            </w:pPr>
            <w:r>
              <w:rPr>
                <w:color w:val="000000"/>
              </w:rPr>
              <w:t>Verified</w:t>
            </w:r>
          </w:p>
        </w:tc>
      </w:tr>
      <w:tr w:rsidRPr="007F620E" w:rsidR="00A92D0B" w:rsidTr="009A7144" w14:paraId="7314866E" w14:textId="77777777">
        <w:tc>
          <w:tcPr>
            <w:tcW w:w="7758" w:type="dxa"/>
            <w:gridSpan w:val="2"/>
            <w:shd w:val="clear" w:color="auto" w:fill="auto"/>
          </w:tcPr>
          <w:p w:rsidRPr="00E25078" w:rsidR="00A92D0B" w:rsidP="00A92D0B" w:rsidRDefault="00A92D0B" w14:paraId="791FF9F9" w14:textId="77777777">
            <w:pPr>
              <w:spacing w:before="120"/>
              <w:ind w:left="360" w:hanging="360"/>
              <w:rPr>
                <w:color w:val="000000"/>
              </w:rPr>
            </w:pPr>
            <w:r w:rsidRPr="00E25078">
              <w:rPr>
                <w:b/>
                <w:color w:val="000000"/>
              </w:rPr>
              <w:t>c.</w:t>
            </w:r>
            <w:r w:rsidRPr="00E25078">
              <w:rPr>
                <w:b/>
                <w:color w:val="000000"/>
              </w:rPr>
              <w:tab/>
              <w:t>If so, provide name of other parties:</w:t>
            </w:r>
            <w:r w:rsidRPr="00E25078" w:rsidR="00E25078">
              <w:rPr>
                <w:color w:val="000000"/>
              </w:rPr>
              <w:t xml:space="preserve"> </w:t>
            </w:r>
            <w:r w:rsidR="00B46BFC">
              <w:rPr>
                <w:color w:val="000000"/>
              </w:rPr>
              <w:t xml:space="preserve">On certain issues, which differed by party, the following parties sometimes had positions similar to the Joint Local Governments’: </w:t>
            </w:r>
            <w:r w:rsidR="006D797B">
              <w:rPr>
                <w:color w:val="000000"/>
              </w:rPr>
              <w:t xml:space="preserve">California State Association of Counties; Rural County Representatives of California; County of San Diego’s Office of Emergency Services; City and County of San Francisco; City of Malibu; California Municipal Utilities Association; California Water Association; East Bay Municipal Utilities District. </w:t>
            </w:r>
          </w:p>
          <w:p w:rsidRPr="00E25078" w:rsidR="00691528" w:rsidP="00691528" w:rsidRDefault="00691528" w14:paraId="5AC5BACB" w14:textId="77777777">
            <w:pPr>
              <w:ind w:left="360" w:hanging="360"/>
              <w:rPr>
                <w:color w:val="000000"/>
              </w:rPr>
            </w:pPr>
          </w:p>
          <w:p w:rsidRPr="00E25078" w:rsidR="00A92D0B" w:rsidP="00691528" w:rsidRDefault="00A92D0B" w14:paraId="6E9BE8F7" w14:textId="77777777">
            <w:pPr>
              <w:ind w:left="360" w:hanging="360"/>
              <w:rPr>
                <w:color w:val="000000"/>
              </w:rPr>
            </w:pPr>
          </w:p>
        </w:tc>
        <w:tc>
          <w:tcPr>
            <w:tcW w:w="1980" w:type="dxa"/>
            <w:shd w:val="clear" w:color="auto" w:fill="auto"/>
          </w:tcPr>
          <w:p w:rsidRPr="00E25078" w:rsidR="00A92D0B" w:rsidP="00E25078" w:rsidRDefault="00362460" w14:paraId="6E454928" w14:textId="7EC45032">
            <w:pPr>
              <w:spacing w:before="120"/>
              <w:rPr>
                <w:color w:val="000000"/>
              </w:rPr>
            </w:pPr>
            <w:r>
              <w:rPr>
                <w:color w:val="000000"/>
              </w:rPr>
              <w:t>Noted</w:t>
            </w:r>
          </w:p>
        </w:tc>
      </w:tr>
      <w:tr w:rsidRPr="007F620E" w:rsidR="00A92D0B" w:rsidTr="009A7144" w14:paraId="290F3E71" w14:textId="77777777">
        <w:tc>
          <w:tcPr>
            <w:tcW w:w="7758" w:type="dxa"/>
            <w:gridSpan w:val="2"/>
            <w:shd w:val="clear" w:color="auto" w:fill="auto"/>
          </w:tcPr>
          <w:p w:rsidR="00A92D0B" w:rsidP="00A92D0B" w:rsidRDefault="00A92D0B" w14:paraId="75761063" w14:textId="77777777">
            <w:pPr>
              <w:tabs>
                <w:tab w:val="left" w:pos="360"/>
              </w:tabs>
              <w:spacing w:before="120"/>
              <w:ind w:left="360" w:hanging="360"/>
              <w:rPr>
                <w:color w:val="000000"/>
              </w:rPr>
            </w:pPr>
            <w:r w:rsidRPr="00E25078">
              <w:rPr>
                <w:b/>
                <w:color w:val="000000"/>
              </w:rPr>
              <w:t>d.</w:t>
            </w:r>
            <w:r w:rsidRPr="00E25078">
              <w:rPr>
                <w:b/>
                <w:color w:val="000000"/>
              </w:rPr>
              <w:tab/>
            </w:r>
            <w:r w:rsidRPr="00E25078" w:rsidR="00D075B1">
              <w:rPr>
                <w:b/>
                <w:color w:val="000000"/>
              </w:rPr>
              <w:t xml:space="preserve">Intervenor’s </w:t>
            </w:r>
            <w:r w:rsidRPr="00E25078" w:rsidR="00A319DE">
              <w:rPr>
                <w:b/>
                <w:color w:val="000000"/>
              </w:rPr>
              <w:t>c</w:t>
            </w:r>
            <w:r w:rsidRPr="00E25078" w:rsidR="00D075B1">
              <w:rPr>
                <w:b/>
                <w:color w:val="000000"/>
              </w:rPr>
              <w:t xml:space="preserve">laim of </w:t>
            </w:r>
            <w:r w:rsidRPr="00E25078" w:rsidR="00A319DE">
              <w:rPr>
                <w:b/>
                <w:color w:val="000000"/>
              </w:rPr>
              <w:t>n</w:t>
            </w:r>
            <w:r w:rsidRPr="00E25078" w:rsidR="00D075B1">
              <w:rPr>
                <w:b/>
                <w:color w:val="000000"/>
              </w:rPr>
              <w:t>on-</w:t>
            </w:r>
            <w:r w:rsidRPr="00E25078" w:rsidR="00A319DE">
              <w:rPr>
                <w:b/>
                <w:color w:val="000000"/>
              </w:rPr>
              <w:t>d</w:t>
            </w:r>
            <w:r w:rsidRPr="00E25078" w:rsidR="00D075B1">
              <w:rPr>
                <w:b/>
                <w:color w:val="000000"/>
              </w:rPr>
              <w:t>uplication:</w:t>
            </w:r>
            <w:r w:rsidRPr="00E25078" w:rsidR="00E25078">
              <w:rPr>
                <w:color w:val="000000"/>
              </w:rPr>
              <w:t xml:space="preserve"> </w:t>
            </w:r>
          </w:p>
          <w:p w:rsidR="002F501D" w:rsidP="00660CF7" w:rsidRDefault="006D797B" w14:paraId="4D5F8B7E" w14:textId="77777777">
            <w:pPr>
              <w:tabs>
                <w:tab w:val="left" w:pos="360"/>
              </w:tabs>
              <w:spacing w:before="120"/>
              <w:rPr>
                <w:color w:val="000000"/>
              </w:rPr>
            </w:pPr>
            <w:r>
              <w:rPr>
                <w:color w:val="000000"/>
              </w:rPr>
              <w:t>The local government and municipal entities that were involved in R.18-12-005 advocated for similar fundamental things from their investor-owned utilities</w:t>
            </w:r>
            <w:r w:rsidR="00FF4AA2">
              <w:rPr>
                <w:color w:val="000000"/>
              </w:rPr>
              <w:t xml:space="preserve"> related to the de-energization process</w:t>
            </w:r>
            <w:r>
              <w:rPr>
                <w:color w:val="000000"/>
              </w:rPr>
              <w:t xml:space="preserve">: increased communication and coordination, increased transparency, better access to information, and </w:t>
            </w:r>
            <w:r w:rsidR="00FF4AA2">
              <w:rPr>
                <w:color w:val="000000"/>
              </w:rPr>
              <w:t xml:space="preserve">more notice.  </w:t>
            </w:r>
            <w:r w:rsidR="007D6DAA">
              <w:rPr>
                <w:color w:val="000000"/>
              </w:rPr>
              <w:t xml:space="preserve">Given the large number of active parties in this proceeding, extensive efforts to coordinate on all issues would have required a substantial investment of time by the Joint Local Governments’ attorneys and experts.  It is not certain that such coordination would have yielded a net savings of time devoted to the proceeding itself.  </w:t>
            </w:r>
            <w:r w:rsidR="00FF4AA2">
              <w:rPr>
                <w:color w:val="000000"/>
              </w:rPr>
              <w:t xml:space="preserve">However, because each local government, </w:t>
            </w:r>
            <w:r w:rsidR="00FF4AA2">
              <w:rPr>
                <w:color w:val="000000"/>
              </w:rPr>
              <w:lastRenderedPageBreak/>
              <w:t>representative association, and municipal entity is served by different (or multiple</w:t>
            </w:r>
            <w:r w:rsidR="002F501D">
              <w:rPr>
                <w:color w:val="000000"/>
              </w:rPr>
              <w:t>) utilities</w:t>
            </w:r>
            <w:r w:rsidR="00FF4AA2">
              <w:rPr>
                <w:color w:val="000000"/>
              </w:rPr>
              <w:t xml:space="preserve">, represents distinct constituencies, and serves distinct regions and industries, these entities provided input and made arguments tailored to their distinct circumstances.  As the Commission and parties noted, there is no one-size-fits-all de-energization program for all of the utilities.  </w:t>
            </w:r>
          </w:p>
          <w:p w:rsidRPr="00E25078" w:rsidR="00660CF7" w:rsidP="00660CF7" w:rsidRDefault="00B46BFC" w14:paraId="65773F68" w14:textId="77777777">
            <w:pPr>
              <w:tabs>
                <w:tab w:val="left" w:pos="360"/>
              </w:tabs>
              <w:spacing w:before="120"/>
              <w:rPr>
                <w:color w:val="000000"/>
              </w:rPr>
            </w:pPr>
            <w:r>
              <w:rPr>
                <w:color w:val="000000"/>
              </w:rPr>
              <w:t xml:space="preserve">The fact that other parties shared the Joint Local Governments’ perspective on certain issues did not result in undue duplication of issues by the Joint Local Governments.  </w:t>
            </w:r>
            <w:r w:rsidR="00660CF7">
              <w:rPr>
                <w:color w:val="000000"/>
              </w:rPr>
              <w:t>The Joint Local Governments focused their commentary and recommendations entirely on PG&amp;E, because they are located in PG&amp;E’s service territory</w:t>
            </w:r>
            <w:r w:rsidR="002F501D">
              <w:rPr>
                <w:color w:val="000000"/>
              </w:rPr>
              <w:t xml:space="preserve">, </w:t>
            </w:r>
            <w:r w:rsidR="00660CF7">
              <w:rPr>
                <w:color w:val="000000"/>
              </w:rPr>
              <w:t xml:space="preserve">because they have </w:t>
            </w:r>
            <w:r w:rsidR="005944BC">
              <w:rPr>
                <w:color w:val="000000"/>
              </w:rPr>
              <w:t xml:space="preserve">first-hand experience with </w:t>
            </w:r>
            <w:r w:rsidR="00660CF7">
              <w:rPr>
                <w:color w:val="000000"/>
              </w:rPr>
              <w:t>PG&amp;E’s wildfire-related activities</w:t>
            </w:r>
            <w:r w:rsidR="002F501D">
              <w:rPr>
                <w:color w:val="000000"/>
              </w:rPr>
              <w:t>,</w:t>
            </w:r>
            <w:r w:rsidR="00660CF7">
              <w:rPr>
                <w:color w:val="000000"/>
              </w:rPr>
              <w:t xml:space="preserve"> and </w:t>
            </w:r>
            <w:r w:rsidR="002F501D">
              <w:rPr>
                <w:color w:val="000000"/>
              </w:rPr>
              <w:t xml:space="preserve">because they </w:t>
            </w:r>
            <w:r w:rsidR="00660CF7">
              <w:rPr>
                <w:color w:val="000000"/>
              </w:rPr>
              <w:t xml:space="preserve">will continue to be </w:t>
            </w:r>
            <w:r w:rsidR="00FF4AA2">
              <w:rPr>
                <w:color w:val="000000"/>
              </w:rPr>
              <w:t xml:space="preserve">affected by PG&amp;E’s de-energization program in the future.  </w:t>
            </w:r>
            <w:r w:rsidR="005944BC">
              <w:rPr>
                <w:color w:val="000000"/>
              </w:rPr>
              <w:t xml:space="preserve">The Joint Local Governments participated in the proceeding as a coalition because their experiences and recommendations were so similar that individual participation would have been duplicative and inefficient.  The Joint Local Governments were mindful </w:t>
            </w:r>
            <w:r w:rsidR="007D6DAA">
              <w:rPr>
                <w:color w:val="000000"/>
              </w:rPr>
              <w:t xml:space="preserve">to </w:t>
            </w:r>
            <w:r w:rsidR="005944BC">
              <w:rPr>
                <w:color w:val="000000"/>
              </w:rPr>
              <w:t>not duplicate efforts that would be made by other parties to the Rulemaking</w:t>
            </w:r>
            <w:r w:rsidR="007D6DAA">
              <w:rPr>
                <w:color w:val="000000"/>
              </w:rPr>
              <w:t xml:space="preserve">.  </w:t>
            </w:r>
            <w:r w:rsidR="005944BC">
              <w:rPr>
                <w:color w:val="000000"/>
              </w:rPr>
              <w:t xml:space="preserve">Many of the Joint Local Governments’ recommendations were supported by other local governments and municipal entities, regardless of whether PG&amp;E was their (only) investor-owned utility.  </w:t>
            </w:r>
            <w:r w:rsidR="007D6DAA">
              <w:rPr>
                <w:color w:val="000000"/>
              </w:rPr>
              <w:t xml:space="preserve">Many of the Joint Local Governments’ recommendations </w:t>
            </w:r>
            <w:r w:rsidR="00004D54">
              <w:rPr>
                <w:color w:val="000000"/>
              </w:rPr>
              <w:t xml:space="preserve">for coordination and information-sharing with public safety partners </w:t>
            </w:r>
            <w:r w:rsidR="007D6DAA">
              <w:rPr>
                <w:color w:val="000000"/>
              </w:rPr>
              <w:t xml:space="preserve">were also adopted by the Commission to be applied to all investor-owned utilities’ de-energization programs.  </w:t>
            </w:r>
            <w:r w:rsidR="00EC4427">
              <w:rPr>
                <w:color w:val="000000"/>
              </w:rPr>
              <w:t>To the extent duplication occurred, it was unavoidable due to the large number of parties in the proceeding and a need to ensure that the Joint Local Governments presented a comprehensive position on each of the issues they addressed.</w:t>
            </w:r>
          </w:p>
          <w:p w:rsidR="00691528" w:rsidP="00691528" w:rsidRDefault="00691528" w14:paraId="2AC8626F" w14:textId="77777777">
            <w:pPr>
              <w:tabs>
                <w:tab w:val="left" w:pos="360"/>
              </w:tabs>
              <w:ind w:left="360" w:hanging="360"/>
              <w:rPr>
                <w:color w:val="000000"/>
              </w:rPr>
            </w:pPr>
          </w:p>
          <w:p w:rsidRPr="00E25078" w:rsidR="00DC19F9" w:rsidP="00DC19F9" w:rsidRDefault="00DC19F9" w14:paraId="6474F425" w14:textId="77777777">
            <w:pPr>
              <w:tabs>
                <w:tab w:val="left" w:pos="360"/>
              </w:tabs>
              <w:rPr>
                <w:color w:val="000000"/>
              </w:rPr>
            </w:pPr>
            <w:r>
              <w:rPr>
                <w:color w:val="000000"/>
              </w:rPr>
              <w:t xml:space="preserve">For the foregoing reasons, the Joint Local Governments submit that the Commission should find no undue duplication between their participation and that of other parties. </w:t>
            </w:r>
          </w:p>
          <w:p w:rsidRPr="00E25078" w:rsidR="00A92D0B" w:rsidP="00691528" w:rsidRDefault="00A92D0B" w14:paraId="75C715A4" w14:textId="77777777">
            <w:pPr>
              <w:tabs>
                <w:tab w:val="left" w:pos="360"/>
              </w:tabs>
              <w:ind w:left="360" w:hanging="360"/>
              <w:rPr>
                <w:color w:val="000000"/>
              </w:rPr>
            </w:pPr>
          </w:p>
        </w:tc>
        <w:tc>
          <w:tcPr>
            <w:tcW w:w="1980" w:type="dxa"/>
            <w:shd w:val="clear" w:color="auto" w:fill="auto"/>
          </w:tcPr>
          <w:p w:rsidRPr="00E25078" w:rsidR="00A92D0B" w:rsidP="009A7144" w:rsidRDefault="0004522D" w14:paraId="71962B7D" w14:textId="15AC3546">
            <w:pPr>
              <w:tabs>
                <w:tab w:val="left" w:pos="360"/>
              </w:tabs>
              <w:spacing w:before="120"/>
              <w:rPr>
                <w:color w:val="000000"/>
              </w:rPr>
            </w:pPr>
            <w:r>
              <w:rPr>
                <w:color w:val="000000"/>
              </w:rPr>
              <w:lastRenderedPageBreak/>
              <w:t>Noted</w:t>
            </w:r>
          </w:p>
        </w:tc>
      </w:tr>
    </w:tbl>
    <w:p w:rsidRPr="007F620E" w:rsidR="00A92D0B" w:rsidRDefault="00A92D0B" w14:paraId="48DB3B69" w14:textId="77777777">
      <w:pPr>
        <w:rPr>
          <w:color w:val="000000"/>
        </w:rPr>
      </w:pPr>
    </w:p>
    <w:p w:rsidR="00A92D0B" w:rsidRDefault="00A92D0B" w14:paraId="10D4E75B" w14:textId="77777777">
      <w:pPr>
        <w:tabs>
          <w:tab w:val="left" w:pos="1440"/>
        </w:tabs>
        <w:rPr>
          <w:color w:val="000000"/>
        </w:rPr>
      </w:pPr>
    </w:p>
    <w:p w:rsidRPr="007F620E" w:rsidR="00F650AE" w:rsidRDefault="00F650AE" w14:paraId="52BC4F2C" w14:textId="77777777">
      <w:pPr>
        <w:tabs>
          <w:tab w:val="left" w:pos="1440"/>
        </w:tabs>
        <w:rPr>
          <w:color w:val="000000"/>
        </w:rPr>
      </w:pPr>
    </w:p>
    <w:p w:rsidRPr="007F620E" w:rsidR="00B312DA" w:rsidP="00691528" w:rsidRDefault="00A92D0B" w14:paraId="1D361EE8" w14:textId="77777777">
      <w:pPr>
        <w:tabs>
          <w:tab w:val="left" w:pos="1260"/>
        </w:tabs>
        <w:ind w:left="1260" w:hanging="1260"/>
        <w:jc w:val="center"/>
        <w:rPr>
          <w:b/>
          <w:color w:val="000000"/>
        </w:rPr>
      </w:pPr>
      <w:r w:rsidRPr="007F620E">
        <w:rPr>
          <w:b/>
          <w:color w:val="000000"/>
        </w:rPr>
        <w:t>PART III:</w:t>
      </w:r>
      <w:r w:rsidRPr="007F620E">
        <w:rPr>
          <w:b/>
          <w:color w:val="000000"/>
        </w:rPr>
        <w:tab/>
        <w:t>REASONABLENESS OF REQUESTED COMPENSATION</w:t>
      </w:r>
    </w:p>
    <w:p w:rsidRPr="007F620E" w:rsidR="00A92D0B" w:rsidRDefault="00A92D0B" w14:paraId="4F39902E" w14:textId="77777777">
      <w:pPr>
        <w:rPr>
          <w:color w:val="000000"/>
        </w:rPr>
      </w:pPr>
    </w:p>
    <w:p w:rsidRPr="007F620E" w:rsidR="00A92D0B" w:rsidRDefault="00A92D0B" w14:paraId="6E5D0BB3" w14:textId="77777777">
      <w:pPr>
        <w:numPr>
          <w:ilvl w:val="0"/>
          <w:numId w:val="2"/>
        </w:numPr>
        <w:tabs>
          <w:tab w:val="clear" w:pos="900"/>
          <w:tab w:val="num" w:pos="360"/>
        </w:tabs>
        <w:spacing w:after="120"/>
        <w:ind w:left="360"/>
        <w:rPr>
          <w:b/>
          <w:color w:val="000000"/>
        </w:rPr>
      </w:pPr>
      <w:r w:rsidRPr="007F620E">
        <w:rPr>
          <w:b/>
          <w:color w:val="000000"/>
        </w:rPr>
        <w:t xml:space="preserve">General Claim of Reasonableness </w:t>
      </w:r>
      <w:r w:rsidRPr="007F620E" w:rsidR="00F30DA8">
        <w:rPr>
          <w:b/>
          <w:color w:val="000000"/>
        </w:rPr>
        <w:t xml:space="preserve">(§ </w:t>
      </w:r>
      <w:r w:rsidRPr="007F620E">
        <w:rPr>
          <w:b/>
          <w:color w:val="000000"/>
        </w:rPr>
        <w:t xml:space="preserve">1801 </w:t>
      </w:r>
      <w:r w:rsidRPr="007F620E" w:rsidR="00F30DA8">
        <w:rPr>
          <w:b/>
          <w:color w:val="000000"/>
        </w:rPr>
        <w:t>and §</w:t>
      </w:r>
      <w:r w:rsidR="0022302F">
        <w:rPr>
          <w:b/>
          <w:color w:val="000000"/>
        </w:rPr>
        <w:t xml:space="preserve"> 1806)</w:t>
      </w:r>
      <w:r w:rsidR="00C02649">
        <w:rPr>
          <w:b/>
          <w:color w:val="000000"/>
        </w:rPr>
        <w:t>:</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88"/>
        <w:gridCol w:w="2250"/>
      </w:tblGrid>
      <w:tr w:rsidRPr="007F620E" w:rsidR="00FE3BAE" w:rsidTr="003B6A1B" w14:paraId="4E3FC4A7" w14:textId="77777777">
        <w:tc>
          <w:tcPr>
            <w:tcW w:w="7488" w:type="dxa"/>
            <w:tcBorders>
              <w:bottom w:val="single" w:color="auto" w:sz="4" w:space="0"/>
            </w:tcBorders>
            <w:shd w:val="clear" w:color="auto" w:fill="D9D9D9" w:themeFill="background1" w:themeFillShade="D9"/>
          </w:tcPr>
          <w:p w:rsidRPr="007F620E" w:rsidR="00FE3BAE" w:rsidRDefault="00FE3BAE" w14:paraId="0296CDD0" w14:textId="77777777">
            <w:pPr>
              <w:rPr>
                <w:b/>
                <w:color w:val="000000"/>
              </w:rPr>
            </w:pPr>
          </w:p>
        </w:tc>
        <w:tc>
          <w:tcPr>
            <w:tcW w:w="2250" w:type="dxa"/>
            <w:shd w:val="clear" w:color="auto" w:fill="D9D9D9" w:themeFill="background1" w:themeFillShade="D9"/>
          </w:tcPr>
          <w:p w:rsidRPr="00FE3BAE" w:rsidR="00FE3BAE" w:rsidP="0077487D" w:rsidRDefault="00FE3BAE" w14:paraId="6E625ABC" w14:textId="77777777">
            <w:pPr>
              <w:spacing w:before="120"/>
              <w:rPr>
                <w:color w:val="000000"/>
              </w:rPr>
            </w:pPr>
            <w:r w:rsidRPr="007F620E">
              <w:rPr>
                <w:b/>
                <w:color w:val="000000"/>
              </w:rPr>
              <w:t>CPUC Discussion</w:t>
            </w:r>
          </w:p>
        </w:tc>
      </w:tr>
      <w:tr w:rsidRPr="007F620E" w:rsidR="00FE3BAE" w:rsidTr="009A7144" w14:paraId="2D40B517" w14:textId="77777777">
        <w:tc>
          <w:tcPr>
            <w:tcW w:w="7488" w:type="dxa"/>
            <w:tcBorders>
              <w:bottom w:val="single" w:color="auto" w:sz="4" w:space="0"/>
            </w:tcBorders>
            <w:shd w:val="clear" w:color="auto" w:fill="auto"/>
          </w:tcPr>
          <w:p w:rsidRPr="00E25078" w:rsidR="00FE3BAE" w:rsidRDefault="00FE3BAE" w14:paraId="7F6809DD" w14:textId="77777777">
            <w:pPr>
              <w:rPr>
                <w:color w:val="000000"/>
              </w:rPr>
            </w:pPr>
            <w:r w:rsidRPr="007F620E">
              <w:rPr>
                <w:b/>
                <w:color w:val="000000"/>
              </w:rPr>
              <w:t>a. Intervenor’s claim of cost reasonableness:</w:t>
            </w:r>
            <w:r w:rsidRPr="00E25078" w:rsidR="00E25078">
              <w:rPr>
                <w:color w:val="000000"/>
              </w:rPr>
              <w:t xml:space="preserve"> </w:t>
            </w:r>
          </w:p>
          <w:p w:rsidR="00691528" w:rsidRDefault="00691528" w14:paraId="554F6343" w14:textId="77777777">
            <w:pPr>
              <w:rPr>
                <w:color w:val="000000"/>
              </w:rPr>
            </w:pPr>
          </w:p>
          <w:p w:rsidR="00E57C6D" w:rsidRDefault="00E57C6D" w14:paraId="619FE478" w14:textId="77777777">
            <w:pPr>
              <w:rPr>
                <w:color w:val="000000"/>
              </w:rPr>
            </w:pPr>
            <w:r>
              <w:rPr>
                <w:color w:val="000000"/>
              </w:rPr>
              <w:t>The Joint Local Governments’ claim for intervenor compensation seeks an award of approximately $</w:t>
            </w:r>
            <w:r w:rsidR="002A1B9C">
              <w:rPr>
                <w:color w:val="000000"/>
              </w:rPr>
              <w:t>76</w:t>
            </w:r>
            <w:r w:rsidR="00620CC5">
              <w:rPr>
                <w:color w:val="000000"/>
              </w:rPr>
              <w:t>,000</w:t>
            </w:r>
            <w:r w:rsidR="00772EAD">
              <w:rPr>
                <w:color w:val="000000"/>
              </w:rPr>
              <w:t xml:space="preserve"> in total</w:t>
            </w:r>
            <w:r>
              <w:rPr>
                <w:color w:val="000000"/>
              </w:rPr>
              <w:t xml:space="preserve">, which is the reasonable cost of their participation in this important proceeding.  The Joint Local Governments were the primary voice for practical improvements to PG&amp;E’s communication, information-sharing, outreach, and PSPS </w:t>
            </w:r>
            <w:r>
              <w:rPr>
                <w:color w:val="000000"/>
              </w:rPr>
              <w:lastRenderedPageBreak/>
              <w:t xml:space="preserve">protocols as they relate to local governments and first responders, and many of their suggestions were adopted in the final decision.  In light of the Joint Local Governments’ substantial contributions to the proceeding and the resulting decision, the Commission should conclude that the amount of time for which compensation is requested is reasonable. </w:t>
            </w:r>
          </w:p>
          <w:p w:rsidR="00E57C6D" w:rsidRDefault="00E57C6D" w14:paraId="4E0CB559" w14:textId="77777777">
            <w:pPr>
              <w:rPr>
                <w:color w:val="000000"/>
              </w:rPr>
            </w:pPr>
          </w:p>
          <w:p w:rsidR="00802927" w:rsidRDefault="006C1099" w14:paraId="5895E46F" w14:textId="77777777">
            <w:pPr>
              <w:rPr>
                <w:color w:val="000000"/>
              </w:rPr>
            </w:pPr>
            <w:r>
              <w:rPr>
                <w:color w:val="000000"/>
              </w:rPr>
              <w:t xml:space="preserve">As demonstrated in the substantial contribution section, the Joint Local Governments assisted the Commission </w:t>
            </w:r>
            <w:r w:rsidR="000D77C9">
              <w:rPr>
                <w:color w:val="000000"/>
              </w:rPr>
              <w:t xml:space="preserve">on a number of issues that shaped the new requirements for utility de-energization of power lines.  </w:t>
            </w:r>
            <w:r w:rsidR="000F5778">
              <w:rPr>
                <w:color w:val="000000"/>
              </w:rPr>
              <w:t xml:space="preserve">Specifically, many of the new guidelines for utility communication and coordination with public safety partners, increased access for public safety partners to the utility’s PSPS-related information, </w:t>
            </w:r>
            <w:r w:rsidR="00802927">
              <w:rPr>
                <w:color w:val="000000"/>
              </w:rPr>
              <w:t xml:space="preserve">and </w:t>
            </w:r>
            <w:r w:rsidR="000F5778">
              <w:rPr>
                <w:color w:val="000000"/>
              </w:rPr>
              <w:t>improved notification and outreach protocols,</w:t>
            </w:r>
            <w:r w:rsidR="00802927">
              <w:rPr>
                <w:color w:val="000000"/>
              </w:rPr>
              <w:t xml:space="preserve"> were proposed and advocated by the Joint Local Governments.  The Joint Local Governments also provided their first-hand experiences with PG&amp;E’s historical and existing wildfire-related outreach efforts, which formed the basis for the Joint Local Governments’ recommended improvements and, in turn, many of the new protocols adopted by the Commission.  </w:t>
            </w:r>
          </w:p>
          <w:p w:rsidR="00802927" w:rsidRDefault="00802927" w14:paraId="09694CA5" w14:textId="77777777">
            <w:pPr>
              <w:rPr>
                <w:color w:val="000000"/>
              </w:rPr>
            </w:pPr>
          </w:p>
          <w:p w:rsidR="00E57C6D" w:rsidRDefault="00802927" w14:paraId="27AE1303" w14:textId="77777777">
            <w:pPr>
              <w:rPr>
                <w:color w:val="000000"/>
              </w:rPr>
            </w:pPr>
            <w:r>
              <w:rPr>
                <w:color w:val="000000"/>
              </w:rPr>
              <w:t xml:space="preserve">Given the high stakes and significant interest in public safety inherent in the utilities’ decision to de-energize power lines in high fire-threat conditions, </w:t>
            </w:r>
            <w:r w:rsidR="00B7423F">
              <w:rPr>
                <w:color w:val="000000"/>
              </w:rPr>
              <w:t xml:space="preserve">which makes effective education, outreach, and communication with public safety partners critical, </w:t>
            </w:r>
            <w:r>
              <w:rPr>
                <w:color w:val="000000"/>
              </w:rPr>
              <w:t xml:space="preserve">the benefits produced by the Joint Local Governments’ </w:t>
            </w:r>
            <w:r w:rsidR="00B7423F">
              <w:rPr>
                <w:color w:val="000000"/>
              </w:rPr>
              <w:t xml:space="preserve">substantial contributions should be found to exceed the cost of their participation in this proceeding.  </w:t>
            </w:r>
          </w:p>
          <w:p w:rsidR="00E57C6D" w:rsidRDefault="00E57C6D" w14:paraId="5C1C0EFD" w14:textId="77777777">
            <w:pPr>
              <w:rPr>
                <w:color w:val="000000"/>
              </w:rPr>
            </w:pPr>
          </w:p>
          <w:p w:rsidRPr="00691528" w:rsidR="000F5778" w:rsidRDefault="00B7423F" w14:paraId="3B77E2E4" w14:textId="77777777">
            <w:pPr>
              <w:rPr>
                <w:color w:val="000000"/>
              </w:rPr>
            </w:pPr>
            <w:r>
              <w:rPr>
                <w:color w:val="000000"/>
              </w:rPr>
              <w:t>The</w:t>
            </w:r>
            <w:r w:rsidR="00E57C6D">
              <w:rPr>
                <w:color w:val="000000"/>
              </w:rPr>
              <w:t xml:space="preserve"> time spent by the Joint Local Governments’ attorneys and experts should therefore be found reasonable. </w:t>
            </w:r>
            <w:r w:rsidR="00802927">
              <w:rPr>
                <w:color w:val="000000"/>
              </w:rPr>
              <w:t xml:space="preserve"> </w:t>
            </w:r>
            <w:r w:rsidR="000F5778">
              <w:rPr>
                <w:color w:val="000000"/>
              </w:rPr>
              <w:t xml:space="preserve"> </w:t>
            </w:r>
          </w:p>
          <w:p w:rsidRPr="003D4455" w:rsidR="00FE3BAE" w:rsidRDefault="00FE3BAE" w14:paraId="01481CA6" w14:textId="77777777">
            <w:pPr>
              <w:rPr>
                <w:color w:val="000000"/>
              </w:rPr>
            </w:pPr>
          </w:p>
        </w:tc>
        <w:tc>
          <w:tcPr>
            <w:tcW w:w="2250" w:type="dxa"/>
            <w:shd w:val="clear" w:color="auto" w:fill="auto"/>
          </w:tcPr>
          <w:p w:rsidR="005C7C1B" w:rsidP="00FE3BAE" w:rsidRDefault="005C7C1B" w14:paraId="0103E58D" w14:textId="2B59A000">
            <w:pPr>
              <w:spacing w:before="120"/>
              <w:rPr>
                <w:color w:val="000000"/>
              </w:rPr>
            </w:pPr>
            <w:r>
              <w:rPr>
                <w:color w:val="000000"/>
              </w:rPr>
              <w:lastRenderedPageBreak/>
              <w:t>Noted</w:t>
            </w:r>
          </w:p>
          <w:p w:rsidRPr="00FE3BAE" w:rsidR="005C7C1B" w:rsidP="00FE3BAE" w:rsidRDefault="005C7C1B" w14:paraId="467FBB49" w14:textId="4993A959">
            <w:pPr>
              <w:spacing w:before="120"/>
              <w:rPr>
                <w:color w:val="000000"/>
              </w:rPr>
            </w:pPr>
          </w:p>
        </w:tc>
      </w:tr>
      <w:tr w:rsidRPr="007F620E" w:rsidR="00FE3BAE" w:rsidTr="009A7144" w14:paraId="3D0A46BA" w14:textId="77777777">
        <w:tc>
          <w:tcPr>
            <w:tcW w:w="7488" w:type="dxa"/>
            <w:shd w:val="clear" w:color="auto" w:fill="auto"/>
          </w:tcPr>
          <w:p w:rsidRPr="00E25078" w:rsidR="00FE3BAE" w:rsidRDefault="00FE3BAE" w14:paraId="267002EE" w14:textId="77777777">
            <w:pPr>
              <w:rPr>
                <w:color w:val="000000"/>
              </w:rPr>
            </w:pPr>
            <w:r w:rsidRPr="007F620E">
              <w:rPr>
                <w:b/>
                <w:color w:val="000000"/>
              </w:rPr>
              <w:t>b. Reasonableness of hours claimed:</w:t>
            </w:r>
            <w:r w:rsidRPr="00E25078" w:rsidR="00E25078">
              <w:rPr>
                <w:color w:val="000000"/>
              </w:rPr>
              <w:t xml:space="preserve"> </w:t>
            </w:r>
          </w:p>
          <w:p w:rsidR="00FE3BAE" w:rsidRDefault="00FE3BAE" w14:paraId="322D3A8E" w14:textId="77777777">
            <w:pPr>
              <w:rPr>
                <w:color w:val="000000"/>
              </w:rPr>
            </w:pPr>
          </w:p>
          <w:p w:rsidR="000B4DD6" w:rsidRDefault="000B4DD6" w14:paraId="0C2C281D" w14:textId="77777777">
            <w:pPr>
              <w:rPr>
                <w:color w:val="000000"/>
              </w:rPr>
            </w:pPr>
            <w:r>
              <w:rPr>
                <w:color w:val="000000"/>
              </w:rPr>
              <w:t>The Joint Local Governments request compensation for a</w:t>
            </w:r>
            <w:r w:rsidR="008B36F3">
              <w:rPr>
                <w:color w:val="000000"/>
              </w:rPr>
              <w:t>pproximately 180 hours of attorney and expert time</w:t>
            </w:r>
            <w:r>
              <w:rPr>
                <w:color w:val="000000"/>
              </w:rPr>
              <w:t xml:space="preserve">.  The amount of time </w:t>
            </w:r>
            <w:r w:rsidR="00075B0A">
              <w:rPr>
                <w:color w:val="000000"/>
              </w:rPr>
              <w:t>spent</w:t>
            </w:r>
            <w:r>
              <w:rPr>
                <w:color w:val="000000"/>
              </w:rPr>
              <w:t xml:space="preserve"> to participate in this proceeding was necessary to </w:t>
            </w:r>
            <w:r w:rsidR="00075B0A">
              <w:rPr>
                <w:color w:val="000000"/>
              </w:rPr>
              <w:t xml:space="preserve">review and </w:t>
            </w:r>
            <w:r>
              <w:rPr>
                <w:color w:val="000000"/>
              </w:rPr>
              <w:t xml:space="preserve">respond to the Rulemaking and the Staff Proposal, to review and comment on proposals made by PG&amp;E and other parties, </w:t>
            </w:r>
            <w:r w:rsidR="00075B0A">
              <w:rPr>
                <w:color w:val="000000"/>
              </w:rPr>
              <w:t xml:space="preserve">and to review and comment on the Proposed Decision.  The Joint Local Governments provided formal responses to the OIR, the Staff Proposal, and the Proposed Decision; these filings were necessary to actively participate in the proceeding and to ensure that positions were addressed throughout the proceeding in connection with each major Commission-issued document.  The Joint Local Governments’ experts also provided extensive feedback on the Commission’s and PG&amp;E’s proposals, which formed the basis for the Joint Local Governments’ recommendations. </w:t>
            </w:r>
            <w:r w:rsidR="001D7C8D">
              <w:rPr>
                <w:color w:val="000000"/>
              </w:rPr>
              <w:t xml:space="preserve">The Commission should find that this level of participation was reasonable for any active participant in the proceeding. </w:t>
            </w:r>
          </w:p>
          <w:p w:rsidR="001D7C8D" w:rsidRDefault="001D7C8D" w14:paraId="150BA1CD" w14:textId="77777777">
            <w:pPr>
              <w:rPr>
                <w:color w:val="000000"/>
              </w:rPr>
            </w:pPr>
          </w:p>
          <w:p w:rsidR="00D744A6" w:rsidP="00D744A6" w:rsidRDefault="00D744A6" w14:paraId="7A4AF0F6" w14:textId="77777777">
            <w:pPr>
              <w:rPr>
                <w:color w:val="000000"/>
              </w:rPr>
            </w:pPr>
            <w:r>
              <w:rPr>
                <w:color w:val="000000"/>
                <w:u w:val="single"/>
              </w:rPr>
              <w:t>Outside CPUC Counsel</w:t>
            </w:r>
          </w:p>
          <w:p w:rsidR="00D744A6" w:rsidP="00D744A6" w:rsidRDefault="00D744A6" w14:paraId="280B161D" w14:textId="77777777">
            <w:pPr>
              <w:rPr>
                <w:color w:val="000000"/>
              </w:rPr>
            </w:pPr>
            <w:r>
              <w:rPr>
                <w:color w:val="000000"/>
              </w:rPr>
              <w:t>Megan Somogyi served as the Joint Local Governments’ lead and coordinating attorney throughout this proceedin</w:t>
            </w:r>
            <w:r w:rsidR="002D6AC3">
              <w:rPr>
                <w:color w:val="000000"/>
              </w:rPr>
              <w:t xml:space="preserve">g, attending all the necessary hearings </w:t>
            </w:r>
            <w:r>
              <w:rPr>
                <w:color w:val="000000"/>
              </w:rPr>
              <w:t xml:space="preserve">and taking the lead in drafting all of the Joint Local Governments’ pleadings.  Ms. Somogyi brought considerable CPUC experience to these matters, having been involved in numerous Commission proceedings, including general rate cases, electric and gas procurement cases, utility certification proceedings, transmission line citing cases, proceedings involving disposition of utility assets, proceedings involving transfer of control of a utility, and applications for utility infrastructure investments. </w:t>
            </w:r>
          </w:p>
          <w:p w:rsidR="00D744A6" w:rsidP="00D744A6" w:rsidRDefault="00D744A6" w14:paraId="4C5C1D0B" w14:textId="77777777">
            <w:pPr>
              <w:rPr>
                <w:color w:val="000000"/>
              </w:rPr>
            </w:pPr>
          </w:p>
          <w:p w:rsidR="00D744A6" w:rsidP="00D744A6" w:rsidRDefault="00D744A6" w14:paraId="04D305EB" w14:textId="77777777">
            <w:pPr>
              <w:rPr>
                <w:color w:val="000000"/>
              </w:rPr>
            </w:pPr>
            <w:r>
              <w:rPr>
                <w:color w:val="000000"/>
                <w:u w:val="single"/>
              </w:rPr>
              <w:t>County of Mendocino: County Counsel</w:t>
            </w:r>
          </w:p>
          <w:p w:rsidR="00D744A6" w:rsidP="00D744A6" w:rsidRDefault="00D744A6" w14:paraId="2E96B076" w14:textId="77777777">
            <w:pPr>
              <w:rPr>
                <w:color w:val="000000"/>
              </w:rPr>
            </w:pPr>
            <w:r>
              <w:rPr>
                <w:color w:val="000000"/>
              </w:rPr>
              <w:t xml:space="preserve">Mendocino’s individual interests were represented by the Mendocino County Counsel’s Office.  Mendocino’s attorneys reviewed the Joint Local Governments’ pleadings to ensure that the arguments and recommendations were consistent with the needs and views of Mendocino County, as well as the interests of the coalition as a whole.  </w:t>
            </w:r>
            <w:r w:rsidR="003D7E05">
              <w:rPr>
                <w:color w:val="000000"/>
              </w:rPr>
              <w:t xml:space="preserve">Mendocino’s attorneys were also responsible for obtaining Board approval for certain actions, updating the Board on the progress of the CPUC proceedings, coordinating internally with the County’s departments and experts, and performing the administrative tasks that accompany local government participation in formal proceedings.  </w:t>
            </w:r>
            <w:r>
              <w:rPr>
                <w:color w:val="000000"/>
              </w:rPr>
              <w:t xml:space="preserve">Because the County Counsels’ responsibilities are significant, Mendocino assigned more than one attorney to participate in the CPUC proceedings in order to ensure that a representative from the County was always available to review filings, join conference calls, and monitor the proceeding.  </w:t>
            </w:r>
          </w:p>
          <w:p w:rsidR="00D744A6" w:rsidP="00D744A6" w:rsidRDefault="00D744A6" w14:paraId="65FC5929" w14:textId="77777777">
            <w:pPr>
              <w:rPr>
                <w:color w:val="000000"/>
              </w:rPr>
            </w:pPr>
          </w:p>
          <w:p w:rsidR="003D7E05" w:rsidP="00D744A6" w:rsidRDefault="00D744A6" w14:paraId="1CF55FE0" w14:textId="77777777">
            <w:pPr>
              <w:rPr>
                <w:color w:val="000000"/>
              </w:rPr>
            </w:pPr>
            <w:r>
              <w:rPr>
                <w:color w:val="000000"/>
              </w:rPr>
              <w:t>Katharine L. Elliott is t</w:t>
            </w:r>
            <w:r w:rsidR="003D7E05">
              <w:rPr>
                <w:color w:val="000000"/>
              </w:rPr>
              <w:t>he County Counsel for Mendocino, a position she has held since 2015.  Ms. Elliott previously served as a Deputy County Counsel assigned to the Health and Human Services Agency.  In that role, Ms. Elliott helped to implement Laura’s Law, represented the Public Guardian in Conservatorship proceedings; and was an advisor to the Behavioral Health Board.  Ms. Elliott has over 27 years of experience as an attorney in criminal law, and has worked extensively with mentally ill clients, including veterans, and represented clients in conservatorship.</w:t>
            </w:r>
            <w:r>
              <w:rPr>
                <w:color w:val="000000"/>
              </w:rPr>
              <w:t xml:space="preserve">  </w:t>
            </w:r>
            <w:r w:rsidR="003D7E05">
              <w:rPr>
                <w:color w:val="000000"/>
              </w:rPr>
              <w:t xml:space="preserve">Ms. Elliott has presented MCLE programs on stress reduction for Yolo and Mendocino County Public Defenders. </w:t>
            </w:r>
          </w:p>
          <w:p w:rsidR="00D744A6" w:rsidP="00D744A6" w:rsidRDefault="00D744A6" w14:paraId="0C6BD005" w14:textId="77777777">
            <w:pPr>
              <w:rPr>
                <w:color w:val="000000"/>
              </w:rPr>
            </w:pPr>
            <w:r>
              <w:rPr>
                <w:color w:val="000000"/>
              </w:rPr>
              <w:t xml:space="preserve">   </w:t>
            </w:r>
          </w:p>
          <w:p w:rsidR="003D7E05" w:rsidP="00D744A6" w:rsidRDefault="003D7E05" w14:paraId="1F1819C6" w14:textId="77777777">
            <w:pPr>
              <w:rPr>
                <w:color w:val="000000"/>
              </w:rPr>
            </w:pPr>
          </w:p>
          <w:p w:rsidR="003D7E05" w:rsidP="00D744A6" w:rsidRDefault="003D7E05" w14:paraId="7AA17F1E" w14:textId="77777777">
            <w:pPr>
              <w:rPr>
                <w:color w:val="000000"/>
              </w:rPr>
            </w:pPr>
          </w:p>
          <w:p w:rsidR="00D744A6" w:rsidP="00D744A6" w:rsidRDefault="00D744A6" w14:paraId="209698F6" w14:textId="77777777">
            <w:pPr>
              <w:rPr>
                <w:color w:val="000000"/>
              </w:rPr>
            </w:pPr>
            <w:r>
              <w:rPr>
                <w:color w:val="000000"/>
                <w:u w:val="single"/>
              </w:rPr>
              <w:t>County of Napa: County Counsel and Experts</w:t>
            </w:r>
          </w:p>
          <w:p w:rsidR="00D744A6" w:rsidP="00D744A6" w:rsidRDefault="00D744A6" w14:paraId="4C76E0F8" w14:textId="77777777">
            <w:pPr>
              <w:rPr>
                <w:color w:val="000000"/>
              </w:rPr>
            </w:pPr>
            <w:r>
              <w:rPr>
                <w:color w:val="000000"/>
              </w:rPr>
              <w:t xml:space="preserve">Napa’s individual interests were represented by the Napa County Counsel’s Office and members of the County’s Office of Emergency Services, Emergency Medical Services, Fire Department, and Health and Human </w:t>
            </w:r>
            <w:r>
              <w:rPr>
                <w:color w:val="000000"/>
              </w:rPr>
              <w:lastRenderedPageBreak/>
              <w:t xml:space="preserve">Services Agency.  Napa’s attorneys and experts reviewed the Joint Local Governments’ pleadings to ensure that the arguments and recommendations were consistent with the needs and views of Napa County, as well as the interests of the coalition as a whole.  </w:t>
            </w:r>
            <w:r w:rsidR="00FA73CE">
              <w:rPr>
                <w:color w:val="000000"/>
              </w:rPr>
              <w:t xml:space="preserve">Napa’s attorneys were also responsible for obtaining Board approval for certain actions, updating the Board on the progress of the CPUC proceedings, coordinating internally with the County’s departments and experts, and performing the administrative tasks that accompany local government participation in formal proceedings.  </w:t>
            </w:r>
            <w:r>
              <w:rPr>
                <w:color w:val="000000"/>
              </w:rPr>
              <w:t>Because the County Counsels’ and emergency, fire, and health departments’ responsibilities are significant, Napa in some cases assigned more than one attorney or expert to participate in the CPUC proceedings in order to ensure that a representative from the County was always available to review filings, join conference calls, and monitor the proceeding.</w:t>
            </w:r>
          </w:p>
          <w:p w:rsidR="00D744A6" w:rsidP="00D744A6" w:rsidRDefault="00D744A6" w14:paraId="07A16E80" w14:textId="77777777">
            <w:pPr>
              <w:rPr>
                <w:color w:val="000000"/>
              </w:rPr>
            </w:pPr>
          </w:p>
          <w:p w:rsidR="00D744A6" w:rsidP="00D744A6" w:rsidRDefault="00D744A6" w14:paraId="5718E743" w14:textId="77777777">
            <w:pPr>
              <w:rPr>
                <w:color w:val="000000"/>
              </w:rPr>
            </w:pPr>
            <w:r>
              <w:rPr>
                <w:color w:val="000000"/>
              </w:rPr>
              <w:t xml:space="preserve">Jeffrey Brax is the Napa County Counsel.  Mr. Brax has held this position since April 2018.  As the primary legal officer for the County, Mr. Brax provides legal representation in tort litigation, fire recovery, and other matters, and supervises thirteen attorneys and six support staff.  Before joining Napa County, Mr. Brax worked for the Sonoma County Counsel’s Office for 13.5 years, the last three of which as Chief Deputy County Counsel.  During his time with Sonoma County, Mr. Brax served as the chief land use attorney and represented the Board of Supervisors and other clients in land use, CEQA, elections, tribal gaming, and other matters.    </w:t>
            </w:r>
          </w:p>
          <w:p w:rsidR="00D744A6" w:rsidP="00D744A6" w:rsidRDefault="00D744A6" w14:paraId="716CC91B" w14:textId="77777777">
            <w:pPr>
              <w:rPr>
                <w:color w:val="000000"/>
              </w:rPr>
            </w:pPr>
          </w:p>
          <w:p w:rsidR="00D744A6" w:rsidP="00D744A6" w:rsidRDefault="00D744A6" w14:paraId="756C13DB" w14:textId="77777777">
            <w:pPr>
              <w:rPr>
                <w:color w:val="000000"/>
              </w:rPr>
            </w:pPr>
            <w:r>
              <w:rPr>
                <w:color w:val="000000"/>
              </w:rPr>
              <w:t xml:space="preserve">Jeffrey M. Richard is a Chief Deputy County Counsel; he has held the position since January 2015.  Mr. Richard oversees the Office’s Code Compliance legal services, represents waste management agencies and resort improvement districts, supervises a team of four attorneys, and supervises and collaborates with outside counsel in a variety of matters, including the CPUC proceedings and PG&amp;E civil litigation.  Before joining Napa County, Mr. Richard was a Senior Assistant County Counsel for Orange County for 13 years.  Mr. Richard was in private practice from 1982–2001.  </w:t>
            </w:r>
          </w:p>
          <w:p w:rsidR="00D744A6" w:rsidP="00D744A6" w:rsidRDefault="00D744A6" w14:paraId="4E42ACEC" w14:textId="77777777">
            <w:pPr>
              <w:rPr>
                <w:color w:val="000000"/>
              </w:rPr>
            </w:pPr>
          </w:p>
          <w:p w:rsidR="00D744A6" w:rsidP="00D744A6" w:rsidRDefault="00D744A6" w14:paraId="6EF0B704" w14:textId="77777777">
            <w:pPr>
              <w:rPr>
                <w:color w:val="000000"/>
              </w:rPr>
            </w:pPr>
            <w:r>
              <w:rPr>
                <w:color w:val="000000"/>
              </w:rPr>
              <w:t xml:space="preserve">Dr. Karen Relucio, MD is the County’s Health Officer and Public Health Director.  Dr. Relucio has held this position for four years.  Her responsibilities include leading the department’s public health and policy work by engaging and supporting a staff of 60 employees.  Dr. Relucio is responsible for local public health response and preparedness functions in the areas of communicable diseases control and prevention, the County’s immunization program, emergency preparedness and response, emergency medical services, WIC, Maternal Child and Adolescent Health, Childrens’ Medical Services, chronic disease prevention, vital statistics, and epidemiology and surveillance.  Dr. Relucio acts </w:t>
            </w:r>
            <w:r w:rsidR="00CC6C64">
              <w:rPr>
                <w:color w:val="000000"/>
              </w:rPr>
              <w:t xml:space="preserve">as one of the two </w:t>
            </w:r>
            <w:r>
              <w:rPr>
                <w:color w:val="000000"/>
              </w:rPr>
              <w:t>Medical Health Operational Area Coordinator</w:t>
            </w:r>
            <w:r w:rsidR="00CC6C64">
              <w:rPr>
                <w:color w:val="000000"/>
              </w:rPr>
              <w:t>s</w:t>
            </w:r>
            <w:r>
              <w:rPr>
                <w:color w:val="000000"/>
              </w:rPr>
              <w:t xml:space="preserve"> for the County.  Previously, Dr. </w:t>
            </w:r>
            <w:r>
              <w:rPr>
                <w:color w:val="000000"/>
              </w:rPr>
              <w:lastRenderedPageBreak/>
              <w:t xml:space="preserve">Relucio served for nine years as an Assistant Health Officer and Public Health Clinics Medical Director in San Mateo County.  Dr. Relucio also has seven years of emergency preparedness and response experience. </w:t>
            </w:r>
          </w:p>
          <w:p w:rsidR="00CC6C64" w:rsidP="00D744A6" w:rsidRDefault="00CC6C64" w14:paraId="23AA1A21" w14:textId="77777777">
            <w:pPr>
              <w:rPr>
                <w:color w:val="000000"/>
              </w:rPr>
            </w:pPr>
          </w:p>
          <w:p w:rsidR="00CC6C64" w:rsidP="00D744A6" w:rsidRDefault="00CC6C64" w14:paraId="4FB91943" w14:textId="77777777">
            <w:pPr>
              <w:rPr>
                <w:color w:val="000000"/>
              </w:rPr>
            </w:pPr>
            <w:r>
              <w:rPr>
                <w:color w:val="000000"/>
              </w:rPr>
              <w:t xml:space="preserve">Brian Henricksen is the Emergency Medical Services administrator for Napa County Health and Human Services; Mr. Henricksen has held this position for four years.  Mr. Henricksen also serves as the second Medical Health Operational Area Coordinator for the County, with Dr. Relucio.  Mr. Henricksen is a licensed paramedic in California with 20 years of experience in Emergency Medical Services.  For the last 10-plus years, Mr. Henricksen has had a role in disaster medical planning in private industry and local government sectors; this disaster planning experience has focused on medically vulnerable populations, including those with power-dependent durable medical equipment.  </w:t>
            </w:r>
          </w:p>
          <w:p w:rsidR="00D744A6" w:rsidP="00D744A6" w:rsidRDefault="00D744A6" w14:paraId="0B0AFECD" w14:textId="77777777">
            <w:pPr>
              <w:rPr>
                <w:color w:val="000000"/>
              </w:rPr>
            </w:pPr>
          </w:p>
          <w:p w:rsidR="00D744A6" w:rsidP="00D744A6" w:rsidRDefault="00D744A6" w14:paraId="3FDDC1AF" w14:textId="77777777">
            <w:pPr>
              <w:rPr>
                <w:color w:val="000000"/>
              </w:rPr>
            </w:pPr>
            <w:r>
              <w:rPr>
                <w:color w:val="000000"/>
              </w:rPr>
              <w:t xml:space="preserve">Geoff Belyea is the Fire Chief for Napa County.  Mr. Belyea has held this position for three months and has 22 years of experience working in the fire service.  Mr. Belyea is responsible for the overall administration and oversight of the Napa County Fire Department.  </w:t>
            </w:r>
          </w:p>
          <w:p w:rsidR="00D744A6" w:rsidP="00D744A6" w:rsidRDefault="00D744A6" w14:paraId="395C2DCB" w14:textId="77777777">
            <w:pPr>
              <w:rPr>
                <w:color w:val="000000"/>
              </w:rPr>
            </w:pPr>
          </w:p>
          <w:p w:rsidR="00D744A6" w:rsidP="00D744A6" w:rsidRDefault="00D744A6" w14:paraId="205588B5" w14:textId="77777777">
            <w:pPr>
              <w:rPr>
                <w:color w:val="000000"/>
              </w:rPr>
            </w:pPr>
            <w:r>
              <w:rPr>
                <w:color w:val="000000"/>
                <w:u w:val="single"/>
              </w:rPr>
              <w:t>County of Sonoma: County Counsel and Experts</w:t>
            </w:r>
          </w:p>
          <w:p w:rsidR="00D744A6" w:rsidP="00D744A6" w:rsidRDefault="00D744A6" w14:paraId="0C6A57EE" w14:textId="77777777">
            <w:pPr>
              <w:rPr>
                <w:color w:val="000000"/>
              </w:rPr>
            </w:pPr>
            <w:r>
              <w:rPr>
                <w:color w:val="000000"/>
              </w:rPr>
              <w:t xml:space="preserve">Sonoma’s individual interests were represented by the Sonoma County Counsel’s Office and members of the County’s Office of Emergency Services.  Sonoma’s attorneys and experts reviewed the Joint Local Governments’ pleadings to ensure that the arguments and recommendations were consistent with the needs and views of Sonoma County, as well as the interests of the coalition as a whole.  </w:t>
            </w:r>
            <w:r w:rsidR="00FA73CE">
              <w:rPr>
                <w:color w:val="000000"/>
              </w:rPr>
              <w:t xml:space="preserve">Sonoma’s attorneys were also responsible for obtaining Board approval for certain actions, updating the Board on the progress of the CPUC proceedings, coordinating internally with the County’s departments and experts, and performing the administrative tasks that accompany local government participation in formal proceedings. </w:t>
            </w:r>
            <w:r>
              <w:rPr>
                <w:color w:val="000000"/>
              </w:rPr>
              <w:t>Because the County Counsels’ and emergency services department’s responsibilities are significant, Sonoma in some cases assigned more than one attorney or expert to participate in the CPUC proceedings in order to ensure that a representative from the County was always available to review filings, join conference calls, and monitor the proceeding.</w:t>
            </w:r>
          </w:p>
          <w:p w:rsidR="00D744A6" w:rsidP="00D744A6" w:rsidRDefault="00D744A6" w14:paraId="66BC0692" w14:textId="77777777">
            <w:pPr>
              <w:rPr>
                <w:color w:val="000000"/>
              </w:rPr>
            </w:pPr>
          </w:p>
          <w:p w:rsidR="00D744A6" w:rsidP="00D744A6" w:rsidRDefault="00D744A6" w14:paraId="56550952" w14:textId="77777777">
            <w:pPr>
              <w:rPr>
                <w:color w:val="000000"/>
              </w:rPr>
            </w:pPr>
            <w:r>
              <w:rPr>
                <w:color w:val="000000"/>
              </w:rPr>
              <w:t>Cory O’Donnell</w:t>
            </w:r>
            <w:r w:rsidR="00C371D5">
              <w:rPr>
                <w:color w:val="000000"/>
              </w:rPr>
              <w:t xml:space="preserve"> has been with the Sonoma County Counsel’s Office since February 2007.  She is currently </w:t>
            </w:r>
            <w:r>
              <w:rPr>
                <w:color w:val="000000"/>
              </w:rPr>
              <w:t>t</w:t>
            </w:r>
            <w:r w:rsidR="00C371D5">
              <w:rPr>
                <w:color w:val="000000"/>
              </w:rPr>
              <w:t xml:space="preserve">he Chief Deputy County Counsel leading the Recovery &amp; Resiliency Practice Group formed after the October 2017 Sonoma Complex Wildfires.  In this position, Ms. O’Donnell provides coordinated legal support to County departments/agencies in ongoing recovery and resiliency efforts.  Ms. O’Donnell also advises the County and special districts on water-related issues, climate action and sustainability initiatives, CEQA, and general public law issues.  Before </w:t>
            </w:r>
            <w:r w:rsidR="00C371D5">
              <w:rPr>
                <w:color w:val="000000"/>
              </w:rPr>
              <w:lastRenderedPageBreak/>
              <w:t xml:space="preserve">joining the Sonoma County Counsel’s Office, Ms. O’Donnell was in private practice with a focus on environmental litigation and regulatory compliance. </w:t>
            </w:r>
          </w:p>
          <w:p w:rsidR="00D744A6" w:rsidP="00D744A6" w:rsidRDefault="00D744A6" w14:paraId="1753796A" w14:textId="77777777">
            <w:pPr>
              <w:rPr>
                <w:color w:val="000000"/>
              </w:rPr>
            </w:pPr>
          </w:p>
          <w:p w:rsidR="00D744A6" w:rsidP="00D744A6" w:rsidRDefault="00D744A6" w14:paraId="78659D30" w14:textId="77777777">
            <w:pPr>
              <w:rPr>
                <w:color w:val="000000"/>
              </w:rPr>
            </w:pPr>
            <w:r>
              <w:rPr>
                <w:color w:val="000000"/>
              </w:rPr>
              <w:t>Petra Bruggisser is a Deputy County Counsel</w:t>
            </w:r>
            <w:r w:rsidR="00C371D5">
              <w:rPr>
                <w:color w:val="000000"/>
              </w:rPr>
              <w:t>; she has held the position since February 2014.  Mrs. Bruggisser is part of the County Counsel’s litigation practice group, representing the County’s interests and acting as litigation coordinator in a variety of matters, including the CPUC proceedings and PG&amp;E civil litigation.  Before joining Sonoma County, Mrs. Bruggisser was in private practice.  Mrs. Bruggisser started her legal career as an attorney in Germany in 1999, and has been practicing law in california since 2005.</w:t>
            </w:r>
          </w:p>
          <w:p w:rsidR="00D744A6" w:rsidP="00D744A6" w:rsidRDefault="00D744A6" w14:paraId="6D4C37CA" w14:textId="77777777">
            <w:pPr>
              <w:rPr>
                <w:color w:val="000000"/>
              </w:rPr>
            </w:pPr>
          </w:p>
          <w:p w:rsidR="00D744A6" w:rsidP="00D744A6" w:rsidRDefault="00D744A6" w14:paraId="20053C3E" w14:textId="77777777">
            <w:pPr>
              <w:rPr>
                <w:color w:val="000000"/>
              </w:rPr>
            </w:pPr>
            <w:r>
              <w:rPr>
                <w:color w:val="000000"/>
                <w:u w:val="single"/>
              </w:rPr>
              <w:t>City of Santa Rosa: City Attorneys and Experts</w:t>
            </w:r>
          </w:p>
          <w:p w:rsidR="00D744A6" w:rsidP="00D744A6" w:rsidRDefault="00D744A6" w14:paraId="03E4D3BE" w14:textId="77777777">
            <w:pPr>
              <w:rPr>
                <w:color w:val="000000"/>
              </w:rPr>
            </w:pPr>
            <w:r>
              <w:rPr>
                <w:color w:val="000000"/>
              </w:rPr>
              <w:t xml:space="preserve">Santa Rosa’s individual interests were represented by the City Attorney’s Office and members of the City’s Fire Department.  Santa Rosa’s attorneys and experts reviewed the Joint Local Governments’ pleadings to ensure that the arguments and recommendations were consistent with the needs and views of Santa Rosa, as well as the interests of the coalition as a whole.  </w:t>
            </w:r>
            <w:r w:rsidR="00FA73CE">
              <w:rPr>
                <w:color w:val="000000"/>
              </w:rPr>
              <w:t xml:space="preserve">Santa Rosa’s attorneys were also responsible for obtaining City Council approval for certain actions, updating the Council on the progress of the CPUC proceedings, coordinating internally with the County’s departments and experts, and performing the administrative tasks that accompany local government participation in formal proceedings. </w:t>
            </w:r>
            <w:r w:rsidR="00A135FC">
              <w:rPr>
                <w:color w:val="000000"/>
              </w:rPr>
              <w:t xml:space="preserve"> </w:t>
            </w:r>
            <w:r>
              <w:rPr>
                <w:color w:val="000000"/>
              </w:rPr>
              <w:t>Because the City Attorneys’ and Fire Department’s responsibilities are significant, Santa Rosa in some cases assigned more than one attorney or expert to participate in the CPUC proceedings in order to ensure that a representative from the City was always available to review filings, join conference calls, and monitor the proceeding.</w:t>
            </w:r>
          </w:p>
          <w:p w:rsidR="00D744A6" w:rsidP="00D744A6" w:rsidRDefault="00D744A6" w14:paraId="7C9BE2DB" w14:textId="77777777">
            <w:pPr>
              <w:rPr>
                <w:color w:val="000000"/>
              </w:rPr>
            </w:pPr>
          </w:p>
          <w:p w:rsidR="00D744A6" w:rsidP="00D744A6" w:rsidRDefault="00D744A6" w14:paraId="035AECAA" w14:textId="77777777">
            <w:pPr>
              <w:rPr>
                <w:color w:val="000000"/>
              </w:rPr>
            </w:pPr>
            <w:r>
              <w:rPr>
                <w:color w:val="000000"/>
              </w:rPr>
              <w:t xml:space="preserve">Sue Gallagher is </w:t>
            </w:r>
            <w:r w:rsidR="006A54AF">
              <w:rPr>
                <w:color w:val="000000"/>
              </w:rPr>
              <w:t>the City Attorney for the City of Santa Rosa and was appointed to that position in May 2017.  Prior to that time, Ms. Gallagher worked for the City of Santa Rosa as an Assistant City Attorney specializing in land use and CEQA, after working for 24 years with the Sonoma County Counsel’s office, five of those years in management.  Ms. Gallagher has extensive experience advising public sector clients on a wide range of governmental law issues.</w:t>
            </w:r>
          </w:p>
          <w:p w:rsidR="00D744A6" w:rsidP="00D744A6" w:rsidRDefault="00D744A6" w14:paraId="5235E809" w14:textId="77777777">
            <w:pPr>
              <w:rPr>
                <w:color w:val="000000"/>
              </w:rPr>
            </w:pPr>
          </w:p>
          <w:p w:rsidR="00D744A6" w:rsidP="00D744A6" w:rsidRDefault="006A54AF" w14:paraId="79137689" w14:textId="77777777">
            <w:pPr>
              <w:rPr>
                <w:color w:val="000000"/>
              </w:rPr>
            </w:pPr>
            <w:r>
              <w:rPr>
                <w:color w:val="000000"/>
              </w:rPr>
              <w:t xml:space="preserve">Adam Abel has been an Assistant City Attorney with the City of Santa Rosa since 2015.  Prior to joining the City of Santa Rosa, Mr. Abel was a shareholder in the law firm of Bradley, Curley, Asiano, Barrabee, Abel &amp; Kowalski, where he was a litigator with an emphasis on defense of public entities throughout Northern California. </w:t>
            </w:r>
          </w:p>
          <w:p w:rsidR="00D744A6" w:rsidP="00D744A6" w:rsidRDefault="00D744A6" w14:paraId="7AB75ABB" w14:textId="77777777">
            <w:pPr>
              <w:rPr>
                <w:color w:val="000000"/>
              </w:rPr>
            </w:pPr>
          </w:p>
          <w:p w:rsidRPr="00C24ED5" w:rsidR="00D744A6" w:rsidP="00D744A6" w:rsidRDefault="00D744A6" w14:paraId="6720A69A" w14:textId="77777777">
            <w:pPr>
              <w:rPr>
                <w:color w:val="000000"/>
              </w:rPr>
            </w:pPr>
            <w:r>
              <w:rPr>
                <w:color w:val="000000"/>
              </w:rPr>
              <w:t xml:space="preserve">Neil Bregman is the Emergency Preparedness Coordinator for the Santa Rosa Fire Department; Mr. Bregman has held this position since September </w:t>
            </w:r>
            <w:r>
              <w:rPr>
                <w:color w:val="000000"/>
              </w:rPr>
              <w:lastRenderedPageBreak/>
              <w:t>2014.  Mr. Bregman is responsible for overall management of the City’s emergency preparedness, disaster response, and resilience.  Mr. Bregman has been an Emergency Manager for 10 years.  His emergency management career started working for major health care institutions in New York City and later the New York City Office of Emergency Management.</w:t>
            </w:r>
          </w:p>
          <w:p w:rsidRPr="007F620E" w:rsidR="00691528" w:rsidRDefault="00691528" w14:paraId="6AA446B9" w14:textId="77777777">
            <w:pPr>
              <w:rPr>
                <w:color w:val="000000"/>
              </w:rPr>
            </w:pPr>
          </w:p>
        </w:tc>
        <w:tc>
          <w:tcPr>
            <w:tcW w:w="2250" w:type="dxa"/>
            <w:shd w:val="clear" w:color="auto" w:fill="auto"/>
          </w:tcPr>
          <w:p w:rsidRPr="007F620E" w:rsidR="00FE3BAE" w:rsidP="00A92D0B" w:rsidRDefault="005C7C1B" w14:paraId="3B3A0CCF" w14:textId="6A6D0BB5">
            <w:pPr>
              <w:spacing w:before="120"/>
              <w:rPr>
                <w:color w:val="000000"/>
              </w:rPr>
            </w:pPr>
            <w:r>
              <w:rPr>
                <w:color w:val="000000"/>
              </w:rPr>
              <w:lastRenderedPageBreak/>
              <w:t>Noted</w:t>
            </w:r>
          </w:p>
        </w:tc>
      </w:tr>
      <w:tr w:rsidRPr="007F620E" w:rsidR="00FE3BAE" w:rsidTr="009A7144" w14:paraId="7D576499" w14:textId="77777777">
        <w:tc>
          <w:tcPr>
            <w:tcW w:w="7488" w:type="dxa"/>
            <w:shd w:val="clear" w:color="auto" w:fill="auto"/>
          </w:tcPr>
          <w:p w:rsidRPr="00E25078" w:rsidR="00FE3BAE" w:rsidRDefault="00FE3BAE" w14:paraId="4E482C21" w14:textId="77777777">
            <w:pPr>
              <w:rPr>
                <w:color w:val="000000"/>
              </w:rPr>
            </w:pPr>
            <w:r w:rsidRPr="007F620E">
              <w:rPr>
                <w:b/>
                <w:color w:val="000000"/>
              </w:rPr>
              <w:lastRenderedPageBreak/>
              <w:t>c. Allocation of hours by issue:</w:t>
            </w:r>
            <w:r w:rsidRPr="00E25078" w:rsidR="00E25078">
              <w:rPr>
                <w:color w:val="000000"/>
              </w:rPr>
              <w:t xml:space="preserve"> </w:t>
            </w:r>
          </w:p>
          <w:p w:rsidR="00FE3BAE" w:rsidRDefault="00FE3BAE" w14:paraId="41D1D0AB" w14:textId="77777777">
            <w:pPr>
              <w:rPr>
                <w:color w:val="000000"/>
              </w:rPr>
            </w:pPr>
          </w:p>
          <w:p w:rsidR="00B03C46" w:rsidRDefault="00B03C46" w14:paraId="293F126E" w14:textId="77777777">
            <w:pPr>
              <w:rPr>
                <w:color w:val="000000"/>
              </w:rPr>
            </w:pPr>
            <w:r>
              <w:rPr>
                <w:color w:val="000000"/>
              </w:rPr>
              <w:t>The Joint Local Governments allocated their attorney and expert time by issue area or activity, as shown in the attached timesheets.  The following i</w:t>
            </w:r>
            <w:r w:rsidR="00260B33">
              <w:rPr>
                <w:color w:val="000000"/>
              </w:rPr>
              <w:t xml:space="preserve">ssue areas include hours by specific substantive issues and/or activities.  </w:t>
            </w:r>
          </w:p>
          <w:p w:rsidR="00260B33" w:rsidRDefault="00260B33" w14:paraId="73B2C56C" w14:textId="77777777">
            <w:pPr>
              <w:rPr>
                <w:color w:val="000000"/>
              </w:rPr>
            </w:pPr>
          </w:p>
          <w:p w:rsidRPr="00872F2D" w:rsidR="00872F2D" w:rsidRDefault="00872F2D" w14:paraId="2C4CBAAB" w14:textId="77777777">
            <w:pPr>
              <w:rPr>
                <w:color w:val="000000"/>
                <w:u w:val="single"/>
              </w:rPr>
            </w:pPr>
            <w:r w:rsidRPr="00872F2D">
              <w:rPr>
                <w:color w:val="000000"/>
                <w:u w:val="single"/>
              </w:rPr>
              <w:t>Issues: Substantive Contributions to D.19-05-042</w:t>
            </w:r>
            <w:r w:rsidR="004E2DF6">
              <w:rPr>
                <w:color w:val="000000"/>
                <w:u w:val="single"/>
              </w:rPr>
              <w:t xml:space="preserve"> (</w:t>
            </w:r>
            <w:r w:rsidR="00532821">
              <w:rPr>
                <w:color w:val="000000"/>
                <w:u w:val="single"/>
              </w:rPr>
              <w:t>46</w:t>
            </w:r>
            <w:r w:rsidR="004E2DF6">
              <w:rPr>
                <w:color w:val="000000"/>
                <w:u w:val="single"/>
              </w:rPr>
              <w:t>% of hours)</w:t>
            </w:r>
          </w:p>
          <w:p w:rsidR="00260B33" w:rsidRDefault="00260B33" w14:paraId="16A20478" w14:textId="77777777">
            <w:pPr>
              <w:rPr>
                <w:color w:val="000000"/>
              </w:rPr>
            </w:pPr>
            <w:r>
              <w:rPr>
                <w:color w:val="000000"/>
              </w:rPr>
              <w:t xml:space="preserve">Issue 1:  Definitions </w:t>
            </w:r>
          </w:p>
          <w:p w:rsidR="00260B33" w:rsidRDefault="00260B33" w14:paraId="60923AF8" w14:textId="77777777">
            <w:pPr>
              <w:rPr>
                <w:color w:val="000000"/>
              </w:rPr>
            </w:pPr>
          </w:p>
          <w:p w:rsidR="00260B33" w:rsidRDefault="00260B33" w14:paraId="64ED31F4" w14:textId="77777777">
            <w:pPr>
              <w:rPr>
                <w:color w:val="000000"/>
              </w:rPr>
            </w:pPr>
            <w:r>
              <w:rPr>
                <w:color w:val="000000"/>
              </w:rPr>
              <w:t>Work on this issue related to the development of effective definitions for the entities and customers that will be affected by de-energization</w:t>
            </w:r>
            <w:r w:rsidR="007A78CB">
              <w:rPr>
                <w:color w:val="000000"/>
              </w:rPr>
              <w:t xml:space="preserve"> includes time spent reviewing proposals from the Commission, Staff, and other parties; identifying recommended changes or additions; and drafting comments. </w:t>
            </w:r>
            <w:r>
              <w:rPr>
                <w:color w:val="000000"/>
              </w:rPr>
              <w:t xml:space="preserve"> </w:t>
            </w:r>
          </w:p>
          <w:p w:rsidR="00260B33" w:rsidRDefault="00260B33" w14:paraId="7AA25320" w14:textId="77777777">
            <w:pPr>
              <w:rPr>
                <w:color w:val="000000"/>
              </w:rPr>
            </w:pPr>
          </w:p>
          <w:p w:rsidR="00260B33" w:rsidRDefault="00260B33" w14:paraId="405BEBA2" w14:textId="77777777">
            <w:pPr>
              <w:rPr>
                <w:color w:val="000000"/>
              </w:rPr>
            </w:pPr>
            <w:r>
              <w:rPr>
                <w:color w:val="000000"/>
              </w:rPr>
              <w:t xml:space="preserve">Issue 2:  </w:t>
            </w:r>
            <w:r w:rsidR="00872F2D">
              <w:rPr>
                <w:color w:val="000000"/>
              </w:rPr>
              <w:t xml:space="preserve">Notification and Communication </w:t>
            </w:r>
          </w:p>
          <w:p w:rsidR="00FF1A72" w:rsidRDefault="00FF1A72" w14:paraId="216B8D2E" w14:textId="77777777">
            <w:pPr>
              <w:rPr>
                <w:color w:val="000000"/>
              </w:rPr>
            </w:pPr>
          </w:p>
          <w:p w:rsidR="00FF1A72" w:rsidRDefault="00FF1A72" w14:paraId="3613E3B2" w14:textId="77777777">
            <w:pPr>
              <w:rPr>
                <w:color w:val="000000"/>
              </w:rPr>
            </w:pPr>
            <w:r>
              <w:rPr>
                <w:color w:val="000000"/>
              </w:rPr>
              <w:t xml:space="preserve">Work on issues related to notification and communication </w:t>
            </w:r>
            <w:r w:rsidR="007A78CB">
              <w:rPr>
                <w:color w:val="000000"/>
              </w:rPr>
              <w:t xml:space="preserve">improvements and protocols includes time spent reviewing PG&amp;E’s existing practices; reviewing proposals from the Commission, Staff, and other parties; formulating improved alternatives; and drafting comments.  </w:t>
            </w:r>
          </w:p>
          <w:p w:rsidR="00D632CA" w:rsidRDefault="00D632CA" w14:paraId="3412F02B" w14:textId="77777777">
            <w:pPr>
              <w:rPr>
                <w:color w:val="000000"/>
              </w:rPr>
            </w:pPr>
          </w:p>
          <w:p w:rsidR="00D632CA" w:rsidRDefault="00D632CA" w14:paraId="5594668E" w14:textId="77777777">
            <w:pPr>
              <w:rPr>
                <w:color w:val="000000"/>
              </w:rPr>
            </w:pPr>
            <w:r>
              <w:rPr>
                <w:color w:val="000000"/>
              </w:rPr>
              <w:t>Issue 3:  Information-sharing with Public Safety Partners</w:t>
            </w:r>
          </w:p>
          <w:p w:rsidR="00D632CA" w:rsidRDefault="00D632CA" w14:paraId="392F339F" w14:textId="77777777">
            <w:pPr>
              <w:rPr>
                <w:color w:val="000000"/>
              </w:rPr>
            </w:pPr>
          </w:p>
          <w:p w:rsidR="007A78CB" w:rsidRDefault="00D632CA" w14:paraId="62DC3307" w14:textId="77777777">
            <w:pPr>
              <w:rPr>
                <w:color w:val="000000"/>
              </w:rPr>
            </w:pPr>
            <w:r>
              <w:rPr>
                <w:color w:val="000000"/>
              </w:rPr>
              <w:t xml:space="preserve">Work on issues relating to the utility’s information-sharing with its public safety partners </w:t>
            </w:r>
            <w:r w:rsidR="007A78CB">
              <w:rPr>
                <w:color w:val="000000"/>
              </w:rPr>
              <w:t xml:space="preserve">includes time spent reviewing PG&amp;E’s existing practices; reviewing proposals from the Commission, Staff, and other parties; identifying necessary improvements; and drafting comments.  </w:t>
            </w:r>
          </w:p>
          <w:p w:rsidR="00F308C8" w:rsidRDefault="00F308C8" w14:paraId="349E6C56" w14:textId="77777777">
            <w:pPr>
              <w:rPr>
                <w:color w:val="000000"/>
              </w:rPr>
            </w:pPr>
          </w:p>
          <w:p w:rsidR="00F308C8" w:rsidRDefault="00F308C8" w14:paraId="3CAEDC16" w14:textId="77777777">
            <w:pPr>
              <w:rPr>
                <w:color w:val="000000"/>
              </w:rPr>
            </w:pPr>
            <w:r>
              <w:rPr>
                <w:color w:val="000000"/>
              </w:rPr>
              <w:t>Issue 4: Post-event Reporting</w:t>
            </w:r>
          </w:p>
          <w:p w:rsidR="00F308C8" w:rsidRDefault="00F308C8" w14:paraId="1B3DFE5A" w14:textId="77777777">
            <w:pPr>
              <w:rPr>
                <w:color w:val="000000"/>
              </w:rPr>
            </w:pPr>
            <w:r>
              <w:rPr>
                <w:color w:val="000000"/>
              </w:rPr>
              <w:t xml:space="preserve"> </w:t>
            </w:r>
          </w:p>
          <w:p w:rsidR="00F308C8" w:rsidRDefault="00F308C8" w14:paraId="34538BAD" w14:textId="77777777">
            <w:pPr>
              <w:rPr>
                <w:color w:val="000000"/>
              </w:rPr>
            </w:pPr>
            <w:r>
              <w:rPr>
                <w:color w:val="000000"/>
              </w:rPr>
              <w:t xml:space="preserve">Work on this issue related to ensuring that the post-event reporting requirements for PG&amp;E’s PSPS events included adequate opportunity for affected local governments and public safety partners to provide feedback to the utility and the CPUC.  </w:t>
            </w:r>
          </w:p>
          <w:p w:rsidR="00872F2D" w:rsidRDefault="00872F2D" w14:paraId="0422428B" w14:textId="77777777">
            <w:pPr>
              <w:rPr>
                <w:color w:val="000000"/>
              </w:rPr>
            </w:pPr>
          </w:p>
          <w:p w:rsidR="00872F2D" w:rsidRDefault="00872F2D" w14:paraId="315F880B" w14:textId="77777777">
            <w:pPr>
              <w:rPr>
                <w:color w:val="000000"/>
              </w:rPr>
            </w:pPr>
            <w:r>
              <w:rPr>
                <w:color w:val="000000"/>
              </w:rPr>
              <w:t xml:space="preserve">Time entries that cover these substantive issues cannot easily be parsed to correlate to an exact amount of time spent drafting or revising pleadings.  The Joint Local Governments therefore request compensation for all of the </w:t>
            </w:r>
            <w:r>
              <w:rPr>
                <w:color w:val="000000"/>
              </w:rPr>
              <w:lastRenderedPageBreak/>
              <w:t>time included in this request for compensation</w:t>
            </w:r>
            <w:r w:rsidR="004D5A5E">
              <w:rPr>
                <w:color w:val="000000"/>
              </w:rPr>
              <w:t>, as it is not possible to accurately allocate time to individual issues.  However, if such allocation needs to occur, the Joint Local Governments propose that the Commission allocate these entries as follows</w:t>
            </w:r>
            <w:r w:rsidR="004E2DF6">
              <w:rPr>
                <w:color w:val="000000"/>
              </w:rPr>
              <w:t xml:space="preserve"> within the broader category of Substantive Contributions</w:t>
            </w:r>
            <w:r w:rsidR="004D5A5E">
              <w:rPr>
                <w:color w:val="000000"/>
              </w:rPr>
              <w:t>: Definitions (10%); No</w:t>
            </w:r>
            <w:r w:rsidR="00F308C8">
              <w:rPr>
                <w:color w:val="000000"/>
              </w:rPr>
              <w:t>tification and Communication (55</w:t>
            </w:r>
            <w:r w:rsidR="004D5A5E">
              <w:rPr>
                <w:color w:val="000000"/>
              </w:rPr>
              <w:t>%); Information-sharing</w:t>
            </w:r>
            <w:r w:rsidR="00F308C8">
              <w:rPr>
                <w:color w:val="000000"/>
              </w:rPr>
              <w:t xml:space="preserve"> with Public Safety Partners (25</w:t>
            </w:r>
            <w:r w:rsidR="004D5A5E">
              <w:rPr>
                <w:color w:val="000000"/>
              </w:rPr>
              <w:t>%)</w:t>
            </w:r>
            <w:r w:rsidR="00F308C8">
              <w:rPr>
                <w:color w:val="000000"/>
              </w:rPr>
              <w:t>; Post-event Reporting (10%)</w:t>
            </w:r>
            <w:r w:rsidR="004D5A5E">
              <w:rPr>
                <w:color w:val="000000"/>
              </w:rPr>
              <w:t>.</w:t>
            </w:r>
          </w:p>
          <w:p w:rsidR="007A78CB" w:rsidRDefault="007A78CB" w14:paraId="38F2D4A7" w14:textId="77777777">
            <w:pPr>
              <w:rPr>
                <w:color w:val="000000"/>
              </w:rPr>
            </w:pPr>
          </w:p>
          <w:p w:rsidRPr="00872F2D" w:rsidR="007A78CB" w:rsidRDefault="00872F2D" w14:paraId="56D4EF85" w14:textId="77777777">
            <w:pPr>
              <w:rPr>
                <w:color w:val="000000"/>
                <w:u w:val="single"/>
              </w:rPr>
            </w:pPr>
            <w:r w:rsidRPr="00872F2D">
              <w:rPr>
                <w:color w:val="000000"/>
                <w:u w:val="single"/>
              </w:rPr>
              <w:t>Activity</w:t>
            </w:r>
            <w:r w:rsidRPr="00872F2D" w:rsidR="007A78CB">
              <w:rPr>
                <w:color w:val="000000"/>
                <w:u w:val="single"/>
              </w:rPr>
              <w:t>:  General Participation (</w:t>
            </w:r>
            <w:r w:rsidR="00532821">
              <w:rPr>
                <w:color w:val="000000"/>
                <w:u w:val="single"/>
              </w:rPr>
              <w:t>54</w:t>
            </w:r>
            <w:r w:rsidRPr="00872F2D" w:rsidR="007A78CB">
              <w:rPr>
                <w:color w:val="000000"/>
                <w:u w:val="single"/>
              </w:rPr>
              <w:t>% of hours)</w:t>
            </w:r>
          </w:p>
          <w:p w:rsidR="009C5DF0" w:rsidRDefault="009C5DF0" w14:paraId="41F5ADE3" w14:textId="77777777">
            <w:pPr>
              <w:rPr>
                <w:color w:val="000000"/>
              </w:rPr>
            </w:pPr>
          </w:p>
          <w:p w:rsidRPr="00691528" w:rsidR="00D632CA" w:rsidRDefault="009C5DF0" w14:paraId="091CBEE0" w14:textId="77777777">
            <w:pPr>
              <w:rPr>
                <w:color w:val="000000"/>
              </w:rPr>
            </w:pPr>
            <w:r>
              <w:rPr>
                <w:color w:val="000000"/>
              </w:rPr>
              <w:t xml:space="preserve">General Participation work is essential to participation in the proceeding and typically spans multiple issues and/or is necessary for participating in the proceeding.  This includes reviewing Commission rulings, initial review of proposals by Staff, the prehearing conference, </w:t>
            </w:r>
            <w:r w:rsidR="00DD06F1">
              <w:rPr>
                <w:color w:val="000000"/>
              </w:rPr>
              <w:t xml:space="preserve">and other work that does not necessarily vary with the number of issues ultimately addressed. </w:t>
            </w:r>
            <w:r w:rsidR="00832DA7">
              <w:rPr>
                <w:color w:val="000000"/>
              </w:rPr>
              <w:t xml:space="preserve"> This also includes the </w:t>
            </w:r>
            <w:r w:rsidR="002E1258">
              <w:rPr>
                <w:color w:val="000000"/>
              </w:rPr>
              <w:t xml:space="preserve">significant </w:t>
            </w:r>
            <w:r w:rsidR="00832DA7">
              <w:rPr>
                <w:color w:val="000000"/>
              </w:rPr>
              <w:t>internal coordination and information-sharing work necessary for City Attorneys and County Counsels to provide progress reports to, and obtain the necessary approvals from, their elected officials.</w:t>
            </w:r>
            <w:r w:rsidR="00D632CA">
              <w:rPr>
                <w:color w:val="000000"/>
              </w:rPr>
              <w:t xml:space="preserve"> </w:t>
            </w:r>
          </w:p>
          <w:p w:rsidRPr="003D4455" w:rsidR="00691528" w:rsidRDefault="00691528" w14:paraId="2ED34FF2" w14:textId="77777777">
            <w:pPr>
              <w:rPr>
                <w:color w:val="000000"/>
              </w:rPr>
            </w:pPr>
          </w:p>
        </w:tc>
        <w:tc>
          <w:tcPr>
            <w:tcW w:w="2250" w:type="dxa"/>
            <w:shd w:val="clear" w:color="auto" w:fill="auto"/>
          </w:tcPr>
          <w:p w:rsidR="00863B1E" w:rsidP="00A92D0B" w:rsidRDefault="00362460" w14:paraId="1E95C435" w14:textId="05B2B26C">
            <w:pPr>
              <w:spacing w:before="120"/>
              <w:rPr>
                <w:color w:val="000000"/>
              </w:rPr>
            </w:pPr>
            <w:r>
              <w:rPr>
                <w:color w:val="000000"/>
              </w:rPr>
              <w:lastRenderedPageBreak/>
              <w:t>Noted</w:t>
            </w:r>
          </w:p>
          <w:p w:rsidR="00863B1E" w:rsidP="00A92D0B" w:rsidRDefault="00863B1E" w14:paraId="6FEC6163" w14:textId="77777777">
            <w:pPr>
              <w:spacing w:before="120"/>
              <w:rPr>
                <w:color w:val="000000"/>
              </w:rPr>
            </w:pPr>
          </w:p>
          <w:p w:rsidR="00863B1E" w:rsidP="00A92D0B" w:rsidRDefault="00863B1E" w14:paraId="438D7E8C" w14:textId="77777777">
            <w:pPr>
              <w:spacing w:before="120"/>
              <w:rPr>
                <w:color w:val="000000"/>
              </w:rPr>
            </w:pPr>
          </w:p>
          <w:p w:rsidR="00863B1E" w:rsidP="00A92D0B" w:rsidRDefault="00863B1E" w14:paraId="215A7698" w14:textId="77777777">
            <w:pPr>
              <w:spacing w:before="120"/>
              <w:rPr>
                <w:color w:val="000000"/>
              </w:rPr>
            </w:pPr>
          </w:p>
          <w:p w:rsidR="00863B1E" w:rsidP="00A92D0B" w:rsidRDefault="00863B1E" w14:paraId="5616F484" w14:textId="77777777">
            <w:pPr>
              <w:spacing w:before="120"/>
              <w:rPr>
                <w:color w:val="000000"/>
              </w:rPr>
            </w:pPr>
          </w:p>
          <w:p w:rsidR="00863B1E" w:rsidP="00A92D0B" w:rsidRDefault="00863B1E" w14:paraId="43D7FD3D" w14:textId="77777777">
            <w:pPr>
              <w:spacing w:before="120"/>
              <w:rPr>
                <w:color w:val="000000"/>
              </w:rPr>
            </w:pPr>
          </w:p>
          <w:p w:rsidR="00863B1E" w:rsidP="00A92D0B" w:rsidRDefault="00863B1E" w14:paraId="2DC4F418" w14:textId="77777777">
            <w:pPr>
              <w:spacing w:before="120"/>
              <w:rPr>
                <w:color w:val="000000"/>
              </w:rPr>
            </w:pPr>
          </w:p>
          <w:p w:rsidR="00863B1E" w:rsidP="00A92D0B" w:rsidRDefault="00863B1E" w14:paraId="443F8416" w14:textId="77777777">
            <w:pPr>
              <w:spacing w:before="120"/>
              <w:rPr>
                <w:color w:val="000000"/>
              </w:rPr>
            </w:pPr>
          </w:p>
          <w:p w:rsidR="00863B1E" w:rsidP="00A92D0B" w:rsidRDefault="00863B1E" w14:paraId="4DEBBA41" w14:textId="77777777">
            <w:pPr>
              <w:spacing w:before="120"/>
              <w:rPr>
                <w:color w:val="000000"/>
              </w:rPr>
            </w:pPr>
          </w:p>
          <w:p w:rsidR="00863B1E" w:rsidP="00A92D0B" w:rsidRDefault="00863B1E" w14:paraId="296FF314" w14:textId="77777777">
            <w:pPr>
              <w:spacing w:before="120"/>
              <w:rPr>
                <w:color w:val="000000"/>
              </w:rPr>
            </w:pPr>
          </w:p>
          <w:p w:rsidR="00863B1E" w:rsidP="00A92D0B" w:rsidRDefault="00863B1E" w14:paraId="73683F28" w14:textId="77777777">
            <w:pPr>
              <w:spacing w:before="120"/>
              <w:rPr>
                <w:color w:val="000000"/>
              </w:rPr>
            </w:pPr>
          </w:p>
          <w:p w:rsidR="00863B1E" w:rsidP="00A92D0B" w:rsidRDefault="00863B1E" w14:paraId="5981DCBB" w14:textId="77777777">
            <w:pPr>
              <w:spacing w:before="120"/>
              <w:rPr>
                <w:color w:val="000000"/>
              </w:rPr>
            </w:pPr>
          </w:p>
          <w:p w:rsidR="00863B1E" w:rsidP="00A92D0B" w:rsidRDefault="00863B1E" w14:paraId="06794E98" w14:textId="77777777">
            <w:pPr>
              <w:spacing w:before="120"/>
              <w:rPr>
                <w:color w:val="000000"/>
              </w:rPr>
            </w:pPr>
          </w:p>
          <w:p w:rsidR="00863B1E" w:rsidP="00A92D0B" w:rsidRDefault="00863B1E" w14:paraId="747B87FD" w14:textId="77777777">
            <w:pPr>
              <w:spacing w:before="120"/>
              <w:rPr>
                <w:color w:val="000000"/>
              </w:rPr>
            </w:pPr>
          </w:p>
          <w:p w:rsidR="00863B1E" w:rsidP="00A92D0B" w:rsidRDefault="00863B1E" w14:paraId="0FFF0428" w14:textId="77777777">
            <w:pPr>
              <w:spacing w:before="120"/>
              <w:rPr>
                <w:color w:val="000000"/>
              </w:rPr>
            </w:pPr>
          </w:p>
          <w:p w:rsidR="00863B1E" w:rsidP="00A92D0B" w:rsidRDefault="00863B1E" w14:paraId="59560311" w14:textId="77777777">
            <w:pPr>
              <w:spacing w:before="120"/>
              <w:rPr>
                <w:color w:val="000000"/>
              </w:rPr>
            </w:pPr>
          </w:p>
          <w:p w:rsidR="00863B1E" w:rsidP="00A92D0B" w:rsidRDefault="00863B1E" w14:paraId="544D8F64" w14:textId="77777777">
            <w:pPr>
              <w:spacing w:before="120"/>
              <w:rPr>
                <w:color w:val="000000"/>
              </w:rPr>
            </w:pPr>
          </w:p>
          <w:p w:rsidR="00863B1E" w:rsidP="00A92D0B" w:rsidRDefault="00863B1E" w14:paraId="4885D104" w14:textId="77777777">
            <w:pPr>
              <w:spacing w:before="120"/>
              <w:rPr>
                <w:color w:val="000000"/>
              </w:rPr>
            </w:pPr>
          </w:p>
          <w:p w:rsidR="00863B1E" w:rsidP="00A92D0B" w:rsidRDefault="00863B1E" w14:paraId="64987212" w14:textId="77777777">
            <w:pPr>
              <w:spacing w:before="120"/>
              <w:rPr>
                <w:color w:val="000000"/>
              </w:rPr>
            </w:pPr>
          </w:p>
          <w:p w:rsidR="00863B1E" w:rsidP="00A92D0B" w:rsidRDefault="00863B1E" w14:paraId="6DD2B5A3" w14:textId="77777777">
            <w:pPr>
              <w:spacing w:before="120"/>
              <w:rPr>
                <w:color w:val="000000"/>
              </w:rPr>
            </w:pPr>
          </w:p>
          <w:p w:rsidR="00863B1E" w:rsidP="00A92D0B" w:rsidRDefault="00863B1E" w14:paraId="7851BA23" w14:textId="77777777">
            <w:pPr>
              <w:spacing w:before="120"/>
              <w:rPr>
                <w:color w:val="000000"/>
              </w:rPr>
            </w:pPr>
          </w:p>
          <w:p w:rsidR="00863B1E" w:rsidP="00A92D0B" w:rsidRDefault="00863B1E" w14:paraId="72E77323" w14:textId="77777777">
            <w:pPr>
              <w:spacing w:before="120"/>
              <w:rPr>
                <w:color w:val="000000"/>
              </w:rPr>
            </w:pPr>
          </w:p>
          <w:p w:rsidR="00863B1E" w:rsidP="00A92D0B" w:rsidRDefault="00863B1E" w14:paraId="1C8DC45B" w14:textId="77777777">
            <w:pPr>
              <w:spacing w:before="120"/>
              <w:rPr>
                <w:color w:val="000000"/>
              </w:rPr>
            </w:pPr>
          </w:p>
          <w:p w:rsidR="00863B1E" w:rsidP="00A92D0B" w:rsidRDefault="00863B1E" w14:paraId="2F56A5FA" w14:textId="77777777">
            <w:pPr>
              <w:spacing w:before="120"/>
              <w:rPr>
                <w:color w:val="000000"/>
              </w:rPr>
            </w:pPr>
          </w:p>
          <w:p w:rsidR="00863B1E" w:rsidP="00A92D0B" w:rsidRDefault="00863B1E" w14:paraId="2D4BF9F0" w14:textId="77777777">
            <w:pPr>
              <w:spacing w:before="120"/>
              <w:rPr>
                <w:color w:val="000000"/>
              </w:rPr>
            </w:pPr>
          </w:p>
          <w:p w:rsidR="00863B1E" w:rsidP="00A92D0B" w:rsidRDefault="00863B1E" w14:paraId="25D0344F" w14:textId="77777777">
            <w:pPr>
              <w:spacing w:before="120"/>
              <w:rPr>
                <w:color w:val="000000"/>
              </w:rPr>
            </w:pPr>
          </w:p>
          <w:p w:rsidR="00863B1E" w:rsidP="00A92D0B" w:rsidRDefault="00863B1E" w14:paraId="4BFFF2E1" w14:textId="77777777">
            <w:pPr>
              <w:spacing w:before="120"/>
              <w:rPr>
                <w:color w:val="000000"/>
              </w:rPr>
            </w:pPr>
          </w:p>
          <w:p w:rsidR="00863B1E" w:rsidP="00A92D0B" w:rsidRDefault="00863B1E" w14:paraId="14B6E87E" w14:textId="77777777">
            <w:pPr>
              <w:spacing w:before="120"/>
              <w:rPr>
                <w:color w:val="000000"/>
              </w:rPr>
            </w:pPr>
          </w:p>
          <w:p w:rsidRPr="007F620E" w:rsidR="00863B1E" w:rsidP="00A92D0B" w:rsidRDefault="00863B1E" w14:paraId="7BAED612" w14:textId="3F2C3091">
            <w:pPr>
              <w:spacing w:before="120"/>
              <w:rPr>
                <w:color w:val="000000"/>
              </w:rPr>
            </w:pPr>
            <w:r>
              <w:rPr>
                <w:color w:val="000000"/>
              </w:rPr>
              <w:t xml:space="preserve">We note the high percentage of </w:t>
            </w:r>
            <w:r w:rsidR="003C386B">
              <w:rPr>
                <w:color w:val="000000"/>
              </w:rPr>
              <w:t xml:space="preserve">hours allocated to </w:t>
            </w:r>
            <w:r>
              <w:rPr>
                <w:color w:val="000000"/>
              </w:rPr>
              <w:t>General Participation. Many of these hours are duplicative with several representatives from each entity reporting hours</w:t>
            </w:r>
            <w:r w:rsidR="004F2B39">
              <w:rPr>
                <w:color w:val="000000"/>
              </w:rPr>
              <w:t xml:space="preserve"> corresponding with one another. </w:t>
            </w:r>
            <w:r w:rsidRPr="002744FC" w:rsidR="004F2B39">
              <w:rPr>
                <w:i/>
                <w:iCs/>
                <w:color w:val="000000"/>
              </w:rPr>
              <w:t>See</w:t>
            </w:r>
            <w:r w:rsidR="004F2B39">
              <w:rPr>
                <w:color w:val="000000"/>
              </w:rPr>
              <w:t xml:space="preserve"> CPUC Comments and Disallowances in Part III</w:t>
            </w:r>
            <w:r w:rsidR="003C386B">
              <w:rPr>
                <w:color w:val="000000"/>
              </w:rPr>
              <w:t>.</w:t>
            </w:r>
            <w:r w:rsidR="004F2B39">
              <w:rPr>
                <w:color w:val="000000"/>
              </w:rPr>
              <w:t>D</w:t>
            </w:r>
            <w:r w:rsidR="003C386B">
              <w:rPr>
                <w:color w:val="000000"/>
              </w:rPr>
              <w:t>[1]</w:t>
            </w:r>
            <w:r w:rsidR="004F2B39">
              <w:rPr>
                <w:color w:val="000000"/>
              </w:rPr>
              <w:t xml:space="preserve">. </w:t>
            </w:r>
          </w:p>
        </w:tc>
      </w:tr>
    </w:tbl>
    <w:p w:rsidR="00691528" w:rsidP="00691528" w:rsidRDefault="00691528" w14:paraId="1CBB4FB9" w14:textId="77777777">
      <w:pPr>
        <w:keepNext/>
        <w:keepLines/>
        <w:ind w:left="360"/>
        <w:rPr>
          <w:b/>
          <w:color w:val="000000"/>
        </w:rPr>
      </w:pPr>
    </w:p>
    <w:p w:rsidRPr="007F620E" w:rsidR="00A92D0B" w:rsidP="00691528" w:rsidRDefault="00A92D0B" w14:paraId="58EE35B6" w14:textId="77777777">
      <w:pPr>
        <w:keepNext/>
        <w:keepLines/>
        <w:numPr>
          <w:ilvl w:val="0"/>
          <w:numId w:val="2"/>
        </w:numPr>
        <w:tabs>
          <w:tab w:val="clear" w:pos="900"/>
          <w:tab w:val="num" w:pos="360"/>
        </w:tabs>
        <w:spacing w:after="240"/>
        <w:ind w:left="360"/>
        <w:rPr>
          <w:b/>
          <w:color w:val="000000"/>
        </w:rPr>
      </w:pPr>
      <w:r w:rsidRPr="007F620E">
        <w:rPr>
          <w:b/>
          <w:color w:val="000000"/>
        </w:rPr>
        <w:t>Specific Claim</w:t>
      </w:r>
      <w:r w:rsidR="00C02649">
        <w:rPr>
          <w:b/>
          <w:color w:val="000000"/>
        </w:rPr>
        <w:t>:</w:t>
      </w:r>
      <w:r w:rsidRPr="007F620E" w:rsidR="00D075B1">
        <w:rPr>
          <w:b/>
          <w:color w:val="000000"/>
        </w:rPr>
        <w:t>*</w:t>
      </w:r>
    </w:p>
    <w:tbl>
      <w:tblPr>
        <w:tblW w:w="10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8"/>
        <w:gridCol w:w="936"/>
        <w:gridCol w:w="684"/>
        <w:gridCol w:w="90"/>
        <w:gridCol w:w="360"/>
        <w:gridCol w:w="473"/>
        <w:gridCol w:w="180"/>
        <w:gridCol w:w="697"/>
        <w:gridCol w:w="450"/>
        <w:gridCol w:w="936"/>
        <w:gridCol w:w="1224"/>
        <w:gridCol w:w="270"/>
        <w:gridCol w:w="900"/>
        <w:gridCol w:w="1080"/>
        <w:gridCol w:w="1773"/>
      </w:tblGrid>
      <w:tr w:rsidRPr="007F620E" w:rsidR="00A92D0B" w:rsidTr="008C09F7" w14:paraId="3675ADA2" w14:textId="77777777">
        <w:trPr>
          <w:jc w:val="center"/>
        </w:trPr>
        <w:tc>
          <w:tcPr>
            <w:tcW w:w="6768" w:type="dxa"/>
            <w:gridSpan w:val="12"/>
            <w:tcBorders>
              <w:bottom w:val="single" w:color="auto" w:sz="4" w:space="0"/>
              <w:right w:val="single" w:color="auto" w:sz="24" w:space="0"/>
            </w:tcBorders>
            <w:shd w:val="clear" w:color="auto" w:fill="auto"/>
          </w:tcPr>
          <w:p w:rsidRPr="007F620E" w:rsidR="00A92D0B" w:rsidP="00DE3A5D" w:rsidRDefault="00A92D0B" w14:paraId="458F6839" w14:textId="77777777">
            <w:pPr>
              <w:keepNext/>
              <w:keepLines/>
              <w:spacing w:before="60" w:after="60"/>
              <w:jc w:val="center"/>
              <w:rPr>
                <w:b/>
                <w:smallCaps/>
                <w:color w:val="000000"/>
              </w:rPr>
            </w:pPr>
            <w:r w:rsidRPr="007F620E">
              <w:rPr>
                <w:b/>
                <w:smallCaps/>
                <w:color w:val="000000"/>
              </w:rPr>
              <w:t>Claimed</w:t>
            </w:r>
          </w:p>
        </w:tc>
        <w:tc>
          <w:tcPr>
            <w:tcW w:w="3753" w:type="dxa"/>
            <w:gridSpan w:val="3"/>
            <w:tcBorders>
              <w:left w:val="single" w:color="auto" w:sz="24" w:space="0"/>
              <w:bottom w:val="single" w:color="auto" w:sz="4" w:space="0"/>
            </w:tcBorders>
            <w:shd w:val="clear" w:color="auto" w:fill="auto"/>
          </w:tcPr>
          <w:p w:rsidRPr="007F620E" w:rsidR="00A92D0B" w:rsidP="00DE3A5D" w:rsidRDefault="00A92D0B" w14:paraId="299E3C22" w14:textId="77777777">
            <w:pPr>
              <w:keepNext/>
              <w:keepLines/>
              <w:spacing w:before="60" w:after="60"/>
              <w:jc w:val="center"/>
              <w:rPr>
                <w:b/>
                <w:smallCaps/>
                <w:color w:val="000000"/>
              </w:rPr>
            </w:pPr>
            <w:r w:rsidRPr="007F620E">
              <w:rPr>
                <w:b/>
                <w:smallCaps/>
                <w:color w:val="000000"/>
              </w:rPr>
              <w:t>CPUC Award</w:t>
            </w:r>
          </w:p>
        </w:tc>
      </w:tr>
      <w:tr w:rsidRPr="007F620E" w:rsidR="00A92D0B" w:rsidTr="008C09F7" w14:paraId="2E76A483" w14:textId="77777777">
        <w:trPr>
          <w:jc w:val="center"/>
        </w:trPr>
        <w:tc>
          <w:tcPr>
            <w:tcW w:w="10521" w:type="dxa"/>
            <w:gridSpan w:val="15"/>
            <w:tcBorders>
              <w:top w:val="single" w:color="auto" w:sz="4" w:space="0"/>
              <w:left w:val="single" w:color="auto" w:sz="4" w:space="0"/>
              <w:bottom w:val="single" w:color="auto" w:sz="4" w:space="0"/>
              <w:right w:val="single" w:color="auto" w:sz="4" w:space="0"/>
            </w:tcBorders>
            <w:shd w:val="clear" w:color="auto" w:fill="E6E6E6"/>
          </w:tcPr>
          <w:p w:rsidRPr="007F620E" w:rsidR="00A92D0B" w:rsidP="00DE3A5D" w:rsidRDefault="00A92D0B" w14:paraId="5B92EC0D" w14:textId="77777777">
            <w:pPr>
              <w:keepNext/>
              <w:keepLines/>
              <w:spacing w:before="60" w:after="60"/>
              <w:jc w:val="center"/>
              <w:rPr>
                <w:b/>
              </w:rPr>
            </w:pPr>
            <w:r w:rsidRPr="007F620E">
              <w:rPr>
                <w:b/>
              </w:rPr>
              <w:t>ATTORNEY,</w:t>
            </w:r>
            <w:r w:rsidR="006475BF">
              <w:rPr>
                <w:rStyle w:val="FootnoteReference"/>
                <w:b/>
              </w:rPr>
              <w:footnoteReference w:id="8"/>
            </w:r>
            <w:r w:rsidRPr="007F620E" w:rsidR="006475BF">
              <w:rPr>
                <w:b/>
              </w:rPr>
              <w:t xml:space="preserve"> </w:t>
            </w:r>
            <w:r w:rsidRPr="007F620E">
              <w:rPr>
                <w:b/>
              </w:rPr>
              <w:t xml:space="preserve"> EXPERT, AND ADVOCATE FEES</w:t>
            </w:r>
          </w:p>
        </w:tc>
      </w:tr>
      <w:tr w:rsidRPr="00260518" w:rsidR="00A92D0B" w:rsidTr="00E25078" w14:paraId="1232AD31" w14:textId="77777777">
        <w:trPr>
          <w:jc w:val="center"/>
        </w:trPr>
        <w:tc>
          <w:tcPr>
            <w:tcW w:w="1404" w:type="dxa"/>
            <w:gridSpan w:val="2"/>
            <w:tcBorders>
              <w:top w:val="single" w:color="auto" w:sz="4" w:space="0"/>
              <w:bottom w:val="single" w:color="auto" w:sz="4" w:space="0"/>
            </w:tcBorders>
            <w:shd w:val="clear" w:color="auto" w:fill="auto"/>
            <w:vAlign w:val="bottom"/>
          </w:tcPr>
          <w:p w:rsidRPr="00260518" w:rsidR="00A92D0B" w:rsidP="003B6A1B" w:rsidRDefault="00A92D0B" w14:paraId="1891FDC0" w14:textId="77777777">
            <w:pPr>
              <w:keepNext/>
              <w:keepLines/>
              <w:spacing w:before="60" w:after="60"/>
              <w:jc w:val="center"/>
              <w:rPr>
                <w:b/>
                <w:color w:val="000000"/>
                <w:sz w:val="22"/>
                <w:szCs w:val="22"/>
              </w:rPr>
            </w:pPr>
            <w:r w:rsidRPr="00260518">
              <w:rPr>
                <w:b/>
                <w:color w:val="000000"/>
                <w:sz w:val="22"/>
                <w:szCs w:val="22"/>
              </w:rPr>
              <w:t>Item</w:t>
            </w:r>
          </w:p>
        </w:tc>
        <w:tc>
          <w:tcPr>
            <w:tcW w:w="774" w:type="dxa"/>
            <w:gridSpan w:val="2"/>
            <w:tcBorders>
              <w:top w:val="single" w:color="auto" w:sz="4" w:space="0"/>
              <w:bottom w:val="single" w:color="auto" w:sz="4" w:space="0"/>
            </w:tcBorders>
            <w:shd w:val="clear" w:color="auto" w:fill="auto"/>
            <w:vAlign w:val="bottom"/>
          </w:tcPr>
          <w:p w:rsidRPr="00260518" w:rsidR="00A92D0B" w:rsidP="003B6A1B" w:rsidRDefault="00A92D0B" w14:paraId="33C05F28" w14:textId="77777777">
            <w:pPr>
              <w:keepNext/>
              <w:keepLines/>
              <w:spacing w:before="60" w:after="60"/>
              <w:jc w:val="center"/>
              <w:rPr>
                <w:b/>
                <w:color w:val="000000"/>
                <w:sz w:val="22"/>
                <w:szCs w:val="22"/>
              </w:rPr>
            </w:pPr>
            <w:r w:rsidRPr="00260518">
              <w:rPr>
                <w:b/>
                <w:color w:val="000000"/>
                <w:sz w:val="22"/>
                <w:szCs w:val="22"/>
              </w:rPr>
              <w:t>Year</w:t>
            </w:r>
          </w:p>
        </w:tc>
        <w:tc>
          <w:tcPr>
            <w:tcW w:w="833" w:type="dxa"/>
            <w:gridSpan w:val="2"/>
            <w:tcBorders>
              <w:top w:val="single" w:color="auto" w:sz="4" w:space="0"/>
              <w:bottom w:val="single" w:color="auto" w:sz="4" w:space="0"/>
            </w:tcBorders>
            <w:shd w:val="clear" w:color="auto" w:fill="auto"/>
            <w:vAlign w:val="bottom"/>
          </w:tcPr>
          <w:p w:rsidRPr="00260518" w:rsidR="00A92D0B" w:rsidP="003B6A1B" w:rsidRDefault="00A92D0B" w14:paraId="760F420B" w14:textId="77777777">
            <w:pPr>
              <w:keepNext/>
              <w:keepLines/>
              <w:spacing w:before="60" w:after="60"/>
              <w:jc w:val="center"/>
              <w:rPr>
                <w:b/>
                <w:color w:val="000000"/>
                <w:sz w:val="22"/>
                <w:szCs w:val="22"/>
              </w:rPr>
            </w:pPr>
            <w:r w:rsidRPr="00260518">
              <w:rPr>
                <w:b/>
                <w:color w:val="000000"/>
                <w:sz w:val="22"/>
                <w:szCs w:val="22"/>
              </w:rPr>
              <w:t>Hours</w:t>
            </w:r>
          </w:p>
        </w:tc>
        <w:tc>
          <w:tcPr>
            <w:tcW w:w="877" w:type="dxa"/>
            <w:gridSpan w:val="2"/>
            <w:tcBorders>
              <w:top w:val="single" w:color="auto" w:sz="4" w:space="0"/>
              <w:bottom w:val="single" w:color="auto" w:sz="4" w:space="0"/>
            </w:tcBorders>
            <w:shd w:val="clear" w:color="auto" w:fill="auto"/>
            <w:vAlign w:val="bottom"/>
          </w:tcPr>
          <w:p w:rsidRPr="00260518" w:rsidR="00A92D0B" w:rsidP="003B6A1B" w:rsidRDefault="00A92D0B" w14:paraId="426588E5" w14:textId="77777777">
            <w:pPr>
              <w:keepNext/>
              <w:keepLines/>
              <w:spacing w:before="60" w:after="60"/>
              <w:jc w:val="center"/>
              <w:rPr>
                <w:b/>
                <w:color w:val="000000"/>
                <w:sz w:val="22"/>
                <w:szCs w:val="22"/>
              </w:rPr>
            </w:pPr>
            <w:r w:rsidRPr="00260518">
              <w:rPr>
                <w:b/>
                <w:color w:val="000000"/>
                <w:sz w:val="22"/>
                <w:szCs w:val="22"/>
              </w:rPr>
              <w:t>Rate</w:t>
            </w:r>
            <w:r w:rsidRPr="00260518" w:rsidR="00E3786F">
              <w:rPr>
                <w:b/>
                <w:color w:val="000000"/>
                <w:sz w:val="22"/>
                <w:szCs w:val="22"/>
              </w:rPr>
              <w:t xml:space="preserve"> $</w:t>
            </w:r>
          </w:p>
        </w:tc>
        <w:tc>
          <w:tcPr>
            <w:tcW w:w="1386" w:type="dxa"/>
            <w:gridSpan w:val="2"/>
            <w:tcBorders>
              <w:top w:val="single" w:color="auto" w:sz="4" w:space="0"/>
              <w:bottom w:val="single" w:color="auto" w:sz="4" w:space="0"/>
              <w:right w:val="single" w:color="auto" w:sz="4" w:space="0"/>
            </w:tcBorders>
            <w:shd w:val="clear" w:color="auto" w:fill="auto"/>
            <w:vAlign w:val="bottom"/>
          </w:tcPr>
          <w:p w:rsidRPr="00260518" w:rsidR="00A92D0B" w:rsidP="003B6A1B" w:rsidRDefault="00A92D0B" w14:paraId="4C419E6B" w14:textId="77777777">
            <w:pPr>
              <w:keepNext/>
              <w:keepLines/>
              <w:spacing w:before="60" w:after="60"/>
              <w:jc w:val="center"/>
              <w:rPr>
                <w:b/>
                <w:color w:val="000000"/>
                <w:sz w:val="22"/>
                <w:szCs w:val="22"/>
              </w:rPr>
            </w:pPr>
            <w:r w:rsidRPr="00260518">
              <w:rPr>
                <w:b/>
                <w:color w:val="000000"/>
                <w:sz w:val="22"/>
                <w:szCs w:val="22"/>
              </w:rPr>
              <w:t>Basis for Rate*</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vAlign w:val="bottom"/>
          </w:tcPr>
          <w:p w:rsidRPr="00260518" w:rsidR="00A92D0B" w:rsidP="003B6A1B" w:rsidRDefault="00A92D0B" w14:paraId="0C6757ED" w14:textId="77777777">
            <w:pPr>
              <w:keepNext/>
              <w:keepLines/>
              <w:spacing w:before="60" w:after="60"/>
              <w:jc w:val="center"/>
              <w:rPr>
                <w:b/>
                <w:color w:val="000000"/>
                <w:sz w:val="22"/>
                <w:szCs w:val="22"/>
              </w:rPr>
            </w:pPr>
            <w:r w:rsidRPr="00260518">
              <w:rPr>
                <w:b/>
                <w:color w:val="000000"/>
                <w:sz w:val="22"/>
                <w:szCs w:val="22"/>
              </w:rPr>
              <w:t>Total $</w:t>
            </w:r>
          </w:p>
        </w:tc>
        <w:tc>
          <w:tcPr>
            <w:tcW w:w="900" w:type="dxa"/>
            <w:tcBorders>
              <w:top w:val="single" w:color="auto" w:sz="4" w:space="0"/>
              <w:left w:val="single" w:color="auto" w:sz="4" w:space="0"/>
            </w:tcBorders>
            <w:shd w:val="clear" w:color="auto" w:fill="auto"/>
            <w:vAlign w:val="bottom"/>
          </w:tcPr>
          <w:p w:rsidRPr="00260518" w:rsidR="00A92D0B" w:rsidP="003B6A1B" w:rsidRDefault="00A92D0B" w14:paraId="73A4C588" w14:textId="77777777">
            <w:pPr>
              <w:keepNext/>
              <w:keepLines/>
              <w:spacing w:before="60" w:after="60"/>
              <w:jc w:val="center"/>
              <w:rPr>
                <w:b/>
                <w:color w:val="000000"/>
                <w:sz w:val="22"/>
                <w:szCs w:val="22"/>
              </w:rPr>
            </w:pPr>
            <w:r w:rsidRPr="00260518">
              <w:rPr>
                <w:b/>
                <w:color w:val="000000"/>
                <w:sz w:val="22"/>
                <w:szCs w:val="22"/>
              </w:rPr>
              <w:t>Hours</w:t>
            </w:r>
          </w:p>
        </w:tc>
        <w:tc>
          <w:tcPr>
            <w:tcW w:w="1080" w:type="dxa"/>
            <w:tcBorders>
              <w:top w:val="single" w:color="auto" w:sz="4" w:space="0"/>
            </w:tcBorders>
            <w:shd w:val="clear" w:color="auto" w:fill="auto"/>
            <w:vAlign w:val="bottom"/>
          </w:tcPr>
          <w:p w:rsidRPr="00260518" w:rsidR="00A92D0B" w:rsidP="003B6A1B" w:rsidRDefault="00A92D0B" w14:paraId="133AF994" w14:textId="77777777">
            <w:pPr>
              <w:keepNext/>
              <w:keepLines/>
              <w:spacing w:before="60" w:after="60"/>
              <w:jc w:val="center"/>
              <w:rPr>
                <w:b/>
                <w:color w:val="000000"/>
                <w:sz w:val="22"/>
                <w:szCs w:val="22"/>
              </w:rPr>
            </w:pPr>
            <w:r w:rsidRPr="00260518">
              <w:rPr>
                <w:b/>
                <w:color w:val="000000"/>
                <w:sz w:val="22"/>
                <w:szCs w:val="22"/>
              </w:rPr>
              <w:t>Rate</w:t>
            </w:r>
            <w:r w:rsidRPr="00260518" w:rsidR="00E3786F">
              <w:rPr>
                <w:b/>
                <w:color w:val="000000"/>
                <w:sz w:val="22"/>
                <w:szCs w:val="22"/>
              </w:rPr>
              <w:t xml:space="preserve"> $</w:t>
            </w:r>
          </w:p>
        </w:tc>
        <w:tc>
          <w:tcPr>
            <w:tcW w:w="1773" w:type="dxa"/>
            <w:tcBorders>
              <w:top w:val="single" w:color="auto" w:sz="4" w:space="0"/>
            </w:tcBorders>
            <w:shd w:val="clear" w:color="auto" w:fill="auto"/>
            <w:vAlign w:val="bottom"/>
          </w:tcPr>
          <w:p w:rsidRPr="00260518" w:rsidR="00A92D0B" w:rsidP="003B6A1B" w:rsidRDefault="00A92D0B" w14:paraId="58857051" w14:textId="77777777">
            <w:pPr>
              <w:keepNext/>
              <w:keepLines/>
              <w:spacing w:before="60" w:after="60"/>
              <w:jc w:val="center"/>
              <w:rPr>
                <w:b/>
                <w:color w:val="000000"/>
                <w:sz w:val="22"/>
                <w:szCs w:val="22"/>
              </w:rPr>
            </w:pPr>
            <w:r w:rsidRPr="00260518">
              <w:rPr>
                <w:b/>
                <w:color w:val="000000"/>
                <w:sz w:val="22"/>
                <w:szCs w:val="22"/>
              </w:rPr>
              <w:t>Total $</w:t>
            </w:r>
          </w:p>
        </w:tc>
      </w:tr>
      <w:tr w:rsidRPr="007F620E" w:rsidR="0050494A" w:rsidTr="009A7144" w14:paraId="3794BCF9" w14:textId="77777777">
        <w:trPr>
          <w:jc w:val="center"/>
        </w:trPr>
        <w:tc>
          <w:tcPr>
            <w:tcW w:w="1404" w:type="dxa"/>
            <w:gridSpan w:val="2"/>
            <w:shd w:val="clear" w:color="auto" w:fill="auto"/>
          </w:tcPr>
          <w:p w:rsidRPr="007F620E" w:rsidR="0050494A" w:rsidP="0050494A" w:rsidRDefault="0050494A" w14:paraId="3D2AFB81" w14:textId="77777777">
            <w:pPr>
              <w:spacing w:before="60" w:after="60"/>
              <w:rPr>
                <w:color w:val="000000"/>
              </w:rPr>
            </w:pPr>
            <w:r>
              <w:rPr>
                <w:color w:val="000000"/>
              </w:rPr>
              <w:t>Megan Somogyi</w:t>
            </w:r>
          </w:p>
        </w:tc>
        <w:tc>
          <w:tcPr>
            <w:tcW w:w="774" w:type="dxa"/>
            <w:gridSpan w:val="2"/>
            <w:shd w:val="clear" w:color="auto" w:fill="auto"/>
          </w:tcPr>
          <w:p w:rsidRPr="007F620E" w:rsidR="0050494A" w:rsidP="0050494A" w:rsidRDefault="0050494A" w14:paraId="34FF6160" w14:textId="77777777">
            <w:pPr>
              <w:spacing w:before="60" w:after="60"/>
              <w:rPr>
                <w:color w:val="000000"/>
              </w:rPr>
            </w:pPr>
            <w:r>
              <w:rPr>
                <w:color w:val="000000"/>
              </w:rPr>
              <w:t>2018</w:t>
            </w:r>
          </w:p>
        </w:tc>
        <w:tc>
          <w:tcPr>
            <w:tcW w:w="833" w:type="dxa"/>
            <w:gridSpan w:val="2"/>
            <w:shd w:val="clear" w:color="auto" w:fill="auto"/>
          </w:tcPr>
          <w:p w:rsidRPr="007F620E" w:rsidR="0050494A" w:rsidP="0050494A" w:rsidRDefault="0050494A" w14:paraId="44476DBA" w14:textId="77777777">
            <w:pPr>
              <w:spacing w:before="60" w:after="60"/>
              <w:rPr>
                <w:color w:val="000000"/>
              </w:rPr>
            </w:pPr>
            <w:r>
              <w:rPr>
                <w:color w:val="000000"/>
              </w:rPr>
              <w:t>0.51</w:t>
            </w:r>
          </w:p>
        </w:tc>
        <w:tc>
          <w:tcPr>
            <w:tcW w:w="877" w:type="dxa"/>
            <w:gridSpan w:val="2"/>
            <w:shd w:val="clear" w:color="auto" w:fill="auto"/>
          </w:tcPr>
          <w:p w:rsidRPr="007F620E" w:rsidR="0050494A" w:rsidP="0050494A" w:rsidRDefault="0050494A" w14:paraId="034947D9" w14:textId="77777777">
            <w:pPr>
              <w:spacing w:before="60" w:after="60"/>
              <w:rPr>
                <w:color w:val="000000"/>
              </w:rPr>
            </w:pPr>
            <w:r>
              <w:rPr>
                <w:color w:val="000000"/>
              </w:rPr>
              <w:t>$340</w:t>
            </w:r>
          </w:p>
        </w:tc>
        <w:tc>
          <w:tcPr>
            <w:tcW w:w="1386" w:type="dxa"/>
            <w:gridSpan w:val="2"/>
            <w:tcBorders>
              <w:right w:val="single" w:color="auto" w:sz="4" w:space="0"/>
            </w:tcBorders>
            <w:shd w:val="clear" w:color="auto" w:fill="auto"/>
          </w:tcPr>
          <w:p w:rsidRPr="007F620E" w:rsidR="0050494A" w:rsidP="0050494A" w:rsidRDefault="0050494A" w14:paraId="2D560A0E" w14:textId="77777777">
            <w:pPr>
              <w:spacing w:before="60" w:after="60"/>
              <w:rPr>
                <w:color w:val="000000"/>
              </w:rPr>
            </w:pPr>
            <w:r>
              <w:rPr>
                <w:color w:val="000000"/>
              </w:rPr>
              <w:t>Res. ALJ-352</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50494A" w:rsidP="0050494A" w:rsidRDefault="0050494A" w14:paraId="58CC73BC" w14:textId="77777777">
            <w:pPr>
              <w:spacing w:before="60" w:after="60"/>
              <w:rPr>
                <w:color w:val="000000"/>
              </w:rPr>
            </w:pPr>
            <w:r>
              <w:rPr>
                <w:color w:val="000000"/>
              </w:rPr>
              <w:t>$173.40</w:t>
            </w:r>
          </w:p>
        </w:tc>
        <w:tc>
          <w:tcPr>
            <w:tcW w:w="900" w:type="dxa"/>
            <w:tcBorders>
              <w:left w:val="single" w:color="auto" w:sz="4" w:space="0"/>
            </w:tcBorders>
            <w:shd w:val="clear" w:color="auto" w:fill="auto"/>
          </w:tcPr>
          <w:p w:rsidRPr="007F620E" w:rsidR="0050494A" w:rsidP="0050494A" w:rsidRDefault="0050494A" w14:paraId="3680CA11" w14:textId="370E4EF2">
            <w:pPr>
              <w:spacing w:before="60" w:after="60"/>
              <w:rPr>
                <w:color w:val="000000"/>
              </w:rPr>
            </w:pPr>
            <w:r>
              <w:rPr>
                <w:color w:val="000000"/>
              </w:rPr>
              <w:t>0.51</w:t>
            </w:r>
          </w:p>
        </w:tc>
        <w:tc>
          <w:tcPr>
            <w:tcW w:w="1080" w:type="dxa"/>
            <w:shd w:val="clear" w:color="auto" w:fill="auto"/>
          </w:tcPr>
          <w:p w:rsidRPr="007F620E" w:rsidR="0050494A" w:rsidP="0050494A" w:rsidRDefault="0050494A" w14:paraId="05D4AEB1" w14:textId="15CCDDCA">
            <w:pPr>
              <w:spacing w:before="60" w:after="60"/>
              <w:rPr>
                <w:color w:val="000000"/>
              </w:rPr>
            </w:pPr>
            <w:r>
              <w:rPr>
                <w:color w:val="000000"/>
              </w:rPr>
              <w:t>$340 [</w:t>
            </w:r>
            <w:r w:rsidR="00556CA9">
              <w:rPr>
                <w:color w:val="000000"/>
              </w:rPr>
              <w:t>4</w:t>
            </w:r>
            <w:r>
              <w:rPr>
                <w:color w:val="000000"/>
              </w:rPr>
              <w:t>]</w:t>
            </w:r>
          </w:p>
        </w:tc>
        <w:tc>
          <w:tcPr>
            <w:tcW w:w="1773" w:type="dxa"/>
            <w:shd w:val="clear" w:color="auto" w:fill="auto"/>
          </w:tcPr>
          <w:p w:rsidRPr="007F620E" w:rsidR="0050494A" w:rsidP="0050494A" w:rsidRDefault="0050494A" w14:paraId="4B3E7ED6" w14:textId="1542FD63">
            <w:pPr>
              <w:spacing w:before="60" w:after="60"/>
              <w:rPr>
                <w:color w:val="000000"/>
              </w:rPr>
            </w:pPr>
            <w:r w:rsidRPr="00AD5983">
              <w:t xml:space="preserve">$173.40 </w:t>
            </w:r>
          </w:p>
        </w:tc>
      </w:tr>
      <w:tr w:rsidRPr="007F620E" w:rsidR="0050494A" w:rsidTr="009A7144" w14:paraId="072568E3" w14:textId="77777777">
        <w:trPr>
          <w:jc w:val="center"/>
        </w:trPr>
        <w:tc>
          <w:tcPr>
            <w:tcW w:w="1404" w:type="dxa"/>
            <w:gridSpan w:val="2"/>
            <w:shd w:val="clear" w:color="auto" w:fill="auto"/>
          </w:tcPr>
          <w:p w:rsidR="0050494A" w:rsidP="0050494A" w:rsidRDefault="0050494A" w14:paraId="60225F24" w14:textId="77777777">
            <w:pPr>
              <w:spacing w:before="60" w:after="60"/>
              <w:rPr>
                <w:color w:val="000000"/>
              </w:rPr>
            </w:pPr>
            <w:r>
              <w:rPr>
                <w:color w:val="000000"/>
              </w:rPr>
              <w:t>Petra Bruggisser</w:t>
            </w:r>
          </w:p>
        </w:tc>
        <w:tc>
          <w:tcPr>
            <w:tcW w:w="774" w:type="dxa"/>
            <w:gridSpan w:val="2"/>
            <w:shd w:val="clear" w:color="auto" w:fill="auto"/>
          </w:tcPr>
          <w:p w:rsidR="0050494A" w:rsidP="0050494A" w:rsidRDefault="0050494A" w14:paraId="21A8DB3F" w14:textId="77777777">
            <w:pPr>
              <w:spacing w:before="60" w:after="60"/>
              <w:rPr>
                <w:color w:val="000000"/>
              </w:rPr>
            </w:pPr>
            <w:r>
              <w:rPr>
                <w:color w:val="000000"/>
              </w:rPr>
              <w:t>2018</w:t>
            </w:r>
          </w:p>
        </w:tc>
        <w:tc>
          <w:tcPr>
            <w:tcW w:w="833" w:type="dxa"/>
            <w:gridSpan w:val="2"/>
            <w:shd w:val="clear" w:color="auto" w:fill="auto"/>
          </w:tcPr>
          <w:p w:rsidRPr="007F620E" w:rsidR="0050494A" w:rsidP="0050494A" w:rsidRDefault="0050494A" w14:paraId="65EFBA54" w14:textId="77777777">
            <w:pPr>
              <w:spacing w:before="60" w:after="60"/>
              <w:rPr>
                <w:color w:val="000000"/>
              </w:rPr>
            </w:pPr>
            <w:r>
              <w:rPr>
                <w:color w:val="000000"/>
              </w:rPr>
              <w:t>8.5</w:t>
            </w:r>
          </w:p>
        </w:tc>
        <w:tc>
          <w:tcPr>
            <w:tcW w:w="877" w:type="dxa"/>
            <w:gridSpan w:val="2"/>
            <w:shd w:val="clear" w:color="auto" w:fill="auto"/>
          </w:tcPr>
          <w:p w:rsidRPr="007F620E" w:rsidR="0050494A" w:rsidP="0050494A" w:rsidRDefault="0050494A" w14:paraId="38CC1C6E" w14:textId="77777777">
            <w:pPr>
              <w:spacing w:before="60" w:after="60"/>
              <w:rPr>
                <w:color w:val="000000"/>
              </w:rPr>
            </w:pPr>
            <w:r>
              <w:rPr>
                <w:color w:val="000000"/>
              </w:rPr>
              <w:t>$340</w:t>
            </w:r>
          </w:p>
        </w:tc>
        <w:tc>
          <w:tcPr>
            <w:tcW w:w="1386" w:type="dxa"/>
            <w:gridSpan w:val="2"/>
            <w:tcBorders>
              <w:right w:val="single" w:color="auto" w:sz="4" w:space="0"/>
            </w:tcBorders>
            <w:shd w:val="clear" w:color="auto" w:fill="auto"/>
          </w:tcPr>
          <w:p w:rsidRPr="007F620E" w:rsidR="0050494A" w:rsidP="0050494A" w:rsidRDefault="0050494A" w14:paraId="096B81BB" w14:textId="77777777">
            <w:pPr>
              <w:spacing w:before="60" w:after="60"/>
              <w:rPr>
                <w:color w:val="000000"/>
              </w:rPr>
            </w:pPr>
            <w:r>
              <w:rPr>
                <w:color w:val="000000"/>
              </w:rPr>
              <w:t>Res. ALJ-352</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50494A" w:rsidP="0050494A" w:rsidRDefault="0050494A" w14:paraId="7C5C8745" w14:textId="77777777">
            <w:pPr>
              <w:spacing w:before="60" w:after="60"/>
              <w:jc w:val="center"/>
              <w:rPr>
                <w:color w:val="000000"/>
              </w:rPr>
            </w:pPr>
            <w:r>
              <w:rPr>
                <w:color w:val="000000"/>
              </w:rPr>
              <w:t>$2,890.00</w:t>
            </w:r>
          </w:p>
        </w:tc>
        <w:tc>
          <w:tcPr>
            <w:tcW w:w="900" w:type="dxa"/>
            <w:tcBorders>
              <w:left w:val="single" w:color="auto" w:sz="4" w:space="0"/>
            </w:tcBorders>
            <w:shd w:val="clear" w:color="auto" w:fill="auto"/>
          </w:tcPr>
          <w:p w:rsidRPr="007F620E" w:rsidR="0050494A" w:rsidP="0050494A" w:rsidRDefault="0050494A" w14:paraId="04BE65F2" w14:textId="38168693">
            <w:pPr>
              <w:spacing w:before="60" w:after="60"/>
              <w:rPr>
                <w:color w:val="000000"/>
              </w:rPr>
            </w:pPr>
            <w:r>
              <w:rPr>
                <w:color w:val="000000"/>
              </w:rPr>
              <w:t>8.5 [1]</w:t>
            </w:r>
          </w:p>
        </w:tc>
        <w:tc>
          <w:tcPr>
            <w:tcW w:w="1080" w:type="dxa"/>
            <w:shd w:val="clear" w:color="auto" w:fill="auto"/>
          </w:tcPr>
          <w:p w:rsidRPr="007F620E" w:rsidR="0050494A" w:rsidP="0050494A" w:rsidRDefault="0050494A" w14:paraId="17599C67" w14:textId="35D5A8CA">
            <w:pPr>
              <w:spacing w:before="60" w:after="60"/>
              <w:rPr>
                <w:color w:val="000000"/>
              </w:rPr>
            </w:pPr>
            <w:r>
              <w:rPr>
                <w:color w:val="000000"/>
              </w:rPr>
              <w:t>$340 [</w:t>
            </w:r>
            <w:r w:rsidR="00556CA9">
              <w:rPr>
                <w:color w:val="000000"/>
              </w:rPr>
              <w:t>5</w:t>
            </w:r>
            <w:r>
              <w:rPr>
                <w:color w:val="000000"/>
              </w:rPr>
              <w:t>]</w:t>
            </w:r>
          </w:p>
        </w:tc>
        <w:tc>
          <w:tcPr>
            <w:tcW w:w="1773" w:type="dxa"/>
            <w:shd w:val="clear" w:color="auto" w:fill="auto"/>
          </w:tcPr>
          <w:p w:rsidRPr="007F620E" w:rsidR="0050494A" w:rsidP="0050494A" w:rsidRDefault="0050494A" w14:paraId="63D1EAB1" w14:textId="6C9C10BE">
            <w:pPr>
              <w:spacing w:before="60" w:after="60"/>
              <w:rPr>
                <w:color w:val="000000"/>
              </w:rPr>
            </w:pPr>
            <w:r w:rsidRPr="00AD5983">
              <w:t xml:space="preserve">$2,890.00 </w:t>
            </w:r>
          </w:p>
        </w:tc>
      </w:tr>
      <w:tr w:rsidRPr="007F620E" w:rsidR="0050494A" w:rsidTr="009A7144" w14:paraId="58F4450F" w14:textId="77777777">
        <w:trPr>
          <w:jc w:val="center"/>
        </w:trPr>
        <w:tc>
          <w:tcPr>
            <w:tcW w:w="1404" w:type="dxa"/>
            <w:gridSpan w:val="2"/>
            <w:shd w:val="clear" w:color="auto" w:fill="auto"/>
          </w:tcPr>
          <w:p w:rsidR="0050494A" w:rsidP="0050494A" w:rsidRDefault="0050494A" w14:paraId="4135851C" w14:textId="77777777">
            <w:pPr>
              <w:spacing w:before="60" w:after="60"/>
              <w:rPr>
                <w:color w:val="000000"/>
              </w:rPr>
            </w:pPr>
            <w:r>
              <w:rPr>
                <w:color w:val="000000"/>
              </w:rPr>
              <w:t>Cory O’Donnell</w:t>
            </w:r>
          </w:p>
        </w:tc>
        <w:tc>
          <w:tcPr>
            <w:tcW w:w="774" w:type="dxa"/>
            <w:gridSpan w:val="2"/>
            <w:shd w:val="clear" w:color="auto" w:fill="auto"/>
          </w:tcPr>
          <w:p w:rsidR="0050494A" w:rsidP="0050494A" w:rsidRDefault="0050494A" w14:paraId="3D40694D" w14:textId="77777777">
            <w:pPr>
              <w:spacing w:before="60" w:after="60"/>
              <w:rPr>
                <w:color w:val="000000"/>
              </w:rPr>
            </w:pPr>
            <w:r>
              <w:rPr>
                <w:color w:val="000000"/>
              </w:rPr>
              <w:t>2018</w:t>
            </w:r>
          </w:p>
        </w:tc>
        <w:tc>
          <w:tcPr>
            <w:tcW w:w="833" w:type="dxa"/>
            <w:gridSpan w:val="2"/>
            <w:shd w:val="clear" w:color="auto" w:fill="auto"/>
          </w:tcPr>
          <w:p w:rsidRPr="007F620E" w:rsidR="0050494A" w:rsidP="0050494A" w:rsidRDefault="0050494A" w14:paraId="6B14788D" w14:textId="77777777">
            <w:pPr>
              <w:spacing w:before="60" w:after="60"/>
              <w:rPr>
                <w:color w:val="000000"/>
              </w:rPr>
            </w:pPr>
            <w:r>
              <w:rPr>
                <w:color w:val="000000"/>
              </w:rPr>
              <w:t>2.25</w:t>
            </w:r>
          </w:p>
        </w:tc>
        <w:tc>
          <w:tcPr>
            <w:tcW w:w="877" w:type="dxa"/>
            <w:gridSpan w:val="2"/>
            <w:shd w:val="clear" w:color="auto" w:fill="auto"/>
          </w:tcPr>
          <w:p w:rsidRPr="007F620E" w:rsidR="0050494A" w:rsidP="0050494A" w:rsidRDefault="0050494A" w14:paraId="0B61A14D" w14:textId="77777777">
            <w:pPr>
              <w:spacing w:before="60" w:after="60"/>
              <w:rPr>
                <w:color w:val="000000"/>
              </w:rPr>
            </w:pPr>
            <w:r>
              <w:rPr>
                <w:color w:val="000000"/>
              </w:rPr>
              <w:t>$445</w:t>
            </w:r>
          </w:p>
        </w:tc>
        <w:tc>
          <w:tcPr>
            <w:tcW w:w="1386" w:type="dxa"/>
            <w:gridSpan w:val="2"/>
            <w:tcBorders>
              <w:right w:val="single" w:color="auto" w:sz="4" w:space="0"/>
            </w:tcBorders>
            <w:shd w:val="clear" w:color="auto" w:fill="auto"/>
          </w:tcPr>
          <w:p w:rsidRPr="007F620E" w:rsidR="0050494A" w:rsidP="0050494A" w:rsidRDefault="0050494A" w14:paraId="3B75C5FD" w14:textId="77777777">
            <w:pPr>
              <w:spacing w:before="60" w:after="60"/>
              <w:rPr>
                <w:color w:val="000000"/>
              </w:rPr>
            </w:pPr>
            <w:r>
              <w:rPr>
                <w:color w:val="000000"/>
              </w:rPr>
              <w:t>Res. ALJ-352</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50494A" w:rsidP="0050494A" w:rsidRDefault="0050494A" w14:paraId="30394B89" w14:textId="77777777">
            <w:pPr>
              <w:spacing w:before="60" w:after="60"/>
              <w:jc w:val="center"/>
              <w:rPr>
                <w:color w:val="000000"/>
              </w:rPr>
            </w:pPr>
            <w:r>
              <w:rPr>
                <w:color w:val="000000"/>
              </w:rPr>
              <w:t>$1,001.25</w:t>
            </w:r>
          </w:p>
        </w:tc>
        <w:tc>
          <w:tcPr>
            <w:tcW w:w="900" w:type="dxa"/>
            <w:tcBorders>
              <w:left w:val="single" w:color="auto" w:sz="4" w:space="0"/>
            </w:tcBorders>
            <w:shd w:val="clear" w:color="auto" w:fill="auto"/>
          </w:tcPr>
          <w:p w:rsidRPr="007F620E" w:rsidR="0050494A" w:rsidP="0050494A" w:rsidRDefault="0050494A" w14:paraId="21138B55" w14:textId="3E991BAB">
            <w:pPr>
              <w:spacing w:before="60" w:after="60"/>
              <w:rPr>
                <w:color w:val="000000"/>
              </w:rPr>
            </w:pPr>
            <w:r>
              <w:rPr>
                <w:color w:val="000000"/>
              </w:rPr>
              <w:t>2.25 [1]</w:t>
            </w:r>
          </w:p>
        </w:tc>
        <w:tc>
          <w:tcPr>
            <w:tcW w:w="1080" w:type="dxa"/>
            <w:shd w:val="clear" w:color="auto" w:fill="auto"/>
          </w:tcPr>
          <w:p w:rsidRPr="007F620E" w:rsidR="0050494A" w:rsidP="0050494A" w:rsidRDefault="0050494A" w14:paraId="05D4F713" w14:textId="71EE039F">
            <w:pPr>
              <w:spacing w:before="60" w:after="60"/>
              <w:rPr>
                <w:color w:val="000000"/>
              </w:rPr>
            </w:pPr>
            <w:r>
              <w:rPr>
                <w:color w:val="000000"/>
              </w:rPr>
              <w:t>$445 [</w:t>
            </w:r>
            <w:r w:rsidR="0039188A">
              <w:rPr>
                <w:color w:val="000000"/>
              </w:rPr>
              <w:t>6</w:t>
            </w:r>
            <w:r>
              <w:rPr>
                <w:color w:val="000000"/>
              </w:rPr>
              <w:t>]</w:t>
            </w:r>
          </w:p>
        </w:tc>
        <w:tc>
          <w:tcPr>
            <w:tcW w:w="1773" w:type="dxa"/>
            <w:shd w:val="clear" w:color="auto" w:fill="auto"/>
          </w:tcPr>
          <w:p w:rsidRPr="007F620E" w:rsidR="0050494A" w:rsidP="0050494A" w:rsidRDefault="0050494A" w14:paraId="56175A69" w14:textId="762D7520">
            <w:pPr>
              <w:spacing w:before="60" w:after="60"/>
              <w:rPr>
                <w:color w:val="000000"/>
              </w:rPr>
            </w:pPr>
            <w:r w:rsidRPr="00AD5983">
              <w:t xml:space="preserve">$1,001.25 </w:t>
            </w:r>
          </w:p>
        </w:tc>
      </w:tr>
      <w:tr w:rsidRPr="007F620E" w:rsidR="0050494A" w:rsidTr="009A7144" w14:paraId="2894D61B" w14:textId="77777777">
        <w:trPr>
          <w:jc w:val="center"/>
        </w:trPr>
        <w:tc>
          <w:tcPr>
            <w:tcW w:w="1404" w:type="dxa"/>
            <w:gridSpan w:val="2"/>
            <w:shd w:val="clear" w:color="auto" w:fill="auto"/>
          </w:tcPr>
          <w:p w:rsidRPr="007F620E" w:rsidR="0050494A" w:rsidP="0050494A" w:rsidRDefault="0050494A" w14:paraId="2E0A4544" w14:textId="77777777">
            <w:pPr>
              <w:spacing w:before="60" w:after="60"/>
              <w:rPr>
                <w:color w:val="000000"/>
              </w:rPr>
            </w:pPr>
            <w:r>
              <w:rPr>
                <w:color w:val="000000"/>
              </w:rPr>
              <w:t>Megan Somogyi</w:t>
            </w:r>
          </w:p>
        </w:tc>
        <w:tc>
          <w:tcPr>
            <w:tcW w:w="774" w:type="dxa"/>
            <w:gridSpan w:val="2"/>
            <w:shd w:val="clear" w:color="auto" w:fill="auto"/>
          </w:tcPr>
          <w:p w:rsidRPr="007F620E" w:rsidR="0050494A" w:rsidP="0050494A" w:rsidRDefault="0050494A" w14:paraId="5B0FFBFF" w14:textId="77777777">
            <w:pPr>
              <w:spacing w:before="60" w:after="60"/>
              <w:rPr>
                <w:color w:val="000000"/>
              </w:rPr>
            </w:pPr>
            <w:r>
              <w:rPr>
                <w:color w:val="000000"/>
              </w:rPr>
              <w:t>2019</w:t>
            </w:r>
          </w:p>
        </w:tc>
        <w:tc>
          <w:tcPr>
            <w:tcW w:w="833" w:type="dxa"/>
            <w:gridSpan w:val="2"/>
            <w:shd w:val="clear" w:color="auto" w:fill="auto"/>
          </w:tcPr>
          <w:p w:rsidRPr="007F620E" w:rsidR="0050494A" w:rsidP="0050494A" w:rsidRDefault="0050494A" w14:paraId="0F434B9E" w14:textId="77777777">
            <w:pPr>
              <w:spacing w:before="60" w:after="60"/>
              <w:rPr>
                <w:color w:val="000000"/>
              </w:rPr>
            </w:pPr>
            <w:r>
              <w:rPr>
                <w:color w:val="000000"/>
              </w:rPr>
              <w:t>89.98</w:t>
            </w:r>
          </w:p>
        </w:tc>
        <w:tc>
          <w:tcPr>
            <w:tcW w:w="877" w:type="dxa"/>
            <w:gridSpan w:val="2"/>
            <w:shd w:val="clear" w:color="auto" w:fill="auto"/>
          </w:tcPr>
          <w:p w:rsidRPr="007F620E" w:rsidR="0050494A" w:rsidP="0050494A" w:rsidRDefault="0050494A" w14:paraId="23B8A80B" w14:textId="77777777">
            <w:pPr>
              <w:spacing w:before="60" w:after="60"/>
              <w:rPr>
                <w:color w:val="000000"/>
              </w:rPr>
            </w:pPr>
            <w:r>
              <w:rPr>
                <w:color w:val="000000"/>
              </w:rPr>
              <w:t>$350</w:t>
            </w:r>
          </w:p>
        </w:tc>
        <w:tc>
          <w:tcPr>
            <w:tcW w:w="1386" w:type="dxa"/>
            <w:gridSpan w:val="2"/>
            <w:tcBorders>
              <w:right w:val="single" w:color="auto" w:sz="4" w:space="0"/>
            </w:tcBorders>
            <w:shd w:val="clear" w:color="auto" w:fill="auto"/>
          </w:tcPr>
          <w:p w:rsidRPr="007F620E" w:rsidR="0050494A" w:rsidP="0050494A" w:rsidRDefault="0050494A" w14:paraId="7E1377F2" w14:textId="77777777">
            <w:pPr>
              <w:spacing w:before="60" w:after="60"/>
              <w:rPr>
                <w:color w:val="000000"/>
              </w:rPr>
            </w:pPr>
            <w:r>
              <w:rPr>
                <w:color w:val="000000"/>
              </w:rPr>
              <w:t>Res. ALJ-357</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50494A" w:rsidP="0050494A" w:rsidRDefault="0050494A" w14:paraId="4BED89D5" w14:textId="77777777">
            <w:pPr>
              <w:spacing w:before="60" w:after="60"/>
              <w:rPr>
                <w:color w:val="000000"/>
              </w:rPr>
            </w:pPr>
            <w:r>
              <w:rPr>
                <w:color w:val="000000"/>
              </w:rPr>
              <w:t>$31,493.00</w:t>
            </w:r>
          </w:p>
        </w:tc>
        <w:tc>
          <w:tcPr>
            <w:tcW w:w="900" w:type="dxa"/>
            <w:tcBorders>
              <w:left w:val="single" w:color="auto" w:sz="4" w:space="0"/>
            </w:tcBorders>
            <w:shd w:val="clear" w:color="auto" w:fill="auto"/>
          </w:tcPr>
          <w:p w:rsidRPr="007F620E" w:rsidR="0050494A" w:rsidP="0050494A" w:rsidRDefault="0050494A" w14:paraId="72CD8139" w14:textId="449C7673">
            <w:pPr>
              <w:spacing w:before="60" w:after="60"/>
              <w:rPr>
                <w:color w:val="000000"/>
              </w:rPr>
            </w:pPr>
            <w:r>
              <w:rPr>
                <w:color w:val="000000"/>
              </w:rPr>
              <w:t>89.98</w:t>
            </w:r>
          </w:p>
        </w:tc>
        <w:tc>
          <w:tcPr>
            <w:tcW w:w="1080" w:type="dxa"/>
            <w:shd w:val="clear" w:color="auto" w:fill="auto"/>
          </w:tcPr>
          <w:p w:rsidRPr="007F620E" w:rsidR="0050494A" w:rsidP="0050494A" w:rsidRDefault="0050494A" w14:paraId="50E36789" w14:textId="7E865F24">
            <w:pPr>
              <w:spacing w:before="60" w:after="60"/>
              <w:rPr>
                <w:color w:val="000000"/>
              </w:rPr>
            </w:pPr>
            <w:r>
              <w:rPr>
                <w:color w:val="000000"/>
              </w:rPr>
              <w:t>$350 [</w:t>
            </w:r>
            <w:r w:rsidR="00556CA9">
              <w:rPr>
                <w:color w:val="000000"/>
              </w:rPr>
              <w:t>4</w:t>
            </w:r>
            <w:r>
              <w:rPr>
                <w:color w:val="000000"/>
              </w:rPr>
              <w:t>]</w:t>
            </w:r>
          </w:p>
        </w:tc>
        <w:tc>
          <w:tcPr>
            <w:tcW w:w="1773" w:type="dxa"/>
            <w:shd w:val="clear" w:color="auto" w:fill="auto"/>
          </w:tcPr>
          <w:p w:rsidRPr="007F620E" w:rsidR="0050494A" w:rsidP="0050494A" w:rsidRDefault="0050494A" w14:paraId="3F07C81D" w14:textId="08E8DD67">
            <w:pPr>
              <w:spacing w:before="60" w:after="60"/>
              <w:rPr>
                <w:color w:val="000000"/>
              </w:rPr>
            </w:pPr>
            <w:r w:rsidRPr="00AD5983">
              <w:t xml:space="preserve">$31,493.00 </w:t>
            </w:r>
          </w:p>
        </w:tc>
      </w:tr>
      <w:tr w:rsidRPr="007F620E" w:rsidR="0050494A" w:rsidTr="009A7144" w14:paraId="5B90EA9A" w14:textId="77777777">
        <w:trPr>
          <w:jc w:val="center"/>
        </w:trPr>
        <w:tc>
          <w:tcPr>
            <w:tcW w:w="1404" w:type="dxa"/>
            <w:gridSpan w:val="2"/>
            <w:shd w:val="clear" w:color="auto" w:fill="auto"/>
          </w:tcPr>
          <w:p w:rsidRPr="007F620E" w:rsidR="0050494A" w:rsidP="0050494A" w:rsidRDefault="0050494A" w14:paraId="70E68DEA" w14:textId="77777777">
            <w:pPr>
              <w:spacing w:before="60" w:after="60"/>
              <w:rPr>
                <w:color w:val="000000"/>
              </w:rPr>
            </w:pPr>
            <w:r>
              <w:rPr>
                <w:color w:val="000000"/>
              </w:rPr>
              <w:t>Jeffrey Richard</w:t>
            </w:r>
          </w:p>
        </w:tc>
        <w:tc>
          <w:tcPr>
            <w:tcW w:w="774" w:type="dxa"/>
            <w:gridSpan w:val="2"/>
            <w:shd w:val="clear" w:color="auto" w:fill="auto"/>
          </w:tcPr>
          <w:p w:rsidRPr="007F620E" w:rsidR="0050494A" w:rsidP="0050494A" w:rsidRDefault="0050494A" w14:paraId="57DF4E7B" w14:textId="77777777">
            <w:pPr>
              <w:spacing w:before="60" w:after="60"/>
              <w:rPr>
                <w:color w:val="000000"/>
              </w:rPr>
            </w:pPr>
            <w:r>
              <w:rPr>
                <w:color w:val="000000"/>
              </w:rPr>
              <w:t>2019</w:t>
            </w:r>
          </w:p>
        </w:tc>
        <w:tc>
          <w:tcPr>
            <w:tcW w:w="833" w:type="dxa"/>
            <w:gridSpan w:val="2"/>
            <w:shd w:val="clear" w:color="auto" w:fill="auto"/>
          </w:tcPr>
          <w:p w:rsidRPr="007F620E" w:rsidR="0050494A" w:rsidP="0050494A" w:rsidRDefault="0050494A" w14:paraId="2CD2A3EB" w14:textId="77777777">
            <w:pPr>
              <w:spacing w:before="60" w:after="60"/>
              <w:rPr>
                <w:color w:val="000000"/>
              </w:rPr>
            </w:pPr>
            <w:r>
              <w:rPr>
                <w:color w:val="000000"/>
              </w:rPr>
              <w:t>26.1</w:t>
            </w:r>
          </w:p>
        </w:tc>
        <w:tc>
          <w:tcPr>
            <w:tcW w:w="877" w:type="dxa"/>
            <w:gridSpan w:val="2"/>
            <w:shd w:val="clear" w:color="auto" w:fill="auto"/>
          </w:tcPr>
          <w:p w:rsidRPr="007F620E" w:rsidR="0050494A" w:rsidP="0050494A" w:rsidRDefault="0050494A" w14:paraId="27E7430B" w14:textId="77777777">
            <w:pPr>
              <w:spacing w:before="60" w:after="60"/>
              <w:rPr>
                <w:color w:val="000000"/>
              </w:rPr>
            </w:pPr>
            <w:r>
              <w:rPr>
                <w:color w:val="000000"/>
              </w:rPr>
              <w:t>$445</w:t>
            </w:r>
          </w:p>
        </w:tc>
        <w:tc>
          <w:tcPr>
            <w:tcW w:w="1386" w:type="dxa"/>
            <w:gridSpan w:val="2"/>
            <w:tcBorders>
              <w:right w:val="single" w:color="auto" w:sz="4" w:space="0"/>
            </w:tcBorders>
            <w:shd w:val="clear" w:color="auto" w:fill="auto"/>
          </w:tcPr>
          <w:p w:rsidRPr="007F620E" w:rsidR="0050494A" w:rsidP="0050494A" w:rsidRDefault="0050494A" w14:paraId="6E03BA36" w14:textId="77777777">
            <w:pPr>
              <w:spacing w:before="60" w:after="60"/>
              <w:rPr>
                <w:color w:val="000000"/>
              </w:rPr>
            </w:pPr>
            <w:r>
              <w:rPr>
                <w:color w:val="000000"/>
              </w:rPr>
              <w:t>Res. ALJ-357</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50494A" w:rsidP="0050494A" w:rsidRDefault="0050494A" w14:paraId="200B92D2" w14:textId="77777777">
            <w:pPr>
              <w:spacing w:before="60" w:after="60"/>
              <w:jc w:val="center"/>
              <w:rPr>
                <w:color w:val="000000"/>
              </w:rPr>
            </w:pPr>
            <w:r>
              <w:rPr>
                <w:color w:val="000000"/>
              </w:rPr>
              <w:t>$11,614.50</w:t>
            </w:r>
          </w:p>
        </w:tc>
        <w:tc>
          <w:tcPr>
            <w:tcW w:w="900" w:type="dxa"/>
            <w:tcBorders>
              <w:left w:val="single" w:color="auto" w:sz="4" w:space="0"/>
            </w:tcBorders>
            <w:shd w:val="clear" w:color="auto" w:fill="auto"/>
          </w:tcPr>
          <w:p w:rsidRPr="007F620E" w:rsidR="0050494A" w:rsidP="0050494A" w:rsidRDefault="0050494A" w14:paraId="770C36A9" w14:textId="1ED6210E">
            <w:pPr>
              <w:spacing w:before="60" w:after="60"/>
              <w:rPr>
                <w:color w:val="000000"/>
              </w:rPr>
            </w:pPr>
            <w:r>
              <w:rPr>
                <w:color w:val="000000"/>
              </w:rPr>
              <w:t>26.1 [1]</w:t>
            </w:r>
          </w:p>
        </w:tc>
        <w:tc>
          <w:tcPr>
            <w:tcW w:w="1080" w:type="dxa"/>
            <w:shd w:val="clear" w:color="auto" w:fill="auto"/>
          </w:tcPr>
          <w:p w:rsidRPr="007F620E" w:rsidR="0050494A" w:rsidP="0050494A" w:rsidRDefault="0050494A" w14:paraId="2A99F053" w14:textId="73D2810D">
            <w:pPr>
              <w:spacing w:before="60" w:after="60"/>
              <w:rPr>
                <w:color w:val="000000"/>
              </w:rPr>
            </w:pPr>
            <w:r>
              <w:rPr>
                <w:color w:val="000000"/>
              </w:rPr>
              <w:t>$445 [</w:t>
            </w:r>
            <w:r w:rsidR="00556CA9">
              <w:rPr>
                <w:color w:val="000000"/>
              </w:rPr>
              <w:t>7</w:t>
            </w:r>
            <w:r>
              <w:rPr>
                <w:color w:val="000000"/>
              </w:rPr>
              <w:t>]</w:t>
            </w:r>
          </w:p>
        </w:tc>
        <w:tc>
          <w:tcPr>
            <w:tcW w:w="1773" w:type="dxa"/>
            <w:shd w:val="clear" w:color="auto" w:fill="auto"/>
          </w:tcPr>
          <w:p w:rsidRPr="007F620E" w:rsidR="0050494A" w:rsidP="0050494A" w:rsidRDefault="0050494A" w14:paraId="6EA56E9A" w14:textId="45E74457">
            <w:pPr>
              <w:spacing w:before="60" w:after="60"/>
              <w:rPr>
                <w:color w:val="000000"/>
              </w:rPr>
            </w:pPr>
            <w:r w:rsidRPr="00AD5983">
              <w:t xml:space="preserve">$11,614.50 </w:t>
            </w:r>
          </w:p>
        </w:tc>
      </w:tr>
      <w:tr w:rsidRPr="007F620E" w:rsidR="0050494A" w:rsidTr="009A7144" w14:paraId="1898BFCA" w14:textId="77777777">
        <w:trPr>
          <w:jc w:val="center"/>
        </w:trPr>
        <w:tc>
          <w:tcPr>
            <w:tcW w:w="1404" w:type="dxa"/>
            <w:gridSpan w:val="2"/>
            <w:shd w:val="clear" w:color="auto" w:fill="auto"/>
          </w:tcPr>
          <w:p w:rsidRPr="007F620E" w:rsidR="0050494A" w:rsidP="0050494A" w:rsidRDefault="0050494A" w14:paraId="6184FC12" w14:textId="77777777">
            <w:pPr>
              <w:spacing w:before="60" w:after="60"/>
              <w:rPr>
                <w:color w:val="000000"/>
              </w:rPr>
            </w:pPr>
            <w:r>
              <w:rPr>
                <w:color w:val="000000"/>
              </w:rPr>
              <w:t>Jeffrey Brax</w:t>
            </w:r>
          </w:p>
        </w:tc>
        <w:tc>
          <w:tcPr>
            <w:tcW w:w="774" w:type="dxa"/>
            <w:gridSpan w:val="2"/>
            <w:shd w:val="clear" w:color="auto" w:fill="auto"/>
          </w:tcPr>
          <w:p w:rsidRPr="007F620E" w:rsidR="0050494A" w:rsidP="0050494A" w:rsidRDefault="0050494A" w14:paraId="45C72E7B" w14:textId="77777777">
            <w:pPr>
              <w:spacing w:before="60" w:after="60"/>
              <w:rPr>
                <w:color w:val="000000"/>
              </w:rPr>
            </w:pPr>
            <w:r>
              <w:rPr>
                <w:color w:val="000000"/>
              </w:rPr>
              <w:t>2019</w:t>
            </w:r>
          </w:p>
        </w:tc>
        <w:tc>
          <w:tcPr>
            <w:tcW w:w="833" w:type="dxa"/>
            <w:gridSpan w:val="2"/>
            <w:shd w:val="clear" w:color="auto" w:fill="auto"/>
          </w:tcPr>
          <w:p w:rsidRPr="007F620E" w:rsidR="0050494A" w:rsidP="0050494A" w:rsidRDefault="0050494A" w14:paraId="054F0CC3" w14:textId="77777777">
            <w:pPr>
              <w:spacing w:before="60" w:after="60"/>
              <w:rPr>
                <w:color w:val="000000"/>
              </w:rPr>
            </w:pPr>
            <w:r>
              <w:rPr>
                <w:color w:val="000000"/>
              </w:rPr>
              <w:t>0.75</w:t>
            </w:r>
          </w:p>
        </w:tc>
        <w:tc>
          <w:tcPr>
            <w:tcW w:w="877" w:type="dxa"/>
            <w:gridSpan w:val="2"/>
            <w:shd w:val="clear" w:color="auto" w:fill="auto"/>
          </w:tcPr>
          <w:p w:rsidRPr="007F620E" w:rsidR="0050494A" w:rsidP="0050494A" w:rsidRDefault="0050494A" w14:paraId="44A953C8" w14:textId="77777777">
            <w:pPr>
              <w:spacing w:before="60" w:after="60"/>
              <w:rPr>
                <w:color w:val="000000"/>
              </w:rPr>
            </w:pPr>
            <w:r>
              <w:rPr>
                <w:color w:val="000000"/>
              </w:rPr>
              <w:t>$445</w:t>
            </w:r>
          </w:p>
        </w:tc>
        <w:tc>
          <w:tcPr>
            <w:tcW w:w="1386" w:type="dxa"/>
            <w:gridSpan w:val="2"/>
            <w:tcBorders>
              <w:right w:val="single" w:color="auto" w:sz="4" w:space="0"/>
            </w:tcBorders>
            <w:shd w:val="clear" w:color="auto" w:fill="auto"/>
          </w:tcPr>
          <w:p w:rsidRPr="007F620E" w:rsidR="0050494A" w:rsidP="0050494A" w:rsidRDefault="0050494A" w14:paraId="2EFFE950" w14:textId="77777777">
            <w:pPr>
              <w:spacing w:before="60" w:after="60"/>
              <w:rPr>
                <w:color w:val="000000"/>
              </w:rPr>
            </w:pPr>
            <w:r>
              <w:rPr>
                <w:color w:val="000000"/>
              </w:rPr>
              <w:t>Res. ALJ-357</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50494A" w:rsidP="0050494A" w:rsidRDefault="0050494A" w14:paraId="2AA66ABF" w14:textId="77777777">
            <w:pPr>
              <w:spacing w:before="60" w:after="60"/>
              <w:rPr>
                <w:color w:val="000000"/>
              </w:rPr>
            </w:pPr>
            <w:r>
              <w:rPr>
                <w:color w:val="000000"/>
              </w:rPr>
              <w:t>$333.75</w:t>
            </w:r>
          </w:p>
        </w:tc>
        <w:tc>
          <w:tcPr>
            <w:tcW w:w="900" w:type="dxa"/>
            <w:tcBorders>
              <w:left w:val="single" w:color="auto" w:sz="4" w:space="0"/>
            </w:tcBorders>
            <w:shd w:val="clear" w:color="auto" w:fill="auto"/>
          </w:tcPr>
          <w:p w:rsidRPr="007F620E" w:rsidR="0050494A" w:rsidP="0050494A" w:rsidRDefault="0050494A" w14:paraId="4D59DC34" w14:textId="6519F75C">
            <w:pPr>
              <w:spacing w:before="60" w:after="60"/>
              <w:rPr>
                <w:color w:val="000000"/>
              </w:rPr>
            </w:pPr>
            <w:r>
              <w:rPr>
                <w:color w:val="000000"/>
              </w:rPr>
              <w:t>0.75 [</w:t>
            </w:r>
            <w:r w:rsidR="00552777">
              <w:rPr>
                <w:color w:val="000000"/>
              </w:rPr>
              <w:t>1</w:t>
            </w:r>
            <w:r>
              <w:rPr>
                <w:color w:val="000000"/>
              </w:rPr>
              <w:t>]</w:t>
            </w:r>
          </w:p>
        </w:tc>
        <w:tc>
          <w:tcPr>
            <w:tcW w:w="1080" w:type="dxa"/>
            <w:shd w:val="clear" w:color="auto" w:fill="auto"/>
          </w:tcPr>
          <w:p w:rsidRPr="007F620E" w:rsidR="0050494A" w:rsidP="0050494A" w:rsidRDefault="0050494A" w14:paraId="0B61A749" w14:textId="3DAFEA1F">
            <w:pPr>
              <w:spacing w:before="60" w:after="60"/>
              <w:rPr>
                <w:color w:val="000000"/>
              </w:rPr>
            </w:pPr>
            <w:r>
              <w:rPr>
                <w:color w:val="000000"/>
              </w:rPr>
              <w:t>$445 [</w:t>
            </w:r>
            <w:r w:rsidR="00E734E8">
              <w:rPr>
                <w:color w:val="000000"/>
              </w:rPr>
              <w:t>8</w:t>
            </w:r>
            <w:r>
              <w:rPr>
                <w:color w:val="000000"/>
              </w:rPr>
              <w:t>]</w:t>
            </w:r>
          </w:p>
        </w:tc>
        <w:tc>
          <w:tcPr>
            <w:tcW w:w="1773" w:type="dxa"/>
            <w:shd w:val="clear" w:color="auto" w:fill="auto"/>
          </w:tcPr>
          <w:p w:rsidRPr="007F620E" w:rsidR="0050494A" w:rsidP="0050494A" w:rsidRDefault="0050494A" w14:paraId="3C5B60AE" w14:textId="688F0A7F">
            <w:pPr>
              <w:spacing w:before="60" w:after="60"/>
              <w:rPr>
                <w:color w:val="000000"/>
              </w:rPr>
            </w:pPr>
            <w:r w:rsidRPr="00AD5983">
              <w:t xml:space="preserve">$333.75 </w:t>
            </w:r>
          </w:p>
        </w:tc>
      </w:tr>
      <w:tr w:rsidRPr="007F620E" w:rsidR="0050494A" w:rsidTr="009A7144" w14:paraId="68135B11" w14:textId="77777777">
        <w:trPr>
          <w:jc w:val="center"/>
        </w:trPr>
        <w:tc>
          <w:tcPr>
            <w:tcW w:w="1404" w:type="dxa"/>
            <w:gridSpan w:val="2"/>
            <w:shd w:val="clear" w:color="auto" w:fill="auto"/>
          </w:tcPr>
          <w:p w:rsidRPr="007F620E" w:rsidR="0050494A" w:rsidP="0050494A" w:rsidRDefault="0050494A" w14:paraId="37027449" w14:textId="77777777">
            <w:pPr>
              <w:spacing w:before="60" w:after="60"/>
              <w:rPr>
                <w:color w:val="000000"/>
              </w:rPr>
            </w:pPr>
            <w:r>
              <w:rPr>
                <w:color w:val="000000"/>
              </w:rPr>
              <w:lastRenderedPageBreak/>
              <w:t>Petra Bruggisser</w:t>
            </w:r>
          </w:p>
        </w:tc>
        <w:tc>
          <w:tcPr>
            <w:tcW w:w="774" w:type="dxa"/>
            <w:gridSpan w:val="2"/>
            <w:shd w:val="clear" w:color="auto" w:fill="auto"/>
          </w:tcPr>
          <w:p w:rsidRPr="007F620E" w:rsidR="0050494A" w:rsidP="0050494A" w:rsidRDefault="0050494A" w14:paraId="7433EE6E" w14:textId="77777777">
            <w:pPr>
              <w:spacing w:before="60" w:after="60"/>
              <w:rPr>
                <w:color w:val="000000"/>
              </w:rPr>
            </w:pPr>
            <w:r>
              <w:rPr>
                <w:color w:val="000000"/>
              </w:rPr>
              <w:t>2019</w:t>
            </w:r>
          </w:p>
        </w:tc>
        <w:tc>
          <w:tcPr>
            <w:tcW w:w="833" w:type="dxa"/>
            <w:gridSpan w:val="2"/>
            <w:shd w:val="clear" w:color="auto" w:fill="auto"/>
          </w:tcPr>
          <w:p w:rsidRPr="007F620E" w:rsidR="0050494A" w:rsidP="0050494A" w:rsidRDefault="0050494A" w14:paraId="074EF0F8" w14:textId="77777777">
            <w:pPr>
              <w:spacing w:before="60" w:after="60"/>
              <w:rPr>
                <w:color w:val="000000"/>
              </w:rPr>
            </w:pPr>
            <w:r>
              <w:rPr>
                <w:color w:val="000000"/>
              </w:rPr>
              <w:t>18.1</w:t>
            </w:r>
          </w:p>
        </w:tc>
        <w:tc>
          <w:tcPr>
            <w:tcW w:w="877" w:type="dxa"/>
            <w:gridSpan w:val="2"/>
            <w:shd w:val="clear" w:color="auto" w:fill="auto"/>
          </w:tcPr>
          <w:p w:rsidRPr="007F620E" w:rsidR="0050494A" w:rsidP="0050494A" w:rsidRDefault="0050494A" w14:paraId="7A7F0912" w14:textId="77777777">
            <w:pPr>
              <w:spacing w:before="60" w:after="60"/>
              <w:rPr>
                <w:color w:val="000000"/>
              </w:rPr>
            </w:pPr>
            <w:r>
              <w:rPr>
                <w:color w:val="000000"/>
              </w:rPr>
              <w:t>$340</w:t>
            </w:r>
          </w:p>
        </w:tc>
        <w:tc>
          <w:tcPr>
            <w:tcW w:w="1386" w:type="dxa"/>
            <w:gridSpan w:val="2"/>
            <w:tcBorders>
              <w:right w:val="single" w:color="auto" w:sz="4" w:space="0"/>
            </w:tcBorders>
            <w:shd w:val="clear" w:color="auto" w:fill="auto"/>
          </w:tcPr>
          <w:p w:rsidRPr="007F620E" w:rsidR="0050494A" w:rsidP="0050494A" w:rsidRDefault="0050494A" w14:paraId="768BF378" w14:textId="77777777">
            <w:pPr>
              <w:spacing w:before="60" w:after="60"/>
              <w:rPr>
                <w:color w:val="000000"/>
              </w:rPr>
            </w:pPr>
            <w:r>
              <w:rPr>
                <w:color w:val="000000"/>
              </w:rPr>
              <w:t>Res. ALJ-357</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50494A" w:rsidP="0050494A" w:rsidRDefault="0050494A" w14:paraId="72082D37" w14:textId="77777777">
            <w:pPr>
              <w:spacing w:before="60" w:after="60"/>
              <w:rPr>
                <w:color w:val="000000"/>
              </w:rPr>
            </w:pPr>
            <w:r>
              <w:rPr>
                <w:color w:val="000000"/>
              </w:rPr>
              <w:t>$6,154.00</w:t>
            </w:r>
          </w:p>
        </w:tc>
        <w:tc>
          <w:tcPr>
            <w:tcW w:w="900" w:type="dxa"/>
            <w:tcBorders>
              <w:left w:val="single" w:color="auto" w:sz="4" w:space="0"/>
            </w:tcBorders>
            <w:shd w:val="clear" w:color="auto" w:fill="auto"/>
          </w:tcPr>
          <w:p w:rsidRPr="007F620E" w:rsidR="0050494A" w:rsidP="0050494A" w:rsidRDefault="0050494A" w14:paraId="3EBB831A" w14:textId="02064C18">
            <w:pPr>
              <w:spacing w:before="60" w:after="60"/>
              <w:rPr>
                <w:color w:val="000000"/>
              </w:rPr>
            </w:pPr>
            <w:r>
              <w:rPr>
                <w:color w:val="000000"/>
              </w:rPr>
              <w:t>18.1 [1]</w:t>
            </w:r>
          </w:p>
        </w:tc>
        <w:tc>
          <w:tcPr>
            <w:tcW w:w="1080" w:type="dxa"/>
            <w:shd w:val="clear" w:color="auto" w:fill="auto"/>
          </w:tcPr>
          <w:p w:rsidRPr="007F620E" w:rsidR="0050494A" w:rsidP="0050494A" w:rsidRDefault="0050494A" w14:paraId="3AA15A7B" w14:textId="30267F71">
            <w:pPr>
              <w:spacing w:before="60" w:after="60"/>
              <w:rPr>
                <w:color w:val="000000"/>
              </w:rPr>
            </w:pPr>
            <w:r>
              <w:rPr>
                <w:color w:val="000000"/>
              </w:rPr>
              <w:t>$3</w:t>
            </w:r>
            <w:r w:rsidR="0026493A">
              <w:rPr>
                <w:color w:val="000000"/>
              </w:rPr>
              <w:t>40</w:t>
            </w:r>
            <w:r>
              <w:rPr>
                <w:color w:val="000000"/>
              </w:rPr>
              <w:t xml:space="preserve"> [</w:t>
            </w:r>
            <w:r w:rsidR="00556CA9">
              <w:rPr>
                <w:color w:val="000000"/>
              </w:rPr>
              <w:t>5</w:t>
            </w:r>
            <w:r>
              <w:rPr>
                <w:color w:val="000000"/>
              </w:rPr>
              <w:t>]</w:t>
            </w:r>
          </w:p>
        </w:tc>
        <w:tc>
          <w:tcPr>
            <w:tcW w:w="1773" w:type="dxa"/>
            <w:shd w:val="clear" w:color="auto" w:fill="auto"/>
          </w:tcPr>
          <w:p w:rsidRPr="007F620E" w:rsidR="0050494A" w:rsidP="0050494A" w:rsidRDefault="00DB3713" w14:paraId="5B18F8F3" w14:textId="0D34E1EB">
            <w:pPr>
              <w:spacing w:before="60" w:after="60"/>
              <w:rPr>
                <w:color w:val="000000"/>
              </w:rPr>
            </w:pPr>
            <w:r w:rsidRPr="00DB3713">
              <w:t>$6,154.00</w:t>
            </w:r>
          </w:p>
        </w:tc>
      </w:tr>
      <w:tr w:rsidRPr="007F620E" w:rsidR="0050494A" w:rsidTr="009A7144" w14:paraId="6C05AF0E" w14:textId="77777777">
        <w:trPr>
          <w:jc w:val="center"/>
        </w:trPr>
        <w:tc>
          <w:tcPr>
            <w:tcW w:w="1404" w:type="dxa"/>
            <w:gridSpan w:val="2"/>
            <w:shd w:val="clear" w:color="auto" w:fill="auto"/>
          </w:tcPr>
          <w:p w:rsidRPr="007F620E" w:rsidR="0050494A" w:rsidP="0050494A" w:rsidRDefault="0050494A" w14:paraId="49997E61" w14:textId="77777777">
            <w:pPr>
              <w:spacing w:before="60" w:after="60"/>
              <w:rPr>
                <w:color w:val="000000"/>
              </w:rPr>
            </w:pPr>
            <w:r>
              <w:rPr>
                <w:color w:val="000000"/>
              </w:rPr>
              <w:t>Cory O’Donnell</w:t>
            </w:r>
          </w:p>
        </w:tc>
        <w:tc>
          <w:tcPr>
            <w:tcW w:w="774" w:type="dxa"/>
            <w:gridSpan w:val="2"/>
            <w:shd w:val="clear" w:color="auto" w:fill="auto"/>
          </w:tcPr>
          <w:p w:rsidRPr="007F620E" w:rsidR="0050494A" w:rsidP="0050494A" w:rsidRDefault="0050494A" w14:paraId="20923BF6" w14:textId="77777777">
            <w:pPr>
              <w:spacing w:before="60" w:after="60"/>
              <w:rPr>
                <w:color w:val="000000"/>
              </w:rPr>
            </w:pPr>
            <w:r>
              <w:rPr>
                <w:color w:val="000000"/>
              </w:rPr>
              <w:t>2019</w:t>
            </w:r>
          </w:p>
        </w:tc>
        <w:tc>
          <w:tcPr>
            <w:tcW w:w="833" w:type="dxa"/>
            <w:gridSpan w:val="2"/>
            <w:shd w:val="clear" w:color="auto" w:fill="auto"/>
          </w:tcPr>
          <w:p w:rsidRPr="007F620E" w:rsidR="0050494A" w:rsidP="0050494A" w:rsidRDefault="0050494A" w14:paraId="25131559" w14:textId="77777777">
            <w:pPr>
              <w:spacing w:before="60" w:after="60"/>
              <w:rPr>
                <w:color w:val="000000"/>
              </w:rPr>
            </w:pPr>
            <w:r>
              <w:rPr>
                <w:color w:val="000000"/>
              </w:rPr>
              <w:t>19.25</w:t>
            </w:r>
          </w:p>
        </w:tc>
        <w:tc>
          <w:tcPr>
            <w:tcW w:w="877" w:type="dxa"/>
            <w:gridSpan w:val="2"/>
            <w:shd w:val="clear" w:color="auto" w:fill="auto"/>
          </w:tcPr>
          <w:p w:rsidRPr="007F620E" w:rsidR="0050494A" w:rsidP="0050494A" w:rsidRDefault="0050494A" w14:paraId="6826CE06" w14:textId="77777777">
            <w:pPr>
              <w:spacing w:before="60" w:after="60"/>
              <w:rPr>
                <w:color w:val="000000"/>
              </w:rPr>
            </w:pPr>
            <w:r>
              <w:rPr>
                <w:color w:val="000000"/>
              </w:rPr>
              <w:t>$445</w:t>
            </w:r>
          </w:p>
        </w:tc>
        <w:tc>
          <w:tcPr>
            <w:tcW w:w="1386" w:type="dxa"/>
            <w:gridSpan w:val="2"/>
            <w:tcBorders>
              <w:right w:val="single" w:color="auto" w:sz="4" w:space="0"/>
            </w:tcBorders>
            <w:shd w:val="clear" w:color="auto" w:fill="auto"/>
          </w:tcPr>
          <w:p w:rsidRPr="007F620E" w:rsidR="0050494A" w:rsidP="0050494A" w:rsidRDefault="0050494A" w14:paraId="33BA9C17" w14:textId="77777777">
            <w:pPr>
              <w:spacing w:before="60" w:after="60"/>
              <w:rPr>
                <w:color w:val="000000"/>
              </w:rPr>
            </w:pPr>
            <w:r>
              <w:rPr>
                <w:color w:val="000000"/>
              </w:rPr>
              <w:t>Res. ALJ-357</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50494A" w:rsidP="0050494A" w:rsidRDefault="0050494A" w14:paraId="1902E504" w14:textId="77777777">
            <w:pPr>
              <w:spacing w:before="60" w:after="60"/>
              <w:rPr>
                <w:color w:val="000000"/>
              </w:rPr>
            </w:pPr>
            <w:r>
              <w:rPr>
                <w:color w:val="000000"/>
              </w:rPr>
              <w:t>$8,566.25</w:t>
            </w:r>
          </w:p>
        </w:tc>
        <w:tc>
          <w:tcPr>
            <w:tcW w:w="900" w:type="dxa"/>
            <w:tcBorders>
              <w:left w:val="single" w:color="auto" w:sz="4" w:space="0"/>
            </w:tcBorders>
            <w:shd w:val="clear" w:color="auto" w:fill="auto"/>
          </w:tcPr>
          <w:p w:rsidRPr="007F620E" w:rsidR="0050494A" w:rsidP="0050494A" w:rsidRDefault="0050494A" w14:paraId="1F1888F2" w14:textId="402408BB">
            <w:pPr>
              <w:spacing w:before="60" w:after="60"/>
              <w:rPr>
                <w:color w:val="000000"/>
              </w:rPr>
            </w:pPr>
            <w:r>
              <w:rPr>
                <w:color w:val="000000"/>
              </w:rPr>
              <w:t>19.25 [1]</w:t>
            </w:r>
          </w:p>
        </w:tc>
        <w:tc>
          <w:tcPr>
            <w:tcW w:w="1080" w:type="dxa"/>
            <w:shd w:val="clear" w:color="auto" w:fill="auto"/>
          </w:tcPr>
          <w:p w:rsidRPr="007F620E" w:rsidR="0050494A" w:rsidP="0050494A" w:rsidRDefault="0050494A" w14:paraId="0B4A7220" w14:textId="39FBE911">
            <w:pPr>
              <w:spacing w:before="60" w:after="60"/>
              <w:rPr>
                <w:color w:val="000000"/>
              </w:rPr>
            </w:pPr>
            <w:r>
              <w:rPr>
                <w:color w:val="000000"/>
              </w:rPr>
              <w:t>$4</w:t>
            </w:r>
            <w:r w:rsidR="0026493A">
              <w:rPr>
                <w:color w:val="000000"/>
              </w:rPr>
              <w:t>45</w:t>
            </w:r>
            <w:r>
              <w:rPr>
                <w:color w:val="000000"/>
              </w:rPr>
              <w:t xml:space="preserve"> [</w:t>
            </w:r>
            <w:r w:rsidR="00683E39">
              <w:rPr>
                <w:color w:val="000000"/>
              </w:rPr>
              <w:t>6</w:t>
            </w:r>
            <w:r>
              <w:rPr>
                <w:color w:val="000000"/>
              </w:rPr>
              <w:t>]</w:t>
            </w:r>
          </w:p>
        </w:tc>
        <w:tc>
          <w:tcPr>
            <w:tcW w:w="1773" w:type="dxa"/>
            <w:shd w:val="clear" w:color="auto" w:fill="auto"/>
          </w:tcPr>
          <w:p w:rsidRPr="007F620E" w:rsidR="0050494A" w:rsidP="0050494A" w:rsidRDefault="004333D1" w14:paraId="4208F0AB" w14:textId="05F1E3B7">
            <w:pPr>
              <w:spacing w:before="60" w:after="60"/>
              <w:rPr>
                <w:color w:val="000000"/>
              </w:rPr>
            </w:pPr>
            <w:r w:rsidRPr="004333D1">
              <w:t>$8,566.25</w:t>
            </w:r>
          </w:p>
        </w:tc>
      </w:tr>
      <w:tr w:rsidRPr="007F620E" w:rsidR="0050494A" w:rsidTr="009A7144" w14:paraId="6253E1D8" w14:textId="77777777">
        <w:trPr>
          <w:jc w:val="center"/>
        </w:trPr>
        <w:tc>
          <w:tcPr>
            <w:tcW w:w="1404" w:type="dxa"/>
            <w:gridSpan w:val="2"/>
            <w:shd w:val="clear" w:color="auto" w:fill="auto"/>
          </w:tcPr>
          <w:p w:rsidR="0050494A" w:rsidP="0050494A" w:rsidRDefault="0050494A" w14:paraId="31198B3F" w14:textId="77777777">
            <w:pPr>
              <w:spacing w:before="60" w:after="60"/>
              <w:rPr>
                <w:color w:val="000000"/>
              </w:rPr>
            </w:pPr>
            <w:r>
              <w:rPr>
                <w:color w:val="000000"/>
              </w:rPr>
              <w:t>Dr. Karen Relucio</w:t>
            </w:r>
          </w:p>
        </w:tc>
        <w:tc>
          <w:tcPr>
            <w:tcW w:w="774" w:type="dxa"/>
            <w:gridSpan w:val="2"/>
            <w:shd w:val="clear" w:color="auto" w:fill="auto"/>
          </w:tcPr>
          <w:p w:rsidR="0050494A" w:rsidP="0050494A" w:rsidRDefault="0050494A" w14:paraId="3BFFBDBD" w14:textId="77777777">
            <w:pPr>
              <w:spacing w:before="60" w:after="60"/>
              <w:rPr>
                <w:color w:val="000000"/>
              </w:rPr>
            </w:pPr>
            <w:r>
              <w:rPr>
                <w:color w:val="000000"/>
              </w:rPr>
              <w:t>2019</w:t>
            </w:r>
          </w:p>
        </w:tc>
        <w:tc>
          <w:tcPr>
            <w:tcW w:w="833" w:type="dxa"/>
            <w:gridSpan w:val="2"/>
            <w:shd w:val="clear" w:color="auto" w:fill="auto"/>
          </w:tcPr>
          <w:p w:rsidRPr="007F620E" w:rsidR="0050494A" w:rsidP="0050494A" w:rsidRDefault="0050494A" w14:paraId="5D1ECAEF" w14:textId="4071988A">
            <w:pPr>
              <w:spacing w:before="60" w:after="60"/>
              <w:rPr>
                <w:color w:val="000000"/>
              </w:rPr>
            </w:pPr>
            <w:r>
              <w:rPr>
                <w:color w:val="000000"/>
              </w:rPr>
              <w:t>6.0</w:t>
            </w:r>
          </w:p>
        </w:tc>
        <w:tc>
          <w:tcPr>
            <w:tcW w:w="877" w:type="dxa"/>
            <w:gridSpan w:val="2"/>
            <w:shd w:val="clear" w:color="auto" w:fill="auto"/>
          </w:tcPr>
          <w:p w:rsidR="0050494A" w:rsidP="0050494A" w:rsidRDefault="0050494A" w14:paraId="015C1369" w14:textId="77777777">
            <w:pPr>
              <w:spacing w:before="60" w:after="60"/>
              <w:rPr>
                <w:color w:val="000000"/>
              </w:rPr>
            </w:pPr>
            <w:r>
              <w:rPr>
                <w:color w:val="000000"/>
              </w:rPr>
              <w:t>$445</w:t>
            </w:r>
          </w:p>
        </w:tc>
        <w:tc>
          <w:tcPr>
            <w:tcW w:w="1386" w:type="dxa"/>
            <w:gridSpan w:val="2"/>
            <w:tcBorders>
              <w:right w:val="single" w:color="auto" w:sz="4" w:space="0"/>
            </w:tcBorders>
            <w:shd w:val="clear" w:color="auto" w:fill="auto"/>
          </w:tcPr>
          <w:p w:rsidR="0050494A" w:rsidP="0050494A" w:rsidRDefault="0050494A" w14:paraId="44615BCA" w14:textId="77777777">
            <w:pPr>
              <w:spacing w:before="60" w:after="60"/>
              <w:rPr>
                <w:color w:val="000000"/>
              </w:rPr>
            </w:pPr>
            <w:r>
              <w:rPr>
                <w:color w:val="000000"/>
              </w:rPr>
              <w:t>Res. ALJ-357</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50494A" w:rsidP="0050494A" w:rsidRDefault="0050494A" w14:paraId="660B3A82" w14:textId="0E7F1942">
            <w:pPr>
              <w:spacing w:before="60" w:after="60"/>
              <w:rPr>
                <w:color w:val="000000"/>
              </w:rPr>
            </w:pPr>
            <w:r>
              <w:rPr>
                <w:color w:val="000000"/>
              </w:rPr>
              <w:t>$2,670.00</w:t>
            </w:r>
            <w:r>
              <w:rPr>
                <w:rStyle w:val="FootnoteReference"/>
                <w:color w:val="000000"/>
              </w:rPr>
              <w:footnoteReference w:id="9"/>
            </w:r>
          </w:p>
        </w:tc>
        <w:tc>
          <w:tcPr>
            <w:tcW w:w="900" w:type="dxa"/>
            <w:tcBorders>
              <w:left w:val="single" w:color="auto" w:sz="4" w:space="0"/>
            </w:tcBorders>
            <w:shd w:val="clear" w:color="auto" w:fill="auto"/>
          </w:tcPr>
          <w:p w:rsidRPr="007F620E" w:rsidR="0050494A" w:rsidP="0050494A" w:rsidRDefault="0050494A" w14:paraId="57D088A2" w14:textId="25BA7544">
            <w:pPr>
              <w:spacing w:before="60" w:after="60"/>
              <w:rPr>
                <w:color w:val="000000"/>
              </w:rPr>
            </w:pPr>
            <w:r>
              <w:rPr>
                <w:color w:val="000000"/>
              </w:rPr>
              <w:t>2.5 [</w:t>
            </w:r>
            <w:r w:rsidR="00925625">
              <w:rPr>
                <w:color w:val="000000"/>
              </w:rPr>
              <w:t>1</w:t>
            </w:r>
            <w:r>
              <w:rPr>
                <w:color w:val="000000"/>
              </w:rPr>
              <w:t>]</w:t>
            </w:r>
          </w:p>
        </w:tc>
        <w:tc>
          <w:tcPr>
            <w:tcW w:w="1080" w:type="dxa"/>
            <w:shd w:val="clear" w:color="auto" w:fill="auto"/>
          </w:tcPr>
          <w:p w:rsidRPr="007F620E" w:rsidR="0050494A" w:rsidP="0050494A" w:rsidRDefault="0050494A" w14:paraId="76168EE8" w14:textId="518A2F80">
            <w:pPr>
              <w:spacing w:before="60" w:after="60"/>
              <w:rPr>
                <w:color w:val="000000"/>
              </w:rPr>
            </w:pPr>
            <w:r>
              <w:rPr>
                <w:color w:val="000000"/>
              </w:rPr>
              <w:t>$445 [</w:t>
            </w:r>
            <w:r w:rsidR="00E734E8">
              <w:rPr>
                <w:color w:val="000000"/>
              </w:rPr>
              <w:t>9</w:t>
            </w:r>
            <w:r>
              <w:rPr>
                <w:color w:val="000000"/>
              </w:rPr>
              <w:t>]</w:t>
            </w:r>
          </w:p>
        </w:tc>
        <w:tc>
          <w:tcPr>
            <w:tcW w:w="1773" w:type="dxa"/>
            <w:shd w:val="clear" w:color="auto" w:fill="auto"/>
          </w:tcPr>
          <w:p w:rsidRPr="007F620E" w:rsidR="0050494A" w:rsidP="0050494A" w:rsidRDefault="0050494A" w14:paraId="5A75553D" w14:textId="7DC16282">
            <w:pPr>
              <w:spacing w:before="60" w:after="60"/>
              <w:rPr>
                <w:color w:val="000000"/>
              </w:rPr>
            </w:pPr>
            <w:r w:rsidRPr="00AD5983">
              <w:t xml:space="preserve">$1,112.50 </w:t>
            </w:r>
          </w:p>
        </w:tc>
      </w:tr>
      <w:tr w:rsidRPr="007F620E" w:rsidR="0050494A" w:rsidTr="009A7144" w14:paraId="7FF7A6D5" w14:textId="77777777">
        <w:trPr>
          <w:jc w:val="center"/>
        </w:trPr>
        <w:tc>
          <w:tcPr>
            <w:tcW w:w="1404" w:type="dxa"/>
            <w:gridSpan w:val="2"/>
            <w:shd w:val="clear" w:color="auto" w:fill="auto"/>
          </w:tcPr>
          <w:p w:rsidR="0050494A" w:rsidP="0050494A" w:rsidRDefault="0050494A" w14:paraId="470C0FC2" w14:textId="77777777">
            <w:pPr>
              <w:spacing w:before="60" w:after="60"/>
              <w:rPr>
                <w:color w:val="000000"/>
              </w:rPr>
            </w:pPr>
            <w:r>
              <w:rPr>
                <w:color w:val="000000"/>
              </w:rPr>
              <w:t>Geoff Belyea</w:t>
            </w:r>
          </w:p>
        </w:tc>
        <w:tc>
          <w:tcPr>
            <w:tcW w:w="774" w:type="dxa"/>
            <w:gridSpan w:val="2"/>
            <w:shd w:val="clear" w:color="auto" w:fill="auto"/>
          </w:tcPr>
          <w:p w:rsidR="0050494A" w:rsidP="0050494A" w:rsidRDefault="0050494A" w14:paraId="34C55BB8" w14:textId="77777777">
            <w:pPr>
              <w:spacing w:before="60" w:after="60"/>
              <w:rPr>
                <w:color w:val="000000"/>
              </w:rPr>
            </w:pPr>
            <w:r>
              <w:rPr>
                <w:color w:val="000000"/>
              </w:rPr>
              <w:t>2019</w:t>
            </w:r>
          </w:p>
        </w:tc>
        <w:tc>
          <w:tcPr>
            <w:tcW w:w="833" w:type="dxa"/>
            <w:gridSpan w:val="2"/>
            <w:shd w:val="clear" w:color="auto" w:fill="auto"/>
          </w:tcPr>
          <w:p w:rsidRPr="007F620E" w:rsidR="0050494A" w:rsidP="0050494A" w:rsidRDefault="0050494A" w14:paraId="125C7E4F" w14:textId="77777777">
            <w:pPr>
              <w:spacing w:before="60" w:after="60"/>
              <w:rPr>
                <w:color w:val="000000"/>
              </w:rPr>
            </w:pPr>
            <w:r>
              <w:rPr>
                <w:color w:val="000000"/>
              </w:rPr>
              <w:t>0.5</w:t>
            </w:r>
          </w:p>
        </w:tc>
        <w:tc>
          <w:tcPr>
            <w:tcW w:w="877" w:type="dxa"/>
            <w:gridSpan w:val="2"/>
            <w:shd w:val="clear" w:color="auto" w:fill="auto"/>
          </w:tcPr>
          <w:p w:rsidR="0050494A" w:rsidP="0050494A" w:rsidRDefault="0050494A" w14:paraId="016655B9" w14:textId="77777777">
            <w:pPr>
              <w:spacing w:before="60" w:after="60"/>
              <w:rPr>
                <w:color w:val="000000"/>
              </w:rPr>
            </w:pPr>
            <w:r>
              <w:rPr>
                <w:color w:val="000000"/>
              </w:rPr>
              <w:t>$445</w:t>
            </w:r>
          </w:p>
        </w:tc>
        <w:tc>
          <w:tcPr>
            <w:tcW w:w="1386" w:type="dxa"/>
            <w:gridSpan w:val="2"/>
            <w:tcBorders>
              <w:right w:val="single" w:color="auto" w:sz="4" w:space="0"/>
            </w:tcBorders>
            <w:shd w:val="clear" w:color="auto" w:fill="auto"/>
          </w:tcPr>
          <w:p w:rsidR="0050494A" w:rsidP="0050494A" w:rsidRDefault="0050494A" w14:paraId="4DF35673" w14:textId="77777777">
            <w:pPr>
              <w:spacing w:before="60" w:after="60"/>
              <w:rPr>
                <w:color w:val="000000"/>
              </w:rPr>
            </w:pPr>
            <w:r>
              <w:rPr>
                <w:color w:val="000000"/>
              </w:rPr>
              <w:t>Res. ALJ-357</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50494A" w:rsidP="0050494A" w:rsidRDefault="0050494A" w14:paraId="0B48551F" w14:textId="77777777">
            <w:pPr>
              <w:spacing w:before="60" w:after="60"/>
              <w:rPr>
                <w:color w:val="000000"/>
              </w:rPr>
            </w:pPr>
            <w:r>
              <w:rPr>
                <w:color w:val="000000"/>
              </w:rPr>
              <w:t>$222.50</w:t>
            </w:r>
          </w:p>
        </w:tc>
        <w:tc>
          <w:tcPr>
            <w:tcW w:w="900" w:type="dxa"/>
            <w:tcBorders>
              <w:left w:val="single" w:color="auto" w:sz="4" w:space="0"/>
            </w:tcBorders>
            <w:shd w:val="clear" w:color="auto" w:fill="auto"/>
          </w:tcPr>
          <w:p w:rsidRPr="007F620E" w:rsidR="0050494A" w:rsidP="0050494A" w:rsidRDefault="0050494A" w14:paraId="70F62EF2" w14:textId="7488F282">
            <w:pPr>
              <w:spacing w:before="60" w:after="60"/>
              <w:rPr>
                <w:color w:val="000000"/>
              </w:rPr>
            </w:pPr>
            <w:r>
              <w:rPr>
                <w:color w:val="000000"/>
              </w:rPr>
              <w:t>0 [</w:t>
            </w:r>
            <w:r w:rsidR="00925625">
              <w:rPr>
                <w:color w:val="000000"/>
              </w:rPr>
              <w:t>1</w:t>
            </w:r>
            <w:r>
              <w:rPr>
                <w:color w:val="000000"/>
              </w:rPr>
              <w:t>]</w:t>
            </w:r>
          </w:p>
        </w:tc>
        <w:tc>
          <w:tcPr>
            <w:tcW w:w="1080" w:type="dxa"/>
            <w:shd w:val="clear" w:color="auto" w:fill="auto"/>
          </w:tcPr>
          <w:p w:rsidRPr="007F620E" w:rsidR="0050494A" w:rsidP="0050494A" w:rsidRDefault="0050494A" w14:paraId="2F73EBF5" w14:textId="2D22D627">
            <w:pPr>
              <w:spacing w:before="60" w:after="60"/>
              <w:rPr>
                <w:color w:val="000000"/>
              </w:rPr>
            </w:pPr>
            <w:r>
              <w:rPr>
                <w:color w:val="000000"/>
              </w:rPr>
              <w:t>$0</w:t>
            </w:r>
            <w:r w:rsidR="00E734E8">
              <w:rPr>
                <w:color w:val="000000"/>
              </w:rPr>
              <w:t>.00</w:t>
            </w:r>
            <w:r>
              <w:rPr>
                <w:color w:val="000000"/>
              </w:rPr>
              <w:t xml:space="preserve"> [</w:t>
            </w:r>
            <w:r w:rsidR="00925625">
              <w:rPr>
                <w:color w:val="000000"/>
              </w:rPr>
              <w:t>1</w:t>
            </w:r>
            <w:r>
              <w:rPr>
                <w:color w:val="000000"/>
              </w:rPr>
              <w:t>]</w:t>
            </w:r>
          </w:p>
        </w:tc>
        <w:tc>
          <w:tcPr>
            <w:tcW w:w="1773" w:type="dxa"/>
            <w:shd w:val="clear" w:color="auto" w:fill="auto"/>
          </w:tcPr>
          <w:p w:rsidRPr="007F620E" w:rsidR="0050494A" w:rsidP="0050494A" w:rsidRDefault="0050494A" w14:paraId="0D2FDB2B" w14:textId="7095A347">
            <w:pPr>
              <w:spacing w:before="60" w:after="60"/>
              <w:rPr>
                <w:color w:val="000000"/>
              </w:rPr>
            </w:pPr>
            <w:r>
              <w:rPr>
                <w:color w:val="000000"/>
              </w:rPr>
              <w:t>$0.00</w:t>
            </w:r>
          </w:p>
        </w:tc>
      </w:tr>
      <w:tr w:rsidRPr="007F620E" w:rsidR="0050494A" w:rsidTr="009A7144" w14:paraId="48309001" w14:textId="77777777">
        <w:trPr>
          <w:jc w:val="center"/>
        </w:trPr>
        <w:tc>
          <w:tcPr>
            <w:tcW w:w="1404" w:type="dxa"/>
            <w:gridSpan w:val="2"/>
            <w:shd w:val="clear" w:color="auto" w:fill="auto"/>
          </w:tcPr>
          <w:p w:rsidR="0050494A" w:rsidP="0050494A" w:rsidRDefault="0050494A" w14:paraId="5AC82BA5" w14:textId="77777777">
            <w:pPr>
              <w:spacing w:before="60" w:after="60"/>
              <w:rPr>
                <w:color w:val="000000"/>
              </w:rPr>
            </w:pPr>
            <w:r>
              <w:rPr>
                <w:color w:val="000000"/>
              </w:rPr>
              <w:t>Brian Henricksen</w:t>
            </w:r>
          </w:p>
        </w:tc>
        <w:tc>
          <w:tcPr>
            <w:tcW w:w="774" w:type="dxa"/>
            <w:gridSpan w:val="2"/>
            <w:shd w:val="clear" w:color="auto" w:fill="auto"/>
          </w:tcPr>
          <w:p w:rsidR="0050494A" w:rsidP="0050494A" w:rsidRDefault="0050494A" w14:paraId="4C3F32EE" w14:textId="77777777">
            <w:pPr>
              <w:spacing w:before="60" w:after="60"/>
              <w:rPr>
                <w:color w:val="000000"/>
              </w:rPr>
            </w:pPr>
            <w:r>
              <w:rPr>
                <w:color w:val="000000"/>
              </w:rPr>
              <w:t>2019</w:t>
            </w:r>
          </w:p>
        </w:tc>
        <w:tc>
          <w:tcPr>
            <w:tcW w:w="833" w:type="dxa"/>
            <w:gridSpan w:val="2"/>
            <w:shd w:val="clear" w:color="auto" w:fill="auto"/>
          </w:tcPr>
          <w:p w:rsidR="0050494A" w:rsidP="0050494A" w:rsidRDefault="0050494A" w14:paraId="2F91B412" w14:textId="77777777">
            <w:pPr>
              <w:spacing w:before="60" w:after="60"/>
              <w:rPr>
                <w:color w:val="000000"/>
              </w:rPr>
            </w:pPr>
            <w:r>
              <w:rPr>
                <w:color w:val="000000"/>
              </w:rPr>
              <w:t>4.0</w:t>
            </w:r>
          </w:p>
        </w:tc>
        <w:tc>
          <w:tcPr>
            <w:tcW w:w="877" w:type="dxa"/>
            <w:gridSpan w:val="2"/>
            <w:shd w:val="clear" w:color="auto" w:fill="auto"/>
          </w:tcPr>
          <w:p w:rsidR="0050494A" w:rsidP="0050494A" w:rsidRDefault="0050494A" w14:paraId="03B5E7B1" w14:textId="77777777">
            <w:pPr>
              <w:spacing w:before="60" w:after="60"/>
              <w:rPr>
                <w:color w:val="000000"/>
              </w:rPr>
            </w:pPr>
            <w:r>
              <w:rPr>
                <w:color w:val="000000"/>
              </w:rPr>
              <w:t>$445</w:t>
            </w:r>
          </w:p>
        </w:tc>
        <w:tc>
          <w:tcPr>
            <w:tcW w:w="1386" w:type="dxa"/>
            <w:gridSpan w:val="2"/>
            <w:tcBorders>
              <w:right w:val="single" w:color="auto" w:sz="4" w:space="0"/>
            </w:tcBorders>
            <w:shd w:val="clear" w:color="auto" w:fill="auto"/>
          </w:tcPr>
          <w:p w:rsidR="0050494A" w:rsidP="0050494A" w:rsidRDefault="0050494A" w14:paraId="748619E9" w14:textId="77777777">
            <w:pPr>
              <w:spacing w:before="60" w:after="60"/>
              <w:rPr>
                <w:color w:val="000000"/>
              </w:rPr>
            </w:pPr>
            <w:r>
              <w:rPr>
                <w:color w:val="000000"/>
              </w:rPr>
              <w:t>Res. ALJ-357</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0050494A" w:rsidP="0050494A" w:rsidRDefault="0050494A" w14:paraId="579CEAB7" w14:textId="77777777">
            <w:pPr>
              <w:spacing w:before="60" w:after="60"/>
              <w:rPr>
                <w:color w:val="000000"/>
              </w:rPr>
            </w:pPr>
            <w:r>
              <w:rPr>
                <w:color w:val="000000"/>
              </w:rPr>
              <w:t>$1,780.00</w:t>
            </w:r>
          </w:p>
        </w:tc>
        <w:tc>
          <w:tcPr>
            <w:tcW w:w="900" w:type="dxa"/>
            <w:tcBorders>
              <w:left w:val="single" w:color="auto" w:sz="4" w:space="0"/>
            </w:tcBorders>
            <w:shd w:val="clear" w:color="auto" w:fill="auto"/>
          </w:tcPr>
          <w:p w:rsidRPr="007F620E" w:rsidR="0050494A" w:rsidP="0050494A" w:rsidRDefault="0050494A" w14:paraId="39E55E0D" w14:textId="24A13F77">
            <w:pPr>
              <w:spacing w:before="60" w:after="60"/>
              <w:rPr>
                <w:color w:val="000000"/>
              </w:rPr>
            </w:pPr>
            <w:r>
              <w:rPr>
                <w:color w:val="000000"/>
              </w:rPr>
              <w:t xml:space="preserve">4 </w:t>
            </w:r>
          </w:p>
        </w:tc>
        <w:tc>
          <w:tcPr>
            <w:tcW w:w="1080" w:type="dxa"/>
            <w:shd w:val="clear" w:color="auto" w:fill="auto"/>
          </w:tcPr>
          <w:p w:rsidRPr="007F620E" w:rsidR="0050494A" w:rsidP="0050494A" w:rsidRDefault="0050494A" w14:paraId="2F55DDF5" w14:textId="18C538D3">
            <w:pPr>
              <w:spacing w:before="60" w:after="60"/>
              <w:rPr>
                <w:color w:val="000000"/>
              </w:rPr>
            </w:pPr>
            <w:r>
              <w:rPr>
                <w:color w:val="000000"/>
              </w:rPr>
              <w:t>$445 [</w:t>
            </w:r>
            <w:r w:rsidR="00E734E8">
              <w:rPr>
                <w:color w:val="000000"/>
              </w:rPr>
              <w:t>10</w:t>
            </w:r>
            <w:r>
              <w:rPr>
                <w:color w:val="000000"/>
              </w:rPr>
              <w:t>]</w:t>
            </w:r>
          </w:p>
        </w:tc>
        <w:tc>
          <w:tcPr>
            <w:tcW w:w="1773" w:type="dxa"/>
            <w:shd w:val="clear" w:color="auto" w:fill="auto"/>
          </w:tcPr>
          <w:p w:rsidRPr="007F620E" w:rsidR="0050494A" w:rsidP="0050494A" w:rsidRDefault="0050494A" w14:paraId="0C30D38D" w14:textId="4BABF88E">
            <w:pPr>
              <w:spacing w:before="60" w:after="60"/>
              <w:rPr>
                <w:color w:val="000000"/>
              </w:rPr>
            </w:pPr>
            <w:r w:rsidRPr="00AD5983">
              <w:t xml:space="preserve">$1,780.00 </w:t>
            </w:r>
          </w:p>
        </w:tc>
      </w:tr>
      <w:tr w:rsidRPr="007F620E" w:rsidR="0050494A" w:rsidTr="009A7144" w14:paraId="7BF94F22" w14:textId="77777777">
        <w:trPr>
          <w:jc w:val="center"/>
        </w:trPr>
        <w:tc>
          <w:tcPr>
            <w:tcW w:w="1404" w:type="dxa"/>
            <w:gridSpan w:val="2"/>
            <w:shd w:val="clear" w:color="auto" w:fill="auto"/>
          </w:tcPr>
          <w:p w:rsidR="0050494A" w:rsidP="0050494A" w:rsidRDefault="0050494A" w14:paraId="0A1150A8" w14:textId="77777777">
            <w:pPr>
              <w:spacing w:before="60" w:after="60"/>
              <w:rPr>
                <w:color w:val="000000"/>
              </w:rPr>
            </w:pPr>
            <w:r>
              <w:rPr>
                <w:color w:val="000000"/>
              </w:rPr>
              <w:t>Sue Gallagher</w:t>
            </w:r>
          </w:p>
        </w:tc>
        <w:tc>
          <w:tcPr>
            <w:tcW w:w="774" w:type="dxa"/>
            <w:gridSpan w:val="2"/>
            <w:shd w:val="clear" w:color="auto" w:fill="auto"/>
          </w:tcPr>
          <w:p w:rsidR="0050494A" w:rsidP="0050494A" w:rsidRDefault="0050494A" w14:paraId="554FEBC9" w14:textId="77777777">
            <w:pPr>
              <w:spacing w:before="60" w:after="60"/>
              <w:rPr>
                <w:color w:val="000000"/>
              </w:rPr>
            </w:pPr>
            <w:r>
              <w:rPr>
                <w:color w:val="000000"/>
              </w:rPr>
              <w:t>2019</w:t>
            </w:r>
          </w:p>
        </w:tc>
        <w:tc>
          <w:tcPr>
            <w:tcW w:w="833" w:type="dxa"/>
            <w:gridSpan w:val="2"/>
            <w:shd w:val="clear" w:color="auto" w:fill="auto"/>
          </w:tcPr>
          <w:p w:rsidRPr="007F620E" w:rsidR="0050494A" w:rsidP="0050494A" w:rsidRDefault="0050494A" w14:paraId="7615650B" w14:textId="77777777">
            <w:pPr>
              <w:spacing w:before="60" w:after="60"/>
              <w:rPr>
                <w:color w:val="000000"/>
              </w:rPr>
            </w:pPr>
            <w:r>
              <w:rPr>
                <w:color w:val="000000"/>
              </w:rPr>
              <w:t>0.55</w:t>
            </w:r>
          </w:p>
        </w:tc>
        <w:tc>
          <w:tcPr>
            <w:tcW w:w="877" w:type="dxa"/>
            <w:gridSpan w:val="2"/>
            <w:shd w:val="clear" w:color="auto" w:fill="auto"/>
          </w:tcPr>
          <w:p w:rsidR="0050494A" w:rsidP="0050494A" w:rsidRDefault="0050494A" w14:paraId="2DD24DD5" w14:textId="77777777">
            <w:pPr>
              <w:spacing w:before="60" w:after="60"/>
              <w:rPr>
                <w:color w:val="000000"/>
              </w:rPr>
            </w:pPr>
            <w:r>
              <w:rPr>
                <w:color w:val="000000"/>
              </w:rPr>
              <w:t>$445</w:t>
            </w:r>
          </w:p>
        </w:tc>
        <w:tc>
          <w:tcPr>
            <w:tcW w:w="1386" w:type="dxa"/>
            <w:gridSpan w:val="2"/>
            <w:tcBorders>
              <w:right w:val="single" w:color="auto" w:sz="4" w:space="0"/>
            </w:tcBorders>
            <w:shd w:val="clear" w:color="auto" w:fill="auto"/>
          </w:tcPr>
          <w:p w:rsidR="0050494A" w:rsidP="0050494A" w:rsidRDefault="0050494A" w14:paraId="7800C183" w14:textId="77777777">
            <w:pPr>
              <w:spacing w:before="60" w:after="60"/>
              <w:rPr>
                <w:color w:val="000000"/>
              </w:rPr>
            </w:pPr>
            <w:r>
              <w:rPr>
                <w:color w:val="000000"/>
              </w:rPr>
              <w:t>Res. ALJ-357</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50494A" w:rsidP="0050494A" w:rsidRDefault="0050494A" w14:paraId="500CB653" w14:textId="6F14EC42">
            <w:pPr>
              <w:spacing w:before="60" w:after="60"/>
              <w:rPr>
                <w:color w:val="000000"/>
              </w:rPr>
            </w:pPr>
            <w:r>
              <w:rPr>
                <w:color w:val="000000"/>
              </w:rPr>
              <w:t>$250.25</w:t>
            </w:r>
            <w:r>
              <w:rPr>
                <w:rStyle w:val="FootnoteReference"/>
                <w:color w:val="000000"/>
              </w:rPr>
              <w:footnoteReference w:id="10"/>
            </w:r>
          </w:p>
        </w:tc>
        <w:tc>
          <w:tcPr>
            <w:tcW w:w="900" w:type="dxa"/>
            <w:tcBorders>
              <w:left w:val="single" w:color="auto" w:sz="4" w:space="0"/>
            </w:tcBorders>
            <w:shd w:val="clear" w:color="auto" w:fill="auto"/>
          </w:tcPr>
          <w:p w:rsidRPr="007F620E" w:rsidR="0050494A" w:rsidP="0050494A" w:rsidRDefault="0050494A" w14:paraId="12BB722F" w14:textId="2641A637">
            <w:pPr>
              <w:spacing w:before="60" w:after="60"/>
              <w:rPr>
                <w:color w:val="000000"/>
              </w:rPr>
            </w:pPr>
            <w:r>
              <w:rPr>
                <w:color w:val="000000"/>
              </w:rPr>
              <w:t xml:space="preserve">0.55 </w:t>
            </w:r>
          </w:p>
        </w:tc>
        <w:tc>
          <w:tcPr>
            <w:tcW w:w="1080" w:type="dxa"/>
            <w:shd w:val="clear" w:color="auto" w:fill="auto"/>
          </w:tcPr>
          <w:p w:rsidRPr="007F620E" w:rsidR="0050494A" w:rsidP="0050494A" w:rsidRDefault="0050494A" w14:paraId="3C183B5C" w14:textId="5DBE4228">
            <w:pPr>
              <w:spacing w:before="60" w:after="60"/>
              <w:rPr>
                <w:color w:val="000000"/>
              </w:rPr>
            </w:pPr>
            <w:r>
              <w:rPr>
                <w:color w:val="000000"/>
              </w:rPr>
              <w:t>$445 [</w:t>
            </w:r>
            <w:r w:rsidR="0039188A">
              <w:rPr>
                <w:color w:val="000000"/>
              </w:rPr>
              <w:t>1</w:t>
            </w:r>
            <w:r w:rsidR="00E734E8">
              <w:rPr>
                <w:color w:val="000000"/>
              </w:rPr>
              <w:t>1</w:t>
            </w:r>
            <w:r>
              <w:rPr>
                <w:color w:val="000000"/>
              </w:rPr>
              <w:t xml:space="preserve">] </w:t>
            </w:r>
          </w:p>
        </w:tc>
        <w:tc>
          <w:tcPr>
            <w:tcW w:w="1773" w:type="dxa"/>
            <w:shd w:val="clear" w:color="auto" w:fill="auto"/>
          </w:tcPr>
          <w:p w:rsidRPr="007F620E" w:rsidR="0050494A" w:rsidP="0050494A" w:rsidRDefault="0050494A" w14:paraId="08A9FA70" w14:textId="002AD322">
            <w:pPr>
              <w:spacing w:before="60" w:after="60"/>
              <w:rPr>
                <w:color w:val="000000"/>
              </w:rPr>
            </w:pPr>
            <w:r w:rsidRPr="00AD5983">
              <w:t xml:space="preserve">$244.75 </w:t>
            </w:r>
          </w:p>
        </w:tc>
      </w:tr>
      <w:tr w:rsidRPr="007F620E" w:rsidR="0050494A" w:rsidTr="009A7144" w14:paraId="56282340" w14:textId="77777777">
        <w:trPr>
          <w:jc w:val="center"/>
        </w:trPr>
        <w:tc>
          <w:tcPr>
            <w:tcW w:w="1404" w:type="dxa"/>
            <w:gridSpan w:val="2"/>
            <w:shd w:val="clear" w:color="auto" w:fill="auto"/>
          </w:tcPr>
          <w:p w:rsidR="0050494A" w:rsidP="0050494A" w:rsidRDefault="0050494A" w14:paraId="265DD140" w14:textId="77777777">
            <w:pPr>
              <w:spacing w:before="60" w:after="60"/>
              <w:rPr>
                <w:color w:val="000000"/>
              </w:rPr>
            </w:pPr>
            <w:r>
              <w:rPr>
                <w:color w:val="000000"/>
              </w:rPr>
              <w:t>Adam Abel</w:t>
            </w:r>
          </w:p>
        </w:tc>
        <w:tc>
          <w:tcPr>
            <w:tcW w:w="774" w:type="dxa"/>
            <w:gridSpan w:val="2"/>
            <w:shd w:val="clear" w:color="auto" w:fill="auto"/>
          </w:tcPr>
          <w:p w:rsidR="0050494A" w:rsidP="0050494A" w:rsidRDefault="0050494A" w14:paraId="78314E80" w14:textId="77777777">
            <w:pPr>
              <w:spacing w:before="60" w:after="60"/>
              <w:rPr>
                <w:color w:val="000000"/>
              </w:rPr>
            </w:pPr>
            <w:r>
              <w:rPr>
                <w:color w:val="000000"/>
              </w:rPr>
              <w:t>2019</w:t>
            </w:r>
          </w:p>
        </w:tc>
        <w:tc>
          <w:tcPr>
            <w:tcW w:w="833" w:type="dxa"/>
            <w:gridSpan w:val="2"/>
            <w:shd w:val="clear" w:color="auto" w:fill="auto"/>
          </w:tcPr>
          <w:p w:rsidRPr="007F620E" w:rsidR="0050494A" w:rsidP="0050494A" w:rsidRDefault="0050494A" w14:paraId="169D84EE" w14:textId="77777777">
            <w:pPr>
              <w:spacing w:before="60" w:after="60"/>
              <w:rPr>
                <w:color w:val="000000"/>
              </w:rPr>
            </w:pPr>
            <w:r>
              <w:rPr>
                <w:color w:val="000000"/>
              </w:rPr>
              <w:t>2.3</w:t>
            </w:r>
          </w:p>
        </w:tc>
        <w:tc>
          <w:tcPr>
            <w:tcW w:w="877" w:type="dxa"/>
            <w:gridSpan w:val="2"/>
            <w:shd w:val="clear" w:color="auto" w:fill="auto"/>
          </w:tcPr>
          <w:p w:rsidR="0050494A" w:rsidP="0050494A" w:rsidRDefault="0050494A" w14:paraId="34015ED3" w14:textId="77777777">
            <w:pPr>
              <w:spacing w:before="60" w:after="60"/>
              <w:rPr>
                <w:color w:val="000000"/>
              </w:rPr>
            </w:pPr>
            <w:r>
              <w:rPr>
                <w:color w:val="000000"/>
              </w:rPr>
              <w:t>$445</w:t>
            </w:r>
          </w:p>
        </w:tc>
        <w:tc>
          <w:tcPr>
            <w:tcW w:w="1386" w:type="dxa"/>
            <w:gridSpan w:val="2"/>
            <w:tcBorders>
              <w:right w:val="single" w:color="auto" w:sz="4" w:space="0"/>
            </w:tcBorders>
            <w:shd w:val="clear" w:color="auto" w:fill="auto"/>
          </w:tcPr>
          <w:p w:rsidR="0050494A" w:rsidP="0050494A" w:rsidRDefault="0050494A" w14:paraId="339F9F9E" w14:textId="77777777">
            <w:pPr>
              <w:spacing w:before="60" w:after="60"/>
              <w:rPr>
                <w:color w:val="000000"/>
              </w:rPr>
            </w:pPr>
            <w:r>
              <w:rPr>
                <w:color w:val="000000"/>
              </w:rPr>
              <w:t>Res. ALJ-357</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50494A" w:rsidP="0050494A" w:rsidRDefault="0050494A" w14:paraId="0DBB3782" w14:textId="77777777">
            <w:pPr>
              <w:spacing w:before="60" w:after="60"/>
              <w:rPr>
                <w:color w:val="000000"/>
              </w:rPr>
            </w:pPr>
            <w:r>
              <w:rPr>
                <w:color w:val="000000"/>
              </w:rPr>
              <w:t>$1,023.50</w:t>
            </w:r>
          </w:p>
        </w:tc>
        <w:tc>
          <w:tcPr>
            <w:tcW w:w="900" w:type="dxa"/>
            <w:tcBorders>
              <w:left w:val="single" w:color="auto" w:sz="4" w:space="0"/>
            </w:tcBorders>
            <w:shd w:val="clear" w:color="auto" w:fill="auto"/>
          </w:tcPr>
          <w:p w:rsidRPr="007F620E" w:rsidR="0050494A" w:rsidP="0050494A" w:rsidRDefault="0050494A" w14:paraId="624D3829" w14:textId="3352C8B3">
            <w:pPr>
              <w:spacing w:before="60" w:after="60"/>
              <w:rPr>
                <w:color w:val="000000"/>
              </w:rPr>
            </w:pPr>
            <w:r>
              <w:rPr>
                <w:color w:val="000000"/>
              </w:rPr>
              <w:t>2.3</w:t>
            </w:r>
          </w:p>
        </w:tc>
        <w:tc>
          <w:tcPr>
            <w:tcW w:w="1080" w:type="dxa"/>
            <w:shd w:val="clear" w:color="auto" w:fill="auto"/>
          </w:tcPr>
          <w:p w:rsidRPr="007F620E" w:rsidR="0050494A" w:rsidP="0050494A" w:rsidRDefault="0050494A" w14:paraId="4770771A" w14:textId="0E8F9855">
            <w:pPr>
              <w:spacing w:before="60" w:after="60"/>
              <w:rPr>
                <w:color w:val="000000"/>
              </w:rPr>
            </w:pPr>
            <w:r>
              <w:rPr>
                <w:color w:val="000000"/>
              </w:rPr>
              <w:t>$445 [</w:t>
            </w:r>
            <w:r w:rsidR="00E734E8">
              <w:rPr>
                <w:color w:val="000000"/>
              </w:rPr>
              <w:t>12</w:t>
            </w:r>
            <w:r>
              <w:rPr>
                <w:color w:val="000000"/>
              </w:rPr>
              <w:t>]</w:t>
            </w:r>
          </w:p>
        </w:tc>
        <w:tc>
          <w:tcPr>
            <w:tcW w:w="1773" w:type="dxa"/>
            <w:shd w:val="clear" w:color="auto" w:fill="auto"/>
          </w:tcPr>
          <w:p w:rsidRPr="007F620E" w:rsidR="0050494A" w:rsidP="0050494A" w:rsidRDefault="0050494A" w14:paraId="4096041A" w14:textId="59A5BC04">
            <w:pPr>
              <w:spacing w:before="60" w:after="60"/>
              <w:rPr>
                <w:color w:val="000000"/>
              </w:rPr>
            </w:pPr>
            <w:r w:rsidRPr="00AD5983">
              <w:t xml:space="preserve">$1,023.50 </w:t>
            </w:r>
          </w:p>
        </w:tc>
      </w:tr>
      <w:tr w:rsidRPr="007F620E" w:rsidR="0050494A" w:rsidTr="009A7144" w14:paraId="393A3777" w14:textId="77777777">
        <w:trPr>
          <w:jc w:val="center"/>
        </w:trPr>
        <w:tc>
          <w:tcPr>
            <w:tcW w:w="1404" w:type="dxa"/>
            <w:gridSpan w:val="2"/>
            <w:shd w:val="clear" w:color="auto" w:fill="auto"/>
          </w:tcPr>
          <w:p w:rsidR="0050494A" w:rsidP="0050494A" w:rsidRDefault="0050494A" w14:paraId="5CDD24DE" w14:textId="77777777">
            <w:pPr>
              <w:spacing w:before="60" w:after="60"/>
              <w:rPr>
                <w:color w:val="000000"/>
              </w:rPr>
            </w:pPr>
            <w:r>
              <w:rPr>
                <w:color w:val="000000"/>
              </w:rPr>
              <w:t>Neil Bregman</w:t>
            </w:r>
          </w:p>
        </w:tc>
        <w:tc>
          <w:tcPr>
            <w:tcW w:w="774" w:type="dxa"/>
            <w:gridSpan w:val="2"/>
            <w:shd w:val="clear" w:color="auto" w:fill="auto"/>
          </w:tcPr>
          <w:p w:rsidR="0050494A" w:rsidP="0050494A" w:rsidRDefault="0050494A" w14:paraId="2ADC3197" w14:textId="77777777">
            <w:pPr>
              <w:spacing w:before="60" w:after="60"/>
              <w:rPr>
                <w:color w:val="000000"/>
              </w:rPr>
            </w:pPr>
            <w:r>
              <w:rPr>
                <w:color w:val="000000"/>
              </w:rPr>
              <w:t>2019</w:t>
            </w:r>
          </w:p>
        </w:tc>
        <w:tc>
          <w:tcPr>
            <w:tcW w:w="833" w:type="dxa"/>
            <w:gridSpan w:val="2"/>
            <w:shd w:val="clear" w:color="auto" w:fill="auto"/>
          </w:tcPr>
          <w:p w:rsidRPr="007F620E" w:rsidR="0050494A" w:rsidP="0050494A" w:rsidRDefault="0050494A" w14:paraId="5C6738A2" w14:textId="77777777">
            <w:pPr>
              <w:spacing w:before="60" w:after="60"/>
              <w:rPr>
                <w:color w:val="000000"/>
              </w:rPr>
            </w:pPr>
            <w:r>
              <w:rPr>
                <w:color w:val="000000"/>
              </w:rPr>
              <w:t>9.0</w:t>
            </w:r>
          </w:p>
        </w:tc>
        <w:tc>
          <w:tcPr>
            <w:tcW w:w="877" w:type="dxa"/>
            <w:gridSpan w:val="2"/>
            <w:shd w:val="clear" w:color="auto" w:fill="auto"/>
          </w:tcPr>
          <w:p w:rsidR="0050494A" w:rsidP="0050494A" w:rsidRDefault="0050494A" w14:paraId="7EF48354" w14:textId="77777777">
            <w:pPr>
              <w:spacing w:before="60" w:after="60"/>
              <w:rPr>
                <w:color w:val="000000"/>
              </w:rPr>
            </w:pPr>
            <w:r>
              <w:rPr>
                <w:color w:val="000000"/>
              </w:rPr>
              <w:t>$290</w:t>
            </w:r>
          </w:p>
        </w:tc>
        <w:tc>
          <w:tcPr>
            <w:tcW w:w="1386" w:type="dxa"/>
            <w:gridSpan w:val="2"/>
            <w:tcBorders>
              <w:right w:val="single" w:color="auto" w:sz="4" w:space="0"/>
            </w:tcBorders>
            <w:shd w:val="clear" w:color="auto" w:fill="auto"/>
          </w:tcPr>
          <w:p w:rsidR="0050494A" w:rsidP="0050494A" w:rsidRDefault="0050494A" w14:paraId="055F1D9D" w14:textId="77777777">
            <w:pPr>
              <w:spacing w:before="60" w:after="60"/>
              <w:rPr>
                <w:color w:val="000000"/>
              </w:rPr>
            </w:pPr>
            <w:r>
              <w:rPr>
                <w:color w:val="000000"/>
              </w:rPr>
              <w:t>Res. ALJ-357</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50494A" w:rsidP="0050494A" w:rsidRDefault="0050494A" w14:paraId="2CFFB952" w14:textId="77777777">
            <w:pPr>
              <w:spacing w:before="60" w:after="60"/>
              <w:rPr>
                <w:color w:val="000000"/>
              </w:rPr>
            </w:pPr>
            <w:r>
              <w:rPr>
                <w:color w:val="000000"/>
              </w:rPr>
              <w:t>$2,610.00</w:t>
            </w:r>
          </w:p>
        </w:tc>
        <w:tc>
          <w:tcPr>
            <w:tcW w:w="900" w:type="dxa"/>
            <w:tcBorders>
              <w:left w:val="single" w:color="auto" w:sz="4" w:space="0"/>
            </w:tcBorders>
            <w:shd w:val="clear" w:color="auto" w:fill="auto"/>
          </w:tcPr>
          <w:p w:rsidRPr="007F620E" w:rsidR="0050494A" w:rsidP="0050494A" w:rsidRDefault="0050494A" w14:paraId="69755BD9" w14:textId="78C5F388">
            <w:pPr>
              <w:spacing w:before="60" w:after="60"/>
              <w:rPr>
                <w:color w:val="000000"/>
              </w:rPr>
            </w:pPr>
            <w:r>
              <w:rPr>
                <w:color w:val="000000"/>
              </w:rPr>
              <w:t>9 [1]</w:t>
            </w:r>
          </w:p>
        </w:tc>
        <w:tc>
          <w:tcPr>
            <w:tcW w:w="1080" w:type="dxa"/>
            <w:shd w:val="clear" w:color="auto" w:fill="auto"/>
          </w:tcPr>
          <w:p w:rsidRPr="007F620E" w:rsidR="0050494A" w:rsidP="0050494A" w:rsidRDefault="0050494A" w14:paraId="56518499" w14:textId="29D5FE80">
            <w:pPr>
              <w:spacing w:before="60" w:after="60"/>
              <w:rPr>
                <w:color w:val="000000"/>
              </w:rPr>
            </w:pPr>
            <w:r>
              <w:rPr>
                <w:color w:val="000000"/>
              </w:rPr>
              <w:t>$290 [</w:t>
            </w:r>
            <w:r w:rsidR="00E734E8">
              <w:rPr>
                <w:color w:val="000000"/>
              </w:rPr>
              <w:t>13</w:t>
            </w:r>
            <w:r>
              <w:rPr>
                <w:color w:val="000000"/>
              </w:rPr>
              <w:t>]</w:t>
            </w:r>
          </w:p>
        </w:tc>
        <w:tc>
          <w:tcPr>
            <w:tcW w:w="1773" w:type="dxa"/>
            <w:shd w:val="clear" w:color="auto" w:fill="auto"/>
          </w:tcPr>
          <w:p w:rsidRPr="007F620E" w:rsidR="0050494A" w:rsidP="0050494A" w:rsidRDefault="0050494A" w14:paraId="1058C996" w14:textId="114E55AF">
            <w:pPr>
              <w:spacing w:before="60" w:after="60"/>
              <w:rPr>
                <w:color w:val="000000"/>
              </w:rPr>
            </w:pPr>
            <w:r w:rsidRPr="00AD5983">
              <w:t xml:space="preserve"> $2,610.00 </w:t>
            </w:r>
          </w:p>
        </w:tc>
      </w:tr>
      <w:tr w:rsidRPr="007F620E" w:rsidR="00E3786F" w:rsidTr="008C09F7" w14:paraId="5930C231" w14:textId="77777777">
        <w:trPr>
          <w:jc w:val="center"/>
        </w:trPr>
        <w:tc>
          <w:tcPr>
            <w:tcW w:w="6768" w:type="dxa"/>
            <w:gridSpan w:val="12"/>
            <w:tcBorders>
              <w:bottom w:val="single" w:color="auto" w:sz="4" w:space="0"/>
              <w:right w:val="single" w:color="auto" w:sz="24" w:space="0"/>
            </w:tcBorders>
            <w:shd w:val="clear" w:color="auto" w:fill="auto"/>
            <w:vAlign w:val="bottom"/>
          </w:tcPr>
          <w:p w:rsidR="00E3786F" w:rsidP="00B907C0" w:rsidRDefault="00E3786F" w14:paraId="096E9E02" w14:textId="66FB04A1">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r w:rsidR="00620CC5">
              <w:rPr>
                <w:b/>
                <w:i/>
                <w:color w:val="000000"/>
              </w:rPr>
              <w:t>70,782</w:t>
            </w:r>
            <w:r w:rsidR="000E3AAB">
              <w:rPr>
                <w:b/>
                <w:i/>
                <w:color w:val="000000"/>
              </w:rPr>
              <w:t>40</w:t>
            </w:r>
            <w:r w:rsidR="00652C6C">
              <w:rPr>
                <w:rStyle w:val="FootnoteReference"/>
                <w:b/>
                <w:i/>
                <w:color w:val="000000"/>
              </w:rPr>
              <w:footnoteReference w:id="11"/>
            </w:r>
          </w:p>
          <w:p w:rsidR="001B3040" w:rsidP="00B907C0" w:rsidRDefault="001B3040" w14:paraId="73B07B08" w14:textId="77777777">
            <w:pPr>
              <w:tabs>
                <w:tab w:val="left" w:pos="957"/>
              </w:tabs>
              <w:spacing w:before="60" w:after="60"/>
              <w:ind w:right="162"/>
              <w:jc w:val="right"/>
              <w:rPr>
                <w:b/>
                <w:i/>
                <w:color w:val="000000"/>
              </w:rPr>
            </w:pPr>
          </w:p>
          <w:p w:rsidR="001B3040" w:rsidP="00B907C0" w:rsidRDefault="001B3040" w14:paraId="546CC69C" w14:textId="77777777">
            <w:pPr>
              <w:tabs>
                <w:tab w:val="left" w:pos="957"/>
              </w:tabs>
              <w:spacing w:before="60" w:after="60"/>
              <w:ind w:right="162"/>
              <w:jc w:val="right"/>
              <w:rPr>
                <w:b/>
                <w:i/>
                <w:color w:val="000000"/>
              </w:rPr>
            </w:pPr>
            <w:r>
              <w:rPr>
                <w:b/>
                <w:i/>
                <w:color w:val="000000"/>
              </w:rPr>
              <w:t>Mendocino: $5,371.9</w:t>
            </w:r>
            <w:r w:rsidR="00DB28A1">
              <w:rPr>
                <w:b/>
                <w:i/>
                <w:color w:val="000000"/>
              </w:rPr>
              <w:t>0</w:t>
            </w:r>
          </w:p>
          <w:p w:rsidR="001B3040" w:rsidP="00B907C0" w:rsidRDefault="001B3040" w14:paraId="6C0C2D4E" w14:textId="77777777">
            <w:pPr>
              <w:tabs>
                <w:tab w:val="left" w:pos="957"/>
              </w:tabs>
              <w:spacing w:before="60" w:after="60"/>
              <w:ind w:right="162"/>
              <w:jc w:val="right"/>
              <w:rPr>
                <w:b/>
                <w:i/>
                <w:color w:val="000000"/>
              </w:rPr>
            </w:pPr>
            <w:r>
              <w:rPr>
                <w:b/>
                <w:i/>
                <w:color w:val="000000"/>
              </w:rPr>
              <w:t>Napa: $2</w:t>
            </w:r>
            <w:r w:rsidR="00620CC5">
              <w:rPr>
                <w:b/>
                <w:i/>
                <w:color w:val="000000"/>
              </w:rPr>
              <w:t>6,324.</w:t>
            </w:r>
            <w:r w:rsidR="00DB28A1">
              <w:rPr>
                <w:b/>
                <w:i/>
                <w:color w:val="000000"/>
              </w:rPr>
              <w:t>64</w:t>
            </w:r>
          </w:p>
          <w:p w:rsidR="001B3040" w:rsidP="00B907C0" w:rsidRDefault="001B3040" w14:paraId="2A32F2FD" w14:textId="77777777">
            <w:pPr>
              <w:tabs>
                <w:tab w:val="left" w:pos="957"/>
              </w:tabs>
              <w:spacing w:before="60" w:after="60"/>
              <w:ind w:right="162"/>
              <w:jc w:val="right"/>
              <w:rPr>
                <w:b/>
                <w:i/>
                <w:color w:val="000000"/>
              </w:rPr>
            </w:pPr>
            <w:r>
              <w:rPr>
                <w:b/>
                <w:i/>
                <w:color w:val="000000"/>
              </w:rPr>
              <w:t>Sonoma: $28,</w:t>
            </w:r>
            <w:r w:rsidR="00DB28A1">
              <w:rPr>
                <w:b/>
                <w:i/>
                <w:color w:val="000000"/>
              </w:rPr>
              <w:t>225.50</w:t>
            </w:r>
          </w:p>
          <w:p w:rsidRPr="00374FD1" w:rsidR="001B3040" w:rsidP="00DB28A1" w:rsidRDefault="001B3040" w14:paraId="7FA08BE1" w14:textId="77777777">
            <w:pPr>
              <w:tabs>
                <w:tab w:val="left" w:pos="957"/>
              </w:tabs>
              <w:spacing w:before="60" w:after="60"/>
              <w:ind w:right="162"/>
              <w:jc w:val="right"/>
              <w:rPr>
                <w:b/>
                <w:i/>
                <w:color w:val="000000"/>
              </w:rPr>
            </w:pPr>
            <w:r>
              <w:rPr>
                <w:b/>
                <w:i/>
                <w:color w:val="000000"/>
              </w:rPr>
              <w:t>Santa Rosa: $10,</w:t>
            </w:r>
            <w:r w:rsidR="00DB28A1">
              <w:rPr>
                <w:b/>
                <w:i/>
                <w:color w:val="000000"/>
              </w:rPr>
              <w:t>860.36</w:t>
            </w:r>
          </w:p>
        </w:tc>
        <w:tc>
          <w:tcPr>
            <w:tcW w:w="3753" w:type="dxa"/>
            <w:gridSpan w:val="3"/>
            <w:tcBorders>
              <w:left w:val="single" w:color="auto" w:sz="24" w:space="0"/>
              <w:bottom w:val="single" w:color="auto" w:sz="4" w:space="0"/>
            </w:tcBorders>
            <w:shd w:val="clear" w:color="auto" w:fill="auto"/>
            <w:vAlign w:val="bottom"/>
          </w:tcPr>
          <w:p w:rsidRPr="00910434" w:rsidR="00376DF1" w:rsidP="00376DF1" w:rsidRDefault="00E3786F" w14:paraId="038B4BEE" w14:textId="54A49E7B">
            <w:pPr>
              <w:tabs>
                <w:tab w:val="left" w:pos="957"/>
              </w:tabs>
              <w:spacing w:before="60" w:after="60"/>
              <w:ind w:right="162"/>
              <w:jc w:val="right"/>
              <w:rPr>
                <w:bCs/>
                <w:iCs/>
                <w:color w:val="000000"/>
              </w:rPr>
            </w:pPr>
            <w:r w:rsidRPr="00910434">
              <w:rPr>
                <w:bCs/>
                <w:iCs/>
                <w:color w:val="000000"/>
              </w:rPr>
              <w:t xml:space="preserve">Subtotal: </w:t>
            </w:r>
            <w:r w:rsidRPr="004333D1" w:rsidR="004333D1">
              <w:rPr>
                <w:bCs/>
                <w:iCs/>
                <w:color w:val="000000"/>
              </w:rPr>
              <w:t>$68,996.90</w:t>
            </w:r>
          </w:p>
          <w:p w:rsidR="00376DF1" w:rsidP="003B6A1B" w:rsidRDefault="00376DF1" w14:paraId="5BEF1056" w14:textId="77777777">
            <w:pPr>
              <w:tabs>
                <w:tab w:val="left" w:pos="957"/>
              </w:tabs>
              <w:spacing w:before="60" w:after="60"/>
              <w:ind w:right="162"/>
              <w:jc w:val="right"/>
              <w:rPr>
                <w:b/>
                <w:color w:val="000000"/>
              </w:rPr>
            </w:pPr>
          </w:p>
          <w:p w:rsidRPr="005655C1" w:rsidR="00166F2C" w:rsidP="00166F2C" w:rsidRDefault="00166F2C" w14:paraId="79AFB132" w14:textId="732797E9">
            <w:pPr>
              <w:tabs>
                <w:tab w:val="left" w:pos="957"/>
              </w:tabs>
              <w:spacing w:before="60" w:after="60"/>
              <w:ind w:right="162"/>
              <w:jc w:val="right"/>
              <w:rPr>
                <w:bCs/>
                <w:color w:val="000000"/>
              </w:rPr>
            </w:pPr>
            <w:r w:rsidRPr="005655C1">
              <w:rPr>
                <w:bCs/>
                <w:color w:val="000000"/>
              </w:rPr>
              <w:t>Mendocino:</w:t>
            </w:r>
            <w:r w:rsidR="00F43124">
              <w:rPr>
                <w:bCs/>
                <w:color w:val="000000"/>
              </w:rPr>
              <w:t xml:space="preserve"> </w:t>
            </w:r>
            <w:r w:rsidR="00343365">
              <w:rPr>
                <w:bCs/>
                <w:color w:val="000000"/>
              </w:rPr>
              <w:t>$5,371.90</w:t>
            </w:r>
          </w:p>
          <w:p w:rsidRPr="005655C1" w:rsidR="00376DF1" w:rsidP="003B6A1B" w:rsidRDefault="00166F2C" w14:paraId="06A43647" w14:textId="482863AC">
            <w:pPr>
              <w:tabs>
                <w:tab w:val="left" w:pos="957"/>
              </w:tabs>
              <w:spacing w:before="60" w:after="60"/>
              <w:ind w:right="162"/>
              <w:jc w:val="right"/>
              <w:rPr>
                <w:bCs/>
                <w:color w:val="000000"/>
              </w:rPr>
            </w:pPr>
            <w:r w:rsidRPr="005655C1">
              <w:rPr>
                <w:bCs/>
                <w:color w:val="000000"/>
              </w:rPr>
              <w:t>Napa:</w:t>
            </w:r>
            <w:r w:rsidR="00F43124">
              <w:rPr>
                <w:bCs/>
                <w:color w:val="000000"/>
              </w:rPr>
              <w:t xml:space="preserve"> $</w:t>
            </w:r>
            <w:r w:rsidRPr="000215FB" w:rsidR="000215FB">
              <w:rPr>
                <w:bCs/>
                <w:color w:val="000000"/>
              </w:rPr>
              <w:t>2</w:t>
            </w:r>
            <w:r w:rsidR="007806A6">
              <w:rPr>
                <w:bCs/>
                <w:color w:val="000000"/>
              </w:rPr>
              <w:t>4,554.64</w:t>
            </w:r>
          </w:p>
          <w:p w:rsidRPr="005655C1" w:rsidR="00376DF1" w:rsidP="003B6A1B" w:rsidRDefault="00166F2C" w14:paraId="047BD0F3" w14:textId="01918A57">
            <w:pPr>
              <w:tabs>
                <w:tab w:val="left" w:pos="957"/>
              </w:tabs>
              <w:spacing w:before="60" w:after="60"/>
              <w:ind w:right="162"/>
              <w:jc w:val="right"/>
              <w:rPr>
                <w:bCs/>
                <w:color w:val="000000"/>
              </w:rPr>
            </w:pPr>
            <w:r w:rsidRPr="005655C1">
              <w:rPr>
                <w:bCs/>
                <w:color w:val="000000"/>
              </w:rPr>
              <w:t>Sonoma:</w:t>
            </w:r>
            <w:r w:rsidR="00F43124">
              <w:rPr>
                <w:bCs/>
                <w:color w:val="000000"/>
              </w:rPr>
              <w:t xml:space="preserve"> </w:t>
            </w:r>
            <w:r w:rsidRPr="00A404EF" w:rsidR="00A404EF">
              <w:rPr>
                <w:bCs/>
                <w:color w:val="000000"/>
              </w:rPr>
              <w:t>$28,225.50</w:t>
            </w:r>
          </w:p>
          <w:p w:rsidRPr="007F620E" w:rsidR="00343365" w:rsidP="005655C1" w:rsidRDefault="00166F2C" w14:paraId="4D232AE0" w14:textId="76613DB7">
            <w:pPr>
              <w:tabs>
                <w:tab w:val="left" w:pos="957"/>
              </w:tabs>
              <w:spacing w:before="60" w:after="60"/>
              <w:ind w:right="162"/>
              <w:jc w:val="right"/>
              <w:rPr>
                <w:color w:val="000000"/>
              </w:rPr>
            </w:pPr>
            <w:r>
              <w:rPr>
                <w:color w:val="000000"/>
              </w:rPr>
              <w:t xml:space="preserve">Santa Rosa: </w:t>
            </w:r>
            <w:r w:rsidR="00F43124">
              <w:rPr>
                <w:color w:val="000000"/>
              </w:rPr>
              <w:t>$</w:t>
            </w:r>
            <w:r w:rsidRPr="00474999" w:rsidR="00474999">
              <w:rPr>
                <w:color w:val="000000"/>
              </w:rPr>
              <w:t>10,854.86</w:t>
            </w:r>
          </w:p>
        </w:tc>
      </w:tr>
      <w:tr w:rsidRPr="007F620E" w:rsidR="00A92D0B" w:rsidTr="008C09F7" w14:paraId="0C369EB6" w14:textId="77777777">
        <w:trPr>
          <w:jc w:val="center"/>
        </w:trPr>
        <w:tc>
          <w:tcPr>
            <w:tcW w:w="10521" w:type="dxa"/>
            <w:gridSpan w:val="15"/>
            <w:tcBorders>
              <w:top w:val="single" w:color="auto" w:sz="4" w:space="0"/>
              <w:left w:val="single" w:color="auto" w:sz="4" w:space="0"/>
              <w:bottom w:val="single" w:color="auto" w:sz="4" w:space="0"/>
              <w:right w:val="single" w:color="auto" w:sz="4" w:space="0"/>
            </w:tcBorders>
            <w:shd w:val="clear" w:color="auto" w:fill="E6E6E6"/>
          </w:tcPr>
          <w:p w:rsidRPr="007F620E" w:rsidR="00A92D0B" w:rsidP="00A92D0B" w:rsidRDefault="00A92D0B" w14:paraId="6C51765C" w14:textId="77777777">
            <w:pPr>
              <w:spacing w:before="60" w:after="60"/>
              <w:jc w:val="center"/>
              <w:rPr>
                <w:color w:val="000000"/>
              </w:rPr>
            </w:pPr>
            <w:r w:rsidRPr="007F620E">
              <w:rPr>
                <w:b/>
                <w:color w:val="000000"/>
              </w:rPr>
              <w:t xml:space="preserve">INTERVENOR COMPENSATION CLAIM PREPARATION </w:t>
            </w:r>
            <w:r w:rsidRPr="007F620E">
              <w:rPr>
                <w:b/>
                <w:smallCaps/>
                <w:color w:val="000000"/>
              </w:rPr>
              <w:t xml:space="preserve"> **</w:t>
            </w:r>
          </w:p>
        </w:tc>
      </w:tr>
      <w:tr w:rsidRPr="00260518" w:rsidR="00A92D0B" w:rsidTr="009A32D3" w14:paraId="6E4C8BBA" w14:textId="77777777">
        <w:trPr>
          <w:jc w:val="center"/>
        </w:trPr>
        <w:tc>
          <w:tcPr>
            <w:tcW w:w="1404" w:type="dxa"/>
            <w:gridSpan w:val="2"/>
            <w:tcBorders>
              <w:top w:val="single" w:color="auto" w:sz="4" w:space="0"/>
              <w:bottom w:val="single" w:color="auto" w:sz="4" w:space="0"/>
            </w:tcBorders>
            <w:shd w:val="clear" w:color="auto" w:fill="auto"/>
          </w:tcPr>
          <w:p w:rsidRPr="00260518" w:rsidR="00A92D0B" w:rsidP="00A92D0B" w:rsidRDefault="00A92D0B" w14:paraId="26736630" w14:textId="77777777">
            <w:pPr>
              <w:spacing w:before="60" w:after="60"/>
              <w:jc w:val="center"/>
              <w:rPr>
                <w:b/>
                <w:color w:val="000000"/>
                <w:sz w:val="22"/>
                <w:szCs w:val="22"/>
              </w:rPr>
            </w:pPr>
            <w:r w:rsidRPr="00260518">
              <w:rPr>
                <w:b/>
                <w:color w:val="000000"/>
                <w:sz w:val="22"/>
                <w:szCs w:val="22"/>
              </w:rPr>
              <w:t>Item</w:t>
            </w:r>
          </w:p>
        </w:tc>
        <w:tc>
          <w:tcPr>
            <w:tcW w:w="774" w:type="dxa"/>
            <w:gridSpan w:val="2"/>
            <w:tcBorders>
              <w:top w:val="single" w:color="auto" w:sz="4" w:space="0"/>
              <w:bottom w:val="single" w:color="auto" w:sz="4" w:space="0"/>
            </w:tcBorders>
            <w:shd w:val="clear" w:color="auto" w:fill="auto"/>
          </w:tcPr>
          <w:p w:rsidRPr="00260518" w:rsidR="00A92D0B" w:rsidP="00A92D0B" w:rsidRDefault="00A92D0B" w14:paraId="34241083" w14:textId="77777777">
            <w:pPr>
              <w:spacing w:before="60" w:after="60"/>
              <w:jc w:val="center"/>
              <w:rPr>
                <w:b/>
                <w:color w:val="000000"/>
                <w:sz w:val="22"/>
                <w:szCs w:val="22"/>
              </w:rPr>
            </w:pPr>
            <w:r w:rsidRPr="00260518">
              <w:rPr>
                <w:b/>
                <w:color w:val="000000"/>
                <w:sz w:val="22"/>
                <w:szCs w:val="22"/>
              </w:rPr>
              <w:t>Year</w:t>
            </w:r>
          </w:p>
        </w:tc>
        <w:tc>
          <w:tcPr>
            <w:tcW w:w="1013" w:type="dxa"/>
            <w:gridSpan w:val="3"/>
            <w:tcBorders>
              <w:top w:val="single" w:color="auto" w:sz="4" w:space="0"/>
              <w:bottom w:val="single" w:color="auto" w:sz="4" w:space="0"/>
            </w:tcBorders>
            <w:shd w:val="clear" w:color="auto" w:fill="auto"/>
          </w:tcPr>
          <w:p w:rsidRPr="00260518" w:rsidR="00A92D0B" w:rsidP="00A92D0B" w:rsidRDefault="00A92D0B" w14:paraId="669A3998" w14:textId="77777777">
            <w:pPr>
              <w:spacing w:before="60" w:after="60"/>
              <w:jc w:val="center"/>
              <w:rPr>
                <w:b/>
                <w:color w:val="000000"/>
                <w:sz w:val="22"/>
                <w:szCs w:val="22"/>
              </w:rPr>
            </w:pPr>
            <w:r w:rsidRPr="00260518">
              <w:rPr>
                <w:b/>
                <w:color w:val="000000"/>
                <w:sz w:val="22"/>
                <w:szCs w:val="22"/>
              </w:rPr>
              <w:t>Hours</w:t>
            </w:r>
          </w:p>
        </w:tc>
        <w:tc>
          <w:tcPr>
            <w:tcW w:w="697" w:type="dxa"/>
            <w:tcBorders>
              <w:top w:val="single" w:color="auto" w:sz="4" w:space="0"/>
              <w:bottom w:val="single" w:color="auto" w:sz="4" w:space="0"/>
            </w:tcBorders>
            <w:shd w:val="clear" w:color="auto" w:fill="auto"/>
          </w:tcPr>
          <w:p w:rsidRPr="00260518" w:rsidR="00A92D0B" w:rsidP="00A92D0B" w:rsidRDefault="00A92D0B" w14:paraId="45A06B6A" w14:textId="77777777">
            <w:pPr>
              <w:spacing w:before="60" w:after="60"/>
              <w:jc w:val="center"/>
              <w:rPr>
                <w:b/>
                <w:color w:val="000000"/>
                <w:sz w:val="22"/>
                <w:szCs w:val="22"/>
              </w:rPr>
            </w:pPr>
            <w:r w:rsidRPr="00260518">
              <w:rPr>
                <w:b/>
                <w:color w:val="000000"/>
                <w:sz w:val="22"/>
                <w:szCs w:val="22"/>
              </w:rPr>
              <w:t>Rate</w:t>
            </w:r>
            <w:r w:rsidRPr="00260518" w:rsidR="00380703">
              <w:rPr>
                <w:b/>
                <w:color w:val="000000"/>
                <w:sz w:val="22"/>
                <w:szCs w:val="22"/>
              </w:rPr>
              <w:t xml:space="preserve"> $</w:t>
            </w:r>
            <w:r w:rsidRPr="00260518">
              <w:rPr>
                <w:b/>
                <w:color w:val="000000"/>
                <w:sz w:val="22"/>
                <w:szCs w:val="22"/>
              </w:rPr>
              <w:t xml:space="preserve"> </w:t>
            </w:r>
          </w:p>
        </w:tc>
        <w:tc>
          <w:tcPr>
            <w:tcW w:w="1386" w:type="dxa"/>
            <w:gridSpan w:val="2"/>
            <w:tcBorders>
              <w:top w:val="single" w:color="auto" w:sz="4" w:space="0"/>
              <w:bottom w:val="single" w:color="auto" w:sz="4" w:space="0"/>
              <w:right w:val="single" w:color="auto" w:sz="4" w:space="0"/>
            </w:tcBorders>
            <w:shd w:val="clear" w:color="auto" w:fill="auto"/>
          </w:tcPr>
          <w:p w:rsidRPr="00260518" w:rsidR="00A92D0B" w:rsidP="00A92D0B" w:rsidRDefault="00A92D0B" w14:paraId="36458A44" w14:textId="77777777">
            <w:pPr>
              <w:spacing w:before="60" w:after="60"/>
              <w:jc w:val="center"/>
              <w:rPr>
                <w:b/>
                <w:color w:val="000000"/>
                <w:sz w:val="22"/>
                <w:szCs w:val="22"/>
              </w:rPr>
            </w:pPr>
            <w:r w:rsidRPr="00260518">
              <w:rPr>
                <w:b/>
                <w:color w:val="000000"/>
                <w:sz w:val="22"/>
                <w:szCs w:val="22"/>
              </w:rPr>
              <w:t>Basis for Rate*</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260518" w:rsidR="00A92D0B" w:rsidP="00A92D0B" w:rsidRDefault="00A92D0B" w14:paraId="24D6147E" w14:textId="77777777">
            <w:pPr>
              <w:spacing w:before="60" w:after="60"/>
              <w:jc w:val="center"/>
              <w:rPr>
                <w:b/>
                <w:color w:val="000000"/>
                <w:sz w:val="22"/>
                <w:szCs w:val="22"/>
              </w:rPr>
            </w:pPr>
            <w:r w:rsidRPr="00260518">
              <w:rPr>
                <w:b/>
                <w:color w:val="000000"/>
                <w:sz w:val="22"/>
                <w:szCs w:val="22"/>
              </w:rPr>
              <w:t>Total $</w:t>
            </w:r>
          </w:p>
        </w:tc>
        <w:tc>
          <w:tcPr>
            <w:tcW w:w="900" w:type="dxa"/>
            <w:tcBorders>
              <w:top w:val="single" w:color="auto" w:sz="4" w:space="0"/>
              <w:left w:val="single" w:color="auto" w:sz="4" w:space="0"/>
            </w:tcBorders>
            <w:shd w:val="clear" w:color="auto" w:fill="auto"/>
          </w:tcPr>
          <w:p w:rsidRPr="00260518" w:rsidR="00A92D0B" w:rsidP="00A92D0B" w:rsidRDefault="00A92D0B" w14:paraId="43DCEBAE" w14:textId="77777777">
            <w:pPr>
              <w:spacing w:before="60" w:after="60"/>
              <w:jc w:val="center"/>
              <w:rPr>
                <w:b/>
                <w:color w:val="000000"/>
                <w:sz w:val="22"/>
                <w:szCs w:val="22"/>
              </w:rPr>
            </w:pPr>
            <w:r w:rsidRPr="00260518">
              <w:rPr>
                <w:b/>
                <w:color w:val="000000"/>
                <w:sz w:val="22"/>
                <w:szCs w:val="22"/>
              </w:rPr>
              <w:t>Hours</w:t>
            </w:r>
          </w:p>
        </w:tc>
        <w:tc>
          <w:tcPr>
            <w:tcW w:w="1080" w:type="dxa"/>
            <w:tcBorders>
              <w:top w:val="single" w:color="auto" w:sz="4" w:space="0"/>
            </w:tcBorders>
            <w:shd w:val="clear" w:color="auto" w:fill="auto"/>
          </w:tcPr>
          <w:p w:rsidRPr="00260518" w:rsidR="00A92D0B" w:rsidP="00A92D0B" w:rsidRDefault="00A92D0B" w14:paraId="0D4A5E1C" w14:textId="77777777">
            <w:pPr>
              <w:spacing w:before="60" w:after="60"/>
              <w:jc w:val="center"/>
              <w:rPr>
                <w:b/>
                <w:color w:val="000000"/>
                <w:sz w:val="22"/>
                <w:szCs w:val="22"/>
              </w:rPr>
            </w:pPr>
            <w:r w:rsidRPr="00260518">
              <w:rPr>
                <w:b/>
                <w:color w:val="000000"/>
                <w:sz w:val="22"/>
                <w:szCs w:val="22"/>
              </w:rPr>
              <w:t xml:space="preserve">Rate </w:t>
            </w:r>
          </w:p>
        </w:tc>
        <w:tc>
          <w:tcPr>
            <w:tcW w:w="1773" w:type="dxa"/>
            <w:tcBorders>
              <w:top w:val="single" w:color="auto" w:sz="4" w:space="0"/>
            </w:tcBorders>
            <w:shd w:val="clear" w:color="auto" w:fill="auto"/>
          </w:tcPr>
          <w:p w:rsidRPr="00260518" w:rsidR="00A92D0B" w:rsidP="00A92D0B" w:rsidRDefault="00A92D0B" w14:paraId="79092139" w14:textId="77777777">
            <w:pPr>
              <w:spacing w:before="60" w:after="60"/>
              <w:jc w:val="center"/>
              <w:rPr>
                <w:b/>
                <w:color w:val="000000"/>
                <w:sz w:val="22"/>
                <w:szCs w:val="22"/>
              </w:rPr>
            </w:pPr>
            <w:r w:rsidRPr="00260518">
              <w:rPr>
                <w:b/>
                <w:color w:val="000000"/>
                <w:sz w:val="22"/>
                <w:szCs w:val="22"/>
              </w:rPr>
              <w:t>Total $</w:t>
            </w:r>
          </w:p>
        </w:tc>
      </w:tr>
      <w:tr w:rsidRPr="007F620E" w:rsidR="00424ACD" w:rsidTr="00424ACD" w14:paraId="0CD10E97" w14:textId="77777777">
        <w:trPr>
          <w:jc w:val="center"/>
        </w:trPr>
        <w:tc>
          <w:tcPr>
            <w:tcW w:w="1404" w:type="dxa"/>
            <w:gridSpan w:val="2"/>
            <w:shd w:val="clear" w:color="auto" w:fill="auto"/>
          </w:tcPr>
          <w:p w:rsidRPr="007F620E" w:rsidR="00424ACD" w:rsidP="00424ACD" w:rsidRDefault="00424ACD" w14:paraId="099960E0" w14:textId="77777777">
            <w:pPr>
              <w:spacing w:before="60" w:after="60"/>
              <w:rPr>
                <w:color w:val="000000"/>
              </w:rPr>
            </w:pPr>
            <w:r>
              <w:rPr>
                <w:color w:val="000000"/>
              </w:rPr>
              <w:t>Megan Somogyi</w:t>
            </w:r>
          </w:p>
        </w:tc>
        <w:tc>
          <w:tcPr>
            <w:tcW w:w="774" w:type="dxa"/>
            <w:gridSpan w:val="2"/>
            <w:shd w:val="clear" w:color="auto" w:fill="auto"/>
          </w:tcPr>
          <w:p w:rsidRPr="007F620E" w:rsidR="00424ACD" w:rsidP="00424ACD" w:rsidRDefault="00424ACD" w14:paraId="5C26200E" w14:textId="77777777">
            <w:pPr>
              <w:spacing w:before="60" w:after="60"/>
              <w:rPr>
                <w:color w:val="000000"/>
              </w:rPr>
            </w:pPr>
            <w:r>
              <w:rPr>
                <w:color w:val="000000"/>
              </w:rPr>
              <w:t>2019</w:t>
            </w:r>
          </w:p>
        </w:tc>
        <w:tc>
          <w:tcPr>
            <w:tcW w:w="1013" w:type="dxa"/>
            <w:gridSpan w:val="3"/>
            <w:shd w:val="clear" w:color="auto" w:fill="auto"/>
          </w:tcPr>
          <w:p w:rsidR="00424ACD" w:rsidP="00424ACD" w:rsidRDefault="00424ACD" w14:paraId="3DA89925" w14:textId="77777777">
            <w:pPr>
              <w:spacing w:before="60" w:after="60"/>
              <w:rPr>
                <w:color w:val="000000"/>
              </w:rPr>
            </w:pPr>
            <w:r>
              <w:rPr>
                <w:color w:val="000000"/>
              </w:rPr>
              <w:t>2.15 (NOI)</w:t>
            </w:r>
          </w:p>
          <w:p w:rsidRPr="007F620E" w:rsidR="00424ACD" w:rsidP="00424ACD" w:rsidRDefault="00424ACD" w14:paraId="0807F50A" w14:textId="77777777">
            <w:pPr>
              <w:spacing w:before="60" w:after="60"/>
              <w:rPr>
                <w:color w:val="000000"/>
              </w:rPr>
            </w:pPr>
            <w:r>
              <w:rPr>
                <w:color w:val="000000"/>
              </w:rPr>
              <w:t>25.41 (claim)</w:t>
            </w:r>
          </w:p>
        </w:tc>
        <w:tc>
          <w:tcPr>
            <w:tcW w:w="697" w:type="dxa"/>
            <w:shd w:val="clear" w:color="auto" w:fill="auto"/>
          </w:tcPr>
          <w:p w:rsidRPr="007F620E" w:rsidR="00424ACD" w:rsidP="00424ACD" w:rsidRDefault="00424ACD" w14:paraId="345036E2" w14:textId="77777777">
            <w:pPr>
              <w:spacing w:before="60" w:after="60"/>
              <w:rPr>
                <w:color w:val="000000"/>
              </w:rPr>
            </w:pPr>
            <w:r>
              <w:rPr>
                <w:color w:val="000000"/>
              </w:rPr>
              <w:t>$175</w:t>
            </w:r>
          </w:p>
        </w:tc>
        <w:tc>
          <w:tcPr>
            <w:tcW w:w="1386" w:type="dxa"/>
            <w:gridSpan w:val="2"/>
            <w:tcBorders>
              <w:right w:val="single" w:color="auto" w:sz="4" w:space="0"/>
            </w:tcBorders>
            <w:shd w:val="clear" w:color="auto" w:fill="auto"/>
          </w:tcPr>
          <w:p w:rsidRPr="007F620E" w:rsidR="00424ACD" w:rsidP="00424ACD" w:rsidRDefault="00424ACD" w14:paraId="04564310" w14:textId="77777777">
            <w:pPr>
              <w:spacing w:before="60" w:after="60"/>
              <w:rPr>
                <w:color w:val="000000"/>
              </w:rPr>
            </w:pPr>
            <w:r>
              <w:rPr>
                <w:color w:val="000000"/>
              </w:rPr>
              <w:t>½ of requested hourly</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424ACD" w:rsidP="00424ACD" w:rsidRDefault="00424ACD" w14:paraId="7C5770CF" w14:textId="77777777">
            <w:pPr>
              <w:spacing w:before="60" w:after="60"/>
              <w:rPr>
                <w:color w:val="000000"/>
              </w:rPr>
            </w:pPr>
            <w:r>
              <w:rPr>
                <w:color w:val="000000"/>
              </w:rPr>
              <w:t>$4,823.00</w:t>
            </w:r>
          </w:p>
        </w:tc>
        <w:tc>
          <w:tcPr>
            <w:tcW w:w="900" w:type="dxa"/>
            <w:tcBorders>
              <w:left w:val="single" w:color="auto" w:sz="4" w:space="0"/>
              <w:right w:val="single" w:color="auto" w:sz="4" w:space="0"/>
            </w:tcBorders>
            <w:shd w:val="clear" w:color="auto" w:fill="auto"/>
          </w:tcPr>
          <w:p w:rsidRPr="007F620E" w:rsidR="00424ACD" w:rsidP="00424ACD" w:rsidRDefault="00424ACD" w14:paraId="418FB7A6" w14:textId="2A8BEDC6">
            <w:pPr>
              <w:spacing w:before="60" w:after="60"/>
              <w:rPr>
                <w:color w:val="000000"/>
              </w:rPr>
            </w:pPr>
            <w:r>
              <w:rPr>
                <w:color w:val="000000"/>
              </w:rPr>
              <w:t>0</w:t>
            </w:r>
            <w:r w:rsidR="004A4447">
              <w:rPr>
                <w:color w:val="000000"/>
              </w:rPr>
              <w:t xml:space="preserve"> </w:t>
            </w:r>
            <w:r>
              <w:rPr>
                <w:color w:val="000000"/>
              </w:rPr>
              <w:t>[</w:t>
            </w:r>
            <w:r w:rsidR="001771A8">
              <w:rPr>
                <w:color w:val="000000"/>
              </w:rPr>
              <w:t>2</w:t>
            </w:r>
            <w:r>
              <w:rPr>
                <w:color w:val="000000"/>
              </w:rPr>
              <w:t>]</w:t>
            </w:r>
          </w:p>
        </w:tc>
        <w:tc>
          <w:tcPr>
            <w:tcW w:w="1080" w:type="dxa"/>
            <w:tcBorders>
              <w:left w:val="single" w:color="auto" w:sz="4" w:space="0"/>
            </w:tcBorders>
            <w:shd w:val="clear" w:color="auto" w:fill="auto"/>
          </w:tcPr>
          <w:p w:rsidRPr="007F620E" w:rsidR="00424ACD" w:rsidP="00424ACD" w:rsidRDefault="00424ACD" w14:paraId="41853E49" w14:textId="6473B474">
            <w:pPr>
              <w:spacing w:before="60" w:after="60"/>
              <w:rPr>
                <w:color w:val="000000"/>
              </w:rPr>
            </w:pPr>
            <w:r>
              <w:rPr>
                <w:color w:val="000000"/>
              </w:rPr>
              <w:t>$0</w:t>
            </w:r>
            <w:r w:rsidR="00342491">
              <w:rPr>
                <w:color w:val="000000"/>
              </w:rPr>
              <w:t>.00</w:t>
            </w:r>
          </w:p>
        </w:tc>
        <w:tc>
          <w:tcPr>
            <w:tcW w:w="1773" w:type="dxa"/>
            <w:shd w:val="clear" w:color="auto" w:fill="auto"/>
            <w:vAlign w:val="center"/>
          </w:tcPr>
          <w:p w:rsidRPr="007F620E" w:rsidR="00424ACD" w:rsidP="00424ACD" w:rsidRDefault="00424ACD" w14:paraId="2FB34E56" w14:textId="332744DB">
            <w:pPr>
              <w:spacing w:before="60" w:after="60"/>
              <w:rPr>
                <w:color w:val="000000"/>
              </w:rPr>
            </w:pPr>
            <w:r>
              <w:rPr>
                <w:color w:val="000000"/>
              </w:rPr>
              <w:t xml:space="preserve">$0.00 </w:t>
            </w:r>
          </w:p>
        </w:tc>
      </w:tr>
      <w:tr w:rsidRPr="007F620E" w:rsidR="00424ACD" w:rsidTr="00424ACD" w14:paraId="55C8BAA5" w14:textId="77777777">
        <w:trPr>
          <w:jc w:val="center"/>
        </w:trPr>
        <w:tc>
          <w:tcPr>
            <w:tcW w:w="1404" w:type="dxa"/>
            <w:gridSpan w:val="2"/>
            <w:shd w:val="clear" w:color="auto" w:fill="auto"/>
          </w:tcPr>
          <w:p w:rsidR="00424ACD" w:rsidP="00424ACD" w:rsidRDefault="00424ACD" w14:paraId="6802A397" w14:textId="060731C6">
            <w:pPr>
              <w:spacing w:before="60" w:after="60"/>
              <w:rPr>
                <w:color w:val="000000"/>
              </w:rPr>
            </w:pPr>
            <w:r>
              <w:rPr>
                <w:color w:val="000000"/>
              </w:rPr>
              <w:t>Megan Somogyi</w:t>
            </w:r>
          </w:p>
        </w:tc>
        <w:tc>
          <w:tcPr>
            <w:tcW w:w="774" w:type="dxa"/>
            <w:gridSpan w:val="2"/>
            <w:shd w:val="clear" w:color="auto" w:fill="auto"/>
          </w:tcPr>
          <w:p w:rsidR="00424ACD" w:rsidP="00424ACD" w:rsidRDefault="00424ACD" w14:paraId="484AD429" w14:textId="3B7014B8">
            <w:pPr>
              <w:spacing w:before="60" w:after="60"/>
              <w:rPr>
                <w:color w:val="000000"/>
              </w:rPr>
            </w:pPr>
            <w:r>
              <w:rPr>
                <w:color w:val="000000"/>
              </w:rPr>
              <w:t>2018</w:t>
            </w:r>
          </w:p>
        </w:tc>
        <w:tc>
          <w:tcPr>
            <w:tcW w:w="1013" w:type="dxa"/>
            <w:gridSpan w:val="3"/>
            <w:shd w:val="clear" w:color="auto" w:fill="auto"/>
          </w:tcPr>
          <w:p w:rsidR="00424ACD" w:rsidP="00424ACD" w:rsidRDefault="00424ACD" w14:paraId="79BA0FD8" w14:textId="77777777">
            <w:pPr>
              <w:spacing w:before="60" w:after="60"/>
              <w:rPr>
                <w:color w:val="000000"/>
              </w:rPr>
            </w:pPr>
          </w:p>
        </w:tc>
        <w:tc>
          <w:tcPr>
            <w:tcW w:w="697" w:type="dxa"/>
            <w:shd w:val="clear" w:color="auto" w:fill="auto"/>
          </w:tcPr>
          <w:p w:rsidR="00424ACD" w:rsidP="00424ACD" w:rsidRDefault="00424ACD" w14:paraId="71FEC155" w14:textId="77777777">
            <w:pPr>
              <w:spacing w:before="60" w:after="60"/>
              <w:rPr>
                <w:color w:val="000000"/>
              </w:rPr>
            </w:pPr>
          </w:p>
        </w:tc>
        <w:tc>
          <w:tcPr>
            <w:tcW w:w="1386" w:type="dxa"/>
            <w:gridSpan w:val="2"/>
            <w:tcBorders>
              <w:right w:val="single" w:color="auto" w:sz="4" w:space="0"/>
            </w:tcBorders>
            <w:shd w:val="clear" w:color="auto" w:fill="auto"/>
          </w:tcPr>
          <w:p w:rsidR="00424ACD" w:rsidP="00424ACD" w:rsidRDefault="00424ACD" w14:paraId="554BE16C" w14:textId="77777777">
            <w:pPr>
              <w:spacing w:before="60" w:after="60"/>
              <w:rPr>
                <w:color w:val="000000"/>
              </w:rPr>
            </w:pP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00424ACD" w:rsidP="00424ACD" w:rsidRDefault="00424ACD" w14:paraId="5B13DCB3" w14:textId="77777777">
            <w:pPr>
              <w:spacing w:before="60" w:after="60"/>
              <w:rPr>
                <w:color w:val="000000"/>
              </w:rPr>
            </w:pPr>
          </w:p>
        </w:tc>
        <w:tc>
          <w:tcPr>
            <w:tcW w:w="900" w:type="dxa"/>
            <w:tcBorders>
              <w:left w:val="single" w:color="auto" w:sz="4" w:space="0"/>
              <w:right w:val="single" w:color="auto" w:sz="4" w:space="0"/>
            </w:tcBorders>
            <w:shd w:val="clear" w:color="auto" w:fill="auto"/>
          </w:tcPr>
          <w:p w:rsidR="00424ACD" w:rsidP="00424ACD" w:rsidRDefault="00424ACD" w14:paraId="2406B185" w14:textId="211E37FB">
            <w:pPr>
              <w:spacing w:before="60" w:after="60"/>
              <w:rPr>
                <w:color w:val="000000"/>
              </w:rPr>
            </w:pPr>
            <w:r>
              <w:rPr>
                <w:color w:val="000000"/>
              </w:rPr>
              <w:t>2.15 [</w:t>
            </w:r>
            <w:r w:rsidR="001771A8">
              <w:rPr>
                <w:color w:val="000000"/>
              </w:rPr>
              <w:t>2</w:t>
            </w:r>
            <w:r>
              <w:rPr>
                <w:color w:val="000000"/>
              </w:rPr>
              <w:t>]</w:t>
            </w:r>
          </w:p>
        </w:tc>
        <w:tc>
          <w:tcPr>
            <w:tcW w:w="1080" w:type="dxa"/>
            <w:tcBorders>
              <w:left w:val="single" w:color="auto" w:sz="4" w:space="0"/>
            </w:tcBorders>
            <w:shd w:val="clear" w:color="auto" w:fill="auto"/>
          </w:tcPr>
          <w:p w:rsidR="00424ACD" w:rsidP="00424ACD" w:rsidRDefault="00424ACD" w14:paraId="2FD503C6" w14:textId="5D72A03D">
            <w:pPr>
              <w:spacing w:before="60" w:after="60"/>
              <w:rPr>
                <w:color w:val="000000"/>
              </w:rPr>
            </w:pPr>
            <w:r>
              <w:rPr>
                <w:color w:val="000000"/>
              </w:rPr>
              <w:t>$170</w:t>
            </w:r>
            <w:r w:rsidR="00342491">
              <w:rPr>
                <w:color w:val="000000"/>
              </w:rPr>
              <w:t>.00</w:t>
            </w:r>
          </w:p>
        </w:tc>
        <w:tc>
          <w:tcPr>
            <w:tcW w:w="1773" w:type="dxa"/>
            <w:shd w:val="clear" w:color="auto" w:fill="auto"/>
            <w:vAlign w:val="center"/>
          </w:tcPr>
          <w:p w:rsidR="00424ACD" w:rsidP="00424ACD" w:rsidRDefault="00424ACD" w14:paraId="19FE8F36" w14:textId="577E401C">
            <w:pPr>
              <w:spacing w:before="60" w:after="60"/>
              <w:rPr>
                <w:color w:val="000000"/>
              </w:rPr>
            </w:pPr>
            <w:r>
              <w:rPr>
                <w:color w:val="000000"/>
              </w:rPr>
              <w:t xml:space="preserve">$365.50 </w:t>
            </w:r>
          </w:p>
        </w:tc>
      </w:tr>
      <w:tr w:rsidRPr="007F620E" w:rsidR="00424ACD" w:rsidTr="00424ACD" w14:paraId="612BE0B6" w14:textId="77777777">
        <w:trPr>
          <w:jc w:val="center"/>
        </w:trPr>
        <w:tc>
          <w:tcPr>
            <w:tcW w:w="1404" w:type="dxa"/>
            <w:gridSpan w:val="2"/>
            <w:shd w:val="clear" w:color="auto" w:fill="auto"/>
          </w:tcPr>
          <w:p w:rsidR="00424ACD" w:rsidP="00424ACD" w:rsidRDefault="00424ACD" w14:paraId="1D4DC1B7" w14:textId="3FDCE255">
            <w:pPr>
              <w:spacing w:before="60" w:after="60"/>
              <w:rPr>
                <w:color w:val="000000"/>
              </w:rPr>
            </w:pPr>
            <w:r>
              <w:rPr>
                <w:color w:val="000000"/>
              </w:rPr>
              <w:t>Megan Somogyi</w:t>
            </w:r>
          </w:p>
        </w:tc>
        <w:tc>
          <w:tcPr>
            <w:tcW w:w="774" w:type="dxa"/>
            <w:gridSpan w:val="2"/>
            <w:shd w:val="clear" w:color="auto" w:fill="auto"/>
          </w:tcPr>
          <w:p w:rsidR="00424ACD" w:rsidP="00424ACD" w:rsidRDefault="00424ACD" w14:paraId="4B0D3C0F" w14:textId="5B22B257">
            <w:pPr>
              <w:spacing w:before="60" w:after="60"/>
              <w:rPr>
                <w:color w:val="000000"/>
              </w:rPr>
            </w:pPr>
            <w:r>
              <w:rPr>
                <w:color w:val="000000"/>
              </w:rPr>
              <w:t>2019</w:t>
            </w:r>
          </w:p>
        </w:tc>
        <w:tc>
          <w:tcPr>
            <w:tcW w:w="1013" w:type="dxa"/>
            <w:gridSpan w:val="3"/>
            <w:shd w:val="clear" w:color="auto" w:fill="auto"/>
          </w:tcPr>
          <w:p w:rsidR="00424ACD" w:rsidP="00424ACD" w:rsidRDefault="00424ACD" w14:paraId="55C5D63A" w14:textId="77777777">
            <w:pPr>
              <w:spacing w:before="60" w:after="60"/>
              <w:rPr>
                <w:color w:val="000000"/>
              </w:rPr>
            </w:pPr>
          </w:p>
        </w:tc>
        <w:tc>
          <w:tcPr>
            <w:tcW w:w="697" w:type="dxa"/>
            <w:shd w:val="clear" w:color="auto" w:fill="auto"/>
          </w:tcPr>
          <w:p w:rsidR="00424ACD" w:rsidP="00424ACD" w:rsidRDefault="00424ACD" w14:paraId="21B8538D" w14:textId="77777777">
            <w:pPr>
              <w:spacing w:before="60" w:after="60"/>
              <w:rPr>
                <w:color w:val="000000"/>
              </w:rPr>
            </w:pPr>
          </w:p>
        </w:tc>
        <w:tc>
          <w:tcPr>
            <w:tcW w:w="1386" w:type="dxa"/>
            <w:gridSpan w:val="2"/>
            <w:tcBorders>
              <w:right w:val="single" w:color="auto" w:sz="4" w:space="0"/>
            </w:tcBorders>
            <w:shd w:val="clear" w:color="auto" w:fill="auto"/>
          </w:tcPr>
          <w:p w:rsidR="00424ACD" w:rsidP="00424ACD" w:rsidRDefault="00424ACD" w14:paraId="376A11F4" w14:textId="77777777">
            <w:pPr>
              <w:spacing w:before="60" w:after="60"/>
              <w:rPr>
                <w:color w:val="000000"/>
              </w:rPr>
            </w:pP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00424ACD" w:rsidP="00424ACD" w:rsidRDefault="00424ACD" w14:paraId="7B3F8D49" w14:textId="77777777">
            <w:pPr>
              <w:spacing w:before="60" w:after="60"/>
              <w:rPr>
                <w:color w:val="000000"/>
              </w:rPr>
            </w:pPr>
          </w:p>
        </w:tc>
        <w:tc>
          <w:tcPr>
            <w:tcW w:w="900" w:type="dxa"/>
            <w:tcBorders>
              <w:left w:val="single" w:color="auto" w:sz="4" w:space="0"/>
              <w:right w:val="single" w:color="auto" w:sz="4" w:space="0"/>
            </w:tcBorders>
            <w:shd w:val="clear" w:color="auto" w:fill="auto"/>
          </w:tcPr>
          <w:p w:rsidR="00424ACD" w:rsidP="00424ACD" w:rsidRDefault="00424ACD" w14:paraId="501C2CF1" w14:textId="664803CD">
            <w:pPr>
              <w:spacing w:before="60" w:after="60"/>
              <w:rPr>
                <w:color w:val="000000"/>
              </w:rPr>
            </w:pPr>
            <w:r>
              <w:rPr>
                <w:color w:val="000000"/>
              </w:rPr>
              <w:t>25.41 [</w:t>
            </w:r>
            <w:r w:rsidR="001771A8">
              <w:rPr>
                <w:color w:val="000000"/>
              </w:rPr>
              <w:t>2</w:t>
            </w:r>
            <w:r>
              <w:rPr>
                <w:color w:val="000000"/>
              </w:rPr>
              <w:t>]</w:t>
            </w:r>
          </w:p>
        </w:tc>
        <w:tc>
          <w:tcPr>
            <w:tcW w:w="1080" w:type="dxa"/>
            <w:tcBorders>
              <w:left w:val="single" w:color="auto" w:sz="4" w:space="0"/>
            </w:tcBorders>
            <w:shd w:val="clear" w:color="auto" w:fill="auto"/>
          </w:tcPr>
          <w:p w:rsidR="00424ACD" w:rsidP="00424ACD" w:rsidRDefault="00424ACD" w14:paraId="63F50A77" w14:textId="46EAAD8E">
            <w:pPr>
              <w:spacing w:before="60" w:after="60"/>
              <w:rPr>
                <w:color w:val="000000"/>
              </w:rPr>
            </w:pPr>
            <w:r>
              <w:rPr>
                <w:color w:val="000000"/>
              </w:rPr>
              <w:t>$175</w:t>
            </w:r>
            <w:r w:rsidR="00342491">
              <w:rPr>
                <w:color w:val="000000"/>
              </w:rPr>
              <w:t>.00</w:t>
            </w:r>
            <w:r>
              <w:rPr>
                <w:color w:val="000000"/>
              </w:rPr>
              <w:t xml:space="preserve"> </w:t>
            </w:r>
          </w:p>
        </w:tc>
        <w:tc>
          <w:tcPr>
            <w:tcW w:w="1773" w:type="dxa"/>
            <w:shd w:val="clear" w:color="auto" w:fill="auto"/>
            <w:vAlign w:val="center"/>
          </w:tcPr>
          <w:p w:rsidR="00424ACD" w:rsidP="00424ACD" w:rsidRDefault="00424ACD" w14:paraId="4A9F6D2B" w14:textId="216E6304">
            <w:pPr>
              <w:spacing w:before="60" w:after="60"/>
              <w:rPr>
                <w:color w:val="000000"/>
              </w:rPr>
            </w:pPr>
            <w:r>
              <w:rPr>
                <w:color w:val="000000"/>
              </w:rPr>
              <w:t xml:space="preserve">$4,446.75 </w:t>
            </w:r>
          </w:p>
        </w:tc>
      </w:tr>
      <w:tr w:rsidRPr="007F620E" w:rsidR="00424ACD" w:rsidTr="00424ACD" w14:paraId="3AF03115" w14:textId="77777777">
        <w:trPr>
          <w:jc w:val="center"/>
        </w:trPr>
        <w:tc>
          <w:tcPr>
            <w:tcW w:w="1404" w:type="dxa"/>
            <w:gridSpan w:val="2"/>
            <w:shd w:val="clear" w:color="auto" w:fill="auto"/>
          </w:tcPr>
          <w:p w:rsidRPr="007F620E" w:rsidR="00424ACD" w:rsidP="00424ACD" w:rsidRDefault="00424ACD" w14:paraId="4B29660F" w14:textId="77777777">
            <w:pPr>
              <w:spacing w:before="60" w:after="60"/>
              <w:rPr>
                <w:color w:val="000000"/>
              </w:rPr>
            </w:pPr>
            <w:r>
              <w:rPr>
                <w:color w:val="000000"/>
              </w:rPr>
              <w:lastRenderedPageBreak/>
              <w:t>Petra Bruggisser</w:t>
            </w:r>
          </w:p>
        </w:tc>
        <w:tc>
          <w:tcPr>
            <w:tcW w:w="774" w:type="dxa"/>
            <w:gridSpan w:val="2"/>
            <w:shd w:val="clear" w:color="auto" w:fill="auto"/>
          </w:tcPr>
          <w:p w:rsidRPr="007F620E" w:rsidR="00424ACD" w:rsidP="00424ACD" w:rsidRDefault="00424ACD" w14:paraId="0E3D37ED" w14:textId="77777777">
            <w:pPr>
              <w:spacing w:before="60" w:after="60"/>
              <w:rPr>
                <w:color w:val="000000"/>
              </w:rPr>
            </w:pPr>
            <w:r>
              <w:rPr>
                <w:color w:val="000000"/>
              </w:rPr>
              <w:t>2019</w:t>
            </w:r>
          </w:p>
        </w:tc>
        <w:tc>
          <w:tcPr>
            <w:tcW w:w="1013" w:type="dxa"/>
            <w:gridSpan w:val="3"/>
            <w:shd w:val="clear" w:color="auto" w:fill="auto"/>
          </w:tcPr>
          <w:p w:rsidRPr="007F620E" w:rsidR="00424ACD" w:rsidP="00424ACD" w:rsidRDefault="00424ACD" w14:paraId="5D9736D8" w14:textId="77777777">
            <w:pPr>
              <w:spacing w:before="60" w:after="60"/>
              <w:rPr>
                <w:color w:val="000000"/>
              </w:rPr>
            </w:pPr>
            <w:r>
              <w:rPr>
                <w:color w:val="000000"/>
              </w:rPr>
              <w:t>1.75 (NOI)</w:t>
            </w:r>
          </w:p>
        </w:tc>
        <w:tc>
          <w:tcPr>
            <w:tcW w:w="697" w:type="dxa"/>
            <w:shd w:val="clear" w:color="auto" w:fill="auto"/>
          </w:tcPr>
          <w:p w:rsidRPr="007F620E" w:rsidR="00424ACD" w:rsidP="00424ACD" w:rsidRDefault="00424ACD" w14:paraId="0D1FDBB5" w14:textId="77777777">
            <w:pPr>
              <w:spacing w:before="60" w:after="60"/>
              <w:rPr>
                <w:color w:val="000000"/>
              </w:rPr>
            </w:pPr>
            <w:r>
              <w:rPr>
                <w:color w:val="000000"/>
              </w:rPr>
              <w:t>$170</w:t>
            </w:r>
          </w:p>
        </w:tc>
        <w:tc>
          <w:tcPr>
            <w:tcW w:w="1386" w:type="dxa"/>
            <w:gridSpan w:val="2"/>
            <w:tcBorders>
              <w:right w:val="single" w:color="auto" w:sz="4" w:space="0"/>
            </w:tcBorders>
            <w:shd w:val="clear" w:color="auto" w:fill="auto"/>
          </w:tcPr>
          <w:p w:rsidRPr="007F620E" w:rsidR="00424ACD" w:rsidP="00424ACD" w:rsidRDefault="00424ACD" w14:paraId="1A3C5D10" w14:textId="77777777">
            <w:pPr>
              <w:spacing w:before="60" w:after="60"/>
              <w:rPr>
                <w:color w:val="000000"/>
              </w:rPr>
            </w:pPr>
            <w:r>
              <w:rPr>
                <w:color w:val="000000"/>
              </w:rPr>
              <w:t>½ of requested hourly rate</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424ACD" w:rsidP="00424ACD" w:rsidRDefault="00424ACD" w14:paraId="18CAEC08" w14:textId="77777777">
            <w:pPr>
              <w:spacing w:before="60" w:after="60"/>
              <w:rPr>
                <w:color w:val="000000"/>
              </w:rPr>
            </w:pPr>
            <w:r>
              <w:rPr>
                <w:color w:val="000000"/>
              </w:rPr>
              <w:t>$297.50</w:t>
            </w:r>
          </w:p>
        </w:tc>
        <w:tc>
          <w:tcPr>
            <w:tcW w:w="900" w:type="dxa"/>
            <w:tcBorders>
              <w:left w:val="single" w:color="auto" w:sz="4" w:space="0"/>
              <w:right w:val="single" w:color="auto" w:sz="4" w:space="0"/>
            </w:tcBorders>
            <w:shd w:val="clear" w:color="auto" w:fill="auto"/>
          </w:tcPr>
          <w:p w:rsidRPr="007F620E" w:rsidR="00424ACD" w:rsidP="00424ACD" w:rsidRDefault="00424ACD" w14:paraId="3BCDB1BE" w14:textId="284BFD3E">
            <w:pPr>
              <w:spacing w:before="60" w:after="60"/>
              <w:rPr>
                <w:color w:val="000000"/>
              </w:rPr>
            </w:pPr>
            <w:r>
              <w:rPr>
                <w:color w:val="000000"/>
              </w:rPr>
              <w:t>0 [</w:t>
            </w:r>
            <w:r w:rsidR="001771A8">
              <w:rPr>
                <w:color w:val="000000"/>
              </w:rPr>
              <w:t>2</w:t>
            </w:r>
            <w:r>
              <w:rPr>
                <w:color w:val="000000"/>
              </w:rPr>
              <w:t>]</w:t>
            </w:r>
            <w:r w:rsidDel="00B04F84">
              <w:rPr>
                <w:color w:val="000000"/>
              </w:rPr>
              <w:t xml:space="preserve"> </w:t>
            </w:r>
          </w:p>
        </w:tc>
        <w:tc>
          <w:tcPr>
            <w:tcW w:w="1080" w:type="dxa"/>
            <w:tcBorders>
              <w:left w:val="single" w:color="auto" w:sz="4" w:space="0"/>
            </w:tcBorders>
            <w:shd w:val="clear" w:color="auto" w:fill="auto"/>
          </w:tcPr>
          <w:p w:rsidRPr="007F620E" w:rsidR="00424ACD" w:rsidP="00424ACD" w:rsidRDefault="00424ACD" w14:paraId="5D28A0C3" w14:textId="2D50F9C7">
            <w:pPr>
              <w:spacing w:before="60" w:after="60"/>
              <w:rPr>
                <w:color w:val="000000"/>
              </w:rPr>
            </w:pPr>
            <w:r>
              <w:rPr>
                <w:color w:val="000000"/>
              </w:rPr>
              <w:t>$0</w:t>
            </w:r>
            <w:r w:rsidR="00342491">
              <w:rPr>
                <w:color w:val="000000"/>
              </w:rPr>
              <w:t>.00</w:t>
            </w:r>
            <w:r>
              <w:rPr>
                <w:color w:val="000000"/>
              </w:rPr>
              <w:t xml:space="preserve"> </w:t>
            </w:r>
          </w:p>
        </w:tc>
        <w:tc>
          <w:tcPr>
            <w:tcW w:w="1773" w:type="dxa"/>
            <w:shd w:val="clear" w:color="auto" w:fill="auto"/>
            <w:vAlign w:val="center"/>
          </w:tcPr>
          <w:p w:rsidRPr="007F620E" w:rsidR="00424ACD" w:rsidP="00424ACD" w:rsidRDefault="00424ACD" w14:paraId="7AAC3167" w14:textId="07D4818C">
            <w:pPr>
              <w:spacing w:before="60" w:after="60"/>
              <w:rPr>
                <w:color w:val="000000"/>
              </w:rPr>
            </w:pPr>
            <w:r>
              <w:rPr>
                <w:color w:val="000000"/>
              </w:rPr>
              <w:t xml:space="preserve">$0.00 </w:t>
            </w:r>
          </w:p>
        </w:tc>
      </w:tr>
      <w:tr w:rsidRPr="007F620E" w:rsidR="00424ACD" w:rsidTr="00424ACD" w14:paraId="290038D6" w14:textId="77777777">
        <w:trPr>
          <w:jc w:val="center"/>
        </w:trPr>
        <w:tc>
          <w:tcPr>
            <w:tcW w:w="1404" w:type="dxa"/>
            <w:gridSpan w:val="2"/>
            <w:shd w:val="clear" w:color="auto" w:fill="auto"/>
          </w:tcPr>
          <w:p w:rsidR="00424ACD" w:rsidP="00424ACD" w:rsidRDefault="00424ACD" w14:paraId="4E6F0F6D" w14:textId="2EC8812C">
            <w:pPr>
              <w:spacing w:before="60" w:after="60"/>
              <w:rPr>
                <w:color w:val="000000"/>
              </w:rPr>
            </w:pPr>
            <w:r>
              <w:rPr>
                <w:color w:val="000000"/>
              </w:rPr>
              <w:t>Petra Bruggisser</w:t>
            </w:r>
          </w:p>
        </w:tc>
        <w:tc>
          <w:tcPr>
            <w:tcW w:w="774" w:type="dxa"/>
            <w:gridSpan w:val="2"/>
            <w:shd w:val="clear" w:color="auto" w:fill="auto"/>
          </w:tcPr>
          <w:p w:rsidR="00424ACD" w:rsidP="00424ACD" w:rsidRDefault="00424ACD" w14:paraId="15AF9DB8" w14:textId="709D0CDF">
            <w:pPr>
              <w:spacing w:before="60" w:after="60"/>
              <w:rPr>
                <w:color w:val="000000"/>
              </w:rPr>
            </w:pPr>
            <w:r>
              <w:rPr>
                <w:color w:val="000000"/>
              </w:rPr>
              <w:t>2018</w:t>
            </w:r>
          </w:p>
        </w:tc>
        <w:tc>
          <w:tcPr>
            <w:tcW w:w="1013" w:type="dxa"/>
            <w:gridSpan w:val="3"/>
            <w:shd w:val="clear" w:color="auto" w:fill="auto"/>
          </w:tcPr>
          <w:p w:rsidR="00424ACD" w:rsidP="00424ACD" w:rsidRDefault="00424ACD" w14:paraId="0D4267F9" w14:textId="77777777">
            <w:pPr>
              <w:spacing w:before="60" w:after="60"/>
              <w:rPr>
                <w:color w:val="000000"/>
              </w:rPr>
            </w:pPr>
          </w:p>
        </w:tc>
        <w:tc>
          <w:tcPr>
            <w:tcW w:w="697" w:type="dxa"/>
            <w:shd w:val="clear" w:color="auto" w:fill="auto"/>
          </w:tcPr>
          <w:p w:rsidR="00424ACD" w:rsidP="00424ACD" w:rsidRDefault="00424ACD" w14:paraId="479B83EA" w14:textId="77777777">
            <w:pPr>
              <w:spacing w:before="60" w:after="60"/>
              <w:rPr>
                <w:color w:val="000000"/>
              </w:rPr>
            </w:pPr>
          </w:p>
        </w:tc>
        <w:tc>
          <w:tcPr>
            <w:tcW w:w="1386" w:type="dxa"/>
            <w:gridSpan w:val="2"/>
            <w:tcBorders>
              <w:right w:val="single" w:color="auto" w:sz="4" w:space="0"/>
            </w:tcBorders>
            <w:shd w:val="clear" w:color="auto" w:fill="auto"/>
          </w:tcPr>
          <w:p w:rsidR="00424ACD" w:rsidP="00424ACD" w:rsidRDefault="00424ACD" w14:paraId="34207449" w14:textId="77777777">
            <w:pPr>
              <w:spacing w:before="60" w:after="60"/>
              <w:rPr>
                <w:color w:val="000000"/>
              </w:rPr>
            </w:pP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00424ACD" w:rsidP="00424ACD" w:rsidRDefault="00424ACD" w14:paraId="5C19EAE9" w14:textId="77777777">
            <w:pPr>
              <w:spacing w:before="60" w:after="60"/>
              <w:rPr>
                <w:color w:val="000000"/>
              </w:rPr>
            </w:pPr>
          </w:p>
        </w:tc>
        <w:tc>
          <w:tcPr>
            <w:tcW w:w="900" w:type="dxa"/>
            <w:tcBorders>
              <w:left w:val="single" w:color="auto" w:sz="4" w:space="0"/>
              <w:right w:val="single" w:color="auto" w:sz="4" w:space="0"/>
            </w:tcBorders>
            <w:shd w:val="clear" w:color="auto" w:fill="auto"/>
          </w:tcPr>
          <w:p w:rsidR="00424ACD" w:rsidP="00424ACD" w:rsidRDefault="00424ACD" w14:paraId="6955D70A" w14:textId="0F6666D1">
            <w:pPr>
              <w:spacing w:before="60" w:after="60"/>
              <w:rPr>
                <w:color w:val="000000"/>
              </w:rPr>
            </w:pPr>
            <w:r>
              <w:rPr>
                <w:color w:val="000000"/>
              </w:rPr>
              <w:t>0.75 [</w:t>
            </w:r>
            <w:r w:rsidR="00683E39">
              <w:rPr>
                <w:color w:val="000000"/>
              </w:rPr>
              <w:t>2</w:t>
            </w:r>
            <w:r w:rsidR="000F0442">
              <w:rPr>
                <w:color w:val="000000"/>
              </w:rPr>
              <w:t xml:space="preserve">, </w:t>
            </w:r>
            <w:r w:rsidR="001771A8">
              <w:rPr>
                <w:color w:val="000000"/>
              </w:rPr>
              <w:t>3</w:t>
            </w:r>
            <w:r>
              <w:rPr>
                <w:color w:val="000000"/>
              </w:rPr>
              <w:t>]</w:t>
            </w:r>
          </w:p>
        </w:tc>
        <w:tc>
          <w:tcPr>
            <w:tcW w:w="1080" w:type="dxa"/>
            <w:tcBorders>
              <w:left w:val="single" w:color="auto" w:sz="4" w:space="0"/>
            </w:tcBorders>
            <w:shd w:val="clear" w:color="auto" w:fill="auto"/>
          </w:tcPr>
          <w:p w:rsidR="00424ACD" w:rsidP="00424ACD" w:rsidRDefault="00424ACD" w14:paraId="1D279824" w14:textId="2F617D56">
            <w:pPr>
              <w:spacing w:before="60" w:after="60"/>
              <w:rPr>
                <w:color w:val="000000"/>
              </w:rPr>
            </w:pPr>
            <w:r>
              <w:rPr>
                <w:color w:val="000000"/>
              </w:rPr>
              <w:t>$170</w:t>
            </w:r>
            <w:r w:rsidR="00342491">
              <w:rPr>
                <w:color w:val="000000"/>
              </w:rPr>
              <w:t>.00</w:t>
            </w:r>
            <w:r>
              <w:rPr>
                <w:color w:val="000000"/>
              </w:rPr>
              <w:t xml:space="preserve"> </w:t>
            </w:r>
          </w:p>
        </w:tc>
        <w:tc>
          <w:tcPr>
            <w:tcW w:w="1773" w:type="dxa"/>
            <w:shd w:val="clear" w:color="auto" w:fill="auto"/>
            <w:vAlign w:val="center"/>
          </w:tcPr>
          <w:p w:rsidR="00424ACD" w:rsidP="00424ACD" w:rsidRDefault="00424ACD" w14:paraId="13045A13" w14:textId="582EFDFA">
            <w:pPr>
              <w:spacing w:before="60" w:after="60"/>
              <w:rPr>
                <w:color w:val="000000"/>
              </w:rPr>
            </w:pPr>
            <w:r>
              <w:rPr>
                <w:color w:val="000000"/>
              </w:rPr>
              <w:t xml:space="preserve">$127.50 </w:t>
            </w:r>
          </w:p>
        </w:tc>
      </w:tr>
      <w:tr w:rsidRPr="007F620E" w:rsidR="00424ACD" w:rsidTr="00424ACD" w14:paraId="442EF69B" w14:textId="77777777">
        <w:trPr>
          <w:jc w:val="center"/>
        </w:trPr>
        <w:tc>
          <w:tcPr>
            <w:tcW w:w="1404" w:type="dxa"/>
            <w:gridSpan w:val="2"/>
            <w:shd w:val="clear" w:color="auto" w:fill="auto"/>
          </w:tcPr>
          <w:p w:rsidR="00424ACD" w:rsidP="00424ACD" w:rsidRDefault="00424ACD" w14:paraId="2B97C56D" w14:textId="77777777">
            <w:pPr>
              <w:spacing w:before="60" w:after="60"/>
              <w:rPr>
                <w:color w:val="000000"/>
              </w:rPr>
            </w:pPr>
            <w:r>
              <w:rPr>
                <w:color w:val="000000"/>
              </w:rPr>
              <w:t>Jeffrey Richard</w:t>
            </w:r>
          </w:p>
        </w:tc>
        <w:tc>
          <w:tcPr>
            <w:tcW w:w="774" w:type="dxa"/>
            <w:gridSpan w:val="2"/>
            <w:shd w:val="clear" w:color="auto" w:fill="auto"/>
          </w:tcPr>
          <w:p w:rsidR="00424ACD" w:rsidP="00424ACD" w:rsidRDefault="00424ACD" w14:paraId="787DB56B" w14:textId="77777777">
            <w:pPr>
              <w:spacing w:before="60" w:after="60"/>
              <w:rPr>
                <w:color w:val="000000"/>
              </w:rPr>
            </w:pPr>
            <w:r>
              <w:rPr>
                <w:color w:val="000000"/>
              </w:rPr>
              <w:t>2019</w:t>
            </w:r>
          </w:p>
        </w:tc>
        <w:tc>
          <w:tcPr>
            <w:tcW w:w="1013" w:type="dxa"/>
            <w:gridSpan w:val="3"/>
            <w:shd w:val="clear" w:color="auto" w:fill="auto"/>
          </w:tcPr>
          <w:p w:rsidR="00424ACD" w:rsidP="00424ACD" w:rsidRDefault="00424ACD" w14:paraId="09A5CD60" w14:textId="77777777">
            <w:pPr>
              <w:spacing w:before="60" w:after="60"/>
              <w:rPr>
                <w:color w:val="000000"/>
              </w:rPr>
            </w:pPr>
            <w:r>
              <w:rPr>
                <w:color w:val="000000"/>
              </w:rPr>
              <w:t>0.30</w:t>
            </w:r>
          </w:p>
        </w:tc>
        <w:tc>
          <w:tcPr>
            <w:tcW w:w="697" w:type="dxa"/>
            <w:shd w:val="clear" w:color="auto" w:fill="auto"/>
          </w:tcPr>
          <w:p w:rsidRPr="007F620E" w:rsidR="00424ACD" w:rsidP="00424ACD" w:rsidRDefault="00424ACD" w14:paraId="38C486F6" w14:textId="77777777">
            <w:pPr>
              <w:spacing w:before="60" w:after="60"/>
              <w:rPr>
                <w:color w:val="000000"/>
              </w:rPr>
            </w:pPr>
            <w:r>
              <w:rPr>
                <w:color w:val="000000"/>
              </w:rPr>
              <w:t>$222.50</w:t>
            </w:r>
          </w:p>
        </w:tc>
        <w:tc>
          <w:tcPr>
            <w:tcW w:w="1386" w:type="dxa"/>
            <w:gridSpan w:val="2"/>
            <w:tcBorders>
              <w:right w:val="single" w:color="auto" w:sz="4" w:space="0"/>
            </w:tcBorders>
            <w:shd w:val="clear" w:color="auto" w:fill="auto"/>
          </w:tcPr>
          <w:p w:rsidRPr="007F620E" w:rsidR="00424ACD" w:rsidP="00424ACD" w:rsidRDefault="00424ACD" w14:paraId="667A4FDA" w14:textId="77777777">
            <w:pPr>
              <w:spacing w:before="60" w:after="60"/>
              <w:rPr>
                <w:color w:val="000000"/>
              </w:rPr>
            </w:pPr>
            <w:r>
              <w:rPr>
                <w:color w:val="000000"/>
              </w:rPr>
              <w:t>½ of requested hourly rate</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424ACD" w:rsidP="00424ACD" w:rsidRDefault="00424ACD" w14:paraId="7D5638C8" w14:textId="77777777">
            <w:pPr>
              <w:spacing w:before="60" w:after="60"/>
              <w:rPr>
                <w:color w:val="000000"/>
              </w:rPr>
            </w:pPr>
            <w:r>
              <w:rPr>
                <w:color w:val="000000"/>
              </w:rPr>
              <w:t>$66.75</w:t>
            </w:r>
          </w:p>
        </w:tc>
        <w:tc>
          <w:tcPr>
            <w:tcW w:w="900" w:type="dxa"/>
            <w:tcBorders>
              <w:left w:val="single" w:color="auto" w:sz="4" w:space="0"/>
              <w:right w:val="single" w:color="auto" w:sz="4" w:space="0"/>
            </w:tcBorders>
            <w:shd w:val="clear" w:color="auto" w:fill="auto"/>
          </w:tcPr>
          <w:p w:rsidRPr="007F620E" w:rsidR="00424ACD" w:rsidP="00424ACD" w:rsidRDefault="00424ACD" w14:paraId="6FCD41A5" w14:textId="66D934A0">
            <w:pPr>
              <w:spacing w:before="60" w:after="60"/>
              <w:rPr>
                <w:color w:val="000000"/>
              </w:rPr>
            </w:pPr>
            <w:r>
              <w:rPr>
                <w:color w:val="000000"/>
              </w:rPr>
              <w:t>0.30</w:t>
            </w:r>
          </w:p>
        </w:tc>
        <w:tc>
          <w:tcPr>
            <w:tcW w:w="1080" w:type="dxa"/>
            <w:tcBorders>
              <w:left w:val="single" w:color="auto" w:sz="4" w:space="0"/>
            </w:tcBorders>
            <w:shd w:val="clear" w:color="auto" w:fill="auto"/>
          </w:tcPr>
          <w:p w:rsidRPr="007F620E" w:rsidR="00424ACD" w:rsidP="00424ACD" w:rsidRDefault="00424ACD" w14:paraId="305C53D9" w14:textId="6AEFE357">
            <w:pPr>
              <w:spacing w:before="60" w:after="60"/>
              <w:rPr>
                <w:color w:val="000000"/>
              </w:rPr>
            </w:pPr>
            <w:r>
              <w:rPr>
                <w:color w:val="000000"/>
              </w:rPr>
              <w:t>$222.50</w:t>
            </w:r>
          </w:p>
        </w:tc>
        <w:tc>
          <w:tcPr>
            <w:tcW w:w="1773" w:type="dxa"/>
            <w:shd w:val="clear" w:color="auto" w:fill="auto"/>
            <w:vAlign w:val="center"/>
          </w:tcPr>
          <w:p w:rsidRPr="007F620E" w:rsidR="00424ACD" w:rsidP="00424ACD" w:rsidRDefault="00424ACD" w14:paraId="61097DE0" w14:textId="31BF2CDA">
            <w:pPr>
              <w:spacing w:before="60" w:after="60"/>
              <w:rPr>
                <w:color w:val="000000"/>
              </w:rPr>
            </w:pPr>
            <w:r>
              <w:rPr>
                <w:color w:val="000000"/>
              </w:rPr>
              <w:t xml:space="preserve">$66.75 </w:t>
            </w:r>
          </w:p>
        </w:tc>
      </w:tr>
      <w:tr w:rsidRPr="007F620E" w:rsidR="00424ACD" w:rsidTr="00424ACD" w14:paraId="6201204A" w14:textId="77777777">
        <w:trPr>
          <w:jc w:val="center"/>
        </w:trPr>
        <w:tc>
          <w:tcPr>
            <w:tcW w:w="1404" w:type="dxa"/>
            <w:gridSpan w:val="2"/>
            <w:shd w:val="clear" w:color="auto" w:fill="auto"/>
          </w:tcPr>
          <w:p w:rsidR="00424ACD" w:rsidP="00424ACD" w:rsidRDefault="00424ACD" w14:paraId="58B7784A" w14:textId="77777777">
            <w:pPr>
              <w:spacing w:before="60" w:after="60"/>
              <w:rPr>
                <w:color w:val="000000"/>
              </w:rPr>
            </w:pPr>
            <w:r>
              <w:rPr>
                <w:color w:val="000000"/>
              </w:rPr>
              <w:t>Dr. Karen Relucio</w:t>
            </w:r>
          </w:p>
        </w:tc>
        <w:tc>
          <w:tcPr>
            <w:tcW w:w="774" w:type="dxa"/>
            <w:gridSpan w:val="2"/>
            <w:shd w:val="clear" w:color="auto" w:fill="auto"/>
          </w:tcPr>
          <w:p w:rsidR="00424ACD" w:rsidP="00424ACD" w:rsidRDefault="00424ACD" w14:paraId="118EA2E0" w14:textId="77777777">
            <w:pPr>
              <w:spacing w:before="60" w:after="60"/>
              <w:rPr>
                <w:color w:val="000000"/>
              </w:rPr>
            </w:pPr>
            <w:r>
              <w:rPr>
                <w:color w:val="000000"/>
              </w:rPr>
              <w:t>2019</w:t>
            </w:r>
          </w:p>
        </w:tc>
        <w:tc>
          <w:tcPr>
            <w:tcW w:w="1013" w:type="dxa"/>
            <w:gridSpan w:val="3"/>
            <w:shd w:val="clear" w:color="auto" w:fill="auto"/>
          </w:tcPr>
          <w:p w:rsidR="00424ACD" w:rsidP="00424ACD" w:rsidRDefault="00424ACD" w14:paraId="280B25BF" w14:textId="77777777">
            <w:pPr>
              <w:spacing w:before="60" w:after="60"/>
              <w:rPr>
                <w:color w:val="000000"/>
              </w:rPr>
            </w:pPr>
            <w:r>
              <w:rPr>
                <w:color w:val="000000"/>
              </w:rPr>
              <w:t>0.25</w:t>
            </w:r>
          </w:p>
        </w:tc>
        <w:tc>
          <w:tcPr>
            <w:tcW w:w="697" w:type="dxa"/>
            <w:shd w:val="clear" w:color="auto" w:fill="auto"/>
          </w:tcPr>
          <w:p w:rsidRPr="007F620E" w:rsidR="00424ACD" w:rsidP="00424ACD" w:rsidRDefault="00424ACD" w14:paraId="4EB3D6F8" w14:textId="77777777">
            <w:pPr>
              <w:spacing w:before="60" w:after="60"/>
              <w:rPr>
                <w:color w:val="000000"/>
              </w:rPr>
            </w:pPr>
            <w:r>
              <w:rPr>
                <w:color w:val="000000"/>
              </w:rPr>
              <w:t>$222.50</w:t>
            </w:r>
          </w:p>
        </w:tc>
        <w:tc>
          <w:tcPr>
            <w:tcW w:w="1386" w:type="dxa"/>
            <w:gridSpan w:val="2"/>
            <w:tcBorders>
              <w:right w:val="single" w:color="auto" w:sz="4" w:space="0"/>
            </w:tcBorders>
            <w:shd w:val="clear" w:color="auto" w:fill="auto"/>
          </w:tcPr>
          <w:p w:rsidRPr="007F620E" w:rsidR="00424ACD" w:rsidP="00424ACD" w:rsidRDefault="00424ACD" w14:paraId="644AC5FA" w14:textId="77777777">
            <w:pPr>
              <w:spacing w:before="60" w:after="60"/>
              <w:rPr>
                <w:color w:val="000000"/>
              </w:rPr>
            </w:pPr>
            <w:r>
              <w:rPr>
                <w:color w:val="000000"/>
              </w:rPr>
              <w:t>½ of requested hourly rate</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424ACD" w:rsidP="00424ACD" w:rsidRDefault="00424ACD" w14:paraId="2399F884" w14:textId="77777777">
            <w:pPr>
              <w:spacing w:before="60" w:after="60"/>
              <w:rPr>
                <w:color w:val="000000"/>
              </w:rPr>
            </w:pPr>
            <w:r>
              <w:rPr>
                <w:color w:val="000000"/>
              </w:rPr>
              <w:t>$55.63</w:t>
            </w:r>
          </w:p>
        </w:tc>
        <w:tc>
          <w:tcPr>
            <w:tcW w:w="900" w:type="dxa"/>
            <w:tcBorders>
              <w:left w:val="single" w:color="auto" w:sz="4" w:space="0"/>
              <w:right w:val="single" w:color="auto" w:sz="4" w:space="0"/>
            </w:tcBorders>
            <w:shd w:val="clear" w:color="auto" w:fill="auto"/>
          </w:tcPr>
          <w:p w:rsidRPr="007F620E" w:rsidR="00424ACD" w:rsidP="00424ACD" w:rsidRDefault="00334B26" w14:paraId="64DF9A9F" w14:textId="051821B4">
            <w:pPr>
              <w:spacing w:before="60" w:after="60"/>
              <w:rPr>
                <w:color w:val="000000"/>
              </w:rPr>
            </w:pPr>
            <w:r>
              <w:rPr>
                <w:color w:val="000000"/>
              </w:rPr>
              <w:t>0.25</w:t>
            </w:r>
          </w:p>
        </w:tc>
        <w:tc>
          <w:tcPr>
            <w:tcW w:w="1080" w:type="dxa"/>
            <w:tcBorders>
              <w:left w:val="single" w:color="auto" w:sz="4" w:space="0"/>
            </w:tcBorders>
            <w:shd w:val="clear" w:color="auto" w:fill="auto"/>
          </w:tcPr>
          <w:p w:rsidRPr="007F620E" w:rsidR="00424ACD" w:rsidP="00424ACD" w:rsidRDefault="00424ACD" w14:paraId="713BA837" w14:textId="733CAE00">
            <w:pPr>
              <w:spacing w:before="60" w:after="60"/>
              <w:rPr>
                <w:color w:val="000000"/>
              </w:rPr>
            </w:pPr>
            <w:r>
              <w:rPr>
                <w:color w:val="000000"/>
              </w:rPr>
              <w:t>$</w:t>
            </w:r>
            <w:r w:rsidR="00831C57">
              <w:rPr>
                <w:color w:val="000000"/>
              </w:rPr>
              <w:t>222.50</w:t>
            </w:r>
          </w:p>
        </w:tc>
        <w:tc>
          <w:tcPr>
            <w:tcW w:w="1773" w:type="dxa"/>
            <w:shd w:val="clear" w:color="auto" w:fill="auto"/>
            <w:vAlign w:val="center"/>
          </w:tcPr>
          <w:p w:rsidRPr="007F620E" w:rsidR="00424ACD" w:rsidP="00424ACD" w:rsidRDefault="00424ACD" w14:paraId="18B139BF" w14:textId="01B38329">
            <w:pPr>
              <w:spacing w:before="60" w:after="60"/>
              <w:rPr>
                <w:color w:val="000000"/>
              </w:rPr>
            </w:pPr>
            <w:r>
              <w:rPr>
                <w:color w:val="000000"/>
              </w:rPr>
              <w:t>$</w:t>
            </w:r>
            <w:r w:rsidR="009A6422">
              <w:rPr>
                <w:color w:val="000000"/>
              </w:rPr>
              <w:t>55.63</w:t>
            </w:r>
            <w:r>
              <w:rPr>
                <w:color w:val="000000"/>
              </w:rPr>
              <w:t xml:space="preserve"> </w:t>
            </w:r>
          </w:p>
        </w:tc>
      </w:tr>
      <w:tr w:rsidRPr="007F620E" w:rsidR="00424ACD" w:rsidTr="00424ACD" w14:paraId="36E7A984" w14:textId="77777777">
        <w:trPr>
          <w:jc w:val="center"/>
        </w:trPr>
        <w:tc>
          <w:tcPr>
            <w:tcW w:w="1404" w:type="dxa"/>
            <w:gridSpan w:val="2"/>
            <w:shd w:val="clear" w:color="auto" w:fill="auto"/>
          </w:tcPr>
          <w:p w:rsidR="00424ACD" w:rsidP="00424ACD" w:rsidRDefault="00424ACD" w14:paraId="604090CC" w14:textId="77777777">
            <w:pPr>
              <w:spacing w:before="60" w:after="60"/>
              <w:rPr>
                <w:color w:val="000000"/>
              </w:rPr>
            </w:pPr>
            <w:r>
              <w:rPr>
                <w:color w:val="000000"/>
              </w:rPr>
              <w:t>Geoff Belyea</w:t>
            </w:r>
          </w:p>
        </w:tc>
        <w:tc>
          <w:tcPr>
            <w:tcW w:w="774" w:type="dxa"/>
            <w:gridSpan w:val="2"/>
            <w:shd w:val="clear" w:color="auto" w:fill="auto"/>
          </w:tcPr>
          <w:p w:rsidR="00424ACD" w:rsidP="00424ACD" w:rsidRDefault="00424ACD" w14:paraId="27FFBAC0" w14:textId="77777777">
            <w:pPr>
              <w:spacing w:before="60" w:after="60"/>
              <w:rPr>
                <w:color w:val="000000"/>
              </w:rPr>
            </w:pPr>
            <w:r>
              <w:rPr>
                <w:color w:val="000000"/>
              </w:rPr>
              <w:t>2019</w:t>
            </w:r>
          </w:p>
        </w:tc>
        <w:tc>
          <w:tcPr>
            <w:tcW w:w="1013" w:type="dxa"/>
            <w:gridSpan w:val="3"/>
            <w:shd w:val="clear" w:color="auto" w:fill="auto"/>
          </w:tcPr>
          <w:p w:rsidR="00424ACD" w:rsidP="00424ACD" w:rsidRDefault="00424ACD" w14:paraId="18AC2D05" w14:textId="77777777">
            <w:pPr>
              <w:spacing w:before="60" w:after="60"/>
              <w:rPr>
                <w:color w:val="000000"/>
              </w:rPr>
            </w:pPr>
            <w:r>
              <w:rPr>
                <w:color w:val="000000"/>
              </w:rPr>
              <w:t>0.50</w:t>
            </w:r>
          </w:p>
        </w:tc>
        <w:tc>
          <w:tcPr>
            <w:tcW w:w="697" w:type="dxa"/>
            <w:shd w:val="clear" w:color="auto" w:fill="auto"/>
          </w:tcPr>
          <w:p w:rsidRPr="007F620E" w:rsidR="00424ACD" w:rsidP="00424ACD" w:rsidRDefault="00424ACD" w14:paraId="2047E76B" w14:textId="77777777">
            <w:pPr>
              <w:spacing w:before="60" w:after="60"/>
              <w:rPr>
                <w:color w:val="000000"/>
              </w:rPr>
            </w:pPr>
            <w:r>
              <w:rPr>
                <w:color w:val="000000"/>
              </w:rPr>
              <w:t>$222.50</w:t>
            </w:r>
          </w:p>
        </w:tc>
        <w:tc>
          <w:tcPr>
            <w:tcW w:w="1386" w:type="dxa"/>
            <w:gridSpan w:val="2"/>
            <w:tcBorders>
              <w:right w:val="single" w:color="auto" w:sz="4" w:space="0"/>
            </w:tcBorders>
            <w:shd w:val="clear" w:color="auto" w:fill="auto"/>
          </w:tcPr>
          <w:p w:rsidRPr="007F620E" w:rsidR="00424ACD" w:rsidP="00424ACD" w:rsidRDefault="00424ACD" w14:paraId="0185BC1B" w14:textId="77777777">
            <w:pPr>
              <w:spacing w:before="60" w:after="60"/>
              <w:rPr>
                <w:color w:val="000000"/>
              </w:rPr>
            </w:pPr>
            <w:r>
              <w:rPr>
                <w:color w:val="000000"/>
              </w:rPr>
              <w:t>½ of requested hourly rate</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424ACD" w:rsidP="00424ACD" w:rsidRDefault="00424ACD" w14:paraId="028E0F2F" w14:textId="77777777">
            <w:pPr>
              <w:spacing w:before="60" w:after="60"/>
              <w:rPr>
                <w:color w:val="000000"/>
              </w:rPr>
            </w:pPr>
            <w:r>
              <w:rPr>
                <w:color w:val="000000"/>
              </w:rPr>
              <w:t>$111.25</w:t>
            </w:r>
          </w:p>
        </w:tc>
        <w:tc>
          <w:tcPr>
            <w:tcW w:w="900" w:type="dxa"/>
            <w:tcBorders>
              <w:left w:val="single" w:color="auto" w:sz="4" w:space="0"/>
              <w:right w:val="single" w:color="auto" w:sz="4" w:space="0"/>
            </w:tcBorders>
            <w:shd w:val="clear" w:color="auto" w:fill="auto"/>
          </w:tcPr>
          <w:p w:rsidRPr="007F620E" w:rsidR="00424ACD" w:rsidP="00424ACD" w:rsidRDefault="00424ACD" w14:paraId="1EE93A78" w14:textId="19B8B6BE">
            <w:pPr>
              <w:spacing w:before="60" w:after="60"/>
              <w:rPr>
                <w:color w:val="000000"/>
              </w:rPr>
            </w:pPr>
            <w:r>
              <w:rPr>
                <w:color w:val="000000"/>
              </w:rPr>
              <w:t>0 [</w:t>
            </w:r>
            <w:r w:rsidR="00683E39">
              <w:rPr>
                <w:color w:val="000000"/>
              </w:rPr>
              <w:t>1</w:t>
            </w:r>
            <w:r>
              <w:rPr>
                <w:color w:val="000000"/>
              </w:rPr>
              <w:t>]</w:t>
            </w:r>
          </w:p>
        </w:tc>
        <w:tc>
          <w:tcPr>
            <w:tcW w:w="1080" w:type="dxa"/>
            <w:tcBorders>
              <w:left w:val="single" w:color="auto" w:sz="4" w:space="0"/>
            </w:tcBorders>
            <w:shd w:val="clear" w:color="auto" w:fill="auto"/>
          </w:tcPr>
          <w:p w:rsidRPr="007F620E" w:rsidR="00424ACD" w:rsidP="00424ACD" w:rsidRDefault="00424ACD" w14:paraId="7474DC00" w14:textId="027D254C">
            <w:pPr>
              <w:spacing w:before="60" w:after="60"/>
              <w:rPr>
                <w:color w:val="000000"/>
              </w:rPr>
            </w:pPr>
            <w:r>
              <w:rPr>
                <w:color w:val="000000"/>
              </w:rPr>
              <w:t>$0</w:t>
            </w:r>
            <w:r w:rsidR="001771A8">
              <w:rPr>
                <w:color w:val="000000"/>
              </w:rPr>
              <w:t>.00</w:t>
            </w:r>
          </w:p>
        </w:tc>
        <w:tc>
          <w:tcPr>
            <w:tcW w:w="1773" w:type="dxa"/>
            <w:shd w:val="clear" w:color="auto" w:fill="auto"/>
            <w:vAlign w:val="center"/>
          </w:tcPr>
          <w:p w:rsidRPr="007F620E" w:rsidR="00424ACD" w:rsidP="00424ACD" w:rsidRDefault="00424ACD" w14:paraId="4228EBB7" w14:textId="6EBD4B8A">
            <w:pPr>
              <w:spacing w:before="60" w:after="60"/>
              <w:rPr>
                <w:color w:val="000000"/>
              </w:rPr>
            </w:pPr>
            <w:r>
              <w:rPr>
                <w:color w:val="000000"/>
              </w:rPr>
              <w:t xml:space="preserve">$0.00 </w:t>
            </w:r>
          </w:p>
        </w:tc>
      </w:tr>
      <w:tr w:rsidRPr="007F620E" w:rsidR="00E15DC3" w:rsidTr="008C09F7" w14:paraId="6D717494" w14:textId="77777777">
        <w:trPr>
          <w:jc w:val="center"/>
        </w:trPr>
        <w:tc>
          <w:tcPr>
            <w:tcW w:w="6768" w:type="dxa"/>
            <w:gridSpan w:val="12"/>
            <w:tcBorders>
              <w:bottom w:val="single" w:color="auto" w:sz="4" w:space="0"/>
              <w:right w:val="single" w:color="auto" w:sz="24" w:space="0"/>
            </w:tcBorders>
            <w:shd w:val="clear" w:color="auto" w:fill="auto"/>
            <w:vAlign w:val="bottom"/>
          </w:tcPr>
          <w:p w:rsidR="00E15DC3" w:rsidP="003B6A1B" w:rsidRDefault="00E15DC3" w14:paraId="705F0537" w14:textId="77777777">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r w:rsidR="009A32D3">
              <w:rPr>
                <w:b/>
                <w:i/>
                <w:color w:val="000000"/>
              </w:rPr>
              <w:t xml:space="preserve"> 5,354.13</w:t>
            </w:r>
          </w:p>
          <w:p w:rsidR="009A32D3" w:rsidP="003B6A1B" w:rsidRDefault="009A32D3" w14:paraId="08580E23" w14:textId="77777777">
            <w:pPr>
              <w:tabs>
                <w:tab w:val="left" w:pos="957"/>
              </w:tabs>
              <w:spacing w:before="60" w:after="60"/>
              <w:ind w:right="162"/>
              <w:jc w:val="right"/>
              <w:rPr>
                <w:b/>
                <w:i/>
                <w:color w:val="000000"/>
              </w:rPr>
            </w:pPr>
          </w:p>
          <w:p w:rsidR="009A32D3" w:rsidP="003B6A1B" w:rsidRDefault="009A32D3" w14:paraId="352311A2" w14:textId="77777777">
            <w:pPr>
              <w:tabs>
                <w:tab w:val="left" w:pos="957"/>
              </w:tabs>
              <w:spacing w:before="60" w:after="60"/>
              <w:ind w:right="162"/>
              <w:jc w:val="right"/>
              <w:rPr>
                <w:b/>
                <w:i/>
                <w:color w:val="000000"/>
              </w:rPr>
            </w:pPr>
            <w:r>
              <w:rPr>
                <w:b/>
                <w:i/>
                <w:color w:val="000000"/>
              </w:rPr>
              <w:t>Mendocino:</w:t>
            </w:r>
            <w:r w:rsidR="00595872">
              <w:rPr>
                <w:b/>
                <w:i/>
                <w:color w:val="000000"/>
              </w:rPr>
              <w:t xml:space="preserve"> $94.5</w:t>
            </w:r>
          </w:p>
          <w:p w:rsidR="009A32D3" w:rsidP="003B6A1B" w:rsidRDefault="009A32D3" w14:paraId="1D68412E" w14:textId="77777777">
            <w:pPr>
              <w:tabs>
                <w:tab w:val="left" w:pos="957"/>
              </w:tabs>
              <w:spacing w:before="60" w:after="60"/>
              <w:ind w:right="162"/>
              <w:jc w:val="right"/>
              <w:rPr>
                <w:b/>
                <w:i/>
                <w:color w:val="000000"/>
              </w:rPr>
            </w:pPr>
            <w:r>
              <w:rPr>
                <w:b/>
                <w:i/>
                <w:color w:val="000000"/>
              </w:rPr>
              <w:t>Napa:</w:t>
            </w:r>
            <w:r w:rsidR="00595872">
              <w:rPr>
                <w:b/>
                <w:i/>
                <w:color w:val="000000"/>
              </w:rPr>
              <w:t xml:space="preserve"> $1,809.80</w:t>
            </w:r>
          </w:p>
          <w:p w:rsidR="009A32D3" w:rsidP="003B6A1B" w:rsidRDefault="009A32D3" w14:paraId="43994692" w14:textId="77777777">
            <w:pPr>
              <w:tabs>
                <w:tab w:val="left" w:pos="957"/>
              </w:tabs>
              <w:spacing w:before="60" w:after="60"/>
              <w:ind w:right="162"/>
              <w:jc w:val="right"/>
              <w:rPr>
                <w:b/>
                <w:i/>
                <w:color w:val="000000"/>
              </w:rPr>
            </w:pPr>
            <w:r>
              <w:rPr>
                <w:b/>
                <w:i/>
                <w:color w:val="000000"/>
              </w:rPr>
              <w:t>Sonoma:</w:t>
            </w:r>
            <w:r w:rsidR="00595872">
              <w:rPr>
                <w:b/>
                <w:i/>
                <w:color w:val="000000"/>
              </w:rPr>
              <w:t xml:space="preserve"> $1,873.66</w:t>
            </w:r>
          </w:p>
          <w:p w:rsidRPr="00374FD1" w:rsidR="009A32D3" w:rsidP="003B6A1B" w:rsidRDefault="009A32D3" w14:paraId="6A35261A" w14:textId="77777777">
            <w:pPr>
              <w:tabs>
                <w:tab w:val="left" w:pos="957"/>
              </w:tabs>
              <w:spacing w:before="60" w:after="60"/>
              <w:ind w:right="162"/>
              <w:jc w:val="right"/>
              <w:rPr>
                <w:b/>
                <w:i/>
                <w:color w:val="000000"/>
              </w:rPr>
            </w:pPr>
            <w:r>
              <w:rPr>
                <w:b/>
                <w:i/>
                <w:color w:val="000000"/>
              </w:rPr>
              <w:t>Santa Rosa:</w:t>
            </w:r>
            <w:r w:rsidR="00595872">
              <w:rPr>
                <w:b/>
                <w:i/>
                <w:color w:val="000000"/>
              </w:rPr>
              <w:t xml:space="preserve"> $1,576.17</w:t>
            </w:r>
          </w:p>
        </w:tc>
        <w:tc>
          <w:tcPr>
            <w:tcW w:w="3753" w:type="dxa"/>
            <w:gridSpan w:val="3"/>
            <w:tcBorders>
              <w:left w:val="single" w:color="auto" w:sz="24" w:space="0"/>
              <w:bottom w:val="single" w:color="auto" w:sz="4" w:space="0"/>
            </w:tcBorders>
            <w:shd w:val="clear" w:color="auto" w:fill="auto"/>
            <w:vAlign w:val="bottom"/>
          </w:tcPr>
          <w:p w:rsidRPr="00910434" w:rsidR="00BB1846" w:rsidP="00C171C9" w:rsidRDefault="00E15DC3" w14:paraId="658D3222" w14:textId="336BE226">
            <w:pPr>
              <w:tabs>
                <w:tab w:val="left" w:pos="957"/>
              </w:tabs>
              <w:spacing w:before="60" w:after="60"/>
              <w:ind w:left="1440" w:right="162"/>
              <w:rPr>
                <w:bCs/>
                <w:iCs/>
                <w:color w:val="000000"/>
              </w:rPr>
            </w:pPr>
            <w:r w:rsidRPr="00910434">
              <w:rPr>
                <w:bCs/>
                <w:iCs/>
                <w:color w:val="000000"/>
              </w:rPr>
              <w:t>Subtotal: $</w:t>
            </w:r>
            <w:r w:rsidRPr="00ED57C5" w:rsidR="00ED57C5">
              <w:rPr>
                <w:bCs/>
                <w:iCs/>
                <w:color w:val="000000"/>
              </w:rPr>
              <w:t>5,0</w:t>
            </w:r>
            <w:r w:rsidR="009A6422">
              <w:rPr>
                <w:bCs/>
                <w:iCs/>
                <w:color w:val="000000"/>
              </w:rPr>
              <w:t>62</w:t>
            </w:r>
            <w:r w:rsidRPr="00ED57C5" w:rsidR="00ED57C5">
              <w:rPr>
                <w:bCs/>
                <w:iCs/>
                <w:color w:val="000000"/>
              </w:rPr>
              <w:t>.</w:t>
            </w:r>
            <w:r w:rsidR="00AB51F2">
              <w:rPr>
                <w:bCs/>
                <w:iCs/>
                <w:color w:val="000000"/>
              </w:rPr>
              <w:t>13</w:t>
            </w:r>
          </w:p>
          <w:p w:rsidRPr="00910434" w:rsidR="003D75B7" w:rsidP="00C171C9" w:rsidRDefault="003D75B7" w14:paraId="1257738A" w14:textId="77777777">
            <w:pPr>
              <w:tabs>
                <w:tab w:val="left" w:pos="957"/>
              </w:tabs>
              <w:spacing w:before="60" w:after="60"/>
              <w:ind w:right="162"/>
              <w:rPr>
                <w:bCs/>
                <w:iCs/>
                <w:color w:val="000000"/>
              </w:rPr>
            </w:pPr>
          </w:p>
          <w:p w:rsidRPr="00910434" w:rsidR="00BB1846" w:rsidP="00F80363" w:rsidRDefault="00BB1846" w14:paraId="7D1C49B3" w14:textId="48FE9FDC">
            <w:pPr>
              <w:tabs>
                <w:tab w:val="left" w:pos="957"/>
              </w:tabs>
              <w:spacing w:before="60" w:after="60"/>
              <w:ind w:left="1440" w:right="162"/>
              <w:jc w:val="right"/>
              <w:rPr>
                <w:bCs/>
                <w:iCs/>
                <w:color w:val="000000"/>
              </w:rPr>
            </w:pPr>
            <w:r w:rsidRPr="00910434">
              <w:rPr>
                <w:bCs/>
                <w:iCs/>
                <w:color w:val="000000"/>
              </w:rPr>
              <w:t>Mendocino: $</w:t>
            </w:r>
            <w:r w:rsidR="00AB51F2">
              <w:rPr>
                <w:bCs/>
                <w:iCs/>
                <w:color w:val="000000"/>
              </w:rPr>
              <w:t>91.81</w:t>
            </w:r>
          </w:p>
          <w:p w:rsidRPr="00910434" w:rsidR="00BB1846" w:rsidP="00F80363" w:rsidRDefault="00BB1846" w14:paraId="4FE17FA3" w14:textId="315FA67D">
            <w:pPr>
              <w:tabs>
                <w:tab w:val="left" w:pos="957"/>
              </w:tabs>
              <w:spacing w:before="60" w:after="60"/>
              <w:ind w:left="1440" w:right="162"/>
              <w:jc w:val="right"/>
              <w:rPr>
                <w:bCs/>
                <w:iCs/>
                <w:color w:val="000000"/>
              </w:rPr>
            </w:pPr>
            <w:r w:rsidRPr="00910434">
              <w:rPr>
                <w:bCs/>
                <w:iCs/>
                <w:color w:val="000000"/>
              </w:rPr>
              <w:t>Napa: $</w:t>
            </w:r>
            <w:r w:rsidR="00AB51F2">
              <w:rPr>
                <w:bCs/>
                <w:iCs/>
                <w:color w:val="000000"/>
              </w:rPr>
              <w:t>1,695.86</w:t>
            </w:r>
          </w:p>
          <w:p w:rsidRPr="00910434" w:rsidR="00BB1846" w:rsidP="00F80363" w:rsidRDefault="003D75B7" w14:paraId="47EE1DAA" w14:textId="7C0E414E">
            <w:pPr>
              <w:tabs>
                <w:tab w:val="left" w:pos="957"/>
              </w:tabs>
              <w:spacing w:before="60" w:after="60"/>
              <w:ind w:left="1440" w:right="162"/>
              <w:jc w:val="right"/>
              <w:rPr>
                <w:bCs/>
                <w:iCs/>
                <w:color w:val="000000"/>
              </w:rPr>
            </w:pPr>
            <w:r w:rsidRPr="00910434">
              <w:rPr>
                <w:bCs/>
                <w:iCs/>
                <w:color w:val="000000"/>
              </w:rPr>
              <w:t>Sonoma: $</w:t>
            </w:r>
            <w:r w:rsidR="00B0172D">
              <w:rPr>
                <w:bCs/>
                <w:iCs/>
                <w:color w:val="000000"/>
              </w:rPr>
              <w:t>1,700.97</w:t>
            </w:r>
          </w:p>
          <w:p w:rsidRPr="00374FD1" w:rsidR="00BB1846" w:rsidP="00F80363" w:rsidRDefault="000B4A32" w14:paraId="1403B633" w14:textId="2CD893FE">
            <w:pPr>
              <w:tabs>
                <w:tab w:val="left" w:pos="957"/>
              </w:tabs>
              <w:spacing w:before="60" w:after="60"/>
              <w:ind w:left="957" w:right="162"/>
              <w:jc w:val="right"/>
              <w:rPr>
                <w:b/>
                <w:i/>
                <w:color w:val="000000"/>
              </w:rPr>
            </w:pPr>
            <w:r>
              <w:rPr>
                <w:bCs/>
                <w:iCs/>
                <w:color w:val="000000"/>
              </w:rPr>
              <w:t xml:space="preserve">    </w:t>
            </w:r>
            <w:r w:rsidRPr="00910434" w:rsidR="003D75B7">
              <w:rPr>
                <w:bCs/>
                <w:iCs/>
                <w:color w:val="000000"/>
              </w:rPr>
              <w:t>Santa Rosa: $</w:t>
            </w:r>
            <w:r w:rsidR="00B0172D">
              <w:rPr>
                <w:bCs/>
                <w:iCs/>
                <w:color w:val="000000"/>
              </w:rPr>
              <w:t>1,573.48</w:t>
            </w:r>
          </w:p>
        </w:tc>
      </w:tr>
      <w:tr w:rsidRPr="007F620E" w:rsidR="00A92D0B" w:rsidTr="008C09F7" w14:paraId="688E14CF" w14:textId="77777777">
        <w:trPr>
          <w:jc w:val="center"/>
        </w:trPr>
        <w:tc>
          <w:tcPr>
            <w:tcW w:w="10521" w:type="dxa"/>
            <w:gridSpan w:val="15"/>
            <w:tcBorders>
              <w:top w:val="single" w:color="auto" w:sz="4" w:space="0"/>
              <w:left w:val="single" w:color="auto" w:sz="4" w:space="0"/>
              <w:bottom w:val="single" w:color="auto" w:sz="4" w:space="0"/>
              <w:right w:val="single" w:color="auto" w:sz="4" w:space="0"/>
            </w:tcBorders>
            <w:shd w:val="clear" w:color="auto" w:fill="E6E6E6"/>
          </w:tcPr>
          <w:p w:rsidRPr="007F620E" w:rsidR="00A92D0B" w:rsidP="00A92D0B" w:rsidRDefault="00A92D0B" w14:paraId="3492387E" w14:textId="77777777">
            <w:pPr>
              <w:spacing w:before="60" w:after="60"/>
              <w:jc w:val="center"/>
              <w:rPr>
                <w:b/>
                <w:smallCaps/>
                <w:color w:val="000000"/>
              </w:rPr>
            </w:pPr>
            <w:r w:rsidRPr="007F620E">
              <w:rPr>
                <w:b/>
                <w:smallCaps/>
                <w:color w:val="000000"/>
              </w:rPr>
              <w:t>COSTS</w:t>
            </w:r>
          </w:p>
        </w:tc>
      </w:tr>
      <w:tr w:rsidRPr="007F620E" w:rsidR="00380703" w:rsidTr="008C09F7" w14:paraId="4F7F850C" w14:textId="77777777">
        <w:trPr>
          <w:jc w:val="center"/>
        </w:trPr>
        <w:tc>
          <w:tcPr>
            <w:tcW w:w="468" w:type="dxa"/>
            <w:tcBorders>
              <w:top w:val="single" w:color="auto" w:sz="4" w:space="0"/>
              <w:bottom w:val="single" w:color="auto" w:sz="4" w:space="0"/>
            </w:tcBorders>
            <w:shd w:val="clear" w:color="auto" w:fill="auto"/>
          </w:tcPr>
          <w:p w:rsidRPr="007F620E" w:rsidR="00380703" w:rsidP="00380703" w:rsidRDefault="00380703" w14:paraId="2DC13DA4" w14:textId="77777777">
            <w:pPr>
              <w:spacing w:before="60" w:after="60"/>
              <w:jc w:val="center"/>
              <w:rPr>
                <w:b/>
                <w:color w:val="000000"/>
              </w:rPr>
            </w:pPr>
            <w:r w:rsidRPr="007F620E">
              <w:rPr>
                <w:b/>
                <w:color w:val="000000"/>
              </w:rPr>
              <w:t>#</w:t>
            </w:r>
          </w:p>
        </w:tc>
        <w:tc>
          <w:tcPr>
            <w:tcW w:w="1620" w:type="dxa"/>
            <w:gridSpan w:val="2"/>
            <w:tcBorders>
              <w:top w:val="single" w:color="auto" w:sz="4" w:space="0"/>
              <w:bottom w:val="single" w:color="auto" w:sz="4" w:space="0"/>
            </w:tcBorders>
            <w:shd w:val="clear" w:color="auto" w:fill="auto"/>
          </w:tcPr>
          <w:p w:rsidRPr="007F620E" w:rsidR="00380703" w:rsidP="00380703" w:rsidRDefault="00380703" w14:paraId="69667A64" w14:textId="77777777">
            <w:pPr>
              <w:spacing w:before="60" w:after="60"/>
              <w:jc w:val="center"/>
              <w:rPr>
                <w:b/>
                <w:color w:val="000000"/>
              </w:rPr>
            </w:pPr>
            <w:r w:rsidRPr="007F620E">
              <w:rPr>
                <w:b/>
                <w:color w:val="000000"/>
              </w:rPr>
              <w:t>Item</w:t>
            </w:r>
          </w:p>
        </w:tc>
        <w:tc>
          <w:tcPr>
            <w:tcW w:w="3186" w:type="dxa"/>
            <w:gridSpan w:val="7"/>
            <w:tcBorders>
              <w:top w:val="single" w:color="auto" w:sz="4" w:space="0"/>
              <w:left w:val="single" w:color="auto" w:sz="4" w:space="0"/>
              <w:bottom w:val="single" w:color="auto" w:sz="4" w:space="0"/>
              <w:right w:val="single" w:color="auto" w:sz="4" w:space="0"/>
            </w:tcBorders>
            <w:shd w:val="clear" w:color="auto" w:fill="FFFFFF"/>
          </w:tcPr>
          <w:p w:rsidRPr="007F620E" w:rsidR="00380703" w:rsidP="00380703" w:rsidRDefault="00380703" w14:paraId="1B7248EA" w14:textId="77777777">
            <w:pPr>
              <w:spacing w:before="60" w:after="60"/>
              <w:jc w:val="center"/>
              <w:rPr>
                <w:b/>
                <w:color w:val="000000"/>
              </w:rPr>
            </w:pPr>
            <w:r w:rsidRPr="007F620E">
              <w:rPr>
                <w:b/>
                <w:color w:val="000000"/>
              </w:rPr>
              <w:t>Detail</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380703" w:rsidP="00380703" w:rsidRDefault="00380703" w14:paraId="0A63F2C8" w14:textId="77777777">
            <w:pPr>
              <w:spacing w:before="60" w:after="60"/>
              <w:jc w:val="center"/>
              <w:rPr>
                <w:b/>
                <w:color w:val="000000"/>
              </w:rPr>
            </w:pPr>
            <w:r w:rsidRPr="007F620E">
              <w:rPr>
                <w:b/>
                <w:color w:val="000000"/>
              </w:rPr>
              <w:t>Amount</w:t>
            </w:r>
          </w:p>
        </w:tc>
        <w:tc>
          <w:tcPr>
            <w:tcW w:w="3753" w:type="dxa"/>
            <w:gridSpan w:val="3"/>
            <w:tcBorders>
              <w:top w:val="single" w:color="auto" w:sz="4" w:space="0"/>
              <w:left w:val="single" w:color="auto" w:sz="24" w:space="0"/>
            </w:tcBorders>
            <w:shd w:val="clear" w:color="auto" w:fill="auto"/>
          </w:tcPr>
          <w:p w:rsidRPr="007F620E" w:rsidR="00380703" w:rsidP="00380703" w:rsidRDefault="00380703" w14:paraId="376597DB" w14:textId="77777777">
            <w:pPr>
              <w:spacing w:before="60" w:after="60"/>
              <w:jc w:val="center"/>
              <w:rPr>
                <w:b/>
                <w:color w:val="000000"/>
              </w:rPr>
            </w:pPr>
            <w:r w:rsidRPr="007F620E">
              <w:rPr>
                <w:b/>
                <w:color w:val="000000"/>
              </w:rPr>
              <w:t>Amount</w:t>
            </w:r>
          </w:p>
        </w:tc>
      </w:tr>
      <w:tr w:rsidRPr="007F620E" w:rsidR="00380703" w:rsidTr="009A7144" w14:paraId="0002856E" w14:textId="77777777">
        <w:trPr>
          <w:jc w:val="center"/>
        </w:trPr>
        <w:tc>
          <w:tcPr>
            <w:tcW w:w="468" w:type="dxa"/>
            <w:tcBorders>
              <w:bottom w:val="single" w:color="auto" w:sz="4" w:space="0"/>
            </w:tcBorders>
            <w:shd w:val="clear" w:color="auto" w:fill="auto"/>
          </w:tcPr>
          <w:p w:rsidRPr="007F620E" w:rsidR="00380703" w:rsidP="003B6A1B" w:rsidRDefault="001C0DD1" w14:paraId="6A200B0D" w14:textId="77777777">
            <w:pPr>
              <w:spacing w:before="60" w:after="60"/>
              <w:rPr>
                <w:color w:val="000000"/>
              </w:rPr>
            </w:pPr>
            <w:r>
              <w:rPr>
                <w:color w:val="000000"/>
              </w:rPr>
              <w:t>1.</w:t>
            </w:r>
          </w:p>
        </w:tc>
        <w:tc>
          <w:tcPr>
            <w:tcW w:w="1620" w:type="dxa"/>
            <w:gridSpan w:val="2"/>
            <w:tcBorders>
              <w:bottom w:val="single" w:color="auto" w:sz="4" w:space="0"/>
            </w:tcBorders>
            <w:shd w:val="clear" w:color="auto" w:fill="auto"/>
          </w:tcPr>
          <w:p w:rsidRPr="007F620E" w:rsidR="00380703" w:rsidP="003B6A1B" w:rsidRDefault="00CD7567" w14:paraId="6A54EEED" w14:textId="77777777">
            <w:pPr>
              <w:spacing w:before="60" w:after="60"/>
              <w:rPr>
                <w:color w:val="000000"/>
              </w:rPr>
            </w:pPr>
            <w:r>
              <w:rPr>
                <w:color w:val="000000"/>
              </w:rPr>
              <w:t>Courier/filing</w:t>
            </w:r>
          </w:p>
        </w:tc>
        <w:tc>
          <w:tcPr>
            <w:tcW w:w="3186" w:type="dxa"/>
            <w:gridSpan w:val="7"/>
            <w:tcBorders>
              <w:top w:val="single" w:color="auto" w:sz="4" w:space="0"/>
              <w:left w:val="single" w:color="auto" w:sz="4" w:space="0"/>
              <w:bottom w:val="single" w:color="auto" w:sz="4" w:space="0"/>
              <w:right w:val="single" w:color="auto" w:sz="4" w:space="0"/>
            </w:tcBorders>
            <w:shd w:val="clear" w:color="auto" w:fill="auto"/>
          </w:tcPr>
          <w:p w:rsidRPr="007F620E" w:rsidR="00380703" w:rsidP="003B6A1B" w:rsidRDefault="00CD7567" w14:paraId="575EE7F1" w14:textId="77777777">
            <w:pPr>
              <w:spacing w:before="60" w:after="60"/>
              <w:rPr>
                <w:color w:val="000000"/>
              </w:rPr>
            </w:pPr>
            <w:r>
              <w:rPr>
                <w:color w:val="000000"/>
              </w:rPr>
              <w:t>Filing and courier fees for sending comments to CPUC</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380703" w:rsidP="003B6A1B" w:rsidRDefault="00CD7567" w14:paraId="6EF4ED54" w14:textId="77777777">
            <w:pPr>
              <w:spacing w:before="60" w:after="60"/>
              <w:rPr>
                <w:color w:val="000000"/>
              </w:rPr>
            </w:pPr>
            <w:r>
              <w:rPr>
                <w:color w:val="000000"/>
              </w:rPr>
              <w:t>$65.50</w:t>
            </w:r>
          </w:p>
        </w:tc>
        <w:tc>
          <w:tcPr>
            <w:tcW w:w="3753" w:type="dxa"/>
            <w:gridSpan w:val="3"/>
            <w:tcBorders>
              <w:left w:val="single" w:color="auto" w:sz="24" w:space="0"/>
            </w:tcBorders>
            <w:shd w:val="clear" w:color="auto" w:fill="auto"/>
          </w:tcPr>
          <w:p w:rsidRPr="007F620E" w:rsidR="00380703" w:rsidP="003B6A1B" w:rsidRDefault="00556608" w14:paraId="4541951E" w14:textId="063A3D30">
            <w:pPr>
              <w:spacing w:before="60" w:after="60"/>
              <w:rPr>
                <w:color w:val="000000"/>
              </w:rPr>
            </w:pPr>
            <w:r>
              <w:rPr>
                <w:color w:val="000000"/>
              </w:rPr>
              <w:t>$65.50</w:t>
            </w:r>
            <w:r w:rsidR="00436477">
              <w:rPr>
                <w:color w:val="000000"/>
              </w:rPr>
              <w:t xml:space="preserve"> </w:t>
            </w:r>
          </w:p>
        </w:tc>
      </w:tr>
      <w:tr w:rsidRPr="007F620E" w:rsidR="003B6A1B" w:rsidTr="009A7144" w14:paraId="6CF68962" w14:textId="77777777">
        <w:trPr>
          <w:jc w:val="center"/>
        </w:trPr>
        <w:tc>
          <w:tcPr>
            <w:tcW w:w="468" w:type="dxa"/>
            <w:tcBorders>
              <w:bottom w:val="single" w:color="auto" w:sz="4" w:space="0"/>
            </w:tcBorders>
            <w:shd w:val="clear" w:color="auto" w:fill="auto"/>
          </w:tcPr>
          <w:p w:rsidRPr="007F620E" w:rsidR="003B6A1B" w:rsidP="003B6A1B" w:rsidRDefault="001C0DD1" w14:paraId="7BC58527" w14:textId="77777777">
            <w:pPr>
              <w:spacing w:before="60" w:after="60"/>
              <w:rPr>
                <w:color w:val="000000"/>
              </w:rPr>
            </w:pPr>
            <w:r>
              <w:rPr>
                <w:color w:val="000000"/>
              </w:rPr>
              <w:t>2.</w:t>
            </w:r>
          </w:p>
        </w:tc>
        <w:tc>
          <w:tcPr>
            <w:tcW w:w="1620" w:type="dxa"/>
            <w:gridSpan w:val="2"/>
            <w:tcBorders>
              <w:bottom w:val="single" w:color="auto" w:sz="4" w:space="0"/>
            </w:tcBorders>
            <w:shd w:val="clear" w:color="auto" w:fill="auto"/>
          </w:tcPr>
          <w:p w:rsidRPr="007F620E" w:rsidR="003B6A1B" w:rsidP="003B6A1B" w:rsidRDefault="00CD7567" w14:paraId="63923236" w14:textId="77777777">
            <w:pPr>
              <w:spacing w:before="60" w:after="60"/>
              <w:rPr>
                <w:color w:val="000000"/>
              </w:rPr>
            </w:pPr>
            <w:r>
              <w:rPr>
                <w:color w:val="000000"/>
              </w:rPr>
              <w:t>Photocopying</w:t>
            </w:r>
          </w:p>
        </w:tc>
        <w:tc>
          <w:tcPr>
            <w:tcW w:w="3186" w:type="dxa"/>
            <w:gridSpan w:val="7"/>
            <w:tcBorders>
              <w:top w:val="single" w:color="auto" w:sz="4" w:space="0"/>
              <w:left w:val="single" w:color="auto" w:sz="4" w:space="0"/>
              <w:bottom w:val="single" w:color="auto" w:sz="4" w:space="0"/>
              <w:right w:val="single" w:color="auto" w:sz="4" w:space="0"/>
            </w:tcBorders>
            <w:shd w:val="clear" w:color="auto" w:fill="auto"/>
          </w:tcPr>
          <w:p w:rsidRPr="007F620E" w:rsidR="003B6A1B" w:rsidP="003B6A1B" w:rsidRDefault="00CD7567" w14:paraId="7A9D31C8" w14:textId="77777777">
            <w:pPr>
              <w:spacing w:before="60" w:after="60"/>
              <w:rPr>
                <w:color w:val="000000"/>
              </w:rPr>
            </w:pPr>
            <w:r>
              <w:rPr>
                <w:color w:val="000000"/>
              </w:rPr>
              <w:t>Copying of pleadings for ALJ and Commissioner offices</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3B6A1B" w:rsidP="003B6A1B" w:rsidRDefault="00CD7567" w14:paraId="7B8BC2A2" w14:textId="77777777">
            <w:pPr>
              <w:spacing w:before="60" w:after="60"/>
              <w:rPr>
                <w:color w:val="000000"/>
              </w:rPr>
            </w:pPr>
            <w:r>
              <w:rPr>
                <w:color w:val="000000"/>
              </w:rPr>
              <w:t>$81.60</w:t>
            </w:r>
          </w:p>
        </w:tc>
        <w:tc>
          <w:tcPr>
            <w:tcW w:w="3753" w:type="dxa"/>
            <w:gridSpan w:val="3"/>
            <w:tcBorders>
              <w:left w:val="single" w:color="auto" w:sz="24" w:space="0"/>
            </w:tcBorders>
            <w:shd w:val="clear" w:color="auto" w:fill="auto"/>
          </w:tcPr>
          <w:p w:rsidRPr="007F620E" w:rsidR="003B6A1B" w:rsidP="003B6A1B" w:rsidRDefault="00556608" w14:paraId="3BB6C028" w14:textId="11E72182">
            <w:pPr>
              <w:spacing w:before="60" w:after="60"/>
              <w:rPr>
                <w:color w:val="000000"/>
              </w:rPr>
            </w:pPr>
            <w:r>
              <w:rPr>
                <w:color w:val="000000"/>
              </w:rPr>
              <w:t>$81.60</w:t>
            </w:r>
            <w:r w:rsidR="00436477">
              <w:rPr>
                <w:color w:val="000000"/>
              </w:rPr>
              <w:t xml:space="preserve"> </w:t>
            </w:r>
          </w:p>
        </w:tc>
      </w:tr>
      <w:tr w:rsidRPr="007F620E" w:rsidR="003B6A1B" w:rsidTr="008C09F7" w14:paraId="6D5098DB" w14:textId="77777777">
        <w:trPr>
          <w:jc w:val="center"/>
        </w:trPr>
        <w:tc>
          <w:tcPr>
            <w:tcW w:w="6768" w:type="dxa"/>
            <w:gridSpan w:val="12"/>
            <w:tcBorders>
              <w:bottom w:val="single" w:color="auto" w:sz="4" w:space="0"/>
              <w:right w:val="single" w:color="auto" w:sz="24" w:space="0"/>
            </w:tcBorders>
            <w:shd w:val="clear" w:color="auto" w:fill="auto"/>
            <w:vAlign w:val="bottom"/>
          </w:tcPr>
          <w:p w:rsidR="003B6A1B" w:rsidP="003B6A1B" w:rsidRDefault="003B6A1B" w14:paraId="4901600C" w14:textId="77777777">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r w:rsidR="00CD7567">
              <w:rPr>
                <w:b/>
                <w:i/>
                <w:color w:val="000000"/>
              </w:rPr>
              <w:t>147.10</w:t>
            </w:r>
          </w:p>
          <w:p w:rsidR="005A6567" w:rsidP="003B6A1B" w:rsidRDefault="005A6567" w14:paraId="54CE987B" w14:textId="77777777">
            <w:pPr>
              <w:tabs>
                <w:tab w:val="left" w:pos="957"/>
              </w:tabs>
              <w:spacing w:before="60" w:after="60"/>
              <w:ind w:right="162"/>
              <w:jc w:val="right"/>
              <w:rPr>
                <w:b/>
                <w:i/>
                <w:color w:val="000000"/>
              </w:rPr>
            </w:pPr>
          </w:p>
          <w:p w:rsidR="005A6567" w:rsidP="003B6A1B" w:rsidRDefault="005A6567" w14:paraId="14BC84A6" w14:textId="77777777">
            <w:pPr>
              <w:tabs>
                <w:tab w:val="left" w:pos="957"/>
              </w:tabs>
              <w:spacing w:before="60" w:after="60"/>
              <w:ind w:right="162"/>
              <w:jc w:val="right"/>
              <w:rPr>
                <w:b/>
                <w:i/>
                <w:color w:val="000000"/>
              </w:rPr>
            </w:pPr>
            <w:r>
              <w:rPr>
                <w:b/>
                <w:i/>
                <w:color w:val="000000"/>
              </w:rPr>
              <w:t>Mendocino: $39.17</w:t>
            </w:r>
          </w:p>
          <w:p w:rsidR="005A6567" w:rsidP="003B6A1B" w:rsidRDefault="005A6567" w14:paraId="1F397F3E" w14:textId="15A644FB">
            <w:pPr>
              <w:tabs>
                <w:tab w:val="left" w:pos="957"/>
              </w:tabs>
              <w:spacing w:before="60" w:after="60"/>
              <w:ind w:right="162"/>
              <w:jc w:val="right"/>
              <w:rPr>
                <w:b/>
                <w:i/>
                <w:color w:val="000000"/>
              </w:rPr>
            </w:pPr>
            <w:r>
              <w:rPr>
                <w:b/>
                <w:i/>
                <w:color w:val="000000"/>
              </w:rPr>
              <w:t>Napa:</w:t>
            </w:r>
            <w:r w:rsidR="001771A8">
              <w:rPr>
                <w:b/>
                <w:i/>
                <w:color w:val="000000"/>
              </w:rPr>
              <w:t xml:space="preserve"> </w:t>
            </w:r>
            <w:r>
              <w:rPr>
                <w:b/>
                <w:i/>
                <w:color w:val="000000"/>
              </w:rPr>
              <w:t>$39.17</w:t>
            </w:r>
          </w:p>
          <w:p w:rsidR="005A6567" w:rsidP="003B6A1B" w:rsidRDefault="005A6567" w14:paraId="7BD32411" w14:textId="09C72BC9">
            <w:pPr>
              <w:tabs>
                <w:tab w:val="left" w:pos="957"/>
              </w:tabs>
              <w:spacing w:before="60" w:after="60"/>
              <w:ind w:right="162"/>
              <w:jc w:val="right"/>
              <w:rPr>
                <w:b/>
                <w:i/>
                <w:color w:val="000000"/>
              </w:rPr>
            </w:pPr>
            <w:r>
              <w:rPr>
                <w:b/>
                <w:i/>
                <w:color w:val="000000"/>
              </w:rPr>
              <w:t>Sonoma:</w:t>
            </w:r>
            <w:r w:rsidR="001771A8">
              <w:rPr>
                <w:b/>
                <w:i/>
                <w:color w:val="000000"/>
              </w:rPr>
              <w:t xml:space="preserve"> </w:t>
            </w:r>
            <w:r>
              <w:rPr>
                <w:b/>
                <w:i/>
                <w:color w:val="000000"/>
              </w:rPr>
              <w:t>$39.15</w:t>
            </w:r>
          </w:p>
          <w:p w:rsidRPr="00374FD1" w:rsidR="005A6567" w:rsidP="003B6A1B" w:rsidRDefault="005A6567" w14:paraId="6E1BA95E" w14:textId="30038A43">
            <w:pPr>
              <w:tabs>
                <w:tab w:val="left" w:pos="957"/>
              </w:tabs>
              <w:spacing w:before="60" w:after="60"/>
              <w:ind w:right="162"/>
              <w:jc w:val="right"/>
              <w:rPr>
                <w:b/>
                <w:i/>
                <w:color w:val="000000"/>
              </w:rPr>
            </w:pPr>
            <w:r>
              <w:rPr>
                <w:b/>
                <w:i/>
                <w:color w:val="000000"/>
              </w:rPr>
              <w:t>Santa Rosa:</w:t>
            </w:r>
            <w:r w:rsidR="001771A8">
              <w:rPr>
                <w:b/>
                <w:i/>
                <w:color w:val="000000"/>
              </w:rPr>
              <w:t xml:space="preserve"> </w:t>
            </w:r>
            <w:r>
              <w:rPr>
                <w:b/>
                <w:i/>
                <w:color w:val="000000"/>
              </w:rPr>
              <w:t>$29.61</w:t>
            </w:r>
          </w:p>
        </w:tc>
        <w:tc>
          <w:tcPr>
            <w:tcW w:w="3753" w:type="dxa"/>
            <w:gridSpan w:val="3"/>
            <w:tcBorders>
              <w:left w:val="single" w:color="auto" w:sz="24" w:space="0"/>
            </w:tcBorders>
            <w:shd w:val="clear" w:color="auto" w:fill="auto"/>
            <w:vAlign w:val="bottom"/>
          </w:tcPr>
          <w:p w:rsidRPr="00910434" w:rsidR="00556608" w:rsidP="00556608" w:rsidRDefault="00556608" w14:paraId="1B5F0E37" w14:textId="77777777">
            <w:pPr>
              <w:tabs>
                <w:tab w:val="left" w:pos="957"/>
              </w:tabs>
              <w:spacing w:before="60" w:after="60"/>
              <w:ind w:right="162"/>
              <w:jc w:val="right"/>
              <w:rPr>
                <w:bCs/>
                <w:iCs/>
                <w:color w:val="000000"/>
              </w:rPr>
            </w:pPr>
            <w:r w:rsidRPr="00910434">
              <w:rPr>
                <w:bCs/>
                <w:iCs/>
                <w:color w:val="000000"/>
              </w:rPr>
              <w:t>Subtotal: $147.10</w:t>
            </w:r>
          </w:p>
          <w:p w:rsidRPr="00910434" w:rsidR="00556608" w:rsidP="00556608" w:rsidRDefault="00556608" w14:paraId="28B10B5B" w14:textId="77777777">
            <w:pPr>
              <w:tabs>
                <w:tab w:val="left" w:pos="957"/>
              </w:tabs>
              <w:spacing w:before="60" w:after="60"/>
              <w:ind w:right="162"/>
              <w:jc w:val="right"/>
              <w:rPr>
                <w:bCs/>
                <w:iCs/>
                <w:color w:val="000000"/>
              </w:rPr>
            </w:pPr>
          </w:p>
          <w:p w:rsidRPr="00910434" w:rsidR="00556608" w:rsidP="00556608" w:rsidRDefault="00556608" w14:paraId="2B0D5E74" w14:textId="77777777">
            <w:pPr>
              <w:tabs>
                <w:tab w:val="left" w:pos="957"/>
              </w:tabs>
              <w:spacing w:before="60" w:after="60"/>
              <w:ind w:right="162"/>
              <w:jc w:val="right"/>
              <w:rPr>
                <w:bCs/>
                <w:iCs/>
                <w:color w:val="000000"/>
              </w:rPr>
            </w:pPr>
            <w:r w:rsidRPr="00910434">
              <w:rPr>
                <w:bCs/>
                <w:iCs/>
                <w:color w:val="000000"/>
              </w:rPr>
              <w:t>Mendocino: $39.17</w:t>
            </w:r>
          </w:p>
          <w:p w:rsidRPr="00910434" w:rsidR="00556608" w:rsidP="00556608" w:rsidRDefault="00556608" w14:paraId="3AED4B0D" w14:textId="317B9CC7">
            <w:pPr>
              <w:tabs>
                <w:tab w:val="left" w:pos="957"/>
              </w:tabs>
              <w:spacing w:before="60" w:after="60"/>
              <w:ind w:right="162"/>
              <w:jc w:val="right"/>
              <w:rPr>
                <w:bCs/>
                <w:iCs/>
                <w:color w:val="000000"/>
              </w:rPr>
            </w:pPr>
            <w:r w:rsidRPr="00910434">
              <w:rPr>
                <w:bCs/>
                <w:iCs/>
                <w:color w:val="000000"/>
              </w:rPr>
              <w:t>Napa:</w:t>
            </w:r>
            <w:r w:rsidR="003C386B">
              <w:rPr>
                <w:bCs/>
                <w:iCs/>
                <w:color w:val="000000"/>
              </w:rPr>
              <w:t xml:space="preserve"> </w:t>
            </w:r>
            <w:r w:rsidRPr="00910434">
              <w:rPr>
                <w:bCs/>
                <w:iCs/>
                <w:color w:val="000000"/>
              </w:rPr>
              <w:t>$39.17</w:t>
            </w:r>
          </w:p>
          <w:p w:rsidRPr="00910434" w:rsidR="00556608" w:rsidP="00556608" w:rsidRDefault="00556608" w14:paraId="3C65136E" w14:textId="07735DA6">
            <w:pPr>
              <w:tabs>
                <w:tab w:val="left" w:pos="957"/>
              </w:tabs>
              <w:spacing w:before="60" w:after="60"/>
              <w:ind w:right="162"/>
              <w:jc w:val="right"/>
              <w:rPr>
                <w:bCs/>
                <w:iCs/>
                <w:color w:val="000000"/>
              </w:rPr>
            </w:pPr>
            <w:r w:rsidRPr="00910434">
              <w:rPr>
                <w:bCs/>
                <w:iCs/>
                <w:color w:val="000000"/>
              </w:rPr>
              <w:t>Sonoma:</w:t>
            </w:r>
            <w:r w:rsidR="003C386B">
              <w:rPr>
                <w:bCs/>
                <w:iCs/>
                <w:color w:val="000000"/>
              </w:rPr>
              <w:t xml:space="preserve"> </w:t>
            </w:r>
            <w:r w:rsidRPr="00910434">
              <w:rPr>
                <w:bCs/>
                <w:iCs/>
                <w:color w:val="000000"/>
              </w:rPr>
              <w:t>$39.15</w:t>
            </w:r>
          </w:p>
          <w:p w:rsidRPr="00374FD1" w:rsidR="003B6A1B" w:rsidP="00556608" w:rsidRDefault="00556608" w14:paraId="363D6B78" w14:textId="21B0C201">
            <w:pPr>
              <w:tabs>
                <w:tab w:val="left" w:pos="957"/>
              </w:tabs>
              <w:spacing w:before="60" w:after="60"/>
              <w:ind w:right="162"/>
              <w:jc w:val="right"/>
              <w:rPr>
                <w:b/>
                <w:i/>
                <w:color w:val="000000"/>
              </w:rPr>
            </w:pPr>
            <w:r w:rsidRPr="00910434">
              <w:rPr>
                <w:bCs/>
                <w:iCs/>
                <w:color w:val="000000"/>
              </w:rPr>
              <w:t>Santa Rosa:</w:t>
            </w:r>
            <w:r w:rsidR="003C386B">
              <w:rPr>
                <w:bCs/>
                <w:iCs/>
                <w:color w:val="000000"/>
              </w:rPr>
              <w:t xml:space="preserve"> </w:t>
            </w:r>
            <w:r w:rsidRPr="00910434">
              <w:rPr>
                <w:bCs/>
                <w:iCs/>
                <w:color w:val="000000"/>
              </w:rPr>
              <w:t>$29.61</w:t>
            </w:r>
          </w:p>
        </w:tc>
      </w:tr>
      <w:tr w:rsidRPr="007F620E" w:rsidR="003B6A1B" w:rsidTr="008C09F7" w14:paraId="624010F0" w14:textId="77777777">
        <w:trPr>
          <w:jc w:val="center"/>
        </w:trPr>
        <w:tc>
          <w:tcPr>
            <w:tcW w:w="6768" w:type="dxa"/>
            <w:gridSpan w:val="12"/>
            <w:tcBorders>
              <w:top w:val="single" w:color="auto" w:sz="4" w:space="0"/>
              <w:bottom w:val="single" w:color="auto" w:sz="4" w:space="0"/>
              <w:right w:val="single" w:color="auto" w:sz="24" w:space="0"/>
            </w:tcBorders>
            <w:shd w:val="clear" w:color="auto" w:fill="E6E6E6"/>
            <w:vAlign w:val="bottom"/>
          </w:tcPr>
          <w:p w:rsidR="003B6A1B" w:rsidP="00FE3BAE" w:rsidRDefault="003B6A1B" w14:paraId="48050796" w14:textId="77777777">
            <w:pPr>
              <w:tabs>
                <w:tab w:val="left" w:pos="957"/>
              </w:tabs>
              <w:spacing w:before="60" w:after="60"/>
              <w:ind w:right="72"/>
              <w:jc w:val="right"/>
              <w:rPr>
                <w:b/>
                <w:i/>
                <w:color w:val="000000"/>
              </w:rPr>
            </w:pPr>
            <w:r w:rsidRPr="00374FD1">
              <w:rPr>
                <w:b/>
                <w:i/>
                <w:color w:val="000000"/>
              </w:rPr>
              <w:t>TOTAL REQUEST: $</w:t>
            </w:r>
            <w:r w:rsidR="004E48A2">
              <w:rPr>
                <w:b/>
                <w:i/>
                <w:color w:val="000000"/>
              </w:rPr>
              <w:t>7</w:t>
            </w:r>
            <w:r w:rsidR="002A1B9C">
              <w:rPr>
                <w:b/>
                <w:i/>
                <w:color w:val="000000"/>
              </w:rPr>
              <w:t>6,283.</w:t>
            </w:r>
            <w:r w:rsidR="004E48A2">
              <w:rPr>
                <w:b/>
                <w:i/>
                <w:color w:val="000000"/>
              </w:rPr>
              <w:t>63</w:t>
            </w:r>
          </w:p>
          <w:p w:rsidR="004E48A2" w:rsidP="00FE3BAE" w:rsidRDefault="004E48A2" w14:paraId="0400F36A" w14:textId="77777777">
            <w:pPr>
              <w:tabs>
                <w:tab w:val="left" w:pos="957"/>
              </w:tabs>
              <w:spacing w:before="60" w:after="60"/>
              <w:ind w:right="72"/>
              <w:jc w:val="right"/>
              <w:rPr>
                <w:b/>
                <w:i/>
                <w:color w:val="000000"/>
              </w:rPr>
            </w:pPr>
          </w:p>
          <w:p w:rsidR="004E48A2" w:rsidP="00FE3BAE" w:rsidRDefault="004E48A2" w14:paraId="3386EEE4" w14:textId="77777777">
            <w:pPr>
              <w:tabs>
                <w:tab w:val="left" w:pos="957"/>
              </w:tabs>
              <w:spacing w:before="60" w:after="60"/>
              <w:ind w:right="72"/>
              <w:jc w:val="right"/>
              <w:rPr>
                <w:b/>
                <w:i/>
                <w:color w:val="000000"/>
              </w:rPr>
            </w:pPr>
            <w:r>
              <w:rPr>
                <w:b/>
                <w:i/>
                <w:color w:val="000000"/>
              </w:rPr>
              <w:t>Mendocino: $5,505.57</w:t>
            </w:r>
          </w:p>
          <w:p w:rsidR="004E48A2" w:rsidP="00FE3BAE" w:rsidRDefault="004E48A2" w14:paraId="5A87824F" w14:textId="551C9B86">
            <w:pPr>
              <w:tabs>
                <w:tab w:val="left" w:pos="957"/>
              </w:tabs>
              <w:spacing w:before="60" w:after="60"/>
              <w:ind w:right="72"/>
              <w:jc w:val="right"/>
              <w:rPr>
                <w:b/>
                <w:i/>
                <w:color w:val="000000"/>
              </w:rPr>
            </w:pPr>
            <w:r>
              <w:rPr>
                <w:b/>
                <w:i/>
                <w:color w:val="000000"/>
              </w:rPr>
              <w:t>Napa: $3</w:t>
            </w:r>
            <w:r w:rsidR="002A1B9C">
              <w:rPr>
                <w:b/>
                <w:i/>
                <w:color w:val="000000"/>
              </w:rPr>
              <w:t>1,918</w:t>
            </w:r>
            <w:r>
              <w:rPr>
                <w:b/>
                <w:i/>
                <w:color w:val="000000"/>
              </w:rPr>
              <w:t>.31</w:t>
            </w:r>
            <w:r w:rsidR="00247FD5">
              <w:rPr>
                <w:rStyle w:val="FootnoteReference"/>
                <w:b/>
                <w:i/>
                <w:color w:val="000000"/>
              </w:rPr>
              <w:footnoteReference w:id="12"/>
            </w:r>
          </w:p>
          <w:p w:rsidR="004E48A2" w:rsidP="00FE3BAE" w:rsidRDefault="004E48A2" w14:paraId="1B9EF69B" w14:textId="6D9C2E46">
            <w:pPr>
              <w:tabs>
                <w:tab w:val="left" w:pos="957"/>
              </w:tabs>
              <w:spacing w:before="60" w:after="60"/>
              <w:ind w:right="72"/>
              <w:jc w:val="right"/>
              <w:rPr>
                <w:b/>
                <w:i/>
                <w:color w:val="000000"/>
              </w:rPr>
            </w:pPr>
            <w:r>
              <w:rPr>
                <w:b/>
                <w:i/>
                <w:color w:val="000000"/>
              </w:rPr>
              <w:lastRenderedPageBreak/>
              <w:t>Sonoma: $26,393.61</w:t>
            </w:r>
            <w:r w:rsidR="00F33077">
              <w:rPr>
                <w:rStyle w:val="FootnoteReference"/>
                <w:b/>
                <w:i/>
                <w:color w:val="000000"/>
              </w:rPr>
              <w:footnoteReference w:id="13"/>
            </w:r>
          </w:p>
          <w:p w:rsidRPr="00FE3BAE" w:rsidR="004E48A2" w:rsidP="00FE3BAE" w:rsidRDefault="004E48A2" w14:paraId="3C674CFC" w14:textId="77777777">
            <w:pPr>
              <w:tabs>
                <w:tab w:val="left" w:pos="957"/>
              </w:tabs>
              <w:spacing w:before="60" w:after="60"/>
              <w:ind w:right="72"/>
              <w:jc w:val="right"/>
              <w:rPr>
                <w:b/>
                <w:color w:val="000000"/>
              </w:rPr>
            </w:pPr>
            <w:r>
              <w:rPr>
                <w:b/>
                <w:i/>
                <w:color w:val="000000"/>
              </w:rPr>
              <w:t>Santa Rosa: $12,466.14</w:t>
            </w:r>
          </w:p>
        </w:tc>
        <w:tc>
          <w:tcPr>
            <w:tcW w:w="3753" w:type="dxa"/>
            <w:gridSpan w:val="3"/>
            <w:tcBorders>
              <w:left w:val="single" w:color="auto" w:sz="24" w:space="0"/>
            </w:tcBorders>
            <w:shd w:val="clear" w:color="auto" w:fill="E6E6E6"/>
            <w:vAlign w:val="bottom"/>
          </w:tcPr>
          <w:p w:rsidRPr="00910434" w:rsidR="00762DF3" w:rsidP="003A1AB7" w:rsidRDefault="003B6A1B" w14:paraId="388BACB6" w14:textId="43EA30F6">
            <w:pPr>
              <w:tabs>
                <w:tab w:val="left" w:pos="957"/>
              </w:tabs>
              <w:spacing w:before="60" w:after="60"/>
              <w:ind w:right="72"/>
              <w:rPr>
                <w:b/>
                <w:iCs/>
                <w:color w:val="000000"/>
              </w:rPr>
            </w:pPr>
            <w:r w:rsidRPr="00910434">
              <w:rPr>
                <w:b/>
                <w:iCs/>
                <w:color w:val="000000"/>
              </w:rPr>
              <w:lastRenderedPageBreak/>
              <w:t xml:space="preserve">TOTAL AWARD: </w:t>
            </w:r>
            <w:r w:rsidRPr="00C82D55" w:rsidR="00C82D55">
              <w:rPr>
                <w:b/>
                <w:iCs/>
                <w:color w:val="000000"/>
              </w:rPr>
              <w:t>$74,206.13</w:t>
            </w:r>
          </w:p>
          <w:p w:rsidRPr="00910434" w:rsidR="001222BA" w:rsidP="005A4AE5" w:rsidRDefault="001222BA" w14:paraId="143B19D1" w14:textId="77777777">
            <w:pPr>
              <w:tabs>
                <w:tab w:val="left" w:pos="957"/>
              </w:tabs>
              <w:spacing w:before="60" w:after="60"/>
              <w:ind w:right="72"/>
              <w:jc w:val="center"/>
              <w:rPr>
                <w:b/>
                <w:iCs/>
                <w:color w:val="000000"/>
              </w:rPr>
            </w:pPr>
          </w:p>
          <w:p w:rsidRPr="00910434" w:rsidR="001222BA" w:rsidP="001222BA" w:rsidRDefault="00903C64" w14:paraId="32E5388C" w14:textId="71C14D26">
            <w:pPr>
              <w:tabs>
                <w:tab w:val="left" w:pos="957"/>
              </w:tabs>
              <w:spacing w:before="60" w:after="60"/>
              <w:ind w:right="72"/>
              <w:jc w:val="right"/>
              <w:rPr>
                <w:b/>
                <w:iCs/>
                <w:color w:val="000000"/>
              </w:rPr>
            </w:pPr>
            <w:r w:rsidRPr="00910434">
              <w:rPr>
                <w:b/>
                <w:iCs/>
                <w:color w:val="000000"/>
              </w:rPr>
              <w:t>Mendocino</w:t>
            </w:r>
            <w:r w:rsidRPr="00910434" w:rsidR="001222BA">
              <w:rPr>
                <w:b/>
                <w:iCs/>
                <w:color w:val="000000"/>
              </w:rPr>
              <w:t>:</w:t>
            </w:r>
            <w:r w:rsidRPr="00910434" w:rsidR="001222BA">
              <w:rPr>
                <w:b/>
                <w:iCs/>
                <w:color w:val="000000"/>
              </w:rPr>
              <w:tab/>
              <w:t>$</w:t>
            </w:r>
            <w:r w:rsidR="00A852A2">
              <w:rPr>
                <w:b/>
                <w:iCs/>
                <w:color w:val="000000"/>
              </w:rPr>
              <w:t>5,502</w:t>
            </w:r>
            <w:r w:rsidR="00107882">
              <w:rPr>
                <w:b/>
                <w:iCs/>
                <w:color w:val="000000"/>
              </w:rPr>
              <w:t>.88</w:t>
            </w:r>
            <w:r w:rsidRPr="00910434" w:rsidR="001222BA">
              <w:rPr>
                <w:b/>
                <w:iCs/>
                <w:color w:val="000000"/>
              </w:rPr>
              <w:t xml:space="preserve"> </w:t>
            </w:r>
          </w:p>
          <w:p w:rsidRPr="00910434" w:rsidR="001222BA" w:rsidP="001222BA" w:rsidRDefault="001222BA" w14:paraId="1EB72189" w14:textId="72AE2469">
            <w:pPr>
              <w:tabs>
                <w:tab w:val="left" w:pos="957"/>
              </w:tabs>
              <w:spacing w:before="60" w:after="60"/>
              <w:ind w:right="72"/>
              <w:jc w:val="right"/>
              <w:rPr>
                <w:b/>
                <w:iCs/>
                <w:color w:val="000000"/>
              </w:rPr>
            </w:pPr>
            <w:r w:rsidRPr="00910434">
              <w:rPr>
                <w:b/>
                <w:iCs/>
                <w:color w:val="000000"/>
              </w:rPr>
              <w:t>Napa:</w:t>
            </w:r>
            <w:r w:rsidRPr="00910434">
              <w:rPr>
                <w:b/>
                <w:iCs/>
                <w:color w:val="000000"/>
              </w:rPr>
              <w:tab/>
              <w:t>$</w:t>
            </w:r>
            <w:r w:rsidR="00107882">
              <w:rPr>
                <w:b/>
                <w:iCs/>
                <w:color w:val="000000"/>
              </w:rPr>
              <w:t>26,279.67</w:t>
            </w:r>
            <w:r w:rsidRPr="00910434">
              <w:rPr>
                <w:b/>
                <w:iCs/>
                <w:color w:val="000000"/>
              </w:rPr>
              <w:t xml:space="preserve"> </w:t>
            </w:r>
          </w:p>
          <w:p w:rsidRPr="00910434" w:rsidR="001222BA" w:rsidP="001222BA" w:rsidRDefault="001222BA" w14:paraId="728E53F7" w14:textId="2FF06E73">
            <w:pPr>
              <w:tabs>
                <w:tab w:val="left" w:pos="957"/>
              </w:tabs>
              <w:spacing w:before="60" w:after="60"/>
              <w:ind w:right="72"/>
              <w:jc w:val="right"/>
              <w:rPr>
                <w:b/>
                <w:iCs/>
                <w:color w:val="000000"/>
              </w:rPr>
            </w:pPr>
            <w:r w:rsidRPr="00910434">
              <w:rPr>
                <w:b/>
                <w:iCs/>
                <w:color w:val="000000"/>
              </w:rPr>
              <w:lastRenderedPageBreak/>
              <w:t>Sonoma:</w:t>
            </w:r>
            <w:r w:rsidRPr="00910434">
              <w:rPr>
                <w:b/>
                <w:iCs/>
                <w:color w:val="000000"/>
              </w:rPr>
              <w:tab/>
            </w:r>
            <w:r w:rsidRPr="00086925" w:rsidR="00086925">
              <w:rPr>
                <w:b/>
                <w:iCs/>
                <w:color w:val="000000"/>
              </w:rPr>
              <w:t>$29,965.62</w:t>
            </w:r>
          </w:p>
          <w:p w:rsidRPr="005A4AE5" w:rsidR="001222BA" w:rsidP="001222BA" w:rsidRDefault="001222BA" w14:paraId="62012D9F" w14:textId="1CACF2B4">
            <w:pPr>
              <w:tabs>
                <w:tab w:val="left" w:pos="957"/>
              </w:tabs>
              <w:spacing w:before="60" w:after="60"/>
              <w:ind w:right="72"/>
              <w:jc w:val="right"/>
              <w:rPr>
                <w:b/>
                <w:i/>
                <w:color w:val="000000"/>
              </w:rPr>
            </w:pPr>
            <w:r w:rsidRPr="00910434">
              <w:rPr>
                <w:b/>
                <w:iCs/>
                <w:color w:val="000000"/>
              </w:rPr>
              <w:t>Santa Rosa:</w:t>
            </w:r>
            <w:r w:rsidRPr="00910434">
              <w:rPr>
                <w:b/>
                <w:iCs/>
                <w:color w:val="000000"/>
              </w:rPr>
              <w:tab/>
              <w:t>$</w:t>
            </w:r>
            <w:r w:rsidR="00107882">
              <w:rPr>
                <w:b/>
                <w:iCs/>
                <w:color w:val="000000"/>
              </w:rPr>
              <w:t>12,457</w:t>
            </w:r>
            <w:r w:rsidR="003A1AB7">
              <w:rPr>
                <w:b/>
                <w:iCs/>
                <w:color w:val="000000"/>
              </w:rPr>
              <w:t>.95</w:t>
            </w:r>
          </w:p>
        </w:tc>
      </w:tr>
      <w:tr w:rsidRPr="007F620E" w:rsidR="003B6A1B" w:rsidTr="008C09F7" w14:paraId="36A6E897" w14:textId="77777777">
        <w:trPr>
          <w:jc w:val="center"/>
        </w:trPr>
        <w:tc>
          <w:tcPr>
            <w:tcW w:w="10521" w:type="dxa"/>
            <w:gridSpan w:val="15"/>
            <w:tcBorders>
              <w:top w:val="single" w:color="auto" w:sz="4" w:space="0"/>
              <w:bottom w:val="single" w:color="auto" w:sz="4" w:space="0"/>
            </w:tcBorders>
            <w:shd w:val="clear" w:color="auto" w:fill="auto"/>
          </w:tcPr>
          <w:p w:rsidRPr="007F620E" w:rsidR="003B6A1B" w:rsidP="00D075B1" w:rsidRDefault="003B6A1B" w14:paraId="4ED6C1C5" w14:textId="77777777">
            <w:pPr>
              <w:spacing w:before="60" w:after="60"/>
              <w:rPr>
                <w:color w:val="000000"/>
              </w:rPr>
            </w:pPr>
            <w:r w:rsidRPr="007F620E">
              <w:rPr>
                <w:color w:val="000000"/>
              </w:rPr>
              <w:lastRenderedPageBreak/>
              <w:t xml:space="preserve">  *We remind all intervenors that Commission staff may audit </w:t>
            </w:r>
            <w:r>
              <w:t>the records and books of the intervenors to the extent necessary to verify the basis for the award (§1804(d)).  I</w:t>
            </w:r>
            <w:r w:rsidRPr="007F620E">
              <w:rPr>
                <w:color w:val="000000"/>
              </w:rPr>
              <w:t xml:space="preserve">ntervenors must make and retain adequate accounting and other documentation to support all claims for intervenor compensation.  Intervenor’s records should identify specific issues for which it seeks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final decision making the award. </w:t>
            </w:r>
          </w:p>
          <w:p w:rsidRPr="007F620E" w:rsidR="003B6A1B" w:rsidP="00963EEF" w:rsidRDefault="003B6A1B" w14:paraId="1FD482B4" w14:textId="77777777">
            <w:pPr>
              <w:spacing w:before="60" w:after="60"/>
              <w:rPr>
                <w:color w:val="000000"/>
              </w:rPr>
            </w:pPr>
            <w:r w:rsidRPr="007F620E">
              <w:rPr>
                <w:color w:val="000000"/>
              </w:rPr>
              <w:t xml:space="preserve">**Travel and Reasonable Claim preparation time </w:t>
            </w:r>
            <w:r>
              <w:rPr>
                <w:color w:val="000000"/>
              </w:rPr>
              <w:t xml:space="preserve">are </w:t>
            </w:r>
            <w:r w:rsidRPr="007F620E">
              <w:rPr>
                <w:color w:val="000000"/>
              </w:rPr>
              <w:t>typically compensated at ½ of preparer’s normal hourly rate</w:t>
            </w:r>
            <w:r w:rsidRPr="007F620E" w:rsidDel="00D075B1">
              <w:rPr>
                <w:color w:val="000000"/>
              </w:rPr>
              <w:t xml:space="preserve"> </w:t>
            </w:r>
          </w:p>
        </w:tc>
      </w:tr>
      <w:tr w:rsidRPr="007F620E" w:rsidR="003B6A1B" w:rsidTr="008C09F7" w14:paraId="75473AA9" w14:textId="77777777">
        <w:trPr>
          <w:jc w:val="center"/>
        </w:trPr>
        <w:tc>
          <w:tcPr>
            <w:tcW w:w="10521" w:type="dxa"/>
            <w:gridSpan w:val="15"/>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F620E" w:rsidR="003B6A1B" w:rsidP="00DD52BB" w:rsidRDefault="003B6A1B" w14:paraId="3C35C159" w14:textId="77777777">
            <w:pPr>
              <w:spacing w:before="60" w:after="60"/>
              <w:jc w:val="center"/>
              <w:rPr>
                <w:b/>
                <w:smallCaps/>
                <w:color w:val="000000"/>
              </w:rPr>
            </w:pPr>
            <w:r w:rsidRPr="007F620E">
              <w:rPr>
                <w:b/>
                <w:smallCaps/>
                <w:color w:val="000000"/>
              </w:rPr>
              <w:t>ATTORNEY INFORMATION</w:t>
            </w:r>
          </w:p>
        </w:tc>
      </w:tr>
      <w:tr w:rsidRPr="00C16981" w:rsidR="003B6A1B" w:rsidTr="008C09F7" w14:paraId="7BF4C2C2" w14:textId="77777777">
        <w:trPr>
          <w:trHeight w:val="173"/>
          <w:jc w:val="center"/>
        </w:trPr>
        <w:tc>
          <w:tcPr>
            <w:tcW w:w="2538" w:type="dxa"/>
            <w:gridSpan w:val="5"/>
            <w:tcBorders>
              <w:top w:val="single" w:color="auto" w:sz="4" w:space="0"/>
              <w:bottom w:val="single" w:color="auto" w:sz="4" w:space="0"/>
            </w:tcBorders>
            <w:shd w:val="clear" w:color="auto" w:fill="FFFFFF"/>
          </w:tcPr>
          <w:p w:rsidRPr="00C16981" w:rsidR="003B6A1B" w:rsidP="00DD52BB" w:rsidRDefault="003B6A1B" w14:paraId="48A26299" w14:textId="77777777">
            <w:pPr>
              <w:keepNext/>
              <w:keepLines/>
              <w:spacing w:before="60" w:after="60"/>
              <w:jc w:val="center"/>
              <w:rPr>
                <w:b/>
                <w:color w:val="000000"/>
                <w:sz w:val="22"/>
                <w:szCs w:val="22"/>
              </w:rPr>
            </w:pPr>
            <w:r w:rsidRPr="00C16981">
              <w:rPr>
                <w:b/>
                <w:sz w:val="22"/>
                <w:szCs w:val="22"/>
              </w:rPr>
              <w:t>Attorney</w:t>
            </w:r>
          </w:p>
        </w:tc>
        <w:tc>
          <w:tcPr>
            <w:tcW w:w="1800" w:type="dxa"/>
            <w:gridSpan w:val="4"/>
            <w:tcBorders>
              <w:top w:val="single" w:color="auto" w:sz="4" w:space="0"/>
              <w:bottom w:val="single" w:color="auto" w:sz="4" w:space="0"/>
            </w:tcBorders>
            <w:shd w:val="clear" w:color="auto" w:fill="FFFFFF"/>
          </w:tcPr>
          <w:p w:rsidRPr="00C16981" w:rsidR="003B6A1B" w:rsidP="00DD52BB" w:rsidRDefault="003B6A1B" w14:paraId="18AD7581" w14:textId="77777777">
            <w:pPr>
              <w:keepNext/>
              <w:keepLines/>
              <w:spacing w:before="60" w:after="60"/>
              <w:jc w:val="center"/>
              <w:rPr>
                <w:b/>
                <w:color w:val="000000"/>
                <w:sz w:val="22"/>
                <w:szCs w:val="22"/>
              </w:rPr>
            </w:pPr>
            <w:r w:rsidRPr="00C16981">
              <w:rPr>
                <w:b/>
                <w:sz w:val="22"/>
                <w:szCs w:val="22"/>
              </w:rPr>
              <w:t>Date Admitted to CA BAR</w:t>
            </w:r>
            <w:r w:rsidRPr="00C16981">
              <w:rPr>
                <w:rStyle w:val="FootnoteReference"/>
                <w:b/>
                <w:sz w:val="22"/>
                <w:szCs w:val="22"/>
              </w:rPr>
              <w:footnoteReference w:id="14"/>
            </w:r>
          </w:p>
        </w:tc>
        <w:tc>
          <w:tcPr>
            <w:tcW w:w="2160" w:type="dxa"/>
            <w:gridSpan w:val="2"/>
            <w:tcBorders>
              <w:top w:val="single" w:color="auto" w:sz="4" w:space="0"/>
              <w:bottom w:val="single" w:color="auto" w:sz="4" w:space="0"/>
            </w:tcBorders>
            <w:shd w:val="clear" w:color="auto" w:fill="FFFFFF"/>
          </w:tcPr>
          <w:p w:rsidRPr="00C16981" w:rsidR="003B6A1B" w:rsidP="00DD52BB" w:rsidRDefault="003B6A1B" w14:paraId="51819B3F" w14:textId="77777777">
            <w:pPr>
              <w:keepNext/>
              <w:keepLines/>
              <w:spacing w:before="60" w:after="60"/>
              <w:jc w:val="center"/>
              <w:rPr>
                <w:b/>
                <w:color w:val="000000"/>
                <w:sz w:val="22"/>
                <w:szCs w:val="22"/>
              </w:rPr>
            </w:pPr>
            <w:r w:rsidRPr="00C16981">
              <w:rPr>
                <w:b/>
                <w:sz w:val="22"/>
                <w:szCs w:val="22"/>
              </w:rPr>
              <w:t>Member Number</w:t>
            </w:r>
          </w:p>
        </w:tc>
        <w:tc>
          <w:tcPr>
            <w:tcW w:w="4023" w:type="dxa"/>
            <w:gridSpan w:val="4"/>
            <w:tcBorders>
              <w:top w:val="single" w:color="auto" w:sz="4" w:space="0"/>
              <w:bottom w:val="single" w:color="auto" w:sz="4" w:space="0"/>
            </w:tcBorders>
            <w:shd w:val="clear" w:color="auto" w:fill="FFFFFF"/>
          </w:tcPr>
          <w:p w:rsidRPr="00C16981" w:rsidR="003B6A1B" w:rsidP="00C16981" w:rsidRDefault="003B6A1B" w14:paraId="742DA15E" w14:textId="77777777">
            <w:pPr>
              <w:keepNext/>
              <w:keepLines/>
              <w:spacing w:before="60" w:after="60"/>
              <w:jc w:val="center"/>
              <w:rPr>
                <w:b/>
                <w:sz w:val="22"/>
                <w:szCs w:val="22"/>
              </w:rPr>
            </w:pPr>
            <w:r w:rsidRPr="00C16981">
              <w:rPr>
                <w:b/>
                <w:sz w:val="22"/>
                <w:szCs w:val="22"/>
              </w:rPr>
              <w:t>Actions Affecting Eligibility (Yes/No?)</w:t>
            </w:r>
          </w:p>
          <w:p w:rsidRPr="00C16981" w:rsidR="003B6A1B" w:rsidP="00DD52BB" w:rsidRDefault="003B6A1B" w14:paraId="1594790E" w14:textId="77777777">
            <w:pPr>
              <w:keepNext/>
              <w:keepLines/>
              <w:spacing w:before="60" w:after="60"/>
              <w:jc w:val="center"/>
              <w:rPr>
                <w:b/>
                <w:color w:val="000000"/>
                <w:sz w:val="22"/>
                <w:szCs w:val="22"/>
              </w:rPr>
            </w:pPr>
            <w:r w:rsidRPr="00C16981">
              <w:rPr>
                <w:b/>
                <w:sz w:val="22"/>
                <w:szCs w:val="22"/>
              </w:rPr>
              <w:t>If “Yes”, attach explanation</w:t>
            </w:r>
          </w:p>
        </w:tc>
      </w:tr>
      <w:tr w:rsidRPr="007F620E" w:rsidR="003B6A1B" w:rsidTr="009A7144" w14:paraId="783F000F" w14:textId="77777777">
        <w:trPr>
          <w:trHeight w:val="172"/>
          <w:jc w:val="center"/>
        </w:trPr>
        <w:tc>
          <w:tcPr>
            <w:tcW w:w="2538" w:type="dxa"/>
            <w:gridSpan w:val="5"/>
            <w:tcBorders>
              <w:top w:val="single" w:color="auto" w:sz="4" w:space="0"/>
              <w:bottom w:val="single" w:color="auto" w:sz="4" w:space="0"/>
            </w:tcBorders>
            <w:shd w:val="clear" w:color="auto" w:fill="auto"/>
          </w:tcPr>
          <w:p w:rsidRPr="007F620E" w:rsidR="003B6A1B" w:rsidP="00DD52BB" w:rsidRDefault="006D1238" w14:paraId="77E080E9" w14:textId="77777777">
            <w:pPr>
              <w:keepNext/>
              <w:keepLines/>
              <w:spacing w:before="60" w:after="60"/>
              <w:jc w:val="center"/>
              <w:rPr>
                <w:color w:val="000000"/>
              </w:rPr>
            </w:pPr>
            <w:r>
              <w:rPr>
                <w:color w:val="000000"/>
              </w:rPr>
              <w:t xml:space="preserve">Megan </w:t>
            </w:r>
            <w:bookmarkStart w:name="_Hlk88641490" w:id="0"/>
            <w:r>
              <w:rPr>
                <w:color w:val="000000"/>
              </w:rPr>
              <w:t>Somogyi</w:t>
            </w:r>
            <w:bookmarkEnd w:id="0"/>
          </w:p>
        </w:tc>
        <w:tc>
          <w:tcPr>
            <w:tcW w:w="1800" w:type="dxa"/>
            <w:gridSpan w:val="4"/>
            <w:tcBorders>
              <w:top w:val="single" w:color="auto" w:sz="4" w:space="0"/>
              <w:bottom w:val="single" w:color="auto" w:sz="4" w:space="0"/>
            </w:tcBorders>
            <w:shd w:val="clear" w:color="auto" w:fill="auto"/>
          </w:tcPr>
          <w:p w:rsidRPr="007F620E" w:rsidR="003B6A1B" w:rsidP="00DD52BB" w:rsidRDefault="006D1238" w14:paraId="7ABE7555" w14:textId="77777777">
            <w:pPr>
              <w:keepNext/>
              <w:keepLines/>
              <w:spacing w:before="60" w:after="60"/>
              <w:jc w:val="center"/>
              <w:rPr>
                <w:color w:val="000000"/>
              </w:rPr>
            </w:pPr>
            <w:r>
              <w:rPr>
                <w:color w:val="000000"/>
              </w:rPr>
              <w:t>December 2011</w:t>
            </w:r>
          </w:p>
        </w:tc>
        <w:tc>
          <w:tcPr>
            <w:tcW w:w="2160" w:type="dxa"/>
            <w:gridSpan w:val="2"/>
            <w:tcBorders>
              <w:top w:val="single" w:color="auto" w:sz="4" w:space="0"/>
              <w:bottom w:val="single" w:color="auto" w:sz="4" w:space="0"/>
            </w:tcBorders>
            <w:shd w:val="clear" w:color="auto" w:fill="auto"/>
          </w:tcPr>
          <w:p w:rsidRPr="007F620E" w:rsidR="003B6A1B" w:rsidP="00DD52BB" w:rsidRDefault="006D1238" w14:paraId="77A84678" w14:textId="77777777">
            <w:pPr>
              <w:keepNext/>
              <w:keepLines/>
              <w:spacing w:before="60" w:after="60"/>
              <w:jc w:val="center"/>
              <w:rPr>
                <w:color w:val="000000"/>
              </w:rPr>
            </w:pPr>
            <w:r>
              <w:rPr>
                <w:color w:val="000000"/>
              </w:rPr>
              <w:t>278659</w:t>
            </w:r>
          </w:p>
        </w:tc>
        <w:tc>
          <w:tcPr>
            <w:tcW w:w="4023" w:type="dxa"/>
            <w:gridSpan w:val="4"/>
            <w:tcBorders>
              <w:top w:val="single" w:color="auto" w:sz="4" w:space="0"/>
              <w:bottom w:val="single" w:color="auto" w:sz="4" w:space="0"/>
            </w:tcBorders>
            <w:shd w:val="clear" w:color="auto" w:fill="auto"/>
          </w:tcPr>
          <w:p w:rsidRPr="007F620E" w:rsidR="003B6A1B" w:rsidP="00DD52BB" w:rsidRDefault="006D1238" w14:paraId="0DA46EE5" w14:textId="77777777">
            <w:pPr>
              <w:keepNext/>
              <w:keepLines/>
              <w:spacing w:before="60" w:after="60"/>
              <w:jc w:val="center"/>
              <w:rPr>
                <w:color w:val="000000"/>
              </w:rPr>
            </w:pPr>
            <w:r>
              <w:rPr>
                <w:color w:val="000000"/>
              </w:rPr>
              <w:t>No</w:t>
            </w:r>
          </w:p>
        </w:tc>
      </w:tr>
      <w:tr w:rsidRPr="007F620E" w:rsidR="006D1238" w:rsidTr="009A7144" w14:paraId="1E550B0F" w14:textId="77777777">
        <w:trPr>
          <w:trHeight w:val="172"/>
          <w:jc w:val="center"/>
        </w:trPr>
        <w:tc>
          <w:tcPr>
            <w:tcW w:w="2538" w:type="dxa"/>
            <w:gridSpan w:val="5"/>
            <w:tcBorders>
              <w:top w:val="single" w:color="auto" w:sz="4" w:space="0"/>
              <w:bottom w:val="single" w:color="auto" w:sz="4" w:space="0"/>
            </w:tcBorders>
            <w:shd w:val="clear" w:color="auto" w:fill="auto"/>
          </w:tcPr>
          <w:p w:rsidR="006D1238" w:rsidP="00DD52BB" w:rsidRDefault="006D1238" w14:paraId="23F23A7C" w14:textId="77777777">
            <w:pPr>
              <w:keepNext/>
              <w:keepLines/>
              <w:spacing w:before="60" w:after="60"/>
              <w:jc w:val="center"/>
              <w:rPr>
                <w:color w:val="000000"/>
              </w:rPr>
            </w:pPr>
            <w:r>
              <w:rPr>
                <w:color w:val="000000"/>
              </w:rPr>
              <w:t>Jeffrey M. Richard</w:t>
            </w:r>
          </w:p>
        </w:tc>
        <w:tc>
          <w:tcPr>
            <w:tcW w:w="1800" w:type="dxa"/>
            <w:gridSpan w:val="4"/>
            <w:tcBorders>
              <w:top w:val="single" w:color="auto" w:sz="4" w:space="0"/>
              <w:bottom w:val="single" w:color="auto" w:sz="4" w:space="0"/>
            </w:tcBorders>
            <w:shd w:val="clear" w:color="auto" w:fill="auto"/>
          </w:tcPr>
          <w:p w:rsidR="006D1238" w:rsidP="00DD52BB" w:rsidRDefault="006D1238" w14:paraId="1EBA646A" w14:textId="77777777">
            <w:pPr>
              <w:keepNext/>
              <w:keepLines/>
              <w:spacing w:before="60" w:after="60"/>
              <w:jc w:val="center"/>
              <w:rPr>
                <w:color w:val="000000"/>
              </w:rPr>
            </w:pPr>
            <w:r>
              <w:rPr>
                <w:color w:val="000000"/>
              </w:rPr>
              <w:t>December 1982</w:t>
            </w:r>
          </w:p>
        </w:tc>
        <w:tc>
          <w:tcPr>
            <w:tcW w:w="2160" w:type="dxa"/>
            <w:gridSpan w:val="2"/>
            <w:tcBorders>
              <w:top w:val="single" w:color="auto" w:sz="4" w:space="0"/>
              <w:bottom w:val="single" w:color="auto" w:sz="4" w:space="0"/>
            </w:tcBorders>
            <w:shd w:val="clear" w:color="auto" w:fill="auto"/>
          </w:tcPr>
          <w:p w:rsidR="006D1238" w:rsidP="00DD52BB" w:rsidRDefault="006D1238" w14:paraId="6FAB0747" w14:textId="77777777">
            <w:pPr>
              <w:keepNext/>
              <w:keepLines/>
              <w:spacing w:before="60" w:after="60"/>
              <w:jc w:val="center"/>
              <w:rPr>
                <w:color w:val="000000"/>
              </w:rPr>
            </w:pPr>
            <w:r>
              <w:rPr>
                <w:color w:val="000000"/>
              </w:rPr>
              <w:t>105286</w:t>
            </w:r>
          </w:p>
        </w:tc>
        <w:tc>
          <w:tcPr>
            <w:tcW w:w="4023" w:type="dxa"/>
            <w:gridSpan w:val="4"/>
            <w:tcBorders>
              <w:top w:val="single" w:color="auto" w:sz="4" w:space="0"/>
              <w:bottom w:val="single" w:color="auto" w:sz="4" w:space="0"/>
            </w:tcBorders>
            <w:shd w:val="clear" w:color="auto" w:fill="auto"/>
          </w:tcPr>
          <w:p w:rsidR="006D1238" w:rsidP="00DD52BB" w:rsidRDefault="006D1238" w14:paraId="0F4327A8" w14:textId="77777777">
            <w:pPr>
              <w:keepNext/>
              <w:keepLines/>
              <w:spacing w:before="60" w:after="60"/>
              <w:jc w:val="center"/>
              <w:rPr>
                <w:color w:val="000000"/>
              </w:rPr>
            </w:pPr>
            <w:r>
              <w:rPr>
                <w:color w:val="000000"/>
              </w:rPr>
              <w:t>No</w:t>
            </w:r>
          </w:p>
        </w:tc>
      </w:tr>
      <w:tr w:rsidRPr="007F620E" w:rsidR="006D1238" w:rsidTr="009A7144" w14:paraId="088742AA" w14:textId="77777777">
        <w:trPr>
          <w:trHeight w:val="172"/>
          <w:jc w:val="center"/>
        </w:trPr>
        <w:tc>
          <w:tcPr>
            <w:tcW w:w="2538" w:type="dxa"/>
            <w:gridSpan w:val="5"/>
            <w:tcBorders>
              <w:top w:val="single" w:color="auto" w:sz="4" w:space="0"/>
              <w:bottom w:val="single" w:color="auto" w:sz="4" w:space="0"/>
            </w:tcBorders>
            <w:shd w:val="clear" w:color="auto" w:fill="auto"/>
          </w:tcPr>
          <w:p w:rsidR="006D1238" w:rsidP="00DD52BB" w:rsidRDefault="006D1238" w14:paraId="3F960CAD" w14:textId="77777777">
            <w:pPr>
              <w:keepNext/>
              <w:keepLines/>
              <w:spacing w:before="60" w:after="60"/>
              <w:jc w:val="center"/>
              <w:rPr>
                <w:color w:val="000000"/>
              </w:rPr>
            </w:pPr>
            <w:r>
              <w:rPr>
                <w:color w:val="000000"/>
              </w:rPr>
              <w:t>Jeffrey Brax</w:t>
            </w:r>
          </w:p>
        </w:tc>
        <w:tc>
          <w:tcPr>
            <w:tcW w:w="1800" w:type="dxa"/>
            <w:gridSpan w:val="4"/>
            <w:tcBorders>
              <w:top w:val="single" w:color="auto" w:sz="4" w:space="0"/>
              <w:bottom w:val="single" w:color="auto" w:sz="4" w:space="0"/>
            </w:tcBorders>
            <w:shd w:val="clear" w:color="auto" w:fill="auto"/>
          </w:tcPr>
          <w:p w:rsidR="006D1238" w:rsidP="00DD52BB" w:rsidRDefault="006D1238" w14:paraId="7A711499" w14:textId="77777777">
            <w:pPr>
              <w:keepNext/>
              <w:keepLines/>
              <w:spacing w:before="60" w:after="60"/>
              <w:jc w:val="center"/>
              <w:rPr>
                <w:color w:val="000000"/>
              </w:rPr>
            </w:pPr>
            <w:r>
              <w:rPr>
                <w:color w:val="000000"/>
              </w:rPr>
              <w:t>January 2002</w:t>
            </w:r>
          </w:p>
        </w:tc>
        <w:tc>
          <w:tcPr>
            <w:tcW w:w="2160" w:type="dxa"/>
            <w:gridSpan w:val="2"/>
            <w:tcBorders>
              <w:top w:val="single" w:color="auto" w:sz="4" w:space="0"/>
              <w:bottom w:val="single" w:color="auto" w:sz="4" w:space="0"/>
            </w:tcBorders>
            <w:shd w:val="clear" w:color="auto" w:fill="auto"/>
          </w:tcPr>
          <w:p w:rsidR="006D1238" w:rsidP="00DD52BB" w:rsidRDefault="006D1238" w14:paraId="5F3023EC" w14:textId="77777777">
            <w:pPr>
              <w:keepNext/>
              <w:keepLines/>
              <w:spacing w:before="60" w:after="60"/>
              <w:jc w:val="center"/>
              <w:rPr>
                <w:color w:val="000000"/>
              </w:rPr>
            </w:pPr>
            <w:r>
              <w:rPr>
                <w:color w:val="000000"/>
              </w:rPr>
              <w:t>218601</w:t>
            </w:r>
          </w:p>
        </w:tc>
        <w:tc>
          <w:tcPr>
            <w:tcW w:w="4023" w:type="dxa"/>
            <w:gridSpan w:val="4"/>
            <w:tcBorders>
              <w:top w:val="single" w:color="auto" w:sz="4" w:space="0"/>
              <w:bottom w:val="single" w:color="auto" w:sz="4" w:space="0"/>
            </w:tcBorders>
            <w:shd w:val="clear" w:color="auto" w:fill="auto"/>
          </w:tcPr>
          <w:p w:rsidR="006D1238" w:rsidP="00DD52BB" w:rsidRDefault="006D1238" w14:paraId="54DEF5C4" w14:textId="77777777">
            <w:pPr>
              <w:keepNext/>
              <w:keepLines/>
              <w:spacing w:before="60" w:after="60"/>
              <w:jc w:val="center"/>
              <w:rPr>
                <w:color w:val="000000"/>
              </w:rPr>
            </w:pPr>
            <w:r>
              <w:rPr>
                <w:color w:val="000000"/>
              </w:rPr>
              <w:t>No</w:t>
            </w:r>
          </w:p>
        </w:tc>
      </w:tr>
      <w:tr w:rsidRPr="007F620E" w:rsidR="006D1238" w:rsidTr="009A7144" w14:paraId="5599B360" w14:textId="77777777">
        <w:trPr>
          <w:trHeight w:val="172"/>
          <w:jc w:val="center"/>
        </w:trPr>
        <w:tc>
          <w:tcPr>
            <w:tcW w:w="2538" w:type="dxa"/>
            <w:gridSpan w:val="5"/>
            <w:tcBorders>
              <w:top w:val="single" w:color="auto" w:sz="4" w:space="0"/>
              <w:bottom w:val="single" w:color="auto" w:sz="4" w:space="0"/>
            </w:tcBorders>
            <w:shd w:val="clear" w:color="auto" w:fill="auto"/>
          </w:tcPr>
          <w:p w:rsidR="006D1238" w:rsidP="00DD52BB" w:rsidRDefault="006D1238" w14:paraId="48151ACC" w14:textId="77777777">
            <w:pPr>
              <w:keepNext/>
              <w:keepLines/>
              <w:spacing w:before="60" w:after="60"/>
              <w:jc w:val="center"/>
              <w:rPr>
                <w:color w:val="000000"/>
              </w:rPr>
            </w:pPr>
            <w:r>
              <w:rPr>
                <w:color w:val="000000"/>
              </w:rPr>
              <w:t>Petra Bruggisser</w:t>
            </w:r>
          </w:p>
        </w:tc>
        <w:tc>
          <w:tcPr>
            <w:tcW w:w="1800" w:type="dxa"/>
            <w:gridSpan w:val="4"/>
            <w:tcBorders>
              <w:top w:val="single" w:color="auto" w:sz="4" w:space="0"/>
              <w:bottom w:val="single" w:color="auto" w:sz="4" w:space="0"/>
            </w:tcBorders>
            <w:shd w:val="clear" w:color="auto" w:fill="auto"/>
          </w:tcPr>
          <w:p w:rsidR="006D1238" w:rsidP="00DD52BB" w:rsidRDefault="006D1238" w14:paraId="6CB1CFEF" w14:textId="77777777">
            <w:pPr>
              <w:keepNext/>
              <w:keepLines/>
              <w:spacing w:before="60" w:after="60"/>
              <w:jc w:val="center"/>
              <w:rPr>
                <w:color w:val="000000"/>
              </w:rPr>
            </w:pPr>
            <w:r>
              <w:rPr>
                <w:color w:val="000000"/>
              </w:rPr>
              <w:t>December 2005</w:t>
            </w:r>
          </w:p>
        </w:tc>
        <w:tc>
          <w:tcPr>
            <w:tcW w:w="2160" w:type="dxa"/>
            <w:gridSpan w:val="2"/>
            <w:tcBorders>
              <w:top w:val="single" w:color="auto" w:sz="4" w:space="0"/>
              <w:bottom w:val="single" w:color="auto" w:sz="4" w:space="0"/>
            </w:tcBorders>
            <w:shd w:val="clear" w:color="auto" w:fill="auto"/>
          </w:tcPr>
          <w:p w:rsidR="006D1238" w:rsidP="00DD52BB" w:rsidRDefault="006D1238" w14:paraId="7C82FD21" w14:textId="77777777">
            <w:pPr>
              <w:keepNext/>
              <w:keepLines/>
              <w:spacing w:before="60" w:after="60"/>
              <w:jc w:val="center"/>
              <w:rPr>
                <w:color w:val="000000"/>
              </w:rPr>
            </w:pPr>
            <w:r>
              <w:rPr>
                <w:color w:val="000000"/>
              </w:rPr>
              <w:t>241173</w:t>
            </w:r>
          </w:p>
        </w:tc>
        <w:tc>
          <w:tcPr>
            <w:tcW w:w="4023" w:type="dxa"/>
            <w:gridSpan w:val="4"/>
            <w:tcBorders>
              <w:top w:val="single" w:color="auto" w:sz="4" w:space="0"/>
              <w:bottom w:val="single" w:color="auto" w:sz="4" w:space="0"/>
            </w:tcBorders>
            <w:shd w:val="clear" w:color="auto" w:fill="auto"/>
          </w:tcPr>
          <w:p w:rsidR="006D1238" w:rsidP="00DD52BB" w:rsidRDefault="006D1238" w14:paraId="4835DE30" w14:textId="77777777">
            <w:pPr>
              <w:keepNext/>
              <w:keepLines/>
              <w:spacing w:before="60" w:after="60"/>
              <w:jc w:val="center"/>
              <w:rPr>
                <w:color w:val="000000"/>
              </w:rPr>
            </w:pPr>
            <w:r>
              <w:rPr>
                <w:color w:val="000000"/>
              </w:rPr>
              <w:t>No</w:t>
            </w:r>
          </w:p>
        </w:tc>
      </w:tr>
      <w:tr w:rsidRPr="007F620E" w:rsidR="006D1238" w:rsidTr="009A7144" w14:paraId="6B46891D" w14:textId="77777777">
        <w:trPr>
          <w:trHeight w:val="172"/>
          <w:jc w:val="center"/>
        </w:trPr>
        <w:tc>
          <w:tcPr>
            <w:tcW w:w="2538" w:type="dxa"/>
            <w:gridSpan w:val="5"/>
            <w:tcBorders>
              <w:top w:val="single" w:color="auto" w:sz="4" w:space="0"/>
              <w:bottom w:val="single" w:color="auto" w:sz="4" w:space="0"/>
            </w:tcBorders>
            <w:shd w:val="clear" w:color="auto" w:fill="auto"/>
          </w:tcPr>
          <w:p w:rsidR="006D1238" w:rsidP="00DD52BB" w:rsidRDefault="006D1238" w14:paraId="04833ED9" w14:textId="77777777">
            <w:pPr>
              <w:keepNext/>
              <w:keepLines/>
              <w:spacing w:before="60" w:after="60"/>
              <w:jc w:val="center"/>
              <w:rPr>
                <w:color w:val="000000"/>
              </w:rPr>
            </w:pPr>
            <w:r>
              <w:rPr>
                <w:color w:val="000000"/>
              </w:rPr>
              <w:t>Cory O’Donnell</w:t>
            </w:r>
          </w:p>
        </w:tc>
        <w:tc>
          <w:tcPr>
            <w:tcW w:w="1800" w:type="dxa"/>
            <w:gridSpan w:val="4"/>
            <w:tcBorders>
              <w:top w:val="single" w:color="auto" w:sz="4" w:space="0"/>
              <w:bottom w:val="single" w:color="auto" w:sz="4" w:space="0"/>
            </w:tcBorders>
            <w:shd w:val="clear" w:color="auto" w:fill="auto"/>
          </w:tcPr>
          <w:p w:rsidR="006D1238" w:rsidP="00DD52BB" w:rsidRDefault="006D1238" w14:paraId="3A0EBD8F" w14:textId="77777777">
            <w:pPr>
              <w:keepNext/>
              <w:keepLines/>
              <w:spacing w:before="60" w:after="60"/>
              <w:jc w:val="center"/>
              <w:rPr>
                <w:color w:val="000000"/>
              </w:rPr>
            </w:pPr>
            <w:r>
              <w:rPr>
                <w:color w:val="000000"/>
              </w:rPr>
              <w:t>December 1996</w:t>
            </w:r>
          </w:p>
        </w:tc>
        <w:tc>
          <w:tcPr>
            <w:tcW w:w="2160" w:type="dxa"/>
            <w:gridSpan w:val="2"/>
            <w:tcBorders>
              <w:top w:val="single" w:color="auto" w:sz="4" w:space="0"/>
              <w:bottom w:val="single" w:color="auto" w:sz="4" w:space="0"/>
            </w:tcBorders>
            <w:shd w:val="clear" w:color="auto" w:fill="auto"/>
          </w:tcPr>
          <w:p w:rsidR="006D1238" w:rsidP="00DD52BB" w:rsidRDefault="006D1238" w14:paraId="628AEFAA" w14:textId="77777777">
            <w:pPr>
              <w:keepNext/>
              <w:keepLines/>
              <w:spacing w:before="60" w:after="60"/>
              <w:jc w:val="center"/>
              <w:rPr>
                <w:color w:val="000000"/>
              </w:rPr>
            </w:pPr>
            <w:r>
              <w:rPr>
                <w:color w:val="000000"/>
              </w:rPr>
              <w:t>186425</w:t>
            </w:r>
          </w:p>
        </w:tc>
        <w:tc>
          <w:tcPr>
            <w:tcW w:w="4023" w:type="dxa"/>
            <w:gridSpan w:val="4"/>
            <w:tcBorders>
              <w:top w:val="single" w:color="auto" w:sz="4" w:space="0"/>
              <w:bottom w:val="single" w:color="auto" w:sz="4" w:space="0"/>
            </w:tcBorders>
            <w:shd w:val="clear" w:color="auto" w:fill="auto"/>
          </w:tcPr>
          <w:p w:rsidR="006D1238" w:rsidP="00DD52BB" w:rsidRDefault="006D1238" w14:paraId="07192900" w14:textId="77777777">
            <w:pPr>
              <w:keepNext/>
              <w:keepLines/>
              <w:spacing w:before="60" w:after="60"/>
              <w:jc w:val="center"/>
              <w:rPr>
                <w:color w:val="000000"/>
              </w:rPr>
            </w:pPr>
            <w:r>
              <w:rPr>
                <w:color w:val="000000"/>
              </w:rPr>
              <w:t>No</w:t>
            </w:r>
          </w:p>
        </w:tc>
      </w:tr>
      <w:tr w:rsidRPr="007F620E" w:rsidR="006D1238" w:rsidTr="009A7144" w14:paraId="2C057255" w14:textId="77777777">
        <w:trPr>
          <w:trHeight w:val="172"/>
          <w:jc w:val="center"/>
        </w:trPr>
        <w:tc>
          <w:tcPr>
            <w:tcW w:w="2538" w:type="dxa"/>
            <w:gridSpan w:val="5"/>
            <w:tcBorders>
              <w:top w:val="single" w:color="auto" w:sz="4" w:space="0"/>
              <w:bottom w:val="single" w:color="auto" w:sz="4" w:space="0"/>
            </w:tcBorders>
            <w:shd w:val="clear" w:color="auto" w:fill="auto"/>
          </w:tcPr>
          <w:p w:rsidR="006D1238" w:rsidP="00DD52BB" w:rsidRDefault="006D1238" w14:paraId="0C070C82" w14:textId="77777777">
            <w:pPr>
              <w:keepNext/>
              <w:keepLines/>
              <w:spacing w:before="60" w:after="60"/>
              <w:jc w:val="center"/>
              <w:rPr>
                <w:color w:val="000000"/>
              </w:rPr>
            </w:pPr>
            <w:r>
              <w:rPr>
                <w:color w:val="000000"/>
              </w:rPr>
              <w:t>Sue Gallagher</w:t>
            </w:r>
          </w:p>
        </w:tc>
        <w:tc>
          <w:tcPr>
            <w:tcW w:w="1800" w:type="dxa"/>
            <w:gridSpan w:val="4"/>
            <w:tcBorders>
              <w:top w:val="single" w:color="auto" w:sz="4" w:space="0"/>
              <w:bottom w:val="single" w:color="auto" w:sz="4" w:space="0"/>
            </w:tcBorders>
            <w:shd w:val="clear" w:color="auto" w:fill="auto"/>
          </w:tcPr>
          <w:p w:rsidR="006D1238" w:rsidP="00DD52BB" w:rsidRDefault="006D1238" w14:paraId="05778B28" w14:textId="77777777">
            <w:pPr>
              <w:keepNext/>
              <w:keepLines/>
              <w:spacing w:before="60" w:after="60"/>
              <w:jc w:val="center"/>
              <w:rPr>
                <w:color w:val="000000"/>
              </w:rPr>
            </w:pPr>
            <w:r>
              <w:rPr>
                <w:color w:val="000000"/>
              </w:rPr>
              <w:t>December 1985</w:t>
            </w:r>
          </w:p>
        </w:tc>
        <w:tc>
          <w:tcPr>
            <w:tcW w:w="2160" w:type="dxa"/>
            <w:gridSpan w:val="2"/>
            <w:tcBorders>
              <w:top w:val="single" w:color="auto" w:sz="4" w:space="0"/>
              <w:bottom w:val="single" w:color="auto" w:sz="4" w:space="0"/>
            </w:tcBorders>
            <w:shd w:val="clear" w:color="auto" w:fill="auto"/>
          </w:tcPr>
          <w:p w:rsidR="006D1238" w:rsidP="00DD52BB" w:rsidRDefault="006D1238" w14:paraId="56222C49" w14:textId="77777777">
            <w:pPr>
              <w:keepNext/>
              <w:keepLines/>
              <w:spacing w:before="60" w:after="60"/>
              <w:jc w:val="center"/>
              <w:rPr>
                <w:color w:val="000000"/>
              </w:rPr>
            </w:pPr>
            <w:r>
              <w:rPr>
                <w:color w:val="000000"/>
              </w:rPr>
              <w:t>121469</w:t>
            </w:r>
          </w:p>
        </w:tc>
        <w:tc>
          <w:tcPr>
            <w:tcW w:w="4023" w:type="dxa"/>
            <w:gridSpan w:val="4"/>
            <w:tcBorders>
              <w:top w:val="single" w:color="auto" w:sz="4" w:space="0"/>
              <w:bottom w:val="single" w:color="auto" w:sz="4" w:space="0"/>
            </w:tcBorders>
            <w:shd w:val="clear" w:color="auto" w:fill="auto"/>
          </w:tcPr>
          <w:p w:rsidR="006D1238" w:rsidP="00DD52BB" w:rsidRDefault="006D1238" w14:paraId="7809D38B" w14:textId="77777777">
            <w:pPr>
              <w:keepNext/>
              <w:keepLines/>
              <w:spacing w:before="60" w:after="60"/>
              <w:jc w:val="center"/>
              <w:rPr>
                <w:color w:val="000000"/>
              </w:rPr>
            </w:pPr>
            <w:r>
              <w:rPr>
                <w:color w:val="000000"/>
              </w:rPr>
              <w:t>No</w:t>
            </w:r>
          </w:p>
        </w:tc>
      </w:tr>
      <w:tr w:rsidRPr="007F620E" w:rsidR="006D1238" w:rsidTr="009A7144" w14:paraId="5F43F127" w14:textId="77777777">
        <w:trPr>
          <w:trHeight w:val="172"/>
          <w:jc w:val="center"/>
        </w:trPr>
        <w:tc>
          <w:tcPr>
            <w:tcW w:w="2538" w:type="dxa"/>
            <w:gridSpan w:val="5"/>
            <w:tcBorders>
              <w:top w:val="single" w:color="auto" w:sz="4" w:space="0"/>
              <w:bottom w:val="single" w:color="auto" w:sz="4" w:space="0"/>
            </w:tcBorders>
            <w:shd w:val="clear" w:color="auto" w:fill="auto"/>
          </w:tcPr>
          <w:p w:rsidR="006D1238" w:rsidP="00DD52BB" w:rsidRDefault="006D1238" w14:paraId="68000403" w14:textId="77777777">
            <w:pPr>
              <w:keepNext/>
              <w:keepLines/>
              <w:spacing w:before="60" w:after="60"/>
              <w:jc w:val="center"/>
              <w:rPr>
                <w:color w:val="000000"/>
              </w:rPr>
            </w:pPr>
            <w:r>
              <w:rPr>
                <w:color w:val="000000"/>
              </w:rPr>
              <w:t>Adam Abel</w:t>
            </w:r>
          </w:p>
        </w:tc>
        <w:tc>
          <w:tcPr>
            <w:tcW w:w="1800" w:type="dxa"/>
            <w:gridSpan w:val="4"/>
            <w:tcBorders>
              <w:top w:val="single" w:color="auto" w:sz="4" w:space="0"/>
              <w:bottom w:val="single" w:color="auto" w:sz="4" w:space="0"/>
            </w:tcBorders>
            <w:shd w:val="clear" w:color="auto" w:fill="auto"/>
          </w:tcPr>
          <w:p w:rsidR="006D1238" w:rsidP="00DD52BB" w:rsidRDefault="006D1238" w14:paraId="63A6DED3" w14:textId="77777777">
            <w:pPr>
              <w:keepNext/>
              <w:keepLines/>
              <w:spacing w:before="60" w:after="60"/>
              <w:jc w:val="center"/>
              <w:rPr>
                <w:color w:val="000000"/>
              </w:rPr>
            </w:pPr>
            <w:r>
              <w:rPr>
                <w:color w:val="000000"/>
              </w:rPr>
              <w:t>December 1990</w:t>
            </w:r>
          </w:p>
        </w:tc>
        <w:tc>
          <w:tcPr>
            <w:tcW w:w="2160" w:type="dxa"/>
            <w:gridSpan w:val="2"/>
            <w:tcBorders>
              <w:top w:val="single" w:color="auto" w:sz="4" w:space="0"/>
              <w:bottom w:val="single" w:color="auto" w:sz="4" w:space="0"/>
            </w:tcBorders>
            <w:shd w:val="clear" w:color="auto" w:fill="auto"/>
          </w:tcPr>
          <w:p w:rsidR="006D1238" w:rsidP="00DD52BB" w:rsidRDefault="006D1238" w14:paraId="13BF2889" w14:textId="77777777">
            <w:pPr>
              <w:keepNext/>
              <w:keepLines/>
              <w:spacing w:before="60" w:after="60"/>
              <w:jc w:val="center"/>
              <w:rPr>
                <w:color w:val="000000"/>
              </w:rPr>
            </w:pPr>
            <w:r>
              <w:rPr>
                <w:color w:val="000000"/>
              </w:rPr>
              <w:t>148210</w:t>
            </w:r>
          </w:p>
        </w:tc>
        <w:tc>
          <w:tcPr>
            <w:tcW w:w="4023" w:type="dxa"/>
            <w:gridSpan w:val="4"/>
            <w:tcBorders>
              <w:top w:val="single" w:color="auto" w:sz="4" w:space="0"/>
              <w:bottom w:val="single" w:color="auto" w:sz="4" w:space="0"/>
            </w:tcBorders>
            <w:shd w:val="clear" w:color="auto" w:fill="auto"/>
          </w:tcPr>
          <w:p w:rsidR="006D1238" w:rsidP="00DD52BB" w:rsidRDefault="006D1238" w14:paraId="2782C81E" w14:textId="77777777">
            <w:pPr>
              <w:keepNext/>
              <w:keepLines/>
              <w:spacing w:before="60" w:after="60"/>
              <w:jc w:val="center"/>
              <w:rPr>
                <w:color w:val="000000"/>
              </w:rPr>
            </w:pPr>
            <w:r>
              <w:rPr>
                <w:color w:val="000000"/>
              </w:rPr>
              <w:t>No</w:t>
            </w:r>
          </w:p>
        </w:tc>
      </w:tr>
    </w:tbl>
    <w:p w:rsidRPr="00F45E9E" w:rsidR="00A92D0B" w:rsidP="002744FC" w:rsidRDefault="00A92D0B" w14:paraId="7B91A102" w14:textId="1C113866">
      <w:pPr>
        <w:numPr>
          <w:ilvl w:val="0"/>
          <w:numId w:val="2"/>
        </w:numPr>
        <w:tabs>
          <w:tab w:val="clear" w:pos="900"/>
          <w:tab w:val="num" w:pos="360"/>
        </w:tabs>
        <w:spacing w:before="240" w:after="240"/>
        <w:ind w:left="360"/>
        <w:rPr>
          <w:b/>
          <w:i/>
          <w:color w:val="000000"/>
          <w:u w:val="single"/>
        </w:rPr>
      </w:pPr>
      <w:r w:rsidRPr="00F45E9E">
        <w:rPr>
          <w:b/>
        </w:rPr>
        <w:t>Attachments Documenting Specific Claim and Comments on Part III</w:t>
      </w:r>
      <w:r w:rsidRPr="00F45E9E" w:rsidR="00C02649">
        <w:rPr>
          <w:b/>
        </w:rPr>
        <w:t>:</w:t>
      </w:r>
      <w:r w:rsidRPr="00F45E9E" w:rsidR="00F45E9E">
        <w:rPr>
          <w:b/>
        </w:rPr>
        <w:t xml:space="preserve"> (</w:t>
      </w:r>
      <w:r w:rsidRPr="002744FC" w:rsidR="00F45E9E">
        <w:rPr>
          <w:b/>
          <w:i/>
          <w:color w:val="000000"/>
        </w:rPr>
        <w:t>attachments not attached to final Decision)</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010"/>
      </w:tblGrid>
      <w:tr w:rsidRPr="007F620E" w:rsidR="00A92D0B" w:rsidTr="001C0DD1" w14:paraId="2A3B1370" w14:textId="77777777">
        <w:tc>
          <w:tcPr>
            <w:tcW w:w="1548" w:type="dxa"/>
            <w:shd w:val="clear" w:color="auto" w:fill="D9D9D9" w:themeFill="background1" w:themeFillShade="D9"/>
          </w:tcPr>
          <w:p w:rsidRPr="007F620E" w:rsidR="00A92D0B" w:rsidP="00A92D0B" w:rsidRDefault="00A92D0B" w14:paraId="1CDABD1E" w14:textId="77777777">
            <w:pPr>
              <w:tabs>
                <w:tab w:val="left" w:pos="1260"/>
              </w:tabs>
              <w:spacing w:before="120"/>
              <w:jc w:val="center"/>
              <w:rPr>
                <w:b/>
                <w:color w:val="000000"/>
              </w:rPr>
            </w:pPr>
            <w:r w:rsidRPr="007F620E">
              <w:rPr>
                <w:b/>
                <w:color w:val="000000"/>
              </w:rPr>
              <w:t>Attachment or Comment  #</w:t>
            </w:r>
          </w:p>
        </w:tc>
        <w:tc>
          <w:tcPr>
            <w:tcW w:w="8010" w:type="dxa"/>
            <w:tcBorders>
              <w:bottom w:val="single" w:color="auto" w:sz="4" w:space="0"/>
            </w:tcBorders>
            <w:shd w:val="clear" w:color="auto" w:fill="D9D9D9" w:themeFill="background1" w:themeFillShade="D9"/>
          </w:tcPr>
          <w:p w:rsidRPr="007F620E" w:rsidR="00A92D0B" w:rsidP="00A92D0B" w:rsidRDefault="00A92D0B" w14:paraId="0E95F740" w14:textId="77777777">
            <w:pPr>
              <w:tabs>
                <w:tab w:val="left" w:pos="1260"/>
              </w:tabs>
              <w:spacing w:before="120"/>
              <w:jc w:val="center"/>
              <w:rPr>
                <w:b/>
                <w:color w:val="000000"/>
              </w:rPr>
            </w:pPr>
            <w:r w:rsidRPr="007F620E">
              <w:rPr>
                <w:b/>
                <w:color w:val="000000"/>
              </w:rPr>
              <w:t>Description/Comment</w:t>
            </w:r>
          </w:p>
        </w:tc>
      </w:tr>
      <w:tr w:rsidRPr="007F620E" w:rsidR="00A92D0B" w:rsidTr="009A7144" w14:paraId="11A8FD58" w14:textId="77777777">
        <w:tc>
          <w:tcPr>
            <w:tcW w:w="1548" w:type="dxa"/>
            <w:tcBorders>
              <w:bottom w:val="single" w:color="auto" w:sz="4" w:space="0"/>
            </w:tcBorders>
            <w:shd w:val="clear" w:color="auto" w:fill="auto"/>
          </w:tcPr>
          <w:p w:rsidRPr="007F620E" w:rsidR="00A92D0B" w:rsidP="00A92D0B" w:rsidRDefault="00A92D0B" w14:paraId="37658A94" w14:textId="77777777">
            <w:pPr>
              <w:tabs>
                <w:tab w:val="left" w:pos="1260"/>
              </w:tabs>
              <w:spacing w:before="120"/>
              <w:rPr>
                <w:color w:val="000000"/>
              </w:rPr>
            </w:pPr>
            <w:r w:rsidRPr="007F620E">
              <w:rPr>
                <w:color w:val="000000"/>
              </w:rPr>
              <w:t>1</w:t>
            </w:r>
          </w:p>
        </w:tc>
        <w:tc>
          <w:tcPr>
            <w:tcW w:w="8010" w:type="dxa"/>
            <w:tcBorders>
              <w:bottom w:val="single" w:color="auto" w:sz="4" w:space="0"/>
            </w:tcBorders>
            <w:shd w:val="clear" w:color="auto" w:fill="auto"/>
          </w:tcPr>
          <w:p w:rsidRPr="001C0DD1" w:rsidR="00A92D0B" w:rsidP="00A92D0B" w:rsidRDefault="00A92D0B" w14:paraId="4D820FE7" w14:textId="77777777">
            <w:pPr>
              <w:tabs>
                <w:tab w:val="left" w:pos="1260"/>
              </w:tabs>
              <w:spacing w:before="120"/>
              <w:rPr>
                <w:color w:val="000000"/>
              </w:rPr>
            </w:pPr>
            <w:r w:rsidRPr="001C0DD1">
              <w:rPr>
                <w:color w:val="000000"/>
              </w:rPr>
              <w:t>Certificate of Service</w:t>
            </w:r>
          </w:p>
        </w:tc>
      </w:tr>
      <w:tr w:rsidRPr="007F620E" w:rsidR="00A92D0B" w:rsidTr="009A7144" w14:paraId="6DB513AC" w14:textId="77777777">
        <w:tc>
          <w:tcPr>
            <w:tcW w:w="1548" w:type="dxa"/>
            <w:shd w:val="clear" w:color="auto" w:fill="auto"/>
          </w:tcPr>
          <w:p w:rsidRPr="007F620E" w:rsidR="00A92D0B" w:rsidP="00A92D0B" w:rsidRDefault="0022302F" w14:paraId="1B0BC614" w14:textId="77777777">
            <w:pPr>
              <w:tabs>
                <w:tab w:val="left" w:pos="1260"/>
              </w:tabs>
              <w:spacing w:before="120"/>
              <w:rPr>
                <w:color w:val="000000"/>
              </w:rPr>
            </w:pPr>
            <w:r>
              <w:rPr>
                <w:color w:val="000000"/>
              </w:rPr>
              <w:t>2</w:t>
            </w:r>
          </w:p>
        </w:tc>
        <w:tc>
          <w:tcPr>
            <w:tcW w:w="8010" w:type="dxa"/>
            <w:shd w:val="clear" w:color="auto" w:fill="auto"/>
          </w:tcPr>
          <w:p w:rsidRPr="006475BF" w:rsidR="00A92D0B" w:rsidP="00A92D0B" w:rsidRDefault="006475BF" w14:paraId="2DBAAE14" w14:textId="77777777">
            <w:pPr>
              <w:tabs>
                <w:tab w:val="left" w:pos="1260"/>
              </w:tabs>
              <w:spacing w:before="120"/>
              <w:rPr>
                <w:color w:val="000000"/>
              </w:rPr>
            </w:pPr>
            <w:r>
              <w:rPr>
                <w:color w:val="000000"/>
              </w:rPr>
              <w:t>Attorney and Expert Hours - Detail</w:t>
            </w:r>
          </w:p>
        </w:tc>
      </w:tr>
      <w:tr w:rsidRPr="007F620E" w:rsidR="006475BF" w:rsidTr="009A7144" w14:paraId="6EF69B5D" w14:textId="77777777">
        <w:tc>
          <w:tcPr>
            <w:tcW w:w="1548" w:type="dxa"/>
            <w:shd w:val="clear" w:color="auto" w:fill="auto"/>
          </w:tcPr>
          <w:p w:rsidR="006475BF" w:rsidP="00A92D0B" w:rsidRDefault="006475BF" w14:paraId="56C0A897" w14:textId="77777777">
            <w:pPr>
              <w:tabs>
                <w:tab w:val="left" w:pos="1260"/>
              </w:tabs>
              <w:spacing w:before="120"/>
              <w:rPr>
                <w:color w:val="000000"/>
              </w:rPr>
            </w:pPr>
            <w:r>
              <w:rPr>
                <w:color w:val="000000"/>
              </w:rPr>
              <w:t>3</w:t>
            </w:r>
          </w:p>
        </w:tc>
        <w:tc>
          <w:tcPr>
            <w:tcW w:w="8010" w:type="dxa"/>
            <w:shd w:val="clear" w:color="auto" w:fill="auto"/>
          </w:tcPr>
          <w:p w:rsidR="006475BF" w:rsidP="00A92D0B" w:rsidRDefault="006475BF" w14:paraId="3810937B" w14:textId="77777777">
            <w:pPr>
              <w:tabs>
                <w:tab w:val="left" w:pos="1260"/>
              </w:tabs>
              <w:spacing w:before="120"/>
              <w:rPr>
                <w:color w:val="000000"/>
              </w:rPr>
            </w:pPr>
            <w:r>
              <w:rPr>
                <w:color w:val="000000"/>
              </w:rPr>
              <w:t xml:space="preserve">Attorney and Expert Hours - Summary </w:t>
            </w:r>
          </w:p>
        </w:tc>
      </w:tr>
      <w:tr w:rsidRPr="007F620E" w:rsidR="006475BF" w:rsidTr="009A7144" w14:paraId="3663F28B" w14:textId="77777777">
        <w:tc>
          <w:tcPr>
            <w:tcW w:w="1548" w:type="dxa"/>
            <w:shd w:val="clear" w:color="auto" w:fill="auto"/>
          </w:tcPr>
          <w:p w:rsidR="006475BF" w:rsidP="00A92D0B" w:rsidRDefault="006475BF" w14:paraId="05B33C25" w14:textId="77777777">
            <w:pPr>
              <w:tabs>
                <w:tab w:val="left" w:pos="1260"/>
              </w:tabs>
              <w:spacing w:before="120"/>
              <w:rPr>
                <w:color w:val="000000"/>
              </w:rPr>
            </w:pPr>
            <w:r>
              <w:rPr>
                <w:color w:val="000000"/>
              </w:rPr>
              <w:t>4</w:t>
            </w:r>
          </w:p>
        </w:tc>
        <w:tc>
          <w:tcPr>
            <w:tcW w:w="8010" w:type="dxa"/>
            <w:shd w:val="clear" w:color="auto" w:fill="auto"/>
          </w:tcPr>
          <w:p w:rsidR="006475BF" w:rsidP="00A92D0B" w:rsidRDefault="006475BF" w14:paraId="48170692" w14:textId="77777777">
            <w:pPr>
              <w:tabs>
                <w:tab w:val="left" w:pos="1260"/>
              </w:tabs>
              <w:spacing w:before="120"/>
              <w:rPr>
                <w:color w:val="000000"/>
              </w:rPr>
            </w:pPr>
            <w:r>
              <w:rPr>
                <w:color w:val="000000"/>
              </w:rPr>
              <w:t>Expense Detail</w:t>
            </w:r>
          </w:p>
        </w:tc>
      </w:tr>
    </w:tbl>
    <w:p w:rsidRPr="007F620E" w:rsidR="00A92D0B" w:rsidP="00F81778" w:rsidRDefault="00F81778" w14:paraId="335CA0BA" w14:textId="7A001B1D">
      <w:pPr>
        <w:spacing w:before="240" w:after="240"/>
        <w:ind w:left="540" w:hanging="540"/>
        <w:rPr>
          <w:b/>
          <w:color w:val="000000"/>
        </w:rPr>
      </w:pPr>
      <w:r w:rsidRPr="007F620E">
        <w:rPr>
          <w:b/>
          <w:color w:val="000000"/>
        </w:rPr>
        <w:t xml:space="preserve">D.  </w:t>
      </w:r>
      <w:r w:rsidRPr="007F620E" w:rsidR="00A92D0B">
        <w:rPr>
          <w:b/>
          <w:color w:val="000000"/>
        </w:rPr>
        <w:t xml:space="preserve">CPUC </w:t>
      </w:r>
      <w:r w:rsidR="008C09F7">
        <w:rPr>
          <w:b/>
          <w:color w:val="000000"/>
        </w:rPr>
        <w:t xml:space="preserve">Comments, </w:t>
      </w:r>
      <w:r w:rsidRPr="007F620E" w:rsidR="00A92D0B">
        <w:rPr>
          <w:b/>
          <w:color w:val="000000"/>
        </w:rPr>
        <w:t>Disallowances</w:t>
      </w:r>
      <w:r w:rsidR="008C09F7">
        <w:rPr>
          <w:b/>
          <w:color w:val="000000"/>
        </w:rPr>
        <w:t>,</w:t>
      </w:r>
      <w:r w:rsidRPr="007F620E" w:rsidR="00D075B1">
        <w:rPr>
          <w:b/>
          <w:color w:val="000000"/>
        </w:rPr>
        <w:t xml:space="preserve"> </w:t>
      </w:r>
      <w:r w:rsidRPr="007F620E" w:rsidR="00A319DE">
        <w:rPr>
          <w:b/>
          <w:color w:val="000000"/>
        </w:rPr>
        <w:t>and</w:t>
      </w:r>
      <w:r w:rsidRPr="007F620E" w:rsidR="00D075B1">
        <w:rPr>
          <w:b/>
          <w:color w:val="000000"/>
        </w:rPr>
        <w:t xml:space="preserve"> </w:t>
      </w:r>
      <w:r w:rsidRPr="007F620E" w:rsidR="00A92D0B">
        <w:rPr>
          <w:b/>
          <w:color w:val="000000"/>
        </w:rPr>
        <w:t>Adjustments</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02"/>
        <w:gridCol w:w="7556"/>
      </w:tblGrid>
      <w:tr w:rsidRPr="007F620E" w:rsidR="00EC3AEA" w:rsidTr="00F80363" w14:paraId="36447BFE" w14:textId="77777777">
        <w:tc>
          <w:tcPr>
            <w:tcW w:w="2002" w:type="dxa"/>
            <w:shd w:val="pct12" w:color="auto" w:fill="auto"/>
          </w:tcPr>
          <w:p w:rsidRPr="007F620E" w:rsidR="00A92D0B" w:rsidP="00A92D0B" w:rsidRDefault="00072C81" w14:paraId="038EDE6F" w14:textId="77777777">
            <w:pPr>
              <w:tabs>
                <w:tab w:val="left" w:pos="1440"/>
              </w:tabs>
              <w:spacing w:before="120"/>
              <w:jc w:val="center"/>
              <w:rPr>
                <w:b/>
                <w:color w:val="000000"/>
              </w:rPr>
            </w:pPr>
            <w:r w:rsidRPr="007F620E">
              <w:rPr>
                <w:b/>
                <w:color w:val="000000"/>
              </w:rPr>
              <w:lastRenderedPageBreak/>
              <w:t>Item</w:t>
            </w:r>
          </w:p>
        </w:tc>
        <w:tc>
          <w:tcPr>
            <w:tcW w:w="7556" w:type="dxa"/>
            <w:shd w:val="pct12" w:color="auto" w:fill="auto"/>
          </w:tcPr>
          <w:p w:rsidRPr="007F620E" w:rsidR="00A92D0B" w:rsidP="00A92D0B" w:rsidRDefault="00A92D0B" w14:paraId="1AF7FA27" w14:textId="77777777">
            <w:pPr>
              <w:tabs>
                <w:tab w:val="left" w:pos="1440"/>
              </w:tabs>
              <w:spacing w:before="120"/>
              <w:jc w:val="center"/>
              <w:rPr>
                <w:b/>
                <w:color w:val="000000"/>
              </w:rPr>
            </w:pPr>
            <w:r w:rsidRPr="007F620E">
              <w:rPr>
                <w:b/>
                <w:color w:val="000000"/>
              </w:rPr>
              <w:t>Reason</w:t>
            </w:r>
          </w:p>
        </w:tc>
      </w:tr>
      <w:tr w:rsidRPr="007F620E" w:rsidR="00EC3AEA" w:rsidTr="00F80363" w14:paraId="7165DA17" w14:textId="77777777">
        <w:tc>
          <w:tcPr>
            <w:tcW w:w="2002" w:type="dxa"/>
            <w:shd w:val="clear" w:color="auto" w:fill="auto"/>
          </w:tcPr>
          <w:p w:rsidRPr="007F620E" w:rsidR="00863B1E" w:rsidP="00863B1E" w:rsidRDefault="00EC3AEA" w14:paraId="7C55803C" w14:textId="3775EC98">
            <w:pPr>
              <w:tabs>
                <w:tab w:val="left" w:pos="1440"/>
              </w:tabs>
              <w:spacing w:before="120"/>
              <w:rPr>
                <w:color w:val="000000"/>
              </w:rPr>
            </w:pPr>
            <w:r>
              <w:rPr>
                <w:color w:val="000000"/>
              </w:rPr>
              <w:t>[</w:t>
            </w:r>
            <w:r w:rsidR="00925625">
              <w:rPr>
                <w:color w:val="000000"/>
              </w:rPr>
              <w:t>1</w:t>
            </w:r>
            <w:r>
              <w:rPr>
                <w:color w:val="000000"/>
              </w:rPr>
              <w:t xml:space="preserve">] </w:t>
            </w:r>
            <w:r w:rsidR="006A7031">
              <w:rPr>
                <w:color w:val="000000"/>
              </w:rPr>
              <w:t>Guidance regarding compliance with the Intervenor Compensation Program’s requirements</w:t>
            </w:r>
            <w:r w:rsidR="00925625">
              <w:rPr>
                <w:color w:val="000000"/>
              </w:rPr>
              <w:t xml:space="preserve"> and time claimed for m</w:t>
            </w:r>
            <w:r>
              <w:rPr>
                <w:color w:val="000000"/>
              </w:rPr>
              <w:t xml:space="preserve">ultiple </w:t>
            </w:r>
            <w:r w:rsidR="00925625">
              <w:rPr>
                <w:color w:val="000000"/>
              </w:rPr>
              <w:t xml:space="preserve">LGE </w:t>
            </w:r>
            <w:r w:rsidR="00863B1E">
              <w:rPr>
                <w:color w:val="000000"/>
              </w:rPr>
              <w:t xml:space="preserve">Representative </w:t>
            </w:r>
            <w:r>
              <w:rPr>
                <w:color w:val="000000"/>
              </w:rPr>
              <w:t>H</w:t>
            </w:r>
            <w:r w:rsidR="00863B1E">
              <w:rPr>
                <w:color w:val="000000"/>
              </w:rPr>
              <w:t xml:space="preserve">ours </w:t>
            </w:r>
          </w:p>
        </w:tc>
        <w:tc>
          <w:tcPr>
            <w:tcW w:w="7556" w:type="dxa"/>
            <w:shd w:val="clear" w:color="auto" w:fill="auto"/>
          </w:tcPr>
          <w:p w:rsidR="0052605D" w:rsidP="00863B1E" w:rsidRDefault="00925625" w14:paraId="0886E4E6" w14:textId="3576C3A8">
            <w:pPr>
              <w:tabs>
                <w:tab w:val="left" w:pos="1440"/>
              </w:tabs>
              <w:spacing w:before="120"/>
              <w:rPr>
                <w:color w:val="000000"/>
              </w:rPr>
            </w:pPr>
            <w:r>
              <w:rPr>
                <w:color w:val="000000"/>
              </w:rPr>
              <w:t xml:space="preserve">1. </w:t>
            </w:r>
            <w:r w:rsidR="0052605D">
              <w:rPr>
                <w:color w:val="000000"/>
              </w:rPr>
              <w:t>Section 1801.3(f) provides that the Commission should administer the Intervenor Compensation Program ‘in a manner that avoids unproductive or unnecessary participation that duplicates the participation of similar interests otherwise adequately represented or participation that is not necessary for a fair determination of the proceeding.’  This Section creates three separate standards – productivity, uniqueness, and necessity – by which we measure participation.  (D.00-02-044.)  D.98-04-059 determined that we would carefully consider each of these three standards in making eligibility findings and in assessing compensability.  Productivity general concerns the efficiency, competence, effectiveness, and reasonableness, in terms of the cost of participation; uniqueness, the non-duplication of effort; and necessity, the relevancy of the participation.”  Additionally, t</w:t>
            </w:r>
            <w:r w:rsidRPr="006522B3" w:rsidR="0052605D">
              <w:t>he Commission does not compensate attorneys for work that is clerical in nature, as such work has been factored into the established rates.</w:t>
            </w:r>
          </w:p>
          <w:p w:rsidR="00AB6D3F" w:rsidP="00863B1E" w:rsidRDefault="0052605D" w14:paraId="0C3C0FA3" w14:textId="09D1AC1E">
            <w:pPr>
              <w:tabs>
                <w:tab w:val="left" w:pos="1440"/>
              </w:tabs>
              <w:spacing w:before="120"/>
              <w:rPr>
                <w:color w:val="000000"/>
              </w:rPr>
            </w:pPr>
            <w:r>
              <w:rPr>
                <w:color w:val="000000"/>
              </w:rPr>
              <w:t>Here, s</w:t>
            </w:r>
            <w:r w:rsidR="00863B1E">
              <w:rPr>
                <w:color w:val="000000"/>
              </w:rPr>
              <w:t xml:space="preserve">everal of the Joint Counties representatives include multiple timesheet entries that are </w:t>
            </w:r>
            <w:r w:rsidRPr="005B09AC" w:rsidR="00863B1E">
              <w:rPr>
                <w:color w:val="000000"/>
              </w:rPr>
              <w:t>clerical</w:t>
            </w:r>
            <w:r>
              <w:rPr>
                <w:color w:val="000000"/>
              </w:rPr>
              <w:t xml:space="preserve"> </w:t>
            </w:r>
            <w:r w:rsidR="006A7031">
              <w:rPr>
                <w:color w:val="000000"/>
              </w:rPr>
              <w:t>and/</w:t>
            </w:r>
            <w:r w:rsidR="006C5E69">
              <w:rPr>
                <w:color w:val="000000"/>
              </w:rPr>
              <w:t>or duplicative</w:t>
            </w:r>
            <w:r w:rsidR="006A7031">
              <w:rPr>
                <w:color w:val="000000"/>
              </w:rPr>
              <w:t xml:space="preserve"> in nature</w:t>
            </w:r>
            <w:r w:rsidR="006C5E69">
              <w:rPr>
                <w:color w:val="000000"/>
              </w:rPr>
              <w:t>.</w:t>
            </w:r>
            <w:r w:rsidR="00863B1E">
              <w:rPr>
                <w:color w:val="000000"/>
              </w:rPr>
              <w:t xml:space="preserve"> While we acknowledge that internal duplication is unavoidable with a joint claim,</w:t>
            </w:r>
            <w:r>
              <w:rPr>
                <w:color w:val="000000"/>
              </w:rPr>
              <w:t xml:space="preserve"> </w:t>
            </w:r>
            <w:r w:rsidR="00863B1E">
              <w:rPr>
                <w:color w:val="000000"/>
              </w:rPr>
              <w:t xml:space="preserve">nearly </w:t>
            </w:r>
            <w:r w:rsidR="00BD6728">
              <w:rPr>
                <w:color w:val="000000"/>
              </w:rPr>
              <w:t>all</w:t>
            </w:r>
            <w:r w:rsidR="00863B1E">
              <w:rPr>
                <w:color w:val="000000"/>
              </w:rPr>
              <w:t xml:space="preserve"> the hours claimed by </w:t>
            </w:r>
            <w:r w:rsidR="00EF32A8">
              <w:rPr>
                <w:color w:val="000000"/>
              </w:rPr>
              <w:t xml:space="preserve">Petra </w:t>
            </w:r>
            <w:r>
              <w:rPr>
                <w:color w:val="000000"/>
              </w:rPr>
              <w:t>Bruggisser</w:t>
            </w:r>
            <w:r w:rsidR="00EF32A8">
              <w:rPr>
                <w:color w:val="000000"/>
              </w:rPr>
              <w:t xml:space="preserve"> (Bruggisser)</w:t>
            </w:r>
            <w:r>
              <w:rPr>
                <w:color w:val="000000"/>
              </w:rPr>
              <w:t xml:space="preserve">, </w:t>
            </w:r>
            <w:r w:rsidR="00EF32A8">
              <w:rPr>
                <w:color w:val="000000"/>
              </w:rPr>
              <w:t xml:space="preserve">Cory </w:t>
            </w:r>
            <w:r>
              <w:rPr>
                <w:color w:val="000000"/>
              </w:rPr>
              <w:t>O’Donnell</w:t>
            </w:r>
            <w:r w:rsidR="00EF32A8">
              <w:rPr>
                <w:color w:val="000000"/>
              </w:rPr>
              <w:t xml:space="preserve"> (O’Donnell)</w:t>
            </w:r>
            <w:r>
              <w:rPr>
                <w:color w:val="000000"/>
              </w:rPr>
              <w:t>, Richard</w:t>
            </w:r>
            <w:r w:rsidR="00311016">
              <w:rPr>
                <w:color w:val="000000"/>
              </w:rPr>
              <w:t xml:space="preserve"> Brax</w:t>
            </w:r>
            <w:r w:rsidR="00EF32A8">
              <w:rPr>
                <w:color w:val="000000"/>
              </w:rPr>
              <w:t xml:space="preserve"> (Brax),</w:t>
            </w:r>
            <w:r>
              <w:rPr>
                <w:color w:val="000000"/>
              </w:rPr>
              <w:t xml:space="preserve"> and </w:t>
            </w:r>
            <w:r w:rsidR="00EF32A8">
              <w:rPr>
                <w:color w:val="000000"/>
              </w:rPr>
              <w:t xml:space="preserve">Neil </w:t>
            </w:r>
            <w:r>
              <w:rPr>
                <w:color w:val="000000"/>
              </w:rPr>
              <w:t>Bregman</w:t>
            </w:r>
            <w:r w:rsidDel="0052605D">
              <w:rPr>
                <w:color w:val="000000"/>
              </w:rPr>
              <w:t xml:space="preserve"> </w:t>
            </w:r>
            <w:r w:rsidR="00EF32A8">
              <w:rPr>
                <w:color w:val="000000"/>
              </w:rPr>
              <w:t xml:space="preserve">(Bregman) </w:t>
            </w:r>
            <w:r w:rsidR="00E46291">
              <w:rPr>
                <w:color w:val="000000"/>
              </w:rPr>
              <w:t xml:space="preserve">consist </w:t>
            </w:r>
            <w:r w:rsidR="00C4277A">
              <w:rPr>
                <w:color w:val="000000"/>
              </w:rPr>
              <w:t>excessively</w:t>
            </w:r>
            <w:r w:rsidR="00E46291">
              <w:rPr>
                <w:color w:val="000000"/>
              </w:rPr>
              <w:t xml:space="preserve"> </w:t>
            </w:r>
            <w:r w:rsidR="00C4277A">
              <w:rPr>
                <w:color w:val="000000"/>
              </w:rPr>
              <w:t xml:space="preserve">of internal </w:t>
            </w:r>
            <w:r w:rsidR="00863B1E">
              <w:rPr>
                <w:color w:val="000000"/>
              </w:rPr>
              <w:t xml:space="preserve">correspondence or clerical work. </w:t>
            </w:r>
            <w:r w:rsidR="006A7031">
              <w:rPr>
                <w:color w:val="000000"/>
              </w:rPr>
              <w:t xml:space="preserve">We also note excessive hours claimed for review time by </w:t>
            </w:r>
            <w:r w:rsidR="00EF32A8">
              <w:rPr>
                <w:color w:val="000000"/>
              </w:rPr>
              <w:t xml:space="preserve">Dr. Karen </w:t>
            </w:r>
            <w:r w:rsidR="006A7031">
              <w:rPr>
                <w:color w:val="000000"/>
              </w:rPr>
              <w:t>Relucio</w:t>
            </w:r>
            <w:r w:rsidR="00EF32A8">
              <w:rPr>
                <w:color w:val="000000"/>
              </w:rPr>
              <w:t xml:space="preserve"> (</w:t>
            </w:r>
            <w:r w:rsidR="002B71C2">
              <w:rPr>
                <w:color w:val="000000"/>
              </w:rPr>
              <w:t xml:space="preserve">Dr. </w:t>
            </w:r>
            <w:r w:rsidR="00EF32A8">
              <w:rPr>
                <w:color w:val="000000"/>
              </w:rPr>
              <w:t>Relucio)</w:t>
            </w:r>
            <w:r w:rsidR="00AB6D3F">
              <w:rPr>
                <w:color w:val="000000"/>
              </w:rPr>
              <w:t>.</w:t>
            </w:r>
            <w:r w:rsidR="006A7031">
              <w:rPr>
                <w:color w:val="000000"/>
              </w:rPr>
              <w:t xml:space="preserve"> </w:t>
            </w:r>
            <w:r w:rsidR="00AB6D3F">
              <w:rPr>
                <w:color w:val="000000"/>
              </w:rPr>
              <w:t xml:space="preserve">Normally, we would make significant deductions to the award for each of these issues. </w:t>
            </w:r>
            <w:r w:rsidR="000A0592">
              <w:rPr>
                <w:color w:val="000000"/>
              </w:rPr>
              <w:t xml:space="preserve">We note </w:t>
            </w:r>
            <w:r w:rsidR="00AB6D3F">
              <w:rPr>
                <w:color w:val="000000"/>
              </w:rPr>
              <w:t xml:space="preserve">however, </w:t>
            </w:r>
            <w:r w:rsidR="00BD33AA">
              <w:rPr>
                <w:color w:val="000000"/>
              </w:rPr>
              <w:t xml:space="preserve">that this is </w:t>
            </w:r>
            <w:r w:rsidR="00AB6D3F">
              <w:rPr>
                <w:color w:val="000000"/>
              </w:rPr>
              <w:t xml:space="preserve">one of </w:t>
            </w:r>
            <w:r w:rsidR="00BD33AA">
              <w:rPr>
                <w:color w:val="000000"/>
              </w:rPr>
              <w:t>the first Intervenor Compensation claim</w:t>
            </w:r>
            <w:r w:rsidR="00AB6D3F">
              <w:rPr>
                <w:color w:val="000000"/>
              </w:rPr>
              <w:t>s the LGEs have filed and therefore elect not to make deductions on for these issues at this time</w:t>
            </w:r>
            <w:r w:rsidR="00BD6728">
              <w:rPr>
                <w:color w:val="000000"/>
              </w:rPr>
              <w:t>.</w:t>
            </w:r>
          </w:p>
          <w:p w:rsidR="00291FD8" w:rsidP="00863B1E" w:rsidRDefault="00AB6D3F" w14:paraId="28407B37" w14:textId="61452BE2">
            <w:pPr>
              <w:tabs>
                <w:tab w:val="left" w:pos="1440"/>
              </w:tabs>
              <w:spacing w:before="120"/>
            </w:pPr>
            <w:r>
              <w:rPr>
                <w:color w:val="000000"/>
              </w:rPr>
              <w:t xml:space="preserve">Having allowed ample time to Napa County for </w:t>
            </w:r>
            <w:r w:rsidR="00925625">
              <w:rPr>
                <w:color w:val="000000"/>
              </w:rPr>
              <w:t xml:space="preserve">document </w:t>
            </w:r>
            <w:r>
              <w:rPr>
                <w:color w:val="000000"/>
              </w:rPr>
              <w:t xml:space="preserve">review, we disallow the following </w:t>
            </w:r>
            <w:r w:rsidR="00925625">
              <w:rPr>
                <w:color w:val="000000"/>
              </w:rPr>
              <w:t>time</w:t>
            </w:r>
            <w:r>
              <w:rPr>
                <w:color w:val="000000"/>
              </w:rPr>
              <w:t xml:space="preserve"> claimed by Jeff Belyea</w:t>
            </w:r>
            <w:r w:rsidR="00EF32A8">
              <w:rPr>
                <w:color w:val="000000"/>
              </w:rPr>
              <w:t xml:space="preserve"> (Belyea)</w:t>
            </w:r>
            <w:r>
              <w:rPr>
                <w:color w:val="000000"/>
              </w:rPr>
              <w:t xml:space="preserve">: 5/18/2019, 0.5 hour, “Review draft reply comments on Proposed Decision”; and 7/12/2019, 0.5 hour, “Provide timesheets for intervenor compensation claim”, for a total of 0.5 </w:t>
            </w:r>
            <w:r w:rsidR="00925625">
              <w:rPr>
                <w:color w:val="000000"/>
              </w:rPr>
              <w:t xml:space="preserve">hour in </w:t>
            </w:r>
            <w:r>
              <w:rPr>
                <w:color w:val="000000"/>
              </w:rPr>
              <w:t xml:space="preserve">2019, and 0.5 </w:t>
            </w:r>
            <w:r w:rsidR="00925625">
              <w:rPr>
                <w:color w:val="000000"/>
              </w:rPr>
              <w:t xml:space="preserve">hour of </w:t>
            </w:r>
            <w:r>
              <w:rPr>
                <w:color w:val="000000"/>
              </w:rPr>
              <w:t xml:space="preserve">IComp Prep. </w:t>
            </w:r>
            <w:r>
              <w:t>As such, we do not establish an hourly rate for Belyea.</w:t>
            </w:r>
          </w:p>
          <w:p w:rsidR="00925625" w:rsidP="00863B1E" w:rsidRDefault="00925625" w14:paraId="2200B5CB" w14:textId="4026968C">
            <w:pPr>
              <w:tabs>
                <w:tab w:val="left" w:pos="1440"/>
              </w:tabs>
              <w:spacing w:before="120"/>
              <w:rPr>
                <w:color w:val="000000"/>
              </w:rPr>
            </w:pPr>
            <w:r>
              <w:br/>
              <w:t>2. Additional Guidance</w:t>
            </w:r>
          </w:p>
          <w:p w:rsidR="006A7031" w:rsidP="006A7031" w:rsidRDefault="006A7031" w14:paraId="045CF4D1" w14:textId="77777777">
            <w:pPr>
              <w:tabs>
                <w:tab w:val="left" w:pos="1440"/>
              </w:tabs>
              <w:spacing w:before="120"/>
              <w:rPr>
                <w:color w:val="000000"/>
              </w:rPr>
            </w:pPr>
            <w:r w:rsidRPr="00BF345F">
              <w:rPr>
                <w:i/>
                <w:iCs/>
                <w:color w:val="000000"/>
              </w:rPr>
              <w:t>a. Identifying substantive issue for each task</w:t>
            </w:r>
            <w:r>
              <w:rPr>
                <w:color w:val="000000"/>
              </w:rPr>
              <w:t xml:space="preserve">. Rule 17.4 of the Commission Rules of Practice and Procedure requires that time records identify, for each specific task performed, the substantive issue that the task addresses. The Counties’ time records fail to identify a substantive issue for each task recorded in the timesheets. </w:t>
            </w:r>
            <w:r>
              <w:rPr>
                <w:i/>
                <w:iCs/>
                <w:color w:val="000000"/>
              </w:rPr>
              <w:t>b</w:t>
            </w:r>
            <w:r w:rsidRPr="00BF345F">
              <w:rPr>
                <w:i/>
                <w:iCs/>
                <w:color w:val="000000"/>
              </w:rPr>
              <w:t xml:space="preserve">. </w:t>
            </w:r>
            <w:r>
              <w:rPr>
                <w:i/>
                <w:iCs/>
                <w:color w:val="000000"/>
              </w:rPr>
              <w:t>C</w:t>
            </w:r>
            <w:r w:rsidRPr="00BF345F">
              <w:rPr>
                <w:i/>
                <w:iCs/>
                <w:color w:val="000000"/>
              </w:rPr>
              <w:t>onnecti</w:t>
            </w:r>
            <w:r>
              <w:rPr>
                <w:i/>
                <w:iCs/>
                <w:color w:val="000000"/>
              </w:rPr>
              <w:t>ng</w:t>
            </w:r>
            <w:r w:rsidRPr="00BF345F">
              <w:rPr>
                <w:i/>
                <w:iCs/>
                <w:color w:val="000000"/>
              </w:rPr>
              <w:t xml:space="preserve"> work performed </w:t>
            </w:r>
            <w:r>
              <w:rPr>
                <w:i/>
                <w:iCs/>
                <w:color w:val="000000"/>
              </w:rPr>
              <w:t>with the</w:t>
            </w:r>
            <w:r w:rsidRPr="00BF345F">
              <w:rPr>
                <w:i/>
                <w:iCs/>
                <w:color w:val="000000"/>
              </w:rPr>
              <w:t xml:space="preserve"> claimed contributions</w:t>
            </w:r>
            <w:r>
              <w:rPr>
                <w:color w:val="000000"/>
              </w:rPr>
              <w:t xml:space="preserve">. We expect in the LGEs’ future claims more information on how tasks performed by LGEs’ staff contributed to the final decision. Absent such information, we may consider more reductions to the claimed hours, for inefficiency, excessive internal communications, and a lack of a </w:t>
            </w:r>
            <w:r>
              <w:rPr>
                <w:color w:val="000000"/>
              </w:rPr>
              <w:lastRenderedPageBreak/>
              <w:t>connection between the intervenors’ activities and substantial contributions (See Sections 1801, 1801.3(b)(d)(f), 1802(a)(j), 1803.1(a) and 1804(c))</w:t>
            </w:r>
          </w:p>
          <w:p w:rsidR="006A7031" w:rsidP="006A7031" w:rsidRDefault="006A7031" w14:paraId="7D28B47D" w14:textId="22443153">
            <w:pPr>
              <w:tabs>
                <w:tab w:val="left" w:pos="1440"/>
              </w:tabs>
              <w:spacing w:before="120"/>
              <w:rPr>
                <w:color w:val="000000"/>
              </w:rPr>
            </w:pPr>
            <w:r>
              <w:rPr>
                <w:i/>
                <w:iCs/>
                <w:color w:val="000000"/>
              </w:rPr>
              <w:t>b</w:t>
            </w:r>
            <w:r w:rsidRPr="00BE4EC1">
              <w:rPr>
                <w:i/>
                <w:iCs/>
                <w:color w:val="000000"/>
              </w:rPr>
              <w:t>. Significant percentage of the “general participation” tasks</w:t>
            </w:r>
            <w:r>
              <w:rPr>
                <w:color w:val="000000"/>
              </w:rPr>
              <w:t xml:space="preserve">. </w:t>
            </w:r>
          </w:p>
          <w:p w:rsidR="006A7031" w:rsidP="006A7031" w:rsidRDefault="006A7031" w14:paraId="1DA112F4" w14:textId="77777777">
            <w:pPr>
              <w:rPr>
                <w:color w:val="000000"/>
              </w:rPr>
            </w:pPr>
            <w:r>
              <w:rPr>
                <w:color w:val="000000"/>
              </w:rPr>
              <w:t>LGEs allocate 46% of the recorded hours to the work on the proceeding’s substantive issues. These hours were broken down, as follows: Definitions (10%); Notification and Communication (55%); Information-sharing with Public Safety Partners (25%); Post-event Reporting (10%).</w:t>
            </w:r>
          </w:p>
          <w:p w:rsidR="006A7031" w:rsidP="006A7031" w:rsidRDefault="006A7031" w14:paraId="4760D1B6" w14:textId="77777777">
            <w:pPr>
              <w:tabs>
                <w:tab w:val="left" w:pos="1440"/>
              </w:tabs>
              <w:spacing w:before="120"/>
              <w:rPr>
                <w:color w:val="000000"/>
              </w:rPr>
            </w:pPr>
            <w:r>
              <w:rPr>
                <w:color w:val="000000"/>
              </w:rPr>
              <w:t xml:space="preserve">The remaining 54% of the recorded hours were allocated to the “general participation.” Counties describe this category as a work that </w:t>
            </w:r>
          </w:p>
          <w:p w:rsidR="006A7031" w:rsidP="006A7031" w:rsidRDefault="006A7031" w14:paraId="685A205C" w14:textId="77777777">
            <w:pPr>
              <w:tabs>
                <w:tab w:val="left" w:pos="1440"/>
              </w:tabs>
              <w:spacing w:before="120"/>
              <w:ind w:left="720"/>
              <w:rPr>
                <w:color w:val="000000"/>
              </w:rPr>
            </w:pPr>
            <w:r>
              <w:rPr>
                <w:color w:val="000000"/>
              </w:rPr>
              <w:t>… is essential to participation in the proceeding and typically spans multiple issues and/or is necessary for participating in the proceeding.  This includes reviewing Commission rulings, initial review of proposals by Staff, the prehearing conference, and other work that does not necessarily vary with the number of issues ultimately addressed.  This also includes the significant internal coordination and information-sharing work necessary for City Attorneys and County Counsels to provide progress reports to, and obtain the necessary approvals from, their elected officials.</w:t>
            </w:r>
          </w:p>
          <w:p w:rsidRPr="007F620E" w:rsidR="00903FF8" w:rsidP="00863B1E" w:rsidRDefault="006A7031" w14:paraId="77256A24" w14:textId="245117F1">
            <w:pPr>
              <w:tabs>
                <w:tab w:val="left" w:pos="1440"/>
              </w:tabs>
              <w:spacing w:before="120"/>
              <w:rPr>
                <w:color w:val="000000"/>
              </w:rPr>
            </w:pPr>
            <w:r>
              <w:rPr>
                <w:color w:val="000000"/>
              </w:rPr>
              <w:t>The Commission has discouraged allocation of a significant number of hours and amount of work as “general.” Most of the LGEs’ work labeled as “general” could and should be allocated to the corresponding substantive issue.</w:t>
            </w:r>
            <w:r>
              <w:rPr>
                <w:rStyle w:val="FootnoteReference"/>
                <w:color w:val="000000"/>
              </w:rPr>
              <w:footnoteReference w:id="15"/>
            </w:r>
          </w:p>
        </w:tc>
      </w:tr>
      <w:tr w:rsidRPr="007F620E" w:rsidR="001771A8" w:rsidTr="00F80363" w14:paraId="66481110" w14:textId="77777777">
        <w:tc>
          <w:tcPr>
            <w:tcW w:w="2002" w:type="dxa"/>
            <w:shd w:val="clear" w:color="auto" w:fill="auto"/>
          </w:tcPr>
          <w:p w:rsidR="001771A8" w:rsidP="001771A8" w:rsidRDefault="001771A8" w14:paraId="6C9CB8EB" w14:textId="34F0E470">
            <w:pPr>
              <w:tabs>
                <w:tab w:val="left" w:pos="1440"/>
              </w:tabs>
              <w:spacing w:before="120"/>
              <w:rPr>
                <w:color w:val="000000"/>
              </w:rPr>
            </w:pPr>
            <w:r>
              <w:rPr>
                <w:color w:val="000000"/>
              </w:rPr>
              <w:lastRenderedPageBreak/>
              <w:t xml:space="preserve">[2] </w:t>
            </w:r>
            <w:r w:rsidR="00EF32A8">
              <w:rPr>
                <w:color w:val="000000"/>
              </w:rPr>
              <w:t xml:space="preserve">Megan Somogyi (Somogyi) </w:t>
            </w:r>
            <w:r>
              <w:rPr>
                <w:color w:val="000000"/>
              </w:rPr>
              <w:t>and Bruggisser IComp Hours</w:t>
            </w:r>
          </w:p>
        </w:tc>
        <w:tc>
          <w:tcPr>
            <w:tcW w:w="7556" w:type="dxa"/>
            <w:shd w:val="clear" w:color="auto" w:fill="auto"/>
          </w:tcPr>
          <w:p w:rsidR="001771A8" w:rsidP="001771A8" w:rsidRDefault="001771A8" w14:paraId="536F0CBA" w14:textId="33D36D10">
            <w:pPr>
              <w:tabs>
                <w:tab w:val="left" w:pos="1440"/>
              </w:tabs>
              <w:spacing w:before="120"/>
            </w:pPr>
            <w:r>
              <w:rPr>
                <w:color w:val="000000"/>
              </w:rPr>
              <w:t>The Joint Local Governments claim IComp prep hours for Somogyi and Bruggisser in 2019. However, time records indicate the IComp prep hours were completed both in 2018 and 2019. We make no deductions here, but instead make an adjustment to split the IComp prep hours by year, so the appropriate rates can be applied accordingly.</w:t>
            </w:r>
          </w:p>
        </w:tc>
      </w:tr>
      <w:tr w:rsidRPr="007F620E" w:rsidR="001771A8" w:rsidTr="00F80363" w14:paraId="2ACD5FEE" w14:textId="77777777">
        <w:tc>
          <w:tcPr>
            <w:tcW w:w="2002" w:type="dxa"/>
            <w:shd w:val="clear" w:color="auto" w:fill="auto"/>
          </w:tcPr>
          <w:p w:rsidR="001771A8" w:rsidP="001771A8" w:rsidRDefault="001771A8" w14:paraId="4A98EE0C" w14:textId="0DB41F14">
            <w:pPr>
              <w:tabs>
                <w:tab w:val="left" w:pos="1440"/>
              </w:tabs>
              <w:spacing w:before="120"/>
              <w:rPr>
                <w:color w:val="000000"/>
              </w:rPr>
            </w:pPr>
            <w:r>
              <w:rPr>
                <w:color w:val="000000"/>
              </w:rPr>
              <w:t>[3] Bruggisser IComp Hours</w:t>
            </w:r>
          </w:p>
        </w:tc>
        <w:tc>
          <w:tcPr>
            <w:tcW w:w="7556" w:type="dxa"/>
            <w:shd w:val="clear" w:color="auto" w:fill="auto"/>
          </w:tcPr>
          <w:p w:rsidR="001771A8" w:rsidP="001771A8" w:rsidRDefault="001771A8" w14:paraId="67F1300D" w14:textId="30C79A87">
            <w:pPr>
              <w:tabs>
                <w:tab w:val="left" w:pos="1440"/>
              </w:tabs>
              <w:spacing w:before="120"/>
            </w:pPr>
            <w:r>
              <w:t xml:space="preserve">The Commission reduces Bruggisser’s NOI and IComp time by 1 hour to accurately reflect the hours claimed in the timesheet submitted by Sonoma County. </w:t>
            </w:r>
          </w:p>
        </w:tc>
      </w:tr>
      <w:tr w:rsidRPr="007F620E" w:rsidR="001771A8" w:rsidTr="00F80363" w14:paraId="006EF173" w14:textId="77777777">
        <w:tc>
          <w:tcPr>
            <w:tcW w:w="2002" w:type="dxa"/>
            <w:shd w:val="clear" w:color="auto" w:fill="auto"/>
          </w:tcPr>
          <w:p w:rsidR="001771A8" w:rsidP="001771A8" w:rsidRDefault="001771A8" w14:paraId="13F5F8D9" w14:textId="65DB6E37">
            <w:pPr>
              <w:tabs>
                <w:tab w:val="left" w:pos="1440"/>
              </w:tabs>
              <w:spacing w:before="120"/>
              <w:rPr>
                <w:color w:val="000000"/>
              </w:rPr>
            </w:pPr>
            <w:r>
              <w:rPr>
                <w:color w:val="000000"/>
              </w:rPr>
              <w:t>[</w:t>
            </w:r>
            <w:r w:rsidR="00556CA9">
              <w:rPr>
                <w:color w:val="000000"/>
              </w:rPr>
              <w:t>4</w:t>
            </w:r>
            <w:r>
              <w:rPr>
                <w:color w:val="000000"/>
              </w:rPr>
              <w:t>] Somogyi Hourly Rate</w:t>
            </w:r>
          </w:p>
        </w:tc>
        <w:tc>
          <w:tcPr>
            <w:tcW w:w="7556" w:type="dxa"/>
            <w:shd w:val="clear" w:color="auto" w:fill="auto"/>
          </w:tcPr>
          <w:p w:rsidR="001771A8" w:rsidP="001771A8" w:rsidRDefault="001771A8" w14:paraId="5E5866DC" w14:textId="0EE77613">
            <w:pPr>
              <w:tabs>
                <w:tab w:val="left" w:pos="1440"/>
              </w:tabs>
              <w:spacing w:before="120"/>
              <w:rPr>
                <w:color w:val="000000"/>
              </w:rPr>
            </w:pPr>
            <w:r>
              <w:rPr>
                <w:color w:val="000000"/>
              </w:rPr>
              <w:t xml:space="preserve">Somogyi has been an attorney practicing before the Commission since 2012. The requested 2018 hourly rate of $340 is approved per the Hourly Rate Chart in Resolution ALJ-352. We apply the 2.53% COLA per Resolution ALJ-357 to the 2018 rate, and round to the nearest $5, for an approved 2019 rate of $350.  </w:t>
            </w:r>
          </w:p>
        </w:tc>
      </w:tr>
      <w:tr w:rsidRPr="007F620E" w:rsidR="001771A8" w:rsidTr="00F80363" w14:paraId="133AEDBB" w14:textId="77777777">
        <w:tc>
          <w:tcPr>
            <w:tcW w:w="2002" w:type="dxa"/>
            <w:shd w:val="clear" w:color="auto" w:fill="auto"/>
          </w:tcPr>
          <w:p w:rsidR="001771A8" w:rsidP="001771A8" w:rsidRDefault="001771A8" w14:paraId="3B316EFE" w14:textId="7D4846F4">
            <w:pPr>
              <w:tabs>
                <w:tab w:val="left" w:pos="1440"/>
              </w:tabs>
              <w:spacing w:before="120"/>
              <w:rPr>
                <w:color w:val="000000"/>
              </w:rPr>
            </w:pPr>
            <w:r>
              <w:rPr>
                <w:color w:val="000000"/>
              </w:rPr>
              <w:t>[</w:t>
            </w:r>
            <w:r w:rsidR="00556CA9">
              <w:rPr>
                <w:color w:val="000000"/>
              </w:rPr>
              <w:t>5</w:t>
            </w:r>
            <w:r>
              <w:rPr>
                <w:color w:val="000000"/>
              </w:rPr>
              <w:t>] Bruggisser Hourly Rate</w:t>
            </w:r>
          </w:p>
        </w:tc>
        <w:tc>
          <w:tcPr>
            <w:tcW w:w="7556" w:type="dxa"/>
            <w:shd w:val="clear" w:color="auto" w:fill="auto"/>
          </w:tcPr>
          <w:p w:rsidR="001771A8" w:rsidP="001771A8" w:rsidRDefault="001771A8" w14:paraId="727BD22D" w14:textId="5F61EA08">
            <w:pPr>
              <w:tabs>
                <w:tab w:val="left" w:pos="1440"/>
              </w:tabs>
              <w:spacing w:before="120"/>
              <w:rPr>
                <w:color w:val="000000"/>
              </w:rPr>
            </w:pPr>
            <w:r>
              <w:rPr>
                <w:color w:val="000000"/>
              </w:rPr>
              <w:t xml:space="preserve">Bruggisser has been a practicing attorney in California since 2005. The requested 2018 hourly rate of $340 is approved per the Hourly Rate Chart in Resolution ALJ-352. </w:t>
            </w:r>
          </w:p>
        </w:tc>
      </w:tr>
      <w:tr w:rsidRPr="007F620E" w:rsidR="00E734E8" w:rsidTr="00F80363" w14:paraId="759BA562" w14:textId="77777777">
        <w:tc>
          <w:tcPr>
            <w:tcW w:w="2002" w:type="dxa"/>
            <w:shd w:val="clear" w:color="auto" w:fill="auto"/>
          </w:tcPr>
          <w:p w:rsidR="00E734E8" w:rsidP="00E734E8" w:rsidRDefault="00E734E8" w14:paraId="489E2C43" w14:textId="0AE3142D">
            <w:pPr>
              <w:tabs>
                <w:tab w:val="left" w:pos="1440"/>
              </w:tabs>
              <w:spacing w:before="120"/>
              <w:rPr>
                <w:color w:val="000000"/>
              </w:rPr>
            </w:pPr>
            <w:r>
              <w:rPr>
                <w:color w:val="000000"/>
              </w:rPr>
              <w:t>[6] O’Donnell Hourly Rate</w:t>
            </w:r>
          </w:p>
        </w:tc>
        <w:tc>
          <w:tcPr>
            <w:tcW w:w="7556" w:type="dxa"/>
            <w:shd w:val="clear" w:color="auto" w:fill="auto"/>
          </w:tcPr>
          <w:p w:rsidR="00E734E8" w:rsidP="00E734E8" w:rsidRDefault="00E734E8" w14:paraId="7714D77C" w14:textId="2FDBC2CF">
            <w:pPr>
              <w:tabs>
                <w:tab w:val="left" w:pos="1440"/>
              </w:tabs>
              <w:spacing w:before="120"/>
              <w:rPr>
                <w:color w:val="000000"/>
              </w:rPr>
            </w:pPr>
            <w:r>
              <w:rPr>
                <w:color w:val="000000"/>
              </w:rPr>
              <w:t xml:space="preserve">O’Donnell has worked for the Sonoma County Counsel’s Office since 2007 and has been the Chief Deputy County Counsel leading the Recovery &amp; </w:t>
            </w:r>
            <w:r>
              <w:rPr>
                <w:color w:val="000000"/>
              </w:rPr>
              <w:lastRenderedPageBreak/>
              <w:t xml:space="preserve">Resiliency Practice Group since 2017. O’Donnell has been a member of the California State Bar Association since 1996. The requested 2018 hourly rate of $445 is approved per the Hourly Rate Chart in Resolution ALJ-352. </w:t>
            </w:r>
          </w:p>
        </w:tc>
      </w:tr>
      <w:tr w:rsidRPr="007F620E" w:rsidR="00E734E8" w:rsidTr="00F80363" w14:paraId="07377009" w14:textId="77777777">
        <w:tc>
          <w:tcPr>
            <w:tcW w:w="2002" w:type="dxa"/>
            <w:shd w:val="clear" w:color="auto" w:fill="auto"/>
          </w:tcPr>
          <w:p w:rsidR="00E734E8" w:rsidP="00E734E8" w:rsidRDefault="00E734E8" w14:paraId="0760A1DD" w14:textId="3266125A">
            <w:pPr>
              <w:tabs>
                <w:tab w:val="left" w:pos="1440"/>
              </w:tabs>
              <w:spacing w:before="120"/>
              <w:rPr>
                <w:color w:val="000000"/>
              </w:rPr>
            </w:pPr>
            <w:r>
              <w:rPr>
                <w:color w:val="000000"/>
              </w:rPr>
              <w:lastRenderedPageBreak/>
              <w:t>[7] Jeffrey Richard (Richard) Hourly Rate</w:t>
            </w:r>
          </w:p>
        </w:tc>
        <w:tc>
          <w:tcPr>
            <w:tcW w:w="7556" w:type="dxa"/>
            <w:shd w:val="clear" w:color="auto" w:fill="auto"/>
          </w:tcPr>
          <w:p w:rsidR="00E734E8" w:rsidP="00E734E8" w:rsidRDefault="00E734E8" w14:paraId="212E45C6" w14:textId="35372454">
            <w:pPr>
              <w:tabs>
                <w:tab w:val="left" w:pos="1440"/>
              </w:tabs>
              <w:spacing w:before="120"/>
              <w:rPr>
                <w:color w:val="000000"/>
              </w:rPr>
            </w:pPr>
            <w:r>
              <w:rPr>
                <w:color w:val="000000"/>
              </w:rPr>
              <w:t>Richard has served as Chief Deputy County Counsel since 2015, and previously spent 13 years as Senior Assistant County Counsel for the Orange County. Richard has been a member of the California State Bar Association since 1982. The requested 2019 hourly rate of $445 is approved per the Hourly Rate Chart in Resolution ALJ-357.</w:t>
            </w:r>
          </w:p>
        </w:tc>
      </w:tr>
      <w:tr w:rsidRPr="007F620E" w:rsidR="00E734E8" w:rsidTr="00F80363" w14:paraId="0DA558E0" w14:textId="77777777">
        <w:tc>
          <w:tcPr>
            <w:tcW w:w="2002" w:type="dxa"/>
            <w:shd w:val="clear" w:color="auto" w:fill="auto"/>
          </w:tcPr>
          <w:p w:rsidR="00E734E8" w:rsidP="00E734E8" w:rsidRDefault="00E734E8" w14:paraId="2ACFE37B" w14:textId="25629C0F">
            <w:pPr>
              <w:tabs>
                <w:tab w:val="left" w:pos="1440"/>
              </w:tabs>
              <w:spacing w:before="120"/>
              <w:rPr>
                <w:color w:val="000000"/>
              </w:rPr>
            </w:pPr>
            <w:r>
              <w:rPr>
                <w:color w:val="000000"/>
              </w:rPr>
              <w:t>[8] Brax Hourly Rate</w:t>
            </w:r>
          </w:p>
        </w:tc>
        <w:tc>
          <w:tcPr>
            <w:tcW w:w="7556" w:type="dxa"/>
            <w:shd w:val="clear" w:color="auto" w:fill="auto"/>
          </w:tcPr>
          <w:p w:rsidR="00E734E8" w:rsidP="00E734E8" w:rsidRDefault="00E734E8" w14:paraId="0456B689" w14:textId="58998CCB">
            <w:pPr>
              <w:tabs>
                <w:tab w:val="left" w:pos="1440"/>
              </w:tabs>
              <w:spacing w:before="120"/>
              <w:rPr>
                <w:color w:val="000000"/>
              </w:rPr>
            </w:pPr>
            <w:r>
              <w:rPr>
                <w:color w:val="000000"/>
              </w:rPr>
              <w:t>Brax has 17 years’ experience as a practicing attorney for Sonoma, Napa, and Santa Barbara Counties. The requested 2019 hourly rate of $445 is approved per the Hourly Rate Chart in Resolution ALJ-357.</w:t>
            </w:r>
          </w:p>
        </w:tc>
      </w:tr>
      <w:tr w:rsidRPr="007F620E" w:rsidR="00E734E8" w:rsidTr="00F80363" w14:paraId="25DC94B2" w14:textId="77777777">
        <w:tc>
          <w:tcPr>
            <w:tcW w:w="2002" w:type="dxa"/>
            <w:shd w:val="clear" w:color="auto" w:fill="auto"/>
          </w:tcPr>
          <w:p w:rsidR="00E734E8" w:rsidP="00E734E8" w:rsidRDefault="00E734E8" w14:paraId="6755E0CE" w14:textId="3F2651E4">
            <w:pPr>
              <w:tabs>
                <w:tab w:val="left" w:pos="1440"/>
              </w:tabs>
              <w:spacing w:before="120"/>
              <w:rPr>
                <w:color w:val="000000"/>
              </w:rPr>
            </w:pPr>
            <w:r>
              <w:rPr>
                <w:color w:val="000000"/>
              </w:rPr>
              <w:t xml:space="preserve">[9] </w:t>
            </w:r>
            <w:r w:rsidR="002B71C2">
              <w:rPr>
                <w:color w:val="000000"/>
              </w:rPr>
              <w:t xml:space="preserve">Dr. </w:t>
            </w:r>
            <w:r>
              <w:rPr>
                <w:color w:val="000000"/>
              </w:rPr>
              <w:t>Relucio Hourly Rate</w:t>
            </w:r>
          </w:p>
        </w:tc>
        <w:tc>
          <w:tcPr>
            <w:tcW w:w="7556" w:type="dxa"/>
            <w:shd w:val="clear" w:color="auto" w:fill="auto"/>
          </w:tcPr>
          <w:p w:rsidR="00E734E8" w:rsidP="00E734E8" w:rsidRDefault="00E734E8" w14:paraId="649E3ED0" w14:textId="35990557">
            <w:pPr>
              <w:tabs>
                <w:tab w:val="left" w:pos="1440"/>
              </w:tabs>
              <w:spacing w:before="120"/>
              <w:rPr>
                <w:color w:val="000000"/>
              </w:rPr>
            </w:pPr>
            <w:r>
              <w:rPr>
                <w:color w:val="000000"/>
              </w:rPr>
              <w:t xml:space="preserve">Dr. Relucio has four years’ experience as Napa County’s Health Officer and Public Health Director and an additional 20 years’ experience practicing medicine and working in public health. The requested 2019 hourly rate of $445 is approved per the Hourly Rate Chart in Resolution ALJ-357. </w:t>
            </w:r>
          </w:p>
        </w:tc>
      </w:tr>
      <w:tr w:rsidRPr="007F620E" w:rsidR="00E734E8" w:rsidTr="00F80363" w14:paraId="4422C9BC" w14:textId="77777777">
        <w:tc>
          <w:tcPr>
            <w:tcW w:w="2002" w:type="dxa"/>
            <w:shd w:val="clear" w:color="auto" w:fill="auto"/>
          </w:tcPr>
          <w:p w:rsidR="00E734E8" w:rsidP="00E734E8" w:rsidRDefault="00E734E8" w14:paraId="005FD27A" w14:textId="2A747573">
            <w:pPr>
              <w:tabs>
                <w:tab w:val="left" w:pos="1440"/>
              </w:tabs>
              <w:spacing w:before="120"/>
              <w:rPr>
                <w:color w:val="000000"/>
              </w:rPr>
            </w:pPr>
            <w:r>
              <w:rPr>
                <w:color w:val="000000"/>
              </w:rPr>
              <w:t>[10] Brian Henricksen (Henricksen) Hourly Rate</w:t>
            </w:r>
          </w:p>
        </w:tc>
        <w:tc>
          <w:tcPr>
            <w:tcW w:w="7556" w:type="dxa"/>
            <w:shd w:val="clear" w:color="auto" w:fill="auto"/>
          </w:tcPr>
          <w:p w:rsidR="00E734E8" w:rsidP="00E734E8" w:rsidRDefault="00E734E8" w14:paraId="771A39A8" w14:textId="14E62CD6">
            <w:pPr>
              <w:tabs>
                <w:tab w:val="left" w:pos="1440"/>
              </w:tabs>
              <w:spacing w:before="120"/>
              <w:rPr>
                <w:color w:val="000000"/>
              </w:rPr>
            </w:pPr>
            <w:r>
              <w:rPr>
                <w:color w:val="000000"/>
              </w:rPr>
              <w:t>Henricksen has served as the Napa County Health and Human Services Emergency Medical Services administrator since 2015. Henricksen is also a licensed paramedic in California with 20 years’ experience, and 10 years’ experience in disaster medical planning. The requested 2019 hourly rate of $445 is approved per the Hourly Rate Chart in Resolution ALJ-357.</w:t>
            </w:r>
          </w:p>
        </w:tc>
      </w:tr>
      <w:tr w:rsidRPr="007F620E" w:rsidR="00E734E8" w:rsidTr="00F80363" w14:paraId="78100FEC" w14:textId="77777777">
        <w:tc>
          <w:tcPr>
            <w:tcW w:w="2002" w:type="dxa"/>
            <w:shd w:val="clear" w:color="auto" w:fill="auto"/>
          </w:tcPr>
          <w:p w:rsidR="00E734E8" w:rsidP="00E734E8" w:rsidRDefault="00E734E8" w14:paraId="7EFBB587" w14:textId="0ED09A24">
            <w:pPr>
              <w:tabs>
                <w:tab w:val="left" w:pos="1440"/>
              </w:tabs>
              <w:spacing w:before="120"/>
              <w:rPr>
                <w:color w:val="000000"/>
              </w:rPr>
            </w:pPr>
            <w:r>
              <w:rPr>
                <w:color w:val="000000"/>
              </w:rPr>
              <w:t>[11] Sue Gallagher (Gallagher)</w:t>
            </w:r>
            <w:r w:rsidR="00EF32A8">
              <w:rPr>
                <w:color w:val="000000"/>
              </w:rPr>
              <w:t xml:space="preserve"> </w:t>
            </w:r>
            <w:r>
              <w:rPr>
                <w:color w:val="000000"/>
              </w:rPr>
              <w:t>Hourly Rate</w:t>
            </w:r>
          </w:p>
        </w:tc>
        <w:tc>
          <w:tcPr>
            <w:tcW w:w="7556" w:type="dxa"/>
            <w:shd w:val="clear" w:color="auto" w:fill="auto"/>
          </w:tcPr>
          <w:p w:rsidR="00E734E8" w:rsidP="00E734E8" w:rsidRDefault="00E734E8" w14:paraId="196FFB80" w14:textId="2350D264">
            <w:pPr>
              <w:tabs>
                <w:tab w:val="left" w:pos="1440"/>
              </w:tabs>
              <w:spacing w:before="120"/>
              <w:rPr>
                <w:color w:val="000000"/>
              </w:rPr>
            </w:pPr>
            <w:r>
              <w:rPr>
                <w:color w:val="000000"/>
              </w:rPr>
              <w:t>Gallagher has served as the city attorney for 2 years and has an additional 22 years’ experience working as an attorney with the Sonoma County Counsel’s office. The requested 2019 hourly rate of $445 is approved per the Hourly Rate Chart in Resolution ALJ-357.</w:t>
            </w:r>
          </w:p>
        </w:tc>
      </w:tr>
      <w:tr w:rsidRPr="007F620E" w:rsidR="00E734E8" w:rsidTr="00F80363" w14:paraId="25EDA08A" w14:textId="77777777">
        <w:tc>
          <w:tcPr>
            <w:tcW w:w="2002" w:type="dxa"/>
            <w:shd w:val="clear" w:color="auto" w:fill="auto"/>
          </w:tcPr>
          <w:p w:rsidR="00E734E8" w:rsidP="00E734E8" w:rsidRDefault="00E734E8" w14:paraId="17318646" w14:textId="4923F83F">
            <w:pPr>
              <w:tabs>
                <w:tab w:val="left" w:pos="1440"/>
              </w:tabs>
              <w:spacing w:before="120"/>
              <w:rPr>
                <w:color w:val="000000"/>
              </w:rPr>
            </w:pPr>
            <w:r>
              <w:rPr>
                <w:color w:val="000000"/>
              </w:rPr>
              <w:t>[12] Adam Abel (Abel) Hourly Rate</w:t>
            </w:r>
          </w:p>
        </w:tc>
        <w:tc>
          <w:tcPr>
            <w:tcW w:w="7556" w:type="dxa"/>
            <w:shd w:val="clear" w:color="auto" w:fill="auto"/>
          </w:tcPr>
          <w:p w:rsidR="00E734E8" w:rsidP="00E734E8" w:rsidRDefault="00E734E8" w14:paraId="61F8EECA" w14:textId="5684CA3D">
            <w:pPr>
              <w:tabs>
                <w:tab w:val="left" w:pos="1440"/>
              </w:tabs>
              <w:spacing w:before="120"/>
              <w:rPr>
                <w:color w:val="000000"/>
              </w:rPr>
            </w:pPr>
            <w:r>
              <w:rPr>
                <w:color w:val="000000"/>
              </w:rPr>
              <w:t>Abel has been an Assistant City Attorney with the City of Santa Rosa since 2015 and has been a member of the California bar since 1990.The requested 2019 hourly rate of $445 is approved per the Hourly Rate Chart in Resolution ALJ-357.</w:t>
            </w:r>
          </w:p>
        </w:tc>
      </w:tr>
      <w:tr w:rsidRPr="007F620E" w:rsidR="00E734E8" w:rsidTr="00F80363" w14:paraId="51A2184B" w14:textId="77777777">
        <w:tc>
          <w:tcPr>
            <w:tcW w:w="2002" w:type="dxa"/>
            <w:shd w:val="clear" w:color="auto" w:fill="auto"/>
          </w:tcPr>
          <w:p w:rsidR="00E734E8" w:rsidP="00E734E8" w:rsidRDefault="00E734E8" w14:paraId="6960AA71" w14:textId="0F7714F7">
            <w:pPr>
              <w:tabs>
                <w:tab w:val="left" w:pos="1440"/>
              </w:tabs>
              <w:spacing w:before="120"/>
              <w:rPr>
                <w:color w:val="000000"/>
              </w:rPr>
            </w:pPr>
            <w:r>
              <w:rPr>
                <w:color w:val="000000"/>
              </w:rPr>
              <w:t>[13] Bregman Hourly Rate</w:t>
            </w:r>
          </w:p>
        </w:tc>
        <w:tc>
          <w:tcPr>
            <w:tcW w:w="7556" w:type="dxa"/>
            <w:shd w:val="clear" w:color="auto" w:fill="auto"/>
          </w:tcPr>
          <w:p w:rsidR="00E734E8" w:rsidP="00E734E8" w:rsidRDefault="00E734E8" w14:paraId="3C778E7D" w14:textId="2B1673A9">
            <w:pPr>
              <w:tabs>
                <w:tab w:val="left" w:pos="1440"/>
              </w:tabs>
              <w:spacing w:before="120"/>
              <w:rPr>
                <w:color w:val="000000"/>
              </w:rPr>
            </w:pPr>
            <w:r>
              <w:rPr>
                <w:color w:val="000000"/>
              </w:rPr>
              <w:t xml:space="preserve">Bregman has served as the Emergency Preparedness Coordinator for the Santa Rosa Fire Department since 2014, Bregman has 10 years’ experience in Emergency Management. The requested 2019 hourly rate of $290 is approved per the Hourly Rate Chart in Resolution ALJ-357. </w:t>
            </w:r>
          </w:p>
        </w:tc>
      </w:tr>
    </w:tbl>
    <w:p w:rsidRPr="007F620E" w:rsidR="00A92D0B" w:rsidP="00691528" w:rsidRDefault="00A92D0B" w14:paraId="6495A17F" w14:textId="77777777">
      <w:pPr>
        <w:tabs>
          <w:tab w:val="left" w:pos="1260"/>
        </w:tabs>
        <w:spacing w:before="240"/>
        <w:jc w:val="center"/>
        <w:rPr>
          <w:b/>
          <w:color w:val="000000"/>
        </w:rPr>
      </w:pPr>
      <w:r w:rsidRPr="007F620E">
        <w:rPr>
          <w:b/>
          <w:color w:val="000000"/>
        </w:rPr>
        <w:t>PART IV:</w:t>
      </w:r>
      <w:r w:rsidRPr="007F620E">
        <w:rPr>
          <w:b/>
          <w:color w:val="000000"/>
        </w:rPr>
        <w:tab/>
        <w:t>OPPOSITIONS AND COMMENTS</w:t>
      </w:r>
    </w:p>
    <w:p w:rsidRPr="007F620E" w:rsidR="00A92D0B" w:rsidP="00691528" w:rsidRDefault="00A92D0B" w14:paraId="5B618497" w14:textId="77777777">
      <w:pPr>
        <w:tabs>
          <w:tab w:val="left" w:pos="1260"/>
        </w:tabs>
        <w:ind w:left="1267" w:right="-720" w:hanging="1267"/>
        <w:jc w:val="center"/>
        <w:rPr>
          <w:b/>
          <w:color w:val="000000"/>
        </w:rPr>
      </w:pPr>
      <w:r w:rsidRPr="007F620E">
        <w:rPr>
          <w:b/>
          <w:color w:val="000000"/>
        </w:rPr>
        <w:t>Within 30 days after service of this Claim, Commission Staff</w:t>
      </w:r>
      <w:r w:rsidR="00F20061">
        <w:rPr>
          <w:b/>
          <w:color w:val="000000"/>
        </w:rPr>
        <w:t xml:space="preserve"> </w:t>
      </w:r>
      <w:r w:rsidRPr="007F620E">
        <w:rPr>
          <w:b/>
          <w:color w:val="000000"/>
        </w:rPr>
        <w:t>or any other party may file a response to the Claim (</w:t>
      </w:r>
      <w:r w:rsidRPr="007F620E">
        <w:rPr>
          <w:b/>
          <w:i/>
          <w:color w:val="000000"/>
        </w:rPr>
        <w:t>see</w:t>
      </w:r>
      <w:r w:rsidRPr="007F620E">
        <w:rPr>
          <w:b/>
          <w:color w:val="000000"/>
        </w:rPr>
        <w:t xml:space="preserve"> § 1804(c))</w:t>
      </w:r>
    </w:p>
    <w:p w:rsidRPr="007F620E" w:rsidR="00A92D0B" w:rsidRDefault="00A92D0B" w14:paraId="47286D92" w14:textId="77777777">
      <w:pPr>
        <w:tabs>
          <w:tab w:val="left" w:pos="1260"/>
        </w:tabs>
        <w:spacing w:before="60"/>
        <w:ind w:left="1267" w:hanging="1267"/>
        <w:jc w:val="center"/>
        <w:rPr>
          <w:color w:val="000000"/>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88"/>
        <w:gridCol w:w="2070"/>
      </w:tblGrid>
      <w:tr w:rsidRPr="007F620E" w:rsidR="00A92D0B" w:rsidTr="003D359B" w14:paraId="33AFC230" w14:textId="77777777">
        <w:tc>
          <w:tcPr>
            <w:tcW w:w="7488" w:type="dxa"/>
            <w:shd w:val="clear" w:color="auto" w:fill="auto"/>
          </w:tcPr>
          <w:p w:rsidRPr="007F620E" w:rsidR="00A92D0B" w:rsidP="00A92D0B" w:rsidRDefault="00A92D0B" w14:paraId="75005646" w14:textId="77777777">
            <w:pPr>
              <w:spacing w:after="240"/>
              <w:rPr>
                <w:color w:val="000000"/>
              </w:rPr>
            </w:pPr>
            <w:r w:rsidRPr="007F620E">
              <w:rPr>
                <w:b/>
                <w:color w:val="000000"/>
              </w:rPr>
              <w:t>A.  Opposition:  Did any party oppose the Claim?</w:t>
            </w:r>
          </w:p>
        </w:tc>
        <w:tc>
          <w:tcPr>
            <w:tcW w:w="2070" w:type="dxa"/>
            <w:shd w:val="clear" w:color="auto" w:fill="auto"/>
          </w:tcPr>
          <w:p w:rsidRPr="007F620E" w:rsidR="00A92D0B" w:rsidP="00A92D0B" w:rsidRDefault="00436477" w14:paraId="28FAAC46" w14:textId="17C56E81">
            <w:pPr>
              <w:spacing w:after="240"/>
              <w:rPr>
                <w:color w:val="000000"/>
              </w:rPr>
            </w:pPr>
            <w:r>
              <w:rPr>
                <w:color w:val="000000"/>
              </w:rPr>
              <w:t>No</w:t>
            </w:r>
          </w:p>
        </w:tc>
      </w:tr>
    </w:tbl>
    <w:p w:rsidRPr="007F620E" w:rsidR="00A92D0B" w:rsidRDefault="00A92D0B" w14:paraId="2AFFCD90" w14:textId="77777777">
      <w:pPr>
        <w:tabs>
          <w:tab w:val="left" w:pos="1260"/>
        </w:tabs>
        <w:spacing w:before="60"/>
        <w:ind w:left="1267" w:hanging="1267"/>
        <w:jc w:val="center"/>
        <w:rPr>
          <w:color w:val="000000"/>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88"/>
        <w:gridCol w:w="2070"/>
      </w:tblGrid>
      <w:tr w:rsidRPr="007F620E" w:rsidR="00A92D0B" w:rsidTr="003D359B" w14:paraId="3D548B0E" w14:textId="77777777">
        <w:tc>
          <w:tcPr>
            <w:tcW w:w="7488" w:type="dxa"/>
            <w:shd w:val="clear" w:color="auto" w:fill="auto"/>
          </w:tcPr>
          <w:p w:rsidRPr="007F620E" w:rsidR="00A92D0B" w:rsidP="00DE3A5D" w:rsidRDefault="00A92D0B" w14:paraId="327DDDDD" w14:textId="77777777">
            <w:pPr>
              <w:keepNext/>
              <w:keepLines/>
              <w:spacing w:after="240"/>
              <w:rPr>
                <w:color w:val="000000"/>
              </w:rPr>
            </w:pPr>
            <w:r w:rsidRPr="007F620E">
              <w:rPr>
                <w:b/>
                <w:color w:val="000000"/>
              </w:rPr>
              <w:lastRenderedPageBreak/>
              <w:t>B.  Comment Period:  Was the 30-day comment period waived (</w:t>
            </w:r>
            <w:r w:rsidRPr="007F620E">
              <w:rPr>
                <w:b/>
                <w:i/>
                <w:color w:val="000000"/>
              </w:rPr>
              <w:t>see</w:t>
            </w:r>
            <w:r w:rsidRPr="007F620E">
              <w:rPr>
                <w:b/>
                <w:color w:val="000000"/>
              </w:rPr>
              <w:t xml:space="preserve"> Rule 14.6(</w:t>
            </w:r>
            <w:r w:rsidRPr="007F620E" w:rsidR="00963EEF">
              <w:rPr>
                <w:b/>
                <w:color w:val="000000"/>
              </w:rPr>
              <w:t>c</w:t>
            </w:r>
            <w:r w:rsidRPr="007F620E">
              <w:rPr>
                <w:b/>
                <w:color w:val="000000"/>
              </w:rPr>
              <w:t>)(6))?</w:t>
            </w:r>
          </w:p>
        </w:tc>
        <w:tc>
          <w:tcPr>
            <w:tcW w:w="2070" w:type="dxa"/>
            <w:shd w:val="clear" w:color="auto" w:fill="auto"/>
          </w:tcPr>
          <w:p w:rsidRPr="007F620E" w:rsidR="00A92D0B" w:rsidP="00DE3A5D" w:rsidRDefault="00436477" w14:paraId="21B524E1" w14:textId="0FA0FD8C">
            <w:pPr>
              <w:keepNext/>
              <w:keepLines/>
              <w:spacing w:after="240"/>
              <w:rPr>
                <w:color w:val="000000"/>
              </w:rPr>
            </w:pPr>
            <w:r>
              <w:rPr>
                <w:color w:val="000000"/>
              </w:rPr>
              <w:t>Yes</w:t>
            </w:r>
          </w:p>
        </w:tc>
      </w:tr>
    </w:tbl>
    <w:p w:rsidR="00FE3BAE" w:rsidP="00436477" w:rsidRDefault="00FE3BAE" w14:paraId="529AF9FF" w14:textId="77777777">
      <w:pPr>
        <w:rPr>
          <w:b/>
          <w:color w:val="000000"/>
          <w:u w:val="single"/>
        </w:rPr>
      </w:pPr>
    </w:p>
    <w:p w:rsidRPr="007F620E" w:rsidR="003D359B" w:rsidRDefault="003D359B" w14:paraId="1E757F09" w14:textId="77777777">
      <w:pPr>
        <w:jc w:val="center"/>
        <w:rPr>
          <w:b/>
          <w:color w:val="000000"/>
          <w:u w:val="single"/>
        </w:rPr>
      </w:pPr>
    </w:p>
    <w:p w:rsidRPr="007F620E" w:rsidR="00A92D0B" w:rsidRDefault="00A92D0B" w14:paraId="1C97361E" w14:textId="77777777">
      <w:pPr>
        <w:jc w:val="center"/>
        <w:rPr>
          <w:b/>
          <w:color w:val="000000"/>
          <w:u w:val="single"/>
        </w:rPr>
      </w:pPr>
      <w:r w:rsidRPr="007F620E">
        <w:rPr>
          <w:b/>
          <w:color w:val="000000"/>
          <w:u w:val="single"/>
        </w:rPr>
        <w:t>FINDINGS OF FACT</w:t>
      </w:r>
    </w:p>
    <w:p w:rsidRPr="00065DCF" w:rsidR="00A92D0B" w:rsidRDefault="00A92D0B" w14:paraId="7003D910" w14:textId="77777777">
      <w:pPr>
        <w:rPr>
          <w:color w:val="000000"/>
        </w:rPr>
      </w:pPr>
    </w:p>
    <w:p w:rsidRPr="00065DCF" w:rsidR="00A92D0B" w:rsidRDefault="00620CC5" w14:paraId="5EAB358B" w14:textId="431B8307">
      <w:pPr>
        <w:numPr>
          <w:ilvl w:val="0"/>
          <w:numId w:val="3"/>
        </w:numPr>
        <w:tabs>
          <w:tab w:val="clear" w:pos="900"/>
          <w:tab w:val="num" w:pos="540"/>
        </w:tabs>
        <w:ind w:left="540" w:hanging="540"/>
      </w:pPr>
      <w:r w:rsidRPr="00065DCF">
        <w:t>Mendocino, Napa, and Sonoma Counties, and the City of Santa Rosa</w:t>
      </w:r>
      <w:r w:rsidRPr="00065DCF" w:rsidR="00FE3BAE">
        <w:t xml:space="preserve"> </w:t>
      </w:r>
      <w:r w:rsidRPr="00065DCF" w:rsidR="00436477">
        <w:t xml:space="preserve">have </w:t>
      </w:r>
      <w:r w:rsidRPr="00065DCF" w:rsidR="00A92D0B">
        <w:t>made a substantia</w:t>
      </w:r>
      <w:r w:rsidRPr="00065DCF" w:rsidR="00DE3A5D">
        <w:t>l contribution to D.</w:t>
      </w:r>
      <w:r w:rsidRPr="00065DCF">
        <w:t>19-05-042</w:t>
      </w:r>
      <w:r w:rsidRPr="00065DCF" w:rsidR="00A92D0B">
        <w:t>.</w:t>
      </w:r>
    </w:p>
    <w:p w:rsidRPr="00065DCF" w:rsidR="00A92D0B" w:rsidRDefault="00A92D0B" w14:paraId="693203B7" w14:textId="7E34FC28">
      <w:pPr>
        <w:numPr>
          <w:ilvl w:val="0"/>
          <w:numId w:val="3"/>
        </w:numPr>
        <w:tabs>
          <w:tab w:val="clear" w:pos="900"/>
          <w:tab w:val="num" w:pos="540"/>
        </w:tabs>
        <w:spacing w:before="240"/>
        <w:ind w:left="547" w:hanging="547"/>
      </w:pPr>
      <w:r w:rsidRPr="00065DCF">
        <w:t>The requested hourly rates for</w:t>
      </w:r>
      <w:r w:rsidRPr="00065DCF" w:rsidR="003B6A1B">
        <w:t xml:space="preserve"> </w:t>
      </w:r>
      <w:r w:rsidRPr="00065DCF" w:rsidR="00991989">
        <w:t>Mendocino, Napa, and Sonoma Counties, and the City of Santa Rosa</w:t>
      </w:r>
      <w:r w:rsidRPr="00065DCF" w:rsidR="005A63D4">
        <w:t xml:space="preserve">’s </w:t>
      </w:r>
      <w:r w:rsidRPr="00065DCF">
        <w:t>representatives</w:t>
      </w:r>
      <w:r w:rsidR="00783962">
        <w:t>, as adjusted herein,</w:t>
      </w:r>
      <w:r w:rsidRPr="00065DCF">
        <w:t xml:space="preserve"> are comparable to market rates paid to experts and advocates having comparable training and experience and offering similar services.</w:t>
      </w:r>
    </w:p>
    <w:p w:rsidRPr="00065DCF" w:rsidR="00A92D0B" w:rsidRDefault="00A92D0B" w14:paraId="3EC564BD" w14:textId="6523049D">
      <w:pPr>
        <w:numPr>
          <w:ilvl w:val="0"/>
          <w:numId w:val="3"/>
        </w:numPr>
        <w:tabs>
          <w:tab w:val="clear" w:pos="900"/>
          <w:tab w:val="num" w:pos="540"/>
        </w:tabs>
        <w:spacing w:before="240"/>
        <w:ind w:left="547" w:hanging="547"/>
      </w:pPr>
      <w:r w:rsidRPr="00065DCF">
        <w:t>The claimed costs and expenses,</w:t>
      </w:r>
      <w:r w:rsidRPr="00065DCF" w:rsidR="003B5EAC">
        <w:t xml:space="preserve"> </w:t>
      </w:r>
      <w:r w:rsidRPr="00065DCF">
        <w:t xml:space="preserve">as adjusted herein, are reasonable and commensurate with the work performed. </w:t>
      </w:r>
    </w:p>
    <w:p w:rsidRPr="00065DCF" w:rsidR="003F2E07" w:rsidP="003F2E07" w:rsidRDefault="00A92D0B" w14:paraId="6AF252C1" w14:textId="548B564D">
      <w:pPr>
        <w:numPr>
          <w:ilvl w:val="0"/>
          <w:numId w:val="3"/>
        </w:numPr>
        <w:tabs>
          <w:tab w:val="clear" w:pos="900"/>
          <w:tab w:val="num" w:pos="540"/>
        </w:tabs>
        <w:spacing w:before="240"/>
        <w:ind w:left="547" w:hanging="547"/>
      </w:pPr>
      <w:r w:rsidRPr="00065DCF">
        <w:t xml:space="preserve">The total of reasonable </w:t>
      </w:r>
      <w:r w:rsidRPr="00065DCF" w:rsidR="003C608A">
        <w:t xml:space="preserve">compensation </w:t>
      </w:r>
      <w:r w:rsidRPr="00065DCF">
        <w:t xml:space="preserve">is </w:t>
      </w:r>
      <w:r w:rsidRPr="00065DCF" w:rsidR="003F2E07">
        <w:rPr>
          <w:color w:val="000000"/>
        </w:rPr>
        <w:t>$</w:t>
      </w:r>
      <w:r w:rsidRPr="00065DCF" w:rsidR="00C70498">
        <w:rPr>
          <w:color w:val="000000"/>
        </w:rPr>
        <w:t>74,206.13</w:t>
      </w:r>
      <w:r w:rsidRPr="00065DCF" w:rsidR="00590BF2">
        <w:t>.</w:t>
      </w:r>
    </w:p>
    <w:p w:rsidRPr="00065DCF" w:rsidR="001F66C1" w:rsidP="003F2E07" w:rsidRDefault="001F66C1" w14:paraId="797F3E36" w14:textId="1945E9FD">
      <w:pPr>
        <w:numPr>
          <w:ilvl w:val="0"/>
          <w:numId w:val="3"/>
        </w:numPr>
        <w:tabs>
          <w:tab w:val="clear" w:pos="900"/>
          <w:tab w:val="num" w:pos="540"/>
        </w:tabs>
        <w:spacing w:before="240"/>
        <w:ind w:left="547" w:hanging="547"/>
      </w:pPr>
      <w:r w:rsidRPr="00065DCF">
        <w:t>The total of reasonable compensation is allocated, as follows:</w:t>
      </w:r>
      <w:r w:rsidRPr="00065DCF" w:rsidR="000B2435">
        <w:t xml:space="preserve"> Mendocino </w:t>
      </w:r>
      <w:r w:rsidR="00F45E9E">
        <w:t xml:space="preserve">County </w:t>
      </w:r>
      <w:r w:rsidRPr="00065DCF" w:rsidR="000B2435">
        <w:rPr>
          <w:iCs/>
          <w:color w:val="000000"/>
        </w:rPr>
        <w:t>$</w:t>
      </w:r>
      <w:r w:rsidRPr="00065DCF" w:rsidR="000B2435">
        <w:rPr>
          <w:color w:val="000000"/>
        </w:rPr>
        <w:t>5,502.88</w:t>
      </w:r>
      <w:r w:rsidRPr="00065DCF" w:rsidR="000B2435">
        <w:t>; Napa County $</w:t>
      </w:r>
      <w:r w:rsidRPr="00065DCF" w:rsidR="000B2435">
        <w:rPr>
          <w:color w:val="000000"/>
        </w:rPr>
        <w:t>26,279.67</w:t>
      </w:r>
      <w:r w:rsidRPr="00065DCF" w:rsidR="000B2435">
        <w:t>; Sonoma County $</w:t>
      </w:r>
      <w:r w:rsidRPr="00065DCF" w:rsidR="000B2435">
        <w:rPr>
          <w:color w:val="000000"/>
        </w:rPr>
        <w:t>29,965.62</w:t>
      </w:r>
      <w:r w:rsidRPr="00065DCF" w:rsidR="000B2435">
        <w:t>; and the City of Santa Rosa $</w:t>
      </w:r>
      <w:r w:rsidRPr="00065DCF" w:rsidR="000B2435">
        <w:rPr>
          <w:color w:val="000000"/>
        </w:rPr>
        <w:t>12,457.95</w:t>
      </w:r>
      <w:r w:rsidR="00F45E9E">
        <w:rPr>
          <w:color w:val="000000"/>
        </w:rPr>
        <w:t>.</w:t>
      </w:r>
    </w:p>
    <w:p w:rsidRPr="007F620E" w:rsidR="001962EB" w:rsidRDefault="001962EB" w14:paraId="34194F6F" w14:textId="77777777">
      <w:pPr>
        <w:spacing w:before="120"/>
        <w:rPr>
          <w:color w:val="000000"/>
        </w:rPr>
      </w:pPr>
    </w:p>
    <w:p w:rsidRPr="007F620E" w:rsidR="00A92D0B" w:rsidRDefault="00A92D0B" w14:paraId="4A092246" w14:textId="77777777">
      <w:pPr>
        <w:jc w:val="center"/>
        <w:rPr>
          <w:b/>
          <w:color w:val="000000"/>
          <w:u w:val="single"/>
        </w:rPr>
      </w:pPr>
      <w:r w:rsidRPr="007F620E">
        <w:rPr>
          <w:b/>
          <w:color w:val="000000"/>
          <w:u w:val="single"/>
        </w:rPr>
        <w:t>CONCLUSION OF LAW</w:t>
      </w:r>
    </w:p>
    <w:p w:rsidRPr="007F620E" w:rsidR="00A92D0B" w:rsidRDefault="00A92D0B" w14:paraId="5B74C62C" w14:textId="32B620FA">
      <w:pPr>
        <w:numPr>
          <w:ilvl w:val="0"/>
          <w:numId w:val="6"/>
        </w:numPr>
        <w:tabs>
          <w:tab w:val="num" w:pos="360"/>
        </w:tabs>
        <w:spacing w:before="240"/>
        <w:ind w:left="360"/>
        <w:rPr>
          <w:color w:val="000000"/>
        </w:rPr>
      </w:pPr>
      <w:r w:rsidRPr="007F620E">
        <w:rPr>
          <w:color w:val="000000"/>
        </w:rPr>
        <w:t>The Claim, with any adjustment set forth above, satisfies</w:t>
      </w:r>
      <w:r w:rsidR="004F2B39">
        <w:rPr>
          <w:color w:val="000000"/>
        </w:rPr>
        <w:t xml:space="preserve"> </w:t>
      </w:r>
      <w:r w:rsidRPr="007F620E" w:rsidR="00DE3A5D">
        <w:rPr>
          <w:color w:val="000000"/>
        </w:rPr>
        <w:t>all requirements of Pub. Util.</w:t>
      </w:r>
      <w:r w:rsidRPr="007F620E">
        <w:rPr>
          <w:color w:val="000000"/>
        </w:rPr>
        <w:t xml:space="preserve"> Code §§ 1801-1812.</w:t>
      </w:r>
    </w:p>
    <w:p w:rsidRPr="007F620E" w:rsidR="001962EB" w:rsidRDefault="001962EB" w14:paraId="29E371A8" w14:textId="77777777">
      <w:pPr>
        <w:jc w:val="center"/>
        <w:rPr>
          <w:b/>
          <w:color w:val="000000"/>
          <w:u w:val="single"/>
        </w:rPr>
      </w:pPr>
    </w:p>
    <w:p w:rsidRPr="007F620E" w:rsidR="00A92D0B" w:rsidRDefault="00A92D0B" w14:paraId="158C148C" w14:textId="77777777">
      <w:pPr>
        <w:jc w:val="center"/>
        <w:rPr>
          <w:b/>
          <w:color w:val="000000"/>
          <w:u w:val="single"/>
        </w:rPr>
      </w:pPr>
      <w:r w:rsidRPr="007F620E">
        <w:rPr>
          <w:b/>
          <w:color w:val="000000"/>
          <w:u w:val="single"/>
        </w:rPr>
        <w:t>ORDER</w:t>
      </w:r>
    </w:p>
    <w:p w:rsidRPr="007F620E" w:rsidR="00A92D0B" w:rsidRDefault="00A92D0B" w14:paraId="39FD0285" w14:textId="77777777">
      <w:pPr>
        <w:jc w:val="center"/>
        <w:rPr>
          <w:b/>
          <w:color w:val="000000"/>
          <w:u w:val="single"/>
        </w:rPr>
      </w:pPr>
    </w:p>
    <w:p w:rsidRPr="003D2DD2" w:rsidR="00A92D0B" w:rsidRDefault="00620CC5" w14:paraId="3A5682FB" w14:textId="072CB678">
      <w:pPr>
        <w:numPr>
          <w:ilvl w:val="0"/>
          <w:numId w:val="4"/>
        </w:numPr>
        <w:tabs>
          <w:tab w:val="clear" w:pos="900"/>
          <w:tab w:val="num" w:pos="540"/>
        </w:tabs>
        <w:ind w:left="540" w:hanging="540"/>
        <w:rPr>
          <w:bCs/>
          <w:color w:val="000000"/>
        </w:rPr>
      </w:pPr>
      <w:r w:rsidRPr="003D2DD2">
        <w:rPr>
          <w:bCs/>
        </w:rPr>
        <w:t>Mendocino, Napa, and Sonoma Counties, and the City of Santa Rosa</w:t>
      </w:r>
      <w:r w:rsidRPr="003D2DD2" w:rsidR="00FE3BAE">
        <w:rPr>
          <w:bCs/>
        </w:rPr>
        <w:t xml:space="preserve"> </w:t>
      </w:r>
      <w:r w:rsidR="006D42C7">
        <w:rPr>
          <w:bCs/>
        </w:rPr>
        <w:t>are</w:t>
      </w:r>
      <w:r w:rsidRPr="003D2DD2" w:rsidR="00A92D0B">
        <w:rPr>
          <w:bCs/>
          <w:color w:val="000000"/>
        </w:rPr>
        <w:t xml:space="preserve"> awarded </w:t>
      </w:r>
      <w:r w:rsidRPr="003D2DD2" w:rsidR="003F2E07">
        <w:rPr>
          <w:bCs/>
          <w:color w:val="000000"/>
        </w:rPr>
        <w:t>$</w:t>
      </w:r>
      <w:r w:rsidRPr="003D2DD2" w:rsidR="00DE6587">
        <w:rPr>
          <w:bCs/>
          <w:color w:val="000000"/>
        </w:rPr>
        <w:t>74,206.13</w:t>
      </w:r>
      <w:r w:rsidRPr="003D2DD2" w:rsidR="003F2E07">
        <w:rPr>
          <w:bCs/>
          <w:color w:val="000000"/>
        </w:rPr>
        <w:t>.</w:t>
      </w:r>
    </w:p>
    <w:p w:rsidRPr="003D2DD2" w:rsidR="00A92D0B" w:rsidRDefault="00A92D0B" w14:paraId="23EBA8C8" w14:textId="096BA572">
      <w:pPr>
        <w:numPr>
          <w:ilvl w:val="0"/>
          <w:numId w:val="4"/>
        </w:numPr>
        <w:tabs>
          <w:tab w:val="clear" w:pos="900"/>
          <w:tab w:val="num" w:pos="540"/>
        </w:tabs>
        <w:spacing w:before="240"/>
        <w:ind w:left="547" w:hanging="547"/>
        <w:rPr>
          <w:bCs/>
        </w:rPr>
      </w:pPr>
      <w:r w:rsidRPr="003D2DD2">
        <w:rPr>
          <w:bCs/>
        </w:rPr>
        <w:t>Within 30 days of the effective date of this decision</w:t>
      </w:r>
      <w:r w:rsidRPr="003D2DD2" w:rsidR="00A016E0">
        <w:rPr>
          <w:bCs/>
        </w:rPr>
        <w:t>, Pacific Gas and Electric Company, Southern California Edison Company, San Diego Gas &amp; Electric Company, Liberty Utilities (CalPeco Electric), Bear Valley Electric Service, Inc., and PacifiCorp dba Pacific Power</w:t>
      </w:r>
      <w:r w:rsidRPr="003D2DD2" w:rsidR="00A9478B">
        <w:rPr>
          <w:bCs/>
        </w:rPr>
        <w:t xml:space="preserve"> </w:t>
      </w:r>
      <w:r w:rsidRPr="003D2DD2" w:rsidR="00457F91">
        <w:rPr>
          <w:bCs/>
        </w:rPr>
        <w:t>Company</w:t>
      </w:r>
      <w:r w:rsidRPr="003D2DD2" w:rsidR="00A9478B">
        <w:rPr>
          <w:bCs/>
        </w:rPr>
        <w:t>,</w:t>
      </w:r>
      <w:r w:rsidRPr="003D2DD2" w:rsidR="00457F91">
        <w:rPr>
          <w:bCs/>
        </w:rPr>
        <w:t xml:space="preserve"> shall</w:t>
      </w:r>
      <w:r w:rsidRPr="003D2DD2">
        <w:rPr>
          <w:bCs/>
        </w:rPr>
        <w:t xml:space="preserve"> pay </w:t>
      </w:r>
      <w:r w:rsidRPr="003D2DD2" w:rsidR="00620CC5">
        <w:rPr>
          <w:bCs/>
        </w:rPr>
        <w:t>Mendocino</w:t>
      </w:r>
      <w:r w:rsidRPr="003D2DD2" w:rsidR="00A42F95">
        <w:rPr>
          <w:bCs/>
        </w:rPr>
        <w:t xml:space="preserve"> </w:t>
      </w:r>
      <w:r w:rsidRPr="003D2DD2" w:rsidR="003F2E07">
        <w:rPr>
          <w:bCs/>
          <w:iCs/>
          <w:color w:val="000000"/>
        </w:rPr>
        <w:t>$</w:t>
      </w:r>
      <w:r w:rsidRPr="003D2DD2" w:rsidR="00DE6587">
        <w:rPr>
          <w:bCs/>
          <w:color w:val="000000"/>
        </w:rPr>
        <w:t>5,502.88</w:t>
      </w:r>
      <w:r w:rsidRPr="003D2DD2" w:rsidR="00620CC5">
        <w:rPr>
          <w:bCs/>
        </w:rPr>
        <w:t>, Napa</w:t>
      </w:r>
      <w:r w:rsidRPr="003D2DD2" w:rsidR="00A42F95">
        <w:rPr>
          <w:bCs/>
        </w:rPr>
        <w:t xml:space="preserve"> County </w:t>
      </w:r>
      <w:r w:rsidRPr="003D2DD2" w:rsidR="003F2E07">
        <w:rPr>
          <w:bCs/>
        </w:rPr>
        <w:t>$</w:t>
      </w:r>
      <w:r w:rsidRPr="003D2DD2" w:rsidR="00DE6587">
        <w:rPr>
          <w:bCs/>
          <w:color w:val="000000"/>
        </w:rPr>
        <w:t>26,279.67</w:t>
      </w:r>
      <w:r w:rsidRPr="003D2DD2" w:rsidR="00620CC5">
        <w:rPr>
          <w:bCs/>
        </w:rPr>
        <w:t>, Sonoma Count</w:t>
      </w:r>
      <w:r w:rsidRPr="003D2DD2" w:rsidR="00A42F95">
        <w:rPr>
          <w:bCs/>
        </w:rPr>
        <w:t xml:space="preserve">y </w:t>
      </w:r>
      <w:r w:rsidRPr="003D2DD2" w:rsidR="003F2E07">
        <w:rPr>
          <w:bCs/>
        </w:rPr>
        <w:t>$</w:t>
      </w:r>
      <w:r w:rsidRPr="003D2DD2" w:rsidR="00DE6587">
        <w:rPr>
          <w:bCs/>
          <w:color w:val="000000"/>
        </w:rPr>
        <w:t>29,965.62</w:t>
      </w:r>
      <w:r w:rsidRPr="003D2DD2" w:rsidR="00620CC5">
        <w:rPr>
          <w:bCs/>
        </w:rPr>
        <w:t>, and the City of Santa Rosa</w:t>
      </w:r>
      <w:r w:rsidRPr="003D2DD2" w:rsidR="00A42F95">
        <w:rPr>
          <w:bCs/>
        </w:rPr>
        <w:t xml:space="preserve"> </w:t>
      </w:r>
      <w:r w:rsidRPr="003D2DD2" w:rsidR="003F2E07">
        <w:rPr>
          <w:bCs/>
        </w:rPr>
        <w:t>$</w:t>
      </w:r>
      <w:r w:rsidRPr="003D2DD2" w:rsidR="00DE6587">
        <w:rPr>
          <w:bCs/>
          <w:color w:val="000000"/>
        </w:rPr>
        <w:t>12,457.95</w:t>
      </w:r>
      <w:r w:rsidRPr="003D2DD2" w:rsidR="00A42F95">
        <w:rPr>
          <w:bCs/>
        </w:rPr>
        <w:t xml:space="preserve">, </w:t>
      </w:r>
      <w:r w:rsidRPr="003D2DD2" w:rsidR="0055228B">
        <w:rPr>
          <w:bCs/>
        </w:rPr>
        <w:t xml:space="preserve">their respective shares of the award, based on their California-jurisdictional </w:t>
      </w:r>
      <w:r w:rsidRPr="003D2DD2" w:rsidR="00A42F95">
        <w:rPr>
          <w:bCs/>
        </w:rPr>
        <w:t>electric</w:t>
      </w:r>
      <w:r w:rsidRPr="003D2DD2" w:rsidR="0055228B">
        <w:rPr>
          <w:bCs/>
        </w:rPr>
        <w:t xml:space="preserve"> revenues for the </w:t>
      </w:r>
      <w:r w:rsidRPr="003D2DD2" w:rsidR="00A42F95">
        <w:rPr>
          <w:bCs/>
        </w:rPr>
        <w:t>2019</w:t>
      </w:r>
      <w:r w:rsidRPr="003D2DD2" w:rsidR="005546DD">
        <w:rPr>
          <w:bCs/>
        </w:rPr>
        <w:t xml:space="preserve"> </w:t>
      </w:r>
      <w:r w:rsidRPr="003D2DD2" w:rsidR="0055228B">
        <w:rPr>
          <w:bCs/>
        </w:rPr>
        <w:t>calendar year, to reflect the year in which the proceeding was primarily litigated.  If such data is unavailable, the most recent electric revenue data shall be used.</w:t>
      </w:r>
      <w:r w:rsidRPr="003D2DD2">
        <w:rPr>
          <w:bCs/>
        </w:rPr>
        <w:t>”  Payment of the award shall include</w:t>
      </w:r>
      <w:r w:rsidRPr="003D2DD2" w:rsidR="004E3939">
        <w:rPr>
          <w:bCs/>
        </w:rPr>
        <w:t xml:space="preserve"> compound </w:t>
      </w:r>
      <w:r w:rsidRPr="003D2DD2">
        <w:rPr>
          <w:bCs/>
        </w:rPr>
        <w:t xml:space="preserve">interest at the rate earned on prime, three-month </w:t>
      </w:r>
      <w:r w:rsidRPr="003D2DD2" w:rsidR="00214B22">
        <w:rPr>
          <w:bCs/>
        </w:rPr>
        <w:t xml:space="preserve">non-financial </w:t>
      </w:r>
      <w:r w:rsidRPr="003D2DD2">
        <w:rPr>
          <w:bCs/>
        </w:rPr>
        <w:t>commercial paper as reported in Federal Reserve Statistical Release H.15, beginning</w:t>
      </w:r>
      <w:r w:rsidRPr="003D2DD2" w:rsidR="00357F1A">
        <w:rPr>
          <w:bCs/>
        </w:rPr>
        <w:t xml:space="preserve"> </w:t>
      </w:r>
      <w:r w:rsidRPr="003D2DD2" w:rsidR="00A42F95">
        <w:rPr>
          <w:bCs/>
        </w:rPr>
        <w:t>October 18, 2019</w:t>
      </w:r>
      <w:r w:rsidRPr="003D2DD2" w:rsidR="00357F1A">
        <w:rPr>
          <w:bCs/>
        </w:rPr>
        <w:t xml:space="preserve">, </w:t>
      </w:r>
      <w:r w:rsidRPr="003D2DD2">
        <w:rPr>
          <w:bCs/>
        </w:rPr>
        <w:t>the 75</w:t>
      </w:r>
      <w:r w:rsidRPr="003D2DD2">
        <w:rPr>
          <w:bCs/>
          <w:vertAlign w:val="superscript"/>
        </w:rPr>
        <w:t>th</w:t>
      </w:r>
      <w:r w:rsidRPr="003D2DD2">
        <w:rPr>
          <w:bCs/>
        </w:rPr>
        <w:t xml:space="preserve"> day after the filing of </w:t>
      </w:r>
      <w:r w:rsidRPr="003D2DD2" w:rsidR="00620CC5">
        <w:rPr>
          <w:bCs/>
        </w:rPr>
        <w:t>Mendocino, Napa, and Sonoma Counties, and the City of Santa Rosa</w:t>
      </w:r>
      <w:r w:rsidRPr="003D2DD2" w:rsidR="00FE3BAE">
        <w:rPr>
          <w:bCs/>
        </w:rPr>
        <w:t xml:space="preserve">’s </w:t>
      </w:r>
      <w:r w:rsidRPr="003D2DD2">
        <w:rPr>
          <w:bCs/>
        </w:rPr>
        <w:t>request, and continuing until full payment is made.</w:t>
      </w:r>
    </w:p>
    <w:p w:rsidRPr="007F620E" w:rsidR="00A92D0B" w:rsidP="00DE3A5D" w:rsidRDefault="00A92D0B" w14:paraId="22B6D314" w14:textId="21C45640">
      <w:pPr>
        <w:keepNext/>
        <w:keepLines/>
        <w:numPr>
          <w:ilvl w:val="0"/>
          <w:numId w:val="4"/>
        </w:numPr>
        <w:tabs>
          <w:tab w:val="clear" w:pos="900"/>
          <w:tab w:val="num" w:pos="540"/>
        </w:tabs>
        <w:spacing w:before="240"/>
        <w:ind w:left="547" w:hanging="547"/>
      </w:pPr>
      <w:r w:rsidRPr="007F620E">
        <w:lastRenderedPageBreak/>
        <w:t>The comment period for today’s decision is</w:t>
      </w:r>
      <w:r w:rsidR="00B25F3A">
        <w:t xml:space="preserve"> </w:t>
      </w:r>
      <w:r w:rsidRPr="007F620E">
        <w:t>waived.</w:t>
      </w:r>
    </w:p>
    <w:p w:rsidRPr="007F620E" w:rsidR="00A92D0B" w:rsidP="006D42C7" w:rsidRDefault="00A92D0B" w14:paraId="5ACC789C" w14:textId="77777777">
      <w:pPr>
        <w:keepNext/>
        <w:keepLines/>
        <w:spacing w:before="240"/>
        <w:ind w:firstLine="547"/>
        <w:rPr>
          <w:color w:val="000000"/>
        </w:rPr>
      </w:pPr>
      <w:r w:rsidRPr="007F620E">
        <w:rPr>
          <w:color w:val="000000"/>
        </w:rPr>
        <w:t>This decision is effective today.</w:t>
      </w:r>
    </w:p>
    <w:p w:rsidR="00FE3BAE" w:rsidP="008E0A38" w:rsidRDefault="00A92D0B" w14:paraId="70B27FEC" w14:textId="77FB55B1">
      <w:pPr>
        <w:keepNext/>
        <w:keepLines/>
        <w:spacing w:before="240"/>
        <w:ind w:firstLine="547"/>
        <w:rPr>
          <w:color w:val="000000"/>
        </w:rPr>
      </w:pPr>
      <w:r w:rsidRPr="007F620E">
        <w:rPr>
          <w:color w:val="000000"/>
        </w:rPr>
        <w:t xml:space="preserve">Dated _____________, at </w:t>
      </w:r>
      <w:r w:rsidR="006D42C7">
        <w:rPr>
          <w:color w:val="000000"/>
        </w:rPr>
        <w:t>Diamond Bar</w:t>
      </w:r>
      <w:r w:rsidRPr="007F620E">
        <w:rPr>
          <w:color w:val="000000"/>
        </w:rPr>
        <w:t>, California.</w:t>
      </w:r>
    </w:p>
    <w:p w:rsidR="008E0A38" w:rsidP="008E0A38" w:rsidRDefault="008E0A38" w14:paraId="32E96334" w14:textId="77777777">
      <w:pPr>
        <w:keepNext/>
        <w:keepLines/>
        <w:spacing w:before="240"/>
        <w:ind w:firstLine="547"/>
        <w:sectPr w:rsidR="008E0A38" w:rsidSect="00D93C87">
          <w:headerReference w:type="default" r:id="rId11"/>
          <w:footerReference w:type="default" r:id="rId12"/>
          <w:footerReference w:type="first" r:id="rId13"/>
          <w:pgSz w:w="12240" w:h="15840"/>
          <w:pgMar w:top="1440" w:right="990" w:bottom="1440" w:left="1800" w:header="720" w:footer="720" w:gutter="0"/>
          <w:pgNumType w:fmt="numberInDash"/>
          <w:cols w:space="720"/>
          <w:titlePg/>
          <w:docGrid w:linePitch="360"/>
        </w:sectPr>
      </w:pPr>
    </w:p>
    <w:p w:rsidR="00FE3BAE" w:rsidP="00FE3BAE" w:rsidRDefault="00FE3BAE" w14:paraId="3319BBA4" w14:textId="77777777">
      <w:pPr>
        <w:pStyle w:val="standard"/>
        <w:ind w:firstLine="0"/>
        <w:jc w:val="center"/>
        <w:rPr>
          <w:rFonts w:ascii="Helvetica" w:hAnsi="Helvetica"/>
          <w:b/>
          <w:szCs w:val="26"/>
        </w:rPr>
      </w:pPr>
      <w:r>
        <w:rPr>
          <w:rFonts w:ascii="Helvetica" w:hAnsi="Helvetica"/>
          <w:b/>
          <w:szCs w:val="26"/>
        </w:rPr>
        <w:lastRenderedPageBreak/>
        <w:t>APPENDIX</w:t>
      </w:r>
    </w:p>
    <w:p w:rsidRPr="008E0A38" w:rsidR="00FE3BAE" w:rsidP="00FE3BAE" w:rsidRDefault="00FE3BAE" w14:paraId="7D404FAD" w14:textId="77777777">
      <w:pPr>
        <w:pStyle w:val="standard"/>
        <w:jc w:val="center"/>
        <w:rPr>
          <w:rFonts w:ascii="Times New Roman" w:hAnsi="Times New Roman"/>
        </w:rPr>
      </w:pPr>
      <w:r w:rsidRPr="008E0A38">
        <w:rPr>
          <w:rFonts w:ascii="Times New Roman" w:hAnsi="Times New Roman"/>
          <w:sz w:val="28"/>
          <w:szCs w:val="28"/>
        </w:rPr>
        <w:t>Compensation Decision Summary Information</w:t>
      </w:r>
    </w:p>
    <w:tbl>
      <w:tblPr>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0"/>
        <w:gridCol w:w="3735"/>
        <w:gridCol w:w="2475"/>
        <w:gridCol w:w="1260"/>
      </w:tblGrid>
      <w:tr w:rsidR="00FE3BAE" w:rsidTr="0077487D" w14:paraId="7DA1C0F8"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00FE3BAE" w:rsidP="0077487D" w:rsidRDefault="00FE3BAE" w14:paraId="273D9C88" w14:textId="77777777">
            <w:r>
              <w:t>Compensation Decision:</w:t>
            </w:r>
          </w:p>
        </w:tc>
        <w:tc>
          <w:tcPr>
            <w:tcW w:w="3735" w:type="dxa"/>
            <w:tcBorders>
              <w:top w:val="single" w:color="auto" w:sz="4" w:space="0"/>
              <w:left w:val="single" w:color="auto" w:sz="4" w:space="0"/>
              <w:bottom w:val="single" w:color="auto" w:sz="4" w:space="0"/>
              <w:right w:val="single" w:color="auto" w:sz="4" w:space="0"/>
            </w:tcBorders>
          </w:tcPr>
          <w:p w:rsidR="00FE3BAE" w:rsidP="0077487D" w:rsidRDefault="00FE3BAE" w14:paraId="01AACA7A" w14:textId="77777777"/>
        </w:tc>
        <w:tc>
          <w:tcPr>
            <w:tcW w:w="2475" w:type="dxa"/>
            <w:tcBorders>
              <w:top w:val="single" w:color="auto" w:sz="4" w:space="0"/>
              <w:left w:val="single" w:color="auto" w:sz="4" w:space="0"/>
              <w:bottom w:val="single" w:color="auto" w:sz="4" w:space="0"/>
              <w:right w:val="single" w:color="auto" w:sz="4" w:space="0"/>
            </w:tcBorders>
            <w:hideMark/>
          </w:tcPr>
          <w:p w:rsidR="00FE3BAE" w:rsidP="0077487D" w:rsidRDefault="00FE3BAE" w14:paraId="10265F39" w14:textId="77777777">
            <w:r>
              <w:t xml:space="preserve">Modifies Decision? </w:t>
            </w:r>
          </w:p>
        </w:tc>
        <w:tc>
          <w:tcPr>
            <w:tcW w:w="1260" w:type="dxa"/>
            <w:tcBorders>
              <w:top w:val="single" w:color="auto" w:sz="4" w:space="0"/>
              <w:left w:val="single" w:color="auto" w:sz="4" w:space="0"/>
              <w:bottom w:val="single" w:color="auto" w:sz="4" w:space="0"/>
              <w:right w:val="single" w:color="auto" w:sz="4" w:space="0"/>
            </w:tcBorders>
          </w:tcPr>
          <w:p w:rsidR="00FE3BAE" w:rsidP="0077487D" w:rsidRDefault="00C70498" w14:paraId="2B1FCA54" w14:textId="2E8D5C5B">
            <w:pPr>
              <w:jc w:val="center"/>
            </w:pPr>
            <w:r>
              <w:t>No</w:t>
            </w:r>
          </w:p>
        </w:tc>
      </w:tr>
      <w:tr w:rsidR="00FE3BAE" w:rsidTr="009A7144" w14:paraId="5E8B8013"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00FE3BAE" w:rsidP="0077487D" w:rsidRDefault="00FE3BAE" w14:paraId="4174DCBC" w14:textId="77777777">
            <w:r>
              <w:t>Contribution Decision(s):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00FE3BAE" w:rsidP="0077487D" w:rsidRDefault="00620CC5" w14:paraId="3B44EED7" w14:textId="2E74B15D">
            <w:r>
              <w:t>D1905042</w:t>
            </w:r>
          </w:p>
        </w:tc>
      </w:tr>
      <w:tr w:rsidR="00FE3BAE" w:rsidTr="009A7144" w14:paraId="3B450E09"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00FE3BAE" w:rsidP="0077487D" w:rsidRDefault="00FE3BAE" w14:paraId="28BD4E2B" w14:textId="77777777">
            <w:r>
              <w:t>Proceeding(s):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00FE3BAE" w:rsidP="0077487D" w:rsidRDefault="00620CC5" w14:paraId="016C855E" w14:textId="24E8081C">
            <w:r>
              <w:t>R1812005</w:t>
            </w:r>
          </w:p>
        </w:tc>
      </w:tr>
      <w:tr w:rsidR="00FE3BAE" w:rsidTr="0077487D" w14:paraId="44D6EAE0"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00FE3BAE" w:rsidP="0077487D" w:rsidRDefault="00FE3BAE" w14:paraId="63385386" w14:textId="77777777">
            <w:r>
              <w:t>Author:</w:t>
            </w:r>
          </w:p>
        </w:tc>
        <w:tc>
          <w:tcPr>
            <w:tcW w:w="7470" w:type="dxa"/>
            <w:gridSpan w:val="3"/>
            <w:tcBorders>
              <w:top w:val="single" w:color="auto" w:sz="4" w:space="0"/>
              <w:left w:val="single" w:color="auto" w:sz="4" w:space="0"/>
              <w:bottom w:val="single" w:color="auto" w:sz="4" w:space="0"/>
              <w:right w:val="single" w:color="auto" w:sz="4" w:space="0"/>
            </w:tcBorders>
            <w:hideMark/>
          </w:tcPr>
          <w:p w:rsidR="00FE3BAE" w:rsidP="0077487D" w:rsidRDefault="001559E8" w14:paraId="02E92256" w14:textId="2EBBE664">
            <w:r>
              <w:t xml:space="preserve">ALJ Kao and ALJ DeAngelis </w:t>
            </w:r>
          </w:p>
        </w:tc>
      </w:tr>
      <w:tr w:rsidR="00FE3BAE" w:rsidTr="0077487D" w14:paraId="2449B7AD" w14:textId="77777777">
        <w:trPr>
          <w:trHeight w:val="278"/>
        </w:trPr>
        <w:tc>
          <w:tcPr>
            <w:tcW w:w="2880" w:type="dxa"/>
            <w:tcBorders>
              <w:top w:val="single" w:color="auto" w:sz="4" w:space="0"/>
              <w:left w:val="single" w:color="auto" w:sz="4" w:space="0"/>
              <w:bottom w:val="single" w:color="auto" w:sz="4" w:space="0"/>
              <w:right w:val="single" w:color="auto" w:sz="4" w:space="0"/>
            </w:tcBorders>
            <w:hideMark/>
          </w:tcPr>
          <w:p w:rsidR="00FE3BAE" w:rsidP="0077487D" w:rsidRDefault="00FE3BAE" w14:paraId="03FD5E9C" w14:textId="77777777">
            <w:r>
              <w:t>Payer(s):</w:t>
            </w:r>
          </w:p>
        </w:tc>
        <w:tc>
          <w:tcPr>
            <w:tcW w:w="7470" w:type="dxa"/>
            <w:gridSpan w:val="3"/>
            <w:tcBorders>
              <w:top w:val="single" w:color="auto" w:sz="4" w:space="0"/>
              <w:left w:val="single" w:color="auto" w:sz="4" w:space="0"/>
              <w:bottom w:val="single" w:color="auto" w:sz="4" w:space="0"/>
              <w:right w:val="single" w:color="auto" w:sz="4" w:space="0"/>
            </w:tcBorders>
            <w:hideMark/>
          </w:tcPr>
          <w:p w:rsidR="00FE3BAE" w:rsidP="0077487D" w:rsidRDefault="00B413B4" w14:paraId="2A2338E0" w14:textId="423CA244">
            <w:r>
              <w:t xml:space="preserve">PG&amp;E, SCE, SDG&amp;E, Liberty, Bear </w:t>
            </w:r>
            <w:r w:rsidR="00C70498">
              <w:t>Valley,</w:t>
            </w:r>
            <w:r>
              <w:t xml:space="preserve"> and PacifiCorp</w:t>
            </w:r>
          </w:p>
        </w:tc>
      </w:tr>
    </w:tbl>
    <w:p w:rsidR="00FE3BAE" w:rsidP="00FE3BAE" w:rsidRDefault="00FE3BAE" w14:paraId="2B8BBAE6" w14:textId="77777777"/>
    <w:p w:rsidR="00FE3BAE" w:rsidP="00FE3BAE" w:rsidRDefault="00FE3BAE" w14:paraId="2A8DC473" w14:textId="77777777">
      <w:pPr>
        <w:jc w:val="center"/>
        <w:rPr>
          <w:sz w:val="28"/>
          <w:szCs w:val="28"/>
        </w:rPr>
      </w:pPr>
      <w:r>
        <w:rPr>
          <w:sz w:val="28"/>
          <w:szCs w:val="28"/>
        </w:rPr>
        <w:t>Intervenor Information</w:t>
      </w:r>
    </w:p>
    <w:p w:rsidR="00FE3BAE" w:rsidP="00FE3BAE" w:rsidRDefault="00FE3BAE" w14:paraId="1BB640C7" w14:textId="77777777"/>
    <w:tbl>
      <w:tblPr>
        <w:tblW w:w="1032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44"/>
        <w:gridCol w:w="1376"/>
        <w:gridCol w:w="1530"/>
        <w:gridCol w:w="1603"/>
        <w:gridCol w:w="1296"/>
        <w:gridCol w:w="2478"/>
      </w:tblGrid>
      <w:tr w:rsidR="00FE3BAE" w:rsidTr="0081626F" w14:paraId="64624470" w14:textId="77777777">
        <w:tc>
          <w:tcPr>
            <w:tcW w:w="2044" w:type="dxa"/>
            <w:tcBorders>
              <w:top w:val="single" w:color="auto" w:sz="4" w:space="0"/>
              <w:left w:val="single" w:color="auto" w:sz="4" w:space="0"/>
              <w:bottom w:val="single" w:color="auto" w:sz="4" w:space="0"/>
              <w:right w:val="single" w:color="auto" w:sz="4" w:space="0"/>
            </w:tcBorders>
            <w:hideMark/>
          </w:tcPr>
          <w:p w:rsidR="00FE3BAE" w:rsidP="0077487D" w:rsidRDefault="00FE3BAE" w14:paraId="39DFD355" w14:textId="77777777">
            <w:pPr>
              <w:jc w:val="center"/>
            </w:pPr>
            <w:r>
              <w:t>Intervenor</w:t>
            </w:r>
          </w:p>
        </w:tc>
        <w:tc>
          <w:tcPr>
            <w:tcW w:w="1376" w:type="dxa"/>
            <w:tcBorders>
              <w:top w:val="single" w:color="auto" w:sz="4" w:space="0"/>
              <w:left w:val="single" w:color="auto" w:sz="4" w:space="0"/>
              <w:bottom w:val="single" w:color="auto" w:sz="4" w:space="0"/>
              <w:right w:val="single" w:color="auto" w:sz="4" w:space="0"/>
            </w:tcBorders>
            <w:hideMark/>
          </w:tcPr>
          <w:p w:rsidR="00FE3BAE" w:rsidP="0077487D" w:rsidRDefault="0081626F" w14:paraId="5ABB30D4" w14:textId="77777777">
            <w:pPr>
              <w:jc w:val="center"/>
            </w:pPr>
            <w:r>
              <w:t>Date Claim Filed</w:t>
            </w:r>
          </w:p>
        </w:tc>
        <w:tc>
          <w:tcPr>
            <w:tcW w:w="1530" w:type="dxa"/>
            <w:tcBorders>
              <w:top w:val="single" w:color="auto" w:sz="4" w:space="0"/>
              <w:left w:val="single" w:color="auto" w:sz="4" w:space="0"/>
              <w:bottom w:val="single" w:color="auto" w:sz="4" w:space="0"/>
              <w:right w:val="single" w:color="auto" w:sz="4" w:space="0"/>
            </w:tcBorders>
            <w:hideMark/>
          </w:tcPr>
          <w:p w:rsidR="00FE3BAE" w:rsidP="0077487D" w:rsidRDefault="00FE3BAE" w14:paraId="5A4D23C2" w14:textId="77777777">
            <w:pPr>
              <w:jc w:val="center"/>
            </w:pPr>
            <w:r>
              <w:t>Amount Requested</w:t>
            </w:r>
          </w:p>
        </w:tc>
        <w:tc>
          <w:tcPr>
            <w:tcW w:w="1603" w:type="dxa"/>
            <w:tcBorders>
              <w:top w:val="single" w:color="auto" w:sz="4" w:space="0"/>
              <w:left w:val="single" w:color="auto" w:sz="4" w:space="0"/>
              <w:bottom w:val="single" w:color="auto" w:sz="4" w:space="0"/>
              <w:right w:val="single" w:color="auto" w:sz="4" w:space="0"/>
            </w:tcBorders>
            <w:hideMark/>
          </w:tcPr>
          <w:p w:rsidR="00FE3BAE" w:rsidP="0077487D" w:rsidRDefault="00FE3BAE" w14:paraId="5C61B526" w14:textId="77777777">
            <w:pPr>
              <w:jc w:val="center"/>
            </w:pPr>
            <w:r>
              <w:t>Amount Awarded</w:t>
            </w:r>
          </w:p>
        </w:tc>
        <w:tc>
          <w:tcPr>
            <w:tcW w:w="1296" w:type="dxa"/>
            <w:tcBorders>
              <w:top w:val="single" w:color="auto" w:sz="4" w:space="0"/>
              <w:left w:val="single" w:color="auto" w:sz="4" w:space="0"/>
              <w:bottom w:val="single" w:color="auto" w:sz="4" w:space="0"/>
              <w:right w:val="single" w:color="auto" w:sz="4" w:space="0"/>
            </w:tcBorders>
            <w:hideMark/>
          </w:tcPr>
          <w:p w:rsidR="00FE3BAE" w:rsidP="0077487D" w:rsidRDefault="00FE3BAE" w14:paraId="2B6F4D52" w14:textId="77777777">
            <w:pPr>
              <w:jc w:val="center"/>
            </w:pPr>
            <w:r>
              <w:t>Multiplier?</w:t>
            </w:r>
          </w:p>
        </w:tc>
        <w:tc>
          <w:tcPr>
            <w:tcW w:w="2478" w:type="dxa"/>
            <w:tcBorders>
              <w:top w:val="single" w:color="auto" w:sz="4" w:space="0"/>
              <w:left w:val="single" w:color="auto" w:sz="4" w:space="0"/>
              <w:bottom w:val="single" w:color="auto" w:sz="4" w:space="0"/>
              <w:right w:val="single" w:color="auto" w:sz="4" w:space="0"/>
            </w:tcBorders>
            <w:hideMark/>
          </w:tcPr>
          <w:p w:rsidR="00FE3BAE" w:rsidP="0077487D" w:rsidRDefault="00FE3BAE" w14:paraId="67F60672" w14:textId="77777777">
            <w:pPr>
              <w:jc w:val="center"/>
            </w:pPr>
            <w:r>
              <w:t>Reason Change/Disallowance</w:t>
            </w:r>
          </w:p>
        </w:tc>
      </w:tr>
      <w:tr w:rsidR="00FE3BAE" w:rsidTr="009A7144" w14:paraId="291F1D64" w14:textId="77777777">
        <w:trPr>
          <w:trHeight w:val="872"/>
        </w:trPr>
        <w:tc>
          <w:tcPr>
            <w:tcW w:w="2044" w:type="dxa"/>
            <w:tcBorders>
              <w:top w:val="single" w:color="auto" w:sz="4" w:space="0"/>
              <w:left w:val="single" w:color="auto" w:sz="4" w:space="0"/>
              <w:bottom w:val="single" w:color="auto" w:sz="4" w:space="0"/>
              <w:right w:val="single" w:color="auto" w:sz="4" w:space="0"/>
            </w:tcBorders>
            <w:shd w:val="clear" w:color="auto" w:fill="auto"/>
            <w:hideMark/>
          </w:tcPr>
          <w:p w:rsidRPr="002744FC" w:rsidR="00FE3BAE" w:rsidP="0077487D" w:rsidRDefault="00620CC5" w14:paraId="28E874A6" w14:textId="77777777">
            <w:pPr>
              <w:jc w:val="center"/>
              <w:rPr>
                <w:bCs/>
                <w:iCs/>
                <w:color w:val="000000"/>
              </w:rPr>
            </w:pPr>
            <w:r w:rsidRPr="002744FC">
              <w:rPr>
                <w:bCs/>
                <w:iCs/>
                <w:color w:val="000000"/>
              </w:rPr>
              <w:t>Mendocino County</w:t>
            </w:r>
          </w:p>
          <w:p w:rsidRPr="002744FC" w:rsidR="00620CC5" w:rsidP="0077487D" w:rsidRDefault="00620CC5" w14:paraId="78CFD6B9" w14:textId="77777777">
            <w:pPr>
              <w:jc w:val="center"/>
              <w:rPr>
                <w:bCs/>
                <w:iCs/>
                <w:color w:val="000000"/>
              </w:rPr>
            </w:pPr>
          </w:p>
          <w:p w:rsidRPr="002744FC" w:rsidR="00620CC5" w:rsidP="0077487D" w:rsidRDefault="00620CC5" w14:paraId="586D6FEA" w14:textId="77777777">
            <w:pPr>
              <w:jc w:val="center"/>
              <w:rPr>
                <w:bCs/>
                <w:iCs/>
                <w:color w:val="000000"/>
              </w:rPr>
            </w:pPr>
            <w:r w:rsidRPr="002744FC">
              <w:rPr>
                <w:bCs/>
                <w:iCs/>
                <w:color w:val="000000"/>
              </w:rPr>
              <w:t>Napa County</w:t>
            </w:r>
          </w:p>
          <w:p w:rsidRPr="002744FC" w:rsidR="00620CC5" w:rsidP="0077487D" w:rsidRDefault="00620CC5" w14:paraId="796B55D2" w14:textId="77777777">
            <w:pPr>
              <w:jc w:val="center"/>
              <w:rPr>
                <w:bCs/>
                <w:iCs/>
                <w:color w:val="000000"/>
              </w:rPr>
            </w:pPr>
          </w:p>
          <w:p w:rsidRPr="002744FC" w:rsidR="00620CC5" w:rsidP="0077487D" w:rsidRDefault="00620CC5" w14:paraId="25C8561F" w14:textId="77777777">
            <w:pPr>
              <w:jc w:val="center"/>
              <w:rPr>
                <w:bCs/>
                <w:iCs/>
                <w:color w:val="000000"/>
              </w:rPr>
            </w:pPr>
            <w:r w:rsidRPr="002744FC">
              <w:rPr>
                <w:bCs/>
                <w:iCs/>
                <w:color w:val="000000"/>
              </w:rPr>
              <w:t>Sonoma County</w:t>
            </w:r>
          </w:p>
          <w:p w:rsidRPr="002744FC" w:rsidR="00620CC5" w:rsidP="0077487D" w:rsidRDefault="00620CC5" w14:paraId="119CAE6B" w14:textId="77777777">
            <w:pPr>
              <w:jc w:val="center"/>
              <w:rPr>
                <w:bCs/>
                <w:iCs/>
                <w:color w:val="000000"/>
              </w:rPr>
            </w:pPr>
          </w:p>
          <w:p w:rsidRPr="00F45E9E" w:rsidR="00620CC5" w:rsidP="0077487D" w:rsidRDefault="00620CC5" w14:paraId="42DBF977" w14:textId="77777777">
            <w:pPr>
              <w:jc w:val="center"/>
              <w:rPr>
                <w:bCs/>
              </w:rPr>
            </w:pPr>
            <w:r w:rsidRPr="002744FC">
              <w:rPr>
                <w:bCs/>
                <w:iCs/>
                <w:color w:val="000000"/>
              </w:rPr>
              <w:t>City of Santa Rosa</w:t>
            </w:r>
          </w:p>
        </w:tc>
        <w:tc>
          <w:tcPr>
            <w:tcW w:w="1376" w:type="dxa"/>
            <w:tcBorders>
              <w:top w:val="single" w:color="auto" w:sz="4" w:space="0"/>
              <w:left w:val="single" w:color="auto" w:sz="4" w:space="0"/>
              <w:bottom w:val="single" w:color="auto" w:sz="4" w:space="0"/>
              <w:right w:val="single" w:color="auto" w:sz="4" w:space="0"/>
            </w:tcBorders>
            <w:shd w:val="clear" w:color="auto" w:fill="auto"/>
            <w:hideMark/>
          </w:tcPr>
          <w:p w:rsidRPr="00F45E9E" w:rsidR="00FE3BAE" w:rsidP="0077487D" w:rsidRDefault="00620CC5" w14:paraId="0BFE25B9" w14:textId="77777777">
            <w:pPr>
              <w:jc w:val="center"/>
              <w:rPr>
                <w:bCs/>
              </w:rPr>
            </w:pPr>
            <w:r w:rsidRPr="00F45E9E">
              <w:rPr>
                <w:bCs/>
              </w:rPr>
              <w:t>August 5, 2019</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2744FC" w:rsidR="002A1B9C" w:rsidP="002A1B9C" w:rsidRDefault="002A1B9C" w14:paraId="2FF9D55E" w14:textId="77777777">
            <w:pPr>
              <w:tabs>
                <w:tab w:val="left" w:pos="957"/>
              </w:tabs>
              <w:spacing w:before="60" w:after="60"/>
              <w:ind w:right="72"/>
              <w:jc w:val="right"/>
              <w:rPr>
                <w:bCs/>
                <w:iCs/>
                <w:color w:val="000000"/>
              </w:rPr>
            </w:pPr>
            <w:r w:rsidRPr="002744FC">
              <w:rPr>
                <w:bCs/>
                <w:iCs/>
                <w:color w:val="000000"/>
              </w:rPr>
              <w:t>Mendocino: $5,505.57</w:t>
            </w:r>
          </w:p>
          <w:p w:rsidRPr="002744FC" w:rsidR="002A1B9C" w:rsidP="002A1B9C" w:rsidRDefault="002A1B9C" w14:paraId="1E7B429B" w14:textId="77777777">
            <w:pPr>
              <w:tabs>
                <w:tab w:val="left" w:pos="957"/>
              </w:tabs>
              <w:spacing w:before="60" w:after="60"/>
              <w:ind w:right="72"/>
              <w:jc w:val="right"/>
              <w:rPr>
                <w:bCs/>
                <w:iCs/>
                <w:color w:val="000000"/>
              </w:rPr>
            </w:pPr>
            <w:r w:rsidRPr="002744FC">
              <w:rPr>
                <w:bCs/>
                <w:iCs/>
                <w:color w:val="000000"/>
              </w:rPr>
              <w:t>Napa: $31,918.31</w:t>
            </w:r>
          </w:p>
          <w:p w:rsidRPr="002744FC" w:rsidR="002A1B9C" w:rsidP="002A1B9C" w:rsidRDefault="002A1B9C" w14:paraId="79B6E469" w14:textId="77777777">
            <w:pPr>
              <w:tabs>
                <w:tab w:val="left" w:pos="957"/>
              </w:tabs>
              <w:spacing w:before="60" w:after="60"/>
              <w:ind w:right="72"/>
              <w:jc w:val="right"/>
              <w:rPr>
                <w:bCs/>
                <w:iCs/>
                <w:color w:val="000000"/>
              </w:rPr>
            </w:pPr>
            <w:r w:rsidRPr="002744FC">
              <w:rPr>
                <w:bCs/>
                <w:iCs/>
                <w:color w:val="000000"/>
              </w:rPr>
              <w:t>Sonoma: $26,393.61</w:t>
            </w:r>
          </w:p>
          <w:p w:rsidRPr="00F45E9E" w:rsidR="00FE3BAE" w:rsidP="002A1B9C" w:rsidRDefault="002A1B9C" w14:paraId="78658182" w14:textId="77777777">
            <w:pPr>
              <w:jc w:val="center"/>
              <w:rPr>
                <w:bCs/>
              </w:rPr>
            </w:pPr>
            <w:r w:rsidRPr="002744FC">
              <w:rPr>
                <w:bCs/>
                <w:iCs/>
                <w:color w:val="000000"/>
              </w:rPr>
              <w:t>Santa Rosa: $12,466.14</w:t>
            </w:r>
          </w:p>
        </w:tc>
        <w:tc>
          <w:tcPr>
            <w:tcW w:w="1603" w:type="dxa"/>
            <w:tcBorders>
              <w:top w:val="single" w:color="auto" w:sz="4" w:space="0"/>
              <w:left w:val="single" w:color="auto" w:sz="4" w:space="0"/>
              <w:bottom w:val="single" w:color="auto" w:sz="4" w:space="0"/>
              <w:right w:val="single" w:color="auto" w:sz="4" w:space="0"/>
            </w:tcBorders>
            <w:hideMark/>
          </w:tcPr>
          <w:p w:rsidRPr="00F45E9E" w:rsidR="00B71F97" w:rsidP="00250D84" w:rsidRDefault="00B71F97" w14:paraId="4D8DFB55" w14:textId="38FD6130">
            <w:pPr>
              <w:rPr>
                <w:bCs/>
              </w:rPr>
            </w:pPr>
            <w:r w:rsidRPr="00F45E9E">
              <w:rPr>
                <w:bCs/>
              </w:rPr>
              <w:t xml:space="preserve">Mendocino: $5,502.88 </w:t>
            </w:r>
            <w:r w:rsidRPr="00F45E9E" w:rsidR="00B25788">
              <w:rPr>
                <w:bCs/>
              </w:rPr>
              <w:br/>
            </w:r>
            <w:r w:rsidRPr="00F45E9E">
              <w:rPr>
                <w:bCs/>
              </w:rPr>
              <w:t>Napa:</w:t>
            </w:r>
            <w:r w:rsidRPr="00F45E9E" w:rsidR="00250D84">
              <w:rPr>
                <w:bCs/>
              </w:rPr>
              <w:t xml:space="preserve"> </w:t>
            </w:r>
            <w:r w:rsidRPr="00F45E9E">
              <w:rPr>
                <w:bCs/>
              </w:rPr>
              <w:t xml:space="preserve">$26,279.67 </w:t>
            </w:r>
            <w:r w:rsidRPr="00F45E9E" w:rsidR="00B25788">
              <w:rPr>
                <w:bCs/>
              </w:rPr>
              <w:br/>
            </w:r>
            <w:r w:rsidRPr="00F45E9E">
              <w:rPr>
                <w:bCs/>
              </w:rPr>
              <w:t>Sonoma:</w:t>
            </w:r>
            <w:r w:rsidRPr="00F45E9E" w:rsidR="00250D84">
              <w:rPr>
                <w:bCs/>
              </w:rPr>
              <w:t xml:space="preserve"> </w:t>
            </w:r>
            <w:r w:rsidRPr="00F45E9E">
              <w:rPr>
                <w:bCs/>
              </w:rPr>
              <w:t>$29,965.62</w:t>
            </w:r>
            <w:r w:rsidRPr="00F45E9E" w:rsidR="00B25788">
              <w:rPr>
                <w:bCs/>
              </w:rPr>
              <w:br/>
            </w:r>
            <w:r w:rsidRPr="00F45E9E">
              <w:rPr>
                <w:bCs/>
              </w:rPr>
              <w:t>Santa Rosa:</w:t>
            </w:r>
            <w:r w:rsidRPr="00F45E9E" w:rsidR="00B25788">
              <w:rPr>
                <w:bCs/>
              </w:rPr>
              <w:t xml:space="preserve"> </w:t>
            </w:r>
            <w:r w:rsidRPr="00F45E9E">
              <w:rPr>
                <w:bCs/>
              </w:rPr>
              <w:t>$12,457.95</w:t>
            </w:r>
          </w:p>
          <w:p w:rsidRPr="00F45E9E" w:rsidR="005934B9" w:rsidP="00250D84" w:rsidRDefault="005934B9" w14:paraId="3D71B8EC" w14:textId="77777777">
            <w:pPr>
              <w:rPr>
                <w:bCs/>
              </w:rPr>
            </w:pPr>
          </w:p>
          <w:p w:rsidRPr="00F45E9E" w:rsidR="005934B9" w:rsidP="00250D84" w:rsidRDefault="005934B9" w14:paraId="692651AF" w14:textId="351CAE79">
            <w:pPr>
              <w:rPr>
                <w:bCs/>
              </w:rPr>
            </w:pPr>
            <w:r w:rsidRPr="002744FC">
              <w:rPr>
                <w:bCs/>
                <w:color w:val="000000"/>
              </w:rPr>
              <w:t>TOTAL $74,206.13</w:t>
            </w:r>
          </w:p>
        </w:tc>
        <w:tc>
          <w:tcPr>
            <w:tcW w:w="1296" w:type="dxa"/>
            <w:tcBorders>
              <w:top w:val="single" w:color="auto" w:sz="4" w:space="0"/>
              <w:left w:val="single" w:color="auto" w:sz="4" w:space="0"/>
              <w:bottom w:val="single" w:color="auto" w:sz="4" w:space="0"/>
              <w:right w:val="single" w:color="auto" w:sz="4" w:space="0"/>
            </w:tcBorders>
            <w:hideMark/>
          </w:tcPr>
          <w:p w:rsidR="00FE3BAE" w:rsidP="0077487D" w:rsidRDefault="00FE3BAE" w14:paraId="7E189158" w14:textId="77777777">
            <w:pPr>
              <w:jc w:val="center"/>
            </w:pPr>
            <w:r>
              <w:t>N/A</w:t>
            </w:r>
          </w:p>
        </w:tc>
        <w:tc>
          <w:tcPr>
            <w:tcW w:w="2478" w:type="dxa"/>
            <w:tcBorders>
              <w:top w:val="single" w:color="auto" w:sz="4" w:space="0"/>
              <w:left w:val="single" w:color="auto" w:sz="4" w:space="0"/>
              <w:bottom w:val="single" w:color="auto" w:sz="4" w:space="0"/>
              <w:right w:val="single" w:color="auto" w:sz="4" w:space="0"/>
            </w:tcBorders>
            <w:hideMark/>
          </w:tcPr>
          <w:p w:rsidR="00FE3BAE" w:rsidP="0077487D" w:rsidRDefault="001559E8" w14:paraId="0F8CD6F5" w14:textId="22CBEC89">
            <w:pPr>
              <w:jc w:val="center"/>
            </w:pPr>
            <w:r w:rsidRPr="007963C6">
              <w:rPr>
                <w:i/>
                <w:iCs/>
                <w:color w:val="000000"/>
              </w:rPr>
              <w:t xml:space="preserve">See </w:t>
            </w:r>
            <w:r>
              <w:rPr>
                <w:color w:val="000000"/>
              </w:rPr>
              <w:t>CPUC Comments and Disallowances in Part III</w:t>
            </w:r>
            <w:r w:rsidR="00F45E9E">
              <w:rPr>
                <w:color w:val="000000"/>
              </w:rPr>
              <w:t>.</w:t>
            </w:r>
            <w:r>
              <w:rPr>
                <w:color w:val="000000"/>
              </w:rPr>
              <w:t>D</w:t>
            </w:r>
          </w:p>
        </w:tc>
      </w:tr>
    </w:tbl>
    <w:p w:rsidR="00FE3BAE" w:rsidP="00FE3BAE" w:rsidRDefault="00FE3BAE" w14:paraId="7A3DECA0" w14:textId="77777777"/>
    <w:p w:rsidR="00FE3BAE" w:rsidP="00FE3BAE" w:rsidRDefault="0022302F" w14:paraId="34ABBFFE" w14:textId="77777777">
      <w:pPr>
        <w:jc w:val="center"/>
        <w:rPr>
          <w:sz w:val="28"/>
          <w:szCs w:val="28"/>
        </w:rPr>
      </w:pPr>
      <w:r>
        <w:rPr>
          <w:sz w:val="28"/>
          <w:szCs w:val="28"/>
        </w:rPr>
        <w:t>Hourly Fee</w:t>
      </w:r>
      <w:r w:rsidR="00FE3BAE">
        <w:rPr>
          <w:sz w:val="28"/>
          <w:szCs w:val="28"/>
        </w:rPr>
        <w:t xml:space="preserve"> Information</w:t>
      </w:r>
    </w:p>
    <w:p w:rsidRPr="00FE3BAE" w:rsidR="00FE3BAE" w:rsidP="00FE3BAE" w:rsidRDefault="00FE3BAE" w14:paraId="3BF15581" w14:textId="77777777">
      <w:pPr>
        <w:jc w:val="center"/>
        <w:rPr>
          <w:shd w:val="clear" w:color="auto" w:fill="CCFFCC"/>
        </w:rPr>
      </w:pPr>
    </w:p>
    <w:tbl>
      <w:tblPr>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770"/>
        <w:gridCol w:w="1920"/>
        <w:gridCol w:w="1620"/>
        <w:gridCol w:w="1710"/>
        <w:gridCol w:w="1620"/>
      </w:tblGrid>
      <w:tr w:rsidR="00C02649" w:rsidTr="00C02649" w14:paraId="45E8DAEA" w14:textId="77777777">
        <w:trPr>
          <w:trHeight w:val="288"/>
        </w:trPr>
        <w:tc>
          <w:tcPr>
            <w:tcW w:w="171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346A14B9" w14:textId="77777777">
            <w:pPr>
              <w:jc w:val="center"/>
            </w:pPr>
            <w:r w:rsidRPr="00C02649">
              <w:t>First Name</w:t>
            </w:r>
          </w:p>
        </w:tc>
        <w:tc>
          <w:tcPr>
            <w:tcW w:w="177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64A9D565" w14:textId="77777777">
            <w:pPr>
              <w:jc w:val="center"/>
            </w:pPr>
            <w:r w:rsidRPr="00C02649">
              <w:t>Last Name</w:t>
            </w:r>
          </w:p>
        </w:tc>
        <w:tc>
          <w:tcPr>
            <w:tcW w:w="192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171EBF" w14:paraId="626C7BE0" w14:textId="77777777">
            <w:pPr>
              <w:ind w:left="12" w:firstLine="12"/>
              <w:jc w:val="center"/>
            </w:pPr>
            <w:r w:rsidRPr="00C02649">
              <w:t>Attorney, Expert, or Advocate</w:t>
            </w:r>
          </w:p>
        </w:tc>
        <w:tc>
          <w:tcPr>
            <w:tcW w:w="162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76D927B3" w14:textId="77777777">
            <w:pPr>
              <w:jc w:val="center"/>
            </w:pPr>
            <w:r w:rsidRPr="00C02649">
              <w:t>Hourly Fee Requested</w:t>
            </w:r>
          </w:p>
        </w:tc>
        <w:tc>
          <w:tcPr>
            <w:tcW w:w="171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03D4EA61" w14:textId="77777777">
            <w:pPr>
              <w:jc w:val="center"/>
            </w:pPr>
            <w:r w:rsidRPr="00C02649">
              <w:t>Year Hourly Fee Requested</w:t>
            </w:r>
          </w:p>
        </w:tc>
        <w:tc>
          <w:tcPr>
            <w:tcW w:w="162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1A303187" w14:textId="77777777">
            <w:pPr>
              <w:jc w:val="center"/>
            </w:pPr>
            <w:r w:rsidRPr="00C02649">
              <w:t>Hourly Fee Adopted</w:t>
            </w:r>
          </w:p>
        </w:tc>
      </w:tr>
      <w:tr w:rsidR="00B01680" w:rsidTr="009A7144" w14:paraId="520DA118"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9A7144" w:rsidR="00B01680" w:rsidP="00B01680" w:rsidRDefault="00B01680" w14:paraId="112318CE" w14:textId="77777777">
            <w:pPr>
              <w:jc w:val="center"/>
              <w:rPr>
                <w:szCs w:val="26"/>
              </w:rPr>
            </w:pPr>
            <w:r w:rsidRPr="009A7144">
              <w:rPr>
                <w:szCs w:val="26"/>
              </w:rPr>
              <w:t xml:space="preserve">Megan </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9A7144" w:rsidR="00B01680" w:rsidP="00B01680" w:rsidRDefault="00B01680" w14:paraId="0A7B497E" w14:textId="77777777">
            <w:pPr>
              <w:jc w:val="center"/>
              <w:rPr>
                <w:szCs w:val="26"/>
              </w:rPr>
            </w:pPr>
            <w:r w:rsidRPr="009A7144">
              <w:rPr>
                <w:szCs w:val="26"/>
              </w:rPr>
              <w:t>Somogyi</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9A7144" w:rsidR="00B01680" w:rsidP="00B01680" w:rsidRDefault="00B01680" w14:paraId="36BF1228" w14:textId="77777777">
            <w:pPr>
              <w:jc w:val="center"/>
              <w:rPr>
                <w:szCs w:val="26"/>
              </w:rPr>
            </w:pPr>
            <w:r w:rsidRPr="009A7144">
              <w:rPr>
                <w:szCs w:val="26"/>
              </w:rPr>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B01680" w:rsidP="00B01680" w:rsidRDefault="00B01680" w14:paraId="5B2868E3" w14:textId="77777777">
            <w:pPr>
              <w:jc w:val="center"/>
            </w:pPr>
            <w:r>
              <w:t>$340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B01680" w:rsidP="00B01680" w:rsidRDefault="00B01680" w14:paraId="384CBCEF" w14:textId="77777777">
            <w:pPr>
              <w:jc w:val="center"/>
            </w:pPr>
            <w:r>
              <w:t>2018</w:t>
            </w:r>
          </w:p>
        </w:tc>
        <w:tc>
          <w:tcPr>
            <w:tcW w:w="1620" w:type="dxa"/>
            <w:tcBorders>
              <w:top w:val="single" w:color="auto" w:sz="4" w:space="0"/>
              <w:left w:val="single" w:color="auto" w:sz="4" w:space="0"/>
              <w:bottom w:val="single" w:color="auto" w:sz="4" w:space="0"/>
              <w:right w:val="single" w:color="auto" w:sz="4" w:space="0"/>
            </w:tcBorders>
          </w:tcPr>
          <w:p w:rsidR="00B01680" w:rsidP="00B01680" w:rsidRDefault="00B01680" w14:paraId="72F8E8F3" w14:textId="39C20FA6">
            <w:pPr>
              <w:jc w:val="center"/>
            </w:pPr>
            <w:r w:rsidRPr="00A30E98">
              <w:t>$340</w:t>
            </w:r>
          </w:p>
        </w:tc>
      </w:tr>
      <w:tr w:rsidR="00B01680" w:rsidTr="009A7144" w14:paraId="7694EA3C"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9A7144" w:rsidR="00B01680" w:rsidP="00B01680" w:rsidRDefault="00B01680" w14:paraId="6FEA086E" w14:textId="77777777">
            <w:pPr>
              <w:jc w:val="center"/>
              <w:rPr>
                <w:szCs w:val="26"/>
              </w:rPr>
            </w:pPr>
            <w:r w:rsidRPr="009A7144">
              <w:rPr>
                <w:szCs w:val="26"/>
              </w:rPr>
              <w:t xml:space="preserve">Megan </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9A7144" w:rsidR="00B01680" w:rsidP="00B01680" w:rsidRDefault="00B01680" w14:paraId="005267B0" w14:textId="77777777">
            <w:pPr>
              <w:jc w:val="center"/>
              <w:rPr>
                <w:szCs w:val="26"/>
              </w:rPr>
            </w:pPr>
            <w:r w:rsidRPr="009A7144">
              <w:rPr>
                <w:szCs w:val="26"/>
              </w:rPr>
              <w:t>Somogyi</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9A7144" w:rsidR="00B01680" w:rsidP="00B01680" w:rsidRDefault="00B01680" w14:paraId="74608B00" w14:textId="77777777">
            <w:pPr>
              <w:jc w:val="center"/>
              <w:rPr>
                <w:szCs w:val="26"/>
              </w:rPr>
            </w:pPr>
            <w:r w:rsidRPr="009A7144">
              <w:rPr>
                <w:szCs w:val="26"/>
              </w:rPr>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B01680" w:rsidP="00B01680" w:rsidRDefault="00B01680" w14:paraId="36C16475" w14:textId="77777777">
            <w:pPr>
              <w:jc w:val="center"/>
            </w:pPr>
            <w:r>
              <w:t>$350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B01680" w:rsidP="00B01680" w:rsidRDefault="00B01680" w14:paraId="34379C1E" w14:textId="77777777">
            <w:pPr>
              <w:jc w:val="center"/>
            </w:pPr>
            <w:r>
              <w:t>2019</w:t>
            </w:r>
          </w:p>
        </w:tc>
        <w:tc>
          <w:tcPr>
            <w:tcW w:w="1620" w:type="dxa"/>
            <w:tcBorders>
              <w:top w:val="single" w:color="auto" w:sz="4" w:space="0"/>
              <w:left w:val="single" w:color="auto" w:sz="4" w:space="0"/>
              <w:bottom w:val="single" w:color="auto" w:sz="4" w:space="0"/>
              <w:right w:val="single" w:color="auto" w:sz="4" w:space="0"/>
            </w:tcBorders>
          </w:tcPr>
          <w:p w:rsidR="00B01680" w:rsidP="00B01680" w:rsidRDefault="00B01680" w14:paraId="546D0CE7" w14:textId="64DF29EB">
            <w:pPr>
              <w:jc w:val="center"/>
            </w:pPr>
            <w:r w:rsidRPr="00A30E98">
              <w:t>$350</w:t>
            </w:r>
          </w:p>
        </w:tc>
      </w:tr>
      <w:tr w:rsidR="00226AC5" w:rsidTr="009A7144" w14:paraId="69F2DEE6"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9A7144" w:rsidR="00226AC5" w:rsidP="00226AC5" w:rsidRDefault="00226AC5" w14:paraId="49EAE45A" w14:textId="77777777">
            <w:pPr>
              <w:jc w:val="center"/>
              <w:rPr>
                <w:szCs w:val="26"/>
              </w:rPr>
            </w:pPr>
            <w:r w:rsidRPr="009A7144">
              <w:rPr>
                <w:szCs w:val="26"/>
              </w:rPr>
              <w:t>Petra</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9A7144" w:rsidR="00226AC5" w:rsidP="00226AC5" w:rsidRDefault="00226AC5" w14:paraId="5347218B" w14:textId="77777777">
            <w:pPr>
              <w:jc w:val="center"/>
              <w:rPr>
                <w:szCs w:val="26"/>
              </w:rPr>
            </w:pPr>
            <w:r w:rsidRPr="009A7144">
              <w:rPr>
                <w:szCs w:val="26"/>
              </w:rPr>
              <w:t>Bruggisser</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9A7144" w:rsidR="00226AC5" w:rsidP="00226AC5" w:rsidRDefault="00226AC5" w14:paraId="6ADEAAF5" w14:textId="77777777">
            <w:pPr>
              <w:jc w:val="center"/>
              <w:rPr>
                <w:szCs w:val="26"/>
              </w:rPr>
            </w:pPr>
            <w:r w:rsidRPr="009A7144">
              <w:rPr>
                <w:szCs w:val="26"/>
              </w:rPr>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226AC5" w:rsidP="00226AC5" w:rsidRDefault="00226AC5" w14:paraId="7B51748F" w14:textId="77777777">
            <w:pPr>
              <w:jc w:val="center"/>
            </w:pPr>
            <w:r>
              <w:t>$340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226AC5" w:rsidP="00226AC5" w:rsidRDefault="00226AC5" w14:paraId="7EF18004" w14:textId="77777777">
            <w:pPr>
              <w:jc w:val="center"/>
            </w:pPr>
            <w:r>
              <w:t>2018</w:t>
            </w:r>
          </w:p>
        </w:tc>
        <w:tc>
          <w:tcPr>
            <w:tcW w:w="1620" w:type="dxa"/>
            <w:tcBorders>
              <w:top w:val="single" w:color="auto" w:sz="4" w:space="0"/>
              <w:left w:val="single" w:color="auto" w:sz="4" w:space="0"/>
              <w:bottom w:val="single" w:color="auto" w:sz="4" w:space="0"/>
              <w:right w:val="single" w:color="auto" w:sz="4" w:space="0"/>
            </w:tcBorders>
          </w:tcPr>
          <w:p w:rsidR="00226AC5" w:rsidP="00226AC5" w:rsidRDefault="00226AC5" w14:paraId="11C91337" w14:textId="218B689D">
            <w:pPr>
              <w:jc w:val="center"/>
            </w:pPr>
            <w:r w:rsidRPr="00A30E98">
              <w:t>$340</w:t>
            </w:r>
          </w:p>
        </w:tc>
      </w:tr>
      <w:tr w:rsidR="00226AC5" w:rsidTr="009A7144" w14:paraId="2A6C2178"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9A7144" w:rsidR="00226AC5" w:rsidP="00226AC5" w:rsidRDefault="00226AC5" w14:paraId="255E070E" w14:textId="77777777">
            <w:pPr>
              <w:jc w:val="center"/>
              <w:rPr>
                <w:szCs w:val="26"/>
              </w:rPr>
            </w:pPr>
            <w:r w:rsidRPr="009A7144">
              <w:rPr>
                <w:szCs w:val="26"/>
              </w:rPr>
              <w:t xml:space="preserve">Petra </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9A7144" w:rsidR="00226AC5" w:rsidP="00226AC5" w:rsidRDefault="00226AC5" w14:paraId="23417456" w14:textId="77777777">
            <w:pPr>
              <w:jc w:val="center"/>
              <w:rPr>
                <w:szCs w:val="26"/>
              </w:rPr>
            </w:pPr>
            <w:r w:rsidRPr="009A7144">
              <w:rPr>
                <w:szCs w:val="26"/>
              </w:rPr>
              <w:t>Bruggisser</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9A7144" w:rsidR="00226AC5" w:rsidP="00226AC5" w:rsidRDefault="00226AC5" w14:paraId="2118CF53" w14:textId="77777777">
            <w:pPr>
              <w:jc w:val="center"/>
              <w:rPr>
                <w:szCs w:val="26"/>
              </w:rPr>
            </w:pPr>
            <w:r w:rsidRPr="009A7144">
              <w:rPr>
                <w:szCs w:val="26"/>
              </w:rPr>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226AC5" w:rsidP="00226AC5" w:rsidRDefault="00226AC5" w14:paraId="4FD672F3" w14:textId="77777777">
            <w:pPr>
              <w:jc w:val="center"/>
            </w:pPr>
            <w:r>
              <w:t>$340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226AC5" w:rsidP="00226AC5" w:rsidRDefault="00226AC5" w14:paraId="7104BF46" w14:textId="77777777">
            <w:pPr>
              <w:jc w:val="center"/>
            </w:pPr>
            <w:r>
              <w:t>2019</w:t>
            </w:r>
          </w:p>
        </w:tc>
        <w:tc>
          <w:tcPr>
            <w:tcW w:w="1620" w:type="dxa"/>
            <w:tcBorders>
              <w:top w:val="single" w:color="auto" w:sz="4" w:space="0"/>
              <w:left w:val="single" w:color="auto" w:sz="4" w:space="0"/>
              <w:bottom w:val="single" w:color="auto" w:sz="4" w:space="0"/>
              <w:right w:val="single" w:color="auto" w:sz="4" w:space="0"/>
            </w:tcBorders>
          </w:tcPr>
          <w:p w:rsidR="00226AC5" w:rsidP="00226AC5" w:rsidRDefault="00226AC5" w14:paraId="5E2AC8F4" w14:textId="7C3921D4">
            <w:pPr>
              <w:jc w:val="center"/>
            </w:pPr>
            <w:r w:rsidRPr="00A30E98">
              <w:t>$340</w:t>
            </w:r>
          </w:p>
        </w:tc>
      </w:tr>
      <w:tr w:rsidR="00226AC5" w:rsidTr="009A7144" w14:paraId="4340CA95"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9A7144" w:rsidR="00226AC5" w:rsidP="00226AC5" w:rsidRDefault="00226AC5" w14:paraId="114CB07E" w14:textId="77777777">
            <w:pPr>
              <w:jc w:val="center"/>
              <w:rPr>
                <w:szCs w:val="26"/>
              </w:rPr>
            </w:pPr>
            <w:r w:rsidRPr="009A7144">
              <w:rPr>
                <w:szCs w:val="26"/>
              </w:rPr>
              <w:t>Cory</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9A7144" w:rsidR="00226AC5" w:rsidP="00226AC5" w:rsidRDefault="00226AC5" w14:paraId="461B9895" w14:textId="77777777">
            <w:pPr>
              <w:jc w:val="center"/>
              <w:rPr>
                <w:szCs w:val="26"/>
              </w:rPr>
            </w:pPr>
            <w:r w:rsidRPr="009A7144">
              <w:rPr>
                <w:szCs w:val="26"/>
              </w:rPr>
              <w:t>O’Donnell</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9A7144" w:rsidR="00226AC5" w:rsidP="00226AC5" w:rsidRDefault="00226AC5" w14:paraId="2BB9588F" w14:textId="77777777">
            <w:pPr>
              <w:jc w:val="center"/>
              <w:rPr>
                <w:szCs w:val="26"/>
              </w:rPr>
            </w:pPr>
            <w:r w:rsidRPr="009A7144">
              <w:rPr>
                <w:szCs w:val="26"/>
              </w:rPr>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226AC5" w:rsidP="00226AC5" w:rsidRDefault="00226AC5" w14:paraId="008723EB" w14:textId="77777777">
            <w:pPr>
              <w:jc w:val="center"/>
            </w:pPr>
            <w:r>
              <w:t>$455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226AC5" w:rsidP="00226AC5" w:rsidRDefault="00226AC5" w14:paraId="5B79AA2A" w14:textId="77777777">
            <w:pPr>
              <w:jc w:val="center"/>
            </w:pPr>
            <w:r>
              <w:t>2018</w:t>
            </w:r>
          </w:p>
        </w:tc>
        <w:tc>
          <w:tcPr>
            <w:tcW w:w="1620" w:type="dxa"/>
            <w:tcBorders>
              <w:top w:val="single" w:color="auto" w:sz="4" w:space="0"/>
              <w:left w:val="single" w:color="auto" w:sz="4" w:space="0"/>
              <w:bottom w:val="single" w:color="auto" w:sz="4" w:space="0"/>
              <w:right w:val="single" w:color="auto" w:sz="4" w:space="0"/>
            </w:tcBorders>
          </w:tcPr>
          <w:p w:rsidR="00226AC5" w:rsidP="00226AC5" w:rsidRDefault="00226AC5" w14:paraId="6581E526" w14:textId="56B62879">
            <w:pPr>
              <w:jc w:val="center"/>
            </w:pPr>
            <w:r w:rsidRPr="00A30E98">
              <w:t>$445</w:t>
            </w:r>
          </w:p>
        </w:tc>
      </w:tr>
      <w:tr w:rsidR="00226AC5" w:rsidTr="009A7144" w14:paraId="215A35A4"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9A7144" w:rsidR="00226AC5" w:rsidP="00226AC5" w:rsidRDefault="00226AC5" w14:paraId="27A87F8F" w14:textId="77777777">
            <w:pPr>
              <w:jc w:val="center"/>
              <w:rPr>
                <w:szCs w:val="26"/>
              </w:rPr>
            </w:pPr>
            <w:r w:rsidRPr="009A7144">
              <w:rPr>
                <w:szCs w:val="26"/>
              </w:rPr>
              <w:t xml:space="preserve">Cory </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9A7144" w:rsidR="00226AC5" w:rsidP="00226AC5" w:rsidRDefault="00226AC5" w14:paraId="06326B18" w14:textId="77777777">
            <w:pPr>
              <w:jc w:val="center"/>
              <w:rPr>
                <w:szCs w:val="26"/>
              </w:rPr>
            </w:pPr>
            <w:r w:rsidRPr="009A7144">
              <w:rPr>
                <w:szCs w:val="26"/>
              </w:rPr>
              <w:t>O’Donnell</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9A7144" w:rsidR="00226AC5" w:rsidP="00226AC5" w:rsidRDefault="00226AC5" w14:paraId="57431889" w14:textId="77777777">
            <w:pPr>
              <w:jc w:val="center"/>
              <w:rPr>
                <w:szCs w:val="26"/>
              </w:rPr>
            </w:pPr>
            <w:r w:rsidRPr="009A7144">
              <w:rPr>
                <w:szCs w:val="26"/>
              </w:rPr>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226AC5" w:rsidP="00226AC5" w:rsidRDefault="00226AC5" w14:paraId="44112F0A" w14:textId="77777777">
            <w:pPr>
              <w:jc w:val="center"/>
            </w:pPr>
            <w:r>
              <w:t>$455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226AC5" w:rsidP="00226AC5" w:rsidRDefault="00226AC5" w14:paraId="6246625B" w14:textId="77777777">
            <w:pPr>
              <w:jc w:val="center"/>
            </w:pPr>
            <w:r>
              <w:t>2019</w:t>
            </w:r>
          </w:p>
        </w:tc>
        <w:tc>
          <w:tcPr>
            <w:tcW w:w="1620" w:type="dxa"/>
            <w:tcBorders>
              <w:top w:val="single" w:color="auto" w:sz="4" w:space="0"/>
              <w:left w:val="single" w:color="auto" w:sz="4" w:space="0"/>
              <w:bottom w:val="single" w:color="auto" w:sz="4" w:space="0"/>
              <w:right w:val="single" w:color="auto" w:sz="4" w:space="0"/>
            </w:tcBorders>
          </w:tcPr>
          <w:p w:rsidR="00226AC5" w:rsidP="00226AC5" w:rsidRDefault="00226AC5" w14:paraId="41382117" w14:textId="253B8EF6">
            <w:pPr>
              <w:jc w:val="center"/>
            </w:pPr>
            <w:r w:rsidRPr="00A30E98">
              <w:t>$445</w:t>
            </w:r>
          </w:p>
        </w:tc>
      </w:tr>
      <w:tr w:rsidR="00786AF5" w:rsidTr="009A7144" w14:paraId="06F34F95"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9A7144" w:rsidR="00786AF5" w:rsidP="00786AF5" w:rsidRDefault="00786AF5" w14:paraId="1CC89698" w14:textId="77777777">
            <w:pPr>
              <w:jc w:val="center"/>
              <w:rPr>
                <w:szCs w:val="26"/>
              </w:rPr>
            </w:pPr>
            <w:r w:rsidRPr="009A7144">
              <w:rPr>
                <w:szCs w:val="26"/>
              </w:rPr>
              <w:t>Jeffrey</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9A7144" w:rsidR="00786AF5" w:rsidP="00786AF5" w:rsidRDefault="00786AF5" w14:paraId="5645F9AB" w14:textId="77777777">
            <w:pPr>
              <w:jc w:val="center"/>
              <w:rPr>
                <w:szCs w:val="26"/>
              </w:rPr>
            </w:pPr>
            <w:r w:rsidRPr="009A7144">
              <w:rPr>
                <w:szCs w:val="26"/>
              </w:rPr>
              <w:t>Richard</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9A7144" w:rsidR="00786AF5" w:rsidP="00786AF5" w:rsidRDefault="00786AF5" w14:paraId="5587F4A7" w14:textId="77777777">
            <w:pPr>
              <w:jc w:val="center"/>
              <w:rPr>
                <w:szCs w:val="26"/>
              </w:rPr>
            </w:pPr>
            <w:r w:rsidRPr="009A7144">
              <w:rPr>
                <w:szCs w:val="26"/>
              </w:rPr>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786AF5" w:rsidP="00786AF5" w:rsidRDefault="00786AF5" w14:paraId="5BC19B35" w14:textId="77777777">
            <w:pPr>
              <w:jc w:val="center"/>
            </w:pPr>
            <w:r>
              <w:t>$455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786AF5" w:rsidP="00786AF5" w:rsidRDefault="00786AF5" w14:paraId="2D6C39B7" w14:textId="77777777">
            <w:pPr>
              <w:jc w:val="center"/>
            </w:pPr>
            <w:r>
              <w:t>2019</w:t>
            </w:r>
          </w:p>
        </w:tc>
        <w:tc>
          <w:tcPr>
            <w:tcW w:w="1620" w:type="dxa"/>
            <w:tcBorders>
              <w:top w:val="single" w:color="auto" w:sz="4" w:space="0"/>
              <w:left w:val="single" w:color="auto" w:sz="4" w:space="0"/>
              <w:bottom w:val="single" w:color="auto" w:sz="4" w:space="0"/>
              <w:right w:val="single" w:color="auto" w:sz="4" w:space="0"/>
            </w:tcBorders>
          </w:tcPr>
          <w:p w:rsidR="00786AF5" w:rsidP="00786AF5" w:rsidRDefault="00786AF5" w14:paraId="2BEEE5D1" w14:textId="72EBA68D">
            <w:pPr>
              <w:jc w:val="center"/>
            </w:pPr>
            <w:r w:rsidRPr="00A30E98">
              <w:t>$445</w:t>
            </w:r>
          </w:p>
        </w:tc>
      </w:tr>
      <w:tr w:rsidR="00786AF5" w:rsidTr="009A7144" w14:paraId="1F06E3EA"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00786AF5" w:rsidP="00786AF5" w:rsidRDefault="00786AF5" w14:paraId="3F40B3A3" w14:textId="77777777">
            <w:pPr>
              <w:jc w:val="center"/>
            </w:pPr>
            <w:r>
              <w:t>Jeffrey</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00786AF5" w:rsidP="00786AF5" w:rsidRDefault="00786AF5" w14:paraId="30384A02" w14:textId="77777777">
            <w:pPr>
              <w:jc w:val="center"/>
            </w:pPr>
            <w:r>
              <w:t>Brax</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00786AF5" w:rsidP="00786AF5" w:rsidRDefault="00786AF5" w14:paraId="7A7C07BD" w14:textId="77777777">
            <w:pPr>
              <w:jc w:val="center"/>
              <w:rPr>
                <w:szCs w:val="26"/>
              </w:rPr>
            </w:pPr>
            <w:r>
              <w:rPr>
                <w:szCs w:val="26"/>
              </w:rPr>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786AF5" w:rsidP="00786AF5" w:rsidRDefault="00786AF5" w14:paraId="0341D5C6" w14:textId="77777777">
            <w:pPr>
              <w:jc w:val="center"/>
            </w:pPr>
            <w:r>
              <w:t>$455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786AF5" w:rsidP="00786AF5" w:rsidRDefault="00786AF5" w14:paraId="0FB2C701" w14:textId="77777777">
            <w:pPr>
              <w:jc w:val="center"/>
            </w:pPr>
            <w:r>
              <w:t>2019</w:t>
            </w:r>
          </w:p>
        </w:tc>
        <w:tc>
          <w:tcPr>
            <w:tcW w:w="1620" w:type="dxa"/>
            <w:tcBorders>
              <w:top w:val="single" w:color="auto" w:sz="4" w:space="0"/>
              <w:left w:val="single" w:color="auto" w:sz="4" w:space="0"/>
              <w:bottom w:val="single" w:color="auto" w:sz="4" w:space="0"/>
              <w:right w:val="single" w:color="auto" w:sz="4" w:space="0"/>
            </w:tcBorders>
          </w:tcPr>
          <w:p w:rsidR="00786AF5" w:rsidP="00786AF5" w:rsidRDefault="00786AF5" w14:paraId="58891C13" w14:textId="55615CFE">
            <w:pPr>
              <w:jc w:val="center"/>
            </w:pPr>
            <w:r w:rsidRPr="00A30E98">
              <w:t>$445</w:t>
            </w:r>
          </w:p>
        </w:tc>
      </w:tr>
      <w:tr w:rsidR="00C02649" w:rsidTr="009A7144" w14:paraId="0C76B0B0"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003B6A1B" w:rsidP="0077487D" w:rsidRDefault="00A858C5" w14:paraId="666247C5" w14:textId="77777777">
            <w:pPr>
              <w:jc w:val="center"/>
            </w:pPr>
            <w:r>
              <w:t xml:space="preserve">Sue </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003B6A1B" w:rsidP="0077487D" w:rsidRDefault="00A858C5" w14:paraId="63684082" w14:textId="77777777">
            <w:pPr>
              <w:jc w:val="center"/>
            </w:pPr>
            <w:r>
              <w:t>Gallagher</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003B6A1B" w:rsidP="0077487D" w:rsidRDefault="00A858C5" w14:paraId="317FA34E" w14:textId="77777777">
            <w:pPr>
              <w:jc w:val="center"/>
              <w:rPr>
                <w:szCs w:val="26"/>
              </w:rPr>
            </w:pPr>
            <w:r>
              <w:rPr>
                <w:szCs w:val="26"/>
              </w:rPr>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3B6A1B" w:rsidP="0077487D" w:rsidRDefault="00A858C5" w14:paraId="08A8A648" w14:textId="77777777">
            <w:pPr>
              <w:jc w:val="center"/>
            </w:pPr>
            <w:r>
              <w:t>$455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3B6A1B" w:rsidP="0077487D" w:rsidRDefault="00A858C5" w14:paraId="48FFBB72" w14:textId="77777777">
            <w:pPr>
              <w:jc w:val="center"/>
            </w:pPr>
            <w:r>
              <w:t>2019</w:t>
            </w:r>
          </w:p>
        </w:tc>
        <w:tc>
          <w:tcPr>
            <w:tcW w:w="1620" w:type="dxa"/>
            <w:tcBorders>
              <w:top w:val="single" w:color="auto" w:sz="4" w:space="0"/>
              <w:left w:val="single" w:color="auto" w:sz="4" w:space="0"/>
              <w:bottom w:val="single" w:color="auto" w:sz="4" w:space="0"/>
              <w:right w:val="single" w:color="auto" w:sz="4" w:space="0"/>
            </w:tcBorders>
          </w:tcPr>
          <w:p w:rsidR="003B6A1B" w:rsidP="0077487D" w:rsidRDefault="00226AC5" w14:paraId="15C6F376" w14:textId="07BC6242">
            <w:pPr>
              <w:jc w:val="center"/>
            </w:pPr>
            <w:r w:rsidRPr="00A30E98">
              <w:t>$445</w:t>
            </w:r>
          </w:p>
        </w:tc>
      </w:tr>
      <w:tr w:rsidR="00A858C5" w:rsidTr="009A7144" w14:paraId="6603B55C"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406519F8" w14:textId="77777777">
            <w:pPr>
              <w:jc w:val="center"/>
            </w:pPr>
            <w:r>
              <w:t xml:space="preserve">Adam </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01A20442" w14:textId="77777777">
            <w:pPr>
              <w:jc w:val="center"/>
            </w:pPr>
            <w:r>
              <w:t>Abel</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3F89FE31" w14:textId="77777777">
            <w:pPr>
              <w:jc w:val="center"/>
              <w:rPr>
                <w:szCs w:val="26"/>
              </w:rPr>
            </w:pPr>
            <w:r>
              <w:rPr>
                <w:szCs w:val="26"/>
              </w:rPr>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2BE969B5" w14:textId="77777777">
            <w:pPr>
              <w:jc w:val="center"/>
            </w:pPr>
            <w:r>
              <w:t>$455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348903C5" w14:textId="77777777">
            <w:pPr>
              <w:jc w:val="center"/>
            </w:pPr>
            <w:r>
              <w:t>2019</w:t>
            </w:r>
          </w:p>
        </w:tc>
        <w:tc>
          <w:tcPr>
            <w:tcW w:w="1620" w:type="dxa"/>
            <w:tcBorders>
              <w:top w:val="single" w:color="auto" w:sz="4" w:space="0"/>
              <w:left w:val="single" w:color="auto" w:sz="4" w:space="0"/>
              <w:bottom w:val="single" w:color="auto" w:sz="4" w:space="0"/>
              <w:right w:val="single" w:color="auto" w:sz="4" w:space="0"/>
            </w:tcBorders>
          </w:tcPr>
          <w:p w:rsidR="00A858C5" w:rsidP="0077487D" w:rsidRDefault="00226AC5" w14:paraId="07626D31" w14:textId="34C3DADA">
            <w:pPr>
              <w:jc w:val="center"/>
            </w:pPr>
            <w:r>
              <w:t>$445</w:t>
            </w:r>
          </w:p>
        </w:tc>
      </w:tr>
      <w:tr w:rsidR="00A858C5" w:rsidTr="009A7144" w14:paraId="346492B3"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37516BFB" w14:textId="77777777">
            <w:pPr>
              <w:jc w:val="center"/>
            </w:pPr>
            <w:r>
              <w:t>Karen</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49A842B1" w14:textId="77777777">
            <w:pPr>
              <w:jc w:val="center"/>
            </w:pPr>
            <w:r>
              <w:t>Relucio</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57135737" w14:textId="77777777">
            <w:pPr>
              <w:jc w:val="center"/>
              <w:rPr>
                <w:szCs w:val="26"/>
              </w:rPr>
            </w:pPr>
            <w:r>
              <w:rPr>
                <w:szCs w:val="26"/>
              </w:rPr>
              <w:t>Expert</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1C05CDCC" w14:textId="77777777">
            <w:pPr>
              <w:jc w:val="center"/>
            </w:pPr>
            <w:r>
              <w:t>$455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25B4C568" w14:textId="77777777">
            <w:pPr>
              <w:jc w:val="center"/>
            </w:pPr>
            <w:r>
              <w:t>2019</w:t>
            </w:r>
          </w:p>
        </w:tc>
        <w:tc>
          <w:tcPr>
            <w:tcW w:w="1620" w:type="dxa"/>
            <w:tcBorders>
              <w:top w:val="single" w:color="auto" w:sz="4" w:space="0"/>
              <w:left w:val="single" w:color="auto" w:sz="4" w:space="0"/>
              <w:bottom w:val="single" w:color="auto" w:sz="4" w:space="0"/>
              <w:right w:val="single" w:color="auto" w:sz="4" w:space="0"/>
            </w:tcBorders>
          </w:tcPr>
          <w:p w:rsidR="00A858C5" w:rsidP="0077487D" w:rsidRDefault="00226AC5" w14:paraId="2305E666" w14:textId="56209EE8">
            <w:pPr>
              <w:jc w:val="center"/>
            </w:pPr>
            <w:r>
              <w:t>$445</w:t>
            </w:r>
          </w:p>
        </w:tc>
      </w:tr>
      <w:tr w:rsidR="00A858C5" w:rsidTr="009A7144" w14:paraId="2E9C2EA5"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115CA6FC" w14:textId="77777777">
            <w:pPr>
              <w:jc w:val="center"/>
            </w:pPr>
            <w:r>
              <w:t xml:space="preserve">Geoff </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2A7ECFBD" w14:textId="77777777">
            <w:pPr>
              <w:jc w:val="center"/>
            </w:pPr>
            <w:r>
              <w:t>Belyea</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5DF4565B" w14:textId="77777777">
            <w:pPr>
              <w:jc w:val="center"/>
              <w:rPr>
                <w:szCs w:val="26"/>
              </w:rPr>
            </w:pPr>
            <w:r>
              <w:rPr>
                <w:szCs w:val="26"/>
              </w:rPr>
              <w:t>Expert</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01A1D2F4" w14:textId="77777777">
            <w:pPr>
              <w:jc w:val="center"/>
            </w:pPr>
            <w:r>
              <w:t>$455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382691B7" w14:textId="77777777">
            <w:pPr>
              <w:jc w:val="center"/>
            </w:pPr>
            <w:r>
              <w:t>2019</w:t>
            </w:r>
          </w:p>
        </w:tc>
        <w:tc>
          <w:tcPr>
            <w:tcW w:w="1620" w:type="dxa"/>
            <w:tcBorders>
              <w:top w:val="single" w:color="auto" w:sz="4" w:space="0"/>
              <w:left w:val="single" w:color="auto" w:sz="4" w:space="0"/>
              <w:bottom w:val="single" w:color="auto" w:sz="4" w:space="0"/>
              <w:right w:val="single" w:color="auto" w:sz="4" w:space="0"/>
            </w:tcBorders>
          </w:tcPr>
          <w:p w:rsidR="00A858C5" w:rsidP="0077487D" w:rsidRDefault="00226AC5" w14:paraId="3AB0E05D" w14:textId="149AF2AE">
            <w:pPr>
              <w:jc w:val="center"/>
            </w:pPr>
            <w:r>
              <w:t>N/A</w:t>
            </w:r>
          </w:p>
        </w:tc>
      </w:tr>
      <w:tr w:rsidR="00A858C5" w:rsidTr="009A7144" w14:paraId="4F3F0D29"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38B64822" w14:textId="77777777">
            <w:pPr>
              <w:jc w:val="center"/>
            </w:pPr>
            <w:r>
              <w:t>Brian</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43FA122C" w14:textId="38FCA339">
            <w:pPr>
              <w:jc w:val="center"/>
            </w:pPr>
            <w:r>
              <w:t>Henricks</w:t>
            </w:r>
            <w:r w:rsidR="00910434">
              <w:t>e</w:t>
            </w:r>
            <w:r>
              <w:t>n</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6B98094F" w14:textId="77777777">
            <w:pPr>
              <w:jc w:val="center"/>
              <w:rPr>
                <w:szCs w:val="26"/>
              </w:rPr>
            </w:pPr>
            <w:r>
              <w:rPr>
                <w:szCs w:val="26"/>
              </w:rPr>
              <w:t>Expert</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42AA080C" w14:textId="77777777">
            <w:pPr>
              <w:jc w:val="center"/>
            </w:pPr>
            <w:r>
              <w:t>$455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10038104" w14:textId="77777777">
            <w:pPr>
              <w:jc w:val="center"/>
            </w:pPr>
            <w:r>
              <w:t>2019</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226AC5" w14:paraId="717922F5" w14:textId="5B7FAD84">
            <w:pPr>
              <w:jc w:val="center"/>
            </w:pPr>
            <w:r>
              <w:t>$445</w:t>
            </w:r>
          </w:p>
        </w:tc>
      </w:tr>
      <w:tr w:rsidR="00A858C5" w:rsidTr="009A7144" w14:paraId="0DB23810" w14:textId="77777777">
        <w:trPr>
          <w:trHeight w:val="58"/>
        </w:trPr>
        <w:tc>
          <w:tcPr>
            <w:tcW w:w="171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40E8B6FC" w14:textId="77777777">
            <w:pPr>
              <w:jc w:val="center"/>
            </w:pPr>
            <w:r>
              <w:t>Neil</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3AC0BA43" w14:textId="77777777">
            <w:pPr>
              <w:jc w:val="center"/>
            </w:pPr>
            <w:r>
              <w:t>Bregman</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A25C3E" w:rsidR="00A858C5" w:rsidP="0077487D" w:rsidRDefault="00A858C5" w14:paraId="0EB67894" w14:textId="77777777">
            <w:pPr>
              <w:jc w:val="center"/>
            </w:pPr>
            <w:r w:rsidRPr="00A25C3E">
              <w:t xml:space="preserve">Expert </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093C903F" w14:textId="77777777">
            <w:pPr>
              <w:jc w:val="center"/>
            </w:pPr>
            <w:r>
              <w:t>$290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A858C5" w14:paraId="7376897D" w14:textId="77777777">
            <w:pPr>
              <w:jc w:val="center"/>
            </w:pPr>
            <w:r>
              <w:t>2019</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A858C5" w:rsidP="0077487D" w:rsidRDefault="00226AC5" w14:paraId="258580FD" w14:textId="6FD3D01B">
            <w:pPr>
              <w:jc w:val="center"/>
            </w:pPr>
            <w:r>
              <w:t>$290</w:t>
            </w:r>
          </w:p>
        </w:tc>
      </w:tr>
    </w:tbl>
    <w:p w:rsidR="0034190B" w:rsidP="002744FC" w:rsidRDefault="00FE3BAE" w14:paraId="2354E85A" w14:textId="09FD155F">
      <w:pPr>
        <w:jc w:val="center"/>
      </w:pPr>
      <w:r>
        <w:rPr>
          <w:rFonts w:ascii="Helvetica" w:hAnsi="Helvetica"/>
          <w:b/>
        </w:rPr>
        <w:t xml:space="preserve">(END OF </w:t>
      </w:r>
      <w:r>
        <w:rPr>
          <w:rFonts w:ascii="Helvetica" w:hAnsi="Helvetica"/>
          <w:b/>
          <w:szCs w:val="26"/>
        </w:rPr>
        <w:t>APPENDIX</w:t>
      </w:r>
      <w:r>
        <w:rPr>
          <w:rFonts w:ascii="Helvetica" w:hAnsi="Helvetica"/>
          <w:b/>
        </w:rPr>
        <w:t>)</w:t>
      </w:r>
    </w:p>
    <w:sectPr w:rsidR="0034190B" w:rsidSect="00D93C87">
      <w:headerReference w:type="first" r:id="rId14"/>
      <w:footerReference w:type="first" r:id="rId15"/>
      <w:pgSz w:w="12240" w:h="15840"/>
      <w:pgMar w:top="1440" w:right="990" w:bottom="144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F749" w14:textId="77777777" w:rsidR="0078520B" w:rsidRDefault="0078520B" w:rsidP="00885956">
      <w:r>
        <w:separator/>
      </w:r>
    </w:p>
  </w:endnote>
  <w:endnote w:type="continuationSeparator" w:id="0">
    <w:p w14:paraId="4FD6C384" w14:textId="77777777" w:rsidR="0078520B" w:rsidRDefault="0078520B" w:rsidP="00885956">
      <w:r>
        <w:continuationSeparator/>
      </w:r>
    </w:p>
  </w:endnote>
  <w:endnote w:type="continuationNotice" w:id="1">
    <w:p w14:paraId="0BFCED55" w14:textId="77777777" w:rsidR="0078520B" w:rsidRDefault="00785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70652"/>
      <w:docPartObj>
        <w:docPartGallery w:val="Page Numbers (Bottom of Page)"/>
        <w:docPartUnique/>
      </w:docPartObj>
    </w:sdtPr>
    <w:sdtEndPr>
      <w:rPr>
        <w:noProof/>
      </w:rPr>
    </w:sdtEndPr>
    <w:sdtContent>
      <w:p w14:paraId="508F1EE7" w14:textId="77777777" w:rsidR="00620CC5" w:rsidRDefault="00620CC5">
        <w:pPr>
          <w:pStyle w:val="Footer"/>
          <w:jc w:val="center"/>
        </w:pPr>
        <w:r>
          <w:fldChar w:fldCharType="begin"/>
        </w:r>
        <w:r>
          <w:instrText xml:space="preserve"> PAGE   \* MERGEFORMAT </w:instrText>
        </w:r>
        <w:r>
          <w:fldChar w:fldCharType="separate"/>
        </w:r>
        <w:r w:rsidR="00991989">
          <w:rPr>
            <w:noProof/>
          </w:rPr>
          <w:t>- 25 -</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4A86" w14:textId="6B570D32" w:rsidR="00620CC5" w:rsidRDefault="00452F95" w:rsidP="00452F95">
    <w:pPr>
      <w:pStyle w:val="Footer"/>
    </w:pPr>
    <w:r w:rsidRPr="00452F95">
      <w:rPr>
        <w:sz w:val="16"/>
        <w:szCs w:val="16"/>
      </w:rPr>
      <w:t>490417048</w:t>
    </w:r>
    <w:r>
      <w:tab/>
    </w:r>
    <w:r w:rsidR="00620CC5">
      <w:fldChar w:fldCharType="begin"/>
    </w:r>
    <w:r w:rsidR="00620CC5">
      <w:instrText xml:space="preserve"> PAGE   \* MERGEFORMAT </w:instrText>
    </w:r>
    <w:r w:rsidR="00620CC5">
      <w:fldChar w:fldCharType="separate"/>
    </w:r>
    <w:r w:rsidR="00620CC5">
      <w:rPr>
        <w:noProof/>
      </w:rPr>
      <w:t>- 1 -</w:t>
    </w:r>
    <w:r w:rsidR="00620CC5">
      <w:rPr>
        <w:noProof/>
      </w:rPr>
      <w:fldChar w:fldCharType="end"/>
    </w:r>
  </w:p>
  <w:p w14:paraId="5274F888" w14:textId="77777777" w:rsidR="00620CC5" w:rsidRDefault="00620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FB8B" w14:textId="77777777" w:rsidR="00C95B4E" w:rsidRDefault="00C95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F3CD" w14:textId="77777777" w:rsidR="0078520B" w:rsidRDefault="0078520B" w:rsidP="00885956">
      <w:r>
        <w:separator/>
      </w:r>
    </w:p>
  </w:footnote>
  <w:footnote w:type="continuationSeparator" w:id="0">
    <w:p w14:paraId="03506790" w14:textId="77777777" w:rsidR="0078520B" w:rsidRDefault="0078520B" w:rsidP="00885956">
      <w:r>
        <w:continuationSeparator/>
      </w:r>
    </w:p>
  </w:footnote>
  <w:footnote w:type="continuationNotice" w:id="1">
    <w:p w14:paraId="5ADC31FF" w14:textId="77777777" w:rsidR="0078520B" w:rsidRDefault="0078520B"/>
  </w:footnote>
  <w:footnote w:id="2">
    <w:p w14:paraId="744CA7B5" w14:textId="55F64048" w:rsidR="00F22FE2" w:rsidRDefault="00F22FE2">
      <w:pPr>
        <w:pStyle w:val="FootnoteText"/>
      </w:pPr>
      <w:r>
        <w:rPr>
          <w:rStyle w:val="FootnoteReference"/>
        </w:rPr>
        <w:footnoteRef/>
      </w:r>
      <w:r>
        <w:t xml:space="preserve"> T</w:t>
      </w:r>
      <w:r w:rsidR="0037452D">
        <w:t>he t</w:t>
      </w:r>
      <w:r>
        <w:t xml:space="preserve">otal request for Napa is </w:t>
      </w:r>
      <w:r w:rsidRPr="005A4AE5">
        <w:t>$28,173.61</w:t>
      </w:r>
      <w:r w:rsidR="0037452D">
        <w:t xml:space="preserve"> based on underlying documentation</w:t>
      </w:r>
      <w:r w:rsidR="003C386B">
        <w:t>.</w:t>
      </w:r>
    </w:p>
  </w:footnote>
  <w:footnote w:id="3">
    <w:p w14:paraId="1A30D66F" w14:textId="5F0F3423" w:rsidR="00F22FE2" w:rsidRDefault="00F22FE2">
      <w:pPr>
        <w:pStyle w:val="FootnoteText"/>
      </w:pPr>
      <w:r>
        <w:rPr>
          <w:rStyle w:val="FootnoteReference"/>
        </w:rPr>
        <w:footnoteRef/>
      </w:r>
      <w:r>
        <w:t xml:space="preserve"> T</w:t>
      </w:r>
      <w:r w:rsidR="0037452D">
        <w:t>he t</w:t>
      </w:r>
      <w:r>
        <w:t xml:space="preserve">otal request for Sonoma is </w:t>
      </w:r>
      <w:r w:rsidRPr="005A4AE5">
        <w:t>$30,138.31</w:t>
      </w:r>
      <w:r w:rsidR="0037452D">
        <w:t xml:space="preserve"> based on underlying documentation</w:t>
      </w:r>
      <w:r w:rsidR="003C386B">
        <w:t>.</w:t>
      </w:r>
      <w:r w:rsidRPr="005A4AE5">
        <w:t xml:space="preserve"> </w:t>
      </w:r>
      <w:r>
        <w:t xml:space="preserve">  </w:t>
      </w:r>
    </w:p>
  </w:footnote>
  <w:footnote w:id="4">
    <w:p w14:paraId="34A02220" w14:textId="2BC46659" w:rsidR="00AE2601" w:rsidRDefault="00AE2601">
      <w:pPr>
        <w:pStyle w:val="FootnoteText"/>
      </w:pPr>
      <w:r>
        <w:rPr>
          <w:rStyle w:val="FootnoteReference"/>
        </w:rPr>
        <w:footnoteRef/>
      </w:r>
      <w:r>
        <w:t xml:space="preserve"> </w:t>
      </w:r>
      <w:r w:rsidR="003C386B">
        <w:t xml:space="preserve">This proceeding was reassigned to President </w:t>
      </w:r>
      <w:r w:rsidR="00E138F4">
        <w:t xml:space="preserve">Alice Reynolds </w:t>
      </w:r>
      <w:r w:rsidR="003C386B">
        <w:t>on</w:t>
      </w:r>
      <w:r w:rsidR="00E138F4">
        <w:t xml:space="preserve"> February 16, 2022.</w:t>
      </w:r>
    </w:p>
  </w:footnote>
  <w:footnote w:id="5">
    <w:p w14:paraId="6E9C7F0E" w14:textId="77777777" w:rsidR="00620CC5" w:rsidRDefault="00620CC5">
      <w:pPr>
        <w:pStyle w:val="FootnoteText"/>
      </w:pPr>
      <w:r>
        <w:rPr>
          <w:rStyle w:val="FootnoteReference"/>
        </w:rPr>
        <w:footnoteRef/>
      </w:r>
      <w:r>
        <w:t xml:space="preserve"> All statutory references are to California Public Utilities Code unless indicated otherwise.</w:t>
      </w:r>
    </w:p>
  </w:footnote>
  <w:footnote w:id="6">
    <w:p w14:paraId="04C33B51" w14:textId="30B1360A" w:rsidR="00620CC5" w:rsidRDefault="00620CC5">
      <w:pPr>
        <w:pStyle w:val="FootnoteText"/>
      </w:pPr>
      <w:r>
        <w:rPr>
          <w:rStyle w:val="FootnoteReference"/>
        </w:rPr>
        <w:footnoteRef/>
      </w:r>
      <w:r>
        <w:t xml:space="preserve"> The 60-day filing period for compensation requests ends on Saturday, August 3</w:t>
      </w:r>
      <w:r w:rsidR="003C386B">
        <w:t>, 2019</w:t>
      </w:r>
      <w:r>
        <w:t xml:space="preserve">.  Under Commission Rule 1.15, the filing period is extended to the next business day.  </w:t>
      </w:r>
    </w:p>
  </w:footnote>
  <w:footnote w:id="7">
    <w:p w14:paraId="243FA332" w14:textId="77777777" w:rsidR="00DA11AC" w:rsidRDefault="00DA11AC"/>
    <w:p w14:paraId="50C75663" w14:textId="4DAEAB3B" w:rsidR="00620CC5" w:rsidRDefault="00620CC5" w:rsidP="00D30039">
      <w:pPr>
        <w:pStyle w:val="NormalWeb"/>
      </w:pPr>
    </w:p>
  </w:footnote>
  <w:footnote w:id="8">
    <w:p w14:paraId="0A49E424" w14:textId="77777777" w:rsidR="00620CC5" w:rsidRDefault="00620CC5" w:rsidP="006475BF">
      <w:pPr>
        <w:pStyle w:val="FootnoteText"/>
      </w:pPr>
      <w:r>
        <w:rPr>
          <w:rStyle w:val="FootnoteReference"/>
        </w:rPr>
        <w:footnoteRef/>
      </w:r>
      <w:r>
        <w:t xml:space="preserve"> The requested hourly rates for the local governments’ internal attorneys reflects their years in practice, with a downward adjustment from the maximum approved hourly rate to account for any lack of experience in CPUC matters.  </w:t>
      </w:r>
    </w:p>
  </w:footnote>
  <w:footnote w:id="9">
    <w:p w14:paraId="3CF8A14A" w14:textId="666BF044" w:rsidR="0050494A" w:rsidRDefault="0050494A" w:rsidP="0050494A">
      <w:pPr>
        <w:pStyle w:val="FootnoteText"/>
      </w:pPr>
      <w:r>
        <w:rPr>
          <w:rStyle w:val="FootnoteReference"/>
        </w:rPr>
        <w:footnoteRef/>
      </w:r>
      <w:r>
        <w:t xml:space="preserve"> The timesheet submitted by Napa County claims 2.5 hours for </w:t>
      </w:r>
      <w:r>
        <w:rPr>
          <w:color w:val="000000"/>
        </w:rPr>
        <w:t>Relucio</w:t>
      </w:r>
      <w:r w:rsidR="001771A8">
        <w:rPr>
          <w:color w:val="000000"/>
        </w:rPr>
        <w:t xml:space="preserve"> in 2019</w:t>
      </w:r>
      <w:r>
        <w:rPr>
          <w:color w:val="000000"/>
        </w:rPr>
        <w:t xml:space="preserve">. The total here should be $1,112.50. </w:t>
      </w:r>
    </w:p>
  </w:footnote>
  <w:footnote w:id="10">
    <w:p w14:paraId="10B899D0" w14:textId="7B0C0A0E" w:rsidR="0050494A" w:rsidRDefault="0050494A" w:rsidP="0050494A">
      <w:pPr>
        <w:pStyle w:val="FootnoteText"/>
      </w:pPr>
      <w:r>
        <w:rPr>
          <w:rStyle w:val="FootnoteReference"/>
        </w:rPr>
        <w:footnoteRef/>
      </w:r>
      <w:r>
        <w:t xml:space="preserve"> Arithmetic error. 0.55 * $445.00 is $244.75. </w:t>
      </w:r>
    </w:p>
  </w:footnote>
  <w:footnote w:id="11">
    <w:p w14:paraId="46ED803C" w14:textId="77EBF082" w:rsidR="00652C6C" w:rsidRDefault="00652C6C">
      <w:pPr>
        <w:pStyle w:val="FootnoteText"/>
      </w:pPr>
      <w:r>
        <w:rPr>
          <w:rStyle w:val="FootnoteReference"/>
        </w:rPr>
        <w:footnoteRef/>
      </w:r>
      <w:r>
        <w:t xml:space="preserve"> </w:t>
      </w:r>
      <w:r w:rsidR="000E25AE">
        <w:t>The correct Subtotal is $69,</w:t>
      </w:r>
      <w:r w:rsidR="00CA1F5B">
        <w:t>219.40.</w:t>
      </w:r>
    </w:p>
  </w:footnote>
  <w:footnote w:id="12">
    <w:p w14:paraId="45873C2C" w14:textId="55ED44CE" w:rsidR="00247FD5" w:rsidRDefault="00247FD5">
      <w:pPr>
        <w:pStyle w:val="FootnoteText"/>
      </w:pPr>
      <w:r>
        <w:rPr>
          <w:rStyle w:val="FootnoteReference"/>
        </w:rPr>
        <w:footnoteRef/>
      </w:r>
      <w:r>
        <w:t xml:space="preserve"> Total request for Napa is </w:t>
      </w:r>
      <w:r w:rsidR="005A4AE5" w:rsidRPr="005A4AE5">
        <w:t>$28,173.61</w:t>
      </w:r>
    </w:p>
  </w:footnote>
  <w:footnote w:id="13">
    <w:p w14:paraId="1BA81DC1" w14:textId="0A758674" w:rsidR="00F33077" w:rsidRDefault="00F33077">
      <w:pPr>
        <w:pStyle w:val="FootnoteText"/>
      </w:pPr>
      <w:r>
        <w:rPr>
          <w:rStyle w:val="FootnoteReference"/>
        </w:rPr>
        <w:footnoteRef/>
      </w:r>
      <w:r>
        <w:t xml:space="preserve"> </w:t>
      </w:r>
      <w:r w:rsidR="005A4AE5">
        <w:t xml:space="preserve">Total request for Sonoma is </w:t>
      </w:r>
      <w:r w:rsidR="005A4AE5" w:rsidRPr="005A4AE5">
        <w:t xml:space="preserve">$30,138.31 </w:t>
      </w:r>
      <w:r w:rsidR="005A4AE5">
        <w:t xml:space="preserve"> </w:t>
      </w:r>
      <w:r>
        <w:t xml:space="preserve"> </w:t>
      </w:r>
    </w:p>
  </w:footnote>
  <w:footnote w:id="14">
    <w:p w14:paraId="4FC1FA31" w14:textId="4022EFA7" w:rsidR="00620CC5" w:rsidRPr="00DE3A5D" w:rsidRDefault="00620CC5" w:rsidP="005A53F1">
      <w:pPr>
        <w:pStyle w:val="ListParagraph"/>
        <w:ind w:left="0"/>
        <w:rPr>
          <w:rFonts w:ascii="Times New Roman" w:hAnsi="Times New Roman"/>
        </w:rPr>
      </w:pPr>
      <w:r w:rsidRPr="00DE3A5D">
        <w:rPr>
          <w:rStyle w:val="FootnoteReference"/>
          <w:rFonts w:ascii="Times New Roman" w:hAnsi="Times New Roman"/>
          <w:sz w:val="20"/>
          <w:szCs w:val="20"/>
        </w:rPr>
        <w:footnoteRef/>
      </w:r>
      <w:r w:rsidRPr="00DE3A5D">
        <w:rPr>
          <w:rFonts w:ascii="Times New Roman" w:hAnsi="Times New Roman"/>
        </w:rPr>
        <w:t xml:space="preserve"> </w:t>
      </w:r>
      <w:r w:rsidRPr="00DE3A5D">
        <w:rPr>
          <w:rFonts w:ascii="Times New Roman" w:hAnsi="Times New Roman"/>
          <w:sz w:val="20"/>
          <w:szCs w:val="20"/>
        </w:rPr>
        <w:t xml:space="preserve">This information may be </w:t>
      </w:r>
      <w:r w:rsidRPr="00DE3A5D">
        <w:rPr>
          <w:rFonts w:ascii="Times New Roman" w:hAnsi="Times New Roman"/>
          <w:color w:val="000000"/>
          <w:sz w:val="20"/>
          <w:szCs w:val="20"/>
        </w:rPr>
        <w:t>obtain</w:t>
      </w:r>
      <w:r>
        <w:rPr>
          <w:rFonts w:ascii="Times New Roman" w:hAnsi="Times New Roman"/>
          <w:color w:val="000000"/>
          <w:sz w:val="20"/>
          <w:szCs w:val="20"/>
        </w:rPr>
        <w:t xml:space="preserve">ed through the State Bar of California’s website at </w:t>
      </w:r>
      <w:hyperlink r:id="rId1" w:history="1">
        <w:r w:rsidRPr="00915118">
          <w:rPr>
            <w:rStyle w:val="Hyperlink"/>
            <w:rFonts w:ascii="Times New Roman" w:hAnsi="Times New Roman"/>
            <w:sz w:val="20"/>
            <w:szCs w:val="20"/>
          </w:rPr>
          <w:t>http://members.calbar.ca.gov/fal/MemberSearch/QuickSearch</w:t>
        </w:r>
      </w:hyperlink>
      <w:r>
        <w:rPr>
          <w:rFonts w:ascii="Times New Roman" w:hAnsi="Times New Roman"/>
          <w:color w:val="000000"/>
          <w:sz w:val="20"/>
          <w:szCs w:val="20"/>
        </w:rPr>
        <w:t xml:space="preserve"> .</w:t>
      </w:r>
    </w:p>
  </w:footnote>
  <w:footnote w:id="15">
    <w:p w14:paraId="4521BBEB" w14:textId="77777777" w:rsidR="006A7031" w:rsidRDefault="006A7031" w:rsidP="006A7031">
      <w:pPr>
        <w:pStyle w:val="FootnoteText"/>
      </w:pPr>
      <w:r>
        <w:rPr>
          <w:rStyle w:val="FootnoteReference"/>
        </w:rPr>
        <w:footnoteRef/>
      </w:r>
      <w:r>
        <w:t xml:space="preserve"> </w:t>
      </w:r>
      <w:r w:rsidRPr="002744FC">
        <w:rPr>
          <w:i/>
          <w:iCs/>
        </w:rPr>
        <w:t>See</w:t>
      </w:r>
      <w:r>
        <w:t>, for example, the Commission’s explanations in D.10-04-023 at 11-14.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616E" w14:textId="584D8A27" w:rsidR="00D93C87" w:rsidRDefault="00D93C87">
    <w:pPr>
      <w:pStyle w:val="Header"/>
    </w:pPr>
    <w:r>
      <w:rPr>
        <w:color w:val="000000"/>
      </w:rPr>
      <w:t>R.18-12-005  ALJ/VUK/</w:t>
    </w:r>
    <w:proofErr w:type="spellStart"/>
    <w:r>
      <w:rPr>
        <w:color w:val="000000"/>
      </w:rPr>
      <w:t>sgu</w:t>
    </w:r>
    <w:proofErr w:type="spellEnd"/>
    <w:r w:rsidR="008E0A38">
      <w:rPr>
        <w:color w:val="000000"/>
      </w:rPr>
      <w:tab/>
    </w:r>
    <w:r w:rsidR="008E0A38">
      <w:rPr>
        <w:color w:val="000000"/>
      </w:rPr>
      <w:tab/>
    </w:r>
    <w:r w:rsidR="008E0A38">
      <w:rPr>
        <w:rFonts w:asciiTheme="majorBidi" w:hAnsiTheme="majorBidi" w:cstheme="majorBidi"/>
        <w:color w:val="000000"/>
      </w:rPr>
      <w:t>PROPOSED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3D9C" w14:textId="77777777" w:rsidR="00C95B4E" w:rsidRDefault="00C95B4E" w:rsidP="008E0A38">
    <w:pPr>
      <w:pStyle w:val="Header"/>
    </w:pPr>
    <w:r>
      <w:rPr>
        <w:color w:val="000000"/>
      </w:rPr>
      <w:t>R.18-12-005  ALJ/VUK/</w:t>
    </w:r>
    <w:proofErr w:type="spellStart"/>
    <w:r>
      <w:rPr>
        <w:color w:val="000000"/>
      </w:rPr>
      <w:t>sgu</w:t>
    </w:r>
    <w:proofErr w:type="spellEnd"/>
    <w:r>
      <w:rPr>
        <w:color w:val="000000"/>
      </w:rPr>
      <w:tab/>
    </w:r>
    <w:r>
      <w:rPr>
        <w:color w:val="000000"/>
      </w:rPr>
      <w:tab/>
    </w:r>
  </w:p>
  <w:p w14:paraId="291F4D42" w14:textId="77777777" w:rsidR="00C95B4E" w:rsidRDefault="00C95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5AE7"/>
    <w:multiLevelType w:val="hybridMultilevel"/>
    <w:tmpl w:val="2892EF34"/>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2E60CD"/>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57EE0BC7"/>
    <w:multiLevelType w:val="hybridMultilevel"/>
    <w:tmpl w:val="17C8B27A"/>
    <w:lvl w:ilvl="0" w:tplc="0409000F">
      <w:start w:val="1"/>
      <w:numFmt w:val="decimal"/>
      <w:lvlText w:val="%1."/>
      <w:lvlJc w:val="left"/>
      <w:pPr>
        <w:tabs>
          <w:tab w:val="num" w:pos="1620"/>
        </w:tabs>
        <w:ind w:left="1620" w:hanging="360"/>
      </w:pPr>
    </w:lvl>
    <w:lvl w:ilvl="1" w:tplc="A2982BDA">
      <w:start w:val="1"/>
      <w:numFmt w:val="upp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778737B1"/>
    <w:multiLevelType w:val="hybridMultilevel"/>
    <w:tmpl w:val="6E5AF590"/>
    <w:lvl w:ilvl="0" w:tplc="58ECDC58">
      <w:start w:val="1"/>
      <w:numFmt w:val="upperLetter"/>
      <w:lvlText w:val="%1."/>
      <w:lvlJc w:val="left"/>
      <w:pPr>
        <w:tabs>
          <w:tab w:val="num" w:pos="900"/>
        </w:tabs>
        <w:ind w:left="900" w:hanging="360"/>
      </w:pPr>
      <w:rPr>
        <w:rFonts w:hint="default"/>
        <w:i w:val="0"/>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8179A5"/>
    <w:multiLevelType w:val="hybridMultilevel"/>
    <w:tmpl w:val="26C0DFD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3503477">
    <w:abstractNumId w:val="4"/>
  </w:num>
  <w:num w:numId="2" w16cid:durableId="1067917942">
    <w:abstractNumId w:val="0"/>
  </w:num>
  <w:num w:numId="3" w16cid:durableId="373624113">
    <w:abstractNumId w:val="5"/>
  </w:num>
  <w:num w:numId="4" w16cid:durableId="1709135481">
    <w:abstractNumId w:val="2"/>
  </w:num>
  <w:num w:numId="5" w16cid:durableId="1410033636">
    <w:abstractNumId w:val="1"/>
  </w:num>
  <w:num w:numId="6" w16cid:durableId="1247880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83"/>
    <w:rsid w:val="00001BBF"/>
    <w:rsid w:val="000020F6"/>
    <w:rsid w:val="00003A49"/>
    <w:rsid w:val="00004D54"/>
    <w:rsid w:val="00014ECF"/>
    <w:rsid w:val="00015ECB"/>
    <w:rsid w:val="00017C86"/>
    <w:rsid w:val="000215FB"/>
    <w:rsid w:val="00026A15"/>
    <w:rsid w:val="00033F13"/>
    <w:rsid w:val="00034492"/>
    <w:rsid w:val="00036898"/>
    <w:rsid w:val="00036F54"/>
    <w:rsid w:val="0004314C"/>
    <w:rsid w:val="0004522D"/>
    <w:rsid w:val="00045A2F"/>
    <w:rsid w:val="00045CB1"/>
    <w:rsid w:val="00050116"/>
    <w:rsid w:val="00054313"/>
    <w:rsid w:val="0005702B"/>
    <w:rsid w:val="00065DCF"/>
    <w:rsid w:val="00070843"/>
    <w:rsid w:val="00072C81"/>
    <w:rsid w:val="00075B0A"/>
    <w:rsid w:val="00077A8C"/>
    <w:rsid w:val="00086925"/>
    <w:rsid w:val="00091551"/>
    <w:rsid w:val="000A0592"/>
    <w:rsid w:val="000A17BE"/>
    <w:rsid w:val="000B02B3"/>
    <w:rsid w:val="000B2435"/>
    <w:rsid w:val="000B4A32"/>
    <w:rsid w:val="000B4DD6"/>
    <w:rsid w:val="000B51CB"/>
    <w:rsid w:val="000B6D04"/>
    <w:rsid w:val="000C0356"/>
    <w:rsid w:val="000D2699"/>
    <w:rsid w:val="000D5373"/>
    <w:rsid w:val="000D6969"/>
    <w:rsid w:val="000D6CA0"/>
    <w:rsid w:val="000D6DF8"/>
    <w:rsid w:val="000D77C9"/>
    <w:rsid w:val="000E25AE"/>
    <w:rsid w:val="000E3AAB"/>
    <w:rsid w:val="000E41D9"/>
    <w:rsid w:val="000E42BB"/>
    <w:rsid w:val="000E6ABD"/>
    <w:rsid w:val="000E6D71"/>
    <w:rsid w:val="000E7918"/>
    <w:rsid w:val="000F0442"/>
    <w:rsid w:val="000F5778"/>
    <w:rsid w:val="000F595C"/>
    <w:rsid w:val="000F7670"/>
    <w:rsid w:val="0010480F"/>
    <w:rsid w:val="001053A5"/>
    <w:rsid w:val="00107882"/>
    <w:rsid w:val="00107BA6"/>
    <w:rsid w:val="00110D89"/>
    <w:rsid w:val="00114648"/>
    <w:rsid w:val="00116D29"/>
    <w:rsid w:val="001222BA"/>
    <w:rsid w:val="00123103"/>
    <w:rsid w:val="00125492"/>
    <w:rsid w:val="00127DEE"/>
    <w:rsid w:val="001346EB"/>
    <w:rsid w:val="00134D82"/>
    <w:rsid w:val="001360B0"/>
    <w:rsid w:val="00141A4E"/>
    <w:rsid w:val="00151AA8"/>
    <w:rsid w:val="00152F94"/>
    <w:rsid w:val="001559E8"/>
    <w:rsid w:val="00155D01"/>
    <w:rsid w:val="00161F83"/>
    <w:rsid w:val="00162B88"/>
    <w:rsid w:val="0016561B"/>
    <w:rsid w:val="00166F2C"/>
    <w:rsid w:val="00171EBF"/>
    <w:rsid w:val="00175865"/>
    <w:rsid w:val="001766D8"/>
    <w:rsid w:val="001771A8"/>
    <w:rsid w:val="00177532"/>
    <w:rsid w:val="00180E8C"/>
    <w:rsid w:val="00187FD5"/>
    <w:rsid w:val="00193716"/>
    <w:rsid w:val="001962EB"/>
    <w:rsid w:val="0019675F"/>
    <w:rsid w:val="001A4827"/>
    <w:rsid w:val="001A528D"/>
    <w:rsid w:val="001A538E"/>
    <w:rsid w:val="001A5DC7"/>
    <w:rsid w:val="001B3040"/>
    <w:rsid w:val="001B57F3"/>
    <w:rsid w:val="001C0DD1"/>
    <w:rsid w:val="001C21AE"/>
    <w:rsid w:val="001D216D"/>
    <w:rsid w:val="001D3ED2"/>
    <w:rsid w:val="001D7146"/>
    <w:rsid w:val="001D7C8D"/>
    <w:rsid w:val="001E2876"/>
    <w:rsid w:val="001E405A"/>
    <w:rsid w:val="001E77CF"/>
    <w:rsid w:val="001F238E"/>
    <w:rsid w:val="001F66C1"/>
    <w:rsid w:val="002004E7"/>
    <w:rsid w:val="00202113"/>
    <w:rsid w:val="00203E4B"/>
    <w:rsid w:val="00204645"/>
    <w:rsid w:val="00204E3A"/>
    <w:rsid w:val="00205EA5"/>
    <w:rsid w:val="002063A0"/>
    <w:rsid w:val="00210BE8"/>
    <w:rsid w:val="00212E10"/>
    <w:rsid w:val="00214B22"/>
    <w:rsid w:val="00217224"/>
    <w:rsid w:val="0022302F"/>
    <w:rsid w:val="00226AC5"/>
    <w:rsid w:val="0022793B"/>
    <w:rsid w:val="00230392"/>
    <w:rsid w:val="0023533A"/>
    <w:rsid w:val="002415DC"/>
    <w:rsid w:val="002459ED"/>
    <w:rsid w:val="002466F8"/>
    <w:rsid w:val="00247FD5"/>
    <w:rsid w:val="00250441"/>
    <w:rsid w:val="00250D84"/>
    <w:rsid w:val="0025135F"/>
    <w:rsid w:val="00256703"/>
    <w:rsid w:val="00256F00"/>
    <w:rsid w:val="00260518"/>
    <w:rsid w:val="00260B33"/>
    <w:rsid w:val="00264148"/>
    <w:rsid w:val="00264333"/>
    <w:rsid w:val="0026493A"/>
    <w:rsid w:val="00264B85"/>
    <w:rsid w:val="00267B4A"/>
    <w:rsid w:val="0027013C"/>
    <w:rsid w:val="00270E2E"/>
    <w:rsid w:val="00273208"/>
    <w:rsid w:val="00274392"/>
    <w:rsid w:val="002744FC"/>
    <w:rsid w:val="00274F78"/>
    <w:rsid w:val="00275286"/>
    <w:rsid w:val="00276C12"/>
    <w:rsid w:val="00276F80"/>
    <w:rsid w:val="00277D7D"/>
    <w:rsid w:val="0028180F"/>
    <w:rsid w:val="00286747"/>
    <w:rsid w:val="00291FD8"/>
    <w:rsid w:val="0029249B"/>
    <w:rsid w:val="002935F8"/>
    <w:rsid w:val="0029380A"/>
    <w:rsid w:val="00297083"/>
    <w:rsid w:val="002A1B9C"/>
    <w:rsid w:val="002A2A6C"/>
    <w:rsid w:val="002A3147"/>
    <w:rsid w:val="002A3214"/>
    <w:rsid w:val="002A5A67"/>
    <w:rsid w:val="002A6C07"/>
    <w:rsid w:val="002B2E62"/>
    <w:rsid w:val="002B71C2"/>
    <w:rsid w:val="002C6CAD"/>
    <w:rsid w:val="002D0684"/>
    <w:rsid w:val="002D0A5C"/>
    <w:rsid w:val="002D21CA"/>
    <w:rsid w:val="002D53AA"/>
    <w:rsid w:val="002D6AC3"/>
    <w:rsid w:val="002E1258"/>
    <w:rsid w:val="002E5F83"/>
    <w:rsid w:val="002E610B"/>
    <w:rsid w:val="002E77D8"/>
    <w:rsid w:val="002F1487"/>
    <w:rsid w:val="002F1609"/>
    <w:rsid w:val="002F35CA"/>
    <w:rsid w:val="002F501D"/>
    <w:rsid w:val="00303C2B"/>
    <w:rsid w:val="00304378"/>
    <w:rsid w:val="00310A41"/>
    <w:rsid w:val="00311016"/>
    <w:rsid w:val="00312397"/>
    <w:rsid w:val="00316918"/>
    <w:rsid w:val="00334B26"/>
    <w:rsid w:val="00336665"/>
    <w:rsid w:val="0034190B"/>
    <w:rsid w:val="00342491"/>
    <w:rsid w:val="00343365"/>
    <w:rsid w:val="003501DD"/>
    <w:rsid w:val="003534F2"/>
    <w:rsid w:val="00354054"/>
    <w:rsid w:val="00357F1A"/>
    <w:rsid w:val="00362460"/>
    <w:rsid w:val="00364050"/>
    <w:rsid w:val="00364B63"/>
    <w:rsid w:val="00365DD9"/>
    <w:rsid w:val="0037452D"/>
    <w:rsid w:val="00374FD1"/>
    <w:rsid w:val="003762D7"/>
    <w:rsid w:val="00376DF1"/>
    <w:rsid w:val="0037701C"/>
    <w:rsid w:val="00377884"/>
    <w:rsid w:val="00380703"/>
    <w:rsid w:val="003820AF"/>
    <w:rsid w:val="00382386"/>
    <w:rsid w:val="0039008B"/>
    <w:rsid w:val="003917D8"/>
    <w:rsid w:val="0039188A"/>
    <w:rsid w:val="0039266C"/>
    <w:rsid w:val="003A1319"/>
    <w:rsid w:val="003A1AB7"/>
    <w:rsid w:val="003A2368"/>
    <w:rsid w:val="003A4125"/>
    <w:rsid w:val="003A66BE"/>
    <w:rsid w:val="003B0064"/>
    <w:rsid w:val="003B00D4"/>
    <w:rsid w:val="003B0655"/>
    <w:rsid w:val="003B1782"/>
    <w:rsid w:val="003B307C"/>
    <w:rsid w:val="003B38C3"/>
    <w:rsid w:val="003B5EAC"/>
    <w:rsid w:val="003B6A1B"/>
    <w:rsid w:val="003B6ACD"/>
    <w:rsid w:val="003B77D1"/>
    <w:rsid w:val="003B7F52"/>
    <w:rsid w:val="003C0FE9"/>
    <w:rsid w:val="003C386B"/>
    <w:rsid w:val="003C608A"/>
    <w:rsid w:val="003D00DF"/>
    <w:rsid w:val="003D2DD2"/>
    <w:rsid w:val="003D359B"/>
    <w:rsid w:val="003D4455"/>
    <w:rsid w:val="003D75B7"/>
    <w:rsid w:val="003D7E05"/>
    <w:rsid w:val="003E0187"/>
    <w:rsid w:val="003E34FD"/>
    <w:rsid w:val="003F1CF0"/>
    <w:rsid w:val="003F2E07"/>
    <w:rsid w:val="0040220B"/>
    <w:rsid w:val="00404E91"/>
    <w:rsid w:val="0040546A"/>
    <w:rsid w:val="00405ED1"/>
    <w:rsid w:val="00420F8C"/>
    <w:rsid w:val="00421A48"/>
    <w:rsid w:val="00424ACD"/>
    <w:rsid w:val="004333D1"/>
    <w:rsid w:val="00435081"/>
    <w:rsid w:val="00436477"/>
    <w:rsid w:val="00437999"/>
    <w:rsid w:val="004527C1"/>
    <w:rsid w:val="00452F95"/>
    <w:rsid w:val="004534E7"/>
    <w:rsid w:val="0045654C"/>
    <w:rsid w:val="00457F91"/>
    <w:rsid w:val="00462A33"/>
    <w:rsid w:val="0046449B"/>
    <w:rsid w:val="00467E92"/>
    <w:rsid w:val="00473FFF"/>
    <w:rsid w:val="00474999"/>
    <w:rsid w:val="00476412"/>
    <w:rsid w:val="00476434"/>
    <w:rsid w:val="00480BF6"/>
    <w:rsid w:val="004840D2"/>
    <w:rsid w:val="004A4447"/>
    <w:rsid w:val="004A6247"/>
    <w:rsid w:val="004A79E8"/>
    <w:rsid w:val="004B3D06"/>
    <w:rsid w:val="004B6653"/>
    <w:rsid w:val="004C0961"/>
    <w:rsid w:val="004C39A1"/>
    <w:rsid w:val="004C5C6D"/>
    <w:rsid w:val="004C7990"/>
    <w:rsid w:val="004D074F"/>
    <w:rsid w:val="004D2FB3"/>
    <w:rsid w:val="004D5A5E"/>
    <w:rsid w:val="004D5F56"/>
    <w:rsid w:val="004D656B"/>
    <w:rsid w:val="004D6B6D"/>
    <w:rsid w:val="004D7111"/>
    <w:rsid w:val="004D779D"/>
    <w:rsid w:val="004D7EA5"/>
    <w:rsid w:val="004E0395"/>
    <w:rsid w:val="004E2DF6"/>
    <w:rsid w:val="004E3939"/>
    <w:rsid w:val="004E3D4D"/>
    <w:rsid w:val="004E3D93"/>
    <w:rsid w:val="004E469E"/>
    <w:rsid w:val="004E48A2"/>
    <w:rsid w:val="004E711C"/>
    <w:rsid w:val="004F211B"/>
    <w:rsid w:val="004F25DD"/>
    <w:rsid w:val="004F2B39"/>
    <w:rsid w:val="004F374C"/>
    <w:rsid w:val="004F5AC2"/>
    <w:rsid w:val="00504477"/>
    <w:rsid w:val="0050494A"/>
    <w:rsid w:val="00510310"/>
    <w:rsid w:val="00516CE7"/>
    <w:rsid w:val="00521376"/>
    <w:rsid w:val="005215EF"/>
    <w:rsid w:val="00521B86"/>
    <w:rsid w:val="005245B8"/>
    <w:rsid w:val="0052605D"/>
    <w:rsid w:val="005279D4"/>
    <w:rsid w:val="00527FDB"/>
    <w:rsid w:val="00532821"/>
    <w:rsid w:val="00533373"/>
    <w:rsid w:val="00544E50"/>
    <w:rsid w:val="00547145"/>
    <w:rsid w:val="00551967"/>
    <w:rsid w:val="0055228B"/>
    <w:rsid w:val="00552777"/>
    <w:rsid w:val="005546DD"/>
    <w:rsid w:val="00556608"/>
    <w:rsid w:val="00556CA9"/>
    <w:rsid w:val="005655C1"/>
    <w:rsid w:val="00566D0B"/>
    <w:rsid w:val="00583872"/>
    <w:rsid w:val="0058634D"/>
    <w:rsid w:val="00590BF2"/>
    <w:rsid w:val="005912FA"/>
    <w:rsid w:val="005934B9"/>
    <w:rsid w:val="005939D7"/>
    <w:rsid w:val="005943C2"/>
    <w:rsid w:val="005944BC"/>
    <w:rsid w:val="00595872"/>
    <w:rsid w:val="005A3798"/>
    <w:rsid w:val="005A4AE5"/>
    <w:rsid w:val="005A53F1"/>
    <w:rsid w:val="005A54D6"/>
    <w:rsid w:val="005A63D4"/>
    <w:rsid w:val="005A6567"/>
    <w:rsid w:val="005A65C2"/>
    <w:rsid w:val="005B09AC"/>
    <w:rsid w:val="005C327F"/>
    <w:rsid w:val="005C7C1B"/>
    <w:rsid w:val="005D58A3"/>
    <w:rsid w:val="005D5D48"/>
    <w:rsid w:val="005D73C2"/>
    <w:rsid w:val="005E385B"/>
    <w:rsid w:val="005E5D90"/>
    <w:rsid w:val="005F1AD3"/>
    <w:rsid w:val="005F4D82"/>
    <w:rsid w:val="005F724F"/>
    <w:rsid w:val="00602DAA"/>
    <w:rsid w:val="00606020"/>
    <w:rsid w:val="006112E1"/>
    <w:rsid w:val="00616158"/>
    <w:rsid w:val="00620CC5"/>
    <w:rsid w:val="00621A7C"/>
    <w:rsid w:val="00623D99"/>
    <w:rsid w:val="00624F30"/>
    <w:rsid w:val="00627CB8"/>
    <w:rsid w:val="00630305"/>
    <w:rsid w:val="00630DD5"/>
    <w:rsid w:val="00632770"/>
    <w:rsid w:val="00647076"/>
    <w:rsid w:val="006475BF"/>
    <w:rsid w:val="0065087E"/>
    <w:rsid w:val="00652C6C"/>
    <w:rsid w:val="00652DEA"/>
    <w:rsid w:val="00652EA2"/>
    <w:rsid w:val="00660CF7"/>
    <w:rsid w:val="00660D7E"/>
    <w:rsid w:val="0066234D"/>
    <w:rsid w:val="006637D2"/>
    <w:rsid w:val="00664193"/>
    <w:rsid w:val="00667BCF"/>
    <w:rsid w:val="006701B0"/>
    <w:rsid w:val="0067121E"/>
    <w:rsid w:val="00671B55"/>
    <w:rsid w:val="00673595"/>
    <w:rsid w:val="00673EB1"/>
    <w:rsid w:val="00682F05"/>
    <w:rsid w:val="00683E39"/>
    <w:rsid w:val="00687C76"/>
    <w:rsid w:val="006913CC"/>
    <w:rsid w:val="00691528"/>
    <w:rsid w:val="00691AAB"/>
    <w:rsid w:val="00692738"/>
    <w:rsid w:val="006A238A"/>
    <w:rsid w:val="006A3FD4"/>
    <w:rsid w:val="006A54AF"/>
    <w:rsid w:val="006A7031"/>
    <w:rsid w:val="006A7044"/>
    <w:rsid w:val="006A7272"/>
    <w:rsid w:val="006A7987"/>
    <w:rsid w:val="006B09A5"/>
    <w:rsid w:val="006B0A0A"/>
    <w:rsid w:val="006B1452"/>
    <w:rsid w:val="006B271A"/>
    <w:rsid w:val="006B4DC7"/>
    <w:rsid w:val="006B7375"/>
    <w:rsid w:val="006B7B55"/>
    <w:rsid w:val="006C1099"/>
    <w:rsid w:val="006C3D57"/>
    <w:rsid w:val="006C5E69"/>
    <w:rsid w:val="006D1238"/>
    <w:rsid w:val="006D170F"/>
    <w:rsid w:val="006D1BE0"/>
    <w:rsid w:val="006D1CA8"/>
    <w:rsid w:val="006D42C7"/>
    <w:rsid w:val="006D4B0E"/>
    <w:rsid w:val="006D7577"/>
    <w:rsid w:val="006D797B"/>
    <w:rsid w:val="006E0386"/>
    <w:rsid w:val="006E0A8C"/>
    <w:rsid w:val="006E4826"/>
    <w:rsid w:val="006E6AC1"/>
    <w:rsid w:val="006E7D98"/>
    <w:rsid w:val="006F00F2"/>
    <w:rsid w:val="006F1041"/>
    <w:rsid w:val="00703D5A"/>
    <w:rsid w:val="00714113"/>
    <w:rsid w:val="007233F9"/>
    <w:rsid w:val="00723CAC"/>
    <w:rsid w:val="00735C3B"/>
    <w:rsid w:val="0074620B"/>
    <w:rsid w:val="00747D87"/>
    <w:rsid w:val="007559F0"/>
    <w:rsid w:val="00757470"/>
    <w:rsid w:val="00757B44"/>
    <w:rsid w:val="00762CE0"/>
    <w:rsid w:val="00762DF3"/>
    <w:rsid w:val="00770DBF"/>
    <w:rsid w:val="00772EAD"/>
    <w:rsid w:val="0077487D"/>
    <w:rsid w:val="00775F52"/>
    <w:rsid w:val="007806A6"/>
    <w:rsid w:val="00780C7B"/>
    <w:rsid w:val="00783962"/>
    <w:rsid w:val="00783A00"/>
    <w:rsid w:val="0078520B"/>
    <w:rsid w:val="0078574A"/>
    <w:rsid w:val="0078647A"/>
    <w:rsid w:val="00786AF5"/>
    <w:rsid w:val="00790A7D"/>
    <w:rsid w:val="00793CB3"/>
    <w:rsid w:val="00794822"/>
    <w:rsid w:val="007963C6"/>
    <w:rsid w:val="007A09CF"/>
    <w:rsid w:val="007A0ACA"/>
    <w:rsid w:val="007A3535"/>
    <w:rsid w:val="007A3E44"/>
    <w:rsid w:val="007A3FCC"/>
    <w:rsid w:val="007A5A78"/>
    <w:rsid w:val="007A78CB"/>
    <w:rsid w:val="007B0850"/>
    <w:rsid w:val="007B4892"/>
    <w:rsid w:val="007B4D45"/>
    <w:rsid w:val="007B71BF"/>
    <w:rsid w:val="007C0156"/>
    <w:rsid w:val="007C0553"/>
    <w:rsid w:val="007C1B69"/>
    <w:rsid w:val="007C3608"/>
    <w:rsid w:val="007C36FB"/>
    <w:rsid w:val="007D1569"/>
    <w:rsid w:val="007D432D"/>
    <w:rsid w:val="007D463A"/>
    <w:rsid w:val="007D672B"/>
    <w:rsid w:val="007D6DAA"/>
    <w:rsid w:val="007D7EF7"/>
    <w:rsid w:val="007E48A7"/>
    <w:rsid w:val="007E623D"/>
    <w:rsid w:val="007E633C"/>
    <w:rsid w:val="007E71C3"/>
    <w:rsid w:val="007F620E"/>
    <w:rsid w:val="007F6CF5"/>
    <w:rsid w:val="00801E21"/>
    <w:rsid w:val="00802101"/>
    <w:rsid w:val="008021C4"/>
    <w:rsid w:val="00802701"/>
    <w:rsid w:val="00802927"/>
    <w:rsid w:val="008033A7"/>
    <w:rsid w:val="0080797B"/>
    <w:rsid w:val="00815F1F"/>
    <w:rsid w:val="0081626F"/>
    <w:rsid w:val="00831C57"/>
    <w:rsid w:val="00832DA7"/>
    <w:rsid w:val="0083350A"/>
    <w:rsid w:val="00837800"/>
    <w:rsid w:val="00852513"/>
    <w:rsid w:val="00853B05"/>
    <w:rsid w:val="00855C7F"/>
    <w:rsid w:val="00855FD7"/>
    <w:rsid w:val="0086221E"/>
    <w:rsid w:val="00863B1E"/>
    <w:rsid w:val="008643AC"/>
    <w:rsid w:val="00872F2D"/>
    <w:rsid w:val="008755A5"/>
    <w:rsid w:val="008771F5"/>
    <w:rsid w:val="00877B2B"/>
    <w:rsid w:val="00883361"/>
    <w:rsid w:val="008844B6"/>
    <w:rsid w:val="00885707"/>
    <w:rsid w:val="00885956"/>
    <w:rsid w:val="00886869"/>
    <w:rsid w:val="0089585B"/>
    <w:rsid w:val="008A7CBA"/>
    <w:rsid w:val="008A7E9A"/>
    <w:rsid w:val="008B36F3"/>
    <w:rsid w:val="008B67E2"/>
    <w:rsid w:val="008B6D93"/>
    <w:rsid w:val="008C09F7"/>
    <w:rsid w:val="008C2208"/>
    <w:rsid w:val="008C584D"/>
    <w:rsid w:val="008D288E"/>
    <w:rsid w:val="008D69BE"/>
    <w:rsid w:val="008D721B"/>
    <w:rsid w:val="008E0A38"/>
    <w:rsid w:val="008E221B"/>
    <w:rsid w:val="008E3450"/>
    <w:rsid w:val="008E4336"/>
    <w:rsid w:val="008F0F1F"/>
    <w:rsid w:val="008F1D04"/>
    <w:rsid w:val="0090091F"/>
    <w:rsid w:val="00903C64"/>
    <w:rsid w:val="00903FF8"/>
    <w:rsid w:val="00905087"/>
    <w:rsid w:val="00910434"/>
    <w:rsid w:val="009111C9"/>
    <w:rsid w:val="009128D6"/>
    <w:rsid w:val="00915118"/>
    <w:rsid w:val="00924B6D"/>
    <w:rsid w:val="00925625"/>
    <w:rsid w:val="00925957"/>
    <w:rsid w:val="00925FAB"/>
    <w:rsid w:val="00927CCB"/>
    <w:rsid w:val="00932B56"/>
    <w:rsid w:val="00933BD8"/>
    <w:rsid w:val="0094744E"/>
    <w:rsid w:val="00954E1B"/>
    <w:rsid w:val="00963EEF"/>
    <w:rsid w:val="00966498"/>
    <w:rsid w:val="009730CE"/>
    <w:rsid w:val="009835DB"/>
    <w:rsid w:val="00984DF6"/>
    <w:rsid w:val="00986DF3"/>
    <w:rsid w:val="00990CC0"/>
    <w:rsid w:val="00991989"/>
    <w:rsid w:val="009A12EF"/>
    <w:rsid w:val="009A32D3"/>
    <w:rsid w:val="009A62F6"/>
    <w:rsid w:val="009A6422"/>
    <w:rsid w:val="009A7144"/>
    <w:rsid w:val="009B07BF"/>
    <w:rsid w:val="009B44A5"/>
    <w:rsid w:val="009B472B"/>
    <w:rsid w:val="009C0D15"/>
    <w:rsid w:val="009C5DF0"/>
    <w:rsid w:val="009D10AA"/>
    <w:rsid w:val="009D191F"/>
    <w:rsid w:val="009D5933"/>
    <w:rsid w:val="009E48E4"/>
    <w:rsid w:val="009E5F9B"/>
    <w:rsid w:val="009E6DAC"/>
    <w:rsid w:val="009F12D8"/>
    <w:rsid w:val="009F1465"/>
    <w:rsid w:val="00A00863"/>
    <w:rsid w:val="00A016E0"/>
    <w:rsid w:val="00A041F8"/>
    <w:rsid w:val="00A06C35"/>
    <w:rsid w:val="00A07A96"/>
    <w:rsid w:val="00A10B9C"/>
    <w:rsid w:val="00A135FC"/>
    <w:rsid w:val="00A138F3"/>
    <w:rsid w:val="00A25C3E"/>
    <w:rsid w:val="00A308C3"/>
    <w:rsid w:val="00A319DE"/>
    <w:rsid w:val="00A404EF"/>
    <w:rsid w:val="00A42F95"/>
    <w:rsid w:val="00A45F40"/>
    <w:rsid w:val="00A461FF"/>
    <w:rsid w:val="00A512D1"/>
    <w:rsid w:val="00A51323"/>
    <w:rsid w:val="00A625E7"/>
    <w:rsid w:val="00A62A26"/>
    <w:rsid w:val="00A64967"/>
    <w:rsid w:val="00A64E48"/>
    <w:rsid w:val="00A67E89"/>
    <w:rsid w:val="00A71DB7"/>
    <w:rsid w:val="00A75D2D"/>
    <w:rsid w:val="00A766E6"/>
    <w:rsid w:val="00A77E67"/>
    <w:rsid w:val="00A852A2"/>
    <w:rsid w:val="00A858C5"/>
    <w:rsid w:val="00A860E5"/>
    <w:rsid w:val="00A86988"/>
    <w:rsid w:val="00A910F1"/>
    <w:rsid w:val="00A9119F"/>
    <w:rsid w:val="00A92A3C"/>
    <w:rsid w:val="00A92D0B"/>
    <w:rsid w:val="00A9478B"/>
    <w:rsid w:val="00A95B4E"/>
    <w:rsid w:val="00AA1740"/>
    <w:rsid w:val="00AA31B4"/>
    <w:rsid w:val="00AB01FC"/>
    <w:rsid w:val="00AB2754"/>
    <w:rsid w:val="00AB2F7F"/>
    <w:rsid w:val="00AB3510"/>
    <w:rsid w:val="00AB51F2"/>
    <w:rsid w:val="00AB581D"/>
    <w:rsid w:val="00AB6D3F"/>
    <w:rsid w:val="00AC0BC6"/>
    <w:rsid w:val="00AC5A4B"/>
    <w:rsid w:val="00AD5797"/>
    <w:rsid w:val="00AD742A"/>
    <w:rsid w:val="00AE2601"/>
    <w:rsid w:val="00AE2F2D"/>
    <w:rsid w:val="00AE429F"/>
    <w:rsid w:val="00AF40EE"/>
    <w:rsid w:val="00AF6B69"/>
    <w:rsid w:val="00B00BCD"/>
    <w:rsid w:val="00B01680"/>
    <w:rsid w:val="00B0172D"/>
    <w:rsid w:val="00B03003"/>
    <w:rsid w:val="00B03C46"/>
    <w:rsid w:val="00B04325"/>
    <w:rsid w:val="00B04F84"/>
    <w:rsid w:val="00B11D38"/>
    <w:rsid w:val="00B1593B"/>
    <w:rsid w:val="00B25788"/>
    <w:rsid w:val="00B25F3A"/>
    <w:rsid w:val="00B312DA"/>
    <w:rsid w:val="00B31565"/>
    <w:rsid w:val="00B332CD"/>
    <w:rsid w:val="00B33E85"/>
    <w:rsid w:val="00B36045"/>
    <w:rsid w:val="00B413B4"/>
    <w:rsid w:val="00B461D4"/>
    <w:rsid w:val="00B46BFC"/>
    <w:rsid w:val="00B51C2B"/>
    <w:rsid w:val="00B54991"/>
    <w:rsid w:val="00B55CCD"/>
    <w:rsid w:val="00B55D78"/>
    <w:rsid w:val="00B575AE"/>
    <w:rsid w:val="00B6134D"/>
    <w:rsid w:val="00B62AC0"/>
    <w:rsid w:val="00B63DB3"/>
    <w:rsid w:val="00B66CF5"/>
    <w:rsid w:val="00B71F97"/>
    <w:rsid w:val="00B7423F"/>
    <w:rsid w:val="00B76603"/>
    <w:rsid w:val="00B81DBD"/>
    <w:rsid w:val="00B907C0"/>
    <w:rsid w:val="00B94DC8"/>
    <w:rsid w:val="00BA0F95"/>
    <w:rsid w:val="00BA4FDA"/>
    <w:rsid w:val="00BA548C"/>
    <w:rsid w:val="00BA7FED"/>
    <w:rsid w:val="00BB0911"/>
    <w:rsid w:val="00BB1846"/>
    <w:rsid w:val="00BB2E53"/>
    <w:rsid w:val="00BB49BB"/>
    <w:rsid w:val="00BB5562"/>
    <w:rsid w:val="00BB62CF"/>
    <w:rsid w:val="00BC0874"/>
    <w:rsid w:val="00BC0C5D"/>
    <w:rsid w:val="00BC475E"/>
    <w:rsid w:val="00BD33AA"/>
    <w:rsid w:val="00BD3A98"/>
    <w:rsid w:val="00BD4F05"/>
    <w:rsid w:val="00BD6728"/>
    <w:rsid w:val="00BD6B0E"/>
    <w:rsid w:val="00BE0185"/>
    <w:rsid w:val="00BE0675"/>
    <w:rsid w:val="00BE0C5B"/>
    <w:rsid w:val="00BE115C"/>
    <w:rsid w:val="00BE1988"/>
    <w:rsid w:val="00BE45D0"/>
    <w:rsid w:val="00BE4ADD"/>
    <w:rsid w:val="00BE610C"/>
    <w:rsid w:val="00BF2753"/>
    <w:rsid w:val="00BF2F45"/>
    <w:rsid w:val="00C02649"/>
    <w:rsid w:val="00C0471D"/>
    <w:rsid w:val="00C06117"/>
    <w:rsid w:val="00C07F86"/>
    <w:rsid w:val="00C107E7"/>
    <w:rsid w:val="00C11E3E"/>
    <w:rsid w:val="00C13B3F"/>
    <w:rsid w:val="00C16981"/>
    <w:rsid w:val="00C169B7"/>
    <w:rsid w:val="00C16B00"/>
    <w:rsid w:val="00C171C9"/>
    <w:rsid w:val="00C225C3"/>
    <w:rsid w:val="00C23E22"/>
    <w:rsid w:val="00C339AE"/>
    <w:rsid w:val="00C371D5"/>
    <w:rsid w:val="00C372E0"/>
    <w:rsid w:val="00C40AB9"/>
    <w:rsid w:val="00C4277A"/>
    <w:rsid w:val="00C43B8E"/>
    <w:rsid w:val="00C53AAB"/>
    <w:rsid w:val="00C55E85"/>
    <w:rsid w:val="00C61474"/>
    <w:rsid w:val="00C62868"/>
    <w:rsid w:val="00C64934"/>
    <w:rsid w:val="00C672F5"/>
    <w:rsid w:val="00C67A91"/>
    <w:rsid w:val="00C70498"/>
    <w:rsid w:val="00C708F1"/>
    <w:rsid w:val="00C71E1D"/>
    <w:rsid w:val="00C742D7"/>
    <w:rsid w:val="00C765A2"/>
    <w:rsid w:val="00C80771"/>
    <w:rsid w:val="00C818F0"/>
    <w:rsid w:val="00C82D55"/>
    <w:rsid w:val="00C86D9B"/>
    <w:rsid w:val="00C90C57"/>
    <w:rsid w:val="00C92CF6"/>
    <w:rsid w:val="00C95B4E"/>
    <w:rsid w:val="00C95D99"/>
    <w:rsid w:val="00C974B9"/>
    <w:rsid w:val="00CA045E"/>
    <w:rsid w:val="00CA1D95"/>
    <w:rsid w:val="00CA1F5B"/>
    <w:rsid w:val="00CA3936"/>
    <w:rsid w:val="00CB5AE7"/>
    <w:rsid w:val="00CB78F6"/>
    <w:rsid w:val="00CC12C1"/>
    <w:rsid w:val="00CC3480"/>
    <w:rsid w:val="00CC4B40"/>
    <w:rsid w:val="00CC6C64"/>
    <w:rsid w:val="00CD6886"/>
    <w:rsid w:val="00CD7567"/>
    <w:rsid w:val="00CD7D17"/>
    <w:rsid w:val="00CE55CC"/>
    <w:rsid w:val="00CF1129"/>
    <w:rsid w:val="00D075B1"/>
    <w:rsid w:val="00D10372"/>
    <w:rsid w:val="00D12FA5"/>
    <w:rsid w:val="00D130E4"/>
    <w:rsid w:val="00D20149"/>
    <w:rsid w:val="00D20D0A"/>
    <w:rsid w:val="00D27D5F"/>
    <w:rsid w:val="00D30039"/>
    <w:rsid w:val="00D30C4F"/>
    <w:rsid w:val="00D3181D"/>
    <w:rsid w:val="00D36884"/>
    <w:rsid w:val="00D36927"/>
    <w:rsid w:val="00D40692"/>
    <w:rsid w:val="00D4242F"/>
    <w:rsid w:val="00D45321"/>
    <w:rsid w:val="00D461EE"/>
    <w:rsid w:val="00D5001D"/>
    <w:rsid w:val="00D500BA"/>
    <w:rsid w:val="00D56BCA"/>
    <w:rsid w:val="00D56D8A"/>
    <w:rsid w:val="00D632CA"/>
    <w:rsid w:val="00D71CAC"/>
    <w:rsid w:val="00D744A6"/>
    <w:rsid w:val="00D74F4E"/>
    <w:rsid w:val="00D75107"/>
    <w:rsid w:val="00D758BA"/>
    <w:rsid w:val="00D7749E"/>
    <w:rsid w:val="00D84F94"/>
    <w:rsid w:val="00D86F03"/>
    <w:rsid w:val="00D8769E"/>
    <w:rsid w:val="00D908A6"/>
    <w:rsid w:val="00D93C87"/>
    <w:rsid w:val="00D93EB5"/>
    <w:rsid w:val="00D94DFB"/>
    <w:rsid w:val="00D9771D"/>
    <w:rsid w:val="00DA07FE"/>
    <w:rsid w:val="00DA0B90"/>
    <w:rsid w:val="00DA11AC"/>
    <w:rsid w:val="00DA1AF8"/>
    <w:rsid w:val="00DA3AEE"/>
    <w:rsid w:val="00DB28A1"/>
    <w:rsid w:val="00DB3713"/>
    <w:rsid w:val="00DC19F9"/>
    <w:rsid w:val="00DC4D43"/>
    <w:rsid w:val="00DC6081"/>
    <w:rsid w:val="00DC7BAA"/>
    <w:rsid w:val="00DD06F1"/>
    <w:rsid w:val="00DD52BB"/>
    <w:rsid w:val="00DD6981"/>
    <w:rsid w:val="00DD6A42"/>
    <w:rsid w:val="00DE3A5D"/>
    <w:rsid w:val="00DE41AA"/>
    <w:rsid w:val="00DE6587"/>
    <w:rsid w:val="00E00990"/>
    <w:rsid w:val="00E00FCE"/>
    <w:rsid w:val="00E01BDC"/>
    <w:rsid w:val="00E04EE6"/>
    <w:rsid w:val="00E05F2F"/>
    <w:rsid w:val="00E07DAA"/>
    <w:rsid w:val="00E13777"/>
    <w:rsid w:val="00E138F4"/>
    <w:rsid w:val="00E1536B"/>
    <w:rsid w:val="00E15DC3"/>
    <w:rsid w:val="00E15FCF"/>
    <w:rsid w:val="00E21EA5"/>
    <w:rsid w:val="00E22A46"/>
    <w:rsid w:val="00E25078"/>
    <w:rsid w:val="00E2624A"/>
    <w:rsid w:val="00E31B84"/>
    <w:rsid w:val="00E3268D"/>
    <w:rsid w:val="00E33AEF"/>
    <w:rsid w:val="00E3786F"/>
    <w:rsid w:val="00E40140"/>
    <w:rsid w:val="00E415F0"/>
    <w:rsid w:val="00E46291"/>
    <w:rsid w:val="00E46D15"/>
    <w:rsid w:val="00E510CA"/>
    <w:rsid w:val="00E52992"/>
    <w:rsid w:val="00E5412C"/>
    <w:rsid w:val="00E57C6D"/>
    <w:rsid w:val="00E60942"/>
    <w:rsid w:val="00E61BEC"/>
    <w:rsid w:val="00E67A29"/>
    <w:rsid w:val="00E734E8"/>
    <w:rsid w:val="00E75E09"/>
    <w:rsid w:val="00E75F40"/>
    <w:rsid w:val="00E93372"/>
    <w:rsid w:val="00E9366A"/>
    <w:rsid w:val="00E940A5"/>
    <w:rsid w:val="00E959A0"/>
    <w:rsid w:val="00EA3293"/>
    <w:rsid w:val="00EA34EC"/>
    <w:rsid w:val="00EA39B0"/>
    <w:rsid w:val="00EB1FE4"/>
    <w:rsid w:val="00EB3E7B"/>
    <w:rsid w:val="00EC3AEA"/>
    <w:rsid w:val="00EC4427"/>
    <w:rsid w:val="00ED2975"/>
    <w:rsid w:val="00ED57C5"/>
    <w:rsid w:val="00ED6B6B"/>
    <w:rsid w:val="00EE21DC"/>
    <w:rsid w:val="00EE27CC"/>
    <w:rsid w:val="00EF32A8"/>
    <w:rsid w:val="00F04904"/>
    <w:rsid w:val="00F05CF9"/>
    <w:rsid w:val="00F11B84"/>
    <w:rsid w:val="00F15888"/>
    <w:rsid w:val="00F20061"/>
    <w:rsid w:val="00F22FE2"/>
    <w:rsid w:val="00F26371"/>
    <w:rsid w:val="00F26DBA"/>
    <w:rsid w:val="00F308C8"/>
    <w:rsid w:val="00F30DA8"/>
    <w:rsid w:val="00F32D89"/>
    <w:rsid w:val="00F33077"/>
    <w:rsid w:val="00F34C1F"/>
    <w:rsid w:val="00F3772B"/>
    <w:rsid w:val="00F4045E"/>
    <w:rsid w:val="00F43124"/>
    <w:rsid w:val="00F45E9E"/>
    <w:rsid w:val="00F47E87"/>
    <w:rsid w:val="00F52D7E"/>
    <w:rsid w:val="00F544BA"/>
    <w:rsid w:val="00F6010C"/>
    <w:rsid w:val="00F63C29"/>
    <w:rsid w:val="00F650AE"/>
    <w:rsid w:val="00F66A5A"/>
    <w:rsid w:val="00F7391B"/>
    <w:rsid w:val="00F7409C"/>
    <w:rsid w:val="00F80363"/>
    <w:rsid w:val="00F81778"/>
    <w:rsid w:val="00F84B16"/>
    <w:rsid w:val="00F85425"/>
    <w:rsid w:val="00F91E6B"/>
    <w:rsid w:val="00F9588A"/>
    <w:rsid w:val="00F958D4"/>
    <w:rsid w:val="00FA391F"/>
    <w:rsid w:val="00FA4732"/>
    <w:rsid w:val="00FA73CE"/>
    <w:rsid w:val="00FB2109"/>
    <w:rsid w:val="00FC3AF0"/>
    <w:rsid w:val="00FC5476"/>
    <w:rsid w:val="00FC66C4"/>
    <w:rsid w:val="00FC72B7"/>
    <w:rsid w:val="00FD0570"/>
    <w:rsid w:val="00FD11FA"/>
    <w:rsid w:val="00FD3645"/>
    <w:rsid w:val="00FE3BAE"/>
    <w:rsid w:val="00FE40A6"/>
    <w:rsid w:val="00FE6336"/>
    <w:rsid w:val="00FE72EF"/>
    <w:rsid w:val="00FF1766"/>
    <w:rsid w:val="00FF1A72"/>
    <w:rsid w:val="00FF1E36"/>
    <w:rsid w:val="00FF4AA2"/>
    <w:rsid w:val="00FF702A"/>
    <w:rsid w:val="2D2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0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E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885956"/>
    <w:rPr>
      <w:sz w:val="20"/>
      <w:szCs w:val="20"/>
    </w:rPr>
  </w:style>
  <w:style w:type="character" w:customStyle="1" w:styleId="FootnoteTextChar">
    <w:name w:val="Footnote Text Char"/>
    <w:basedOn w:val="DefaultParagraphFont"/>
    <w:link w:val="FootnoteText"/>
    <w:uiPriority w:val="99"/>
    <w:rsid w:val="00885956"/>
  </w:style>
  <w:style w:type="character" w:styleId="FootnoteReference">
    <w:name w:val="footnote reference"/>
    <w:uiPriority w:val="99"/>
    <w:rsid w:val="00885956"/>
    <w:rPr>
      <w:vertAlign w:val="superscript"/>
    </w:rPr>
  </w:style>
  <w:style w:type="paragraph" w:styleId="ListParagraph">
    <w:name w:val="List Paragraph"/>
    <w:basedOn w:val="Normal"/>
    <w:uiPriority w:val="34"/>
    <w:qFormat/>
    <w:rsid w:val="00885956"/>
    <w:pPr>
      <w:ind w:left="720"/>
    </w:pPr>
    <w:rPr>
      <w:rFonts w:ascii="Calibri" w:eastAsia="Calibri" w:hAnsi="Calibri"/>
      <w:sz w:val="22"/>
      <w:szCs w:val="22"/>
    </w:rPr>
  </w:style>
  <w:style w:type="character" w:styleId="FollowedHyperlink">
    <w:name w:val="FollowedHyperlink"/>
    <w:rsid w:val="00885956"/>
    <w:rPr>
      <w:color w:val="800080"/>
      <w:u w:val="single"/>
    </w:rPr>
  </w:style>
  <w:style w:type="paragraph" w:styleId="Header">
    <w:name w:val="header"/>
    <w:basedOn w:val="Normal"/>
    <w:link w:val="HeaderChar"/>
    <w:uiPriority w:val="99"/>
    <w:rsid w:val="00B00BCD"/>
    <w:pPr>
      <w:tabs>
        <w:tab w:val="center" w:pos="4680"/>
        <w:tab w:val="right" w:pos="9360"/>
      </w:tabs>
    </w:pPr>
  </w:style>
  <w:style w:type="character" w:customStyle="1" w:styleId="HeaderChar">
    <w:name w:val="Header Char"/>
    <w:link w:val="Header"/>
    <w:uiPriority w:val="99"/>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character" w:customStyle="1" w:styleId="standardChar">
    <w:name w:val="standard Char"/>
    <w:link w:val="standard"/>
    <w:locked/>
    <w:rsid w:val="00FE3BAE"/>
    <w:rPr>
      <w:rFonts w:ascii="Palatino" w:hAnsi="Palatino"/>
      <w:sz w:val="26"/>
    </w:rPr>
  </w:style>
  <w:style w:type="paragraph" w:customStyle="1" w:styleId="standard">
    <w:name w:val="standard"/>
    <w:basedOn w:val="Normal"/>
    <w:link w:val="standardChar"/>
    <w:rsid w:val="00FE3BAE"/>
    <w:pPr>
      <w:spacing w:line="360" w:lineRule="auto"/>
      <w:ind w:firstLine="720"/>
    </w:pPr>
    <w:rPr>
      <w:rFonts w:ascii="Palatino" w:hAnsi="Palatino"/>
      <w:sz w:val="26"/>
      <w:szCs w:val="20"/>
    </w:rPr>
  </w:style>
  <w:style w:type="paragraph" w:styleId="NormalWeb">
    <w:name w:val="Normal (Web)"/>
    <w:basedOn w:val="Normal"/>
    <w:uiPriority w:val="99"/>
    <w:unhideWhenUsed/>
    <w:rsid w:val="009E48E4"/>
    <w:rPr>
      <w:rFonts w:eastAsiaTheme="minorHAnsi"/>
    </w:rPr>
  </w:style>
  <w:style w:type="character" w:customStyle="1" w:styleId="zzmpTrailerItem">
    <w:name w:val="zzmpTrailerItem"/>
    <w:basedOn w:val="DefaultParagraphFont"/>
    <w:rsid w:val="0034190B"/>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990">
      <w:bodyDiv w:val="1"/>
      <w:marLeft w:val="0"/>
      <w:marRight w:val="0"/>
      <w:marTop w:val="0"/>
      <w:marBottom w:val="0"/>
      <w:divBdr>
        <w:top w:val="none" w:sz="0" w:space="0" w:color="auto"/>
        <w:left w:val="none" w:sz="0" w:space="0" w:color="auto"/>
        <w:bottom w:val="none" w:sz="0" w:space="0" w:color="auto"/>
        <w:right w:val="none" w:sz="0" w:space="0" w:color="auto"/>
      </w:divBdr>
    </w:div>
    <w:div w:id="35159794">
      <w:bodyDiv w:val="1"/>
      <w:marLeft w:val="0"/>
      <w:marRight w:val="0"/>
      <w:marTop w:val="0"/>
      <w:marBottom w:val="0"/>
      <w:divBdr>
        <w:top w:val="none" w:sz="0" w:space="0" w:color="auto"/>
        <w:left w:val="none" w:sz="0" w:space="0" w:color="auto"/>
        <w:bottom w:val="none" w:sz="0" w:space="0" w:color="auto"/>
        <w:right w:val="none" w:sz="0" w:space="0" w:color="auto"/>
      </w:divBdr>
    </w:div>
    <w:div w:id="150217600">
      <w:bodyDiv w:val="1"/>
      <w:marLeft w:val="0"/>
      <w:marRight w:val="0"/>
      <w:marTop w:val="0"/>
      <w:marBottom w:val="0"/>
      <w:divBdr>
        <w:top w:val="none" w:sz="0" w:space="0" w:color="auto"/>
        <w:left w:val="none" w:sz="0" w:space="0" w:color="auto"/>
        <w:bottom w:val="none" w:sz="0" w:space="0" w:color="auto"/>
        <w:right w:val="none" w:sz="0" w:space="0" w:color="auto"/>
      </w:divBdr>
    </w:div>
    <w:div w:id="170417048">
      <w:bodyDiv w:val="1"/>
      <w:marLeft w:val="0"/>
      <w:marRight w:val="0"/>
      <w:marTop w:val="0"/>
      <w:marBottom w:val="0"/>
      <w:divBdr>
        <w:top w:val="none" w:sz="0" w:space="0" w:color="auto"/>
        <w:left w:val="none" w:sz="0" w:space="0" w:color="auto"/>
        <w:bottom w:val="none" w:sz="0" w:space="0" w:color="auto"/>
        <w:right w:val="none" w:sz="0" w:space="0" w:color="auto"/>
      </w:divBdr>
    </w:div>
    <w:div w:id="176123565">
      <w:bodyDiv w:val="1"/>
      <w:marLeft w:val="0"/>
      <w:marRight w:val="0"/>
      <w:marTop w:val="0"/>
      <w:marBottom w:val="0"/>
      <w:divBdr>
        <w:top w:val="none" w:sz="0" w:space="0" w:color="auto"/>
        <w:left w:val="none" w:sz="0" w:space="0" w:color="auto"/>
        <w:bottom w:val="none" w:sz="0" w:space="0" w:color="auto"/>
        <w:right w:val="none" w:sz="0" w:space="0" w:color="auto"/>
      </w:divBdr>
    </w:div>
    <w:div w:id="184708613">
      <w:bodyDiv w:val="1"/>
      <w:marLeft w:val="0"/>
      <w:marRight w:val="0"/>
      <w:marTop w:val="0"/>
      <w:marBottom w:val="0"/>
      <w:divBdr>
        <w:top w:val="none" w:sz="0" w:space="0" w:color="auto"/>
        <w:left w:val="none" w:sz="0" w:space="0" w:color="auto"/>
        <w:bottom w:val="none" w:sz="0" w:space="0" w:color="auto"/>
        <w:right w:val="none" w:sz="0" w:space="0" w:color="auto"/>
      </w:divBdr>
    </w:div>
    <w:div w:id="267860507">
      <w:bodyDiv w:val="1"/>
      <w:marLeft w:val="0"/>
      <w:marRight w:val="0"/>
      <w:marTop w:val="0"/>
      <w:marBottom w:val="0"/>
      <w:divBdr>
        <w:top w:val="none" w:sz="0" w:space="0" w:color="auto"/>
        <w:left w:val="none" w:sz="0" w:space="0" w:color="auto"/>
        <w:bottom w:val="none" w:sz="0" w:space="0" w:color="auto"/>
        <w:right w:val="none" w:sz="0" w:space="0" w:color="auto"/>
      </w:divBdr>
    </w:div>
    <w:div w:id="275017964">
      <w:bodyDiv w:val="1"/>
      <w:marLeft w:val="0"/>
      <w:marRight w:val="0"/>
      <w:marTop w:val="0"/>
      <w:marBottom w:val="0"/>
      <w:divBdr>
        <w:top w:val="none" w:sz="0" w:space="0" w:color="auto"/>
        <w:left w:val="none" w:sz="0" w:space="0" w:color="auto"/>
        <w:bottom w:val="none" w:sz="0" w:space="0" w:color="auto"/>
        <w:right w:val="none" w:sz="0" w:space="0" w:color="auto"/>
      </w:divBdr>
    </w:div>
    <w:div w:id="284623220">
      <w:bodyDiv w:val="1"/>
      <w:marLeft w:val="0"/>
      <w:marRight w:val="0"/>
      <w:marTop w:val="0"/>
      <w:marBottom w:val="0"/>
      <w:divBdr>
        <w:top w:val="none" w:sz="0" w:space="0" w:color="auto"/>
        <w:left w:val="none" w:sz="0" w:space="0" w:color="auto"/>
        <w:bottom w:val="none" w:sz="0" w:space="0" w:color="auto"/>
        <w:right w:val="none" w:sz="0" w:space="0" w:color="auto"/>
      </w:divBdr>
    </w:div>
    <w:div w:id="288321941">
      <w:bodyDiv w:val="1"/>
      <w:marLeft w:val="0"/>
      <w:marRight w:val="0"/>
      <w:marTop w:val="0"/>
      <w:marBottom w:val="0"/>
      <w:divBdr>
        <w:top w:val="none" w:sz="0" w:space="0" w:color="auto"/>
        <w:left w:val="none" w:sz="0" w:space="0" w:color="auto"/>
        <w:bottom w:val="none" w:sz="0" w:space="0" w:color="auto"/>
        <w:right w:val="none" w:sz="0" w:space="0" w:color="auto"/>
      </w:divBdr>
    </w:div>
    <w:div w:id="323819125">
      <w:bodyDiv w:val="1"/>
      <w:marLeft w:val="0"/>
      <w:marRight w:val="0"/>
      <w:marTop w:val="0"/>
      <w:marBottom w:val="0"/>
      <w:divBdr>
        <w:top w:val="none" w:sz="0" w:space="0" w:color="auto"/>
        <w:left w:val="none" w:sz="0" w:space="0" w:color="auto"/>
        <w:bottom w:val="none" w:sz="0" w:space="0" w:color="auto"/>
        <w:right w:val="none" w:sz="0" w:space="0" w:color="auto"/>
      </w:divBdr>
    </w:div>
    <w:div w:id="346442641">
      <w:bodyDiv w:val="1"/>
      <w:marLeft w:val="0"/>
      <w:marRight w:val="0"/>
      <w:marTop w:val="0"/>
      <w:marBottom w:val="0"/>
      <w:divBdr>
        <w:top w:val="none" w:sz="0" w:space="0" w:color="auto"/>
        <w:left w:val="none" w:sz="0" w:space="0" w:color="auto"/>
        <w:bottom w:val="none" w:sz="0" w:space="0" w:color="auto"/>
        <w:right w:val="none" w:sz="0" w:space="0" w:color="auto"/>
      </w:divBdr>
    </w:div>
    <w:div w:id="440228699">
      <w:bodyDiv w:val="1"/>
      <w:marLeft w:val="0"/>
      <w:marRight w:val="0"/>
      <w:marTop w:val="0"/>
      <w:marBottom w:val="0"/>
      <w:divBdr>
        <w:top w:val="none" w:sz="0" w:space="0" w:color="auto"/>
        <w:left w:val="none" w:sz="0" w:space="0" w:color="auto"/>
        <w:bottom w:val="none" w:sz="0" w:space="0" w:color="auto"/>
        <w:right w:val="none" w:sz="0" w:space="0" w:color="auto"/>
      </w:divBdr>
    </w:div>
    <w:div w:id="452603566">
      <w:bodyDiv w:val="1"/>
      <w:marLeft w:val="0"/>
      <w:marRight w:val="0"/>
      <w:marTop w:val="0"/>
      <w:marBottom w:val="0"/>
      <w:divBdr>
        <w:top w:val="none" w:sz="0" w:space="0" w:color="auto"/>
        <w:left w:val="none" w:sz="0" w:space="0" w:color="auto"/>
        <w:bottom w:val="none" w:sz="0" w:space="0" w:color="auto"/>
        <w:right w:val="none" w:sz="0" w:space="0" w:color="auto"/>
      </w:divBdr>
    </w:div>
    <w:div w:id="589850477">
      <w:bodyDiv w:val="1"/>
      <w:marLeft w:val="0"/>
      <w:marRight w:val="0"/>
      <w:marTop w:val="0"/>
      <w:marBottom w:val="0"/>
      <w:divBdr>
        <w:top w:val="none" w:sz="0" w:space="0" w:color="auto"/>
        <w:left w:val="none" w:sz="0" w:space="0" w:color="auto"/>
        <w:bottom w:val="none" w:sz="0" w:space="0" w:color="auto"/>
        <w:right w:val="none" w:sz="0" w:space="0" w:color="auto"/>
      </w:divBdr>
    </w:div>
    <w:div w:id="591428493">
      <w:bodyDiv w:val="1"/>
      <w:marLeft w:val="0"/>
      <w:marRight w:val="0"/>
      <w:marTop w:val="0"/>
      <w:marBottom w:val="0"/>
      <w:divBdr>
        <w:top w:val="none" w:sz="0" w:space="0" w:color="auto"/>
        <w:left w:val="none" w:sz="0" w:space="0" w:color="auto"/>
        <w:bottom w:val="none" w:sz="0" w:space="0" w:color="auto"/>
        <w:right w:val="none" w:sz="0" w:space="0" w:color="auto"/>
      </w:divBdr>
    </w:div>
    <w:div w:id="614950614">
      <w:bodyDiv w:val="1"/>
      <w:marLeft w:val="0"/>
      <w:marRight w:val="0"/>
      <w:marTop w:val="0"/>
      <w:marBottom w:val="0"/>
      <w:divBdr>
        <w:top w:val="none" w:sz="0" w:space="0" w:color="auto"/>
        <w:left w:val="none" w:sz="0" w:space="0" w:color="auto"/>
        <w:bottom w:val="none" w:sz="0" w:space="0" w:color="auto"/>
        <w:right w:val="none" w:sz="0" w:space="0" w:color="auto"/>
      </w:divBdr>
    </w:div>
    <w:div w:id="708144232">
      <w:bodyDiv w:val="1"/>
      <w:marLeft w:val="0"/>
      <w:marRight w:val="0"/>
      <w:marTop w:val="0"/>
      <w:marBottom w:val="0"/>
      <w:divBdr>
        <w:top w:val="none" w:sz="0" w:space="0" w:color="auto"/>
        <w:left w:val="none" w:sz="0" w:space="0" w:color="auto"/>
        <w:bottom w:val="none" w:sz="0" w:space="0" w:color="auto"/>
        <w:right w:val="none" w:sz="0" w:space="0" w:color="auto"/>
      </w:divBdr>
    </w:div>
    <w:div w:id="727529822">
      <w:bodyDiv w:val="1"/>
      <w:marLeft w:val="0"/>
      <w:marRight w:val="0"/>
      <w:marTop w:val="0"/>
      <w:marBottom w:val="0"/>
      <w:divBdr>
        <w:top w:val="none" w:sz="0" w:space="0" w:color="auto"/>
        <w:left w:val="none" w:sz="0" w:space="0" w:color="auto"/>
        <w:bottom w:val="none" w:sz="0" w:space="0" w:color="auto"/>
        <w:right w:val="none" w:sz="0" w:space="0" w:color="auto"/>
      </w:divBdr>
    </w:div>
    <w:div w:id="840387795">
      <w:bodyDiv w:val="1"/>
      <w:marLeft w:val="0"/>
      <w:marRight w:val="0"/>
      <w:marTop w:val="0"/>
      <w:marBottom w:val="0"/>
      <w:divBdr>
        <w:top w:val="none" w:sz="0" w:space="0" w:color="auto"/>
        <w:left w:val="none" w:sz="0" w:space="0" w:color="auto"/>
        <w:bottom w:val="none" w:sz="0" w:space="0" w:color="auto"/>
        <w:right w:val="none" w:sz="0" w:space="0" w:color="auto"/>
      </w:divBdr>
    </w:div>
    <w:div w:id="961155337">
      <w:bodyDiv w:val="1"/>
      <w:marLeft w:val="0"/>
      <w:marRight w:val="0"/>
      <w:marTop w:val="0"/>
      <w:marBottom w:val="0"/>
      <w:divBdr>
        <w:top w:val="none" w:sz="0" w:space="0" w:color="auto"/>
        <w:left w:val="none" w:sz="0" w:space="0" w:color="auto"/>
        <w:bottom w:val="none" w:sz="0" w:space="0" w:color="auto"/>
        <w:right w:val="none" w:sz="0" w:space="0" w:color="auto"/>
      </w:divBdr>
    </w:div>
    <w:div w:id="1039738837">
      <w:bodyDiv w:val="1"/>
      <w:marLeft w:val="0"/>
      <w:marRight w:val="0"/>
      <w:marTop w:val="0"/>
      <w:marBottom w:val="0"/>
      <w:divBdr>
        <w:top w:val="none" w:sz="0" w:space="0" w:color="auto"/>
        <w:left w:val="none" w:sz="0" w:space="0" w:color="auto"/>
        <w:bottom w:val="none" w:sz="0" w:space="0" w:color="auto"/>
        <w:right w:val="none" w:sz="0" w:space="0" w:color="auto"/>
      </w:divBdr>
    </w:div>
    <w:div w:id="1048920954">
      <w:bodyDiv w:val="1"/>
      <w:marLeft w:val="0"/>
      <w:marRight w:val="0"/>
      <w:marTop w:val="0"/>
      <w:marBottom w:val="0"/>
      <w:divBdr>
        <w:top w:val="none" w:sz="0" w:space="0" w:color="auto"/>
        <w:left w:val="none" w:sz="0" w:space="0" w:color="auto"/>
        <w:bottom w:val="none" w:sz="0" w:space="0" w:color="auto"/>
        <w:right w:val="none" w:sz="0" w:space="0" w:color="auto"/>
      </w:divBdr>
    </w:div>
    <w:div w:id="1178038184">
      <w:bodyDiv w:val="1"/>
      <w:marLeft w:val="0"/>
      <w:marRight w:val="0"/>
      <w:marTop w:val="0"/>
      <w:marBottom w:val="0"/>
      <w:divBdr>
        <w:top w:val="none" w:sz="0" w:space="0" w:color="auto"/>
        <w:left w:val="none" w:sz="0" w:space="0" w:color="auto"/>
        <w:bottom w:val="none" w:sz="0" w:space="0" w:color="auto"/>
        <w:right w:val="none" w:sz="0" w:space="0" w:color="auto"/>
      </w:divBdr>
    </w:div>
    <w:div w:id="1181624932">
      <w:bodyDiv w:val="1"/>
      <w:marLeft w:val="0"/>
      <w:marRight w:val="0"/>
      <w:marTop w:val="0"/>
      <w:marBottom w:val="0"/>
      <w:divBdr>
        <w:top w:val="none" w:sz="0" w:space="0" w:color="auto"/>
        <w:left w:val="none" w:sz="0" w:space="0" w:color="auto"/>
        <w:bottom w:val="none" w:sz="0" w:space="0" w:color="auto"/>
        <w:right w:val="none" w:sz="0" w:space="0" w:color="auto"/>
      </w:divBdr>
    </w:div>
    <w:div w:id="1242376137">
      <w:bodyDiv w:val="1"/>
      <w:marLeft w:val="0"/>
      <w:marRight w:val="0"/>
      <w:marTop w:val="0"/>
      <w:marBottom w:val="0"/>
      <w:divBdr>
        <w:top w:val="none" w:sz="0" w:space="0" w:color="auto"/>
        <w:left w:val="none" w:sz="0" w:space="0" w:color="auto"/>
        <w:bottom w:val="none" w:sz="0" w:space="0" w:color="auto"/>
        <w:right w:val="none" w:sz="0" w:space="0" w:color="auto"/>
      </w:divBdr>
    </w:div>
    <w:div w:id="1459451014">
      <w:bodyDiv w:val="1"/>
      <w:marLeft w:val="0"/>
      <w:marRight w:val="0"/>
      <w:marTop w:val="0"/>
      <w:marBottom w:val="0"/>
      <w:divBdr>
        <w:top w:val="none" w:sz="0" w:space="0" w:color="auto"/>
        <w:left w:val="none" w:sz="0" w:space="0" w:color="auto"/>
        <w:bottom w:val="none" w:sz="0" w:space="0" w:color="auto"/>
        <w:right w:val="none" w:sz="0" w:space="0" w:color="auto"/>
      </w:divBdr>
    </w:div>
    <w:div w:id="1464081871">
      <w:bodyDiv w:val="1"/>
      <w:marLeft w:val="0"/>
      <w:marRight w:val="0"/>
      <w:marTop w:val="0"/>
      <w:marBottom w:val="0"/>
      <w:divBdr>
        <w:top w:val="none" w:sz="0" w:space="0" w:color="auto"/>
        <w:left w:val="none" w:sz="0" w:space="0" w:color="auto"/>
        <w:bottom w:val="none" w:sz="0" w:space="0" w:color="auto"/>
        <w:right w:val="none" w:sz="0" w:space="0" w:color="auto"/>
      </w:divBdr>
    </w:div>
    <w:div w:id="1544364159">
      <w:bodyDiv w:val="1"/>
      <w:marLeft w:val="0"/>
      <w:marRight w:val="0"/>
      <w:marTop w:val="0"/>
      <w:marBottom w:val="0"/>
      <w:divBdr>
        <w:top w:val="none" w:sz="0" w:space="0" w:color="auto"/>
        <w:left w:val="none" w:sz="0" w:space="0" w:color="auto"/>
        <w:bottom w:val="none" w:sz="0" w:space="0" w:color="auto"/>
        <w:right w:val="none" w:sz="0" w:space="0" w:color="auto"/>
      </w:divBdr>
    </w:div>
    <w:div w:id="1620843176">
      <w:bodyDiv w:val="1"/>
      <w:marLeft w:val="0"/>
      <w:marRight w:val="0"/>
      <w:marTop w:val="0"/>
      <w:marBottom w:val="0"/>
      <w:divBdr>
        <w:top w:val="none" w:sz="0" w:space="0" w:color="auto"/>
        <w:left w:val="none" w:sz="0" w:space="0" w:color="auto"/>
        <w:bottom w:val="none" w:sz="0" w:space="0" w:color="auto"/>
        <w:right w:val="none" w:sz="0" w:space="0" w:color="auto"/>
      </w:divBdr>
    </w:div>
    <w:div w:id="1627270208">
      <w:bodyDiv w:val="1"/>
      <w:marLeft w:val="0"/>
      <w:marRight w:val="0"/>
      <w:marTop w:val="0"/>
      <w:marBottom w:val="0"/>
      <w:divBdr>
        <w:top w:val="none" w:sz="0" w:space="0" w:color="auto"/>
        <w:left w:val="none" w:sz="0" w:space="0" w:color="auto"/>
        <w:bottom w:val="none" w:sz="0" w:space="0" w:color="auto"/>
        <w:right w:val="none" w:sz="0" w:space="0" w:color="auto"/>
      </w:divBdr>
    </w:div>
    <w:div w:id="1651860156">
      <w:bodyDiv w:val="1"/>
      <w:marLeft w:val="0"/>
      <w:marRight w:val="0"/>
      <w:marTop w:val="0"/>
      <w:marBottom w:val="0"/>
      <w:divBdr>
        <w:top w:val="none" w:sz="0" w:space="0" w:color="auto"/>
        <w:left w:val="none" w:sz="0" w:space="0" w:color="auto"/>
        <w:bottom w:val="none" w:sz="0" w:space="0" w:color="auto"/>
        <w:right w:val="none" w:sz="0" w:space="0" w:color="auto"/>
      </w:divBdr>
    </w:div>
    <w:div w:id="1740129454">
      <w:bodyDiv w:val="1"/>
      <w:marLeft w:val="0"/>
      <w:marRight w:val="0"/>
      <w:marTop w:val="0"/>
      <w:marBottom w:val="0"/>
      <w:divBdr>
        <w:top w:val="none" w:sz="0" w:space="0" w:color="auto"/>
        <w:left w:val="none" w:sz="0" w:space="0" w:color="auto"/>
        <w:bottom w:val="none" w:sz="0" w:space="0" w:color="auto"/>
        <w:right w:val="none" w:sz="0" w:space="0" w:color="auto"/>
      </w:divBdr>
    </w:div>
    <w:div w:id="1743794839">
      <w:bodyDiv w:val="1"/>
      <w:marLeft w:val="0"/>
      <w:marRight w:val="0"/>
      <w:marTop w:val="0"/>
      <w:marBottom w:val="0"/>
      <w:divBdr>
        <w:top w:val="none" w:sz="0" w:space="0" w:color="auto"/>
        <w:left w:val="none" w:sz="0" w:space="0" w:color="auto"/>
        <w:bottom w:val="none" w:sz="0" w:space="0" w:color="auto"/>
        <w:right w:val="none" w:sz="0" w:space="0" w:color="auto"/>
      </w:divBdr>
    </w:div>
    <w:div w:id="1764761666">
      <w:bodyDiv w:val="1"/>
      <w:marLeft w:val="0"/>
      <w:marRight w:val="0"/>
      <w:marTop w:val="0"/>
      <w:marBottom w:val="0"/>
      <w:divBdr>
        <w:top w:val="none" w:sz="0" w:space="0" w:color="auto"/>
        <w:left w:val="none" w:sz="0" w:space="0" w:color="auto"/>
        <w:bottom w:val="none" w:sz="0" w:space="0" w:color="auto"/>
        <w:right w:val="none" w:sz="0" w:space="0" w:color="auto"/>
      </w:divBdr>
    </w:div>
    <w:div w:id="1777484463">
      <w:bodyDiv w:val="1"/>
      <w:marLeft w:val="0"/>
      <w:marRight w:val="0"/>
      <w:marTop w:val="0"/>
      <w:marBottom w:val="0"/>
      <w:divBdr>
        <w:top w:val="none" w:sz="0" w:space="0" w:color="auto"/>
        <w:left w:val="none" w:sz="0" w:space="0" w:color="auto"/>
        <w:bottom w:val="none" w:sz="0" w:space="0" w:color="auto"/>
        <w:right w:val="none" w:sz="0" w:space="0" w:color="auto"/>
      </w:divBdr>
    </w:div>
    <w:div w:id="1779570050">
      <w:bodyDiv w:val="1"/>
      <w:marLeft w:val="0"/>
      <w:marRight w:val="0"/>
      <w:marTop w:val="0"/>
      <w:marBottom w:val="0"/>
      <w:divBdr>
        <w:top w:val="none" w:sz="0" w:space="0" w:color="auto"/>
        <w:left w:val="none" w:sz="0" w:space="0" w:color="auto"/>
        <w:bottom w:val="none" w:sz="0" w:space="0" w:color="auto"/>
        <w:right w:val="none" w:sz="0" w:space="0" w:color="auto"/>
      </w:divBdr>
    </w:div>
    <w:div w:id="1828939968">
      <w:bodyDiv w:val="1"/>
      <w:marLeft w:val="0"/>
      <w:marRight w:val="0"/>
      <w:marTop w:val="0"/>
      <w:marBottom w:val="0"/>
      <w:divBdr>
        <w:top w:val="none" w:sz="0" w:space="0" w:color="auto"/>
        <w:left w:val="none" w:sz="0" w:space="0" w:color="auto"/>
        <w:bottom w:val="none" w:sz="0" w:space="0" w:color="auto"/>
        <w:right w:val="none" w:sz="0" w:space="0" w:color="auto"/>
      </w:divBdr>
    </w:div>
    <w:div w:id="1876429981">
      <w:bodyDiv w:val="1"/>
      <w:marLeft w:val="0"/>
      <w:marRight w:val="0"/>
      <w:marTop w:val="0"/>
      <w:marBottom w:val="0"/>
      <w:divBdr>
        <w:top w:val="none" w:sz="0" w:space="0" w:color="auto"/>
        <w:left w:val="none" w:sz="0" w:space="0" w:color="auto"/>
        <w:bottom w:val="none" w:sz="0" w:space="0" w:color="auto"/>
        <w:right w:val="none" w:sz="0" w:space="0" w:color="auto"/>
      </w:divBdr>
    </w:div>
    <w:div w:id="1906451798">
      <w:bodyDiv w:val="1"/>
      <w:marLeft w:val="0"/>
      <w:marRight w:val="0"/>
      <w:marTop w:val="0"/>
      <w:marBottom w:val="0"/>
      <w:divBdr>
        <w:top w:val="none" w:sz="0" w:space="0" w:color="auto"/>
        <w:left w:val="none" w:sz="0" w:space="0" w:color="auto"/>
        <w:bottom w:val="none" w:sz="0" w:space="0" w:color="auto"/>
        <w:right w:val="none" w:sz="0" w:space="0" w:color="auto"/>
      </w:divBdr>
    </w:div>
    <w:div w:id="1913079253">
      <w:bodyDiv w:val="1"/>
      <w:marLeft w:val="0"/>
      <w:marRight w:val="0"/>
      <w:marTop w:val="0"/>
      <w:marBottom w:val="0"/>
      <w:divBdr>
        <w:top w:val="none" w:sz="0" w:space="0" w:color="auto"/>
        <w:left w:val="none" w:sz="0" w:space="0" w:color="auto"/>
        <w:bottom w:val="none" w:sz="0" w:space="0" w:color="auto"/>
        <w:right w:val="none" w:sz="0" w:space="0" w:color="auto"/>
      </w:divBdr>
    </w:div>
    <w:div w:id="20697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members.calbar.ca.gov/fal/MemberSearch/Quic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EDF57D06063B43A34FE7C0A0C4B0E5" ma:contentTypeVersion="6" ma:contentTypeDescription="Create a new document." ma:contentTypeScope="" ma:versionID="56bf7f2ae5cd86a2af7fbf92d144406e">
  <xsd:schema xmlns:xsd="http://www.w3.org/2001/XMLSchema" xmlns:xs="http://www.w3.org/2001/XMLSchema" xmlns:p="http://schemas.microsoft.com/office/2006/metadata/properties" xmlns:ns3="b7d7b018-4acf-4425-b494-41fc5699e34f" targetNamespace="http://schemas.microsoft.com/office/2006/metadata/properties" ma:root="true" ma:fieldsID="e7b86cdbb6503c8b316b63f8e9dca54a" ns3:_="">
    <xsd:import namespace="b7d7b018-4acf-4425-b494-41fc5699e3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7b018-4acf-4425-b494-41fc5699e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2152C-CE28-4F4B-9011-6774BC7C1250}">
  <ds:schemaRefs>
    <ds:schemaRef ds:uri="http://schemas.openxmlformats.org/officeDocument/2006/bibliography"/>
  </ds:schemaRefs>
</ds:datastoreItem>
</file>

<file path=customXml/itemProps2.xml><?xml version="1.0" encoding="utf-8"?>
<ds:datastoreItem xmlns:ds="http://schemas.openxmlformats.org/officeDocument/2006/customXml" ds:itemID="{08227B3D-2F2F-4768-A613-1B31A1F72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B85890-3C48-4C83-8478-1CED3FD52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7b018-4acf-4425-b494-41fc5699e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21C71-46BB-41CD-BD12-293C65C1A7F7}">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26</ap:Pages>
  <ap:Words>7563</ap:Words>
  <ap:Characters>43115</ap:Characters>
  <ap:Application>Microsoft Office Word</ap:Application>
  <ap:DocSecurity>0</ap:DocSecurity>
  <ap:PresentationFormat/>
  <ap:Lines>359</ap:Lines>
  <ap:Paragraphs>101</ap:Paragraphs>
  <ap:ScaleCrop>false</ap:ScaleCrop>
  <ap:HeadingPairs>
    <vt:vector baseType="variant" size="2">
      <vt:variant>
        <vt:lpstr>Title</vt:lpstr>
      </vt:variant>
      <vt:variant>
        <vt:i4>1</vt:i4>
      </vt:variant>
    </vt:vector>
  </ap:HeadingPairs>
  <ap:TitlesOfParts>
    <vt:vector baseType="lpstr" size="1">
      <vt:lpstr>R.18-12-005 - Intervenor Compensation Request (X209711.DOCX;1)</vt:lpstr>
    </vt:vector>
  </ap:TitlesOfParts>
  <ap:LinksUpToDate>false</ap:LinksUpToDate>
  <ap:CharactersWithSpaces>50577</ap:CharactersWithSpaces>
  <ap:SharedDoc>false</ap:SharedDoc>
  <ap:HyperlinkBase/>
  <ap:HLinks>
    <vt:vector baseType="variant" size="12">
      <vt:variant>
        <vt:i4>2031738</vt:i4>
      </vt:variant>
      <vt:variant>
        <vt:i4>0</vt:i4>
      </vt:variant>
      <vt:variant>
        <vt:i4>0</vt:i4>
      </vt:variant>
      <vt:variant>
        <vt:i4>5</vt:i4>
      </vt:variant>
      <vt:variant>
        <vt:lpwstr>mailto:Icompcoordinator@cpuc.ca.gov</vt:lpwstr>
      </vt:variant>
      <vt:variant>
        <vt:lpwstr/>
      </vt:variant>
      <vt:variant>
        <vt:i4>5963790</vt:i4>
      </vt:variant>
      <vt:variant>
        <vt:i4>0</vt:i4>
      </vt:variant>
      <vt:variant>
        <vt:i4>0</vt:i4>
      </vt:variant>
      <vt:variant>
        <vt:i4>5</vt:i4>
      </vt:variant>
      <vt:variant>
        <vt:lpwstr>http://members.calbar.ca.gov/fal/MemberSearch/QuickSearch</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2013-07-15T17:59:00Z</cp:lastPrinted>
  <dcterms:created xsi:type="dcterms:W3CDTF">2022-07-25T16:48:19Z</dcterms:created>
  <dcterms:modified xsi:type="dcterms:W3CDTF">2022-07-25T16:48:19Z</dcterms:modified>
</cp:coreProperties>
</file>