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3DE6" w:rsidR="003B1DBD" w:rsidP="00A622F6" w:rsidRDefault="003B1DBD" w14:paraId="57F382AD" w14:textId="77777777">
      <w:pPr>
        <w:pStyle w:val="Title"/>
        <w:rPr>
          <w:rFonts w:ascii="Times New Roman" w:hAnsi="Times New Roman"/>
          <w:sz w:val="26"/>
          <w:szCs w:val="26"/>
        </w:rPr>
      </w:pPr>
      <w:r w:rsidRPr="00253DE6">
        <w:rPr>
          <w:rFonts w:ascii="Times New Roman" w:hAnsi="Times New Roman"/>
          <w:sz w:val="26"/>
          <w:szCs w:val="26"/>
        </w:rPr>
        <w:t>PUBLIC UTILITIES COMMISSION OF THE STATE OF CALIFORNIA</w:t>
      </w:r>
    </w:p>
    <w:p w:rsidRPr="00253DE6" w:rsidR="003B1DBD" w:rsidP="00A622F6" w:rsidRDefault="003B1DBD" w14:paraId="33E8FF30" w14:textId="77777777">
      <w:pPr>
        <w:rPr>
          <w:sz w:val="26"/>
          <w:szCs w:val="26"/>
        </w:rPr>
      </w:pPr>
    </w:p>
    <w:p w:rsidRPr="00253DE6" w:rsidR="003B1DBD" w:rsidP="001716EC" w:rsidRDefault="003B1DBD" w14:paraId="0C92B433" w14:textId="77777777">
      <w:pPr>
        <w:rPr>
          <w:sz w:val="26"/>
          <w:szCs w:val="26"/>
        </w:rPr>
      </w:pPr>
    </w:p>
    <w:p w:rsidRPr="00253DE6" w:rsidR="003B1DBD" w:rsidP="003B1DBD" w:rsidRDefault="00CA2B5D" w14:paraId="7317C13F" w14:textId="2493FA61">
      <w:pPr>
        <w:tabs>
          <w:tab w:val="right" w:pos="9360"/>
        </w:tabs>
        <w:rPr>
          <w:b/>
          <w:sz w:val="26"/>
          <w:szCs w:val="26"/>
        </w:rPr>
      </w:pPr>
      <w:r w:rsidRPr="00253DE6">
        <w:rPr>
          <w:b/>
          <w:sz w:val="26"/>
          <w:szCs w:val="26"/>
        </w:rPr>
        <w:t xml:space="preserve">Safety and Enforcement </w:t>
      </w:r>
      <w:r w:rsidRPr="00253DE6" w:rsidR="003B1DBD">
        <w:rPr>
          <w:b/>
          <w:sz w:val="26"/>
          <w:szCs w:val="26"/>
        </w:rPr>
        <w:t>Division</w:t>
      </w:r>
      <w:r w:rsidRPr="00253DE6" w:rsidR="003B1DBD">
        <w:rPr>
          <w:b/>
          <w:sz w:val="26"/>
          <w:szCs w:val="26"/>
        </w:rPr>
        <w:tab/>
        <w:t>R</w:t>
      </w:r>
      <w:r w:rsidRPr="00253DE6" w:rsidR="001643B2">
        <w:rPr>
          <w:b/>
          <w:sz w:val="26"/>
          <w:szCs w:val="26"/>
        </w:rPr>
        <w:t>esolution</w:t>
      </w:r>
      <w:r w:rsidRPr="00253DE6" w:rsidR="003B1DBD">
        <w:rPr>
          <w:b/>
          <w:sz w:val="26"/>
          <w:szCs w:val="26"/>
        </w:rPr>
        <w:t xml:space="preserve"> </w:t>
      </w:r>
      <w:r w:rsidRPr="00253DE6">
        <w:rPr>
          <w:b/>
          <w:sz w:val="26"/>
          <w:szCs w:val="26"/>
        </w:rPr>
        <w:t>SED-</w:t>
      </w:r>
      <w:r w:rsidRPr="00253DE6" w:rsidR="00B0675E">
        <w:rPr>
          <w:b/>
          <w:sz w:val="26"/>
          <w:szCs w:val="26"/>
        </w:rPr>
        <w:t>5</w:t>
      </w:r>
      <w:r w:rsidRPr="00253DE6" w:rsidR="00361DB4">
        <w:rPr>
          <w:b/>
          <w:sz w:val="26"/>
          <w:szCs w:val="26"/>
        </w:rPr>
        <w:t>A</w:t>
      </w:r>
    </w:p>
    <w:p w:rsidRPr="00253DE6" w:rsidR="003B1DBD" w:rsidP="003B1DBD" w:rsidRDefault="003B1DBD" w14:paraId="715D7AFB" w14:textId="490117F2">
      <w:pPr>
        <w:tabs>
          <w:tab w:val="right" w:pos="9360"/>
        </w:tabs>
        <w:rPr>
          <w:b/>
          <w:sz w:val="26"/>
          <w:szCs w:val="26"/>
        </w:rPr>
      </w:pPr>
      <w:r w:rsidRPr="00253DE6">
        <w:rPr>
          <w:b/>
          <w:sz w:val="26"/>
          <w:szCs w:val="26"/>
        </w:rPr>
        <w:tab/>
      </w:r>
      <w:r w:rsidR="00F1398D">
        <w:rPr>
          <w:b/>
          <w:sz w:val="26"/>
          <w:szCs w:val="26"/>
        </w:rPr>
        <w:t>July 14,</w:t>
      </w:r>
      <w:r w:rsidRPr="00253DE6">
        <w:rPr>
          <w:b/>
          <w:sz w:val="26"/>
          <w:szCs w:val="26"/>
        </w:rPr>
        <w:t xml:space="preserve"> </w:t>
      </w:r>
      <w:r w:rsidRPr="00253DE6" w:rsidR="00CA2B5D">
        <w:rPr>
          <w:b/>
          <w:sz w:val="26"/>
          <w:szCs w:val="26"/>
        </w:rPr>
        <w:t>202</w:t>
      </w:r>
      <w:r w:rsidRPr="00253DE6" w:rsidR="00361DB4">
        <w:rPr>
          <w:b/>
          <w:sz w:val="26"/>
          <w:szCs w:val="26"/>
        </w:rPr>
        <w:t>2</w:t>
      </w:r>
    </w:p>
    <w:p w:rsidR="004C528F" w:rsidP="003B1DBD" w:rsidRDefault="004C528F" w14:paraId="7A5FD7F6" w14:textId="77777777">
      <w:pPr>
        <w:tabs>
          <w:tab w:val="right" w:pos="10080"/>
        </w:tabs>
        <w:jc w:val="center"/>
        <w:rPr>
          <w:b/>
          <w:sz w:val="26"/>
          <w:szCs w:val="26"/>
          <w:u w:val="single"/>
        </w:rPr>
      </w:pPr>
    </w:p>
    <w:p w:rsidRPr="00253DE6" w:rsidR="003B1DBD" w:rsidP="003B1DBD" w:rsidRDefault="003B1DBD" w14:paraId="0BF6F638" w14:textId="060B4B99">
      <w:pPr>
        <w:tabs>
          <w:tab w:val="right" w:pos="10080"/>
        </w:tabs>
        <w:jc w:val="center"/>
        <w:rPr>
          <w:b/>
          <w:sz w:val="26"/>
          <w:szCs w:val="26"/>
          <w:u w:val="single"/>
        </w:rPr>
      </w:pPr>
      <w:r w:rsidRPr="00253DE6">
        <w:rPr>
          <w:b/>
          <w:sz w:val="26"/>
          <w:szCs w:val="26"/>
          <w:u w:val="single"/>
        </w:rPr>
        <w:t>R E S O L U T I O N</w:t>
      </w:r>
    </w:p>
    <w:p w:rsidRPr="00253DE6" w:rsidR="003B1DBD" w:rsidP="003B1DBD" w:rsidRDefault="003B1DBD" w14:paraId="1C507346" w14:textId="77777777">
      <w:pPr>
        <w:tabs>
          <w:tab w:val="right" w:pos="10080"/>
        </w:tabs>
        <w:jc w:val="center"/>
        <w:rPr>
          <w:b/>
          <w:sz w:val="26"/>
          <w:szCs w:val="26"/>
        </w:rPr>
      </w:pPr>
    </w:p>
    <w:p w:rsidRPr="00253DE6" w:rsidR="00AE3A4C" w:rsidP="00F1398D" w:rsidRDefault="003B1DBD" w14:paraId="10EA43BD" w14:textId="107E4645">
      <w:pPr>
        <w:tabs>
          <w:tab w:val="right" w:pos="10080"/>
        </w:tabs>
        <w:ind w:left="990"/>
        <w:rPr>
          <w:b/>
          <w:bCs/>
          <w:sz w:val="26"/>
          <w:szCs w:val="26"/>
        </w:rPr>
      </w:pPr>
      <w:r w:rsidRPr="00253DE6">
        <w:rPr>
          <w:b/>
          <w:sz w:val="26"/>
          <w:szCs w:val="26"/>
        </w:rPr>
        <w:t xml:space="preserve">RESOLUTION </w:t>
      </w:r>
      <w:r w:rsidRPr="00253DE6" w:rsidR="00361DB4">
        <w:rPr>
          <w:b/>
          <w:sz w:val="26"/>
          <w:szCs w:val="26"/>
        </w:rPr>
        <w:t>REVISING RESOLUTION SED-</w:t>
      </w:r>
      <w:r w:rsidRPr="00253DE6" w:rsidR="00B0675E">
        <w:rPr>
          <w:b/>
          <w:sz w:val="26"/>
          <w:szCs w:val="26"/>
        </w:rPr>
        <w:t>5</w:t>
      </w:r>
      <w:r w:rsidRPr="00253DE6" w:rsidR="00361DB4">
        <w:rPr>
          <w:b/>
          <w:sz w:val="26"/>
          <w:szCs w:val="26"/>
        </w:rPr>
        <w:t xml:space="preserve"> PURSUANT TO </w:t>
      </w:r>
      <w:r w:rsidR="00F1398D">
        <w:rPr>
          <w:b/>
          <w:sz w:val="26"/>
          <w:szCs w:val="26"/>
        </w:rPr>
        <w:br/>
      </w:r>
      <w:r w:rsidRPr="00253DE6" w:rsidR="00361DB4">
        <w:rPr>
          <w:b/>
          <w:sz w:val="26"/>
          <w:szCs w:val="26"/>
        </w:rPr>
        <w:t>DECISION 22-04-05</w:t>
      </w:r>
      <w:r w:rsidR="00F83FC2">
        <w:rPr>
          <w:b/>
          <w:sz w:val="26"/>
          <w:szCs w:val="26"/>
        </w:rPr>
        <w:t>7</w:t>
      </w:r>
      <w:r w:rsidRPr="00253DE6" w:rsidR="00361DB4">
        <w:rPr>
          <w:b/>
          <w:sz w:val="26"/>
          <w:szCs w:val="26"/>
        </w:rPr>
        <w:t xml:space="preserve"> TO INCLUDE THE PENALTY ASSESSMENT METHODOLOGY</w:t>
      </w:r>
    </w:p>
    <w:p w:rsidR="003B1DBD" w:rsidP="00F02E58" w:rsidRDefault="003B1DBD" w14:paraId="0F4F629A" w14:textId="654E5B4F">
      <w:r w:rsidRPr="00F02E58">
        <w:t>________________________________________________________________________</w:t>
      </w:r>
    </w:p>
    <w:p w:rsidR="00F02E58" w:rsidP="00F02E58" w:rsidRDefault="00F02E58" w14:paraId="0A11C636" w14:textId="503A5E3D"/>
    <w:p w:rsidRPr="00253DE6" w:rsidR="003B1DBD" w:rsidP="00426552" w:rsidRDefault="003B1DBD" w14:paraId="04C1A481" w14:textId="77777777">
      <w:pPr>
        <w:keepNext/>
        <w:rPr>
          <w:b/>
          <w:sz w:val="26"/>
          <w:szCs w:val="26"/>
          <w:u w:val="single"/>
        </w:rPr>
      </w:pPr>
      <w:r w:rsidRPr="00253DE6">
        <w:rPr>
          <w:b/>
          <w:sz w:val="26"/>
          <w:szCs w:val="26"/>
          <w:u w:val="single"/>
        </w:rPr>
        <w:t>SUMMARY</w:t>
      </w:r>
    </w:p>
    <w:p w:rsidRPr="00822A98" w:rsidR="003B1DBD" w:rsidP="00822A98" w:rsidRDefault="003B1DBD" w14:paraId="13D0AE53" w14:textId="2CA90A9A">
      <w:pPr>
        <w:rPr>
          <w:b/>
          <w:sz w:val="26"/>
          <w:szCs w:val="26"/>
          <w:u w:val="single"/>
        </w:rPr>
      </w:pPr>
    </w:p>
    <w:p w:rsidRPr="00253DE6" w:rsidR="00C37379" w:rsidP="00F1619A" w:rsidRDefault="00F638CB" w14:paraId="277E9298" w14:textId="71DF7D4A">
      <w:pPr>
        <w:pStyle w:val="Default"/>
        <w:rPr>
          <w:sz w:val="26"/>
          <w:szCs w:val="26"/>
        </w:rPr>
      </w:pPr>
      <w:r w:rsidRPr="00253DE6">
        <w:rPr>
          <w:sz w:val="26"/>
          <w:szCs w:val="26"/>
        </w:rPr>
        <w:t xml:space="preserve">In this Resolution, the California Public Utilities Commission (Commission) </w:t>
      </w:r>
      <w:bookmarkStart w:name="_Hlk86167600" w:id="0"/>
      <w:r w:rsidRPr="00253DE6">
        <w:rPr>
          <w:sz w:val="26"/>
          <w:szCs w:val="26"/>
        </w:rPr>
        <w:t>approves a</w:t>
      </w:r>
      <w:r w:rsidRPr="00253DE6" w:rsidR="00C37379">
        <w:rPr>
          <w:sz w:val="26"/>
          <w:szCs w:val="26"/>
        </w:rPr>
        <w:t xml:space="preserve"> revision to Resolution SED-</w:t>
      </w:r>
      <w:r w:rsidRPr="00253DE6" w:rsidR="00B0675E">
        <w:rPr>
          <w:sz w:val="26"/>
          <w:szCs w:val="26"/>
        </w:rPr>
        <w:t>5</w:t>
      </w:r>
      <w:r w:rsidRPr="00253DE6" w:rsidR="00C37379">
        <w:rPr>
          <w:sz w:val="26"/>
          <w:szCs w:val="26"/>
        </w:rPr>
        <w:t xml:space="preserve"> to include an analysis of the Penalty Assessment Methodology set forth in Commission Resolution M-4846.</w:t>
      </w:r>
      <w:r w:rsidRPr="00423CB6" w:rsidR="00656928">
        <w:rPr>
          <w:rStyle w:val="StyleFootnoteReference13ptBlack"/>
        </w:rPr>
        <w:footnoteReference w:id="1"/>
      </w:r>
      <w:r w:rsidRPr="00253DE6" w:rsidR="00C37379">
        <w:rPr>
          <w:sz w:val="26"/>
          <w:szCs w:val="26"/>
        </w:rPr>
        <w:t xml:space="preserve"> In Decision (D.)</w:t>
      </w:r>
      <w:r w:rsidRPr="00253DE6" w:rsidR="003762B7">
        <w:rPr>
          <w:sz w:val="26"/>
          <w:szCs w:val="26"/>
        </w:rPr>
        <w:t xml:space="preserve"> </w:t>
      </w:r>
      <w:r w:rsidRPr="00253DE6" w:rsidR="00C37379">
        <w:rPr>
          <w:sz w:val="26"/>
          <w:szCs w:val="26"/>
        </w:rPr>
        <w:t>22-04-</w:t>
      </w:r>
      <w:r w:rsidR="00C212A3">
        <w:rPr>
          <w:sz w:val="26"/>
          <w:szCs w:val="26"/>
        </w:rPr>
        <w:t>057</w:t>
      </w:r>
      <w:r w:rsidRPr="00253DE6" w:rsidR="00C37379">
        <w:rPr>
          <w:sz w:val="26"/>
          <w:szCs w:val="26"/>
        </w:rPr>
        <w:t xml:space="preserve"> the Commission held </w:t>
      </w:r>
      <w:r w:rsidRPr="00253DE6" w:rsidR="003E25B8">
        <w:rPr>
          <w:sz w:val="26"/>
          <w:szCs w:val="26"/>
        </w:rPr>
        <w:t>on rehearing that Resolution SED-</w:t>
      </w:r>
      <w:r w:rsidRPr="00253DE6" w:rsidR="00B0675E">
        <w:rPr>
          <w:sz w:val="26"/>
          <w:szCs w:val="26"/>
        </w:rPr>
        <w:t>5</w:t>
      </w:r>
      <w:r w:rsidRPr="00253DE6" w:rsidR="003E25B8">
        <w:rPr>
          <w:sz w:val="26"/>
          <w:szCs w:val="26"/>
        </w:rPr>
        <w:t xml:space="preserve"> did not include the required analysis of the Penalty Assessment Methodology, and remanded Resolution SED-</w:t>
      </w:r>
      <w:r w:rsidRPr="00253DE6" w:rsidR="00B0675E">
        <w:rPr>
          <w:sz w:val="26"/>
          <w:szCs w:val="26"/>
        </w:rPr>
        <w:t>5</w:t>
      </w:r>
      <w:r w:rsidRPr="00253DE6" w:rsidR="007618A3">
        <w:rPr>
          <w:sz w:val="26"/>
          <w:szCs w:val="26"/>
        </w:rPr>
        <w:t xml:space="preserve"> back to the Commission’s Safety and Enforcement Division (SED) and </w:t>
      </w:r>
      <w:r w:rsidRPr="00253DE6" w:rsidR="00B0675E">
        <w:rPr>
          <w:sz w:val="26"/>
          <w:szCs w:val="26"/>
        </w:rPr>
        <w:t>Southern California Edison Company (SCE)</w:t>
      </w:r>
      <w:r w:rsidRPr="00253DE6" w:rsidR="007618A3">
        <w:rPr>
          <w:sz w:val="26"/>
          <w:szCs w:val="26"/>
        </w:rPr>
        <w:t xml:space="preserve"> to incorporate this analysis for the Commission’s consideration</w:t>
      </w:r>
      <w:r w:rsidRPr="00253DE6" w:rsidR="00B0675E">
        <w:rPr>
          <w:sz w:val="26"/>
          <w:szCs w:val="26"/>
        </w:rPr>
        <w:t>.</w:t>
      </w:r>
      <w:r w:rsidRPr="00423CB6" w:rsidR="00B0675E">
        <w:rPr>
          <w:rStyle w:val="StyleFootnoteReference13ptBlack"/>
        </w:rPr>
        <w:footnoteReference w:id="2"/>
      </w:r>
    </w:p>
    <w:p w:rsidRPr="00253DE6" w:rsidR="00333131" w:rsidP="00F1619A" w:rsidRDefault="00333131" w14:paraId="15BC2BC0" w14:textId="6EE71347">
      <w:pPr>
        <w:pStyle w:val="Default"/>
        <w:rPr>
          <w:sz w:val="26"/>
          <w:szCs w:val="26"/>
        </w:rPr>
      </w:pPr>
    </w:p>
    <w:p w:rsidRPr="00253DE6" w:rsidR="00333131" w:rsidP="00F1619A" w:rsidRDefault="00CD3BD3" w14:paraId="31DB8347" w14:textId="1CAB9A43">
      <w:pPr>
        <w:pStyle w:val="Default"/>
        <w:rPr>
          <w:sz w:val="26"/>
          <w:szCs w:val="26"/>
        </w:rPr>
      </w:pPr>
      <w:r w:rsidRPr="00253DE6">
        <w:rPr>
          <w:sz w:val="26"/>
          <w:szCs w:val="26"/>
        </w:rPr>
        <w:t>In response to the direction in D.22-04-05</w:t>
      </w:r>
      <w:r w:rsidR="00F83FC2">
        <w:rPr>
          <w:sz w:val="26"/>
          <w:szCs w:val="26"/>
        </w:rPr>
        <w:t>7</w:t>
      </w:r>
      <w:r w:rsidRPr="00253DE6">
        <w:rPr>
          <w:sz w:val="26"/>
          <w:szCs w:val="26"/>
        </w:rPr>
        <w:t>, t</w:t>
      </w:r>
      <w:r w:rsidRPr="00253DE6" w:rsidR="00333131">
        <w:rPr>
          <w:sz w:val="26"/>
          <w:szCs w:val="26"/>
        </w:rPr>
        <w:t xml:space="preserve">his Resolution includes an analysis of the Penalty Assessment Methodology relating to the Administrative Consent Order and Agreement (ACO) between SED and </w:t>
      </w:r>
      <w:r w:rsidRPr="00253DE6" w:rsidR="00B0675E">
        <w:rPr>
          <w:sz w:val="26"/>
          <w:szCs w:val="26"/>
        </w:rPr>
        <w:t>SCE</w:t>
      </w:r>
      <w:r w:rsidRPr="00253DE6" w:rsidR="00333131">
        <w:rPr>
          <w:sz w:val="26"/>
          <w:szCs w:val="26"/>
        </w:rPr>
        <w:t xml:space="preserve"> that was approved in Resolution SED-</w:t>
      </w:r>
      <w:r w:rsidRPr="00253DE6" w:rsidR="00705FBE">
        <w:rPr>
          <w:sz w:val="26"/>
          <w:szCs w:val="26"/>
        </w:rPr>
        <w:t>5</w:t>
      </w:r>
      <w:r w:rsidRPr="00253DE6" w:rsidR="004F1BFD">
        <w:rPr>
          <w:sz w:val="26"/>
          <w:szCs w:val="26"/>
        </w:rPr>
        <w:t xml:space="preserve"> and</w:t>
      </w:r>
      <w:r w:rsidRPr="00253DE6" w:rsidR="00333131">
        <w:rPr>
          <w:sz w:val="26"/>
          <w:szCs w:val="26"/>
        </w:rPr>
        <w:t xml:space="preserve"> resolv</w:t>
      </w:r>
      <w:r w:rsidRPr="00253DE6" w:rsidR="004F1BFD">
        <w:rPr>
          <w:sz w:val="26"/>
          <w:szCs w:val="26"/>
        </w:rPr>
        <w:t>ed</w:t>
      </w:r>
      <w:r w:rsidRPr="00253DE6" w:rsidR="00333131">
        <w:rPr>
          <w:sz w:val="26"/>
          <w:szCs w:val="26"/>
        </w:rPr>
        <w:t xml:space="preserve"> issues </w:t>
      </w:r>
      <w:r w:rsidRPr="00253DE6" w:rsidR="00705FBE">
        <w:rPr>
          <w:sz w:val="26"/>
          <w:szCs w:val="26"/>
        </w:rPr>
        <w:t>involving the 2017 Liberty, Rye, Meyers, and Thomas Fires and the 2018 Woolsey Fire (collectively, the 2017/2018 Southern California Fires)</w:t>
      </w:r>
      <w:r w:rsidRPr="00253DE6" w:rsidR="00333131">
        <w:rPr>
          <w:sz w:val="26"/>
          <w:szCs w:val="26"/>
        </w:rPr>
        <w:t>.</w:t>
      </w:r>
      <w:r w:rsidRPr="00253DE6">
        <w:rPr>
          <w:sz w:val="26"/>
          <w:szCs w:val="26"/>
        </w:rPr>
        <w:t xml:space="preserve"> No other changes are made to Resolution SED-</w:t>
      </w:r>
      <w:r w:rsidRPr="00253DE6" w:rsidR="00705FBE">
        <w:rPr>
          <w:sz w:val="26"/>
          <w:szCs w:val="26"/>
        </w:rPr>
        <w:t>5</w:t>
      </w:r>
      <w:r w:rsidRPr="00253DE6">
        <w:rPr>
          <w:sz w:val="26"/>
          <w:szCs w:val="26"/>
        </w:rPr>
        <w:t>.</w:t>
      </w:r>
    </w:p>
    <w:bookmarkEnd w:id="0"/>
    <w:p w:rsidRPr="00253DE6" w:rsidR="003B1DBD" w:rsidP="001716EC" w:rsidRDefault="003B1DBD" w14:paraId="47BC683D" w14:textId="73AD911E">
      <w:pPr>
        <w:rPr>
          <w:sz w:val="26"/>
          <w:szCs w:val="26"/>
        </w:rPr>
      </w:pPr>
    </w:p>
    <w:p w:rsidRPr="00253DE6" w:rsidR="003B1DBD" w:rsidP="00426552" w:rsidRDefault="003B1DBD" w14:paraId="21F7CDF2" w14:textId="50658528">
      <w:pPr>
        <w:keepNext/>
        <w:rPr>
          <w:b/>
          <w:sz w:val="26"/>
          <w:szCs w:val="26"/>
          <w:u w:val="single"/>
        </w:rPr>
      </w:pPr>
      <w:r w:rsidRPr="00253DE6">
        <w:rPr>
          <w:b/>
          <w:sz w:val="26"/>
          <w:szCs w:val="26"/>
          <w:u w:val="single"/>
        </w:rPr>
        <w:t>BACKGROUND</w:t>
      </w:r>
      <w:r w:rsidRPr="00253DE6" w:rsidR="00EF1AF9">
        <w:rPr>
          <w:b/>
          <w:sz w:val="26"/>
          <w:szCs w:val="26"/>
          <w:u w:val="single"/>
        </w:rPr>
        <w:t xml:space="preserve"> </w:t>
      </w:r>
    </w:p>
    <w:p w:rsidRPr="00822A98" w:rsidR="003B1DBD" w:rsidP="00822A98" w:rsidRDefault="003B1DBD" w14:paraId="3AA471F7" w14:textId="71F61F7A">
      <w:pPr>
        <w:rPr>
          <w:bCs/>
          <w:sz w:val="26"/>
          <w:szCs w:val="26"/>
        </w:rPr>
      </w:pPr>
    </w:p>
    <w:p w:rsidRPr="00822A98" w:rsidR="00592345" w:rsidP="00822A98" w:rsidRDefault="00367847" w14:paraId="771061A7" w14:textId="2DAFE802">
      <w:pPr>
        <w:rPr>
          <w:bCs/>
          <w:sz w:val="26"/>
          <w:szCs w:val="26"/>
        </w:rPr>
      </w:pPr>
      <w:r w:rsidRPr="00822A98">
        <w:rPr>
          <w:bCs/>
          <w:sz w:val="26"/>
          <w:szCs w:val="26"/>
        </w:rPr>
        <w:t>In 2017, the Liberty, Rye, Meyers and Thomas Fires occurred in SCE’s service territory. In 2018, the Woolsey Fire occurred in SCE’s service territory</w:t>
      </w:r>
      <w:r w:rsidRPr="00822A98" w:rsidR="00322839">
        <w:rPr>
          <w:bCs/>
          <w:sz w:val="26"/>
          <w:szCs w:val="26"/>
        </w:rPr>
        <w:t>.</w:t>
      </w:r>
      <w:r w:rsidRPr="00822A98" w:rsidR="00C42C89">
        <w:rPr>
          <w:bCs/>
          <w:sz w:val="26"/>
          <w:szCs w:val="26"/>
        </w:rPr>
        <w:t xml:space="preserve"> </w:t>
      </w:r>
      <w:r w:rsidRPr="00822A98" w:rsidR="00592345">
        <w:rPr>
          <w:bCs/>
          <w:sz w:val="26"/>
          <w:szCs w:val="26"/>
        </w:rPr>
        <w:t>SED conducted</w:t>
      </w:r>
      <w:r w:rsidRPr="00822A98" w:rsidR="00322839">
        <w:rPr>
          <w:bCs/>
          <w:sz w:val="26"/>
          <w:szCs w:val="26"/>
        </w:rPr>
        <w:t xml:space="preserve"> an</w:t>
      </w:r>
      <w:r w:rsidRPr="00822A98" w:rsidR="003D3157">
        <w:rPr>
          <w:bCs/>
          <w:sz w:val="26"/>
          <w:szCs w:val="26"/>
        </w:rPr>
        <w:t xml:space="preserve"> </w:t>
      </w:r>
      <w:r w:rsidRPr="00822A98" w:rsidR="00592345">
        <w:rPr>
          <w:bCs/>
          <w:sz w:val="26"/>
          <w:szCs w:val="26"/>
        </w:rPr>
        <w:t>investigation</w:t>
      </w:r>
      <w:r w:rsidRPr="00822A98" w:rsidR="00322839">
        <w:rPr>
          <w:bCs/>
          <w:sz w:val="26"/>
          <w:szCs w:val="26"/>
        </w:rPr>
        <w:t xml:space="preserve"> of </w:t>
      </w:r>
      <w:r w:rsidRPr="00822A98">
        <w:rPr>
          <w:bCs/>
          <w:sz w:val="26"/>
          <w:szCs w:val="26"/>
        </w:rPr>
        <w:t>each of the fires</w:t>
      </w:r>
      <w:r w:rsidRPr="00822A98" w:rsidR="00322839">
        <w:rPr>
          <w:bCs/>
          <w:sz w:val="26"/>
          <w:szCs w:val="26"/>
        </w:rPr>
        <w:t xml:space="preserve"> </w:t>
      </w:r>
      <w:r w:rsidRPr="00822A98" w:rsidR="00ED39E7">
        <w:rPr>
          <w:bCs/>
          <w:sz w:val="26"/>
          <w:szCs w:val="26"/>
        </w:rPr>
        <w:t>and</w:t>
      </w:r>
      <w:r w:rsidRPr="00822A98" w:rsidR="00322839">
        <w:rPr>
          <w:bCs/>
          <w:sz w:val="26"/>
          <w:szCs w:val="26"/>
        </w:rPr>
        <w:t xml:space="preserve"> </w:t>
      </w:r>
      <w:r w:rsidRPr="00822A98" w:rsidR="00442E54">
        <w:rPr>
          <w:bCs/>
          <w:sz w:val="26"/>
          <w:szCs w:val="26"/>
        </w:rPr>
        <w:t>identified</w:t>
      </w:r>
      <w:r w:rsidRPr="00822A98" w:rsidR="008A77F3">
        <w:rPr>
          <w:bCs/>
          <w:sz w:val="26"/>
          <w:szCs w:val="26"/>
        </w:rPr>
        <w:t xml:space="preserve"> </w:t>
      </w:r>
      <w:r w:rsidRPr="00822A98" w:rsidR="00EF1AF9">
        <w:rPr>
          <w:bCs/>
          <w:sz w:val="26"/>
          <w:szCs w:val="26"/>
        </w:rPr>
        <w:t xml:space="preserve">possible </w:t>
      </w:r>
      <w:r w:rsidRPr="00822A98" w:rsidR="00592345">
        <w:rPr>
          <w:bCs/>
          <w:sz w:val="26"/>
          <w:szCs w:val="26"/>
        </w:rPr>
        <w:t>violat</w:t>
      </w:r>
      <w:r w:rsidRPr="00822A98" w:rsidR="000C661F">
        <w:rPr>
          <w:bCs/>
          <w:sz w:val="26"/>
          <w:szCs w:val="26"/>
        </w:rPr>
        <w:t>ions</w:t>
      </w:r>
      <w:r w:rsidRPr="00822A98" w:rsidR="00592345">
        <w:rPr>
          <w:bCs/>
          <w:sz w:val="26"/>
          <w:szCs w:val="26"/>
        </w:rPr>
        <w:t xml:space="preserve"> </w:t>
      </w:r>
      <w:r w:rsidRPr="00822A98" w:rsidR="00ED39E7">
        <w:rPr>
          <w:bCs/>
          <w:sz w:val="26"/>
          <w:szCs w:val="26"/>
        </w:rPr>
        <w:t xml:space="preserve">by </w:t>
      </w:r>
      <w:r w:rsidRPr="00822A98">
        <w:rPr>
          <w:bCs/>
          <w:sz w:val="26"/>
          <w:szCs w:val="26"/>
        </w:rPr>
        <w:t>SCE</w:t>
      </w:r>
      <w:r w:rsidRPr="00822A98" w:rsidR="00ED39E7">
        <w:rPr>
          <w:bCs/>
          <w:sz w:val="26"/>
          <w:szCs w:val="26"/>
        </w:rPr>
        <w:t xml:space="preserve"> </w:t>
      </w:r>
      <w:r w:rsidRPr="00822A98" w:rsidR="000C661F">
        <w:rPr>
          <w:bCs/>
          <w:sz w:val="26"/>
          <w:szCs w:val="26"/>
        </w:rPr>
        <w:t xml:space="preserve">of </w:t>
      </w:r>
      <w:r w:rsidRPr="00822A98" w:rsidR="00592345">
        <w:rPr>
          <w:bCs/>
          <w:sz w:val="26"/>
          <w:szCs w:val="26"/>
        </w:rPr>
        <w:t>provisions of the California Public Utilities Code and the Commission’s General Orders</w:t>
      </w:r>
      <w:r w:rsidRPr="00822A98" w:rsidR="00D91FFE">
        <w:rPr>
          <w:bCs/>
          <w:sz w:val="26"/>
          <w:szCs w:val="26"/>
        </w:rPr>
        <w:t>.</w:t>
      </w:r>
      <w:r w:rsidRPr="00822A98" w:rsidR="00A452EE">
        <w:rPr>
          <w:bCs/>
          <w:sz w:val="26"/>
          <w:szCs w:val="26"/>
        </w:rPr>
        <w:t xml:space="preserve"> </w:t>
      </w:r>
    </w:p>
    <w:p w:rsidRPr="00822A98" w:rsidR="00D91FFE" w:rsidP="00822A98" w:rsidRDefault="00D91FFE" w14:paraId="4E6A265F" w14:textId="77777777">
      <w:pPr>
        <w:rPr>
          <w:bCs/>
          <w:sz w:val="26"/>
          <w:szCs w:val="26"/>
        </w:rPr>
      </w:pPr>
    </w:p>
    <w:p w:rsidRPr="00822A98" w:rsidR="00827217" w:rsidP="00822A98" w:rsidRDefault="00A83962" w14:paraId="6F0C0921" w14:textId="033F56E2">
      <w:pPr>
        <w:rPr>
          <w:bCs/>
          <w:sz w:val="26"/>
          <w:szCs w:val="26"/>
        </w:rPr>
      </w:pPr>
      <w:r w:rsidRPr="00822A98">
        <w:rPr>
          <w:bCs/>
          <w:sz w:val="26"/>
          <w:szCs w:val="26"/>
        </w:rPr>
        <w:lastRenderedPageBreak/>
        <w:t xml:space="preserve">Resolution M-4846, </w:t>
      </w:r>
      <w:r w:rsidRPr="00822A98" w:rsidR="00E6721F">
        <w:rPr>
          <w:bCs/>
          <w:sz w:val="26"/>
          <w:szCs w:val="26"/>
        </w:rPr>
        <w:t>issued in</w:t>
      </w:r>
      <w:r w:rsidRPr="00822A98">
        <w:rPr>
          <w:bCs/>
          <w:sz w:val="26"/>
          <w:szCs w:val="26"/>
        </w:rPr>
        <w:t xml:space="preserve"> November 2020, adopted the Commission Enforcement and Penalty Policy (Enforcement Policy) </w:t>
      </w:r>
      <w:r w:rsidRPr="00822A98" w:rsidR="004D2212">
        <w:rPr>
          <w:bCs/>
          <w:sz w:val="26"/>
          <w:szCs w:val="26"/>
        </w:rPr>
        <w:t xml:space="preserve">and </w:t>
      </w:r>
      <w:r w:rsidRPr="00822A98">
        <w:rPr>
          <w:bCs/>
          <w:sz w:val="26"/>
          <w:szCs w:val="26"/>
        </w:rPr>
        <w:t>authorize</w:t>
      </w:r>
      <w:r w:rsidRPr="00822A98" w:rsidR="004D2212">
        <w:rPr>
          <w:bCs/>
          <w:sz w:val="26"/>
          <w:szCs w:val="26"/>
        </w:rPr>
        <w:t>d</w:t>
      </w:r>
      <w:r w:rsidRPr="00822A98">
        <w:rPr>
          <w:bCs/>
          <w:sz w:val="26"/>
          <w:szCs w:val="26"/>
        </w:rPr>
        <w:t xml:space="preserve"> Commission staff to</w:t>
      </w:r>
      <w:r w:rsidRPr="00822A98" w:rsidR="000825A6">
        <w:rPr>
          <w:bCs/>
          <w:sz w:val="26"/>
          <w:szCs w:val="26"/>
        </w:rPr>
        <w:t xml:space="preserve"> </w:t>
      </w:r>
      <w:r w:rsidRPr="00822A98" w:rsidR="007C2F49">
        <w:rPr>
          <w:bCs/>
          <w:sz w:val="26"/>
          <w:szCs w:val="26"/>
        </w:rPr>
        <w:t xml:space="preserve">negotiate and </w:t>
      </w:r>
      <w:r w:rsidRPr="00822A98">
        <w:rPr>
          <w:bCs/>
          <w:sz w:val="26"/>
          <w:szCs w:val="26"/>
        </w:rPr>
        <w:t>propose an Administrative Consent Order to resolve a</w:t>
      </w:r>
      <w:r w:rsidRPr="00822A98" w:rsidR="00084CAE">
        <w:rPr>
          <w:bCs/>
          <w:sz w:val="26"/>
          <w:szCs w:val="26"/>
        </w:rPr>
        <w:t>n</w:t>
      </w:r>
      <w:r w:rsidRPr="00822A98">
        <w:rPr>
          <w:bCs/>
          <w:sz w:val="26"/>
          <w:szCs w:val="26"/>
        </w:rPr>
        <w:t xml:space="preserve"> </w:t>
      </w:r>
      <w:r w:rsidRPr="00822A98" w:rsidR="005E35C5">
        <w:rPr>
          <w:bCs/>
          <w:sz w:val="26"/>
          <w:szCs w:val="26"/>
        </w:rPr>
        <w:t>enforcement matter</w:t>
      </w:r>
      <w:r w:rsidRPr="00822A98" w:rsidR="00E6721F">
        <w:rPr>
          <w:bCs/>
          <w:sz w:val="26"/>
          <w:szCs w:val="26"/>
        </w:rPr>
        <w:t xml:space="preserve">, subject to review and consideration by the Commission. </w:t>
      </w:r>
      <w:r w:rsidRPr="00822A98" w:rsidR="00E43153">
        <w:rPr>
          <w:bCs/>
          <w:sz w:val="26"/>
          <w:szCs w:val="26"/>
        </w:rPr>
        <w:t xml:space="preserve">SED and </w:t>
      </w:r>
      <w:r w:rsidRPr="00822A98" w:rsidR="00367847">
        <w:rPr>
          <w:bCs/>
          <w:sz w:val="26"/>
          <w:szCs w:val="26"/>
        </w:rPr>
        <w:t xml:space="preserve">SCE </w:t>
      </w:r>
      <w:r w:rsidRPr="00822A98" w:rsidR="00E43153">
        <w:rPr>
          <w:bCs/>
          <w:sz w:val="26"/>
          <w:szCs w:val="26"/>
        </w:rPr>
        <w:t xml:space="preserve">executed </w:t>
      </w:r>
      <w:r w:rsidRPr="00822A98" w:rsidR="00E73976">
        <w:rPr>
          <w:bCs/>
          <w:sz w:val="26"/>
          <w:szCs w:val="26"/>
        </w:rPr>
        <w:t xml:space="preserve">an Administrative Consent Order and Agreement (ACO) that </w:t>
      </w:r>
      <w:r w:rsidRPr="00822A98" w:rsidR="00E43153">
        <w:rPr>
          <w:bCs/>
          <w:sz w:val="26"/>
          <w:szCs w:val="26"/>
        </w:rPr>
        <w:t>resolve</w:t>
      </w:r>
      <w:r w:rsidRPr="00822A98" w:rsidR="00E73976">
        <w:rPr>
          <w:bCs/>
          <w:sz w:val="26"/>
          <w:szCs w:val="26"/>
        </w:rPr>
        <w:t>d</w:t>
      </w:r>
      <w:r w:rsidRPr="00822A98" w:rsidR="00E43153">
        <w:rPr>
          <w:bCs/>
          <w:sz w:val="26"/>
          <w:szCs w:val="26"/>
        </w:rPr>
        <w:t xml:space="preserve"> all issues related to SED’s investigations of the </w:t>
      </w:r>
      <w:r w:rsidRPr="00822A98" w:rsidR="00367847">
        <w:rPr>
          <w:bCs/>
          <w:sz w:val="26"/>
          <w:szCs w:val="26"/>
        </w:rPr>
        <w:t>2017/2018 Southern California Fires</w:t>
      </w:r>
      <w:r w:rsidRPr="00822A98" w:rsidR="00827217">
        <w:rPr>
          <w:bCs/>
          <w:sz w:val="26"/>
          <w:szCs w:val="26"/>
        </w:rPr>
        <w:t>.</w:t>
      </w:r>
    </w:p>
    <w:p w:rsidRPr="00822A98" w:rsidR="00827217" w:rsidP="00822A98" w:rsidRDefault="00827217" w14:paraId="606A14EA" w14:textId="77777777">
      <w:pPr>
        <w:rPr>
          <w:bCs/>
          <w:sz w:val="26"/>
          <w:szCs w:val="26"/>
        </w:rPr>
      </w:pPr>
    </w:p>
    <w:p w:rsidRPr="00822A98" w:rsidR="003B1DBD" w:rsidP="00822A98" w:rsidRDefault="00827217" w14:paraId="537DF716" w14:textId="433598C3">
      <w:pPr>
        <w:rPr>
          <w:bCs/>
          <w:sz w:val="26"/>
          <w:szCs w:val="26"/>
        </w:rPr>
      </w:pPr>
      <w:r w:rsidRPr="00822A98">
        <w:rPr>
          <w:bCs/>
          <w:sz w:val="26"/>
          <w:szCs w:val="26"/>
        </w:rPr>
        <w:t xml:space="preserve">The ACO relating to the </w:t>
      </w:r>
      <w:r w:rsidRPr="00822A98" w:rsidR="00367847">
        <w:rPr>
          <w:bCs/>
          <w:sz w:val="26"/>
          <w:szCs w:val="26"/>
        </w:rPr>
        <w:t xml:space="preserve">2017/2018 Southern California Fires </w:t>
      </w:r>
      <w:r w:rsidRPr="00822A98">
        <w:rPr>
          <w:bCs/>
          <w:sz w:val="26"/>
          <w:szCs w:val="26"/>
        </w:rPr>
        <w:t>was presented to the Commission</w:t>
      </w:r>
      <w:r w:rsidRPr="00822A98" w:rsidR="00C2272F">
        <w:rPr>
          <w:bCs/>
          <w:sz w:val="26"/>
          <w:szCs w:val="26"/>
        </w:rPr>
        <w:t xml:space="preserve"> for it</w:t>
      </w:r>
      <w:r w:rsidRPr="00822A98">
        <w:rPr>
          <w:bCs/>
          <w:sz w:val="26"/>
          <w:szCs w:val="26"/>
        </w:rPr>
        <w:t xml:space="preserve">s approval via </w:t>
      </w:r>
      <w:r w:rsidRPr="00822A98" w:rsidR="00367847">
        <w:rPr>
          <w:bCs/>
          <w:sz w:val="26"/>
          <w:szCs w:val="26"/>
        </w:rPr>
        <w:t xml:space="preserve">draft </w:t>
      </w:r>
      <w:r w:rsidRPr="00822A98" w:rsidR="00C2272F">
        <w:rPr>
          <w:bCs/>
          <w:sz w:val="26"/>
          <w:szCs w:val="26"/>
        </w:rPr>
        <w:t>Resolution SED-</w:t>
      </w:r>
      <w:r w:rsidRPr="00822A98" w:rsidR="00367847">
        <w:rPr>
          <w:bCs/>
          <w:sz w:val="26"/>
          <w:szCs w:val="26"/>
        </w:rPr>
        <w:t>5</w:t>
      </w:r>
      <w:r w:rsidRPr="00822A98" w:rsidR="00C2272F">
        <w:rPr>
          <w:bCs/>
          <w:sz w:val="26"/>
          <w:szCs w:val="26"/>
        </w:rPr>
        <w:t>.</w:t>
      </w:r>
      <w:r w:rsidRPr="00822A98" w:rsidR="005669EF">
        <w:rPr>
          <w:bCs/>
          <w:sz w:val="26"/>
          <w:szCs w:val="26"/>
        </w:rPr>
        <w:t xml:space="preserve"> On December </w:t>
      </w:r>
      <w:r w:rsidRPr="00822A98" w:rsidR="00F83FC2">
        <w:rPr>
          <w:bCs/>
          <w:sz w:val="26"/>
          <w:szCs w:val="26"/>
        </w:rPr>
        <w:t>20</w:t>
      </w:r>
      <w:r w:rsidRPr="00822A98" w:rsidR="005669EF">
        <w:rPr>
          <w:bCs/>
          <w:sz w:val="26"/>
          <w:szCs w:val="26"/>
        </w:rPr>
        <w:t xml:space="preserve">, 2021, the Commission </w:t>
      </w:r>
      <w:r w:rsidRPr="00822A98" w:rsidR="00623F15">
        <w:rPr>
          <w:bCs/>
          <w:sz w:val="26"/>
          <w:szCs w:val="26"/>
        </w:rPr>
        <w:t xml:space="preserve">issued </w:t>
      </w:r>
      <w:r w:rsidRPr="00822A98" w:rsidR="005669EF">
        <w:rPr>
          <w:bCs/>
          <w:sz w:val="26"/>
          <w:szCs w:val="26"/>
        </w:rPr>
        <w:t>Resolution SED-</w:t>
      </w:r>
      <w:r w:rsidRPr="00822A98" w:rsidR="00367847">
        <w:rPr>
          <w:bCs/>
          <w:sz w:val="26"/>
          <w:szCs w:val="26"/>
        </w:rPr>
        <w:t>5</w:t>
      </w:r>
      <w:r w:rsidRPr="00822A98" w:rsidR="00623F15">
        <w:rPr>
          <w:bCs/>
          <w:sz w:val="26"/>
          <w:szCs w:val="26"/>
        </w:rPr>
        <w:t>, approving the ACO.</w:t>
      </w:r>
      <w:r w:rsidRPr="00822A98" w:rsidR="00AE394E">
        <w:rPr>
          <w:bCs/>
          <w:sz w:val="26"/>
          <w:szCs w:val="26"/>
        </w:rPr>
        <w:t xml:space="preserve"> </w:t>
      </w:r>
      <w:r w:rsidRPr="00822A98" w:rsidR="00623F15">
        <w:rPr>
          <w:bCs/>
          <w:sz w:val="26"/>
          <w:szCs w:val="26"/>
        </w:rPr>
        <w:t>The Utility Reform Network (TURN) filed an application for rehearing of Resolution SED-</w:t>
      </w:r>
      <w:r w:rsidRPr="00822A98" w:rsidR="00367847">
        <w:rPr>
          <w:bCs/>
          <w:sz w:val="26"/>
          <w:szCs w:val="26"/>
        </w:rPr>
        <w:t>5</w:t>
      </w:r>
      <w:r w:rsidRPr="00822A98" w:rsidR="00623F15">
        <w:rPr>
          <w:bCs/>
          <w:sz w:val="26"/>
          <w:szCs w:val="26"/>
        </w:rPr>
        <w:t>, alleging multiple legal errors.</w:t>
      </w:r>
      <w:r w:rsidRPr="00423CB6" w:rsidR="00367847">
        <w:rPr>
          <w:b/>
          <w:u w:val="single"/>
          <w:vertAlign w:val="superscript"/>
        </w:rPr>
        <w:footnoteReference w:id="3"/>
      </w:r>
      <w:r w:rsidRPr="00822A98" w:rsidR="0098078D">
        <w:rPr>
          <w:bCs/>
          <w:sz w:val="26"/>
          <w:szCs w:val="26"/>
        </w:rPr>
        <w:t xml:space="preserve"> In D.22-04-</w:t>
      </w:r>
      <w:r w:rsidRPr="00822A98" w:rsidR="00C212A3">
        <w:rPr>
          <w:bCs/>
          <w:sz w:val="26"/>
          <w:szCs w:val="26"/>
        </w:rPr>
        <w:t>057</w:t>
      </w:r>
      <w:r w:rsidRPr="00822A98" w:rsidR="0098078D">
        <w:rPr>
          <w:bCs/>
          <w:sz w:val="26"/>
          <w:szCs w:val="26"/>
        </w:rPr>
        <w:t xml:space="preserve">, the Commission </w:t>
      </w:r>
      <w:r w:rsidRPr="00822A98" w:rsidR="00A24ACC">
        <w:rPr>
          <w:bCs/>
          <w:sz w:val="26"/>
          <w:szCs w:val="26"/>
        </w:rPr>
        <w:t xml:space="preserve">denied all but one of TURN’s claims. The one issue </w:t>
      </w:r>
      <w:r w:rsidRPr="00822A98" w:rsidR="004D47D9">
        <w:rPr>
          <w:bCs/>
          <w:sz w:val="26"/>
          <w:szCs w:val="26"/>
        </w:rPr>
        <w:t xml:space="preserve">on which </w:t>
      </w:r>
      <w:r w:rsidRPr="00822A98" w:rsidR="00A24ACC">
        <w:rPr>
          <w:bCs/>
          <w:sz w:val="26"/>
          <w:szCs w:val="26"/>
        </w:rPr>
        <w:t>the Commission granted rehearing was Resolution SED-</w:t>
      </w:r>
      <w:r w:rsidRPr="00822A98" w:rsidR="007C5704">
        <w:rPr>
          <w:bCs/>
          <w:sz w:val="26"/>
          <w:szCs w:val="26"/>
        </w:rPr>
        <w:t>5</w:t>
      </w:r>
      <w:r w:rsidRPr="00822A98" w:rsidR="00901EC6">
        <w:rPr>
          <w:bCs/>
          <w:sz w:val="26"/>
          <w:szCs w:val="26"/>
        </w:rPr>
        <w:t>’s</w:t>
      </w:r>
      <w:r w:rsidRPr="00822A98" w:rsidR="004D47D9">
        <w:rPr>
          <w:bCs/>
          <w:sz w:val="26"/>
          <w:szCs w:val="26"/>
        </w:rPr>
        <w:t xml:space="preserve"> failure to </w:t>
      </w:r>
      <w:r w:rsidRPr="00822A98" w:rsidR="00A24ACC">
        <w:rPr>
          <w:bCs/>
          <w:sz w:val="26"/>
          <w:szCs w:val="26"/>
        </w:rPr>
        <w:t>include an analysis of the Penalty Assessment Methodology</w:t>
      </w:r>
      <w:r w:rsidRPr="00822A98" w:rsidR="00901EC6">
        <w:rPr>
          <w:bCs/>
          <w:sz w:val="26"/>
          <w:szCs w:val="26"/>
        </w:rPr>
        <w:t>,</w:t>
      </w:r>
      <w:r w:rsidRPr="00822A98" w:rsidR="00A24ACC">
        <w:rPr>
          <w:bCs/>
          <w:sz w:val="26"/>
          <w:szCs w:val="26"/>
        </w:rPr>
        <w:t xml:space="preserve"> </w:t>
      </w:r>
      <w:r w:rsidRPr="00822A98" w:rsidR="00901EC6">
        <w:rPr>
          <w:bCs/>
          <w:sz w:val="26"/>
          <w:szCs w:val="26"/>
        </w:rPr>
        <w:t>which</w:t>
      </w:r>
      <w:r w:rsidRPr="00822A98" w:rsidR="00A24ACC">
        <w:rPr>
          <w:bCs/>
          <w:sz w:val="26"/>
          <w:szCs w:val="26"/>
        </w:rPr>
        <w:t xml:space="preserve"> the Commission found to be required under </w:t>
      </w:r>
      <w:r w:rsidRPr="00822A98" w:rsidR="004D47D9">
        <w:rPr>
          <w:bCs/>
          <w:sz w:val="26"/>
          <w:szCs w:val="26"/>
        </w:rPr>
        <w:t>the Commission’s Enforcement Policy</w:t>
      </w:r>
      <w:r w:rsidRPr="00822A98" w:rsidR="007C5704">
        <w:rPr>
          <w:bCs/>
          <w:sz w:val="26"/>
          <w:szCs w:val="26"/>
        </w:rPr>
        <w:t>.</w:t>
      </w:r>
      <w:r w:rsidRPr="00423CB6" w:rsidR="007C5704">
        <w:rPr>
          <w:b/>
          <w:u w:val="single"/>
          <w:vertAlign w:val="superscript"/>
        </w:rPr>
        <w:footnoteReference w:id="4"/>
      </w:r>
      <w:r w:rsidRPr="00822A98" w:rsidR="00623F15">
        <w:rPr>
          <w:bCs/>
          <w:sz w:val="26"/>
          <w:szCs w:val="26"/>
        </w:rPr>
        <w:t xml:space="preserve"> </w:t>
      </w:r>
    </w:p>
    <w:p w:rsidRPr="00822A98" w:rsidR="001068C0" w:rsidP="00822A98" w:rsidRDefault="001068C0" w14:paraId="026E18BA" w14:textId="54B758E8">
      <w:pPr>
        <w:rPr>
          <w:bCs/>
          <w:sz w:val="26"/>
          <w:szCs w:val="26"/>
        </w:rPr>
      </w:pPr>
    </w:p>
    <w:p w:rsidRPr="00822A98" w:rsidR="001068C0" w:rsidP="00822A98" w:rsidRDefault="001068C0" w14:paraId="18DAA51C" w14:textId="1F8C5C9C">
      <w:pPr>
        <w:rPr>
          <w:bCs/>
          <w:sz w:val="26"/>
          <w:szCs w:val="26"/>
        </w:rPr>
      </w:pPr>
      <w:r w:rsidRPr="00822A98">
        <w:rPr>
          <w:bCs/>
          <w:sz w:val="26"/>
          <w:szCs w:val="26"/>
        </w:rPr>
        <w:t>Accordingly, this Resolution provides an analysis of the Penalty Assessment Methodology applicable to Resolution SED-</w:t>
      </w:r>
      <w:r w:rsidRPr="00822A98" w:rsidR="007C5704">
        <w:rPr>
          <w:bCs/>
          <w:sz w:val="26"/>
          <w:szCs w:val="26"/>
        </w:rPr>
        <w:t>5</w:t>
      </w:r>
      <w:r w:rsidRPr="00822A98">
        <w:rPr>
          <w:bCs/>
          <w:sz w:val="26"/>
          <w:szCs w:val="26"/>
        </w:rPr>
        <w:t xml:space="preserve">. </w:t>
      </w:r>
    </w:p>
    <w:p w:rsidRPr="00423CB6" w:rsidR="001068C0" w:rsidP="00423CB6" w:rsidRDefault="001068C0" w14:paraId="0C5422E4" w14:textId="12CB49B1">
      <w:pPr>
        <w:rPr>
          <w:bCs/>
          <w:sz w:val="26"/>
          <w:szCs w:val="26"/>
        </w:rPr>
      </w:pPr>
    </w:p>
    <w:p w:rsidRPr="00253DE6" w:rsidR="001068C0" w:rsidP="00B159F6" w:rsidRDefault="001068C0" w14:paraId="1BD6BC02" w14:textId="49631738">
      <w:pPr>
        <w:keepNext/>
        <w:tabs>
          <w:tab w:val="right" w:pos="10080"/>
        </w:tabs>
        <w:rPr>
          <w:sz w:val="26"/>
          <w:szCs w:val="26"/>
        </w:rPr>
      </w:pPr>
      <w:r w:rsidRPr="00253DE6">
        <w:rPr>
          <w:b/>
          <w:sz w:val="26"/>
          <w:szCs w:val="26"/>
          <w:u w:val="single"/>
        </w:rPr>
        <w:t>DISCUSSION</w:t>
      </w:r>
    </w:p>
    <w:p w:rsidRPr="00423CB6" w:rsidR="004E09D7" w:rsidP="00423CB6" w:rsidRDefault="004E09D7" w14:paraId="222B4018" w14:textId="77777777">
      <w:pPr>
        <w:rPr>
          <w:bCs/>
          <w:sz w:val="26"/>
          <w:szCs w:val="26"/>
        </w:rPr>
      </w:pPr>
    </w:p>
    <w:p w:rsidRPr="00253DE6" w:rsidR="001068C0" w:rsidP="00123C34" w:rsidRDefault="001068C0" w14:paraId="723F6994" w14:textId="12B2B443">
      <w:pPr>
        <w:tabs>
          <w:tab w:val="right" w:pos="10080"/>
        </w:tabs>
        <w:rPr>
          <w:sz w:val="26"/>
          <w:szCs w:val="26"/>
        </w:rPr>
      </w:pPr>
      <w:r w:rsidRPr="00253DE6">
        <w:rPr>
          <w:sz w:val="26"/>
          <w:szCs w:val="26"/>
        </w:rPr>
        <w:t>According to D.22-04-</w:t>
      </w:r>
      <w:r w:rsidR="00C212A3">
        <w:rPr>
          <w:sz w:val="26"/>
          <w:szCs w:val="26"/>
        </w:rPr>
        <w:t>057</w:t>
      </w:r>
      <w:r w:rsidRPr="00253DE6">
        <w:rPr>
          <w:sz w:val="26"/>
          <w:szCs w:val="26"/>
        </w:rPr>
        <w:t xml:space="preserve">, </w:t>
      </w:r>
      <w:r w:rsidRPr="00253DE6" w:rsidR="009C18AD">
        <w:rPr>
          <w:sz w:val="26"/>
          <w:szCs w:val="26"/>
        </w:rPr>
        <w:t>the Penalty Assessment Methodology sets forth five factors that staff and the Commission must consider in determining the amount of a penalty for each violation: “[S]everity or gravity of the offense, conduct of the regulated entity, financial resources of the regulated entity, totality of the circumstances in furtherance of the public interest, and role of precedent.”</w:t>
      </w:r>
      <w:r w:rsidRPr="00423CB6" w:rsidR="00AC39F4">
        <w:rPr>
          <w:rStyle w:val="FootnoteReference"/>
          <w:b/>
          <w:bCs/>
          <w:sz w:val="26"/>
          <w:szCs w:val="26"/>
          <w:u w:val="single"/>
        </w:rPr>
        <w:footnoteReference w:id="5"/>
      </w:r>
      <w:r w:rsidRPr="00253DE6" w:rsidR="009C18AD">
        <w:rPr>
          <w:sz w:val="26"/>
          <w:szCs w:val="26"/>
        </w:rPr>
        <w:t xml:space="preserve"> </w:t>
      </w:r>
      <w:r w:rsidRPr="00253DE6" w:rsidR="009271B9">
        <w:rPr>
          <w:sz w:val="26"/>
          <w:szCs w:val="26"/>
        </w:rPr>
        <w:t xml:space="preserve">Those factors were not </w:t>
      </w:r>
      <w:r w:rsidRPr="00253DE6" w:rsidR="00123C34">
        <w:rPr>
          <w:sz w:val="26"/>
          <w:szCs w:val="26"/>
        </w:rPr>
        <w:t>expressly addressed in Resolution SED-</w:t>
      </w:r>
      <w:r w:rsidRPr="00253DE6" w:rsidR="00EB70CB">
        <w:rPr>
          <w:sz w:val="26"/>
          <w:szCs w:val="26"/>
        </w:rPr>
        <w:t>5</w:t>
      </w:r>
      <w:r w:rsidRPr="00253DE6" w:rsidR="00123C34">
        <w:rPr>
          <w:sz w:val="26"/>
          <w:szCs w:val="26"/>
        </w:rPr>
        <w:t xml:space="preserve">, and accordingly </w:t>
      </w:r>
      <w:r w:rsidRPr="00253DE6" w:rsidR="00B92954">
        <w:rPr>
          <w:sz w:val="26"/>
          <w:szCs w:val="26"/>
        </w:rPr>
        <w:t xml:space="preserve">are </w:t>
      </w:r>
      <w:r w:rsidRPr="00253DE6" w:rsidR="00123C34">
        <w:rPr>
          <w:sz w:val="26"/>
          <w:szCs w:val="26"/>
        </w:rPr>
        <w:t>addressed here.</w:t>
      </w:r>
    </w:p>
    <w:p w:rsidRPr="004F4BDF" w:rsidR="00EB70CB" w:rsidP="003C51A5" w:rsidRDefault="004F4BDF" w14:paraId="281F8421" w14:textId="1C0AD429">
      <w:pPr>
        <w:spacing w:before="240" w:after="120"/>
        <w:ind w:left="720"/>
        <w:rPr>
          <w:b/>
          <w:iCs/>
          <w:sz w:val="26"/>
          <w:szCs w:val="26"/>
        </w:rPr>
      </w:pPr>
      <w:r>
        <w:rPr>
          <w:b/>
          <w:iCs/>
          <w:sz w:val="26"/>
          <w:szCs w:val="26"/>
        </w:rPr>
        <w:t>A.</w:t>
      </w:r>
      <w:r>
        <w:rPr>
          <w:b/>
          <w:iCs/>
          <w:sz w:val="26"/>
          <w:szCs w:val="26"/>
        </w:rPr>
        <w:tab/>
      </w:r>
      <w:r w:rsidRPr="004F4BDF" w:rsidR="00EB70CB">
        <w:rPr>
          <w:b/>
          <w:iCs/>
          <w:sz w:val="26"/>
          <w:szCs w:val="26"/>
        </w:rPr>
        <w:t>Severity or Gravity of the Offense</w:t>
      </w:r>
    </w:p>
    <w:p w:rsidR="00146FCF" w:rsidP="0011188A" w:rsidRDefault="0011188A" w14:paraId="420E0141" w14:textId="452277A3">
      <w:pPr>
        <w:tabs>
          <w:tab w:val="right" w:pos="10080"/>
        </w:tabs>
        <w:rPr>
          <w:sz w:val="26"/>
          <w:szCs w:val="26"/>
        </w:rPr>
      </w:pPr>
      <w:r w:rsidRPr="00253DE6">
        <w:rPr>
          <w:sz w:val="26"/>
          <w:szCs w:val="26"/>
        </w:rPr>
        <w:t>The Commission has stated that the severity of the offense includes several considerations, including economic harm, physical harm, and harm to the regulatory process.</w:t>
      </w:r>
    </w:p>
    <w:p w:rsidR="00146FCF" w:rsidRDefault="00146FCF" w14:paraId="56548653" w14:textId="77777777">
      <w:pPr>
        <w:rPr>
          <w:sz w:val="26"/>
          <w:szCs w:val="26"/>
        </w:rPr>
      </w:pPr>
      <w:r>
        <w:rPr>
          <w:sz w:val="26"/>
          <w:szCs w:val="26"/>
        </w:rPr>
        <w:br w:type="page"/>
      </w:r>
    </w:p>
    <w:p w:rsidRPr="00666AD9" w:rsidR="0011188A" w:rsidP="00DC5C19" w:rsidRDefault="00666AD9" w14:paraId="3DE0AA2D" w14:textId="46E2F803">
      <w:pPr>
        <w:pStyle w:val="Heading2"/>
        <w:numPr>
          <w:ilvl w:val="0"/>
          <w:numId w:val="0"/>
        </w:numPr>
        <w:spacing w:before="240" w:after="120"/>
        <w:ind w:left="1440"/>
        <w:rPr>
          <w:rFonts w:ascii="Times New Roman" w:hAnsi="Times New Roman" w:cs="Times New Roman"/>
          <w:b/>
          <w:bCs/>
          <w:color w:val="auto"/>
        </w:rPr>
      </w:pPr>
      <w:r w:rsidRPr="00666AD9">
        <w:rPr>
          <w:rFonts w:ascii="Times New Roman" w:hAnsi="Times New Roman" w:cs="Times New Roman"/>
          <w:b/>
          <w:bCs/>
          <w:color w:val="auto"/>
        </w:rPr>
        <w:lastRenderedPageBreak/>
        <w:t>1.</w:t>
      </w:r>
      <w:r w:rsidRPr="00666AD9">
        <w:rPr>
          <w:rFonts w:ascii="Times New Roman" w:hAnsi="Times New Roman" w:cs="Times New Roman"/>
          <w:b/>
          <w:bCs/>
          <w:color w:val="auto"/>
        </w:rPr>
        <w:tab/>
      </w:r>
      <w:r w:rsidRPr="00666AD9" w:rsidR="0011188A">
        <w:rPr>
          <w:rFonts w:ascii="Times New Roman" w:hAnsi="Times New Roman" w:cs="Times New Roman"/>
          <w:b/>
          <w:bCs/>
          <w:color w:val="auto"/>
        </w:rPr>
        <w:t>Physical and Economic Harm</w:t>
      </w:r>
    </w:p>
    <w:p w:rsidRPr="00253DE6" w:rsidR="00AC7342" w:rsidP="00AC7342" w:rsidRDefault="00AC7342" w14:paraId="7A5452A4" w14:textId="77777777">
      <w:pPr>
        <w:tabs>
          <w:tab w:val="right" w:pos="10080"/>
        </w:tabs>
        <w:rPr>
          <w:sz w:val="26"/>
          <w:szCs w:val="26"/>
        </w:rPr>
      </w:pPr>
      <w:r w:rsidRPr="00253DE6">
        <w:rPr>
          <w:sz w:val="26"/>
          <w:szCs w:val="26"/>
        </w:rPr>
        <w:t>The Commission has described the physical and economic harm criteria as follows:</w:t>
      </w:r>
    </w:p>
    <w:p w:rsidRPr="00253DE6" w:rsidR="00AC7342" w:rsidP="00AC7342" w:rsidRDefault="00AC7342" w14:paraId="0FF3576A" w14:textId="77777777">
      <w:pPr>
        <w:tabs>
          <w:tab w:val="right" w:pos="10080"/>
        </w:tabs>
        <w:rPr>
          <w:sz w:val="26"/>
          <w:szCs w:val="26"/>
        </w:rPr>
      </w:pPr>
    </w:p>
    <w:p w:rsidRPr="00253DE6" w:rsidR="00AC7342" w:rsidP="00666AD9" w:rsidRDefault="00AC7342" w14:paraId="056D3E79" w14:textId="7431805B">
      <w:pPr>
        <w:tabs>
          <w:tab w:val="right" w:pos="10080"/>
        </w:tabs>
        <w:ind w:left="720" w:right="1440"/>
        <w:rPr>
          <w:sz w:val="26"/>
          <w:szCs w:val="26"/>
        </w:rPr>
      </w:pPr>
      <w:r w:rsidRPr="00253DE6">
        <w:rPr>
          <w:sz w:val="26"/>
          <w:szCs w:val="26"/>
        </w:rPr>
        <w:t>Economic harm reflects the amount of expense which was imposed upon the victims.</w:t>
      </w:r>
      <w:r w:rsidR="00AE394E">
        <w:rPr>
          <w:sz w:val="26"/>
          <w:szCs w:val="26"/>
        </w:rPr>
        <w:t xml:space="preserve"> </w:t>
      </w:r>
      <w:r w:rsidRPr="00253DE6">
        <w:rPr>
          <w:sz w:val="26"/>
          <w:szCs w:val="26"/>
        </w:rPr>
        <w:t>In comparison, violations that cause actual physical harm to people or property are generally considered the most severe, followed by violations that threaten such harm.</w:t>
      </w:r>
      <w:r w:rsidRPr="00423CB6">
        <w:rPr>
          <w:b/>
          <w:bCs/>
          <w:sz w:val="26"/>
          <w:szCs w:val="26"/>
          <w:u w:val="single"/>
          <w:vertAlign w:val="superscript"/>
        </w:rPr>
        <w:footnoteReference w:id="6"/>
      </w:r>
    </w:p>
    <w:p w:rsidRPr="00253DE6" w:rsidR="00AC7342" w:rsidP="00EB70CB" w:rsidRDefault="00AC7342" w14:paraId="7778B2D5" w14:textId="77777777">
      <w:pPr>
        <w:rPr>
          <w:bCs/>
          <w:iCs/>
          <w:sz w:val="26"/>
          <w:szCs w:val="26"/>
        </w:rPr>
      </w:pPr>
    </w:p>
    <w:p w:rsidRPr="00253DE6" w:rsidR="008F0380" w:rsidP="00EB70CB" w:rsidRDefault="008F0380" w14:paraId="162604D7" w14:textId="2615E7FA">
      <w:pPr>
        <w:rPr>
          <w:sz w:val="26"/>
          <w:szCs w:val="26"/>
        </w:rPr>
      </w:pPr>
      <w:r w:rsidRPr="00253DE6">
        <w:rPr>
          <w:bCs/>
          <w:iCs/>
          <w:sz w:val="26"/>
          <w:szCs w:val="26"/>
        </w:rPr>
        <w:t>T</w:t>
      </w:r>
      <w:r w:rsidRPr="00253DE6" w:rsidR="0087518F">
        <w:rPr>
          <w:sz w:val="26"/>
          <w:szCs w:val="26"/>
        </w:rPr>
        <w:t>he harm resulting from the 2017/2018 Southern California Fires is summarized in the “Summary of Incident” sections set forth in SED’s investigation reports detailing acreage burned, structures damaged or destroyed, injuries and fatalities.</w:t>
      </w:r>
      <w:r w:rsidRPr="00423CB6" w:rsidR="0087518F">
        <w:rPr>
          <w:rStyle w:val="FootnoteReference"/>
          <w:b/>
          <w:bCs/>
          <w:sz w:val="26"/>
          <w:szCs w:val="26"/>
          <w:u w:val="single"/>
        </w:rPr>
        <w:footnoteReference w:id="7"/>
      </w:r>
      <w:r w:rsidR="00AE394E">
        <w:rPr>
          <w:sz w:val="26"/>
          <w:szCs w:val="26"/>
        </w:rPr>
        <w:t xml:space="preserve"> </w:t>
      </w:r>
      <w:r w:rsidRPr="00253DE6">
        <w:rPr>
          <w:sz w:val="26"/>
          <w:szCs w:val="26"/>
        </w:rPr>
        <w:t>As explained in these reports, the damage from these fires were substantial.</w:t>
      </w:r>
      <w:r w:rsidR="00AE394E">
        <w:rPr>
          <w:sz w:val="26"/>
          <w:szCs w:val="26"/>
        </w:rPr>
        <w:t xml:space="preserve"> </w:t>
      </w:r>
      <w:r w:rsidRPr="00253DE6">
        <w:rPr>
          <w:sz w:val="26"/>
          <w:szCs w:val="26"/>
        </w:rPr>
        <w:t>Appendix A of the ACO list</w:t>
      </w:r>
      <w:r w:rsidR="00D93726">
        <w:rPr>
          <w:sz w:val="26"/>
          <w:szCs w:val="26"/>
        </w:rPr>
        <w:t>s</w:t>
      </w:r>
      <w:r w:rsidRPr="00253DE6">
        <w:rPr>
          <w:sz w:val="26"/>
          <w:szCs w:val="26"/>
        </w:rPr>
        <w:t xml:space="preserve"> the number and scope of all violations alleged by SED</w:t>
      </w:r>
      <w:r w:rsidR="00D93726">
        <w:rPr>
          <w:sz w:val="26"/>
          <w:szCs w:val="26"/>
        </w:rPr>
        <w:t>,</w:t>
      </w:r>
      <w:r w:rsidRPr="00253DE6">
        <w:rPr>
          <w:sz w:val="26"/>
          <w:szCs w:val="26"/>
        </w:rPr>
        <w:t xml:space="preserve"> all </w:t>
      </w:r>
      <w:r w:rsidR="00D93726">
        <w:rPr>
          <w:sz w:val="26"/>
          <w:szCs w:val="26"/>
        </w:rPr>
        <w:t xml:space="preserve">of </w:t>
      </w:r>
      <w:r w:rsidRPr="00253DE6">
        <w:rPr>
          <w:sz w:val="26"/>
          <w:szCs w:val="26"/>
        </w:rPr>
        <w:t>which were resolved in the ACO.</w:t>
      </w:r>
      <w:r w:rsidR="00AE394E">
        <w:rPr>
          <w:sz w:val="26"/>
          <w:szCs w:val="26"/>
        </w:rPr>
        <w:t xml:space="preserve"> </w:t>
      </w:r>
    </w:p>
    <w:p w:rsidRPr="00253DE6" w:rsidR="008F0380" w:rsidP="00EB70CB" w:rsidRDefault="008F0380" w14:paraId="151574F6" w14:textId="77777777">
      <w:pPr>
        <w:rPr>
          <w:sz w:val="26"/>
          <w:szCs w:val="26"/>
        </w:rPr>
      </w:pPr>
    </w:p>
    <w:p w:rsidRPr="00253DE6" w:rsidR="00EB70CB" w:rsidP="00EB70CB" w:rsidRDefault="00AA020C" w14:paraId="52ADD695" w14:textId="0EB9CA2E">
      <w:pPr>
        <w:rPr>
          <w:sz w:val="26"/>
          <w:szCs w:val="26"/>
        </w:rPr>
      </w:pPr>
      <w:r w:rsidRPr="00253DE6">
        <w:rPr>
          <w:sz w:val="26"/>
          <w:szCs w:val="26"/>
        </w:rPr>
        <w:t xml:space="preserve">SCE </w:t>
      </w:r>
      <w:r w:rsidRPr="00253DE6" w:rsidR="00AC7342">
        <w:rPr>
          <w:sz w:val="26"/>
          <w:szCs w:val="26"/>
        </w:rPr>
        <w:t>dispute</w:t>
      </w:r>
      <w:r w:rsidRPr="00253DE6">
        <w:rPr>
          <w:sz w:val="26"/>
          <w:szCs w:val="26"/>
        </w:rPr>
        <w:t>d</w:t>
      </w:r>
      <w:r w:rsidRPr="00253DE6" w:rsidR="00AC7342">
        <w:rPr>
          <w:sz w:val="26"/>
          <w:szCs w:val="26"/>
        </w:rPr>
        <w:t xml:space="preserve"> </w:t>
      </w:r>
      <w:r w:rsidRPr="00253DE6" w:rsidR="00F761CA">
        <w:rPr>
          <w:sz w:val="26"/>
          <w:szCs w:val="26"/>
        </w:rPr>
        <w:t>its facilities were involved in the Thomas</w:t>
      </w:r>
      <w:r w:rsidRPr="00253DE6" w:rsidR="00751A3F">
        <w:rPr>
          <w:sz w:val="26"/>
          <w:szCs w:val="26"/>
        </w:rPr>
        <w:t xml:space="preserve"> Fire</w:t>
      </w:r>
      <w:r w:rsidRPr="00423CB6" w:rsidR="00F761CA">
        <w:rPr>
          <w:rStyle w:val="FootnoteReference"/>
          <w:b/>
          <w:bCs/>
          <w:sz w:val="26"/>
          <w:szCs w:val="26"/>
          <w:u w:val="single"/>
        </w:rPr>
        <w:footnoteReference w:id="8"/>
      </w:r>
      <w:r w:rsidRPr="00253DE6" w:rsidR="00F761CA">
        <w:rPr>
          <w:sz w:val="26"/>
          <w:szCs w:val="26"/>
        </w:rPr>
        <w:t xml:space="preserve"> and did not dispute that its facilities were involved in the cause of the </w:t>
      </w:r>
      <w:r w:rsidRPr="00253DE6" w:rsidR="00F761CA">
        <w:rPr>
          <w:color w:val="000000"/>
          <w:sz w:val="26"/>
          <w:szCs w:val="26"/>
        </w:rPr>
        <w:t>Liberty, Rye, Meyers and Woolsey Fires.</w:t>
      </w:r>
      <w:r w:rsidR="00AE394E">
        <w:rPr>
          <w:color w:val="000000"/>
          <w:sz w:val="26"/>
          <w:szCs w:val="26"/>
        </w:rPr>
        <w:t xml:space="preserve"> </w:t>
      </w:r>
      <w:r w:rsidRPr="00253DE6" w:rsidR="00751A3F">
        <w:rPr>
          <w:color w:val="000000"/>
          <w:sz w:val="26"/>
          <w:szCs w:val="26"/>
        </w:rPr>
        <w:t>The ACO acknowledge</w:t>
      </w:r>
      <w:r w:rsidR="003D78D6">
        <w:rPr>
          <w:color w:val="000000"/>
          <w:sz w:val="26"/>
          <w:szCs w:val="26"/>
        </w:rPr>
        <w:t>d</w:t>
      </w:r>
      <w:r w:rsidRPr="00253DE6" w:rsidR="00751A3F">
        <w:rPr>
          <w:color w:val="000000"/>
          <w:sz w:val="26"/>
          <w:szCs w:val="26"/>
        </w:rPr>
        <w:t xml:space="preserve"> </w:t>
      </w:r>
      <w:r w:rsidRPr="00253DE6" w:rsidR="00751A3F">
        <w:rPr>
          <w:sz w:val="26"/>
          <w:szCs w:val="26"/>
        </w:rPr>
        <w:t>and reflected the significant physical and economic harm arising out of the 2017/2018 Southern California Fires</w:t>
      </w:r>
      <w:r w:rsidRPr="00253DE6" w:rsidR="008F0380">
        <w:rPr>
          <w:sz w:val="26"/>
          <w:szCs w:val="26"/>
        </w:rPr>
        <w:t>.</w:t>
      </w:r>
      <w:r w:rsidR="00AE394E">
        <w:rPr>
          <w:sz w:val="26"/>
          <w:szCs w:val="26"/>
        </w:rPr>
        <w:t xml:space="preserve"> </w:t>
      </w:r>
    </w:p>
    <w:p w:rsidRPr="00666AD9" w:rsidR="0011188A" w:rsidP="00DC5C19" w:rsidRDefault="0011188A" w14:paraId="1F617F0F" w14:textId="51B31810">
      <w:pPr>
        <w:pStyle w:val="Heading2"/>
        <w:numPr>
          <w:ilvl w:val="0"/>
          <w:numId w:val="0"/>
        </w:numPr>
        <w:spacing w:before="240" w:after="120"/>
        <w:ind w:left="1440"/>
        <w:rPr>
          <w:rFonts w:ascii="Times New Roman" w:hAnsi="Times New Roman" w:cs="Times New Roman"/>
          <w:b/>
          <w:bCs/>
          <w:color w:val="auto"/>
        </w:rPr>
      </w:pPr>
      <w:r w:rsidRPr="00666AD9">
        <w:rPr>
          <w:rFonts w:ascii="Times New Roman" w:hAnsi="Times New Roman" w:cs="Times New Roman"/>
          <w:b/>
          <w:bCs/>
          <w:color w:val="auto"/>
        </w:rPr>
        <w:t xml:space="preserve">2. </w:t>
      </w:r>
      <w:r w:rsidR="00666AD9">
        <w:rPr>
          <w:rFonts w:ascii="Times New Roman" w:hAnsi="Times New Roman" w:cs="Times New Roman"/>
          <w:b/>
          <w:bCs/>
          <w:color w:val="auto"/>
        </w:rPr>
        <w:tab/>
      </w:r>
      <w:r w:rsidRPr="00666AD9">
        <w:rPr>
          <w:rFonts w:ascii="Times New Roman" w:hAnsi="Times New Roman" w:cs="Times New Roman"/>
          <w:b/>
          <w:bCs/>
          <w:color w:val="auto"/>
        </w:rPr>
        <w:t>Harm to the Regulatory Process</w:t>
      </w:r>
    </w:p>
    <w:p w:rsidRPr="00253DE6" w:rsidR="0011188A" w:rsidP="0011188A" w:rsidRDefault="0011188A" w14:paraId="617CF740" w14:textId="77777777">
      <w:pPr>
        <w:tabs>
          <w:tab w:val="right" w:pos="10080"/>
        </w:tabs>
        <w:rPr>
          <w:sz w:val="26"/>
          <w:szCs w:val="26"/>
        </w:rPr>
      </w:pPr>
      <w:r w:rsidRPr="00253DE6">
        <w:rPr>
          <w:sz w:val="26"/>
          <w:szCs w:val="26"/>
        </w:rPr>
        <w:t>As part of the severity of the offense factor, the Commission has described the harm to the regulatory process criterion as follows:</w:t>
      </w:r>
    </w:p>
    <w:p w:rsidRPr="00253DE6" w:rsidR="0011188A" w:rsidP="0011188A" w:rsidRDefault="0011188A" w14:paraId="122632B0" w14:textId="77777777">
      <w:pPr>
        <w:tabs>
          <w:tab w:val="right" w:pos="10080"/>
        </w:tabs>
        <w:rPr>
          <w:sz w:val="26"/>
          <w:szCs w:val="26"/>
        </w:rPr>
      </w:pPr>
    </w:p>
    <w:p w:rsidRPr="00253DE6" w:rsidR="0011188A" w:rsidP="00666AD9" w:rsidRDefault="0011188A" w14:paraId="5E7334A5" w14:textId="071DCC77">
      <w:pPr>
        <w:tabs>
          <w:tab w:val="right" w:pos="10080"/>
        </w:tabs>
        <w:ind w:left="720" w:right="1440"/>
        <w:rPr>
          <w:sz w:val="26"/>
          <w:szCs w:val="26"/>
        </w:rPr>
      </w:pPr>
      <w:r w:rsidRPr="00253DE6">
        <w:rPr>
          <w:sz w:val="26"/>
          <w:szCs w:val="26"/>
        </w:rPr>
        <w:t>Every public utility shall obey and comply with every order, decision, direction, or rule made or prescribed by the Commission in the matters specified in this part, or any other matter in any way relating to or affecting its business as a public utility, and shall do everything necessary or proper to secure compliance therewith by all of its officers, agents, and employees. (Public Utilities Code §702).</w:t>
      </w:r>
    </w:p>
    <w:p w:rsidR="00146FCF" w:rsidRDefault="00146FCF" w14:paraId="04B78C51" w14:textId="03B1FD64">
      <w:pPr>
        <w:rPr>
          <w:sz w:val="26"/>
          <w:szCs w:val="26"/>
        </w:rPr>
      </w:pPr>
      <w:r>
        <w:rPr>
          <w:sz w:val="26"/>
          <w:szCs w:val="26"/>
        </w:rPr>
        <w:br w:type="page"/>
      </w:r>
    </w:p>
    <w:p w:rsidRPr="00253DE6" w:rsidR="0011188A" w:rsidP="00666AD9" w:rsidRDefault="0011188A" w14:paraId="108EA1E5" w14:textId="77777777">
      <w:pPr>
        <w:tabs>
          <w:tab w:val="right" w:pos="10080"/>
        </w:tabs>
        <w:ind w:left="720" w:right="1440"/>
        <w:rPr>
          <w:sz w:val="26"/>
          <w:szCs w:val="26"/>
        </w:rPr>
      </w:pPr>
      <w:r w:rsidRPr="00253DE6">
        <w:rPr>
          <w:sz w:val="26"/>
          <w:szCs w:val="26"/>
        </w:rPr>
        <w:lastRenderedPageBreak/>
        <w:t>Such compliance is essential to the proper functioning of the regulatory process. For this reason, disregarding a statutory or Commission directive, regardless of the effects on the public, will be accorded a high level of severity.</w:t>
      </w:r>
      <w:r w:rsidRPr="00666AD9">
        <w:rPr>
          <w:b/>
          <w:bCs/>
          <w:sz w:val="26"/>
          <w:szCs w:val="26"/>
          <w:u w:val="single"/>
          <w:vertAlign w:val="superscript"/>
        </w:rPr>
        <w:footnoteReference w:id="9"/>
      </w:r>
    </w:p>
    <w:p w:rsidRPr="00253DE6" w:rsidR="0011188A" w:rsidP="0011188A" w:rsidRDefault="0011188A" w14:paraId="4AE596F2" w14:textId="77777777">
      <w:pPr>
        <w:tabs>
          <w:tab w:val="right" w:pos="10080"/>
        </w:tabs>
        <w:ind w:left="720" w:right="720"/>
        <w:rPr>
          <w:sz w:val="26"/>
          <w:szCs w:val="26"/>
        </w:rPr>
      </w:pPr>
    </w:p>
    <w:p w:rsidRPr="00253DE6" w:rsidR="0011188A" w:rsidP="0011188A" w:rsidRDefault="0011188A" w14:paraId="64DCAA10" w14:textId="4B7301B6">
      <w:pPr>
        <w:tabs>
          <w:tab w:val="right" w:pos="10080"/>
        </w:tabs>
        <w:rPr>
          <w:sz w:val="26"/>
          <w:szCs w:val="26"/>
        </w:rPr>
      </w:pPr>
      <w:r w:rsidRPr="00253DE6">
        <w:rPr>
          <w:sz w:val="26"/>
          <w:szCs w:val="26"/>
        </w:rPr>
        <w:t xml:space="preserve">There were no allegations of Rule 1.1 violations and no allegations of other ethical violations or any deliberate misconduct associated with the </w:t>
      </w:r>
      <w:r w:rsidRPr="00253DE6" w:rsidR="00C33846">
        <w:rPr>
          <w:sz w:val="26"/>
          <w:szCs w:val="26"/>
        </w:rPr>
        <w:t>2017/2018 Southern California Fires</w:t>
      </w:r>
      <w:r w:rsidRPr="005E0B8D" w:rsidR="00C33846">
        <w:rPr>
          <w:sz w:val="26"/>
          <w:szCs w:val="26"/>
        </w:rPr>
        <w:t>.</w:t>
      </w:r>
      <w:r w:rsidR="00AE394E">
        <w:rPr>
          <w:sz w:val="26"/>
          <w:szCs w:val="26"/>
        </w:rPr>
        <w:t xml:space="preserve"> </w:t>
      </w:r>
      <w:r w:rsidRPr="00253DE6">
        <w:rPr>
          <w:sz w:val="26"/>
          <w:szCs w:val="26"/>
        </w:rPr>
        <w:t>Accordingly, this was not a significant factor in determining the basis for the penalty imposed pursuant to the ACO.</w:t>
      </w:r>
    </w:p>
    <w:p w:rsidRPr="00253DE6" w:rsidR="00EB70CB" w:rsidP="003C51A5" w:rsidRDefault="00EB70CB" w14:paraId="1C6FCBC4" w14:textId="0F918749">
      <w:pPr>
        <w:pStyle w:val="ListParagraph"/>
        <w:numPr>
          <w:ilvl w:val="0"/>
          <w:numId w:val="16"/>
        </w:numPr>
        <w:spacing w:before="240" w:after="120"/>
        <w:ind w:left="1440" w:hanging="720"/>
        <w:contextualSpacing w:val="0"/>
        <w:rPr>
          <w:b/>
          <w:iCs/>
          <w:sz w:val="26"/>
          <w:szCs w:val="26"/>
        </w:rPr>
      </w:pPr>
      <w:r w:rsidRPr="00253DE6">
        <w:rPr>
          <w:b/>
          <w:iCs/>
          <w:sz w:val="26"/>
          <w:szCs w:val="26"/>
        </w:rPr>
        <w:t>Conduct of the Regulated Entity</w:t>
      </w:r>
    </w:p>
    <w:p w:rsidRPr="00253DE6" w:rsidR="00C33846" w:rsidP="00751A3F" w:rsidRDefault="00EB70CB" w14:paraId="6AC3AA95" w14:textId="3E90FF6A">
      <w:pPr>
        <w:rPr>
          <w:sz w:val="26"/>
          <w:szCs w:val="26"/>
        </w:rPr>
      </w:pPr>
      <w:r w:rsidRPr="00253DE6">
        <w:rPr>
          <w:bCs/>
          <w:iCs/>
          <w:sz w:val="26"/>
          <w:szCs w:val="26"/>
        </w:rPr>
        <w:t>The second factor we consider</w:t>
      </w:r>
      <w:r w:rsidR="0091600B">
        <w:rPr>
          <w:bCs/>
          <w:iCs/>
          <w:sz w:val="26"/>
          <w:szCs w:val="26"/>
        </w:rPr>
        <w:t>ed</w:t>
      </w:r>
      <w:r w:rsidRPr="00253DE6">
        <w:rPr>
          <w:bCs/>
          <w:iCs/>
          <w:sz w:val="26"/>
          <w:szCs w:val="26"/>
        </w:rPr>
        <w:t xml:space="preserve"> is the conduct of SCE. </w:t>
      </w:r>
      <w:r w:rsidRPr="00253DE6" w:rsidR="00C33846">
        <w:rPr>
          <w:sz w:val="26"/>
          <w:szCs w:val="26"/>
        </w:rPr>
        <w:t>In describing the conduct of the utility aspect of the reasonableness analysis, the Commission has recognized the utility’s conduct in: (1) preventing the violation; (2) detecting the violation, and (3) disclosing and rectifying the violation.</w:t>
      </w:r>
      <w:r w:rsidRPr="00423CB6" w:rsidR="00C33846">
        <w:rPr>
          <w:b/>
          <w:bCs/>
          <w:sz w:val="26"/>
          <w:szCs w:val="26"/>
          <w:u w:val="single"/>
          <w:vertAlign w:val="superscript"/>
        </w:rPr>
        <w:footnoteReference w:id="10"/>
      </w:r>
    </w:p>
    <w:p w:rsidRPr="00253DE6" w:rsidR="00EB70CB" w:rsidP="00315A2D" w:rsidRDefault="00EB70CB" w14:paraId="220806E0" w14:textId="6343B326">
      <w:pPr>
        <w:rPr>
          <w:bCs/>
          <w:iCs/>
          <w:sz w:val="26"/>
          <w:szCs w:val="26"/>
        </w:rPr>
      </w:pPr>
    </w:p>
    <w:p w:rsidRPr="00253DE6" w:rsidR="00C33846" w:rsidP="00315A2D" w:rsidRDefault="00C33846" w14:paraId="373C9365" w14:textId="20F9D5D0">
      <w:pPr>
        <w:rPr>
          <w:sz w:val="26"/>
          <w:szCs w:val="26"/>
        </w:rPr>
      </w:pPr>
      <w:r w:rsidRPr="00253DE6">
        <w:rPr>
          <w:sz w:val="26"/>
          <w:szCs w:val="26"/>
        </w:rPr>
        <w:t>SCE timely disclosed its potential involvement in each of the 2017/2018 Southern California Fires by timely filing Electric Safety Incident Reports (ESIRs), and it took accountability when it understood that its equipment may have been associated with ignition, including making public disclosures well in advance of any fire investigation reports.</w:t>
      </w:r>
      <w:r w:rsidR="00AE394E">
        <w:rPr>
          <w:sz w:val="26"/>
          <w:szCs w:val="26"/>
        </w:rPr>
        <w:t xml:space="preserve"> </w:t>
      </w:r>
      <w:r w:rsidRPr="00253DE6" w:rsidR="0033198F">
        <w:rPr>
          <w:sz w:val="26"/>
          <w:szCs w:val="26"/>
        </w:rPr>
        <w:t xml:space="preserve">However, there was disagreement between the parties on </w:t>
      </w:r>
      <w:r w:rsidRPr="00253DE6" w:rsidR="00DE381F">
        <w:rPr>
          <w:sz w:val="26"/>
          <w:szCs w:val="26"/>
        </w:rPr>
        <w:t xml:space="preserve">SCE’s conduct to prevent and detect </w:t>
      </w:r>
      <w:r w:rsidR="00C317DB">
        <w:rPr>
          <w:sz w:val="26"/>
          <w:szCs w:val="26"/>
        </w:rPr>
        <w:t xml:space="preserve">each of the </w:t>
      </w:r>
      <w:r w:rsidRPr="00253DE6" w:rsidR="00DE05E4">
        <w:rPr>
          <w:sz w:val="26"/>
          <w:szCs w:val="26"/>
        </w:rPr>
        <w:t>2017/2018 Southern California Fires</w:t>
      </w:r>
      <w:r w:rsidRPr="00253DE6" w:rsidR="00DE381F">
        <w:rPr>
          <w:sz w:val="26"/>
          <w:szCs w:val="26"/>
        </w:rPr>
        <w:t>.</w:t>
      </w:r>
      <w:r w:rsidR="00AE394E">
        <w:rPr>
          <w:sz w:val="26"/>
          <w:szCs w:val="26"/>
        </w:rPr>
        <w:t xml:space="preserve"> </w:t>
      </w:r>
      <w:r w:rsidRPr="00253DE6" w:rsidR="00DE381F">
        <w:rPr>
          <w:sz w:val="26"/>
          <w:szCs w:val="26"/>
        </w:rPr>
        <w:t xml:space="preserve">SED alleged that SCE </w:t>
      </w:r>
      <w:r w:rsidRPr="00253DE6" w:rsidR="00FF335B">
        <w:rPr>
          <w:sz w:val="26"/>
          <w:szCs w:val="26"/>
        </w:rPr>
        <w:t xml:space="preserve">violated Public Utilities (PU) Code section 451 and Commission General Order (GO) 95, Rules 31.1, 31.2, </w:t>
      </w:r>
      <w:r w:rsidRPr="00253DE6" w:rsidR="00DE381F">
        <w:rPr>
          <w:sz w:val="26"/>
          <w:szCs w:val="26"/>
        </w:rPr>
        <w:t xml:space="preserve">31.6, </w:t>
      </w:r>
      <w:r w:rsidRPr="00253DE6" w:rsidR="00FF335B">
        <w:rPr>
          <w:sz w:val="26"/>
          <w:szCs w:val="26"/>
        </w:rPr>
        <w:t xml:space="preserve">35, 38, 48, 56.2, 83.4B, 84.4-D4, </w:t>
      </w:r>
      <w:r w:rsidRPr="00253DE6" w:rsidR="00DE381F">
        <w:rPr>
          <w:sz w:val="26"/>
          <w:szCs w:val="26"/>
        </w:rPr>
        <w:t xml:space="preserve">and </w:t>
      </w:r>
      <w:r w:rsidRPr="00253DE6" w:rsidR="00FF335B">
        <w:rPr>
          <w:sz w:val="26"/>
          <w:szCs w:val="26"/>
        </w:rPr>
        <w:t>92.4-D1</w:t>
      </w:r>
      <w:r w:rsidRPr="00253DE6" w:rsidR="00DE05E4">
        <w:rPr>
          <w:sz w:val="26"/>
          <w:szCs w:val="26"/>
        </w:rPr>
        <w:t xml:space="preserve"> in its maintenance of the facilities that caused the 2017/2018 Southern California Fires</w:t>
      </w:r>
      <w:r w:rsidRPr="00253DE6" w:rsidR="0033198F">
        <w:rPr>
          <w:sz w:val="26"/>
          <w:szCs w:val="26"/>
        </w:rPr>
        <w:t>.</w:t>
      </w:r>
      <w:r w:rsidR="00AE394E">
        <w:rPr>
          <w:sz w:val="26"/>
          <w:szCs w:val="26"/>
        </w:rPr>
        <w:t xml:space="preserve"> </w:t>
      </w:r>
      <w:r w:rsidRPr="00253DE6" w:rsidR="00DE05E4">
        <w:rPr>
          <w:sz w:val="26"/>
          <w:szCs w:val="26"/>
        </w:rPr>
        <w:t xml:space="preserve">SCE disputed these allegations and </w:t>
      </w:r>
      <w:r w:rsidRPr="00253DE6" w:rsidR="00235D8D">
        <w:rPr>
          <w:sz w:val="26"/>
          <w:szCs w:val="26"/>
        </w:rPr>
        <w:t>raised a number of defenses in support.</w:t>
      </w:r>
    </w:p>
    <w:p w:rsidRPr="00253DE6" w:rsidR="00235D8D" w:rsidP="00315A2D" w:rsidRDefault="00235D8D" w14:paraId="779AB11D" w14:textId="04898C44">
      <w:pPr>
        <w:rPr>
          <w:sz w:val="26"/>
          <w:szCs w:val="26"/>
        </w:rPr>
      </w:pPr>
    </w:p>
    <w:p w:rsidRPr="00253DE6" w:rsidR="00235D8D" w:rsidP="00235D8D" w:rsidRDefault="00235D8D" w14:paraId="5DD6F206" w14:textId="77777777">
      <w:pPr>
        <w:tabs>
          <w:tab w:val="right" w:pos="10080"/>
        </w:tabs>
        <w:rPr>
          <w:sz w:val="26"/>
          <w:szCs w:val="26"/>
        </w:rPr>
      </w:pPr>
      <w:r w:rsidRPr="00253DE6">
        <w:rPr>
          <w:sz w:val="26"/>
          <w:szCs w:val="26"/>
        </w:rPr>
        <w:t xml:space="preserve">Accordingly, the details of this factor, such as the parties’ evaluations of their respective litigation risk, were the focus of negotiations subject to the confidentiality provisions of Commission Rule 12.6, and are not described here. This is consistent with the Enforcement Policy, which states: </w:t>
      </w:r>
    </w:p>
    <w:p w:rsidRPr="00253DE6" w:rsidR="00235D8D" w:rsidP="00235D8D" w:rsidRDefault="00235D8D" w14:paraId="1A0FADFE" w14:textId="77777777">
      <w:pPr>
        <w:tabs>
          <w:tab w:val="right" w:pos="10080"/>
        </w:tabs>
        <w:rPr>
          <w:sz w:val="26"/>
          <w:szCs w:val="26"/>
        </w:rPr>
      </w:pPr>
    </w:p>
    <w:p w:rsidRPr="00253DE6" w:rsidR="00235D8D" w:rsidP="00666AD9" w:rsidRDefault="00235D8D" w14:paraId="6692ACA2" w14:textId="3561FEA1">
      <w:pPr>
        <w:tabs>
          <w:tab w:val="right" w:pos="10080"/>
        </w:tabs>
        <w:ind w:left="720" w:right="1440"/>
        <w:rPr>
          <w:sz w:val="26"/>
          <w:szCs w:val="26"/>
        </w:rPr>
      </w:pPr>
      <w:r w:rsidRPr="00253DE6">
        <w:rPr>
          <w:sz w:val="26"/>
          <w:szCs w:val="26"/>
        </w:rPr>
        <w:t xml:space="preserve">The Policy does not list the full range of considerations that may be relevant to negotiating a proposed settlement. However, the following general considerations should be evaluated as part of any proposed settlement to be submitted for Commission review: 1. Equitable factors; 2. Mitigating circumstances; 3. Evidentiary issues; and 4. Other weaknesses in the enforcement action that the division </w:t>
      </w:r>
      <w:r w:rsidRPr="00253DE6">
        <w:rPr>
          <w:sz w:val="26"/>
          <w:szCs w:val="26"/>
        </w:rPr>
        <w:lastRenderedPageBreak/>
        <w:t>reasonably believes may adversely affect the ability to obtain the calculated penalty.</w:t>
      </w:r>
      <w:r w:rsidRPr="00423CB6" w:rsidR="00970041">
        <w:rPr>
          <w:rStyle w:val="FootnoteReference"/>
          <w:b/>
          <w:bCs/>
          <w:sz w:val="26"/>
          <w:szCs w:val="26"/>
          <w:u w:val="single"/>
        </w:rPr>
        <w:footnoteReference w:id="11"/>
      </w:r>
      <w:r w:rsidRPr="00253DE6">
        <w:rPr>
          <w:sz w:val="26"/>
          <w:szCs w:val="26"/>
        </w:rPr>
        <w:t xml:space="preserve"> </w:t>
      </w:r>
    </w:p>
    <w:p w:rsidRPr="00253DE6" w:rsidR="00235D8D" w:rsidP="00235D8D" w:rsidRDefault="00235D8D" w14:paraId="23F5A802" w14:textId="77777777">
      <w:pPr>
        <w:tabs>
          <w:tab w:val="right" w:pos="10080"/>
        </w:tabs>
        <w:rPr>
          <w:sz w:val="26"/>
          <w:szCs w:val="26"/>
        </w:rPr>
      </w:pPr>
    </w:p>
    <w:p w:rsidRPr="00253DE6" w:rsidR="00235D8D" w:rsidP="00235D8D" w:rsidRDefault="00235D8D" w14:paraId="223B1072" w14:textId="4A20185F">
      <w:pPr>
        <w:tabs>
          <w:tab w:val="right" w:pos="10080"/>
        </w:tabs>
        <w:rPr>
          <w:sz w:val="26"/>
          <w:szCs w:val="26"/>
        </w:rPr>
      </w:pPr>
      <w:r w:rsidRPr="00253DE6">
        <w:rPr>
          <w:sz w:val="26"/>
          <w:szCs w:val="26"/>
        </w:rPr>
        <w:t xml:space="preserve">Nevertheless, SCE’s conduct in preventing the violation, detecting the violation, and disclosing and rectifying the violations were expressly considered in negotiating and resolving the ACO. </w:t>
      </w:r>
    </w:p>
    <w:p w:rsidRPr="00253DE6" w:rsidR="00EB70CB" w:rsidP="003C51A5" w:rsidRDefault="00EB70CB" w14:paraId="7C721174" w14:textId="0EE32DFF">
      <w:pPr>
        <w:pStyle w:val="ListParagraph"/>
        <w:numPr>
          <w:ilvl w:val="0"/>
          <w:numId w:val="16"/>
        </w:numPr>
        <w:spacing w:before="240" w:after="120"/>
        <w:ind w:left="1440" w:hanging="720"/>
        <w:contextualSpacing w:val="0"/>
        <w:rPr>
          <w:b/>
          <w:iCs/>
          <w:sz w:val="26"/>
          <w:szCs w:val="26"/>
        </w:rPr>
      </w:pPr>
      <w:r w:rsidRPr="00253DE6">
        <w:rPr>
          <w:b/>
          <w:iCs/>
          <w:sz w:val="26"/>
          <w:szCs w:val="26"/>
        </w:rPr>
        <w:t>Financial Resources of the Regulated Entity, Including the Size of the Business</w:t>
      </w:r>
    </w:p>
    <w:p w:rsidRPr="00253DE6" w:rsidR="00235D8D" w:rsidP="00235D8D" w:rsidRDefault="00235D8D" w14:paraId="2EF68EC4" w14:textId="77777777">
      <w:pPr>
        <w:tabs>
          <w:tab w:val="right" w:pos="10080"/>
        </w:tabs>
        <w:rPr>
          <w:sz w:val="26"/>
          <w:szCs w:val="26"/>
        </w:rPr>
      </w:pPr>
      <w:r w:rsidRPr="00253DE6">
        <w:rPr>
          <w:sz w:val="26"/>
          <w:szCs w:val="26"/>
        </w:rPr>
        <w:t>The Commission has described this criterion as follows:</w:t>
      </w:r>
    </w:p>
    <w:p w:rsidRPr="00253DE6" w:rsidR="00235D8D" w:rsidP="00235D8D" w:rsidRDefault="00235D8D" w14:paraId="43CFC022" w14:textId="77777777">
      <w:pPr>
        <w:tabs>
          <w:tab w:val="right" w:pos="10080"/>
        </w:tabs>
        <w:rPr>
          <w:sz w:val="26"/>
          <w:szCs w:val="26"/>
        </w:rPr>
      </w:pPr>
    </w:p>
    <w:p w:rsidRPr="00253DE6" w:rsidR="00235D8D" w:rsidP="00666AD9" w:rsidRDefault="00235D8D" w14:paraId="140AA468" w14:textId="77777777">
      <w:pPr>
        <w:tabs>
          <w:tab w:val="right" w:pos="10080"/>
        </w:tabs>
        <w:ind w:left="720" w:right="1440"/>
        <w:rPr>
          <w:sz w:val="26"/>
          <w:szCs w:val="26"/>
        </w:rPr>
      </w:pPr>
      <w:r w:rsidRPr="00253DE6">
        <w:rPr>
          <w:sz w:val="26"/>
          <w:szCs w:val="26"/>
        </w:rPr>
        <w:t>Effective deterrence also requires that staff recognize the financial resources of the regulated entity in setting a penalty that balances the need for deterrence with the constitutional limitations on excessive penalties. . . . If appropriate, penalty levels will be adjusted to achieve the objective of deterrence, without becoming excessive, based on each regulated entity’s financial resources.</w:t>
      </w:r>
      <w:r w:rsidRPr="00423CB6">
        <w:rPr>
          <w:b/>
          <w:bCs/>
          <w:sz w:val="26"/>
          <w:szCs w:val="26"/>
          <w:u w:val="single"/>
          <w:vertAlign w:val="superscript"/>
        </w:rPr>
        <w:footnoteReference w:id="12"/>
      </w:r>
    </w:p>
    <w:p w:rsidRPr="00253DE6" w:rsidR="00EB70CB" w:rsidP="00EB70CB" w:rsidRDefault="00EB70CB" w14:paraId="1264FBD0" w14:textId="77777777">
      <w:pPr>
        <w:rPr>
          <w:bCs/>
          <w:iCs/>
          <w:sz w:val="26"/>
          <w:szCs w:val="26"/>
        </w:rPr>
      </w:pPr>
    </w:p>
    <w:p w:rsidRPr="00253DE6" w:rsidR="00EB70CB" w:rsidP="00EB70CB" w:rsidRDefault="00235D8D" w14:paraId="471D24F7" w14:textId="0BC4F7AA">
      <w:pPr>
        <w:rPr>
          <w:bCs/>
          <w:iCs/>
          <w:sz w:val="26"/>
          <w:szCs w:val="26"/>
        </w:rPr>
      </w:pPr>
      <w:r w:rsidRPr="00253DE6">
        <w:rPr>
          <w:sz w:val="26"/>
          <w:szCs w:val="26"/>
        </w:rPr>
        <w:t xml:space="preserve">SCE has approximately 5 million electric residential and commercial accounts, serving about 15 million people across a large and geographically diverse service territory. In 2021, it recorded $14.9 billion in operating revenue. </w:t>
      </w:r>
      <w:r w:rsidRPr="00253DE6" w:rsidR="00EB70CB">
        <w:rPr>
          <w:bCs/>
          <w:iCs/>
          <w:sz w:val="26"/>
          <w:szCs w:val="26"/>
        </w:rPr>
        <w:t>Th</w:t>
      </w:r>
      <w:r w:rsidRPr="00253DE6" w:rsidR="00386614">
        <w:rPr>
          <w:bCs/>
          <w:iCs/>
          <w:sz w:val="26"/>
          <w:szCs w:val="26"/>
        </w:rPr>
        <w:t xml:space="preserve">e </w:t>
      </w:r>
      <w:r w:rsidRPr="00253DE6">
        <w:rPr>
          <w:sz w:val="26"/>
          <w:szCs w:val="26"/>
        </w:rPr>
        <w:t>$550 million</w:t>
      </w:r>
      <w:r w:rsidRPr="00253DE6" w:rsidR="00386614">
        <w:rPr>
          <w:bCs/>
          <w:iCs/>
          <w:sz w:val="26"/>
          <w:szCs w:val="26"/>
        </w:rPr>
        <w:t xml:space="preserve">, consisting of fines, safety measures and disallowances, </w:t>
      </w:r>
      <w:r w:rsidRPr="00253DE6" w:rsidR="00EB70CB">
        <w:rPr>
          <w:bCs/>
          <w:iCs/>
          <w:sz w:val="26"/>
          <w:szCs w:val="26"/>
        </w:rPr>
        <w:t>is enough to emphasize the importance of</w:t>
      </w:r>
      <w:r w:rsidRPr="00253DE6" w:rsidR="00386614">
        <w:rPr>
          <w:bCs/>
          <w:iCs/>
          <w:sz w:val="26"/>
          <w:szCs w:val="26"/>
        </w:rPr>
        <w:t xml:space="preserve"> operating maintaining electric facilities in a safe manner</w:t>
      </w:r>
      <w:r w:rsidRPr="00253DE6">
        <w:rPr>
          <w:bCs/>
          <w:iCs/>
          <w:sz w:val="26"/>
          <w:szCs w:val="26"/>
        </w:rPr>
        <w:t xml:space="preserve"> and sufficiently substantial to have deterrent effect</w:t>
      </w:r>
      <w:r w:rsidRPr="00253DE6" w:rsidR="00EB70CB">
        <w:rPr>
          <w:bCs/>
          <w:iCs/>
          <w:sz w:val="26"/>
          <w:szCs w:val="26"/>
        </w:rPr>
        <w:t xml:space="preserve">. </w:t>
      </w:r>
    </w:p>
    <w:p w:rsidRPr="00253DE6" w:rsidR="00EB70CB" w:rsidP="003C51A5" w:rsidRDefault="004F4BDF" w14:paraId="1AA28745" w14:textId="0D76CA00">
      <w:pPr>
        <w:pStyle w:val="ListParagraph"/>
        <w:spacing w:before="240" w:after="120"/>
        <w:ind w:left="0" w:firstLine="720"/>
        <w:contextualSpacing w:val="0"/>
        <w:rPr>
          <w:b/>
          <w:iCs/>
          <w:sz w:val="26"/>
          <w:szCs w:val="26"/>
        </w:rPr>
      </w:pPr>
      <w:r>
        <w:rPr>
          <w:b/>
          <w:iCs/>
          <w:sz w:val="26"/>
          <w:szCs w:val="26"/>
        </w:rPr>
        <w:t>D.</w:t>
      </w:r>
      <w:r>
        <w:rPr>
          <w:b/>
          <w:iCs/>
          <w:sz w:val="26"/>
          <w:szCs w:val="26"/>
        </w:rPr>
        <w:tab/>
      </w:r>
      <w:r w:rsidRPr="00253DE6" w:rsidR="00EB70CB">
        <w:rPr>
          <w:b/>
          <w:iCs/>
          <w:sz w:val="26"/>
          <w:szCs w:val="26"/>
        </w:rPr>
        <w:t>Totality of the Circumstances in Furtherance of the Public Interest</w:t>
      </w:r>
    </w:p>
    <w:p w:rsidRPr="00253DE6" w:rsidR="008241DC" w:rsidP="008241DC" w:rsidRDefault="00EB70CB" w14:paraId="1E2574BD" w14:textId="3ED7CD6D">
      <w:pPr>
        <w:tabs>
          <w:tab w:val="right" w:pos="10080"/>
        </w:tabs>
        <w:rPr>
          <w:sz w:val="26"/>
          <w:szCs w:val="26"/>
        </w:rPr>
      </w:pPr>
      <w:r w:rsidRPr="00253DE6">
        <w:rPr>
          <w:bCs/>
          <w:iCs/>
          <w:sz w:val="26"/>
          <w:szCs w:val="26"/>
        </w:rPr>
        <w:t>The fourth factor under Resolution M-4846 is an evaluation of the penalty in the totality of the circumstances, with an emphasis on protecting the public interest.</w:t>
      </w:r>
      <w:r w:rsidR="00AE394E">
        <w:rPr>
          <w:bCs/>
          <w:iCs/>
          <w:sz w:val="26"/>
          <w:szCs w:val="26"/>
        </w:rPr>
        <w:t xml:space="preserve"> </w:t>
      </w:r>
      <w:r w:rsidRPr="00253DE6" w:rsidR="008241DC">
        <w:rPr>
          <w:sz w:val="26"/>
          <w:szCs w:val="26"/>
        </w:rPr>
        <w:t>The Commission has described this criterion as follows:</w:t>
      </w:r>
    </w:p>
    <w:p w:rsidRPr="00253DE6" w:rsidR="008241DC" w:rsidP="008241DC" w:rsidRDefault="008241DC" w14:paraId="1DFC3514" w14:textId="77777777">
      <w:pPr>
        <w:tabs>
          <w:tab w:val="right" w:pos="10080"/>
        </w:tabs>
        <w:rPr>
          <w:sz w:val="26"/>
          <w:szCs w:val="26"/>
        </w:rPr>
      </w:pPr>
    </w:p>
    <w:p w:rsidRPr="00253DE6" w:rsidR="008241DC" w:rsidP="00666AD9" w:rsidRDefault="008241DC" w14:paraId="6F8CFF81" w14:textId="77777777">
      <w:pPr>
        <w:tabs>
          <w:tab w:val="right" w:pos="10080"/>
        </w:tabs>
        <w:ind w:left="720" w:right="1440"/>
        <w:rPr>
          <w:sz w:val="26"/>
          <w:szCs w:val="26"/>
        </w:rPr>
      </w:pPr>
      <w:r w:rsidRPr="00253DE6">
        <w:rPr>
          <w:sz w:val="26"/>
          <w:szCs w:val="26"/>
        </w:rPr>
        <w:t>Setting a penalty at a level that effectively deters further unlawful conduct by the regulated entity and others requires that staff specifically tailor the package of sanctions, including any penalty, to the unique facts of the case. Staff will review facts that tend to mitigate the degree of wrongdoing as well as any facts that exacerbate the wrongdoing. In all cases, the harm will be evaluated from the perspective of the public interest.</w:t>
      </w:r>
    </w:p>
    <w:p w:rsidRPr="00253DE6" w:rsidR="008241DC" w:rsidP="008241DC" w:rsidRDefault="008241DC" w14:paraId="0F32DD65" w14:textId="77777777">
      <w:pPr>
        <w:tabs>
          <w:tab w:val="right" w:pos="10080"/>
        </w:tabs>
        <w:ind w:left="720" w:right="720"/>
        <w:rPr>
          <w:sz w:val="26"/>
          <w:szCs w:val="26"/>
        </w:rPr>
      </w:pPr>
    </w:p>
    <w:p w:rsidRPr="00253DE6" w:rsidR="008241DC" w:rsidP="00666AD9" w:rsidRDefault="008241DC" w14:paraId="2D6423F7" w14:textId="77777777">
      <w:pPr>
        <w:tabs>
          <w:tab w:val="right" w:pos="10080"/>
        </w:tabs>
        <w:ind w:left="720" w:right="1440"/>
        <w:rPr>
          <w:sz w:val="26"/>
          <w:szCs w:val="26"/>
        </w:rPr>
      </w:pPr>
      <w:r w:rsidRPr="00253DE6">
        <w:rPr>
          <w:sz w:val="26"/>
          <w:szCs w:val="26"/>
        </w:rPr>
        <w:lastRenderedPageBreak/>
        <w:t>An economic benefit amount shall be estimated for every violation. Economic benefit includes any savings or monetary gain derived from the act or omission that constitutes the violation.</w:t>
      </w:r>
      <w:r w:rsidRPr="00666AD9">
        <w:rPr>
          <w:b/>
          <w:bCs/>
          <w:sz w:val="26"/>
          <w:szCs w:val="26"/>
          <w:u w:val="single"/>
          <w:vertAlign w:val="superscript"/>
        </w:rPr>
        <w:footnoteReference w:id="13"/>
      </w:r>
    </w:p>
    <w:p w:rsidRPr="00253DE6" w:rsidR="00C845B6" w:rsidP="008241DC" w:rsidRDefault="00C845B6" w14:paraId="399929C2" w14:textId="0E233DA4">
      <w:pPr>
        <w:pStyle w:val="Default"/>
        <w:rPr>
          <w:sz w:val="26"/>
          <w:szCs w:val="26"/>
        </w:rPr>
      </w:pPr>
    </w:p>
    <w:p w:rsidR="007A1130" w:rsidP="00EB70CB" w:rsidRDefault="008241DC" w14:paraId="1F6E76CB" w14:textId="6521B1E0">
      <w:pPr>
        <w:rPr>
          <w:sz w:val="26"/>
          <w:szCs w:val="26"/>
        </w:rPr>
      </w:pPr>
      <w:r w:rsidRPr="00253DE6">
        <w:rPr>
          <w:sz w:val="26"/>
          <w:szCs w:val="26"/>
        </w:rPr>
        <w:t>The totality of the circumstances in furtherance of public interest supports approval of the ACO. First, it provides a significant resolution of the issues identified here.</w:t>
      </w:r>
      <w:r w:rsidR="00AE394E">
        <w:rPr>
          <w:sz w:val="26"/>
          <w:szCs w:val="26"/>
        </w:rPr>
        <w:t xml:space="preserve"> </w:t>
      </w:r>
      <w:r w:rsidRPr="00253DE6">
        <w:rPr>
          <w:sz w:val="26"/>
          <w:szCs w:val="26"/>
        </w:rPr>
        <w:t xml:space="preserve">SCE </w:t>
      </w:r>
      <w:r w:rsidRPr="00253DE6" w:rsidR="00253DE6">
        <w:rPr>
          <w:sz w:val="26"/>
          <w:szCs w:val="26"/>
        </w:rPr>
        <w:t>agrees to fines, safety measures and disallowances totaling $550,000,000</w:t>
      </w:r>
      <w:r w:rsidR="00253DE6">
        <w:rPr>
          <w:sz w:val="26"/>
          <w:szCs w:val="26"/>
        </w:rPr>
        <w:t>, consisting of</w:t>
      </w:r>
      <w:r w:rsidR="007A1130">
        <w:rPr>
          <w:sz w:val="26"/>
          <w:szCs w:val="26"/>
        </w:rPr>
        <w:t>:</w:t>
      </w:r>
    </w:p>
    <w:p w:rsidR="00253DE6" w:rsidP="00666AD9" w:rsidRDefault="00253DE6" w14:paraId="0262E390" w14:textId="1985071C">
      <w:pPr>
        <w:ind w:right="1440"/>
        <w:rPr>
          <w:sz w:val="26"/>
          <w:szCs w:val="26"/>
        </w:rPr>
      </w:pPr>
      <w:r>
        <w:rPr>
          <w:sz w:val="26"/>
          <w:szCs w:val="26"/>
        </w:rPr>
        <w:t xml:space="preserve"> </w:t>
      </w:r>
    </w:p>
    <w:p w:rsidRPr="007A1130" w:rsidR="00253DE6" w:rsidP="00666AD9" w:rsidRDefault="00253DE6" w14:paraId="49FFFC34" w14:textId="77777777">
      <w:pPr>
        <w:pStyle w:val="ListParagraph"/>
        <w:numPr>
          <w:ilvl w:val="0"/>
          <w:numId w:val="12"/>
        </w:numPr>
        <w:spacing w:after="120"/>
        <w:ind w:right="1440"/>
        <w:contextualSpacing w:val="0"/>
        <w:rPr>
          <w:sz w:val="26"/>
          <w:szCs w:val="26"/>
        </w:rPr>
      </w:pPr>
      <w:r w:rsidRPr="007A1130">
        <w:rPr>
          <w:sz w:val="26"/>
          <w:szCs w:val="26"/>
        </w:rPr>
        <w:t xml:space="preserve">$110,000,000: Fine to the General Fund of the State of California; </w:t>
      </w:r>
    </w:p>
    <w:p w:rsidRPr="007A1130" w:rsidR="007A1130" w:rsidP="00666AD9" w:rsidRDefault="00253DE6" w14:paraId="2A725DDA" w14:textId="77777777">
      <w:pPr>
        <w:pStyle w:val="ListParagraph"/>
        <w:numPr>
          <w:ilvl w:val="0"/>
          <w:numId w:val="12"/>
        </w:numPr>
        <w:spacing w:after="120"/>
        <w:ind w:right="1440"/>
        <w:contextualSpacing w:val="0"/>
        <w:rPr>
          <w:sz w:val="26"/>
          <w:szCs w:val="26"/>
        </w:rPr>
      </w:pPr>
      <w:r w:rsidRPr="007A1130">
        <w:rPr>
          <w:sz w:val="26"/>
          <w:szCs w:val="26"/>
        </w:rPr>
        <w:t xml:space="preserve">$ 65,000,000: Shareholder-funded Safety Measures; and </w:t>
      </w:r>
    </w:p>
    <w:p w:rsidRPr="007A1130" w:rsidR="00253DE6" w:rsidP="00666AD9" w:rsidRDefault="00253DE6" w14:paraId="14B304A0" w14:textId="6813B812">
      <w:pPr>
        <w:pStyle w:val="ListParagraph"/>
        <w:numPr>
          <w:ilvl w:val="0"/>
          <w:numId w:val="12"/>
        </w:numPr>
        <w:spacing w:after="120"/>
        <w:ind w:right="1440"/>
        <w:contextualSpacing w:val="0"/>
        <w:rPr>
          <w:bCs/>
          <w:iCs/>
          <w:sz w:val="26"/>
          <w:szCs w:val="26"/>
        </w:rPr>
      </w:pPr>
      <w:r w:rsidRPr="007A1130">
        <w:rPr>
          <w:sz w:val="26"/>
          <w:szCs w:val="26"/>
        </w:rPr>
        <w:t>$375,000,000: Permanent Disallowances of cost recovery.</w:t>
      </w:r>
    </w:p>
    <w:p w:rsidR="00EB70CB" w:rsidP="00EB70CB" w:rsidRDefault="00EB70CB" w14:paraId="289945A3" w14:textId="4A80FDAE">
      <w:pPr>
        <w:rPr>
          <w:b/>
          <w:iCs/>
          <w:sz w:val="26"/>
          <w:szCs w:val="26"/>
        </w:rPr>
      </w:pPr>
    </w:p>
    <w:p w:rsidRPr="009F0EC7" w:rsidR="007A1130" w:rsidP="007A1130" w:rsidRDefault="007A1130" w14:paraId="3B1A88CA" w14:textId="77777777">
      <w:pPr>
        <w:tabs>
          <w:tab w:val="right" w:pos="10080"/>
        </w:tabs>
        <w:rPr>
          <w:sz w:val="26"/>
          <w:szCs w:val="26"/>
        </w:rPr>
      </w:pPr>
      <w:r w:rsidRPr="009F0EC7">
        <w:rPr>
          <w:sz w:val="26"/>
          <w:szCs w:val="26"/>
        </w:rPr>
        <w:t>Second, with an appropriate resolution having been</w:t>
      </w:r>
      <w:r>
        <w:rPr>
          <w:sz w:val="26"/>
          <w:szCs w:val="26"/>
        </w:rPr>
        <w:t xml:space="preserve"> </w:t>
      </w:r>
      <w:r w:rsidRPr="009F0EC7">
        <w:rPr>
          <w:sz w:val="26"/>
          <w:szCs w:val="26"/>
        </w:rPr>
        <w:t>reached</w:t>
      </w:r>
      <w:r>
        <w:rPr>
          <w:sz w:val="26"/>
          <w:szCs w:val="26"/>
        </w:rPr>
        <w:t>, i</w:t>
      </w:r>
      <w:r w:rsidRPr="009F0EC7">
        <w:rPr>
          <w:sz w:val="26"/>
          <w:szCs w:val="26"/>
        </w:rPr>
        <w:t xml:space="preserve">t is in the public interest to resolve this proceeding now. </w:t>
      </w:r>
      <w:r>
        <w:rPr>
          <w:sz w:val="26"/>
          <w:szCs w:val="26"/>
        </w:rPr>
        <w:t xml:space="preserve">The ACO obviates the need for </w:t>
      </w:r>
      <w:r w:rsidRPr="009F0EC7">
        <w:rPr>
          <w:sz w:val="26"/>
          <w:szCs w:val="26"/>
        </w:rPr>
        <w:t xml:space="preserve">the Commission </w:t>
      </w:r>
      <w:r>
        <w:rPr>
          <w:sz w:val="26"/>
          <w:szCs w:val="26"/>
        </w:rPr>
        <w:t xml:space="preserve">to </w:t>
      </w:r>
      <w:r w:rsidRPr="009F0EC7">
        <w:rPr>
          <w:sz w:val="26"/>
          <w:szCs w:val="26"/>
        </w:rPr>
        <w:t>adjudicat</w:t>
      </w:r>
      <w:r>
        <w:rPr>
          <w:sz w:val="26"/>
          <w:szCs w:val="26"/>
        </w:rPr>
        <w:t xml:space="preserve">e </w:t>
      </w:r>
      <w:r w:rsidRPr="009F0EC7">
        <w:rPr>
          <w:sz w:val="26"/>
          <w:szCs w:val="26"/>
        </w:rPr>
        <w:t>the disputed</w:t>
      </w:r>
      <w:r>
        <w:rPr>
          <w:sz w:val="26"/>
          <w:szCs w:val="26"/>
        </w:rPr>
        <w:t xml:space="preserve"> </w:t>
      </w:r>
      <w:r w:rsidRPr="009F0EC7">
        <w:rPr>
          <w:sz w:val="26"/>
          <w:szCs w:val="26"/>
        </w:rPr>
        <w:t>facts, alleged violations, and appropriate penalty. Approval of the</w:t>
      </w:r>
      <w:r>
        <w:rPr>
          <w:sz w:val="26"/>
          <w:szCs w:val="26"/>
        </w:rPr>
        <w:t xml:space="preserve"> ACO </w:t>
      </w:r>
      <w:r w:rsidRPr="009F0EC7">
        <w:rPr>
          <w:sz w:val="26"/>
          <w:szCs w:val="26"/>
        </w:rPr>
        <w:t>promotes administrative efficiency so that the Commission and parties are not required to expend substantial time and resources on continued litigation</w:t>
      </w:r>
      <w:r>
        <w:rPr>
          <w:sz w:val="26"/>
          <w:szCs w:val="26"/>
        </w:rPr>
        <w:t xml:space="preserve"> for a matter that has been satisfactorily resolved</w:t>
      </w:r>
      <w:r w:rsidRPr="009F0EC7">
        <w:rPr>
          <w:sz w:val="26"/>
          <w:szCs w:val="26"/>
        </w:rPr>
        <w:t>.</w:t>
      </w:r>
    </w:p>
    <w:p w:rsidRPr="00253DE6" w:rsidR="00EB70CB" w:rsidP="003C51A5" w:rsidRDefault="00EB70CB" w14:paraId="1B11367E" w14:textId="79882E22">
      <w:pPr>
        <w:pStyle w:val="ListParagraph"/>
        <w:numPr>
          <w:ilvl w:val="0"/>
          <w:numId w:val="17"/>
        </w:numPr>
        <w:spacing w:before="240" w:after="120"/>
        <w:ind w:left="1440" w:hanging="720"/>
        <w:contextualSpacing w:val="0"/>
        <w:rPr>
          <w:b/>
          <w:iCs/>
          <w:sz w:val="26"/>
          <w:szCs w:val="26"/>
        </w:rPr>
      </w:pPr>
      <w:r w:rsidRPr="00253DE6">
        <w:rPr>
          <w:b/>
          <w:iCs/>
          <w:sz w:val="26"/>
          <w:szCs w:val="26"/>
        </w:rPr>
        <w:t>The Role of Precedent</w:t>
      </w:r>
    </w:p>
    <w:p w:rsidRPr="009F0EC7" w:rsidR="007A1130" w:rsidP="007A1130" w:rsidRDefault="007A1130" w14:paraId="5A101BBB" w14:textId="77777777">
      <w:pPr>
        <w:tabs>
          <w:tab w:val="right" w:pos="10080"/>
        </w:tabs>
        <w:rPr>
          <w:sz w:val="26"/>
          <w:szCs w:val="26"/>
        </w:rPr>
      </w:pPr>
      <w:r w:rsidRPr="009F0EC7">
        <w:rPr>
          <w:sz w:val="26"/>
          <w:szCs w:val="26"/>
        </w:rPr>
        <w:t>The Commission has described the role of precedent as follows:</w:t>
      </w:r>
    </w:p>
    <w:p w:rsidRPr="009F0EC7" w:rsidR="007A1130" w:rsidP="007A1130" w:rsidRDefault="007A1130" w14:paraId="3704AD93" w14:textId="77777777">
      <w:pPr>
        <w:tabs>
          <w:tab w:val="right" w:pos="10080"/>
        </w:tabs>
        <w:rPr>
          <w:sz w:val="26"/>
          <w:szCs w:val="26"/>
        </w:rPr>
      </w:pPr>
    </w:p>
    <w:p w:rsidRPr="009F0EC7" w:rsidR="007A1130" w:rsidP="00423CB6" w:rsidRDefault="007A1130" w14:paraId="4983B5AC" w14:textId="3A082D33">
      <w:pPr>
        <w:tabs>
          <w:tab w:val="right" w:pos="10080"/>
        </w:tabs>
        <w:ind w:left="720" w:right="1440"/>
        <w:rPr>
          <w:sz w:val="26"/>
          <w:szCs w:val="26"/>
        </w:rPr>
      </w:pPr>
      <w:r w:rsidRPr="009F0EC7">
        <w:rPr>
          <w:sz w:val="26"/>
          <w:szCs w:val="26"/>
        </w:rPr>
        <w:t>Penalties are assessed in a wide range of cases. The penalties assessed in cases are not usually directly comparable.</w:t>
      </w:r>
      <w:r w:rsidR="00AE394E">
        <w:rPr>
          <w:sz w:val="26"/>
          <w:szCs w:val="26"/>
        </w:rPr>
        <w:t xml:space="preserve"> </w:t>
      </w:r>
      <w:r w:rsidRPr="009F0EC7">
        <w:rPr>
          <w:sz w:val="26"/>
          <w:szCs w:val="26"/>
        </w:rPr>
        <w:t>Nevertheless, when a case involves reasonably comparable factual circumstances to another case where penalties were assessed, the similarities and differences between the two cases should be considered in setting the penalty amount.</w:t>
      </w:r>
      <w:r w:rsidRPr="00423CB6">
        <w:rPr>
          <w:b/>
          <w:bCs/>
          <w:sz w:val="26"/>
          <w:szCs w:val="26"/>
          <w:u w:val="single"/>
          <w:vertAlign w:val="superscript"/>
        </w:rPr>
        <w:footnoteReference w:id="14"/>
      </w:r>
    </w:p>
    <w:p w:rsidRPr="00253DE6" w:rsidR="00EB70CB" w:rsidP="00EB70CB" w:rsidRDefault="00EB70CB" w14:paraId="5085F229" w14:textId="77777777">
      <w:pPr>
        <w:pStyle w:val="ListParagraph"/>
        <w:ind w:left="735"/>
        <w:rPr>
          <w:sz w:val="26"/>
          <w:szCs w:val="26"/>
        </w:rPr>
      </w:pPr>
    </w:p>
    <w:p w:rsidRPr="009F0EC7" w:rsidR="00561BB4" w:rsidP="00561BB4" w:rsidRDefault="00561BB4" w14:paraId="3B8763D3" w14:textId="77777777">
      <w:pPr>
        <w:tabs>
          <w:tab w:val="right" w:pos="10080"/>
        </w:tabs>
        <w:rPr>
          <w:sz w:val="26"/>
          <w:szCs w:val="26"/>
        </w:rPr>
      </w:pPr>
      <w:r w:rsidRPr="009F0EC7">
        <w:rPr>
          <w:sz w:val="26"/>
          <w:szCs w:val="26"/>
        </w:rPr>
        <w:t>The</w:t>
      </w:r>
      <w:r>
        <w:rPr>
          <w:sz w:val="26"/>
          <w:szCs w:val="26"/>
        </w:rPr>
        <w:t xml:space="preserve"> ACO</w:t>
      </w:r>
      <w:r w:rsidRPr="009F0EC7">
        <w:rPr>
          <w:sz w:val="26"/>
          <w:szCs w:val="26"/>
        </w:rPr>
        <w:t xml:space="preserve"> is reasonable when compared to</w:t>
      </w:r>
      <w:r>
        <w:rPr>
          <w:sz w:val="26"/>
          <w:szCs w:val="26"/>
        </w:rPr>
        <w:t xml:space="preserve"> </w:t>
      </w:r>
      <w:r w:rsidRPr="009F0EC7">
        <w:rPr>
          <w:sz w:val="26"/>
          <w:szCs w:val="26"/>
        </w:rPr>
        <w:t>the outcome of other settlements and outcomes in Commission proceedings. The following</w:t>
      </w:r>
      <w:r>
        <w:rPr>
          <w:sz w:val="26"/>
          <w:szCs w:val="26"/>
        </w:rPr>
        <w:t xml:space="preserve"> </w:t>
      </w:r>
      <w:r w:rsidRPr="009F0EC7">
        <w:rPr>
          <w:sz w:val="26"/>
          <w:szCs w:val="26"/>
        </w:rPr>
        <w:t>are examples of approved settlements and enforcement decisions involving electric</w:t>
      </w:r>
      <w:r>
        <w:rPr>
          <w:sz w:val="26"/>
          <w:szCs w:val="26"/>
        </w:rPr>
        <w:t xml:space="preserve"> </w:t>
      </w:r>
      <w:r w:rsidRPr="009F0EC7">
        <w:rPr>
          <w:sz w:val="26"/>
          <w:szCs w:val="26"/>
        </w:rPr>
        <w:t>utilities and safety issues.</w:t>
      </w:r>
    </w:p>
    <w:p w:rsidR="00423CB6" w:rsidRDefault="00423CB6" w14:paraId="540D7928" w14:textId="5631730D">
      <w:pPr>
        <w:rPr>
          <w:sz w:val="26"/>
          <w:szCs w:val="26"/>
        </w:rPr>
      </w:pPr>
      <w:r>
        <w:rPr>
          <w:sz w:val="26"/>
          <w:szCs w:val="26"/>
        </w:rPr>
        <w:br w:type="page"/>
      </w:r>
    </w:p>
    <w:p w:rsidRPr="00666AD9" w:rsidR="00561BB4" w:rsidP="003C51A5" w:rsidRDefault="00561BB4" w14:paraId="23EDD5C4" w14:textId="0DA34804">
      <w:pPr>
        <w:pStyle w:val="ListParagraph"/>
        <w:numPr>
          <w:ilvl w:val="0"/>
          <w:numId w:val="15"/>
        </w:numPr>
        <w:tabs>
          <w:tab w:val="right" w:pos="10080"/>
        </w:tabs>
        <w:spacing w:before="240" w:after="120"/>
        <w:ind w:left="2160" w:hanging="720"/>
        <w:contextualSpacing w:val="0"/>
        <w:rPr>
          <w:b/>
          <w:bCs/>
          <w:sz w:val="26"/>
          <w:szCs w:val="26"/>
        </w:rPr>
      </w:pPr>
      <w:r w:rsidRPr="00666AD9">
        <w:rPr>
          <w:b/>
          <w:bCs/>
          <w:sz w:val="26"/>
          <w:szCs w:val="26"/>
        </w:rPr>
        <w:lastRenderedPageBreak/>
        <w:t>Long Beach Power Outages OII Decision (D.17-09-024)</w:t>
      </w:r>
    </w:p>
    <w:p w:rsidRPr="009F0EC7" w:rsidR="00561BB4" w:rsidP="00561BB4" w:rsidRDefault="00561BB4" w14:paraId="6FD94337" w14:textId="5064504B">
      <w:pPr>
        <w:tabs>
          <w:tab w:val="right" w:pos="10080"/>
        </w:tabs>
        <w:rPr>
          <w:sz w:val="26"/>
          <w:szCs w:val="26"/>
        </w:rPr>
      </w:pPr>
      <w:r w:rsidRPr="009F0EC7">
        <w:rPr>
          <w:sz w:val="26"/>
          <w:szCs w:val="26"/>
        </w:rPr>
        <w:t xml:space="preserve">In this proceeding, the CPUC approved a settlement between SCE and SED related to multiple power outages on SCE’s secondary network system, which serves Long Beach. The electric facility failures caused fires in several underground structures and explosions. No fatalities or injuries resulted from the power outages. SED alleged, among other things, that (1) SCE violated PU Code §§ 451 and 768.6 and GO 128, for failing to properly maintain, inspect, and manage the electrical system in Long Beach; (2) SCE violated a commitment to an earlier settlement by failing to provide accurate estimates of service restoration times during outages; and (3) the violations </w:t>
      </w:r>
      <w:r w:rsidR="00CF5AD6">
        <w:rPr>
          <w:sz w:val="26"/>
          <w:szCs w:val="26"/>
        </w:rPr>
        <w:t xml:space="preserve">that </w:t>
      </w:r>
      <w:r w:rsidRPr="009F0EC7">
        <w:rPr>
          <w:sz w:val="26"/>
          <w:szCs w:val="26"/>
        </w:rPr>
        <w:t>caused or contributed to the power outages that resulted in fires, explosions, and property damage endangered the safety of the public. Under the settlement, SCE admitted to violations of Rule 17.1 of GO 128 and PU Code § 451. SCE agreed to pay a penalty of $4 million to the General Fund. SCE also agreed to perform $11 million worth of corrective actions, designed to prevent future outages, at shareholder expense.</w:t>
      </w:r>
    </w:p>
    <w:p w:rsidRPr="009F0EC7" w:rsidR="00561BB4" w:rsidP="003C51A5" w:rsidRDefault="00561BB4" w14:paraId="4CDB4B87" w14:textId="52A1F169">
      <w:pPr>
        <w:pStyle w:val="ListParagraph"/>
        <w:numPr>
          <w:ilvl w:val="0"/>
          <w:numId w:val="15"/>
        </w:numPr>
        <w:tabs>
          <w:tab w:val="right" w:pos="10080"/>
        </w:tabs>
        <w:spacing w:before="240" w:after="120"/>
        <w:ind w:left="2160" w:hanging="720"/>
        <w:contextualSpacing w:val="0"/>
        <w:rPr>
          <w:b/>
          <w:bCs/>
          <w:sz w:val="26"/>
          <w:szCs w:val="26"/>
        </w:rPr>
      </w:pPr>
      <w:r w:rsidRPr="009F0EC7">
        <w:rPr>
          <w:b/>
          <w:bCs/>
          <w:sz w:val="26"/>
          <w:szCs w:val="26"/>
        </w:rPr>
        <w:t xml:space="preserve">Huntington Beach Underground Vault OII Decision </w:t>
      </w:r>
      <w:r w:rsidR="004F4BDF">
        <w:rPr>
          <w:b/>
          <w:bCs/>
          <w:sz w:val="26"/>
          <w:szCs w:val="26"/>
        </w:rPr>
        <w:br/>
      </w:r>
      <w:r w:rsidRPr="009F0EC7">
        <w:rPr>
          <w:b/>
          <w:bCs/>
          <w:sz w:val="26"/>
          <w:szCs w:val="26"/>
        </w:rPr>
        <w:t>(D.17-06-028)</w:t>
      </w:r>
    </w:p>
    <w:p w:rsidRPr="009F0EC7" w:rsidR="00561BB4" w:rsidP="00561BB4" w:rsidRDefault="00561BB4" w14:paraId="15EDF1CA" w14:textId="33CD88BA">
      <w:pPr>
        <w:tabs>
          <w:tab w:val="right" w:pos="10080"/>
        </w:tabs>
        <w:rPr>
          <w:sz w:val="26"/>
          <w:szCs w:val="26"/>
        </w:rPr>
      </w:pPr>
      <w:r w:rsidRPr="009F0EC7">
        <w:rPr>
          <w:sz w:val="26"/>
          <w:szCs w:val="26"/>
        </w:rPr>
        <w:t xml:space="preserve">In this proceeding, the CPUC approved a settlement between SCE and SED related to an accident that resulted in the death of an employee of SCE’s subcontractor. The employee died as a result of inadvertently removing an energized dead-break elbow while preparing underground cables for testing. SED alleged that SCE had, among other things, </w:t>
      </w:r>
      <w:r w:rsidR="00423CB6">
        <w:rPr>
          <w:sz w:val="26"/>
          <w:szCs w:val="26"/>
        </w:rPr>
        <w:br/>
      </w:r>
      <w:r w:rsidRPr="009F0EC7">
        <w:rPr>
          <w:sz w:val="26"/>
          <w:szCs w:val="26"/>
        </w:rPr>
        <w:t>(1) delegated its safety responsibilities to the subcontractor in violation of California law; (2) failed to ensure that contractors and subcontractors performed their work safely, in violation of PU Code § 451 and Rule 17.1 of GO 128; and (3) refused to submit its investigation report and the documents reviewed in its investigation. Under the settlement, SCE admitted that it failed to identify unsafe practices and failed to prevent the accident. SCE did not “expressly admit” responsibility for “ensuring” contractor safety. SCE agreed to pay a fine of $2.01 million to the General Fund and to implement safety enhancements, including: (1) improving processes for evaluating contractors and subcontractors; (2) increased oversight and observation over SCE representatives or their designees performing contracted field work; (3) performing Contractors Safety Quality Assessments; and (4) hiring personnel with special safety training to conduct field observations and assessments of Tier 1 contractors.</w:t>
      </w:r>
    </w:p>
    <w:p w:rsidRPr="009F0EC7" w:rsidR="00561BB4" w:rsidP="003C51A5" w:rsidRDefault="00561BB4" w14:paraId="0DE00902" w14:textId="22EAEA9D">
      <w:pPr>
        <w:pStyle w:val="ListParagraph"/>
        <w:numPr>
          <w:ilvl w:val="0"/>
          <w:numId w:val="15"/>
        </w:numPr>
        <w:tabs>
          <w:tab w:val="right" w:pos="10080"/>
        </w:tabs>
        <w:spacing w:before="240" w:after="120"/>
        <w:ind w:left="2160" w:hanging="720"/>
        <w:contextualSpacing w:val="0"/>
        <w:rPr>
          <w:b/>
          <w:bCs/>
          <w:sz w:val="26"/>
          <w:szCs w:val="26"/>
        </w:rPr>
      </w:pPr>
      <w:r w:rsidRPr="009F0EC7">
        <w:rPr>
          <w:b/>
          <w:bCs/>
          <w:sz w:val="26"/>
          <w:szCs w:val="26"/>
        </w:rPr>
        <w:t>Kern Power Plant OII Decision (D.15-07-014)</w:t>
      </w:r>
    </w:p>
    <w:p w:rsidRPr="009F0EC7" w:rsidR="00561BB4" w:rsidP="00561BB4" w:rsidRDefault="00561BB4" w14:paraId="61875479" w14:textId="33693699">
      <w:pPr>
        <w:tabs>
          <w:tab w:val="right" w:pos="10080"/>
        </w:tabs>
        <w:rPr>
          <w:sz w:val="26"/>
          <w:szCs w:val="26"/>
        </w:rPr>
      </w:pPr>
      <w:r w:rsidRPr="009F0EC7">
        <w:rPr>
          <w:sz w:val="26"/>
          <w:szCs w:val="26"/>
        </w:rPr>
        <w:t xml:space="preserve">In this proceeding, the CPUC approved a settlement between </w:t>
      </w:r>
      <w:r w:rsidR="00394E67">
        <w:rPr>
          <w:sz w:val="26"/>
          <w:szCs w:val="26"/>
        </w:rPr>
        <w:t>Pacific Gas and Electric Company (</w:t>
      </w:r>
      <w:r w:rsidRPr="009F0EC7">
        <w:rPr>
          <w:sz w:val="26"/>
          <w:szCs w:val="26"/>
        </w:rPr>
        <w:t>PG&amp;E</w:t>
      </w:r>
      <w:r w:rsidR="00394E67">
        <w:rPr>
          <w:sz w:val="26"/>
          <w:szCs w:val="26"/>
        </w:rPr>
        <w:t>)</w:t>
      </w:r>
      <w:r w:rsidRPr="009F0EC7">
        <w:rPr>
          <w:sz w:val="26"/>
          <w:szCs w:val="26"/>
        </w:rPr>
        <w:t>, Bayview / Hunters Point Community Legal, and SED related to a fatality at the decommissioned Kern Power Plant. The fatality occurred when a subcontractor of PG&amp;E demolished an unused fuel oil tank. SED alleged that PG&amp;E had: (1) failed to maintain a safe system; (2) improperly delegated its duty to maintain a safe system to a third</w:t>
      </w:r>
      <w:r w:rsidR="00A2331D">
        <w:rPr>
          <w:sz w:val="26"/>
          <w:szCs w:val="26"/>
        </w:rPr>
        <w:t>-</w:t>
      </w:r>
      <w:r w:rsidRPr="009F0EC7">
        <w:rPr>
          <w:sz w:val="26"/>
          <w:szCs w:val="26"/>
        </w:rPr>
        <w:t xml:space="preserve">party contractor; (3) failed to adequately investigate incidents to identify </w:t>
      </w:r>
      <w:r w:rsidRPr="009F0EC7">
        <w:rPr>
          <w:sz w:val="26"/>
          <w:szCs w:val="26"/>
        </w:rPr>
        <w:lastRenderedPageBreak/>
        <w:t>and implement corrective actions; and (4) violated PU Code § 451 by failing to furnish and maintain equipment and facilities to promote the safety of the public. Under the settlement, PG&amp;E admitted that, due to a lack of expertise in power plant demolition, it attempted to transfer primary responsibility for safety and safety oversight to a contractor to demolish the fuel oil tank at Kern Power Plant. PG&amp;E also admitted that it had not verified the safety data from the hired contractor and that the onsite representative did not have formal training in safety management and risk assessment. Under the settlement, PG&amp;E agreed to pay $5,569,313 in shareholder penalties, which consisted of $3,269,313 in ratemaking offsets that benefit customers and $2.3 million in fines paid to the General Fund. PG&amp;E also agreed to implement a Corrective Action Plan to improve safety at PG&amp;E on a company-wide basis. The Corrective Action Plan included a Contractor Safety Program and an Enterprise Causal Evaluation Standard.</w:t>
      </w:r>
    </w:p>
    <w:p w:rsidRPr="009F0EC7" w:rsidR="00561BB4" w:rsidP="003C51A5" w:rsidRDefault="00561BB4" w14:paraId="37CDFCF4" w14:textId="719F56FF">
      <w:pPr>
        <w:pStyle w:val="ListParagraph"/>
        <w:numPr>
          <w:ilvl w:val="0"/>
          <w:numId w:val="15"/>
        </w:numPr>
        <w:tabs>
          <w:tab w:val="right" w:pos="10080"/>
        </w:tabs>
        <w:spacing w:before="240" w:after="120"/>
        <w:ind w:left="2160" w:hanging="720"/>
        <w:contextualSpacing w:val="0"/>
        <w:rPr>
          <w:b/>
          <w:bCs/>
          <w:sz w:val="26"/>
          <w:szCs w:val="26"/>
        </w:rPr>
      </w:pPr>
      <w:r w:rsidRPr="009F0EC7">
        <w:rPr>
          <w:b/>
          <w:bCs/>
          <w:sz w:val="26"/>
          <w:szCs w:val="26"/>
        </w:rPr>
        <w:t>Malibu Canyon Fire OII Decision – Settlement 1 (D.12-09-019)</w:t>
      </w:r>
    </w:p>
    <w:p w:rsidRPr="009F0EC7" w:rsidR="00561BB4" w:rsidP="00561BB4" w:rsidRDefault="00561BB4" w14:paraId="3892E9FF" w14:textId="77777777">
      <w:pPr>
        <w:tabs>
          <w:tab w:val="right" w:pos="10080"/>
        </w:tabs>
        <w:rPr>
          <w:sz w:val="26"/>
          <w:szCs w:val="26"/>
        </w:rPr>
      </w:pPr>
      <w:r w:rsidRPr="009F0EC7">
        <w:rPr>
          <w:sz w:val="26"/>
          <w:szCs w:val="26"/>
        </w:rPr>
        <w:t>In this proceeding, the CPUC approved a settlement between AT&amp;T, Sprint, Verizon</w:t>
      </w:r>
    </w:p>
    <w:p w:rsidRPr="009F0EC7" w:rsidR="00561BB4" w:rsidP="00561BB4" w:rsidRDefault="00561BB4" w14:paraId="36D7B30A" w14:textId="466B5D87">
      <w:pPr>
        <w:tabs>
          <w:tab w:val="right" w:pos="10080"/>
        </w:tabs>
        <w:rPr>
          <w:sz w:val="26"/>
          <w:szCs w:val="26"/>
        </w:rPr>
      </w:pPr>
      <w:r w:rsidRPr="009F0EC7">
        <w:rPr>
          <w:sz w:val="26"/>
          <w:szCs w:val="26"/>
        </w:rPr>
        <w:t>Wireless (the “Settling Respondents”), and SED related to three utility poles that fell during a</w:t>
      </w:r>
      <w:r>
        <w:rPr>
          <w:sz w:val="26"/>
          <w:szCs w:val="26"/>
        </w:rPr>
        <w:t xml:space="preserve"> </w:t>
      </w:r>
      <w:r w:rsidRPr="009F0EC7">
        <w:rPr>
          <w:sz w:val="26"/>
          <w:szCs w:val="26"/>
        </w:rPr>
        <w:t>Santa Ana windstorm and ignited the Malibu Canyon Fire. The poles were jointly owned by</w:t>
      </w:r>
      <w:r>
        <w:rPr>
          <w:sz w:val="26"/>
          <w:szCs w:val="26"/>
        </w:rPr>
        <w:t xml:space="preserve"> </w:t>
      </w:r>
      <w:r w:rsidRPr="009F0EC7">
        <w:rPr>
          <w:sz w:val="26"/>
          <w:szCs w:val="26"/>
        </w:rPr>
        <w:t>SCE, AT&amp;T, Sprint, Verizon Wireless, and NextG. The power lines on the poles were owned</w:t>
      </w:r>
      <w:r>
        <w:rPr>
          <w:sz w:val="26"/>
          <w:szCs w:val="26"/>
        </w:rPr>
        <w:t xml:space="preserve"> </w:t>
      </w:r>
      <w:r w:rsidRPr="009F0EC7">
        <w:rPr>
          <w:sz w:val="26"/>
          <w:szCs w:val="26"/>
        </w:rPr>
        <w:t>and operated by SCE. There were no reported injuries or fatalities. SED alleged, among other</w:t>
      </w:r>
      <w:r>
        <w:rPr>
          <w:sz w:val="26"/>
          <w:szCs w:val="26"/>
        </w:rPr>
        <w:t xml:space="preserve"> </w:t>
      </w:r>
      <w:r w:rsidRPr="009F0EC7">
        <w:rPr>
          <w:sz w:val="26"/>
          <w:szCs w:val="26"/>
        </w:rPr>
        <w:t>things, that (1) one of the felled poles that ignited the Malibu Canyon Fire was overloaded in</w:t>
      </w:r>
      <w:r>
        <w:rPr>
          <w:sz w:val="26"/>
          <w:szCs w:val="26"/>
        </w:rPr>
        <w:t xml:space="preserve"> </w:t>
      </w:r>
      <w:r w:rsidRPr="009F0EC7">
        <w:rPr>
          <w:sz w:val="26"/>
          <w:szCs w:val="26"/>
        </w:rPr>
        <w:t>violation of GO 95 and PU Code § 451; (2) the safety factor of replacement poles did not meet</w:t>
      </w:r>
      <w:r>
        <w:rPr>
          <w:sz w:val="26"/>
          <w:szCs w:val="26"/>
        </w:rPr>
        <w:t xml:space="preserve"> </w:t>
      </w:r>
      <w:r w:rsidRPr="009F0EC7">
        <w:rPr>
          <w:sz w:val="26"/>
          <w:szCs w:val="26"/>
        </w:rPr>
        <w:t>the requirements of GO 95 for new construction; and (3) the Settling Respondents violated Rule</w:t>
      </w:r>
      <w:r>
        <w:rPr>
          <w:sz w:val="26"/>
          <w:szCs w:val="26"/>
        </w:rPr>
        <w:t xml:space="preserve"> </w:t>
      </w:r>
      <w:r w:rsidRPr="009F0EC7">
        <w:rPr>
          <w:sz w:val="26"/>
          <w:szCs w:val="26"/>
        </w:rPr>
        <w:t>1.1 by submitting accident reports, data responses, and written testimony that contained incorrect</w:t>
      </w:r>
      <w:r>
        <w:rPr>
          <w:sz w:val="26"/>
          <w:szCs w:val="26"/>
        </w:rPr>
        <w:t xml:space="preserve"> </w:t>
      </w:r>
      <w:r w:rsidRPr="009F0EC7">
        <w:rPr>
          <w:sz w:val="26"/>
          <w:szCs w:val="26"/>
        </w:rPr>
        <w:t>information. The Settling Respondents denied all of SED’s allegations. Ultimately, the Settling</w:t>
      </w:r>
      <w:r>
        <w:rPr>
          <w:sz w:val="26"/>
          <w:szCs w:val="26"/>
        </w:rPr>
        <w:t xml:space="preserve"> </w:t>
      </w:r>
      <w:r w:rsidRPr="009F0EC7">
        <w:rPr>
          <w:sz w:val="26"/>
          <w:szCs w:val="26"/>
        </w:rPr>
        <w:t>Respondents agreed to pay $12 million (divided equally between the three Settling</w:t>
      </w:r>
      <w:r>
        <w:rPr>
          <w:sz w:val="26"/>
          <w:szCs w:val="26"/>
        </w:rPr>
        <w:t xml:space="preserve"> </w:t>
      </w:r>
      <w:r w:rsidRPr="009F0EC7">
        <w:rPr>
          <w:sz w:val="26"/>
          <w:szCs w:val="26"/>
        </w:rPr>
        <w:t xml:space="preserve">Respondents). Of the </w:t>
      </w:r>
      <w:r w:rsidR="00423CB6">
        <w:rPr>
          <w:sz w:val="26"/>
          <w:szCs w:val="26"/>
        </w:rPr>
        <w:br/>
      </w:r>
      <w:r w:rsidRPr="009F0EC7">
        <w:rPr>
          <w:sz w:val="26"/>
          <w:szCs w:val="26"/>
        </w:rPr>
        <w:t>$12 million, $6.9 million was to be allocated to the General Fund and $5.1</w:t>
      </w:r>
      <w:r>
        <w:rPr>
          <w:sz w:val="26"/>
          <w:szCs w:val="26"/>
        </w:rPr>
        <w:t xml:space="preserve"> </w:t>
      </w:r>
      <w:r w:rsidRPr="009F0EC7">
        <w:rPr>
          <w:sz w:val="26"/>
          <w:szCs w:val="26"/>
        </w:rPr>
        <w:t xml:space="preserve">million to the Enhanced Infrastructure and Inspection Fund </w:t>
      </w:r>
      <w:r w:rsidR="00EC0F72">
        <w:rPr>
          <w:sz w:val="26"/>
          <w:szCs w:val="26"/>
        </w:rPr>
        <w:t>(</w:t>
      </w:r>
      <w:r w:rsidRPr="009F0EC7">
        <w:rPr>
          <w:sz w:val="26"/>
          <w:szCs w:val="26"/>
        </w:rPr>
        <w:t>EIIF), established pursuant to the</w:t>
      </w:r>
      <w:r w:rsidR="00423CB6">
        <w:rPr>
          <w:sz w:val="26"/>
          <w:szCs w:val="26"/>
        </w:rPr>
        <w:t xml:space="preserve"> </w:t>
      </w:r>
      <w:r w:rsidRPr="009F0EC7">
        <w:rPr>
          <w:sz w:val="26"/>
          <w:szCs w:val="26"/>
        </w:rPr>
        <w:t>settlement agreement. Funds paid to the EIIF were to be used to strengthen utility poles in</w:t>
      </w:r>
      <w:r w:rsidR="00423CB6">
        <w:rPr>
          <w:sz w:val="26"/>
          <w:szCs w:val="26"/>
        </w:rPr>
        <w:t xml:space="preserve"> </w:t>
      </w:r>
      <w:r w:rsidRPr="009F0EC7">
        <w:rPr>
          <w:sz w:val="26"/>
          <w:szCs w:val="26"/>
        </w:rPr>
        <w:t>Malibu Canyon and to conduct a statistically valid survey of joint-use poles in the service</w:t>
      </w:r>
      <w:r w:rsidR="00423CB6">
        <w:rPr>
          <w:sz w:val="26"/>
          <w:szCs w:val="26"/>
        </w:rPr>
        <w:t xml:space="preserve"> </w:t>
      </w:r>
      <w:r w:rsidRPr="009F0EC7">
        <w:rPr>
          <w:sz w:val="26"/>
          <w:szCs w:val="26"/>
        </w:rPr>
        <w:t>territory for compliance with GO 95. Any funds leftover from the EIIF would revert to the</w:t>
      </w:r>
      <w:r>
        <w:rPr>
          <w:sz w:val="26"/>
          <w:szCs w:val="26"/>
        </w:rPr>
        <w:t xml:space="preserve"> </w:t>
      </w:r>
      <w:r w:rsidRPr="009F0EC7">
        <w:rPr>
          <w:sz w:val="26"/>
          <w:szCs w:val="26"/>
        </w:rPr>
        <w:t>General Fund.</w:t>
      </w:r>
    </w:p>
    <w:p w:rsidRPr="009F0EC7" w:rsidR="00561BB4" w:rsidP="003C51A5" w:rsidRDefault="00561BB4" w14:paraId="699B2FD2" w14:textId="7132778C">
      <w:pPr>
        <w:pStyle w:val="ListParagraph"/>
        <w:numPr>
          <w:ilvl w:val="0"/>
          <w:numId w:val="15"/>
        </w:numPr>
        <w:tabs>
          <w:tab w:val="right" w:pos="10080"/>
        </w:tabs>
        <w:spacing w:before="240" w:after="120"/>
        <w:ind w:left="2160" w:hanging="720"/>
        <w:contextualSpacing w:val="0"/>
        <w:rPr>
          <w:b/>
          <w:bCs/>
          <w:sz w:val="26"/>
          <w:szCs w:val="26"/>
        </w:rPr>
      </w:pPr>
      <w:r w:rsidRPr="009F0EC7">
        <w:rPr>
          <w:b/>
          <w:bCs/>
          <w:sz w:val="26"/>
          <w:szCs w:val="26"/>
        </w:rPr>
        <w:t>Malibu Canyon Fire OII Decision – Settlement 2 (D.13-09-026)</w:t>
      </w:r>
    </w:p>
    <w:p w:rsidRPr="009F0EC7" w:rsidR="00561BB4" w:rsidP="00561BB4" w:rsidRDefault="00561BB4" w14:paraId="1E3859C3" w14:textId="7BEAF698">
      <w:pPr>
        <w:tabs>
          <w:tab w:val="right" w:pos="10080"/>
        </w:tabs>
        <w:rPr>
          <w:sz w:val="26"/>
          <w:szCs w:val="26"/>
        </w:rPr>
      </w:pPr>
      <w:r w:rsidRPr="009F0EC7">
        <w:rPr>
          <w:sz w:val="26"/>
          <w:szCs w:val="26"/>
        </w:rPr>
        <w:t xml:space="preserve">In the above-referenced Malibu Canyon Fire proceeding, the CPUC also approved a settlement between NextG Networks of California, Inc. (NextG) and SED. SED alleged the same violations of GO 95, PU Code § 451, and Rule 1.1. Under the settlement, NextG admitted noncompliance with GO 95, PU Code § 451, and Rule 1.1. NextG agreed to pay $14.5 million in penalties. The penalties were comprised of $8.5 million in fines to the General Fund and $6 million allocated for a safety audit of all NextG poles and pole attachments in California. The settlement required NextG to complete the audit and any remedial work required following the audit within three years from the start date of the </w:t>
      </w:r>
      <w:r w:rsidRPr="009F0EC7">
        <w:rPr>
          <w:sz w:val="26"/>
          <w:szCs w:val="26"/>
        </w:rPr>
        <w:lastRenderedPageBreak/>
        <w:t>audit. NextG agreed to pay any money left over from the $6 million to the General Fund; that money could not be used for any remedial work related to substandard facilities identified in the audit.</w:t>
      </w:r>
    </w:p>
    <w:p w:rsidRPr="009F0EC7" w:rsidR="00561BB4" w:rsidP="003C51A5" w:rsidRDefault="00561BB4" w14:paraId="710332EB" w14:textId="6AA8B137">
      <w:pPr>
        <w:pStyle w:val="ListParagraph"/>
        <w:numPr>
          <w:ilvl w:val="0"/>
          <w:numId w:val="15"/>
        </w:numPr>
        <w:tabs>
          <w:tab w:val="right" w:pos="10080"/>
        </w:tabs>
        <w:spacing w:before="240" w:after="120"/>
        <w:ind w:left="2160" w:hanging="720"/>
        <w:contextualSpacing w:val="0"/>
        <w:rPr>
          <w:b/>
          <w:bCs/>
          <w:sz w:val="26"/>
          <w:szCs w:val="26"/>
        </w:rPr>
      </w:pPr>
      <w:r w:rsidRPr="009F0EC7">
        <w:rPr>
          <w:b/>
          <w:bCs/>
          <w:sz w:val="26"/>
          <w:szCs w:val="26"/>
        </w:rPr>
        <w:t>Malibu Canyon Fire OII Decision – Settlement 3 (D.13-09-028)</w:t>
      </w:r>
    </w:p>
    <w:p w:rsidRPr="009F0EC7" w:rsidR="00561BB4" w:rsidP="00561BB4" w:rsidRDefault="00561BB4" w14:paraId="08CA1B53" w14:textId="2282D0DD">
      <w:pPr>
        <w:tabs>
          <w:tab w:val="right" w:pos="10080"/>
        </w:tabs>
        <w:rPr>
          <w:sz w:val="26"/>
          <w:szCs w:val="26"/>
        </w:rPr>
      </w:pPr>
      <w:r w:rsidRPr="009F0EC7">
        <w:rPr>
          <w:sz w:val="26"/>
          <w:szCs w:val="26"/>
        </w:rPr>
        <w:t>In the above-referenced Malibu Canyon Fire proceeding, the CPUC also approved a settlement between SCE and SED. SED alleged the same violations of GO 95, PU Code § 451, and Rule 1.1. SCE admitted</w:t>
      </w:r>
      <w:r w:rsidR="00B10B14">
        <w:rPr>
          <w:sz w:val="26"/>
          <w:szCs w:val="26"/>
        </w:rPr>
        <w:t xml:space="preserve"> that</w:t>
      </w:r>
      <w:r w:rsidRPr="009F0EC7">
        <w:rPr>
          <w:sz w:val="26"/>
          <w:szCs w:val="26"/>
        </w:rPr>
        <w:t xml:space="preserve">: (1) one of the poles was overloaded in violation of GO 95; (2) it failed to take prompt action to prevent the pole from overloading, in violation of PU Code § 451; and (3) it withheld relevant information from SED and </w:t>
      </w:r>
      <w:r w:rsidR="009C6F55">
        <w:rPr>
          <w:sz w:val="26"/>
          <w:szCs w:val="26"/>
        </w:rPr>
        <w:t xml:space="preserve">the </w:t>
      </w:r>
      <w:r w:rsidRPr="009F0EC7">
        <w:rPr>
          <w:sz w:val="26"/>
          <w:szCs w:val="26"/>
        </w:rPr>
        <w:t>CPUC in violation of Rule 1.1. Under the settlement, SCE admitted noncompliance with GO 95, PU Code § 451, and Rule 1.1. SCE agreed to pay $20 million to the General Fund and provide $17 million to assess utility poles in the Malibu area for compliance with GO 95 safety factors and SCE’s internal standards. SCE agreed to remediate all substandard utility poles. All $37 million in fines were comprised of shareholder penalties.</w:t>
      </w:r>
    </w:p>
    <w:p w:rsidRPr="009F0EC7" w:rsidR="00561BB4" w:rsidP="003C51A5" w:rsidRDefault="00561BB4" w14:paraId="72C5DD40" w14:textId="7779BC38">
      <w:pPr>
        <w:pStyle w:val="ListParagraph"/>
        <w:numPr>
          <w:ilvl w:val="0"/>
          <w:numId w:val="15"/>
        </w:numPr>
        <w:tabs>
          <w:tab w:val="right" w:pos="10080"/>
        </w:tabs>
        <w:spacing w:before="240" w:after="120"/>
        <w:ind w:left="2160" w:hanging="720"/>
        <w:contextualSpacing w:val="0"/>
        <w:rPr>
          <w:b/>
          <w:bCs/>
          <w:sz w:val="26"/>
          <w:szCs w:val="26"/>
        </w:rPr>
      </w:pPr>
      <w:r w:rsidRPr="009F0EC7">
        <w:rPr>
          <w:b/>
          <w:bCs/>
          <w:sz w:val="26"/>
          <w:szCs w:val="26"/>
        </w:rPr>
        <w:t>The Witch/Rice and Guejito Fire Settlements (D.10-04-047)</w:t>
      </w:r>
    </w:p>
    <w:p w:rsidRPr="009F0EC7" w:rsidR="00561BB4" w:rsidP="00561BB4" w:rsidRDefault="00561BB4" w14:paraId="5D4FA134" w14:textId="1EC0874C">
      <w:pPr>
        <w:tabs>
          <w:tab w:val="right" w:pos="10080"/>
        </w:tabs>
        <w:rPr>
          <w:sz w:val="26"/>
          <w:szCs w:val="26"/>
        </w:rPr>
      </w:pPr>
      <w:r w:rsidRPr="009F0EC7">
        <w:rPr>
          <w:sz w:val="26"/>
          <w:szCs w:val="26"/>
        </w:rPr>
        <w:t>In late October 2007, several severe fires occurred in the San Diego area. The Rice Fire ignited in Fallbrook, California, and the Witch Fire ignited in southern San Diego County near State Highway 78 and Santa Ysabel. The Guejito Fire started in the San Pasqual area of the county. In San Diego County, the fires burned more than 197,000 acres, over 1,100 residences were destroyed, and two people were killed.</w:t>
      </w:r>
      <w:r w:rsidR="00AE394E">
        <w:rPr>
          <w:sz w:val="26"/>
          <w:szCs w:val="26"/>
        </w:rPr>
        <w:t xml:space="preserve"> </w:t>
      </w:r>
      <w:r w:rsidRPr="009F0EC7">
        <w:rPr>
          <w:sz w:val="26"/>
          <w:szCs w:val="26"/>
        </w:rPr>
        <w:t>Under the terms of the approved settlement, San Diego Gas &amp; Electric Company (SDG&amp;E) paid $14.35 million to the General Fund; CoxCom Inc., and Cox California Telcom LLC Agreement, CoxCom Inc. and Cox California Telcom LLC paid $2 million to the General Fund; SDG&amp;E was also required to reimburse SED up to an additional $400,000 in order to implement a computer work module; and SDG&amp;E was required to remit any unused balance of the $400,000 to the General Fund.</w:t>
      </w:r>
    </w:p>
    <w:p w:rsidRPr="009F0EC7" w:rsidR="00561BB4" w:rsidP="003C51A5" w:rsidRDefault="00561BB4" w14:paraId="325F46B2" w14:textId="7305176B">
      <w:pPr>
        <w:pStyle w:val="ListParagraph"/>
        <w:numPr>
          <w:ilvl w:val="0"/>
          <w:numId w:val="15"/>
        </w:numPr>
        <w:tabs>
          <w:tab w:val="right" w:pos="10080"/>
        </w:tabs>
        <w:spacing w:before="240" w:after="120"/>
        <w:ind w:left="2160" w:hanging="720"/>
        <w:contextualSpacing w:val="0"/>
        <w:rPr>
          <w:b/>
          <w:bCs/>
          <w:sz w:val="26"/>
          <w:szCs w:val="26"/>
        </w:rPr>
      </w:pPr>
      <w:r w:rsidRPr="009F0EC7">
        <w:rPr>
          <w:b/>
          <w:bCs/>
          <w:sz w:val="26"/>
          <w:szCs w:val="26"/>
        </w:rPr>
        <w:t>The 2017 and 2018 Wildfire Settlement (D. 20-05-019)</w:t>
      </w:r>
    </w:p>
    <w:p w:rsidRPr="009F0EC7" w:rsidR="00561BB4" w:rsidP="00561BB4" w:rsidRDefault="00561BB4" w14:paraId="7304343B" w14:textId="74C23C57">
      <w:pPr>
        <w:tabs>
          <w:tab w:val="right" w:pos="10080"/>
        </w:tabs>
        <w:rPr>
          <w:sz w:val="26"/>
          <w:szCs w:val="26"/>
        </w:rPr>
      </w:pPr>
      <w:r w:rsidRPr="009F0EC7">
        <w:rPr>
          <w:sz w:val="26"/>
          <w:szCs w:val="26"/>
        </w:rPr>
        <w:t>In October 2017 and November 2018, multiple wildfires occurred across PG&amp;E’s service territory in Northern California.</w:t>
      </w:r>
      <w:r w:rsidR="00AE394E">
        <w:rPr>
          <w:sz w:val="26"/>
          <w:szCs w:val="26"/>
        </w:rPr>
        <w:t xml:space="preserve"> </w:t>
      </w:r>
      <w:r w:rsidRPr="009F0EC7">
        <w:rPr>
          <w:sz w:val="26"/>
          <w:szCs w:val="26"/>
        </w:rPr>
        <w:t>The 2017 and 2018 wildfires were unprecedented in size, scope, and destruction.</w:t>
      </w:r>
      <w:r w:rsidR="00AE394E">
        <w:rPr>
          <w:sz w:val="26"/>
          <w:szCs w:val="26"/>
        </w:rPr>
        <w:t xml:space="preserve"> </w:t>
      </w:r>
      <w:r w:rsidRPr="009F0EC7">
        <w:rPr>
          <w:sz w:val="26"/>
          <w:szCs w:val="26"/>
        </w:rPr>
        <w:t>The Commission’s decision states that at the peak of the 2017 wildfires, there were 21 major wildfires that, in total, burned 245,000 acres and causing 44 fatalities, 22 of which are attributed to fires started by PG&amp;E facilities.</w:t>
      </w:r>
      <w:r w:rsidR="00AE394E">
        <w:rPr>
          <w:sz w:val="26"/>
          <w:szCs w:val="26"/>
        </w:rPr>
        <w:t xml:space="preserve"> </w:t>
      </w:r>
      <w:r w:rsidRPr="009F0EC7">
        <w:rPr>
          <w:sz w:val="26"/>
          <w:szCs w:val="26"/>
        </w:rPr>
        <w:t xml:space="preserve">PG&amp;E’s equipment failure started the 2018 Camp Fire, which burned approximately 153,336 acres, destroyed 18,804 structures, and resulted in 85 fatalities. The Commission imposed penalties totaling $2.137 billion on PG&amp;E, which consisted of $1.823 billion in disallowances for wildfire-related expenditures, $114 million in System enhancement Initiatives and corrective actions, and $200 million fine payable to the General Fund (which was permanently suspended). </w:t>
      </w:r>
    </w:p>
    <w:p w:rsidRPr="00253DE6" w:rsidR="001068C0" w:rsidP="003B1DBD" w:rsidRDefault="001068C0" w14:paraId="0A99C9FC" w14:textId="77777777">
      <w:pPr>
        <w:tabs>
          <w:tab w:val="right" w:pos="10080"/>
        </w:tabs>
        <w:jc w:val="both"/>
        <w:rPr>
          <w:sz w:val="26"/>
          <w:szCs w:val="26"/>
        </w:rPr>
      </w:pPr>
    </w:p>
    <w:p w:rsidR="00561BB4" w:rsidP="00561BB4" w:rsidRDefault="00561BB4" w14:paraId="0502B2C2" w14:textId="49DB2101">
      <w:pPr>
        <w:tabs>
          <w:tab w:val="right" w:pos="10080"/>
        </w:tabs>
        <w:rPr>
          <w:b/>
          <w:bCs/>
          <w:sz w:val="26"/>
          <w:szCs w:val="26"/>
        </w:rPr>
      </w:pPr>
      <w:r w:rsidRPr="009F0EC7">
        <w:rPr>
          <w:b/>
          <w:bCs/>
          <w:sz w:val="26"/>
          <w:szCs w:val="26"/>
        </w:rPr>
        <w:lastRenderedPageBreak/>
        <w:t>Discussion of Precedents</w:t>
      </w:r>
    </w:p>
    <w:p w:rsidRPr="009F0EC7" w:rsidR="009127AD" w:rsidP="00561BB4" w:rsidRDefault="009127AD" w14:paraId="768DF748" w14:textId="77777777">
      <w:pPr>
        <w:tabs>
          <w:tab w:val="right" w:pos="10080"/>
        </w:tabs>
        <w:rPr>
          <w:b/>
          <w:bCs/>
          <w:sz w:val="26"/>
          <w:szCs w:val="26"/>
        </w:rPr>
      </w:pPr>
    </w:p>
    <w:p w:rsidR="00561BB4" w:rsidP="00561BB4" w:rsidRDefault="00561BB4" w14:paraId="53907BCA" w14:textId="282BB34B">
      <w:pPr>
        <w:tabs>
          <w:tab w:val="right" w:pos="10080"/>
        </w:tabs>
        <w:rPr>
          <w:sz w:val="26"/>
          <w:szCs w:val="26"/>
        </w:rPr>
      </w:pPr>
      <w:r w:rsidRPr="009F0EC7">
        <w:rPr>
          <w:sz w:val="26"/>
          <w:szCs w:val="26"/>
        </w:rPr>
        <w:t xml:space="preserve">The above precedents provide a wide range of outcomes in enforcement decisions involving electric operations safety issues. Some of the violations include violations of Commission rules, including Rule 1.1. </w:t>
      </w:r>
      <w:r>
        <w:rPr>
          <w:sz w:val="26"/>
          <w:szCs w:val="26"/>
        </w:rPr>
        <w:t xml:space="preserve">While </w:t>
      </w:r>
      <w:r w:rsidRPr="009F0EC7">
        <w:rPr>
          <w:sz w:val="26"/>
          <w:szCs w:val="26"/>
        </w:rPr>
        <w:t>this case involves serious allegations, there are no allegations of deliberate misconduct and no Rule 1.1 allegations.</w:t>
      </w:r>
      <w:r w:rsidR="00AE394E">
        <w:rPr>
          <w:sz w:val="26"/>
          <w:szCs w:val="26"/>
        </w:rPr>
        <w:t xml:space="preserve"> </w:t>
      </w:r>
    </w:p>
    <w:p w:rsidR="00561BB4" w:rsidP="00561BB4" w:rsidRDefault="00561BB4" w14:paraId="68E9E0E0" w14:textId="77777777">
      <w:pPr>
        <w:tabs>
          <w:tab w:val="right" w:pos="10080"/>
        </w:tabs>
        <w:rPr>
          <w:sz w:val="26"/>
          <w:szCs w:val="26"/>
        </w:rPr>
      </w:pPr>
    </w:p>
    <w:p w:rsidRPr="009F0EC7" w:rsidR="00561BB4" w:rsidP="00561BB4" w:rsidRDefault="00561BB4" w14:paraId="6F64F22D" w14:textId="705CDA44">
      <w:pPr>
        <w:tabs>
          <w:tab w:val="right" w:pos="10080"/>
        </w:tabs>
        <w:rPr>
          <w:sz w:val="26"/>
          <w:szCs w:val="26"/>
        </w:rPr>
      </w:pPr>
      <w:r>
        <w:rPr>
          <w:sz w:val="26"/>
          <w:szCs w:val="26"/>
        </w:rPr>
        <w:t>As the Enforcement Policy notes, “</w:t>
      </w:r>
      <w:r w:rsidRPr="002E1846">
        <w:rPr>
          <w:sz w:val="26"/>
          <w:szCs w:val="26"/>
        </w:rPr>
        <w:t>The penalties assessed in cases are not usually directly comparable.</w:t>
      </w:r>
      <w:r>
        <w:rPr>
          <w:sz w:val="26"/>
          <w:szCs w:val="26"/>
        </w:rPr>
        <w:t>”</w:t>
      </w:r>
      <w:r w:rsidRPr="0010138B">
        <w:rPr>
          <w:rStyle w:val="FootnoteReference"/>
          <w:b/>
          <w:bCs/>
          <w:sz w:val="26"/>
          <w:szCs w:val="26"/>
          <w:u w:val="single"/>
        </w:rPr>
        <w:footnoteReference w:id="15"/>
      </w:r>
      <w:r w:rsidR="00AE394E">
        <w:rPr>
          <w:sz w:val="26"/>
          <w:szCs w:val="26"/>
        </w:rPr>
        <w:t xml:space="preserve"> </w:t>
      </w:r>
      <w:r>
        <w:rPr>
          <w:sz w:val="26"/>
          <w:szCs w:val="26"/>
        </w:rPr>
        <w:t xml:space="preserve">That appears to be the situation here – an examination of potentially relevant Commission precedent shows that the factual circumstances presented here are not </w:t>
      </w:r>
      <w:r w:rsidRPr="002E1846">
        <w:rPr>
          <w:sz w:val="26"/>
          <w:szCs w:val="26"/>
        </w:rPr>
        <w:t xml:space="preserve">reasonably comparable </w:t>
      </w:r>
      <w:r>
        <w:rPr>
          <w:sz w:val="26"/>
          <w:szCs w:val="26"/>
        </w:rPr>
        <w:t xml:space="preserve">to those in other cases </w:t>
      </w:r>
      <w:r w:rsidRPr="002E1846">
        <w:rPr>
          <w:sz w:val="26"/>
          <w:szCs w:val="26"/>
        </w:rPr>
        <w:t>where penalties were assessed,</w:t>
      </w:r>
      <w:r>
        <w:rPr>
          <w:sz w:val="26"/>
          <w:szCs w:val="26"/>
        </w:rPr>
        <w:t xml:space="preserve"> except in a very broad sense. When examined in a broad manner, the level of sanctions imposed here is certainly within the range previously imposed by the Commission – there is nothing to indicate that the ACO is an outlier. The ACO </w:t>
      </w:r>
      <w:r w:rsidRPr="009F0EC7">
        <w:rPr>
          <w:sz w:val="26"/>
          <w:szCs w:val="26"/>
        </w:rPr>
        <w:t>results in a reasonable outcome considering the</w:t>
      </w:r>
      <w:r>
        <w:rPr>
          <w:sz w:val="26"/>
          <w:szCs w:val="26"/>
        </w:rPr>
        <w:t xml:space="preserve"> applicable</w:t>
      </w:r>
      <w:r w:rsidRPr="009F0EC7">
        <w:rPr>
          <w:sz w:val="26"/>
          <w:szCs w:val="26"/>
        </w:rPr>
        <w:t xml:space="preserve"> prec</w:t>
      </w:r>
      <w:r>
        <w:rPr>
          <w:sz w:val="26"/>
          <w:szCs w:val="26"/>
        </w:rPr>
        <w:t>edents</w:t>
      </w:r>
      <w:r w:rsidRPr="009F0EC7">
        <w:rPr>
          <w:sz w:val="26"/>
          <w:szCs w:val="26"/>
        </w:rPr>
        <w:t>.</w:t>
      </w:r>
    </w:p>
    <w:p w:rsidRPr="00253DE6" w:rsidR="001068C0" w:rsidP="003B1DBD" w:rsidRDefault="001068C0" w14:paraId="5DCCA467" w14:textId="77777777">
      <w:pPr>
        <w:tabs>
          <w:tab w:val="right" w:pos="10080"/>
        </w:tabs>
        <w:jc w:val="both"/>
        <w:rPr>
          <w:sz w:val="26"/>
          <w:szCs w:val="26"/>
        </w:rPr>
      </w:pPr>
    </w:p>
    <w:p w:rsidRPr="00253DE6" w:rsidR="003B1DBD" w:rsidP="00426552" w:rsidRDefault="003B1DBD" w14:paraId="227CEE9F" w14:textId="47213EFD">
      <w:pPr>
        <w:keepNext/>
        <w:tabs>
          <w:tab w:val="right" w:pos="10080"/>
        </w:tabs>
        <w:jc w:val="both"/>
        <w:rPr>
          <w:b/>
          <w:sz w:val="26"/>
          <w:szCs w:val="26"/>
          <w:u w:val="single"/>
        </w:rPr>
      </w:pPr>
      <w:r w:rsidRPr="00253DE6">
        <w:rPr>
          <w:b/>
          <w:sz w:val="26"/>
          <w:szCs w:val="26"/>
          <w:u w:val="single"/>
        </w:rPr>
        <w:t>COMMENTS</w:t>
      </w:r>
      <w:r w:rsidRPr="00253DE6" w:rsidR="00D86502">
        <w:rPr>
          <w:b/>
          <w:sz w:val="26"/>
          <w:szCs w:val="26"/>
          <w:u w:val="single"/>
        </w:rPr>
        <w:t xml:space="preserve"> ON DRAFT RESOLUTION</w:t>
      </w:r>
    </w:p>
    <w:p w:rsidRPr="009127AD" w:rsidR="003B1DBD" w:rsidP="009127AD" w:rsidRDefault="003B1DBD" w14:paraId="2DDB0542" w14:textId="77777777">
      <w:pPr>
        <w:tabs>
          <w:tab w:val="right" w:pos="10080"/>
        </w:tabs>
        <w:jc w:val="both"/>
        <w:rPr>
          <w:sz w:val="26"/>
          <w:szCs w:val="26"/>
        </w:rPr>
      </w:pPr>
    </w:p>
    <w:p w:rsidR="003B1DBD" w:rsidP="009127AD" w:rsidRDefault="003F33C2" w14:paraId="466570FE" w14:textId="13542847">
      <w:pPr>
        <w:tabs>
          <w:tab w:val="right" w:pos="10080"/>
        </w:tabs>
        <w:jc w:val="both"/>
        <w:rPr>
          <w:sz w:val="26"/>
          <w:szCs w:val="26"/>
        </w:rPr>
      </w:pPr>
      <w:r w:rsidRPr="00253DE6">
        <w:rPr>
          <w:sz w:val="26"/>
          <w:szCs w:val="26"/>
        </w:rPr>
        <w:t xml:space="preserve">The Draft Resolution was </w:t>
      </w:r>
      <w:r w:rsidRPr="00253DE6" w:rsidR="00C72D36">
        <w:rPr>
          <w:sz w:val="26"/>
          <w:szCs w:val="26"/>
        </w:rPr>
        <w:t xml:space="preserve">served </w:t>
      </w:r>
      <w:r w:rsidRPr="00253DE6" w:rsidR="005F1396">
        <w:rPr>
          <w:sz w:val="26"/>
          <w:szCs w:val="26"/>
        </w:rPr>
        <w:t xml:space="preserve">by email </w:t>
      </w:r>
      <w:r w:rsidRPr="00253DE6" w:rsidR="00C72D36">
        <w:rPr>
          <w:sz w:val="26"/>
          <w:szCs w:val="26"/>
        </w:rPr>
        <w:t xml:space="preserve">on </w:t>
      </w:r>
      <w:r w:rsidR="009553C7">
        <w:rPr>
          <w:sz w:val="26"/>
          <w:szCs w:val="26"/>
        </w:rPr>
        <w:t>SC</w:t>
      </w:r>
      <w:r w:rsidRPr="00253DE6" w:rsidR="003C7852">
        <w:rPr>
          <w:sz w:val="26"/>
          <w:szCs w:val="26"/>
        </w:rPr>
        <w:t>E</w:t>
      </w:r>
      <w:r w:rsidRPr="00253DE6" w:rsidR="00DD5204">
        <w:rPr>
          <w:sz w:val="26"/>
          <w:szCs w:val="26"/>
        </w:rPr>
        <w:t xml:space="preserve"> and other interested parties</w:t>
      </w:r>
      <w:r w:rsidRPr="00253DE6">
        <w:rPr>
          <w:sz w:val="26"/>
          <w:szCs w:val="26"/>
        </w:rPr>
        <w:t xml:space="preserve"> on </w:t>
      </w:r>
      <w:r w:rsidR="004F4BDF">
        <w:rPr>
          <w:sz w:val="26"/>
          <w:szCs w:val="26"/>
        </w:rPr>
        <w:t>June 7,</w:t>
      </w:r>
      <w:r w:rsidRPr="00253DE6">
        <w:rPr>
          <w:sz w:val="26"/>
          <w:szCs w:val="26"/>
        </w:rPr>
        <w:t xml:space="preserve"> 202</w:t>
      </w:r>
      <w:r w:rsidRPr="00253DE6" w:rsidR="00123C34">
        <w:rPr>
          <w:sz w:val="26"/>
          <w:szCs w:val="26"/>
        </w:rPr>
        <w:t>2</w:t>
      </w:r>
      <w:r w:rsidRPr="00253DE6">
        <w:rPr>
          <w:sz w:val="26"/>
          <w:szCs w:val="26"/>
        </w:rPr>
        <w:t>, in accordance with Cal. Pub. Util. Code § 311(g).</w:t>
      </w:r>
      <w:r w:rsidR="00AE394E">
        <w:rPr>
          <w:sz w:val="26"/>
          <w:szCs w:val="26"/>
        </w:rPr>
        <w:t xml:space="preserve"> </w:t>
      </w:r>
      <w:r w:rsidRPr="00253DE6">
        <w:rPr>
          <w:sz w:val="26"/>
          <w:szCs w:val="26"/>
        </w:rPr>
        <w:t xml:space="preserve">Comments were </w:t>
      </w:r>
      <w:r w:rsidRPr="00253DE6" w:rsidR="00E92DB5">
        <w:rPr>
          <w:sz w:val="26"/>
          <w:szCs w:val="26"/>
        </w:rPr>
        <w:t xml:space="preserve">due on </w:t>
      </w:r>
      <w:r w:rsidR="004F4BDF">
        <w:rPr>
          <w:sz w:val="26"/>
          <w:szCs w:val="26"/>
        </w:rPr>
        <w:t>June 27</w:t>
      </w:r>
      <w:r w:rsidRPr="00253DE6" w:rsidR="00537E67">
        <w:rPr>
          <w:sz w:val="26"/>
          <w:szCs w:val="26"/>
        </w:rPr>
        <w:t>, 202</w:t>
      </w:r>
      <w:r w:rsidRPr="00253DE6" w:rsidR="00123C34">
        <w:rPr>
          <w:sz w:val="26"/>
          <w:szCs w:val="26"/>
        </w:rPr>
        <w:t>2</w:t>
      </w:r>
      <w:r w:rsidRPr="00253DE6" w:rsidR="00537E67">
        <w:rPr>
          <w:sz w:val="26"/>
          <w:szCs w:val="26"/>
        </w:rPr>
        <w:t xml:space="preserve">. Comments were </w:t>
      </w:r>
      <w:r w:rsidRPr="00253DE6">
        <w:rPr>
          <w:sz w:val="26"/>
          <w:szCs w:val="26"/>
        </w:rPr>
        <w:t>received</w:t>
      </w:r>
      <w:r w:rsidR="007E3142">
        <w:rPr>
          <w:sz w:val="26"/>
          <w:szCs w:val="26"/>
        </w:rPr>
        <w:t xml:space="preserve"> from TURN</w:t>
      </w:r>
      <w:r w:rsidRPr="003C51A5" w:rsidR="00666AD9">
        <w:rPr>
          <w:sz w:val="26"/>
          <w:szCs w:val="26"/>
        </w:rPr>
        <w:t>.</w:t>
      </w:r>
    </w:p>
    <w:p w:rsidR="00B70016" w:rsidP="009127AD" w:rsidRDefault="00B70016" w14:paraId="73FB65DD" w14:textId="2FD39D8B">
      <w:pPr>
        <w:tabs>
          <w:tab w:val="right" w:pos="10080"/>
        </w:tabs>
        <w:jc w:val="both"/>
        <w:rPr>
          <w:sz w:val="26"/>
          <w:szCs w:val="26"/>
        </w:rPr>
      </w:pPr>
    </w:p>
    <w:p w:rsidR="00B70016" w:rsidP="00146FCF" w:rsidRDefault="00B70016" w14:paraId="644FA43A" w14:textId="3771C636">
      <w:pPr>
        <w:tabs>
          <w:tab w:val="right" w:pos="10080"/>
        </w:tabs>
        <w:rPr>
          <w:sz w:val="26"/>
          <w:szCs w:val="26"/>
        </w:rPr>
      </w:pPr>
      <w:r>
        <w:rPr>
          <w:sz w:val="26"/>
          <w:szCs w:val="26"/>
        </w:rPr>
        <w:t>TURN expressed concern</w:t>
      </w:r>
      <w:r w:rsidR="00AC21F9">
        <w:rPr>
          <w:sz w:val="26"/>
          <w:szCs w:val="26"/>
        </w:rPr>
        <w:t xml:space="preserve"> </w:t>
      </w:r>
      <w:r w:rsidR="00CF45F0">
        <w:rPr>
          <w:sz w:val="26"/>
          <w:szCs w:val="26"/>
        </w:rPr>
        <w:t xml:space="preserve">regarding </w:t>
      </w:r>
      <w:r w:rsidR="006150F3">
        <w:rPr>
          <w:sz w:val="26"/>
          <w:szCs w:val="26"/>
        </w:rPr>
        <w:t xml:space="preserve">what </w:t>
      </w:r>
      <w:r w:rsidR="00CF45F0">
        <w:rPr>
          <w:sz w:val="26"/>
          <w:szCs w:val="26"/>
        </w:rPr>
        <w:t xml:space="preserve">impact the ACO may </w:t>
      </w:r>
      <w:r w:rsidR="00DF414D">
        <w:rPr>
          <w:sz w:val="26"/>
          <w:szCs w:val="26"/>
        </w:rPr>
        <w:t xml:space="preserve">have </w:t>
      </w:r>
      <w:r w:rsidR="008353E4">
        <w:rPr>
          <w:sz w:val="26"/>
          <w:szCs w:val="26"/>
        </w:rPr>
        <w:t>on future cost recovery app</w:t>
      </w:r>
      <w:r w:rsidR="000C5A72">
        <w:rPr>
          <w:sz w:val="26"/>
          <w:szCs w:val="26"/>
        </w:rPr>
        <w:t>lications</w:t>
      </w:r>
      <w:r w:rsidR="00DF414D">
        <w:rPr>
          <w:sz w:val="26"/>
          <w:szCs w:val="26"/>
        </w:rPr>
        <w:t xml:space="preserve"> by SCE</w:t>
      </w:r>
      <w:r w:rsidR="008857CD">
        <w:rPr>
          <w:sz w:val="26"/>
          <w:szCs w:val="26"/>
        </w:rPr>
        <w:t xml:space="preserve"> for uninsured claims costs related </w:t>
      </w:r>
      <w:r w:rsidR="005F5E32">
        <w:rPr>
          <w:sz w:val="26"/>
          <w:szCs w:val="26"/>
        </w:rPr>
        <w:t xml:space="preserve">the </w:t>
      </w:r>
      <w:r w:rsidRPr="00253DE6" w:rsidR="008857CD">
        <w:rPr>
          <w:sz w:val="26"/>
          <w:szCs w:val="26"/>
        </w:rPr>
        <w:t>2017/2018 Southern California Fires</w:t>
      </w:r>
      <w:r w:rsidR="000C5A72">
        <w:rPr>
          <w:sz w:val="26"/>
          <w:szCs w:val="26"/>
        </w:rPr>
        <w:t>.</w:t>
      </w:r>
      <w:r w:rsidRPr="00146FCF" w:rsidR="009E54B5">
        <w:rPr>
          <w:rStyle w:val="FootnoteReference"/>
          <w:b/>
          <w:bCs/>
          <w:sz w:val="26"/>
          <w:szCs w:val="26"/>
          <w:u w:val="single"/>
        </w:rPr>
        <w:footnoteReference w:id="16"/>
      </w:r>
      <w:r w:rsidR="00146FCF">
        <w:rPr>
          <w:sz w:val="26"/>
          <w:szCs w:val="26"/>
        </w:rPr>
        <w:t xml:space="preserve">  </w:t>
      </w:r>
      <w:r w:rsidR="00D421B0">
        <w:rPr>
          <w:sz w:val="26"/>
          <w:szCs w:val="26"/>
        </w:rPr>
        <w:t xml:space="preserve">In particular, </w:t>
      </w:r>
      <w:r w:rsidR="00040C47">
        <w:rPr>
          <w:sz w:val="26"/>
          <w:szCs w:val="26"/>
        </w:rPr>
        <w:t xml:space="preserve">TURN </w:t>
      </w:r>
      <w:r w:rsidR="00D421B0">
        <w:rPr>
          <w:sz w:val="26"/>
          <w:szCs w:val="26"/>
        </w:rPr>
        <w:t xml:space="preserve">is concerned </w:t>
      </w:r>
      <w:r w:rsidR="00040C47">
        <w:rPr>
          <w:sz w:val="26"/>
          <w:szCs w:val="26"/>
        </w:rPr>
        <w:t>that “[</w:t>
      </w:r>
      <w:r w:rsidR="000C5A72">
        <w:rPr>
          <w:sz w:val="26"/>
          <w:szCs w:val="26"/>
        </w:rPr>
        <w:t>t</w:t>
      </w:r>
      <w:r w:rsidR="00040C47">
        <w:rPr>
          <w:sz w:val="26"/>
          <w:szCs w:val="26"/>
        </w:rPr>
        <w:t>]</w:t>
      </w:r>
      <w:r w:rsidR="000C5A72">
        <w:rPr>
          <w:sz w:val="26"/>
          <w:szCs w:val="26"/>
        </w:rPr>
        <w:t xml:space="preserve">he Commission </w:t>
      </w:r>
      <w:r w:rsidRPr="008353E4" w:rsidR="008353E4">
        <w:rPr>
          <w:sz w:val="26"/>
          <w:szCs w:val="26"/>
        </w:rPr>
        <w:t xml:space="preserve">needs to recognize that its treatment of the $375 million deemed </w:t>
      </w:r>
      <w:r w:rsidR="006150F3">
        <w:rPr>
          <w:sz w:val="26"/>
          <w:szCs w:val="26"/>
        </w:rPr>
        <w:t>‘</w:t>
      </w:r>
      <w:r w:rsidRPr="008353E4" w:rsidR="008353E4">
        <w:rPr>
          <w:sz w:val="26"/>
          <w:szCs w:val="26"/>
        </w:rPr>
        <w:t>Permanent</w:t>
      </w:r>
      <w:r w:rsidR="008353E4">
        <w:rPr>
          <w:sz w:val="26"/>
          <w:szCs w:val="26"/>
        </w:rPr>
        <w:t xml:space="preserve"> </w:t>
      </w:r>
      <w:r w:rsidRPr="008353E4" w:rsidR="008353E4">
        <w:rPr>
          <w:sz w:val="26"/>
          <w:szCs w:val="26"/>
        </w:rPr>
        <w:t>Disallowances of cost recovery</w:t>
      </w:r>
      <w:r w:rsidR="006150F3">
        <w:rPr>
          <w:sz w:val="26"/>
          <w:szCs w:val="26"/>
        </w:rPr>
        <w:t>’</w:t>
      </w:r>
      <w:r w:rsidRPr="008353E4" w:rsidR="008353E4">
        <w:rPr>
          <w:sz w:val="26"/>
          <w:szCs w:val="26"/>
        </w:rPr>
        <w:t xml:space="preserve"> here must not have any undue impact on its consideration of</w:t>
      </w:r>
      <w:r w:rsidR="008353E4">
        <w:rPr>
          <w:sz w:val="26"/>
          <w:szCs w:val="26"/>
        </w:rPr>
        <w:t xml:space="preserve"> </w:t>
      </w:r>
      <w:r w:rsidRPr="008353E4" w:rsidR="008353E4">
        <w:rPr>
          <w:sz w:val="26"/>
          <w:szCs w:val="26"/>
        </w:rPr>
        <w:t>any request for the $5.2 billion of uninsured claims costs that will follow.</w:t>
      </w:r>
      <w:r w:rsidR="000C5A72">
        <w:rPr>
          <w:sz w:val="26"/>
          <w:szCs w:val="26"/>
        </w:rPr>
        <w:t>”</w:t>
      </w:r>
      <w:r w:rsidRPr="00146FCF" w:rsidR="009E54B5">
        <w:rPr>
          <w:rStyle w:val="FootnoteReference"/>
          <w:b/>
          <w:bCs/>
          <w:sz w:val="26"/>
          <w:szCs w:val="26"/>
          <w:u w:val="single"/>
        </w:rPr>
        <w:footnoteReference w:id="17"/>
      </w:r>
      <w:r w:rsidR="009E54B5">
        <w:rPr>
          <w:sz w:val="26"/>
          <w:szCs w:val="26"/>
        </w:rPr>
        <w:t xml:space="preserve">  </w:t>
      </w:r>
      <w:r w:rsidR="005F5E32">
        <w:rPr>
          <w:sz w:val="26"/>
          <w:szCs w:val="26"/>
        </w:rPr>
        <w:t>To address its concern</w:t>
      </w:r>
      <w:r w:rsidR="00AC21F9">
        <w:rPr>
          <w:sz w:val="26"/>
          <w:szCs w:val="26"/>
        </w:rPr>
        <w:t xml:space="preserve">, TURN has proposed an addition to the Findings and Conclusions </w:t>
      </w:r>
      <w:r w:rsidR="00040C47">
        <w:rPr>
          <w:sz w:val="26"/>
          <w:szCs w:val="26"/>
        </w:rPr>
        <w:t xml:space="preserve">to </w:t>
      </w:r>
      <w:r w:rsidR="005F5E32">
        <w:rPr>
          <w:sz w:val="26"/>
          <w:szCs w:val="26"/>
        </w:rPr>
        <w:t>clarify</w:t>
      </w:r>
      <w:r w:rsidR="00040C47">
        <w:rPr>
          <w:sz w:val="26"/>
          <w:szCs w:val="26"/>
        </w:rPr>
        <w:t xml:space="preserve"> that the ACO</w:t>
      </w:r>
      <w:r w:rsidR="008857CD">
        <w:rPr>
          <w:sz w:val="26"/>
          <w:szCs w:val="26"/>
        </w:rPr>
        <w:t xml:space="preserve"> and the resolutions adopting it will not predetermine the reasonableness o</w:t>
      </w:r>
      <w:r w:rsidR="005F5E32">
        <w:rPr>
          <w:sz w:val="26"/>
          <w:szCs w:val="26"/>
        </w:rPr>
        <w:t xml:space="preserve">f </w:t>
      </w:r>
      <w:r w:rsidR="00A71B86">
        <w:rPr>
          <w:sz w:val="26"/>
          <w:szCs w:val="26"/>
        </w:rPr>
        <w:t xml:space="preserve">any </w:t>
      </w:r>
      <w:r w:rsidR="005F5E32">
        <w:rPr>
          <w:sz w:val="26"/>
          <w:szCs w:val="26"/>
        </w:rPr>
        <w:t xml:space="preserve">such cost recovery </w:t>
      </w:r>
      <w:r w:rsidR="00D70446">
        <w:rPr>
          <w:sz w:val="26"/>
          <w:szCs w:val="26"/>
        </w:rPr>
        <w:t>requests</w:t>
      </w:r>
      <w:r w:rsidR="005F5E32">
        <w:rPr>
          <w:sz w:val="26"/>
          <w:szCs w:val="26"/>
        </w:rPr>
        <w:t>.</w:t>
      </w:r>
      <w:r w:rsidRPr="00146FCF" w:rsidR="009E54B5">
        <w:rPr>
          <w:rStyle w:val="FootnoteReference"/>
          <w:b/>
          <w:bCs/>
          <w:sz w:val="26"/>
          <w:szCs w:val="26"/>
          <w:u w:val="single"/>
        </w:rPr>
        <w:footnoteReference w:id="18"/>
      </w:r>
      <w:r w:rsidR="00D421B0">
        <w:rPr>
          <w:sz w:val="26"/>
          <w:szCs w:val="26"/>
        </w:rPr>
        <w:t xml:space="preserve">  </w:t>
      </w:r>
    </w:p>
    <w:p w:rsidR="00B70016" w:rsidP="009127AD" w:rsidRDefault="00B70016" w14:paraId="007542A6" w14:textId="2477F4F7">
      <w:pPr>
        <w:tabs>
          <w:tab w:val="right" w:pos="10080"/>
        </w:tabs>
        <w:jc w:val="both"/>
        <w:rPr>
          <w:sz w:val="26"/>
          <w:szCs w:val="26"/>
        </w:rPr>
      </w:pPr>
    </w:p>
    <w:p w:rsidR="00B70016" w:rsidP="00B70016" w:rsidRDefault="00B70016" w14:paraId="28FD6300" w14:textId="158A6E37">
      <w:pPr>
        <w:tabs>
          <w:tab w:val="right" w:pos="10080"/>
        </w:tabs>
        <w:rPr>
          <w:sz w:val="26"/>
          <w:szCs w:val="26"/>
        </w:rPr>
      </w:pPr>
      <w:r>
        <w:rPr>
          <w:sz w:val="26"/>
          <w:szCs w:val="26"/>
        </w:rPr>
        <w:t xml:space="preserve">Based on TURN’s comments, the following has been added to </w:t>
      </w:r>
      <w:r w:rsidR="00A23BF7">
        <w:rPr>
          <w:sz w:val="26"/>
          <w:szCs w:val="26"/>
        </w:rPr>
        <w:t>the Findings and Conclusions</w:t>
      </w:r>
      <w:r w:rsidR="00641C2B">
        <w:rPr>
          <w:sz w:val="26"/>
          <w:szCs w:val="26"/>
        </w:rPr>
        <w:t xml:space="preserve"> section of th</w:t>
      </w:r>
      <w:r w:rsidR="00C670DB">
        <w:rPr>
          <w:sz w:val="26"/>
          <w:szCs w:val="26"/>
        </w:rPr>
        <w:t>is</w:t>
      </w:r>
      <w:r w:rsidR="00641C2B">
        <w:rPr>
          <w:sz w:val="26"/>
          <w:szCs w:val="26"/>
        </w:rPr>
        <w:t xml:space="preserve"> Draft Resolution</w:t>
      </w:r>
      <w:r>
        <w:rPr>
          <w:sz w:val="26"/>
          <w:szCs w:val="26"/>
        </w:rPr>
        <w:t>:</w:t>
      </w:r>
    </w:p>
    <w:p w:rsidR="00B70016" w:rsidP="009127AD" w:rsidRDefault="00B70016" w14:paraId="4AA1F9B5" w14:textId="747458E8">
      <w:pPr>
        <w:tabs>
          <w:tab w:val="right" w:pos="10080"/>
        </w:tabs>
        <w:jc w:val="both"/>
        <w:rPr>
          <w:sz w:val="26"/>
          <w:szCs w:val="26"/>
        </w:rPr>
      </w:pPr>
    </w:p>
    <w:p w:rsidR="00146FCF" w:rsidRDefault="00146FCF" w14:paraId="2E361229" w14:textId="77777777">
      <w:pPr>
        <w:rPr>
          <w:sz w:val="26"/>
          <w:szCs w:val="26"/>
        </w:rPr>
      </w:pPr>
      <w:r>
        <w:rPr>
          <w:sz w:val="26"/>
          <w:szCs w:val="26"/>
        </w:rPr>
        <w:br w:type="page"/>
      </w:r>
    </w:p>
    <w:p w:rsidRPr="003C51A5" w:rsidR="00B70016" w:rsidP="00A23BF7" w:rsidRDefault="00531E5B" w14:paraId="2E83B9B6" w14:textId="20F6916F">
      <w:pPr>
        <w:tabs>
          <w:tab w:val="right" w:pos="10080"/>
        </w:tabs>
        <w:ind w:left="720"/>
        <w:jc w:val="both"/>
        <w:rPr>
          <w:sz w:val="26"/>
          <w:szCs w:val="26"/>
        </w:rPr>
      </w:pPr>
      <w:r w:rsidRPr="0087617A">
        <w:rPr>
          <w:sz w:val="26"/>
          <w:szCs w:val="26"/>
        </w:rPr>
        <w:lastRenderedPageBreak/>
        <w:t xml:space="preserve">The analysis under the Penalty Assessment Methodology set forth here correctly treats the terms of the </w:t>
      </w:r>
      <w:r>
        <w:rPr>
          <w:sz w:val="26"/>
          <w:szCs w:val="26"/>
        </w:rPr>
        <w:t>ACO</w:t>
      </w:r>
      <w:r w:rsidRPr="0087617A">
        <w:rPr>
          <w:sz w:val="26"/>
          <w:szCs w:val="26"/>
        </w:rPr>
        <w:t xml:space="preserve"> as applying solely to the enforcement and penalty matter at hand, and </w:t>
      </w:r>
      <w:r>
        <w:rPr>
          <w:sz w:val="26"/>
          <w:szCs w:val="26"/>
        </w:rPr>
        <w:t>does not prejudge</w:t>
      </w:r>
      <w:r w:rsidRPr="0087617A">
        <w:rPr>
          <w:sz w:val="26"/>
          <w:szCs w:val="26"/>
        </w:rPr>
        <w:t xml:space="preserve"> the reasonableness, prudence, and other issues in any future cost recovery proceedings</w:t>
      </w:r>
      <w:r w:rsidRPr="0087617A" w:rsidR="00B70016">
        <w:rPr>
          <w:sz w:val="26"/>
          <w:szCs w:val="26"/>
        </w:rPr>
        <w:t>.</w:t>
      </w:r>
    </w:p>
    <w:p w:rsidR="00542E91" w:rsidP="009127AD" w:rsidRDefault="00542E91" w14:paraId="68A6094A" w14:textId="2A915A5C">
      <w:pPr>
        <w:tabs>
          <w:tab w:val="right" w:pos="10080"/>
        </w:tabs>
        <w:jc w:val="both"/>
        <w:rPr>
          <w:sz w:val="26"/>
          <w:szCs w:val="26"/>
        </w:rPr>
      </w:pPr>
    </w:p>
    <w:p w:rsidR="00A23BF7" w:rsidP="009127AD" w:rsidRDefault="00A23BF7" w14:paraId="25443904" w14:textId="0FE3E33A">
      <w:pPr>
        <w:tabs>
          <w:tab w:val="right" w:pos="10080"/>
        </w:tabs>
        <w:jc w:val="both"/>
        <w:rPr>
          <w:sz w:val="26"/>
          <w:szCs w:val="26"/>
        </w:rPr>
      </w:pPr>
      <w:r>
        <w:rPr>
          <w:sz w:val="26"/>
          <w:szCs w:val="26"/>
        </w:rPr>
        <w:t xml:space="preserve">No other changes to </w:t>
      </w:r>
      <w:r w:rsidR="00641C2B">
        <w:rPr>
          <w:sz w:val="26"/>
          <w:szCs w:val="26"/>
        </w:rPr>
        <w:t xml:space="preserve">the Draft </w:t>
      </w:r>
      <w:r>
        <w:rPr>
          <w:sz w:val="26"/>
          <w:szCs w:val="26"/>
        </w:rPr>
        <w:t>Resolution</w:t>
      </w:r>
      <w:r w:rsidR="00641C2B">
        <w:rPr>
          <w:sz w:val="26"/>
          <w:szCs w:val="26"/>
        </w:rPr>
        <w:t xml:space="preserve"> </w:t>
      </w:r>
      <w:r w:rsidR="00DF5294">
        <w:rPr>
          <w:sz w:val="26"/>
          <w:szCs w:val="26"/>
        </w:rPr>
        <w:t xml:space="preserve">have been made </w:t>
      </w:r>
      <w:r w:rsidR="00641C2B">
        <w:rPr>
          <w:sz w:val="26"/>
          <w:szCs w:val="26"/>
        </w:rPr>
        <w:t>in response to comments</w:t>
      </w:r>
      <w:r w:rsidR="0072294D">
        <w:rPr>
          <w:sz w:val="26"/>
          <w:szCs w:val="26"/>
        </w:rPr>
        <w:t>.</w:t>
      </w:r>
    </w:p>
    <w:p w:rsidRPr="00253DE6" w:rsidR="00A23BF7" w:rsidP="009127AD" w:rsidRDefault="00A23BF7" w14:paraId="1AE5FCEB" w14:textId="77777777">
      <w:pPr>
        <w:tabs>
          <w:tab w:val="right" w:pos="10080"/>
        </w:tabs>
        <w:jc w:val="both"/>
        <w:rPr>
          <w:sz w:val="26"/>
          <w:szCs w:val="26"/>
        </w:rPr>
      </w:pPr>
    </w:p>
    <w:p w:rsidRPr="00253DE6" w:rsidR="003B1DBD" w:rsidP="00426552" w:rsidRDefault="003B1DBD" w14:paraId="47785B7D" w14:textId="092E38E3">
      <w:pPr>
        <w:keepNext/>
        <w:tabs>
          <w:tab w:val="right" w:pos="10080"/>
        </w:tabs>
        <w:jc w:val="both"/>
        <w:rPr>
          <w:b/>
          <w:sz w:val="26"/>
          <w:szCs w:val="26"/>
          <w:u w:val="single"/>
        </w:rPr>
      </w:pPr>
      <w:r w:rsidRPr="00253DE6">
        <w:rPr>
          <w:b/>
          <w:sz w:val="26"/>
          <w:szCs w:val="26"/>
          <w:u w:val="single"/>
        </w:rPr>
        <w:t>FINDINGS</w:t>
      </w:r>
      <w:r w:rsidRPr="00253DE6" w:rsidR="00D86502">
        <w:rPr>
          <w:b/>
          <w:sz w:val="26"/>
          <w:szCs w:val="26"/>
          <w:u w:val="single"/>
        </w:rPr>
        <w:t xml:space="preserve"> AND CONCLUSIONS</w:t>
      </w:r>
    </w:p>
    <w:p w:rsidRPr="00666AD9" w:rsidR="003B1DBD" w:rsidP="00666AD9" w:rsidRDefault="003B1DBD" w14:paraId="6F5A9CFB" w14:textId="77777777">
      <w:pPr>
        <w:tabs>
          <w:tab w:val="right" w:pos="10080"/>
        </w:tabs>
        <w:jc w:val="both"/>
        <w:rPr>
          <w:sz w:val="26"/>
          <w:szCs w:val="26"/>
        </w:rPr>
      </w:pPr>
    </w:p>
    <w:p w:rsidRPr="00253DE6" w:rsidR="00CF1143" w:rsidP="00426552" w:rsidRDefault="00E95578" w14:paraId="7F10D435" w14:textId="41B5370B">
      <w:pPr>
        <w:keepNext/>
        <w:numPr>
          <w:ilvl w:val="0"/>
          <w:numId w:val="1"/>
        </w:numPr>
        <w:tabs>
          <w:tab w:val="clear" w:pos="240"/>
        </w:tabs>
        <w:spacing w:after="120"/>
        <w:ind w:left="360" w:hanging="360"/>
        <w:rPr>
          <w:sz w:val="26"/>
          <w:szCs w:val="26"/>
        </w:rPr>
      </w:pPr>
      <w:r w:rsidRPr="00253DE6">
        <w:rPr>
          <w:sz w:val="26"/>
          <w:szCs w:val="26"/>
        </w:rPr>
        <w:t xml:space="preserve">Pursuant to </w:t>
      </w:r>
      <w:r w:rsidRPr="00253DE6" w:rsidR="009863B8">
        <w:rPr>
          <w:sz w:val="26"/>
          <w:szCs w:val="26"/>
        </w:rPr>
        <w:t>Resolution M-4846</w:t>
      </w:r>
      <w:r w:rsidRPr="00253DE6">
        <w:rPr>
          <w:sz w:val="26"/>
          <w:szCs w:val="26"/>
        </w:rPr>
        <w:t xml:space="preserve">, SED and </w:t>
      </w:r>
      <w:r w:rsidRPr="00253DE6" w:rsidR="001629FA">
        <w:rPr>
          <w:sz w:val="26"/>
          <w:szCs w:val="26"/>
        </w:rPr>
        <w:t>SC</w:t>
      </w:r>
      <w:r w:rsidRPr="00253DE6">
        <w:rPr>
          <w:sz w:val="26"/>
          <w:szCs w:val="26"/>
        </w:rPr>
        <w:t xml:space="preserve">E negotiated a proposed settlement relating to </w:t>
      </w:r>
      <w:r w:rsidR="00645B95">
        <w:rPr>
          <w:sz w:val="26"/>
          <w:szCs w:val="26"/>
        </w:rPr>
        <w:t>SC</w:t>
      </w:r>
      <w:r w:rsidRPr="00253DE6">
        <w:rPr>
          <w:sz w:val="26"/>
          <w:szCs w:val="26"/>
        </w:rPr>
        <w:t xml:space="preserve">E’s involvement in the ignition of the </w:t>
      </w:r>
      <w:r w:rsidRPr="00253DE6" w:rsidR="001629FA">
        <w:rPr>
          <w:color w:val="000000"/>
          <w:sz w:val="26"/>
          <w:szCs w:val="26"/>
        </w:rPr>
        <w:t>2017 Liberty, Rye, Meyers, and Thomas Fires and the 2018 Woolsey Fire</w:t>
      </w:r>
      <w:r w:rsidRPr="00253DE6" w:rsidR="002D59C6">
        <w:rPr>
          <w:sz w:val="26"/>
          <w:szCs w:val="26"/>
        </w:rPr>
        <w:t>,</w:t>
      </w:r>
      <w:r w:rsidRPr="00253DE6">
        <w:rPr>
          <w:sz w:val="26"/>
          <w:szCs w:val="26"/>
        </w:rPr>
        <w:t xml:space="preserve"> and presented </w:t>
      </w:r>
      <w:r w:rsidRPr="00253DE6" w:rsidR="009863B8">
        <w:rPr>
          <w:sz w:val="26"/>
          <w:szCs w:val="26"/>
        </w:rPr>
        <w:t xml:space="preserve">an </w:t>
      </w:r>
      <w:r w:rsidRPr="00253DE6" w:rsidR="00823198">
        <w:rPr>
          <w:sz w:val="26"/>
          <w:szCs w:val="26"/>
        </w:rPr>
        <w:t>ACO</w:t>
      </w:r>
      <w:r w:rsidRPr="00253DE6" w:rsidR="00263A77">
        <w:rPr>
          <w:sz w:val="26"/>
          <w:szCs w:val="26"/>
        </w:rPr>
        <w:t xml:space="preserve"> </w:t>
      </w:r>
      <w:r w:rsidRPr="00253DE6" w:rsidR="009863B8">
        <w:rPr>
          <w:sz w:val="26"/>
          <w:szCs w:val="26"/>
        </w:rPr>
        <w:t xml:space="preserve">to </w:t>
      </w:r>
      <w:r w:rsidRPr="00253DE6">
        <w:rPr>
          <w:sz w:val="26"/>
          <w:szCs w:val="26"/>
        </w:rPr>
        <w:t>the Commission</w:t>
      </w:r>
      <w:r w:rsidRPr="00253DE6" w:rsidR="00263A77">
        <w:rPr>
          <w:sz w:val="26"/>
          <w:szCs w:val="26"/>
        </w:rPr>
        <w:t xml:space="preserve"> for its </w:t>
      </w:r>
      <w:r w:rsidRPr="00253DE6" w:rsidR="009863B8">
        <w:rPr>
          <w:sz w:val="26"/>
          <w:szCs w:val="26"/>
        </w:rPr>
        <w:t>review and consideration</w:t>
      </w:r>
      <w:r w:rsidRPr="00253DE6" w:rsidR="00263A77">
        <w:rPr>
          <w:sz w:val="26"/>
          <w:szCs w:val="26"/>
        </w:rPr>
        <w:t>.</w:t>
      </w:r>
      <w:r w:rsidRPr="00253DE6" w:rsidR="009863B8">
        <w:rPr>
          <w:sz w:val="26"/>
          <w:szCs w:val="26"/>
        </w:rPr>
        <w:t xml:space="preserve"> </w:t>
      </w:r>
    </w:p>
    <w:p w:rsidRPr="00253DE6" w:rsidR="00E50E37" w:rsidP="00426552" w:rsidRDefault="00263A77" w14:paraId="101AD73E" w14:textId="4F376109">
      <w:pPr>
        <w:keepNext/>
        <w:numPr>
          <w:ilvl w:val="0"/>
          <w:numId w:val="1"/>
        </w:numPr>
        <w:tabs>
          <w:tab w:val="clear" w:pos="240"/>
        </w:tabs>
        <w:spacing w:after="120"/>
        <w:ind w:left="360" w:hanging="360"/>
        <w:rPr>
          <w:sz w:val="26"/>
          <w:szCs w:val="26"/>
        </w:rPr>
      </w:pPr>
      <w:r w:rsidRPr="00253DE6">
        <w:rPr>
          <w:sz w:val="26"/>
          <w:szCs w:val="26"/>
        </w:rPr>
        <w:t>In Resolution SED-</w:t>
      </w:r>
      <w:r w:rsidRPr="00253DE6" w:rsidR="001629FA">
        <w:rPr>
          <w:sz w:val="26"/>
          <w:szCs w:val="26"/>
        </w:rPr>
        <w:t>5</w:t>
      </w:r>
      <w:r w:rsidRPr="00253DE6">
        <w:rPr>
          <w:sz w:val="26"/>
          <w:szCs w:val="26"/>
        </w:rPr>
        <w:t>, the Commission approved the</w:t>
      </w:r>
      <w:r w:rsidRPr="00253DE6" w:rsidR="00823198">
        <w:rPr>
          <w:sz w:val="26"/>
          <w:szCs w:val="26"/>
        </w:rPr>
        <w:t xml:space="preserve"> ACO</w:t>
      </w:r>
      <w:r w:rsidRPr="00253DE6" w:rsidR="00E50E37">
        <w:rPr>
          <w:sz w:val="26"/>
          <w:szCs w:val="26"/>
        </w:rPr>
        <w:t>.</w:t>
      </w:r>
    </w:p>
    <w:p w:rsidRPr="00253DE6" w:rsidR="00263A77" w:rsidP="00426552" w:rsidRDefault="00263A77" w14:paraId="0500C1C1" w14:textId="2A124F2C">
      <w:pPr>
        <w:keepNext/>
        <w:numPr>
          <w:ilvl w:val="0"/>
          <w:numId w:val="1"/>
        </w:numPr>
        <w:tabs>
          <w:tab w:val="clear" w:pos="240"/>
        </w:tabs>
        <w:spacing w:after="120"/>
        <w:ind w:left="360" w:hanging="360"/>
        <w:rPr>
          <w:sz w:val="26"/>
          <w:szCs w:val="26"/>
        </w:rPr>
      </w:pPr>
      <w:r w:rsidRPr="00253DE6">
        <w:rPr>
          <w:sz w:val="26"/>
          <w:szCs w:val="26"/>
        </w:rPr>
        <w:t xml:space="preserve">TURN filed an application for rehearing of Resolution </w:t>
      </w:r>
      <w:r w:rsidRPr="00253DE6" w:rsidR="00E50E37">
        <w:rPr>
          <w:sz w:val="26"/>
          <w:szCs w:val="26"/>
        </w:rPr>
        <w:t>SED</w:t>
      </w:r>
      <w:r w:rsidRPr="00253DE6">
        <w:rPr>
          <w:sz w:val="26"/>
          <w:szCs w:val="26"/>
        </w:rPr>
        <w:t>-</w:t>
      </w:r>
      <w:r w:rsidRPr="00253DE6" w:rsidR="001629FA">
        <w:rPr>
          <w:sz w:val="26"/>
          <w:szCs w:val="26"/>
        </w:rPr>
        <w:t>5</w:t>
      </w:r>
      <w:r w:rsidRPr="00253DE6">
        <w:rPr>
          <w:sz w:val="26"/>
          <w:szCs w:val="26"/>
        </w:rPr>
        <w:t>.</w:t>
      </w:r>
    </w:p>
    <w:p w:rsidRPr="00253DE6" w:rsidR="00263A77" w:rsidP="00426552" w:rsidRDefault="00263A77" w14:paraId="301DB19B" w14:textId="41A290CE">
      <w:pPr>
        <w:keepNext/>
        <w:numPr>
          <w:ilvl w:val="0"/>
          <w:numId w:val="1"/>
        </w:numPr>
        <w:tabs>
          <w:tab w:val="clear" w:pos="240"/>
        </w:tabs>
        <w:spacing w:after="120"/>
        <w:ind w:left="360" w:hanging="360"/>
        <w:rPr>
          <w:sz w:val="26"/>
          <w:szCs w:val="26"/>
        </w:rPr>
      </w:pPr>
      <w:r w:rsidRPr="00253DE6">
        <w:rPr>
          <w:sz w:val="26"/>
          <w:szCs w:val="26"/>
        </w:rPr>
        <w:t>In Decision 22-04-</w:t>
      </w:r>
      <w:r w:rsidR="00C212A3">
        <w:rPr>
          <w:sz w:val="26"/>
          <w:szCs w:val="26"/>
        </w:rPr>
        <w:t>057</w:t>
      </w:r>
      <w:r w:rsidRPr="00253DE6">
        <w:rPr>
          <w:sz w:val="26"/>
          <w:szCs w:val="26"/>
        </w:rPr>
        <w:t>, the Commission denied rehearing on all but one issue raised by TURN, and granted rehearing on Resolution SED-</w:t>
      </w:r>
      <w:r w:rsidRPr="00253DE6" w:rsidR="001629FA">
        <w:rPr>
          <w:sz w:val="26"/>
          <w:szCs w:val="26"/>
        </w:rPr>
        <w:t>5</w:t>
      </w:r>
      <w:r w:rsidRPr="00253DE6">
        <w:rPr>
          <w:sz w:val="26"/>
          <w:szCs w:val="26"/>
        </w:rPr>
        <w:t xml:space="preserve">’s failure to include </w:t>
      </w:r>
      <w:r w:rsidRPr="00253DE6" w:rsidR="00823198">
        <w:rPr>
          <w:sz w:val="26"/>
          <w:szCs w:val="26"/>
        </w:rPr>
        <w:t>the</w:t>
      </w:r>
      <w:r w:rsidRPr="00253DE6">
        <w:rPr>
          <w:sz w:val="26"/>
          <w:szCs w:val="26"/>
        </w:rPr>
        <w:t xml:space="preserve"> analysis</w:t>
      </w:r>
      <w:r w:rsidRPr="00253DE6" w:rsidR="00FD5017">
        <w:rPr>
          <w:sz w:val="26"/>
          <w:szCs w:val="26"/>
        </w:rPr>
        <w:t xml:space="preserve"> </w:t>
      </w:r>
      <w:r w:rsidRPr="00253DE6" w:rsidR="00823198">
        <w:rPr>
          <w:sz w:val="26"/>
          <w:szCs w:val="26"/>
        </w:rPr>
        <w:t xml:space="preserve">set forth in </w:t>
      </w:r>
      <w:r w:rsidRPr="00253DE6" w:rsidR="00FD5017">
        <w:rPr>
          <w:sz w:val="26"/>
          <w:szCs w:val="26"/>
        </w:rPr>
        <w:t>the Penalty Assessment Methodology</w:t>
      </w:r>
      <w:r w:rsidRPr="00253DE6" w:rsidR="00823198">
        <w:rPr>
          <w:sz w:val="26"/>
          <w:szCs w:val="26"/>
        </w:rPr>
        <w:t>.</w:t>
      </w:r>
    </w:p>
    <w:p w:rsidR="003B1DBD" w:rsidP="00426552" w:rsidRDefault="00823198" w14:paraId="02452978" w14:textId="352EC75B">
      <w:pPr>
        <w:keepNext/>
        <w:numPr>
          <w:ilvl w:val="0"/>
          <w:numId w:val="1"/>
        </w:numPr>
        <w:tabs>
          <w:tab w:val="clear" w:pos="240"/>
        </w:tabs>
        <w:spacing w:after="120"/>
        <w:ind w:left="360" w:hanging="360"/>
        <w:rPr>
          <w:sz w:val="26"/>
          <w:szCs w:val="26"/>
        </w:rPr>
      </w:pPr>
      <w:r w:rsidRPr="00253DE6">
        <w:rPr>
          <w:sz w:val="26"/>
          <w:szCs w:val="26"/>
        </w:rPr>
        <w:t xml:space="preserve">This Resolution </w:t>
      </w:r>
      <w:r w:rsidRPr="00253DE6" w:rsidR="00526663">
        <w:rPr>
          <w:sz w:val="26"/>
          <w:szCs w:val="26"/>
        </w:rPr>
        <w:t>performs</w:t>
      </w:r>
      <w:r w:rsidRPr="00253DE6">
        <w:rPr>
          <w:sz w:val="26"/>
          <w:szCs w:val="26"/>
        </w:rPr>
        <w:t xml:space="preserve"> the analysis set forth in the Penalty Assessment Methodology</w:t>
      </w:r>
      <w:r w:rsidRPr="00253DE6" w:rsidR="00526663">
        <w:rPr>
          <w:sz w:val="26"/>
          <w:szCs w:val="26"/>
        </w:rPr>
        <w:t xml:space="preserve"> relating to the ACO for the </w:t>
      </w:r>
      <w:r w:rsidRPr="00253DE6" w:rsidR="001629FA">
        <w:rPr>
          <w:color w:val="000000"/>
          <w:sz w:val="26"/>
          <w:szCs w:val="26"/>
        </w:rPr>
        <w:t>2017 Liberty, Rye, Meyers, and Thomas Fires and the 2018 Woolsey Fire</w:t>
      </w:r>
      <w:r w:rsidRPr="00253DE6" w:rsidR="00526663">
        <w:rPr>
          <w:sz w:val="26"/>
          <w:szCs w:val="26"/>
        </w:rPr>
        <w:t xml:space="preserve">, and incorporates that analysis into </w:t>
      </w:r>
      <w:r w:rsidRPr="00253DE6">
        <w:rPr>
          <w:sz w:val="26"/>
          <w:szCs w:val="26"/>
        </w:rPr>
        <w:t xml:space="preserve">Resolution </w:t>
      </w:r>
      <w:r w:rsidR="003C51A5">
        <w:rPr>
          <w:sz w:val="26"/>
          <w:szCs w:val="26"/>
        </w:rPr>
        <w:br/>
      </w:r>
      <w:r w:rsidRPr="00253DE6">
        <w:rPr>
          <w:sz w:val="26"/>
          <w:szCs w:val="26"/>
        </w:rPr>
        <w:t>SED-</w:t>
      </w:r>
      <w:r w:rsidRPr="00253DE6" w:rsidR="001629FA">
        <w:rPr>
          <w:sz w:val="26"/>
          <w:szCs w:val="26"/>
        </w:rPr>
        <w:t>5</w:t>
      </w:r>
      <w:r w:rsidRPr="00253DE6" w:rsidR="00526663">
        <w:rPr>
          <w:sz w:val="26"/>
          <w:szCs w:val="26"/>
        </w:rPr>
        <w:t>.</w:t>
      </w:r>
      <w:r w:rsidRPr="00253DE6" w:rsidR="000D0B12">
        <w:rPr>
          <w:sz w:val="26"/>
          <w:szCs w:val="26"/>
        </w:rPr>
        <w:t xml:space="preserve"> </w:t>
      </w:r>
    </w:p>
    <w:p w:rsidR="00561BB4" w:rsidP="00426552" w:rsidRDefault="00807404" w14:paraId="57F4A7BA" w14:textId="68A4CBFA">
      <w:pPr>
        <w:keepNext/>
        <w:numPr>
          <w:ilvl w:val="0"/>
          <w:numId w:val="1"/>
        </w:numPr>
        <w:tabs>
          <w:tab w:val="clear" w:pos="240"/>
        </w:tabs>
        <w:spacing w:after="120"/>
        <w:ind w:left="360" w:hanging="360"/>
        <w:rPr>
          <w:sz w:val="26"/>
          <w:szCs w:val="26"/>
        </w:rPr>
      </w:pPr>
      <w:r>
        <w:rPr>
          <w:sz w:val="26"/>
          <w:szCs w:val="26"/>
        </w:rPr>
        <w:t>Based on the analysis under the Penalty Assessment Methodology, the agreed-upon fines, safety measures and disallowances are reasonable in light of the circumstances.</w:t>
      </w:r>
    </w:p>
    <w:p w:rsidRPr="0087617A" w:rsidR="0087617A" w:rsidP="0087617A" w:rsidRDefault="0087617A" w14:paraId="434106E9" w14:textId="44BC9D68">
      <w:pPr>
        <w:keepNext/>
        <w:numPr>
          <w:ilvl w:val="0"/>
          <w:numId w:val="1"/>
        </w:numPr>
        <w:tabs>
          <w:tab w:val="clear" w:pos="240"/>
        </w:tabs>
        <w:autoSpaceDE w:val="0"/>
        <w:autoSpaceDN w:val="0"/>
        <w:adjustRightInd w:val="0"/>
        <w:spacing w:after="120"/>
        <w:ind w:left="360" w:hanging="360"/>
        <w:rPr>
          <w:sz w:val="26"/>
          <w:szCs w:val="26"/>
        </w:rPr>
      </w:pPr>
      <w:r w:rsidRPr="0087617A">
        <w:rPr>
          <w:sz w:val="26"/>
          <w:szCs w:val="26"/>
        </w:rPr>
        <w:t xml:space="preserve">The analysis under the Penalty Assessment Methodology set forth here correctly treats the terms of the </w:t>
      </w:r>
      <w:r w:rsidR="00B70016">
        <w:rPr>
          <w:sz w:val="26"/>
          <w:szCs w:val="26"/>
        </w:rPr>
        <w:t>ACO</w:t>
      </w:r>
      <w:r w:rsidRPr="0087617A">
        <w:rPr>
          <w:sz w:val="26"/>
          <w:szCs w:val="26"/>
        </w:rPr>
        <w:t xml:space="preserve"> as applying solely to the enforcement and penalty matter at hand, and </w:t>
      </w:r>
      <w:r w:rsidR="00C4377D">
        <w:rPr>
          <w:sz w:val="26"/>
          <w:szCs w:val="26"/>
        </w:rPr>
        <w:t>does not prejudge</w:t>
      </w:r>
      <w:r w:rsidRPr="0087617A">
        <w:rPr>
          <w:sz w:val="26"/>
          <w:szCs w:val="26"/>
        </w:rPr>
        <w:t xml:space="preserve"> the reasonableness, prudence, and other issues in any future cost recovery proceedings.</w:t>
      </w:r>
    </w:p>
    <w:p w:rsidRPr="00253DE6" w:rsidR="00125853" w:rsidP="001F6737" w:rsidRDefault="001F6737" w14:paraId="48BA2312" w14:textId="5A6781BD">
      <w:pPr>
        <w:keepNext/>
        <w:numPr>
          <w:ilvl w:val="0"/>
          <w:numId w:val="1"/>
        </w:numPr>
        <w:tabs>
          <w:tab w:val="clear" w:pos="240"/>
        </w:tabs>
        <w:spacing w:after="120"/>
        <w:ind w:left="360" w:hanging="360"/>
        <w:rPr>
          <w:sz w:val="26"/>
          <w:szCs w:val="26"/>
        </w:rPr>
      </w:pPr>
      <w:r w:rsidRPr="00253DE6">
        <w:rPr>
          <w:sz w:val="26"/>
          <w:szCs w:val="26"/>
        </w:rPr>
        <w:t>No other changes are made to Resolution SED-</w:t>
      </w:r>
      <w:r w:rsidRPr="00253DE6" w:rsidR="001629FA">
        <w:rPr>
          <w:sz w:val="26"/>
          <w:szCs w:val="26"/>
        </w:rPr>
        <w:t>5</w:t>
      </w:r>
      <w:r w:rsidRPr="00253DE6">
        <w:rPr>
          <w:sz w:val="26"/>
          <w:szCs w:val="26"/>
        </w:rPr>
        <w:t xml:space="preserve">. </w:t>
      </w:r>
    </w:p>
    <w:p w:rsidRPr="00253DE6" w:rsidR="003B1DBD" w:rsidP="001716EC" w:rsidRDefault="003B1DBD" w14:paraId="289BD70F" w14:textId="77777777">
      <w:pPr>
        <w:jc w:val="both"/>
        <w:rPr>
          <w:b/>
          <w:sz w:val="26"/>
          <w:szCs w:val="26"/>
        </w:rPr>
      </w:pPr>
    </w:p>
    <w:p w:rsidRPr="00253DE6" w:rsidR="003B1DBD" w:rsidP="00426552" w:rsidRDefault="003B1DBD" w14:paraId="7D96260D" w14:textId="7F811D25">
      <w:pPr>
        <w:keepNext/>
        <w:jc w:val="both"/>
        <w:rPr>
          <w:sz w:val="26"/>
          <w:szCs w:val="26"/>
        </w:rPr>
      </w:pPr>
      <w:r w:rsidRPr="00253DE6">
        <w:rPr>
          <w:b/>
          <w:sz w:val="26"/>
          <w:szCs w:val="26"/>
        </w:rPr>
        <w:t>THER</w:t>
      </w:r>
      <w:r w:rsidR="001E2105">
        <w:rPr>
          <w:b/>
          <w:sz w:val="26"/>
          <w:szCs w:val="26"/>
        </w:rPr>
        <w:t>E</w:t>
      </w:r>
      <w:r w:rsidRPr="00253DE6">
        <w:rPr>
          <w:b/>
          <w:sz w:val="26"/>
          <w:szCs w:val="26"/>
        </w:rPr>
        <w:t xml:space="preserve">FORE, IT IS ORDERED </w:t>
      </w:r>
      <w:r w:rsidRPr="00253DE6">
        <w:rPr>
          <w:sz w:val="26"/>
          <w:szCs w:val="26"/>
        </w:rPr>
        <w:t>that:</w:t>
      </w:r>
    </w:p>
    <w:p w:rsidRPr="00666AD9" w:rsidR="003B1DBD" w:rsidP="00666AD9" w:rsidRDefault="003B1DBD" w14:paraId="043EB384" w14:textId="77777777">
      <w:pPr>
        <w:jc w:val="both"/>
        <w:rPr>
          <w:b/>
          <w:sz w:val="26"/>
          <w:szCs w:val="26"/>
        </w:rPr>
      </w:pPr>
    </w:p>
    <w:p w:rsidRPr="00253DE6" w:rsidR="004071F9" w:rsidP="00A452EE" w:rsidRDefault="00721123" w14:paraId="4860A245" w14:textId="3088040A">
      <w:pPr>
        <w:keepNext/>
        <w:numPr>
          <w:ilvl w:val="0"/>
          <w:numId w:val="5"/>
        </w:numPr>
        <w:tabs>
          <w:tab w:val="clear" w:pos="240"/>
        </w:tabs>
        <w:spacing w:after="120"/>
        <w:ind w:left="360" w:hanging="360"/>
        <w:rPr>
          <w:sz w:val="26"/>
          <w:szCs w:val="26"/>
        </w:rPr>
      </w:pPr>
      <w:r w:rsidRPr="00253DE6">
        <w:rPr>
          <w:sz w:val="26"/>
          <w:szCs w:val="26"/>
        </w:rPr>
        <w:t>Resolution SED-</w:t>
      </w:r>
      <w:r w:rsidRPr="00253DE6" w:rsidR="001629FA">
        <w:rPr>
          <w:sz w:val="26"/>
          <w:szCs w:val="26"/>
        </w:rPr>
        <w:t>5</w:t>
      </w:r>
      <w:r w:rsidRPr="00253DE6">
        <w:rPr>
          <w:sz w:val="26"/>
          <w:szCs w:val="26"/>
        </w:rPr>
        <w:t xml:space="preserve"> is revised to include the analysis </w:t>
      </w:r>
      <w:r w:rsidRPr="00253DE6" w:rsidR="00F2338D">
        <w:rPr>
          <w:sz w:val="26"/>
          <w:szCs w:val="26"/>
        </w:rPr>
        <w:t>of the Penalty Assessment Methodology, as directed by D.22-04-</w:t>
      </w:r>
      <w:r w:rsidR="00C212A3">
        <w:rPr>
          <w:sz w:val="26"/>
          <w:szCs w:val="26"/>
        </w:rPr>
        <w:t>057</w:t>
      </w:r>
      <w:r w:rsidRPr="00253DE6" w:rsidR="00F2338D">
        <w:rPr>
          <w:sz w:val="26"/>
          <w:szCs w:val="26"/>
        </w:rPr>
        <w:t xml:space="preserve">. </w:t>
      </w:r>
    </w:p>
    <w:p w:rsidRPr="00253DE6" w:rsidR="004071F9" w:rsidP="004408C6" w:rsidRDefault="004408C6" w14:paraId="6D7FF497" w14:textId="0569BF55">
      <w:pPr>
        <w:numPr>
          <w:ilvl w:val="0"/>
          <w:numId w:val="5"/>
        </w:numPr>
        <w:tabs>
          <w:tab w:val="clear" w:pos="240"/>
        </w:tabs>
        <w:spacing w:after="120"/>
        <w:ind w:left="360" w:hanging="360"/>
        <w:rPr>
          <w:sz w:val="26"/>
          <w:szCs w:val="26"/>
        </w:rPr>
      </w:pPr>
      <w:r w:rsidRPr="00253DE6">
        <w:rPr>
          <w:sz w:val="26"/>
          <w:szCs w:val="26"/>
        </w:rPr>
        <w:t>This Resolution is effective today.</w:t>
      </w:r>
    </w:p>
    <w:p w:rsidRPr="00253DE6" w:rsidR="003B1DBD" w:rsidP="00344784" w:rsidRDefault="003B1DBD" w14:paraId="10B7452B" w14:textId="77777777">
      <w:pPr>
        <w:jc w:val="both"/>
        <w:rPr>
          <w:sz w:val="26"/>
          <w:szCs w:val="26"/>
        </w:rPr>
      </w:pPr>
    </w:p>
    <w:p w:rsidRPr="00253DE6" w:rsidR="003B1DBD" w:rsidP="00344784" w:rsidRDefault="003B1DBD" w14:paraId="61E54CCC" w14:textId="5DE10C7D">
      <w:pPr>
        <w:rPr>
          <w:sz w:val="26"/>
          <w:szCs w:val="26"/>
        </w:rPr>
      </w:pPr>
      <w:r w:rsidRPr="00253DE6">
        <w:rPr>
          <w:sz w:val="26"/>
          <w:szCs w:val="26"/>
        </w:rPr>
        <w:lastRenderedPageBreak/>
        <w:t xml:space="preserve">I certify that the foregoing </w:t>
      </w:r>
      <w:r w:rsidRPr="00253DE6" w:rsidR="006C0435">
        <w:rPr>
          <w:sz w:val="26"/>
          <w:szCs w:val="26"/>
        </w:rPr>
        <w:t>R</w:t>
      </w:r>
      <w:r w:rsidRPr="00253DE6">
        <w:rPr>
          <w:sz w:val="26"/>
          <w:szCs w:val="26"/>
        </w:rPr>
        <w:t xml:space="preserve">esolution was adopted </w:t>
      </w:r>
      <w:r w:rsidRPr="00253DE6" w:rsidR="006C0435">
        <w:rPr>
          <w:sz w:val="26"/>
          <w:szCs w:val="26"/>
        </w:rPr>
        <w:t xml:space="preserve">by </w:t>
      </w:r>
      <w:r w:rsidRPr="00253DE6">
        <w:rPr>
          <w:sz w:val="26"/>
          <w:szCs w:val="26"/>
        </w:rPr>
        <w:t xml:space="preserve">the </w:t>
      </w:r>
      <w:r w:rsidRPr="00253DE6" w:rsidR="006C0435">
        <w:rPr>
          <w:sz w:val="26"/>
          <w:szCs w:val="26"/>
        </w:rPr>
        <w:t xml:space="preserve">California </w:t>
      </w:r>
      <w:r w:rsidRPr="00253DE6">
        <w:rPr>
          <w:sz w:val="26"/>
          <w:szCs w:val="26"/>
        </w:rPr>
        <w:t xml:space="preserve">Public Utilities Commission </w:t>
      </w:r>
      <w:r w:rsidRPr="00253DE6" w:rsidR="006C0435">
        <w:rPr>
          <w:sz w:val="26"/>
          <w:szCs w:val="26"/>
        </w:rPr>
        <w:t>at its regular meeting</w:t>
      </w:r>
      <w:r w:rsidRPr="00253DE6">
        <w:rPr>
          <w:sz w:val="26"/>
          <w:szCs w:val="26"/>
        </w:rPr>
        <w:t xml:space="preserve"> on </w:t>
      </w:r>
      <w:r w:rsidR="00666AD9">
        <w:rPr>
          <w:sz w:val="26"/>
          <w:szCs w:val="26"/>
        </w:rPr>
        <w:t>July 14,</w:t>
      </w:r>
      <w:r w:rsidRPr="00253DE6" w:rsidR="006C0435">
        <w:rPr>
          <w:sz w:val="26"/>
          <w:szCs w:val="26"/>
        </w:rPr>
        <w:t xml:space="preserve"> 202</w:t>
      </w:r>
      <w:r w:rsidRPr="00253DE6" w:rsidR="00F2338D">
        <w:rPr>
          <w:sz w:val="26"/>
          <w:szCs w:val="26"/>
        </w:rPr>
        <w:t>2</w:t>
      </w:r>
      <w:r w:rsidRPr="00253DE6" w:rsidR="006C0435">
        <w:rPr>
          <w:sz w:val="26"/>
          <w:szCs w:val="26"/>
        </w:rPr>
        <w:t xml:space="preserve">, and </w:t>
      </w:r>
      <w:r w:rsidRPr="00253DE6">
        <w:rPr>
          <w:sz w:val="26"/>
          <w:szCs w:val="26"/>
        </w:rPr>
        <w:t xml:space="preserve">the following Commissioners </w:t>
      </w:r>
      <w:r w:rsidRPr="00253DE6" w:rsidR="006C0435">
        <w:rPr>
          <w:sz w:val="26"/>
          <w:szCs w:val="26"/>
        </w:rPr>
        <w:t xml:space="preserve">approved </w:t>
      </w:r>
      <w:r w:rsidRPr="00253DE6">
        <w:rPr>
          <w:sz w:val="26"/>
          <w:szCs w:val="26"/>
        </w:rPr>
        <w:t>favorabl</w:t>
      </w:r>
      <w:r w:rsidRPr="00253DE6" w:rsidR="006C0435">
        <w:rPr>
          <w:sz w:val="26"/>
          <w:szCs w:val="26"/>
        </w:rPr>
        <w:t>y</w:t>
      </w:r>
      <w:r w:rsidRPr="00253DE6">
        <w:rPr>
          <w:sz w:val="26"/>
          <w:szCs w:val="26"/>
        </w:rPr>
        <w:t xml:space="preserve"> thereon:</w:t>
      </w:r>
    </w:p>
    <w:p w:rsidRPr="00253DE6" w:rsidR="009B7857" w:rsidP="00344784" w:rsidRDefault="009B7857" w14:paraId="15BBCAF3" w14:textId="11CE823E">
      <w:pPr>
        <w:rPr>
          <w:sz w:val="26"/>
          <w:szCs w:val="26"/>
        </w:rPr>
      </w:pPr>
    </w:p>
    <w:p w:rsidRPr="00253DE6" w:rsidR="006D33B1" w:rsidP="00344784" w:rsidRDefault="006D33B1" w14:paraId="3A674171" w14:textId="77777777">
      <w:pPr>
        <w:rPr>
          <w:sz w:val="26"/>
          <w:szCs w:val="26"/>
        </w:rPr>
      </w:pPr>
    </w:p>
    <w:p w:rsidRPr="00253DE6" w:rsidR="006C0435" w:rsidP="006C0435" w:rsidRDefault="006C0435" w14:paraId="0AECA7DA" w14:textId="77777777">
      <w:pPr>
        <w:tabs>
          <w:tab w:val="left" w:pos="9000"/>
        </w:tabs>
        <w:ind w:left="5040"/>
        <w:rPr>
          <w:rFonts w:eastAsia="Palatino Linotype"/>
          <w:sz w:val="26"/>
          <w:szCs w:val="26"/>
          <w:u w:val="single"/>
        </w:rPr>
      </w:pPr>
      <w:r w:rsidRPr="00253DE6">
        <w:rPr>
          <w:rFonts w:eastAsia="Palatino Linotype"/>
          <w:sz w:val="26"/>
          <w:szCs w:val="26"/>
          <w:u w:val="single"/>
        </w:rPr>
        <w:tab/>
      </w:r>
    </w:p>
    <w:p w:rsidRPr="00253DE6" w:rsidR="006C0435" w:rsidP="006C0435" w:rsidRDefault="006C0435" w14:paraId="33F0045A" w14:textId="77777777">
      <w:pPr>
        <w:ind w:left="5760"/>
        <w:rPr>
          <w:rFonts w:eastAsia="Palatino Linotype"/>
          <w:sz w:val="26"/>
          <w:szCs w:val="26"/>
        </w:rPr>
      </w:pPr>
      <w:r w:rsidRPr="00253DE6">
        <w:rPr>
          <w:rFonts w:eastAsia="Palatino Linotype"/>
          <w:sz w:val="26"/>
          <w:szCs w:val="26"/>
        </w:rPr>
        <w:t xml:space="preserve">RACHEL PETERSON </w:t>
      </w:r>
    </w:p>
    <w:p w:rsidRPr="00253DE6" w:rsidR="006C0435" w:rsidP="006C0435" w:rsidRDefault="006C0435" w14:paraId="19E3C657" w14:textId="77777777">
      <w:pPr>
        <w:ind w:left="5760"/>
        <w:rPr>
          <w:sz w:val="26"/>
          <w:szCs w:val="26"/>
        </w:rPr>
      </w:pPr>
      <w:r w:rsidRPr="00253DE6">
        <w:rPr>
          <w:rFonts w:eastAsia="Palatino Linotype"/>
          <w:sz w:val="26"/>
          <w:szCs w:val="26"/>
        </w:rPr>
        <w:t>Executive Director</w:t>
      </w:r>
      <w:r w:rsidRPr="00253DE6">
        <w:rPr>
          <w:sz w:val="26"/>
          <w:szCs w:val="26"/>
        </w:rPr>
        <w:t xml:space="preserve"> </w:t>
      </w:r>
    </w:p>
    <w:p w:rsidRPr="00253DE6" w:rsidR="008E6E9A" w:rsidRDefault="008E6E9A" w14:paraId="086449AD" w14:textId="048C5770">
      <w:pPr>
        <w:rPr>
          <w:sz w:val="26"/>
          <w:szCs w:val="26"/>
        </w:rPr>
      </w:pPr>
    </w:p>
    <w:p w:rsidRPr="00253DE6" w:rsidR="00492574" w:rsidRDefault="00492574" w14:paraId="170326FA" w14:textId="6EFAFCA4">
      <w:pPr>
        <w:rPr>
          <w:sz w:val="26"/>
          <w:szCs w:val="26"/>
        </w:rPr>
      </w:pPr>
    </w:p>
    <w:sectPr w:rsidRPr="00253DE6" w:rsidR="00492574" w:rsidSect="0078344D">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80237" w14:textId="77777777" w:rsidR="00303916" w:rsidRDefault="00303916">
      <w:r>
        <w:separator/>
      </w:r>
    </w:p>
  </w:endnote>
  <w:endnote w:type="continuationSeparator" w:id="0">
    <w:p w14:paraId="3E9BFDD5" w14:textId="77777777" w:rsidR="00303916" w:rsidRDefault="0030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BB9C" w14:textId="77777777" w:rsidR="003B1DBD" w:rsidRPr="003B1DBD" w:rsidRDefault="003B1DBD" w:rsidP="003B1DBD">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8F5E" w14:textId="06A5E3D7" w:rsidR="004B5DA0" w:rsidRPr="008E7B24" w:rsidRDefault="00146FCF" w:rsidP="00F1398D">
    <w:pPr>
      <w:pStyle w:val="Footer"/>
    </w:pPr>
    <w:r w:rsidRPr="00146FCF">
      <w:rPr>
        <w:sz w:val="20"/>
        <w:szCs w:val="20"/>
      </w:rPr>
      <w:t>492688544</w:t>
    </w:r>
    <w:r w:rsidR="008E7B24">
      <w:rPr>
        <w:sz w:val="20"/>
        <w:szCs w:val="20"/>
      </w:rPr>
      <w:tab/>
    </w:r>
    <w:r w:rsidR="008E7B24" w:rsidRPr="008E7B24">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64633" w14:textId="77777777" w:rsidR="00303916" w:rsidRDefault="00303916">
      <w:r>
        <w:separator/>
      </w:r>
    </w:p>
  </w:footnote>
  <w:footnote w:type="continuationSeparator" w:id="0">
    <w:p w14:paraId="35407F9C" w14:textId="77777777" w:rsidR="00303916" w:rsidRDefault="00303916">
      <w:r>
        <w:continuationSeparator/>
      </w:r>
    </w:p>
  </w:footnote>
  <w:footnote w:id="1">
    <w:p w14:paraId="47D4E9E2" w14:textId="76A559D2" w:rsidR="00656928" w:rsidRPr="00666AD9" w:rsidRDefault="00656928" w:rsidP="00822A98">
      <w:pPr>
        <w:pStyle w:val="FootnoteText"/>
        <w:spacing w:after="120" w:line="240" w:lineRule="exact"/>
        <w:rPr>
          <w:sz w:val="24"/>
          <w:szCs w:val="24"/>
        </w:rPr>
      </w:pPr>
      <w:r w:rsidRPr="00666AD9">
        <w:rPr>
          <w:rStyle w:val="FootnoteReference"/>
          <w:b/>
          <w:bCs/>
          <w:sz w:val="24"/>
          <w:szCs w:val="24"/>
          <w:u w:val="single"/>
        </w:rPr>
        <w:footnoteRef/>
      </w:r>
      <w:r w:rsidRPr="00666AD9">
        <w:rPr>
          <w:sz w:val="24"/>
          <w:szCs w:val="24"/>
        </w:rPr>
        <w:t xml:space="preserve"> The Penalty Assessment Methodology is set forth in Appendix I to the Enforcement Policy, which in turn is an attachment to Resolution M-4846.</w:t>
      </w:r>
    </w:p>
  </w:footnote>
  <w:footnote w:id="2">
    <w:p w14:paraId="0407486D" w14:textId="043BD688" w:rsidR="00B0675E" w:rsidRPr="00666AD9" w:rsidRDefault="00B0675E" w:rsidP="00822A98">
      <w:pPr>
        <w:pStyle w:val="FootnoteText"/>
        <w:spacing w:after="120" w:line="240" w:lineRule="exact"/>
        <w:rPr>
          <w:sz w:val="24"/>
          <w:szCs w:val="24"/>
        </w:rPr>
      </w:pPr>
      <w:r w:rsidRPr="00666AD9">
        <w:rPr>
          <w:rStyle w:val="FootnoteReference"/>
          <w:b/>
          <w:bCs/>
          <w:sz w:val="24"/>
          <w:szCs w:val="24"/>
          <w:u w:val="single"/>
        </w:rPr>
        <w:footnoteRef/>
      </w:r>
      <w:r w:rsidRPr="00666AD9">
        <w:rPr>
          <w:sz w:val="24"/>
          <w:szCs w:val="24"/>
        </w:rPr>
        <w:t xml:space="preserve"> D.22-04-05</w:t>
      </w:r>
      <w:r w:rsidR="00D41760" w:rsidRPr="00666AD9">
        <w:rPr>
          <w:sz w:val="24"/>
          <w:szCs w:val="24"/>
        </w:rPr>
        <w:t>7</w:t>
      </w:r>
      <w:r w:rsidRPr="00666AD9">
        <w:rPr>
          <w:sz w:val="24"/>
          <w:szCs w:val="24"/>
        </w:rPr>
        <w:t xml:space="preserve"> at 4.</w:t>
      </w:r>
    </w:p>
  </w:footnote>
  <w:footnote w:id="3">
    <w:p w14:paraId="76017BE4" w14:textId="1CAD48A9" w:rsidR="00367847" w:rsidRPr="00666AD9" w:rsidRDefault="00367847" w:rsidP="00822A98">
      <w:pPr>
        <w:pStyle w:val="FootnoteText"/>
        <w:spacing w:after="120" w:line="240" w:lineRule="exact"/>
        <w:rPr>
          <w:sz w:val="24"/>
          <w:szCs w:val="24"/>
        </w:rPr>
      </w:pPr>
      <w:r w:rsidRPr="00666AD9">
        <w:rPr>
          <w:rStyle w:val="FootnoteReference"/>
          <w:b/>
          <w:bCs/>
          <w:sz w:val="24"/>
          <w:szCs w:val="24"/>
          <w:u w:val="single"/>
        </w:rPr>
        <w:footnoteRef/>
      </w:r>
      <w:r w:rsidRPr="00666AD9">
        <w:rPr>
          <w:sz w:val="24"/>
          <w:szCs w:val="24"/>
        </w:rPr>
        <w:t xml:space="preserve"> </w:t>
      </w:r>
      <w:r w:rsidR="00AC39F4" w:rsidRPr="00666AD9">
        <w:rPr>
          <w:sz w:val="24"/>
          <w:szCs w:val="24"/>
        </w:rPr>
        <w:t xml:space="preserve">See, </w:t>
      </w:r>
      <w:r w:rsidR="00AC39F4" w:rsidRPr="00666AD9">
        <w:rPr>
          <w:i/>
          <w:iCs/>
          <w:sz w:val="24"/>
          <w:szCs w:val="24"/>
        </w:rPr>
        <w:t>Application</w:t>
      </w:r>
      <w:r w:rsidRPr="00666AD9">
        <w:rPr>
          <w:i/>
          <w:iCs/>
          <w:sz w:val="24"/>
          <w:szCs w:val="24"/>
        </w:rPr>
        <w:t xml:space="preserve"> of The Utility Reform Network for Rehearing of Resolution SED-</w:t>
      </w:r>
      <w:r w:rsidRPr="00666AD9">
        <w:rPr>
          <w:sz w:val="24"/>
          <w:szCs w:val="24"/>
        </w:rPr>
        <w:t>5 (Application 22-01-006)</w:t>
      </w:r>
      <w:r w:rsidR="007C5704" w:rsidRPr="00666AD9">
        <w:rPr>
          <w:sz w:val="24"/>
          <w:szCs w:val="24"/>
        </w:rPr>
        <w:t>, filed January 19, 2022</w:t>
      </w:r>
      <w:r w:rsidRPr="00666AD9">
        <w:rPr>
          <w:sz w:val="24"/>
          <w:szCs w:val="24"/>
        </w:rPr>
        <w:t>.</w:t>
      </w:r>
    </w:p>
  </w:footnote>
  <w:footnote w:id="4">
    <w:p w14:paraId="5541084E" w14:textId="3E9A280A" w:rsidR="007C5704" w:rsidRPr="00666AD9" w:rsidRDefault="007C5704" w:rsidP="00822A98">
      <w:pPr>
        <w:pStyle w:val="FootnoteText"/>
        <w:spacing w:after="120" w:line="240" w:lineRule="exact"/>
        <w:rPr>
          <w:sz w:val="24"/>
          <w:szCs w:val="24"/>
        </w:rPr>
      </w:pPr>
      <w:r w:rsidRPr="00666AD9">
        <w:rPr>
          <w:rStyle w:val="FootnoteReference"/>
          <w:b/>
          <w:bCs/>
          <w:sz w:val="24"/>
          <w:szCs w:val="24"/>
          <w:u w:val="single"/>
        </w:rPr>
        <w:footnoteRef/>
      </w:r>
      <w:r w:rsidRPr="00666AD9">
        <w:rPr>
          <w:sz w:val="24"/>
          <w:szCs w:val="24"/>
        </w:rPr>
        <w:t xml:space="preserve"> D.22-04-05</w:t>
      </w:r>
      <w:r w:rsidR="00D41760" w:rsidRPr="00666AD9">
        <w:rPr>
          <w:sz w:val="24"/>
          <w:szCs w:val="24"/>
        </w:rPr>
        <w:t>7</w:t>
      </w:r>
      <w:r w:rsidRPr="00666AD9">
        <w:rPr>
          <w:sz w:val="24"/>
          <w:szCs w:val="24"/>
        </w:rPr>
        <w:t xml:space="preserve"> at </w:t>
      </w:r>
      <w:r w:rsidR="00DD422D" w:rsidRPr="00666AD9">
        <w:rPr>
          <w:sz w:val="24"/>
          <w:szCs w:val="24"/>
        </w:rPr>
        <w:t>2</w:t>
      </w:r>
      <w:r w:rsidRPr="00666AD9">
        <w:rPr>
          <w:sz w:val="24"/>
          <w:szCs w:val="24"/>
        </w:rPr>
        <w:t>-4.</w:t>
      </w:r>
    </w:p>
  </w:footnote>
  <w:footnote w:id="5">
    <w:p w14:paraId="5C783A28" w14:textId="4BCC6050" w:rsidR="00AC39F4" w:rsidRPr="00666AD9" w:rsidRDefault="00AC39F4" w:rsidP="00822A98">
      <w:pPr>
        <w:pStyle w:val="FootnoteText"/>
        <w:spacing w:after="120" w:line="240" w:lineRule="exact"/>
        <w:rPr>
          <w:sz w:val="24"/>
          <w:szCs w:val="24"/>
        </w:rPr>
      </w:pPr>
      <w:r w:rsidRPr="00666AD9">
        <w:rPr>
          <w:rStyle w:val="FootnoteReference"/>
          <w:b/>
          <w:bCs/>
          <w:sz w:val="24"/>
          <w:szCs w:val="24"/>
          <w:u w:val="single"/>
        </w:rPr>
        <w:footnoteRef/>
      </w:r>
      <w:r w:rsidRPr="00666AD9">
        <w:rPr>
          <w:sz w:val="24"/>
          <w:szCs w:val="24"/>
        </w:rPr>
        <w:t xml:space="preserve"> D.22-04-05</w:t>
      </w:r>
      <w:r w:rsidR="00D41760" w:rsidRPr="00666AD9">
        <w:rPr>
          <w:sz w:val="24"/>
          <w:szCs w:val="24"/>
        </w:rPr>
        <w:t>7</w:t>
      </w:r>
      <w:r w:rsidRPr="00666AD9">
        <w:rPr>
          <w:sz w:val="24"/>
          <w:szCs w:val="24"/>
        </w:rPr>
        <w:t xml:space="preserve"> at </w:t>
      </w:r>
      <w:r w:rsidR="00DD422D" w:rsidRPr="00666AD9">
        <w:rPr>
          <w:sz w:val="24"/>
          <w:szCs w:val="24"/>
        </w:rPr>
        <w:t>3</w:t>
      </w:r>
      <w:r w:rsidRPr="00666AD9">
        <w:rPr>
          <w:sz w:val="24"/>
          <w:szCs w:val="24"/>
        </w:rPr>
        <w:t>.</w:t>
      </w:r>
    </w:p>
  </w:footnote>
  <w:footnote w:id="6">
    <w:p w14:paraId="4B026DF1" w14:textId="77777777" w:rsidR="00AC7342" w:rsidRPr="00666AD9" w:rsidRDefault="00AC7342" w:rsidP="00822A98">
      <w:pPr>
        <w:autoSpaceDE w:val="0"/>
        <w:autoSpaceDN w:val="0"/>
        <w:adjustRightInd w:val="0"/>
        <w:spacing w:after="120" w:line="240" w:lineRule="exact"/>
      </w:pPr>
      <w:r w:rsidRPr="00666AD9">
        <w:rPr>
          <w:rStyle w:val="FootnoteReference"/>
          <w:b/>
          <w:bCs/>
          <w:u w:val="single"/>
        </w:rPr>
        <w:footnoteRef/>
      </w:r>
      <w:r w:rsidRPr="00666AD9">
        <w:t xml:space="preserve"> Enforcement Policy at 16.</w:t>
      </w:r>
    </w:p>
  </w:footnote>
  <w:footnote w:id="7">
    <w:p w14:paraId="148B4DC6" w14:textId="77777777" w:rsidR="0087518F" w:rsidRPr="00666AD9" w:rsidRDefault="0087518F" w:rsidP="00822A98">
      <w:pPr>
        <w:pStyle w:val="FootnoteText"/>
        <w:spacing w:after="120" w:line="240" w:lineRule="exact"/>
        <w:rPr>
          <w:sz w:val="24"/>
          <w:szCs w:val="24"/>
        </w:rPr>
      </w:pPr>
      <w:r w:rsidRPr="00666AD9">
        <w:rPr>
          <w:rStyle w:val="FootnoteReference"/>
          <w:b/>
          <w:bCs/>
          <w:sz w:val="24"/>
          <w:szCs w:val="24"/>
          <w:u w:val="single"/>
        </w:rPr>
        <w:footnoteRef/>
      </w:r>
      <w:r w:rsidRPr="00666AD9">
        <w:rPr>
          <w:sz w:val="24"/>
          <w:szCs w:val="24"/>
        </w:rPr>
        <w:t xml:space="preserve"> </w:t>
      </w:r>
      <w:r w:rsidRPr="00666AD9">
        <w:rPr>
          <w:i/>
          <w:iCs/>
          <w:sz w:val="24"/>
          <w:szCs w:val="24"/>
        </w:rPr>
        <w:t>Available at</w:t>
      </w:r>
      <w:r w:rsidRPr="00666AD9">
        <w:rPr>
          <w:sz w:val="24"/>
          <w:szCs w:val="24"/>
        </w:rPr>
        <w:t xml:space="preserve"> </w:t>
      </w:r>
      <w:hyperlink r:id="rId1" w:history="1">
        <w:r w:rsidRPr="00666AD9">
          <w:rPr>
            <w:rStyle w:val="Hyperlink"/>
            <w:sz w:val="24"/>
            <w:szCs w:val="24"/>
          </w:rPr>
          <w:t>https://www.cpuc.ca.gov/industries-and-topics/wildfires/wildfires-staff-investigations</w:t>
        </w:r>
      </w:hyperlink>
      <w:r w:rsidRPr="00666AD9">
        <w:rPr>
          <w:sz w:val="24"/>
          <w:szCs w:val="24"/>
        </w:rPr>
        <w:t>. Those figures do not include damage from debris flows and flooding in Montecito, Santa Barbara County that occurred in January 2018.</w:t>
      </w:r>
    </w:p>
  </w:footnote>
  <w:footnote w:id="8">
    <w:p w14:paraId="46FD12A7" w14:textId="75BD51AD" w:rsidR="00F761CA" w:rsidRPr="00666AD9" w:rsidRDefault="00F761CA" w:rsidP="00822A98">
      <w:pPr>
        <w:pStyle w:val="FootnoteText"/>
        <w:spacing w:after="120" w:line="240" w:lineRule="exact"/>
        <w:rPr>
          <w:sz w:val="24"/>
          <w:szCs w:val="24"/>
        </w:rPr>
      </w:pPr>
      <w:r w:rsidRPr="00666AD9">
        <w:rPr>
          <w:rStyle w:val="FootnoteReference"/>
          <w:b/>
          <w:bCs/>
          <w:sz w:val="24"/>
          <w:szCs w:val="24"/>
          <w:u w:val="single"/>
        </w:rPr>
        <w:footnoteRef/>
      </w:r>
      <w:r w:rsidRPr="00666AD9">
        <w:rPr>
          <w:sz w:val="24"/>
          <w:szCs w:val="24"/>
        </w:rPr>
        <w:t xml:space="preserve"> D.22-04-05</w:t>
      </w:r>
      <w:r w:rsidR="003B09AE" w:rsidRPr="00666AD9">
        <w:rPr>
          <w:sz w:val="24"/>
          <w:szCs w:val="24"/>
        </w:rPr>
        <w:t>7</w:t>
      </w:r>
      <w:r w:rsidRPr="00666AD9">
        <w:rPr>
          <w:sz w:val="24"/>
          <w:szCs w:val="24"/>
        </w:rPr>
        <w:t xml:space="preserve"> mistakenly indicates that “the cause of the wildfire ignition [sic] was undisputed[.]” (D.22-04-05</w:t>
      </w:r>
      <w:r w:rsidR="003B09AE" w:rsidRPr="00666AD9">
        <w:rPr>
          <w:sz w:val="24"/>
          <w:szCs w:val="24"/>
        </w:rPr>
        <w:t>7</w:t>
      </w:r>
      <w:r w:rsidRPr="00666AD9">
        <w:rPr>
          <w:sz w:val="24"/>
          <w:szCs w:val="24"/>
        </w:rPr>
        <w:t>, p. 11.)</w:t>
      </w:r>
      <w:r w:rsidR="00AE394E" w:rsidRPr="00666AD9">
        <w:rPr>
          <w:sz w:val="24"/>
          <w:szCs w:val="24"/>
        </w:rPr>
        <w:t xml:space="preserve"> </w:t>
      </w:r>
      <w:r w:rsidRPr="00666AD9">
        <w:rPr>
          <w:sz w:val="24"/>
          <w:szCs w:val="24"/>
        </w:rPr>
        <w:t>As noted, SCE disputes that its facilities were involved in the Anlauf ignition (Thomas), and no admissions or concessions were made in the ACO with respect to that factual dispute</w:t>
      </w:r>
      <w:r w:rsidR="00D7062F" w:rsidRPr="00666AD9">
        <w:rPr>
          <w:sz w:val="24"/>
          <w:szCs w:val="24"/>
        </w:rPr>
        <w:t>.</w:t>
      </w:r>
    </w:p>
  </w:footnote>
  <w:footnote w:id="9">
    <w:p w14:paraId="00751417" w14:textId="7E1C05A1" w:rsidR="0011188A" w:rsidRPr="00666AD9" w:rsidRDefault="0011188A" w:rsidP="00822A98">
      <w:pPr>
        <w:pStyle w:val="FootnoteText"/>
        <w:spacing w:after="120" w:line="240" w:lineRule="exact"/>
        <w:rPr>
          <w:sz w:val="24"/>
          <w:szCs w:val="24"/>
        </w:rPr>
      </w:pPr>
      <w:r w:rsidRPr="00666AD9">
        <w:rPr>
          <w:rStyle w:val="FootnoteReference"/>
          <w:b/>
          <w:bCs/>
          <w:sz w:val="24"/>
          <w:szCs w:val="24"/>
          <w:u w:val="single"/>
        </w:rPr>
        <w:footnoteRef/>
      </w:r>
      <w:r w:rsidR="00AE394E" w:rsidRPr="00666AD9">
        <w:rPr>
          <w:sz w:val="24"/>
          <w:szCs w:val="24"/>
        </w:rPr>
        <w:t xml:space="preserve"> </w:t>
      </w:r>
      <w:r w:rsidRPr="00666AD9">
        <w:rPr>
          <w:sz w:val="24"/>
          <w:szCs w:val="24"/>
        </w:rPr>
        <w:t>Enforcement Policy at 17.</w:t>
      </w:r>
    </w:p>
  </w:footnote>
  <w:footnote w:id="10">
    <w:p w14:paraId="502E1338" w14:textId="6A8A943C" w:rsidR="00C33846" w:rsidRPr="00666AD9" w:rsidRDefault="00C33846" w:rsidP="00822A98">
      <w:pPr>
        <w:pStyle w:val="FootnoteText"/>
        <w:spacing w:after="120" w:line="240" w:lineRule="exact"/>
        <w:rPr>
          <w:sz w:val="24"/>
          <w:szCs w:val="24"/>
        </w:rPr>
      </w:pPr>
      <w:r w:rsidRPr="00666AD9">
        <w:rPr>
          <w:rStyle w:val="FootnoteReference"/>
          <w:b/>
          <w:bCs/>
          <w:sz w:val="24"/>
          <w:szCs w:val="24"/>
          <w:u w:val="single"/>
        </w:rPr>
        <w:footnoteRef/>
      </w:r>
      <w:r w:rsidR="00AE394E" w:rsidRPr="00666AD9">
        <w:rPr>
          <w:sz w:val="24"/>
          <w:szCs w:val="24"/>
        </w:rPr>
        <w:t xml:space="preserve"> </w:t>
      </w:r>
      <w:r w:rsidRPr="00666AD9">
        <w:rPr>
          <w:sz w:val="24"/>
          <w:szCs w:val="24"/>
        </w:rPr>
        <w:t>Enforcement Policy at 17.</w:t>
      </w:r>
    </w:p>
  </w:footnote>
  <w:footnote w:id="11">
    <w:p w14:paraId="11EA0CA9" w14:textId="2481685F" w:rsidR="00970041" w:rsidRPr="00666AD9" w:rsidRDefault="00970041" w:rsidP="00822A98">
      <w:pPr>
        <w:pStyle w:val="FootnoteText"/>
        <w:spacing w:after="120" w:line="240" w:lineRule="exact"/>
        <w:rPr>
          <w:sz w:val="24"/>
          <w:szCs w:val="24"/>
        </w:rPr>
      </w:pPr>
      <w:r w:rsidRPr="00666AD9">
        <w:rPr>
          <w:rStyle w:val="FootnoteReference"/>
          <w:b/>
          <w:bCs/>
          <w:sz w:val="24"/>
          <w:szCs w:val="24"/>
          <w:u w:val="single"/>
        </w:rPr>
        <w:footnoteRef/>
      </w:r>
      <w:r w:rsidRPr="00666AD9">
        <w:rPr>
          <w:sz w:val="24"/>
          <w:szCs w:val="24"/>
        </w:rPr>
        <w:t xml:space="preserve"> Enforcement Policy at 15.</w:t>
      </w:r>
    </w:p>
  </w:footnote>
  <w:footnote w:id="12">
    <w:p w14:paraId="7751EB44" w14:textId="77777777" w:rsidR="00235D8D" w:rsidRPr="00666AD9" w:rsidRDefault="00235D8D" w:rsidP="00822A98">
      <w:pPr>
        <w:pStyle w:val="FootnoteText"/>
        <w:spacing w:after="120" w:line="240" w:lineRule="exact"/>
        <w:rPr>
          <w:sz w:val="24"/>
          <w:szCs w:val="24"/>
        </w:rPr>
      </w:pPr>
      <w:r w:rsidRPr="00666AD9">
        <w:rPr>
          <w:rStyle w:val="FootnoteReference"/>
          <w:b/>
          <w:bCs/>
          <w:sz w:val="24"/>
          <w:szCs w:val="24"/>
          <w:u w:val="single"/>
        </w:rPr>
        <w:footnoteRef/>
      </w:r>
      <w:r w:rsidRPr="00666AD9">
        <w:rPr>
          <w:sz w:val="24"/>
          <w:szCs w:val="24"/>
        </w:rPr>
        <w:t xml:space="preserve"> Enforcement Policy at 19.</w:t>
      </w:r>
    </w:p>
  </w:footnote>
  <w:footnote w:id="13">
    <w:p w14:paraId="79007C7D" w14:textId="77777777" w:rsidR="008241DC" w:rsidRPr="00666AD9" w:rsidRDefault="008241DC" w:rsidP="00822A98">
      <w:pPr>
        <w:pStyle w:val="FootnoteText"/>
        <w:spacing w:after="120" w:line="240" w:lineRule="exact"/>
        <w:rPr>
          <w:sz w:val="24"/>
          <w:szCs w:val="24"/>
        </w:rPr>
      </w:pPr>
      <w:r w:rsidRPr="00666AD9">
        <w:rPr>
          <w:rStyle w:val="FootnoteReference"/>
          <w:b/>
          <w:bCs/>
          <w:sz w:val="24"/>
          <w:szCs w:val="24"/>
          <w:u w:val="single"/>
        </w:rPr>
        <w:footnoteRef/>
      </w:r>
      <w:r w:rsidRPr="00666AD9">
        <w:rPr>
          <w:sz w:val="24"/>
          <w:szCs w:val="24"/>
        </w:rPr>
        <w:t xml:space="preserve"> Enforcement Policy at 19.</w:t>
      </w:r>
    </w:p>
  </w:footnote>
  <w:footnote w:id="14">
    <w:p w14:paraId="5CDD5615" w14:textId="77777777" w:rsidR="007A1130" w:rsidRPr="00666AD9" w:rsidRDefault="007A1130" w:rsidP="00822A98">
      <w:pPr>
        <w:pStyle w:val="FootnoteText"/>
        <w:spacing w:after="120" w:line="240" w:lineRule="exact"/>
        <w:rPr>
          <w:sz w:val="24"/>
          <w:szCs w:val="24"/>
        </w:rPr>
      </w:pPr>
      <w:r w:rsidRPr="00666AD9">
        <w:rPr>
          <w:rStyle w:val="FootnoteReference"/>
          <w:b/>
          <w:bCs/>
          <w:sz w:val="24"/>
          <w:szCs w:val="24"/>
          <w:u w:val="single"/>
        </w:rPr>
        <w:footnoteRef/>
      </w:r>
      <w:r w:rsidRPr="00666AD9">
        <w:rPr>
          <w:sz w:val="24"/>
          <w:szCs w:val="24"/>
        </w:rPr>
        <w:t xml:space="preserve"> Enforcement Policy at 21.</w:t>
      </w:r>
    </w:p>
  </w:footnote>
  <w:footnote w:id="15">
    <w:p w14:paraId="0EAB8B68" w14:textId="77777777" w:rsidR="00561BB4" w:rsidRPr="00666AD9" w:rsidRDefault="00561BB4" w:rsidP="00146FCF">
      <w:pPr>
        <w:pStyle w:val="FootnoteText"/>
        <w:spacing w:after="120" w:line="240" w:lineRule="exact"/>
        <w:rPr>
          <w:sz w:val="24"/>
          <w:szCs w:val="24"/>
        </w:rPr>
      </w:pPr>
      <w:r w:rsidRPr="00666AD9">
        <w:rPr>
          <w:rStyle w:val="FootnoteReference"/>
          <w:b/>
          <w:bCs/>
          <w:sz w:val="24"/>
          <w:szCs w:val="24"/>
          <w:u w:val="single"/>
        </w:rPr>
        <w:footnoteRef/>
      </w:r>
      <w:r w:rsidRPr="00666AD9">
        <w:rPr>
          <w:sz w:val="24"/>
          <w:szCs w:val="24"/>
        </w:rPr>
        <w:t xml:space="preserve"> Enforcement Policy at 21.</w:t>
      </w:r>
    </w:p>
  </w:footnote>
  <w:footnote w:id="16">
    <w:p w14:paraId="5D9A7D6E" w14:textId="00B0AD24" w:rsidR="009E54B5" w:rsidRPr="00074C3F" w:rsidRDefault="009E54B5" w:rsidP="00146FCF">
      <w:pPr>
        <w:pStyle w:val="FootnoteText"/>
        <w:spacing w:after="120" w:line="240" w:lineRule="exact"/>
        <w:rPr>
          <w:sz w:val="24"/>
          <w:szCs w:val="24"/>
        </w:rPr>
      </w:pPr>
      <w:r w:rsidRPr="00146FCF">
        <w:rPr>
          <w:rStyle w:val="FootnoteReference"/>
          <w:b/>
          <w:bCs/>
          <w:sz w:val="24"/>
          <w:szCs w:val="24"/>
          <w:u w:val="single"/>
        </w:rPr>
        <w:footnoteRef/>
      </w:r>
      <w:r w:rsidRPr="00074C3F">
        <w:rPr>
          <w:sz w:val="24"/>
          <w:szCs w:val="24"/>
        </w:rPr>
        <w:t xml:space="preserve"> TURN Comments at 2-10.  </w:t>
      </w:r>
    </w:p>
  </w:footnote>
  <w:footnote w:id="17">
    <w:p w14:paraId="0831F0BB" w14:textId="4A0F23DE" w:rsidR="009E54B5" w:rsidRPr="00074C3F" w:rsidRDefault="009E54B5" w:rsidP="00146FCF">
      <w:pPr>
        <w:pStyle w:val="FootnoteText"/>
        <w:spacing w:after="120" w:line="240" w:lineRule="exact"/>
        <w:rPr>
          <w:sz w:val="24"/>
          <w:szCs w:val="24"/>
        </w:rPr>
      </w:pPr>
      <w:r w:rsidRPr="00146FCF">
        <w:rPr>
          <w:rStyle w:val="FootnoteReference"/>
          <w:b/>
          <w:bCs/>
          <w:sz w:val="24"/>
          <w:szCs w:val="24"/>
          <w:u w:val="single"/>
        </w:rPr>
        <w:footnoteRef/>
      </w:r>
      <w:r w:rsidRPr="00074C3F">
        <w:rPr>
          <w:sz w:val="24"/>
          <w:szCs w:val="24"/>
        </w:rPr>
        <w:t xml:space="preserve"> TURN Comments at 1.  </w:t>
      </w:r>
    </w:p>
  </w:footnote>
  <w:footnote w:id="18">
    <w:p w14:paraId="10FE59DA" w14:textId="23CFD544" w:rsidR="009E54B5" w:rsidRDefault="009E54B5" w:rsidP="00146FCF">
      <w:pPr>
        <w:pStyle w:val="FootnoteText"/>
        <w:spacing w:after="120" w:line="240" w:lineRule="exact"/>
      </w:pPr>
      <w:r w:rsidRPr="00146FCF">
        <w:rPr>
          <w:rStyle w:val="FootnoteReference"/>
          <w:b/>
          <w:bCs/>
          <w:sz w:val="24"/>
          <w:szCs w:val="24"/>
          <w:u w:val="single"/>
        </w:rPr>
        <w:footnoteRef/>
      </w:r>
      <w:r w:rsidRPr="00074C3F">
        <w:rPr>
          <w:sz w:val="24"/>
          <w:szCs w:val="24"/>
        </w:rPr>
        <w:t xml:space="preserve"> TURN Comments at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3DBB" w14:textId="4D96CF37" w:rsidR="00F1398D" w:rsidRPr="00F1398D" w:rsidRDefault="003B1DBD" w:rsidP="00F1398D">
    <w:pPr>
      <w:pStyle w:val="Header"/>
      <w:tabs>
        <w:tab w:val="clear" w:pos="4320"/>
        <w:tab w:val="clear" w:pos="8640"/>
        <w:tab w:val="left" w:pos="4140"/>
        <w:tab w:val="right" w:pos="9360"/>
      </w:tabs>
      <w:rPr>
        <w:bCs/>
        <w:sz w:val="26"/>
        <w:szCs w:val="26"/>
      </w:rPr>
    </w:pPr>
    <w:r w:rsidRPr="00062D2A">
      <w:rPr>
        <w:sz w:val="26"/>
        <w:szCs w:val="26"/>
      </w:rPr>
      <w:t xml:space="preserve">Resolution </w:t>
    </w:r>
    <w:r w:rsidR="00062D2A" w:rsidRPr="003C7852">
      <w:rPr>
        <w:sz w:val="26"/>
        <w:szCs w:val="26"/>
      </w:rPr>
      <w:t>SED-</w:t>
    </w:r>
    <w:r w:rsidR="00AE2328">
      <w:rPr>
        <w:sz w:val="26"/>
        <w:szCs w:val="26"/>
      </w:rPr>
      <w:t>5A</w:t>
    </w:r>
    <w:r w:rsidRPr="00062D2A">
      <w:rPr>
        <w:sz w:val="26"/>
        <w:szCs w:val="26"/>
      </w:rPr>
      <w:tab/>
    </w:r>
    <w:r w:rsidRPr="00062D2A">
      <w:rPr>
        <w:b/>
        <w:sz w:val="26"/>
        <w:szCs w:val="26"/>
      </w:rPr>
      <w:t>DRAFT</w:t>
    </w:r>
    <w:r w:rsidR="00A647B5" w:rsidRPr="00062D2A">
      <w:rPr>
        <w:b/>
        <w:sz w:val="26"/>
        <w:szCs w:val="26"/>
      </w:rPr>
      <w:tab/>
    </w:r>
    <w:r w:rsidR="00F1398D" w:rsidRPr="00F1398D">
      <w:rPr>
        <w:bCs/>
        <w:sz w:val="26"/>
        <w:szCs w:val="26"/>
      </w:rPr>
      <w:t>July 14, 2022</w:t>
    </w:r>
  </w:p>
  <w:p w14:paraId="14C439C2" w14:textId="42F472CF" w:rsidR="003B1DBD" w:rsidRDefault="00062D2A" w:rsidP="00F1398D">
    <w:pPr>
      <w:pStyle w:val="Header"/>
      <w:tabs>
        <w:tab w:val="clear" w:pos="4320"/>
        <w:tab w:val="clear" w:pos="8640"/>
        <w:tab w:val="left" w:pos="4140"/>
        <w:tab w:val="right" w:pos="9360"/>
      </w:tabs>
      <w:rPr>
        <w:sz w:val="26"/>
        <w:szCs w:val="26"/>
      </w:rPr>
    </w:pPr>
    <w:r w:rsidRPr="00062D2A">
      <w:rPr>
        <w:sz w:val="26"/>
        <w:szCs w:val="26"/>
      </w:rPr>
      <w:t>SED</w:t>
    </w:r>
    <w:r w:rsidR="003B1DBD" w:rsidRPr="00062D2A">
      <w:rPr>
        <w:sz w:val="26"/>
        <w:szCs w:val="26"/>
      </w:rPr>
      <w:t>/</w:t>
    </w:r>
    <w:r w:rsidR="00AE2328">
      <w:rPr>
        <w:sz w:val="26"/>
        <w:szCs w:val="26"/>
      </w:rPr>
      <w:t>MAP</w:t>
    </w:r>
  </w:p>
  <w:p w14:paraId="36E55122" w14:textId="77777777" w:rsidR="00F1398D" w:rsidRPr="00062D2A" w:rsidRDefault="00F1398D" w:rsidP="00F1398D">
    <w:pPr>
      <w:pStyle w:val="Header"/>
      <w:tabs>
        <w:tab w:val="clear" w:pos="4320"/>
        <w:tab w:val="clear" w:pos="8640"/>
        <w:tab w:val="left" w:pos="4140"/>
        <w:tab w:val="right" w:pos="9360"/>
      </w:tabs>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D610C" w14:textId="12F77736" w:rsidR="00FD6D6B" w:rsidRPr="00062D2A" w:rsidRDefault="00FD6D6B" w:rsidP="00FD6D6B">
    <w:pPr>
      <w:pStyle w:val="Header"/>
      <w:tabs>
        <w:tab w:val="clear" w:pos="4320"/>
        <w:tab w:val="clear" w:pos="8640"/>
        <w:tab w:val="left" w:pos="4140"/>
        <w:tab w:val="right" w:pos="9360"/>
      </w:tabs>
      <w:rPr>
        <w:sz w:val="26"/>
        <w:szCs w:val="26"/>
      </w:rPr>
    </w:pPr>
    <w:r w:rsidRPr="00062D2A">
      <w:rPr>
        <w:sz w:val="26"/>
        <w:szCs w:val="26"/>
      </w:rPr>
      <w:t xml:space="preserve">Resolution </w:t>
    </w:r>
    <w:r w:rsidR="00A655F7" w:rsidRPr="00743D12">
      <w:rPr>
        <w:sz w:val="26"/>
        <w:szCs w:val="26"/>
      </w:rPr>
      <w:t>SED-</w:t>
    </w:r>
    <w:r w:rsidR="005C27CC">
      <w:rPr>
        <w:sz w:val="26"/>
        <w:szCs w:val="26"/>
      </w:rPr>
      <w:t>5</w:t>
    </w:r>
    <w:r w:rsidR="00361DB4">
      <w:rPr>
        <w:sz w:val="26"/>
        <w:szCs w:val="26"/>
      </w:rPr>
      <w:t>A</w:t>
    </w:r>
    <w:r w:rsidRPr="00062D2A">
      <w:rPr>
        <w:sz w:val="26"/>
        <w:szCs w:val="26"/>
      </w:rPr>
      <w:tab/>
    </w:r>
    <w:r w:rsidRPr="00062D2A">
      <w:rPr>
        <w:b/>
        <w:sz w:val="26"/>
        <w:szCs w:val="26"/>
      </w:rPr>
      <w:t>DRAFT</w:t>
    </w:r>
    <w:r w:rsidRPr="00062D2A">
      <w:rPr>
        <w:b/>
        <w:sz w:val="26"/>
        <w:szCs w:val="26"/>
      </w:rPr>
      <w:tab/>
    </w:r>
    <w:r w:rsidR="00CC50BB" w:rsidRPr="006B3188">
      <w:rPr>
        <w:sz w:val="28"/>
        <w:szCs w:val="28"/>
      </w:rPr>
      <w:t xml:space="preserve">Item </w:t>
    </w:r>
    <w:r w:rsidR="007B47FD">
      <w:rPr>
        <w:sz w:val="28"/>
        <w:szCs w:val="28"/>
      </w:rPr>
      <w:t>8</w:t>
    </w:r>
    <w:r w:rsidR="00CC50BB" w:rsidRPr="006B3188">
      <w:rPr>
        <w:sz w:val="28"/>
        <w:szCs w:val="28"/>
      </w:rPr>
      <w:t xml:space="preserve"> (Agenda #</w:t>
    </w:r>
    <w:r w:rsidR="00CC50BB">
      <w:rPr>
        <w:sz w:val="28"/>
        <w:szCs w:val="28"/>
      </w:rPr>
      <w:t xml:space="preserve"> </w:t>
    </w:r>
    <w:r w:rsidR="00F1398D">
      <w:rPr>
        <w:sz w:val="28"/>
        <w:szCs w:val="28"/>
      </w:rPr>
      <w:t>20702</w:t>
    </w:r>
    <w:r w:rsidR="00CC50BB" w:rsidRPr="006B3188">
      <w:rPr>
        <w:sz w:val="28"/>
        <w:szCs w:val="28"/>
      </w:rPr>
      <w:t>)</w:t>
    </w:r>
  </w:p>
  <w:p w14:paraId="42A60AC3" w14:textId="7EA4C69A" w:rsidR="0078344D" w:rsidRDefault="00A655F7" w:rsidP="00F1398D">
    <w:pPr>
      <w:pStyle w:val="Header"/>
      <w:tabs>
        <w:tab w:val="clear" w:pos="8640"/>
        <w:tab w:val="right" w:pos="9360"/>
      </w:tabs>
      <w:rPr>
        <w:sz w:val="26"/>
        <w:szCs w:val="26"/>
      </w:rPr>
    </w:pPr>
    <w:r w:rsidRPr="00062D2A">
      <w:rPr>
        <w:sz w:val="26"/>
        <w:szCs w:val="26"/>
      </w:rPr>
      <w:t>SED</w:t>
    </w:r>
    <w:r w:rsidR="00FD6D6B" w:rsidRPr="00062D2A">
      <w:rPr>
        <w:sz w:val="26"/>
        <w:szCs w:val="26"/>
      </w:rPr>
      <w:t>/</w:t>
    </w:r>
    <w:r w:rsidR="00AE2328">
      <w:rPr>
        <w:sz w:val="26"/>
        <w:szCs w:val="26"/>
      </w:rPr>
      <w:t>MAP</w:t>
    </w:r>
    <w:r w:rsidR="00FD6D6B" w:rsidRPr="00062D2A">
      <w:rPr>
        <w:sz w:val="26"/>
        <w:szCs w:val="26"/>
      </w:rPr>
      <w:tab/>
    </w:r>
    <w:r w:rsidR="00FD6D6B" w:rsidRPr="00062D2A">
      <w:rPr>
        <w:sz w:val="26"/>
        <w:szCs w:val="26"/>
      </w:rPr>
      <w:tab/>
    </w:r>
    <w:r w:rsidR="00F1398D">
      <w:rPr>
        <w:sz w:val="26"/>
        <w:szCs w:val="26"/>
      </w:rPr>
      <w:t>July 14, 2022</w:t>
    </w:r>
  </w:p>
  <w:p w14:paraId="1263F32A" w14:textId="7228F6DA" w:rsidR="00F1398D" w:rsidRDefault="007B47FD" w:rsidP="007B47FD">
    <w:pPr>
      <w:pStyle w:val="Header"/>
      <w:tabs>
        <w:tab w:val="clear" w:pos="8640"/>
        <w:tab w:val="right" w:pos="9360"/>
      </w:tabs>
      <w:jc w:val="right"/>
      <w:rPr>
        <w:sz w:val="26"/>
        <w:szCs w:val="26"/>
      </w:rPr>
    </w:pPr>
    <w:r>
      <w:rPr>
        <w:sz w:val="26"/>
        <w:szCs w:val="26"/>
      </w:rPr>
      <w:t>(Rev. 1)</w:t>
    </w:r>
  </w:p>
  <w:p w14:paraId="289301D5" w14:textId="77777777" w:rsidR="007B47FD" w:rsidRPr="00062D2A" w:rsidRDefault="007B47FD" w:rsidP="007B47FD">
    <w:pPr>
      <w:pStyle w:val="Header"/>
      <w:tabs>
        <w:tab w:val="clear" w:pos="8640"/>
        <w:tab w:val="right" w:pos="9360"/>
      </w:tab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FC8"/>
    <w:multiLevelType w:val="hybridMultilevel"/>
    <w:tmpl w:val="F89C208E"/>
    <w:lvl w:ilvl="0" w:tplc="3A12149C">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211AEE"/>
    <w:multiLevelType w:val="hybridMultilevel"/>
    <w:tmpl w:val="D0CEE69C"/>
    <w:lvl w:ilvl="0" w:tplc="F44C94EC">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101D5D12"/>
    <w:multiLevelType w:val="hybridMultilevel"/>
    <w:tmpl w:val="1C6E08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C07052"/>
    <w:multiLevelType w:val="hybridMultilevel"/>
    <w:tmpl w:val="992A8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534A8"/>
    <w:multiLevelType w:val="hybridMultilevel"/>
    <w:tmpl w:val="81FC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81ED0"/>
    <w:multiLevelType w:val="hybridMultilevel"/>
    <w:tmpl w:val="24CC1068"/>
    <w:lvl w:ilvl="0" w:tplc="0D7E0878">
      <w:start w:val="2"/>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56117A"/>
    <w:multiLevelType w:val="hybridMultilevel"/>
    <w:tmpl w:val="628E3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3E645B"/>
    <w:multiLevelType w:val="hybridMultilevel"/>
    <w:tmpl w:val="1746585C"/>
    <w:lvl w:ilvl="0" w:tplc="D9BA4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AD5C9C"/>
    <w:multiLevelType w:val="hybridMultilevel"/>
    <w:tmpl w:val="2180AC84"/>
    <w:lvl w:ilvl="0" w:tplc="496E4E4E">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84469"/>
    <w:multiLevelType w:val="hybridMultilevel"/>
    <w:tmpl w:val="1C6E0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77945"/>
    <w:multiLevelType w:val="hybridMultilevel"/>
    <w:tmpl w:val="2BFE11B0"/>
    <w:lvl w:ilvl="0" w:tplc="9938A792">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4377780E"/>
    <w:multiLevelType w:val="hybridMultilevel"/>
    <w:tmpl w:val="185CD0C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FF28E1"/>
    <w:multiLevelType w:val="multilevel"/>
    <w:tmpl w:val="F8D0CA76"/>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3" w15:restartNumberingAfterBreak="0">
    <w:nsid w:val="50A9243D"/>
    <w:multiLevelType w:val="hybridMultilevel"/>
    <w:tmpl w:val="1C6E08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946933"/>
    <w:multiLevelType w:val="hybridMultilevel"/>
    <w:tmpl w:val="828C99DE"/>
    <w:lvl w:ilvl="0" w:tplc="38F6B6FE">
      <w:start w:val="1"/>
      <w:numFmt w:val="upperRoman"/>
      <w:lvlText w:val="%1."/>
      <w:lvlJc w:val="left"/>
      <w:pPr>
        <w:ind w:left="1440" w:hanging="720"/>
      </w:pPr>
      <w:rPr>
        <w:rFonts w:hint="default"/>
      </w:rPr>
    </w:lvl>
    <w:lvl w:ilvl="1" w:tplc="77DC9A8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BC62C1"/>
    <w:multiLevelType w:val="hybridMultilevel"/>
    <w:tmpl w:val="A43C32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6879009">
    <w:abstractNumId w:val="10"/>
  </w:num>
  <w:num w:numId="2" w16cid:durableId="1219706518">
    <w:abstractNumId w:val="1"/>
  </w:num>
  <w:num w:numId="3" w16cid:durableId="284966675">
    <w:abstractNumId w:val="3"/>
  </w:num>
  <w:num w:numId="4" w16cid:durableId="1846944405">
    <w:abstractNumId w:val="15"/>
  </w:num>
  <w:num w:numId="5" w16cid:durableId="457529243">
    <w:abstractNumId w:val="8"/>
  </w:num>
  <w:num w:numId="6" w16cid:durableId="426582458">
    <w:abstractNumId w:val="14"/>
  </w:num>
  <w:num w:numId="7" w16cid:durableId="817915790">
    <w:abstractNumId w:val="9"/>
  </w:num>
  <w:num w:numId="8" w16cid:durableId="1996251879">
    <w:abstractNumId w:val="13"/>
  </w:num>
  <w:num w:numId="9" w16cid:durableId="1474909173">
    <w:abstractNumId w:val="6"/>
  </w:num>
  <w:num w:numId="10" w16cid:durableId="1392968818">
    <w:abstractNumId w:val="11"/>
  </w:num>
  <w:num w:numId="11" w16cid:durableId="1145662514">
    <w:abstractNumId w:val="2"/>
  </w:num>
  <w:num w:numId="12" w16cid:durableId="1071654034">
    <w:abstractNumId w:val="4"/>
  </w:num>
  <w:num w:numId="13" w16cid:durableId="337004270">
    <w:abstractNumId w:val="12"/>
  </w:num>
  <w:num w:numId="14" w16cid:durableId="1116096175">
    <w:abstractNumId w:val="12"/>
  </w:num>
  <w:num w:numId="15" w16cid:durableId="337585924">
    <w:abstractNumId w:val="7"/>
  </w:num>
  <w:num w:numId="16" w16cid:durableId="986862483">
    <w:abstractNumId w:val="5"/>
  </w:num>
  <w:num w:numId="17" w16cid:durableId="469638940">
    <w:abstractNumId w:val="0"/>
  </w:num>
  <w:num w:numId="18" w16cid:durableId="990328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BD"/>
    <w:rsid w:val="000022C9"/>
    <w:rsid w:val="00002676"/>
    <w:rsid w:val="00003B52"/>
    <w:rsid w:val="0000410B"/>
    <w:rsid w:val="00005A55"/>
    <w:rsid w:val="00013029"/>
    <w:rsid w:val="00013DE0"/>
    <w:rsid w:val="00014683"/>
    <w:rsid w:val="000156EC"/>
    <w:rsid w:val="0001742D"/>
    <w:rsid w:val="00021C9C"/>
    <w:rsid w:val="00021D1D"/>
    <w:rsid w:val="00023A7C"/>
    <w:rsid w:val="00024AFF"/>
    <w:rsid w:val="000279D2"/>
    <w:rsid w:val="00033467"/>
    <w:rsid w:val="00034A31"/>
    <w:rsid w:val="000405FD"/>
    <w:rsid w:val="00040C47"/>
    <w:rsid w:val="0004177E"/>
    <w:rsid w:val="00042335"/>
    <w:rsid w:val="00045062"/>
    <w:rsid w:val="000462B4"/>
    <w:rsid w:val="000559CD"/>
    <w:rsid w:val="00055A75"/>
    <w:rsid w:val="0006023A"/>
    <w:rsid w:val="00061C68"/>
    <w:rsid w:val="00062D2A"/>
    <w:rsid w:val="0006338B"/>
    <w:rsid w:val="00063659"/>
    <w:rsid w:val="00065CA3"/>
    <w:rsid w:val="00066B61"/>
    <w:rsid w:val="00067039"/>
    <w:rsid w:val="00067468"/>
    <w:rsid w:val="0007379A"/>
    <w:rsid w:val="00073EC5"/>
    <w:rsid w:val="00074C3F"/>
    <w:rsid w:val="00075B1E"/>
    <w:rsid w:val="00075FA1"/>
    <w:rsid w:val="00076162"/>
    <w:rsid w:val="00076B51"/>
    <w:rsid w:val="000771CB"/>
    <w:rsid w:val="00077CEE"/>
    <w:rsid w:val="000800CC"/>
    <w:rsid w:val="00082101"/>
    <w:rsid w:val="000825A6"/>
    <w:rsid w:val="000827F0"/>
    <w:rsid w:val="00084C73"/>
    <w:rsid w:val="00084CAE"/>
    <w:rsid w:val="00085712"/>
    <w:rsid w:val="000859EC"/>
    <w:rsid w:val="00087431"/>
    <w:rsid w:val="00087AFA"/>
    <w:rsid w:val="000908A7"/>
    <w:rsid w:val="00092868"/>
    <w:rsid w:val="00092F18"/>
    <w:rsid w:val="000A059A"/>
    <w:rsid w:val="000A08C2"/>
    <w:rsid w:val="000A1D9F"/>
    <w:rsid w:val="000A2836"/>
    <w:rsid w:val="000A77DF"/>
    <w:rsid w:val="000B1EDE"/>
    <w:rsid w:val="000B4D28"/>
    <w:rsid w:val="000B57FA"/>
    <w:rsid w:val="000B5A0D"/>
    <w:rsid w:val="000B7070"/>
    <w:rsid w:val="000C0B92"/>
    <w:rsid w:val="000C0BC3"/>
    <w:rsid w:val="000C2156"/>
    <w:rsid w:val="000C2EB3"/>
    <w:rsid w:val="000C2FAB"/>
    <w:rsid w:val="000C5A72"/>
    <w:rsid w:val="000C6055"/>
    <w:rsid w:val="000C661F"/>
    <w:rsid w:val="000C70EF"/>
    <w:rsid w:val="000D0B12"/>
    <w:rsid w:val="000D11CA"/>
    <w:rsid w:val="000D1240"/>
    <w:rsid w:val="000D1C66"/>
    <w:rsid w:val="000D2598"/>
    <w:rsid w:val="000D3FFD"/>
    <w:rsid w:val="000D4A96"/>
    <w:rsid w:val="000D4F2C"/>
    <w:rsid w:val="000D55C3"/>
    <w:rsid w:val="000E0402"/>
    <w:rsid w:val="000E0614"/>
    <w:rsid w:val="000E3EDA"/>
    <w:rsid w:val="000E4644"/>
    <w:rsid w:val="000E75B5"/>
    <w:rsid w:val="000F0161"/>
    <w:rsid w:val="000F11B6"/>
    <w:rsid w:val="000F32F8"/>
    <w:rsid w:val="000F5608"/>
    <w:rsid w:val="0010055A"/>
    <w:rsid w:val="00100C10"/>
    <w:rsid w:val="00100C5F"/>
    <w:rsid w:val="0010138B"/>
    <w:rsid w:val="00102405"/>
    <w:rsid w:val="001028A2"/>
    <w:rsid w:val="00103570"/>
    <w:rsid w:val="0010358E"/>
    <w:rsid w:val="00104186"/>
    <w:rsid w:val="001068C0"/>
    <w:rsid w:val="00110237"/>
    <w:rsid w:val="001103AD"/>
    <w:rsid w:val="00110B18"/>
    <w:rsid w:val="00110B51"/>
    <w:rsid w:val="00110BE0"/>
    <w:rsid w:val="0011188A"/>
    <w:rsid w:val="00113B18"/>
    <w:rsid w:val="00116F74"/>
    <w:rsid w:val="00117B3E"/>
    <w:rsid w:val="00117ED0"/>
    <w:rsid w:val="001201C6"/>
    <w:rsid w:val="00121866"/>
    <w:rsid w:val="001222D7"/>
    <w:rsid w:val="001229E3"/>
    <w:rsid w:val="00122E8D"/>
    <w:rsid w:val="00123C34"/>
    <w:rsid w:val="001246D2"/>
    <w:rsid w:val="00125853"/>
    <w:rsid w:val="001269A2"/>
    <w:rsid w:val="001269D6"/>
    <w:rsid w:val="001273CE"/>
    <w:rsid w:val="001276D7"/>
    <w:rsid w:val="001305B0"/>
    <w:rsid w:val="00131E3C"/>
    <w:rsid w:val="00131F8D"/>
    <w:rsid w:val="00135FA2"/>
    <w:rsid w:val="00140B72"/>
    <w:rsid w:val="00143642"/>
    <w:rsid w:val="00143BFA"/>
    <w:rsid w:val="0014653E"/>
    <w:rsid w:val="00146E26"/>
    <w:rsid w:val="00146F8B"/>
    <w:rsid w:val="00146FCF"/>
    <w:rsid w:val="00153665"/>
    <w:rsid w:val="001566BE"/>
    <w:rsid w:val="0015670C"/>
    <w:rsid w:val="001618B7"/>
    <w:rsid w:val="001629FA"/>
    <w:rsid w:val="00162B96"/>
    <w:rsid w:val="00163250"/>
    <w:rsid w:val="001640E9"/>
    <w:rsid w:val="001643B2"/>
    <w:rsid w:val="001662FB"/>
    <w:rsid w:val="00167A40"/>
    <w:rsid w:val="001716EC"/>
    <w:rsid w:val="00174A2A"/>
    <w:rsid w:val="001766F3"/>
    <w:rsid w:val="00181A72"/>
    <w:rsid w:val="00182DB2"/>
    <w:rsid w:val="00182EBA"/>
    <w:rsid w:val="00184806"/>
    <w:rsid w:val="00185A5C"/>
    <w:rsid w:val="00185DF6"/>
    <w:rsid w:val="00190B50"/>
    <w:rsid w:val="00192D5B"/>
    <w:rsid w:val="00193202"/>
    <w:rsid w:val="00193448"/>
    <w:rsid w:val="00193DF5"/>
    <w:rsid w:val="00197F25"/>
    <w:rsid w:val="001A0518"/>
    <w:rsid w:val="001A1B03"/>
    <w:rsid w:val="001A1E18"/>
    <w:rsid w:val="001A3951"/>
    <w:rsid w:val="001A57F1"/>
    <w:rsid w:val="001A62D9"/>
    <w:rsid w:val="001A6DE6"/>
    <w:rsid w:val="001B11E8"/>
    <w:rsid w:val="001B2F83"/>
    <w:rsid w:val="001B3E27"/>
    <w:rsid w:val="001B60C6"/>
    <w:rsid w:val="001C070D"/>
    <w:rsid w:val="001C26D0"/>
    <w:rsid w:val="001C306E"/>
    <w:rsid w:val="001C44DB"/>
    <w:rsid w:val="001D0707"/>
    <w:rsid w:val="001D1AFD"/>
    <w:rsid w:val="001D44F7"/>
    <w:rsid w:val="001D4A9D"/>
    <w:rsid w:val="001D4D97"/>
    <w:rsid w:val="001D5232"/>
    <w:rsid w:val="001D68DB"/>
    <w:rsid w:val="001E03B0"/>
    <w:rsid w:val="001E2105"/>
    <w:rsid w:val="001E3DF2"/>
    <w:rsid w:val="001E5083"/>
    <w:rsid w:val="001E703C"/>
    <w:rsid w:val="001F1A0F"/>
    <w:rsid w:val="001F48E8"/>
    <w:rsid w:val="001F4906"/>
    <w:rsid w:val="001F6737"/>
    <w:rsid w:val="002012B2"/>
    <w:rsid w:val="00201DE8"/>
    <w:rsid w:val="00202B68"/>
    <w:rsid w:val="0020535F"/>
    <w:rsid w:val="00206249"/>
    <w:rsid w:val="00207E5D"/>
    <w:rsid w:val="002103DF"/>
    <w:rsid w:val="00211DF2"/>
    <w:rsid w:val="002134F3"/>
    <w:rsid w:val="00214D4D"/>
    <w:rsid w:val="002156E5"/>
    <w:rsid w:val="00216FE5"/>
    <w:rsid w:val="00217FDE"/>
    <w:rsid w:val="002207C0"/>
    <w:rsid w:val="002215CC"/>
    <w:rsid w:val="0022674E"/>
    <w:rsid w:val="00226EED"/>
    <w:rsid w:val="00232130"/>
    <w:rsid w:val="00232764"/>
    <w:rsid w:val="00232FDE"/>
    <w:rsid w:val="002352F2"/>
    <w:rsid w:val="0023576C"/>
    <w:rsid w:val="00235D8D"/>
    <w:rsid w:val="00237742"/>
    <w:rsid w:val="00242C36"/>
    <w:rsid w:val="00244AAB"/>
    <w:rsid w:val="00244B94"/>
    <w:rsid w:val="00247D33"/>
    <w:rsid w:val="00251BF9"/>
    <w:rsid w:val="00251C41"/>
    <w:rsid w:val="00253DE6"/>
    <w:rsid w:val="00253F1A"/>
    <w:rsid w:val="00254648"/>
    <w:rsid w:val="00255A75"/>
    <w:rsid w:val="0026237F"/>
    <w:rsid w:val="00263A77"/>
    <w:rsid w:val="00264221"/>
    <w:rsid w:val="0026422F"/>
    <w:rsid w:val="00264D75"/>
    <w:rsid w:val="00264E2F"/>
    <w:rsid w:val="0026641C"/>
    <w:rsid w:val="00266D56"/>
    <w:rsid w:val="002672FD"/>
    <w:rsid w:val="002677E7"/>
    <w:rsid w:val="00270458"/>
    <w:rsid w:val="00270E32"/>
    <w:rsid w:val="002728A7"/>
    <w:rsid w:val="00272CF9"/>
    <w:rsid w:val="00274665"/>
    <w:rsid w:val="0028078D"/>
    <w:rsid w:val="002810E1"/>
    <w:rsid w:val="00282263"/>
    <w:rsid w:val="00282D23"/>
    <w:rsid w:val="00283CB9"/>
    <w:rsid w:val="00286995"/>
    <w:rsid w:val="002918EE"/>
    <w:rsid w:val="00291E92"/>
    <w:rsid w:val="00294495"/>
    <w:rsid w:val="00294E33"/>
    <w:rsid w:val="002965F6"/>
    <w:rsid w:val="00296AA4"/>
    <w:rsid w:val="00296B11"/>
    <w:rsid w:val="002A2154"/>
    <w:rsid w:val="002A3AE9"/>
    <w:rsid w:val="002A59E5"/>
    <w:rsid w:val="002A6A19"/>
    <w:rsid w:val="002A77D8"/>
    <w:rsid w:val="002A7D53"/>
    <w:rsid w:val="002B0A85"/>
    <w:rsid w:val="002B0E96"/>
    <w:rsid w:val="002B1B55"/>
    <w:rsid w:val="002B4810"/>
    <w:rsid w:val="002B6AD7"/>
    <w:rsid w:val="002C051F"/>
    <w:rsid w:val="002C1CB2"/>
    <w:rsid w:val="002C2D22"/>
    <w:rsid w:val="002C30BA"/>
    <w:rsid w:val="002C3563"/>
    <w:rsid w:val="002C4017"/>
    <w:rsid w:val="002C5C4D"/>
    <w:rsid w:val="002C6527"/>
    <w:rsid w:val="002C69FE"/>
    <w:rsid w:val="002D10C7"/>
    <w:rsid w:val="002D1F69"/>
    <w:rsid w:val="002D3441"/>
    <w:rsid w:val="002D59C6"/>
    <w:rsid w:val="002D5B98"/>
    <w:rsid w:val="002D6FB4"/>
    <w:rsid w:val="002E1C8A"/>
    <w:rsid w:val="002E3409"/>
    <w:rsid w:val="002E4377"/>
    <w:rsid w:val="002E600A"/>
    <w:rsid w:val="002E669B"/>
    <w:rsid w:val="002E76AF"/>
    <w:rsid w:val="002F0E02"/>
    <w:rsid w:val="002F0E17"/>
    <w:rsid w:val="002F28FD"/>
    <w:rsid w:val="002F36D7"/>
    <w:rsid w:val="002F4305"/>
    <w:rsid w:val="002F6439"/>
    <w:rsid w:val="002F68C0"/>
    <w:rsid w:val="002F6CEC"/>
    <w:rsid w:val="002F7682"/>
    <w:rsid w:val="00303916"/>
    <w:rsid w:val="003044BB"/>
    <w:rsid w:val="00305CEA"/>
    <w:rsid w:val="00306FC6"/>
    <w:rsid w:val="00307160"/>
    <w:rsid w:val="0030733F"/>
    <w:rsid w:val="00307C38"/>
    <w:rsid w:val="0031182A"/>
    <w:rsid w:val="00311E0E"/>
    <w:rsid w:val="003135A8"/>
    <w:rsid w:val="003141C7"/>
    <w:rsid w:val="00314C76"/>
    <w:rsid w:val="00315A2D"/>
    <w:rsid w:val="0031763D"/>
    <w:rsid w:val="0032025F"/>
    <w:rsid w:val="00320809"/>
    <w:rsid w:val="00320F01"/>
    <w:rsid w:val="00322839"/>
    <w:rsid w:val="00325D76"/>
    <w:rsid w:val="0033198F"/>
    <w:rsid w:val="00332E3F"/>
    <w:rsid w:val="00333131"/>
    <w:rsid w:val="00333133"/>
    <w:rsid w:val="00333AC3"/>
    <w:rsid w:val="003351B8"/>
    <w:rsid w:val="00335508"/>
    <w:rsid w:val="0033784B"/>
    <w:rsid w:val="00337AAE"/>
    <w:rsid w:val="003425B6"/>
    <w:rsid w:val="00343BA7"/>
    <w:rsid w:val="00344784"/>
    <w:rsid w:val="00353776"/>
    <w:rsid w:val="003617FD"/>
    <w:rsid w:val="00361DB4"/>
    <w:rsid w:val="0036307D"/>
    <w:rsid w:val="00364C3F"/>
    <w:rsid w:val="00364CDC"/>
    <w:rsid w:val="00365860"/>
    <w:rsid w:val="00365E36"/>
    <w:rsid w:val="00367847"/>
    <w:rsid w:val="003762B7"/>
    <w:rsid w:val="00377A83"/>
    <w:rsid w:val="00377CE8"/>
    <w:rsid w:val="00381DF2"/>
    <w:rsid w:val="0038405A"/>
    <w:rsid w:val="003841F1"/>
    <w:rsid w:val="00384E20"/>
    <w:rsid w:val="0038504D"/>
    <w:rsid w:val="00385735"/>
    <w:rsid w:val="0038649F"/>
    <w:rsid w:val="00386614"/>
    <w:rsid w:val="003866DA"/>
    <w:rsid w:val="00387997"/>
    <w:rsid w:val="00392B8A"/>
    <w:rsid w:val="00393248"/>
    <w:rsid w:val="00394ACC"/>
    <w:rsid w:val="00394E67"/>
    <w:rsid w:val="0039669C"/>
    <w:rsid w:val="003A0BC6"/>
    <w:rsid w:val="003A1AF8"/>
    <w:rsid w:val="003A3CF3"/>
    <w:rsid w:val="003A4A78"/>
    <w:rsid w:val="003A5008"/>
    <w:rsid w:val="003A55F7"/>
    <w:rsid w:val="003A5CB0"/>
    <w:rsid w:val="003A6C2D"/>
    <w:rsid w:val="003B09AE"/>
    <w:rsid w:val="003B19EF"/>
    <w:rsid w:val="003B1DBD"/>
    <w:rsid w:val="003B2A63"/>
    <w:rsid w:val="003B4995"/>
    <w:rsid w:val="003B642F"/>
    <w:rsid w:val="003B6639"/>
    <w:rsid w:val="003B69FE"/>
    <w:rsid w:val="003C2281"/>
    <w:rsid w:val="003C2CC6"/>
    <w:rsid w:val="003C4421"/>
    <w:rsid w:val="003C51A5"/>
    <w:rsid w:val="003C6FB3"/>
    <w:rsid w:val="003C72B5"/>
    <w:rsid w:val="003C7852"/>
    <w:rsid w:val="003D08E5"/>
    <w:rsid w:val="003D16A6"/>
    <w:rsid w:val="003D17C3"/>
    <w:rsid w:val="003D1AE5"/>
    <w:rsid w:val="003D3157"/>
    <w:rsid w:val="003D41C5"/>
    <w:rsid w:val="003D519C"/>
    <w:rsid w:val="003D6CA2"/>
    <w:rsid w:val="003D7151"/>
    <w:rsid w:val="003D7807"/>
    <w:rsid w:val="003D78D6"/>
    <w:rsid w:val="003D7FB4"/>
    <w:rsid w:val="003E0382"/>
    <w:rsid w:val="003E17DC"/>
    <w:rsid w:val="003E25B8"/>
    <w:rsid w:val="003E3266"/>
    <w:rsid w:val="003E3F4C"/>
    <w:rsid w:val="003E63D3"/>
    <w:rsid w:val="003E6A68"/>
    <w:rsid w:val="003E7A0E"/>
    <w:rsid w:val="003F32B9"/>
    <w:rsid w:val="003F33C2"/>
    <w:rsid w:val="003F6369"/>
    <w:rsid w:val="003F726F"/>
    <w:rsid w:val="00401BE8"/>
    <w:rsid w:val="00401CF4"/>
    <w:rsid w:val="00403EA9"/>
    <w:rsid w:val="004049C6"/>
    <w:rsid w:val="0040641C"/>
    <w:rsid w:val="0040671E"/>
    <w:rsid w:val="004071F9"/>
    <w:rsid w:val="0040798B"/>
    <w:rsid w:val="00410CD8"/>
    <w:rsid w:val="00412F0C"/>
    <w:rsid w:val="00413F83"/>
    <w:rsid w:val="00414329"/>
    <w:rsid w:val="00416BCE"/>
    <w:rsid w:val="004208A4"/>
    <w:rsid w:val="00423CB6"/>
    <w:rsid w:val="00426552"/>
    <w:rsid w:val="00430F6B"/>
    <w:rsid w:val="004313BE"/>
    <w:rsid w:val="00431E97"/>
    <w:rsid w:val="00432E27"/>
    <w:rsid w:val="00434E31"/>
    <w:rsid w:val="00434F84"/>
    <w:rsid w:val="00436872"/>
    <w:rsid w:val="00437A54"/>
    <w:rsid w:val="004405C8"/>
    <w:rsid w:val="004408C6"/>
    <w:rsid w:val="00441080"/>
    <w:rsid w:val="00442E54"/>
    <w:rsid w:val="004465DA"/>
    <w:rsid w:val="00447354"/>
    <w:rsid w:val="0044745E"/>
    <w:rsid w:val="00447757"/>
    <w:rsid w:val="0045248B"/>
    <w:rsid w:val="004525D5"/>
    <w:rsid w:val="00455698"/>
    <w:rsid w:val="00455B1A"/>
    <w:rsid w:val="004565FD"/>
    <w:rsid w:val="00456C0B"/>
    <w:rsid w:val="00460A96"/>
    <w:rsid w:val="00464AA3"/>
    <w:rsid w:val="00464E73"/>
    <w:rsid w:val="00470B99"/>
    <w:rsid w:val="00471C19"/>
    <w:rsid w:val="0047228D"/>
    <w:rsid w:val="00473483"/>
    <w:rsid w:val="00475465"/>
    <w:rsid w:val="004756A6"/>
    <w:rsid w:val="004804B2"/>
    <w:rsid w:val="00480DAB"/>
    <w:rsid w:val="00481BE0"/>
    <w:rsid w:val="004850E3"/>
    <w:rsid w:val="0048741E"/>
    <w:rsid w:val="00487964"/>
    <w:rsid w:val="00487C1A"/>
    <w:rsid w:val="0049085A"/>
    <w:rsid w:val="00491DF0"/>
    <w:rsid w:val="00492574"/>
    <w:rsid w:val="00492AAE"/>
    <w:rsid w:val="00493F9A"/>
    <w:rsid w:val="00496A96"/>
    <w:rsid w:val="00497803"/>
    <w:rsid w:val="004A4A27"/>
    <w:rsid w:val="004A592E"/>
    <w:rsid w:val="004A61AF"/>
    <w:rsid w:val="004A6351"/>
    <w:rsid w:val="004A78A1"/>
    <w:rsid w:val="004B0D49"/>
    <w:rsid w:val="004B2C64"/>
    <w:rsid w:val="004B2F9F"/>
    <w:rsid w:val="004B301D"/>
    <w:rsid w:val="004B3623"/>
    <w:rsid w:val="004B4716"/>
    <w:rsid w:val="004B540E"/>
    <w:rsid w:val="004B57FD"/>
    <w:rsid w:val="004B5DA0"/>
    <w:rsid w:val="004B73AB"/>
    <w:rsid w:val="004C1E71"/>
    <w:rsid w:val="004C2098"/>
    <w:rsid w:val="004C2884"/>
    <w:rsid w:val="004C38FB"/>
    <w:rsid w:val="004C528F"/>
    <w:rsid w:val="004C53D2"/>
    <w:rsid w:val="004C55AA"/>
    <w:rsid w:val="004C5D85"/>
    <w:rsid w:val="004D0355"/>
    <w:rsid w:val="004D0EA2"/>
    <w:rsid w:val="004D2212"/>
    <w:rsid w:val="004D47D9"/>
    <w:rsid w:val="004D4CD4"/>
    <w:rsid w:val="004D5ACD"/>
    <w:rsid w:val="004D5FE9"/>
    <w:rsid w:val="004E017C"/>
    <w:rsid w:val="004E09D7"/>
    <w:rsid w:val="004E0C31"/>
    <w:rsid w:val="004F1B47"/>
    <w:rsid w:val="004F1BFD"/>
    <w:rsid w:val="004F4BDF"/>
    <w:rsid w:val="004F5439"/>
    <w:rsid w:val="004F5BD8"/>
    <w:rsid w:val="004F63CB"/>
    <w:rsid w:val="004F7125"/>
    <w:rsid w:val="00501475"/>
    <w:rsid w:val="00502078"/>
    <w:rsid w:val="00504A6A"/>
    <w:rsid w:val="005101E4"/>
    <w:rsid w:val="005105A4"/>
    <w:rsid w:val="005119D4"/>
    <w:rsid w:val="005125F9"/>
    <w:rsid w:val="00514C74"/>
    <w:rsid w:val="00520C68"/>
    <w:rsid w:val="005214D8"/>
    <w:rsid w:val="005216E0"/>
    <w:rsid w:val="00522680"/>
    <w:rsid w:val="00523F76"/>
    <w:rsid w:val="00525A45"/>
    <w:rsid w:val="00526663"/>
    <w:rsid w:val="0052775A"/>
    <w:rsid w:val="00530433"/>
    <w:rsid w:val="00530884"/>
    <w:rsid w:val="00531E5B"/>
    <w:rsid w:val="00532A5E"/>
    <w:rsid w:val="00532A90"/>
    <w:rsid w:val="00536317"/>
    <w:rsid w:val="00537DD0"/>
    <w:rsid w:val="00537E67"/>
    <w:rsid w:val="00542D44"/>
    <w:rsid w:val="00542E7F"/>
    <w:rsid w:val="00542E91"/>
    <w:rsid w:val="005457A7"/>
    <w:rsid w:val="005457E1"/>
    <w:rsid w:val="005464AA"/>
    <w:rsid w:val="005465B5"/>
    <w:rsid w:val="005500D5"/>
    <w:rsid w:val="00551663"/>
    <w:rsid w:val="005542E8"/>
    <w:rsid w:val="00555C5A"/>
    <w:rsid w:val="00557C93"/>
    <w:rsid w:val="005602C2"/>
    <w:rsid w:val="00560555"/>
    <w:rsid w:val="0056163D"/>
    <w:rsid w:val="00561BB4"/>
    <w:rsid w:val="0056563B"/>
    <w:rsid w:val="00566777"/>
    <w:rsid w:val="005669EF"/>
    <w:rsid w:val="00566A90"/>
    <w:rsid w:val="0056702C"/>
    <w:rsid w:val="00570A36"/>
    <w:rsid w:val="00571827"/>
    <w:rsid w:val="0057339F"/>
    <w:rsid w:val="00573BE1"/>
    <w:rsid w:val="00575067"/>
    <w:rsid w:val="00575BC4"/>
    <w:rsid w:val="0057732C"/>
    <w:rsid w:val="0058004F"/>
    <w:rsid w:val="00582907"/>
    <w:rsid w:val="00583768"/>
    <w:rsid w:val="00583885"/>
    <w:rsid w:val="005841B6"/>
    <w:rsid w:val="00586EE9"/>
    <w:rsid w:val="005911BA"/>
    <w:rsid w:val="00592345"/>
    <w:rsid w:val="00592EF8"/>
    <w:rsid w:val="005953D1"/>
    <w:rsid w:val="005966E8"/>
    <w:rsid w:val="005A04F5"/>
    <w:rsid w:val="005A0672"/>
    <w:rsid w:val="005A11DF"/>
    <w:rsid w:val="005A2607"/>
    <w:rsid w:val="005A2BB3"/>
    <w:rsid w:val="005A447C"/>
    <w:rsid w:val="005A4649"/>
    <w:rsid w:val="005A480F"/>
    <w:rsid w:val="005A4A84"/>
    <w:rsid w:val="005A5ED2"/>
    <w:rsid w:val="005B149E"/>
    <w:rsid w:val="005B3BCE"/>
    <w:rsid w:val="005B4C94"/>
    <w:rsid w:val="005C0244"/>
    <w:rsid w:val="005C14FC"/>
    <w:rsid w:val="005C21A8"/>
    <w:rsid w:val="005C27CC"/>
    <w:rsid w:val="005C2F37"/>
    <w:rsid w:val="005C3120"/>
    <w:rsid w:val="005C6667"/>
    <w:rsid w:val="005D1F85"/>
    <w:rsid w:val="005D5790"/>
    <w:rsid w:val="005D5D73"/>
    <w:rsid w:val="005D7462"/>
    <w:rsid w:val="005E0B8D"/>
    <w:rsid w:val="005E18AA"/>
    <w:rsid w:val="005E2630"/>
    <w:rsid w:val="005E35C5"/>
    <w:rsid w:val="005E5539"/>
    <w:rsid w:val="005F1396"/>
    <w:rsid w:val="005F481B"/>
    <w:rsid w:val="005F53EC"/>
    <w:rsid w:val="005F586A"/>
    <w:rsid w:val="005F5E32"/>
    <w:rsid w:val="005F73CD"/>
    <w:rsid w:val="006000AA"/>
    <w:rsid w:val="00601112"/>
    <w:rsid w:val="006011D9"/>
    <w:rsid w:val="0060266F"/>
    <w:rsid w:val="00602AD5"/>
    <w:rsid w:val="00604221"/>
    <w:rsid w:val="006047C8"/>
    <w:rsid w:val="00604FD5"/>
    <w:rsid w:val="006102BA"/>
    <w:rsid w:val="00611B10"/>
    <w:rsid w:val="00613BA2"/>
    <w:rsid w:val="00614E4B"/>
    <w:rsid w:val="006150A9"/>
    <w:rsid w:val="006150F3"/>
    <w:rsid w:val="00615B1A"/>
    <w:rsid w:val="00620177"/>
    <w:rsid w:val="00620694"/>
    <w:rsid w:val="00620D15"/>
    <w:rsid w:val="006230BA"/>
    <w:rsid w:val="00623EA6"/>
    <w:rsid w:val="00623F15"/>
    <w:rsid w:val="00625DB3"/>
    <w:rsid w:val="006264FD"/>
    <w:rsid w:val="006265AF"/>
    <w:rsid w:val="0063092E"/>
    <w:rsid w:val="006319A8"/>
    <w:rsid w:val="00632B48"/>
    <w:rsid w:val="00634567"/>
    <w:rsid w:val="0063634A"/>
    <w:rsid w:val="00641C2B"/>
    <w:rsid w:val="006420F3"/>
    <w:rsid w:val="00642FFA"/>
    <w:rsid w:val="00645B95"/>
    <w:rsid w:val="0064661A"/>
    <w:rsid w:val="00651727"/>
    <w:rsid w:val="00653237"/>
    <w:rsid w:val="006537B9"/>
    <w:rsid w:val="00654010"/>
    <w:rsid w:val="00655D56"/>
    <w:rsid w:val="00656928"/>
    <w:rsid w:val="0066001A"/>
    <w:rsid w:val="006602E7"/>
    <w:rsid w:val="00660667"/>
    <w:rsid w:val="00661E9E"/>
    <w:rsid w:val="00662D96"/>
    <w:rsid w:val="00666AD9"/>
    <w:rsid w:val="00670537"/>
    <w:rsid w:val="00675476"/>
    <w:rsid w:val="00675ED4"/>
    <w:rsid w:val="0068148A"/>
    <w:rsid w:val="006841F0"/>
    <w:rsid w:val="00686BEF"/>
    <w:rsid w:val="00686C01"/>
    <w:rsid w:val="00690387"/>
    <w:rsid w:val="00690E20"/>
    <w:rsid w:val="006932F6"/>
    <w:rsid w:val="00693B4A"/>
    <w:rsid w:val="00694EBF"/>
    <w:rsid w:val="00695ECC"/>
    <w:rsid w:val="00695F7D"/>
    <w:rsid w:val="006A21B1"/>
    <w:rsid w:val="006A2DC0"/>
    <w:rsid w:val="006A3EFC"/>
    <w:rsid w:val="006A5A78"/>
    <w:rsid w:val="006A7D90"/>
    <w:rsid w:val="006B2C08"/>
    <w:rsid w:val="006B329B"/>
    <w:rsid w:val="006B5441"/>
    <w:rsid w:val="006B74FF"/>
    <w:rsid w:val="006B7B58"/>
    <w:rsid w:val="006C03CE"/>
    <w:rsid w:val="006C0435"/>
    <w:rsid w:val="006C240B"/>
    <w:rsid w:val="006C4293"/>
    <w:rsid w:val="006C56A9"/>
    <w:rsid w:val="006C730B"/>
    <w:rsid w:val="006C7B18"/>
    <w:rsid w:val="006D33B1"/>
    <w:rsid w:val="006D33B6"/>
    <w:rsid w:val="006D3AA6"/>
    <w:rsid w:val="006D3CAE"/>
    <w:rsid w:val="006D7C7C"/>
    <w:rsid w:val="006D7F98"/>
    <w:rsid w:val="006E0E9F"/>
    <w:rsid w:val="006E2E6D"/>
    <w:rsid w:val="006E3152"/>
    <w:rsid w:val="006E38C7"/>
    <w:rsid w:val="006E5278"/>
    <w:rsid w:val="006E5E46"/>
    <w:rsid w:val="006E6B0D"/>
    <w:rsid w:val="006E7D83"/>
    <w:rsid w:val="006F05C2"/>
    <w:rsid w:val="006F0947"/>
    <w:rsid w:val="006F2FE5"/>
    <w:rsid w:val="006F36FE"/>
    <w:rsid w:val="006F49F6"/>
    <w:rsid w:val="006F4D57"/>
    <w:rsid w:val="006F52F1"/>
    <w:rsid w:val="006F5337"/>
    <w:rsid w:val="006F6321"/>
    <w:rsid w:val="006F748C"/>
    <w:rsid w:val="006F7AB8"/>
    <w:rsid w:val="0070015F"/>
    <w:rsid w:val="00704901"/>
    <w:rsid w:val="00705FBE"/>
    <w:rsid w:val="00706A85"/>
    <w:rsid w:val="00706FC5"/>
    <w:rsid w:val="00712675"/>
    <w:rsid w:val="00714EB2"/>
    <w:rsid w:val="007175FE"/>
    <w:rsid w:val="00717889"/>
    <w:rsid w:val="00721123"/>
    <w:rsid w:val="0072294D"/>
    <w:rsid w:val="00722F91"/>
    <w:rsid w:val="00722FB3"/>
    <w:rsid w:val="00723302"/>
    <w:rsid w:val="00723905"/>
    <w:rsid w:val="00724759"/>
    <w:rsid w:val="00726883"/>
    <w:rsid w:val="0073171B"/>
    <w:rsid w:val="00732EAA"/>
    <w:rsid w:val="0073310E"/>
    <w:rsid w:val="007349B8"/>
    <w:rsid w:val="00736EEF"/>
    <w:rsid w:val="007372FD"/>
    <w:rsid w:val="0074116E"/>
    <w:rsid w:val="00743D12"/>
    <w:rsid w:val="0074556C"/>
    <w:rsid w:val="00745B57"/>
    <w:rsid w:val="0074602E"/>
    <w:rsid w:val="00746D9D"/>
    <w:rsid w:val="00751A3F"/>
    <w:rsid w:val="0075279F"/>
    <w:rsid w:val="00760B4C"/>
    <w:rsid w:val="00761132"/>
    <w:rsid w:val="007618A3"/>
    <w:rsid w:val="007627F3"/>
    <w:rsid w:val="00762859"/>
    <w:rsid w:val="00767241"/>
    <w:rsid w:val="00767CF4"/>
    <w:rsid w:val="00771F09"/>
    <w:rsid w:val="00774E0A"/>
    <w:rsid w:val="0077509A"/>
    <w:rsid w:val="00776993"/>
    <w:rsid w:val="007778BE"/>
    <w:rsid w:val="007813FC"/>
    <w:rsid w:val="0078344D"/>
    <w:rsid w:val="00783975"/>
    <w:rsid w:val="00785B06"/>
    <w:rsid w:val="00790C13"/>
    <w:rsid w:val="007911DA"/>
    <w:rsid w:val="00792928"/>
    <w:rsid w:val="0079326B"/>
    <w:rsid w:val="007947D9"/>
    <w:rsid w:val="007972AA"/>
    <w:rsid w:val="007A1130"/>
    <w:rsid w:val="007A22B5"/>
    <w:rsid w:val="007A3D24"/>
    <w:rsid w:val="007A6332"/>
    <w:rsid w:val="007A7030"/>
    <w:rsid w:val="007A71A0"/>
    <w:rsid w:val="007B187C"/>
    <w:rsid w:val="007B21E7"/>
    <w:rsid w:val="007B36F7"/>
    <w:rsid w:val="007B41CE"/>
    <w:rsid w:val="007B43E9"/>
    <w:rsid w:val="007B47FD"/>
    <w:rsid w:val="007B4CCE"/>
    <w:rsid w:val="007B5D39"/>
    <w:rsid w:val="007C01F3"/>
    <w:rsid w:val="007C132B"/>
    <w:rsid w:val="007C2985"/>
    <w:rsid w:val="007C29C1"/>
    <w:rsid w:val="007C2F49"/>
    <w:rsid w:val="007C345C"/>
    <w:rsid w:val="007C4CEC"/>
    <w:rsid w:val="007C5062"/>
    <w:rsid w:val="007C514A"/>
    <w:rsid w:val="007C558F"/>
    <w:rsid w:val="007C56F6"/>
    <w:rsid w:val="007C5704"/>
    <w:rsid w:val="007D065A"/>
    <w:rsid w:val="007D0B1F"/>
    <w:rsid w:val="007D25B5"/>
    <w:rsid w:val="007D2C67"/>
    <w:rsid w:val="007D3920"/>
    <w:rsid w:val="007D3C37"/>
    <w:rsid w:val="007D464D"/>
    <w:rsid w:val="007E0E3E"/>
    <w:rsid w:val="007E3142"/>
    <w:rsid w:val="007E380E"/>
    <w:rsid w:val="007E5635"/>
    <w:rsid w:val="007E666E"/>
    <w:rsid w:val="007F02B3"/>
    <w:rsid w:val="007F1BE4"/>
    <w:rsid w:val="007F5E6D"/>
    <w:rsid w:val="007F7F69"/>
    <w:rsid w:val="008004CD"/>
    <w:rsid w:val="00801313"/>
    <w:rsid w:val="00801471"/>
    <w:rsid w:val="008021DB"/>
    <w:rsid w:val="0080435C"/>
    <w:rsid w:val="00804A0D"/>
    <w:rsid w:val="00804BD7"/>
    <w:rsid w:val="00804D5E"/>
    <w:rsid w:val="00805512"/>
    <w:rsid w:val="00805FD6"/>
    <w:rsid w:val="00806691"/>
    <w:rsid w:val="00807404"/>
    <w:rsid w:val="008074BA"/>
    <w:rsid w:val="00812FA8"/>
    <w:rsid w:val="00814701"/>
    <w:rsid w:val="00814E1E"/>
    <w:rsid w:val="00815068"/>
    <w:rsid w:val="008207C7"/>
    <w:rsid w:val="00822A98"/>
    <w:rsid w:val="00823198"/>
    <w:rsid w:val="00823D04"/>
    <w:rsid w:val="008241DC"/>
    <w:rsid w:val="00824D51"/>
    <w:rsid w:val="00827217"/>
    <w:rsid w:val="00827D88"/>
    <w:rsid w:val="00830034"/>
    <w:rsid w:val="00830F69"/>
    <w:rsid w:val="00832108"/>
    <w:rsid w:val="00833E06"/>
    <w:rsid w:val="00834C44"/>
    <w:rsid w:val="008353E4"/>
    <w:rsid w:val="00835641"/>
    <w:rsid w:val="00835A29"/>
    <w:rsid w:val="00835F90"/>
    <w:rsid w:val="00836861"/>
    <w:rsid w:val="0083724E"/>
    <w:rsid w:val="00841DC2"/>
    <w:rsid w:val="00843D09"/>
    <w:rsid w:val="0084416A"/>
    <w:rsid w:val="008469D5"/>
    <w:rsid w:val="008472AE"/>
    <w:rsid w:val="008505A1"/>
    <w:rsid w:val="008523BB"/>
    <w:rsid w:val="0085300C"/>
    <w:rsid w:val="008552B4"/>
    <w:rsid w:val="00862617"/>
    <w:rsid w:val="00865756"/>
    <w:rsid w:val="008659B5"/>
    <w:rsid w:val="00870485"/>
    <w:rsid w:val="0087174D"/>
    <w:rsid w:val="008722AB"/>
    <w:rsid w:val="00874149"/>
    <w:rsid w:val="0087518F"/>
    <w:rsid w:val="00875254"/>
    <w:rsid w:val="008758BC"/>
    <w:rsid w:val="0087606D"/>
    <w:rsid w:val="0087617A"/>
    <w:rsid w:val="00876619"/>
    <w:rsid w:val="00877FB6"/>
    <w:rsid w:val="0088098E"/>
    <w:rsid w:val="008811DC"/>
    <w:rsid w:val="00881DAD"/>
    <w:rsid w:val="00881EA8"/>
    <w:rsid w:val="008840D1"/>
    <w:rsid w:val="0088475C"/>
    <w:rsid w:val="00884F26"/>
    <w:rsid w:val="008855FD"/>
    <w:rsid w:val="008857CD"/>
    <w:rsid w:val="00886625"/>
    <w:rsid w:val="00887A5F"/>
    <w:rsid w:val="00893952"/>
    <w:rsid w:val="00894594"/>
    <w:rsid w:val="00894BFD"/>
    <w:rsid w:val="00895099"/>
    <w:rsid w:val="008964F2"/>
    <w:rsid w:val="00897054"/>
    <w:rsid w:val="008A0BE7"/>
    <w:rsid w:val="008A16B2"/>
    <w:rsid w:val="008A4A25"/>
    <w:rsid w:val="008A5134"/>
    <w:rsid w:val="008A77F3"/>
    <w:rsid w:val="008A7FF2"/>
    <w:rsid w:val="008B1240"/>
    <w:rsid w:val="008B5956"/>
    <w:rsid w:val="008B7E67"/>
    <w:rsid w:val="008C1785"/>
    <w:rsid w:val="008C21C9"/>
    <w:rsid w:val="008C2670"/>
    <w:rsid w:val="008C3B07"/>
    <w:rsid w:val="008C5AB7"/>
    <w:rsid w:val="008C7435"/>
    <w:rsid w:val="008D016C"/>
    <w:rsid w:val="008D1410"/>
    <w:rsid w:val="008D1E4D"/>
    <w:rsid w:val="008D2F68"/>
    <w:rsid w:val="008D5A37"/>
    <w:rsid w:val="008D7A56"/>
    <w:rsid w:val="008D7BE6"/>
    <w:rsid w:val="008E4153"/>
    <w:rsid w:val="008E44B5"/>
    <w:rsid w:val="008E6E9A"/>
    <w:rsid w:val="008E7B24"/>
    <w:rsid w:val="008F0380"/>
    <w:rsid w:val="008F303C"/>
    <w:rsid w:val="008F3E58"/>
    <w:rsid w:val="008F7740"/>
    <w:rsid w:val="008F7AF4"/>
    <w:rsid w:val="00901EC6"/>
    <w:rsid w:val="009030CB"/>
    <w:rsid w:val="00904831"/>
    <w:rsid w:val="00905594"/>
    <w:rsid w:val="00905F9C"/>
    <w:rsid w:val="00907850"/>
    <w:rsid w:val="009127AD"/>
    <w:rsid w:val="00913017"/>
    <w:rsid w:val="009132F6"/>
    <w:rsid w:val="00913911"/>
    <w:rsid w:val="009145E2"/>
    <w:rsid w:val="00914F1A"/>
    <w:rsid w:val="0091600B"/>
    <w:rsid w:val="00917373"/>
    <w:rsid w:val="00920722"/>
    <w:rsid w:val="00921164"/>
    <w:rsid w:val="00922C60"/>
    <w:rsid w:val="00922C8E"/>
    <w:rsid w:val="00922DD2"/>
    <w:rsid w:val="009262FF"/>
    <w:rsid w:val="009271B9"/>
    <w:rsid w:val="009275F3"/>
    <w:rsid w:val="009279C8"/>
    <w:rsid w:val="00930BA0"/>
    <w:rsid w:val="00930F1C"/>
    <w:rsid w:val="00930F93"/>
    <w:rsid w:val="00932D8C"/>
    <w:rsid w:val="00933608"/>
    <w:rsid w:val="009358B4"/>
    <w:rsid w:val="00935E50"/>
    <w:rsid w:val="009360B7"/>
    <w:rsid w:val="00936508"/>
    <w:rsid w:val="009367A2"/>
    <w:rsid w:val="00940145"/>
    <w:rsid w:val="00941A31"/>
    <w:rsid w:val="00944152"/>
    <w:rsid w:val="0094449E"/>
    <w:rsid w:val="00944609"/>
    <w:rsid w:val="00944FEA"/>
    <w:rsid w:val="00945345"/>
    <w:rsid w:val="00950BBE"/>
    <w:rsid w:val="00951BC6"/>
    <w:rsid w:val="0095266D"/>
    <w:rsid w:val="0095267C"/>
    <w:rsid w:val="009530D6"/>
    <w:rsid w:val="0095337D"/>
    <w:rsid w:val="00954E74"/>
    <w:rsid w:val="009553C7"/>
    <w:rsid w:val="00956000"/>
    <w:rsid w:val="00956129"/>
    <w:rsid w:val="0095677D"/>
    <w:rsid w:val="009567BE"/>
    <w:rsid w:val="00956990"/>
    <w:rsid w:val="00962F7C"/>
    <w:rsid w:val="00964D03"/>
    <w:rsid w:val="009650D4"/>
    <w:rsid w:val="00965B26"/>
    <w:rsid w:val="00966A5C"/>
    <w:rsid w:val="0096772C"/>
    <w:rsid w:val="00970041"/>
    <w:rsid w:val="00972DEE"/>
    <w:rsid w:val="0097528D"/>
    <w:rsid w:val="00975ECF"/>
    <w:rsid w:val="009765DF"/>
    <w:rsid w:val="0098078D"/>
    <w:rsid w:val="0098337A"/>
    <w:rsid w:val="009836CA"/>
    <w:rsid w:val="0098374E"/>
    <w:rsid w:val="009863B8"/>
    <w:rsid w:val="00987E10"/>
    <w:rsid w:val="00992861"/>
    <w:rsid w:val="00994E11"/>
    <w:rsid w:val="009979BA"/>
    <w:rsid w:val="009A0643"/>
    <w:rsid w:val="009A19CA"/>
    <w:rsid w:val="009A1D50"/>
    <w:rsid w:val="009A2D1B"/>
    <w:rsid w:val="009A317A"/>
    <w:rsid w:val="009A3D15"/>
    <w:rsid w:val="009A68B6"/>
    <w:rsid w:val="009A6A5E"/>
    <w:rsid w:val="009B1FAF"/>
    <w:rsid w:val="009B2C5D"/>
    <w:rsid w:val="009B656C"/>
    <w:rsid w:val="009B7857"/>
    <w:rsid w:val="009C0068"/>
    <w:rsid w:val="009C1673"/>
    <w:rsid w:val="009C18AD"/>
    <w:rsid w:val="009C1E88"/>
    <w:rsid w:val="009C1F5C"/>
    <w:rsid w:val="009C2505"/>
    <w:rsid w:val="009C3D7C"/>
    <w:rsid w:val="009C48E3"/>
    <w:rsid w:val="009C6F55"/>
    <w:rsid w:val="009D1C51"/>
    <w:rsid w:val="009D1D7D"/>
    <w:rsid w:val="009D2719"/>
    <w:rsid w:val="009D2B72"/>
    <w:rsid w:val="009D573D"/>
    <w:rsid w:val="009E0332"/>
    <w:rsid w:val="009E1427"/>
    <w:rsid w:val="009E30B4"/>
    <w:rsid w:val="009E5238"/>
    <w:rsid w:val="009E54B5"/>
    <w:rsid w:val="009F342E"/>
    <w:rsid w:val="009F3B34"/>
    <w:rsid w:val="00A0034F"/>
    <w:rsid w:val="00A02644"/>
    <w:rsid w:val="00A02965"/>
    <w:rsid w:val="00A0313D"/>
    <w:rsid w:val="00A03543"/>
    <w:rsid w:val="00A10583"/>
    <w:rsid w:val="00A112B6"/>
    <w:rsid w:val="00A11A44"/>
    <w:rsid w:val="00A1213F"/>
    <w:rsid w:val="00A124E3"/>
    <w:rsid w:val="00A13596"/>
    <w:rsid w:val="00A16C01"/>
    <w:rsid w:val="00A22C86"/>
    <w:rsid w:val="00A2331D"/>
    <w:rsid w:val="00A23BF7"/>
    <w:rsid w:val="00A2416E"/>
    <w:rsid w:val="00A24ACC"/>
    <w:rsid w:val="00A2702C"/>
    <w:rsid w:val="00A304DB"/>
    <w:rsid w:val="00A308C0"/>
    <w:rsid w:val="00A3147E"/>
    <w:rsid w:val="00A31ED5"/>
    <w:rsid w:val="00A326B0"/>
    <w:rsid w:val="00A327D5"/>
    <w:rsid w:val="00A334F4"/>
    <w:rsid w:val="00A34799"/>
    <w:rsid w:val="00A35255"/>
    <w:rsid w:val="00A37945"/>
    <w:rsid w:val="00A37AFF"/>
    <w:rsid w:val="00A37CDD"/>
    <w:rsid w:val="00A40BDC"/>
    <w:rsid w:val="00A452EE"/>
    <w:rsid w:val="00A477E3"/>
    <w:rsid w:val="00A5018C"/>
    <w:rsid w:val="00A50961"/>
    <w:rsid w:val="00A5131C"/>
    <w:rsid w:val="00A515AB"/>
    <w:rsid w:val="00A539C9"/>
    <w:rsid w:val="00A5429E"/>
    <w:rsid w:val="00A547B0"/>
    <w:rsid w:val="00A54F67"/>
    <w:rsid w:val="00A61631"/>
    <w:rsid w:val="00A616A3"/>
    <w:rsid w:val="00A622F6"/>
    <w:rsid w:val="00A632DD"/>
    <w:rsid w:val="00A633DD"/>
    <w:rsid w:val="00A644F5"/>
    <w:rsid w:val="00A647B5"/>
    <w:rsid w:val="00A655F7"/>
    <w:rsid w:val="00A70342"/>
    <w:rsid w:val="00A71B86"/>
    <w:rsid w:val="00A743D9"/>
    <w:rsid w:val="00A750C8"/>
    <w:rsid w:val="00A7520A"/>
    <w:rsid w:val="00A75E46"/>
    <w:rsid w:val="00A8215B"/>
    <w:rsid w:val="00A83962"/>
    <w:rsid w:val="00A840AE"/>
    <w:rsid w:val="00A843E5"/>
    <w:rsid w:val="00A8710A"/>
    <w:rsid w:val="00A87A39"/>
    <w:rsid w:val="00A90AFA"/>
    <w:rsid w:val="00A910BF"/>
    <w:rsid w:val="00A939A6"/>
    <w:rsid w:val="00A95450"/>
    <w:rsid w:val="00AA020C"/>
    <w:rsid w:val="00AA2180"/>
    <w:rsid w:val="00AA60C1"/>
    <w:rsid w:val="00AB2438"/>
    <w:rsid w:val="00AB3838"/>
    <w:rsid w:val="00AC1090"/>
    <w:rsid w:val="00AC11B1"/>
    <w:rsid w:val="00AC21F9"/>
    <w:rsid w:val="00AC39F4"/>
    <w:rsid w:val="00AC3E52"/>
    <w:rsid w:val="00AC5DB1"/>
    <w:rsid w:val="00AC6F36"/>
    <w:rsid w:val="00AC7342"/>
    <w:rsid w:val="00AC7D67"/>
    <w:rsid w:val="00AD0F72"/>
    <w:rsid w:val="00AD10F8"/>
    <w:rsid w:val="00AD29EB"/>
    <w:rsid w:val="00AD2DC9"/>
    <w:rsid w:val="00AD4848"/>
    <w:rsid w:val="00AD51FF"/>
    <w:rsid w:val="00AD79F2"/>
    <w:rsid w:val="00AE00DF"/>
    <w:rsid w:val="00AE2328"/>
    <w:rsid w:val="00AE301E"/>
    <w:rsid w:val="00AE394E"/>
    <w:rsid w:val="00AE3A4C"/>
    <w:rsid w:val="00AE3F78"/>
    <w:rsid w:val="00AE4CC2"/>
    <w:rsid w:val="00AE61FB"/>
    <w:rsid w:val="00AE628A"/>
    <w:rsid w:val="00AE6929"/>
    <w:rsid w:val="00AF171E"/>
    <w:rsid w:val="00AF2B07"/>
    <w:rsid w:val="00AF3586"/>
    <w:rsid w:val="00AF4194"/>
    <w:rsid w:val="00AF7658"/>
    <w:rsid w:val="00AF7F41"/>
    <w:rsid w:val="00B01586"/>
    <w:rsid w:val="00B03420"/>
    <w:rsid w:val="00B03E3E"/>
    <w:rsid w:val="00B048CB"/>
    <w:rsid w:val="00B058CF"/>
    <w:rsid w:val="00B0638C"/>
    <w:rsid w:val="00B0675E"/>
    <w:rsid w:val="00B10711"/>
    <w:rsid w:val="00B10B14"/>
    <w:rsid w:val="00B159F6"/>
    <w:rsid w:val="00B17D45"/>
    <w:rsid w:val="00B17FE8"/>
    <w:rsid w:val="00B207F1"/>
    <w:rsid w:val="00B21A86"/>
    <w:rsid w:val="00B22338"/>
    <w:rsid w:val="00B24BD4"/>
    <w:rsid w:val="00B25EFF"/>
    <w:rsid w:val="00B32514"/>
    <w:rsid w:val="00B338B4"/>
    <w:rsid w:val="00B33F21"/>
    <w:rsid w:val="00B34B5D"/>
    <w:rsid w:val="00B34C03"/>
    <w:rsid w:val="00B35B3A"/>
    <w:rsid w:val="00B36491"/>
    <w:rsid w:val="00B41A0A"/>
    <w:rsid w:val="00B43C47"/>
    <w:rsid w:val="00B43E05"/>
    <w:rsid w:val="00B45172"/>
    <w:rsid w:val="00B475F5"/>
    <w:rsid w:val="00B47808"/>
    <w:rsid w:val="00B51D93"/>
    <w:rsid w:val="00B53483"/>
    <w:rsid w:val="00B54130"/>
    <w:rsid w:val="00B56C70"/>
    <w:rsid w:val="00B618FD"/>
    <w:rsid w:val="00B61C31"/>
    <w:rsid w:val="00B64AF2"/>
    <w:rsid w:val="00B65D45"/>
    <w:rsid w:val="00B66F91"/>
    <w:rsid w:val="00B6739A"/>
    <w:rsid w:val="00B67B0D"/>
    <w:rsid w:val="00B70016"/>
    <w:rsid w:val="00B72F1B"/>
    <w:rsid w:val="00B75490"/>
    <w:rsid w:val="00B7583E"/>
    <w:rsid w:val="00B761D5"/>
    <w:rsid w:val="00B762B2"/>
    <w:rsid w:val="00B76929"/>
    <w:rsid w:val="00B77B88"/>
    <w:rsid w:val="00B833B0"/>
    <w:rsid w:val="00B835BE"/>
    <w:rsid w:val="00B836FA"/>
    <w:rsid w:val="00B867EA"/>
    <w:rsid w:val="00B87FA8"/>
    <w:rsid w:val="00B90CC6"/>
    <w:rsid w:val="00B924E4"/>
    <w:rsid w:val="00B92954"/>
    <w:rsid w:val="00B95DA8"/>
    <w:rsid w:val="00B97E53"/>
    <w:rsid w:val="00BA2905"/>
    <w:rsid w:val="00BA2EC4"/>
    <w:rsid w:val="00BA508B"/>
    <w:rsid w:val="00BA62B5"/>
    <w:rsid w:val="00BA6453"/>
    <w:rsid w:val="00BB0AC5"/>
    <w:rsid w:val="00BB0C66"/>
    <w:rsid w:val="00BB45B6"/>
    <w:rsid w:val="00BB63B2"/>
    <w:rsid w:val="00BB6AC7"/>
    <w:rsid w:val="00BC082C"/>
    <w:rsid w:val="00BC151D"/>
    <w:rsid w:val="00BC19C1"/>
    <w:rsid w:val="00BC1C58"/>
    <w:rsid w:val="00BC1E3D"/>
    <w:rsid w:val="00BC4ADD"/>
    <w:rsid w:val="00BC4EB8"/>
    <w:rsid w:val="00BC7A95"/>
    <w:rsid w:val="00BD10B4"/>
    <w:rsid w:val="00BD16E8"/>
    <w:rsid w:val="00BD3059"/>
    <w:rsid w:val="00BD5B72"/>
    <w:rsid w:val="00BE070D"/>
    <w:rsid w:val="00BE29BB"/>
    <w:rsid w:val="00BE2A3F"/>
    <w:rsid w:val="00BE348A"/>
    <w:rsid w:val="00BE4846"/>
    <w:rsid w:val="00BE64FE"/>
    <w:rsid w:val="00BE6751"/>
    <w:rsid w:val="00BE6D93"/>
    <w:rsid w:val="00BF0AC9"/>
    <w:rsid w:val="00BF13CB"/>
    <w:rsid w:val="00BF1CE0"/>
    <w:rsid w:val="00BF27C9"/>
    <w:rsid w:val="00BF28A8"/>
    <w:rsid w:val="00BF326B"/>
    <w:rsid w:val="00BF51B2"/>
    <w:rsid w:val="00BF5275"/>
    <w:rsid w:val="00BF59FD"/>
    <w:rsid w:val="00BF71E4"/>
    <w:rsid w:val="00BF7BE3"/>
    <w:rsid w:val="00C0032C"/>
    <w:rsid w:val="00C07BE2"/>
    <w:rsid w:val="00C11734"/>
    <w:rsid w:val="00C125BE"/>
    <w:rsid w:val="00C13190"/>
    <w:rsid w:val="00C13382"/>
    <w:rsid w:val="00C14CD7"/>
    <w:rsid w:val="00C17559"/>
    <w:rsid w:val="00C17959"/>
    <w:rsid w:val="00C2054C"/>
    <w:rsid w:val="00C212A3"/>
    <w:rsid w:val="00C21B6B"/>
    <w:rsid w:val="00C2272F"/>
    <w:rsid w:val="00C2281D"/>
    <w:rsid w:val="00C23A69"/>
    <w:rsid w:val="00C24388"/>
    <w:rsid w:val="00C261DB"/>
    <w:rsid w:val="00C272CA"/>
    <w:rsid w:val="00C27827"/>
    <w:rsid w:val="00C317DB"/>
    <w:rsid w:val="00C32B8B"/>
    <w:rsid w:val="00C33846"/>
    <w:rsid w:val="00C34B9C"/>
    <w:rsid w:val="00C34C23"/>
    <w:rsid w:val="00C357F9"/>
    <w:rsid w:val="00C35D87"/>
    <w:rsid w:val="00C37379"/>
    <w:rsid w:val="00C42C89"/>
    <w:rsid w:val="00C4377D"/>
    <w:rsid w:val="00C441A2"/>
    <w:rsid w:val="00C44AFF"/>
    <w:rsid w:val="00C45B92"/>
    <w:rsid w:val="00C469BA"/>
    <w:rsid w:val="00C47086"/>
    <w:rsid w:val="00C51CF9"/>
    <w:rsid w:val="00C54D23"/>
    <w:rsid w:val="00C56731"/>
    <w:rsid w:val="00C57230"/>
    <w:rsid w:val="00C62631"/>
    <w:rsid w:val="00C642A6"/>
    <w:rsid w:val="00C653F6"/>
    <w:rsid w:val="00C670DB"/>
    <w:rsid w:val="00C70A4E"/>
    <w:rsid w:val="00C70D56"/>
    <w:rsid w:val="00C70DA2"/>
    <w:rsid w:val="00C71333"/>
    <w:rsid w:val="00C714D1"/>
    <w:rsid w:val="00C720C2"/>
    <w:rsid w:val="00C72D36"/>
    <w:rsid w:val="00C75555"/>
    <w:rsid w:val="00C76B58"/>
    <w:rsid w:val="00C77022"/>
    <w:rsid w:val="00C83A99"/>
    <w:rsid w:val="00C845B6"/>
    <w:rsid w:val="00C859A5"/>
    <w:rsid w:val="00C85E2B"/>
    <w:rsid w:val="00C8699E"/>
    <w:rsid w:val="00C86F49"/>
    <w:rsid w:val="00C87049"/>
    <w:rsid w:val="00C87A8B"/>
    <w:rsid w:val="00C90225"/>
    <w:rsid w:val="00C91C6E"/>
    <w:rsid w:val="00C930EC"/>
    <w:rsid w:val="00C93390"/>
    <w:rsid w:val="00C93D78"/>
    <w:rsid w:val="00CA0613"/>
    <w:rsid w:val="00CA0FEA"/>
    <w:rsid w:val="00CA2659"/>
    <w:rsid w:val="00CA2B5D"/>
    <w:rsid w:val="00CA3675"/>
    <w:rsid w:val="00CA3A6F"/>
    <w:rsid w:val="00CA43A4"/>
    <w:rsid w:val="00CA7B4F"/>
    <w:rsid w:val="00CA7DE3"/>
    <w:rsid w:val="00CB0476"/>
    <w:rsid w:val="00CB061E"/>
    <w:rsid w:val="00CB082D"/>
    <w:rsid w:val="00CB11A9"/>
    <w:rsid w:val="00CB585C"/>
    <w:rsid w:val="00CB6550"/>
    <w:rsid w:val="00CB678D"/>
    <w:rsid w:val="00CB7109"/>
    <w:rsid w:val="00CB7206"/>
    <w:rsid w:val="00CB7813"/>
    <w:rsid w:val="00CC2DE2"/>
    <w:rsid w:val="00CC3EF6"/>
    <w:rsid w:val="00CC4974"/>
    <w:rsid w:val="00CC50BB"/>
    <w:rsid w:val="00CC5F1B"/>
    <w:rsid w:val="00CD0CCE"/>
    <w:rsid w:val="00CD1F39"/>
    <w:rsid w:val="00CD2A77"/>
    <w:rsid w:val="00CD2DF4"/>
    <w:rsid w:val="00CD3BD3"/>
    <w:rsid w:val="00CD3C65"/>
    <w:rsid w:val="00CD4572"/>
    <w:rsid w:val="00CD464D"/>
    <w:rsid w:val="00CD51DF"/>
    <w:rsid w:val="00CD7401"/>
    <w:rsid w:val="00CD7E73"/>
    <w:rsid w:val="00CE39E2"/>
    <w:rsid w:val="00CE4D3A"/>
    <w:rsid w:val="00CE7678"/>
    <w:rsid w:val="00CF008F"/>
    <w:rsid w:val="00CF0C48"/>
    <w:rsid w:val="00CF0ECD"/>
    <w:rsid w:val="00CF1143"/>
    <w:rsid w:val="00CF1974"/>
    <w:rsid w:val="00CF45F0"/>
    <w:rsid w:val="00CF5AD6"/>
    <w:rsid w:val="00CF5C29"/>
    <w:rsid w:val="00D0027E"/>
    <w:rsid w:val="00D0158A"/>
    <w:rsid w:val="00D0215D"/>
    <w:rsid w:val="00D02736"/>
    <w:rsid w:val="00D05035"/>
    <w:rsid w:val="00D066D8"/>
    <w:rsid w:val="00D1018A"/>
    <w:rsid w:val="00D149D4"/>
    <w:rsid w:val="00D15098"/>
    <w:rsid w:val="00D1775C"/>
    <w:rsid w:val="00D207ED"/>
    <w:rsid w:val="00D23A75"/>
    <w:rsid w:val="00D24D67"/>
    <w:rsid w:val="00D25179"/>
    <w:rsid w:val="00D261C3"/>
    <w:rsid w:val="00D26C41"/>
    <w:rsid w:val="00D275F4"/>
    <w:rsid w:val="00D320D6"/>
    <w:rsid w:val="00D3639F"/>
    <w:rsid w:val="00D40243"/>
    <w:rsid w:val="00D405AC"/>
    <w:rsid w:val="00D41760"/>
    <w:rsid w:val="00D421B0"/>
    <w:rsid w:val="00D424BC"/>
    <w:rsid w:val="00D4372D"/>
    <w:rsid w:val="00D444E0"/>
    <w:rsid w:val="00D45639"/>
    <w:rsid w:val="00D4579A"/>
    <w:rsid w:val="00D45963"/>
    <w:rsid w:val="00D477D1"/>
    <w:rsid w:val="00D5091E"/>
    <w:rsid w:val="00D51A00"/>
    <w:rsid w:val="00D525BD"/>
    <w:rsid w:val="00D53805"/>
    <w:rsid w:val="00D54FAC"/>
    <w:rsid w:val="00D564BD"/>
    <w:rsid w:val="00D571F6"/>
    <w:rsid w:val="00D60C94"/>
    <w:rsid w:val="00D6240A"/>
    <w:rsid w:val="00D63652"/>
    <w:rsid w:val="00D657C4"/>
    <w:rsid w:val="00D66957"/>
    <w:rsid w:val="00D676FA"/>
    <w:rsid w:val="00D70446"/>
    <w:rsid w:val="00D7062F"/>
    <w:rsid w:val="00D71ABC"/>
    <w:rsid w:val="00D71F27"/>
    <w:rsid w:val="00D7418A"/>
    <w:rsid w:val="00D74BD7"/>
    <w:rsid w:val="00D75C91"/>
    <w:rsid w:val="00D76086"/>
    <w:rsid w:val="00D766C2"/>
    <w:rsid w:val="00D76995"/>
    <w:rsid w:val="00D80D62"/>
    <w:rsid w:val="00D80F1C"/>
    <w:rsid w:val="00D840C3"/>
    <w:rsid w:val="00D863D3"/>
    <w:rsid w:val="00D86502"/>
    <w:rsid w:val="00D90311"/>
    <w:rsid w:val="00D91FFE"/>
    <w:rsid w:val="00D93726"/>
    <w:rsid w:val="00D93A70"/>
    <w:rsid w:val="00D9447A"/>
    <w:rsid w:val="00D96183"/>
    <w:rsid w:val="00D96B5A"/>
    <w:rsid w:val="00D96F63"/>
    <w:rsid w:val="00D97E4A"/>
    <w:rsid w:val="00DA6C03"/>
    <w:rsid w:val="00DA7F3A"/>
    <w:rsid w:val="00DA7FCC"/>
    <w:rsid w:val="00DB128F"/>
    <w:rsid w:val="00DB20C3"/>
    <w:rsid w:val="00DB303E"/>
    <w:rsid w:val="00DB39CA"/>
    <w:rsid w:val="00DB3BE9"/>
    <w:rsid w:val="00DB4E25"/>
    <w:rsid w:val="00DC081C"/>
    <w:rsid w:val="00DC1CFE"/>
    <w:rsid w:val="00DC219E"/>
    <w:rsid w:val="00DC2B68"/>
    <w:rsid w:val="00DC2CB8"/>
    <w:rsid w:val="00DC3BBC"/>
    <w:rsid w:val="00DC4011"/>
    <w:rsid w:val="00DC5C19"/>
    <w:rsid w:val="00DD056F"/>
    <w:rsid w:val="00DD0908"/>
    <w:rsid w:val="00DD1BDD"/>
    <w:rsid w:val="00DD1E1F"/>
    <w:rsid w:val="00DD2B50"/>
    <w:rsid w:val="00DD3076"/>
    <w:rsid w:val="00DD364A"/>
    <w:rsid w:val="00DD422D"/>
    <w:rsid w:val="00DD439B"/>
    <w:rsid w:val="00DD481F"/>
    <w:rsid w:val="00DD5204"/>
    <w:rsid w:val="00DD56F2"/>
    <w:rsid w:val="00DD6BAA"/>
    <w:rsid w:val="00DE05E4"/>
    <w:rsid w:val="00DE1A4E"/>
    <w:rsid w:val="00DE31DE"/>
    <w:rsid w:val="00DE381F"/>
    <w:rsid w:val="00DE3DD4"/>
    <w:rsid w:val="00DE571E"/>
    <w:rsid w:val="00DE5987"/>
    <w:rsid w:val="00DE7CEE"/>
    <w:rsid w:val="00DF074E"/>
    <w:rsid w:val="00DF2B46"/>
    <w:rsid w:val="00DF37D8"/>
    <w:rsid w:val="00DF3D56"/>
    <w:rsid w:val="00DF414D"/>
    <w:rsid w:val="00DF487E"/>
    <w:rsid w:val="00DF491C"/>
    <w:rsid w:val="00DF5294"/>
    <w:rsid w:val="00E052B4"/>
    <w:rsid w:val="00E06623"/>
    <w:rsid w:val="00E066B1"/>
    <w:rsid w:val="00E06E9D"/>
    <w:rsid w:val="00E07961"/>
    <w:rsid w:val="00E07F03"/>
    <w:rsid w:val="00E133F8"/>
    <w:rsid w:val="00E1474E"/>
    <w:rsid w:val="00E15B85"/>
    <w:rsid w:val="00E1764E"/>
    <w:rsid w:val="00E2059B"/>
    <w:rsid w:val="00E209A5"/>
    <w:rsid w:val="00E22E65"/>
    <w:rsid w:val="00E2551A"/>
    <w:rsid w:val="00E27FE9"/>
    <w:rsid w:val="00E31FC0"/>
    <w:rsid w:val="00E32273"/>
    <w:rsid w:val="00E33039"/>
    <w:rsid w:val="00E330A5"/>
    <w:rsid w:val="00E3628A"/>
    <w:rsid w:val="00E36EEC"/>
    <w:rsid w:val="00E43153"/>
    <w:rsid w:val="00E43879"/>
    <w:rsid w:val="00E46CCD"/>
    <w:rsid w:val="00E50E37"/>
    <w:rsid w:val="00E548A3"/>
    <w:rsid w:val="00E561AC"/>
    <w:rsid w:val="00E5693B"/>
    <w:rsid w:val="00E57DCB"/>
    <w:rsid w:val="00E6721F"/>
    <w:rsid w:val="00E67A7D"/>
    <w:rsid w:val="00E70EB7"/>
    <w:rsid w:val="00E71BA4"/>
    <w:rsid w:val="00E72AE1"/>
    <w:rsid w:val="00E73976"/>
    <w:rsid w:val="00E73A34"/>
    <w:rsid w:val="00E73BEC"/>
    <w:rsid w:val="00E75305"/>
    <w:rsid w:val="00E76F0E"/>
    <w:rsid w:val="00E77E37"/>
    <w:rsid w:val="00E826A2"/>
    <w:rsid w:val="00E82B8B"/>
    <w:rsid w:val="00E82EDC"/>
    <w:rsid w:val="00E8416F"/>
    <w:rsid w:val="00E844FF"/>
    <w:rsid w:val="00E8462A"/>
    <w:rsid w:val="00E84B06"/>
    <w:rsid w:val="00E86BB3"/>
    <w:rsid w:val="00E87D00"/>
    <w:rsid w:val="00E92997"/>
    <w:rsid w:val="00E92DB5"/>
    <w:rsid w:val="00E934E1"/>
    <w:rsid w:val="00E93B63"/>
    <w:rsid w:val="00E95578"/>
    <w:rsid w:val="00EA0225"/>
    <w:rsid w:val="00EA0F20"/>
    <w:rsid w:val="00EA30C5"/>
    <w:rsid w:val="00EA384C"/>
    <w:rsid w:val="00EA50AF"/>
    <w:rsid w:val="00EA5B59"/>
    <w:rsid w:val="00EA713B"/>
    <w:rsid w:val="00EA76B5"/>
    <w:rsid w:val="00EB02FA"/>
    <w:rsid w:val="00EB49EA"/>
    <w:rsid w:val="00EB5B64"/>
    <w:rsid w:val="00EB67D7"/>
    <w:rsid w:val="00EB68D5"/>
    <w:rsid w:val="00EB70CB"/>
    <w:rsid w:val="00EB7467"/>
    <w:rsid w:val="00EB7A5C"/>
    <w:rsid w:val="00EB7DD4"/>
    <w:rsid w:val="00EC00BC"/>
    <w:rsid w:val="00EC0DBD"/>
    <w:rsid w:val="00EC0F72"/>
    <w:rsid w:val="00EC119F"/>
    <w:rsid w:val="00EC66E8"/>
    <w:rsid w:val="00EC6B1D"/>
    <w:rsid w:val="00EC6F2C"/>
    <w:rsid w:val="00ED0159"/>
    <w:rsid w:val="00ED0969"/>
    <w:rsid w:val="00ED0AAD"/>
    <w:rsid w:val="00ED39E7"/>
    <w:rsid w:val="00ED4A32"/>
    <w:rsid w:val="00ED5E0D"/>
    <w:rsid w:val="00ED65D0"/>
    <w:rsid w:val="00EE4556"/>
    <w:rsid w:val="00EE6185"/>
    <w:rsid w:val="00EE64EC"/>
    <w:rsid w:val="00EF1812"/>
    <w:rsid w:val="00EF1AF9"/>
    <w:rsid w:val="00EF206A"/>
    <w:rsid w:val="00EF4640"/>
    <w:rsid w:val="00EF564C"/>
    <w:rsid w:val="00EF5812"/>
    <w:rsid w:val="00EF71AC"/>
    <w:rsid w:val="00EF7317"/>
    <w:rsid w:val="00F0157E"/>
    <w:rsid w:val="00F0232C"/>
    <w:rsid w:val="00F02E58"/>
    <w:rsid w:val="00F03620"/>
    <w:rsid w:val="00F0482E"/>
    <w:rsid w:val="00F04BDE"/>
    <w:rsid w:val="00F07939"/>
    <w:rsid w:val="00F1083B"/>
    <w:rsid w:val="00F130B8"/>
    <w:rsid w:val="00F1398D"/>
    <w:rsid w:val="00F1546E"/>
    <w:rsid w:val="00F1619A"/>
    <w:rsid w:val="00F16642"/>
    <w:rsid w:val="00F172F9"/>
    <w:rsid w:val="00F17ECF"/>
    <w:rsid w:val="00F20815"/>
    <w:rsid w:val="00F223A5"/>
    <w:rsid w:val="00F229D3"/>
    <w:rsid w:val="00F2338D"/>
    <w:rsid w:val="00F25D8F"/>
    <w:rsid w:val="00F26BDC"/>
    <w:rsid w:val="00F3099B"/>
    <w:rsid w:val="00F32940"/>
    <w:rsid w:val="00F40843"/>
    <w:rsid w:val="00F42234"/>
    <w:rsid w:val="00F43419"/>
    <w:rsid w:val="00F43D76"/>
    <w:rsid w:val="00F43DEC"/>
    <w:rsid w:val="00F43EA8"/>
    <w:rsid w:val="00F45897"/>
    <w:rsid w:val="00F47278"/>
    <w:rsid w:val="00F508DF"/>
    <w:rsid w:val="00F54F34"/>
    <w:rsid w:val="00F57454"/>
    <w:rsid w:val="00F61362"/>
    <w:rsid w:val="00F616A7"/>
    <w:rsid w:val="00F62444"/>
    <w:rsid w:val="00F62F3D"/>
    <w:rsid w:val="00F638CB"/>
    <w:rsid w:val="00F64824"/>
    <w:rsid w:val="00F6531E"/>
    <w:rsid w:val="00F667C0"/>
    <w:rsid w:val="00F66A7D"/>
    <w:rsid w:val="00F6773A"/>
    <w:rsid w:val="00F67E95"/>
    <w:rsid w:val="00F73828"/>
    <w:rsid w:val="00F761CA"/>
    <w:rsid w:val="00F76BBE"/>
    <w:rsid w:val="00F80633"/>
    <w:rsid w:val="00F811B8"/>
    <w:rsid w:val="00F82ADB"/>
    <w:rsid w:val="00F83FC2"/>
    <w:rsid w:val="00F864FF"/>
    <w:rsid w:val="00F87AC5"/>
    <w:rsid w:val="00F90839"/>
    <w:rsid w:val="00F91676"/>
    <w:rsid w:val="00F91A3A"/>
    <w:rsid w:val="00F97097"/>
    <w:rsid w:val="00F9714B"/>
    <w:rsid w:val="00F97153"/>
    <w:rsid w:val="00F97890"/>
    <w:rsid w:val="00FA187C"/>
    <w:rsid w:val="00FA3534"/>
    <w:rsid w:val="00FA48EF"/>
    <w:rsid w:val="00FA4A50"/>
    <w:rsid w:val="00FA4B80"/>
    <w:rsid w:val="00FB2297"/>
    <w:rsid w:val="00FB2F1F"/>
    <w:rsid w:val="00FB2F7A"/>
    <w:rsid w:val="00FB2FFC"/>
    <w:rsid w:val="00FB4A7A"/>
    <w:rsid w:val="00FC25F0"/>
    <w:rsid w:val="00FC3380"/>
    <w:rsid w:val="00FC4A99"/>
    <w:rsid w:val="00FC5AE4"/>
    <w:rsid w:val="00FC6AE0"/>
    <w:rsid w:val="00FD0EB3"/>
    <w:rsid w:val="00FD5017"/>
    <w:rsid w:val="00FD6099"/>
    <w:rsid w:val="00FD6727"/>
    <w:rsid w:val="00FD6D6B"/>
    <w:rsid w:val="00FE0ACE"/>
    <w:rsid w:val="00FE3A1B"/>
    <w:rsid w:val="00FE3A48"/>
    <w:rsid w:val="00FE3FF9"/>
    <w:rsid w:val="00FE4EF8"/>
    <w:rsid w:val="00FE512A"/>
    <w:rsid w:val="00FE5EC0"/>
    <w:rsid w:val="00FE60B4"/>
    <w:rsid w:val="00FE7712"/>
    <w:rsid w:val="00FF10D4"/>
    <w:rsid w:val="00FF18C8"/>
    <w:rsid w:val="00FF1DD6"/>
    <w:rsid w:val="00FF335B"/>
    <w:rsid w:val="00FF429E"/>
    <w:rsid w:val="00FF5205"/>
    <w:rsid w:val="00FF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7C3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DBD"/>
    <w:rPr>
      <w:sz w:val="24"/>
      <w:szCs w:val="24"/>
    </w:rPr>
  </w:style>
  <w:style w:type="paragraph" w:styleId="Heading1">
    <w:name w:val="heading 1"/>
    <w:basedOn w:val="Normal"/>
    <w:next w:val="Normal"/>
    <w:link w:val="Heading1Char"/>
    <w:qFormat/>
    <w:rsid w:val="00666AD9"/>
    <w:pPr>
      <w:keepNext/>
      <w:keepLines/>
      <w:numPr>
        <w:numId w:val="1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66AD9"/>
    <w:pPr>
      <w:keepNext/>
      <w:keepLines/>
      <w:numPr>
        <w:ilvl w:val="1"/>
        <w:numId w:val="1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666AD9"/>
    <w:pPr>
      <w:keepNext/>
      <w:keepLines/>
      <w:numPr>
        <w:ilvl w:val="2"/>
        <w:numId w:val="13"/>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666AD9"/>
    <w:pPr>
      <w:keepNext/>
      <w:keepLines/>
      <w:numPr>
        <w:ilvl w:val="3"/>
        <w:numId w:val="1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666AD9"/>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666AD9"/>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666AD9"/>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666AD9"/>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66AD9"/>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1DBD"/>
    <w:pPr>
      <w:tabs>
        <w:tab w:val="center" w:pos="4320"/>
        <w:tab w:val="right" w:pos="8640"/>
      </w:tabs>
    </w:pPr>
  </w:style>
  <w:style w:type="paragraph" w:styleId="Title">
    <w:name w:val="Title"/>
    <w:basedOn w:val="Normal"/>
    <w:qFormat/>
    <w:rsid w:val="003B1DBD"/>
    <w:pPr>
      <w:jc w:val="center"/>
    </w:pPr>
    <w:rPr>
      <w:rFonts w:ascii="Helvetica" w:hAnsi="Helvetica"/>
      <w:b/>
      <w:szCs w:val="20"/>
    </w:rPr>
  </w:style>
  <w:style w:type="paragraph" w:styleId="Footer">
    <w:name w:val="footer"/>
    <w:basedOn w:val="Normal"/>
    <w:rsid w:val="003B1DBD"/>
    <w:pPr>
      <w:tabs>
        <w:tab w:val="center" w:pos="4320"/>
        <w:tab w:val="right" w:pos="8640"/>
      </w:tabs>
    </w:pPr>
  </w:style>
  <w:style w:type="character" w:styleId="PageNumber">
    <w:name w:val="page number"/>
    <w:basedOn w:val="DefaultParagraphFont"/>
    <w:rsid w:val="003B1DBD"/>
  </w:style>
  <w:style w:type="table" w:styleId="TableGrid">
    <w:name w:val="Table Grid"/>
    <w:basedOn w:val="TableNormal"/>
    <w:rsid w:val="009B7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8A2"/>
    <w:pPr>
      <w:ind w:left="720"/>
      <w:contextualSpacing/>
    </w:pPr>
  </w:style>
  <w:style w:type="paragraph" w:customStyle="1" w:styleId="Default">
    <w:name w:val="Default"/>
    <w:rsid w:val="0023576C"/>
    <w:pPr>
      <w:autoSpaceDE w:val="0"/>
      <w:autoSpaceDN w:val="0"/>
      <w:adjustRightInd w:val="0"/>
    </w:pPr>
    <w:rPr>
      <w:color w:val="000000"/>
      <w:sz w:val="24"/>
      <w:szCs w:val="24"/>
    </w:rPr>
  </w:style>
  <w:style w:type="paragraph" w:styleId="FootnoteText">
    <w:name w:val="footnote text"/>
    <w:basedOn w:val="Normal"/>
    <w:link w:val="FootnoteTextChar"/>
    <w:rsid w:val="00333133"/>
    <w:rPr>
      <w:sz w:val="20"/>
      <w:szCs w:val="20"/>
    </w:rPr>
  </w:style>
  <w:style w:type="character" w:customStyle="1" w:styleId="FootnoteTextChar">
    <w:name w:val="Footnote Text Char"/>
    <w:basedOn w:val="DefaultParagraphFont"/>
    <w:link w:val="FootnoteText"/>
    <w:rsid w:val="00333133"/>
  </w:style>
  <w:style w:type="character" w:styleId="FootnoteReference">
    <w:name w:val="footnote reference"/>
    <w:basedOn w:val="DefaultParagraphFont"/>
    <w:uiPriority w:val="99"/>
    <w:rsid w:val="00333133"/>
    <w:rPr>
      <w:vertAlign w:val="superscript"/>
    </w:rPr>
  </w:style>
  <w:style w:type="character" w:styleId="CommentReference">
    <w:name w:val="annotation reference"/>
    <w:basedOn w:val="DefaultParagraphFont"/>
    <w:rsid w:val="008C21C9"/>
    <w:rPr>
      <w:sz w:val="16"/>
      <w:szCs w:val="16"/>
    </w:rPr>
  </w:style>
  <w:style w:type="paragraph" w:styleId="CommentText">
    <w:name w:val="annotation text"/>
    <w:basedOn w:val="Normal"/>
    <w:link w:val="CommentTextChar"/>
    <w:rsid w:val="008C21C9"/>
    <w:rPr>
      <w:sz w:val="20"/>
      <w:szCs w:val="20"/>
    </w:rPr>
  </w:style>
  <w:style w:type="character" w:customStyle="1" w:styleId="CommentTextChar">
    <w:name w:val="Comment Text Char"/>
    <w:basedOn w:val="DefaultParagraphFont"/>
    <w:link w:val="CommentText"/>
    <w:rsid w:val="008C21C9"/>
  </w:style>
  <w:style w:type="paragraph" w:styleId="CommentSubject">
    <w:name w:val="annotation subject"/>
    <w:basedOn w:val="CommentText"/>
    <w:next w:val="CommentText"/>
    <w:link w:val="CommentSubjectChar"/>
    <w:rsid w:val="008C21C9"/>
    <w:rPr>
      <w:b/>
      <w:bCs/>
    </w:rPr>
  </w:style>
  <w:style w:type="character" w:customStyle="1" w:styleId="CommentSubjectChar">
    <w:name w:val="Comment Subject Char"/>
    <w:basedOn w:val="CommentTextChar"/>
    <w:link w:val="CommentSubject"/>
    <w:rsid w:val="008C21C9"/>
    <w:rPr>
      <w:b/>
      <w:bCs/>
    </w:rPr>
  </w:style>
  <w:style w:type="paragraph" w:styleId="Revision">
    <w:name w:val="Revision"/>
    <w:hidden/>
    <w:uiPriority w:val="99"/>
    <w:semiHidden/>
    <w:rsid w:val="003762B7"/>
    <w:rPr>
      <w:sz w:val="24"/>
      <w:szCs w:val="24"/>
    </w:rPr>
  </w:style>
  <w:style w:type="character" w:styleId="Hyperlink">
    <w:name w:val="Hyperlink"/>
    <w:basedOn w:val="DefaultParagraphFont"/>
    <w:rsid w:val="0087518F"/>
    <w:rPr>
      <w:color w:val="0563C1" w:themeColor="hyperlink"/>
      <w:u w:val="single"/>
    </w:rPr>
  </w:style>
  <w:style w:type="character" w:styleId="FollowedHyperlink">
    <w:name w:val="FollowedHyperlink"/>
    <w:basedOn w:val="DefaultParagraphFont"/>
    <w:rsid w:val="0087518F"/>
    <w:rPr>
      <w:color w:val="954F72" w:themeColor="followedHyperlink"/>
      <w:u w:val="single"/>
    </w:rPr>
  </w:style>
  <w:style w:type="character" w:customStyle="1" w:styleId="StyleFootnoteReference13ptBlack">
    <w:name w:val="Style Footnote Reference + 13 pt Black"/>
    <w:basedOn w:val="FootnoteReference"/>
    <w:qFormat/>
    <w:rsid w:val="00423CB6"/>
    <w:rPr>
      <w:b/>
      <w:color w:val="000000"/>
      <w:sz w:val="26"/>
      <w:u w:val="single"/>
      <w:vertAlign w:val="superscript"/>
    </w:rPr>
  </w:style>
  <w:style w:type="character" w:customStyle="1" w:styleId="Heading1Char">
    <w:name w:val="Heading 1 Char"/>
    <w:basedOn w:val="DefaultParagraphFont"/>
    <w:link w:val="Heading1"/>
    <w:rsid w:val="00666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666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666AD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666AD9"/>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666AD9"/>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666AD9"/>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666AD9"/>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666A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666AD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4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puc.ca.gov/industries-and-topics/wildfires/wildfires-staff-investig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A881D-0B1C-4FF9-8820-6E35FAA60F76}">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12</ap:Pages>
  <ap:Words>3769</ap:Words>
  <ap:Characters>21486</ap:Characters>
  <ap:Application>Microsoft Office Word</ap:Application>
  <ap:DocSecurity>0</ap:DocSecurity>
  <ap:Lines>179</ap:Lines>
  <ap:Paragraphs>50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25205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2022-07-11T15:42:12Z</dcterms:created>
  <dcterms:modified xsi:type="dcterms:W3CDTF">2022-07-11T15:42:12Z</dcterms:modified>
</cp:coreProperties>
</file>