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77B03" w:rsidR="00B141AB" w:rsidP="00B141AB" w:rsidRDefault="00436C89" w14:paraId="01013584" w14:textId="638471BE">
      <w:pPr>
        <w:tabs>
          <w:tab w:val="center" w:pos="4320"/>
          <w:tab w:val="right" w:pos="9360"/>
        </w:tabs>
        <w:rPr>
          <w:b/>
          <w:bCs/>
          <w:szCs w:val="26"/>
        </w:rPr>
      </w:pPr>
      <w:r w:rsidRPr="00777B03">
        <w:t>C</w:t>
      </w:r>
      <w:r w:rsidRPr="00777B03" w:rsidR="004C35A0">
        <w:t>OM</w:t>
      </w:r>
      <w:r w:rsidRPr="00777B03" w:rsidR="008959A4">
        <w:t>/</w:t>
      </w:r>
      <w:r w:rsidRPr="00777B03" w:rsidR="004C35A0">
        <w:t>CR6/</w:t>
      </w:r>
      <w:r w:rsidRPr="00777B03" w:rsidR="00777B03">
        <w:t>nd3</w:t>
      </w:r>
      <w:r w:rsidRPr="00777B03" w:rsidR="003516F1">
        <w:tab/>
      </w:r>
      <w:r w:rsidRPr="00777B03" w:rsidR="00B141AB">
        <w:rPr>
          <w:b/>
          <w:bCs/>
        </w:rPr>
        <w:t>PROPOSED DECISION</w:t>
      </w:r>
      <w:r w:rsidRPr="00777B03" w:rsidR="00B141AB">
        <w:rPr>
          <w:b/>
          <w:bCs/>
        </w:rPr>
        <w:tab/>
      </w:r>
      <w:r w:rsidRPr="00777B03" w:rsidR="00B141AB">
        <w:rPr>
          <w:b/>
          <w:bCs/>
          <w:szCs w:val="26"/>
        </w:rPr>
        <w:t>Agenda ID #</w:t>
      </w:r>
      <w:r w:rsidRPr="00330FC2" w:rsidR="00330FC2">
        <w:rPr>
          <w:b/>
          <w:bCs/>
          <w:szCs w:val="26"/>
        </w:rPr>
        <w:t>20848</w:t>
      </w:r>
      <w:r w:rsidR="008D1023">
        <w:rPr>
          <w:b/>
          <w:bCs/>
          <w:szCs w:val="26"/>
        </w:rPr>
        <w:t xml:space="preserve"> (Rev.1)</w:t>
      </w:r>
    </w:p>
    <w:p w:rsidR="00B141AB" w:rsidP="00B141AB" w:rsidRDefault="00B141AB" w14:paraId="266ECBF1" w14:textId="4E60C487">
      <w:pPr>
        <w:jc w:val="right"/>
        <w:rPr>
          <w:b/>
          <w:bCs/>
        </w:rPr>
      </w:pPr>
      <w:r w:rsidRPr="00777B03">
        <w:rPr>
          <w:b/>
          <w:bCs/>
        </w:rPr>
        <w:t>Quasi</w:t>
      </w:r>
      <w:r w:rsidR="00154071">
        <w:rPr>
          <w:b/>
          <w:bCs/>
        </w:rPr>
        <w:noBreakHyphen/>
      </w:r>
      <w:r w:rsidRPr="00777B03">
        <w:rPr>
          <w:b/>
          <w:bCs/>
        </w:rPr>
        <w:t>Legislative</w:t>
      </w:r>
    </w:p>
    <w:p w:rsidRPr="00777B03" w:rsidR="00CC4861" w:rsidP="00B141AB" w:rsidRDefault="00CC4861" w14:paraId="71605B50" w14:textId="1A722D12">
      <w:pPr>
        <w:jc w:val="right"/>
      </w:pPr>
      <w:r>
        <w:rPr>
          <w:b/>
          <w:bCs/>
        </w:rPr>
        <w:t>9/15/2022  Item #33</w:t>
      </w:r>
    </w:p>
    <w:p w:rsidRPr="00777B03" w:rsidR="008959A4" w:rsidP="00BC0231" w:rsidRDefault="008959A4" w14:paraId="0E37358D" w14:textId="54194F1A">
      <w:pPr>
        <w:rPr>
          <w:bCs/>
        </w:rPr>
      </w:pPr>
    </w:p>
    <w:p w:rsidR="008959A4" w:rsidP="008959A4" w:rsidRDefault="008959A4" w14:paraId="770E2881" w14:textId="77777777"/>
    <w:p w:rsidRPr="006C569D" w:rsidR="008959A4" w:rsidP="008959A4" w:rsidRDefault="008959A4" w14:paraId="7534C53C" w14:textId="580DE357">
      <w:pPr>
        <w:ind w:left="1080" w:hanging="1080"/>
        <w:rPr>
          <w:b/>
          <w:bCs/>
        </w:rPr>
      </w:pPr>
      <w:r>
        <w:t xml:space="preserve">Decision </w:t>
      </w:r>
      <w:r w:rsidRPr="00B13298" w:rsidR="008535C4">
        <w:rPr>
          <w:b/>
          <w:bCs/>
          <w:u w:val="single"/>
        </w:rPr>
        <w:t>PROPOSED DECISION OF COMMISSIONER RECHTSCHAFFEN</w:t>
      </w:r>
      <w:r w:rsidRPr="00C55331" w:rsidR="00C55331">
        <w:rPr>
          <w:b/>
          <w:bCs/>
        </w:rPr>
        <w:t xml:space="preserve"> </w:t>
      </w:r>
      <w:r w:rsidRPr="00A43885" w:rsidR="00C55331">
        <w:rPr>
          <w:b/>
          <w:bCs/>
          <w:u w:val="single"/>
        </w:rPr>
        <w:t xml:space="preserve">(Mailed </w:t>
      </w:r>
      <w:r w:rsidR="00330FC2">
        <w:rPr>
          <w:b/>
          <w:bCs/>
          <w:u w:val="single"/>
        </w:rPr>
        <w:t>8</w:t>
      </w:r>
      <w:r w:rsidRPr="00A43885" w:rsidR="00C55331">
        <w:rPr>
          <w:b/>
          <w:bCs/>
          <w:u w:val="single"/>
        </w:rPr>
        <w:t>/</w:t>
      </w:r>
      <w:r w:rsidR="00E74CEB">
        <w:rPr>
          <w:b/>
          <w:bCs/>
          <w:u w:val="single"/>
        </w:rPr>
        <w:t>8</w:t>
      </w:r>
      <w:r w:rsidRPr="00A43885" w:rsidR="00C55331">
        <w:rPr>
          <w:b/>
          <w:bCs/>
          <w:u w:val="single"/>
        </w:rPr>
        <w:t>/2022)</w:t>
      </w:r>
    </w:p>
    <w:p w:rsidR="008959A4" w:rsidP="008959A4" w:rsidRDefault="008959A4" w14:paraId="047F900D" w14:textId="7FDFCAC5">
      <w:pPr>
        <w:shd w:val="clear" w:color="auto" w:fill="FFFFFF" w:themeFill="background1"/>
      </w:pPr>
    </w:p>
    <w:p w:rsidR="00265A8A" w:rsidP="008959A4" w:rsidRDefault="00265A8A" w14:paraId="4772D8EF" w14:textId="77777777">
      <w:pPr>
        <w:shd w:val="clear" w:color="auto" w:fill="FFFFFF" w:themeFill="background1"/>
      </w:pPr>
    </w:p>
    <w:p w:rsidRPr="00BC79F1" w:rsidR="008959A4" w:rsidP="008959A4" w:rsidRDefault="008959A4" w14:paraId="2CC602F0" w14:textId="77777777">
      <w:pPr>
        <w:keepNext/>
        <w:shd w:val="clear" w:color="auto" w:fill="FFFFFF" w:themeFill="background1"/>
        <w:jc w:val="center"/>
        <w:rPr>
          <w:rFonts w:ascii="Arial" w:hAnsi="Arial" w:cs="Arial"/>
          <w:b/>
          <w:spacing w:val="-8"/>
          <w:szCs w:val="26"/>
        </w:rPr>
      </w:pPr>
      <w:r w:rsidRPr="00D860EE">
        <w:rPr>
          <w:rFonts w:ascii="Arial" w:hAnsi="Arial" w:cs="Arial"/>
          <w:b/>
          <w:spacing w:val="-8"/>
          <w:szCs w:val="26"/>
        </w:rPr>
        <w:t>BEFORE THE PUBLIC UTILITIES COMMISSION OF THE STATE OF CALIFORNIA</w:t>
      </w:r>
    </w:p>
    <w:p w:rsidR="00C36571" w:rsidP="008959A4" w:rsidRDefault="00C36571" w14:paraId="1014D439" w14:textId="0A1E3B72">
      <w:pPr>
        <w:shd w:val="clear" w:color="auto" w:fill="FFFFFF" w:themeFill="background1"/>
        <w:suppressAutoHyphens/>
        <w:jc w:val="center"/>
        <w:rPr>
          <w:rFonts w:ascii="Arial" w:hAnsi="Arial" w:cs="Arial"/>
        </w:rPr>
      </w:pPr>
    </w:p>
    <w:tbl>
      <w:tblPr>
        <w:tblStyle w:val="TableGrid"/>
        <w:tblW w:w="9360" w:type="dxa"/>
        <w:jc w:val="center"/>
        <w:tblLayout w:type="fixed"/>
        <w:tblLook w:val="04A0" w:firstRow="1" w:lastRow="0" w:firstColumn="1" w:lastColumn="0" w:noHBand="0" w:noVBand="1"/>
      </w:tblPr>
      <w:tblGrid>
        <w:gridCol w:w="4680"/>
        <w:gridCol w:w="4680"/>
      </w:tblGrid>
      <w:tr w:rsidR="00C36571" w:rsidTr="002F2FDB" w14:paraId="224F7437" w14:textId="77777777">
        <w:trPr>
          <w:jc w:val="center"/>
        </w:trPr>
        <w:tc>
          <w:tcPr>
            <w:tcW w:w="4680" w:type="dxa"/>
            <w:tcBorders>
              <w:top w:val="nil"/>
              <w:left w:val="nil"/>
              <w:bottom w:val="single" w:color="auto" w:sz="4" w:space="0"/>
              <w:right w:val="single" w:color="auto" w:sz="4" w:space="0"/>
            </w:tcBorders>
          </w:tcPr>
          <w:p w:rsidR="00C36571" w:rsidP="003A49B6" w:rsidRDefault="00265A8A" w14:paraId="27E8E637" w14:textId="21B0DDAA">
            <w:pPr>
              <w:rPr>
                <w:rFonts w:cs="TimesNewRomanPS-BoldMT"/>
                <w:szCs w:val="26"/>
              </w:rPr>
            </w:pPr>
            <w:r w:rsidRPr="00265A8A">
              <w:rPr>
                <w:rFonts w:cs="TimesNewRomanPS-BoldMT"/>
                <w:szCs w:val="26"/>
              </w:rPr>
              <w:t>Order Instituting Rulemaking Regarding Building Decarbonization.</w:t>
            </w:r>
          </w:p>
          <w:p w:rsidRPr="00DA7B5D" w:rsidR="00265A8A" w:rsidP="003A49B6" w:rsidRDefault="00265A8A" w14:paraId="7501B71B" w14:textId="6D27B8C9">
            <w:pPr>
              <w:rPr>
                <w:rFonts w:cs="TimesNewRomanPS-BoldMT"/>
                <w:szCs w:val="26"/>
              </w:rPr>
            </w:pPr>
          </w:p>
        </w:tc>
        <w:tc>
          <w:tcPr>
            <w:tcW w:w="4680" w:type="dxa"/>
            <w:tcBorders>
              <w:top w:val="nil"/>
              <w:left w:val="single" w:color="auto" w:sz="4" w:space="0"/>
              <w:bottom w:val="nil"/>
              <w:right w:val="nil"/>
            </w:tcBorders>
            <w:vAlign w:val="center"/>
          </w:tcPr>
          <w:p w:rsidRPr="00DA7B5D" w:rsidR="00C36571" w:rsidP="003A49B6" w:rsidRDefault="00C36571" w14:paraId="5DDA7F38" w14:textId="68DAC221">
            <w:pPr>
              <w:jc w:val="center"/>
              <w:rPr>
                <w:rFonts w:cs="TimesNewRomanPS-BoldMT"/>
                <w:szCs w:val="26"/>
              </w:rPr>
            </w:pPr>
            <w:r>
              <w:rPr>
                <w:rFonts w:cs="TimesNewRomanPS-BoldMT"/>
                <w:szCs w:val="26"/>
              </w:rPr>
              <w:t>Rulemaking 19</w:t>
            </w:r>
            <w:r w:rsidR="00513B3F">
              <w:rPr>
                <w:rFonts w:cs="TimesNewRomanPS-BoldMT"/>
                <w:szCs w:val="26"/>
              </w:rPr>
              <w:noBreakHyphen/>
            </w:r>
            <w:r>
              <w:rPr>
                <w:rFonts w:cs="TimesNewRomanPS-BoldMT"/>
                <w:szCs w:val="26"/>
              </w:rPr>
              <w:t>01</w:t>
            </w:r>
            <w:r w:rsidR="00513B3F">
              <w:rPr>
                <w:rFonts w:cs="TimesNewRomanPS-BoldMT"/>
                <w:szCs w:val="26"/>
              </w:rPr>
              <w:noBreakHyphen/>
            </w:r>
            <w:r>
              <w:rPr>
                <w:rFonts w:cs="TimesNewRomanPS-BoldMT"/>
                <w:szCs w:val="26"/>
              </w:rPr>
              <w:t>011</w:t>
            </w:r>
          </w:p>
        </w:tc>
      </w:tr>
    </w:tbl>
    <w:p w:rsidR="00C36571" w:rsidP="00CC46C9" w:rsidRDefault="00C36571" w14:paraId="44DB3963" w14:textId="293574EA">
      <w:pPr>
        <w:shd w:val="clear" w:color="auto" w:fill="FFFFFF" w:themeFill="background1"/>
        <w:suppressAutoHyphens/>
        <w:jc w:val="center"/>
        <w:rPr>
          <w:rFonts w:ascii="Arial" w:hAnsi="Arial" w:cs="Arial"/>
        </w:rPr>
      </w:pPr>
    </w:p>
    <w:p w:rsidR="00C36571" w:rsidP="00CC46C9" w:rsidRDefault="00C36571" w14:paraId="02D308B5" w14:textId="77777777">
      <w:pPr>
        <w:shd w:val="clear" w:color="auto" w:fill="FFFFFF" w:themeFill="background1"/>
        <w:suppressAutoHyphens/>
        <w:jc w:val="center"/>
        <w:rPr>
          <w:rFonts w:ascii="Arial" w:hAnsi="Arial" w:cs="Arial"/>
        </w:rPr>
      </w:pPr>
    </w:p>
    <w:p w:rsidRPr="00FE629A" w:rsidR="00FE629A" w:rsidP="00023D57" w:rsidRDefault="00023D57" w14:paraId="26D03405" w14:textId="2DE29CC3">
      <w:pPr>
        <w:pStyle w:val="Dummy"/>
        <w:jc w:val="center"/>
      </w:pPr>
      <w:bookmarkStart w:name="_Toc45616407" w:id="0"/>
      <w:bookmarkStart w:name="_Toc69733468" w:id="1"/>
      <w:bookmarkStart w:name="_Toc69733828" w:id="2"/>
      <w:bookmarkStart w:name="_Toc69734513" w:id="3"/>
      <w:bookmarkStart w:name="_Toc69947732" w:id="4"/>
      <w:bookmarkStart w:name="_Toc109376093" w:id="5"/>
      <w:bookmarkStart w:name="Title" w:id="6"/>
      <w:bookmarkStart w:name="_Toc109141126" w:id="7"/>
      <w:bookmarkStart w:name="_Toc110598540" w:id="8"/>
      <w:r>
        <w:t xml:space="preserve">PHASE III </w:t>
      </w:r>
      <w:r w:rsidRPr="009F23A2">
        <w:t xml:space="preserve">DECISION </w:t>
      </w:r>
      <w:bookmarkStart w:name="_Hlk93411277" w:id="9"/>
      <w:bookmarkStart w:name="_Toc429737056" w:id="10"/>
      <w:bookmarkEnd w:id="0"/>
      <w:bookmarkEnd w:id="1"/>
      <w:bookmarkEnd w:id="2"/>
      <w:bookmarkEnd w:id="3"/>
      <w:bookmarkEnd w:id="4"/>
      <w:r w:rsidRPr="009F23A2">
        <w:t>ELIMINATING GAS LINE EXTENSION ALLOWANCES, TEN</w:t>
      </w:r>
      <w:r w:rsidR="00154071">
        <w:noBreakHyphen/>
      </w:r>
      <w:r w:rsidRPr="009F23A2">
        <w:t>YEAR REFUNDABLE PAYMENT OPTION</w:t>
      </w:r>
      <w:r>
        <w:t>,</w:t>
      </w:r>
      <w:r w:rsidRPr="009F23A2">
        <w:t xml:space="preserve"> AND FIFTY PERCENT DISCOUNT PAYMENT OPTION</w:t>
      </w:r>
      <w:bookmarkEnd w:id="9"/>
      <w:r w:rsidRPr="006C2A43">
        <w:t xml:space="preserve"> </w:t>
      </w:r>
      <w:r>
        <w:t>UNDER GAS LINE EXTENSION RULES</w:t>
      </w:r>
      <w:bookmarkEnd w:id="5"/>
      <w:bookmarkEnd w:id="6"/>
      <w:bookmarkEnd w:id="7"/>
      <w:bookmarkEnd w:id="8"/>
    </w:p>
    <w:p w:rsidRPr="00E70E92" w:rsidR="008959A4" w:rsidP="00A16542" w:rsidRDefault="008959A4" w14:paraId="7C792D12" w14:textId="77777777">
      <w:pPr>
        <w:pStyle w:val="Main"/>
        <w:jc w:val="left"/>
      </w:pPr>
    </w:p>
    <w:bookmarkEnd w:id="10"/>
    <w:p w:rsidR="008959A4" w:rsidP="002F2FDB" w:rsidRDefault="008959A4" w14:paraId="50E06141" w14:textId="77777777">
      <w:pPr>
        <w:pStyle w:val="Dummy"/>
        <w:ind w:left="1440"/>
        <w:jc w:val="center"/>
        <w:sectPr w:rsidR="008959A4" w:rsidSect="00F75780">
          <w:headerReference w:type="default" r:id="rId12"/>
          <w:footerReference w:type="default" r:id="rId13"/>
          <w:footerReference w:type="first" r:id="rId14"/>
          <w:pgSz w:w="12240" w:h="15840" w:code="1"/>
          <w:pgMar w:top="1728" w:right="1440" w:bottom="1440" w:left="1440" w:header="720" w:footer="720" w:gutter="0"/>
          <w:pgNumType w:start="1"/>
          <w:cols w:space="720"/>
          <w:titlePg/>
          <w:docGrid w:linePitch="360"/>
        </w:sectPr>
      </w:pPr>
    </w:p>
    <w:p w:rsidRPr="00DD6709" w:rsidR="008959A4" w:rsidP="007D38D5" w:rsidRDefault="008959A4" w14:paraId="4AFFEE3A" w14:textId="77777777">
      <w:pPr>
        <w:suppressAutoHyphens/>
        <w:spacing w:line="360" w:lineRule="auto"/>
        <w:jc w:val="center"/>
        <w:rPr>
          <w:b/>
        </w:rPr>
      </w:pPr>
      <w:bookmarkStart w:name="_Toc2523435" w:id="11"/>
      <w:r w:rsidRPr="00C80002">
        <w:rPr>
          <w:b/>
        </w:rPr>
        <w:lastRenderedPageBreak/>
        <w:t>TABLE OF CONTENTS</w:t>
      </w:r>
    </w:p>
    <w:p w:rsidRPr="007D38D5" w:rsidR="008959A4" w:rsidP="007D38D5" w:rsidRDefault="008959A4" w14:paraId="57630B53" w14:textId="6B4682E3">
      <w:pPr>
        <w:tabs>
          <w:tab w:val="right" w:pos="9360"/>
        </w:tabs>
        <w:suppressAutoHyphens/>
        <w:spacing w:line="360" w:lineRule="auto"/>
        <w:rPr>
          <w:b/>
        </w:rPr>
      </w:pPr>
      <w:r w:rsidRPr="007D38D5">
        <w:rPr>
          <w:b/>
        </w:rPr>
        <w:t>Title</w:t>
      </w:r>
      <w:r w:rsidRPr="007D38D5">
        <w:rPr>
          <w:b/>
        </w:rPr>
        <w:tab/>
        <w:t xml:space="preserve"> Page</w:t>
      </w:r>
    </w:p>
    <w:p w:rsidR="00FF06D1" w:rsidP="00FF06D1" w:rsidRDefault="007D38D5" w14:paraId="4B6C3D8F" w14:textId="114050D3">
      <w:pPr>
        <w:pStyle w:val="TOC1"/>
        <w:tabs>
          <w:tab w:val="right" w:leader="dot" w:pos="9350"/>
        </w:tabs>
        <w:ind w:left="0" w:firstLine="0"/>
        <w:rPr>
          <w:rFonts w:asciiTheme="minorHAnsi" w:hAnsiTheme="minorHAnsi" w:cstheme="minorBidi"/>
          <w:noProof/>
          <w:sz w:val="22"/>
          <w:szCs w:val="22"/>
        </w:rPr>
      </w:pPr>
      <w:r>
        <w:fldChar w:fldCharType="begin"/>
      </w:r>
      <w:r>
        <w:instrText xml:space="preserve"> TOC \o "1-3" \h \z \u </w:instrText>
      </w:r>
      <w:r>
        <w:fldChar w:fldCharType="separate"/>
      </w:r>
      <w:hyperlink w:history="1" w:anchor="_Toc110598540">
        <w:r w:rsidRPr="0070556D" w:rsidR="00FF06D1">
          <w:rPr>
            <w:rStyle w:val="Hyperlink"/>
            <w:noProof/>
          </w:rPr>
          <w:t>PHASE III DECISION ELIMINATING GAS LINE EXTENSION ALLOWANCES, TEN</w:t>
        </w:r>
        <w:r w:rsidRPr="0070556D" w:rsidR="00FF06D1">
          <w:rPr>
            <w:rStyle w:val="Hyperlink"/>
            <w:noProof/>
          </w:rPr>
          <w:noBreakHyphen/>
          <w:t>YEAR REFUNDABLE PAYMENT OPTION, AND FIFTY PERCENT DISCOUNT PAYMENT OPTION UNDER GAS LINE EXTENSION RULES</w:t>
        </w:r>
        <w:r w:rsidR="00FF06D1">
          <w:rPr>
            <w:noProof/>
            <w:webHidden/>
          </w:rPr>
          <w:tab/>
        </w:r>
        <w:r w:rsidR="00FF06D1">
          <w:rPr>
            <w:noProof/>
            <w:webHidden/>
          </w:rPr>
          <w:fldChar w:fldCharType="begin"/>
        </w:r>
        <w:r w:rsidR="00FF06D1">
          <w:rPr>
            <w:noProof/>
            <w:webHidden/>
          </w:rPr>
          <w:instrText xml:space="preserve"> PAGEREF _Toc110598540 \h </w:instrText>
        </w:r>
        <w:r w:rsidR="00FF06D1">
          <w:rPr>
            <w:noProof/>
            <w:webHidden/>
          </w:rPr>
        </w:r>
        <w:r w:rsidR="00FF06D1">
          <w:rPr>
            <w:noProof/>
            <w:webHidden/>
          </w:rPr>
          <w:fldChar w:fldCharType="separate"/>
        </w:r>
        <w:r w:rsidR="00FF06D1">
          <w:rPr>
            <w:noProof/>
            <w:webHidden/>
          </w:rPr>
          <w:t>1</w:t>
        </w:r>
        <w:r w:rsidR="00FF06D1">
          <w:rPr>
            <w:noProof/>
            <w:webHidden/>
          </w:rPr>
          <w:fldChar w:fldCharType="end"/>
        </w:r>
      </w:hyperlink>
    </w:p>
    <w:p w:rsidR="00FF06D1" w:rsidRDefault="006462FD" w14:paraId="128271FD" w14:textId="3955BB8F">
      <w:pPr>
        <w:pStyle w:val="TOC1"/>
        <w:tabs>
          <w:tab w:val="right" w:leader="dot" w:pos="9350"/>
        </w:tabs>
        <w:rPr>
          <w:rFonts w:asciiTheme="minorHAnsi" w:hAnsiTheme="minorHAnsi" w:cstheme="minorBidi"/>
          <w:noProof/>
          <w:sz w:val="22"/>
          <w:szCs w:val="22"/>
        </w:rPr>
      </w:pPr>
      <w:hyperlink w:history="1" w:anchor="_Toc110598541">
        <w:r w:rsidRPr="0070556D" w:rsidR="00FF06D1">
          <w:rPr>
            <w:rStyle w:val="Hyperlink"/>
            <w:noProof/>
          </w:rPr>
          <w:t>Summary</w:t>
        </w:r>
        <w:r w:rsidR="00FF06D1">
          <w:rPr>
            <w:noProof/>
            <w:webHidden/>
          </w:rPr>
          <w:tab/>
        </w:r>
        <w:r w:rsidR="00FF06D1">
          <w:rPr>
            <w:noProof/>
            <w:webHidden/>
          </w:rPr>
          <w:fldChar w:fldCharType="begin"/>
        </w:r>
        <w:r w:rsidR="00FF06D1">
          <w:rPr>
            <w:noProof/>
            <w:webHidden/>
          </w:rPr>
          <w:instrText xml:space="preserve"> PAGEREF _Toc110598541 \h </w:instrText>
        </w:r>
        <w:r w:rsidR="00FF06D1">
          <w:rPr>
            <w:noProof/>
            <w:webHidden/>
          </w:rPr>
        </w:r>
        <w:r w:rsidR="00FF06D1">
          <w:rPr>
            <w:noProof/>
            <w:webHidden/>
          </w:rPr>
          <w:fldChar w:fldCharType="separate"/>
        </w:r>
        <w:r w:rsidR="00FF06D1">
          <w:rPr>
            <w:noProof/>
            <w:webHidden/>
          </w:rPr>
          <w:t>2</w:t>
        </w:r>
        <w:r w:rsidR="00FF06D1">
          <w:rPr>
            <w:noProof/>
            <w:webHidden/>
          </w:rPr>
          <w:fldChar w:fldCharType="end"/>
        </w:r>
      </w:hyperlink>
    </w:p>
    <w:p w:rsidR="00FF06D1" w:rsidRDefault="006462FD" w14:paraId="315BC4FD" w14:textId="5BA550FE">
      <w:pPr>
        <w:pStyle w:val="TOC1"/>
        <w:tabs>
          <w:tab w:val="right" w:leader="dot" w:pos="9350"/>
        </w:tabs>
        <w:rPr>
          <w:rFonts w:asciiTheme="minorHAnsi" w:hAnsiTheme="minorHAnsi" w:cstheme="minorBidi"/>
          <w:noProof/>
          <w:sz w:val="22"/>
          <w:szCs w:val="22"/>
        </w:rPr>
      </w:pPr>
      <w:hyperlink w:history="1" w:anchor="_Toc110598542">
        <w:r w:rsidRPr="0070556D" w:rsidR="00FF06D1">
          <w:rPr>
            <w:rStyle w:val="Hyperlink"/>
            <w:noProof/>
          </w:rPr>
          <w:t>1.</w:t>
        </w:r>
        <w:r w:rsidR="00FF06D1">
          <w:rPr>
            <w:rFonts w:asciiTheme="minorHAnsi" w:hAnsiTheme="minorHAnsi" w:cstheme="minorBidi"/>
            <w:noProof/>
            <w:sz w:val="22"/>
            <w:szCs w:val="22"/>
          </w:rPr>
          <w:tab/>
        </w:r>
        <w:r w:rsidRPr="0070556D" w:rsidR="00FF06D1">
          <w:rPr>
            <w:rStyle w:val="Hyperlink"/>
            <w:noProof/>
          </w:rPr>
          <w:t>Procedural Background</w:t>
        </w:r>
        <w:r w:rsidR="00FF06D1">
          <w:rPr>
            <w:noProof/>
            <w:webHidden/>
          </w:rPr>
          <w:tab/>
        </w:r>
        <w:r w:rsidR="00FF06D1">
          <w:rPr>
            <w:noProof/>
            <w:webHidden/>
          </w:rPr>
          <w:fldChar w:fldCharType="begin"/>
        </w:r>
        <w:r w:rsidR="00FF06D1">
          <w:rPr>
            <w:noProof/>
            <w:webHidden/>
          </w:rPr>
          <w:instrText xml:space="preserve"> PAGEREF _Toc110598542 \h </w:instrText>
        </w:r>
        <w:r w:rsidR="00FF06D1">
          <w:rPr>
            <w:noProof/>
            <w:webHidden/>
          </w:rPr>
        </w:r>
        <w:r w:rsidR="00FF06D1">
          <w:rPr>
            <w:noProof/>
            <w:webHidden/>
          </w:rPr>
          <w:fldChar w:fldCharType="separate"/>
        </w:r>
        <w:r w:rsidR="00FF06D1">
          <w:rPr>
            <w:noProof/>
            <w:webHidden/>
          </w:rPr>
          <w:t>2</w:t>
        </w:r>
        <w:r w:rsidR="00FF06D1">
          <w:rPr>
            <w:noProof/>
            <w:webHidden/>
          </w:rPr>
          <w:fldChar w:fldCharType="end"/>
        </w:r>
      </w:hyperlink>
    </w:p>
    <w:p w:rsidR="00FF06D1" w:rsidRDefault="006462FD" w14:paraId="28A0DBBA" w14:textId="3C16AAB1">
      <w:pPr>
        <w:pStyle w:val="TOC2"/>
        <w:tabs>
          <w:tab w:val="left" w:pos="1123"/>
          <w:tab w:val="right" w:leader="dot" w:pos="9350"/>
        </w:tabs>
        <w:rPr>
          <w:rFonts w:asciiTheme="minorHAnsi" w:hAnsiTheme="minorHAnsi" w:cstheme="minorBidi"/>
          <w:noProof/>
          <w:sz w:val="22"/>
          <w:szCs w:val="22"/>
        </w:rPr>
      </w:pPr>
      <w:hyperlink w:history="1" w:anchor="_Toc110598543">
        <w:r w:rsidRPr="0070556D" w:rsidR="00FF06D1">
          <w:rPr>
            <w:rStyle w:val="Hyperlink"/>
            <w:noProof/>
          </w:rPr>
          <w:t>1.1.</w:t>
        </w:r>
        <w:r w:rsidR="00FF06D1">
          <w:rPr>
            <w:rFonts w:asciiTheme="minorHAnsi" w:hAnsiTheme="minorHAnsi" w:cstheme="minorBidi"/>
            <w:noProof/>
            <w:sz w:val="22"/>
            <w:szCs w:val="22"/>
          </w:rPr>
          <w:tab/>
        </w:r>
        <w:r w:rsidRPr="0070556D" w:rsidR="00FF06D1">
          <w:rPr>
            <w:rStyle w:val="Hyperlink"/>
            <w:noProof/>
          </w:rPr>
          <w:t>Senate Bill (SB) 1477</w:t>
        </w:r>
        <w:r w:rsidR="00FF06D1">
          <w:rPr>
            <w:noProof/>
            <w:webHidden/>
          </w:rPr>
          <w:tab/>
        </w:r>
        <w:r w:rsidR="00FF06D1">
          <w:rPr>
            <w:noProof/>
            <w:webHidden/>
          </w:rPr>
          <w:fldChar w:fldCharType="begin"/>
        </w:r>
        <w:r w:rsidR="00FF06D1">
          <w:rPr>
            <w:noProof/>
            <w:webHidden/>
          </w:rPr>
          <w:instrText xml:space="preserve"> PAGEREF _Toc110598543 \h </w:instrText>
        </w:r>
        <w:r w:rsidR="00FF06D1">
          <w:rPr>
            <w:noProof/>
            <w:webHidden/>
          </w:rPr>
        </w:r>
        <w:r w:rsidR="00FF06D1">
          <w:rPr>
            <w:noProof/>
            <w:webHidden/>
          </w:rPr>
          <w:fldChar w:fldCharType="separate"/>
        </w:r>
        <w:r w:rsidR="00FF06D1">
          <w:rPr>
            <w:noProof/>
            <w:webHidden/>
          </w:rPr>
          <w:t>2</w:t>
        </w:r>
        <w:r w:rsidR="00FF06D1">
          <w:rPr>
            <w:noProof/>
            <w:webHidden/>
          </w:rPr>
          <w:fldChar w:fldCharType="end"/>
        </w:r>
      </w:hyperlink>
    </w:p>
    <w:p w:rsidR="00FF06D1" w:rsidRDefault="006462FD" w14:paraId="3E1A42CA" w14:textId="42643BAB">
      <w:pPr>
        <w:pStyle w:val="TOC2"/>
        <w:tabs>
          <w:tab w:val="left" w:pos="1123"/>
          <w:tab w:val="right" w:leader="dot" w:pos="9350"/>
        </w:tabs>
        <w:rPr>
          <w:rFonts w:asciiTheme="minorHAnsi" w:hAnsiTheme="minorHAnsi" w:cstheme="minorBidi"/>
          <w:noProof/>
          <w:sz w:val="22"/>
          <w:szCs w:val="22"/>
        </w:rPr>
      </w:pPr>
      <w:hyperlink w:history="1" w:anchor="_Toc110598544">
        <w:r w:rsidRPr="0070556D" w:rsidR="00FF06D1">
          <w:rPr>
            <w:rStyle w:val="Hyperlink"/>
            <w:noProof/>
          </w:rPr>
          <w:t>1.2.</w:t>
        </w:r>
        <w:r w:rsidR="00FF06D1">
          <w:rPr>
            <w:rFonts w:asciiTheme="minorHAnsi" w:hAnsiTheme="minorHAnsi" w:cstheme="minorBidi"/>
            <w:noProof/>
            <w:sz w:val="22"/>
            <w:szCs w:val="22"/>
          </w:rPr>
          <w:tab/>
        </w:r>
        <w:r w:rsidRPr="0070556D" w:rsidR="00FF06D1">
          <w:rPr>
            <w:rStyle w:val="Hyperlink"/>
            <w:noProof/>
          </w:rPr>
          <w:t>Phase I</w:t>
        </w:r>
        <w:r w:rsidR="00FF06D1">
          <w:rPr>
            <w:noProof/>
            <w:webHidden/>
          </w:rPr>
          <w:tab/>
        </w:r>
        <w:r w:rsidR="00FF06D1">
          <w:rPr>
            <w:noProof/>
            <w:webHidden/>
          </w:rPr>
          <w:fldChar w:fldCharType="begin"/>
        </w:r>
        <w:r w:rsidR="00FF06D1">
          <w:rPr>
            <w:noProof/>
            <w:webHidden/>
          </w:rPr>
          <w:instrText xml:space="preserve"> PAGEREF _Toc110598544 \h </w:instrText>
        </w:r>
        <w:r w:rsidR="00FF06D1">
          <w:rPr>
            <w:noProof/>
            <w:webHidden/>
          </w:rPr>
        </w:r>
        <w:r w:rsidR="00FF06D1">
          <w:rPr>
            <w:noProof/>
            <w:webHidden/>
          </w:rPr>
          <w:fldChar w:fldCharType="separate"/>
        </w:r>
        <w:r w:rsidR="00FF06D1">
          <w:rPr>
            <w:noProof/>
            <w:webHidden/>
          </w:rPr>
          <w:t>3</w:t>
        </w:r>
        <w:r w:rsidR="00FF06D1">
          <w:rPr>
            <w:noProof/>
            <w:webHidden/>
          </w:rPr>
          <w:fldChar w:fldCharType="end"/>
        </w:r>
      </w:hyperlink>
    </w:p>
    <w:p w:rsidR="00FF06D1" w:rsidRDefault="006462FD" w14:paraId="10811F85" w14:textId="74179AAD">
      <w:pPr>
        <w:pStyle w:val="TOC2"/>
        <w:tabs>
          <w:tab w:val="left" w:pos="1123"/>
          <w:tab w:val="right" w:leader="dot" w:pos="9350"/>
        </w:tabs>
        <w:rPr>
          <w:rFonts w:asciiTheme="minorHAnsi" w:hAnsiTheme="minorHAnsi" w:cstheme="minorBidi"/>
          <w:noProof/>
          <w:sz w:val="22"/>
          <w:szCs w:val="22"/>
        </w:rPr>
      </w:pPr>
      <w:hyperlink w:history="1" w:anchor="_Toc110598545">
        <w:r w:rsidRPr="0070556D" w:rsidR="00FF06D1">
          <w:rPr>
            <w:rStyle w:val="Hyperlink"/>
            <w:noProof/>
          </w:rPr>
          <w:t>1.3.</w:t>
        </w:r>
        <w:r w:rsidR="00FF06D1">
          <w:rPr>
            <w:rFonts w:asciiTheme="minorHAnsi" w:hAnsiTheme="minorHAnsi" w:cstheme="minorBidi"/>
            <w:noProof/>
            <w:sz w:val="22"/>
            <w:szCs w:val="22"/>
          </w:rPr>
          <w:tab/>
        </w:r>
        <w:r w:rsidRPr="0070556D" w:rsidR="00FF06D1">
          <w:rPr>
            <w:rStyle w:val="Hyperlink"/>
            <w:noProof/>
          </w:rPr>
          <w:t>Phase II</w:t>
        </w:r>
        <w:r w:rsidR="00FF06D1">
          <w:rPr>
            <w:noProof/>
            <w:webHidden/>
          </w:rPr>
          <w:tab/>
        </w:r>
        <w:r w:rsidR="00FF06D1">
          <w:rPr>
            <w:noProof/>
            <w:webHidden/>
          </w:rPr>
          <w:fldChar w:fldCharType="begin"/>
        </w:r>
        <w:r w:rsidR="00FF06D1">
          <w:rPr>
            <w:noProof/>
            <w:webHidden/>
          </w:rPr>
          <w:instrText xml:space="preserve"> PAGEREF _Toc110598545 \h </w:instrText>
        </w:r>
        <w:r w:rsidR="00FF06D1">
          <w:rPr>
            <w:noProof/>
            <w:webHidden/>
          </w:rPr>
        </w:r>
        <w:r w:rsidR="00FF06D1">
          <w:rPr>
            <w:noProof/>
            <w:webHidden/>
          </w:rPr>
          <w:fldChar w:fldCharType="separate"/>
        </w:r>
        <w:r w:rsidR="00FF06D1">
          <w:rPr>
            <w:noProof/>
            <w:webHidden/>
          </w:rPr>
          <w:t>4</w:t>
        </w:r>
        <w:r w:rsidR="00FF06D1">
          <w:rPr>
            <w:noProof/>
            <w:webHidden/>
          </w:rPr>
          <w:fldChar w:fldCharType="end"/>
        </w:r>
      </w:hyperlink>
    </w:p>
    <w:p w:rsidR="00FF06D1" w:rsidRDefault="006462FD" w14:paraId="44A2E684" w14:textId="1102553B">
      <w:pPr>
        <w:pStyle w:val="TOC2"/>
        <w:tabs>
          <w:tab w:val="left" w:pos="1123"/>
          <w:tab w:val="right" w:leader="dot" w:pos="9350"/>
        </w:tabs>
        <w:rPr>
          <w:rFonts w:asciiTheme="minorHAnsi" w:hAnsiTheme="minorHAnsi" w:cstheme="minorBidi"/>
          <w:noProof/>
          <w:sz w:val="22"/>
          <w:szCs w:val="22"/>
        </w:rPr>
      </w:pPr>
      <w:hyperlink w:history="1" w:anchor="_Toc110598546">
        <w:r w:rsidRPr="0070556D" w:rsidR="00FF06D1">
          <w:rPr>
            <w:rStyle w:val="Hyperlink"/>
            <w:noProof/>
          </w:rPr>
          <w:t>1.4.</w:t>
        </w:r>
        <w:r w:rsidR="00FF06D1">
          <w:rPr>
            <w:rFonts w:asciiTheme="minorHAnsi" w:hAnsiTheme="minorHAnsi" w:cstheme="minorBidi"/>
            <w:noProof/>
            <w:sz w:val="22"/>
            <w:szCs w:val="22"/>
          </w:rPr>
          <w:tab/>
        </w:r>
        <w:r w:rsidRPr="0070556D" w:rsidR="00FF06D1">
          <w:rPr>
            <w:rStyle w:val="Hyperlink"/>
            <w:noProof/>
          </w:rPr>
          <w:t>Phase III</w:t>
        </w:r>
        <w:r w:rsidR="00FF06D1">
          <w:rPr>
            <w:noProof/>
            <w:webHidden/>
          </w:rPr>
          <w:tab/>
        </w:r>
        <w:r w:rsidR="00FF06D1">
          <w:rPr>
            <w:noProof/>
            <w:webHidden/>
          </w:rPr>
          <w:fldChar w:fldCharType="begin"/>
        </w:r>
        <w:r w:rsidR="00FF06D1">
          <w:rPr>
            <w:noProof/>
            <w:webHidden/>
          </w:rPr>
          <w:instrText xml:space="preserve"> PAGEREF _Toc110598546 \h </w:instrText>
        </w:r>
        <w:r w:rsidR="00FF06D1">
          <w:rPr>
            <w:noProof/>
            <w:webHidden/>
          </w:rPr>
        </w:r>
        <w:r w:rsidR="00FF06D1">
          <w:rPr>
            <w:noProof/>
            <w:webHidden/>
          </w:rPr>
          <w:fldChar w:fldCharType="separate"/>
        </w:r>
        <w:r w:rsidR="00FF06D1">
          <w:rPr>
            <w:noProof/>
            <w:webHidden/>
          </w:rPr>
          <w:t>4</w:t>
        </w:r>
        <w:r w:rsidR="00FF06D1">
          <w:rPr>
            <w:noProof/>
            <w:webHidden/>
          </w:rPr>
          <w:fldChar w:fldCharType="end"/>
        </w:r>
      </w:hyperlink>
    </w:p>
    <w:p w:rsidR="00FF06D1" w:rsidRDefault="006462FD" w14:paraId="38722E72" w14:textId="319E32A4">
      <w:pPr>
        <w:pStyle w:val="TOC1"/>
        <w:tabs>
          <w:tab w:val="right" w:leader="dot" w:pos="9350"/>
        </w:tabs>
        <w:rPr>
          <w:rFonts w:asciiTheme="minorHAnsi" w:hAnsiTheme="minorHAnsi" w:cstheme="minorBidi"/>
          <w:noProof/>
          <w:sz w:val="22"/>
          <w:szCs w:val="22"/>
        </w:rPr>
      </w:pPr>
      <w:hyperlink w:history="1" w:anchor="_Toc110598547">
        <w:r w:rsidRPr="0070556D" w:rsidR="00FF06D1">
          <w:rPr>
            <w:rStyle w:val="Hyperlink"/>
            <w:noProof/>
          </w:rPr>
          <w:t>2.</w:t>
        </w:r>
        <w:r w:rsidR="00FF06D1">
          <w:rPr>
            <w:rFonts w:asciiTheme="minorHAnsi" w:hAnsiTheme="minorHAnsi" w:cstheme="minorBidi"/>
            <w:noProof/>
            <w:sz w:val="22"/>
            <w:szCs w:val="22"/>
          </w:rPr>
          <w:tab/>
        </w:r>
        <w:r w:rsidRPr="0070556D" w:rsidR="00FF06D1">
          <w:rPr>
            <w:rStyle w:val="Hyperlink"/>
            <w:noProof/>
          </w:rPr>
          <w:t>Issues Before the Commission</w:t>
        </w:r>
        <w:r w:rsidR="00FF06D1">
          <w:rPr>
            <w:noProof/>
            <w:webHidden/>
          </w:rPr>
          <w:tab/>
        </w:r>
        <w:r w:rsidR="00FF06D1">
          <w:rPr>
            <w:noProof/>
            <w:webHidden/>
          </w:rPr>
          <w:fldChar w:fldCharType="begin"/>
        </w:r>
        <w:r w:rsidR="00FF06D1">
          <w:rPr>
            <w:noProof/>
            <w:webHidden/>
          </w:rPr>
          <w:instrText xml:space="preserve"> PAGEREF _Toc110598547 \h </w:instrText>
        </w:r>
        <w:r w:rsidR="00FF06D1">
          <w:rPr>
            <w:noProof/>
            <w:webHidden/>
          </w:rPr>
        </w:r>
        <w:r w:rsidR="00FF06D1">
          <w:rPr>
            <w:noProof/>
            <w:webHidden/>
          </w:rPr>
          <w:fldChar w:fldCharType="separate"/>
        </w:r>
        <w:r w:rsidR="00FF06D1">
          <w:rPr>
            <w:noProof/>
            <w:webHidden/>
          </w:rPr>
          <w:t>8</w:t>
        </w:r>
        <w:r w:rsidR="00FF06D1">
          <w:rPr>
            <w:noProof/>
            <w:webHidden/>
          </w:rPr>
          <w:fldChar w:fldCharType="end"/>
        </w:r>
      </w:hyperlink>
    </w:p>
    <w:p w:rsidR="00FF06D1" w:rsidRDefault="006462FD" w14:paraId="0F6C92C0" w14:textId="137C8466">
      <w:pPr>
        <w:pStyle w:val="TOC1"/>
        <w:tabs>
          <w:tab w:val="right" w:leader="dot" w:pos="9350"/>
        </w:tabs>
        <w:rPr>
          <w:rFonts w:asciiTheme="minorHAnsi" w:hAnsiTheme="minorHAnsi" w:cstheme="minorBidi"/>
          <w:noProof/>
          <w:sz w:val="22"/>
          <w:szCs w:val="22"/>
        </w:rPr>
      </w:pPr>
      <w:hyperlink w:history="1" w:anchor="_Toc110598548">
        <w:r w:rsidRPr="0070556D" w:rsidR="00FF06D1">
          <w:rPr>
            <w:rStyle w:val="Hyperlink"/>
            <w:noProof/>
          </w:rPr>
          <w:t>3.</w:t>
        </w:r>
        <w:r w:rsidR="00FF06D1">
          <w:rPr>
            <w:rFonts w:asciiTheme="minorHAnsi" w:hAnsiTheme="minorHAnsi" w:cstheme="minorBidi"/>
            <w:noProof/>
            <w:sz w:val="22"/>
            <w:szCs w:val="22"/>
          </w:rPr>
          <w:tab/>
        </w:r>
        <w:r w:rsidRPr="0070556D" w:rsidR="00FF06D1">
          <w:rPr>
            <w:rStyle w:val="Hyperlink"/>
            <w:noProof/>
          </w:rPr>
          <w:t>Gas Line Subsidies</w:t>
        </w:r>
        <w:r w:rsidR="00FF06D1">
          <w:rPr>
            <w:noProof/>
            <w:webHidden/>
          </w:rPr>
          <w:tab/>
        </w:r>
        <w:r w:rsidR="00FF06D1">
          <w:rPr>
            <w:noProof/>
            <w:webHidden/>
          </w:rPr>
          <w:fldChar w:fldCharType="begin"/>
        </w:r>
        <w:r w:rsidR="00FF06D1">
          <w:rPr>
            <w:noProof/>
            <w:webHidden/>
          </w:rPr>
          <w:instrText xml:space="preserve"> PAGEREF _Toc110598548 \h </w:instrText>
        </w:r>
        <w:r w:rsidR="00FF06D1">
          <w:rPr>
            <w:noProof/>
            <w:webHidden/>
          </w:rPr>
        </w:r>
        <w:r w:rsidR="00FF06D1">
          <w:rPr>
            <w:noProof/>
            <w:webHidden/>
          </w:rPr>
          <w:fldChar w:fldCharType="separate"/>
        </w:r>
        <w:r w:rsidR="00FF06D1">
          <w:rPr>
            <w:noProof/>
            <w:webHidden/>
          </w:rPr>
          <w:t>8</w:t>
        </w:r>
        <w:r w:rsidR="00FF06D1">
          <w:rPr>
            <w:noProof/>
            <w:webHidden/>
          </w:rPr>
          <w:fldChar w:fldCharType="end"/>
        </w:r>
      </w:hyperlink>
    </w:p>
    <w:p w:rsidR="00FF06D1" w:rsidRDefault="006462FD" w14:paraId="5346803A" w14:textId="07E85645">
      <w:pPr>
        <w:pStyle w:val="TOC2"/>
        <w:tabs>
          <w:tab w:val="left" w:pos="1123"/>
          <w:tab w:val="right" w:leader="dot" w:pos="9350"/>
        </w:tabs>
        <w:rPr>
          <w:rFonts w:asciiTheme="minorHAnsi" w:hAnsiTheme="minorHAnsi" w:cstheme="minorBidi"/>
          <w:noProof/>
          <w:sz w:val="22"/>
          <w:szCs w:val="22"/>
        </w:rPr>
      </w:pPr>
      <w:hyperlink w:history="1" w:anchor="_Toc110598549">
        <w:r w:rsidRPr="0070556D" w:rsidR="00FF06D1">
          <w:rPr>
            <w:rStyle w:val="Hyperlink"/>
            <w:noProof/>
          </w:rPr>
          <w:t>3.1.</w:t>
        </w:r>
        <w:r w:rsidR="00FF06D1">
          <w:rPr>
            <w:rFonts w:asciiTheme="minorHAnsi" w:hAnsiTheme="minorHAnsi" w:cstheme="minorBidi"/>
            <w:noProof/>
            <w:sz w:val="22"/>
            <w:szCs w:val="22"/>
          </w:rPr>
          <w:tab/>
        </w:r>
        <w:r w:rsidRPr="0070556D" w:rsidR="00FF06D1">
          <w:rPr>
            <w:rStyle w:val="Hyperlink"/>
            <w:noProof/>
          </w:rPr>
          <w:t>History of Gas Line Subsidies</w:t>
        </w:r>
        <w:r w:rsidR="00FF06D1">
          <w:rPr>
            <w:noProof/>
            <w:webHidden/>
          </w:rPr>
          <w:tab/>
        </w:r>
        <w:r w:rsidR="00FF06D1">
          <w:rPr>
            <w:noProof/>
            <w:webHidden/>
          </w:rPr>
          <w:fldChar w:fldCharType="begin"/>
        </w:r>
        <w:r w:rsidR="00FF06D1">
          <w:rPr>
            <w:noProof/>
            <w:webHidden/>
          </w:rPr>
          <w:instrText xml:space="preserve"> PAGEREF _Toc110598549 \h </w:instrText>
        </w:r>
        <w:r w:rsidR="00FF06D1">
          <w:rPr>
            <w:noProof/>
            <w:webHidden/>
          </w:rPr>
        </w:r>
        <w:r w:rsidR="00FF06D1">
          <w:rPr>
            <w:noProof/>
            <w:webHidden/>
          </w:rPr>
          <w:fldChar w:fldCharType="separate"/>
        </w:r>
        <w:r w:rsidR="00FF06D1">
          <w:rPr>
            <w:noProof/>
            <w:webHidden/>
          </w:rPr>
          <w:t>8</w:t>
        </w:r>
        <w:r w:rsidR="00FF06D1">
          <w:rPr>
            <w:noProof/>
            <w:webHidden/>
          </w:rPr>
          <w:fldChar w:fldCharType="end"/>
        </w:r>
      </w:hyperlink>
    </w:p>
    <w:p w:rsidR="00FF06D1" w:rsidRDefault="006462FD" w14:paraId="52B21EEA" w14:textId="59A54901">
      <w:pPr>
        <w:pStyle w:val="TOC2"/>
        <w:tabs>
          <w:tab w:val="left" w:pos="1123"/>
          <w:tab w:val="right" w:leader="dot" w:pos="9350"/>
        </w:tabs>
        <w:rPr>
          <w:rFonts w:asciiTheme="minorHAnsi" w:hAnsiTheme="minorHAnsi" w:cstheme="minorBidi"/>
          <w:noProof/>
          <w:sz w:val="22"/>
          <w:szCs w:val="22"/>
        </w:rPr>
      </w:pPr>
      <w:hyperlink w:history="1" w:anchor="_Toc110598550">
        <w:r w:rsidRPr="0070556D" w:rsidR="00FF06D1">
          <w:rPr>
            <w:rStyle w:val="Hyperlink"/>
            <w:noProof/>
          </w:rPr>
          <w:t>3.2.</w:t>
        </w:r>
        <w:r w:rsidR="00FF06D1">
          <w:rPr>
            <w:rFonts w:asciiTheme="minorHAnsi" w:hAnsiTheme="minorHAnsi" w:cstheme="minorBidi"/>
            <w:noProof/>
            <w:sz w:val="22"/>
            <w:szCs w:val="22"/>
          </w:rPr>
          <w:tab/>
        </w:r>
        <w:r w:rsidRPr="0070556D" w:rsidR="00FF06D1">
          <w:rPr>
            <w:rStyle w:val="Hyperlink"/>
            <w:noProof/>
          </w:rPr>
          <w:t>Line Extension Costs and Subsidies</w:t>
        </w:r>
        <w:r w:rsidR="00FF06D1">
          <w:rPr>
            <w:noProof/>
            <w:webHidden/>
          </w:rPr>
          <w:tab/>
        </w:r>
        <w:r w:rsidR="00FF06D1">
          <w:rPr>
            <w:noProof/>
            <w:webHidden/>
          </w:rPr>
          <w:fldChar w:fldCharType="begin"/>
        </w:r>
        <w:r w:rsidR="00FF06D1">
          <w:rPr>
            <w:noProof/>
            <w:webHidden/>
          </w:rPr>
          <w:instrText xml:space="preserve"> PAGEREF _Toc110598550 \h </w:instrText>
        </w:r>
        <w:r w:rsidR="00FF06D1">
          <w:rPr>
            <w:noProof/>
            <w:webHidden/>
          </w:rPr>
        </w:r>
        <w:r w:rsidR="00FF06D1">
          <w:rPr>
            <w:noProof/>
            <w:webHidden/>
          </w:rPr>
          <w:fldChar w:fldCharType="separate"/>
        </w:r>
        <w:r w:rsidR="00FF06D1">
          <w:rPr>
            <w:noProof/>
            <w:webHidden/>
          </w:rPr>
          <w:t>11</w:t>
        </w:r>
        <w:r w:rsidR="00FF06D1">
          <w:rPr>
            <w:noProof/>
            <w:webHidden/>
          </w:rPr>
          <w:fldChar w:fldCharType="end"/>
        </w:r>
      </w:hyperlink>
    </w:p>
    <w:p w:rsidR="00FF06D1" w:rsidRDefault="006462FD" w14:paraId="1658DBCA" w14:textId="4284442D">
      <w:pPr>
        <w:pStyle w:val="TOC3"/>
        <w:tabs>
          <w:tab w:val="left" w:pos="1987"/>
          <w:tab w:val="right" w:leader="dot" w:pos="9350"/>
        </w:tabs>
        <w:rPr>
          <w:rFonts w:asciiTheme="minorHAnsi" w:hAnsiTheme="minorHAnsi" w:cstheme="minorBidi"/>
          <w:noProof/>
          <w:sz w:val="22"/>
          <w:szCs w:val="22"/>
        </w:rPr>
      </w:pPr>
      <w:hyperlink w:history="1" w:anchor="_Toc110598551">
        <w:r w:rsidRPr="0070556D" w:rsidR="00FF06D1">
          <w:rPr>
            <w:rStyle w:val="Hyperlink"/>
            <w:noProof/>
          </w:rPr>
          <w:t>3.2.1.</w:t>
        </w:r>
        <w:r w:rsidR="00FF06D1">
          <w:rPr>
            <w:rFonts w:asciiTheme="minorHAnsi" w:hAnsiTheme="minorHAnsi" w:cstheme="minorBidi"/>
            <w:noProof/>
            <w:sz w:val="22"/>
            <w:szCs w:val="22"/>
          </w:rPr>
          <w:tab/>
        </w:r>
        <w:r w:rsidRPr="0070556D" w:rsidR="00FF06D1">
          <w:rPr>
            <w:rStyle w:val="Hyperlink"/>
            <w:noProof/>
          </w:rPr>
          <w:t>Allowances</w:t>
        </w:r>
        <w:r w:rsidR="00FF06D1">
          <w:rPr>
            <w:noProof/>
            <w:webHidden/>
          </w:rPr>
          <w:tab/>
        </w:r>
        <w:r w:rsidR="00FF06D1">
          <w:rPr>
            <w:noProof/>
            <w:webHidden/>
          </w:rPr>
          <w:fldChar w:fldCharType="begin"/>
        </w:r>
        <w:r w:rsidR="00FF06D1">
          <w:rPr>
            <w:noProof/>
            <w:webHidden/>
          </w:rPr>
          <w:instrText xml:space="preserve"> PAGEREF _Toc110598551 \h </w:instrText>
        </w:r>
        <w:r w:rsidR="00FF06D1">
          <w:rPr>
            <w:noProof/>
            <w:webHidden/>
          </w:rPr>
        </w:r>
        <w:r w:rsidR="00FF06D1">
          <w:rPr>
            <w:noProof/>
            <w:webHidden/>
          </w:rPr>
          <w:fldChar w:fldCharType="separate"/>
        </w:r>
        <w:r w:rsidR="00FF06D1">
          <w:rPr>
            <w:noProof/>
            <w:webHidden/>
          </w:rPr>
          <w:t>12</w:t>
        </w:r>
        <w:r w:rsidR="00FF06D1">
          <w:rPr>
            <w:noProof/>
            <w:webHidden/>
          </w:rPr>
          <w:fldChar w:fldCharType="end"/>
        </w:r>
      </w:hyperlink>
    </w:p>
    <w:p w:rsidR="00FF06D1" w:rsidRDefault="006462FD" w14:paraId="69F4939F" w14:textId="5E19D5E7">
      <w:pPr>
        <w:pStyle w:val="TOC3"/>
        <w:tabs>
          <w:tab w:val="left" w:pos="1987"/>
          <w:tab w:val="right" w:leader="dot" w:pos="9350"/>
        </w:tabs>
        <w:rPr>
          <w:rFonts w:asciiTheme="minorHAnsi" w:hAnsiTheme="minorHAnsi" w:cstheme="minorBidi"/>
          <w:noProof/>
          <w:sz w:val="22"/>
          <w:szCs w:val="22"/>
        </w:rPr>
      </w:pPr>
      <w:hyperlink w:history="1" w:anchor="_Toc110598552">
        <w:r w:rsidRPr="0070556D" w:rsidR="00FF06D1">
          <w:rPr>
            <w:rStyle w:val="Hyperlink"/>
            <w:noProof/>
          </w:rPr>
          <w:t>3.2.2.</w:t>
        </w:r>
        <w:r w:rsidR="00FF06D1">
          <w:rPr>
            <w:rFonts w:asciiTheme="minorHAnsi" w:hAnsiTheme="minorHAnsi" w:cstheme="minorBidi"/>
            <w:noProof/>
            <w:sz w:val="22"/>
            <w:szCs w:val="22"/>
          </w:rPr>
          <w:tab/>
        </w:r>
        <w:r w:rsidRPr="0070556D" w:rsidR="00FF06D1">
          <w:rPr>
            <w:rStyle w:val="Hyperlink"/>
            <w:noProof/>
          </w:rPr>
          <w:t>Refunds</w:t>
        </w:r>
        <w:r w:rsidR="00FF06D1">
          <w:rPr>
            <w:noProof/>
            <w:webHidden/>
          </w:rPr>
          <w:tab/>
        </w:r>
        <w:r w:rsidR="00FF06D1">
          <w:rPr>
            <w:noProof/>
            <w:webHidden/>
          </w:rPr>
          <w:fldChar w:fldCharType="begin"/>
        </w:r>
        <w:r w:rsidR="00FF06D1">
          <w:rPr>
            <w:noProof/>
            <w:webHidden/>
          </w:rPr>
          <w:instrText xml:space="preserve"> PAGEREF _Toc110598552 \h </w:instrText>
        </w:r>
        <w:r w:rsidR="00FF06D1">
          <w:rPr>
            <w:noProof/>
            <w:webHidden/>
          </w:rPr>
        </w:r>
        <w:r w:rsidR="00FF06D1">
          <w:rPr>
            <w:noProof/>
            <w:webHidden/>
          </w:rPr>
          <w:fldChar w:fldCharType="separate"/>
        </w:r>
        <w:r w:rsidR="00FF06D1">
          <w:rPr>
            <w:noProof/>
            <w:webHidden/>
          </w:rPr>
          <w:t>13</w:t>
        </w:r>
        <w:r w:rsidR="00FF06D1">
          <w:rPr>
            <w:noProof/>
            <w:webHidden/>
          </w:rPr>
          <w:fldChar w:fldCharType="end"/>
        </w:r>
      </w:hyperlink>
    </w:p>
    <w:p w:rsidR="00FF06D1" w:rsidRDefault="006462FD" w14:paraId="66D0204A" w14:textId="764284EC">
      <w:pPr>
        <w:pStyle w:val="TOC3"/>
        <w:tabs>
          <w:tab w:val="left" w:pos="1987"/>
          <w:tab w:val="right" w:leader="dot" w:pos="9350"/>
        </w:tabs>
        <w:rPr>
          <w:rFonts w:asciiTheme="minorHAnsi" w:hAnsiTheme="minorHAnsi" w:cstheme="minorBidi"/>
          <w:noProof/>
          <w:sz w:val="22"/>
          <w:szCs w:val="22"/>
        </w:rPr>
      </w:pPr>
      <w:hyperlink w:history="1" w:anchor="_Toc110598553">
        <w:r w:rsidRPr="0070556D" w:rsidR="00FF06D1">
          <w:rPr>
            <w:rStyle w:val="Hyperlink"/>
            <w:noProof/>
          </w:rPr>
          <w:t>3.2.3.</w:t>
        </w:r>
        <w:r w:rsidR="00FF06D1">
          <w:rPr>
            <w:rFonts w:asciiTheme="minorHAnsi" w:hAnsiTheme="minorHAnsi" w:cstheme="minorBidi"/>
            <w:noProof/>
            <w:sz w:val="22"/>
            <w:szCs w:val="22"/>
          </w:rPr>
          <w:tab/>
        </w:r>
        <w:r w:rsidRPr="0070556D" w:rsidR="00FF06D1">
          <w:rPr>
            <w:rStyle w:val="Hyperlink"/>
            <w:noProof/>
          </w:rPr>
          <w:t>Discounts</w:t>
        </w:r>
        <w:r w:rsidR="00FF06D1">
          <w:rPr>
            <w:noProof/>
            <w:webHidden/>
          </w:rPr>
          <w:tab/>
        </w:r>
        <w:r w:rsidR="00FF06D1">
          <w:rPr>
            <w:noProof/>
            <w:webHidden/>
          </w:rPr>
          <w:fldChar w:fldCharType="begin"/>
        </w:r>
        <w:r w:rsidR="00FF06D1">
          <w:rPr>
            <w:noProof/>
            <w:webHidden/>
          </w:rPr>
          <w:instrText xml:space="preserve"> PAGEREF _Toc110598553 \h </w:instrText>
        </w:r>
        <w:r w:rsidR="00FF06D1">
          <w:rPr>
            <w:noProof/>
            <w:webHidden/>
          </w:rPr>
        </w:r>
        <w:r w:rsidR="00FF06D1">
          <w:rPr>
            <w:noProof/>
            <w:webHidden/>
          </w:rPr>
          <w:fldChar w:fldCharType="separate"/>
        </w:r>
        <w:r w:rsidR="00FF06D1">
          <w:rPr>
            <w:noProof/>
            <w:webHidden/>
          </w:rPr>
          <w:t>14</w:t>
        </w:r>
        <w:r w:rsidR="00FF06D1">
          <w:rPr>
            <w:noProof/>
            <w:webHidden/>
          </w:rPr>
          <w:fldChar w:fldCharType="end"/>
        </w:r>
      </w:hyperlink>
    </w:p>
    <w:p w:rsidR="00FF06D1" w:rsidRDefault="006462FD" w14:paraId="59739571" w14:textId="7FDBD8E9">
      <w:pPr>
        <w:pStyle w:val="TOC3"/>
        <w:tabs>
          <w:tab w:val="left" w:pos="1987"/>
          <w:tab w:val="right" w:leader="dot" w:pos="9350"/>
        </w:tabs>
        <w:rPr>
          <w:rFonts w:asciiTheme="minorHAnsi" w:hAnsiTheme="minorHAnsi" w:cstheme="minorBidi"/>
          <w:noProof/>
          <w:sz w:val="22"/>
          <w:szCs w:val="22"/>
        </w:rPr>
      </w:pPr>
      <w:hyperlink w:history="1" w:anchor="_Toc110598554">
        <w:r w:rsidRPr="0070556D" w:rsidR="00FF06D1">
          <w:rPr>
            <w:rStyle w:val="Hyperlink"/>
            <w:noProof/>
          </w:rPr>
          <w:t>3.2.4.</w:t>
        </w:r>
        <w:r w:rsidR="00FF06D1">
          <w:rPr>
            <w:rFonts w:asciiTheme="minorHAnsi" w:hAnsiTheme="minorHAnsi" w:cstheme="minorBidi"/>
            <w:noProof/>
            <w:sz w:val="22"/>
            <w:szCs w:val="22"/>
          </w:rPr>
          <w:tab/>
        </w:r>
        <w:r w:rsidRPr="0070556D" w:rsidR="00FF06D1">
          <w:rPr>
            <w:rStyle w:val="Hyperlink"/>
            <w:noProof/>
          </w:rPr>
          <w:t>Total Subsidies</w:t>
        </w:r>
        <w:r w:rsidR="00FF06D1">
          <w:rPr>
            <w:noProof/>
            <w:webHidden/>
          </w:rPr>
          <w:tab/>
        </w:r>
        <w:r w:rsidR="00FF06D1">
          <w:rPr>
            <w:noProof/>
            <w:webHidden/>
          </w:rPr>
          <w:fldChar w:fldCharType="begin"/>
        </w:r>
        <w:r w:rsidR="00FF06D1">
          <w:rPr>
            <w:noProof/>
            <w:webHidden/>
          </w:rPr>
          <w:instrText xml:space="preserve"> PAGEREF _Toc110598554 \h </w:instrText>
        </w:r>
        <w:r w:rsidR="00FF06D1">
          <w:rPr>
            <w:noProof/>
            <w:webHidden/>
          </w:rPr>
        </w:r>
        <w:r w:rsidR="00FF06D1">
          <w:rPr>
            <w:noProof/>
            <w:webHidden/>
          </w:rPr>
          <w:fldChar w:fldCharType="separate"/>
        </w:r>
        <w:r w:rsidR="00FF06D1">
          <w:rPr>
            <w:noProof/>
            <w:webHidden/>
          </w:rPr>
          <w:t>14</w:t>
        </w:r>
        <w:r w:rsidR="00FF06D1">
          <w:rPr>
            <w:noProof/>
            <w:webHidden/>
          </w:rPr>
          <w:fldChar w:fldCharType="end"/>
        </w:r>
      </w:hyperlink>
    </w:p>
    <w:p w:rsidR="00FF06D1" w:rsidRDefault="006462FD" w14:paraId="4238F2BB" w14:textId="51E8404C">
      <w:pPr>
        <w:pStyle w:val="TOC1"/>
        <w:tabs>
          <w:tab w:val="right" w:leader="dot" w:pos="9350"/>
        </w:tabs>
        <w:rPr>
          <w:rFonts w:asciiTheme="minorHAnsi" w:hAnsiTheme="minorHAnsi" w:cstheme="minorBidi"/>
          <w:noProof/>
          <w:sz w:val="22"/>
          <w:szCs w:val="22"/>
        </w:rPr>
      </w:pPr>
      <w:hyperlink w:history="1" w:anchor="_Toc110598555">
        <w:r w:rsidRPr="0070556D" w:rsidR="00FF06D1">
          <w:rPr>
            <w:rStyle w:val="Hyperlink"/>
            <w:noProof/>
          </w:rPr>
          <w:t>4.</w:t>
        </w:r>
        <w:r w:rsidR="00FF06D1">
          <w:rPr>
            <w:rFonts w:asciiTheme="minorHAnsi" w:hAnsiTheme="minorHAnsi" w:cstheme="minorBidi"/>
            <w:noProof/>
            <w:sz w:val="22"/>
            <w:szCs w:val="22"/>
          </w:rPr>
          <w:tab/>
        </w:r>
        <w:r w:rsidRPr="0070556D" w:rsidR="00FF06D1">
          <w:rPr>
            <w:rStyle w:val="Hyperlink"/>
            <w:noProof/>
          </w:rPr>
          <w:t>Energy Division Staff Proposal</w:t>
        </w:r>
        <w:r w:rsidR="00FF06D1">
          <w:rPr>
            <w:noProof/>
            <w:webHidden/>
          </w:rPr>
          <w:tab/>
        </w:r>
        <w:r w:rsidR="00FF06D1">
          <w:rPr>
            <w:noProof/>
            <w:webHidden/>
          </w:rPr>
          <w:fldChar w:fldCharType="begin"/>
        </w:r>
        <w:r w:rsidR="00FF06D1">
          <w:rPr>
            <w:noProof/>
            <w:webHidden/>
          </w:rPr>
          <w:instrText xml:space="preserve"> PAGEREF _Toc110598555 \h </w:instrText>
        </w:r>
        <w:r w:rsidR="00FF06D1">
          <w:rPr>
            <w:noProof/>
            <w:webHidden/>
          </w:rPr>
        </w:r>
        <w:r w:rsidR="00FF06D1">
          <w:rPr>
            <w:noProof/>
            <w:webHidden/>
          </w:rPr>
          <w:fldChar w:fldCharType="separate"/>
        </w:r>
        <w:r w:rsidR="00FF06D1">
          <w:rPr>
            <w:noProof/>
            <w:webHidden/>
          </w:rPr>
          <w:t>16</w:t>
        </w:r>
        <w:r w:rsidR="00FF06D1">
          <w:rPr>
            <w:noProof/>
            <w:webHidden/>
          </w:rPr>
          <w:fldChar w:fldCharType="end"/>
        </w:r>
      </w:hyperlink>
    </w:p>
    <w:p w:rsidR="00FF06D1" w:rsidRDefault="006462FD" w14:paraId="1DC4D23E" w14:textId="4DF1C581">
      <w:pPr>
        <w:pStyle w:val="TOC2"/>
        <w:tabs>
          <w:tab w:val="left" w:pos="1123"/>
          <w:tab w:val="right" w:leader="dot" w:pos="9350"/>
        </w:tabs>
        <w:rPr>
          <w:rFonts w:asciiTheme="minorHAnsi" w:hAnsiTheme="minorHAnsi" w:cstheme="minorBidi"/>
          <w:noProof/>
          <w:sz w:val="22"/>
          <w:szCs w:val="22"/>
        </w:rPr>
      </w:pPr>
      <w:hyperlink w:history="1" w:anchor="_Toc110598556">
        <w:r w:rsidRPr="0070556D" w:rsidR="00FF06D1">
          <w:rPr>
            <w:rStyle w:val="Hyperlink"/>
            <w:noProof/>
          </w:rPr>
          <w:t>4.1.</w:t>
        </w:r>
        <w:r w:rsidR="00FF06D1">
          <w:rPr>
            <w:rFonts w:asciiTheme="minorHAnsi" w:hAnsiTheme="minorHAnsi" w:cstheme="minorBidi"/>
            <w:noProof/>
            <w:sz w:val="22"/>
            <w:szCs w:val="22"/>
          </w:rPr>
          <w:tab/>
        </w:r>
        <w:r w:rsidRPr="0070556D" w:rsidR="00FF06D1">
          <w:rPr>
            <w:rStyle w:val="Hyperlink"/>
            <w:noProof/>
          </w:rPr>
          <w:t>Lowers Gas Consumption and GHG Emissions</w:t>
        </w:r>
        <w:r w:rsidR="00FF06D1">
          <w:rPr>
            <w:noProof/>
            <w:webHidden/>
          </w:rPr>
          <w:tab/>
        </w:r>
        <w:r w:rsidR="00FF06D1">
          <w:rPr>
            <w:noProof/>
            <w:webHidden/>
          </w:rPr>
          <w:fldChar w:fldCharType="begin"/>
        </w:r>
        <w:r w:rsidR="00FF06D1">
          <w:rPr>
            <w:noProof/>
            <w:webHidden/>
          </w:rPr>
          <w:instrText xml:space="preserve"> PAGEREF _Toc110598556 \h </w:instrText>
        </w:r>
        <w:r w:rsidR="00FF06D1">
          <w:rPr>
            <w:noProof/>
            <w:webHidden/>
          </w:rPr>
        </w:r>
        <w:r w:rsidR="00FF06D1">
          <w:rPr>
            <w:noProof/>
            <w:webHidden/>
          </w:rPr>
          <w:fldChar w:fldCharType="separate"/>
        </w:r>
        <w:r w:rsidR="00FF06D1">
          <w:rPr>
            <w:noProof/>
            <w:webHidden/>
          </w:rPr>
          <w:t>17</w:t>
        </w:r>
        <w:r w:rsidR="00FF06D1">
          <w:rPr>
            <w:noProof/>
            <w:webHidden/>
          </w:rPr>
          <w:fldChar w:fldCharType="end"/>
        </w:r>
      </w:hyperlink>
    </w:p>
    <w:p w:rsidR="00FF06D1" w:rsidRDefault="006462FD" w14:paraId="22C253FD" w14:textId="5291BA88">
      <w:pPr>
        <w:pStyle w:val="TOC2"/>
        <w:tabs>
          <w:tab w:val="left" w:pos="1123"/>
          <w:tab w:val="right" w:leader="dot" w:pos="9350"/>
        </w:tabs>
        <w:rPr>
          <w:rFonts w:asciiTheme="minorHAnsi" w:hAnsiTheme="minorHAnsi" w:cstheme="minorBidi"/>
          <w:noProof/>
          <w:sz w:val="22"/>
          <w:szCs w:val="22"/>
        </w:rPr>
      </w:pPr>
      <w:hyperlink w:history="1" w:anchor="_Toc110598557">
        <w:r w:rsidRPr="0070556D" w:rsidR="00FF06D1">
          <w:rPr>
            <w:rStyle w:val="Hyperlink"/>
            <w:bCs/>
            <w:noProof/>
          </w:rPr>
          <w:t>4.2.</w:t>
        </w:r>
        <w:r w:rsidR="00FF06D1">
          <w:rPr>
            <w:rFonts w:asciiTheme="minorHAnsi" w:hAnsiTheme="minorHAnsi" w:cstheme="minorBidi"/>
            <w:noProof/>
            <w:sz w:val="22"/>
            <w:szCs w:val="22"/>
          </w:rPr>
          <w:tab/>
        </w:r>
        <w:r w:rsidRPr="0070556D" w:rsidR="00FF06D1">
          <w:rPr>
            <w:rStyle w:val="Hyperlink"/>
            <w:noProof/>
          </w:rPr>
          <w:t>Results in Ratepayer Savings</w:t>
        </w:r>
        <w:r w:rsidR="00FF06D1">
          <w:rPr>
            <w:noProof/>
            <w:webHidden/>
          </w:rPr>
          <w:tab/>
        </w:r>
        <w:r w:rsidR="00FF06D1">
          <w:rPr>
            <w:noProof/>
            <w:webHidden/>
          </w:rPr>
          <w:fldChar w:fldCharType="begin"/>
        </w:r>
        <w:r w:rsidR="00FF06D1">
          <w:rPr>
            <w:noProof/>
            <w:webHidden/>
          </w:rPr>
          <w:instrText xml:space="preserve"> PAGEREF _Toc110598557 \h </w:instrText>
        </w:r>
        <w:r w:rsidR="00FF06D1">
          <w:rPr>
            <w:noProof/>
            <w:webHidden/>
          </w:rPr>
        </w:r>
        <w:r w:rsidR="00FF06D1">
          <w:rPr>
            <w:noProof/>
            <w:webHidden/>
          </w:rPr>
          <w:fldChar w:fldCharType="separate"/>
        </w:r>
        <w:r w:rsidR="00FF06D1">
          <w:rPr>
            <w:noProof/>
            <w:webHidden/>
          </w:rPr>
          <w:t>17</w:t>
        </w:r>
        <w:r w:rsidR="00FF06D1">
          <w:rPr>
            <w:noProof/>
            <w:webHidden/>
          </w:rPr>
          <w:fldChar w:fldCharType="end"/>
        </w:r>
      </w:hyperlink>
    </w:p>
    <w:p w:rsidR="00FF06D1" w:rsidRDefault="006462FD" w14:paraId="141CE4FC" w14:textId="7E913D1B">
      <w:pPr>
        <w:pStyle w:val="TOC2"/>
        <w:tabs>
          <w:tab w:val="left" w:pos="1123"/>
          <w:tab w:val="right" w:leader="dot" w:pos="9350"/>
        </w:tabs>
        <w:rPr>
          <w:rFonts w:asciiTheme="minorHAnsi" w:hAnsiTheme="minorHAnsi" w:cstheme="minorBidi"/>
          <w:noProof/>
          <w:sz w:val="22"/>
          <w:szCs w:val="22"/>
        </w:rPr>
      </w:pPr>
      <w:hyperlink w:history="1" w:anchor="_Toc110598558">
        <w:r w:rsidRPr="0070556D" w:rsidR="00FF06D1">
          <w:rPr>
            <w:rStyle w:val="Hyperlink"/>
            <w:noProof/>
          </w:rPr>
          <w:t>4.3.</w:t>
        </w:r>
        <w:r w:rsidR="00FF06D1">
          <w:rPr>
            <w:rFonts w:asciiTheme="minorHAnsi" w:hAnsiTheme="minorHAnsi" w:cstheme="minorBidi"/>
            <w:noProof/>
            <w:sz w:val="22"/>
            <w:szCs w:val="22"/>
          </w:rPr>
          <w:tab/>
        </w:r>
        <w:r w:rsidRPr="0070556D" w:rsidR="00FF06D1">
          <w:rPr>
            <w:rStyle w:val="Hyperlink"/>
            <w:noProof/>
          </w:rPr>
          <w:t>Places the Financial Responsibility on the Initiating Party</w:t>
        </w:r>
        <w:r w:rsidR="00FF06D1">
          <w:rPr>
            <w:noProof/>
            <w:webHidden/>
          </w:rPr>
          <w:tab/>
        </w:r>
        <w:r w:rsidR="00FF06D1">
          <w:rPr>
            <w:noProof/>
            <w:webHidden/>
          </w:rPr>
          <w:fldChar w:fldCharType="begin"/>
        </w:r>
        <w:r w:rsidR="00FF06D1">
          <w:rPr>
            <w:noProof/>
            <w:webHidden/>
          </w:rPr>
          <w:instrText xml:space="preserve"> PAGEREF _Toc110598558 \h </w:instrText>
        </w:r>
        <w:r w:rsidR="00FF06D1">
          <w:rPr>
            <w:noProof/>
            <w:webHidden/>
          </w:rPr>
        </w:r>
        <w:r w:rsidR="00FF06D1">
          <w:rPr>
            <w:noProof/>
            <w:webHidden/>
          </w:rPr>
          <w:fldChar w:fldCharType="separate"/>
        </w:r>
        <w:r w:rsidR="00FF06D1">
          <w:rPr>
            <w:noProof/>
            <w:webHidden/>
          </w:rPr>
          <w:t>19</w:t>
        </w:r>
        <w:r w:rsidR="00FF06D1">
          <w:rPr>
            <w:noProof/>
            <w:webHidden/>
          </w:rPr>
          <w:fldChar w:fldCharType="end"/>
        </w:r>
      </w:hyperlink>
    </w:p>
    <w:p w:rsidR="00FF06D1" w:rsidRDefault="006462FD" w14:paraId="33894362" w14:textId="72275F68">
      <w:pPr>
        <w:pStyle w:val="TOC2"/>
        <w:tabs>
          <w:tab w:val="left" w:pos="1123"/>
          <w:tab w:val="right" w:leader="dot" w:pos="9350"/>
        </w:tabs>
        <w:rPr>
          <w:rFonts w:asciiTheme="minorHAnsi" w:hAnsiTheme="minorHAnsi" w:cstheme="minorBidi"/>
          <w:noProof/>
          <w:sz w:val="22"/>
          <w:szCs w:val="22"/>
        </w:rPr>
      </w:pPr>
      <w:hyperlink w:history="1" w:anchor="_Toc110598559">
        <w:r w:rsidRPr="0070556D" w:rsidR="00FF06D1">
          <w:rPr>
            <w:rStyle w:val="Hyperlink"/>
            <w:noProof/>
          </w:rPr>
          <w:t>4.4.</w:t>
        </w:r>
        <w:r w:rsidR="00FF06D1">
          <w:rPr>
            <w:rFonts w:asciiTheme="minorHAnsi" w:hAnsiTheme="minorHAnsi" w:cstheme="minorBidi"/>
            <w:noProof/>
            <w:sz w:val="22"/>
            <w:szCs w:val="22"/>
          </w:rPr>
          <w:tab/>
        </w:r>
        <w:r w:rsidRPr="0070556D" w:rsidR="00FF06D1">
          <w:rPr>
            <w:rStyle w:val="Hyperlink"/>
            <w:noProof/>
          </w:rPr>
          <w:t>Incentivizes New All</w:t>
        </w:r>
        <w:r w:rsidRPr="0070556D" w:rsidR="00FF06D1">
          <w:rPr>
            <w:rStyle w:val="Hyperlink"/>
            <w:bCs/>
            <w:noProof/>
          </w:rPr>
          <w:noBreakHyphen/>
        </w:r>
        <w:r w:rsidRPr="0070556D" w:rsidR="00FF06D1">
          <w:rPr>
            <w:rStyle w:val="Hyperlink"/>
            <w:noProof/>
          </w:rPr>
          <w:t>Electric Construction</w:t>
        </w:r>
        <w:r w:rsidR="00FF06D1">
          <w:rPr>
            <w:noProof/>
            <w:webHidden/>
          </w:rPr>
          <w:tab/>
        </w:r>
        <w:r w:rsidR="00FF06D1">
          <w:rPr>
            <w:noProof/>
            <w:webHidden/>
          </w:rPr>
          <w:fldChar w:fldCharType="begin"/>
        </w:r>
        <w:r w:rsidR="00FF06D1">
          <w:rPr>
            <w:noProof/>
            <w:webHidden/>
          </w:rPr>
          <w:instrText xml:space="preserve"> PAGEREF _Toc110598559 \h </w:instrText>
        </w:r>
        <w:r w:rsidR="00FF06D1">
          <w:rPr>
            <w:noProof/>
            <w:webHidden/>
          </w:rPr>
        </w:r>
        <w:r w:rsidR="00FF06D1">
          <w:rPr>
            <w:noProof/>
            <w:webHidden/>
          </w:rPr>
          <w:fldChar w:fldCharType="separate"/>
        </w:r>
        <w:r w:rsidR="00FF06D1">
          <w:rPr>
            <w:noProof/>
            <w:webHidden/>
          </w:rPr>
          <w:t>20</w:t>
        </w:r>
        <w:r w:rsidR="00FF06D1">
          <w:rPr>
            <w:noProof/>
            <w:webHidden/>
          </w:rPr>
          <w:fldChar w:fldCharType="end"/>
        </w:r>
      </w:hyperlink>
    </w:p>
    <w:p w:rsidR="00FF06D1" w:rsidRDefault="006462FD" w14:paraId="33EAC40B" w14:textId="5320F36D">
      <w:pPr>
        <w:pStyle w:val="TOC2"/>
        <w:tabs>
          <w:tab w:val="left" w:pos="1123"/>
          <w:tab w:val="right" w:leader="dot" w:pos="9350"/>
        </w:tabs>
        <w:rPr>
          <w:rFonts w:asciiTheme="minorHAnsi" w:hAnsiTheme="minorHAnsi" w:cstheme="minorBidi"/>
          <w:noProof/>
          <w:sz w:val="22"/>
          <w:szCs w:val="22"/>
        </w:rPr>
      </w:pPr>
      <w:hyperlink w:history="1" w:anchor="_Toc110598560">
        <w:r w:rsidRPr="0070556D" w:rsidR="00FF06D1">
          <w:rPr>
            <w:rStyle w:val="Hyperlink"/>
            <w:noProof/>
          </w:rPr>
          <w:t>4.5.</w:t>
        </w:r>
        <w:r w:rsidR="00FF06D1">
          <w:rPr>
            <w:rFonts w:asciiTheme="minorHAnsi" w:hAnsiTheme="minorHAnsi" w:cstheme="minorBidi"/>
            <w:noProof/>
            <w:sz w:val="22"/>
            <w:szCs w:val="22"/>
          </w:rPr>
          <w:tab/>
        </w:r>
        <w:r w:rsidRPr="0070556D" w:rsidR="00FF06D1">
          <w:rPr>
            <w:rStyle w:val="Hyperlink"/>
            <w:noProof/>
          </w:rPr>
          <w:t>Provides Certainty to Builder Community for Future Projects and Planning</w:t>
        </w:r>
        <w:r w:rsidR="00FF06D1">
          <w:rPr>
            <w:noProof/>
            <w:webHidden/>
          </w:rPr>
          <w:tab/>
        </w:r>
        <w:r w:rsidR="00FF06D1">
          <w:rPr>
            <w:noProof/>
            <w:webHidden/>
          </w:rPr>
          <w:fldChar w:fldCharType="begin"/>
        </w:r>
        <w:r w:rsidR="00FF06D1">
          <w:rPr>
            <w:noProof/>
            <w:webHidden/>
          </w:rPr>
          <w:instrText xml:space="preserve"> PAGEREF _Toc110598560 \h </w:instrText>
        </w:r>
        <w:r w:rsidR="00FF06D1">
          <w:rPr>
            <w:noProof/>
            <w:webHidden/>
          </w:rPr>
        </w:r>
        <w:r w:rsidR="00FF06D1">
          <w:rPr>
            <w:noProof/>
            <w:webHidden/>
          </w:rPr>
          <w:fldChar w:fldCharType="separate"/>
        </w:r>
        <w:r w:rsidR="00FF06D1">
          <w:rPr>
            <w:noProof/>
            <w:webHidden/>
          </w:rPr>
          <w:t>20</w:t>
        </w:r>
        <w:r w:rsidR="00FF06D1">
          <w:rPr>
            <w:noProof/>
            <w:webHidden/>
          </w:rPr>
          <w:fldChar w:fldCharType="end"/>
        </w:r>
      </w:hyperlink>
    </w:p>
    <w:p w:rsidR="00FF06D1" w:rsidRDefault="006462FD" w14:paraId="506FB1BD" w14:textId="6D9099FB">
      <w:pPr>
        <w:pStyle w:val="TOC2"/>
        <w:tabs>
          <w:tab w:val="left" w:pos="1123"/>
          <w:tab w:val="right" w:leader="dot" w:pos="9350"/>
        </w:tabs>
        <w:rPr>
          <w:rFonts w:asciiTheme="minorHAnsi" w:hAnsiTheme="minorHAnsi" w:cstheme="minorBidi"/>
          <w:noProof/>
          <w:sz w:val="22"/>
          <w:szCs w:val="22"/>
        </w:rPr>
      </w:pPr>
      <w:hyperlink w:history="1" w:anchor="_Toc110598561">
        <w:r w:rsidRPr="0070556D" w:rsidR="00FF06D1">
          <w:rPr>
            <w:rStyle w:val="Hyperlink"/>
            <w:noProof/>
          </w:rPr>
          <w:t>4.6.</w:t>
        </w:r>
        <w:r w:rsidR="00FF06D1">
          <w:rPr>
            <w:rFonts w:asciiTheme="minorHAnsi" w:hAnsiTheme="minorHAnsi" w:cstheme="minorBidi"/>
            <w:noProof/>
            <w:sz w:val="22"/>
            <w:szCs w:val="22"/>
          </w:rPr>
          <w:tab/>
        </w:r>
        <w:r w:rsidRPr="0070556D" w:rsidR="00FF06D1">
          <w:rPr>
            <w:rStyle w:val="Hyperlink"/>
            <w:noProof/>
          </w:rPr>
          <w:t>Minimally Impacts Property Prices</w:t>
        </w:r>
        <w:r w:rsidR="00FF06D1">
          <w:rPr>
            <w:noProof/>
            <w:webHidden/>
          </w:rPr>
          <w:tab/>
        </w:r>
        <w:r w:rsidR="00FF06D1">
          <w:rPr>
            <w:noProof/>
            <w:webHidden/>
          </w:rPr>
          <w:fldChar w:fldCharType="begin"/>
        </w:r>
        <w:r w:rsidR="00FF06D1">
          <w:rPr>
            <w:noProof/>
            <w:webHidden/>
          </w:rPr>
          <w:instrText xml:space="preserve"> PAGEREF _Toc110598561 \h </w:instrText>
        </w:r>
        <w:r w:rsidR="00FF06D1">
          <w:rPr>
            <w:noProof/>
            <w:webHidden/>
          </w:rPr>
        </w:r>
        <w:r w:rsidR="00FF06D1">
          <w:rPr>
            <w:noProof/>
            <w:webHidden/>
          </w:rPr>
          <w:fldChar w:fldCharType="separate"/>
        </w:r>
        <w:r w:rsidR="00FF06D1">
          <w:rPr>
            <w:noProof/>
            <w:webHidden/>
          </w:rPr>
          <w:t>21</w:t>
        </w:r>
        <w:r w:rsidR="00FF06D1">
          <w:rPr>
            <w:noProof/>
            <w:webHidden/>
          </w:rPr>
          <w:fldChar w:fldCharType="end"/>
        </w:r>
      </w:hyperlink>
    </w:p>
    <w:p w:rsidR="00FF06D1" w:rsidRDefault="006462FD" w14:paraId="68026E08" w14:textId="67039FBF">
      <w:pPr>
        <w:pStyle w:val="TOC1"/>
        <w:tabs>
          <w:tab w:val="right" w:leader="dot" w:pos="9350"/>
        </w:tabs>
        <w:rPr>
          <w:rFonts w:asciiTheme="minorHAnsi" w:hAnsiTheme="minorHAnsi" w:cstheme="minorBidi"/>
          <w:noProof/>
          <w:sz w:val="22"/>
          <w:szCs w:val="22"/>
        </w:rPr>
      </w:pPr>
      <w:hyperlink w:history="1" w:anchor="_Toc110598562">
        <w:r w:rsidRPr="0070556D" w:rsidR="00FF06D1">
          <w:rPr>
            <w:rStyle w:val="Hyperlink"/>
            <w:noProof/>
          </w:rPr>
          <w:t>5.</w:t>
        </w:r>
        <w:r w:rsidR="00FF06D1">
          <w:rPr>
            <w:rFonts w:asciiTheme="minorHAnsi" w:hAnsiTheme="minorHAnsi" w:cstheme="minorBidi"/>
            <w:noProof/>
            <w:sz w:val="22"/>
            <w:szCs w:val="22"/>
          </w:rPr>
          <w:tab/>
        </w:r>
        <w:r w:rsidRPr="0070556D" w:rsidR="00FF06D1">
          <w:rPr>
            <w:rStyle w:val="Hyperlink"/>
            <w:noProof/>
          </w:rPr>
          <w:t>Residential Gas Line Subsidies Revisions</w:t>
        </w:r>
        <w:r w:rsidR="00FF06D1">
          <w:rPr>
            <w:noProof/>
            <w:webHidden/>
          </w:rPr>
          <w:tab/>
        </w:r>
        <w:r w:rsidR="00FF06D1">
          <w:rPr>
            <w:noProof/>
            <w:webHidden/>
          </w:rPr>
          <w:fldChar w:fldCharType="begin"/>
        </w:r>
        <w:r w:rsidR="00FF06D1">
          <w:rPr>
            <w:noProof/>
            <w:webHidden/>
          </w:rPr>
          <w:instrText xml:space="preserve"> PAGEREF _Toc110598562 \h </w:instrText>
        </w:r>
        <w:r w:rsidR="00FF06D1">
          <w:rPr>
            <w:noProof/>
            <w:webHidden/>
          </w:rPr>
        </w:r>
        <w:r w:rsidR="00FF06D1">
          <w:rPr>
            <w:noProof/>
            <w:webHidden/>
          </w:rPr>
          <w:fldChar w:fldCharType="separate"/>
        </w:r>
        <w:r w:rsidR="00FF06D1">
          <w:rPr>
            <w:noProof/>
            <w:webHidden/>
          </w:rPr>
          <w:t>22</w:t>
        </w:r>
        <w:r w:rsidR="00FF06D1">
          <w:rPr>
            <w:noProof/>
            <w:webHidden/>
          </w:rPr>
          <w:fldChar w:fldCharType="end"/>
        </w:r>
      </w:hyperlink>
    </w:p>
    <w:p w:rsidR="00FF06D1" w:rsidRDefault="006462FD" w14:paraId="404428F6" w14:textId="0C038CFB">
      <w:pPr>
        <w:pStyle w:val="TOC2"/>
        <w:tabs>
          <w:tab w:val="left" w:pos="1123"/>
          <w:tab w:val="right" w:leader="dot" w:pos="9350"/>
        </w:tabs>
        <w:rPr>
          <w:rFonts w:asciiTheme="minorHAnsi" w:hAnsiTheme="minorHAnsi" w:cstheme="minorBidi"/>
          <w:noProof/>
          <w:sz w:val="22"/>
          <w:szCs w:val="22"/>
        </w:rPr>
      </w:pPr>
      <w:hyperlink w:history="1" w:anchor="_Toc110598563">
        <w:r w:rsidRPr="0070556D" w:rsidR="00FF06D1">
          <w:rPr>
            <w:rStyle w:val="Hyperlink"/>
            <w:noProof/>
          </w:rPr>
          <w:t>5.1.</w:t>
        </w:r>
        <w:r w:rsidR="00FF06D1">
          <w:rPr>
            <w:rFonts w:asciiTheme="minorHAnsi" w:hAnsiTheme="minorHAnsi" w:cstheme="minorBidi"/>
            <w:noProof/>
            <w:sz w:val="22"/>
            <w:szCs w:val="22"/>
          </w:rPr>
          <w:tab/>
        </w:r>
        <w:r w:rsidRPr="0070556D" w:rsidR="00FF06D1">
          <w:rPr>
            <w:rStyle w:val="Hyperlink"/>
            <w:noProof/>
          </w:rPr>
          <w:t>Positions of Parties Supporting the Staff Proposal</w:t>
        </w:r>
        <w:r w:rsidR="00FF06D1">
          <w:rPr>
            <w:noProof/>
            <w:webHidden/>
          </w:rPr>
          <w:tab/>
        </w:r>
        <w:r w:rsidR="00FF06D1">
          <w:rPr>
            <w:noProof/>
            <w:webHidden/>
          </w:rPr>
          <w:fldChar w:fldCharType="begin"/>
        </w:r>
        <w:r w:rsidR="00FF06D1">
          <w:rPr>
            <w:noProof/>
            <w:webHidden/>
          </w:rPr>
          <w:instrText xml:space="preserve"> PAGEREF _Toc110598563 \h </w:instrText>
        </w:r>
        <w:r w:rsidR="00FF06D1">
          <w:rPr>
            <w:noProof/>
            <w:webHidden/>
          </w:rPr>
        </w:r>
        <w:r w:rsidR="00FF06D1">
          <w:rPr>
            <w:noProof/>
            <w:webHidden/>
          </w:rPr>
          <w:fldChar w:fldCharType="separate"/>
        </w:r>
        <w:r w:rsidR="00FF06D1">
          <w:rPr>
            <w:noProof/>
            <w:webHidden/>
          </w:rPr>
          <w:t>22</w:t>
        </w:r>
        <w:r w:rsidR="00FF06D1">
          <w:rPr>
            <w:noProof/>
            <w:webHidden/>
          </w:rPr>
          <w:fldChar w:fldCharType="end"/>
        </w:r>
      </w:hyperlink>
    </w:p>
    <w:p w:rsidR="00FF06D1" w:rsidRDefault="006462FD" w14:paraId="11E4291B" w14:textId="4F89AB80">
      <w:pPr>
        <w:pStyle w:val="TOC2"/>
        <w:tabs>
          <w:tab w:val="left" w:pos="1123"/>
          <w:tab w:val="right" w:leader="dot" w:pos="9350"/>
        </w:tabs>
        <w:rPr>
          <w:rFonts w:asciiTheme="minorHAnsi" w:hAnsiTheme="minorHAnsi" w:cstheme="minorBidi"/>
          <w:noProof/>
          <w:sz w:val="22"/>
          <w:szCs w:val="22"/>
        </w:rPr>
      </w:pPr>
      <w:hyperlink w:history="1" w:anchor="_Toc110598564">
        <w:r w:rsidRPr="0070556D" w:rsidR="00FF06D1">
          <w:rPr>
            <w:rStyle w:val="Hyperlink"/>
            <w:noProof/>
          </w:rPr>
          <w:t>5.2.</w:t>
        </w:r>
        <w:r w:rsidR="00FF06D1">
          <w:rPr>
            <w:rFonts w:asciiTheme="minorHAnsi" w:hAnsiTheme="minorHAnsi" w:cstheme="minorBidi"/>
            <w:noProof/>
            <w:sz w:val="22"/>
            <w:szCs w:val="22"/>
          </w:rPr>
          <w:tab/>
        </w:r>
        <w:r w:rsidRPr="0070556D" w:rsidR="00FF06D1">
          <w:rPr>
            <w:rStyle w:val="Hyperlink"/>
            <w:noProof/>
          </w:rPr>
          <w:t>Positions of Parties Opposing the Staff Proposal</w:t>
        </w:r>
        <w:r w:rsidR="00FF06D1">
          <w:rPr>
            <w:noProof/>
            <w:webHidden/>
          </w:rPr>
          <w:tab/>
        </w:r>
        <w:r w:rsidR="00FF06D1">
          <w:rPr>
            <w:noProof/>
            <w:webHidden/>
          </w:rPr>
          <w:fldChar w:fldCharType="begin"/>
        </w:r>
        <w:r w:rsidR="00FF06D1">
          <w:rPr>
            <w:noProof/>
            <w:webHidden/>
          </w:rPr>
          <w:instrText xml:space="preserve"> PAGEREF _Toc110598564 \h </w:instrText>
        </w:r>
        <w:r w:rsidR="00FF06D1">
          <w:rPr>
            <w:noProof/>
            <w:webHidden/>
          </w:rPr>
        </w:r>
        <w:r w:rsidR="00FF06D1">
          <w:rPr>
            <w:noProof/>
            <w:webHidden/>
          </w:rPr>
          <w:fldChar w:fldCharType="separate"/>
        </w:r>
        <w:r w:rsidR="00FF06D1">
          <w:rPr>
            <w:noProof/>
            <w:webHidden/>
          </w:rPr>
          <w:t>24</w:t>
        </w:r>
        <w:r w:rsidR="00FF06D1">
          <w:rPr>
            <w:noProof/>
            <w:webHidden/>
          </w:rPr>
          <w:fldChar w:fldCharType="end"/>
        </w:r>
      </w:hyperlink>
    </w:p>
    <w:p w:rsidR="00FF06D1" w:rsidRDefault="006462FD" w14:paraId="7909AC13" w14:textId="4EBC8BC7">
      <w:pPr>
        <w:pStyle w:val="TOC2"/>
        <w:tabs>
          <w:tab w:val="left" w:pos="1123"/>
          <w:tab w:val="right" w:leader="dot" w:pos="9350"/>
        </w:tabs>
        <w:rPr>
          <w:rFonts w:asciiTheme="minorHAnsi" w:hAnsiTheme="minorHAnsi" w:cstheme="minorBidi"/>
          <w:noProof/>
          <w:sz w:val="22"/>
          <w:szCs w:val="22"/>
        </w:rPr>
      </w:pPr>
      <w:hyperlink w:history="1" w:anchor="_Toc110598565">
        <w:r w:rsidRPr="0070556D" w:rsidR="00FF06D1">
          <w:rPr>
            <w:rStyle w:val="Hyperlink"/>
            <w:noProof/>
          </w:rPr>
          <w:t>5.3.</w:t>
        </w:r>
        <w:r w:rsidR="00FF06D1">
          <w:rPr>
            <w:rFonts w:asciiTheme="minorHAnsi" w:hAnsiTheme="minorHAnsi" w:cstheme="minorBidi"/>
            <w:noProof/>
            <w:sz w:val="22"/>
            <w:szCs w:val="22"/>
          </w:rPr>
          <w:tab/>
        </w:r>
        <w:r w:rsidRPr="0070556D" w:rsidR="00FF06D1">
          <w:rPr>
            <w:rStyle w:val="Hyperlink"/>
            <w:noProof/>
          </w:rPr>
          <w:t>Discussion</w:t>
        </w:r>
        <w:r w:rsidR="00FF06D1">
          <w:rPr>
            <w:noProof/>
            <w:webHidden/>
          </w:rPr>
          <w:tab/>
        </w:r>
        <w:r w:rsidR="00FF06D1">
          <w:rPr>
            <w:noProof/>
            <w:webHidden/>
          </w:rPr>
          <w:fldChar w:fldCharType="begin"/>
        </w:r>
        <w:r w:rsidR="00FF06D1">
          <w:rPr>
            <w:noProof/>
            <w:webHidden/>
          </w:rPr>
          <w:instrText xml:space="preserve"> PAGEREF _Toc110598565 \h </w:instrText>
        </w:r>
        <w:r w:rsidR="00FF06D1">
          <w:rPr>
            <w:noProof/>
            <w:webHidden/>
          </w:rPr>
        </w:r>
        <w:r w:rsidR="00FF06D1">
          <w:rPr>
            <w:noProof/>
            <w:webHidden/>
          </w:rPr>
          <w:fldChar w:fldCharType="separate"/>
        </w:r>
        <w:r w:rsidR="00FF06D1">
          <w:rPr>
            <w:noProof/>
            <w:webHidden/>
          </w:rPr>
          <w:t>25</w:t>
        </w:r>
        <w:r w:rsidR="00FF06D1">
          <w:rPr>
            <w:noProof/>
            <w:webHidden/>
          </w:rPr>
          <w:fldChar w:fldCharType="end"/>
        </w:r>
      </w:hyperlink>
    </w:p>
    <w:p w:rsidR="00FF06D1" w:rsidRDefault="006462FD" w14:paraId="031B48BF" w14:textId="2FE094EC">
      <w:pPr>
        <w:pStyle w:val="TOC3"/>
        <w:tabs>
          <w:tab w:val="left" w:pos="1987"/>
          <w:tab w:val="right" w:leader="dot" w:pos="9350"/>
        </w:tabs>
        <w:rPr>
          <w:rFonts w:asciiTheme="minorHAnsi" w:hAnsiTheme="minorHAnsi" w:cstheme="minorBidi"/>
          <w:noProof/>
          <w:sz w:val="22"/>
          <w:szCs w:val="22"/>
        </w:rPr>
      </w:pPr>
      <w:hyperlink w:history="1" w:anchor="_Toc110598566">
        <w:r w:rsidRPr="0070556D" w:rsidR="00FF06D1">
          <w:rPr>
            <w:rStyle w:val="Hyperlink"/>
            <w:noProof/>
          </w:rPr>
          <w:t>5.3.1.</w:t>
        </w:r>
        <w:r w:rsidR="00FF06D1">
          <w:rPr>
            <w:rFonts w:asciiTheme="minorHAnsi" w:hAnsiTheme="minorHAnsi" w:cstheme="minorBidi"/>
            <w:noProof/>
            <w:sz w:val="22"/>
            <w:szCs w:val="22"/>
          </w:rPr>
          <w:tab/>
        </w:r>
        <w:r w:rsidRPr="0070556D" w:rsidR="00FF06D1">
          <w:rPr>
            <w:rStyle w:val="Hyperlink"/>
            <w:noProof/>
          </w:rPr>
          <w:t>Elimination of Gas Line Subsidies for Residential Customers: Approved</w:t>
        </w:r>
        <w:r w:rsidR="00FF06D1">
          <w:rPr>
            <w:noProof/>
            <w:webHidden/>
          </w:rPr>
          <w:tab/>
        </w:r>
        <w:r w:rsidR="00FF06D1">
          <w:rPr>
            <w:noProof/>
            <w:webHidden/>
          </w:rPr>
          <w:fldChar w:fldCharType="begin"/>
        </w:r>
        <w:r w:rsidR="00FF06D1">
          <w:rPr>
            <w:noProof/>
            <w:webHidden/>
          </w:rPr>
          <w:instrText xml:space="preserve"> PAGEREF _Toc110598566 \h </w:instrText>
        </w:r>
        <w:r w:rsidR="00FF06D1">
          <w:rPr>
            <w:noProof/>
            <w:webHidden/>
          </w:rPr>
        </w:r>
        <w:r w:rsidR="00FF06D1">
          <w:rPr>
            <w:noProof/>
            <w:webHidden/>
          </w:rPr>
          <w:fldChar w:fldCharType="separate"/>
        </w:r>
        <w:r w:rsidR="00FF06D1">
          <w:rPr>
            <w:noProof/>
            <w:webHidden/>
          </w:rPr>
          <w:t>25</w:t>
        </w:r>
        <w:r w:rsidR="00FF06D1">
          <w:rPr>
            <w:noProof/>
            <w:webHidden/>
          </w:rPr>
          <w:fldChar w:fldCharType="end"/>
        </w:r>
      </w:hyperlink>
    </w:p>
    <w:p w:rsidR="00FF06D1" w:rsidRDefault="006462FD" w14:paraId="48C273F8" w14:textId="0A867905">
      <w:pPr>
        <w:pStyle w:val="TOC3"/>
        <w:tabs>
          <w:tab w:val="left" w:pos="1987"/>
          <w:tab w:val="right" w:leader="dot" w:pos="9350"/>
        </w:tabs>
        <w:rPr>
          <w:rFonts w:asciiTheme="minorHAnsi" w:hAnsiTheme="minorHAnsi" w:cstheme="minorBidi"/>
          <w:noProof/>
          <w:sz w:val="22"/>
          <w:szCs w:val="22"/>
        </w:rPr>
      </w:pPr>
      <w:hyperlink w:history="1" w:anchor="_Toc110598567">
        <w:r w:rsidRPr="0070556D" w:rsidR="00FF06D1">
          <w:rPr>
            <w:rStyle w:val="Hyperlink"/>
            <w:noProof/>
          </w:rPr>
          <w:t>5.3.2.</w:t>
        </w:r>
        <w:r w:rsidR="00FF06D1">
          <w:rPr>
            <w:rFonts w:asciiTheme="minorHAnsi" w:hAnsiTheme="minorHAnsi" w:cstheme="minorBidi"/>
            <w:noProof/>
            <w:sz w:val="22"/>
            <w:szCs w:val="22"/>
          </w:rPr>
          <w:tab/>
        </w:r>
        <w:r w:rsidRPr="0070556D" w:rsidR="00FF06D1">
          <w:rPr>
            <w:rStyle w:val="Hyperlink"/>
            <w:noProof/>
          </w:rPr>
          <w:t>Elimination of Gas Line Subsidies for Residential Customers Through a Phased Approach: Denied</w:t>
        </w:r>
        <w:r w:rsidR="00FF06D1">
          <w:rPr>
            <w:noProof/>
            <w:webHidden/>
          </w:rPr>
          <w:tab/>
        </w:r>
        <w:r w:rsidR="00FF06D1">
          <w:rPr>
            <w:noProof/>
            <w:webHidden/>
          </w:rPr>
          <w:fldChar w:fldCharType="begin"/>
        </w:r>
        <w:r w:rsidR="00FF06D1">
          <w:rPr>
            <w:noProof/>
            <w:webHidden/>
          </w:rPr>
          <w:instrText xml:space="preserve"> PAGEREF _Toc110598567 \h </w:instrText>
        </w:r>
        <w:r w:rsidR="00FF06D1">
          <w:rPr>
            <w:noProof/>
            <w:webHidden/>
          </w:rPr>
        </w:r>
        <w:r w:rsidR="00FF06D1">
          <w:rPr>
            <w:noProof/>
            <w:webHidden/>
          </w:rPr>
          <w:fldChar w:fldCharType="separate"/>
        </w:r>
        <w:r w:rsidR="00FF06D1">
          <w:rPr>
            <w:noProof/>
            <w:webHidden/>
          </w:rPr>
          <w:t>35</w:t>
        </w:r>
        <w:r w:rsidR="00FF06D1">
          <w:rPr>
            <w:noProof/>
            <w:webHidden/>
          </w:rPr>
          <w:fldChar w:fldCharType="end"/>
        </w:r>
      </w:hyperlink>
    </w:p>
    <w:p w:rsidR="00FF06D1" w:rsidRDefault="006462FD" w14:paraId="66E7CDDB" w14:textId="32F69972">
      <w:pPr>
        <w:pStyle w:val="TOC3"/>
        <w:tabs>
          <w:tab w:val="left" w:pos="1987"/>
          <w:tab w:val="right" w:leader="dot" w:pos="9350"/>
        </w:tabs>
        <w:rPr>
          <w:rFonts w:asciiTheme="minorHAnsi" w:hAnsiTheme="minorHAnsi" w:cstheme="minorBidi"/>
          <w:noProof/>
          <w:sz w:val="22"/>
          <w:szCs w:val="22"/>
        </w:rPr>
      </w:pPr>
      <w:hyperlink w:history="1" w:anchor="_Toc110598568">
        <w:r w:rsidRPr="0070556D" w:rsidR="00FF06D1">
          <w:rPr>
            <w:rStyle w:val="Hyperlink"/>
            <w:noProof/>
          </w:rPr>
          <w:t>5.3.3.</w:t>
        </w:r>
        <w:r w:rsidR="00FF06D1">
          <w:rPr>
            <w:rFonts w:asciiTheme="minorHAnsi" w:hAnsiTheme="minorHAnsi" w:cstheme="minorBidi"/>
            <w:noProof/>
            <w:sz w:val="22"/>
            <w:szCs w:val="22"/>
          </w:rPr>
          <w:tab/>
        </w:r>
        <w:r w:rsidRPr="0070556D" w:rsidR="00FF06D1">
          <w:rPr>
            <w:rStyle w:val="Hyperlink"/>
            <w:noProof/>
          </w:rPr>
          <w:t>Continued Coordination/ Consultation with Other State Agencies: Approved</w:t>
        </w:r>
        <w:r w:rsidR="00FF06D1">
          <w:rPr>
            <w:noProof/>
            <w:webHidden/>
          </w:rPr>
          <w:tab/>
        </w:r>
        <w:r w:rsidR="00FF06D1">
          <w:rPr>
            <w:noProof/>
            <w:webHidden/>
          </w:rPr>
          <w:fldChar w:fldCharType="begin"/>
        </w:r>
        <w:r w:rsidR="00FF06D1">
          <w:rPr>
            <w:noProof/>
            <w:webHidden/>
          </w:rPr>
          <w:instrText xml:space="preserve"> PAGEREF _Toc110598568 \h </w:instrText>
        </w:r>
        <w:r w:rsidR="00FF06D1">
          <w:rPr>
            <w:noProof/>
            <w:webHidden/>
          </w:rPr>
        </w:r>
        <w:r w:rsidR="00FF06D1">
          <w:rPr>
            <w:noProof/>
            <w:webHidden/>
          </w:rPr>
          <w:fldChar w:fldCharType="separate"/>
        </w:r>
        <w:r w:rsidR="00FF06D1">
          <w:rPr>
            <w:noProof/>
            <w:webHidden/>
          </w:rPr>
          <w:t>38</w:t>
        </w:r>
        <w:r w:rsidR="00FF06D1">
          <w:rPr>
            <w:noProof/>
            <w:webHidden/>
          </w:rPr>
          <w:fldChar w:fldCharType="end"/>
        </w:r>
      </w:hyperlink>
    </w:p>
    <w:p w:rsidR="00FF06D1" w:rsidRDefault="006462FD" w14:paraId="65D13674" w14:textId="466EC744">
      <w:pPr>
        <w:pStyle w:val="TOC3"/>
        <w:tabs>
          <w:tab w:val="left" w:pos="1987"/>
          <w:tab w:val="right" w:leader="dot" w:pos="9350"/>
        </w:tabs>
        <w:rPr>
          <w:rFonts w:asciiTheme="minorHAnsi" w:hAnsiTheme="minorHAnsi" w:cstheme="minorBidi"/>
          <w:noProof/>
          <w:sz w:val="22"/>
          <w:szCs w:val="22"/>
        </w:rPr>
      </w:pPr>
      <w:hyperlink w:history="1" w:anchor="_Toc110598569">
        <w:r w:rsidRPr="0070556D" w:rsidR="00FF06D1">
          <w:rPr>
            <w:rStyle w:val="Hyperlink"/>
            <w:noProof/>
          </w:rPr>
          <w:t>5.3.4.</w:t>
        </w:r>
        <w:r w:rsidR="00FF06D1">
          <w:rPr>
            <w:rFonts w:asciiTheme="minorHAnsi" w:hAnsiTheme="minorHAnsi" w:cstheme="minorBidi"/>
            <w:noProof/>
            <w:sz w:val="22"/>
            <w:szCs w:val="22"/>
          </w:rPr>
          <w:tab/>
        </w:r>
        <w:r w:rsidRPr="0070556D" w:rsidR="00FF06D1">
          <w:rPr>
            <w:rStyle w:val="Hyperlink"/>
            <w:noProof/>
          </w:rPr>
          <w:t>Delay Decision Until the Conclusion of the Long</w:t>
        </w:r>
        <w:r w:rsidRPr="0070556D" w:rsidR="00FF06D1">
          <w:rPr>
            <w:rStyle w:val="Hyperlink"/>
            <w:noProof/>
          </w:rPr>
          <w:noBreakHyphen/>
          <w:t>Term Gas System Planning Rulemaking (R.20</w:t>
        </w:r>
        <w:r w:rsidRPr="0070556D" w:rsidR="00FF06D1">
          <w:rPr>
            <w:rStyle w:val="Hyperlink"/>
            <w:noProof/>
          </w:rPr>
          <w:noBreakHyphen/>
          <w:t>01</w:t>
        </w:r>
        <w:r w:rsidRPr="0070556D" w:rsidR="00FF06D1">
          <w:rPr>
            <w:rStyle w:val="Hyperlink"/>
            <w:noProof/>
          </w:rPr>
          <w:noBreakHyphen/>
          <w:t>007):  Denied</w:t>
        </w:r>
        <w:r w:rsidR="00FF06D1">
          <w:rPr>
            <w:noProof/>
            <w:webHidden/>
          </w:rPr>
          <w:tab/>
        </w:r>
        <w:r w:rsidR="00FF06D1">
          <w:rPr>
            <w:noProof/>
            <w:webHidden/>
          </w:rPr>
          <w:fldChar w:fldCharType="begin"/>
        </w:r>
        <w:r w:rsidR="00FF06D1">
          <w:rPr>
            <w:noProof/>
            <w:webHidden/>
          </w:rPr>
          <w:instrText xml:space="preserve"> PAGEREF _Toc110598569 \h </w:instrText>
        </w:r>
        <w:r w:rsidR="00FF06D1">
          <w:rPr>
            <w:noProof/>
            <w:webHidden/>
          </w:rPr>
        </w:r>
        <w:r w:rsidR="00FF06D1">
          <w:rPr>
            <w:noProof/>
            <w:webHidden/>
          </w:rPr>
          <w:fldChar w:fldCharType="separate"/>
        </w:r>
        <w:r w:rsidR="00FF06D1">
          <w:rPr>
            <w:noProof/>
            <w:webHidden/>
          </w:rPr>
          <w:t>40</w:t>
        </w:r>
        <w:r w:rsidR="00FF06D1">
          <w:rPr>
            <w:noProof/>
            <w:webHidden/>
          </w:rPr>
          <w:fldChar w:fldCharType="end"/>
        </w:r>
      </w:hyperlink>
    </w:p>
    <w:p w:rsidR="00FF06D1" w:rsidRDefault="006462FD" w14:paraId="2622EF90" w14:textId="2F5C2628">
      <w:pPr>
        <w:pStyle w:val="TOC1"/>
        <w:tabs>
          <w:tab w:val="right" w:leader="dot" w:pos="9350"/>
        </w:tabs>
        <w:rPr>
          <w:rFonts w:asciiTheme="minorHAnsi" w:hAnsiTheme="minorHAnsi" w:cstheme="minorBidi"/>
          <w:noProof/>
          <w:sz w:val="22"/>
          <w:szCs w:val="22"/>
        </w:rPr>
      </w:pPr>
      <w:hyperlink w:history="1" w:anchor="_Toc110598570">
        <w:r w:rsidRPr="0070556D" w:rsidR="00FF06D1">
          <w:rPr>
            <w:rStyle w:val="Hyperlink"/>
            <w:noProof/>
          </w:rPr>
          <w:t>6.</w:t>
        </w:r>
        <w:r w:rsidR="00FF06D1">
          <w:rPr>
            <w:rFonts w:asciiTheme="minorHAnsi" w:hAnsiTheme="minorHAnsi" w:cstheme="minorBidi"/>
            <w:noProof/>
            <w:sz w:val="22"/>
            <w:szCs w:val="22"/>
          </w:rPr>
          <w:tab/>
        </w:r>
        <w:r w:rsidRPr="0070556D" w:rsidR="00FF06D1">
          <w:rPr>
            <w:rStyle w:val="Hyperlink"/>
            <w:noProof/>
          </w:rPr>
          <w:t>Non</w:t>
        </w:r>
        <w:r w:rsidRPr="0070556D" w:rsidR="00FF06D1">
          <w:rPr>
            <w:rStyle w:val="Hyperlink"/>
            <w:noProof/>
          </w:rPr>
          <w:noBreakHyphen/>
          <w:t>Residential Gas Line Subsidies Revisions</w:t>
        </w:r>
        <w:r w:rsidR="00FF06D1">
          <w:rPr>
            <w:noProof/>
            <w:webHidden/>
          </w:rPr>
          <w:tab/>
        </w:r>
        <w:r w:rsidR="00FF06D1">
          <w:rPr>
            <w:noProof/>
            <w:webHidden/>
          </w:rPr>
          <w:fldChar w:fldCharType="begin"/>
        </w:r>
        <w:r w:rsidR="00FF06D1">
          <w:rPr>
            <w:noProof/>
            <w:webHidden/>
          </w:rPr>
          <w:instrText xml:space="preserve"> PAGEREF _Toc110598570 \h </w:instrText>
        </w:r>
        <w:r w:rsidR="00FF06D1">
          <w:rPr>
            <w:noProof/>
            <w:webHidden/>
          </w:rPr>
        </w:r>
        <w:r w:rsidR="00FF06D1">
          <w:rPr>
            <w:noProof/>
            <w:webHidden/>
          </w:rPr>
          <w:fldChar w:fldCharType="separate"/>
        </w:r>
        <w:r w:rsidR="00FF06D1">
          <w:rPr>
            <w:noProof/>
            <w:webHidden/>
          </w:rPr>
          <w:t>41</w:t>
        </w:r>
        <w:r w:rsidR="00FF06D1">
          <w:rPr>
            <w:noProof/>
            <w:webHidden/>
          </w:rPr>
          <w:fldChar w:fldCharType="end"/>
        </w:r>
      </w:hyperlink>
    </w:p>
    <w:p w:rsidR="00FF06D1" w:rsidRDefault="006462FD" w14:paraId="254D1E9D" w14:textId="29D53E02">
      <w:pPr>
        <w:pStyle w:val="TOC2"/>
        <w:tabs>
          <w:tab w:val="left" w:pos="1123"/>
          <w:tab w:val="right" w:leader="dot" w:pos="9350"/>
        </w:tabs>
        <w:rPr>
          <w:rFonts w:asciiTheme="minorHAnsi" w:hAnsiTheme="minorHAnsi" w:cstheme="minorBidi"/>
          <w:noProof/>
          <w:sz w:val="22"/>
          <w:szCs w:val="22"/>
        </w:rPr>
      </w:pPr>
      <w:hyperlink w:history="1" w:anchor="_Toc110598571">
        <w:r w:rsidRPr="0070556D" w:rsidR="00FF06D1">
          <w:rPr>
            <w:rStyle w:val="Hyperlink"/>
            <w:noProof/>
          </w:rPr>
          <w:t>6.1.</w:t>
        </w:r>
        <w:r w:rsidR="00FF06D1">
          <w:rPr>
            <w:rFonts w:asciiTheme="minorHAnsi" w:hAnsiTheme="minorHAnsi" w:cstheme="minorBidi"/>
            <w:noProof/>
            <w:sz w:val="22"/>
            <w:szCs w:val="22"/>
          </w:rPr>
          <w:tab/>
        </w:r>
        <w:r w:rsidRPr="0070556D" w:rsidR="00FF06D1">
          <w:rPr>
            <w:rStyle w:val="Hyperlink"/>
            <w:noProof/>
          </w:rPr>
          <w:t>Positions of Parties Supporting the Staff Proposal</w:t>
        </w:r>
        <w:r w:rsidR="00FF06D1">
          <w:rPr>
            <w:noProof/>
            <w:webHidden/>
          </w:rPr>
          <w:tab/>
        </w:r>
        <w:r w:rsidR="00FF06D1">
          <w:rPr>
            <w:noProof/>
            <w:webHidden/>
          </w:rPr>
          <w:fldChar w:fldCharType="begin"/>
        </w:r>
        <w:r w:rsidR="00FF06D1">
          <w:rPr>
            <w:noProof/>
            <w:webHidden/>
          </w:rPr>
          <w:instrText xml:space="preserve"> PAGEREF _Toc110598571 \h </w:instrText>
        </w:r>
        <w:r w:rsidR="00FF06D1">
          <w:rPr>
            <w:noProof/>
            <w:webHidden/>
          </w:rPr>
        </w:r>
        <w:r w:rsidR="00FF06D1">
          <w:rPr>
            <w:noProof/>
            <w:webHidden/>
          </w:rPr>
          <w:fldChar w:fldCharType="separate"/>
        </w:r>
        <w:r w:rsidR="00FF06D1">
          <w:rPr>
            <w:noProof/>
            <w:webHidden/>
          </w:rPr>
          <w:t>41</w:t>
        </w:r>
        <w:r w:rsidR="00FF06D1">
          <w:rPr>
            <w:noProof/>
            <w:webHidden/>
          </w:rPr>
          <w:fldChar w:fldCharType="end"/>
        </w:r>
      </w:hyperlink>
    </w:p>
    <w:p w:rsidR="00FF06D1" w:rsidRDefault="006462FD" w14:paraId="1A9C2276" w14:textId="58C7A0CF">
      <w:pPr>
        <w:pStyle w:val="TOC2"/>
        <w:tabs>
          <w:tab w:val="left" w:pos="1123"/>
          <w:tab w:val="right" w:leader="dot" w:pos="9350"/>
        </w:tabs>
        <w:rPr>
          <w:rFonts w:asciiTheme="minorHAnsi" w:hAnsiTheme="minorHAnsi" w:cstheme="minorBidi"/>
          <w:noProof/>
          <w:sz w:val="22"/>
          <w:szCs w:val="22"/>
        </w:rPr>
      </w:pPr>
      <w:hyperlink w:history="1" w:anchor="_Toc110598572">
        <w:r w:rsidRPr="0070556D" w:rsidR="00FF06D1">
          <w:rPr>
            <w:rStyle w:val="Hyperlink"/>
            <w:noProof/>
          </w:rPr>
          <w:t>6.2.</w:t>
        </w:r>
        <w:r w:rsidR="00FF06D1">
          <w:rPr>
            <w:rFonts w:asciiTheme="minorHAnsi" w:hAnsiTheme="minorHAnsi" w:cstheme="minorBidi"/>
            <w:noProof/>
            <w:sz w:val="22"/>
            <w:szCs w:val="22"/>
          </w:rPr>
          <w:tab/>
        </w:r>
        <w:r w:rsidRPr="0070556D" w:rsidR="00FF06D1">
          <w:rPr>
            <w:rStyle w:val="Hyperlink"/>
            <w:noProof/>
          </w:rPr>
          <w:t>Positions of Parties Opposing the Staff Proposal</w:t>
        </w:r>
        <w:r w:rsidR="00FF06D1">
          <w:rPr>
            <w:noProof/>
            <w:webHidden/>
          </w:rPr>
          <w:tab/>
        </w:r>
        <w:r w:rsidR="00FF06D1">
          <w:rPr>
            <w:noProof/>
            <w:webHidden/>
          </w:rPr>
          <w:fldChar w:fldCharType="begin"/>
        </w:r>
        <w:r w:rsidR="00FF06D1">
          <w:rPr>
            <w:noProof/>
            <w:webHidden/>
          </w:rPr>
          <w:instrText xml:space="preserve"> PAGEREF _Toc110598572 \h </w:instrText>
        </w:r>
        <w:r w:rsidR="00FF06D1">
          <w:rPr>
            <w:noProof/>
            <w:webHidden/>
          </w:rPr>
        </w:r>
        <w:r w:rsidR="00FF06D1">
          <w:rPr>
            <w:noProof/>
            <w:webHidden/>
          </w:rPr>
          <w:fldChar w:fldCharType="separate"/>
        </w:r>
        <w:r w:rsidR="00FF06D1">
          <w:rPr>
            <w:noProof/>
            <w:webHidden/>
          </w:rPr>
          <w:t>42</w:t>
        </w:r>
        <w:r w:rsidR="00FF06D1">
          <w:rPr>
            <w:noProof/>
            <w:webHidden/>
          </w:rPr>
          <w:fldChar w:fldCharType="end"/>
        </w:r>
      </w:hyperlink>
    </w:p>
    <w:p w:rsidR="00FF06D1" w:rsidRDefault="006462FD" w14:paraId="72E2CFE5" w14:textId="3FDD2BDD">
      <w:pPr>
        <w:pStyle w:val="TOC2"/>
        <w:tabs>
          <w:tab w:val="left" w:pos="1123"/>
          <w:tab w:val="right" w:leader="dot" w:pos="9350"/>
        </w:tabs>
        <w:rPr>
          <w:rFonts w:asciiTheme="minorHAnsi" w:hAnsiTheme="minorHAnsi" w:cstheme="minorBidi"/>
          <w:noProof/>
          <w:sz w:val="22"/>
          <w:szCs w:val="22"/>
        </w:rPr>
      </w:pPr>
      <w:hyperlink w:history="1" w:anchor="_Toc110598573">
        <w:r w:rsidRPr="0070556D" w:rsidR="00FF06D1">
          <w:rPr>
            <w:rStyle w:val="Hyperlink"/>
            <w:noProof/>
          </w:rPr>
          <w:t>6.3.</w:t>
        </w:r>
        <w:r w:rsidR="00FF06D1">
          <w:rPr>
            <w:rFonts w:asciiTheme="minorHAnsi" w:hAnsiTheme="minorHAnsi" w:cstheme="minorBidi"/>
            <w:noProof/>
            <w:sz w:val="22"/>
            <w:szCs w:val="22"/>
          </w:rPr>
          <w:tab/>
        </w:r>
        <w:r w:rsidRPr="0070556D" w:rsidR="00FF06D1">
          <w:rPr>
            <w:rStyle w:val="Hyperlink"/>
            <w:noProof/>
          </w:rPr>
          <w:t>Alternate Proposals</w:t>
        </w:r>
        <w:r w:rsidR="00FF06D1">
          <w:rPr>
            <w:noProof/>
            <w:webHidden/>
          </w:rPr>
          <w:tab/>
        </w:r>
        <w:r w:rsidR="00FF06D1">
          <w:rPr>
            <w:noProof/>
            <w:webHidden/>
          </w:rPr>
          <w:fldChar w:fldCharType="begin"/>
        </w:r>
        <w:r w:rsidR="00FF06D1">
          <w:rPr>
            <w:noProof/>
            <w:webHidden/>
          </w:rPr>
          <w:instrText xml:space="preserve"> PAGEREF _Toc110598573 \h </w:instrText>
        </w:r>
        <w:r w:rsidR="00FF06D1">
          <w:rPr>
            <w:noProof/>
            <w:webHidden/>
          </w:rPr>
        </w:r>
        <w:r w:rsidR="00FF06D1">
          <w:rPr>
            <w:noProof/>
            <w:webHidden/>
          </w:rPr>
          <w:fldChar w:fldCharType="separate"/>
        </w:r>
        <w:r w:rsidR="00FF06D1">
          <w:rPr>
            <w:noProof/>
            <w:webHidden/>
          </w:rPr>
          <w:t>43</w:t>
        </w:r>
        <w:r w:rsidR="00FF06D1">
          <w:rPr>
            <w:noProof/>
            <w:webHidden/>
          </w:rPr>
          <w:fldChar w:fldCharType="end"/>
        </w:r>
      </w:hyperlink>
    </w:p>
    <w:p w:rsidR="00FF06D1" w:rsidRDefault="006462FD" w14:paraId="024E8BE4" w14:textId="1E20BB75">
      <w:pPr>
        <w:pStyle w:val="TOC3"/>
        <w:tabs>
          <w:tab w:val="left" w:pos="1987"/>
          <w:tab w:val="right" w:leader="dot" w:pos="9350"/>
        </w:tabs>
        <w:rPr>
          <w:rFonts w:asciiTheme="minorHAnsi" w:hAnsiTheme="minorHAnsi" w:cstheme="minorBidi"/>
          <w:noProof/>
          <w:sz w:val="22"/>
          <w:szCs w:val="22"/>
        </w:rPr>
      </w:pPr>
      <w:hyperlink w:history="1" w:anchor="_Toc110598574">
        <w:r w:rsidRPr="0070556D" w:rsidR="00FF06D1">
          <w:rPr>
            <w:rStyle w:val="Hyperlink"/>
            <w:noProof/>
          </w:rPr>
          <w:t>6.3.1.</w:t>
        </w:r>
        <w:r w:rsidR="00FF06D1">
          <w:rPr>
            <w:rFonts w:asciiTheme="minorHAnsi" w:hAnsiTheme="minorHAnsi" w:cstheme="minorBidi"/>
            <w:noProof/>
            <w:sz w:val="22"/>
            <w:szCs w:val="22"/>
          </w:rPr>
          <w:tab/>
        </w:r>
        <w:r w:rsidRPr="0070556D" w:rsidR="00FF06D1">
          <w:rPr>
            <w:rStyle w:val="Hyperlink"/>
            <w:noProof/>
          </w:rPr>
          <w:t>Exemptions for Specific List of Projects that Provide Environmental or Financial Benefits (Joint IOUs)</w:t>
        </w:r>
        <w:r w:rsidR="00FF06D1">
          <w:rPr>
            <w:noProof/>
            <w:webHidden/>
          </w:rPr>
          <w:tab/>
        </w:r>
        <w:r w:rsidR="00FF06D1">
          <w:rPr>
            <w:noProof/>
            <w:webHidden/>
          </w:rPr>
          <w:fldChar w:fldCharType="begin"/>
        </w:r>
        <w:r w:rsidR="00FF06D1">
          <w:rPr>
            <w:noProof/>
            <w:webHidden/>
          </w:rPr>
          <w:instrText xml:space="preserve"> PAGEREF _Toc110598574 \h </w:instrText>
        </w:r>
        <w:r w:rsidR="00FF06D1">
          <w:rPr>
            <w:noProof/>
            <w:webHidden/>
          </w:rPr>
        </w:r>
        <w:r w:rsidR="00FF06D1">
          <w:rPr>
            <w:noProof/>
            <w:webHidden/>
          </w:rPr>
          <w:fldChar w:fldCharType="separate"/>
        </w:r>
        <w:r w:rsidR="00FF06D1">
          <w:rPr>
            <w:noProof/>
            <w:webHidden/>
          </w:rPr>
          <w:t>43</w:t>
        </w:r>
        <w:r w:rsidR="00FF06D1">
          <w:rPr>
            <w:noProof/>
            <w:webHidden/>
          </w:rPr>
          <w:fldChar w:fldCharType="end"/>
        </w:r>
      </w:hyperlink>
    </w:p>
    <w:p w:rsidR="00FF06D1" w:rsidRDefault="006462FD" w14:paraId="1A595B82" w14:textId="3041DE11">
      <w:pPr>
        <w:pStyle w:val="TOC3"/>
        <w:tabs>
          <w:tab w:val="left" w:pos="1987"/>
          <w:tab w:val="right" w:leader="dot" w:pos="9350"/>
        </w:tabs>
        <w:rPr>
          <w:rFonts w:asciiTheme="minorHAnsi" w:hAnsiTheme="minorHAnsi" w:cstheme="minorBidi"/>
          <w:noProof/>
          <w:sz w:val="22"/>
          <w:szCs w:val="22"/>
        </w:rPr>
      </w:pPr>
      <w:hyperlink w:history="1" w:anchor="_Toc110598575">
        <w:r w:rsidRPr="0070556D" w:rsidR="00FF06D1">
          <w:rPr>
            <w:rStyle w:val="Hyperlink"/>
            <w:noProof/>
          </w:rPr>
          <w:t>6.3.2.</w:t>
        </w:r>
        <w:r w:rsidR="00FF06D1">
          <w:rPr>
            <w:rFonts w:asciiTheme="minorHAnsi" w:hAnsiTheme="minorHAnsi" w:cstheme="minorBidi"/>
            <w:noProof/>
            <w:sz w:val="22"/>
            <w:szCs w:val="22"/>
          </w:rPr>
          <w:tab/>
        </w:r>
        <w:r w:rsidRPr="0070556D" w:rsidR="00FF06D1">
          <w:rPr>
            <w:rStyle w:val="Hyperlink"/>
            <w:noProof/>
          </w:rPr>
          <w:t>Exemptions for Projects That Enable Hydrogen, RNG and CNG Use (Clean Energy)</w:t>
        </w:r>
        <w:r w:rsidR="00FF06D1">
          <w:rPr>
            <w:noProof/>
            <w:webHidden/>
          </w:rPr>
          <w:tab/>
        </w:r>
        <w:r w:rsidR="00FF06D1">
          <w:rPr>
            <w:noProof/>
            <w:webHidden/>
          </w:rPr>
          <w:fldChar w:fldCharType="begin"/>
        </w:r>
        <w:r w:rsidR="00FF06D1">
          <w:rPr>
            <w:noProof/>
            <w:webHidden/>
          </w:rPr>
          <w:instrText xml:space="preserve"> PAGEREF _Toc110598575 \h </w:instrText>
        </w:r>
        <w:r w:rsidR="00FF06D1">
          <w:rPr>
            <w:noProof/>
            <w:webHidden/>
          </w:rPr>
        </w:r>
        <w:r w:rsidR="00FF06D1">
          <w:rPr>
            <w:noProof/>
            <w:webHidden/>
          </w:rPr>
          <w:fldChar w:fldCharType="separate"/>
        </w:r>
        <w:r w:rsidR="00FF06D1">
          <w:rPr>
            <w:noProof/>
            <w:webHidden/>
          </w:rPr>
          <w:t>44</w:t>
        </w:r>
        <w:r w:rsidR="00FF06D1">
          <w:rPr>
            <w:noProof/>
            <w:webHidden/>
          </w:rPr>
          <w:fldChar w:fldCharType="end"/>
        </w:r>
      </w:hyperlink>
    </w:p>
    <w:p w:rsidR="00FF06D1" w:rsidRDefault="006462FD" w14:paraId="71184E1C" w14:textId="16D4226C">
      <w:pPr>
        <w:pStyle w:val="TOC3"/>
        <w:tabs>
          <w:tab w:val="left" w:pos="1987"/>
          <w:tab w:val="right" w:leader="dot" w:pos="9350"/>
        </w:tabs>
        <w:rPr>
          <w:rFonts w:asciiTheme="minorHAnsi" w:hAnsiTheme="minorHAnsi" w:cstheme="minorBidi"/>
          <w:noProof/>
          <w:sz w:val="22"/>
          <w:szCs w:val="22"/>
        </w:rPr>
      </w:pPr>
      <w:hyperlink w:history="1" w:anchor="_Toc110598576">
        <w:r w:rsidRPr="0070556D" w:rsidR="00FF06D1">
          <w:rPr>
            <w:rStyle w:val="Hyperlink"/>
            <w:noProof/>
          </w:rPr>
          <w:t>6.3.3.</w:t>
        </w:r>
        <w:r w:rsidR="00FF06D1">
          <w:rPr>
            <w:rFonts w:asciiTheme="minorHAnsi" w:hAnsiTheme="minorHAnsi" w:cstheme="minorBidi"/>
            <w:noProof/>
            <w:sz w:val="22"/>
            <w:szCs w:val="22"/>
          </w:rPr>
          <w:tab/>
        </w:r>
        <w:r w:rsidRPr="0070556D" w:rsidR="00FF06D1">
          <w:rPr>
            <w:rStyle w:val="Hyperlink"/>
            <w:noProof/>
          </w:rPr>
          <w:t>Application Process for Select Projects that Provide Environmental or Financial Benefits (Joint Parties and TURN)</w:t>
        </w:r>
        <w:r w:rsidR="00FF06D1">
          <w:rPr>
            <w:noProof/>
            <w:webHidden/>
          </w:rPr>
          <w:tab/>
        </w:r>
        <w:r w:rsidR="00FF06D1">
          <w:rPr>
            <w:noProof/>
            <w:webHidden/>
          </w:rPr>
          <w:fldChar w:fldCharType="begin"/>
        </w:r>
        <w:r w:rsidR="00FF06D1">
          <w:rPr>
            <w:noProof/>
            <w:webHidden/>
          </w:rPr>
          <w:instrText xml:space="preserve"> PAGEREF _Toc110598576 \h </w:instrText>
        </w:r>
        <w:r w:rsidR="00FF06D1">
          <w:rPr>
            <w:noProof/>
            <w:webHidden/>
          </w:rPr>
        </w:r>
        <w:r w:rsidR="00FF06D1">
          <w:rPr>
            <w:noProof/>
            <w:webHidden/>
          </w:rPr>
          <w:fldChar w:fldCharType="separate"/>
        </w:r>
        <w:r w:rsidR="00FF06D1">
          <w:rPr>
            <w:noProof/>
            <w:webHidden/>
          </w:rPr>
          <w:t>45</w:t>
        </w:r>
        <w:r w:rsidR="00FF06D1">
          <w:rPr>
            <w:noProof/>
            <w:webHidden/>
          </w:rPr>
          <w:fldChar w:fldCharType="end"/>
        </w:r>
      </w:hyperlink>
    </w:p>
    <w:p w:rsidR="00FF06D1" w:rsidRDefault="006462FD" w14:paraId="4C798EBE" w14:textId="3A40F5A1">
      <w:pPr>
        <w:pStyle w:val="TOC3"/>
        <w:tabs>
          <w:tab w:val="left" w:pos="1987"/>
          <w:tab w:val="right" w:leader="dot" w:pos="9350"/>
        </w:tabs>
        <w:rPr>
          <w:rFonts w:asciiTheme="minorHAnsi" w:hAnsiTheme="minorHAnsi" w:cstheme="minorBidi"/>
          <w:noProof/>
          <w:sz w:val="22"/>
          <w:szCs w:val="22"/>
        </w:rPr>
      </w:pPr>
      <w:hyperlink w:history="1" w:anchor="_Toc110598577">
        <w:r w:rsidRPr="0070556D" w:rsidR="00FF06D1">
          <w:rPr>
            <w:rStyle w:val="Hyperlink"/>
            <w:noProof/>
          </w:rPr>
          <w:t>6.3.4.</w:t>
        </w:r>
        <w:r w:rsidR="00FF06D1">
          <w:rPr>
            <w:rFonts w:asciiTheme="minorHAnsi" w:hAnsiTheme="minorHAnsi" w:cstheme="minorBidi"/>
            <w:noProof/>
            <w:sz w:val="22"/>
            <w:szCs w:val="22"/>
          </w:rPr>
          <w:tab/>
        </w:r>
        <w:r w:rsidRPr="0070556D" w:rsidR="00FF06D1">
          <w:rPr>
            <w:rStyle w:val="Hyperlink"/>
            <w:noProof/>
          </w:rPr>
          <w:t>Assistance for Low Income, Rural and Small Businesses (SBUA)</w:t>
        </w:r>
        <w:r w:rsidR="00FF06D1">
          <w:rPr>
            <w:noProof/>
            <w:webHidden/>
          </w:rPr>
          <w:tab/>
        </w:r>
        <w:r w:rsidR="00FF06D1">
          <w:rPr>
            <w:noProof/>
            <w:webHidden/>
          </w:rPr>
          <w:fldChar w:fldCharType="begin"/>
        </w:r>
        <w:r w:rsidR="00FF06D1">
          <w:rPr>
            <w:noProof/>
            <w:webHidden/>
          </w:rPr>
          <w:instrText xml:space="preserve"> PAGEREF _Toc110598577 \h </w:instrText>
        </w:r>
        <w:r w:rsidR="00FF06D1">
          <w:rPr>
            <w:noProof/>
            <w:webHidden/>
          </w:rPr>
        </w:r>
        <w:r w:rsidR="00FF06D1">
          <w:rPr>
            <w:noProof/>
            <w:webHidden/>
          </w:rPr>
          <w:fldChar w:fldCharType="separate"/>
        </w:r>
        <w:r w:rsidR="00FF06D1">
          <w:rPr>
            <w:noProof/>
            <w:webHidden/>
          </w:rPr>
          <w:t>46</w:t>
        </w:r>
        <w:r w:rsidR="00FF06D1">
          <w:rPr>
            <w:noProof/>
            <w:webHidden/>
          </w:rPr>
          <w:fldChar w:fldCharType="end"/>
        </w:r>
      </w:hyperlink>
    </w:p>
    <w:p w:rsidR="00FF06D1" w:rsidRDefault="006462FD" w14:paraId="6E65F18D" w14:textId="0E5DB089">
      <w:pPr>
        <w:pStyle w:val="TOC2"/>
        <w:tabs>
          <w:tab w:val="left" w:pos="1123"/>
          <w:tab w:val="right" w:leader="dot" w:pos="9350"/>
        </w:tabs>
        <w:rPr>
          <w:rFonts w:asciiTheme="minorHAnsi" w:hAnsiTheme="minorHAnsi" w:cstheme="minorBidi"/>
          <w:noProof/>
          <w:sz w:val="22"/>
          <w:szCs w:val="22"/>
        </w:rPr>
      </w:pPr>
      <w:hyperlink w:history="1" w:anchor="_Toc110598578">
        <w:r w:rsidRPr="0070556D" w:rsidR="00FF06D1">
          <w:rPr>
            <w:rStyle w:val="Hyperlink"/>
            <w:noProof/>
          </w:rPr>
          <w:t>6.4.</w:t>
        </w:r>
        <w:r w:rsidR="00FF06D1">
          <w:rPr>
            <w:rFonts w:asciiTheme="minorHAnsi" w:hAnsiTheme="minorHAnsi" w:cstheme="minorBidi"/>
            <w:noProof/>
            <w:sz w:val="22"/>
            <w:szCs w:val="22"/>
          </w:rPr>
          <w:tab/>
        </w:r>
        <w:r w:rsidRPr="0070556D" w:rsidR="00FF06D1">
          <w:rPr>
            <w:rStyle w:val="Hyperlink"/>
            <w:noProof/>
          </w:rPr>
          <w:t>Discussion</w:t>
        </w:r>
        <w:r w:rsidR="00FF06D1">
          <w:rPr>
            <w:noProof/>
            <w:webHidden/>
          </w:rPr>
          <w:tab/>
        </w:r>
        <w:r w:rsidR="00FF06D1">
          <w:rPr>
            <w:noProof/>
            <w:webHidden/>
          </w:rPr>
          <w:fldChar w:fldCharType="begin"/>
        </w:r>
        <w:r w:rsidR="00FF06D1">
          <w:rPr>
            <w:noProof/>
            <w:webHidden/>
          </w:rPr>
          <w:instrText xml:space="preserve"> PAGEREF _Toc110598578 \h </w:instrText>
        </w:r>
        <w:r w:rsidR="00FF06D1">
          <w:rPr>
            <w:noProof/>
            <w:webHidden/>
          </w:rPr>
        </w:r>
        <w:r w:rsidR="00FF06D1">
          <w:rPr>
            <w:noProof/>
            <w:webHidden/>
          </w:rPr>
          <w:fldChar w:fldCharType="separate"/>
        </w:r>
        <w:r w:rsidR="00FF06D1">
          <w:rPr>
            <w:noProof/>
            <w:webHidden/>
          </w:rPr>
          <w:t>47</w:t>
        </w:r>
        <w:r w:rsidR="00FF06D1">
          <w:rPr>
            <w:noProof/>
            <w:webHidden/>
          </w:rPr>
          <w:fldChar w:fldCharType="end"/>
        </w:r>
      </w:hyperlink>
    </w:p>
    <w:p w:rsidR="00FF06D1" w:rsidRDefault="006462FD" w14:paraId="57F0A8F4" w14:textId="5B080E11">
      <w:pPr>
        <w:pStyle w:val="TOC3"/>
        <w:tabs>
          <w:tab w:val="left" w:pos="1987"/>
          <w:tab w:val="right" w:leader="dot" w:pos="9350"/>
        </w:tabs>
        <w:rPr>
          <w:rFonts w:asciiTheme="minorHAnsi" w:hAnsiTheme="minorHAnsi" w:cstheme="minorBidi"/>
          <w:noProof/>
          <w:sz w:val="22"/>
          <w:szCs w:val="22"/>
        </w:rPr>
      </w:pPr>
      <w:hyperlink w:history="1" w:anchor="_Toc110598579">
        <w:r w:rsidRPr="0070556D" w:rsidR="00FF06D1">
          <w:rPr>
            <w:rStyle w:val="Hyperlink"/>
            <w:noProof/>
          </w:rPr>
          <w:t>6.4.1.</w:t>
        </w:r>
        <w:r w:rsidR="00FF06D1">
          <w:rPr>
            <w:rFonts w:asciiTheme="minorHAnsi" w:hAnsiTheme="minorHAnsi" w:cstheme="minorBidi"/>
            <w:noProof/>
            <w:sz w:val="22"/>
            <w:szCs w:val="22"/>
          </w:rPr>
          <w:tab/>
        </w:r>
        <w:r w:rsidRPr="0070556D" w:rsidR="00FF06D1">
          <w:rPr>
            <w:rStyle w:val="Hyperlink"/>
            <w:noProof/>
          </w:rPr>
          <w:t>Elimination of Non</w:t>
        </w:r>
        <w:r w:rsidRPr="0070556D" w:rsidR="00FF06D1">
          <w:rPr>
            <w:rStyle w:val="Hyperlink"/>
            <w:noProof/>
          </w:rPr>
          <w:noBreakHyphen/>
          <w:t>Residential Gas Line Subsidies:  Approved</w:t>
        </w:r>
        <w:r w:rsidR="00FF06D1">
          <w:rPr>
            <w:noProof/>
            <w:webHidden/>
          </w:rPr>
          <w:tab/>
        </w:r>
        <w:r w:rsidR="00FF06D1">
          <w:rPr>
            <w:noProof/>
            <w:webHidden/>
          </w:rPr>
          <w:fldChar w:fldCharType="begin"/>
        </w:r>
        <w:r w:rsidR="00FF06D1">
          <w:rPr>
            <w:noProof/>
            <w:webHidden/>
          </w:rPr>
          <w:instrText xml:space="preserve"> PAGEREF _Toc110598579 \h </w:instrText>
        </w:r>
        <w:r w:rsidR="00FF06D1">
          <w:rPr>
            <w:noProof/>
            <w:webHidden/>
          </w:rPr>
        </w:r>
        <w:r w:rsidR="00FF06D1">
          <w:rPr>
            <w:noProof/>
            <w:webHidden/>
          </w:rPr>
          <w:fldChar w:fldCharType="separate"/>
        </w:r>
        <w:r w:rsidR="00FF06D1">
          <w:rPr>
            <w:noProof/>
            <w:webHidden/>
          </w:rPr>
          <w:t>47</w:t>
        </w:r>
        <w:r w:rsidR="00FF06D1">
          <w:rPr>
            <w:noProof/>
            <w:webHidden/>
          </w:rPr>
          <w:fldChar w:fldCharType="end"/>
        </w:r>
      </w:hyperlink>
    </w:p>
    <w:p w:rsidR="00FF06D1" w:rsidRDefault="006462FD" w14:paraId="468E86DC" w14:textId="0516CC3F">
      <w:pPr>
        <w:pStyle w:val="TOC3"/>
        <w:tabs>
          <w:tab w:val="left" w:pos="1987"/>
          <w:tab w:val="right" w:leader="dot" w:pos="9350"/>
        </w:tabs>
        <w:rPr>
          <w:rFonts w:asciiTheme="minorHAnsi" w:hAnsiTheme="minorHAnsi" w:cstheme="minorBidi"/>
          <w:noProof/>
          <w:sz w:val="22"/>
          <w:szCs w:val="22"/>
        </w:rPr>
      </w:pPr>
      <w:hyperlink w:history="1" w:anchor="_Toc110598580">
        <w:r w:rsidRPr="0070556D" w:rsidR="00FF06D1">
          <w:rPr>
            <w:rStyle w:val="Hyperlink"/>
            <w:noProof/>
          </w:rPr>
          <w:t>6.4.2.</w:t>
        </w:r>
        <w:r w:rsidR="00FF06D1">
          <w:rPr>
            <w:rFonts w:asciiTheme="minorHAnsi" w:hAnsiTheme="minorHAnsi" w:cstheme="minorBidi"/>
            <w:noProof/>
            <w:sz w:val="22"/>
            <w:szCs w:val="22"/>
          </w:rPr>
          <w:tab/>
        </w:r>
        <w:r w:rsidRPr="0070556D" w:rsidR="00FF06D1">
          <w:rPr>
            <w:rStyle w:val="Hyperlink"/>
            <w:noProof/>
          </w:rPr>
          <w:t>Exemptions for Specific List of Projects that Provide Environmental or Financial Benefits:  Denied</w:t>
        </w:r>
        <w:r w:rsidR="00FF06D1">
          <w:rPr>
            <w:noProof/>
            <w:webHidden/>
          </w:rPr>
          <w:tab/>
        </w:r>
        <w:r w:rsidR="00FF06D1">
          <w:rPr>
            <w:noProof/>
            <w:webHidden/>
          </w:rPr>
          <w:fldChar w:fldCharType="begin"/>
        </w:r>
        <w:r w:rsidR="00FF06D1">
          <w:rPr>
            <w:noProof/>
            <w:webHidden/>
          </w:rPr>
          <w:instrText xml:space="preserve"> PAGEREF _Toc110598580 \h </w:instrText>
        </w:r>
        <w:r w:rsidR="00FF06D1">
          <w:rPr>
            <w:noProof/>
            <w:webHidden/>
          </w:rPr>
        </w:r>
        <w:r w:rsidR="00FF06D1">
          <w:rPr>
            <w:noProof/>
            <w:webHidden/>
          </w:rPr>
          <w:fldChar w:fldCharType="separate"/>
        </w:r>
        <w:r w:rsidR="00FF06D1">
          <w:rPr>
            <w:noProof/>
            <w:webHidden/>
          </w:rPr>
          <w:t>48</w:t>
        </w:r>
        <w:r w:rsidR="00FF06D1">
          <w:rPr>
            <w:noProof/>
            <w:webHidden/>
          </w:rPr>
          <w:fldChar w:fldCharType="end"/>
        </w:r>
      </w:hyperlink>
    </w:p>
    <w:p w:rsidR="00FF06D1" w:rsidRDefault="006462FD" w14:paraId="64D8872D" w14:textId="3B72BEC7">
      <w:pPr>
        <w:pStyle w:val="TOC3"/>
        <w:tabs>
          <w:tab w:val="left" w:pos="1987"/>
          <w:tab w:val="right" w:leader="dot" w:pos="9350"/>
        </w:tabs>
        <w:rPr>
          <w:rFonts w:asciiTheme="minorHAnsi" w:hAnsiTheme="minorHAnsi" w:cstheme="minorBidi"/>
          <w:noProof/>
          <w:sz w:val="22"/>
          <w:szCs w:val="22"/>
        </w:rPr>
      </w:pPr>
      <w:hyperlink w:history="1" w:anchor="_Toc110598581">
        <w:r w:rsidRPr="0070556D" w:rsidR="00FF06D1">
          <w:rPr>
            <w:rStyle w:val="Hyperlink"/>
            <w:noProof/>
          </w:rPr>
          <w:t>6.4.3.</w:t>
        </w:r>
        <w:r w:rsidR="00FF06D1">
          <w:rPr>
            <w:rFonts w:asciiTheme="minorHAnsi" w:hAnsiTheme="minorHAnsi" w:cstheme="minorBidi"/>
            <w:noProof/>
            <w:sz w:val="22"/>
            <w:szCs w:val="22"/>
          </w:rPr>
          <w:tab/>
        </w:r>
        <w:r w:rsidRPr="0070556D" w:rsidR="00FF06D1">
          <w:rPr>
            <w:rStyle w:val="Hyperlink"/>
            <w:noProof/>
          </w:rPr>
          <w:t>Exemptions for Projects That Enable Hydrogen, RNG and CNG Use:  Denied</w:t>
        </w:r>
        <w:r w:rsidR="00FF06D1">
          <w:rPr>
            <w:noProof/>
            <w:webHidden/>
          </w:rPr>
          <w:tab/>
        </w:r>
        <w:r w:rsidR="00FF06D1">
          <w:rPr>
            <w:noProof/>
            <w:webHidden/>
          </w:rPr>
          <w:fldChar w:fldCharType="begin"/>
        </w:r>
        <w:r w:rsidR="00FF06D1">
          <w:rPr>
            <w:noProof/>
            <w:webHidden/>
          </w:rPr>
          <w:instrText xml:space="preserve"> PAGEREF _Toc110598581 \h </w:instrText>
        </w:r>
        <w:r w:rsidR="00FF06D1">
          <w:rPr>
            <w:noProof/>
            <w:webHidden/>
          </w:rPr>
        </w:r>
        <w:r w:rsidR="00FF06D1">
          <w:rPr>
            <w:noProof/>
            <w:webHidden/>
          </w:rPr>
          <w:fldChar w:fldCharType="separate"/>
        </w:r>
        <w:r w:rsidR="00FF06D1">
          <w:rPr>
            <w:noProof/>
            <w:webHidden/>
          </w:rPr>
          <w:t>52</w:t>
        </w:r>
        <w:r w:rsidR="00FF06D1">
          <w:rPr>
            <w:noProof/>
            <w:webHidden/>
          </w:rPr>
          <w:fldChar w:fldCharType="end"/>
        </w:r>
      </w:hyperlink>
    </w:p>
    <w:p w:rsidR="00FF06D1" w:rsidRDefault="006462FD" w14:paraId="61C6C0B5" w14:textId="0D689ED0">
      <w:pPr>
        <w:pStyle w:val="TOC3"/>
        <w:tabs>
          <w:tab w:val="left" w:pos="1987"/>
          <w:tab w:val="right" w:leader="dot" w:pos="9350"/>
        </w:tabs>
        <w:rPr>
          <w:rFonts w:asciiTheme="minorHAnsi" w:hAnsiTheme="minorHAnsi" w:cstheme="minorBidi"/>
          <w:noProof/>
          <w:sz w:val="22"/>
          <w:szCs w:val="22"/>
        </w:rPr>
      </w:pPr>
      <w:hyperlink w:history="1" w:anchor="_Toc110598582">
        <w:r w:rsidRPr="0070556D" w:rsidR="00FF06D1">
          <w:rPr>
            <w:rStyle w:val="Hyperlink"/>
            <w:noProof/>
          </w:rPr>
          <w:t>6.4.4.</w:t>
        </w:r>
        <w:r w:rsidR="00FF06D1">
          <w:rPr>
            <w:rFonts w:asciiTheme="minorHAnsi" w:hAnsiTheme="minorHAnsi" w:cstheme="minorBidi"/>
            <w:noProof/>
            <w:sz w:val="22"/>
            <w:szCs w:val="22"/>
          </w:rPr>
          <w:tab/>
        </w:r>
        <w:r w:rsidRPr="0070556D" w:rsidR="00FF06D1">
          <w:rPr>
            <w:rStyle w:val="Hyperlink"/>
            <w:noProof/>
          </w:rPr>
          <w:t>Application Process for Select Projects that Provide Environmental or Financial Benefits:  Approved with Modifications</w:t>
        </w:r>
        <w:r w:rsidR="00FF06D1">
          <w:rPr>
            <w:noProof/>
            <w:webHidden/>
          </w:rPr>
          <w:tab/>
        </w:r>
        <w:r w:rsidR="00FF06D1">
          <w:rPr>
            <w:noProof/>
            <w:webHidden/>
          </w:rPr>
          <w:fldChar w:fldCharType="begin"/>
        </w:r>
        <w:r w:rsidR="00FF06D1">
          <w:rPr>
            <w:noProof/>
            <w:webHidden/>
          </w:rPr>
          <w:instrText xml:space="preserve"> PAGEREF _Toc110598582 \h </w:instrText>
        </w:r>
        <w:r w:rsidR="00FF06D1">
          <w:rPr>
            <w:noProof/>
            <w:webHidden/>
          </w:rPr>
        </w:r>
        <w:r w:rsidR="00FF06D1">
          <w:rPr>
            <w:noProof/>
            <w:webHidden/>
          </w:rPr>
          <w:fldChar w:fldCharType="separate"/>
        </w:r>
        <w:r w:rsidR="00FF06D1">
          <w:rPr>
            <w:noProof/>
            <w:webHidden/>
          </w:rPr>
          <w:t>56</w:t>
        </w:r>
        <w:r w:rsidR="00FF06D1">
          <w:rPr>
            <w:noProof/>
            <w:webHidden/>
          </w:rPr>
          <w:fldChar w:fldCharType="end"/>
        </w:r>
      </w:hyperlink>
    </w:p>
    <w:p w:rsidR="00FF06D1" w:rsidRDefault="006462FD" w14:paraId="20DBC728" w14:textId="045E15E8">
      <w:pPr>
        <w:pStyle w:val="TOC3"/>
        <w:tabs>
          <w:tab w:val="left" w:pos="1987"/>
          <w:tab w:val="right" w:leader="dot" w:pos="9350"/>
        </w:tabs>
        <w:rPr>
          <w:rFonts w:asciiTheme="minorHAnsi" w:hAnsiTheme="minorHAnsi" w:cstheme="minorBidi"/>
          <w:noProof/>
          <w:sz w:val="22"/>
          <w:szCs w:val="22"/>
        </w:rPr>
      </w:pPr>
      <w:hyperlink w:history="1" w:anchor="_Toc110598583">
        <w:r w:rsidRPr="0070556D" w:rsidR="00FF06D1">
          <w:rPr>
            <w:rStyle w:val="Hyperlink"/>
            <w:noProof/>
          </w:rPr>
          <w:t>6.4.5.</w:t>
        </w:r>
        <w:r w:rsidR="00FF06D1">
          <w:rPr>
            <w:rFonts w:asciiTheme="minorHAnsi" w:hAnsiTheme="minorHAnsi" w:cstheme="minorBidi"/>
            <w:noProof/>
            <w:sz w:val="22"/>
            <w:szCs w:val="22"/>
          </w:rPr>
          <w:tab/>
        </w:r>
        <w:r w:rsidRPr="0070556D" w:rsidR="00FF06D1">
          <w:rPr>
            <w:rStyle w:val="Hyperlink"/>
            <w:noProof/>
          </w:rPr>
          <w:t>Assistance for Low Income, Rural and Small Businesses:  Approved with Modifications</w:t>
        </w:r>
        <w:r w:rsidR="00FF06D1">
          <w:rPr>
            <w:noProof/>
            <w:webHidden/>
          </w:rPr>
          <w:tab/>
        </w:r>
        <w:r w:rsidR="00FF06D1">
          <w:rPr>
            <w:noProof/>
            <w:webHidden/>
          </w:rPr>
          <w:fldChar w:fldCharType="begin"/>
        </w:r>
        <w:r w:rsidR="00FF06D1">
          <w:rPr>
            <w:noProof/>
            <w:webHidden/>
          </w:rPr>
          <w:instrText xml:space="preserve"> PAGEREF _Toc110598583 \h </w:instrText>
        </w:r>
        <w:r w:rsidR="00FF06D1">
          <w:rPr>
            <w:noProof/>
            <w:webHidden/>
          </w:rPr>
        </w:r>
        <w:r w:rsidR="00FF06D1">
          <w:rPr>
            <w:noProof/>
            <w:webHidden/>
          </w:rPr>
          <w:fldChar w:fldCharType="separate"/>
        </w:r>
        <w:r w:rsidR="00FF06D1">
          <w:rPr>
            <w:noProof/>
            <w:webHidden/>
          </w:rPr>
          <w:t>58</w:t>
        </w:r>
        <w:r w:rsidR="00FF06D1">
          <w:rPr>
            <w:noProof/>
            <w:webHidden/>
          </w:rPr>
          <w:fldChar w:fldCharType="end"/>
        </w:r>
      </w:hyperlink>
    </w:p>
    <w:p w:rsidR="00FF06D1" w:rsidRDefault="006462FD" w14:paraId="2A74167C" w14:textId="66E8DB9F">
      <w:pPr>
        <w:pStyle w:val="TOC1"/>
        <w:tabs>
          <w:tab w:val="right" w:leader="dot" w:pos="9350"/>
        </w:tabs>
        <w:rPr>
          <w:rFonts w:asciiTheme="minorHAnsi" w:hAnsiTheme="minorHAnsi" w:cstheme="minorBidi"/>
          <w:noProof/>
          <w:sz w:val="22"/>
          <w:szCs w:val="22"/>
        </w:rPr>
      </w:pPr>
      <w:hyperlink w:history="1" w:anchor="_Toc110598584">
        <w:r w:rsidRPr="0070556D" w:rsidR="00FF06D1">
          <w:rPr>
            <w:rStyle w:val="Hyperlink"/>
            <w:noProof/>
          </w:rPr>
          <w:t>7.</w:t>
        </w:r>
        <w:r w:rsidR="00FF06D1">
          <w:rPr>
            <w:rFonts w:asciiTheme="minorHAnsi" w:hAnsiTheme="minorHAnsi" w:cstheme="minorBidi"/>
            <w:noProof/>
            <w:sz w:val="22"/>
            <w:szCs w:val="22"/>
          </w:rPr>
          <w:tab/>
        </w:r>
        <w:r w:rsidRPr="0070556D" w:rsidR="00FF06D1">
          <w:rPr>
            <w:rStyle w:val="Hyperlink"/>
            <w:noProof/>
          </w:rPr>
          <w:t>Compliance with Pub. Util. Code Section 783(b)</w:t>
        </w:r>
        <w:r w:rsidRPr="0070556D" w:rsidR="00FF06D1">
          <w:rPr>
            <w:rStyle w:val="Hyperlink"/>
            <w:noProof/>
          </w:rPr>
          <w:noBreakHyphen/>
          <w:t>(d)</w:t>
        </w:r>
        <w:r w:rsidR="00FF06D1">
          <w:rPr>
            <w:noProof/>
            <w:webHidden/>
          </w:rPr>
          <w:tab/>
        </w:r>
        <w:r w:rsidR="00FF06D1">
          <w:rPr>
            <w:noProof/>
            <w:webHidden/>
          </w:rPr>
          <w:fldChar w:fldCharType="begin"/>
        </w:r>
        <w:r w:rsidR="00FF06D1">
          <w:rPr>
            <w:noProof/>
            <w:webHidden/>
          </w:rPr>
          <w:instrText xml:space="preserve"> PAGEREF _Toc110598584 \h </w:instrText>
        </w:r>
        <w:r w:rsidR="00FF06D1">
          <w:rPr>
            <w:noProof/>
            <w:webHidden/>
          </w:rPr>
        </w:r>
        <w:r w:rsidR="00FF06D1">
          <w:rPr>
            <w:noProof/>
            <w:webHidden/>
          </w:rPr>
          <w:fldChar w:fldCharType="separate"/>
        </w:r>
        <w:r w:rsidR="00FF06D1">
          <w:rPr>
            <w:noProof/>
            <w:webHidden/>
          </w:rPr>
          <w:t>59</w:t>
        </w:r>
        <w:r w:rsidR="00FF06D1">
          <w:rPr>
            <w:noProof/>
            <w:webHidden/>
          </w:rPr>
          <w:fldChar w:fldCharType="end"/>
        </w:r>
      </w:hyperlink>
    </w:p>
    <w:p w:rsidR="00FF06D1" w:rsidRDefault="006462FD" w14:paraId="428F5B6E" w14:textId="6E6566A9">
      <w:pPr>
        <w:pStyle w:val="TOC2"/>
        <w:tabs>
          <w:tab w:val="left" w:pos="1123"/>
          <w:tab w:val="right" w:leader="dot" w:pos="9350"/>
        </w:tabs>
        <w:rPr>
          <w:rFonts w:asciiTheme="minorHAnsi" w:hAnsiTheme="minorHAnsi" w:cstheme="minorBidi"/>
          <w:noProof/>
          <w:sz w:val="22"/>
          <w:szCs w:val="22"/>
        </w:rPr>
      </w:pPr>
      <w:hyperlink w:history="1" w:anchor="_Toc110598585">
        <w:r w:rsidRPr="0070556D" w:rsidR="00FF06D1">
          <w:rPr>
            <w:rStyle w:val="Hyperlink"/>
            <w:noProof/>
          </w:rPr>
          <w:t>7.1.</w:t>
        </w:r>
        <w:r w:rsidR="00FF06D1">
          <w:rPr>
            <w:rFonts w:asciiTheme="minorHAnsi" w:hAnsiTheme="minorHAnsi" w:cstheme="minorBidi"/>
            <w:noProof/>
            <w:sz w:val="22"/>
            <w:szCs w:val="22"/>
          </w:rPr>
          <w:tab/>
        </w:r>
        <w:r w:rsidRPr="0070556D" w:rsidR="00FF06D1">
          <w:rPr>
            <w:rStyle w:val="Hyperlink"/>
            <w:noProof/>
          </w:rPr>
          <w:t>Staff Proposal</w:t>
        </w:r>
        <w:r w:rsidR="00FF06D1">
          <w:rPr>
            <w:noProof/>
            <w:webHidden/>
          </w:rPr>
          <w:tab/>
        </w:r>
        <w:r w:rsidR="00FF06D1">
          <w:rPr>
            <w:noProof/>
            <w:webHidden/>
          </w:rPr>
          <w:fldChar w:fldCharType="begin"/>
        </w:r>
        <w:r w:rsidR="00FF06D1">
          <w:rPr>
            <w:noProof/>
            <w:webHidden/>
          </w:rPr>
          <w:instrText xml:space="preserve"> PAGEREF _Toc110598585 \h </w:instrText>
        </w:r>
        <w:r w:rsidR="00FF06D1">
          <w:rPr>
            <w:noProof/>
            <w:webHidden/>
          </w:rPr>
        </w:r>
        <w:r w:rsidR="00FF06D1">
          <w:rPr>
            <w:noProof/>
            <w:webHidden/>
          </w:rPr>
          <w:fldChar w:fldCharType="separate"/>
        </w:r>
        <w:r w:rsidR="00FF06D1">
          <w:rPr>
            <w:noProof/>
            <w:webHidden/>
          </w:rPr>
          <w:t>60</w:t>
        </w:r>
        <w:r w:rsidR="00FF06D1">
          <w:rPr>
            <w:noProof/>
            <w:webHidden/>
          </w:rPr>
          <w:fldChar w:fldCharType="end"/>
        </w:r>
      </w:hyperlink>
    </w:p>
    <w:p w:rsidR="00FF06D1" w:rsidRDefault="006462FD" w14:paraId="10B35046" w14:textId="7B7F3A97">
      <w:pPr>
        <w:pStyle w:val="TOC2"/>
        <w:tabs>
          <w:tab w:val="left" w:pos="1123"/>
          <w:tab w:val="right" w:leader="dot" w:pos="9350"/>
        </w:tabs>
        <w:rPr>
          <w:rFonts w:asciiTheme="minorHAnsi" w:hAnsiTheme="minorHAnsi" w:cstheme="minorBidi"/>
          <w:noProof/>
          <w:sz w:val="22"/>
          <w:szCs w:val="22"/>
        </w:rPr>
      </w:pPr>
      <w:hyperlink w:history="1" w:anchor="_Toc110598586">
        <w:r w:rsidRPr="0070556D" w:rsidR="00FF06D1">
          <w:rPr>
            <w:rStyle w:val="Hyperlink"/>
            <w:noProof/>
          </w:rPr>
          <w:t>7.2.</w:t>
        </w:r>
        <w:r w:rsidR="00FF06D1">
          <w:rPr>
            <w:rFonts w:asciiTheme="minorHAnsi" w:hAnsiTheme="minorHAnsi" w:cstheme="minorBidi"/>
            <w:noProof/>
            <w:sz w:val="22"/>
            <w:szCs w:val="22"/>
          </w:rPr>
          <w:tab/>
        </w:r>
        <w:r w:rsidRPr="0070556D" w:rsidR="00FF06D1">
          <w:rPr>
            <w:rStyle w:val="Hyperlink"/>
            <w:noProof/>
          </w:rPr>
          <w:t>Positions of Parties Supporting the Staff Proposal</w:t>
        </w:r>
        <w:r w:rsidR="00FF06D1">
          <w:rPr>
            <w:noProof/>
            <w:webHidden/>
          </w:rPr>
          <w:tab/>
        </w:r>
        <w:r w:rsidR="00FF06D1">
          <w:rPr>
            <w:noProof/>
            <w:webHidden/>
          </w:rPr>
          <w:fldChar w:fldCharType="begin"/>
        </w:r>
        <w:r w:rsidR="00FF06D1">
          <w:rPr>
            <w:noProof/>
            <w:webHidden/>
          </w:rPr>
          <w:instrText xml:space="preserve"> PAGEREF _Toc110598586 \h </w:instrText>
        </w:r>
        <w:r w:rsidR="00FF06D1">
          <w:rPr>
            <w:noProof/>
            <w:webHidden/>
          </w:rPr>
        </w:r>
        <w:r w:rsidR="00FF06D1">
          <w:rPr>
            <w:noProof/>
            <w:webHidden/>
          </w:rPr>
          <w:fldChar w:fldCharType="separate"/>
        </w:r>
        <w:r w:rsidR="00FF06D1">
          <w:rPr>
            <w:noProof/>
            <w:webHidden/>
          </w:rPr>
          <w:t>63</w:t>
        </w:r>
        <w:r w:rsidR="00FF06D1">
          <w:rPr>
            <w:noProof/>
            <w:webHidden/>
          </w:rPr>
          <w:fldChar w:fldCharType="end"/>
        </w:r>
      </w:hyperlink>
    </w:p>
    <w:p w:rsidR="00FF06D1" w:rsidRDefault="006462FD" w14:paraId="4A1B4194" w14:textId="424F0F7D">
      <w:pPr>
        <w:pStyle w:val="TOC2"/>
        <w:tabs>
          <w:tab w:val="left" w:pos="1123"/>
          <w:tab w:val="right" w:leader="dot" w:pos="9350"/>
        </w:tabs>
        <w:rPr>
          <w:rFonts w:asciiTheme="minorHAnsi" w:hAnsiTheme="minorHAnsi" w:cstheme="minorBidi"/>
          <w:noProof/>
          <w:sz w:val="22"/>
          <w:szCs w:val="22"/>
        </w:rPr>
      </w:pPr>
      <w:hyperlink w:history="1" w:anchor="_Toc110598587">
        <w:r w:rsidRPr="0070556D" w:rsidR="00FF06D1">
          <w:rPr>
            <w:rStyle w:val="Hyperlink"/>
            <w:noProof/>
          </w:rPr>
          <w:t>7.3.</w:t>
        </w:r>
        <w:r w:rsidR="00FF06D1">
          <w:rPr>
            <w:rFonts w:asciiTheme="minorHAnsi" w:hAnsiTheme="minorHAnsi" w:cstheme="minorBidi"/>
            <w:noProof/>
            <w:sz w:val="22"/>
            <w:szCs w:val="22"/>
          </w:rPr>
          <w:tab/>
        </w:r>
        <w:r w:rsidRPr="0070556D" w:rsidR="00FF06D1">
          <w:rPr>
            <w:rStyle w:val="Hyperlink"/>
            <w:noProof/>
          </w:rPr>
          <w:t>Positions of Parties Opposing the Staff Proposal</w:t>
        </w:r>
        <w:r w:rsidR="00FF06D1">
          <w:rPr>
            <w:noProof/>
            <w:webHidden/>
          </w:rPr>
          <w:tab/>
        </w:r>
        <w:r w:rsidR="00FF06D1">
          <w:rPr>
            <w:noProof/>
            <w:webHidden/>
          </w:rPr>
          <w:fldChar w:fldCharType="begin"/>
        </w:r>
        <w:r w:rsidR="00FF06D1">
          <w:rPr>
            <w:noProof/>
            <w:webHidden/>
          </w:rPr>
          <w:instrText xml:space="preserve"> PAGEREF _Toc110598587 \h </w:instrText>
        </w:r>
        <w:r w:rsidR="00FF06D1">
          <w:rPr>
            <w:noProof/>
            <w:webHidden/>
          </w:rPr>
        </w:r>
        <w:r w:rsidR="00FF06D1">
          <w:rPr>
            <w:noProof/>
            <w:webHidden/>
          </w:rPr>
          <w:fldChar w:fldCharType="separate"/>
        </w:r>
        <w:r w:rsidR="00FF06D1">
          <w:rPr>
            <w:noProof/>
            <w:webHidden/>
          </w:rPr>
          <w:t>64</w:t>
        </w:r>
        <w:r w:rsidR="00FF06D1">
          <w:rPr>
            <w:noProof/>
            <w:webHidden/>
          </w:rPr>
          <w:fldChar w:fldCharType="end"/>
        </w:r>
      </w:hyperlink>
    </w:p>
    <w:p w:rsidR="00FF06D1" w:rsidRDefault="006462FD" w14:paraId="12AFB4CB" w14:textId="57FC9205">
      <w:pPr>
        <w:pStyle w:val="TOC2"/>
        <w:tabs>
          <w:tab w:val="left" w:pos="1123"/>
          <w:tab w:val="right" w:leader="dot" w:pos="9350"/>
        </w:tabs>
        <w:rPr>
          <w:rFonts w:asciiTheme="minorHAnsi" w:hAnsiTheme="minorHAnsi" w:cstheme="minorBidi"/>
          <w:noProof/>
          <w:sz w:val="22"/>
          <w:szCs w:val="22"/>
        </w:rPr>
      </w:pPr>
      <w:hyperlink w:history="1" w:anchor="_Toc110598588">
        <w:r w:rsidRPr="0070556D" w:rsidR="00FF06D1">
          <w:rPr>
            <w:rStyle w:val="Hyperlink"/>
            <w:noProof/>
          </w:rPr>
          <w:t>7.4.</w:t>
        </w:r>
        <w:r w:rsidR="00FF06D1">
          <w:rPr>
            <w:rFonts w:asciiTheme="minorHAnsi" w:hAnsiTheme="minorHAnsi" w:cstheme="minorBidi"/>
            <w:noProof/>
            <w:sz w:val="22"/>
            <w:szCs w:val="22"/>
          </w:rPr>
          <w:tab/>
        </w:r>
        <w:r w:rsidRPr="0070556D" w:rsidR="00FF06D1">
          <w:rPr>
            <w:rStyle w:val="Hyperlink"/>
            <w:noProof/>
          </w:rPr>
          <w:t>Discussion</w:t>
        </w:r>
        <w:r w:rsidR="00FF06D1">
          <w:rPr>
            <w:noProof/>
            <w:webHidden/>
          </w:rPr>
          <w:tab/>
        </w:r>
        <w:r w:rsidR="00FF06D1">
          <w:rPr>
            <w:noProof/>
            <w:webHidden/>
          </w:rPr>
          <w:fldChar w:fldCharType="begin"/>
        </w:r>
        <w:r w:rsidR="00FF06D1">
          <w:rPr>
            <w:noProof/>
            <w:webHidden/>
          </w:rPr>
          <w:instrText xml:space="preserve"> PAGEREF _Toc110598588 \h </w:instrText>
        </w:r>
        <w:r w:rsidR="00FF06D1">
          <w:rPr>
            <w:noProof/>
            <w:webHidden/>
          </w:rPr>
        </w:r>
        <w:r w:rsidR="00FF06D1">
          <w:rPr>
            <w:noProof/>
            <w:webHidden/>
          </w:rPr>
          <w:fldChar w:fldCharType="separate"/>
        </w:r>
        <w:r w:rsidR="00FF06D1">
          <w:rPr>
            <w:noProof/>
            <w:webHidden/>
          </w:rPr>
          <w:t>65</w:t>
        </w:r>
        <w:r w:rsidR="00FF06D1">
          <w:rPr>
            <w:noProof/>
            <w:webHidden/>
          </w:rPr>
          <w:fldChar w:fldCharType="end"/>
        </w:r>
      </w:hyperlink>
    </w:p>
    <w:p w:rsidR="00FF06D1" w:rsidRDefault="006462FD" w14:paraId="79B7840B" w14:textId="056206C3">
      <w:pPr>
        <w:pStyle w:val="TOC3"/>
        <w:tabs>
          <w:tab w:val="left" w:pos="1987"/>
          <w:tab w:val="right" w:leader="dot" w:pos="9350"/>
        </w:tabs>
        <w:rPr>
          <w:rFonts w:asciiTheme="minorHAnsi" w:hAnsiTheme="minorHAnsi" w:cstheme="minorBidi"/>
          <w:noProof/>
          <w:sz w:val="22"/>
          <w:szCs w:val="22"/>
        </w:rPr>
      </w:pPr>
      <w:hyperlink w:history="1" w:anchor="_Toc110598589">
        <w:r w:rsidRPr="0070556D" w:rsidR="00FF06D1">
          <w:rPr>
            <w:rStyle w:val="Hyperlink"/>
            <w:noProof/>
          </w:rPr>
          <w:t>7.4.1.</w:t>
        </w:r>
        <w:r w:rsidR="00FF06D1">
          <w:rPr>
            <w:rFonts w:asciiTheme="minorHAnsi" w:hAnsiTheme="minorHAnsi" w:cstheme="minorBidi"/>
            <w:noProof/>
            <w:sz w:val="22"/>
            <w:szCs w:val="22"/>
          </w:rPr>
          <w:tab/>
        </w:r>
        <w:r w:rsidRPr="0070556D" w:rsidR="00FF06D1">
          <w:rPr>
            <w:rStyle w:val="Hyperlink"/>
            <w:noProof/>
          </w:rPr>
          <w:t>Compliance with Pub. Util. Code Section 783(b)</w:t>
        </w:r>
        <w:r w:rsidR="00FF06D1">
          <w:rPr>
            <w:noProof/>
            <w:webHidden/>
          </w:rPr>
          <w:tab/>
        </w:r>
        <w:r w:rsidR="00FF06D1">
          <w:rPr>
            <w:noProof/>
            <w:webHidden/>
          </w:rPr>
          <w:fldChar w:fldCharType="begin"/>
        </w:r>
        <w:r w:rsidR="00FF06D1">
          <w:rPr>
            <w:noProof/>
            <w:webHidden/>
          </w:rPr>
          <w:instrText xml:space="preserve"> PAGEREF _Toc110598589 \h </w:instrText>
        </w:r>
        <w:r w:rsidR="00FF06D1">
          <w:rPr>
            <w:noProof/>
            <w:webHidden/>
          </w:rPr>
        </w:r>
        <w:r w:rsidR="00FF06D1">
          <w:rPr>
            <w:noProof/>
            <w:webHidden/>
          </w:rPr>
          <w:fldChar w:fldCharType="separate"/>
        </w:r>
        <w:r w:rsidR="00FF06D1">
          <w:rPr>
            <w:noProof/>
            <w:webHidden/>
          </w:rPr>
          <w:t>65</w:t>
        </w:r>
        <w:r w:rsidR="00FF06D1">
          <w:rPr>
            <w:noProof/>
            <w:webHidden/>
          </w:rPr>
          <w:fldChar w:fldCharType="end"/>
        </w:r>
      </w:hyperlink>
    </w:p>
    <w:p w:rsidR="00FF06D1" w:rsidRDefault="006462FD" w14:paraId="105191F6" w14:textId="1E402183">
      <w:pPr>
        <w:pStyle w:val="TOC3"/>
        <w:tabs>
          <w:tab w:val="left" w:pos="1987"/>
          <w:tab w:val="right" w:leader="dot" w:pos="9350"/>
        </w:tabs>
        <w:rPr>
          <w:rFonts w:asciiTheme="minorHAnsi" w:hAnsiTheme="minorHAnsi" w:cstheme="minorBidi"/>
          <w:noProof/>
          <w:sz w:val="22"/>
          <w:szCs w:val="22"/>
        </w:rPr>
      </w:pPr>
      <w:hyperlink w:history="1" w:anchor="_Toc110598590">
        <w:r w:rsidRPr="0070556D" w:rsidR="00FF06D1">
          <w:rPr>
            <w:rStyle w:val="Hyperlink"/>
            <w:noProof/>
          </w:rPr>
          <w:t>7.4.2.</w:t>
        </w:r>
        <w:r w:rsidR="00FF06D1">
          <w:rPr>
            <w:rFonts w:asciiTheme="minorHAnsi" w:hAnsiTheme="minorHAnsi" w:cstheme="minorBidi"/>
            <w:noProof/>
            <w:sz w:val="22"/>
            <w:szCs w:val="22"/>
          </w:rPr>
          <w:tab/>
        </w:r>
        <w:r w:rsidRPr="0070556D" w:rsidR="00FF06D1">
          <w:rPr>
            <w:rStyle w:val="Hyperlink"/>
            <w:noProof/>
          </w:rPr>
          <w:t>Compliance with Pub. Util. Code Section 783(c)</w:t>
        </w:r>
        <w:r w:rsidR="00FF06D1">
          <w:rPr>
            <w:noProof/>
            <w:webHidden/>
          </w:rPr>
          <w:tab/>
        </w:r>
        <w:r w:rsidR="00FF06D1">
          <w:rPr>
            <w:noProof/>
            <w:webHidden/>
          </w:rPr>
          <w:fldChar w:fldCharType="begin"/>
        </w:r>
        <w:r w:rsidR="00FF06D1">
          <w:rPr>
            <w:noProof/>
            <w:webHidden/>
          </w:rPr>
          <w:instrText xml:space="preserve"> PAGEREF _Toc110598590 \h </w:instrText>
        </w:r>
        <w:r w:rsidR="00FF06D1">
          <w:rPr>
            <w:noProof/>
            <w:webHidden/>
          </w:rPr>
        </w:r>
        <w:r w:rsidR="00FF06D1">
          <w:rPr>
            <w:noProof/>
            <w:webHidden/>
          </w:rPr>
          <w:fldChar w:fldCharType="separate"/>
        </w:r>
        <w:r w:rsidR="00FF06D1">
          <w:rPr>
            <w:noProof/>
            <w:webHidden/>
          </w:rPr>
          <w:t>72</w:t>
        </w:r>
        <w:r w:rsidR="00FF06D1">
          <w:rPr>
            <w:noProof/>
            <w:webHidden/>
          </w:rPr>
          <w:fldChar w:fldCharType="end"/>
        </w:r>
      </w:hyperlink>
    </w:p>
    <w:p w:rsidR="00FF06D1" w:rsidRDefault="006462FD" w14:paraId="24593681" w14:textId="02E23298">
      <w:pPr>
        <w:pStyle w:val="TOC3"/>
        <w:tabs>
          <w:tab w:val="left" w:pos="1987"/>
          <w:tab w:val="right" w:leader="dot" w:pos="9350"/>
        </w:tabs>
        <w:rPr>
          <w:rFonts w:asciiTheme="minorHAnsi" w:hAnsiTheme="minorHAnsi" w:cstheme="minorBidi"/>
          <w:noProof/>
          <w:sz w:val="22"/>
          <w:szCs w:val="22"/>
        </w:rPr>
      </w:pPr>
      <w:hyperlink w:history="1" w:anchor="_Toc110598591">
        <w:r w:rsidRPr="0070556D" w:rsidR="00FF06D1">
          <w:rPr>
            <w:rStyle w:val="Hyperlink"/>
            <w:noProof/>
          </w:rPr>
          <w:t>7.4.3.</w:t>
        </w:r>
        <w:r w:rsidR="00FF06D1">
          <w:rPr>
            <w:rFonts w:asciiTheme="minorHAnsi" w:hAnsiTheme="minorHAnsi" w:cstheme="minorBidi"/>
            <w:noProof/>
            <w:sz w:val="22"/>
            <w:szCs w:val="22"/>
          </w:rPr>
          <w:tab/>
        </w:r>
        <w:r w:rsidRPr="0070556D" w:rsidR="00FF06D1">
          <w:rPr>
            <w:rStyle w:val="Hyperlink"/>
            <w:noProof/>
          </w:rPr>
          <w:t>Compliance with Pub. Util. Code Section 783(d)</w:t>
        </w:r>
        <w:r w:rsidR="00FF06D1">
          <w:rPr>
            <w:noProof/>
            <w:webHidden/>
          </w:rPr>
          <w:tab/>
        </w:r>
        <w:r w:rsidR="00FF06D1">
          <w:rPr>
            <w:noProof/>
            <w:webHidden/>
          </w:rPr>
          <w:fldChar w:fldCharType="begin"/>
        </w:r>
        <w:r w:rsidR="00FF06D1">
          <w:rPr>
            <w:noProof/>
            <w:webHidden/>
          </w:rPr>
          <w:instrText xml:space="preserve"> PAGEREF _Toc110598591 \h </w:instrText>
        </w:r>
        <w:r w:rsidR="00FF06D1">
          <w:rPr>
            <w:noProof/>
            <w:webHidden/>
          </w:rPr>
        </w:r>
        <w:r w:rsidR="00FF06D1">
          <w:rPr>
            <w:noProof/>
            <w:webHidden/>
          </w:rPr>
          <w:fldChar w:fldCharType="separate"/>
        </w:r>
        <w:r w:rsidR="00FF06D1">
          <w:rPr>
            <w:noProof/>
            <w:webHidden/>
          </w:rPr>
          <w:t>72</w:t>
        </w:r>
        <w:r w:rsidR="00FF06D1">
          <w:rPr>
            <w:noProof/>
            <w:webHidden/>
          </w:rPr>
          <w:fldChar w:fldCharType="end"/>
        </w:r>
      </w:hyperlink>
    </w:p>
    <w:p w:rsidR="00FF06D1" w:rsidRDefault="006462FD" w14:paraId="0D8CA5D1" w14:textId="52B88FE0">
      <w:pPr>
        <w:pStyle w:val="TOC1"/>
        <w:tabs>
          <w:tab w:val="right" w:leader="dot" w:pos="9350"/>
        </w:tabs>
        <w:rPr>
          <w:rFonts w:asciiTheme="minorHAnsi" w:hAnsiTheme="minorHAnsi" w:cstheme="minorBidi"/>
          <w:noProof/>
          <w:sz w:val="22"/>
          <w:szCs w:val="22"/>
        </w:rPr>
      </w:pPr>
      <w:hyperlink w:history="1" w:anchor="_Toc110598592">
        <w:r w:rsidRPr="0070556D" w:rsidR="00FF06D1">
          <w:rPr>
            <w:rStyle w:val="Hyperlink"/>
            <w:noProof/>
          </w:rPr>
          <w:t>8.</w:t>
        </w:r>
        <w:r w:rsidR="00FF06D1">
          <w:rPr>
            <w:rFonts w:asciiTheme="minorHAnsi" w:hAnsiTheme="minorHAnsi" w:cstheme="minorBidi"/>
            <w:noProof/>
            <w:sz w:val="22"/>
            <w:szCs w:val="22"/>
          </w:rPr>
          <w:tab/>
        </w:r>
        <w:r w:rsidRPr="0070556D" w:rsidR="00FF06D1">
          <w:rPr>
            <w:rStyle w:val="Hyperlink"/>
            <w:noProof/>
          </w:rPr>
          <w:t>Conclusion</w:t>
        </w:r>
        <w:r w:rsidR="00FF06D1">
          <w:rPr>
            <w:noProof/>
            <w:webHidden/>
          </w:rPr>
          <w:tab/>
        </w:r>
        <w:r w:rsidR="00FF06D1">
          <w:rPr>
            <w:noProof/>
            <w:webHidden/>
          </w:rPr>
          <w:fldChar w:fldCharType="begin"/>
        </w:r>
        <w:r w:rsidR="00FF06D1">
          <w:rPr>
            <w:noProof/>
            <w:webHidden/>
          </w:rPr>
          <w:instrText xml:space="preserve"> PAGEREF _Toc110598592 \h </w:instrText>
        </w:r>
        <w:r w:rsidR="00FF06D1">
          <w:rPr>
            <w:noProof/>
            <w:webHidden/>
          </w:rPr>
        </w:r>
        <w:r w:rsidR="00FF06D1">
          <w:rPr>
            <w:noProof/>
            <w:webHidden/>
          </w:rPr>
          <w:fldChar w:fldCharType="separate"/>
        </w:r>
        <w:r w:rsidR="00FF06D1">
          <w:rPr>
            <w:noProof/>
            <w:webHidden/>
          </w:rPr>
          <w:t>72</w:t>
        </w:r>
        <w:r w:rsidR="00FF06D1">
          <w:rPr>
            <w:noProof/>
            <w:webHidden/>
          </w:rPr>
          <w:fldChar w:fldCharType="end"/>
        </w:r>
      </w:hyperlink>
    </w:p>
    <w:p w:rsidR="00FF06D1" w:rsidRDefault="006462FD" w14:paraId="67C20A2E" w14:textId="4FA9E133">
      <w:pPr>
        <w:pStyle w:val="TOC1"/>
        <w:tabs>
          <w:tab w:val="right" w:leader="dot" w:pos="9350"/>
        </w:tabs>
        <w:rPr>
          <w:rFonts w:asciiTheme="minorHAnsi" w:hAnsiTheme="minorHAnsi" w:cstheme="minorBidi"/>
          <w:noProof/>
          <w:sz w:val="22"/>
          <w:szCs w:val="22"/>
        </w:rPr>
      </w:pPr>
      <w:hyperlink w:history="1" w:anchor="_Toc110598593">
        <w:r w:rsidRPr="0070556D" w:rsidR="00FF06D1">
          <w:rPr>
            <w:rStyle w:val="Hyperlink"/>
            <w:noProof/>
          </w:rPr>
          <w:t>9.</w:t>
        </w:r>
        <w:r w:rsidR="00FF06D1">
          <w:rPr>
            <w:rFonts w:asciiTheme="minorHAnsi" w:hAnsiTheme="minorHAnsi" w:cstheme="minorBidi"/>
            <w:noProof/>
            <w:sz w:val="22"/>
            <w:szCs w:val="22"/>
          </w:rPr>
          <w:tab/>
        </w:r>
        <w:r w:rsidRPr="0070556D" w:rsidR="00FF06D1">
          <w:rPr>
            <w:rStyle w:val="Hyperlink"/>
            <w:noProof/>
          </w:rPr>
          <w:t>Comments on Proposed Decision</w:t>
        </w:r>
        <w:r w:rsidR="00FF06D1">
          <w:rPr>
            <w:noProof/>
            <w:webHidden/>
          </w:rPr>
          <w:tab/>
        </w:r>
        <w:r w:rsidR="00FF06D1">
          <w:rPr>
            <w:noProof/>
            <w:webHidden/>
          </w:rPr>
          <w:fldChar w:fldCharType="begin"/>
        </w:r>
        <w:r w:rsidR="00FF06D1">
          <w:rPr>
            <w:noProof/>
            <w:webHidden/>
          </w:rPr>
          <w:instrText xml:space="preserve"> PAGEREF _Toc110598593 \h </w:instrText>
        </w:r>
        <w:r w:rsidR="00FF06D1">
          <w:rPr>
            <w:noProof/>
            <w:webHidden/>
          </w:rPr>
        </w:r>
        <w:r w:rsidR="00FF06D1">
          <w:rPr>
            <w:noProof/>
            <w:webHidden/>
          </w:rPr>
          <w:fldChar w:fldCharType="separate"/>
        </w:r>
        <w:r w:rsidR="00FF06D1">
          <w:rPr>
            <w:noProof/>
            <w:webHidden/>
          </w:rPr>
          <w:t>73</w:t>
        </w:r>
        <w:r w:rsidR="00FF06D1">
          <w:rPr>
            <w:noProof/>
            <w:webHidden/>
          </w:rPr>
          <w:fldChar w:fldCharType="end"/>
        </w:r>
      </w:hyperlink>
    </w:p>
    <w:p w:rsidR="00FF06D1" w:rsidRDefault="006462FD" w14:paraId="1A0D7CF3" w14:textId="5E4006DC">
      <w:pPr>
        <w:pStyle w:val="TOC1"/>
        <w:tabs>
          <w:tab w:val="right" w:leader="dot" w:pos="9350"/>
        </w:tabs>
        <w:rPr>
          <w:rFonts w:asciiTheme="minorHAnsi" w:hAnsiTheme="minorHAnsi" w:cstheme="minorBidi"/>
          <w:noProof/>
          <w:sz w:val="22"/>
          <w:szCs w:val="22"/>
        </w:rPr>
      </w:pPr>
      <w:hyperlink w:history="1" w:anchor="_Toc110598594">
        <w:r w:rsidRPr="0070556D" w:rsidR="00FF06D1">
          <w:rPr>
            <w:rStyle w:val="Hyperlink"/>
            <w:noProof/>
          </w:rPr>
          <w:t>10.</w:t>
        </w:r>
        <w:r w:rsidR="00FF06D1">
          <w:rPr>
            <w:rFonts w:asciiTheme="minorHAnsi" w:hAnsiTheme="minorHAnsi" w:cstheme="minorBidi"/>
            <w:noProof/>
            <w:sz w:val="22"/>
            <w:szCs w:val="22"/>
          </w:rPr>
          <w:tab/>
        </w:r>
        <w:r w:rsidRPr="0070556D" w:rsidR="00FF06D1">
          <w:rPr>
            <w:rStyle w:val="Hyperlink"/>
            <w:noProof/>
          </w:rPr>
          <w:t>Assignment of Proceeding</w:t>
        </w:r>
        <w:r w:rsidR="00FF06D1">
          <w:rPr>
            <w:noProof/>
            <w:webHidden/>
          </w:rPr>
          <w:tab/>
        </w:r>
        <w:r w:rsidR="00FF06D1">
          <w:rPr>
            <w:noProof/>
            <w:webHidden/>
          </w:rPr>
          <w:fldChar w:fldCharType="begin"/>
        </w:r>
        <w:r w:rsidR="00FF06D1">
          <w:rPr>
            <w:noProof/>
            <w:webHidden/>
          </w:rPr>
          <w:instrText xml:space="preserve"> PAGEREF _Toc110598594 \h </w:instrText>
        </w:r>
        <w:r w:rsidR="00FF06D1">
          <w:rPr>
            <w:noProof/>
            <w:webHidden/>
          </w:rPr>
        </w:r>
        <w:r w:rsidR="00FF06D1">
          <w:rPr>
            <w:noProof/>
            <w:webHidden/>
          </w:rPr>
          <w:fldChar w:fldCharType="separate"/>
        </w:r>
        <w:r w:rsidR="00FF06D1">
          <w:rPr>
            <w:noProof/>
            <w:webHidden/>
          </w:rPr>
          <w:t>73</w:t>
        </w:r>
        <w:r w:rsidR="00FF06D1">
          <w:rPr>
            <w:noProof/>
            <w:webHidden/>
          </w:rPr>
          <w:fldChar w:fldCharType="end"/>
        </w:r>
      </w:hyperlink>
    </w:p>
    <w:p w:rsidR="00FF06D1" w:rsidRDefault="006462FD" w14:paraId="127F41E2" w14:textId="707DE725">
      <w:pPr>
        <w:pStyle w:val="TOC1"/>
        <w:tabs>
          <w:tab w:val="right" w:leader="dot" w:pos="9350"/>
        </w:tabs>
        <w:rPr>
          <w:rFonts w:asciiTheme="minorHAnsi" w:hAnsiTheme="minorHAnsi" w:cstheme="minorBidi"/>
          <w:noProof/>
          <w:sz w:val="22"/>
          <w:szCs w:val="22"/>
        </w:rPr>
      </w:pPr>
      <w:hyperlink w:history="1" w:anchor="_Toc110598595">
        <w:r w:rsidRPr="0070556D" w:rsidR="00FF06D1">
          <w:rPr>
            <w:rStyle w:val="Hyperlink"/>
            <w:noProof/>
          </w:rPr>
          <w:t>Findings of Fact</w:t>
        </w:r>
        <w:r w:rsidR="00FF06D1">
          <w:rPr>
            <w:noProof/>
            <w:webHidden/>
          </w:rPr>
          <w:tab/>
        </w:r>
        <w:r w:rsidR="00FF06D1">
          <w:rPr>
            <w:noProof/>
            <w:webHidden/>
          </w:rPr>
          <w:fldChar w:fldCharType="begin"/>
        </w:r>
        <w:r w:rsidR="00FF06D1">
          <w:rPr>
            <w:noProof/>
            <w:webHidden/>
          </w:rPr>
          <w:instrText xml:space="preserve"> PAGEREF _Toc110598595 \h </w:instrText>
        </w:r>
        <w:r w:rsidR="00FF06D1">
          <w:rPr>
            <w:noProof/>
            <w:webHidden/>
          </w:rPr>
        </w:r>
        <w:r w:rsidR="00FF06D1">
          <w:rPr>
            <w:noProof/>
            <w:webHidden/>
          </w:rPr>
          <w:fldChar w:fldCharType="separate"/>
        </w:r>
        <w:r w:rsidR="00FF06D1">
          <w:rPr>
            <w:noProof/>
            <w:webHidden/>
          </w:rPr>
          <w:t>73</w:t>
        </w:r>
        <w:r w:rsidR="00FF06D1">
          <w:rPr>
            <w:noProof/>
            <w:webHidden/>
          </w:rPr>
          <w:fldChar w:fldCharType="end"/>
        </w:r>
      </w:hyperlink>
    </w:p>
    <w:p w:rsidR="00FF06D1" w:rsidRDefault="006462FD" w14:paraId="370F3925" w14:textId="78E3891B">
      <w:pPr>
        <w:pStyle w:val="TOC1"/>
        <w:tabs>
          <w:tab w:val="right" w:leader="dot" w:pos="9350"/>
        </w:tabs>
        <w:rPr>
          <w:rFonts w:asciiTheme="minorHAnsi" w:hAnsiTheme="minorHAnsi" w:cstheme="minorBidi"/>
          <w:noProof/>
          <w:sz w:val="22"/>
          <w:szCs w:val="22"/>
        </w:rPr>
      </w:pPr>
      <w:hyperlink w:history="1" w:anchor="_Toc110598596">
        <w:r w:rsidRPr="0070556D" w:rsidR="00FF06D1">
          <w:rPr>
            <w:rStyle w:val="Hyperlink"/>
            <w:noProof/>
          </w:rPr>
          <w:t>Conclusions of Law</w:t>
        </w:r>
        <w:r w:rsidR="00FF06D1">
          <w:rPr>
            <w:noProof/>
            <w:webHidden/>
          </w:rPr>
          <w:tab/>
        </w:r>
        <w:r w:rsidR="00FF06D1">
          <w:rPr>
            <w:noProof/>
            <w:webHidden/>
          </w:rPr>
          <w:fldChar w:fldCharType="begin"/>
        </w:r>
        <w:r w:rsidR="00FF06D1">
          <w:rPr>
            <w:noProof/>
            <w:webHidden/>
          </w:rPr>
          <w:instrText xml:space="preserve"> PAGEREF _Toc110598596 \h </w:instrText>
        </w:r>
        <w:r w:rsidR="00FF06D1">
          <w:rPr>
            <w:noProof/>
            <w:webHidden/>
          </w:rPr>
        </w:r>
        <w:r w:rsidR="00FF06D1">
          <w:rPr>
            <w:noProof/>
            <w:webHidden/>
          </w:rPr>
          <w:fldChar w:fldCharType="separate"/>
        </w:r>
        <w:r w:rsidR="00FF06D1">
          <w:rPr>
            <w:noProof/>
            <w:webHidden/>
          </w:rPr>
          <w:t>79</w:t>
        </w:r>
        <w:r w:rsidR="00FF06D1">
          <w:rPr>
            <w:noProof/>
            <w:webHidden/>
          </w:rPr>
          <w:fldChar w:fldCharType="end"/>
        </w:r>
      </w:hyperlink>
    </w:p>
    <w:p w:rsidR="00FF06D1" w:rsidRDefault="006462FD" w14:paraId="5E100333" w14:textId="76B19403">
      <w:pPr>
        <w:pStyle w:val="TOC1"/>
        <w:tabs>
          <w:tab w:val="right" w:leader="dot" w:pos="9350"/>
        </w:tabs>
        <w:rPr>
          <w:rFonts w:asciiTheme="minorHAnsi" w:hAnsiTheme="minorHAnsi" w:cstheme="minorBidi"/>
          <w:noProof/>
          <w:sz w:val="22"/>
          <w:szCs w:val="22"/>
        </w:rPr>
      </w:pPr>
      <w:hyperlink w:history="1" w:anchor="_Toc110598597">
        <w:r w:rsidRPr="0070556D" w:rsidR="00FF06D1">
          <w:rPr>
            <w:rStyle w:val="Hyperlink"/>
            <w:noProof/>
          </w:rPr>
          <w:t>ORDER</w:t>
        </w:r>
        <w:r w:rsidR="00FF06D1">
          <w:rPr>
            <w:noProof/>
            <w:webHidden/>
          </w:rPr>
          <w:tab/>
        </w:r>
        <w:r w:rsidR="00FF06D1">
          <w:rPr>
            <w:noProof/>
            <w:webHidden/>
          </w:rPr>
          <w:fldChar w:fldCharType="begin"/>
        </w:r>
        <w:r w:rsidR="00FF06D1">
          <w:rPr>
            <w:noProof/>
            <w:webHidden/>
          </w:rPr>
          <w:instrText xml:space="preserve"> PAGEREF _Toc110598597 \h </w:instrText>
        </w:r>
        <w:r w:rsidR="00FF06D1">
          <w:rPr>
            <w:noProof/>
            <w:webHidden/>
          </w:rPr>
        </w:r>
        <w:r w:rsidR="00FF06D1">
          <w:rPr>
            <w:noProof/>
            <w:webHidden/>
          </w:rPr>
          <w:fldChar w:fldCharType="separate"/>
        </w:r>
        <w:r w:rsidR="00FF06D1">
          <w:rPr>
            <w:noProof/>
            <w:webHidden/>
          </w:rPr>
          <w:t>80</w:t>
        </w:r>
        <w:r w:rsidR="00FF06D1">
          <w:rPr>
            <w:noProof/>
            <w:webHidden/>
          </w:rPr>
          <w:fldChar w:fldCharType="end"/>
        </w:r>
      </w:hyperlink>
    </w:p>
    <w:p w:rsidR="007D38D5" w:rsidP="007D38D5" w:rsidRDefault="007D38D5" w14:paraId="1CDA41B0" w14:textId="2757B5AA">
      <w:pPr>
        <w:pStyle w:val="ALJBodyText"/>
        <w:shd w:val="clear" w:color="auto" w:fill="FFFFFF" w:themeFill="background1"/>
        <w:ind w:firstLine="0"/>
        <w:jc w:val="both"/>
      </w:pPr>
      <w:r>
        <w:fldChar w:fldCharType="end"/>
      </w:r>
    </w:p>
    <w:p w:rsidRPr="00BD090D" w:rsidR="00FC3FF8" w:rsidP="000D139D" w:rsidRDefault="00FC3FF8" w14:paraId="67C4BA04" w14:textId="0E3D5831">
      <w:pPr>
        <w:pStyle w:val="ALJBodyText"/>
        <w:keepNext/>
        <w:shd w:val="clear" w:color="auto" w:fill="FFFFFF" w:themeFill="background1"/>
        <w:spacing w:before="240" w:after="240" w:line="240" w:lineRule="auto"/>
        <w:ind w:firstLine="0"/>
        <w:jc w:val="center"/>
        <w:rPr>
          <w:b/>
          <w:bCs/>
        </w:rPr>
      </w:pPr>
      <w:r w:rsidRPr="00BD090D">
        <w:rPr>
          <w:b/>
          <w:bCs/>
        </w:rPr>
        <w:t>Tables</w:t>
      </w:r>
    </w:p>
    <w:p w:rsidR="007B7161" w:rsidP="00C23658" w:rsidRDefault="007B7161" w14:paraId="5D2B60A0" w14:textId="12101BC4">
      <w:pPr>
        <w:pStyle w:val="ALJBodyText"/>
        <w:keepNext/>
        <w:shd w:val="clear" w:color="auto" w:fill="FFFFFF" w:themeFill="background1"/>
        <w:spacing w:after="120" w:line="240" w:lineRule="auto"/>
        <w:ind w:left="1080" w:hanging="1080"/>
      </w:pPr>
      <w:r>
        <w:fldChar w:fldCharType="begin"/>
      </w:r>
      <w:r>
        <w:instrText xml:space="preserve"> REF Table1 \h  \* MERGEFORMAT </w:instrText>
      </w:r>
      <w:r>
        <w:fldChar w:fldCharType="separate"/>
      </w:r>
      <w:r w:rsidRPr="00FF06D1" w:rsidR="00FF06D1">
        <w:rPr>
          <w:bCs/>
        </w:rPr>
        <w:t>Table 1.</w:t>
      </w:r>
      <w:r w:rsidR="00FF06D1">
        <w:rPr>
          <w:b/>
        </w:rPr>
        <w:tab/>
      </w:r>
      <w:r w:rsidRPr="00DF1B5B" w:rsidR="00FF06D1">
        <w:t>Current</w:t>
      </w:r>
      <w:r w:rsidRPr="007E33FC" w:rsidR="00FF06D1">
        <w:t xml:space="preserve"> Residential Gas Line Extension Allowances</w:t>
      </w:r>
      <w:r>
        <w:fldChar w:fldCharType="end"/>
      </w:r>
    </w:p>
    <w:p w:rsidR="007B7161" w:rsidP="00C23658" w:rsidRDefault="007B7161" w14:paraId="4463BCBF" w14:textId="1DCB5695">
      <w:pPr>
        <w:pStyle w:val="ALJBodyText"/>
        <w:shd w:val="clear" w:color="auto" w:fill="FFFFFF" w:themeFill="background1"/>
        <w:spacing w:after="120" w:line="240" w:lineRule="auto"/>
        <w:ind w:left="1080" w:hanging="1080"/>
      </w:pPr>
      <w:r>
        <w:fldChar w:fldCharType="begin"/>
      </w:r>
      <w:r>
        <w:instrText xml:space="preserve"> REF Table2 \h  \* MERGEFORMAT </w:instrText>
      </w:r>
      <w:r>
        <w:fldChar w:fldCharType="separate"/>
      </w:r>
      <w:r w:rsidRPr="00FF06D1" w:rsidR="00FF06D1">
        <w:rPr>
          <w:bCs/>
        </w:rPr>
        <w:t>Table 2.</w:t>
      </w:r>
      <w:r w:rsidR="00FF06D1">
        <w:tab/>
      </w:r>
      <w:r w:rsidRPr="00E8139B" w:rsidR="00FF06D1">
        <w:t>2017</w:t>
      </w:r>
      <w:r w:rsidRPr="00FF06D1" w:rsidR="00FF06D1">
        <w:noBreakHyphen/>
      </w:r>
      <w:r w:rsidRPr="00E8139B" w:rsidR="00FF06D1">
        <w:t xml:space="preserve">2026 </w:t>
      </w:r>
      <w:r w:rsidR="00FF06D1">
        <w:t>Historical and Forecasted Total Gas Line Subsidies</w:t>
      </w:r>
      <w:r>
        <w:fldChar w:fldCharType="end"/>
      </w:r>
    </w:p>
    <w:p w:rsidR="007B7161" w:rsidP="00C23658" w:rsidRDefault="007B7161" w14:paraId="76116829" w14:textId="4DC6C8D3">
      <w:pPr>
        <w:pStyle w:val="ALJBodyText"/>
        <w:shd w:val="clear" w:color="auto" w:fill="FFFFFF" w:themeFill="background1"/>
        <w:spacing w:after="120" w:line="240" w:lineRule="auto"/>
        <w:ind w:left="1080" w:hanging="1080"/>
      </w:pPr>
      <w:r>
        <w:fldChar w:fldCharType="begin"/>
      </w:r>
      <w:r>
        <w:instrText xml:space="preserve"> REF Table3 \h  \* MERGEFORMAT </w:instrText>
      </w:r>
      <w:r>
        <w:fldChar w:fldCharType="separate"/>
      </w:r>
      <w:r w:rsidRPr="00FF06D1" w:rsidR="00FF06D1">
        <w:rPr>
          <w:bCs/>
        </w:rPr>
        <w:t>Table 3.</w:t>
      </w:r>
      <w:r w:rsidRPr="00FF06D1" w:rsidR="00FF06D1">
        <w:rPr>
          <w:bCs/>
        </w:rPr>
        <w:tab/>
      </w:r>
      <w:r w:rsidRPr="00194B55" w:rsidR="00FF06D1">
        <w:t xml:space="preserve">Estimated </w:t>
      </w:r>
      <w:r w:rsidRPr="00826474" w:rsidR="00FF06D1">
        <w:t>Annual</w:t>
      </w:r>
      <w:r w:rsidRPr="00194B55" w:rsidR="00FF06D1">
        <w:t xml:space="preserve"> Savings to Gas Ratepayers from Eliminating Residential Gas Line Subsidies</w:t>
      </w:r>
      <w:r>
        <w:fldChar w:fldCharType="end"/>
      </w:r>
    </w:p>
    <w:p w:rsidR="007B7161" w:rsidP="00C23658" w:rsidRDefault="007B7161" w14:paraId="21883915" w14:textId="1034915D">
      <w:pPr>
        <w:pStyle w:val="ALJBodyText"/>
        <w:shd w:val="clear" w:color="auto" w:fill="FFFFFF" w:themeFill="background1"/>
        <w:spacing w:after="120" w:line="240" w:lineRule="auto"/>
        <w:ind w:left="1080" w:hanging="1080"/>
      </w:pPr>
      <w:r>
        <w:fldChar w:fldCharType="begin"/>
      </w:r>
      <w:r>
        <w:instrText xml:space="preserve"> REF Table4 \h  \* MERGEFORMAT </w:instrText>
      </w:r>
      <w:r>
        <w:fldChar w:fldCharType="separate"/>
      </w:r>
      <w:r w:rsidRPr="00FF06D1" w:rsidR="00FF06D1">
        <w:rPr>
          <w:bCs/>
        </w:rPr>
        <w:t>Table 4.</w:t>
      </w:r>
      <w:r w:rsidR="00FF06D1">
        <w:tab/>
      </w:r>
      <w:r w:rsidRPr="001D17CC" w:rsidR="00FF06D1">
        <w:t xml:space="preserve">Estimated </w:t>
      </w:r>
      <w:r w:rsidRPr="00826474" w:rsidR="00FF06D1">
        <w:t>Annual</w:t>
      </w:r>
      <w:r w:rsidRPr="001D17CC" w:rsidR="00FF06D1">
        <w:t xml:space="preserve"> Savings </w:t>
      </w:r>
      <w:r w:rsidR="00FF06D1">
        <w:t>t</w:t>
      </w:r>
      <w:r w:rsidRPr="001D17CC" w:rsidR="00FF06D1">
        <w:t xml:space="preserve">o Gas Ratepayers </w:t>
      </w:r>
      <w:r w:rsidR="00FF06D1">
        <w:t>f</w:t>
      </w:r>
      <w:r w:rsidRPr="001D17CC" w:rsidR="00FF06D1">
        <w:t>rom Eliminating Non</w:t>
      </w:r>
      <w:r w:rsidRPr="001D17CC" w:rsidR="00FF06D1">
        <w:noBreakHyphen/>
        <w:t>Residential Gas Line Subsidies</w:t>
      </w:r>
      <w:r>
        <w:fldChar w:fldCharType="end"/>
      </w:r>
    </w:p>
    <w:p w:rsidR="009D6AB1" w:rsidP="00127BBE" w:rsidRDefault="009D6AB1" w14:paraId="08530D50" w14:textId="33408D71">
      <w:pPr>
        <w:pStyle w:val="ALJBodyText"/>
        <w:keepNext/>
        <w:shd w:val="clear" w:color="auto" w:fill="FFFFFF" w:themeFill="background1"/>
        <w:spacing w:after="120" w:line="240" w:lineRule="auto"/>
        <w:ind w:left="1080" w:hanging="1080"/>
      </w:pPr>
      <w:r>
        <w:fldChar w:fldCharType="begin"/>
      </w:r>
      <w:r>
        <w:instrText xml:space="preserve"> REF Table5 \h  \* MERGEFORMAT </w:instrText>
      </w:r>
      <w:r>
        <w:fldChar w:fldCharType="separate"/>
      </w:r>
      <w:r w:rsidRPr="00FF06D1" w:rsidR="00FF06D1">
        <w:rPr>
          <w:bCs/>
        </w:rPr>
        <w:t>Table 5.</w:t>
      </w:r>
      <w:r w:rsidRPr="00FF06D1" w:rsidR="00FF06D1">
        <w:rPr>
          <w:bCs/>
        </w:rPr>
        <w:tab/>
      </w:r>
      <w:r w:rsidRPr="00A916F1" w:rsidR="00FF06D1">
        <w:t xml:space="preserve">Average Subsidies Paid </w:t>
      </w:r>
      <w:r w:rsidR="00FF06D1">
        <w:t>t</w:t>
      </w:r>
      <w:r w:rsidRPr="00A916F1" w:rsidR="00FF06D1">
        <w:t>o Non</w:t>
      </w:r>
      <w:r w:rsidRPr="00A916F1" w:rsidR="00FF06D1">
        <w:noBreakHyphen/>
        <w:t xml:space="preserve">Residential Projects </w:t>
      </w:r>
      <w:r w:rsidR="00FF06D1">
        <w:t>i</w:t>
      </w:r>
      <w:r w:rsidRPr="00A916F1" w:rsidR="00FF06D1">
        <w:t>n 2021</w:t>
      </w:r>
      <w:r>
        <w:fldChar w:fldCharType="end"/>
      </w:r>
    </w:p>
    <w:p w:rsidR="007B7161" w:rsidP="00C23658" w:rsidRDefault="009D6AB1" w14:paraId="3A702723" w14:textId="5558F624">
      <w:pPr>
        <w:pStyle w:val="ALJBodyText"/>
        <w:shd w:val="clear" w:color="auto" w:fill="FFFFFF" w:themeFill="background1"/>
        <w:spacing w:after="120" w:line="240" w:lineRule="auto"/>
        <w:ind w:left="1080" w:hanging="1080"/>
      </w:pPr>
      <w:r>
        <w:fldChar w:fldCharType="begin"/>
      </w:r>
      <w:r>
        <w:instrText xml:space="preserve"> REF Table6 \h  \* MERGEFORMAT </w:instrText>
      </w:r>
      <w:r>
        <w:fldChar w:fldCharType="separate"/>
      </w:r>
      <w:r w:rsidRPr="00FF06D1" w:rsidR="00FF06D1">
        <w:rPr>
          <w:bCs/>
        </w:rPr>
        <w:t>Table 6.</w:t>
      </w:r>
      <w:r w:rsidRPr="00FF06D1" w:rsidR="00FF06D1">
        <w:rPr>
          <w:bCs/>
        </w:rPr>
        <w:tab/>
      </w:r>
      <w:r w:rsidRPr="00EA65E0" w:rsidR="00FF06D1">
        <w:t xml:space="preserve">Commission Approved Subsidies </w:t>
      </w:r>
      <w:r w:rsidR="00FF06D1">
        <w:t>f</w:t>
      </w:r>
      <w:r w:rsidRPr="00EA65E0" w:rsidR="00FF06D1">
        <w:t>or Alternate Fuels</w:t>
      </w:r>
      <w:r>
        <w:fldChar w:fldCharType="end"/>
      </w:r>
    </w:p>
    <w:p w:rsidR="009D6AB1" w:rsidP="007B7161" w:rsidRDefault="009D6AB1" w14:paraId="04679EAD" w14:textId="77777777">
      <w:pPr>
        <w:pStyle w:val="ALJBodyText"/>
        <w:shd w:val="clear" w:color="auto" w:fill="FFFFFF" w:themeFill="background1"/>
        <w:spacing w:line="240" w:lineRule="auto"/>
        <w:ind w:left="1080" w:hanging="1080"/>
      </w:pPr>
    </w:p>
    <w:p w:rsidR="007B7161" w:rsidP="007B7161" w:rsidRDefault="007B7161" w14:paraId="689CEA91" w14:textId="66DFA0B4">
      <w:pPr>
        <w:pStyle w:val="ALJBodyText"/>
        <w:shd w:val="clear" w:color="auto" w:fill="FFFFFF" w:themeFill="background1"/>
        <w:spacing w:line="240" w:lineRule="auto"/>
        <w:ind w:left="1080" w:hanging="1080"/>
      </w:pPr>
    </w:p>
    <w:p w:rsidR="008959A4" w:rsidP="00E915D0" w:rsidRDefault="008959A4" w14:paraId="3F3F2230" w14:textId="5CE8319D">
      <w:pPr>
        <w:pStyle w:val="ALJBodyText"/>
        <w:shd w:val="clear" w:color="auto" w:fill="FFFFFF" w:themeFill="background1"/>
        <w:ind w:firstLine="0"/>
        <w:jc w:val="both"/>
        <w:sectPr w:rsidR="008959A4" w:rsidSect="000F46B8">
          <w:headerReference w:type="even" r:id="rId15"/>
          <w:headerReference w:type="default" r:id="rId16"/>
          <w:headerReference w:type="first" r:id="rId17"/>
          <w:footerReference w:type="first" r:id="rId18"/>
          <w:pgSz w:w="12240" w:h="15840" w:code="1"/>
          <w:pgMar w:top="1728" w:right="1440" w:bottom="1440" w:left="1440" w:header="720" w:footer="720" w:gutter="0"/>
          <w:pgNumType w:fmt="lowerRoman" w:start="1"/>
          <w:cols w:space="720"/>
          <w:docGrid w:linePitch="360"/>
        </w:sectPr>
      </w:pPr>
    </w:p>
    <w:p w:rsidR="00570EFE" w:rsidP="00BE6C6A" w:rsidRDefault="00BE6C6A" w14:paraId="0BC73151" w14:textId="4F274CC3">
      <w:pPr>
        <w:pStyle w:val="Main"/>
      </w:pPr>
      <w:r>
        <w:lastRenderedPageBreak/>
        <w:fldChar w:fldCharType="begin"/>
      </w:r>
      <w:r>
        <w:instrText xml:space="preserve"> REF Title \h  \* MERGEFORMAT </w:instrText>
      </w:r>
      <w:r>
        <w:fldChar w:fldCharType="separate"/>
      </w:r>
      <w:r w:rsidR="00FF06D1">
        <w:t xml:space="preserve">PHASE III </w:t>
      </w:r>
      <w:r w:rsidRPr="009F23A2" w:rsidR="00FF06D1">
        <w:t>DECISION ELIMINATING GAS LINE EXTENSION ALLOWANCES, TEN</w:t>
      </w:r>
      <w:r w:rsidR="00FF06D1">
        <w:noBreakHyphen/>
      </w:r>
      <w:r w:rsidRPr="009F23A2" w:rsidR="00FF06D1">
        <w:t>YEAR REFUNDABLE PAYMENT OPTION</w:t>
      </w:r>
      <w:r w:rsidR="00FF06D1">
        <w:t>,</w:t>
      </w:r>
      <w:r w:rsidRPr="009F23A2" w:rsidR="00FF06D1">
        <w:t xml:space="preserve"> AND FIFTY PERCENT DISCOUNT PAYMENT OPTION</w:t>
      </w:r>
      <w:r w:rsidRPr="006C2A43" w:rsidR="00FF06D1">
        <w:t xml:space="preserve"> </w:t>
      </w:r>
      <w:r w:rsidR="00FF06D1">
        <w:t>UNDER GAS LINE EXTENSION RULES</w:t>
      </w:r>
      <w:r>
        <w:fldChar w:fldCharType="end"/>
      </w:r>
    </w:p>
    <w:p w:rsidR="00BE6C6A" w:rsidP="00570EFE" w:rsidRDefault="00BE6C6A" w14:paraId="700EE04A" w14:textId="77777777"/>
    <w:p w:rsidRPr="003871CE" w:rsidR="008959A4" w:rsidP="00023D57" w:rsidRDefault="008959A4" w14:paraId="0D512A9B" w14:textId="32A77EA3">
      <w:pPr>
        <w:pStyle w:val="Dummy"/>
      </w:pPr>
      <w:bookmarkStart w:name="_Toc45616409" w:id="12"/>
      <w:bookmarkStart w:name="_Toc109376095" w:id="13"/>
      <w:bookmarkStart w:name="_Toc109141127" w:id="14"/>
      <w:bookmarkStart w:name="_Toc110598541" w:id="15"/>
      <w:r>
        <w:t>Summary</w:t>
      </w:r>
      <w:bookmarkEnd w:id="11"/>
      <w:bookmarkEnd w:id="12"/>
      <w:bookmarkEnd w:id="13"/>
      <w:bookmarkEnd w:id="14"/>
      <w:bookmarkEnd w:id="15"/>
    </w:p>
    <w:p w:rsidR="001C1FA6" w:rsidP="000C3B75" w:rsidRDefault="008959A4" w14:paraId="32DBA284" w14:textId="2AF2D29E">
      <w:pPr>
        <w:pStyle w:val="Standard"/>
      </w:pPr>
      <w:r w:rsidRPr="000A0601">
        <w:t>This decision</w:t>
      </w:r>
      <w:r w:rsidR="00927418">
        <w:t xml:space="preserve"> </w:t>
      </w:r>
      <w:r w:rsidR="00F67092">
        <w:t xml:space="preserve">adopts </w:t>
      </w:r>
      <w:r w:rsidR="001416EA">
        <w:t xml:space="preserve">Energy Division’s staff </w:t>
      </w:r>
      <w:r w:rsidR="00ED2D5B">
        <w:t xml:space="preserve">proposal </w:t>
      </w:r>
      <w:r w:rsidR="001E2FE6">
        <w:t xml:space="preserve">to </w:t>
      </w:r>
      <w:r w:rsidRPr="00927418" w:rsidR="00927418">
        <w:t>eliminat</w:t>
      </w:r>
      <w:r w:rsidR="00927418">
        <w:t>e</w:t>
      </w:r>
      <w:r w:rsidRPr="00927418" w:rsidR="00927418">
        <w:t xml:space="preserve"> gas line </w:t>
      </w:r>
      <w:r w:rsidRPr="008F1D96" w:rsidR="0003033F">
        <w:t xml:space="preserve">extension allowances, </w:t>
      </w:r>
      <w:r w:rsidR="0003033F">
        <w:t>the</w:t>
      </w:r>
      <w:r w:rsidR="00E51B2D">
        <w:t xml:space="preserve"> </w:t>
      </w:r>
      <w:r w:rsidR="006E3639">
        <w:t>10</w:t>
      </w:r>
      <w:r w:rsidR="00513B3F">
        <w:noBreakHyphen/>
      </w:r>
      <w:r w:rsidR="0003033F">
        <w:t>year refundable payment option</w:t>
      </w:r>
      <w:r w:rsidRPr="008F1D96" w:rsidR="0003033F">
        <w:t xml:space="preserve">, and </w:t>
      </w:r>
      <w:r w:rsidR="0003033F">
        <w:t>the 50</w:t>
      </w:r>
      <w:r w:rsidR="00513B3F">
        <w:t> </w:t>
      </w:r>
      <w:r w:rsidR="003E72B0">
        <w:t>percent</w:t>
      </w:r>
      <w:r w:rsidR="0003033F">
        <w:t xml:space="preserve"> discount payment option </w:t>
      </w:r>
      <w:r w:rsidRPr="008F1D96" w:rsidR="0003033F">
        <w:t>provided under the current gas line extension rules</w:t>
      </w:r>
      <w:r w:rsidR="00ED0142">
        <w:t>. The elimination is for all customers in</w:t>
      </w:r>
      <w:r w:rsidR="00927418">
        <w:t xml:space="preserve"> </w:t>
      </w:r>
      <w:r w:rsidR="0012544B">
        <w:t xml:space="preserve">all customer classes </w:t>
      </w:r>
      <w:r w:rsidR="006F7025">
        <w:t>effective</w:t>
      </w:r>
      <w:r w:rsidRPr="00DB750D" w:rsidR="006F7025">
        <w:t xml:space="preserve"> </w:t>
      </w:r>
      <w:r w:rsidR="0067589C">
        <w:t>July</w:t>
      </w:r>
      <w:r w:rsidR="00513B3F">
        <w:t> </w:t>
      </w:r>
      <w:r w:rsidR="0067589C">
        <w:t>1,</w:t>
      </w:r>
      <w:r w:rsidR="00513B3F">
        <w:t> </w:t>
      </w:r>
      <w:r w:rsidR="0067589C">
        <w:t>202</w:t>
      </w:r>
      <w:r w:rsidRPr="0025795F" w:rsidR="00927418">
        <w:t>3</w:t>
      </w:r>
      <w:r w:rsidR="0003033F">
        <w:t>.</w:t>
      </w:r>
      <w:r w:rsidR="00A07256">
        <w:t xml:space="preserve"> This decision </w:t>
      </w:r>
      <w:r w:rsidR="00E25353">
        <w:t>appl</w:t>
      </w:r>
      <w:r w:rsidR="008802C4">
        <w:t>ies</w:t>
      </w:r>
      <w:r w:rsidR="00E25353">
        <w:t xml:space="preserve"> to </w:t>
      </w:r>
      <w:r w:rsidR="00026AA7">
        <w:t xml:space="preserve">new </w:t>
      </w:r>
      <w:r w:rsidR="00E25353">
        <w:t>application</w:t>
      </w:r>
      <w:r w:rsidR="00FB0F0D">
        <w:t>s</w:t>
      </w:r>
      <w:r w:rsidR="00E25353">
        <w:t xml:space="preserve"> </w:t>
      </w:r>
      <w:r w:rsidR="00367665">
        <w:t>for</w:t>
      </w:r>
      <w:r w:rsidR="00014469">
        <w:t xml:space="preserve"> </w:t>
      </w:r>
      <w:r w:rsidR="00BD098B">
        <w:t xml:space="preserve">gas line </w:t>
      </w:r>
      <w:r w:rsidR="008A2EF5">
        <w:t xml:space="preserve">extensions </w:t>
      </w:r>
      <w:r w:rsidR="00D72C8E">
        <w:t xml:space="preserve">submitted </w:t>
      </w:r>
      <w:r w:rsidR="00367665">
        <w:t xml:space="preserve">on or after </w:t>
      </w:r>
      <w:r w:rsidR="0067589C">
        <w:t>July 1, 202</w:t>
      </w:r>
      <w:r w:rsidR="0061232A">
        <w:t>3.</w:t>
      </w:r>
      <w:r w:rsidR="00A6216F">
        <w:t xml:space="preserve"> </w:t>
      </w:r>
      <w:r w:rsidR="00213F06">
        <w:t>Applications submitted before July</w:t>
      </w:r>
      <w:r w:rsidR="004827F1">
        <w:t> </w:t>
      </w:r>
      <w:r w:rsidR="00213F06">
        <w:t>1,</w:t>
      </w:r>
      <w:r w:rsidR="004827F1">
        <w:t> </w:t>
      </w:r>
      <w:r w:rsidR="00213F06">
        <w:t>2023 will not be affected by this decision</w:t>
      </w:r>
      <w:r w:rsidR="00C76850">
        <w:t xml:space="preserve">. </w:t>
      </w:r>
    </w:p>
    <w:p w:rsidR="002829CF" w:rsidP="000C3B75" w:rsidRDefault="0003033F" w14:paraId="7DDC4044" w14:textId="48172CFF">
      <w:pPr>
        <w:pStyle w:val="Standard"/>
      </w:pPr>
      <w:r>
        <w:t>These changes m</w:t>
      </w:r>
      <w:r w:rsidR="00927418">
        <w:t>ov</w:t>
      </w:r>
      <w:r>
        <w:t>e</w:t>
      </w:r>
      <w:r w:rsidR="00927418">
        <w:t xml:space="preserve"> the </w:t>
      </w:r>
      <w:r w:rsidR="0015107D">
        <w:t xml:space="preserve">state </w:t>
      </w:r>
      <w:r w:rsidR="00927418">
        <w:t xml:space="preserve">closer to meeting its </w:t>
      </w:r>
      <w:r w:rsidR="00B35DCE">
        <w:t>goals</w:t>
      </w:r>
      <w:r w:rsidR="0015107D">
        <w:t xml:space="preserve"> of reducing </w:t>
      </w:r>
      <w:r w:rsidRPr="001057F3" w:rsidR="00927418">
        <w:t>greenhouse gas</w:t>
      </w:r>
      <w:r w:rsidR="00927418">
        <w:t xml:space="preserve"> </w:t>
      </w:r>
      <w:r w:rsidR="00DF1B5B">
        <w:t>(</w:t>
      </w:r>
      <w:r w:rsidRPr="001057F3" w:rsidR="00DF1B5B">
        <w:t>GHG</w:t>
      </w:r>
      <w:r w:rsidR="00DF1B5B">
        <w:t>)</w:t>
      </w:r>
      <w:r w:rsidR="003C610A">
        <w:rPr>
          <w:rStyle w:val="FootnoteReference"/>
        </w:rPr>
        <w:footnoteReference w:id="2"/>
      </w:r>
      <w:r w:rsidR="00DF1B5B">
        <w:t xml:space="preserve"> </w:t>
      </w:r>
      <w:r w:rsidR="0015107D">
        <w:t>emissions</w:t>
      </w:r>
      <w:r w:rsidR="00927418">
        <w:t xml:space="preserve"> </w:t>
      </w:r>
      <w:r w:rsidRPr="003B01FE" w:rsidR="00927418">
        <w:t>and combat</w:t>
      </w:r>
      <w:r w:rsidR="00927418">
        <w:t>ing</w:t>
      </w:r>
      <w:r w:rsidRPr="003B01FE" w:rsidR="00927418">
        <w:t xml:space="preserve"> climate change</w:t>
      </w:r>
      <w:r w:rsidR="003D6108">
        <w:t>.</w:t>
      </w:r>
      <w:r w:rsidR="00F573D2">
        <w:t xml:space="preserve"> </w:t>
      </w:r>
      <w:r w:rsidR="00DE0B98">
        <w:t xml:space="preserve">The result will </w:t>
      </w:r>
      <w:r w:rsidR="00ED14BB">
        <w:t xml:space="preserve">not only </w:t>
      </w:r>
      <w:r w:rsidR="00DE0B98">
        <w:t xml:space="preserve">be </w:t>
      </w:r>
      <w:r w:rsidRPr="0054169A" w:rsidR="00D02982">
        <w:t>significant</w:t>
      </w:r>
      <w:r w:rsidRPr="0054169A" w:rsidR="0003001E">
        <w:t xml:space="preserve"> </w:t>
      </w:r>
      <w:r w:rsidRPr="0054169A" w:rsidR="00DE0B98">
        <w:t>reductions</w:t>
      </w:r>
      <w:r w:rsidR="00DE0B98">
        <w:t xml:space="preserve"> in </w:t>
      </w:r>
      <w:r w:rsidR="00DF1B5B">
        <w:t xml:space="preserve">GHG </w:t>
      </w:r>
      <w:r w:rsidR="0015107D">
        <w:t>emission</w:t>
      </w:r>
      <w:r w:rsidRPr="0054169A" w:rsidR="0015107D">
        <w:t>s</w:t>
      </w:r>
      <w:r w:rsidR="00A135DC">
        <w:t xml:space="preserve"> but also</w:t>
      </w:r>
      <w:r w:rsidRPr="0054169A" w:rsidR="0003001E">
        <w:t xml:space="preserve"> improved </w:t>
      </w:r>
      <w:r w:rsidR="00DE0B98">
        <w:t xml:space="preserve">quality of life and </w:t>
      </w:r>
      <w:r w:rsidR="0003001E">
        <w:t>health</w:t>
      </w:r>
      <w:r w:rsidRPr="0054169A" w:rsidR="0003001E">
        <w:t xml:space="preserve"> for customers,</w:t>
      </w:r>
      <w:r w:rsidR="00DE0B98">
        <w:t xml:space="preserve"> </w:t>
      </w:r>
      <w:r w:rsidR="00813884">
        <w:t>h</w:t>
      </w:r>
      <w:r w:rsidRPr="0054169A" w:rsidR="0003001E">
        <w:t xml:space="preserve">undreds of millions of dollars in ratepayer savings annually, </w:t>
      </w:r>
      <w:r w:rsidR="00001431">
        <w:t xml:space="preserve">greater equity </w:t>
      </w:r>
      <w:r w:rsidR="0003001E">
        <w:t xml:space="preserve">for </w:t>
      </w:r>
      <w:r w:rsidR="003E3C6A">
        <w:t>low</w:t>
      </w:r>
      <w:r w:rsidR="00513B3F">
        <w:noBreakHyphen/>
      </w:r>
      <w:r w:rsidR="003E3C6A">
        <w:t>income</w:t>
      </w:r>
      <w:r w:rsidR="0003001E">
        <w:t xml:space="preserve"> </w:t>
      </w:r>
      <w:r w:rsidRPr="003E5933" w:rsidR="0003001E">
        <w:t>customers</w:t>
      </w:r>
      <w:r w:rsidR="00813884">
        <w:t xml:space="preserve">, and </w:t>
      </w:r>
      <w:r w:rsidRPr="0057605F" w:rsidR="0003001E">
        <w:t>greater certainty for builder</w:t>
      </w:r>
      <w:r w:rsidR="000A17B9">
        <w:t xml:space="preserve">s, </w:t>
      </w:r>
      <w:r w:rsidR="00F244F7">
        <w:t>developers,</w:t>
      </w:r>
      <w:r w:rsidRPr="0057605F" w:rsidR="0003001E">
        <w:t xml:space="preserve"> </w:t>
      </w:r>
      <w:r w:rsidR="001324DF">
        <w:t>and</w:t>
      </w:r>
      <w:r w:rsidR="000259F7">
        <w:t xml:space="preserve"> individual customers</w:t>
      </w:r>
      <w:r w:rsidR="001324DF">
        <w:t>.</w:t>
      </w:r>
      <w:r w:rsidR="00071B46">
        <w:t xml:space="preserve"> This decision meets the statutory requirements as set forth in </w:t>
      </w:r>
      <w:r w:rsidR="00E97486">
        <w:t>Public Utilit</w:t>
      </w:r>
      <w:r w:rsidR="00055950">
        <w:t xml:space="preserve">ies </w:t>
      </w:r>
      <w:r w:rsidR="00071B46">
        <w:t xml:space="preserve">Code </w:t>
      </w:r>
      <w:r w:rsidR="000F2D16">
        <w:t>Section</w:t>
      </w:r>
      <w:r w:rsidR="00513B3F">
        <w:t> </w:t>
      </w:r>
      <w:r w:rsidR="00071B46">
        <w:t>783(b)</w:t>
      </w:r>
      <w:r w:rsidR="001F21B8">
        <w:noBreakHyphen/>
      </w:r>
      <w:r w:rsidR="00071B46">
        <w:t>(d).</w:t>
      </w:r>
    </w:p>
    <w:p w:rsidRPr="00036381" w:rsidR="00D15AE3" w:rsidP="000C3B75" w:rsidRDefault="00D15AE3" w14:paraId="2B899F36" w14:textId="5D6A39AC">
      <w:pPr>
        <w:pStyle w:val="Standard"/>
      </w:pPr>
      <w:r>
        <w:t>This proceeding</w:t>
      </w:r>
      <w:r w:rsidR="00A83868">
        <w:t xml:space="preserve"> </w:t>
      </w:r>
      <w:r>
        <w:t>remains open.</w:t>
      </w:r>
    </w:p>
    <w:p w:rsidR="008959A4" w:rsidP="006C0450" w:rsidRDefault="002F4442" w14:paraId="3ABB514C" w14:textId="69CC1E8A">
      <w:pPr>
        <w:pStyle w:val="Heading1"/>
      </w:pPr>
      <w:bookmarkStart w:name="_Toc109376096" w:id="16"/>
      <w:bookmarkStart w:name="_Toc109141128" w:id="17"/>
      <w:bookmarkStart w:name="_Toc110598542" w:id="18"/>
      <w:r>
        <w:t xml:space="preserve">Procedural </w:t>
      </w:r>
      <w:bookmarkStart w:name="_Toc45616413" w:id="19"/>
      <w:bookmarkStart w:name="_Hlk42693950" w:id="20"/>
      <w:r w:rsidRPr="007A2CDF" w:rsidR="00CE328D">
        <w:t>Background</w:t>
      </w:r>
      <w:bookmarkEnd w:id="16"/>
      <w:bookmarkEnd w:id="17"/>
      <w:bookmarkEnd w:id="18"/>
      <w:r w:rsidR="00CE328D">
        <w:t xml:space="preserve"> </w:t>
      </w:r>
    </w:p>
    <w:p w:rsidR="008959A4" w:rsidP="007C2EF4" w:rsidRDefault="00870D08" w14:paraId="3F2AB0BE" w14:textId="0E65A473">
      <w:pPr>
        <w:pStyle w:val="Heading2"/>
      </w:pPr>
      <w:bookmarkStart w:name="_Toc109376097" w:id="21"/>
      <w:bookmarkStart w:name="_Toc109141129" w:id="22"/>
      <w:bookmarkStart w:name="_Toc110598543" w:id="23"/>
      <w:r w:rsidRPr="001057F3">
        <w:t>Senate Bill</w:t>
      </w:r>
      <w:r>
        <w:t xml:space="preserve"> </w:t>
      </w:r>
      <w:r w:rsidR="00CE1E65">
        <w:t>(</w:t>
      </w:r>
      <w:r w:rsidRPr="001057F3" w:rsidR="00CE1E65">
        <w:t>SB</w:t>
      </w:r>
      <w:r w:rsidR="00CE1E65">
        <w:t>) </w:t>
      </w:r>
      <w:r>
        <w:t>1477</w:t>
      </w:r>
      <w:bookmarkEnd w:id="19"/>
      <w:bookmarkEnd w:id="21"/>
      <w:bookmarkEnd w:id="22"/>
      <w:bookmarkEnd w:id="23"/>
      <w:r w:rsidR="008959A4">
        <w:t xml:space="preserve"> </w:t>
      </w:r>
    </w:p>
    <w:p w:rsidR="00BC1ACB" w:rsidP="00DE16FC" w:rsidRDefault="00870D08" w14:paraId="7081CC49" w14:textId="45C64DE1">
      <w:pPr>
        <w:spacing w:line="360" w:lineRule="auto"/>
        <w:ind w:firstLine="720"/>
      </w:pPr>
      <w:r>
        <w:t xml:space="preserve">On </w:t>
      </w:r>
      <w:r w:rsidR="00E47F3C">
        <w:t>September</w:t>
      </w:r>
      <w:r w:rsidR="00513B3F">
        <w:t> </w:t>
      </w:r>
      <w:r w:rsidR="00E47F3C">
        <w:t>13,</w:t>
      </w:r>
      <w:r w:rsidR="00513B3F">
        <w:t> </w:t>
      </w:r>
      <w:r w:rsidR="00E47F3C">
        <w:t xml:space="preserve">2018, </w:t>
      </w:r>
      <w:r w:rsidRPr="00E47F3C" w:rsidR="00E47F3C">
        <w:t>Governor</w:t>
      </w:r>
      <w:r w:rsidR="00513B3F">
        <w:t> </w:t>
      </w:r>
      <w:r w:rsidRPr="00E47F3C" w:rsidR="00E47F3C">
        <w:t xml:space="preserve">Jerry Brown signed </w:t>
      </w:r>
      <w:r w:rsidR="00E47F3C">
        <w:t>into</w:t>
      </w:r>
      <w:r w:rsidRPr="00E47F3C" w:rsidR="00E47F3C">
        <w:t xml:space="preserve"> law </w:t>
      </w:r>
      <w:r w:rsidR="00CE1E65">
        <w:t>SB</w:t>
      </w:r>
      <w:r w:rsidR="00513B3F">
        <w:t> </w:t>
      </w:r>
      <w:r w:rsidR="00E47F3C">
        <w:t>1477 (</w:t>
      </w:r>
      <w:r w:rsidRPr="001057F3" w:rsidR="007D4BF1">
        <w:t>Stern, 2018</w:t>
      </w:r>
      <w:r w:rsidR="00E47F3C">
        <w:t>)</w:t>
      </w:r>
      <w:r w:rsidR="003F2DB6">
        <w:t>.</w:t>
      </w:r>
      <w:r w:rsidR="00056100">
        <w:rPr>
          <w:rStyle w:val="FootnoteReference"/>
        </w:rPr>
        <w:footnoteReference w:id="3"/>
      </w:r>
      <w:r w:rsidR="00E47F3C">
        <w:t xml:space="preserve"> </w:t>
      </w:r>
      <w:r w:rsidR="00452F77">
        <w:t>SB</w:t>
      </w:r>
      <w:r w:rsidR="00513B3F">
        <w:t> </w:t>
      </w:r>
      <w:r w:rsidR="003F2DB6">
        <w:t xml:space="preserve">1477 </w:t>
      </w:r>
      <w:r w:rsidR="00E350DC">
        <w:t xml:space="preserve">promotes </w:t>
      </w:r>
      <w:r w:rsidR="003F2DB6">
        <w:t>California</w:t>
      </w:r>
      <w:r w:rsidR="00CB3665">
        <w:t>’s</w:t>
      </w:r>
      <w:r w:rsidR="003F2DB6">
        <w:t xml:space="preserve"> building</w:t>
      </w:r>
      <w:r w:rsidR="00513B3F">
        <w:noBreakHyphen/>
      </w:r>
      <w:r w:rsidR="003F2DB6">
        <w:t xml:space="preserve">related </w:t>
      </w:r>
      <w:r w:rsidRPr="001057F3" w:rsidR="003F2DB6">
        <w:t>greenhouse gas</w:t>
      </w:r>
      <w:r w:rsidR="003F2DB6">
        <w:t xml:space="preserve"> </w:t>
      </w:r>
      <w:r w:rsidR="006D443A">
        <w:t>(</w:t>
      </w:r>
      <w:r w:rsidRPr="001057F3" w:rsidR="006D443A">
        <w:t>GHG</w:t>
      </w:r>
      <w:r w:rsidR="006D443A">
        <w:t xml:space="preserve">) </w:t>
      </w:r>
      <w:r w:rsidR="003F2DB6">
        <w:t>emission reduction goals, and makes</w:t>
      </w:r>
      <w:r w:rsidR="00E47F3C">
        <w:t xml:space="preserve"> </w:t>
      </w:r>
      <w:r w:rsidRPr="00E47F3C" w:rsidR="00E47F3C">
        <w:t>available $50</w:t>
      </w:r>
      <w:r w:rsidR="00513B3F">
        <w:t> </w:t>
      </w:r>
      <w:r w:rsidR="00BF7312">
        <w:t>million</w:t>
      </w:r>
      <w:r w:rsidRPr="00E47F3C" w:rsidR="00E47F3C">
        <w:t xml:space="preserve"> annually for </w:t>
      </w:r>
      <w:r w:rsidRPr="00E47F3C" w:rsidR="00E47F3C">
        <w:lastRenderedPageBreak/>
        <w:t>four years,</w:t>
      </w:r>
      <w:r w:rsidR="00E47F3C">
        <w:rPr>
          <w:rStyle w:val="FootnoteReference"/>
        </w:rPr>
        <w:footnoteReference w:id="4"/>
      </w:r>
      <w:r w:rsidRPr="00E47F3C" w:rsidR="00E47F3C">
        <w:t xml:space="preserve"> for a total of $200</w:t>
      </w:r>
      <w:r w:rsidR="00513B3F">
        <w:t> </w:t>
      </w:r>
      <w:r w:rsidR="00BF7312">
        <w:t>million</w:t>
      </w:r>
      <w:r w:rsidR="008C5FD0">
        <w:t xml:space="preserve">, dedicated towards </w:t>
      </w:r>
      <w:r w:rsidR="00D860B2">
        <w:t xml:space="preserve">two </w:t>
      </w:r>
      <w:r w:rsidR="008C5FD0">
        <w:t>building electrification pilot programs</w:t>
      </w:r>
      <w:r w:rsidR="00BC1ACB">
        <w:t>. The funds are</w:t>
      </w:r>
      <w:r w:rsidRPr="00E47F3C" w:rsidR="00E47F3C">
        <w:t xml:space="preserve"> derived from the revenue generated from the GHG emission allowances directly allocated to gas corporations and consigned to auction as part of the </w:t>
      </w:r>
      <w:r w:rsidRPr="001057F3" w:rsidR="00E47F3C">
        <w:t xml:space="preserve">California Air Resources Board’s </w:t>
      </w:r>
      <w:r w:rsidR="00BF1429">
        <w:t>(</w:t>
      </w:r>
      <w:r w:rsidRPr="001057F3" w:rsidR="00BF1429">
        <w:t>CARB</w:t>
      </w:r>
      <w:r w:rsidR="00BF1429">
        <w:t xml:space="preserve">) </w:t>
      </w:r>
      <w:r w:rsidRPr="00E47F3C" w:rsidR="00E47F3C">
        <w:t>Cap</w:t>
      </w:r>
      <w:r w:rsidR="00513B3F">
        <w:noBreakHyphen/>
      </w:r>
      <w:r w:rsidRPr="00E47F3C" w:rsidR="00E47F3C">
        <w:t>and</w:t>
      </w:r>
      <w:r w:rsidR="00513B3F">
        <w:noBreakHyphen/>
      </w:r>
      <w:r w:rsidRPr="00E47F3C" w:rsidR="00E47F3C">
        <w:t>Trade program.</w:t>
      </w:r>
      <w:r w:rsidR="00E47F3C">
        <w:rPr>
          <w:rStyle w:val="FootnoteReference"/>
        </w:rPr>
        <w:footnoteReference w:id="5"/>
      </w:r>
      <w:r w:rsidRPr="00E47F3C" w:rsidR="00E47F3C">
        <w:t xml:space="preserve"> </w:t>
      </w:r>
    </w:p>
    <w:p w:rsidR="00ED0D23" w:rsidP="00DE16FC" w:rsidRDefault="00E47F3C" w14:paraId="50E7AF1C" w14:textId="345C1272">
      <w:pPr>
        <w:spacing w:line="360" w:lineRule="auto"/>
        <w:ind w:firstLine="720"/>
      </w:pPr>
      <w:r>
        <w:t xml:space="preserve">On </w:t>
      </w:r>
      <w:r w:rsidR="00870D08">
        <w:t>January</w:t>
      </w:r>
      <w:r w:rsidR="00513B3F">
        <w:t> </w:t>
      </w:r>
      <w:r w:rsidR="00870D08">
        <w:t>31,</w:t>
      </w:r>
      <w:r w:rsidR="00513B3F">
        <w:t> </w:t>
      </w:r>
      <w:r w:rsidR="00870D08">
        <w:t xml:space="preserve">2019, in response to the passage of </w:t>
      </w:r>
      <w:r w:rsidR="00452F77">
        <w:t>SB</w:t>
      </w:r>
      <w:r w:rsidR="00513B3F">
        <w:t> </w:t>
      </w:r>
      <w:r w:rsidR="00870D08">
        <w:t xml:space="preserve">1477, the </w:t>
      </w:r>
      <w:r w:rsidRPr="001057F3" w:rsidR="00870D08">
        <w:t xml:space="preserve">California Public Utilities Commission </w:t>
      </w:r>
      <w:r w:rsidRPr="007D4BF1" w:rsidR="00870D08">
        <w:t>(</w:t>
      </w:r>
      <w:r w:rsidRPr="001057F3" w:rsidR="00870D08">
        <w:t>Commission</w:t>
      </w:r>
      <w:r w:rsidRPr="007D4BF1" w:rsidR="00870D08">
        <w:t>)</w:t>
      </w:r>
      <w:r w:rsidR="00870D08">
        <w:t xml:space="preserve"> initiated this rulemaking to support the decarbonization of buildings in California. The proceeding </w:t>
      </w:r>
      <w:r w:rsidR="0087055D">
        <w:t>is</w:t>
      </w:r>
      <w:r w:rsidR="00295BBF">
        <w:t>:</w:t>
      </w:r>
      <w:r w:rsidRPr="006221C0" w:rsidR="0087055D">
        <w:t xml:space="preserve"> </w:t>
      </w:r>
    </w:p>
    <w:p w:rsidR="00870D08" w:rsidP="003B6C4F" w:rsidRDefault="00870D08" w14:paraId="5D75D64D" w14:textId="756E7525">
      <w:pPr>
        <w:pStyle w:val="BlockQuote"/>
      </w:pPr>
      <w:r>
        <w:t>designed</w:t>
      </w:r>
      <w:r w:rsidRPr="006221C0">
        <w:t xml:space="preserve"> to be inclusive of any alternatives that could lead to the reduction of greenhouse gas </w:t>
      </w:r>
      <w:r w:rsidRPr="003B6C4F">
        <w:t>emissions</w:t>
      </w:r>
      <w:r w:rsidRPr="006221C0">
        <w:t xml:space="preserve"> associated with energy use in buildings</w:t>
      </w:r>
      <w:r>
        <w:t xml:space="preserve"> [</w:t>
      </w:r>
      <w:r w:rsidRPr="006221C0">
        <w:t>related</w:t>
      </w:r>
      <w:r>
        <w:t>]…</w:t>
      </w:r>
      <w:r w:rsidR="00D57CB8">
        <w:t xml:space="preserve"> </w:t>
      </w:r>
      <w:r w:rsidRPr="006221C0">
        <w:t>to the State’s goals of reducing economy</w:t>
      </w:r>
      <w:r w:rsidR="00513B3F">
        <w:noBreakHyphen/>
      </w:r>
      <w:r w:rsidRPr="006221C0">
        <w:t>wide GHG emissions 40% below 1990 levels by 2030 and achieving carbon neutrality by 2045 or sooner.</w:t>
      </w:r>
      <w:r>
        <w:rPr>
          <w:rStyle w:val="FootnoteReference"/>
        </w:rPr>
        <w:footnoteReference w:id="6"/>
      </w:r>
    </w:p>
    <w:p w:rsidR="00870D08" w:rsidP="007C2EF4" w:rsidRDefault="009278DF" w14:paraId="0CAB2902" w14:textId="2990F1BF">
      <w:pPr>
        <w:pStyle w:val="Heading2"/>
      </w:pPr>
      <w:bookmarkStart w:name="_Toc81167737" w:id="24"/>
      <w:bookmarkStart w:name="_Toc87339964" w:id="25"/>
      <w:bookmarkStart w:name="_Toc109141130" w:id="26"/>
      <w:bookmarkStart w:name="_Toc110598544" w:id="27"/>
      <w:r>
        <w:t>Phase</w:t>
      </w:r>
      <w:r w:rsidR="00513B3F">
        <w:t> </w:t>
      </w:r>
      <w:r>
        <w:t>I</w:t>
      </w:r>
      <w:bookmarkEnd w:id="24"/>
      <w:bookmarkEnd w:id="25"/>
      <w:bookmarkEnd w:id="26"/>
      <w:bookmarkEnd w:id="27"/>
      <w:r w:rsidR="00DF2BB3">
        <w:t xml:space="preserve"> </w:t>
      </w:r>
    </w:p>
    <w:p w:rsidR="00870D08" w:rsidP="00DE16FC" w:rsidRDefault="00DF2BB3" w14:paraId="36581996" w14:textId="5A0497A4">
      <w:pPr>
        <w:spacing w:line="360" w:lineRule="auto"/>
        <w:ind w:firstLine="720"/>
      </w:pPr>
      <w:r>
        <w:t xml:space="preserve">On </w:t>
      </w:r>
      <w:r w:rsidRPr="001057F3">
        <w:t>May</w:t>
      </w:r>
      <w:r w:rsidR="00513B3F">
        <w:t> </w:t>
      </w:r>
      <w:r w:rsidRPr="001057F3">
        <w:t>17,</w:t>
      </w:r>
      <w:r w:rsidR="00513B3F">
        <w:t> </w:t>
      </w:r>
      <w:r w:rsidRPr="001057F3">
        <w:t>2019</w:t>
      </w:r>
      <w:r w:rsidRPr="006F63CF">
        <w:t>, the assigned Commissioner issued a</w:t>
      </w:r>
      <w:r w:rsidRPr="006F63CF" w:rsidR="00870D08">
        <w:t xml:space="preserve"> Scoping Memo </w:t>
      </w:r>
      <w:r w:rsidRPr="006F63CF" w:rsidR="00B70DAB">
        <w:t xml:space="preserve">and Ruling </w:t>
      </w:r>
      <w:r w:rsidRPr="006F63CF" w:rsidR="00870D08">
        <w:t>set</w:t>
      </w:r>
      <w:r w:rsidRPr="006F63CF">
        <w:t>ting</w:t>
      </w:r>
      <w:r w:rsidRPr="006F63CF" w:rsidR="00870D08">
        <w:t xml:space="preserve"> forth the issues to be considered in </w:t>
      </w:r>
      <w:r w:rsidRPr="006F63CF" w:rsidR="009278DF">
        <w:t>Phase</w:t>
      </w:r>
      <w:r w:rsidR="00513B3F">
        <w:t> </w:t>
      </w:r>
      <w:r w:rsidRPr="006F63CF" w:rsidR="009278DF">
        <w:t>I</w:t>
      </w:r>
      <w:r w:rsidR="00870D08">
        <w:t xml:space="preserve"> </w:t>
      </w:r>
      <w:r w:rsidR="005C160D">
        <w:t xml:space="preserve">of </w:t>
      </w:r>
      <w:r w:rsidR="00870D08">
        <w:t>the proceeding</w:t>
      </w:r>
      <w:r w:rsidR="00FE3330">
        <w:t xml:space="preserve"> (</w:t>
      </w:r>
      <w:r w:rsidRPr="003211F0" w:rsidR="00FE3330">
        <w:t>Phase</w:t>
      </w:r>
      <w:r w:rsidR="00513B3F">
        <w:t> </w:t>
      </w:r>
      <w:r w:rsidRPr="003211F0" w:rsidR="00FE3330">
        <w:t>I Scoping Memo</w:t>
      </w:r>
      <w:r w:rsidR="00FE3330">
        <w:t>)</w:t>
      </w:r>
      <w:r w:rsidRPr="003211F0" w:rsidR="00870D08">
        <w:t xml:space="preserve">. The </w:t>
      </w:r>
      <w:r w:rsidRPr="003211F0" w:rsidR="009278DF">
        <w:t>Phase</w:t>
      </w:r>
      <w:r w:rsidR="00513B3F">
        <w:t> </w:t>
      </w:r>
      <w:r w:rsidRPr="003211F0" w:rsidR="009278DF">
        <w:t>I</w:t>
      </w:r>
      <w:r w:rsidRPr="003211F0" w:rsidR="00056100">
        <w:t xml:space="preserve"> </w:t>
      </w:r>
      <w:r w:rsidRPr="003211F0" w:rsidR="00870D08">
        <w:t xml:space="preserve">Scoping Memo was amended on </w:t>
      </w:r>
      <w:r w:rsidRPr="003211F0" w:rsidR="00F62B39">
        <w:t>July</w:t>
      </w:r>
      <w:r w:rsidR="00513B3F">
        <w:t> </w:t>
      </w:r>
      <w:r w:rsidRPr="003211F0" w:rsidR="00F62B39">
        <w:t>1</w:t>
      </w:r>
      <w:r w:rsidRPr="003211F0" w:rsidR="00870D08">
        <w:t>6,</w:t>
      </w:r>
      <w:r w:rsidR="00513B3F">
        <w:t> </w:t>
      </w:r>
      <w:r w:rsidRPr="003211F0" w:rsidR="00870D08">
        <w:t>2019</w:t>
      </w:r>
      <w:r w:rsidR="00965D88">
        <w:t xml:space="preserve"> </w:t>
      </w:r>
      <w:r w:rsidR="00870D08">
        <w:t>to include additional issues</w:t>
      </w:r>
      <w:r w:rsidR="00C02329">
        <w:t>.</w:t>
      </w:r>
      <w:r w:rsidR="00870D08">
        <w:t xml:space="preserve"> </w:t>
      </w:r>
      <w:r w:rsidR="009278DF">
        <w:t>Phase</w:t>
      </w:r>
      <w:r w:rsidR="00513B3F">
        <w:t> </w:t>
      </w:r>
      <w:r w:rsidR="009278DF">
        <w:t>I</w:t>
      </w:r>
      <w:r w:rsidR="00870D08">
        <w:t xml:space="preserve"> was resolved i</w:t>
      </w:r>
      <w:r w:rsidRPr="00502594" w:rsidR="00870D08">
        <w:t xml:space="preserve">n </w:t>
      </w:r>
      <w:r w:rsidRPr="001057F3" w:rsidR="00870D08">
        <w:t>Decision</w:t>
      </w:r>
      <w:r w:rsidRPr="00502594" w:rsidR="00870D08">
        <w:t xml:space="preserve"> (</w:t>
      </w:r>
      <w:r w:rsidRPr="001057F3" w:rsidR="00870D08">
        <w:t>D.</w:t>
      </w:r>
      <w:r w:rsidRPr="00502594" w:rsidR="00870D08">
        <w:t>)</w:t>
      </w:r>
      <w:r w:rsidR="00870D08">
        <w:t> </w:t>
      </w:r>
      <w:r w:rsidRPr="00502594" w:rsidR="00870D08">
        <w:t>20</w:t>
      </w:r>
      <w:r w:rsidR="00154071">
        <w:noBreakHyphen/>
      </w:r>
      <w:r w:rsidRPr="00502594" w:rsidR="00870D08">
        <w:t>03</w:t>
      </w:r>
      <w:r w:rsidR="00154071">
        <w:noBreakHyphen/>
      </w:r>
      <w:r w:rsidRPr="00502594" w:rsidR="00870D08">
        <w:t>027</w:t>
      </w:r>
      <w:r w:rsidR="00870D08">
        <w:t xml:space="preserve">, which established the </w:t>
      </w:r>
      <w:r w:rsidRPr="00502594" w:rsidR="00870D08">
        <w:t xml:space="preserve">two </w:t>
      </w:r>
      <w:r w:rsidR="00870D08">
        <w:t>building decarbonization</w:t>
      </w:r>
      <w:r w:rsidRPr="00502594" w:rsidR="00870D08">
        <w:t xml:space="preserve"> pilot programs</w:t>
      </w:r>
      <w:r w:rsidR="00870D08">
        <w:t xml:space="preserve"> required by </w:t>
      </w:r>
      <w:r w:rsidR="00452F77">
        <w:t>SB</w:t>
      </w:r>
      <w:r w:rsidR="00513B3F">
        <w:t> </w:t>
      </w:r>
      <w:r w:rsidR="00870D08">
        <w:t>1477</w:t>
      </w:r>
      <w:r w:rsidRPr="00337174" w:rsidR="00870D08">
        <w:t xml:space="preserve">: </w:t>
      </w:r>
      <w:r w:rsidRPr="00337174" w:rsidR="00E269A3">
        <w:t xml:space="preserve"> </w:t>
      </w:r>
      <w:r w:rsidRPr="00337174" w:rsidR="00870D08">
        <w:t>t</w:t>
      </w:r>
      <w:r w:rsidRPr="00502594" w:rsidR="00870D08">
        <w:t xml:space="preserve">he </w:t>
      </w:r>
      <w:r w:rsidRPr="001057F3" w:rsidR="00870D08">
        <w:t>Building Initiative for Low</w:t>
      </w:r>
      <w:r w:rsidR="00513B3F">
        <w:noBreakHyphen/>
      </w:r>
      <w:r w:rsidRPr="001057F3" w:rsidR="00870D08">
        <w:t xml:space="preserve">Emissions </w:t>
      </w:r>
      <w:r w:rsidRPr="001057F3" w:rsidR="00870D08">
        <w:lastRenderedPageBreak/>
        <w:t xml:space="preserve">Development </w:t>
      </w:r>
      <w:r w:rsidRPr="00502594" w:rsidR="00870D08">
        <w:t>(</w:t>
      </w:r>
      <w:r w:rsidRPr="001057F3" w:rsidR="00870D08">
        <w:t>BUILD</w:t>
      </w:r>
      <w:r w:rsidRPr="00502594" w:rsidR="00870D08">
        <w:t>)</w:t>
      </w:r>
      <w:r w:rsidDel="00C10105" w:rsidR="00870D08">
        <w:t xml:space="preserve"> Program</w:t>
      </w:r>
      <w:r w:rsidRPr="00502594" w:rsidR="00870D08">
        <w:t xml:space="preserve"> and the </w:t>
      </w:r>
      <w:r w:rsidRPr="001057F3" w:rsidR="00870D08">
        <w:t xml:space="preserve">Technology and Equipment for Clean Heating </w:t>
      </w:r>
      <w:r w:rsidRPr="00502594" w:rsidR="00870D08">
        <w:t>(</w:t>
      </w:r>
      <w:r w:rsidRPr="001057F3" w:rsidR="00870D08">
        <w:t>TECH</w:t>
      </w:r>
      <w:r w:rsidRPr="00502594" w:rsidR="00870D08">
        <w:t>)</w:t>
      </w:r>
      <w:r w:rsidDel="00C10105" w:rsidR="00870D08">
        <w:t xml:space="preserve"> Initiative</w:t>
      </w:r>
      <w:r w:rsidRPr="00502594" w:rsidR="00870D08">
        <w:t>.</w:t>
      </w:r>
      <w:r w:rsidR="00056100">
        <w:rPr>
          <w:rStyle w:val="FootnoteReference"/>
        </w:rPr>
        <w:footnoteReference w:id="7"/>
      </w:r>
    </w:p>
    <w:p w:rsidR="00870D08" w:rsidP="007C2EF4" w:rsidRDefault="009278DF" w14:paraId="6CDA6489" w14:textId="658F6F82">
      <w:pPr>
        <w:pStyle w:val="Heading2"/>
      </w:pPr>
      <w:bookmarkStart w:name="_Toc81167738" w:id="28"/>
      <w:bookmarkStart w:name="_Toc87339965" w:id="29"/>
      <w:bookmarkStart w:name="_Toc109376099" w:id="30"/>
      <w:bookmarkStart w:name="_Toc109141131" w:id="31"/>
      <w:bookmarkStart w:name="_Toc110598545" w:id="32"/>
      <w:r>
        <w:t>Phase</w:t>
      </w:r>
      <w:r w:rsidR="00513B3F">
        <w:t> </w:t>
      </w:r>
      <w:r>
        <w:t>I</w:t>
      </w:r>
      <w:r w:rsidR="00870D08">
        <w:t>I</w:t>
      </w:r>
      <w:bookmarkEnd w:id="28"/>
      <w:bookmarkEnd w:id="29"/>
      <w:bookmarkEnd w:id="30"/>
      <w:bookmarkEnd w:id="31"/>
      <w:bookmarkEnd w:id="32"/>
      <w:r w:rsidRPr="00DF2BB3" w:rsidR="00DF2BB3">
        <w:t xml:space="preserve"> </w:t>
      </w:r>
    </w:p>
    <w:p w:rsidRPr="00416FC4" w:rsidR="00870D08" w:rsidP="00DE16FC" w:rsidRDefault="00870D08" w14:paraId="09674EE4" w14:textId="7D3A4A49">
      <w:pPr>
        <w:pStyle w:val="Standard"/>
      </w:pPr>
      <w:r w:rsidRPr="00416FC4">
        <w:t xml:space="preserve">On </w:t>
      </w:r>
      <w:r w:rsidRPr="001D1105">
        <w:t>August</w:t>
      </w:r>
      <w:r w:rsidR="00513B3F">
        <w:t> </w:t>
      </w:r>
      <w:r w:rsidRPr="001D1105">
        <w:t>25,</w:t>
      </w:r>
      <w:r w:rsidR="00513B3F">
        <w:t> </w:t>
      </w:r>
      <w:r w:rsidRPr="001D1105">
        <w:t xml:space="preserve">2020, the assigned Commissioner issued an Amended Scoping Memo </w:t>
      </w:r>
      <w:r w:rsidRPr="001D1105" w:rsidR="00B70DAB">
        <w:t xml:space="preserve">and Ruling </w:t>
      </w:r>
      <w:r w:rsidRPr="001D1105">
        <w:t xml:space="preserve">setting forth the issues to be considered in </w:t>
      </w:r>
      <w:r w:rsidRPr="001D1105" w:rsidR="009278DF">
        <w:t>Phase</w:t>
      </w:r>
      <w:r w:rsidR="00513B3F">
        <w:t> </w:t>
      </w:r>
      <w:r w:rsidRPr="001D1105" w:rsidR="009278DF">
        <w:t>I</w:t>
      </w:r>
      <w:r w:rsidRPr="001D1105">
        <w:t>I of this proceeding</w:t>
      </w:r>
      <w:r w:rsidR="008F1D96">
        <w:t xml:space="preserve"> </w:t>
      </w:r>
      <w:r w:rsidRPr="00416FC4">
        <w:t>and included an associated</w:t>
      </w:r>
      <w:r w:rsidR="00C22430">
        <w:t xml:space="preserve"> Energy Division</w:t>
      </w:r>
      <w:r w:rsidRPr="00416FC4">
        <w:t xml:space="preserve"> Staff Proposal. </w:t>
      </w:r>
      <w:r w:rsidR="009278DF">
        <w:t>Phase</w:t>
      </w:r>
      <w:r w:rsidR="00513B3F">
        <w:t> </w:t>
      </w:r>
      <w:r w:rsidR="009278DF">
        <w:t>I</w:t>
      </w:r>
      <w:r w:rsidRPr="00416FC4">
        <w:t>I was resolved in D.21</w:t>
      </w:r>
      <w:r w:rsidR="00513B3F">
        <w:noBreakHyphen/>
      </w:r>
      <w:r w:rsidRPr="00416FC4">
        <w:t>11</w:t>
      </w:r>
      <w:r w:rsidR="00513B3F">
        <w:noBreakHyphen/>
      </w:r>
      <w:r w:rsidRPr="00416FC4">
        <w:t>002</w:t>
      </w:r>
      <w:r w:rsidR="00E2385C">
        <w:t>, which</w:t>
      </w:r>
      <w:r w:rsidRPr="00337174" w:rsidR="00267B66">
        <w:t>:</w:t>
      </w:r>
      <w:r w:rsidRPr="00337174" w:rsidR="00E2385C">
        <w:t xml:space="preserve"> </w:t>
      </w:r>
      <w:r w:rsidRPr="00337174" w:rsidR="00E269A3">
        <w:t xml:space="preserve"> </w:t>
      </w:r>
      <w:r w:rsidRPr="00337174">
        <w:t>(</w:t>
      </w:r>
      <w:r w:rsidR="00E2385C">
        <w:t>1</w:t>
      </w:r>
      <w:r w:rsidRPr="00416FC4">
        <w:t>)</w:t>
      </w:r>
      <w:r w:rsidR="00513B3F">
        <w:t> </w:t>
      </w:r>
      <w:r w:rsidRPr="00416FC4">
        <w:t>adopted</w:t>
      </w:r>
      <w:r w:rsidRPr="00416FC4" w:rsidDel="00D922E9">
        <w:t xml:space="preserve"> </w:t>
      </w:r>
      <w:r w:rsidRPr="00416FC4">
        <w:t>guiding principles for the layering of incentives when multiple programs fund the same equipment</w:t>
      </w:r>
      <w:r w:rsidR="00267B66">
        <w:t>;</w:t>
      </w:r>
      <w:r w:rsidRPr="00416FC4">
        <w:t xml:space="preserve"> (</w:t>
      </w:r>
      <w:r w:rsidR="00E2385C">
        <w:t>2</w:t>
      </w:r>
      <w:r w:rsidRPr="00416FC4">
        <w:t>)</w:t>
      </w:r>
      <w:r w:rsidR="00513B3F">
        <w:t> </w:t>
      </w:r>
      <w:r w:rsidRPr="00416FC4">
        <w:t xml:space="preserve">established a new </w:t>
      </w:r>
      <w:r w:rsidRPr="001057F3">
        <w:t xml:space="preserve">Wildfire and Natural Disaster Resiliency Rebuild </w:t>
      </w:r>
      <w:r w:rsidRPr="00416FC4">
        <w:t>(</w:t>
      </w:r>
      <w:r w:rsidRPr="001057F3">
        <w:t>WNDRR</w:t>
      </w:r>
      <w:r w:rsidRPr="00416FC4">
        <w:t xml:space="preserve">) program to </w:t>
      </w:r>
      <w:r w:rsidR="0097412F">
        <w:t xml:space="preserve">provide financial incentives to </w:t>
      </w:r>
      <w:r w:rsidRPr="00416FC4">
        <w:t>help victims of wildfires and natural disasters rebuild all</w:t>
      </w:r>
      <w:r w:rsidR="00513B3F">
        <w:noBreakHyphen/>
      </w:r>
      <w:r w:rsidRPr="00416FC4">
        <w:t>electric properties</w:t>
      </w:r>
      <w:r w:rsidR="00267B66">
        <w:t>;</w:t>
      </w:r>
      <w:r w:rsidRPr="00416FC4">
        <w:t xml:space="preserve"> (</w:t>
      </w:r>
      <w:r w:rsidR="00E2385C">
        <w:t>3</w:t>
      </w:r>
      <w:r w:rsidRPr="00416FC4">
        <w:t>)</w:t>
      </w:r>
      <w:r w:rsidR="00513B3F">
        <w:t> </w:t>
      </w:r>
      <w:r w:rsidRPr="00416FC4">
        <w:t>provided guidance on data sharing</w:t>
      </w:r>
      <w:r w:rsidR="00267B66">
        <w:t>;</w:t>
      </w:r>
      <w:r w:rsidRPr="00416FC4">
        <w:t xml:space="preserve"> and (</w:t>
      </w:r>
      <w:r w:rsidR="00E2385C">
        <w:t>4</w:t>
      </w:r>
      <w:r w:rsidRPr="00416FC4">
        <w:t>)</w:t>
      </w:r>
      <w:r w:rsidR="00513B3F">
        <w:t> </w:t>
      </w:r>
      <w:r w:rsidRPr="00416FC4">
        <w:t xml:space="preserve">directed California’s three large electric </w:t>
      </w:r>
      <w:r w:rsidRPr="001057F3" w:rsidR="001D1105">
        <w:t>investor</w:t>
      </w:r>
      <w:r w:rsidRPr="001057F3" w:rsidR="001D1105">
        <w:noBreakHyphen/>
        <w:t xml:space="preserve">owned utilities </w:t>
      </w:r>
      <w:r w:rsidRPr="00416FC4">
        <w:t>(</w:t>
      </w:r>
      <w:r w:rsidRPr="001057F3">
        <w:t>IOUs</w:t>
      </w:r>
      <w:r w:rsidRPr="00416FC4">
        <w:t>)</w:t>
      </w:r>
      <w:r w:rsidRPr="00416FC4">
        <w:rPr>
          <w:rStyle w:val="FootnoteReference"/>
        </w:rPr>
        <w:footnoteReference w:id="8"/>
      </w:r>
      <w:r w:rsidRPr="00416FC4">
        <w:t xml:space="preserve"> to each study energy bill impacts that result from switching from gas water heaters to electric heat pump water heaters, and to propose a rate adjustment in a new Rate Design Window application if their study reflect</w:t>
      </w:r>
      <w:r w:rsidR="002B148B">
        <w:t xml:space="preserve">ed </w:t>
      </w:r>
      <w:r w:rsidRPr="00416FC4">
        <w:t>a net energy bill increase</w:t>
      </w:r>
      <w:r w:rsidR="002B148B">
        <w:t xml:space="preserve">. </w:t>
      </w:r>
      <w:r w:rsidRPr="00416FC4" w:rsidR="000D3226">
        <w:t>D.21</w:t>
      </w:r>
      <w:r w:rsidR="00513B3F">
        <w:noBreakHyphen/>
      </w:r>
      <w:r w:rsidRPr="00416FC4" w:rsidR="000D3226">
        <w:t>11</w:t>
      </w:r>
      <w:r w:rsidR="00513B3F">
        <w:noBreakHyphen/>
      </w:r>
      <w:r w:rsidRPr="00416FC4" w:rsidR="000D3226">
        <w:t>002 also directed the</w:t>
      </w:r>
      <w:r w:rsidR="000D3226">
        <w:t xml:space="preserve"> IOUs to </w:t>
      </w:r>
      <w:r w:rsidRPr="00416FC4" w:rsidR="000D3226">
        <w:t>collect data on fuels used to power various appliances, including propane</w:t>
      </w:r>
      <w:r w:rsidRPr="00416FC4">
        <w:t>.</w:t>
      </w:r>
    </w:p>
    <w:p w:rsidR="008F1D96" w:rsidP="007C2EF4" w:rsidRDefault="009278DF" w14:paraId="6D455B20" w14:textId="5E54F770">
      <w:pPr>
        <w:pStyle w:val="Heading2"/>
      </w:pPr>
      <w:bookmarkStart w:name="_Toc109376100" w:id="33"/>
      <w:bookmarkStart w:name="_Toc109141132" w:id="34"/>
      <w:bookmarkStart w:name="_Toc110598546" w:id="35"/>
      <w:r>
        <w:t>Phase</w:t>
      </w:r>
      <w:r w:rsidR="00513B3F">
        <w:t> </w:t>
      </w:r>
      <w:r>
        <w:t>I</w:t>
      </w:r>
      <w:r w:rsidR="008F1D96">
        <w:t>II</w:t>
      </w:r>
      <w:bookmarkEnd w:id="33"/>
      <w:bookmarkEnd w:id="34"/>
      <w:bookmarkEnd w:id="35"/>
      <w:r w:rsidR="00DF2BB3">
        <w:t xml:space="preserve"> </w:t>
      </w:r>
    </w:p>
    <w:p w:rsidR="000239F1" w:rsidP="00DE16FC" w:rsidRDefault="008F1D96" w14:paraId="3E705B42" w14:textId="0244826C">
      <w:pPr>
        <w:pStyle w:val="Standard"/>
      </w:pPr>
      <w:r w:rsidRPr="008F1D96">
        <w:t xml:space="preserve">On </w:t>
      </w:r>
      <w:r w:rsidRPr="001057F3">
        <w:t>November 16, 2021</w:t>
      </w:r>
      <w:r w:rsidRPr="001D1105">
        <w:t xml:space="preserve">, the </w:t>
      </w:r>
      <w:r w:rsidRPr="001D1105" w:rsidR="00DF2BB3">
        <w:t>a</w:t>
      </w:r>
      <w:r w:rsidRPr="001D1105">
        <w:t xml:space="preserve">ssigned Commissioner issued an Amended Scoping Memo </w:t>
      </w:r>
      <w:r w:rsidRPr="001D1105" w:rsidR="009D6BAA">
        <w:t xml:space="preserve">and Ruling </w:t>
      </w:r>
      <w:r w:rsidRPr="001D1105">
        <w:t xml:space="preserve">setting forth the issues to be considered in </w:t>
      </w:r>
      <w:r w:rsidRPr="001D1105" w:rsidR="009278DF">
        <w:t>Phase I</w:t>
      </w:r>
      <w:r w:rsidRPr="001D1105">
        <w:t>II</w:t>
      </w:r>
      <w:r w:rsidRPr="008F1D96">
        <w:t xml:space="preserve"> of this proceeding (</w:t>
      </w:r>
      <w:r w:rsidRPr="001057F3" w:rsidR="009278DF">
        <w:t>Phase I</w:t>
      </w:r>
      <w:r w:rsidRPr="001057F3">
        <w:t>II Scoping Memo</w:t>
      </w:r>
      <w:r w:rsidRPr="008F1D96">
        <w:t xml:space="preserve">). </w:t>
      </w:r>
      <w:r w:rsidRPr="001057F3">
        <w:t xml:space="preserve">Appended to the </w:t>
      </w:r>
      <w:r w:rsidRPr="001057F3" w:rsidR="009278DF">
        <w:t>Phase</w:t>
      </w:r>
      <w:r w:rsidR="00513B3F">
        <w:t> </w:t>
      </w:r>
      <w:r w:rsidRPr="001057F3" w:rsidR="009278DF">
        <w:t>I</w:t>
      </w:r>
      <w:r w:rsidRPr="001057F3">
        <w:t xml:space="preserve">II Scoping Memo were an Energy Division Staff Proposal </w:t>
      </w:r>
      <w:r w:rsidRPr="008F1D96">
        <w:t>(</w:t>
      </w:r>
      <w:r w:rsidRPr="001057F3" w:rsidR="009278DF">
        <w:t>Phase</w:t>
      </w:r>
      <w:r w:rsidR="00513B3F">
        <w:t> </w:t>
      </w:r>
      <w:r w:rsidRPr="001057F3" w:rsidR="009278DF">
        <w:t>I</w:t>
      </w:r>
      <w:r w:rsidRPr="001057F3" w:rsidR="00F057E3">
        <w:t xml:space="preserve">II </w:t>
      </w:r>
      <w:r w:rsidRPr="001057F3">
        <w:t>Staff Proposal</w:t>
      </w:r>
      <w:r w:rsidRPr="001057F3" w:rsidR="00443111">
        <w:t xml:space="preserve"> or Staff Proposal</w:t>
      </w:r>
      <w:r w:rsidRPr="008F1D96">
        <w:t xml:space="preserve">) and a list of questions to be addressed by respondents and parties. Specifically, </w:t>
      </w:r>
      <w:r w:rsidRPr="001057F3" w:rsidR="009278DF">
        <w:t>Phase I</w:t>
      </w:r>
      <w:r w:rsidRPr="001057F3">
        <w:t>II considers eliminating gas line extension allowances</w:t>
      </w:r>
      <w:r w:rsidR="00242AEC">
        <w:t xml:space="preserve"> </w:t>
      </w:r>
      <w:r w:rsidR="00242AEC">
        <w:lastRenderedPageBreak/>
        <w:t>(</w:t>
      </w:r>
      <w:r w:rsidRPr="001057F3" w:rsidR="00242AEC">
        <w:t>allowances</w:t>
      </w:r>
      <w:r w:rsidR="00242AEC">
        <w:t>)</w:t>
      </w:r>
      <w:r w:rsidRPr="008F1D96">
        <w:t xml:space="preserve">, </w:t>
      </w:r>
      <w:r w:rsidR="00242AEC">
        <w:t xml:space="preserve">the </w:t>
      </w:r>
      <w:r w:rsidRPr="001057F3" w:rsidR="00242AEC">
        <w:t>10</w:t>
      </w:r>
      <w:r w:rsidR="00513B3F">
        <w:noBreakHyphen/>
      </w:r>
      <w:r w:rsidRPr="001057F3" w:rsidR="00242AEC">
        <w:t xml:space="preserve">year refundable payment option </w:t>
      </w:r>
      <w:r w:rsidR="00242AEC">
        <w:t>(</w:t>
      </w:r>
      <w:r w:rsidRPr="001057F3">
        <w:t>refunds</w:t>
      </w:r>
      <w:r w:rsidR="00242AEC">
        <w:t>)</w:t>
      </w:r>
      <w:r w:rsidRPr="008F1D96">
        <w:t xml:space="preserve">, and </w:t>
      </w:r>
      <w:r w:rsidR="00242AEC">
        <w:t xml:space="preserve">the </w:t>
      </w:r>
      <w:r w:rsidRPr="001057F3" w:rsidR="00242AEC">
        <w:t>50</w:t>
      </w:r>
      <w:r w:rsidR="00513B3F">
        <w:t> </w:t>
      </w:r>
      <w:r w:rsidRPr="001057F3" w:rsidR="003E72B0">
        <w:t>percent</w:t>
      </w:r>
      <w:r w:rsidRPr="001057F3" w:rsidR="00242AEC">
        <w:t xml:space="preserve"> discount payment option </w:t>
      </w:r>
      <w:r w:rsidR="00242AEC">
        <w:t>(</w:t>
      </w:r>
      <w:r w:rsidRPr="001057F3" w:rsidR="00242AEC">
        <w:t>discounts</w:t>
      </w:r>
      <w:r w:rsidR="00242AEC">
        <w:t xml:space="preserve">) </w:t>
      </w:r>
      <w:r w:rsidRPr="008F1D96" w:rsidR="00EE0EA2">
        <w:t xml:space="preserve">(collectively, </w:t>
      </w:r>
      <w:r w:rsidRPr="001057F3" w:rsidR="00EE0EA2">
        <w:t>gas line subsidies</w:t>
      </w:r>
      <w:r w:rsidRPr="008F1D96" w:rsidR="00EE0EA2">
        <w:t>)</w:t>
      </w:r>
      <w:r w:rsidR="00EE0EA2">
        <w:t xml:space="preserve"> </w:t>
      </w:r>
      <w:r w:rsidRPr="008F1D96">
        <w:t>provided under the current gas line extension rules (</w:t>
      </w:r>
      <w:r w:rsidRPr="001057F3" w:rsidR="00EE0EA2">
        <w:t>gas rules</w:t>
      </w:r>
      <w:r w:rsidR="00EE0EA2">
        <w:t>)</w:t>
      </w:r>
      <w:r w:rsidRPr="008F1D96">
        <w:t>.</w:t>
      </w:r>
      <w:r w:rsidRPr="008F1D96" w:rsidR="008F1605">
        <w:rPr>
          <w:vertAlign w:val="superscript"/>
        </w:rPr>
        <w:footnoteReference w:id="9"/>
      </w:r>
    </w:p>
    <w:p w:rsidR="00725AC8" w:rsidP="0078302C" w:rsidRDefault="00D157AA" w14:paraId="2BED49DE" w14:textId="0D0D9A3E">
      <w:pPr>
        <w:pStyle w:val="Standard"/>
      </w:pPr>
      <w:r>
        <w:t xml:space="preserve">The </w:t>
      </w:r>
      <w:r w:rsidR="009278DF">
        <w:t>Phase</w:t>
      </w:r>
      <w:r w:rsidR="00513B3F">
        <w:t> </w:t>
      </w:r>
      <w:r w:rsidR="009278DF">
        <w:t>I</w:t>
      </w:r>
      <w:r>
        <w:t xml:space="preserve">II Scoping Memo set a schedule for the filing and service of comments and reply comments on the </w:t>
      </w:r>
      <w:r w:rsidR="00CD1FBA">
        <w:t>Staff Proposal</w:t>
      </w:r>
      <w:r w:rsidR="00235835">
        <w:t xml:space="preserve">. </w:t>
      </w:r>
      <w:r w:rsidR="005B67CC">
        <w:t xml:space="preserve">It also </w:t>
      </w:r>
      <w:r w:rsidR="00D23A80">
        <w:t>required</w:t>
      </w:r>
      <w:r w:rsidR="00411B88">
        <w:t xml:space="preserve"> that comments</w:t>
      </w:r>
      <w:r w:rsidR="001238A4">
        <w:t xml:space="preserve"> and reply comments be verified</w:t>
      </w:r>
      <w:r w:rsidR="005B67CC">
        <w:t>.</w:t>
      </w:r>
      <w:r w:rsidR="00DB7BBE">
        <w:rPr>
          <w:rStyle w:val="FootnoteReference"/>
        </w:rPr>
        <w:footnoteReference w:id="10"/>
      </w:r>
      <w:r w:rsidR="005B67CC">
        <w:t xml:space="preserve"> </w:t>
      </w:r>
      <w:r w:rsidR="00B612B4">
        <w:t xml:space="preserve">Verification </w:t>
      </w:r>
      <w:r w:rsidR="00503D5C">
        <w:t xml:space="preserve">enables </w:t>
      </w:r>
      <w:r w:rsidR="001238A4">
        <w:t>the creation of a robust and reliable record, and allow</w:t>
      </w:r>
      <w:r w:rsidR="00495D13">
        <w:t>s</w:t>
      </w:r>
      <w:r w:rsidR="001238A4">
        <w:t xml:space="preserve"> the Commission to find facts based on those pleadings. </w:t>
      </w:r>
      <w:r w:rsidR="00235835">
        <w:t xml:space="preserve">It </w:t>
      </w:r>
      <w:r w:rsidR="00CC4799">
        <w:t xml:space="preserve">also </w:t>
      </w:r>
      <w:r w:rsidR="00235835">
        <w:t>set a deadline by which parties could file a motion to request evidentiary hearings</w:t>
      </w:r>
      <w:r w:rsidR="00E70DC5">
        <w:t xml:space="preserve"> to cross</w:t>
      </w:r>
      <w:r w:rsidR="00513B3F">
        <w:noBreakHyphen/>
      </w:r>
      <w:r w:rsidR="00E70DC5">
        <w:t>examine parties on disputed issues of material fact</w:t>
      </w:r>
      <w:r w:rsidR="00C07BFA">
        <w:t xml:space="preserve"> stated in comments</w:t>
      </w:r>
      <w:r w:rsidR="00FA1A57">
        <w:t xml:space="preserve"> or </w:t>
      </w:r>
      <w:r w:rsidR="00C07BFA">
        <w:t xml:space="preserve">reply comments, or </w:t>
      </w:r>
      <w:r w:rsidR="00C57F91">
        <w:t xml:space="preserve">to seek leave to </w:t>
      </w:r>
      <w:r w:rsidR="005A2564">
        <w:t>serve</w:t>
      </w:r>
      <w:r w:rsidR="0027724D">
        <w:t xml:space="preserve"> </w:t>
      </w:r>
      <w:r w:rsidR="00FA1A57">
        <w:t>prepared testimony</w:t>
      </w:r>
      <w:r w:rsidR="00806F80">
        <w:t>, which in turn might be subject to cross</w:t>
      </w:r>
      <w:r w:rsidR="00513B3F">
        <w:noBreakHyphen/>
      </w:r>
      <w:r w:rsidR="00806F80">
        <w:t>examination</w:t>
      </w:r>
      <w:r w:rsidR="00C76850">
        <w:t xml:space="preserve">. </w:t>
      </w:r>
    </w:p>
    <w:p w:rsidRPr="008F1D96" w:rsidR="008F1D96" w:rsidP="0091649D" w:rsidRDefault="00155C41" w14:paraId="6188B0A2" w14:textId="68994517">
      <w:pPr>
        <w:pStyle w:val="Standard"/>
      </w:pPr>
      <w:r>
        <w:t xml:space="preserve">Lastly, in compliance with </w:t>
      </w:r>
      <w:r w:rsidRPr="00F259BD" w:rsidR="007D79B6">
        <w:t>Pub.</w:t>
      </w:r>
      <w:r w:rsidR="00513B3F">
        <w:t> </w:t>
      </w:r>
      <w:r w:rsidRPr="00F259BD" w:rsidR="007D79B6">
        <w:t>Util.</w:t>
      </w:r>
      <w:r>
        <w:t xml:space="preserve"> Code </w:t>
      </w:r>
      <w:r w:rsidR="000F2D16">
        <w:t>Section</w:t>
      </w:r>
      <w:r w:rsidR="00513B3F">
        <w:t> </w:t>
      </w:r>
      <w:r>
        <w:t>783(c),</w:t>
      </w:r>
      <w:r w:rsidR="00144776">
        <w:rPr>
          <w:rStyle w:val="FootnoteReference"/>
        </w:rPr>
        <w:footnoteReference w:id="11"/>
      </w:r>
      <w:r>
        <w:t xml:space="preserve"> </w:t>
      </w:r>
      <w:r w:rsidR="008B4939">
        <w:t xml:space="preserve">the </w:t>
      </w:r>
      <w:r w:rsidR="009278DF">
        <w:t>Phase</w:t>
      </w:r>
      <w:r w:rsidR="00513B3F">
        <w:t> </w:t>
      </w:r>
      <w:r w:rsidR="009278DF">
        <w:t>I</w:t>
      </w:r>
      <w:r w:rsidR="008B4939">
        <w:t>II Scoping Memo</w:t>
      </w:r>
      <w:r w:rsidRPr="006A1C6D" w:rsidR="006A1C6D">
        <w:t xml:space="preserve"> requested assistance and input </w:t>
      </w:r>
      <w:r w:rsidR="00A377D3">
        <w:t>from</w:t>
      </w:r>
      <w:r w:rsidR="00992914">
        <w:t xml:space="preserve"> </w:t>
      </w:r>
      <w:r w:rsidR="00A377D3">
        <w:t>the</w:t>
      </w:r>
      <w:r w:rsidR="0078302C">
        <w:t xml:space="preserve"> </w:t>
      </w:r>
      <w:r w:rsidR="008B4939">
        <w:t xml:space="preserve">following state agencies </w:t>
      </w:r>
      <w:r w:rsidR="00853FB8">
        <w:lastRenderedPageBreak/>
        <w:t xml:space="preserve">and departments: the </w:t>
      </w:r>
      <w:r w:rsidRPr="0078302C" w:rsidR="0078302C">
        <w:t>California State Transportation Agency;</w:t>
      </w:r>
      <w:r w:rsidR="0078302C">
        <w:t xml:space="preserve"> the </w:t>
      </w:r>
      <w:r w:rsidRPr="0078302C" w:rsidR="0078302C">
        <w:t>California Department of Food and Agriculture;</w:t>
      </w:r>
      <w:r w:rsidR="0078302C">
        <w:t xml:space="preserve"> the </w:t>
      </w:r>
      <w:r w:rsidRPr="0078302C" w:rsidR="0078302C">
        <w:t>California Department of Consumer Affairs</w:t>
      </w:r>
      <w:r w:rsidR="00B11341">
        <w:t xml:space="preserve"> (DCA)</w:t>
      </w:r>
      <w:r w:rsidR="00484F96">
        <w:t xml:space="preserve">; </w:t>
      </w:r>
      <w:r w:rsidR="0078302C">
        <w:t xml:space="preserve">the </w:t>
      </w:r>
      <w:r w:rsidRPr="001057F3" w:rsidR="0078302C">
        <w:rPr>
          <w:rFonts w:cstheme="minorBidi"/>
          <w:szCs w:val="22"/>
        </w:rPr>
        <w:t>California Department of Real Estate</w:t>
      </w:r>
      <w:r w:rsidR="00B11341">
        <w:rPr>
          <w:rFonts w:cstheme="minorBidi"/>
          <w:szCs w:val="22"/>
        </w:rPr>
        <w:t xml:space="preserve"> (DRE</w:t>
      </w:r>
      <w:r w:rsidR="0016440A">
        <w:rPr>
          <w:rFonts w:cstheme="minorBidi"/>
          <w:szCs w:val="22"/>
        </w:rPr>
        <w:t>)</w:t>
      </w:r>
      <w:r w:rsidRPr="0078302C" w:rsidR="0078302C">
        <w:t>;</w:t>
      </w:r>
      <w:r w:rsidR="0078302C">
        <w:t xml:space="preserve"> and the </w:t>
      </w:r>
      <w:r w:rsidRPr="001057F3" w:rsidR="0078302C">
        <w:rPr>
          <w:rFonts w:cstheme="minorBidi"/>
          <w:szCs w:val="22"/>
        </w:rPr>
        <w:t>California Department of Housing and Community Development</w:t>
      </w:r>
      <w:r w:rsidR="0016440A">
        <w:rPr>
          <w:rFonts w:cstheme="minorBidi"/>
          <w:szCs w:val="22"/>
        </w:rPr>
        <w:t xml:space="preserve"> (HCD)</w:t>
      </w:r>
      <w:r>
        <w:t>.</w:t>
      </w:r>
      <w:r w:rsidRPr="006A1C6D">
        <w:rPr>
          <w:vertAlign w:val="superscript"/>
        </w:rPr>
        <w:footnoteReference w:id="12"/>
      </w:r>
      <w:r w:rsidR="00CE14FB">
        <w:t xml:space="preserve"> </w:t>
      </w:r>
      <w:r w:rsidR="00442A71">
        <w:t xml:space="preserve">On </w:t>
      </w:r>
      <w:r w:rsidR="00860D0E">
        <w:t>November</w:t>
      </w:r>
      <w:r w:rsidR="00513B3F">
        <w:t> </w:t>
      </w:r>
      <w:r w:rsidR="00860D0E">
        <w:t>17,</w:t>
      </w:r>
      <w:r w:rsidR="00513B3F">
        <w:t> </w:t>
      </w:r>
      <w:r w:rsidR="00860D0E">
        <w:t>20</w:t>
      </w:r>
      <w:r w:rsidR="00164AC0">
        <w:t>2</w:t>
      </w:r>
      <w:r w:rsidR="00820587">
        <w:t>1</w:t>
      </w:r>
      <w:r w:rsidR="001A585B">
        <w:t>, t</w:t>
      </w:r>
      <w:r w:rsidRPr="006A1C6D" w:rsidR="006A1C6D">
        <w:t>he assigned Commissioner</w:t>
      </w:r>
      <w:r w:rsidR="008C1BF0">
        <w:t xml:space="preserve"> sent a</w:t>
      </w:r>
      <w:r>
        <w:t xml:space="preserve"> follow up</w:t>
      </w:r>
      <w:r w:rsidR="008C1BF0">
        <w:t xml:space="preserve"> </w:t>
      </w:r>
      <w:r w:rsidR="00A8118A">
        <w:t>e</w:t>
      </w:r>
      <w:r w:rsidR="00A8118A">
        <w:noBreakHyphen/>
        <w:t>mail</w:t>
      </w:r>
      <w:r w:rsidR="008C1BF0">
        <w:t xml:space="preserve"> to</w:t>
      </w:r>
      <w:r w:rsidRPr="008C1BF0" w:rsidR="008C1BF0">
        <w:t xml:space="preserve"> </w:t>
      </w:r>
      <w:r w:rsidR="0091649D">
        <w:t>the</w:t>
      </w:r>
      <w:r w:rsidRPr="0091649D" w:rsidR="0091649D">
        <w:t xml:space="preserve"> Executive Director</w:t>
      </w:r>
      <w:r w:rsidR="0091649D">
        <w:t>s</w:t>
      </w:r>
      <w:r w:rsidRPr="0091649D" w:rsidR="0091649D">
        <w:t xml:space="preserve"> (or</w:t>
      </w:r>
      <w:r w:rsidR="0091649D">
        <w:t xml:space="preserve"> </w:t>
      </w:r>
      <w:r w:rsidRPr="0091649D" w:rsidR="0091649D">
        <w:t xml:space="preserve">an equivalent position) of </w:t>
      </w:r>
      <w:r w:rsidR="0091649D">
        <w:t>these</w:t>
      </w:r>
      <w:r w:rsidRPr="0091649D" w:rsidR="0091649D">
        <w:t xml:space="preserve"> agencies </w:t>
      </w:r>
      <w:r w:rsidR="00274924">
        <w:t>and</w:t>
      </w:r>
      <w:r w:rsidRPr="0091649D" w:rsidR="0091649D">
        <w:t xml:space="preserve"> departments</w:t>
      </w:r>
      <w:r w:rsidR="0091649D">
        <w:t xml:space="preserve"> and </w:t>
      </w:r>
      <w:r w:rsidRPr="008C1BF0" w:rsidR="008C1BF0">
        <w:t xml:space="preserve">invited them to </w:t>
      </w:r>
      <w:r w:rsidR="008344F3">
        <w:t xml:space="preserve">provide input on the </w:t>
      </w:r>
      <w:r w:rsidR="007F58D1">
        <w:t>Staff Proposal</w:t>
      </w:r>
      <w:r w:rsidR="00965791">
        <w:t xml:space="preserve"> </w:t>
      </w:r>
      <w:r w:rsidRPr="005340BB" w:rsidR="005340BB">
        <w:t>by December</w:t>
      </w:r>
      <w:r w:rsidR="00513B3F">
        <w:t> </w:t>
      </w:r>
      <w:r w:rsidRPr="005340BB" w:rsidR="005340BB">
        <w:t>20</w:t>
      </w:r>
      <w:r w:rsidR="00274924">
        <w:t>,</w:t>
      </w:r>
      <w:r w:rsidR="00513B3F">
        <w:t> </w:t>
      </w:r>
      <w:r w:rsidR="00274924">
        <w:t>2021</w:t>
      </w:r>
      <w:r w:rsidR="00C76850">
        <w:t xml:space="preserve">. </w:t>
      </w:r>
    </w:p>
    <w:p w:rsidRPr="00753EFB" w:rsidR="00495466" w:rsidP="00DE16FC" w:rsidRDefault="00495466" w14:paraId="2167DB49" w14:textId="0D42B73B">
      <w:pPr>
        <w:pStyle w:val="Standard"/>
      </w:pPr>
      <w:r>
        <w:t>Verified comments and verified reply comments</w:t>
      </w:r>
      <w:r w:rsidR="00BC5A24">
        <w:t xml:space="preserve"> on the</w:t>
      </w:r>
      <w:r>
        <w:t xml:space="preserve"> </w:t>
      </w:r>
      <w:r w:rsidR="007C3A34">
        <w:t>Staff Proposal</w:t>
      </w:r>
      <w:r>
        <w:t xml:space="preserve"> were </w:t>
      </w:r>
      <w:r w:rsidR="00737809">
        <w:t>filed</w:t>
      </w:r>
      <w:r>
        <w:t xml:space="preserve"> </w:t>
      </w:r>
      <w:r w:rsidR="00DE1306">
        <w:t>on December</w:t>
      </w:r>
      <w:r w:rsidR="00513B3F">
        <w:t> </w:t>
      </w:r>
      <w:r w:rsidR="00DE1306">
        <w:t>20,</w:t>
      </w:r>
      <w:r w:rsidR="00513B3F">
        <w:t> </w:t>
      </w:r>
      <w:r w:rsidR="00DE1306">
        <w:t>2021, and January</w:t>
      </w:r>
      <w:r w:rsidR="00513B3F">
        <w:t> </w:t>
      </w:r>
      <w:r w:rsidR="00DE1306">
        <w:t>10,</w:t>
      </w:r>
      <w:r w:rsidR="00513B3F">
        <w:t> </w:t>
      </w:r>
      <w:r w:rsidR="00DE1306">
        <w:t xml:space="preserve">2022, respectively, </w:t>
      </w:r>
      <w:r w:rsidR="00737809">
        <w:t>by</w:t>
      </w:r>
      <w:r w:rsidR="00666C3F">
        <w:t xml:space="preserve"> </w:t>
      </w:r>
      <w:r w:rsidR="002E4AEC">
        <w:t>18</w:t>
      </w:r>
      <w:r w:rsidR="00513B3F">
        <w:t> </w:t>
      </w:r>
      <w:r w:rsidR="00A75AF5">
        <w:t xml:space="preserve">parties: </w:t>
      </w:r>
      <w:r w:rsidRPr="001057F3" w:rsidR="00666C3F">
        <w:t>PG&amp;E</w:t>
      </w:r>
      <w:r w:rsidRPr="001057F3" w:rsidR="00434B03">
        <w:t>,</w:t>
      </w:r>
      <w:r w:rsidRPr="001057F3" w:rsidR="00666C3F">
        <w:t xml:space="preserve"> SDG&amp;E</w:t>
      </w:r>
      <w:r w:rsidRPr="001057F3" w:rsidR="00434B03">
        <w:t>,</w:t>
      </w:r>
      <w:r w:rsidRPr="001057F3" w:rsidR="00666C3F">
        <w:t xml:space="preserve"> </w:t>
      </w:r>
      <w:r w:rsidRPr="001057F3" w:rsidR="00434B03">
        <w:t xml:space="preserve">and </w:t>
      </w:r>
      <w:r w:rsidRPr="001057F3" w:rsidR="00666C3F">
        <w:t>SoCalGas</w:t>
      </w:r>
      <w:r w:rsidRPr="001057F3" w:rsidR="00267B66">
        <w:t xml:space="preserve"> </w:t>
      </w:r>
      <w:r w:rsidR="00267B66">
        <w:t>(</w:t>
      </w:r>
      <w:r w:rsidRPr="00753EFB" w:rsidR="00434B03">
        <w:t>collectively</w:t>
      </w:r>
      <w:r w:rsidR="00267B66">
        <w:t>,</w:t>
      </w:r>
      <w:r w:rsidRPr="00753EFB" w:rsidR="00434B03">
        <w:t xml:space="preserve"> the </w:t>
      </w:r>
      <w:bookmarkStart w:name="_Hlk109384913" w:id="36"/>
      <w:r w:rsidRPr="001057F3" w:rsidR="00434B03">
        <w:t>Joint IOUs</w:t>
      </w:r>
      <w:bookmarkEnd w:id="36"/>
      <w:r w:rsidRPr="00753EFB" w:rsidR="00434B03">
        <w:t>)</w:t>
      </w:r>
      <w:r w:rsidR="00DE1306">
        <w:t>;</w:t>
      </w:r>
      <w:r w:rsidR="00666C3F">
        <w:t xml:space="preserve"> SCE</w:t>
      </w:r>
      <w:r w:rsidR="00DE1306">
        <w:t>;</w:t>
      </w:r>
      <w:r w:rsidR="00666C3F">
        <w:t xml:space="preserve"> </w:t>
      </w:r>
      <w:r w:rsidR="001261B8">
        <w:t>SWG</w:t>
      </w:r>
      <w:r w:rsidR="00DE1306">
        <w:t>;</w:t>
      </w:r>
      <w:r w:rsidR="00666C3F">
        <w:t xml:space="preserve"> </w:t>
      </w:r>
      <w:r w:rsidR="007E77B3">
        <w:t xml:space="preserve">the </w:t>
      </w:r>
      <w:r w:rsidRPr="001057F3" w:rsidR="00CA372C">
        <w:t xml:space="preserve">Public Advocates Office of the California Public Utilities Commission </w:t>
      </w:r>
      <w:r w:rsidRPr="00CA372C" w:rsidR="00CA372C">
        <w:t>(</w:t>
      </w:r>
      <w:r w:rsidRPr="001057F3" w:rsidR="00CA372C">
        <w:t>Cal</w:t>
      </w:r>
      <w:r w:rsidR="00513B3F">
        <w:t> </w:t>
      </w:r>
      <w:r w:rsidRPr="001057F3" w:rsidR="00CA372C">
        <w:t>Advocates</w:t>
      </w:r>
      <w:r w:rsidRPr="00CA372C" w:rsidR="00CA372C">
        <w:t>)</w:t>
      </w:r>
      <w:r w:rsidR="00DE1306">
        <w:t>;</w:t>
      </w:r>
      <w:r w:rsidR="006A3E74">
        <w:t xml:space="preserve"> Clean Energy</w:t>
      </w:r>
      <w:r w:rsidR="00DE1306">
        <w:t>;</w:t>
      </w:r>
      <w:r w:rsidR="006A3E74">
        <w:t xml:space="preserve"> </w:t>
      </w:r>
      <w:r w:rsidRPr="001057F3" w:rsidR="006A3E74">
        <w:t xml:space="preserve">Coalition of California Utility Employees </w:t>
      </w:r>
      <w:r w:rsidR="006A3E74">
        <w:t>(</w:t>
      </w:r>
      <w:r w:rsidRPr="001057F3" w:rsidR="006A3E74">
        <w:t>CCUE</w:t>
      </w:r>
      <w:r w:rsidR="006A3E74">
        <w:t>)</w:t>
      </w:r>
      <w:r w:rsidR="00DE1306">
        <w:t>;</w:t>
      </w:r>
      <w:r w:rsidR="006A3E74">
        <w:t xml:space="preserve"> </w:t>
      </w:r>
      <w:r w:rsidRPr="001057F3" w:rsidR="006A3E74">
        <w:t>California Environmental Justice Alliance</w:t>
      </w:r>
      <w:r w:rsidRPr="001057F3" w:rsidR="007A2F24">
        <w:t xml:space="preserve"> </w:t>
      </w:r>
      <w:r w:rsidR="007A2F24">
        <w:t>(</w:t>
      </w:r>
      <w:r w:rsidRPr="001057F3" w:rsidR="007A2F24">
        <w:t>CEJA</w:t>
      </w:r>
      <w:r w:rsidR="007A2F24">
        <w:t>)</w:t>
      </w:r>
      <w:r w:rsidR="006A3E74">
        <w:t>,</w:t>
      </w:r>
      <w:r w:rsidRPr="006A3E74" w:rsidR="006A3E74">
        <w:t xml:space="preserve"> </w:t>
      </w:r>
      <w:r w:rsidRPr="001057F3" w:rsidR="006A3E74">
        <w:t>Environmental Defense Fund</w:t>
      </w:r>
      <w:r w:rsidRPr="001057F3" w:rsidR="007A2F24">
        <w:t xml:space="preserve"> </w:t>
      </w:r>
      <w:r w:rsidR="007A2F24">
        <w:t>(</w:t>
      </w:r>
      <w:r w:rsidRPr="001057F3" w:rsidR="007A2F24">
        <w:t>EDF</w:t>
      </w:r>
      <w:r w:rsidR="007A2F24">
        <w:t>)</w:t>
      </w:r>
      <w:r w:rsidRPr="006A3E74" w:rsidR="006A3E74">
        <w:t xml:space="preserve">, </w:t>
      </w:r>
      <w:r w:rsidRPr="001057F3" w:rsidR="006A3E74">
        <w:t>Natural Resources Defense Council</w:t>
      </w:r>
      <w:r w:rsidRPr="001057F3" w:rsidR="007A2F24">
        <w:t xml:space="preserve"> </w:t>
      </w:r>
      <w:r w:rsidR="007A2F24">
        <w:t>(</w:t>
      </w:r>
      <w:r w:rsidRPr="001057F3" w:rsidR="007A2F24">
        <w:t>NRDC</w:t>
      </w:r>
      <w:r w:rsidR="007A2F24">
        <w:t>)</w:t>
      </w:r>
      <w:r w:rsidR="00EC758A">
        <w:t>,</w:t>
      </w:r>
      <w:r w:rsidR="00D93E34">
        <w:t xml:space="preserve"> and</w:t>
      </w:r>
      <w:r w:rsidR="006A3E74">
        <w:t xml:space="preserve"> </w:t>
      </w:r>
      <w:r w:rsidRPr="001057F3" w:rsidR="006A3E74">
        <w:t xml:space="preserve">Sierra Club </w:t>
      </w:r>
      <w:r w:rsidRPr="00753EFB" w:rsidR="00CA0FC1">
        <w:t>(collectively</w:t>
      </w:r>
      <w:r w:rsidR="007673E1">
        <w:t>,</w:t>
      </w:r>
      <w:r w:rsidRPr="00753EFB" w:rsidR="00CA0FC1">
        <w:t xml:space="preserve"> the </w:t>
      </w:r>
      <w:bookmarkStart w:name="_Hlk109384922" w:id="37"/>
      <w:r w:rsidRPr="001057F3" w:rsidR="00CA0FC1">
        <w:t>Joint Parties</w:t>
      </w:r>
      <w:bookmarkEnd w:id="37"/>
      <w:r w:rsidRPr="00753EFB" w:rsidR="00CA0FC1">
        <w:t>)</w:t>
      </w:r>
      <w:r w:rsidR="00170B88">
        <w:t>;</w:t>
      </w:r>
      <w:r w:rsidR="00902E23">
        <w:t xml:space="preserve"> </w:t>
      </w:r>
      <w:r w:rsidRPr="001057F3" w:rsidR="006A3E74">
        <w:t>East Bay Community Energy</w:t>
      </w:r>
      <w:r w:rsidRPr="001057F3" w:rsidR="00876AF7">
        <w:t xml:space="preserve"> </w:t>
      </w:r>
      <w:r w:rsidR="00876AF7">
        <w:t>(</w:t>
      </w:r>
      <w:r w:rsidRPr="001057F3" w:rsidR="00876AF7">
        <w:t>EBCE</w:t>
      </w:r>
      <w:r w:rsidR="00876AF7">
        <w:t>)</w:t>
      </w:r>
      <w:r w:rsidRPr="00753EFB" w:rsidR="006A3E74">
        <w:t xml:space="preserve">, </w:t>
      </w:r>
      <w:r w:rsidRPr="001057F3" w:rsidR="006A3E74">
        <w:t>Marin Clean Energy</w:t>
      </w:r>
      <w:r w:rsidRPr="001057F3" w:rsidR="00876AF7">
        <w:t xml:space="preserve"> </w:t>
      </w:r>
      <w:r w:rsidR="00876AF7">
        <w:t>(</w:t>
      </w:r>
      <w:r w:rsidRPr="001057F3" w:rsidR="00876AF7">
        <w:t>MCE</w:t>
      </w:r>
      <w:r w:rsidR="000F3FD8">
        <w:t>)</w:t>
      </w:r>
      <w:r w:rsidRPr="00753EFB" w:rsidR="006A3E74">
        <w:t xml:space="preserve">, </w:t>
      </w:r>
      <w:r w:rsidRPr="001057F3" w:rsidR="006A3E74">
        <w:t xml:space="preserve">Sonoma Clean Power </w:t>
      </w:r>
      <w:r w:rsidR="000F3FD8">
        <w:t>(</w:t>
      </w:r>
      <w:r w:rsidRPr="001057F3" w:rsidR="000F3FD8">
        <w:t>SCP</w:t>
      </w:r>
      <w:r w:rsidR="000F3FD8">
        <w:t>)</w:t>
      </w:r>
      <w:r w:rsidR="004552B1">
        <w:t>,</w:t>
      </w:r>
      <w:r w:rsidR="000F3FD8">
        <w:t xml:space="preserve"> </w:t>
      </w:r>
      <w:r w:rsidRPr="00753EFB" w:rsidR="006A3E74">
        <w:t xml:space="preserve">and </w:t>
      </w:r>
      <w:r w:rsidRPr="001057F3" w:rsidR="006A3E74">
        <w:t xml:space="preserve">Peninsula Clean Energy </w:t>
      </w:r>
      <w:r w:rsidRPr="00753EFB" w:rsidR="006A3E74">
        <w:t>(</w:t>
      </w:r>
      <w:r w:rsidRPr="001057F3" w:rsidR="000F3FD8">
        <w:t>PCE</w:t>
      </w:r>
      <w:r w:rsidR="00C91F83">
        <w:t>) (</w:t>
      </w:r>
      <w:r w:rsidRPr="00753EFB" w:rsidR="006A3E74">
        <w:t>collectively</w:t>
      </w:r>
      <w:r w:rsidR="00C91F83">
        <w:t>,</w:t>
      </w:r>
      <w:r w:rsidRPr="00753EFB" w:rsidR="006A3E74">
        <w:t xml:space="preserve"> the </w:t>
      </w:r>
      <w:bookmarkStart w:name="_Hlk109384928" w:id="38"/>
      <w:r w:rsidRPr="001057F3" w:rsidR="006A3E74">
        <w:t>Joint CCAs</w:t>
      </w:r>
      <w:bookmarkEnd w:id="38"/>
      <w:r w:rsidRPr="00753EFB" w:rsidR="006A3E74">
        <w:t>)</w:t>
      </w:r>
      <w:r w:rsidR="00170B88">
        <w:t>;</w:t>
      </w:r>
      <w:r w:rsidRPr="00753EFB" w:rsidR="006A3E74">
        <w:t xml:space="preserve"> </w:t>
      </w:r>
      <w:r w:rsidRPr="001057F3" w:rsidR="007B66A7">
        <w:t>T</w:t>
      </w:r>
      <w:r w:rsidRPr="001057F3" w:rsidR="00902E23">
        <w:t xml:space="preserve">he Utility Reform Network </w:t>
      </w:r>
      <w:r w:rsidR="00902E23">
        <w:t>(</w:t>
      </w:r>
      <w:r w:rsidRPr="001057F3" w:rsidR="00902E23">
        <w:t>TURN</w:t>
      </w:r>
      <w:r w:rsidR="00902E23">
        <w:t>)</w:t>
      </w:r>
      <w:r w:rsidR="00170B88">
        <w:t>;</w:t>
      </w:r>
      <w:r w:rsidRPr="00753EFB" w:rsidR="00902E23">
        <w:t xml:space="preserve"> </w:t>
      </w:r>
      <w:r w:rsidRPr="00753EFB" w:rsidR="00753EFB">
        <w:t xml:space="preserve">and </w:t>
      </w:r>
      <w:r w:rsidRPr="001057F3" w:rsidR="00753EFB">
        <w:t xml:space="preserve">Small Business Utility Advocates </w:t>
      </w:r>
      <w:r w:rsidRPr="00753EFB" w:rsidR="00753EFB">
        <w:t>(</w:t>
      </w:r>
      <w:r w:rsidRPr="001057F3" w:rsidR="00753EFB">
        <w:t>SBUA</w:t>
      </w:r>
      <w:r w:rsidRPr="00753EFB">
        <w:t>)</w:t>
      </w:r>
      <w:r w:rsidR="00170B88">
        <w:t>.</w:t>
      </w:r>
      <w:r w:rsidR="006D3D46">
        <w:rPr>
          <w:rStyle w:val="FootnoteReference"/>
        </w:rPr>
        <w:footnoteReference w:id="13"/>
      </w:r>
      <w:r w:rsidRPr="00D37BC8" w:rsidR="00D37BC8">
        <w:t xml:space="preserve"> </w:t>
      </w:r>
      <w:r w:rsidRPr="008C1BF0" w:rsidR="00D37BC8">
        <w:t xml:space="preserve">No comments or responses </w:t>
      </w:r>
      <w:r w:rsidR="00D37BC8">
        <w:t>from</w:t>
      </w:r>
      <w:r w:rsidRPr="008C1BF0" w:rsidR="00D37BC8">
        <w:t xml:space="preserve"> </w:t>
      </w:r>
      <w:r w:rsidR="00D37BC8">
        <w:t>the state</w:t>
      </w:r>
      <w:r w:rsidRPr="008C1BF0" w:rsidR="00D37BC8">
        <w:t xml:space="preserve"> agencies and </w:t>
      </w:r>
      <w:r w:rsidR="006B38DE">
        <w:t xml:space="preserve">state </w:t>
      </w:r>
      <w:r w:rsidRPr="008C1BF0" w:rsidR="00D37BC8">
        <w:t>departments were received.</w:t>
      </w:r>
    </w:p>
    <w:p w:rsidR="00495466" w:rsidP="00DE16FC" w:rsidRDefault="00495466" w14:paraId="077EBEC4" w14:textId="537C14D2">
      <w:pPr>
        <w:pStyle w:val="Standard"/>
      </w:pPr>
      <w:r>
        <w:lastRenderedPageBreak/>
        <w:t>On January</w:t>
      </w:r>
      <w:r w:rsidR="00513B3F">
        <w:t> </w:t>
      </w:r>
      <w:r>
        <w:t>28,</w:t>
      </w:r>
      <w:r w:rsidR="00513B3F">
        <w:t> </w:t>
      </w:r>
      <w:r>
        <w:t xml:space="preserve">2022, </w:t>
      </w:r>
      <w:r w:rsidR="0006695D">
        <w:t xml:space="preserve">the assigned </w:t>
      </w:r>
      <w:r w:rsidRPr="00337174" w:rsidR="00E269A3">
        <w:t>A</w:t>
      </w:r>
      <w:r w:rsidRPr="001057F3" w:rsidR="004A1137">
        <w:t xml:space="preserve">dministrative </w:t>
      </w:r>
      <w:r w:rsidRPr="00337174" w:rsidR="00E269A3">
        <w:t>L</w:t>
      </w:r>
      <w:r w:rsidRPr="001057F3" w:rsidR="004A1137">
        <w:t xml:space="preserve">aw </w:t>
      </w:r>
      <w:r w:rsidRPr="00337174" w:rsidR="00E269A3">
        <w:t>J</w:t>
      </w:r>
      <w:r w:rsidRPr="001057F3" w:rsidR="004A1137">
        <w:t xml:space="preserve">udges </w:t>
      </w:r>
      <w:r w:rsidR="0006695D">
        <w:t>(</w:t>
      </w:r>
      <w:r w:rsidRPr="001057F3" w:rsidR="0006695D">
        <w:t>ALJ</w:t>
      </w:r>
      <w:r w:rsidRPr="001057F3">
        <w:t>s</w:t>
      </w:r>
      <w:r w:rsidR="0006695D">
        <w:t xml:space="preserve">) </w:t>
      </w:r>
      <w:r w:rsidRPr="00D30F20" w:rsidR="0006695D">
        <w:t xml:space="preserve">issued a ruling </w:t>
      </w:r>
      <w:r w:rsidRPr="00D30F20">
        <w:t xml:space="preserve">seeking clarifications and additional information to assist the Commission in resolving the </w:t>
      </w:r>
      <w:r w:rsidR="009278DF">
        <w:t>Phase</w:t>
      </w:r>
      <w:r w:rsidR="00513B3F">
        <w:t> </w:t>
      </w:r>
      <w:r w:rsidR="009278DF">
        <w:t>I</w:t>
      </w:r>
      <w:r w:rsidRPr="00D30F20">
        <w:t xml:space="preserve">II issues. </w:t>
      </w:r>
      <w:r w:rsidR="001B19D6">
        <w:t>On February</w:t>
      </w:r>
      <w:r w:rsidR="00513B3F">
        <w:t> </w:t>
      </w:r>
      <w:r w:rsidR="001B19D6">
        <w:t>21</w:t>
      </w:r>
      <w:r w:rsidR="0049185B">
        <w:t>,</w:t>
      </w:r>
      <w:r w:rsidR="00513B3F">
        <w:t> </w:t>
      </w:r>
      <w:r w:rsidR="0049185B">
        <w:t xml:space="preserve">2022, comments </w:t>
      </w:r>
      <w:r w:rsidRPr="00D30F20">
        <w:t xml:space="preserve">were </w:t>
      </w:r>
      <w:r w:rsidR="008277B2">
        <w:t>filed by</w:t>
      </w:r>
      <w:r w:rsidRPr="00D30F20">
        <w:t xml:space="preserve"> </w:t>
      </w:r>
      <w:r w:rsidR="00CA372C">
        <w:t>Cal</w:t>
      </w:r>
      <w:r w:rsidR="00513B3F">
        <w:t> </w:t>
      </w:r>
      <w:r w:rsidR="00CA372C">
        <w:t>Advoc</w:t>
      </w:r>
      <w:r w:rsidRPr="00D30F20" w:rsidR="00004560">
        <w:t xml:space="preserve">ates, Clean Energy, </w:t>
      </w:r>
      <w:r w:rsidR="00CE3FA7">
        <w:t>SBUA</w:t>
      </w:r>
      <w:r w:rsidRPr="00D30F20" w:rsidR="00004560">
        <w:t xml:space="preserve">, </w:t>
      </w:r>
      <w:r w:rsidR="00A37AED">
        <w:t>the Joint Parties,</w:t>
      </w:r>
      <w:r w:rsidRPr="00D30F20" w:rsidR="00A37AED">
        <w:t xml:space="preserve"> </w:t>
      </w:r>
      <w:r w:rsidRPr="00D30F20" w:rsidR="00004560">
        <w:t>PG&amp;E, SWG, SDG&amp;E and SoCalGas</w:t>
      </w:r>
      <w:r w:rsidR="0049185B">
        <w:t>.</w:t>
      </w:r>
    </w:p>
    <w:p w:rsidR="00122AC2" w:rsidP="00F4252E" w:rsidRDefault="00004560" w14:paraId="13B9E658" w14:textId="5A379394">
      <w:pPr>
        <w:pStyle w:val="Standard"/>
      </w:pPr>
      <w:r>
        <w:t>On March</w:t>
      </w:r>
      <w:r w:rsidR="00513B3F">
        <w:t> </w:t>
      </w:r>
      <w:r>
        <w:t>22,</w:t>
      </w:r>
      <w:r w:rsidR="00513B3F">
        <w:t> </w:t>
      </w:r>
      <w:r>
        <w:t xml:space="preserve">2022, the assigned ALJs issued a ruling </w:t>
      </w:r>
      <w:r w:rsidR="00D30F20">
        <w:t>revising the remaining proceeding schedule and addressing other procedural matters. Specifically, the r</w:t>
      </w:r>
      <w:r w:rsidRPr="00D30F20" w:rsidR="00D30F20">
        <w:t>uling inform</w:t>
      </w:r>
      <w:r w:rsidR="00D30F20">
        <w:t>ed</w:t>
      </w:r>
      <w:r w:rsidRPr="00D30F20" w:rsidR="00D30F20">
        <w:t xml:space="preserve"> parties of a March</w:t>
      </w:r>
      <w:r w:rsidR="00513B3F">
        <w:t> </w:t>
      </w:r>
      <w:r w:rsidRPr="00D30F20" w:rsidR="00D30F20">
        <w:t>14,</w:t>
      </w:r>
      <w:r w:rsidR="00513B3F">
        <w:t> </w:t>
      </w:r>
      <w:r w:rsidRPr="00D30F20" w:rsidR="00D30F20">
        <w:t>2022</w:t>
      </w:r>
      <w:r w:rsidR="0007235B">
        <w:t>,</w:t>
      </w:r>
      <w:r w:rsidRPr="00D30F20" w:rsidR="00D30F20">
        <w:t xml:space="preserve"> </w:t>
      </w:r>
      <w:r w:rsidRPr="001057F3" w:rsidR="00D30F20">
        <w:t xml:space="preserve">Energy Division data request </w:t>
      </w:r>
      <w:r w:rsidR="0053521B">
        <w:t>(</w:t>
      </w:r>
      <w:r w:rsidRPr="001057F3" w:rsidR="0053521B">
        <w:t>ED</w:t>
      </w:r>
      <w:r w:rsidRPr="001057F3" w:rsidR="00154071">
        <w:noBreakHyphen/>
      </w:r>
      <w:r w:rsidRPr="001057F3" w:rsidR="0053521B">
        <w:t>DR</w:t>
      </w:r>
      <w:r w:rsidR="0053521B">
        <w:t>)</w:t>
      </w:r>
      <w:r w:rsidRPr="00D30F20" w:rsidR="0053521B">
        <w:t xml:space="preserve"> </w:t>
      </w:r>
      <w:r w:rsidRPr="00D30F20" w:rsidR="00D30F20">
        <w:t xml:space="preserve">sent to </w:t>
      </w:r>
      <w:r w:rsidR="00D30F20">
        <w:t xml:space="preserve">PG&amp;E, SoCalGas, SDG&amp;E </w:t>
      </w:r>
      <w:r w:rsidRPr="00D30F20" w:rsidR="00D30F20">
        <w:t>and S</w:t>
      </w:r>
      <w:r w:rsidR="00D30F20">
        <w:t>WG</w:t>
      </w:r>
      <w:r w:rsidR="007E30A5">
        <w:t>;</w:t>
      </w:r>
      <w:r w:rsidR="00D30F20">
        <w:t xml:space="preserve"> </w:t>
      </w:r>
      <w:r w:rsidRPr="00D30F20" w:rsidR="00D30F20">
        <w:t>direct</w:t>
      </w:r>
      <w:r w:rsidR="00D30F20">
        <w:t>ed</w:t>
      </w:r>
      <w:r w:rsidRPr="00D30F20" w:rsidR="00D30F20">
        <w:t xml:space="preserve"> the gas utilities to verify and serve their responses to the </w:t>
      </w:r>
      <w:r w:rsidRPr="0053521B" w:rsidR="0053521B">
        <w:t>ED</w:t>
      </w:r>
      <w:r w:rsidR="00154071">
        <w:noBreakHyphen/>
      </w:r>
      <w:r w:rsidRPr="0053521B" w:rsidR="0053521B">
        <w:t>DR</w:t>
      </w:r>
      <w:r w:rsidRPr="00D30F20" w:rsidR="0053521B">
        <w:t xml:space="preserve"> </w:t>
      </w:r>
      <w:r w:rsidRPr="00D30F20" w:rsidR="00D30F20">
        <w:t>on all parties</w:t>
      </w:r>
      <w:r w:rsidR="0049185B">
        <w:t>;</w:t>
      </w:r>
      <w:r w:rsidR="00D30F20">
        <w:t xml:space="preserve"> provided</w:t>
      </w:r>
      <w:r w:rsidRPr="00D30F20" w:rsidR="00D30F20">
        <w:t xml:space="preserve"> an opportunity for parties to comment on the gas utilities’ responses to the </w:t>
      </w:r>
      <w:r w:rsidRPr="0053521B" w:rsidR="0053521B">
        <w:t>ED</w:t>
      </w:r>
      <w:r w:rsidR="00154071">
        <w:noBreakHyphen/>
      </w:r>
      <w:r w:rsidRPr="0053521B" w:rsidR="0053521B">
        <w:t>DR</w:t>
      </w:r>
      <w:r w:rsidR="007E30A5">
        <w:t>;</w:t>
      </w:r>
      <w:r w:rsidR="00D30F20">
        <w:t xml:space="preserve"> </w:t>
      </w:r>
      <w:r w:rsidRPr="00D30F20" w:rsidR="00D30F20">
        <w:t>and update</w:t>
      </w:r>
      <w:r w:rsidR="00D30F20">
        <w:t>d</w:t>
      </w:r>
      <w:r w:rsidRPr="00D30F20" w:rsidR="00D30F20">
        <w:t xml:space="preserve"> the schedule for the remainder of </w:t>
      </w:r>
      <w:r w:rsidR="00117B4F">
        <w:t>the</w:t>
      </w:r>
      <w:r w:rsidRPr="00D30F20" w:rsidR="00D30F20">
        <w:t xml:space="preserve"> proceeding.</w:t>
      </w:r>
      <w:r w:rsidRPr="0053521B" w:rsidR="0053521B">
        <w:rPr>
          <w:rFonts w:cstheme="minorBidi"/>
          <w:szCs w:val="22"/>
        </w:rPr>
        <w:t xml:space="preserve"> </w:t>
      </w:r>
      <w:r w:rsidRPr="0053521B" w:rsidR="0053521B">
        <w:t xml:space="preserve">On April 4, 2022, the gas utilities </w:t>
      </w:r>
      <w:r w:rsidR="00422254">
        <w:t>verified and served</w:t>
      </w:r>
      <w:r w:rsidRPr="0053521B" w:rsidR="0053521B">
        <w:t xml:space="preserve"> their responses to </w:t>
      </w:r>
      <w:r w:rsidR="0053521B">
        <w:t xml:space="preserve">the </w:t>
      </w:r>
      <w:r w:rsidRPr="0053521B" w:rsidR="0053521B">
        <w:t>ED</w:t>
      </w:r>
      <w:r w:rsidR="00154071">
        <w:noBreakHyphen/>
      </w:r>
      <w:r w:rsidRPr="0053521B" w:rsidR="0053521B">
        <w:t xml:space="preserve">DR. On April 11, 2022, Clean Energy filed comments </w:t>
      </w:r>
      <w:r w:rsidR="0039078D">
        <w:t xml:space="preserve">on </w:t>
      </w:r>
      <w:r w:rsidRPr="0053521B" w:rsidR="0053521B">
        <w:t>the gas utilities’ responses to the ED</w:t>
      </w:r>
      <w:r w:rsidR="00154071">
        <w:noBreakHyphen/>
      </w:r>
      <w:r w:rsidRPr="0053521B" w:rsidR="0053521B">
        <w:t>DR</w:t>
      </w:r>
      <w:r w:rsidR="000536B1">
        <w:t>. On</w:t>
      </w:r>
      <w:r w:rsidR="0053521B">
        <w:t xml:space="preserve"> </w:t>
      </w:r>
      <w:r w:rsidRPr="001057F3" w:rsidR="0053521B">
        <w:t>April</w:t>
      </w:r>
      <w:r w:rsidR="00513B3F">
        <w:t> </w:t>
      </w:r>
      <w:r w:rsidRPr="001057F3" w:rsidR="0053521B">
        <w:t>18,</w:t>
      </w:r>
      <w:r w:rsidR="00513B3F">
        <w:t> </w:t>
      </w:r>
      <w:r w:rsidRPr="001057F3" w:rsidR="0053521B">
        <w:t xml:space="preserve">2022, the </w:t>
      </w:r>
      <w:r w:rsidRPr="001057F3" w:rsidR="000536B1">
        <w:t xml:space="preserve">assigned </w:t>
      </w:r>
      <w:r w:rsidRPr="001057F3" w:rsidR="0053521B">
        <w:t xml:space="preserve">ALJs issued a ruling </w:t>
      </w:r>
      <w:r w:rsidRPr="0053521B" w:rsidR="0053521B">
        <w:t>receiv</w:t>
      </w:r>
      <w:r w:rsidR="0053521B">
        <w:t>ing</w:t>
      </w:r>
      <w:r w:rsidRPr="0053521B" w:rsidR="0053521B">
        <w:t xml:space="preserve"> into the evidentiary record the gas utilities’ responses to the ED</w:t>
      </w:r>
      <w:r w:rsidR="00154071">
        <w:noBreakHyphen/>
      </w:r>
      <w:r w:rsidRPr="0053521B" w:rsidR="0053521B">
        <w:t>DR</w:t>
      </w:r>
      <w:r w:rsidR="00F641DF">
        <w:t xml:space="preserve"> (</w:t>
      </w:r>
      <w:r w:rsidRPr="001057F3" w:rsidR="00F641DF">
        <w:t xml:space="preserve">April 18, 2022 </w:t>
      </w:r>
      <w:r w:rsidRPr="001057F3" w:rsidR="007F5021">
        <w:t>ALJ </w:t>
      </w:r>
      <w:r w:rsidRPr="001057F3" w:rsidR="00F641DF">
        <w:t>Ruling</w:t>
      </w:r>
      <w:r w:rsidR="00F641DF">
        <w:t>)</w:t>
      </w:r>
      <w:r w:rsidRPr="0053521B" w:rsidR="0053521B">
        <w:t>.</w:t>
      </w:r>
      <w:r w:rsidR="00122AC2">
        <w:rPr>
          <w:rFonts w:cs="TimesNewRomanPSMT"/>
        </w:rPr>
        <w:t xml:space="preserve"> </w:t>
      </w:r>
    </w:p>
    <w:p w:rsidR="00645B9C" w:rsidP="00F4252E" w:rsidRDefault="00645B9C" w14:paraId="1DEAF865" w14:textId="1FFD286A">
      <w:pPr>
        <w:pStyle w:val="Standard"/>
      </w:pPr>
      <w:r>
        <w:t>No</w:t>
      </w:r>
      <w:r w:rsidR="00660394">
        <w:t xml:space="preserve"> motion was made for </w:t>
      </w:r>
      <w:r w:rsidR="00701B6A">
        <w:t xml:space="preserve">evidentiary </w:t>
      </w:r>
      <w:r w:rsidR="00660394">
        <w:t>hearing</w:t>
      </w:r>
      <w:r w:rsidR="00262A29">
        <w:t xml:space="preserve">. </w:t>
      </w:r>
      <w:r w:rsidR="00170EF9">
        <w:t xml:space="preserve">No </w:t>
      </w:r>
      <w:r w:rsidR="00660394">
        <w:t>evidentiary hearing was held</w:t>
      </w:r>
      <w:r w:rsidR="00C76850">
        <w:t xml:space="preserve">. </w:t>
      </w:r>
    </w:p>
    <w:p w:rsidRPr="004C06FF" w:rsidR="008959A4" w:rsidP="004C06FF" w:rsidRDefault="008959A4" w14:paraId="0E5BE1BA" w14:textId="35BD1B6F">
      <w:pPr>
        <w:pStyle w:val="Standard"/>
      </w:pPr>
      <w:r w:rsidRPr="000B4FDE">
        <w:rPr>
          <w:rFonts w:cs="TimesNewRomanPSMT"/>
        </w:rPr>
        <w:t xml:space="preserve">On </w:t>
      </w:r>
      <w:r w:rsidRPr="000B4FDE" w:rsidR="00122AC2">
        <w:rPr>
          <w:rFonts w:cs="TimesNewRomanPSMT"/>
        </w:rPr>
        <w:t>May</w:t>
      </w:r>
      <w:r w:rsidR="00513B3F">
        <w:rPr>
          <w:rFonts w:cs="TimesNewRomanPSMT"/>
        </w:rPr>
        <w:t> </w:t>
      </w:r>
      <w:r w:rsidRPr="000B4FDE" w:rsidR="00122AC2">
        <w:rPr>
          <w:rFonts w:cs="TimesNewRomanPSMT"/>
        </w:rPr>
        <w:t>4</w:t>
      </w:r>
      <w:r w:rsidRPr="000B4FDE">
        <w:rPr>
          <w:rFonts w:cs="TimesNewRomanPSMT"/>
        </w:rPr>
        <w:t>,</w:t>
      </w:r>
      <w:r w:rsidR="00513B3F">
        <w:rPr>
          <w:rFonts w:cs="TimesNewRomanPSMT"/>
        </w:rPr>
        <w:t> </w:t>
      </w:r>
      <w:r w:rsidRPr="000B4FDE">
        <w:rPr>
          <w:rFonts w:cs="TimesNewRomanPSMT"/>
        </w:rPr>
        <w:t>202</w:t>
      </w:r>
      <w:r w:rsidRPr="000B4FDE" w:rsidR="00122AC2">
        <w:rPr>
          <w:rFonts w:cs="TimesNewRomanPSMT"/>
        </w:rPr>
        <w:t>2</w:t>
      </w:r>
      <w:r w:rsidRPr="000B4FDE">
        <w:rPr>
          <w:rFonts w:cs="TimesNewRomanPSMT"/>
        </w:rPr>
        <w:t xml:space="preserve">, opening briefs were filed and served by </w:t>
      </w:r>
      <w:r w:rsidRPr="000B4FDE" w:rsidR="002060A4">
        <w:rPr>
          <w:rFonts w:cs="TimesNewRomanPSMT"/>
        </w:rPr>
        <w:t xml:space="preserve">PG&amp;E, SoCalGas, SDG&amp;E, </w:t>
      </w:r>
      <w:r w:rsidR="00CA372C">
        <w:rPr>
          <w:rFonts w:cs="TimesNewRomanPSMT"/>
        </w:rPr>
        <w:t>Cal</w:t>
      </w:r>
      <w:r w:rsidR="00513B3F">
        <w:rPr>
          <w:rFonts w:cs="TimesNewRomanPSMT"/>
        </w:rPr>
        <w:t> </w:t>
      </w:r>
      <w:r w:rsidR="00CA372C">
        <w:rPr>
          <w:rFonts w:cs="TimesNewRomanPSMT"/>
        </w:rPr>
        <w:t>Advoc</w:t>
      </w:r>
      <w:r w:rsidRPr="000B4FDE" w:rsidR="002060A4">
        <w:rPr>
          <w:rFonts w:cs="TimesNewRomanPSMT"/>
        </w:rPr>
        <w:t xml:space="preserve">ates, Clean Energy, </w:t>
      </w:r>
      <w:r w:rsidR="00117B4F">
        <w:rPr>
          <w:rFonts w:cs="TimesNewRomanPSMT"/>
        </w:rPr>
        <w:t xml:space="preserve">the </w:t>
      </w:r>
      <w:r w:rsidRPr="000B4FDE" w:rsidR="002060A4">
        <w:rPr>
          <w:rFonts w:cs="TimesNewRomanPSMT"/>
        </w:rPr>
        <w:t>Joint Parties, TURN</w:t>
      </w:r>
      <w:r w:rsidRPr="000B4FDE" w:rsidR="000A7B0C">
        <w:rPr>
          <w:rFonts w:cs="TimesNewRomanPSMT"/>
        </w:rPr>
        <w:t xml:space="preserve">, and </w:t>
      </w:r>
      <w:r w:rsidRPr="000B4FDE" w:rsidR="000A7B0C">
        <w:t>SBUA</w:t>
      </w:r>
      <w:r w:rsidR="007C29AD">
        <w:t>. On May</w:t>
      </w:r>
      <w:r w:rsidR="00513B3F">
        <w:t> </w:t>
      </w:r>
      <w:r w:rsidR="007C29AD">
        <w:t>18,</w:t>
      </w:r>
      <w:r w:rsidR="00513B3F">
        <w:t> </w:t>
      </w:r>
      <w:r w:rsidR="007C29AD">
        <w:t xml:space="preserve">2022, </w:t>
      </w:r>
      <w:r w:rsidRPr="000B4FDE">
        <w:rPr>
          <w:rFonts w:cs="TimesNewRomanPSMT"/>
        </w:rPr>
        <w:t xml:space="preserve">reply briefs were filed and served by </w:t>
      </w:r>
      <w:r w:rsidRPr="000B4FDE" w:rsidR="00691700">
        <w:rPr>
          <w:rFonts w:cs="TimesNewRomanPSMT"/>
        </w:rPr>
        <w:t xml:space="preserve">PG&amp;E, SoCalGas, SDG&amp;E, Clean Energy, </w:t>
      </w:r>
      <w:r w:rsidR="00C82345">
        <w:rPr>
          <w:rFonts w:cs="TimesNewRomanPSMT"/>
        </w:rPr>
        <w:t xml:space="preserve">the </w:t>
      </w:r>
      <w:r w:rsidRPr="000B4FDE" w:rsidR="00691700">
        <w:rPr>
          <w:rFonts w:cs="TimesNewRomanPSMT"/>
        </w:rPr>
        <w:t xml:space="preserve">Joint Parties, TURN, and </w:t>
      </w:r>
      <w:r w:rsidRPr="000B4FDE" w:rsidR="00691700">
        <w:t>SBUA</w:t>
      </w:r>
      <w:r w:rsidR="00B82118">
        <w:t>.</w:t>
      </w:r>
      <w:r w:rsidRPr="004C06FF" w:rsidR="004C06FF">
        <w:t xml:space="preserve"> </w:t>
      </w:r>
      <w:r w:rsidR="004C06FF">
        <w:t xml:space="preserve">The record is the Staff </w:t>
      </w:r>
      <w:r w:rsidR="00C82345">
        <w:t>Proposal</w:t>
      </w:r>
      <w:r w:rsidR="004C06FF">
        <w:t>; comments and reply comments; the gas IOUs’ responses to the ED</w:t>
      </w:r>
      <w:r w:rsidR="00513B3F">
        <w:noBreakHyphen/>
      </w:r>
      <w:r w:rsidR="004C06FF">
        <w:t>DR</w:t>
      </w:r>
      <w:r w:rsidR="00464318">
        <w:t>;</w:t>
      </w:r>
      <w:r w:rsidR="004C06FF">
        <w:t xml:space="preserve"> and parties’ briefs. </w:t>
      </w:r>
      <w:r w:rsidR="009278DF">
        <w:t>Phase</w:t>
      </w:r>
      <w:r w:rsidR="00513B3F">
        <w:t> </w:t>
      </w:r>
      <w:r w:rsidR="009278DF">
        <w:t>I</w:t>
      </w:r>
      <w:r w:rsidR="00BF6DE5">
        <w:t xml:space="preserve">II was </w:t>
      </w:r>
      <w:r w:rsidR="00DC2919">
        <w:t xml:space="preserve">submitted for decision </w:t>
      </w:r>
      <w:r w:rsidR="00BF6DE5">
        <w:t>on May</w:t>
      </w:r>
      <w:r w:rsidR="00513B3F">
        <w:t> </w:t>
      </w:r>
      <w:r w:rsidR="00BF6DE5">
        <w:t>18,</w:t>
      </w:r>
      <w:r w:rsidR="00513B3F">
        <w:t> </w:t>
      </w:r>
      <w:r w:rsidR="00BF6DE5">
        <w:t>2022</w:t>
      </w:r>
      <w:r w:rsidR="00160E2B">
        <w:t xml:space="preserve"> (</w:t>
      </w:r>
      <w:r w:rsidR="00BF6DE5">
        <w:t xml:space="preserve">upon </w:t>
      </w:r>
      <w:r w:rsidR="00DC2919">
        <w:t>receipt of reply briefs</w:t>
      </w:r>
      <w:r w:rsidR="00160E2B">
        <w:t>)</w:t>
      </w:r>
      <w:r w:rsidR="00BF6DE5">
        <w:t xml:space="preserve">. </w:t>
      </w:r>
    </w:p>
    <w:p w:rsidRPr="00A67B13" w:rsidR="008959A4" w:rsidP="007C2EF4" w:rsidRDefault="008959A4" w14:paraId="75EF54FD" w14:textId="43F80D78">
      <w:pPr>
        <w:pStyle w:val="Heading1"/>
      </w:pPr>
      <w:bookmarkStart w:name="_Toc109376101" w:id="39"/>
      <w:bookmarkStart w:name="_Toc109141133" w:id="40"/>
      <w:bookmarkStart w:name="_Toc110598547" w:id="41"/>
      <w:bookmarkStart w:name="_Toc45616419" w:id="42"/>
      <w:bookmarkEnd w:id="20"/>
      <w:r w:rsidRPr="00A67B13">
        <w:lastRenderedPageBreak/>
        <w:t xml:space="preserve">Issues </w:t>
      </w:r>
      <w:r w:rsidR="00EB4026">
        <w:t>Before the Commission</w:t>
      </w:r>
      <w:bookmarkEnd w:id="39"/>
      <w:bookmarkEnd w:id="40"/>
      <w:bookmarkEnd w:id="41"/>
      <w:r w:rsidRPr="00A67B13">
        <w:t xml:space="preserve"> </w:t>
      </w:r>
      <w:bookmarkEnd w:id="42"/>
    </w:p>
    <w:p w:rsidRPr="009119D6" w:rsidR="008959A4" w:rsidP="00DE16FC" w:rsidRDefault="008959A4" w14:paraId="799C657E" w14:textId="4E7837DB">
      <w:pPr>
        <w:pStyle w:val="Standard"/>
      </w:pPr>
      <w:r w:rsidRPr="00B26D2F">
        <w:t xml:space="preserve">The </w:t>
      </w:r>
      <w:r w:rsidR="009278DF">
        <w:t>Phase</w:t>
      </w:r>
      <w:r w:rsidR="00513B3F">
        <w:t> </w:t>
      </w:r>
      <w:r w:rsidR="009278DF">
        <w:t>I</w:t>
      </w:r>
      <w:r w:rsidR="00286BE9">
        <w:t xml:space="preserve">II </w:t>
      </w:r>
      <w:r w:rsidRPr="00B26D2F">
        <w:t xml:space="preserve">Scoping Memo identified </w:t>
      </w:r>
      <w:r>
        <w:t>the following</w:t>
      </w:r>
      <w:r w:rsidRPr="00B26D2F">
        <w:t xml:space="preserve"> issues</w:t>
      </w:r>
      <w:r>
        <w:t xml:space="preserve"> </w:t>
      </w:r>
      <w:r w:rsidRPr="009119D6">
        <w:t>to be resolved:</w:t>
      </w:r>
      <w:r>
        <w:rPr>
          <w:rStyle w:val="FootnoteReference"/>
        </w:rPr>
        <w:footnoteReference w:id="14"/>
      </w:r>
    </w:p>
    <w:p w:rsidRPr="008F1D96" w:rsidR="00F73D8D" w:rsidRDefault="00F73D8D" w14:paraId="5A8600A4" w14:textId="4CFA5DA9">
      <w:pPr>
        <w:pStyle w:val="BlockQuoteH025"/>
        <w:numPr>
          <w:ilvl w:val="0"/>
          <w:numId w:val="8"/>
        </w:numPr>
        <w:ind w:left="1080"/>
      </w:pPr>
      <w:r w:rsidRPr="008F1D96">
        <w:t xml:space="preserve">Whether the Commission should modify or eliminate </w:t>
      </w:r>
      <w:r w:rsidR="00404833">
        <w:t xml:space="preserve">gas line extension </w:t>
      </w:r>
      <w:r w:rsidRPr="008F1D96">
        <w:t>allowances for some or all customer classes (residential and non</w:t>
      </w:r>
      <w:r w:rsidR="00154071">
        <w:noBreakHyphen/>
      </w:r>
      <w:r w:rsidRPr="008F1D96">
        <w:t xml:space="preserve">residential); </w:t>
      </w:r>
    </w:p>
    <w:p w:rsidRPr="008F1D96" w:rsidR="00F73D8D" w:rsidRDefault="00F73D8D" w14:paraId="1137FA68" w14:textId="4E149F80">
      <w:pPr>
        <w:pStyle w:val="BlockQuoteH025"/>
        <w:numPr>
          <w:ilvl w:val="0"/>
          <w:numId w:val="8"/>
        </w:numPr>
        <w:ind w:left="1080"/>
      </w:pPr>
      <w:r w:rsidRPr="008F1D96">
        <w:t xml:space="preserve">Whether the Commission should modify or eliminate </w:t>
      </w:r>
      <w:r w:rsidR="00D61AEC">
        <w:t xml:space="preserve">gas line extension </w:t>
      </w:r>
      <w:r w:rsidRPr="008F1D96">
        <w:t>refunds for some or all customer classes (residential and non</w:t>
      </w:r>
      <w:r w:rsidR="00154071">
        <w:noBreakHyphen/>
      </w:r>
      <w:r w:rsidRPr="008F1D96">
        <w:t xml:space="preserve">residential); and </w:t>
      </w:r>
    </w:p>
    <w:p w:rsidRPr="008F1D96" w:rsidR="00F73D8D" w:rsidRDefault="00F73D8D" w14:paraId="084745F8" w14:textId="61B9C0AB">
      <w:pPr>
        <w:pStyle w:val="BlockQuoteH025"/>
        <w:numPr>
          <w:ilvl w:val="0"/>
          <w:numId w:val="8"/>
        </w:numPr>
        <w:ind w:left="1080"/>
      </w:pPr>
      <w:r w:rsidRPr="008F1D96">
        <w:t xml:space="preserve">Whether the Commission should modify or eliminate </w:t>
      </w:r>
      <w:r w:rsidR="00D61AEC">
        <w:t xml:space="preserve">gas line extension </w:t>
      </w:r>
      <w:r w:rsidRPr="008F1D96">
        <w:t>discounts for some or all customer classes (residential and non</w:t>
      </w:r>
      <w:r w:rsidR="00154071">
        <w:noBreakHyphen/>
      </w:r>
      <w:r w:rsidRPr="008F1D96">
        <w:t>residential).</w:t>
      </w:r>
    </w:p>
    <w:p w:rsidR="008959A4" w:rsidP="00184C64" w:rsidRDefault="008959A4" w14:paraId="726517EE" w14:textId="556AD1F8">
      <w:pPr>
        <w:pStyle w:val="Standard"/>
      </w:pPr>
      <w:r w:rsidRPr="00B26D2F">
        <w:t xml:space="preserve">This decision addresses all the issues </w:t>
      </w:r>
      <w:r w:rsidR="00BD0D0F">
        <w:t>identified</w:t>
      </w:r>
      <w:r w:rsidRPr="00B26D2F" w:rsidR="00BD0D0F">
        <w:t xml:space="preserve"> </w:t>
      </w:r>
      <w:r w:rsidRPr="00B26D2F">
        <w:t xml:space="preserve">in the </w:t>
      </w:r>
      <w:r w:rsidR="009278DF">
        <w:t>Phase</w:t>
      </w:r>
      <w:r w:rsidR="00513B3F">
        <w:t> </w:t>
      </w:r>
      <w:r w:rsidR="009278DF">
        <w:t>I</w:t>
      </w:r>
      <w:r w:rsidR="00C40E4A">
        <w:t xml:space="preserve">II </w:t>
      </w:r>
      <w:r w:rsidR="00F73D8D">
        <w:t>S</w:t>
      </w:r>
      <w:r w:rsidRPr="00B26D2F">
        <w:t xml:space="preserve">coping </w:t>
      </w:r>
      <w:r w:rsidR="00F73D8D">
        <w:t>M</w:t>
      </w:r>
      <w:r>
        <w:t>emo</w:t>
      </w:r>
      <w:r w:rsidR="00F73D8D">
        <w:t xml:space="preserve"> and concludes </w:t>
      </w:r>
      <w:r w:rsidR="009278DF">
        <w:t>Phase</w:t>
      </w:r>
      <w:r w:rsidR="00513B3F">
        <w:t> </w:t>
      </w:r>
      <w:r w:rsidR="009278DF">
        <w:t>I</w:t>
      </w:r>
      <w:r w:rsidR="00F73D8D">
        <w:t xml:space="preserve">II of the proceeding. The proceeding remains open to consider additional </w:t>
      </w:r>
      <w:r w:rsidR="00AD6229">
        <w:t>building</w:t>
      </w:r>
      <w:r w:rsidR="009C15F0">
        <w:t xml:space="preserve"> decarbonization </w:t>
      </w:r>
      <w:r w:rsidR="000276A7">
        <w:t>issues</w:t>
      </w:r>
      <w:r w:rsidR="00F73D8D">
        <w:t xml:space="preserve"> in future phases. </w:t>
      </w:r>
    </w:p>
    <w:p w:rsidR="00BF3F15" w:rsidP="007C2EF4" w:rsidRDefault="00BF3F15" w14:paraId="094FA142" w14:textId="08AF6A9B">
      <w:pPr>
        <w:pStyle w:val="Heading1"/>
      </w:pPr>
      <w:bookmarkStart w:name="_Toc109376102" w:id="43"/>
      <w:bookmarkStart w:name="_Toc109141134" w:id="44"/>
      <w:bookmarkStart w:name="_Toc110598548" w:id="45"/>
      <w:r>
        <w:t>Gas Line Subsidies</w:t>
      </w:r>
      <w:bookmarkEnd w:id="43"/>
      <w:bookmarkEnd w:id="44"/>
      <w:bookmarkEnd w:id="45"/>
      <w:r>
        <w:t xml:space="preserve"> </w:t>
      </w:r>
    </w:p>
    <w:p w:rsidR="00496F45" w:rsidP="007C2EF4" w:rsidRDefault="00072765" w14:paraId="2E39B50E" w14:textId="0FB0F710">
      <w:pPr>
        <w:pStyle w:val="Heading2"/>
      </w:pPr>
      <w:bookmarkStart w:name="_Toc109376103" w:id="46"/>
      <w:bookmarkStart w:name="_Toc109141135" w:id="47"/>
      <w:bookmarkStart w:name="_Toc110598549" w:id="48"/>
      <w:bookmarkStart w:name="_Hlk106995823" w:id="49"/>
      <w:r>
        <w:t>History of Gas</w:t>
      </w:r>
      <w:r w:rsidR="0071581F">
        <w:t xml:space="preserve"> Line Subsidies</w:t>
      </w:r>
      <w:bookmarkEnd w:id="46"/>
      <w:bookmarkEnd w:id="47"/>
      <w:bookmarkEnd w:id="48"/>
    </w:p>
    <w:bookmarkEnd w:id="49"/>
    <w:p w:rsidR="00382497" w:rsidP="00382497" w:rsidRDefault="00382497" w14:paraId="46126DC2" w14:textId="7DFB5A6C">
      <w:pPr>
        <w:pStyle w:val="Standard"/>
      </w:pPr>
      <w:r>
        <w:t xml:space="preserve">The history of the gas rules in California dates back more than a century. With Commission decisions beginning in 1915 and continuing to today, California’s gas IOUs have an obligation to provide prospective new customers the opportunity to receive utility service via a line extension based on a uniform set of rules. Under current rules, gas IOUs are not obligated to extend gas lines free of cost but must provide the opportunity for customers to be connected to the utility system at reasonable prices, terms, and conditions. </w:t>
      </w:r>
    </w:p>
    <w:p w:rsidR="00382497" w:rsidP="00382497" w:rsidRDefault="00382497" w14:paraId="3E39DA33" w14:textId="7A97B190">
      <w:pPr>
        <w:pStyle w:val="Standard"/>
      </w:pPr>
      <w:r>
        <w:t xml:space="preserve">In general, applicants for new service must pay the full cost of the line extension and interconnection but are provided offsets for part of the cost. These offsets, or subsidies, were reasonable when utilities were in a declining cost </w:t>
      </w:r>
      <w:r>
        <w:lastRenderedPageBreak/>
        <w:t xml:space="preserve">industry, in which the addition of more customers led to reductions in the utility’s costs and rates, thereby benefiting both old and new customers. </w:t>
      </w:r>
    </w:p>
    <w:p w:rsidR="00382497" w:rsidP="00382497" w:rsidRDefault="00382497" w14:paraId="32D880BF" w14:textId="5FC50509">
      <w:pPr>
        <w:pStyle w:val="Standard"/>
      </w:pPr>
      <w:r>
        <w:t xml:space="preserve"> Conditions in the 1970s led the Commission to reconsider these gas line subsidies. These conditions included severe economic and energy challenges such as oil and natural gas embargos, shortages, and significant price increases; increasing cost and environmental concerns from the continued use, and new development of conventional thermal electric generating resources (including oil, gas, coal, and nuclear); inflation; economic stagnation; and repeated gas and electric utility cost and rate increases. In 1974, the Legislature requested that the Commission investigate electric rate structures and consider alternatives that would discourage, rather than encourage, increased </w:t>
      </w:r>
      <w:r w:rsidR="00A65D3C">
        <w:t xml:space="preserve">energy </w:t>
      </w:r>
      <w:r>
        <w:t xml:space="preserve">consumption. </w:t>
      </w:r>
    </w:p>
    <w:p w:rsidR="00382497" w:rsidP="00382497" w:rsidRDefault="00382497" w14:paraId="36CFE239" w14:textId="05ADE29D">
      <w:pPr>
        <w:pStyle w:val="Standard"/>
      </w:pPr>
      <w:r>
        <w:t xml:space="preserve">In 1977, the Commission opened an investigation to reconsider line extension rules given </w:t>
      </w:r>
      <w:r w:rsidR="00312808">
        <w:t xml:space="preserve">these </w:t>
      </w:r>
      <w:r>
        <w:t>fundamental change</w:t>
      </w:r>
      <w:r w:rsidR="00312808">
        <w:t>s</w:t>
      </w:r>
      <w:r>
        <w:t>.</w:t>
      </w:r>
      <w:r w:rsidR="005A36B6">
        <w:rPr>
          <w:rStyle w:val="FootnoteReference"/>
        </w:rPr>
        <w:footnoteReference w:id="15"/>
      </w:r>
      <w:r>
        <w:t xml:space="preserve"> Among the considerations was whether existing allowances for extensions of gas and electric service should be modified or abolished. Several decisions followed.</w:t>
      </w:r>
    </w:p>
    <w:p w:rsidR="00382497" w:rsidP="00382497" w:rsidRDefault="004F577C" w14:paraId="60267F72" w14:textId="70CE4AE2">
      <w:pPr>
        <w:pStyle w:val="Standard"/>
      </w:pPr>
      <w:r>
        <w:t xml:space="preserve">In </w:t>
      </w:r>
      <w:r w:rsidR="006B3250">
        <w:t>D.</w:t>
      </w:r>
      <w:r w:rsidRPr="006E7921">
        <w:t>91328</w:t>
      </w:r>
      <w:r>
        <w:t>,</w:t>
      </w:r>
      <w:r w:rsidR="00C95C2E">
        <w:t xml:space="preserve"> </w:t>
      </w:r>
      <w:r>
        <w:t>t</w:t>
      </w:r>
      <w:r w:rsidR="00382497">
        <w:t>he Commission decided to abolish gas and electric line allowances, terminate refunds, and provide incentives for conservation.</w:t>
      </w:r>
      <w:r w:rsidR="006E7921">
        <w:rPr>
          <w:rStyle w:val="FootnoteReference"/>
        </w:rPr>
        <w:footnoteReference w:id="16"/>
      </w:r>
      <w:r w:rsidR="00382497">
        <w:t xml:space="preserve"> On rehearing, the Commission decided to phase out line extension allowances over about five years, and established June</w:t>
      </w:r>
      <w:r w:rsidR="00513B3F">
        <w:t> </w:t>
      </w:r>
      <w:r w:rsidR="00382497">
        <w:t>1,</w:t>
      </w:r>
      <w:r w:rsidR="00513B3F">
        <w:t> </w:t>
      </w:r>
      <w:r w:rsidR="00382497">
        <w:t>1983, for the filing of utility tariffs to begin the phase</w:t>
      </w:r>
      <w:r w:rsidR="00513B3F">
        <w:noBreakHyphen/>
      </w:r>
      <w:r w:rsidR="00382497">
        <w:t>out.</w:t>
      </w:r>
      <w:r w:rsidR="006E7921">
        <w:rPr>
          <w:rStyle w:val="FootnoteReference"/>
        </w:rPr>
        <w:footnoteReference w:id="17"/>
      </w:r>
      <w:r w:rsidR="00382497">
        <w:t xml:space="preserve"> </w:t>
      </w:r>
    </w:p>
    <w:p w:rsidR="00382497" w:rsidP="00382497" w:rsidRDefault="00382497" w14:paraId="3FF410FB" w14:textId="088866BF">
      <w:pPr>
        <w:pStyle w:val="Standard"/>
      </w:pPr>
      <w:r>
        <w:t xml:space="preserve">The legislature responded to the Commission’s decisions </w:t>
      </w:r>
      <w:r w:rsidR="001B005E">
        <w:t xml:space="preserve">ending and phasing out </w:t>
      </w:r>
      <w:r w:rsidR="006D3727">
        <w:t>line extension allowances</w:t>
      </w:r>
      <w:r>
        <w:t xml:space="preserve"> by passing an urgency bill to add </w:t>
      </w:r>
      <w:r w:rsidR="007D79B6">
        <w:lastRenderedPageBreak/>
        <w:t>Pub.</w:t>
      </w:r>
      <w:r w:rsidR="00513B3F">
        <w:t> </w:t>
      </w:r>
      <w:r w:rsidR="007D79B6">
        <w:t>Util.</w:t>
      </w:r>
      <w:r>
        <w:t xml:space="preserve"> Code </w:t>
      </w:r>
      <w:r w:rsidR="000F2D16">
        <w:t>Section</w:t>
      </w:r>
      <w:r w:rsidR="00513B3F">
        <w:t> </w:t>
      </w:r>
      <w:r>
        <w:t>783</w:t>
      </w:r>
      <w:r w:rsidR="0096094D">
        <w:t>.</w:t>
      </w:r>
      <w:r w:rsidR="008B5C8E">
        <w:rPr>
          <w:rStyle w:val="FootnoteReference"/>
        </w:rPr>
        <w:footnoteReference w:id="18"/>
      </w:r>
      <w:r>
        <w:t xml:space="preserve"> The new law require</w:t>
      </w:r>
      <w:r w:rsidR="0040711B">
        <w:t>s</w:t>
      </w:r>
      <w:r>
        <w:t xml:space="preserve"> that the Commission </w:t>
      </w:r>
      <w:r w:rsidR="0078798D">
        <w:t xml:space="preserve">continue </w:t>
      </w:r>
      <w:r>
        <w:t>the line extension rules that were in place on January</w:t>
      </w:r>
      <w:r w:rsidR="00513B3F">
        <w:t> </w:t>
      </w:r>
      <w:r>
        <w:t>1,</w:t>
      </w:r>
      <w:r w:rsidR="00513B3F">
        <w:t> </w:t>
      </w:r>
      <w:r>
        <w:t xml:space="preserve">1982, and not make any changes (with limited exceptions) unless the Commission made findings on each of seven issues set out in </w:t>
      </w:r>
      <w:r w:rsidR="007D79B6">
        <w:t>Pub.</w:t>
      </w:r>
      <w:r w:rsidR="00513B3F">
        <w:t> </w:t>
      </w:r>
      <w:r w:rsidR="007D79B6">
        <w:t>Util.</w:t>
      </w:r>
      <w:r>
        <w:t xml:space="preserve"> Code </w:t>
      </w:r>
      <w:r w:rsidR="000F2D16">
        <w:t>Section</w:t>
      </w:r>
      <w:r w:rsidR="00513B3F">
        <w:t> </w:t>
      </w:r>
      <w:r>
        <w:t xml:space="preserve">783. Shortly thereafter, the Commission rescinded all prior orders and closed </w:t>
      </w:r>
      <w:r w:rsidR="00F737D9">
        <w:t>its investigation into line extension rules.</w:t>
      </w:r>
      <w:r w:rsidR="00F737D9">
        <w:rPr>
          <w:rStyle w:val="FootnoteReference"/>
        </w:rPr>
        <w:footnoteReference w:id="19"/>
      </w:r>
      <w:r w:rsidR="00F737D9">
        <w:t xml:space="preserve"> </w:t>
      </w:r>
    </w:p>
    <w:p w:rsidR="00382497" w:rsidP="00382497" w:rsidRDefault="00382497" w14:paraId="113C3B7D" w14:textId="1184A2A6">
      <w:pPr>
        <w:pStyle w:val="Standard"/>
      </w:pPr>
      <w:r>
        <w:t xml:space="preserve">Further consideration of modifying or eliminating gas line subsidies is governed by </w:t>
      </w:r>
      <w:r w:rsidR="007D79B6">
        <w:t>Pub.</w:t>
      </w:r>
      <w:r w:rsidR="00513B3F">
        <w:t> </w:t>
      </w:r>
      <w:r w:rsidR="007D79B6">
        <w:t>Util.</w:t>
      </w:r>
      <w:r>
        <w:t xml:space="preserve"> Code </w:t>
      </w:r>
      <w:r w:rsidR="000F2D16">
        <w:t>Section</w:t>
      </w:r>
      <w:r w:rsidR="00513B3F">
        <w:t> </w:t>
      </w:r>
      <w:r>
        <w:t xml:space="preserve">783(b), which states that whenever the Commission: </w:t>
      </w:r>
    </w:p>
    <w:p w:rsidR="00D044A2" w:rsidP="0022425F" w:rsidRDefault="00D044A2" w14:paraId="27830A65" w14:textId="7800B672">
      <w:pPr>
        <w:pStyle w:val="BlockQuote"/>
      </w:pPr>
      <w:r>
        <w:t>…</w:t>
      </w:r>
      <w:r w:rsidRPr="00FC28E7">
        <w:t xml:space="preserve">institutes an investigation into the terms and conditions for the extension of services provided by gas and electrical corporations to new or existing customers, or considers issuing an order or decision amending those terms or conditions, the commission shall make written findings on </w:t>
      </w:r>
      <w:r>
        <w:t xml:space="preserve">all of the following [seven] </w:t>
      </w:r>
      <w:r w:rsidRPr="00FC28E7">
        <w:t>issues.</w:t>
      </w:r>
    </w:p>
    <w:p w:rsidR="00382497" w:rsidP="00382497" w:rsidRDefault="00382497" w14:paraId="19E10F7E" w14:textId="7BF891E1">
      <w:pPr>
        <w:pStyle w:val="Standard"/>
      </w:pPr>
      <w:r>
        <w:t xml:space="preserve">In summary, the seven issues include an examination </w:t>
      </w:r>
      <w:r w:rsidR="00F06C9E">
        <w:t xml:space="preserve">of </w:t>
      </w:r>
      <w:r>
        <w:t>the economic and other effects of line and service extension modifications upon residential and non</w:t>
      </w:r>
      <w:r w:rsidR="00513B3F">
        <w:noBreakHyphen/>
      </w:r>
      <w:r>
        <w:t>residential customers (</w:t>
      </w:r>
      <w:r w:rsidRPr="0071232A">
        <w:rPr>
          <w:i/>
          <w:iCs/>
        </w:rPr>
        <w:t>e.g.</w:t>
      </w:r>
      <w:r>
        <w:t>, agricultural, commercial, industrial), locally funded governmental or district projects, redevelopment projects, existing ratepayers, energy consumption</w:t>
      </w:r>
      <w:r w:rsidR="002B70E4">
        <w:t>,</w:t>
      </w:r>
      <w:r>
        <w:t xml:space="preserve"> and energy conservation. </w:t>
      </w:r>
    </w:p>
    <w:p w:rsidR="0055109E" w:rsidP="00703DD3" w:rsidRDefault="007D79B6" w14:paraId="7BD82440" w14:textId="72A6C288">
      <w:pPr>
        <w:pStyle w:val="Standard"/>
      </w:pPr>
      <w:r>
        <w:t>Pub.</w:t>
      </w:r>
      <w:r w:rsidR="00513B3F">
        <w:t> </w:t>
      </w:r>
      <w:r>
        <w:t>Util.</w:t>
      </w:r>
      <w:r w:rsidR="008120F1">
        <w:t xml:space="preserve"> Code </w:t>
      </w:r>
      <w:r w:rsidR="000F2D16">
        <w:t>Section</w:t>
      </w:r>
      <w:r w:rsidR="00513B3F">
        <w:t> </w:t>
      </w:r>
      <w:r w:rsidR="008120F1">
        <w:t>783</w:t>
      </w:r>
      <w:r w:rsidR="00BE0B43">
        <w:t>(c)</w:t>
      </w:r>
      <w:r w:rsidR="0064775A">
        <w:t xml:space="preserve"> requires that</w:t>
      </w:r>
      <w:r w:rsidR="0055109E">
        <w:t>:</w:t>
      </w:r>
    </w:p>
    <w:p w:rsidR="0055109E" w:rsidP="0055109E" w:rsidRDefault="0055109E" w14:paraId="1EA4157B" w14:textId="6A18416A">
      <w:pPr>
        <w:pStyle w:val="BlockQuote"/>
      </w:pPr>
      <w:r w:rsidRPr="009C7BD2">
        <w:t>The commission shall request the assistance of appropriate state agencies and departments in conducting any investigation or proceeding pursuant to sub</w:t>
      </w:r>
      <w:r w:rsidR="00D57C9E">
        <w:t>division</w:t>
      </w:r>
      <w:r w:rsidR="00513B3F">
        <w:t> </w:t>
      </w:r>
      <w:r w:rsidR="00D57C9E">
        <w:t>(</w:t>
      </w:r>
      <w:r w:rsidRPr="009C7BD2">
        <w:t xml:space="preserve">b), including, but not limited to, the Transportation Agency, the Department of Food and Agriculture, the Department of </w:t>
      </w:r>
      <w:r w:rsidRPr="009C7BD2">
        <w:lastRenderedPageBreak/>
        <w:t>Consumer Affairs, the Bureau of Real Estate, and the Department of Housing and Community Development.</w:t>
      </w:r>
    </w:p>
    <w:p w:rsidR="004D354C" w:rsidP="00382497" w:rsidRDefault="00382497" w14:paraId="33765FD1" w14:textId="67A27FE3">
      <w:pPr>
        <w:pStyle w:val="Standard"/>
      </w:pPr>
      <w:r>
        <w:t xml:space="preserve">Lastly, </w:t>
      </w:r>
      <w:r w:rsidR="007D79B6">
        <w:t>Pub.</w:t>
      </w:r>
      <w:r w:rsidR="00513B3F">
        <w:t> </w:t>
      </w:r>
      <w:r w:rsidR="007D79B6">
        <w:t>Util.</w:t>
      </w:r>
      <w:r>
        <w:t xml:space="preserve"> Code </w:t>
      </w:r>
      <w:r w:rsidR="000F2D16">
        <w:t>Section</w:t>
      </w:r>
      <w:r w:rsidR="00513B3F">
        <w:t> </w:t>
      </w:r>
      <w:r>
        <w:t>783(d) requires</w:t>
      </w:r>
      <w:r w:rsidR="004D354C">
        <w:t xml:space="preserve"> that:</w:t>
      </w:r>
    </w:p>
    <w:p w:rsidR="004D354C" w:rsidP="004D354C" w:rsidRDefault="004D354C" w14:paraId="73561833" w14:textId="6F435CEE">
      <w:pPr>
        <w:pStyle w:val="BlockQuote"/>
      </w:pPr>
      <w:r>
        <w:t>Any new order or decision issued pursuant to an investigation or proceeding conducted pursuant to subdivision</w:t>
      </w:r>
      <w:r w:rsidR="00513B3F">
        <w:t> </w:t>
      </w:r>
      <w:r>
        <w:t xml:space="preserve">(b) shall become effective on </w:t>
      </w:r>
      <w:r w:rsidR="00F62B39">
        <w:t>July</w:t>
      </w:r>
      <w:r w:rsidR="00513B3F">
        <w:t> </w:t>
      </w:r>
      <w:r w:rsidR="00F62B39">
        <w:t>1</w:t>
      </w:r>
      <w:r>
        <w:t xml:space="preserve"> of the year which follows the year when the new order or decision is adopted by the commission, so as to ensure that the public has at least six months to consider the new order or decision.</w:t>
      </w:r>
      <w:r>
        <w:rPr>
          <w:rStyle w:val="FootnoteReference"/>
        </w:rPr>
        <w:footnoteReference w:id="20"/>
      </w:r>
    </w:p>
    <w:p w:rsidR="00382497" w:rsidP="00382497" w:rsidRDefault="009D7DF8" w14:paraId="55CEE6D2" w14:textId="75AFDF36">
      <w:pPr>
        <w:pStyle w:val="Standard"/>
      </w:pPr>
      <w:r>
        <w:t xml:space="preserve">This ensures </w:t>
      </w:r>
      <w:r w:rsidRPr="00905131">
        <w:t>that the public has at least six months to consider the new order or decision.</w:t>
      </w:r>
    </w:p>
    <w:p w:rsidR="00607995" w:rsidP="007C2EF4" w:rsidRDefault="00607995" w14:paraId="4C216E20" w14:textId="77777777">
      <w:pPr>
        <w:pStyle w:val="Heading2"/>
      </w:pPr>
      <w:bookmarkStart w:name="_Toc109376104" w:id="50"/>
      <w:bookmarkStart w:name="_Toc109141136" w:id="51"/>
      <w:bookmarkStart w:name="_Toc110598550" w:id="52"/>
      <w:r w:rsidRPr="00607995">
        <w:t>Line Extension Costs and Subsidies</w:t>
      </w:r>
      <w:bookmarkEnd w:id="50"/>
      <w:bookmarkEnd w:id="51"/>
      <w:bookmarkEnd w:id="52"/>
    </w:p>
    <w:p w:rsidRPr="00607995" w:rsidR="00607995" w:rsidP="00607995" w:rsidRDefault="004D5BAA" w14:paraId="7B56451A" w14:textId="6C1F34B2">
      <w:pPr>
        <w:pStyle w:val="Standard"/>
      </w:pPr>
      <w:r>
        <w:t xml:space="preserve">Under current </w:t>
      </w:r>
      <w:r w:rsidR="007015B5">
        <w:t xml:space="preserve">gas </w:t>
      </w:r>
      <w:r>
        <w:t>rules, the total cost of a gas line extension for an entity (</w:t>
      </w:r>
      <w:r w:rsidRPr="006D468C">
        <w:rPr>
          <w:i/>
          <w:iCs/>
        </w:rPr>
        <w:t>e.g.</w:t>
      </w:r>
      <w:r>
        <w:t>, builder, developer, individual customer) who seeks connection to the utility system (applicant) is paid by the applicant at project commencement. The total project cost is divided into two parts: non</w:t>
      </w:r>
      <w:r w:rsidR="00513B3F">
        <w:noBreakHyphen/>
      </w:r>
      <w:r>
        <w:t>refundable and refundable.</w:t>
      </w:r>
      <w:r>
        <w:rPr>
          <w:rStyle w:val="FootnoteReference"/>
        </w:rPr>
        <w:footnoteReference w:id="21"/>
      </w:r>
      <w:r>
        <w:t xml:space="preserve"> Both the non</w:t>
      </w:r>
      <w:r w:rsidR="00513B3F">
        <w:noBreakHyphen/>
      </w:r>
      <w:r>
        <w:t xml:space="preserve">refundable and refundable parts are paid by the applicant, but the refundable costs are offset or subsidized by all other ratepayers. Refundable costs are first subsidized by </w:t>
      </w:r>
      <w:r w:rsidR="0025651C">
        <w:t>“</w:t>
      </w:r>
      <w:r>
        <w:t>allowances.</w:t>
      </w:r>
      <w:r w:rsidR="0025651C">
        <w:t>”</w:t>
      </w:r>
      <w:r>
        <w:t xml:space="preserve"> Refundable costs in excess of allowances, if any, are returned to an applicant via either</w:t>
      </w:r>
      <w:r w:rsidR="006D468C">
        <w:t xml:space="preserve">: </w:t>
      </w:r>
      <w:r>
        <w:t xml:space="preserve"> (</w:t>
      </w:r>
      <w:r w:rsidR="00375BFD">
        <w:t>1</w:t>
      </w:r>
      <w:r>
        <w:t>)</w:t>
      </w:r>
      <w:r w:rsidR="00513B3F">
        <w:t> </w:t>
      </w:r>
      <w:r>
        <w:t>refunds over 10 years</w:t>
      </w:r>
      <w:r w:rsidR="006D468C">
        <w:t>;</w:t>
      </w:r>
      <w:r>
        <w:t xml:space="preserve"> or </w:t>
      </w:r>
      <w:r>
        <w:lastRenderedPageBreak/>
        <w:t>(</w:t>
      </w:r>
      <w:r w:rsidR="00375BFD">
        <w:t>2</w:t>
      </w:r>
      <w:r>
        <w:t>)</w:t>
      </w:r>
      <w:r w:rsidR="00513B3F">
        <w:t> </w:t>
      </w:r>
      <w:r>
        <w:t>a</w:t>
      </w:r>
      <w:r w:rsidR="00513B3F">
        <w:t> </w:t>
      </w:r>
      <w:r>
        <w:t>one</w:t>
      </w:r>
      <w:r w:rsidR="00513B3F">
        <w:noBreakHyphen/>
      </w:r>
      <w:r>
        <w:t xml:space="preserve">time </w:t>
      </w:r>
      <w:r w:rsidR="0021555A">
        <w:t xml:space="preserve">50 percent </w:t>
      </w:r>
      <w:r>
        <w:t>discount</w:t>
      </w:r>
      <w:r w:rsidR="009C5998">
        <w:t xml:space="preserve"> at the option of the applicant</w:t>
      </w:r>
      <w:r>
        <w:t xml:space="preserve">. </w:t>
      </w:r>
      <w:r w:rsidR="00077A48">
        <w:t xml:space="preserve">These three gas line subsidies </w:t>
      </w:r>
      <w:r w:rsidR="001744F7">
        <w:t xml:space="preserve">are </w:t>
      </w:r>
      <w:r w:rsidR="00077A48">
        <w:t>further described below.</w:t>
      </w:r>
      <w:r w:rsidR="001744F7">
        <w:t xml:space="preserve"> </w:t>
      </w:r>
    </w:p>
    <w:p w:rsidR="00BF3F15" w:rsidP="007C2EF4" w:rsidRDefault="00DB4357" w14:paraId="4EEA132E" w14:textId="642515DB">
      <w:pPr>
        <w:pStyle w:val="Heading3"/>
      </w:pPr>
      <w:bookmarkStart w:name="_Toc109376105" w:id="53"/>
      <w:bookmarkStart w:name="_Toc109141137" w:id="54"/>
      <w:bookmarkStart w:name="_Toc110598551" w:id="55"/>
      <w:r>
        <w:t>Allowances</w:t>
      </w:r>
      <w:bookmarkEnd w:id="53"/>
      <w:bookmarkEnd w:id="54"/>
      <w:bookmarkEnd w:id="55"/>
    </w:p>
    <w:p w:rsidR="00F658AE" w:rsidP="00F658AE" w:rsidRDefault="00F658AE" w14:paraId="44D59CA0" w14:textId="3F100C4F">
      <w:pPr>
        <w:pStyle w:val="Standard"/>
      </w:pPr>
      <w:r>
        <w:t xml:space="preserve">For residential customers, allowances are fixed amounts awarded by appliance per residential unit. Each gas utility has different allowance levels. The table below has the current allowances. </w:t>
      </w:r>
    </w:p>
    <w:p w:rsidRPr="00100496" w:rsidR="00100496" w:rsidP="00DF1B5B" w:rsidRDefault="007E33FC" w14:paraId="65C559C3" w14:textId="6BDC05BA">
      <w:pPr>
        <w:pStyle w:val="TableTitle1"/>
        <w:spacing w:after="0"/>
        <w:rPr>
          <w:b/>
        </w:rPr>
      </w:pPr>
      <w:bookmarkStart w:name="Table1" w:id="56"/>
      <w:r>
        <w:rPr>
          <w:b/>
        </w:rPr>
        <w:t>Table</w:t>
      </w:r>
      <w:r w:rsidRPr="00100496">
        <w:rPr>
          <w:b/>
        </w:rPr>
        <w:t xml:space="preserve"> </w:t>
      </w:r>
      <w:r w:rsidR="0009115C">
        <w:rPr>
          <w:b/>
        </w:rPr>
        <w:t>1</w:t>
      </w:r>
      <w:r>
        <w:rPr>
          <w:b/>
        </w:rPr>
        <w:t>.</w:t>
      </w:r>
      <w:r>
        <w:rPr>
          <w:b/>
        </w:rPr>
        <w:tab/>
      </w:r>
      <w:r w:rsidRPr="00DF1B5B">
        <w:t>Current</w:t>
      </w:r>
      <w:r w:rsidRPr="007E33FC">
        <w:t xml:space="preserve"> Residential Gas Line Extension Allowances</w:t>
      </w:r>
      <w:bookmarkEnd w:id="56"/>
    </w:p>
    <w:p w:rsidRPr="007E33FC" w:rsidR="00100496" w:rsidP="00DF1B5B" w:rsidRDefault="00321D08" w14:paraId="5F118D5E" w14:textId="30AC0EBF">
      <w:pPr>
        <w:pStyle w:val="TableTitle1b"/>
      </w:pPr>
      <w:r w:rsidRPr="007E33FC">
        <w:t>(</w:t>
      </w:r>
      <w:r w:rsidRPr="007E33FC" w:rsidR="00100496">
        <w:t>Per Meter or Residential Dwelling Unit, on a per unit basis</w:t>
      </w:r>
      <w:r w:rsidRPr="007E33FC">
        <w:t>)</w:t>
      </w:r>
    </w:p>
    <w:tbl>
      <w:tblPr>
        <w:tblStyle w:val="TableGrid"/>
        <w:tblW w:w="10080" w:type="dxa"/>
        <w:jc w:val="center"/>
        <w:tblCellMar>
          <w:top w:w="58" w:type="dxa"/>
          <w:bottom w:w="58" w:type="dxa"/>
        </w:tblCellMar>
        <w:tblLook w:val="04A0" w:firstRow="1" w:lastRow="0" w:firstColumn="1" w:lastColumn="0" w:noHBand="0" w:noVBand="1"/>
      </w:tblPr>
      <w:tblGrid>
        <w:gridCol w:w="1795"/>
        <w:gridCol w:w="1170"/>
        <w:gridCol w:w="1170"/>
        <w:gridCol w:w="1440"/>
        <w:gridCol w:w="1710"/>
        <w:gridCol w:w="2795"/>
      </w:tblGrid>
      <w:tr w:rsidRPr="0040398A" w:rsidR="0040398A" w:rsidTr="001E04B4" w14:paraId="2D4F9906" w14:textId="77777777">
        <w:trPr>
          <w:tblHeader/>
          <w:jc w:val="center"/>
        </w:trPr>
        <w:tc>
          <w:tcPr>
            <w:tcW w:w="1795" w:type="dxa"/>
            <w:vMerge w:val="restart"/>
            <w:vAlign w:val="bottom"/>
          </w:tcPr>
          <w:p w:rsidRPr="0040398A" w:rsidR="0040398A" w:rsidP="0040398A" w:rsidRDefault="00977993" w14:paraId="6323F7C0" w14:textId="5D85EFC7">
            <w:pPr>
              <w:jc w:val="center"/>
              <w:rPr>
                <w:rFonts w:cstheme="minorBidi"/>
                <w:b/>
                <w:szCs w:val="24"/>
              </w:rPr>
            </w:pPr>
            <w:r w:rsidRPr="0040398A">
              <w:rPr>
                <w:rFonts w:cstheme="minorBidi"/>
                <w:b/>
                <w:szCs w:val="24"/>
              </w:rPr>
              <w:t>Item</w:t>
            </w:r>
          </w:p>
        </w:tc>
        <w:tc>
          <w:tcPr>
            <w:tcW w:w="1170" w:type="dxa"/>
            <w:vMerge w:val="restart"/>
            <w:vAlign w:val="bottom"/>
          </w:tcPr>
          <w:p w:rsidRPr="0040398A" w:rsidR="0040398A" w:rsidP="0040398A" w:rsidRDefault="0040398A" w14:paraId="75E47C4E" w14:textId="468D7407">
            <w:pPr>
              <w:jc w:val="center"/>
              <w:rPr>
                <w:rFonts w:cstheme="minorBidi"/>
                <w:bCs/>
                <w:szCs w:val="24"/>
              </w:rPr>
            </w:pPr>
            <w:r w:rsidRPr="0040398A">
              <w:rPr>
                <w:b/>
                <w:szCs w:val="24"/>
              </w:rPr>
              <w:t>PG&amp;E</w:t>
            </w:r>
            <w:r w:rsidRPr="0040398A">
              <w:rPr>
                <w:rStyle w:val="FootnoteReference"/>
                <w:bCs/>
                <w:szCs w:val="24"/>
              </w:rPr>
              <w:footnoteReference w:id="22"/>
            </w:r>
          </w:p>
        </w:tc>
        <w:tc>
          <w:tcPr>
            <w:tcW w:w="1170" w:type="dxa"/>
            <w:vMerge w:val="restart"/>
            <w:vAlign w:val="bottom"/>
          </w:tcPr>
          <w:p w:rsidRPr="0040398A" w:rsidR="0040398A" w:rsidP="0040398A" w:rsidRDefault="0040398A" w14:paraId="5981AA54" w14:textId="4AF4597C">
            <w:pPr>
              <w:jc w:val="center"/>
              <w:rPr>
                <w:rFonts w:cstheme="minorBidi"/>
                <w:bCs/>
                <w:szCs w:val="24"/>
              </w:rPr>
            </w:pPr>
            <w:r w:rsidRPr="0040398A">
              <w:rPr>
                <w:b/>
                <w:szCs w:val="24"/>
              </w:rPr>
              <w:t>SCG</w:t>
            </w:r>
            <w:r w:rsidRPr="0040398A">
              <w:rPr>
                <w:rStyle w:val="FootnoteReference"/>
                <w:bCs/>
                <w:szCs w:val="24"/>
              </w:rPr>
              <w:footnoteReference w:id="23"/>
            </w:r>
          </w:p>
        </w:tc>
        <w:tc>
          <w:tcPr>
            <w:tcW w:w="1440" w:type="dxa"/>
            <w:vMerge w:val="restart"/>
            <w:vAlign w:val="bottom"/>
          </w:tcPr>
          <w:p w:rsidRPr="0040398A" w:rsidR="0040398A" w:rsidP="0040398A" w:rsidRDefault="0040398A" w14:paraId="5E704B3B" w14:textId="5327DE6D">
            <w:pPr>
              <w:jc w:val="center"/>
              <w:rPr>
                <w:rFonts w:cstheme="minorBidi"/>
                <w:bCs/>
                <w:szCs w:val="24"/>
              </w:rPr>
            </w:pPr>
            <w:r w:rsidRPr="0040398A">
              <w:rPr>
                <w:b/>
                <w:szCs w:val="24"/>
              </w:rPr>
              <w:t>SDG&amp;E</w:t>
            </w:r>
            <w:r w:rsidRPr="0040398A">
              <w:rPr>
                <w:rStyle w:val="FootnoteReference"/>
                <w:bCs/>
                <w:szCs w:val="24"/>
              </w:rPr>
              <w:footnoteReference w:id="24"/>
            </w:r>
          </w:p>
        </w:tc>
        <w:tc>
          <w:tcPr>
            <w:tcW w:w="4505" w:type="dxa"/>
            <w:gridSpan w:val="2"/>
          </w:tcPr>
          <w:p w:rsidRPr="0040398A" w:rsidR="0040398A" w:rsidP="00F23B17" w:rsidRDefault="0040398A" w14:paraId="1502F3CC" w14:textId="705C6723">
            <w:pPr>
              <w:jc w:val="center"/>
              <w:rPr>
                <w:rFonts w:cstheme="minorBidi"/>
                <w:bCs/>
                <w:szCs w:val="24"/>
              </w:rPr>
            </w:pPr>
            <w:r w:rsidRPr="0040398A">
              <w:rPr>
                <w:b/>
                <w:szCs w:val="24"/>
              </w:rPr>
              <w:t>SWG</w:t>
            </w:r>
            <w:r w:rsidRPr="0040398A">
              <w:rPr>
                <w:rStyle w:val="FootnoteReference"/>
                <w:bCs/>
                <w:szCs w:val="24"/>
              </w:rPr>
              <w:footnoteReference w:id="25"/>
            </w:r>
          </w:p>
        </w:tc>
      </w:tr>
      <w:tr w:rsidRPr="0040398A" w:rsidR="0040398A" w:rsidTr="001E04B4" w14:paraId="219BC15A" w14:textId="77777777">
        <w:trPr>
          <w:jc w:val="center"/>
        </w:trPr>
        <w:tc>
          <w:tcPr>
            <w:tcW w:w="1795" w:type="dxa"/>
            <w:vMerge/>
            <w:vAlign w:val="bottom"/>
          </w:tcPr>
          <w:p w:rsidRPr="0040398A" w:rsidR="0040398A" w:rsidP="0040398A" w:rsidRDefault="0040398A" w14:paraId="61AE52B2" w14:textId="77777777">
            <w:pPr>
              <w:jc w:val="center"/>
              <w:rPr>
                <w:rFonts w:cstheme="minorBidi"/>
                <w:b/>
                <w:bCs/>
                <w:szCs w:val="24"/>
              </w:rPr>
            </w:pPr>
          </w:p>
        </w:tc>
        <w:tc>
          <w:tcPr>
            <w:tcW w:w="1170" w:type="dxa"/>
            <w:vMerge/>
            <w:vAlign w:val="bottom"/>
          </w:tcPr>
          <w:p w:rsidRPr="0040398A" w:rsidR="0040398A" w:rsidP="0040398A" w:rsidRDefault="0040398A" w14:paraId="77A7567F" w14:textId="77777777">
            <w:pPr>
              <w:jc w:val="center"/>
              <w:rPr>
                <w:rFonts w:cstheme="minorBidi"/>
                <w:b/>
                <w:bCs/>
                <w:szCs w:val="24"/>
              </w:rPr>
            </w:pPr>
          </w:p>
        </w:tc>
        <w:tc>
          <w:tcPr>
            <w:tcW w:w="1170" w:type="dxa"/>
            <w:vMerge/>
            <w:vAlign w:val="bottom"/>
          </w:tcPr>
          <w:p w:rsidRPr="0040398A" w:rsidR="0040398A" w:rsidP="0040398A" w:rsidRDefault="0040398A" w14:paraId="69AE2C30" w14:textId="77777777">
            <w:pPr>
              <w:jc w:val="center"/>
              <w:rPr>
                <w:rFonts w:cstheme="minorBidi"/>
                <w:b/>
                <w:bCs/>
                <w:szCs w:val="24"/>
              </w:rPr>
            </w:pPr>
          </w:p>
        </w:tc>
        <w:tc>
          <w:tcPr>
            <w:tcW w:w="1440" w:type="dxa"/>
            <w:vMerge/>
            <w:vAlign w:val="bottom"/>
          </w:tcPr>
          <w:p w:rsidRPr="0040398A" w:rsidR="0040398A" w:rsidP="0040398A" w:rsidRDefault="0040398A" w14:paraId="59E21690" w14:textId="77777777">
            <w:pPr>
              <w:jc w:val="center"/>
              <w:rPr>
                <w:rFonts w:cstheme="minorBidi"/>
                <w:b/>
                <w:bCs/>
                <w:szCs w:val="24"/>
              </w:rPr>
            </w:pPr>
          </w:p>
        </w:tc>
        <w:tc>
          <w:tcPr>
            <w:tcW w:w="1710" w:type="dxa"/>
            <w:vAlign w:val="bottom"/>
          </w:tcPr>
          <w:p w:rsidRPr="0040398A" w:rsidR="0040398A" w:rsidP="0040398A" w:rsidRDefault="0040398A" w14:paraId="5EDB00A9" w14:textId="77777777">
            <w:pPr>
              <w:jc w:val="center"/>
              <w:rPr>
                <w:rFonts w:cstheme="minorBidi"/>
                <w:b/>
                <w:bCs/>
              </w:rPr>
            </w:pPr>
            <w:r w:rsidRPr="0040398A">
              <w:rPr>
                <w:rFonts w:cstheme="minorBidi"/>
                <w:b/>
                <w:bCs/>
              </w:rPr>
              <w:t xml:space="preserve">Southern </w:t>
            </w:r>
          </w:p>
          <w:p w:rsidRPr="0040398A" w:rsidR="0040398A" w:rsidP="0040398A" w:rsidRDefault="0040398A" w14:paraId="51886615" w14:textId="48256D32">
            <w:pPr>
              <w:jc w:val="center"/>
              <w:rPr>
                <w:rFonts w:cstheme="minorBidi"/>
                <w:b/>
                <w:bCs/>
              </w:rPr>
            </w:pPr>
            <w:r w:rsidRPr="0040398A">
              <w:rPr>
                <w:rFonts w:cstheme="minorBidi"/>
                <w:b/>
                <w:bCs/>
              </w:rPr>
              <w:t>California</w:t>
            </w:r>
          </w:p>
        </w:tc>
        <w:tc>
          <w:tcPr>
            <w:tcW w:w="2795" w:type="dxa"/>
            <w:vAlign w:val="bottom"/>
          </w:tcPr>
          <w:p w:rsidRPr="0040398A" w:rsidR="0040398A" w:rsidP="0040398A" w:rsidRDefault="0040398A" w14:paraId="01FBC56E" w14:textId="09C76592">
            <w:pPr>
              <w:jc w:val="center"/>
              <w:rPr>
                <w:rFonts w:cstheme="minorBidi"/>
                <w:b/>
                <w:bCs/>
              </w:rPr>
            </w:pPr>
            <w:r w:rsidRPr="0040398A">
              <w:rPr>
                <w:rFonts w:cstheme="minorBidi"/>
                <w:b/>
                <w:bCs/>
              </w:rPr>
              <w:t>Northern California</w:t>
            </w:r>
            <w:r w:rsidR="001E04B4">
              <w:rPr>
                <w:rFonts w:cstheme="minorBidi"/>
                <w:b/>
                <w:bCs/>
              </w:rPr>
              <w:t xml:space="preserve"> </w:t>
            </w:r>
            <w:r w:rsidRPr="0040398A">
              <w:rPr>
                <w:rFonts w:cstheme="minorBidi"/>
                <w:b/>
                <w:bCs/>
              </w:rPr>
              <w:t xml:space="preserve">/ </w:t>
            </w:r>
          </w:p>
          <w:p w:rsidRPr="0040398A" w:rsidR="0040398A" w:rsidP="0040398A" w:rsidRDefault="0040398A" w14:paraId="78C11050" w14:textId="4A783E53">
            <w:pPr>
              <w:jc w:val="center"/>
              <w:rPr>
                <w:rFonts w:cstheme="minorBidi"/>
                <w:b/>
                <w:bCs/>
              </w:rPr>
            </w:pPr>
            <w:r w:rsidRPr="0040398A">
              <w:rPr>
                <w:rFonts w:cstheme="minorBidi"/>
                <w:b/>
                <w:bCs/>
              </w:rPr>
              <w:t>South Lake Tahoe</w:t>
            </w:r>
          </w:p>
        </w:tc>
      </w:tr>
      <w:tr w:rsidRPr="0040398A" w:rsidR="001E04B4" w:rsidTr="001E04B4" w14:paraId="249547F3" w14:textId="77777777">
        <w:trPr>
          <w:jc w:val="center"/>
        </w:trPr>
        <w:tc>
          <w:tcPr>
            <w:tcW w:w="1795" w:type="dxa"/>
          </w:tcPr>
          <w:p w:rsidRPr="0040398A" w:rsidR="0040398A" w:rsidP="0040398A" w:rsidRDefault="00E37047" w14:paraId="183EB833" w14:textId="77777777">
            <w:pPr>
              <w:rPr>
                <w:rFonts w:cstheme="minorBidi"/>
                <w:szCs w:val="24"/>
              </w:rPr>
            </w:pPr>
            <w:r w:rsidRPr="0040398A">
              <w:rPr>
                <w:rFonts w:cstheme="minorBidi"/>
                <w:szCs w:val="24"/>
              </w:rPr>
              <w:t xml:space="preserve">Water </w:t>
            </w:r>
          </w:p>
          <w:p w:rsidRPr="0040398A" w:rsidR="00E37047" w:rsidP="0040398A" w:rsidRDefault="00E37047" w14:paraId="6F556FEF" w14:textId="266BFFBD">
            <w:pPr>
              <w:rPr>
                <w:rFonts w:cstheme="minorBidi"/>
                <w:szCs w:val="24"/>
              </w:rPr>
            </w:pPr>
            <w:r w:rsidRPr="0040398A">
              <w:rPr>
                <w:rFonts w:cstheme="minorBidi"/>
                <w:szCs w:val="24"/>
              </w:rPr>
              <w:t>Heating</w:t>
            </w:r>
          </w:p>
        </w:tc>
        <w:tc>
          <w:tcPr>
            <w:tcW w:w="1170" w:type="dxa"/>
          </w:tcPr>
          <w:p w:rsidRPr="0040398A" w:rsidR="00E37047" w:rsidP="0040398A" w:rsidRDefault="00E37047" w14:paraId="3BB426A6" w14:textId="77777777">
            <w:pPr>
              <w:jc w:val="right"/>
              <w:rPr>
                <w:rFonts w:cstheme="minorBidi"/>
                <w:szCs w:val="24"/>
              </w:rPr>
            </w:pPr>
            <w:r w:rsidRPr="0040398A">
              <w:rPr>
                <w:rFonts w:cstheme="minorBidi"/>
                <w:szCs w:val="24"/>
              </w:rPr>
              <w:t>$1,391</w:t>
            </w:r>
          </w:p>
        </w:tc>
        <w:tc>
          <w:tcPr>
            <w:tcW w:w="1170" w:type="dxa"/>
          </w:tcPr>
          <w:p w:rsidRPr="0040398A" w:rsidR="00E37047" w:rsidP="0040398A" w:rsidRDefault="00E37047" w14:paraId="093B8DD8" w14:textId="77777777">
            <w:pPr>
              <w:jc w:val="right"/>
              <w:rPr>
                <w:rFonts w:cstheme="minorBidi"/>
                <w:szCs w:val="24"/>
              </w:rPr>
            </w:pPr>
            <w:r w:rsidRPr="0040398A">
              <w:rPr>
                <w:rFonts w:cstheme="minorBidi"/>
                <w:szCs w:val="24"/>
              </w:rPr>
              <w:t>$1,138</w:t>
            </w:r>
          </w:p>
        </w:tc>
        <w:tc>
          <w:tcPr>
            <w:tcW w:w="1440" w:type="dxa"/>
          </w:tcPr>
          <w:p w:rsidRPr="0040398A" w:rsidR="00E37047" w:rsidP="0040398A" w:rsidRDefault="00E37047" w14:paraId="4CBD3B49" w14:textId="77777777">
            <w:pPr>
              <w:jc w:val="right"/>
              <w:rPr>
                <w:rFonts w:cstheme="minorBidi"/>
                <w:szCs w:val="24"/>
              </w:rPr>
            </w:pPr>
            <w:r w:rsidRPr="0040398A">
              <w:rPr>
                <w:rFonts w:cstheme="minorBidi"/>
                <w:szCs w:val="24"/>
              </w:rPr>
              <w:t>$643</w:t>
            </w:r>
          </w:p>
        </w:tc>
        <w:tc>
          <w:tcPr>
            <w:tcW w:w="1710" w:type="dxa"/>
          </w:tcPr>
          <w:p w:rsidRPr="0040398A" w:rsidR="00E37047" w:rsidP="0040398A" w:rsidRDefault="00E37047" w14:paraId="1298329E" w14:textId="77777777">
            <w:pPr>
              <w:jc w:val="right"/>
              <w:rPr>
                <w:rFonts w:cstheme="minorBidi"/>
                <w:szCs w:val="24"/>
              </w:rPr>
            </w:pPr>
            <w:r w:rsidRPr="0040398A">
              <w:rPr>
                <w:rFonts w:cstheme="minorBidi"/>
                <w:szCs w:val="24"/>
              </w:rPr>
              <w:t>$183</w:t>
            </w:r>
          </w:p>
        </w:tc>
        <w:tc>
          <w:tcPr>
            <w:tcW w:w="2795" w:type="dxa"/>
          </w:tcPr>
          <w:p w:rsidRPr="0040398A" w:rsidR="00E37047" w:rsidP="0040398A" w:rsidRDefault="00E37047" w14:paraId="73DA9BBB" w14:textId="77777777">
            <w:pPr>
              <w:jc w:val="right"/>
              <w:rPr>
                <w:rFonts w:cstheme="minorBidi"/>
                <w:szCs w:val="24"/>
              </w:rPr>
            </w:pPr>
            <w:r w:rsidRPr="0040398A">
              <w:rPr>
                <w:rFonts w:cstheme="minorBidi"/>
                <w:szCs w:val="24"/>
              </w:rPr>
              <w:t>$231</w:t>
            </w:r>
          </w:p>
        </w:tc>
      </w:tr>
      <w:tr w:rsidRPr="0040398A" w:rsidR="001E04B4" w:rsidTr="001E04B4" w14:paraId="7C43D3F6" w14:textId="77777777">
        <w:trPr>
          <w:jc w:val="center"/>
        </w:trPr>
        <w:tc>
          <w:tcPr>
            <w:tcW w:w="1795" w:type="dxa"/>
          </w:tcPr>
          <w:p w:rsidRPr="0040398A" w:rsidR="0040398A" w:rsidP="0040398A" w:rsidRDefault="00E37047" w14:paraId="174C5461" w14:textId="77777777">
            <w:pPr>
              <w:rPr>
                <w:rFonts w:cstheme="minorBidi"/>
                <w:szCs w:val="24"/>
              </w:rPr>
            </w:pPr>
            <w:r w:rsidRPr="0040398A">
              <w:rPr>
                <w:rFonts w:cstheme="minorBidi"/>
                <w:szCs w:val="24"/>
              </w:rPr>
              <w:t xml:space="preserve">Space </w:t>
            </w:r>
          </w:p>
          <w:p w:rsidRPr="0040398A" w:rsidR="00E37047" w:rsidP="0040398A" w:rsidRDefault="00E37047" w14:paraId="0DF6083A" w14:textId="392D3B65">
            <w:pPr>
              <w:rPr>
                <w:rFonts w:cstheme="minorBidi"/>
                <w:szCs w:val="24"/>
              </w:rPr>
            </w:pPr>
            <w:r w:rsidRPr="0040398A">
              <w:rPr>
                <w:rFonts w:cstheme="minorBidi"/>
                <w:szCs w:val="24"/>
              </w:rPr>
              <w:t>Heating</w:t>
            </w:r>
          </w:p>
        </w:tc>
        <w:tc>
          <w:tcPr>
            <w:tcW w:w="1170" w:type="dxa"/>
          </w:tcPr>
          <w:p w:rsidRPr="0040398A" w:rsidR="00E37047" w:rsidP="0040398A" w:rsidRDefault="003F5018" w14:paraId="32A64F78" w14:textId="62FD3F25">
            <w:pPr>
              <w:jc w:val="right"/>
              <w:rPr>
                <w:rFonts w:cstheme="minorBidi"/>
                <w:szCs w:val="24"/>
              </w:rPr>
            </w:pPr>
            <w:r w:rsidRPr="0040398A">
              <w:rPr>
                <w:rFonts w:cstheme="minorBidi"/>
                <w:szCs w:val="24"/>
              </w:rPr>
              <w:t>$</w:t>
            </w:r>
            <w:r w:rsidRPr="0040398A" w:rsidR="00E37047">
              <w:rPr>
                <w:rFonts w:cstheme="minorBidi"/>
                <w:szCs w:val="24"/>
              </w:rPr>
              <w:t>987</w:t>
            </w:r>
          </w:p>
        </w:tc>
        <w:tc>
          <w:tcPr>
            <w:tcW w:w="1170" w:type="dxa"/>
          </w:tcPr>
          <w:p w:rsidRPr="0040398A" w:rsidR="00E37047" w:rsidP="0040398A" w:rsidRDefault="003F5018" w14:paraId="3143837D" w14:textId="56088A7A">
            <w:pPr>
              <w:jc w:val="right"/>
              <w:rPr>
                <w:rFonts w:cstheme="minorBidi"/>
                <w:szCs w:val="24"/>
              </w:rPr>
            </w:pPr>
            <w:r w:rsidRPr="0040398A">
              <w:rPr>
                <w:rFonts w:cstheme="minorBidi"/>
                <w:szCs w:val="24"/>
              </w:rPr>
              <w:t>$</w:t>
            </w:r>
            <w:r w:rsidRPr="0040398A" w:rsidR="00E37047">
              <w:rPr>
                <w:rFonts w:cstheme="minorBidi"/>
                <w:szCs w:val="24"/>
              </w:rPr>
              <w:t>987</w:t>
            </w:r>
          </w:p>
        </w:tc>
        <w:tc>
          <w:tcPr>
            <w:tcW w:w="1440" w:type="dxa"/>
          </w:tcPr>
          <w:p w:rsidRPr="0040398A" w:rsidR="00E37047" w:rsidP="0040398A" w:rsidRDefault="003F5018" w14:paraId="06182489" w14:textId="18326D8E">
            <w:pPr>
              <w:jc w:val="right"/>
              <w:rPr>
                <w:rFonts w:cstheme="minorBidi"/>
                <w:szCs w:val="24"/>
              </w:rPr>
            </w:pPr>
            <w:r w:rsidRPr="0040398A">
              <w:rPr>
                <w:rFonts w:cstheme="minorBidi"/>
                <w:szCs w:val="24"/>
              </w:rPr>
              <w:t>$</w:t>
            </w:r>
            <w:r w:rsidRPr="0040398A" w:rsidR="00E37047">
              <w:rPr>
                <w:rFonts w:cstheme="minorBidi"/>
                <w:szCs w:val="24"/>
              </w:rPr>
              <w:t>698</w:t>
            </w:r>
          </w:p>
        </w:tc>
        <w:tc>
          <w:tcPr>
            <w:tcW w:w="1710" w:type="dxa"/>
          </w:tcPr>
          <w:p w:rsidRPr="0040398A" w:rsidR="00E37047" w:rsidP="0040398A" w:rsidRDefault="003F5018" w14:paraId="673E523E" w14:textId="682B1399">
            <w:pPr>
              <w:jc w:val="right"/>
              <w:rPr>
                <w:rFonts w:cstheme="minorBidi"/>
                <w:szCs w:val="24"/>
              </w:rPr>
            </w:pPr>
            <w:r w:rsidRPr="0040398A">
              <w:rPr>
                <w:rFonts w:cstheme="minorBidi"/>
                <w:szCs w:val="24"/>
              </w:rPr>
              <w:t>$</w:t>
            </w:r>
            <w:r w:rsidRPr="0040398A" w:rsidR="00E37047">
              <w:rPr>
                <w:rFonts w:cstheme="minorBidi"/>
                <w:szCs w:val="24"/>
              </w:rPr>
              <w:t>674</w:t>
            </w:r>
          </w:p>
        </w:tc>
        <w:tc>
          <w:tcPr>
            <w:tcW w:w="2795" w:type="dxa"/>
          </w:tcPr>
          <w:p w:rsidRPr="0040398A" w:rsidR="00E37047" w:rsidP="0040398A" w:rsidRDefault="003F5018" w14:paraId="5CE5F062" w14:textId="06FFA9AF">
            <w:pPr>
              <w:jc w:val="right"/>
              <w:rPr>
                <w:rFonts w:cstheme="minorBidi"/>
                <w:szCs w:val="24"/>
              </w:rPr>
            </w:pPr>
            <w:r w:rsidRPr="0040398A">
              <w:rPr>
                <w:rFonts w:cstheme="minorBidi"/>
                <w:szCs w:val="24"/>
              </w:rPr>
              <w:t>$</w:t>
            </w:r>
            <w:r w:rsidRPr="0040398A" w:rsidR="00E37047">
              <w:rPr>
                <w:rFonts w:cstheme="minorBidi"/>
                <w:szCs w:val="24"/>
              </w:rPr>
              <w:t>862</w:t>
            </w:r>
          </w:p>
        </w:tc>
      </w:tr>
      <w:tr w:rsidRPr="0040398A" w:rsidR="001E04B4" w:rsidTr="001E04B4" w14:paraId="1583C1AE" w14:textId="77777777">
        <w:trPr>
          <w:jc w:val="center"/>
        </w:trPr>
        <w:tc>
          <w:tcPr>
            <w:tcW w:w="1795" w:type="dxa"/>
          </w:tcPr>
          <w:p w:rsidRPr="0040398A" w:rsidR="00E37047" w:rsidP="0040398A" w:rsidRDefault="00E37047" w14:paraId="512787F1" w14:textId="77777777">
            <w:pPr>
              <w:rPr>
                <w:rFonts w:cstheme="minorBidi"/>
                <w:szCs w:val="24"/>
              </w:rPr>
            </w:pPr>
            <w:r w:rsidRPr="0040398A">
              <w:rPr>
                <w:rFonts w:cstheme="minorBidi"/>
                <w:szCs w:val="24"/>
              </w:rPr>
              <w:t>Oven/Range</w:t>
            </w:r>
          </w:p>
        </w:tc>
        <w:tc>
          <w:tcPr>
            <w:tcW w:w="1170" w:type="dxa"/>
          </w:tcPr>
          <w:p w:rsidRPr="0040398A" w:rsidR="00E37047" w:rsidP="0040398A" w:rsidRDefault="003F5018" w14:paraId="749700E3" w14:textId="05754BF6">
            <w:pPr>
              <w:jc w:val="right"/>
              <w:rPr>
                <w:rFonts w:cstheme="minorBidi"/>
                <w:szCs w:val="24"/>
              </w:rPr>
            </w:pPr>
            <w:r w:rsidRPr="0040398A">
              <w:rPr>
                <w:rFonts w:cstheme="minorBidi"/>
                <w:szCs w:val="24"/>
              </w:rPr>
              <w:t>$</w:t>
            </w:r>
            <w:r w:rsidRPr="0040398A" w:rsidR="00E37047">
              <w:rPr>
                <w:rFonts w:cstheme="minorBidi"/>
                <w:szCs w:val="24"/>
              </w:rPr>
              <w:t>84</w:t>
            </w:r>
          </w:p>
        </w:tc>
        <w:tc>
          <w:tcPr>
            <w:tcW w:w="1170" w:type="dxa"/>
          </w:tcPr>
          <w:p w:rsidRPr="0040398A" w:rsidR="00E37047" w:rsidP="0040398A" w:rsidRDefault="003F5018" w14:paraId="600A0A96" w14:textId="66F1345F">
            <w:pPr>
              <w:jc w:val="right"/>
              <w:rPr>
                <w:rFonts w:cstheme="minorBidi"/>
                <w:szCs w:val="24"/>
              </w:rPr>
            </w:pPr>
            <w:r w:rsidRPr="0040398A">
              <w:rPr>
                <w:rFonts w:cstheme="minorBidi"/>
                <w:szCs w:val="24"/>
              </w:rPr>
              <w:t>$</w:t>
            </w:r>
            <w:r w:rsidRPr="0040398A" w:rsidR="00E37047">
              <w:rPr>
                <w:rFonts w:cstheme="minorBidi"/>
                <w:szCs w:val="24"/>
              </w:rPr>
              <w:t>201</w:t>
            </w:r>
          </w:p>
        </w:tc>
        <w:tc>
          <w:tcPr>
            <w:tcW w:w="1440" w:type="dxa"/>
          </w:tcPr>
          <w:p w:rsidRPr="0040398A" w:rsidR="00E37047" w:rsidP="0040398A" w:rsidRDefault="003F5018" w14:paraId="7C44FBB9" w14:textId="617FD1CB">
            <w:pPr>
              <w:jc w:val="right"/>
              <w:rPr>
                <w:rFonts w:cstheme="minorBidi"/>
                <w:szCs w:val="24"/>
              </w:rPr>
            </w:pPr>
            <w:r w:rsidRPr="0040398A">
              <w:rPr>
                <w:rFonts w:cstheme="minorBidi"/>
                <w:szCs w:val="24"/>
              </w:rPr>
              <w:t>$</w:t>
            </w:r>
            <w:r w:rsidRPr="0040398A" w:rsidR="00E37047">
              <w:rPr>
                <w:rFonts w:cstheme="minorBidi"/>
                <w:szCs w:val="24"/>
              </w:rPr>
              <w:t>114</w:t>
            </w:r>
          </w:p>
        </w:tc>
        <w:tc>
          <w:tcPr>
            <w:tcW w:w="1710" w:type="dxa"/>
          </w:tcPr>
          <w:p w:rsidRPr="0040398A" w:rsidR="00E37047" w:rsidP="0040398A" w:rsidRDefault="003F5018" w14:paraId="7D79E33C" w14:textId="3962A814">
            <w:pPr>
              <w:jc w:val="right"/>
              <w:rPr>
                <w:rFonts w:cstheme="minorBidi"/>
                <w:szCs w:val="24"/>
              </w:rPr>
            </w:pPr>
            <w:r w:rsidRPr="0040398A">
              <w:rPr>
                <w:rFonts w:cstheme="minorBidi"/>
                <w:szCs w:val="24"/>
              </w:rPr>
              <w:t>$</w:t>
            </w:r>
            <w:r w:rsidRPr="0040398A" w:rsidR="00E37047">
              <w:rPr>
                <w:rFonts w:cstheme="minorBidi"/>
                <w:szCs w:val="24"/>
              </w:rPr>
              <w:t>69</w:t>
            </w:r>
          </w:p>
        </w:tc>
        <w:tc>
          <w:tcPr>
            <w:tcW w:w="2795" w:type="dxa"/>
          </w:tcPr>
          <w:p w:rsidRPr="0040398A" w:rsidR="00E37047" w:rsidP="0040398A" w:rsidRDefault="003F5018" w14:paraId="480F7EE4" w14:textId="2C34E0F4">
            <w:pPr>
              <w:jc w:val="right"/>
              <w:rPr>
                <w:rFonts w:cstheme="minorBidi"/>
                <w:szCs w:val="24"/>
              </w:rPr>
            </w:pPr>
            <w:r w:rsidRPr="0040398A">
              <w:rPr>
                <w:rFonts w:cstheme="minorBidi"/>
                <w:szCs w:val="24"/>
              </w:rPr>
              <w:t>$</w:t>
            </w:r>
            <w:r w:rsidRPr="0040398A" w:rsidR="00E37047">
              <w:rPr>
                <w:rFonts w:cstheme="minorBidi"/>
                <w:szCs w:val="24"/>
              </w:rPr>
              <w:t>28</w:t>
            </w:r>
          </w:p>
        </w:tc>
      </w:tr>
      <w:tr w:rsidRPr="0040398A" w:rsidR="001E04B4" w:rsidTr="001E04B4" w14:paraId="59125B07" w14:textId="77777777">
        <w:trPr>
          <w:jc w:val="center"/>
        </w:trPr>
        <w:tc>
          <w:tcPr>
            <w:tcW w:w="1795" w:type="dxa"/>
          </w:tcPr>
          <w:p w:rsidRPr="0040398A" w:rsidR="00E37047" w:rsidP="0040398A" w:rsidRDefault="00E37047" w14:paraId="7AA9E34F" w14:textId="77777777">
            <w:pPr>
              <w:rPr>
                <w:rFonts w:cstheme="minorBidi"/>
                <w:szCs w:val="24"/>
              </w:rPr>
            </w:pPr>
            <w:r w:rsidRPr="0040398A">
              <w:rPr>
                <w:rFonts w:cstheme="minorBidi"/>
                <w:szCs w:val="24"/>
              </w:rPr>
              <w:t>Dryer Stub</w:t>
            </w:r>
          </w:p>
        </w:tc>
        <w:tc>
          <w:tcPr>
            <w:tcW w:w="1170" w:type="dxa"/>
          </w:tcPr>
          <w:p w:rsidRPr="0040398A" w:rsidR="00E37047" w:rsidP="0040398A" w:rsidRDefault="003F5018" w14:paraId="62824941" w14:textId="1327BD2C">
            <w:pPr>
              <w:jc w:val="right"/>
              <w:rPr>
                <w:rFonts w:cstheme="minorBidi"/>
                <w:szCs w:val="24"/>
              </w:rPr>
            </w:pPr>
            <w:r w:rsidRPr="0040398A">
              <w:rPr>
                <w:rFonts w:cstheme="minorBidi"/>
                <w:szCs w:val="24"/>
              </w:rPr>
              <w:t>$</w:t>
            </w:r>
            <w:r w:rsidRPr="0040398A" w:rsidR="00E37047">
              <w:rPr>
                <w:rFonts w:cstheme="minorBidi"/>
                <w:szCs w:val="24"/>
              </w:rPr>
              <w:t>24</w:t>
            </w:r>
          </w:p>
        </w:tc>
        <w:tc>
          <w:tcPr>
            <w:tcW w:w="1170" w:type="dxa"/>
          </w:tcPr>
          <w:p w:rsidRPr="0040398A" w:rsidR="00E37047" w:rsidP="0040398A" w:rsidRDefault="003F5018" w14:paraId="3B4130AF" w14:textId="3BF00F25">
            <w:pPr>
              <w:jc w:val="right"/>
              <w:rPr>
                <w:rFonts w:cstheme="minorBidi"/>
                <w:szCs w:val="24"/>
              </w:rPr>
            </w:pPr>
            <w:r w:rsidRPr="0040398A">
              <w:rPr>
                <w:rFonts w:cstheme="minorBidi"/>
                <w:szCs w:val="24"/>
              </w:rPr>
              <w:t>$</w:t>
            </w:r>
            <w:r w:rsidRPr="0040398A" w:rsidR="00E37047">
              <w:rPr>
                <w:rFonts w:cstheme="minorBidi"/>
                <w:szCs w:val="24"/>
              </w:rPr>
              <w:t>289</w:t>
            </w:r>
          </w:p>
        </w:tc>
        <w:tc>
          <w:tcPr>
            <w:tcW w:w="1440" w:type="dxa"/>
          </w:tcPr>
          <w:p w:rsidRPr="0040398A" w:rsidR="00E37047" w:rsidP="0040398A" w:rsidRDefault="003F5018" w14:paraId="4EF57CE5" w14:textId="792969BA">
            <w:pPr>
              <w:jc w:val="right"/>
              <w:rPr>
                <w:rFonts w:cstheme="minorBidi"/>
                <w:szCs w:val="24"/>
              </w:rPr>
            </w:pPr>
            <w:r w:rsidRPr="0040398A">
              <w:rPr>
                <w:rFonts w:cstheme="minorBidi"/>
                <w:szCs w:val="24"/>
              </w:rPr>
              <w:t>$</w:t>
            </w:r>
            <w:r w:rsidRPr="0040398A" w:rsidR="00E37047">
              <w:rPr>
                <w:rFonts w:cstheme="minorBidi"/>
                <w:szCs w:val="24"/>
              </w:rPr>
              <w:t>160</w:t>
            </w:r>
          </w:p>
        </w:tc>
        <w:tc>
          <w:tcPr>
            <w:tcW w:w="1710" w:type="dxa"/>
          </w:tcPr>
          <w:p w:rsidRPr="0040398A" w:rsidR="00E37047" w:rsidP="0040398A" w:rsidRDefault="003F5018" w14:paraId="3AC5366F" w14:textId="09279528">
            <w:pPr>
              <w:jc w:val="right"/>
              <w:rPr>
                <w:rFonts w:cstheme="minorBidi"/>
                <w:szCs w:val="24"/>
              </w:rPr>
            </w:pPr>
            <w:r w:rsidRPr="0040398A">
              <w:rPr>
                <w:rFonts w:cstheme="minorBidi"/>
                <w:szCs w:val="24"/>
              </w:rPr>
              <w:t>$</w:t>
            </w:r>
            <w:r w:rsidRPr="0040398A" w:rsidR="00E37047">
              <w:rPr>
                <w:rFonts w:cstheme="minorBidi"/>
                <w:szCs w:val="24"/>
              </w:rPr>
              <w:t>115</w:t>
            </w:r>
          </w:p>
        </w:tc>
        <w:tc>
          <w:tcPr>
            <w:tcW w:w="2795" w:type="dxa"/>
          </w:tcPr>
          <w:p w:rsidRPr="0040398A" w:rsidR="00E37047" w:rsidP="0040398A" w:rsidRDefault="003F5018" w14:paraId="3AC6009D" w14:textId="19BC9F5D">
            <w:pPr>
              <w:jc w:val="right"/>
              <w:rPr>
                <w:rFonts w:cstheme="minorBidi"/>
                <w:szCs w:val="24"/>
              </w:rPr>
            </w:pPr>
            <w:r w:rsidRPr="0040398A">
              <w:rPr>
                <w:rFonts w:cstheme="minorBidi"/>
                <w:szCs w:val="24"/>
              </w:rPr>
              <w:t>$</w:t>
            </w:r>
            <w:r w:rsidRPr="0040398A" w:rsidR="00E37047">
              <w:rPr>
                <w:rFonts w:cstheme="minorBidi"/>
                <w:szCs w:val="24"/>
              </w:rPr>
              <w:t>70</w:t>
            </w:r>
          </w:p>
        </w:tc>
      </w:tr>
      <w:tr w:rsidRPr="0040398A" w:rsidR="001E04B4" w:rsidTr="001E04B4" w14:paraId="45908FDB" w14:textId="77777777">
        <w:trPr>
          <w:jc w:val="center"/>
        </w:trPr>
        <w:tc>
          <w:tcPr>
            <w:tcW w:w="1795" w:type="dxa"/>
          </w:tcPr>
          <w:p w:rsidRPr="0040398A" w:rsidR="0040398A" w:rsidP="0040398A" w:rsidRDefault="00E37047" w14:paraId="53B29270" w14:textId="77777777">
            <w:pPr>
              <w:rPr>
                <w:rFonts w:cstheme="minorBidi"/>
                <w:szCs w:val="24"/>
              </w:rPr>
            </w:pPr>
            <w:r w:rsidRPr="0040398A">
              <w:rPr>
                <w:rFonts w:cstheme="minorBidi"/>
                <w:szCs w:val="24"/>
              </w:rPr>
              <w:t xml:space="preserve">Space </w:t>
            </w:r>
          </w:p>
          <w:p w:rsidRPr="0040398A" w:rsidR="00E37047" w:rsidP="0040398A" w:rsidRDefault="00E37047" w14:paraId="303B0D23" w14:textId="664DDA0A">
            <w:pPr>
              <w:rPr>
                <w:rFonts w:cstheme="minorBidi"/>
                <w:szCs w:val="24"/>
              </w:rPr>
            </w:pPr>
            <w:r w:rsidRPr="0040398A">
              <w:rPr>
                <w:rFonts w:cstheme="minorBidi"/>
                <w:szCs w:val="24"/>
              </w:rPr>
              <w:t>Cooling</w:t>
            </w:r>
          </w:p>
        </w:tc>
        <w:tc>
          <w:tcPr>
            <w:tcW w:w="1170" w:type="dxa"/>
          </w:tcPr>
          <w:p w:rsidRPr="0040398A" w:rsidR="00E37047" w:rsidP="0040398A" w:rsidRDefault="00E37047" w14:paraId="6473B946" w14:textId="77777777">
            <w:pPr>
              <w:jc w:val="right"/>
              <w:rPr>
                <w:rFonts w:cstheme="minorBidi"/>
                <w:szCs w:val="24"/>
              </w:rPr>
            </w:pPr>
            <w:r w:rsidRPr="0040398A">
              <w:rPr>
                <w:rFonts w:cstheme="minorBidi"/>
                <w:szCs w:val="24"/>
              </w:rPr>
              <w:t>NA</w:t>
            </w:r>
          </w:p>
        </w:tc>
        <w:tc>
          <w:tcPr>
            <w:tcW w:w="1170" w:type="dxa"/>
          </w:tcPr>
          <w:p w:rsidRPr="0040398A" w:rsidR="00E37047" w:rsidP="0040398A" w:rsidRDefault="00E37047" w14:paraId="4697B029" w14:textId="77777777">
            <w:pPr>
              <w:jc w:val="right"/>
              <w:rPr>
                <w:rFonts w:cstheme="minorBidi"/>
                <w:szCs w:val="24"/>
              </w:rPr>
            </w:pPr>
            <w:r w:rsidRPr="0040398A">
              <w:rPr>
                <w:rFonts w:cstheme="minorBidi"/>
                <w:szCs w:val="24"/>
              </w:rPr>
              <w:t>NA</w:t>
            </w:r>
          </w:p>
        </w:tc>
        <w:tc>
          <w:tcPr>
            <w:tcW w:w="1440" w:type="dxa"/>
          </w:tcPr>
          <w:p w:rsidRPr="0040398A" w:rsidR="00E37047" w:rsidP="0040398A" w:rsidRDefault="003F5018" w14:paraId="444DE6CB" w14:textId="7DFC4BD0">
            <w:pPr>
              <w:jc w:val="right"/>
              <w:rPr>
                <w:rFonts w:cstheme="minorBidi"/>
                <w:szCs w:val="24"/>
              </w:rPr>
            </w:pPr>
            <w:r w:rsidRPr="0040398A">
              <w:rPr>
                <w:rFonts w:cstheme="minorBidi"/>
                <w:szCs w:val="24"/>
              </w:rPr>
              <w:t>$</w:t>
            </w:r>
            <w:r w:rsidRPr="0040398A" w:rsidR="00E37047">
              <w:rPr>
                <w:rFonts w:cstheme="minorBidi"/>
                <w:szCs w:val="24"/>
              </w:rPr>
              <w:t>1,098</w:t>
            </w:r>
          </w:p>
        </w:tc>
        <w:tc>
          <w:tcPr>
            <w:tcW w:w="1710" w:type="dxa"/>
          </w:tcPr>
          <w:p w:rsidRPr="0040398A" w:rsidR="00E37047" w:rsidP="0040398A" w:rsidRDefault="003F5018" w14:paraId="7B9BC1AD" w14:textId="6816C17E">
            <w:pPr>
              <w:jc w:val="right"/>
              <w:rPr>
                <w:rFonts w:cstheme="minorBidi"/>
                <w:szCs w:val="24"/>
              </w:rPr>
            </w:pPr>
            <w:r w:rsidRPr="0040398A">
              <w:rPr>
                <w:rFonts w:cstheme="minorBidi"/>
                <w:szCs w:val="24"/>
              </w:rPr>
              <w:t>$</w:t>
            </w:r>
            <w:r w:rsidRPr="0040398A" w:rsidR="00E37047">
              <w:rPr>
                <w:rFonts w:cstheme="minorBidi"/>
                <w:szCs w:val="24"/>
              </w:rPr>
              <w:t>1,765</w:t>
            </w:r>
          </w:p>
        </w:tc>
        <w:tc>
          <w:tcPr>
            <w:tcW w:w="2795" w:type="dxa"/>
          </w:tcPr>
          <w:p w:rsidRPr="0040398A" w:rsidR="00E37047" w:rsidP="0040398A" w:rsidRDefault="00E37047" w14:paraId="2161F213" w14:textId="77777777">
            <w:pPr>
              <w:jc w:val="right"/>
              <w:rPr>
                <w:rFonts w:cstheme="minorBidi"/>
                <w:szCs w:val="24"/>
              </w:rPr>
            </w:pPr>
            <w:r w:rsidRPr="0040398A">
              <w:rPr>
                <w:rFonts w:cstheme="minorBidi"/>
                <w:szCs w:val="24"/>
              </w:rPr>
              <w:t>NA</w:t>
            </w:r>
          </w:p>
        </w:tc>
      </w:tr>
    </w:tbl>
    <w:p w:rsidR="00E955D6" w:rsidP="004008B5" w:rsidRDefault="00E955D6" w14:paraId="36CF725D" w14:textId="3710D04D">
      <w:pPr>
        <w:pStyle w:val="Standard"/>
        <w:spacing w:before="180"/>
        <w:rPr>
          <w:rFonts w:ascii="Garamond" w:hAnsi="Garamond" w:cs="Garamond"/>
          <w:color w:val="000000"/>
          <w:sz w:val="23"/>
          <w:szCs w:val="23"/>
        </w:rPr>
      </w:pPr>
      <w:r>
        <w:t>For non</w:t>
      </w:r>
      <w:r w:rsidR="00513B3F">
        <w:noBreakHyphen/>
      </w:r>
      <w:r>
        <w:t xml:space="preserve">residential customers, </w:t>
      </w:r>
      <w:r w:rsidRPr="004008B5">
        <w:t>allowances</w:t>
      </w:r>
      <w:r>
        <w:t xml:space="preserve"> are provided by a formula that is </w:t>
      </w:r>
      <w:r w:rsidRPr="00365EC0">
        <w:t>calculated on a site</w:t>
      </w:r>
      <w:r w:rsidR="00513B3F">
        <w:noBreakHyphen/>
      </w:r>
      <w:r w:rsidRPr="00365EC0">
        <w:t xml:space="preserve">specific basis </w:t>
      </w:r>
      <w:r>
        <w:t xml:space="preserve">taking </w:t>
      </w:r>
      <w:r w:rsidRPr="00365EC0">
        <w:t xml:space="preserve">into consideration usage, demand, and </w:t>
      </w:r>
      <w:r w:rsidRPr="00365EC0">
        <w:lastRenderedPageBreak/>
        <w:t>other factors.</w:t>
      </w:r>
      <w:r>
        <w:t xml:space="preserve"> The </w:t>
      </w:r>
      <w:r w:rsidRPr="00365EC0">
        <w:t>allowance value is equal to “net revenue”</w:t>
      </w:r>
      <w:r>
        <w:rPr>
          <w:rStyle w:val="FootnoteReference"/>
        </w:rPr>
        <w:footnoteReference w:id="26"/>
      </w:r>
      <w:r w:rsidRPr="00365EC0">
        <w:t xml:space="preserve"> divided by “cost of service factor.”</w:t>
      </w:r>
      <w:r>
        <w:rPr>
          <w:rStyle w:val="FootnoteReference"/>
        </w:rPr>
        <w:footnoteReference w:id="27"/>
      </w:r>
      <w:r w:rsidRPr="00365EC0">
        <w:t xml:space="preserve"> </w:t>
      </w:r>
    </w:p>
    <w:p w:rsidR="0049206D" w:rsidP="00DE16FC" w:rsidRDefault="00A00B8B" w14:paraId="6137B598" w14:textId="35F08FDD">
      <w:pPr>
        <w:pStyle w:val="Standard"/>
      </w:pPr>
      <w:r>
        <w:t>In 202</w:t>
      </w:r>
      <w:r w:rsidR="007C17A4">
        <w:t>1,</w:t>
      </w:r>
      <w:r>
        <w:t xml:space="preserve"> </w:t>
      </w:r>
      <w:r w:rsidR="00F566C0">
        <w:t>three</w:t>
      </w:r>
      <w:r w:rsidR="008758A1">
        <w:t xml:space="preserve"> </w:t>
      </w:r>
      <w:r w:rsidR="00022225">
        <w:t xml:space="preserve">of the four </w:t>
      </w:r>
      <w:r w:rsidR="001565E1">
        <w:t>California</w:t>
      </w:r>
      <w:r w:rsidRPr="00365EC0" w:rsidR="00F566C0">
        <w:t xml:space="preserve"> </w:t>
      </w:r>
      <w:r w:rsidRPr="00365EC0" w:rsidR="00365EC0">
        <w:t xml:space="preserve">large gas IOUs </w:t>
      </w:r>
      <w:r w:rsidR="001565E1">
        <w:t>spent</w:t>
      </w:r>
      <w:r w:rsidRPr="00365EC0" w:rsidR="00365EC0">
        <w:t xml:space="preserve"> </w:t>
      </w:r>
      <w:r w:rsidR="006D000A">
        <w:t>over $1</w:t>
      </w:r>
      <w:r w:rsidR="00CA5864">
        <w:t>04</w:t>
      </w:r>
      <w:r w:rsidR="00513B3F">
        <w:t> </w:t>
      </w:r>
      <w:r w:rsidR="00BF7312">
        <w:t>million</w:t>
      </w:r>
      <w:r w:rsidR="006D000A">
        <w:t xml:space="preserve"> on </w:t>
      </w:r>
      <w:r w:rsidR="007F0C51">
        <w:t>allowances (</w:t>
      </w:r>
      <w:r w:rsidRPr="00365EC0" w:rsidR="00365EC0">
        <w:t>$</w:t>
      </w:r>
      <w:r w:rsidR="00C36A1E">
        <w:t>81</w:t>
      </w:r>
      <w:r w:rsidR="00513B3F">
        <w:t> </w:t>
      </w:r>
      <w:r w:rsidR="00BF7312">
        <w:t>million</w:t>
      </w:r>
      <w:r w:rsidRPr="00365EC0" w:rsidR="00365EC0">
        <w:t xml:space="preserve"> on residential allowances</w:t>
      </w:r>
      <w:r w:rsidR="00FB6896">
        <w:t xml:space="preserve"> and </w:t>
      </w:r>
      <w:r w:rsidRPr="00365EC0" w:rsidR="00C14C16">
        <w:t>$</w:t>
      </w:r>
      <w:r w:rsidR="009046CD">
        <w:t>2</w:t>
      </w:r>
      <w:r w:rsidR="000D0B7D">
        <w:t>3</w:t>
      </w:r>
      <w:r w:rsidR="00513B3F">
        <w:t> </w:t>
      </w:r>
      <w:r w:rsidR="00BF7312">
        <w:t>million</w:t>
      </w:r>
      <w:r w:rsidRPr="00365EC0" w:rsidR="00C14C16">
        <w:t xml:space="preserve"> on non</w:t>
      </w:r>
      <w:r w:rsidR="00513B3F">
        <w:noBreakHyphen/>
      </w:r>
      <w:r w:rsidRPr="00365EC0" w:rsidR="00C14C16">
        <w:t>residential allowances</w:t>
      </w:r>
      <w:r w:rsidR="007F0C51">
        <w:t>)</w:t>
      </w:r>
      <w:r w:rsidRPr="00365EC0" w:rsidR="00C14C16">
        <w:t>.</w:t>
      </w:r>
      <w:r w:rsidR="009046CD">
        <w:rPr>
          <w:rStyle w:val="FootnoteReference"/>
        </w:rPr>
        <w:footnoteReference w:id="28"/>
      </w:r>
      <w:r w:rsidR="00C14C16">
        <w:t xml:space="preserve"> </w:t>
      </w:r>
      <w:r w:rsidR="002723B4">
        <w:t xml:space="preserve">We note that this amount </w:t>
      </w:r>
      <w:r w:rsidR="00AE240F">
        <w:t xml:space="preserve">does not include </w:t>
      </w:r>
      <w:r w:rsidR="002723B4">
        <w:t>SDG&amp;E</w:t>
      </w:r>
      <w:r w:rsidR="00181B96">
        <w:t>’s allowance expenditures</w:t>
      </w:r>
      <w:r w:rsidR="00CB78D7">
        <w:t>.</w:t>
      </w:r>
      <w:r w:rsidR="00CB78D7">
        <w:rPr>
          <w:rStyle w:val="FootnoteReference"/>
        </w:rPr>
        <w:footnoteReference w:id="29"/>
      </w:r>
      <w:r w:rsidR="00CB78D7">
        <w:t xml:space="preserve"> </w:t>
      </w:r>
      <w:r w:rsidR="00181B96">
        <w:t>Therefore, if SDG&amp;E’s allowance expenditures were to be include</w:t>
      </w:r>
      <w:r w:rsidR="00E47BE4">
        <w:t>d,</w:t>
      </w:r>
      <w:r w:rsidR="00181B96">
        <w:t xml:space="preserve"> the </w:t>
      </w:r>
      <w:r w:rsidR="00E47BE4">
        <w:t xml:space="preserve">total </w:t>
      </w:r>
      <w:r w:rsidR="00181B96">
        <w:t xml:space="preserve">amount would be higher. </w:t>
      </w:r>
    </w:p>
    <w:p w:rsidR="00BF3F15" w:rsidP="007C2EF4" w:rsidRDefault="00DB4357" w14:paraId="04EE9A04" w14:textId="53C1BB26">
      <w:pPr>
        <w:pStyle w:val="Heading3"/>
      </w:pPr>
      <w:bookmarkStart w:name="_Toc109376106" w:id="57"/>
      <w:bookmarkStart w:name="_Toc109141138" w:id="58"/>
      <w:bookmarkStart w:name="_Toc110598552" w:id="59"/>
      <w:bookmarkStart w:name="_Hlk95397727" w:id="60"/>
      <w:r>
        <w:t>Refunds</w:t>
      </w:r>
      <w:bookmarkEnd w:id="57"/>
      <w:bookmarkEnd w:id="58"/>
      <w:bookmarkEnd w:id="59"/>
    </w:p>
    <w:bookmarkEnd w:id="60"/>
    <w:p w:rsidRPr="0056104A" w:rsidR="006F3F03" w:rsidP="006F3F03" w:rsidRDefault="006F3F03" w14:paraId="2402D38C" w14:textId="70DD09BE">
      <w:pPr>
        <w:pStyle w:val="Standard"/>
      </w:pPr>
      <w:r>
        <w:t xml:space="preserve">Under the refund option, the gas IOU </w:t>
      </w:r>
      <w:r w:rsidR="00741394">
        <w:t>returns remaining refundable costs (</w:t>
      </w:r>
      <w:r w:rsidRPr="00634092" w:rsidR="00741394">
        <w:rPr>
          <w:i/>
          <w:iCs/>
        </w:rPr>
        <w:t>i.e.</w:t>
      </w:r>
      <w:r w:rsidR="00741394">
        <w:t>,</w:t>
      </w:r>
      <w:r>
        <w:t xml:space="preserve"> </w:t>
      </w:r>
      <w:r w:rsidRPr="0056104A">
        <w:t xml:space="preserve">those that </w:t>
      </w:r>
      <w:r w:rsidR="006B48DE">
        <w:t>remain after application of allowances)</w:t>
      </w:r>
      <w:r>
        <w:t xml:space="preserve"> to </w:t>
      </w:r>
      <w:r w:rsidRPr="0056104A">
        <w:t xml:space="preserve">the </w:t>
      </w:r>
      <w:r>
        <w:t>applicant</w:t>
      </w:r>
      <w:r w:rsidRPr="0056104A">
        <w:t xml:space="preserve"> over the course of 10</w:t>
      </w:r>
      <w:r w:rsidR="00513B3F">
        <w:t> </w:t>
      </w:r>
      <w:r w:rsidRPr="0056104A">
        <w:t>years</w:t>
      </w:r>
      <w:r>
        <w:t>. Adjustments are made</w:t>
      </w:r>
      <w:r w:rsidRPr="0056104A">
        <w:t xml:space="preserve"> if further development occurs</w:t>
      </w:r>
      <w:r>
        <w:t>,</w:t>
      </w:r>
      <w:r w:rsidRPr="0056104A">
        <w:t xml:space="preserve"> </w:t>
      </w:r>
      <w:r>
        <w:t xml:space="preserve">and new customers are added </w:t>
      </w:r>
      <w:r w:rsidRPr="0056104A">
        <w:t>that utilize the same newly constructed segment of the gas distribution line</w:t>
      </w:r>
      <w:r>
        <w:t xml:space="preserve"> to fairly allocate common costs</w:t>
      </w:r>
      <w:r w:rsidRPr="0056104A">
        <w:t xml:space="preserve">. </w:t>
      </w:r>
    </w:p>
    <w:p w:rsidRPr="0056104A" w:rsidR="0056104A" w:rsidP="00DE16FC" w:rsidRDefault="009811C0" w14:paraId="50CC6D5F" w14:textId="10FBE755">
      <w:pPr>
        <w:pStyle w:val="Standard"/>
      </w:pPr>
      <w:r>
        <w:t>In 202</w:t>
      </w:r>
      <w:r w:rsidR="00893D9C">
        <w:t>1</w:t>
      </w:r>
      <w:r>
        <w:t xml:space="preserve">, </w:t>
      </w:r>
      <w:r w:rsidRPr="00365EC0">
        <w:t xml:space="preserve">California’s four large gas IOUs </w:t>
      </w:r>
      <w:r w:rsidR="00E633AA">
        <w:t>spent</w:t>
      </w:r>
      <w:r w:rsidRPr="00365EC0">
        <w:t xml:space="preserve"> </w:t>
      </w:r>
      <w:r w:rsidR="00F44F21">
        <w:t>approximately $</w:t>
      </w:r>
      <w:r w:rsidR="00FF1FEC">
        <w:t>2.9</w:t>
      </w:r>
      <w:r w:rsidR="00513B3F">
        <w:t> </w:t>
      </w:r>
      <w:r w:rsidR="00BF7312">
        <w:t>million</w:t>
      </w:r>
      <w:r w:rsidR="00F44F21">
        <w:t xml:space="preserve"> </w:t>
      </w:r>
      <w:r w:rsidR="001B2666">
        <w:t>on</w:t>
      </w:r>
      <w:r w:rsidR="00F44F21">
        <w:t xml:space="preserve"> refunds (</w:t>
      </w:r>
      <w:r w:rsidRPr="0056104A" w:rsidR="0056104A">
        <w:t>$</w:t>
      </w:r>
      <w:r w:rsidR="0018316A">
        <w:t>1.5</w:t>
      </w:r>
      <w:r w:rsidR="00513B3F">
        <w:t> </w:t>
      </w:r>
      <w:r w:rsidR="00BF7312">
        <w:t>million</w:t>
      </w:r>
      <w:r w:rsidRPr="0056104A" w:rsidR="0056104A">
        <w:t xml:space="preserve"> in </w:t>
      </w:r>
      <w:r>
        <w:t>r</w:t>
      </w:r>
      <w:r w:rsidRPr="0056104A">
        <w:t>esidential refund</w:t>
      </w:r>
      <w:r w:rsidR="003F09E5">
        <w:t xml:space="preserve">s and </w:t>
      </w:r>
      <w:r w:rsidRPr="0056104A" w:rsidR="003F09E5">
        <w:t>$</w:t>
      </w:r>
      <w:r w:rsidR="007E7E15">
        <w:t>1.</w:t>
      </w:r>
      <w:r w:rsidR="005E2BF6">
        <w:t>4</w:t>
      </w:r>
      <w:r w:rsidR="00513B3F">
        <w:t> </w:t>
      </w:r>
      <w:r w:rsidR="00BF7312">
        <w:t>million</w:t>
      </w:r>
      <w:r w:rsidR="003F09E5">
        <w:t xml:space="preserve"> </w:t>
      </w:r>
      <w:r w:rsidR="00C91D11">
        <w:t>in</w:t>
      </w:r>
      <w:r w:rsidR="006A3FFF">
        <w:t xml:space="preserve"> </w:t>
      </w:r>
      <w:r w:rsidR="003F09E5">
        <w:t>n</w:t>
      </w:r>
      <w:r w:rsidRPr="0056104A" w:rsidR="0056104A">
        <w:t>on</w:t>
      </w:r>
      <w:r w:rsidR="00513B3F">
        <w:noBreakHyphen/>
      </w:r>
      <w:r w:rsidRPr="0056104A" w:rsidR="0056104A">
        <w:t>residential refund</w:t>
      </w:r>
      <w:r w:rsidR="003F09E5">
        <w:t>s</w:t>
      </w:r>
      <w:r w:rsidR="00F44F21">
        <w:t>)</w:t>
      </w:r>
      <w:r w:rsidRPr="0056104A" w:rsidR="0056104A">
        <w:t>.</w:t>
      </w:r>
      <w:r w:rsidR="00176F64">
        <w:rPr>
          <w:rStyle w:val="FootnoteReference"/>
        </w:rPr>
        <w:footnoteReference w:id="30"/>
      </w:r>
      <w:r w:rsidRPr="0056104A" w:rsidR="0056104A">
        <w:t xml:space="preserve"> </w:t>
      </w:r>
      <w:r w:rsidRPr="004402BC" w:rsidR="004402BC">
        <w:t xml:space="preserve"> </w:t>
      </w:r>
      <w:r w:rsidR="004402BC">
        <w:t xml:space="preserve">We note that this amount does not include all of SDG&amp;E’s refunds </w:t>
      </w:r>
      <w:r w:rsidR="004402BC">
        <w:lastRenderedPageBreak/>
        <w:t>expenditures.</w:t>
      </w:r>
      <w:r w:rsidR="004402BC">
        <w:rPr>
          <w:rStyle w:val="FootnoteReference"/>
        </w:rPr>
        <w:footnoteReference w:id="31"/>
      </w:r>
      <w:r w:rsidR="004402BC">
        <w:t xml:space="preserve"> Therefore, if all of SDG&amp;E’s </w:t>
      </w:r>
      <w:r w:rsidR="00E46CF7">
        <w:t xml:space="preserve">refund </w:t>
      </w:r>
      <w:r w:rsidR="004402BC">
        <w:t xml:space="preserve">expenditures were to be included, the total amount would </w:t>
      </w:r>
      <w:r w:rsidR="00E46CF7">
        <w:t xml:space="preserve">likely </w:t>
      </w:r>
      <w:r w:rsidR="004402BC">
        <w:t>be higher</w:t>
      </w:r>
      <w:r w:rsidR="00C76850">
        <w:t xml:space="preserve">. </w:t>
      </w:r>
    </w:p>
    <w:p w:rsidR="00BF3F15" w:rsidP="007C2EF4" w:rsidRDefault="00DB4357" w14:paraId="509737CF" w14:textId="6F103F44">
      <w:pPr>
        <w:pStyle w:val="Heading3"/>
      </w:pPr>
      <w:bookmarkStart w:name="_Toc109376107" w:id="61"/>
      <w:bookmarkStart w:name="_Toc109141139" w:id="62"/>
      <w:bookmarkStart w:name="_Toc110598553" w:id="63"/>
      <w:r>
        <w:t>Discounts</w:t>
      </w:r>
      <w:bookmarkEnd w:id="61"/>
      <w:bookmarkEnd w:id="62"/>
      <w:bookmarkEnd w:id="63"/>
    </w:p>
    <w:p w:rsidR="00DD5D2D" w:rsidP="00DD5D2D" w:rsidRDefault="00717A07" w14:paraId="01A0CC3A" w14:textId="74606753">
      <w:pPr>
        <w:pStyle w:val="Standard"/>
      </w:pPr>
      <w:r>
        <w:t>T</w:t>
      </w:r>
      <w:r w:rsidRPr="00656351">
        <w:t xml:space="preserve">he discount payment option </w:t>
      </w:r>
      <w:r>
        <w:t xml:space="preserve">is an </w:t>
      </w:r>
      <w:r w:rsidRPr="00656351">
        <w:t xml:space="preserve">alternative to the </w:t>
      </w:r>
      <w:r>
        <w:t>refund</w:t>
      </w:r>
      <w:r w:rsidRPr="00656351">
        <w:t xml:space="preserve"> option</w:t>
      </w:r>
      <w:r>
        <w:t xml:space="preserve">. </w:t>
      </w:r>
      <w:r w:rsidR="003E5851">
        <w:t xml:space="preserve">If the applicant </w:t>
      </w:r>
      <w:r w:rsidR="00A20C60">
        <w:t>selects</w:t>
      </w:r>
      <w:r w:rsidR="003E5851">
        <w:t xml:space="preserve"> the discount option over the refund option, they receive </w:t>
      </w:r>
      <w:r>
        <w:t>a one</w:t>
      </w:r>
      <w:r w:rsidR="00513B3F">
        <w:noBreakHyphen/>
      </w:r>
      <w:r>
        <w:t>time 50</w:t>
      </w:r>
      <w:r w:rsidR="0021555A">
        <w:t> percent</w:t>
      </w:r>
      <w:r>
        <w:t xml:space="preserve"> discount on the refundable costs that remain after application of available allowances. The discount is received at the time payments are due and the applicant does not need to wait for refunds over several years</w:t>
      </w:r>
      <w:r w:rsidRPr="00656351" w:rsidR="00DD5D2D">
        <w:t>.</w:t>
      </w:r>
    </w:p>
    <w:p w:rsidR="00FA5451" w:rsidP="00DB672F" w:rsidRDefault="00DD5D2D" w14:paraId="62193A2D" w14:textId="62262569">
      <w:pPr>
        <w:pStyle w:val="Standard"/>
      </w:pPr>
      <w:r>
        <w:t>In 202</w:t>
      </w:r>
      <w:r w:rsidR="005809D7">
        <w:t>1</w:t>
      </w:r>
      <w:r>
        <w:t xml:space="preserve">, </w:t>
      </w:r>
      <w:r w:rsidR="00E633AA">
        <w:t>three of</w:t>
      </w:r>
      <w:r w:rsidRPr="00365EC0">
        <w:t xml:space="preserve"> four </w:t>
      </w:r>
      <w:r w:rsidR="00D87D03">
        <w:t xml:space="preserve">California </w:t>
      </w:r>
      <w:r w:rsidRPr="00365EC0">
        <w:t xml:space="preserve">large gas IOUs </w:t>
      </w:r>
      <w:r w:rsidR="00D87D03">
        <w:t>spent</w:t>
      </w:r>
      <w:r w:rsidRPr="00365EC0">
        <w:t xml:space="preserve"> </w:t>
      </w:r>
      <w:r w:rsidR="000E7F3B">
        <w:t>approximately</w:t>
      </w:r>
      <w:r w:rsidR="002E2A86">
        <w:t xml:space="preserve"> $</w:t>
      </w:r>
      <w:r w:rsidR="000E7F3B">
        <w:t>2</w:t>
      </w:r>
      <w:r w:rsidR="00991E32">
        <w:t>3.</w:t>
      </w:r>
      <w:r w:rsidR="006E66E4">
        <w:t>4</w:t>
      </w:r>
      <w:r w:rsidR="00513B3F">
        <w:t> </w:t>
      </w:r>
      <w:r w:rsidR="00BF7312">
        <w:t>million</w:t>
      </w:r>
      <w:r w:rsidR="000E7F3B">
        <w:t xml:space="preserve"> </w:t>
      </w:r>
      <w:r w:rsidR="001B2666">
        <w:t>on</w:t>
      </w:r>
      <w:r w:rsidR="000E7F3B">
        <w:t xml:space="preserve"> discounts (</w:t>
      </w:r>
      <w:r w:rsidRPr="00656351">
        <w:t>$</w:t>
      </w:r>
      <w:r w:rsidR="00193842">
        <w:t>1</w:t>
      </w:r>
      <w:r w:rsidR="009C5945">
        <w:t>7.7</w:t>
      </w:r>
      <w:r w:rsidR="00513B3F">
        <w:t> </w:t>
      </w:r>
      <w:r w:rsidR="00BF7312">
        <w:t>million</w:t>
      </w:r>
      <w:r w:rsidRPr="00656351">
        <w:t xml:space="preserve"> in residential discoun</w:t>
      </w:r>
      <w:r>
        <w:t xml:space="preserve">ts, and </w:t>
      </w:r>
      <w:r w:rsidRPr="00656351">
        <w:t>$</w:t>
      </w:r>
      <w:r w:rsidR="005B6949">
        <w:t>5.7</w:t>
      </w:r>
      <w:r w:rsidR="00513B3F">
        <w:t> </w:t>
      </w:r>
      <w:r w:rsidR="00BF7312">
        <w:t>million</w:t>
      </w:r>
      <w:r>
        <w:t xml:space="preserve"> in n</w:t>
      </w:r>
      <w:r w:rsidRPr="00656351">
        <w:t>on</w:t>
      </w:r>
      <w:r w:rsidR="00513B3F">
        <w:noBreakHyphen/>
      </w:r>
      <w:r w:rsidRPr="00656351">
        <w:t>residential discount</w:t>
      </w:r>
      <w:r>
        <w:t>s</w:t>
      </w:r>
      <w:r w:rsidR="000E7F3B">
        <w:t>)</w:t>
      </w:r>
      <w:r>
        <w:t>.</w:t>
      </w:r>
      <w:r w:rsidR="001C44E3">
        <w:rPr>
          <w:rStyle w:val="FootnoteReference"/>
        </w:rPr>
        <w:footnoteReference w:id="32"/>
      </w:r>
      <w:r w:rsidR="002130CB">
        <w:t xml:space="preserve"> </w:t>
      </w:r>
      <w:r w:rsidR="003A2628">
        <w:t>We note that this amount does not include SDG&amp;E’s discount expenditures.</w:t>
      </w:r>
      <w:r w:rsidR="003A2628">
        <w:rPr>
          <w:rStyle w:val="FootnoteReference"/>
        </w:rPr>
        <w:footnoteReference w:id="33"/>
      </w:r>
      <w:r w:rsidR="003A2628">
        <w:t xml:space="preserve"> Therefore, if SDG&amp;E’s </w:t>
      </w:r>
      <w:r w:rsidR="004402BC">
        <w:t>discount</w:t>
      </w:r>
      <w:r w:rsidR="003A2628">
        <w:t xml:space="preserve"> expenditures were to be included, the total amount would be higher</w:t>
      </w:r>
      <w:r w:rsidR="00C76850">
        <w:t xml:space="preserve">. </w:t>
      </w:r>
    </w:p>
    <w:p w:rsidR="00F8402A" w:rsidP="007C2EF4" w:rsidRDefault="00F8402A" w14:paraId="0BB02DA2" w14:textId="7BF25ECF">
      <w:pPr>
        <w:pStyle w:val="Heading3"/>
      </w:pPr>
      <w:bookmarkStart w:name="_Toc109376108" w:id="64"/>
      <w:bookmarkStart w:name="_Toc109141140" w:id="65"/>
      <w:bookmarkStart w:name="_Toc110598554" w:id="66"/>
      <w:r>
        <w:t>Total Subsidies</w:t>
      </w:r>
      <w:bookmarkEnd w:id="64"/>
      <w:bookmarkEnd w:id="65"/>
      <w:bookmarkEnd w:id="66"/>
    </w:p>
    <w:p w:rsidR="00BB6E5A" w:rsidP="00AE358A" w:rsidRDefault="00BB6E5A" w14:paraId="37FE01F3" w14:textId="24E55D3F">
      <w:pPr>
        <w:pStyle w:val="Standard"/>
      </w:pPr>
      <w:r>
        <w:t xml:space="preserve">Over the last five years (2017 to 2021), California’s </w:t>
      </w:r>
      <w:r w:rsidR="00557D0B">
        <w:t>four</w:t>
      </w:r>
      <w:r>
        <w:t xml:space="preserve"> gas IOUs </w:t>
      </w:r>
      <w:r w:rsidR="00071981">
        <w:t xml:space="preserve">(with partial data for SDG&amp;E) </w:t>
      </w:r>
      <w:r w:rsidR="00FE75B9">
        <w:t>spent</w:t>
      </w:r>
      <w:r>
        <w:t xml:space="preserve"> approximately $622</w:t>
      </w:r>
      <w:r w:rsidR="00BF7312">
        <w:t> million</w:t>
      </w:r>
      <w:r>
        <w:t xml:space="preserve"> (</w:t>
      </w:r>
      <w:r w:rsidR="00B351C0">
        <w:t xml:space="preserve">approximately </w:t>
      </w:r>
      <w:r>
        <w:t>$124</w:t>
      </w:r>
      <w:r w:rsidR="00513B3F">
        <w:t> </w:t>
      </w:r>
      <w:r w:rsidR="00BF7312">
        <w:t>million</w:t>
      </w:r>
      <w:r>
        <w:t xml:space="preserve"> </w:t>
      </w:r>
      <w:r w:rsidR="00B351C0">
        <w:t>annually</w:t>
      </w:r>
      <w:r>
        <w:t xml:space="preserve">) on gas line subsidies, including allowances, refunds and </w:t>
      </w:r>
      <w:r>
        <w:lastRenderedPageBreak/>
        <w:t>discounts.</w:t>
      </w:r>
      <w:r>
        <w:rPr>
          <w:rStyle w:val="FootnoteReference"/>
        </w:rPr>
        <w:footnoteReference w:id="34"/>
      </w:r>
      <w:r>
        <w:t xml:space="preserve"> Over the next five years (2022 to 2026) if gas line subsidies continue, the gas IOUs </w:t>
      </w:r>
      <w:r w:rsidR="00071981">
        <w:t xml:space="preserve">(with partial data for SDG&amp;E) </w:t>
      </w:r>
      <w:r>
        <w:t>anticipate they will spend approximately $819</w:t>
      </w:r>
      <w:r w:rsidR="00BF7312">
        <w:t> million</w:t>
      </w:r>
      <w:r>
        <w:t xml:space="preserve"> (</w:t>
      </w:r>
      <w:r w:rsidR="00ED6876">
        <w:t xml:space="preserve">approximately </w:t>
      </w:r>
      <w:r>
        <w:t>$</w:t>
      </w:r>
      <w:r w:rsidR="00AB0269">
        <w:t>164 </w:t>
      </w:r>
      <w:r w:rsidR="00BF7312">
        <w:t>million</w:t>
      </w:r>
      <w:r>
        <w:t xml:space="preserve"> </w:t>
      </w:r>
      <w:r w:rsidR="00ED6876">
        <w:t>annually</w:t>
      </w:r>
      <w:r>
        <w:t>) on gas line subsidies.</w:t>
      </w:r>
      <w:r>
        <w:rPr>
          <w:rStyle w:val="FootnoteReference"/>
        </w:rPr>
        <w:footnoteReference w:id="35"/>
      </w:r>
      <w:r>
        <w:t xml:space="preserve"> </w:t>
      </w:r>
      <w:r w:rsidR="0092308F">
        <w:t>The gas IOUs’ data shows that t</w:t>
      </w:r>
      <w:r w:rsidR="003251E9">
        <w:t xml:space="preserve">his totals </w:t>
      </w:r>
      <w:r w:rsidR="009840D1">
        <w:t xml:space="preserve">more than </w:t>
      </w:r>
      <w:r w:rsidR="003251E9">
        <w:t>$1.4</w:t>
      </w:r>
      <w:r w:rsidR="00513B3F">
        <w:t> </w:t>
      </w:r>
      <w:r w:rsidR="00DF1B5B">
        <w:t>billion</w:t>
      </w:r>
      <w:r w:rsidR="003251E9">
        <w:t xml:space="preserve"> over </w:t>
      </w:r>
      <w:r w:rsidR="009840D1">
        <w:t xml:space="preserve">the </w:t>
      </w:r>
      <w:r w:rsidR="00154071">
        <w:t>10</w:t>
      </w:r>
      <w:r w:rsidR="00154071">
        <w:noBreakHyphen/>
        <w:t>year</w:t>
      </w:r>
      <w:r w:rsidR="009840D1">
        <w:t xml:space="preserve"> period from 2017</w:t>
      </w:r>
      <w:r w:rsidR="00513B3F">
        <w:noBreakHyphen/>
      </w:r>
      <w:r w:rsidR="009840D1">
        <w:t xml:space="preserve">2026 </w:t>
      </w:r>
      <w:r w:rsidR="00C22221">
        <w:t>(about $144</w:t>
      </w:r>
      <w:r w:rsidR="00513B3F">
        <w:t> </w:t>
      </w:r>
      <w:r w:rsidR="00BF7312">
        <w:t>million</w:t>
      </w:r>
      <w:r w:rsidR="00C22221">
        <w:t xml:space="preserve"> annually)</w:t>
      </w:r>
      <w:r w:rsidR="003251E9">
        <w:t>.</w:t>
      </w:r>
      <w:r>
        <w:t xml:space="preserve"> The table below provides each of the gas IOUs’ historical </w:t>
      </w:r>
      <w:r w:rsidR="00F20CFB">
        <w:t>(</w:t>
      </w:r>
      <w:r w:rsidR="00514389">
        <w:t>2017</w:t>
      </w:r>
      <w:r w:rsidR="00513B3F">
        <w:noBreakHyphen/>
      </w:r>
      <w:r w:rsidR="00514389">
        <w:t xml:space="preserve">2021) </w:t>
      </w:r>
      <w:r>
        <w:t xml:space="preserve">and forecasted total gas line subsidies </w:t>
      </w:r>
      <w:r w:rsidR="00514389">
        <w:t>(2022</w:t>
      </w:r>
      <w:r w:rsidR="00513B3F">
        <w:noBreakHyphen/>
      </w:r>
      <w:r>
        <w:t>2026</w:t>
      </w:r>
      <w:r w:rsidR="00514389">
        <w:t>)</w:t>
      </w:r>
      <w:r>
        <w:t>.</w:t>
      </w:r>
      <w:r>
        <w:rPr>
          <w:rStyle w:val="FootnoteReference"/>
        </w:rPr>
        <w:footnoteReference w:id="36"/>
      </w:r>
      <w:r>
        <w:t xml:space="preserve"> </w:t>
      </w:r>
    </w:p>
    <w:p w:rsidRPr="009C67DF" w:rsidR="00BB6E5A" w:rsidP="009C67DF" w:rsidRDefault="00DF1B5B" w14:paraId="402DCB1F" w14:textId="68F27B3F">
      <w:pPr>
        <w:pStyle w:val="TableTitle1"/>
      </w:pPr>
      <w:bookmarkStart w:name="Table2" w:id="67"/>
      <w:r w:rsidRPr="00DF1B5B">
        <w:rPr>
          <w:b/>
          <w:bCs w:val="0"/>
        </w:rPr>
        <w:t>Table 2.</w:t>
      </w:r>
      <w:r>
        <w:tab/>
      </w:r>
      <w:r w:rsidRPr="00E8139B">
        <w:t>2017</w:t>
      </w:r>
      <w:r w:rsidR="00513B3F">
        <w:rPr>
          <w:b/>
          <w:bCs w:val="0"/>
          <w:sz w:val="24"/>
          <w:szCs w:val="24"/>
        </w:rPr>
        <w:noBreakHyphen/>
      </w:r>
      <w:r w:rsidRPr="00E8139B">
        <w:t xml:space="preserve">2026 </w:t>
      </w:r>
      <w:r>
        <w:t>Historical and Forecasted</w:t>
      </w:r>
      <w:r w:rsidR="00337176">
        <w:t xml:space="preserve"> Total Gas Line Subsidies</w:t>
      </w:r>
      <w:bookmarkEnd w:id="67"/>
      <w:r w:rsidRPr="00E8139B" w:rsidR="00337176">
        <w:t xml:space="preserve"> </w:t>
      </w:r>
      <w:r w:rsidRPr="00E8139B" w:rsidR="00BB6E5A">
        <w:t>($</w:t>
      </w:r>
      <w:r w:rsidR="003B0F71">
        <w:t> </w:t>
      </w:r>
      <w:r w:rsidR="002C0C73">
        <w:t>m</w:t>
      </w:r>
      <w:r w:rsidRPr="00E8139B" w:rsidR="00BB6E5A">
        <w:t>illion)</w:t>
      </w:r>
      <w:r w:rsidRPr="00ED7167" w:rsidR="003366F3">
        <w:rPr>
          <w:rStyle w:val="FootnoteReference"/>
          <w:bCs w:val="0"/>
          <w:szCs w:val="24"/>
        </w:rPr>
        <w:footnoteReference w:id="37"/>
      </w:r>
    </w:p>
    <w:tbl>
      <w:tblPr>
        <w:tblStyle w:val="TableGrid"/>
        <w:tblW w:w="10800" w:type="dxa"/>
        <w:jc w:val="center"/>
        <w:tblCellMar>
          <w:top w:w="58" w:type="dxa"/>
          <w:bottom w:w="58" w:type="dxa"/>
        </w:tblCellMar>
        <w:tblLook w:val="04A0" w:firstRow="1" w:lastRow="0" w:firstColumn="1" w:lastColumn="0" w:noHBand="0" w:noVBand="1"/>
      </w:tblPr>
      <w:tblGrid>
        <w:gridCol w:w="1345"/>
        <w:gridCol w:w="874"/>
        <w:gridCol w:w="793"/>
        <w:gridCol w:w="795"/>
        <w:gridCol w:w="795"/>
        <w:gridCol w:w="795"/>
        <w:gridCol w:w="795"/>
        <w:gridCol w:w="795"/>
        <w:gridCol w:w="795"/>
        <w:gridCol w:w="795"/>
        <w:gridCol w:w="736"/>
        <w:gridCol w:w="1487"/>
      </w:tblGrid>
      <w:tr w:rsidRPr="00DF17A4" w:rsidR="0009115C" w:rsidTr="00DF17A4" w14:paraId="343BF460" w14:textId="77777777">
        <w:trPr>
          <w:tblHeader/>
          <w:jc w:val="center"/>
        </w:trPr>
        <w:tc>
          <w:tcPr>
            <w:tcW w:w="1345" w:type="dxa"/>
            <w:vAlign w:val="bottom"/>
          </w:tcPr>
          <w:p w:rsidRPr="00DF17A4" w:rsidR="0009115C" w:rsidP="00DF17A4" w:rsidRDefault="0009115C" w14:paraId="56B34C04" w14:textId="77777777">
            <w:pPr>
              <w:pStyle w:val="Standard"/>
              <w:spacing w:line="240" w:lineRule="auto"/>
              <w:ind w:firstLine="0"/>
              <w:jc w:val="center"/>
              <w:rPr>
                <w:b/>
              </w:rPr>
            </w:pPr>
            <w:r w:rsidRPr="00DF17A4">
              <w:rPr>
                <w:b/>
              </w:rPr>
              <w:t>IOUs</w:t>
            </w:r>
          </w:p>
        </w:tc>
        <w:tc>
          <w:tcPr>
            <w:tcW w:w="874" w:type="dxa"/>
            <w:vAlign w:val="bottom"/>
          </w:tcPr>
          <w:p w:rsidRPr="00DF17A4" w:rsidR="0009115C" w:rsidP="00DF17A4" w:rsidRDefault="0009115C" w14:paraId="37782CAA" w14:textId="77777777">
            <w:pPr>
              <w:pStyle w:val="Standard"/>
              <w:spacing w:line="240" w:lineRule="auto"/>
              <w:ind w:firstLine="0"/>
              <w:jc w:val="center"/>
              <w:rPr>
                <w:b/>
              </w:rPr>
            </w:pPr>
            <w:r w:rsidRPr="00DF17A4">
              <w:rPr>
                <w:b/>
              </w:rPr>
              <w:t>2017</w:t>
            </w:r>
          </w:p>
        </w:tc>
        <w:tc>
          <w:tcPr>
            <w:tcW w:w="793" w:type="dxa"/>
            <w:vAlign w:val="bottom"/>
          </w:tcPr>
          <w:p w:rsidRPr="00DF17A4" w:rsidR="0009115C" w:rsidP="00DF17A4" w:rsidRDefault="0009115C" w14:paraId="18564F3A" w14:textId="77777777">
            <w:pPr>
              <w:pStyle w:val="Standard"/>
              <w:spacing w:line="240" w:lineRule="auto"/>
              <w:ind w:firstLine="0"/>
              <w:jc w:val="center"/>
              <w:rPr>
                <w:b/>
              </w:rPr>
            </w:pPr>
            <w:r w:rsidRPr="00DF17A4">
              <w:rPr>
                <w:b/>
              </w:rPr>
              <w:t>2018</w:t>
            </w:r>
          </w:p>
        </w:tc>
        <w:tc>
          <w:tcPr>
            <w:tcW w:w="795" w:type="dxa"/>
            <w:vAlign w:val="bottom"/>
          </w:tcPr>
          <w:p w:rsidRPr="00DF17A4" w:rsidR="0009115C" w:rsidP="00DF17A4" w:rsidRDefault="0009115C" w14:paraId="422A12E7" w14:textId="77777777">
            <w:pPr>
              <w:pStyle w:val="Standard"/>
              <w:spacing w:line="240" w:lineRule="auto"/>
              <w:ind w:firstLine="0"/>
              <w:jc w:val="center"/>
              <w:rPr>
                <w:b/>
              </w:rPr>
            </w:pPr>
            <w:r w:rsidRPr="00DF17A4">
              <w:rPr>
                <w:b/>
                <w:bCs/>
              </w:rPr>
              <w:t>2019</w:t>
            </w:r>
          </w:p>
        </w:tc>
        <w:tc>
          <w:tcPr>
            <w:tcW w:w="795" w:type="dxa"/>
            <w:vAlign w:val="bottom"/>
          </w:tcPr>
          <w:p w:rsidRPr="00DF17A4" w:rsidR="0009115C" w:rsidP="00DF17A4" w:rsidRDefault="0009115C" w14:paraId="6323EF8C" w14:textId="77777777">
            <w:pPr>
              <w:pStyle w:val="Standard"/>
              <w:spacing w:line="240" w:lineRule="auto"/>
              <w:ind w:firstLine="0"/>
              <w:jc w:val="center"/>
              <w:rPr>
                <w:b/>
              </w:rPr>
            </w:pPr>
            <w:r w:rsidRPr="00DF17A4">
              <w:rPr>
                <w:b/>
                <w:bCs/>
              </w:rPr>
              <w:t>2020</w:t>
            </w:r>
          </w:p>
        </w:tc>
        <w:tc>
          <w:tcPr>
            <w:tcW w:w="795" w:type="dxa"/>
            <w:vAlign w:val="bottom"/>
          </w:tcPr>
          <w:p w:rsidRPr="00DF17A4" w:rsidR="0009115C" w:rsidP="00DF17A4" w:rsidRDefault="0009115C" w14:paraId="74A9C092" w14:textId="77777777">
            <w:pPr>
              <w:pStyle w:val="Standard"/>
              <w:spacing w:line="240" w:lineRule="auto"/>
              <w:ind w:firstLine="0"/>
              <w:jc w:val="center"/>
              <w:rPr>
                <w:b/>
              </w:rPr>
            </w:pPr>
            <w:r w:rsidRPr="00DF17A4">
              <w:rPr>
                <w:b/>
                <w:bCs/>
              </w:rPr>
              <w:t>2021</w:t>
            </w:r>
          </w:p>
        </w:tc>
        <w:tc>
          <w:tcPr>
            <w:tcW w:w="795" w:type="dxa"/>
            <w:vAlign w:val="bottom"/>
          </w:tcPr>
          <w:p w:rsidRPr="00DF17A4" w:rsidR="0009115C" w:rsidP="00DF17A4" w:rsidRDefault="0009115C" w14:paraId="2F4DA4C4" w14:textId="77777777">
            <w:pPr>
              <w:pStyle w:val="Standard"/>
              <w:spacing w:line="240" w:lineRule="auto"/>
              <w:ind w:firstLine="0"/>
              <w:jc w:val="center"/>
              <w:rPr>
                <w:b/>
              </w:rPr>
            </w:pPr>
            <w:r w:rsidRPr="00DF17A4">
              <w:rPr>
                <w:b/>
                <w:bCs/>
              </w:rPr>
              <w:t>2022</w:t>
            </w:r>
          </w:p>
        </w:tc>
        <w:tc>
          <w:tcPr>
            <w:tcW w:w="795" w:type="dxa"/>
            <w:vAlign w:val="bottom"/>
          </w:tcPr>
          <w:p w:rsidRPr="00DF17A4" w:rsidR="0009115C" w:rsidP="00DF17A4" w:rsidRDefault="0009115C" w14:paraId="50B6B344" w14:textId="77777777">
            <w:pPr>
              <w:pStyle w:val="Standard"/>
              <w:spacing w:line="240" w:lineRule="auto"/>
              <w:ind w:firstLine="0"/>
              <w:jc w:val="center"/>
              <w:rPr>
                <w:b/>
              </w:rPr>
            </w:pPr>
            <w:r w:rsidRPr="00DF17A4">
              <w:rPr>
                <w:b/>
                <w:bCs/>
              </w:rPr>
              <w:t>2023</w:t>
            </w:r>
          </w:p>
        </w:tc>
        <w:tc>
          <w:tcPr>
            <w:tcW w:w="795" w:type="dxa"/>
            <w:vAlign w:val="bottom"/>
          </w:tcPr>
          <w:p w:rsidRPr="00DF17A4" w:rsidR="0009115C" w:rsidP="00DF17A4" w:rsidRDefault="0009115C" w14:paraId="0C081D29" w14:textId="77777777">
            <w:pPr>
              <w:pStyle w:val="Standard"/>
              <w:spacing w:line="240" w:lineRule="auto"/>
              <w:ind w:firstLine="0"/>
              <w:jc w:val="center"/>
              <w:rPr>
                <w:b/>
              </w:rPr>
            </w:pPr>
            <w:r w:rsidRPr="00DF17A4">
              <w:rPr>
                <w:b/>
                <w:bCs/>
              </w:rPr>
              <w:t>2024</w:t>
            </w:r>
          </w:p>
        </w:tc>
        <w:tc>
          <w:tcPr>
            <w:tcW w:w="795" w:type="dxa"/>
            <w:vAlign w:val="bottom"/>
          </w:tcPr>
          <w:p w:rsidRPr="00DF17A4" w:rsidR="0009115C" w:rsidP="00DF17A4" w:rsidRDefault="0009115C" w14:paraId="2E535F20" w14:textId="77777777">
            <w:pPr>
              <w:pStyle w:val="Standard"/>
              <w:spacing w:line="240" w:lineRule="auto"/>
              <w:ind w:firstLine="0"/>
              <w:jc w:val="center"/>
              <w:rPr>
                <w:b/>
              </w:rPr>
            </w:pPr>
            <w:r w:rsidRPr="00DF17A4">
              <w:rPr>
                <w:b/>
                <w:bCs/>
              </w:rPr>
              <w:t>2025</w:t>
            </w:r>
          </w:p>
        </w:tc>
        <w:tc>
          <w:tcPr>
            <w:tcW w:w="736" w:type="dxa"/>
            <w:vAlign w:val="bottom"/>
          </w:tcPr>
          <w:p w:rsidRPr="00DF17A4" w:rsidR="0009115C" w:rsidP="00DF17A4" w:rsidRDefault="0009115C" w14:paraId="4F750F10" w14:textId="77777777">
            <w:pPr>
              <w:pStyle w:val="Standard"/>
              <w:spacing w:line="240" w:lineRule="auto"/>
              <w:ind w:firstLine="0"/>
              <w:jc w:val="center"/>
              <w:rPr>
                <w:b/>
              </w:rPr>
            </w:pPr>
            <w:r w:rsidRPr="00DF17A4">
              <w:rPr>
                <w:b/>
                <w:bCs/>
              </w:rPr>
              <w:t>2026</w:t>
            </w:r>
          </w:p>
        </w:tc>
        <w:tc>
          <w:tcPr>
            <w:tcW w:w="1487" w:type="dxa"/>
            <w:vAlign w:val="bottom"/>
          </w:tcPr>
          <w:p w:rsidR="00DF17A4" w:rsidP="00DF17A4" w:rsidRDefault="0009115C" w14:paraId="5210D49A" w14:textId="77777777">
            <w:pPr>
              <w:pStyle w:val="Standard"/>
              <w:spacing w:line="240" w:lineRule="auto"/>
              <w:ind w:firstLine="0"/>
              <w:jc w:val="center"/>
              <w:rPr>
                <w:b/>
                <w:bCs/>
              </w:rPr>
            </w:pPr>
            <w:r w:rsidRPr="00DF17A4">
              <w:rPr>
                <w:b/>
                <w:bCs/>
              </w:rPr>
              <w:t>Total</w:t>
            </w:r>
            <w:r w:rsidRPr="00DF17A4" w:rsidR="00416C61">
              <w:rPr>
                <w:b/>
                <w:bCs/>
              </w:rPr>
              <w:t xml:space="preserve"> </w:t>
            </w:r>
          </w:p>
          <w:p w:rsidRPr="00DF17A4" w:rsidR="0009115C" w:rsidP="00DF17A4" w:rsidRDefault="00416C61" w14:paraId="58CFBABE" w14:textId="7AD17F62">
            <w:pPr>
              <w:pStyle w:val="Standard"/>
              <w:spacing w:line="240" w:lineRule="auto"/>
              <w:ind w:firstLine="0"/>
              <w:jc w:val="center"/>
              <w:rPr>
                <w:b/>
                <w:sz w:val="24"/>
              </w:rPr>
            </w:pPr>
            <w:r w:rsidRPr="00DF17A4">
              <w:rPr>
                <w:b/>
                <w:bCs/>
                <w:sz w:val="24"/>
              </w:rPr>
              <w:t>(</w:t>
            </w:r>
            <w:r w:rsidRPr="00DF17A4" w:rsidR="0009115C">
              <w:rPr>
                <w:b/>
                <w:bCs/>
                <w:sz w:val="24"/>
              </w:rPr>
              <w:t>2017–20</w:t>
            </w:r>
            <w:r w:rsidRPr="00DF17A4" w:rsidR="006908E7">
              <w:rPr>
                <w:b/>
                <w:bCs/>
                <w:sz w:val="24"/>
              </w:rPr>
              <w:t>2</w:t>
            </w:r>
            <w:r w:rsidRPr="00DF17A4" w:rsidR="0009115C">
              <w:rPr>
                <w:b/>
                <w:bCs/>
                <w:sz w:val="24"/>
              </w:rPr>
              <w:t>6</w:t>
            </w:r>
            <w:r w:rsidRPr="00DF17A4">
              <w:rPr>
                <w:b/>
                <w:bCs/>
                <w:sz w:val="24"/>
              </w:rPr>
              <w:t>)</w:t>
            </w:r>
          </w:p>
        </w:tc>
      </w:tr>
      <w:tr w:rsidRPr="00DF17A4" w:rsidR="0009115C" w:rsidTr="00DF17A4" w14:paraId="3F849B4E" w14:textId="77777777">
        <w:trPr>
          <w:jc w:val="center"/>
        </w:trPr>
        <w:tc>
          <w:tcPr>
            <w:tcW w:w="1345" w:type="dxa"/>
          </w:tcPr>
          <w:p w:rsidRPr="00DF17A4" w:rsidR="0009115C" w:rsidP="00DF17A4" w:rsidRDefault="0009115C" w14:paraId="7B1AC92F" w14:textId="77777777">
            <w:pPr>
              <w:pStyle w:val="Standard"/>
              <w:keepNext/>
              <w:spacing w:line="240" w:lineRule="auto"/>
              <w:ind w:firstLine="0"/>
            </w:pPr>
            <w:r w:rsidRPr="00DF17A4">
              <w:t>PG&amp;E</w:t>
            </w:r>
          </w:p>
        </w:tc>
        <w:tc>
          <w:tcPr>
            <w:tcW w:w="874" w:type="dxa"/>
          </w:tcPr>
          <w:p w:rsidRPr="00DF17A4" w:rsidR="0009115C" w:rsidP="00DF17A4" w:rsidRDefault="0009115C" w14:paraId="4DA506C3" w14:textId="77777777">
            <w:pPr>
              <w:pStyle w:val="Standard"/>
              <w:keepNext/>
              <w:spacing w:line="240" w:lineRule="auto"/>
              <w:ind w:firstLine="0"/>
              <w:jc w:val="right"/>
            </w:pPr>
            <w:r w:rsidRPr="00DF17A4">
              <w:t>$44</w:t>
            </w:r>
          </w:p>
        </w:tc>
        <w:tc>
          <w:tcPr>
            <w:tcW w:w="793" w:type="dxa"/>
          </w:tcPr>
          <w:p w:rsidRPr="00DF17A4" w:rsidR="0009115C" w:rsidP="00DF17A4" w:rsidRDefault="0009115C" w14:paraId="4F0135E3" w14:textId="77777777">
            <w:pPr>
              <w:pStyle w:val="Standard"/>
              <w:keepNext/>
              <w:spacing w:line="240" w:lineRule="auto"/>
              <w:ind w:firstLine="0"/>
              <w:jc w:val="right"/>
            </w:pPr>
            <w:r w:rsidRPr="00DF17A4">
              <w:t>$57</w:t>
            </w:r>
          </w:p>
        </w:tc>
        <w:tc>
          <w:tcPr>
            <w:tcW w:w="795" w:type="dxa"/>
          </w:tcPr>
          <w:p w:rsidRPr="00DF17A4" w:rsidR="0009115C" w:rsidP="00DF17A4" w:rsidRDefault="0009115C" w14:paraId="7C7D3781" w14:textId="77777777">
            <w:pPr>
              <w:pStyle w:val="Standard"/>
              <w:keepNext/>
              <w:spacing w:line="240" w:lineRule="auto"/>
              <w:ind w:firstLine="0"/>
              <w:jc w:val="right"/>
            </w:pPr>
            <w:r w:rsidRPr="00DF17A4">
              <w:t>$75</w:t>
            </w:r>
          </w:p>
        </w:tc>
        <w:tc>
          <w:tcPr>
            <w:tcW w:w="795" w:type="dxa"/>
          </w:tcPr>
          <w:p w:rsidRPr="00DF17A4" w:rsidR="0009115C" w:rsidP="00DF17A4" w:rsidRDefault="0009115C" w14:paraId="6AC73B3C" w14:textId="77777777">
            <w:pPr>
              <w:pStyle w:val="Standard"/>
              <w:keepNext/>
              <w:spacing w:line="240" w:lineRule="auto"/>
              <w:ind w:firstLine="0"/>
              <w:jc w:val="right"/>
            </w:pPr>
            <w:r w:rsidRPr="00DF17A4">
              <w:t>$88</w:t>
            </w:r>
          </w:p>
        </w:tc>
        <w:tc>
          <w:tcPr>
            <w:tcW w:w="795" w:type="dxa"/>
          </w:tcPr>
          <w:p w:rsidRPr="00DF17A4" w:rsidR="0009115C" w:rsidP="00DF17A4" w:rsidRDefault="0009115C" w14:paraId="783851DF" w14:textId="77777777">
            <w:pPr>
              <w:pStyle w:val="Standard"/>
              <w:keepNext/>
              <w:spacing w:line="240" w:lineRule="auto"/>
              <w:ind w:firstLine="0"/>
              <w:jc w:val="right"/>
            </w:pPr>
            <w:r w:rsidRPr="00DF17A4">
              <w:t>$69</w:t>
            </w:r>
          </w:p>
        </w:tc>
        <w:tc>
          <w:tcPr>
            <w:tcW w:w="795" w:type="dxa"/>
          </w:tcPr>
          <w:p w:rsidRPr="00DF17A4" w:rsidR="0009115C" w:rsidP="00DF17A4" w:rsidRDefault="0009115C" w14:paraId="23A9D991" w14:textId="77777777">
            <w:pPr>
              <w:pStyle w:val="Standard"/>
              <w:keepNext/>
              <w:spacing w:line="240" w:lineRule="auto"/>
              <w:ind w:firstLine="0"/>
              <w:jc w:val="right"/>
            </w:pPr>
            <w:r w:rsidRPr="00DF17A4">
              <w:t>$101</w:t>
            </w:r>
          </w:p>
        </w:tc>
        <w:tc>
          <w:tcPr>
            <w:tcW w:w="795" w:type="dxa"/>
          </w:tcPr>
          <w:p w:rsidRPr="00DF17A4" w:rsidR="0009115C" w:rsidP="00DF17A4" w:rsidRDefault="0009115C" w14:paraId="460C4566" w14:textId="77777777">
            <w:pPr>
              <w:pStyle w:val="Standard"/>
              <w:keepNext/>
              <w:spacing w:line="240" w:lineRule="auto"/>
              <w:ind w:firstLine="0"/>
              <w:jc w:val="right"/>
            </w:pPr>
            <w:r w:rsidRPr="00DF17A4">
              <w:t>$106</w:t>
            </w:r>
          </w:p>
        </w:tc>
        <w:tc>
          <w:tcPr>
            <w:tcW w:w="795" w:type="dxa"/>
          </w:tcPr>
          <w:p w:rsidRPr="00DF17A4" w:rsidR="0009115C" w:rsidP="00DF17A4" w:rsidRDefault="0009115C" w14:paraId="5FCF3CF5" w14:textId="77777777">
            <w:pPr>
              <w:pStyle w:val="Standard"/>
              <w:keepNext/>
              <w:spacing w:line="240" w:lineRule="auto"/>
              <w:ind w:firstLine="0"/>
              <w:jc w:val="right"/>
            </w:pPr>
            <w:r w:rsidRPr="00DF17A4">
              <w:t>$105</w:t>
            </w:r>
          </w:p>
        </w:tc>
        <w:tc>
          <w:tcPr>
            <w:tcW w:w="795" w:type="dxa"/>
          </w:tcPr>
          <w:p w:rsidRPr="00DF17A4" w:rsidR="0009115C" w:rsidP="00DF17A4" w:rsidRDefault="0009115C" w14:paraId="2C627A37" w14:textId="77777777">
            <w:pPr>
              <w:pStyle w:val="Standard"/>
              <w:keepNext/>
              <w:spacing w:line="240" w:lineRule="auto"/>
              <w:ind w:firstLine="0"/>
              <w:jc w:val="right"/>
            </w:pPr>
            <w:r w:rsidRPr="00DF17A4">
              <w:t>$101</w:t>
            </w:r>
          </w:p>
        </w:tc>
        <w:tc>
          <w:tcPr>
            <w:tcW w:w="736" w:type="dxa"/>
          </w:tcPr>
          <w:p w:rsidRPr="00DF17A4" w:rsidR="0009115C" w:rsidP="00DF17A4" w:rsidRDefault="0009115C" w14:paraId="58F76972" w14:textId="77777777">
            <w:pPr>
              <w:pStyle w:val="Standard"/>
              <w:keepNext/>
              <w:spacing w:line="240" w:lineRule="auto"/>
              <w:ind w:firstLine="0"/>
              <w:jc w:val="right"/>
            </w:pPr>
            <w:r w:rsidRPr="00DF17A4">
              <w:t>$97</w:t>
            </w:r>
          </w:p>
        </w:tc>
        <w:tc>
          <w:tcPr>
            <w:tcW w:w="1487" w:type="dxa"/>
          </w:tcPr>
          <w:p w:rsidRPr="00DF17A4" w:rsidR="0009115C" w:rsidP="00DF17A4" w:rsidRDefault="0009115C" w14:paraId="26950F9C" w14:textId="77777777">
            <w:pPr>
              <w:pStyle w:val="Standard"/>
              <w:keepNext/>
              <w:spacing w:line="240" w:lineRule="auto"/>
              <w:ind w:firstLine="0"/>
              <w:jc w:val="right"/>
            </w:pPr>
            <w:r w:rsidRPr="00DF17A4">
              <w:t>$843</w:t>
            </w:r>
          </w:p>
        </w:tc>
      </w:tr>
      <w:tr w:rsidRPr="00DF17A4" w:rsidR="0009115C" w:rsidTr="00DF17A4" w14:paraId="5CFD4583" w14:textId="77777777">
        <w:trPr>
          <w:jc w:val="center"/>
        </w:trPr>
        <w:tc>
          <w:tcPr>
            <w:tcW w:w="1345" w:type="dxa"/>
          </w:tcPr>
          <w:p w:rsidRPr="00DF17A4" w:rsidR="0009115C" w:rsidP="00DF17A4" w:rsidRDefault="0009115C" w14:paraId="5D46CBB0" w14:textId="77777777">
            <w:pPr>
              <w:pStyle w:val="Standard"/>
              <w:spacing w:line="240" w:lineRule="auto"/>
              <w:ind w:firstLine="0"/>
            </w:pPr>
            <w:r w:rsidRPr="00DF17A4">
              <w:t>SoCalGas</w:t>
            </w:r>
          </w:p>
        </w:tc>
        <w:tc>
          <w:tcPr>
            <w:tcW w:w="874" w:type="dxa"/>
          </w:tcPr>
          <w:p w:rsidRPr="00DF17A4" w:rsidR="0009115C" w:rsidP="00DF17A4" w:rsidRDefault="0009115C" w14:paraId="0000FC4D" w14:textId="77777777">
            <w:pPr>
              <w:pStyle w:val="Standard"/>
              <w:spacing w:line="240" w:lineRule="auto"/>
              <w:ind w:firstLine="0"/>
              <w:jc w:val="right"/>
            </w:pPr>
            <w:r w:rsidRPr="00DF17A4">
              <w:t>$48</w:t>
            </w:r>
          </w:p>
        </w:tc>
        <w:tc>
          <w:tcPr>
            <w:tcW w:w="793" w:type="dxa"/>
          </w:tcPr>
          <w:p w:rsidRPr="00DF17A4" w:rsidR="0009115C" w:rsidP="00DF17A4" w:rsidRDefault="0009115C" w14:paraId="40DBD5E3" w14:textId="77777777">
            <w:pPr>
              <w:pStyle w:val="Standard"/>
              <w:spacing w:line="240" w:lineRule="auto"/>
              <w:ind w:firstLine="0"/>
              <w:jc w:val="right"/>
            </w:pPr>
            <w:r w:rsidRPr="00DF17A4">
              <w:t>$55</w:t>
            </w:r>
          </w:p>
        </w:tc>
        <w:tc>
          <w:tcPr>
            <w:tcW w:w="795" w:type="dxa"/>
          </w:tcPr>
          <w:p w:rsidRPr="00DF17A4" w:rsidR="0009115C" w:rsidP="00DF17A4" w:rsidRDefault="0009115C" w14:paraId="4CA93CFB" w14:textId="77777777">
            <w:pPr>
              <w:pStyle w:val="Standard"/>
              <w:spacing w:line="240" w:lineRule="auto"/>
              <w:ind w:firstLine="0"/>
              <w:jc w:val="right"/>
            </w:pPr>
            <w:r w:rsidRPr="00DF17A4">
              <w:t>$51</w:t>
            </w:r>
          </w:p>
        </w:tc>
        <w:tc>
          <w:tcPr>
            <w:tcW w:w="795" w:type="dxa"/>
          </w:tcPr>
          <w:p w:rsidRPr="00DF17A4" w:rsidR="0009115C" w:rsidP="00DF17A4" w:rsidRDefault="0009115C" w14:paraId="139556E2" w14:textId="77777777">
            <w:pPr>
              <w:pStyle w:val="Standard"/>
              <w:spacing w:line="240" w:lineRule="auto"/>
              <w:ind w:firstLine="0"/>
              <w:jc w:val="right"/>
            </w:pPr>
            <w:r w:rsidRPr="00DF17A4">
              <w:t>$51</w:t>
            </w:r>
          </w:p>
        </w:tc>
        <w:tc>
          <w:tcPr>
            <w:tcW w:w="795" w:type="dxa"/>
          </w:tcPr>
          <w:p w:rsidRPr="00DF17A4" w:rsidR="0009115C" w:rsidP="00DF17A4" w:rsidRDefault="0009115C" w14:paraId="6332CC94" w14:textId="77777777">
            <w:pPr>
              <w:pStyle w:val="Standard"/>
              <w:spacing w:line="240" w:lineRule="auto"/>
              <w:ind w:firstLine="0"/>
              <w:jc w:val="right"/>
            </w:pPr>
            <w:r w:rsidRPr="00DF17A4">
              <w:t>$57</w:t>
            </w:r>
          </w:p>
        </w:tc>
        <w:tc>
          <w:tcPr>
            <w:tcW w:w="795" w:type="dxa"/>
          </w:tcPr>
          <w:p w:rsidRPr="00DF17A4" w:rsidR="0009115C" w:rsidP="00DF17A4" w:rsidRDefault="0009115C" w14:paraId="2EDF379D" w14:textId="77777777">
            <w:pPr>
              <w:pStyle w:val="Standard"/>
              <w:spacing w:line="240" w:lineRule="auto"/>
              <w:ind w:firstLine="0"/>
              <w:jc w:val="right"/>
            </w:pPr>
            <w:r w:rsidRPr="00DF17A4">
              <w:t>$57</w:t>
            </w:r>
          </w:p>
        </w:tc>
        <w:tc>
          <w:tcPr>
            <w:tcW w:w="795" w:type="dxa"/>
          </w:tcPr>
          <w:p w:rsidRPr="00DF17A4" w:rsidR="0009115C" w:rsidP="00DF17A4" w:rsidRDefault="0009115C" w14:paraId="44654073" w14:textId="77777777">
            <w:pPr>
              <w:pStyle w:val="Standard"/>
              <w:spacing w:line="240" w:lineRule="auto"/>
              <w:ind w:firstLine="0"/>
              <w:jc w:val="right"/>
            </w:pPr>
            <w:r w:rsidRPr="00DF17A4">
              <w:t>$57</w:t>
            </w:r>
          </w:p>
        </w:tc>
        <w:tc>
          <w:tcPr>
            <w:tcW w:w="795" w:type="dxa"/>
          </w:tcPr>
          <w:p w:rsidRPr="00DF17A4" w:rsidR="0009115C" w:rsidP="00DF17A4" w:rsidRDefault="0009115C" w14:paraId="7B666160" w14:textId="77777777">
            <w:pPr>
              <w:pStyle w:val="Standard"/>
              <w:spacing w:line="240" w:lineRule="auto"/>
              <w:ind w:firstLine="0"/>
              <w:jc w:val="right"/>
            </w:pPr>
            <w:r w:rsidRPr="00DF17A4">
              <w:t>$58</w:t>
            </w:r>
          </w:p>
        </w:tc>
        <w:tc>
          <w:tcPr>
            <w:tcW w:w="795" w:type="dxa"/>
          </w:tcPr>
          <w:p w:rsidRPr="00DF17A4" w:rsidR="0009115C" w:rsidP="00DF17A4" w:rsidRDefault="0009115C" w14:paraId="21B2ABC5" w14:textId="77777777">
            <w:pPr>
              <w:pStyle w:val="Standard"/>
              <w:spacing w:line="240" w:lineRule="auto"/>
              <w:ind w:firstLine="0"/>
              <w:jc w:val="right"/>
            </w:pPr>
            <w:r w:rsidRPr="00DF17A4">
              <w:t>$58</w:t>
            </w:r>
          </w:p>
        </w:tc>
        <w:tc>
          <w:tcPr>
            <w:tcW w:w="736" w:type="dxa"/>
          </w:tcPr>
          <w:p w:rsidRPr="00DF17A4" w:rsidR="0009115C" w:rsidP="00DF17A4" w:rsidRDefault="0009115C" w14:paraId="5E745CD6" w14:textId="77777777">
            <w:pPr>
              <w:pStyle w:val="Standard"/>
              <w:spacing w:line="240" w:lineRule="auto"/>
              <w:ind w:firstLine="0"/>
              <w:jc w:val="right"/>
            </w:pPr>
            <w:r w:rsidRPr="00DF17A4">
              <w:t>$58</w:t>
            </w:r>
          </w:p>
        </w:tc>
        <w:tc>
          <w:tcPr>
            <w:tcW w:w="1487" w:type="dxa"/>
          </w:tcPr>
          <w:p w:rsidRPr="00DF17A4" w:rsidR="0009115C" w:rsidP="00DF17A4" w:rsidRDefault="0009115C" w14:paraId="311A6764" w14:textId="77777777">
            <w:pPr>
              <w:pStyle w:val="Standard"/>
              <w:spacing w:line="240" w:lineRule="auto"/>
              <w:ind w:firstLine="0"/>
              <w:jc w:val="right"/>
            </w:pPr>
            <w:r w:rsidRPr="00DF17A4">
              <w:t>$550</w:t>
            </w:r>
          </w:p>
        </w:tc>
      </w:tr>
      <w:tr w:rsidRPr="00DF17A4" w:rsidR="0009115C" w:rsidTr="00DF17A4" w14:paraId="3AB1AC57" w14:textId="77777777">
        <w:trPr>
          <w:jc w:val="center"/>
        </w:trPr>
        <w:tc>
          <w:tcPr>
            <w:tcW w:w="1345" w:type="dxa"/>
          </w:tcPr>
          <w:p w:rsidRPr="00DF17A4" w:rsidR="0009115C" w:rsidP="00DF17A4" w:rsidRDefault="0009115C" w14:paraId="7B6098CA" w14:textId="56044583">
            <w:pPr>
              <w:pStyle w:val="Standard"/>
              <w:spacing w:line="240" w:lineRule="auto"/>
              <w:ind w:firstLine="0"/>
            </w:pPr>
            <w:r w:rsidRPr="00DF17A4">
              <w:t>SDG&amp;E</w:t>
            </w:r>
            <w:r w:rsidRPr="00DF17A4" w:rsidR="008A1596">
              <w:rPr>
                <w:rStyle w:val="FootnoteReference"/>
              </w:rPr>
              <w:footnoteReference w:id="38"/>
            </w:r>
          </w:p>
        </w:tc>
        <w:tc>
          <w:tcPr>
            <w:tcW w:w="874" w:type="dxa"/>
          </w:tcPr>
          <w:p w:rsidRPr="00DF17A4" w:rsidR="0009115C" w:rsidP="00DF17A4" w:rsidRDefault="0009115C" w14:paraId="43D2744B" w14:textId="77777777">
            <w:pPr>
              <w:pStyle w:val="Standard"/>
              <w:spacing w:line="240" w:lineRule="auto"/>
              <w:ind w:firstLine="0"/>
              <w:jc w:val="right"/>
            </w:pPr>
            <w:r w:rsidRPr="00DF17A4">
              <w:t>$1</w:t>
            </w:r>
          </w:p>
        </w:tc>
        <w:tc>
          <w:tcPr>
            <w:tcW w:w="793" w:type="dxa"/>
          </w:tcPr>
          <w:p w:rsidRPr="00DF17A4" w:rsidR="0009115C" w:rsidP="00DF17A4" w:rsidRDefault="0009115C" w14:paraId="7BC44546" w14:textId="77777777">
            <w:pPr>
              <w:pStyle w:val="Standard"/>
              <w:spacing w:line="240" w:lineRule="auto"/>
              <w:ind w:firstLine="0"/>
              <w:jc w:val="right"/>
            </w:pPr>
            <w:r w:rsidRPr="00DF17A4">
              <w:t>$2</w:t>
            </w:r>
          </w:p>
        </w:tc>
        <w:tc>
          <w:tcPr>
            <w:tcW w:w="795" w:type="dxa"/>
          </w:tcPr>
          <w:p w:rsidRPr="00DF17A4" w:rsidR="0009115C" w:rsidP="00DF17A4" w:rsidRDefault="0009115C" w14:paraId="33A27B14" w14:textId="77777777">
            <w:pPr>
              <w:pStyle w:val="Standard"/>
              <w:spacing w:line="240" w:lineRule="auto"/>
              <w:ind w:firstLine="0"/>
              <w:jc w:val="right"/>
            </w:pPr>
            <w:r w:rsidRPr="00DF17A4">
              <w:t>$2</w:t>
            </w:r>
          </w:p>
        </w:tc>
        <w:tc>
          <w:tcPr>
            <w:tcW w:w="795" w:type="dxa"/>
          </w:tcPr>
          <w:p w:rsidRPr="00DF17A4" w:rsidR="0009115C" w:rsidP="00DF17A4" w:rsidRDefault="0009115C" w14:paraId="7B58706D" w14:textId="77777777">
            <w:pPr>
              <w:pStyle w:val="Standard"/>
              <w:spacing w:line="240" w:lineRule="auto"/>
              <w:ind w:firstLine="0"/>
              <w:jc w:val="right"/>
            </w:pPr>
            <w:r w:rsidRPr="00DF17A4">
              <w:t>$2</w:t>
            </w:r>
          </w:p>
        </w:tc>
        <w:tc>
          <w:tcPr>
            <w:tcW w:w="795" w:type="dxa"/>
          </w:tcPr>
          <w:p w:rsidRPr="00DF17A4" w:rsidR="0009115C" w:rsidP="00DF17A4" w:rsidRDefault="0009115C" w14:paraId="0ADDEE5A" w14:textId="77777777">
            <w:pPr>
              <w:pStyle w:val="Standard"/>
              <w:spacing w:line="240" w:lineRule="auto"/>
              <w:ind w:firstLine="0"/>
              <w:jc w:val="right"/>
            </w:pPr>
            <w:r w:rsidRPr="00DF17A4">
              <w:t>$1</w:t>
            </w:r>
          </w:p>
        </w:tc>
        <w:tc>
          <w:tcPr>
            <w:tcW w:w="795" w:type="dxa"/>
          </w:tcPr>
          <w:p w:rsidRPr="00DF17A4" w:rsidR="0009115C" w:rsidP="00DF17A4" w:rsidRDefault="0009115C" w14:paraId="7F0DA3C5" w14:textId="77777777">
            <w:pPr>
              <w:pStyle w:val="Standard"/>
              <w:spacing w:line="240" w:lineRule="auto"/>
              <w:ind w:firstLine="0"/>
              <w:jc w:val="right"/>
            </w:pPr>
            <w:r w:rsidRPr="00DF17A4">
              <w:t>$1</w:t>
            </w:r>
          </w:p>
        </w:tc>
        <w:tc>
          <w:tcPr>
            <w:tcW w:w="795" w:type="dxa"/>
          </w:tcPr>
          <w:p w:rsidRPr="00DF17A4" w:rsidR="0009115C" w:rsidP="00DF17A4" w:rsidRDefault="0009115C" w14:paraId="4950BBCB" w14:textId="77777777">
            <w:pPr>
              <w:pStyle w:val="Standard"/>
              <w:spacing w:line="240" w:lineRule="auto"/>
              <w:ind w:firstLine="0"/>
              <w:jc w:val="right"/>
            </w:pPr>
            <w:r w:rsidRPr="00DF17A4">
              <w:t>$1</w:t>
            </w:r>
          </w:p>
        </w:tc>
        <w:tc>
          <w:tcPr>
            <w:tcW w:w="795" w:type="dxa"/>
          </w:tcPr>
          <w:p w:rsidRPr="00DF17A4" w:rsidR="0009115C" w:rsidP="00DF17A4" w:rsidRDefault="0009115C" w14:paraId="39414512" w14:textId="77777777">
            <w:pPr>
              <w:pStyle w:val="Standard"/>
              <w:spacing w:line="240" w:lineRule="auto"/>
              <w:ind w:firstLine="0"/>
              <w:jc w:val="right"/>
            </w:pPr>
            <w:r w:rsidRPr="00DF17A4">
              <w:t>$1</w:t>
            </w:r>
          </w:p>
        </w:tc>
        <w:tc>
          <w:tcPr>
            <w:tcW w:w="795" w:type="dxa"/>
          </w:tcPr>
          <w:p w:rsidRPr="00DF17A4" w:rsidR="0009115C" w:rsidP="00DF17A4" w:rsidRDefault="0009115C" w14:paraId="180393B7" w14:textId="77777777">
            <w:pPr>
              <w:pStyle w:val="Standard"/>
              <w:spacing w:line="240" w:lineRule="auto"/>
              <w:ind w:firstLine="0"/>
              <w:jc w:val="right"/>
            </w:pPr>
            <w:r w:rsidRPr="00DF17A4">
              <w:t>$1</w:t>
            </w:r>
          </w:p>
        </w:tc>
        <w:tc>
          <w:tcPr>
            <w:tcW w:w="736" w:type="dxa"/>
          </w:tcPr>
          <w:p w:rsidRPr="00DF17A4" w:rsidR="0009115C" w:rsidP="00DF17A4" w:rsidRDefault="0009115C" w14:paraId="5C469497" w14:textId="77777777">
            <w:pPr>
              <w:pStyle w:val="Standard"/>
              <w:spacing w:line="240" w:lineRule="auto"/>
              <w:ind w:firstLine="0"/>
              <w:jc w:val="right"/>
            </w:pPr>
            <w:r w:rsidRPr="00DF17A4">
              <w:t>$1</w:t>
            </w:r>
          </w:p>
        </w:tc>
        <w:tc>
          <w:tcPr>
            <w:tcW w:w="1487" w:type="dxa"/>
          </w:tcPr>
          <w:p w:rsidRPr="00DF17A4" w:rsidR="0009115C" w:rsidP="00DF17A4" w:rsidRDefault="0009115C" w14:paraId="1ABF5F24" w14:textId="77777777">
            <w:pPr>
              <w:pStyle w:val="Standard"/>
              <w:spacing w:line="240" w:lineRule="auto"/>
              <w:ind w:firstLine="0"/>
              <w:jc w:val="right"/>
            </w:pPr>
            <w:r w:rsidRPr="00DF17A4">
              <w:t>$13</w:t>
            </w:r>
          </w:p>
        </w:tc>
      </w:tr>
      <w:tr w:rsidRPr="00DF17A4" w:rsidR="0009115C" w:rsidTr="00DF17A4" w14:paraId="485517B3" w14:textId="77777777">
        <w:trPr>
          <w:jc w:val="center"/>
        </w:trPr>
        <w:tc>
          <w:tcPr>
            <w:tcW w:w="1345" w:type="dxa"/>
          </w:tcPr>
          <w:p w:rsidRPr="00DF17A4" w:rsidR="0009115C" w:rsidP="00DF17A4" w:rsidRDefault="0009115C" w14:paraId="4D2D4B4A" w14:textId="77777777">
            <w:pPr>
              <w:pStyle w:val="Standard"/>
              <w:keepNext/>
              <w:spacing w:line="240" w:lineRule="auto"/>
              <w:ind w:firstLine="0"/>
            </w:pPr>
            <w:r w:rsidRPr="00DF17A4">
              <w:t>SWG</w:t>
            </w:r>
          </w:p>
        </w:tc>
        <w:tc>
          <w:tcPr>
            <w:tcW w:w="874" w:type="dxa"/>
          </w:tcPr>
          <w:p w:rsidRPr="00DF17A4" w:rsidR="0009115C" w:rsidP="00DF17A4" w:rsidRDefault="0009115C" w14:paraId="5DAE2CE0" w14:textId="77777777">
            <w:pPr>
              <w:pStyle w:val="Standard"/>
              <w:keepNext/>
              <w:spacing w:line="240" w:lineRule="auto"/>
              <w:ind w:firstLine="0"/>
              <w:jc w:val="right"/>
            </w:pPr>
            <w:r w:rsidRPr="00DF17A4">
              <w:t>$4</w:t>
            </w:r>
          </w:p>
        </w:tc>
        <w:tc>
          <w:tcPr>
            <w:tcW w:w="793" w:type="dxa"/>
          </w:tcPr>
          <w:p w:rsidRPr="00DF17A4" w:rsidR="0009115C" w:rsidP="00DF17A4" w:rsidRDefault="0009115C" w14:paraId="7DFC62CA" w14:textId="77777777">
            <w:pPr>
              <w:pStyle w:val="Standard"/>
              <w:keepNext/>
              <w:spacing w:line="240" w:lineRule="auto"/>
              <w:ind w:firstLine="0"/>
              <w:jc w:val="right"/>
            </w:pPr>
            <w:r w:rsidRPr="00DF17A4">
              <w:t>$3</w:t>
            </w:r>
          </w:p>
        </w:tc>
        <w:tc>
          <w:tcPr>
            <w:tcW w:w="795" w:type="dxa"/>
          </w:tcPr>
          <w:p w:rsidRPr="00DF17A4" w:rsidR="0009115C" w:rsidP="00DF17A4" w:rsidRDefault="0009115C" w14:paraId="5666E248" w14:textId="77777777">
            <w:pPr>
              <w:pStyle w:val="Standard"/>
              <w:keepNext/>
              <w:spacing w:line="240" w:lineRule="auto"/>
              <w:ind w:firstLine="0"/>
              <w:jc w:val="right"/>
            </w:pPr>
            <w:r w:rsidRPr="00DF17A4">
              <w:t>$7</w:t>
            </w:r>
          </w:p>
        </w:tc>
        <w:tc>
          <w:tcPr>
            <w:tcW w:w="795" w:type="dxa"/>
          </w:tcPr>
          <w:p w:rsidRPr="00DF17A4" w:rsidR="0009115C" w:rsidP="00DF17A4" w:rsidRDefault="0009115C" w14:paraId="4403CA95" w14:textId="77777777">
            <w:pPr>
              <w:pStyle w:val="Standard"/>
              <w:keepNext/>
              <w:spacing w:line="240" w:lineRule="auto"/>
              <w:ind w:firstLine="0"/>
              <w:jc w:val="right"/>
            </w:pPr>
            <w:r w:rsidRPr="00DF17A4">
              <w:t>$3</w:t>
            </w:r>
          </w:p>
        </w:tc>
        <w:tc>
          <w:tcPr>
            <w:tcW w:w="795" w:type="dxa"/>
          </w:tcPr>
          <w:p w:rsidRPr="00DF17A4" w:rsidR="0009115C" w:rsidP="00DF17A4" w:rsidRDefault="0009115C" w14:paraId="607F9B95" w14:textId="77777777">
            <w:pPr>
              <w:pStyle w:val="Standard"/>
              <w:keepNext/>
              <w:spacing w:line="240" w:lineRule="auto"/>
              <w:ind w:firstLine="0"/>
              <w:jc w:val="right"/>
            </w:pPr>
            <w:r w:rsidRPr="00DF17A4">
              <w:t>$3</w:t>
            </w:r>
          </w:p>
        </w:tc>
        <w:tc>
          <w:tcPr>
            <w:tcW w:w="795" w:type="dxa"/>
          </w:tcPr>
          <w:p w:rsidRPr="00DF17A4" w:rsidR="0009115C" w:rsidP="00DF17A4" w:rsidRDefault="0009115C" w14:paraId="1A807AB9" w14:textId="77777777">
            <w:pPr>
              <w:pStyle w:val="Standard"/>
              <w:keepNext/>
              <w:spacing w:line="240" w:lineRule="auto"/>
              <w:ind w:firstLine="0"/>
              <w:jc w:val="right"/>
            </w:pPr>
            <w:r w:rsidRPr="00DF17A4">
              <w:t>$3</w:t>
            </w:r>
          </w:p>
        </w:tc>
        <w:tc>
          <w:tcPr>
            <w:tcW w:w="795" w:type="dxa"/>
          </w:tcPr>
          <w:p w:rsidRPr="00DF17A4" w:rsidR="0009115C" w:rsidP="00DF17A4" w:rsidRDefault="0009115C" w14:paraId="4DF0CBA5" w14:textId="77777777">
            <w:pPr>
              <w:pStyle w:val="Standard"/>
              <w:keepNext/>
              <w:spacing w:line="240" w:lineRule="auto"/>
              <w:ind w:firstLine="0"/>
              <w:jc w:val="right"/>
            </w:pPr>
            <w:r w:rsidRPr="00DF17A4">
              <w:t>$3</w:t>
            </w:r>
          </w:p>
        </w:tc>
        <w:tc>
          <w:tcPr>
            <w:tcW w:w="795" w:type="dxa"/>
          </w:tcPr>
          <w:p w:rsidRPr="00DF17A4" w:rsidR="0009115C" w:rsidP="00DF17A4" w:rsidRDefault="0009115C" w14:paraId="29C15AE0" w14:textId="77777777">
            <w:pPr>
              <w:pStyle w:val="Standard"/>
              <w:keepNext/>
              <w:spacing w:line="240" w:lineRule="auto"/>
              <w:ind w:firstLine="0"/>
              <w:jc w:val="right"/>
            </w:pPr>
            <w:r w:rsidRPr="00DF17A4">
              <w:t>$3</w:t>
            </w:r>
          </w:p>
        </w:tc>
        <w:tc>
          <w:tcPr>
            <w:tcW w:w="795" w:type="dxa"/>
          </w:tcPr>
          <w:p w:rsidRPr="00DF17A4" w:rsidR="0009115C" w:rsidP="00DF17A4" w:rsidRDefault="0009115C" w14:paraId="79C8065C" w14:textId="77777777">
            <w:pPr>
              <w:pStyle w:val="Standard"/>
              <w:keepNext/>
              <w:spacing w:line="240" w:lineRule="auto"/>
              <w:ind w:firstLine="0"/>
              <w:jc w:val="right"/>
            </w:pPr>
            <w:r w:rsidRPr="00DF17A4">
              <w:t>$3</w:t>
            </w:r>
          </w:p>
        </w:tc>
        <w:tc>
          <w:tcPr>
            <w:tcW w:w="736" w:type="dxa"/>
          </w:tcPr>
          <w:p w:rsidRPr="00DF17A4" w:rsidR="0009115C" w:rsidP="00DF17A4" w:rsidRDefault="0009115C" w14:paraId="09A8E01A" w14:textId="77777777">
            <w:pPr>
              <w:pStyle w:val="Standard"/>
              <w:keepNext/>
              <w:spacing w:line="240" w:lineRule="auto"/>
              <w:ind w:firstLine="0"/>
              <w:jc w:val="right"/>
            </w:pPr>
            <w:r w:rsidRPr="00DF17A4">
              <w:t>$3</w:t>
            </w:r>
          </w:p>
        </w:tc>
        <w:tc>
          <w:tcPr>
            <w:tcW w:w="1487" w:type="dxa"/>
          </w:tcPr>
          <w:p w:rsidRPr="00DF17A4" w:rsidR="0009115C" w:rsidP="00DF17A4" w:rsidRDefault="0009115C" w14:paraId="2EA9EF7B" w14:textId="77777777">
            <w:pPr>
              <w:pStyle w:val="Standard"/>
              <w:keepNext/>
              <w:spacing w:line="240" w:lineRule="auto"/>
              <w:ind w:firstLine="0"/>
              <w:jc w:val="right"/>
            </w:pPr>
            <w:r w:rsidRPr="00DF17A4">
              <w:t>$35</w:t>
            </w:r>
          </w:p>
        </w:tc>
      </w:tr>
      <w:tr w:rsidRPr="00DF17A4" w:rsidR="0009115C" w:rsidTr="00DF17A4" w14:paraId="18CD3C0E" w14:textId="77777777">
        <w:trPr>
          <w:jc w:val="center"/>
        </w:trPr>
        <w:tc>
          <w:tcPr>
            <w:tcW w:w="1345" w:type="dxa"/>
          </w:tcPr>
          <w:p w:rsidRPr="00DF17A4" w:rsidR="0009115C" w:rsidP="00DF17A4" w:rsidRDefault="0009115C" w14:paraId="037B1BF3" w14:textId="77777777">
            <w:pPr>
              <w:pStyle w:val="Standard"/>
              <w:spacing w:line="240" w:lineRule="auto"/>
              <w:ind w:firstLine="0"/>
            </w:pPr>
            <w:r w:rsidRPr="00DF17A4">
              <w:t>Total</w:t>
            </w:r>
          </w:p>
        </w:tc>
        <w:tc>
          <w:tcPr>
            <w:tcW w:w="874" w:type="dxa"/>
          </w:tcPr>
          <w:p w:rsidRPr="00DF17A4" w:rsidR="0009115C" w:rsidP="00DF17A4" w:rsidRDefault="0009115C" w14:paraId="24EBFEAA" w14:textId="77777777">
            <w:pPr>
              <w:pStyle w:val="Standard"/>
              <w:spacing w:line="240" w:lineRule="auto"/>
              <w:ind w:firstLine="0"/>
              <w:jc w:val="right"/>
              <w:rPr>
                <w:b/>
              </w:rPr>
            </w:pPr>
            <w:r w:rsidRPr="00DF17A4">
              <w:rPr>
                <w:b/>
              </w:rPr>
              <w:t>$97</w:t>
            </w:r>
          </w:p>
        </w:tc>
        <w:tc>
          <w:tcPr>
            <w:tcW w:w="793" w:type="dxa"/>
          </w:tcPr>
          <w:p w:rsidRPr="00DF17A4" w:rsidR="0009115C" w:rsidP="00DF17A4" w:rsidRDefault="0009115C" w14:paraId="0C957AE1" w14:textId="77777777">
            <w:pPr>
              <w:pStyle w:val="Standard"/>
              <w:spacing w:line="240" w:lineRule="auto"/>
              <w:ind w:firstLine="0"/>
              <w:jc w:val="right"/>
              <w:rPr>
                <w:b/>
              </w:rPr>
            </w:pPr>
            <w:r w:rsidRPr="00DF17A4">
              <w:rPr>
                <w:b/>
              </w:rPr>
              <w:t>$117</w:t>
            </w:r>
          </w:p>
        </w:tc>
        <w:tc>
          <w:tcPr>
            <w:tcW w:w="795" w:type="dxa"/>
          </w:tcPr>
          <w:p w:rsidRPr="00DF17A4" w:rsidR="0009115C" w:rsidP="00DF17A4" w:rsidRDefault="0009115C" w14:paraId="5D97C947" w14:textId="77777777">
            <w:pPr>
              <w:pStyle w:val="Standard"/>
              <w:spacing w:line="240" w:lineRule="auto"/>
              <w:ind w:firstLine="0"/>
              <w:jc w:val="right"/>
              <w:rPr>
                <w:b/>
              </w:rPr>
            </w:pPr>
            <w:r w:rsidRPr="00DF17A4">
              <w:rPr>
                <w:b/>
              </w:rPr>
              <w:t>$135</w:t>
            </w:r>
          </w:p>
        </w:tc>
        <w:tc>
          <w:tcPr>
            <w:tcW w:w="795" w:type="dxa"/>
          </w:tcPr>
          <w:p w:rsidRPr="00DF17A4" w:rsidR="0009115C" w:rsidP="00DF17A4" w:rsidRDefault="0009115C" w14:paraId="231183D5" w14:textId="77777777">
            <w:pPr>
              <w:pStyle w:val="Standard"/>
              <w:spacing w:line="240" w:lineRule="auto"/>
              <w:ind w:firstLine="0"/>
              <w:jc w:val="right"/>
              <w:rPr>
                <w:b/>
              </w:rPr>
            </w:pPr>
            <w:r w:rsidRPr="00DF17A4">
              <w:rPr>
                <w:b/>
              </w:rPr>
              <w:t>$143</w:t>
            </w:r>
          </w:p>
        </w:tc>
        <w:tc>
          <w:tcPr>
            <w:tcW w:w="795" w:type="dxa"/>
          </w:tcPr>
          <w:p w:rsidRPr="00DF17A4" w:rsidR="0009115C" w:rsidP="00DF17A4" w:rsidRDefault="0009115C" w14:paraId="71FB5074" w14:textId="77777777">
            <w:pPr>
              <w:pStyle w:val="Standard"/>
              <w:spacing w:line="240" w:lineRule="auto"/>
              <w:ind w:firstLine="0"/>
              <w:jc w:val="right"/>
              <w:rPr>
                <w:b/>
              </w:rPr>
            </w:pPr>
            <w:r w:rsidRPr="00DF17A4">
              <w:rPr>
                <w:b/>
              </w:rPr>
              <w:t>$130</w:t>
            </w:r>
          </w:p>
        </w:tc>
        <w:tc>
          <w:tcPr>
            <w:tcW w:w="795" w:type="dxa"/>
          </w:tcPr>
          <w:p w:rsidRPr="00DF17A4" w:rsidR="0009115C" w:rsidP="00DF17A4" w:rsidRDefault="0009115C" w14:paraId="514A5652" w14:textId="77777777">
            <w:pPr>
              <w:pStyle w:val="Standard"/>
              <w:spacing w:line="240" w:lineRule="auto"/>
              <w:ind w:firstLine="0"/>
              <w:jc w:val="right"/>
              <w:rPr>
                <w:b/>
              </w:rPr>
            </w:pPr>
            <w:r w:rsidRPr="00DF17A4">
              <w:rPr>
                <w:b/>
              </w:rPr>
              <w:t>$162</w:t>
            </w:r>
          </w:p>
        </w:tc>
        <w:tc>
          <w:tcPr>
            <w:tcW w:w="795" w:type="dxa"/>
          </w:tcPr>
          <w:p w:rsidRPr="00DF17A4" w:rsidR="0009115C" w:rsidP="00DF17A4" w:rsidRDefault="0009115C" w14:paraId="2BDE5C16" w14:textId="77777777">
            <w:pPr>
              <w:pStyle w:val="Standard"/>
              <w:spacing w:line="240" w:lineRule="auto"/>
              <w:ind w:firstLine="0"/>
              <w:jc w:val="right"/>
              <w:rPr>
                <w:b/>
              </w:rPr>
            </w:pPr>
            <w:r w:rsidRPr="00DF17A4">
              <w:rPr>
                <w:b/>
              </w:rPr>
              <w:t>$168</w:t>
            </w:r>
          </w:p>
        </w:tc>
        <w:tc>
          <w:tcPr>
            <w:tcW w:w="795" w:type="dxa"/>
          </w:tcPr>
          <w:p w:rsidRPr="00DF17A4" w:rsidR="0009115C" w:rsidP="00DF17A4" w:rsidRDefault="0009115C" w14:paraId="0C7F78BC" w14:textId="77777777">
            <w:pPr>
              <w:pStyle w:val="Standard"/>
              <w:spacing w:line="240" w:lineRule="auto"/>
              <w:ind w:firstLine="0"/>
              <w:jc w:val="right"/>
              <w:rPr>
                <w:b/>
              </w:rPr>
            </w:pPr>
            <w:r w:rsidRPr="00DF17A4">
              <w:rPr>
                <w:b/>
              </w:rPr>
              <w:t>$167</w:t>
            </w:r>
          </w:p>
        </w:tc>
        <w:tc>
          <w:tcPr>
            <w:tcW w:w="795" w:type="dxa"/>
          </w:tcPr>
          <w:p w:rsidRPr="00DF17A4" w:rsidR="0009115C" w:rsidP="00DF17A4" w:rsidRDefault="0009115C" w14:paraId="11477561" w14:textId="77777777">
            <w:pPr>
              <w:pStyle w:val="Standard"/>
              <w:spacing w:line="240" w:lineRule="auto"/>
              <w:ind w:firstLine="0"/>
              <w:jc w:val="right"/>
              <w:rPr>
                <w:b/>
              </w:rPr>
            </w:pPr>
            <w:r w:rsidRPr="00DF17A4">
              <w:rPr>
                <w:b/>
              </w:rPr>
              <w:t>$163</w:t>
            </w:r>
          </w:p>
        </w:tc>
        <w:tc>
          <w:tcPr>
            <w:tcW w:w="736" w:type="dxa"/>
          </w:tcPr>
          <w:p w:rsidRPr="00DF17A4" w:rsidR="0009115C" w:rsidP="00DF17A4" w:rsidRDefault="0009115C" w14:paraId="7D6EBCBD" w14:textId="77777777">
            <w:pPr>
              <w:pStyle w:val="Standard"/>
              <w:spacing w:line="240" w:lineRule="auto"/>
              <w:ind w:firstLine="0"/>
              <w:jc w:val="right"/>
              <w:rPr>
                <w:b/>
              </w:rPr>
            </w:pPr>
            <w:r w:rsidRPr="00DF17A4">
              <w:rPr>
                <w:b/>
              </w:rPr>
              <w:t>$160</w:t>
            </w:r>
          </w:p>
        </w:tc>
        <w:tc>
          <w:tcPr>
            <w:tcW w:w="1487" w:type="dxa"/>
          </w:tcPr>
          <w:p w:rsidRPr="00DF17A4" w:rsidR="0009115C" w:rsidP="00DF17A4" w:rsidRDefault="0009115C" w14:paraId="1C4B88D6" w14:textId="77777777">
            <w:pPr>
              <w:pStyle w:val="Standard"/>
              <w:spacing w:line="240" w:lineRule="auto"/>
              <w:ind w:firstLine="0"/>
              <w:jc w:val="right"/>
              <w:rPr>
                <w:b/>
              </w:rPr>
            </w:pPr>
            <w:r w:rsidRPr="00DF17A4">
              <w:rPr>
                <w:b/>
              </w:rPr>
              <w:t>$1,441</w:t>
            </w:r>
          </w:p>
        </w:tc>
      </w:tr>
    </w:tbl>
    <w:p w:rsidR="00BB6E5A" w:rsidP="00664138" w:rsidRDefault="00BB6E5A" w14:paraId="2ECBF7A1" w14:textId="092D09BF">
      <w:pPr>
        <w:pStyle w:val="Standard"/>
        <w:spacing w:before="180"/>
      </w:pPr>
      <w:r>
        <w:t xml:space="preserve">Once the gas line </w:t>
      </w:r>
      <w:r w:rsidRPr="00436F49">
        <w:t>extensions</w:t>
      </w:r>
      <w:r>
        <w:t xml:space="preserve"> are built, the gas IOUs own and operate the facilities as a part of their systems. The IOUs recover the expended gas line subsidies as capital costs through their ratebase</w:t>
      </w:r>
      <w:r w:rsidR="00C22221">
        <w:t>,</w:t>
      </w:r>
      <w:r>
        <w:t xml:space="preserve"> </w:t>
      </w:r>
      <w:r w:rsidR="00495A14">
        <w:t>subject to depreciation</w:t>
      </w:r>
      <w:r>
        <w:t xml:space="preserve"> and </w:t>
      </w:r>
      <w:r w:rsidR="00C22221">
        <w:t>rates</w:t>
      </w:r>
      <w:r>
        <w:t xml:space="preserve"> of </w:t>
      </w:r>
      <w:r w:rsidR="00C22221">
        <w:t>return</w:t>
      </w:r>
      <w:r>
        <w:t xml:space="preserve"> over the </w:t>
      </w:r>
      <w:r w:rsidR="00495A14">
        <w:t xml:space="preserve">depreciable </w:t>
      </w:r>
      <w:r>
        <w:t xml:space="preserve">life </w:t>
      </w:r>
      <w:r w:rsidR="000F71EB">
        <w:t>(</w:t>
      </w:r>
      <w:r w:rsidRPr="00FF6135" w:rsidR="000F71EB">
        <w:rPr>
          <w:i/>
          <w:iCs/>
        </w:rPr>
        <w:t>e.g.</w:t>
      </w:r>
      <w:r w:rsidR="000F71EB">
        <w:t>, 30</w:t>
      </w:r>
      <w:r w:rsidR="00513B3F">
        <w:t> </w:t>
      </w:r>
      <w:r w:rsidR="000F71EB">
        <w:t xml:space="preserve">years) </w:t>
      </w:r>
      <w:r>
        <w:t xml:space="preserve">of the line extensions. As a </w:t>
      </w:r>
      <w:r>
        <w:lastRenderedPageBreak/>
        <w:t xml:space="preserve">result, the total </w:t>
      </w:r>
      <w:r w:rsidR="000F71EB">
        <w:t>amounts paid by ratepayers (</w:t>
      </w:r>
      <w:r>
        <w:t>revenue requirements</w:t>
      </w:r>
      <w:r w:rsidR="000F71EB">
        <w:t>)</w:t>
      </w:r>
      <w:r>
        <w:t xml:space="preserve"> associated with the 2017</w:t>
      </w:r>
      <w:r w:rsidR="00513B3F">
        <w:noBreakHyphen/>
      </w:r>
      <w:r>
        <w:t xml:space="preserve">2026 total gas line subsidies would be well above </w:t>
      </w:r>
      <w:r w:rsidR="00DD0815">
        <w:t xml:space="preserve">the </w:t>
      </w:r>
      <w:r>
        <w:t>$1.4</w:t>
      </w:r>
      <w:r w:rsidR="00513B3F">
        <w:t> </w:t>
      </w:r>
      <w:r w:rsidR="00DF1B5B">
        <w:t>billion</w:t>
      </w:r>
      <w:r w:rsidR="00C76850">
        <w:t xml:space="preserve">. </w:t>
      </w:r>
    </w:p>
    <w:p w:rsidR="001B2B16" w:rsidP="007C2EF4" w:rsidRDefault="001B2B16" w14:paraId="761042A9" w14:textId="77777777">
      <w:pPr>
        <w:pStyle w:val="Heading1"/>
      </w:pPr>
      <w:bookmarkStart w:name="_Toc109376109" w:id="68"/>
      <w:bookmarkStart w:name="_Toc109141141" w:id="69"/>
      <w:bookmarkStart w:name="_Toc110598555" w:id="70"/>
      <w:r>
        <w:t>Energy Division Staff Proposal</w:t>
      </w:r>
      <w:bookmarkEnd w:id="68"/>
      <w:bookmarkEnd w:id="69"/>
      <w:bookmarkEnd w:id="70"/>
    </w:p>
    <w:p w:rsidR="001B2B16" w:rsidP="00C10E41" w:rsidRDefault="001B2B16" w14:paraId="347197E0" w14:textId="2125860F">
      <w:pPr>
        <w:pStyle w:val="Standard"/>
      </w:pPr>
      <w:r>
        <w:t xml:space="preserve">The Staff </w:t>
      </w:r>
      <w:r w:rsidRPr="000F4BF0">
        <w:t xml:space="preserve">Proposal recommends eliminating </w:t>
      </w:r>
      <w:r>
        <w:t>the</w:t>
      </w:r>
      <w:r w:rsidRPr="000F4BF0">
        <w:t xml:space="preserve"> gas line subsidies for all customer classes. Staff argues that California’s gas line </w:t>
      </w:r>
      <w:r>
        <w:t>subsidies</w:t>
      </w:r>
      <w:r w:rsidRPr="000F4BF0">
        <w:t xml:space="preserve"> are designed to encourage gas usage, as affirmed in both D.89177 and D.91328</w:t>
      </w:r>
      <w:r w:rsidR="00614B02">
        <w:t>, and that b</w:t>
      </w:r>
      <w:r w:rsidRPr="000F4BF0">
        <w:t xml:space="preserve">y allowing builders </w:t>
      </w:r>
      <w:r>
        <w:t xml:space="preserve">to </w:t>
      </w:r>
      <w:r w:rsidRPr="000F4BF0">
        <w:t xml:space="preserve">receive a separate allowance for each approved appliance type, builders are incentivized to install more </w:t>
      </w:r>
      <w:r w:rsidR="003F2D91">
        <w:t xml:space="preserve">gas </w:t>
      </w:r>
      <w:r w:rsidRPr="000F4BF0">
        <w:t>appliances in order to defray more costs. Those gas appliances, in turn, perpetuate reliance on gas service and lock in all associated GHG emissions for the life of the appliance</w:t>
      </w:r>
      <w:r w:rsidR="0051646B">
        <w:t>,</w:t>
      </w:r>
      <w:r w:rsidRPr="000F4BF0">
        <w:t xml:space="preserve"> which averages 10 to 20 years for a gas water heater and 18 years for a gas furnace unless the appliance is</w:t>
      </w:r>
      <w:r w:rsidRPr="000F4BF0">
        <w:rPr>
          <w:rFonts w:ascii="Garamond" w:hAnsi="Garamond" w:cs="Garamond"/>
          <w:color w:val="000000"/>
          <w:sz w:val="23"/>
          <w:szCs w:val="23"/>
        </w:rPr>
        <w:t xml:space="preserve"> </w:t>
      </w:r>
      <w:r w:rsidRPr="000F4BF0">
        <w:t xml:space="preserve">retired early and replaced with an electric alternative. Additionally, </w:t>
      </w:r>
      <w:r w:rsidR="006718E3">
        <w:t xml:space="preserve">a key strategy to reach carbon neutrality </w:t>
      </w:r>
      <w:r w:rsidR="005E2F06">
        <w:t>by</w:t>
      </w:r>
      <w:r w:rsidR="006718E3">
        <w:t xml:space="preserve"> 204</w:t>
      </w:r>
      <w:r w:rsidR="005E2F06">
        <w:t>5</w:t>
      </w:r>
      <w:r w:rsidR="006718E3">
        <w:t xml:space="preserve"> is to phase out gas usage in the building sector.</w:t>
      </w:r>
      <w:r w:rsidR="00171D5A">
        <w:t xml:space="preserve"> </w:t>
      </w:r>
      <w:r w:rsidR="006718E3">
        <w:t>A</w:t>
      </w:r>
      <w:r w:rsidRPr="000F4BF0">
        <w:t>ny new gas infrastructure is likely to become a stranded asset</w:t>
      </w:r>
      <w:r w:rsidR="0034580D">
        <w:t>.</w:t>
      </w:r>
      <w:r w:rsidRPr="000F4BF0">
        <w:t xml:space="preserve"> </w:t>
      </w:r>
      <w:r w:rsidR="00F4548A">
        <w:t xml:space="preserve">The maintenance and operational costs associated with </w:t>
      </w:r>
      <w:r w:rsidR="006718E3">
        <w:t>gas</w:t>
      </w:r>
      <w:r w:rsidR="00F4548A">
        <w:t xml:space="preserve"> infrastructure</w:t>
      </w:r>
      <w:r w:rsidRPr="000F4BF0" w:rsidR="00F4548A">
        <w:t xml:space="preserve"> will need to be paid for by a shrinking number of future gas customers, which will be reflected in higher rates. </w:t>
      </w:r>
      <w:r w:rsidR="00F4548A">
        <w:t>These customers are likely to be low</w:t>
      </w:r>
      <w:r w:rsidR="00513B3F">
        <w:noBreakHyphen/>
      </w:r>
      <w:r w:rsidR="00F4548A">
        <w:t>income customers as they face the greatest barriers to electrification, including affordability challenges presented by the upfront costs of electrification</w:t>
      </w:r>
      <w:r w:rsidRPr="000F4BF0">
        <w:t xml:space="preserve">. </w:t>
      </w:r>
      <w:r w:rsidRPr="000F4BF0" w:rsidR="00B47CD1">
        <w:t xml:space="preserve">As such, the provision of gas line allowances makes it harder to meet California’s GHG reduction goals while increasing the future cost of gas service for customers that are unwilling or unable to </w:t>
      </w:r>
      <w:r w:rsidR="00B47CD1">
        <w:t>switch from gas to electric service</w:t>
      </w:r>
      <w:r w:rsidRPr="000F4BF0">
        <w:t>.</w:t>
      </w:r>
      <w:r w:rsidRPr="000F4BF0">
        <w:rPr>
          <w:rStyle w:val="FootnoteReference"/>
        </w:rPr>
        <w:footnoteReference w:id="39"/>
      </w:r>
      <w:bookmarkStart w:name="_Hlk100244102" w:id="72"/>
      <w:bookmarkStart w:name="_Hlk100243784" w:id="73"/>
      <w:r w:rsidR="00847865">
        <w:t xml:space="preserve"> </w:t>
      </w:r>
      <w:r w:rsidR="00473E42">
        <w:t>The Staff Proposal</w:t>
      </w:r>
      <w:r w:rsidR="00847865">
        <w:t xml:space="preserve"> </w:t>
      </w:r>
      <w:r w:rsidR="007C0373">
        <w:t>provides furt</w:t>
      </w:r>
      <w:r w:rsidR="003A2F99">
        <w:t>her details on</w:t>
      </w:r>
      <w:r w:rsidR="00122F71">
        <w:t xml:space="preserve"> the following benefits in support of eliminating gas line subsidies for all customer classes.</w:t>
      </w:r>
    </w:p>
    <w:p w:rsidR="007750A3" w:rsidP="00F42AEA" w:rsidRDefault="007D7678" w14:paraId="11B9FF78" w14:textId="47A7A7A9">
      <w:pPr>
        <w:pStyle w:val="Heading2"/>
      </w:pPr>
      <w:bookmarkStart w:name="_Hlk100247253" w:id="74"/>
      <w:bookmarkStart w:name="_Toc110598556" w:id="75"/>
      <w:r w:rsidRPr="00F42AEA">
        <w:lastRenderedPageBreak/>
        <w:t xml:space="preserve">Lowers </w:t>
      </w:r>
      <w:bookmarkEnd w:id="74"/>
      <w:r w:rsidRPr="00F42AEA">
        <w:t>Gas Consumption</w:t>
      </w:r>
      <w:r w:rsidR="00337174">
        <w:br/>
      </w:r>
      <w:r w:rsidRPr="00337174">
        <w:t>and GHG Emissions</w:t>
      </w:r>
      <w:bookmarkEnd w:id="75"/>
      <w:r w:rsidRPr="001673FA" w:rsidR="001B2B16">
        <w:t xml:space="preserve"> </w:t>
      </w:r>
    </w:p>
    <w:p w:rsidR="001B2B16" w:rsidP="001B2B16" w:rsidRDefault="001B2B16" w14:paraId="04DC4791" w14:textId="3DB98898">
      <w:pPr>
        <w:pStyle w:val="Standard"/>
      </w:pPr>
      <w:r w:rsidRPr="001673FA">
        <w:t xml:space="preserve">The Staff Proposal </w:t>
      </w:r>
      <w:r>
        <w:t xml:space="preserve">states that since these subsidies </w:t>
      </w:r>
      <w:r w:rsidRPr="004516A3">
        <w:t xml:space="preserve">promote the </w:t>
      </w:r>
      <w:r w:rsidR="00396E47">
        <w:t xml:space="preserve">increased and </w:t>
      </w:r>
      <w:r w:rsidRPr="004516A3">
        <w:t>continued use of gas</w:t>
      </w:r>
      <w:r>
        <w:t xml:space="preserve">, they </w:t>
      </w:r>
      <w:r w:rsidRPr="004516A3">
        <w:t>perpetuate</w:t>
      </w:r>
      <w:r>
        <w:t xml:space="preserve"> </w:t>
      </w:r>
      <w:r w:rsidRPr="004516A3">
        <w:t>reliance on gas service and lock in all associated GHG emissions for the life of the appliance unless the appliance is</w:t>
      </w:r>
      <w:r w:rsidRPr="004516A3">
        <w:rPr>
          <w:rFonts w:ascii="Garamond" w:hAnsi="Garamond" w:cs="Garamond"/>
          <w:color w:val="000000"/>
          <w:sz w:val="24"/>
          <w:szCs w:val="24"/>
        </w:rPr>
        <w:t xml:space="preserve"> </w:t>
      </w:r>
      <w:r w:rsidRPr="004516A3">
        <w:t>retired early and replaced with an electric alternative.</w:t>
      </w:r>
      <w:r w:rsidRPr="00D10894">
        <w:rPr>
          <w:rStyle w:val="FootnoteReference"/>
        </w:rPr>
        <w:t xml:space="preserve"> </w:t>
      </w:r>
      <w:r w:rsidR="00B17684">
        <w:t xml:space="preserve">Staff </w:t>
      </w:r>
      <w:r w:rsidR="00230B8F">
        <w:t>argues</w:t>
      </w:r>
      <w:r w:rsidR="00B17684">
        <w:t xml:space="preserve"> that the elimination of these subsidies </w:t>
      </w:r>
      <w:r w:rsidRPr="004516A3" w:rsidR="00B17684">
        <w:t>would</w:t>
      </w:r>
      <w:r w:rsidR="00B17684">
        <w:t xml:space="preserve"> </w:t>
      </w:r>
      <w:r w:rsidRPr="004516A3" w:rsidR="00B17684">
        <w:t>result in less gas consumption</w:t>
      </w:r>
      <w:r w:rsidR="00B17684">
        <w:t xml:space="preserve">, </w:t>
      </w:r>
      <w:r w:rsidRPr="00376A92" w:rsidR="00B17684">
        <w:t>more electricity consumption</w:t>
      </w:r>
      <w:r w:rsidR="00B17684">
        <w:t xml:space="preserve">, </w:t>
      </w:r>
      <w:r w:rsidRPr="00376A92" w:rsidR="00B17684">
        <w:t xml:space="preserve">fewer GHG emissions and less air </w:t>
      </w:r>
      <w:r w:rsidRPr="004516A3" w:rsidR="00B17684">
        <w:t>pollution</w:t>
      </w:r>
      <w:r w:rsidRPr="004516A3">
        <w:t>.</w:t>
      </w:r>
      <w:r>
        <w:rPr>
          <w:rStyle w:val="FootnoteReference"/>
        </w:rPr>
        <w:footnoteReference w:id="40"/>
      </w:r>
      <w:r w:rsidRPr="004516A3">
        <w:t xml:space="preserve"> </w:t>
      </w:r>
    </w:p>
    <w:p w:rsidR="00BE3D6D" w:rsidP="00F42AEA" w:rsidRDefault="007918BC" w14:paraId="635793CB" w14:textId="6C0CF07B">
      <w:pPr>
        <w:pStyle w:val="Heading2"/>
        <w:rPr>
          <w:bCs/>
        </w:rPr>
      </w:pPr>
      <w:bookmarkStart w:name="_Toc110598557" w:id="77"/>
      <w:r w:rsidRPr="00F42AEA">
        <w:t>Results in Ratepayer Savings</w:t>
      </w:r>
      <w:bookmarkEnd w:id="77"/>
      <w:r w:rsidRPr="00AE5FE6">
        <w:rPr>
          <w:bCs/>
        </w:rPr>
        <w:t xml:space="preserve"> </w:t>
      </w:r>
    </w:p>
    <w:p w:rsidR="001B2B16" w:rsidP="001B2B16" w:rsidRDefault="007918BC" w14:paraId="5F104C89" w14:textId="4EA95439">
      <w:pPr>
        <w:pStyle w:val="Standard"/>
      </w:pPr>
      <w:r w:rsidRPr="00AE5FE6">
        <w:t xml:space="preserve">According to data submitted by the </w:t>
      </w:r>
      <w:r w:rsidRPr="00AE5FE6" w:rsidR="00481913">
        <w:t>gas</w:t>
      </w:r>
      <w:r w:rsidR="00481913">
        <w:t xml:space="preserve"> </w:t>
      </w:r>
      <w:r>
        <w:t>IOUs, and served in</w:t>
      </w:r>
      <w:r w:rsidR="00BE3D6D">
        <w:t xml:space="preserve"> response to</w:t>
      </w:r>
      <w:r>
        <w:t xml:space="preserve"> the </w:t>
      </w:r>
      <w:r w:rsidR="00BE3D6D">
        <w:t>March</w:t>
      </w:r>
      <w:r w:rsidR="007E771B">
        <w:t> </w:t>
      </w:r>
      <w:r w:rsidR="00BE3D6D">
        <w:t>22</w:t>
      </w:r>
      <w:r w:rsidR="00EB5154">
        <w:t>,</w:t>
      </w:r>
      <w:r w:rsidR="00F641DF">
        <w:t> </w:t>
      </w:r>
      <w:r>
        <w:t xml:space="preserve">2022 </w:t>
      </w:r>
      <w:r w:rsidR="00D8097E">
        <w:t>A</w:t>
      </w:r>
      <w:r w:rsidR="00F854C4">
        <w:t xml:space="preserve">ssigned </w:t>
      </w:r>
      <w:r w:rsidR="007F5021">
        <w:t>ALJ</w:t>
      </w:r>
      <w:r w:rsidR="00881A62">
        <w:t>s’</w:t>
      </w:r>
      <w:r w:rsidR="007F5021">
        <w:t> </w:t>
      </w:r>
      <w:r w:rsidR="00F641DF">
        <w:t>R</w:t>
      </w:r>
      <w:r>
        <w:t xml:space="preserve">uling, the total amount of subsidies </w:t>
      </w:r>
      <w:r w:rsidR="00F854C4">
        <w:t xml:space="preserve">provided </w:t>
      </w:r>
      <w:r>
        <w:t xml:space="preserve">across all </w:t>
      </w:r>
      <w:r w:rsidR="005E0ED9">
        <w:t xml:space="preserve">four </w:t>
      </w:r>
      <w:r w:rsidR="00EB5154">
        <w:t xml:space="preserve">gas </w:t>
      </w:r>
      <w:r>
        <w:t xml:space="preserve">IOU territories </w:t>
      </w:r>
      <w:r w:rsidR="00CA5996">
        <w:t>(partial data for SDG&amp;E)</w:t>
      </w:r>
      <w:r w:rsidR="00FD3CE8">
        <w:rPr>
          <w:rStyle w:val="FootnoteReference"/>
        </w:rPr>
        <w:footnoteReference w:id="41"/>
      </w:r>
      <w:r w:rsidR="00CA5996">
        <w:t xml:space="preserve"> </w:t>
      </w:r>
      <w:r>
        <w:t xml:space="preserve">in </w:t>
      </w:r>
      <w:r w:rsidR="00C73718">
        <w:t xml:space="preserve">2021 </w:t>
      </w:r>
      <w:r>
        <w:t xml:space="preserve">was </w:t>
      </w:r>
      <w:r w:rsidR="00477365">
        <w:t xml:space="preserve">approximately </w:t>
      </w:r>
      <w:r>
        <w:t>$</w:t>
      </w:r>
      <w:r w:rsidR="00477365">
        <w:t>130 </w:t>
      </w:r>
      <w:r w:rsidR="00BF7312">
        <w:t>million</w:t>
      </w:r>
      <w:r>
        <w:t>. The IOUs project this to increase in coming years, peaking at $</w:t>
      </w:r>
      <w:r w:rsidR="00477365">
        <w:t>168 </w:t>
      </w:r>
      <w:r w:rsidR="00BF7312">
        <w:t>million</w:t>
      </w:r>
      <w:r w:rsidR="008A1148">
        <w:t xml:space="preserve"> in </w:t>
      </w:r>
      <w:r w:rsidR="008B41C5">
        <w:t>2023</w:t>
      </w:r>
      <w:r>
        <w:t>.</w:t>
      </w:r>
      <w:r>
        <w:rPr>
          <w:rStyle w:val="FootnoteReference"/>
        </w:rPr>
        <w:footnoteReference w:id="42"/>
      </w:r>
      <w:r>
        <w:t xml:space="preserve"> Because of data deficiencies from </w:t>
      </w:r>
      <w:r w:rsidR="00115532">
        <w:t>SDG&amp;E</w:t>
      </w:r>
      <w:r>
        <w:t xml:space="preserve">, these reported aggregated numbers are undoubtedly lower than the </w:t>
      </w:r>
      <w:r w:rsidR="00B23AAA">
        <w:t>actual</w:t>
      </w:r>
      <w:r>
        <w:t xml:space="preserve"> subsidies being pai</w:t>
      </w:r>
      <w:r w:rsidR="00BF058E">
        <w:t>d</w:t>
      </w:r>
      <w:r w:rsidR="00F52FA9">
        <w:t>.</w:t>
      </w:r>
      <w:r w:rsidR="00F834C6">
        <w:t xml:space="preserve"> Additionally, t</w:t>
      </w:r>
      <w:r>
        <w:t>he Staff Proposal states that i</w:t>
      </w:r>
      <w:r w:rsidRPr="005F3FB1">
        <w:t>f a new</w:t>
      </w:r>
      <w:r w:rsidR="0033626B">
        <w:t xml:space="preserve"> dual fuel</w:t>
      </w:r>
      <w:r w:rsidRPr="005F3FB1">
        <w:t xml:space="preserve"> building were to be constructed without </w:t>
      </w:r>
      <w:r>
        <w:t>gas line subsidies</w:t>
      </w:r>
      <w:r w:rsidRPr="005F3FB1">
        <w:t>, gas ratepayers would save even more</w:t>
      </w:r>
      <w:r w:rsidRPr="00753930">
        <w:t xml:space="preserve"> </w:t>
      </w:r>
      <w:r w:rsidRPr="005F3FB1">
        <w:t>as a result of an additional customer sharing in costs necessary to maintain the common carrier pipeline network</w:t>
      </w:r>
      <w:r w:rsidR="003A5C19">
        <w:t>,</w:t>
      </w:r>
      <w:r w:rsidRPr="003A5C19" w:rsidR="003A5C19">
        <w:t xml:space="preserve"> </w:t>
      </w:r>
      <w:r w:rsidR="003A5C19">
        <w:t>so e</w:t>
      </w:r>
      <w:r w:rsidRPr="00F834C6" w:rsidR="003A5C19">
        <w:t xml:space="preserve">liminating the line extension subsidies would save ratepayers </w:t>
      </w:r>
      <w:r w:rsidR="003A5C19">
        <w:t xml:space="preserve">hundreds of </w:t>
      </w:r>
      <w:r w:rsidRPr="00F834C6" w:rsidR="003A5C19">
        <w:t>millions of dollars.</w:t>
      </w:r>
      <w:r w:rsidRPr="005F3FB1">
        <w:t xml:space="preserve"> </w:t>
      </w:r>
      <w:r w:rsidRPr="00550A4C">
        <w:t xml:space="preserve">Although </w:t>
      </w:r>
      <w:r>
        <w:t>it is</w:t>
      </w:r>
      <w:r w:rsidRPr="00550A4C">
        <w:t xml:space="preserve"> note</w:t>
      </w:r>
      <w:r>
        <w:t>d</w:t>
      </w:r>
      <w:r w:rsidRPr="00550A4C">
        <w:t xml:space="preserve"> that </w:t>
      </w:r>
      <w:r>
        <w:t xml:space="preserve">these savings could be used for a multitude of useful purposes, the Staff Proposal does not at this time make any </w:t>
      </w:r>
      <w:r>
        <w:lastRenderedPageBreak/>
        <w:t xml:space="preserve">recommendations on diverting funds for other purposes, but instead highlights that cost savings make </w:t>
      </w:r>
      <w:r w:rsidRPr="00194B55">
        <w:t>other investments possible without causing upward rate pressure.</w:t>
      </w:r>
      <w:r w:rsidRPr="00194B55">
        <w:rPr>
          <w:rStyle w:val="FootnoteReference"/>
        </w:rPr>
        <w:footnoteReference w:id="43"/>
      </w:r>
      <w:r w:rsidRPr="00194B55">
        <w:t xml:space="preserve"> </w:t>
      </w:r>
      <w:r w:rsidRPr="00194B55" w:rsidR="00837AB4">
        <w:t>E</w:t>
      </w:r>
      <w:r w:rsidRPr="00194B55">
        <w:t xml:space="preserve">liminating gas line subsidies for all new constructions would result in the following </w:t>
      </w:r>
      <w:r w:rsidRPr="00194B55" w:rsidR="00BF3455">
        <w:t xml:space="preserve">estimated </w:t>
      </w:r>
      <w:r w:rsidRPr="00194B55" w:rsidR="00322B09">
        <w:t xml:space="preserve">minimum </w:t>
      </w:r>
      <w:r w:rsidRPr="00194B55">
        <w:t>savings</w:t>
      </w:r>
      <w:r w:rsidRPr="00194B55" w:rsidR="00E44E74">
        <w:t xml:space="preserve"> below.</w:t>
      </w:r>
    </w:p>
    <w:p w:rsidR="001B2B16" w:rsidP="00826474" w:rsidRDefault="0067392B" w14:paraId="3A18E765" w14:textId="278E1025">
      <w:pPr>
        <w:pStyle w:val="TableTitle1"/>
        <w:rPr>
          <w:bCs w:val="0"/>
        </w:rPr>
      </w:pPr>
      <w:bookmarkStart w:name="Table3" w:id="79"/>
      <w:r w:rsidRPr="00194B55">
        <w:rPr>
          <w:b/>
          <w:bCs w:val="0"/>
        </w:rPr>
        <w:t>Table 3</w:t>
      </w:r>
      <w:r w:rsidRPr="00194B55" w:rsidR="007B7161">
        <w:rPr>
          <w:b/>
          <w:bCs w:val="0"/>
        </w:rPr>
        <w:t>.</w:t>
      </w:r>
      <w:r w:rsidRPr="00194B55">
        <w:tab/>
        <w:t xml:space="preserve">Estimated </w:t>
      </w:r>
      <w:r w:rsidRPr="00826474">
        <w:t>Annual</w:t>
      </w:r>
      <w:r w:rsidRPr="00194B55">
        <w:t xml:space="preserve"> Savings </w:t>
      </w:r>
      <w:r w:rsidRPr="00194B55" w:rsidR="001F4157">
        <w:t>t</w:t>
      </w:r>
      <w:r w:rsidRPr="00194B55">
        <w:t xml:space="preserve">o Gas Ratepayers </w:t>
      </w:r>
      <w:r w:rsidRPr="00194B55" w:rsidR="001F4157">
        <w:t>f</w:t>
      </w:r>
      <w:r w:rsidRPr="00194B55">
        <w:t>rom Eliminating Residential Gas Line Subsidies</w:t>
      </w:r>
      <w:bookmarkEnd w:id="79"/>
      <w:r w:rsidRPr="00194B55">
        <w:t xml:space="preserve"> </w:t>
      </w:r>
      <w:r w:rsidRPr="00194B55" w:rsidR="00203B62">
        <w:t>(</w:t>
      </w:r>
      <w:r w:rsidRPr="00194B55" w:rsidR="0038593F">
        <w:t>$</w:t>
      </w:r>
      <w:r w:rsidRPr="00194B55">
        <w:t> m</w:t>
      </w:r>
      <w:r w:rsidRPr="00194B55" w:rsidR="0038593F">
        <w:t>illion)</w:t>
      </w:r>
    </w:p>
    <w:tbl>
      <w:tblPr>
        <w:tblStyle w:val="TableGrid"/>
        <w:tblW w:w="11160" w:type="dxa"/>
        <w:jc w:val="center"/>
        <w:tblLayout w:type="fixed"/>
        <w:tblCellMar>
          <w:top w:w="58" w:type="dxa"/>
          <w:bottom w:w="58" w:type="dxa"/>
        </w:tblCellMar>
        <w:tblLook w:val="04A0" w:firstRow="1" w:lastRow="0" w:firstColumn="1" w:lastColumn="0" w:noHBand="0" w:noVBand="1"/>
      </w:tblPr>
      <w:tblGrid>
        <w:gridCol w:w="1255"/>
        <w:gridCol w:w="900"/>
        <w:gridCol w:w="1170"/>
        <w:gridCol w:w="1170"/>
        <w:gridCol w:w="1080"/>
        <w:gridCol w:w="900"/>
        <w:gridCol w:w="810"/>
        <w:gridCol w:w="1170"/>
        <w:gridCol w:w="1080"/>
        <w:gridCol w:w="720"/>
        <w:gridCol w:w="905"/>
      </w:tblGrid>
      <w:tr w:rsidRPr="00D82974" w:rsidR="001B2B16" w:rsidTr="00447548" w14:paraId="5A3B2BFA" w14:textId="77777777">
        <w:trPr>
          <w:tblHeader/>
          <w:jc w:val="center"/>
        </w:trPr>
        <w:tc>
          <w:tcPr>
            <w:tcW w:w="1255" w:type="dxa"/>
            <w:vAlign w:val="bottom"/>
          </w:tcPr>
          <w:p w:rsidRPr="00D82974" w:rsidR="008B7B78" w:rsidP="00EF0025" w:rsidRDefault="001B2B16" w14:paraId="69547EC5" w14:textId="77777777">
            <w:pPr>
              <w:pStyle w:val="Standard"/>
              <w:spacing w:line="240" w:lineRule="auto"/>
              <w:ind w:firstLine="0"/>
              <w:jc w:val="center"/>
              <w:rPr>
                <w:b/>
                <w:bCs/>
                <w:sz w:val="20"/>
                <w:szCs w:val="24"/>
              </w:rPr>
            </w:pPr>
            <w:r w:rsidRPr="00D82974">
              <w:rPr>
                <w:b/>
                <w:bCs/>
                <w:sz w:val="20"/>
                <w:szCs w:val="24"/>
              </w:rPr>
              <w:t xml:space="preserve">Gas Line </w:t>
            </w:r>
          </w:p>
          <w:p w:rsidRPr="00D82974" w:rsidR="001B2B16" w:rsidP="00EF0025" w:rsidRDefault="001B2B16" w14:paraId="70F7EA2D" w14:textId="6C5739E2">
            <w:pPr>
              <w:pStyle w:val="Standard"/>
              <w:spacing w:line="240" w:lineRule="auto"/>
              <w:ind w:firstLine="0"/>
              <w:jc w:val="center"/>
              <w:rPr>
                <w:b/>
                <w:bCs/>
                <w:sz w:val="20"/>
                <w:szCs w:val="24"/>
              </w:rPr>
            </w:pPr>
            <w:r w:rsidRPr="00D82974">
              <w:rPr>
                <w:b/>
                <w:bCs/>
                <w:sz w:val="20"/>
                <w:szCs w:val="24"/>
              </w:rPr>
              <w:t>Subsidies</w:t>
            </w:r>
          </w:p>
        </w:tc>
        <w:tc>
          <w:tcPr>
            <w:tcW w:w="5220" w:type="dxa"/>
            <w:gridSpan w:val="5"/>
            <w:vAlign w:val="bottom"/>
          </w:tcPr>
          <w:p w:rsidRPr="00D82974" w:rsidR="001B2B16" w:rsidP="00EF0025" w:rsidRDefault="001B2B16" w14:paraId="71DFB1F0" w14:textId="4DF634F9">
            <w:pPr>
              <w:pStyle w:val="Standard"/>
              <w:spacing w:line="240" w:lineRule="auto"/>
              <w:ind w:firstLine="0"/>
              <w:jc w:val="center"/>
              <w:rPr>
                <w:b/>
                <w:bCs/>
                <w:sz w:val="20"/>
                <w:szCs w:val="24"/>
              </w:rPr>
            </w:pPr>
            <w:r w:rsidRPr="00D82974">
              <w:rPr>
                <w:b/>
                <w:bCs/>
                <w:sz w:val="20"/>
                <w:szCs w:val="24"/>
              </w:rPr>
              <w:t>202</w:t>
            </w:r>
            <w:r w:rsidRPr="00D82974" w:rsidR="003933AE">
              <w:rPr>
                <w:b/>
                <w:bCs/>
                <w:sz w:val="20"/>
                <w:szCs w:val="24"/>
              </w:rPr>
              <w:t>1</w:t>
            </w:r>
            <w:r w:rsidRPr="00D82974">
              <w:rPr>
                <w:b/>
                <w:bCs/>
                <w:sz w:val="20"/>
                <w:szCs w:val="24"/>
              </w:rPr>
              <w:t xml:space="preserve"> Expenditure</w:t>
            </w:r>
            <w:r w:rsidRPr="00D82974">
              <w:rPr>
                <w:sz w:val="20"/>
                <w:szCs w:val="24"/>
              </w:rPr>
              <w:t>s</w:t>
            </w:r>
            <w:r w:rsidRPr="00D82974">
              <w:rPr>
                <w:rStyle w:val="FootnoteReference"/>
                <w:sz w:val="20"/>
                <w:szCs w:val="24"/>
              </w:rPr>
              <w:footnoteReference w:id="44"/>
            </w:r>
          </w:p>
        </w:tc>
        <w:tc>
          <w:tcPr>
            <w:tcW w:w="4685" w:type="dxa"/>
            <w:gridSpan w:val="5"/>
            <w:vAlign w:val="bottom"/>
          </w:tcPr>
          <w:p w:rsidRPr="00D82974" w:rsidR="001B2B16" w:rsidP="00EF0025" w:rsidRDefault="005E5DFD" w14:paraId="1F771105" w14:textId="77777777">
            <w:pPr>
              <w:pStyle w:val="Standard"/>
              <w:spacing w:line="240" w:lineRule="auto"/>
              <w:ind w:firstLine="0"/>
              <w:jc w:val="center"/>
              <w:rPr>
                <w:b/>
                <w:bCs/>
                <w:sz w:val="20"/>
                <w:szCs w:val="24"/>
              </w:rPr>
            </w:pPr>
            <w:r w:rsidRPr="00D82974">
              <w:rPr>
                <w:b/>
                <w:bCs/>
                <w:sz w:val="20"/>
                <w:szCs w:val="24"/>
              </w:rPr>
              <w:t>Estimated Annual Savings</w:t>
            </w:r>
            <w:r w:rsidRPr="00D82974">
              <w:rPr>
                <w:rStyle w:val="FootnoteReference"/>
                <w:sz w:val="20"/>
                <w:szCs w:val="24"/>
              </w:rPr>
              <w:footnoteReference w:id="45"/>
            </w:r>
          </w:p>
          <w:p w:rsidRPr="00D82974" w:rsidR="001B2B16" w:rsidP="00EF0025" w:rsidRDefault="007B706A" w14:paraId="2DBA2C1D" w14:textId="221C3CDE">
            <w:pPr>
              <w:pStyle w:val="Standard"/>
              <w:spacing w:line="240" w:lineRule="auto"/>
              <w:ind w:firstLine="0"/>
              <w:jc w:val="center"/>
              <w:rPr>
                <w:b/>
                <w:bCs/>
                <w:sz w:val="20"/>
                <w:szCs w:val="24"/>
              </w:rPr>
            </w:pPr>
            <w:r w:rsidRPr="00D82974">
              <w:rPr>
                <w:b/>
                <w:bCs/>
                <w:sz w:val="20"/>
                <w:szCs w:val="24"/>
              </w:rPr>
              <w:t>(Average of Forecast 2024</w:t>
            </w:r>
            <w:r w:rsidR="00513B3F">
              <w:rPr>
                <w:sz w:val="24"/>
                <w:szCs w:val="24"/>
              </w:rPr>
              <w:noBreakHyphen/>
            </w:r>
            <w:r w:rsidRPr="00D82974">
              <w:rPr>
                <w:b/>
                <w:bCs/>
                <w:sz w:val="20"/>
                <w:szCs w:val="24"/>
              </w:rPr>
              <w:t>2026)</w:t>
            </w:r>
          </w:p>
        </w:tc>
      </w:tr>
      <w:tr w:rsidRPr="00D82974" w:rsidR="00D82974" w:rsidTr="00447548" w14:paraId="344810A7" w14:textId="77777777">
        <w:trPr>
          <w:trHeight w:val="260"/>
          <w:tblHeader/>
          <w:jc w:val="center"/>
        </w:trPr>
        <w:tc>
          <w:tcPr>
            <w:tcW w:w="1255" w:type="dxa"/>
            <w:vAlign w:val="bottom"/>
          </w:tcPr>
          <w:p w:rsidRPr="00D82974" w:rsidR="001B2B16" w:rsidP="00EF0025" w:rsidRDefault="001B2B16" w14:paraId="2B12EEB0" w14:textId="77777777">
            <w:pPr>
              <w:pStyle w:val="Standard"/>
              <w:spacing w:line="240" w:lineRule="auto"/>
              <w:ind w:firstLine="0"/>
              <w:jc w:val="center"/>
              <w:rPr>
                <w:sz w:val="20"/>
                <w:szCs w:val="24"/>
              </w:rPr>
            </w:pPr>
          </w:p>
        </w:tc>
        <w:tc>
          <w:tcPr>
            <w:tcW w:w="900" w:type="dxa"/>
            <w:vAlign w:val="bottom"/>
          </w:tcPr>
          <w:p w:rsidRPr="00D82974" w:rsidR="001B2B16" w:rsidP="00EF0025" w:rsidRDefault="001B2B16" w14:paraId="105B99C0" w14:textId="77777777">
            <w:pPr>
              <w:pStyle w:val="Standard"/>
              <w:spacing w:line="240" w:lineRule="auto"/>
              <w:ind w:firstLine="0"/>
              <w:jc w:val="center"/>
              <w:rPr>
                <w:b/>
                <w:bCs/>
                <w:sz w:val="20"/>
                <w:szCs w:val="16"/>
              </w:rPr>
            </w:pPr>
            <w:r w:rsidRPr="00D82974">
              <w:rPr>
                <w:b/>
                <w:bCs/>
                <w:sz w:val="20"/>
                <w:szCs w:val="16"/>
              </w:rPr>
              <w:t>PG&amp;E</w:t>
            </w:r>
          </w:p>
        </w:tc>
        <w:tc>
          <w:tcPr>
            <w:tcW w:w="1170" w:type="dxa"/>
            <w:vAlign w:val="bottom"/>
          </w:tcPr>
          <w:p w:rsidRPr="00D82974" w:rsidR="001B2B16" w:rsidP="00EF0025" w:rsidRDefault="001B2B16" w14:paraId="25261CFD" w14:textId="3B82487A">
            <w:pPr>
              <w:pStyle w:val="Standard"/>
              <w:spacing w:line="240" w:lineRule="auto"/>
              <w:ind w:firstLine="0"/>
              <w:jc w:val="center"/>
              <w:rPr>
                <w:b/>
                <w:bCs/>
                <w:sz w:val="20"/>
                <w:szCs w:val="16"/>
              </w:rPr>
            </w:pPr>
            <w:r w:rsidRPr="00D82974">
              <w:rPr>
                <w:b/>
                <w:bCs/>
                <w:sz w:val="20"/>
                <w:szCs w:val="16"/>
              </w:rPr>
              <w:t>SoCalGas</w:t>
            </w:r>
          </w:p>
        </w:tc>
        <w:tc>
          <w:tcPr>
            <w:tcW w:w="1170" w:type="dxa"/>
            <w:vAlign w:val="bottom"/>
          </w:tcPr>
          <w:p w:rsidRPr="00D82974" w:rsidR="001B2B16" w:rsidP="00EF0025" w:rsidRDefault="001B2B16" w14:paraId="4232DF44" w14:textId="1BA473CD">
            <w:pPr>
              <w:pStyle w:val="Standard"/>
              <w:spacing w:line="240" w:lineRule="auto"/>
              <w:ind w:firstLine="0"/>
              <w:jc w:val="center"/>
              <w:rPr>
                <w:b/>
                <w:bCs/>
                <w:sz w:val="20"/>
                <w:szCs w:val="16"/>
              </w:rPr>
            </w:pPr>
            <w:r w:rsidRPr="00D82974">
              <w:rPr>
                <w:b/>
                <w:bCs/>
                <w:sz w:val="20"/>
                <w:szCs w:val="16"/>
              </w:rPr>
              <w:t>SDG&amp;E</w:t>
            </w:r>
          </w:p>
        </w:tc>
        <w:tc>
          <w:tcPr>
            <w:tcW w:w="1080" w:type="dxa"/>
            <w:vAlign w:val="bottom"/>
          </w:tcPr>
          <w:p w:rsidRPr="00D82974" w:rsidR="001B2B16" w:rsidP="00EF0025" w:rsidRDefault="001B2B16" w14:paraId="34AC06E0" w14:textId="77777777">
            <w:pPr>
              <w:pStyle w:val="Standard"/>
              <w:spacing w:line="240" w:lineRule="auto"/>
              <w:ind w:firstLine="0"/>
              <w:jc w:val="center"/>
              <w:rPr>
                <w:b/>
                <w:bCs/>
                <w:sz w:val="20"/>
                <w:szCs w:val="16"/>
              </w:rPr>
            </w:pPr>
            <w:r w:rsidRPr="00D82974">
              <w:rPr>
                <w:b/>
                <w:bCs/>
                <w:sz w:val="20"/>
                <w:szCs w:val="16"/>
              </w:rPr>
              <w:t>SWG</w:t>
            </w:r>
          </w:p>
        </w:tc>
        <w:tc>
          <w:tcPr>
            <w:tcW w:w="900" w:type="dxa"/>
            <w:vAlign w:val="bottom"/>
          </w:tcPr>
          <w:p w:rsidRPr="00D82974" w:rsidR="001B2B16" w:rsidP="00EF0025" w:rsidRDefault="001B2B16" w14:paraId="46908AAE" w14:textId="77777777">
            <w:pPr>
              <w:pStyle w:val="Standard"/>
              <w:spacing w:line="240" w:lineRule="auto"/>
              <w:ind w:firstLine="0"/>
              <w:jc w:val="center"/>
              <w:rPr>
                <w:b/>
                <w:bCs/>
                <w:sz w:val="20"/>
                <w:szCs w:val="16"/>
              </w:rPr>
            </w:pPr>
            <w:r w:rsidRPr="00D82974">
              <w:rPr>
                <w:b/>
                <w:bCs/>
                <w:sz w:val="20"/>
                <w:szCs w:val="16"/>
              </w:rPr>
              <w:t>Total</w:t>
            </w:r>
          </w:p>
        </w:tc>
        <w:tc>
          <w:tcPr>
            <w:tcW w:w="810" w:type="dxa"/>
            <w:vAlign w:val="bottom"/>
          </w:tcPr>
          <w:p w:rsidRPr="00D82974" w:rsidR="001B2B16" w:rsidP="00EF0025" w:rsidRDefault="001B2B16" w14:paraId="3224FDBE" w14:textId="77777777">
            <w:pPr>
              <w:pStyle w:val="Standard"/>
              <w:spacing w:line="240" w:lineRule="auto"/>
              <w:ind w:firstLine="0"/>
              <w:jc w:val="center"/>
              <w:rPr>
                <w:b/>
                <w:bCs/>
                <w:sz w:val="20"/>
                <w:szCs w:val="16"/>
              </w:rPr>
            </w:pPr>
            <w:r w:rsidRPr="00D82974">
              <w:rPr>
                <w:b/>
                <w:bCs/>
                <w:sz w:val="20"/>
                <w:szCs w:val="16"/>
              </w:rPr>
              <w:t>PG&amp;E</w:t>
            </w:r>
          </w:p>
        </w:tc>
        <w:tc>
          <w:tcPr>
            <w:tcW w:w="1170" w:type="dxa"/>
            <w:vAlign w:val="bottom"/>
          </w:tcPr>
          <w:p w:rsidRPr="00D82974" w:rsidR="001B2B16" w:rsidP="00EF0025" w:rsidRDefault="001B2B16" w14:paraId="50273545" w14:textId="6676C67C">
            <w:pPr>
              <w:pStyle w:val="Standard"/>
              <w:spacing w:line="240" w:lineRule="auto"/>
              <w:ind w:firstLine="0"/>
              <w:jc w:val="center"/>
              <w:rPr>
                <w:b/>
                <w:bCs/>
                <w:sz w:val="20"/>
                <w:szCs w:val="16"/>
              </w:rPr>
            </w:pPr>
            <w:r w:rsidRPr="00D82974">
              <w:rPr>
                <w:b/>
                <w:bCs/>
                <w:sz w:val="20"/>
                <w:szCs w:val="16"/>
              </w:rPr>
              <w:t>SoCalGas</w:t>
            </w:r>
          </w:p>
        </w:tc>
        <w:tc>
          <w:tcPr>
            <w:tcW w:w="1080" w:type="dxa"/>
            <w:vAlign w:val="bottom"/>
          </w:tcPr>
          <w:p w:rsidRPr="00D82974" w:rsidR="001B2B16" w:rsidP="00EF0025" w:rsidRDefault="001B2B16" w14:paraId="0B336A57" w14:textId="4C3655EA">
            <w:pPr>
              <w:pStyle w:val="Standard"/>
              <w:spacing w:line="240" w:lineRule="auto"/>
              <w:ind w:firstLine="0"/>
              <w:jc w:val="center"/>
              <w:rPr>
                <w:b/>
                <w:bCs/>
                <w:sz w:val="20"/>
                <w:szCs w:val="16"/>
              </w:rPr>
            </w:pPr>
            <w:r w:rsidRPr="00D82974">
              <w:rPr>
                <w:b/>
                <w:bCs/>
                <w:sz w:val="20"/>
                <w:szCs w:val="16"/>
              </w:rPr>
              <w:t>SDG&amp;E</w:t>
            </w:r>
          </w:p>
        </w:tc>
        <w:tc>
          <w:tcPr>
            <w:tcW w:w="720" w:type="dxa"/>
            <w:vAlign w:val="bottom"/>
          </w:tcPr>
          <w:p w:rsidRPr="00D82974" w:rsidR="001B2B16" w:rsidP="00EF0025" w:rsidRDefault="001B2B16" w14:paraId="4E835004" w14:textId="77777777">
            <w:pPr>
              <w:pStyle w:val="Standard"/>
              <w:spacing w:line="240" w:lineRule="auto"/>
              <w:ind w:firstLine="0"/>
              <w:jc w:val="center"/>
              <w:rPr>
                <w:b/>
                <w:bCs/>
                <w:sz w:val="20"/>
                <w:szCs w:val="16"/>
              </w:rPr>
            </w:pPr>
            <w:r w:rsidRPr="00D82974">
              <w:rPr>
                <w:b/>
                <w:bCs/>
                <w:sz w:val="20"/>
                <w:szCs w:val="16"/>
              </w:rPr>
              <w:t>SWG</w:t>
            </w:r>
          </w:p>
        </w:tc>
        <w:tc>
          <w:tcPr>
            <w:tcW w:w="905" w:type="dxa"/>
            <w:vAlign w:val="bottom"/>
          </w:tcPr>
          <w:p w:rsidRPr="00D82974" w:rsidR="001B2B16" w:rsidP="00EF0025" w:rsidRDefault="001B2B16" w14:paraId="1EA17D13" w14:textId="77777777">
            <w:pPr>
              <w:pStyle w:val="Standard"/>
              <w:spacing w:line="240" w:lineRule="auto"/>
              <w:ind w:firstLine="0"/>
              <w:jc w:val="center"/>
              <w:rPr>
                <w:b/>
                <w:bCs/>
                <w:sz w:val="20"/>
                <w:szCs w:val="16"/>
              </w:rPr>
            </w:pPr>
            <w:r w:rsidRPr="00D82974">
              <w:rPr>
                <w:b/>
                <w:bCs/>
                <w:sz w:val="20"/>
                <w:szCs w:val="16"/>
              </w:rPr>
              <w:t>Total</w:t>
            </w:r>
          </w:p>
        </w:tc>
      </w:tr>
      <w:tr w:rsidRPr="00D82974" w:rsidR="00D82974" w:rsidTr="00447548" w14:paraId="13E64E81" w14:textId="77777777">
        <w:trPr>
          <w:jc w:val="center"/>
        </w:trPr>
        <w:tc>
          <w:tcPr>
            <w:tcW w:w="1255" w:type="dxa"/>
          </w:tcPr>
          <w:p w:rsidRPr="00D82974" w:rsidR="00B40C99" w:rsidP="00EF0025" w:rsidRDefault="00B40C99" w14:paraId="4BB3ACD6" w14:textId="77777777">
            <w:pPr>
              <w:pStyle w:val="Standard"/>
              <w:spacing w:line="240" w:lineRule="auto"/>
              <w:ind w:firstLine="0"/>
              <w:rPr>
                <w:sz w:val="20"/>
                <w:szCs w:val="22"/>
              </w:rPr>
            </w:pPr>
            <w:r w:rsidRPr="00D82974">
              <w:rPr>
                <w:sz w:val="20"/>
                <w:szCs w:val="22"/>
              </w:rPr>
              <w:t>Allowances</w:t>
            </w:r>
          </w:p>
        </w:tc>
        <w:tc>
          <w:tcPr>
            <w:tcW w:w="900" w:type="dxa"/>
          </w:tcPr>
          <w:p w:rsidRPr="00D82974" w:rsidR="00B40C99" w:rsidP="00447548" w:rsidRDefault="00B40C99" w14:paraId="46FA633C" w14:textId="5D38D630">
            <w:pPr>
              <w:pStyle w:val="Standard"/>
              <w:spacing w:line="240" w:lineRule="auto"/>
              <w:ind w:firstLine="0"/>
              <w:jc w:val="center"/>
              <w:rPr>
                <w:b/>
                <w:bCs/>
                <w:sz w:val="20"/>
                <w:szCs w:val="22"/>
              </w:rPr>
            </w:pPr>
            <w:r w:rsidRPr="00D82974">
              <w:rPr>
                <w:sz w:val="20"/>
                <w:szCs w:val="22"/>
              </w:rPr>
              <w:t>$</w:t>
            </w:r>
            <w:r w:rsidRPr="00D82974" w:rsidR="00B82FE9">
              <w:rPr>
                <w:sz w:val="20"/>
                <w:szCs w:val="22"/>
              </w:rPr>
              <w:t>39</w:t>
            </w:r>
          </w:p>
        </w:tc>
        <w:tc>
          <w:tcPr>
            <w:tcW w:w="1170" w:type="dxa"/>
          </w:tcPr>
          <w:p w:rsidRPr="00D82974" w:rsidR="00B40C99" w:rsidP="00447548" w:rsidRDefault="00B40C99" w14:paraId="0EBDD84E" w14:textId="687DD377">
            <w:pPr>
              <w:pStyle w:val="Standard"/>
              <w:spacing w:line="240" w:lineRule="auto"/>
              <w:ind w:firstLine="0"/>
              <w:jc w:val="center"/>
              <w:rPr>
                <w:b/>
                <w:bCs/>
                <w:sz w:val="20"/>
                <w:szCs w:val="22"/>
              </w:rPr>
            </w:pPr>
            <w:r w:rsidRPr="00D82974">
              <w:rPr>
                <w:sz w:val="20"/>
                <w:szCs w:val="22"/>
              </w:rPr>
              <w:t>$</w:t>
            </w:r>
            <w:r w:rsidRPr="00D82974" w:rsidR="00C61A6C">
              <w:rPr>
                <w:sz w:val="20"/>
                <w:szCs w:val="22"/>
              </w:rPr>
              <w:t>40</w:t>
            </w:r>
          </w:p>
        </w:tc>
        <w:tc>
          <w:tcPr>
            <w:tcW w:w="1170" w:type="dxa"/>
          </w:tcPr>
          <w:p w:rsidRPr="00D82974" w:rsidR="00447548" w:rsidP="00447548" w:rsidRDefault="00447548" w14:paraId="746886D7" w14:textId="3E2668E0">
            <w:pPr>
              <w:pStyle w:val="Standard"/>
              <w:spacing w:line="240" w:lineRule="auto"/>
              <w:ind w:firstLine="0"/>
              <w:jc w:val="center"/>
              <w:rPr>
                <w:sz w:val="20"/>
                <w:szCs w:val="18"/>
              </w:rPr>
            </w:pPr>
            <w:r w:rsidRPr="00D82974">
              <w:rPr>
                <w:sz w:val="20"/>
                <w:szCs w:val="18"/>
              </w:rPr>
              <w:t>Did not</w:t>
            </w:r>
          </w:p>
          <w:p w:rsidRPr="00D82974" w:rsidR="00B40C99" w:rsidP="00447548" w:rsidRDefault="00447548" w14:paraId="241FE435" w14:textId="6B443E9C">
            <w:pPr>
              <w:pStyle w:val="Standard"/>
              <w:spacing w:line="240" w:lineRule="auto"/>
              <w:ind w:firstLine="0"/>
              <w:jc w:val="center"/>
              <w:rPr>
                <w:b/>
                <w:bCs/>
                <w:sz w:val="20"/>
                <w:szCs w:val="22"/>
              </w:rPr>
            </w:pPr>
            <w:r>
              <w:rPr>
                <w:sz w:val="20"/>
                <w:szCs w:val="18"/>
              </w:rPr>
              <w:t>p</w:t>
            </w:r>
            <w:r w:rsidRPr="00D82974">
              <w:rPr>
                <w:sz w:val="20"/>
                <w:szCs w:val="18"/>
              </w:rPr>
              <w:t>rovide</w:t>
            </w:r>
          </w:p>
        </w:tc>
        <w:tc>
          <w:tcPr>
            <w:tcW w:w="1080" w:type="dxa"/>
          </w:tcPr>
          <w:p w:rsidRPr="00D82974" w:rsidR="00B40C99" w:rsidP="00447548" w:rsidRDefault="00B40C99" w14:paraId="76827DBF" w14:textId="629241C0">
            <w:pPr>
              <w:pStyle w:val="Standard"/>
              <w:spacing w:line="240" w:lineRule="auto"/>
              <w:ind w:firstLine="0"/>
              <w:jc w:val="center"/>
              <w:rPr>
                <w:b/>
                <w:bCs/>
                <w:sz w:val="20"/>
                <w:szCs w:val="22"/>
              </w:rPr>
            </w:pPr>
            <w:r w:rsidRPr="00D82974">
              <w:rPr>
                <w:sz w:val="20"/>
                <w:szCs w:val="22"/>
              </w:rPr>
              <w:t>$2</w:t>
            </w:r>
          </w:p>
        </w:tc>
        <w:tc>
          <w:tcPr>
            <w:tcW w:w="900" w:type="dxa"/>
          </w:tcPr>
          <w:p w:rsidRPr="00D82974" w:rsidR="00B40C99" w:rsidP="00447548" w:rsidRDefault="00B40C99" w14:paraId="071F06F2" w14:textId="1FF13D91">
            <w:pPr>
              <w:pStyle w:val="Standard"/>
              <w:spacing w:line="240" w:lineRule="auto"/>
              <w:ind w:firstLine="0"/>
              <w:jc w:val="center"/>
              <w:rPr>
                <w:b/>
                <w:bCs/>
                <w:sz w:val="20"/>
                <w:szCs w:val="22"/>
              </w:rPr>
            </w:pPr>
            <w:r w:rsidRPr="00D82974">
              <w:rPr>
                <w:sz w:val="20"/>
                <w:szCs w:val="22"/>
              </w:rPr>
              <w:t>$</w:t>
            </w:r>
            <w:r w:rsidRPr="00D82974" w:rsidR="000429FD">
              <w:rPr>
                <w:sz w:val="20"/>
                <w:szCs w:val="22"/>
              </w:rPr>
              <w:t>81</w:t>
            </w:r>
          </w:p>
        </w:tc>
        <w:tc>
          <w:tcPr>
            <w:tcW w:w="810" w:type="dxa"/>
          </w:tcPr>
          <w:p w:rsidRPr="00D82974" w:rsidR="00B40C99" w:rsidP="00447548" w:rsidRDefault="00B40C99" w14:paraId="4C5A1D72" w14:textId="599FFA76">
            <w:pPr>
              <w:pStyle w:val="Standard"/>
              <w:spacing w:line="240" w:lineRule="auto"/>
              <w:ind w:firstLine="0"/>
              <w:jc w:val="center"/>
              <w:rPr>
                <w:sz w:val="20"/>
                <w:szCs w:val="22"/>
              </w:rPr>
            </w:pPr>
            <w:r w:rsidRPr="00D82974">
              <w:rPr>
                <w:sz w:val="20"/>
                <w:szCs w:val="22"/>
              </w:rPr>
              <w:t>$</w:t>
            </w:r>
            <w:r w:rsidRPr="00D82974" w:rsidR="00186746">
              <w:rPr>
                <w:sz w:val="20"/>
                <w:szCs w:val="22"/>
              </w:rPr>
              <w:t>47</w:t>
            </w:r>
          </w:p>
        </w:tc>
        <w:tc>
          <w:tcPr>
            <w:tcW w:w="1170" w:type="dxa"/>
          </w:tcPr>
          <w:p w:rsidRPr="00D82974" w:rsidR="00B40C99" w:rsidP="00447548" w:rsidRDefault="00B40C99" w14:paraId="38288CB6" w14:textId="306B168E">
            <w:pPr>
              <w:pStyle w:val="Standard"/>
              <w:spacing w:line="240" w:lineRule="auto"/>
              <w:ind w:firstLine="0"/>
              <w:jc w:val="center"/>
              <w:rPr>
                <w:sz w:val="20"/>
                <w:szCs w:val="22"/>
              </w:rPr>
            </w:pPr>
            <w:r w:rsidRPr="00D82974">
              <w:rPr>
                <w:sz w:val="20"/>
                <w:szCs w:val="22"/>
              </w:rPr>
              <w:t>$</w:t>
            </w:r>
            <w:r w:rsidRPr="00D82974" w:rsidR="00B65E0C">
              <w:rPr>
                <w:sz w:val="20"/>
                <w:szCs w:val="22"/>
              </w:rPr>
              <w:t>41</w:t>
            </w:r>
          </w:p>
        </w:tc>
        <w:tc>
          <w:tcPr>
            <w:tcW w:w="1080" w:type="dxa"/>
          </w:tcPr>
          <w:p w:rsidRPr="00D82974" w:rsidR="00EF0025" w:rsidP="00447548" w:rsidRDefault="000341BA" w14:paraId="1F2210E7" w14:textId="04D39CDA">
            <w:pPr>
              <w:pStyle w:val="Standard"/>
              <w:spacing w:line="240" w:lineRule="auto"/>
              <w:ind w:firstLine="0"/>
              <w:jc w:val="center"/>
              <w:rPr>
                <w:sz w:val="20"/>
                <w:szCs w:val="18"/>
              </w:rPr>
            </w:pPr>
            <w:r w:rsidRPr="00D82974">
              <w:rPr>
                <w:sz w:val="20"/>
                <w:szCs w:val="18"/>
              </w:rPr>
              <w:t>Did not</w:t>
            </w:r>
          </w:p>
          <w:p w:rsidRPr="00D82974" w:rsidR="00B40C99" w:rsidP="00447548" w:rsidRDefault="00396660" w14:paraId="06AAE3FC" w14:textId="4029D01F">
            <w:pPr>
              <w:pStyle w:val="Standard"/>
              <w:spacing w:line="240" w:lineRule="auto"/>
              <w:ind w:firstLine="0"/>
              <w:jc w:val="center"/>
              <w:rPr>
                <w:sz w:val="20"/>
                <w:szCs w:val="18"/>
              </w:rPr>
            </w:pPr>
            <w:r w:rsidRPr="00D82974">
              <w:rPr>
                <w:sz w:val="20"/>
                <w:szCs w:val="18"/>
              </w:rPr>
              <w:t>provide</w:t>
            </w:r>
          </w:p>
        </w:tc>
        <w:tc>
          <w:tcPr>
            <w:tcW w:w="720" w:type="dxa"/>
          </w:tcPr>
          <w:p w:rsidRPr="00D82974" w:rsidR="00B40C99" w:rsidP="00447548" w:rsidRDefault="00B40C99" w14:paraId="64F8E10F" w14:textId="58E7E83C">
            <w:pPr>
              <w:pStyle w:val="Standard"/>
              <w:spacing w:line="240" w:lineRule="auto"/>
              <w:ind w:firstLine="0"/>
              <w:jc w:val="center"/>
              <w:rPr>
                <w:sz w:val="20"/>
                <w:szCs w:val="22"/>
              </w:rPr>
            </w:pPr>
            <w:r w:rsidRPr="00D82974">
              <w:rPr>
                <w:sz w:val="20"/>
                <w:szCs w:val="22"/>
              </w:rPr>
              <w:t>$</w:t>
            </w:r>
            <w:r w:rsidRPr="00D82974" w:rsidR="00121F14">
              <w:rPr>
                <w:sz w:val="20"/>
                <w:szCs w:val="22"/>
              </w:rPr>
              <w:t>2</w:t>
            </w:r>
          </w:p>
        </w:tc>
        <w:tc>
          <w:tcPr>
            <w:tcW w:w="905" w:type="dxa"/>
          </w:tcPr>
          <w:p w:rsidRPr="00D82974" w:rsidR="00B40C99" w:rsidP="00447548" w:rsidRDefault="00B40C99" w14:paraId="3ADEE43A" w14:textId="02D2AD8D">
            <w:pPr>
              <w:pStyle w:val="Standard"/>
              <w:spacing w:line="240" w:lineRule="auto"/>
              <w:ind w:firstLine="0"/>
              <w:jc w:val="center"/>
              <w:rPr>
                <w:sz w:val="20"/>
                <w:szCs w:val="22"/>
              </w:rPr>
            </w:pPr>
            <w:r w:rsidRPr="00D82974">
              <w:rPr>
                <w:sz w:val="20"/>
                <w:szCs w:val="22"/>
              </w:rPr>
              <w:t>$</w:t>
            </w:r>
            <w:r w:rsidRPr="00D82974" w:rsidR="0028613A">
              <w:rPr>
                <w:sz w:val="20"/>
                <w:szCs w:val="22"/>
              </w:rPr>
              <w:t>90</w:t>
            </w:r>
          </w:p>
        </w:tc>
      </w:tr>
      <w:tr w:rsidRPr="00D82974" w:rsidR="00D82974" w:rsidTr="00447548" w14:paraId="1DCE9791" w14:textId="77777777">
        <w:trPr>
          <w:jc w:val="center"/>
        </w:trPr>
        <w:tc>
          <w:tcPr>
            <w:tcW w:w="1255" w:type="dxa"/>
          </w:tcPr>
          <w:p w:rsidRPr="00D82974" w:rsidR="00B40C99" w:rsidP="00EF0025" w:rsidRDefault="00B40C99" w14:paraId="055E5EA5" w14:textId="60D806CE">
            <w:pPr>
              <w:pStyle w:val="Standard"/>
              <w:spacing w:line="240" w:lineRule="auto"/>
              <w:ind w:firstLine="0"/>
              <w:rPr>
                <w:sz w:val="20"/>
                <w:szCs w:val="22"/>
              </w:rPr>
            </w:pPr>
            <w:r w:rsidRPr="00D82974">
              <w:rPr>
                <w:sz w:val="20"/>
                <w:szCs w:val="22"/>
              </w:rPr>
              <w:t xml:space="preserve">Refunds </w:t>
            </w:r>
          </w:p>
        </w:tc>
        <w:tc>
          <w:tcPr>
            <w:tcW w:w="900" w:type="dxa"/>
          </w:tcPr>
          <w:p w:rsidRPr="00D82974" w:rsidR="00B40C99" w:rsidP="00447548" w:rsidRDefault="00B40C99" w14:paraId="106180C3" w14:textId="2748D2DF">
            <w:pPr>
              <w:pStyle w:val="Standard"/>
              <w:spacing w:line="240" w:lineRule="auto"/>
              <w:ind w:firstLine="0"/>
              <w:jc w:val="center"/>
              <w:rPr>
                <w:b/>
                <w:bCs/>
                <w:sz w:val="20"/>
                <w:szCs w:val="22"/>
              </w:rPr>
            </w:pPr>
            <w:r w:rsidRPr="00D82974">
              <w:rPr>
                <w:sz w:val="20"/>
                <w:szCs w:val="22"/>
              </w:rPr>
              <w:t>$</w:t>
            </w:r>
            <w:r w:rsidRPr="00D82974" w:rsidR="001B0FE3">
              <w:rPr>
                <w:sz w:val="20"/>
                <w:szCs w:val="22"/>
              </w:rPr>
              <w:t>0</w:t>
            </w:r>
            <w:r w:rsidRPr="00D82974" w:rsidR="00267CC4">
              <w:rPr>
                <w:sz w:val="20"/>
                <w:szCs w:val="22"/>
              </w:rPr>
              <w:t>.4</w:t>
            </w:r>
          </w:p>
        </w:tc>
        <w:tc>
          <w:tcPr>
            <w:tcW w:w="1170" w:type="dxa"/>
          </w:tcPr>
          <w:p w:rsidRPr="00D82974" w:rsidR="00B40C99" w:rsidP="00447548" w:rsidRDefault="00B40C99" w14:paraId="079581C0" w14:textId="4534FB03">
            <w:pPr>
              <w:pStyle w:val="Standard"/>
              <w:spacing w:line="240" w:lineRule="auto"/>
              <w:ind w:firstLine="0"/>
              <w:jc w:val="center"/>
              <w:rPr>
                <w:b/>
                <w:bCs/>
                <w:sz w:val="20"/>
                <w:szCs w:val="22"/>
              </w:rPr>
            </w:pPr>
            <w:r w:rsidRPr="00D82974">
              <w:rPr>
                <w:sz w:val="20"/>
                <w:szCs w:val="22"/>
              </w:rPr>
              <w:t>$0</w:t>
            </w:r>
            <w:r w:rsidRPr="00D82974" w:rsidR="00966C03">
              <w:rPr>
                <w:sz w:val="20"/>
                <w:szCs w:val="22"/>
              </w:rPr>
              <w:t>.1</w:t>
            </w:r>
          </w:p>
        </w:tc>
        <w:tc>
          <w:tcPr>
            <w:tcW w:w="1170" w:type="dxa"/>
          </w:tcPr>
          <w:p w:rsidRPr="00D82974" w:rsidR="00B40C99" w:rsidP="00447548" w:rsidRDefault="00B40C99" w14:paraId="0D9F4C1D" w14:textId="1C8E7530">
            <w:pPr>
              <w:pStyle w:val="Standard"/>
              <w:spacing w:line="240" w:lineRule="auto"/>
              <w:ind w:firstLine="0"/>
              <w:jc w:val="center"/>
              <w:rPr>
                <w:b/>
                <w:bCs/>
                <w:sz w:val="20"/>
                <w:szCs w:val="22"/>
              </w:rPr>
            </w:pPr>
            <w:r w:rsidRPr="00D82974">
              <w:rPr>
                <w:sz w:val="20"/>
                <w:szCs w:val="22"/>
              </w:rPr>
              <w:t>$1</w:t>
            </w:r>
          </w:p>
        </w:tc>
        <w:tc>
          <w:tcPr>
            <w:tcW w:w="1080" w:type="dxa"/>
          </w:tcPr>
          <w:p w:rsidRPr="00D82974" w:rsidR="00B40C99" w:rsidP="00447548" w:rsidRDefault="00B40C99" w14:paraId="3337B234" w14:textId="203276C6">
            <w:pPr>
              <w:pStyle w:val="Standard"/>
              <w:spacing w:line="240" w:lineRule="auto"/>
              <w:ind w:firstLine="0"/>
              <w:jc w:val="center"/>
              <w:rPr>
                <w:b/>
                <w:bCs/>
                <w:sz w:val="20"/>
                <w:szCs w:val="22"/>
              </w:rPr>
            </w:pPr>
            <w:r w:rsidRPr="00D82974">
              <w:rPr>
                <w:sz w:val="20"/>
                <w:szCs w:val="22"/>
              </w:rPr>
              <w:t>$</w:t>
            </w:r>
            <w:r w:rsidRPr="00D82974" w:rsidR="0033550A">
              <w:rPr>
                <w:sz w:val="20"/>
                <w:szCs w:val="22"/>
              </w:rPr>
              <w:t>.07</w:t>
            </w:r>
          </w:p>
        </w:tc>
        <w:tc>
          <w:tcPr>
            <w:tcW w:w="900" w:type="dxa"/>
          </w:tcPr>
          <w:p w:rsidRPr="00D82974" w:rsidR="00B40C99" w:rsidP="00447548" w:rsidRDefault="00B40C99" w14:paraId="7ABC3B2C" w14:textId="4B035695">
            <w:pPr>
              <w:pStyle w:val="Standard"/>
              <w:spacing w:line="240" w:lineRule="auto"/>
              <w:ind w:firstLine="0"/>
              <w:jc w:val="center"/>
              <w:rPr>
                <w:b/>
                <w:bCs/>
                <w:sz w:val="20"/>
                <w:szCs w:val="22"/>
              </w:rPr>
            </w:pPr>
            <w:r w:rsidRPr="00D82974">
              <w:rPr>
                <w:sz w:val="20"/>
                <w:szCs w:val="22"/>
              </w:rPr>
              <w:t>$</w:t>
            </w:r>
            <w:r w:rsidRPr="00D82974" w:rsidR="00DD5CFC">
              <w:rPr>
                <w:sz w:val="20"/>
                <w:szCs w:val="22"/>
              </w:rPr>
              <w:t>1.</w:t>
            </w:r>
            <w:r w:rsidRPr="00D82974" w:rsidR="004573E3">
              <w:rPr>
                <w:sz w:val="20"/>
                <w:szCs w:val="22"/>
              </w:rPr>
              <w:t>5</w:t>
            </w:r>
            <w:r w:rsidRPr="00D82974" w:rsidR="00DD5CFC">
              <w:rPr>
                <w:sz w:val="20"/>
                <w:szCs w:val="22"/>
              </w:rPr>
              <w:t>7</w:t>
            </w:r>
          </w:p>
        </w:tc>
        <w:tc>
          <w:tcPr>
            <w:tcW w:w="810" w:type="dxa"/>
          </w:tcPr>
          <w:p w:rsidRPr="00D82974" w:rsidR="00B40C99" w:rsidP="00447548" w:rsidRDefault="00B40C99" w14:paraId="2236EF5D" w14:textId="28E07631">
            <w:pPr>
              <w:pStyle w:val="Standard"/>
              <w:spacing w:line="240" w:lineRule="auto"/>
              <w:ind w:firstLine="0"/>
              <w:jc w:val="center"/>
              <w:rPr>
                <w:sz w:val="20"/>
                <w:szCs w:val="22"/>
              </w:rPr>
            </w:pPr>
            <w:r w:rsidRPr="00D82974">
              <w:rPr>
                <w:sz w:val="20"/>
                <w:szCs w:val="22"/>
              </w:rPr>
              <w:t>$</w:t>
            </w:r>
            <w:r w:rsidRPr="00D82974" w:rsidR="005D1B8A">
              <w:rPr>
                <w:sz w:val="20"/>
                <w:szCs w:val="22"/>
              </w:rPr>
              <w:t>.5</w:t>
            </w:r>
          </w:p>
        </w:tc>
        <w:tc>
          <w:tcPr>
            <w:tcW w:w="1170" w:type="dxa"/>
          </w:tcPr>
          <w:p w:rsidRPr="00D82974" w:rsidR="00B40C99" w:rsidP="00447548" w:rsidRDefault="00B40C99" w14:paraId="30897750" w14:textId="6022F66B">
            <w:pPr>
              <w:pStyle w:val="Standard"/>
              <w:spacing w:line="240" w:lineRule="auto"/>
              <w:ind w:firstLine="0"/>
              <w:jc w:val="center"/>
              <w:rPr>
                <w:sz w:val="20"/>
                <w:szCs w:val="22"/>
              </w:rPr>
            </w:pPr>
            <w:r w:rsidRPr="00D82974">
              <w:rPr>
                <w:sz w:val="20"/>
                <w:szCs w:val="22"/>
              </w:rPr>
              <w:t>$</w:t>
            </w:r>
            <w:r w:rsidRPr="00D82974" w:rsidR="005F5D53">
              <w:rPr>
                <w:sz w:val="20"/>
                <w:szCs w:val="22"/>
              </w:rPr>
              <w:t>0</w:t>
            </w:r>
          </w:p>
        </w:tc>
        <w:tc>
          <w:tcPr>
            <w:tcW w:w="1080" w:type="dxa"/>
          </w:tcPr>
          <w:p w:rsidRPr="00D82974" w:rsidR="00B40C99" w:rsidP="00447548" w:rsidRDefault="00B40C99" w14:paraId="24B2F834" w14:textId="393C9FDE">
            <w:pPr>
              <w:pStyle w:val="Standard"/>
              <w:spacing w:line="240" w:lineRule="auto"/>
              <w:ind w:firstLine="0"/>
              <w:jc w:val="center"/>
              <w:rPr>
                <w:sz w:val="20"/>
                <w:szCs w:val="22"/>
              </w:rPr>
            </w:pPr>
            <w:r w:rsidRPr="00D82974">
              <w:rPr>
                <w:sz w:val="20"/>
                <w:szCs w:val="22"/>
              </w:rPr>
              <w:t>$1</w:t>
            </w:r>
          </w:p>
        </w:tc>
        <w:tc>
          <w:tcPr>
            <w:tcW w:w="720" w:type="dxa"/>
          </w:tcPr>
          <w:p w:rsidRPr="00D82974" w:rsidR="00B40C99" w:rsidP="00447548" w:rsidRDefault="005544E9" w14:paraId="00E8A8F4" w14:textId="2BD9223C">
            <w:pPr>
              <w:pStyle w:val="Standard"/>
              <w:spacing w:line="240" w:lineRule="auto"/>
              <w:ind w:firstLine="0"/>
              <w:jc w:val="center"/>
              <w:rPr>
                <w:sz w:val="20"/>
                <w:szCs w:val="22"/>
              </w:rPr>
            </w:pPr>
            <w:r w:rsidRPr="00D82974">
              <w:rPr>
                <w:sz w:val="20"/>
                <w:szCs w:val="22"/>
              </w:rPr>
              <w:t>$0</w:t>
            </w:r>
          </w:p>
        </w:tc>
        <w:tc>
          <w:tcPr>
            <w:tcW w:w="905" w:type="dxa"/>
          </w:tcPr>
          <w:p w:rsidRPr="00D82974" w:rsidR="00B40C99" w:rsidP="00447548" w:rsidRDefault="00B40C99" w14:paraId="78A645BF" w14:textId="224A1410">
            <w:pPr>
              <w:pStyle w:val="Standard"/>
              <w:spacing w:line="240" w:lineRule="auto"/>
              <w:ind w:firstLine="0"/>
              <w:jc w:val="center"/>
              <w:rPr>
                <w:sz w:val="20"/>
                <w:szCs w:val="22"/>
              </w:rPr>
            </w:pPr>
            <w:r w:rsidRPr="00D82974">
              <w:rPr>
                <w:sz w:val="20"/>
                <w:szCs w:val="22"/>
              </w:rPr>
              <w:t>$</w:t>
            </w:r>
            <w:r w:rsidRPr="00D82974" w:rsidR="005544E9">
              <w:rPr>
                <w:sz w:val="20"/>
                <w:szCs w:val="22"/>
              </w:rPr>
              <w:t>1.5</w:t>
            </w:r>
          </w:p>
        </w:tc>
      </w:tr>
      <w:tr w:rsidRPr="00D82974" w:rsidR="00D82974" w:rsidTr="00447548" w14:paraId="3BA337AC" w14:textId="77777777">
        <w:trPr>
          <w:jc w:val="center"/>
        </w:trPr>
        <w:tc>
          <w:tcPr>
            <w:tcW w:w="1255" w:type="dxa"/>
          </w:tcPr>
          <w:p w:rsidRPr="00D82974" w:rsidR="00B40C99" w:rsidP="001F4157" w:rsidRDefault="00B40C99" w14:paraId="19995957" w14:textId="5A8A05C5">
            <w:pPr>
              <w:pStyle w:val="Standard"/>
              <w:keepNext/>
              <w:spacing w:line="240" w:lineRule="auto"/>
              <w:ind w:firstLine="0"/>
              <w:rPr>
                <w:sz w:val="20"/>
                <w:szCs w:val="22"/>
              </w:rPr>
            </w:pPr>
            <w:r w:rsidRPr="00D82974">
              <w:rPr>
                <w:sz w:val="20"/>
                <w:szCs w:val="22"/>
              </w:rPr>
              <w:t>Discounts</w:t>
            </w:r>
            <w:r w:rsidRPr="00D82974" w:rsidDel="00913FF1">
              <w:rPr>
                <w:sz w:val="20"/>
                <w:szCs w:val="22"/>
              </w:rPr>
              <w:t xml:space="preserve"> </w:t>
            </w:r>
          </w:p>
        </w:tc>
        <w:tc>
          <w:tcPr>
            <w:tcW w:w="900" w:type="dxa"/>
          </w:tcPr>
          <w:p w:rsidRPr="00D82974" w:rsidR="00B40C99" w:rsidP="00447548" w:rsidRDefault="00B40C99" w14:paraId="2B0512E8" w14:textId="5A1D6500">
            <w:pPr>
              <w:pStyle w:val="Standard"/>
              <w:keepNext/>
              <w:spacing w:line="240" w:lineRule="auto"/>
              <w:ind w:firstLine="0"/>
              <w:jc w:val="center"/>
              <w:rPr>
                <w:b/>
                <w:bCs/>
                <w:sz w:val="20"/>
                <w:szCs w:val="22"/>
              </w:rPr>
            </w:pPr>
            <w:r w:rsidRPr="00D82974">
              <w:rPr>
                <w:sz w:val="20"/>
                <w:szCs w:val="22"/>
              </w:rPr>
              <w:t>$</w:t>
            </w:r>
            <w:r w:rsidRPr="00D82974" w:rsidR="000B7D55">
              <w:rPr>
                <w:sz w:val="20"/>
                <w:szCs w:val="22"/>
              </w:rPr>
              <w:t>15</w:t>
            </w:r>
          </w:p>
        </w:tc>
        <w:tc>
          <w:tcPr>
            <w:tcW w:w="1170" w:type="dxa"/>
          </w:tcPr>
          <w:p w:rsidRPr="00D82974" w:rsidR="00B40C99" w:rsidP="00447548" w:rsidRDefault="00B40C99" w14:paraId="7CB31FE0" w14:textId="34B886CB">
            <w:pPr>
              <w:pStyle w:val="Standard"/>
              <w:keepNext/>
              <w:spacing w:line="240" w:lineRule="auto"/>
              <w:ind w:firstLine="0"/>
              <w:jc w:val="center"/>
              <w:rPr>
                <w:b/>
                <w:bCs/>
                <w:sz w:val="20"/>
                <w:szCs w:val="22"/>
              </w:rPr>
            </w:pPr>
            <w:r w:rsidRPr="00D82974">
              <w:rPr>
                <w:sz w:val="20"/>
                <w:szCs w:val="22"/>
              </w:rPr>
              <w:t>$</w:t>
            </w:r>
            <w:r w:rsidRPr="00D82974" w:rsidR="008A7A74">
              <w:rPr>
                <w:sz w:val="20"/>
                <w:szCs w:val="22"/>
              </w:rPr>
              <w:t>2</w:t>
            </w:r>
          </w:p>
        </w:tc>
        <w:tc>
          <w:tcPr>
            <w:tcW w:w="1170" w:type="dxa"/>
          </w:tcPr>
          <w:p w:rsidRPr="00D82974" w:rsidR="00447548" w:rsidP="00447548" w:rsidRDefault="00447548" w14:paraId="4A9A43B8" w14:textId="2617F2C3">
            <w:pPr>
              <w:pStyle w:val="Standard"/>
              <w:spacing w:line="240" w:lineRule="auto"/>
              <w:ind w:firstLine="0"/>
              <w:jc w:val="center"/>
              <w:rPr>
                <w:sz w:val="20"/>
                <w:szCs w:val="18"/>
              </w:rPr>
            </w:pPr>
            <w:r w:rsidRPr="00D82974">
              <w:rPr>
                <w:sz w:val="20"/>
                <w:szCs w:val="18"/>
              </w:rPr>
              <w:t>Did not</w:t>
            </w:r>
          </w:p>
          <w:p w:rsidRPr="00D82974" w:rsidR="00B40C99" w:rsidP="00447548" w:rsidRDefault="00447548" w14:paraId="7EDACD28" w14:textId="7FC8F495">
            <w:pPr>
              <w:pStyle w:val="Standard"/>
              <w:keepNext/>
              <w:spacing w:line="240" w:lineRule="auto"/>
              <w:ind w:firstLine="0"/>
              <w:jc w:val="center"/>
              <w:rPr>
                <w:sz w:val="20"/>
                <w:szCs w:val="18"/>
              </w:rPr>
            </w:pPr>
            <w:r w:rsidRPr="00D82974">
              <w:rPr>
                <w:sz w:val="20"/>
                <w:szCs w:val="18"/>
              </w:rPr>
              <w:t>provide</w:t>
            </w:r>
          </w:p>
        </w:tc>
        <w:tc>
          <w:tcPr>
            <w:tcW w:w="1080" w:type="dxa"/>
          </w:tcPr>
          <w:p w:rsidRPr="00D82974" w:rsidR="00B40C99" w:rsidP="00447548" w:rsidRDefault="00B40C99" w14:paraId="2AFD703E" w14:textId="2FCE6CD6">
            <w:pPr>
              <w:pStyle w:val="Standard"/>
              <w:keepNext/>
              <w:spacing w:line="240" w:lineRule="auto"/>
              <w:ind w:firstLine="0"/>
              <w:jc w:val="center"/>
              <w:rPr>
                <w:b/>
                <w:bCs/>
                <w:sz w:val="20"/>
                <w:szCs w:val="22"/>
              </w:rPr>
            </w:pPr>
            <w:r w:rsidRPr="00D82974">
              <w:rPr>
                <w:sz w:val="20"/>
                <w:szCs w:val="22"/>
              </w:rPr>
              <w:t>$0</w:t>
            </w:r>
            <w:r w:rsidRPr="00D82974" w:rsidR="00783D19">
              <w:rPr>
                <w:sz w:val="20"/>
                <w:szCs w:val="22"/>
              </w:rPr>
              <w:t>.5</w:t>
            </w:r>
          </w:p>
        </w:tc>
        <w:tc>
          <w:tcPr>
            <w:tcW w:w="900" w:type="dxa"/>
          </w:tcPr>
          <w:p w:rsidRPr="00D82974" w:rsidR="00B40C99" w:rsidP="00447548" w:rsidRDefault="00B40C99" w14:paraId="57C7C5FA" w14:textId="5B5BFED9">
            <w:pPr>
              <w:pStyle w:val="Standard"/>
              <w:keepNext/>
              <w:spacing w:line="240" w:lineRule="auto"/>
              <w:ind w:firstLine="0"/>
              <w:jc w:val="center"/>
              <w:rPr>
                <w:b/>
                <w:bCs/>
                <w:sz w:val="20"/>
                <w:szCs w:val="22"/>
              </w:rPr>
            </w:pPr>
            <w:r w:rsidRPr="00D82974">
              <w:rPr>
                <w:sz w:val="20"/>
                <w:szCs w:val="22"/>
              </w:rPr>
              <w:t>$</w:t>
            </w:r>
            <w:r w:rsidRPr="00D82974" w:rsidR="00172988">
              <w:rPr>
                <w:sz w:val="20"/>
                <w:szCs w:val="22"/>
              </w:rPr>
              <w:t>17.5</w:t>
            </w:r>
          </w:p>
        </w:tc>
        <w:tc>
          <w:tcPr>
            <w:tcW w:w="810" w:type="dxa"/>
          </w:tcPr>
          <w:p w:rsidRPr="00D82974" w:rsidR="00B40C99" w:rsidP="00447548" w:rsidRDefault="00B40C99" w14:paraId="2602DE4A" w14:textId="2FBAE58B">
            <w:pPr>
              <w:pStyle w:val="Standard"/>
              <w:keepNext/>
              <w:spacing w:line="240" w:lineRule="auto"/>
              <w:ind w:firstLine="0"/>
              <w:jc w:val="center"/>
              <w:rPr>
                <w:sz w:val="20"/>
                <w:szCs w:val="22"/>
              </w:rPr>
            </w:pPr>
            <w:r w:rsidRPr="00D82974">
              <w:rPr>
                <w:sz w:val="20"/>
                <w:szCs w:val="22"/>
              </w:rPr>
              <w:t>$</w:t>
            </w:r>
            <w:r w:rsidRPr="00D82974" w:rsidR="00D930EB">
              <w:rPr>
                <w:sz w:val="20"/>
                <w:szCs w:val="22"/>
              </w:rPr>
              <w:t>18</w:t>
            </w:r>
          </w:p>
        </w:tc>
        <w:tc>
          <w:tcPr>
            <w:tcW w:w="1170" w:type="dxa"/>
          </w:tcPr>
          <w:p w:rsidRPr="00D82974" w:rsidR="00B40C99" w:rsidP="00447548" w:rsidRDefault="00B40C99" w14:paraId="571687E3" w14:textId="74C697AD">
            <w:pPr>
              <w:pStyle w:val="Standard"/>
              <w:keepNext/>
              <w:spacing w:line="240" w:lineRule="auto"/>
              <w:ind w:firstLine="0"/>
              <w:jc w:val="center"/>
              <w:rPr>
                <w:sz w:val="20"/>
                <w:szCs w:val="22"/>
              </w:rPr>
            </w:pPr>
            <w:r w:rsidRPr="00D82974">
              <w:rPr>
                <w:sz w:val="20"/>
                <w:szCs w:val="22"/>
              </w:rPr>
              <w:t>$2</w:t>
            </w:r>
          </w:p>
        </w:tc>
        <w:tc>
          <w:tcPr>
            <w:tcW w:w="1080" w:type="dxa"/>
          </w:tcPr>
          <w:p w:rsidRPr="00D82974" w:rsidR="00447548" w:rsidP="00447548" w:rsidRDefault="00447548" w14:paraId="72715985" w14:textId="734CBB72">
            <w:pPr>
              <w:pStyle w:val="Standard"/>
              <w:spacing w:line="240" w:lineRule="auto"/>
              <w:ind w:firstLine="0"/>
              <w:jc w:val="center"/>
              <w:rPr>
                <w:sz w:val="20"/>
                <w:szCs w:val="18"/>
              </w:rPr>
            </w:pPr>
            <w:r w:rsidRPr="00D82974">
              <w:rPr>
                <w:sz w:val="20"/>
                <w:szCs w:val="18"/>
              </w:rPr>
              <w:t>Did not</w:t>
            </w:r>
          </w:p>
          <w:p w:rsidRPr="00D82974" w:rsidR="00B40C99" w:rsidP="00447548" w:rsidRDefault="00447548" w14:paraId="1667E27D" w14:textId="075CBABD">
            <w:pPr>
              <w:pStyle w:val="Standard"/>
              <w:keepNext/>
              <w:spacing w:line="240" w:lineRule="auto"/>
              <w:ind w:firstLine="0"/>
              <w:jc w:val="center"/>
              <w:rPr>
                <w:sz w:val="20"/>
                <w:szCs w:val="18"/>
              </w:rPr>
            </w:pPr>
            <w:r w:rsidRPr="00D82974">
              <w:rPr>
                <w:sz w:val="20"/>
                <w:szCs w:val="18"/>
              </w:rPr>
              <w:t>provide</w:t>
            </w:r>
          </w:p>
        </w:tc>
        <w:tc>
          <w:tcPr>
            <w:tcW w:w="720" w:type="dxa"/>
          </w:tcPr>
          <w:p w:rsidRPr="00D82974" w:rsidR="00B40C99" w:rsidP="00447548" w:rsidRDefault="00B40C99" w14:paraId="2A6892C7" w14:textId="4F43106B">
            <w:pPr>
              <w:pStyle w:val="Standard"/>
              <w:keepNext/>
              <w:spacing w:line="240" w:lineRule="auto"/>
              <w:ind w:firstLine="0"/>
              <w:jc w:val="center"/>
              <w:rPr>
                <w:sz w:val="20"/>
                <w:szCs w:val="22"/>
              </w:rPr>
            </w:pPr>
            <w:r w:rsidRPr="00D82974">
              <w:rPr>
                <w:sz w:val="20"/>
                <w:szCs w:val="22"/>
              </w:rPr>
              <w:t>$</w:t>
            </w:r>
            <w:r w:rsidRPr="00D82974" w:rsidR="004A4AAF">
              <w:rPr>
                <w:sz w:val="20"/>
                <w:szCs w:val="22"/>
              </w:rPr>
              <w:t>0</w:t>
            </w:r>
          </w:p>
        </w:tc>
        <w:tc>
          <w:tcPr>
            <w:tcW w:w="905" w:type="dxa"/>
          </w:tcPr>
          <w:p w:rsidRPr="00D82974" w:rsidR="00B40C99" w:rsidP="00447548" w:rsidRDefault="00B40C99" w14:paraId="08D3AD12" w14:textId="0C595077">
            <w:pPr>
              <w:pStyle w:val="Standard"/>
              <w:keepNext/>
              <w:spacing w:line="240" w:lineRule="auto"/>
              <w:ind w:firstLine="0"/>
              <w:jc w:val="center"/>
              <w:rPr>
                <w:sz w:val="20"/>
                <w:szCs w:val="22"/>
              </w:rPr>
            </w:pPr>
            <w:r w:rsidRPr="00D82974">
              <w:rPr>
                <w:sz w:val="20"/>
                <w:szCs w:val="22"/>
              </w:rPr>
              <w:t>$</w:t>
            </w:r>
            <w:r w:rsidRPr="00D82974" w:rsidR="003257F8">
              <w:rPr>
                <w:sz w:val="20"/>
                <w:szCs w:val="22"/>
              </w:rPr>
              <w:t>20</w:t>
            </w:r>
          </w:p>
        </w:tc>
      </w:tr>
      <w:tr w:rsidRPr="00D82974" w:rsidR="00D82974" w:rsidTr="00447548" w14:paraId="75EDE9F8" w14:textId="77777777">
        <w:trPr>
          <w:jc w:val="center"/>
        </w:trPr>
        <w:tc>
          <w:tcPr>
            <w:tcW w:w="1255" w:type="dxa"/>
          </w:tcPr>
          <w:p w:rsidRPr="00D82974" w:rsidR="00B40C99" w:rsidP="00EF0025" w:rsidRDefault="00B40C99" w14:paraId="7F9B9ACC" w14:textId="77777777">
            <w:pPr>
              <w:pStyle w:val="Standard"/>
              <w:spacing w:line="240" w:lineRule="auto"/>
              <w:ind w:firstLine="0"/>
              <w:rPr>
                <w:b/>
                <w:bCs/>
                <w:sz w:val="20"/>
                <w:szCs w:val="22"/>
              </w:rPr>
            </w:pPr>
            <w:r w:rsidRPr="00D82974">
              <w:rPr>
                <w:b/>
                <w:bCs/>
                <w:sz w:val="20"/>
                <w:szCs w:val="22"/>
              </w:rPr>
              <w:t>Total</w:t>
            </w:r>
          </w:p>
        </w:tc>
        <w:tc>
          <w:tcPr>
            <w:tcW w:w="900" w:type="dxa"/>
          </w:tcPr>
          <w:p w:rsidRPr="00D82974" w:rsidR="00B40C99" w:rsidP="00447548" w:rsidRDefault="00B40C99" w14:paraId="0F8E71BC" w14:textId="54743C09">
            <w:pPr>
              <w:pStyle w:val="Standard"/>
              <w:spacing w:line="240" w:lineRule="auto"/>
              <w:ind w:firstLine="0"/>
              <w:jc w:val="center"/>
              <w:rPr>
                <w:b/>
                <w:bCs/>
                <w:sz w:val="20"/>
                <w:szCs w:val="22"/>
              </w:rPr>
            </w:pPr>
            <w:r w:rsidRPr="00D82974">
              <w:rPr>
                <w:b/>
                <w:bCs/>
                <w:sz w:val="20"/>
                <w:szCs w:val="22"/>
              </w:rPr>
              <w:t>$</w:t>
            </w:r>
            <w:r w:rsidRPr="00D82974" w:rsidR="00817C08">
              <w:rPr>
                <w:b/>
                <w:bCs/>
                <w:sz w:val="20"/>
                <w:szCs w:val="22"/>
              </w:rPr>
              <w:t>54.4</w:t>
            </w:r>
          </w:p>
        </w:tc>
        <w:tc>
          <w:tcPr>
            <w:tcW w:w="1170" w:type="dxa"/>
          </w:tcPr>
          <w:p w:rsidRPr="00D82974" w:rsidR="00B40C99" w:rsidP="00447548" w:rsidRDefault="00B40C99" w14:paraId="66ADE2E1" w14:textId="0B839B71">
            <w:pPr>
              <w:pStyle w:val="Standard"/>
              <w:spacing w:line="240" w:lineRule="auto"/>
              <w:ind w:firstLine="0"/>
              <w:jc w:val="center"/>
              <w:rPr>
                <w:b/>
                <w:bCs/>
                <w:sz w:val="20"/>
                <w:szCs w:val="22"/>
              </w:rPr>
            </w:pPr>
            <w:r w:rsidRPr="00D82974">
              <w:rPr>
                <w:b/>
                <w:bCs/>
                <w:sz w:val="20"/>
                <w:szCs w:val="22"/>
              </w:rPr>
              <w:t>$4</w:t>
            </w:r>
            <w:r w:rsidRPr="00D82974" w:rsidR="001D230F">
              <w:rPr>
                <w:b/>
                <w:bCs/>
                <w:sz w:val="20"/>
                <w:szCs w:val="22"/>
              </w:rPr>
              <w:t>2</w:t>
            </w:r>
          </w:p>
        </w:tc>
        <w:tc>
          <w:tcPr>
            <w:tcW w:w="1170" w:type="dxa"/>
          </w:tcPr>
          <w:p w:rsidRPr="00D82974" w:rsidR="00B40C99" w:rsidP="00447548" w:rsidRDefault="00B40C99" w14:paraId="37E5CAAC" w14:textId="0B74A208">
            <w:pPr>
              <w:pStyle w:val="Standard"/>
              <w:spacing w:line="240" w:lineRule="auto"/>
              <w:ind w:firstLine="0"/>
              <w:jc w:val="center"/>
              <w:rPr>
                <w:b/>
                <w:bCs/>
                <w:sz w:val="20"/>
                <w:szCs w:val="22"/>
              </w:rPr>
            </w:pPr>
            <w:r w:rsidRPr="00D82974">
              <w:rPr>
                <w:b/>
                <w:bCs/>
                <w:sz w:val="20"/>
                <w:szCs w:val="22"/>
              </w:rPr>
              <w:t>$1</w:t>
            </w:r>
          </w:p>
        </w:tc>
        <w:tc>
          <w:tcPr>
            <w:tcW w:w="1080" w:type="dxa"/>
          </w:tcPr>
          <w:p w:rsidRPr="00D82974" w:rsidR="00B40C99" w:rsidP="00447548" w:rsidRDefault="00B40C99" w14:paraId="059D08C5" w14:textId="1478B752">
            <w:pPr>
              <w:pStyle w:val="Standard"/>
              <w:spacing w:line="240" w:lineRule="auto"/>
              <w:ind w:firstLine="0"/>
              <w:jc w:val="center"/>
              <w:rPr>
                <w:b/>
                <w:bCs/>
                <w:sz w:val="20"/>
                <w:szCs w:val="22"/>
              </w:rPr>
            </w:pPr>
            <w:r w:rsidRPr="00D82974">
              <w:rPr>
                <w:b/>
                <w:bCs/>
                <w:sz w:val="20"/>
                <w:szCs w:val="22"/>
              </w:rPr>
              <w:t>$2</w:t>
            </w:r>
            <w:r w:rsidRPr="00D82974" w:rsidR="00981943">
              <w:rPr>
                <w:b/>
                <w:bCs/>
                <w:sz w:val="20"/>
                <w:szCs w:val="22"/>
              </w:rPr>
              <w:t>.57</w:t>
            </w:r>
          </w:p>
        </w:tc>
        <w:tc>
          <w:tcPr>
            <w:tcW w:w="900" w:type="dxa"/>
          </w:tcPr>
          <w:p w:rsidRPr="00D82974" w:rsidR="00B40C99" w:rsidP="00447548" w:rsidRDefault="00B40C99" w14:paraId="746630B3" w14:textId="44143845">
            <w:pPr>
              <w:pStyle w:val="Standard"/>
              <w:spacing w:line="240" w:lineRule="auto"/>
              <w:ind w:firstLine="0"/>
              <w:jc w:val="center"/>
              <w:rPr>
                <w:b/>
                <w:bCs/>
                <w:sz w:val="20"/>
                <w:szCs w:val="22"/>
              </w:rPr>
            </w:pPr>
            <w:r w:rsidRPr="00D82974">
              <w:rPr>
                <w:b/>
                <w:bCs/>
                <w:sz w:val="20"/>
                <w:szCs w:val="22"/>
              </w:rPr>
              <w:t>$</w:t>
            </w:r>
            <w:r w:rsidRPr="00D82974" w:rsidR="00F15C9F">
              <w:rPr>
                <w:b/>
                <w:bCs/>
                <w:sz w:val="20"/>
                <w:szCs w:val="22"/>
              </w:rPr>
              <w:t>100</w:t>
            </w:r>
            <w:r w:rsidRPr="00D82974" w:rsidR="00325A9E">
              <w:rPr>
                <w:b/>
                <w:bCs/>
                <w:sz w:val="20"/>
                <w:szCs w:val="22"/>
              </w:rPr>
              <w:t>.</w:t>
            </w:r>
            <w:r w:rsidRPr="00D82974" w:rsidR="0021614B">
              <w:rPr>
                <w:b/>
                <w:bCs/>
                <w:sz w:val="20"/>
                <w:szCs w:val="22"/>
              </w:rPr>
              <w:t>0</w:t>
            </w:r>
            <w:r w:rsidRPr="00D82974" w:rsidR="00325A9E">
              <w:rPr>
                <w:b/>
                <w:bCs/>
                <w:sz w:val="20"/>
                <w:szCs w:val="22"/>
              </w:rPr>
              <w:t>7</w:t>
            </w:r>
          </w:p>
        </w:tc>
        <w:tc>
          <w:tcPr>
            <w:tcW w:w="810" w:type="dxa"/>
          </w:tcPr>
          <w:p w:rsidRPr="00D82974" w:rsidR="00B40C99" w:rsidP="00447548" w:rsidRDefault="00B40C99" w14:paraId="0F6739A4" w14:textId="5AD8D8CF">
            <w:pPr>
              <w:pStyle w:val="Standard"/>
              <w:spacing w:line="240" w:lineRule="auto"/>
              <w:ind w:firstLine="0"/>
              <w:jc w:val="center"/>
              <w:rPr>
                <w:b/>
                <w:bCs/>
                <w:sz w:val="20"/>
                <w:szCs w:val="22"/>
              </w:rPr>
            </w:pPr>
            <w:r w:rsidRPr="00D82974">
              <w:rPr>
                <w:b/>
                <w:bCs/>
                <w:sz w:val="20"/>
                <w:szCs w:val="22"/>
              </w:rPr>
              <w:t>$</w:t>
            </w:r>
            <w:r w:rsidRPr="00D82974" w:rsidR="00583B35">
              <w:rPr>
                <w:b/>
                <w:bCs/>
                <w:sz w:val="20"/>
                <w:szCs w:val="22"/>
              </w:rPr>
              <w:t>65.5</w:t>
            </w:r>
          </w:p>
        </w:tc>
        <w:tc>
          <w:tcPr>
            <w:tcW w:w="1170" w:type="dxa"/>
          </w:tcPr>
          <w:p w:rsidRPr="00D82974" w:rsidR="00B40C99" w:rsidP="00447548" w:rsidRDefault="00B40C99" w14:paraId="061B10BD" w14:textId="4D16F9E9">
            <w:pPr>
              <w:pStyle w:val="Standard"/>
              <w:spacing w:line="240" w:lineRule="auto"/>
              <w:ind w:firstLine="0"/>
              <w:jc w:val="center"/>
              <w:rPr>
                <w:b/>
                <w:bCs/>
                <w:sz w:val="20"/>
                <w:szCs w:val="22"/>
              </w:rPr>
            </w:pPr>
            <w:r w:rsidRPr="00D82974">
              <w:rPr>
                <w:b/>
                <w:bCs/>
                <w:sz w:val="20"/>
                <w:szCs w:val="22"/>
              </w:rPr>
              <w:t>$</w:t>
            </w:r>
            <w:r w:rsidRPr="00D82974" w:rsidR="00FC67F7">
              <w:rPr>
                <w:b/>
                <w:bCs/>
                <w:sz w:val="20"/>
                <w:szCs w:val="22"/>
              </w:rPr>
              <w:t>42</w:t>
            </w:r>
          </w:p>
        </w:tc>
        <w:tc>
          <w:tcPr>
            <w:tcW w:w="1080" w:type="dxa"/>
          </w:tcPr>
          <w:p w:rsidRPr="00D82974" w:rsidR="00B40C99" w:rsidP="00447548" w:rsidRDefault="00B40C99" w14:paraId="575DD310" w14:textId="27391F9C">
            <w:pPr>
              <w:pStyle w:val="Standard"/>
              <w:spacing w:line="240" w:lineRule="auto"/>
              <w:ind w:firstLine="0"/>
              <w:jc w:val="center"/>
              <w:rPr>
                <w:b/>
                <w:bCs/>
                <w:sz w:val="20"/>
                <w:szCs w:val="22"/>
              </w:rPr>
            </w:pPr>
            <w:r w:rsidRPr="00D82974">
              <w:rPr>
                <w:b/>
                <w:bCs/>
                <w:sz w:val="20"/>
                <w:szCs w:val="22"/>
              </w:rPr>
              <w:t>$1</w:t>
            </w:r>
          </w:p>
        </w:tc>
        <w:tc>
          <w:tcPr>
            <w:tcW w:w="720" w:type="dxa"/>
          </w:tcPr>
          <w:p w:rsidRPr="00D82974" w:rsidR="00B40C99" w:rsidP="00447548" w:rsidRDefault="00B40C99" w14:paraId="4576F3B0" w14:textId="7970F5A7">
            <w:pPr>
              <w:pStyle w:val="Standard"/>
              <w:spacing w:line="240" w:lineRule="auto"/>
              <w:ind w:firstLine="0"/>
              <w:jc w:val="center"/>
              <w:rPr>
                <w:b/>
                <w:bCs/>
                <w:sz w:val="20"/>
                <w:szCs w:val="22"/>
              </w:rPr>
            </w:pPr>
            <w:r w:rsidRPr="00D82974">
              <w:rPr>
                <w:b/>
                <w:bCs/>
                <w:sz w:val="20"/>
                <w:szCs w:val="22"/>
              </w:rPr>
              <w:t>$</w:t>
            </w:r>
            <w:r w:rsidRPr="00D82974" w:rsidR="00FE3DEA">
              <w:rPr>
                <w:b/>
                <w:bCs/>
                <w:sz w:val="20"/>
                <w:szCs w:val="22"/>
              </w:rPr>
              <w:t>2</w:t>
            </w:r>
          </w:p>
        </w:tc>
        <w:tc>
          <w:tcPr>
            <w:tcW w:w="905" w:type="dxa"/>
          </w:tcPr>
          <w:p w:rsidRPr="00D82974" w:rsidR="00B40C99" w:rsidP="00447548" w:rsidRDefault="00B40C99" w14:paraId="7F6F8FD5" w14:textId="0D3DE904">
            <w:pPr>
              <w:pStyle w:val="Standard"/>
              <w:spacing w:line="240" w:lineRule="auto"/>
              <w:ind w:firstLine="0"/>
              <w:jc w:val="center"/>
              <w:rPr>
                <w:b/>
                <w:bCs/>
                <w:sz w:val="20"/>
                <w:szCs w:val="22"/>
              </w:rPr>
            </w:pPr>
            <w:r w:rsidRPr="00D82974">
              <w:rPr>
                <w:b/>
                <w:bCs/>
                <w:sz w:val="20"/>
                <w:szCs w:val="22"/>
              </w:rPr>
              <w:t>$1</w:t>
            </w:r>
            <w:r w:rsidRPr="00D82974" w:rsidR="00D858EE">
              <w:rPr>
                <w:b/>
                <w:bCs/>
                <w:sz w:val="20"/>
                <w:szCs w:val="22"/>
              </w:rPr>
              <w:t>10.5</w:t>
            </w:r>
          </w:p>
        </w:tc>
      </w:tr>
    </w:tbl>
    <w:p w:rsidRPr="001D17CC" w:rsidR="008C6C4F" w:rsidP="00826474" w:rsidRDefault="001D17CC" w14:paraId="3C6EA43C" w14:textId="458849F9">
      <w:pPr>
        <w:pStyle w:val="TableTitle1"/>
      </w:pPr>
      <w:bookmarkStart w:name="Table4" w:id="80"/>
      <w:r w:rsidRPr="001D17CC">
        <w:rPr>
          <w:b/>
        </w:rPr>
        <w:lastRenderedPageBreak/>
        <w:t>Table 4</w:t>
      </w:r>
      <w:r>
        <w:rPr>
          <w:b/>
        </w:rPr>
        <w:t>.</w:t>
      </w:r>
      <w:r>
        <w:tab/>
      </w:r>
      <w:r w:rsidRPr="001D17CC">
        <w:t xml:space="preserve">Estimated </w:t>
      </w:r>
      <w:r w:rsidRPr="00826474">
        <w:t>Annual</w:t>
      </w:r>
      <w:r w:rsidRPr="001D17CC">
        <w:t xml:space="preserve"> Savings </w:t>
      </w:r>
      <w:r>
        <w:t>t</w:t>
      </w:r>
      <w:r w:rsidRPr="001D17CC">
        <w:t xml:space="preserve">o Gas Ratepayers </w:t>
      </w:r>
      <w:r>
        <w:t>f</w:t>
      </w:r>
      <w:r w:rsidRPr="001D17CC">
        <w:t>rom Eliminating Non</w:t>
      </w:r>
      <w:r w:rsidRPr="001D17CC">
        <w:noBreakHyphen/>
        <w:t>Residential Gas Line Subsidies</w:t>
      </w:r>
      <w:bookmarkEnd w:id="80"/>
      <w:r w:rsidRPr="001D17CC">
        <w:t xml:space="preserve"> </w:t>
      </w:r>
      <w:r w:rsidRPr="001D17CC" w:rsidR="003D03B7">
        <w:t>($</w:t>
      </w:r>
      <w:r w:rsidRPr="001D17CC">
        <w:t> m</w:t>
      </w:r>
      <w:r w:rsidRPr="001D17CC" w:rsidR="003D03B7">
        <w:t>illion)</w:t>
      </w:r>
    </w:p>
    <w:tbl>
      <w:tblPr>
        <w:tblStyle w:val="TableGrid"/>
        <w:tblW w:w="11160" w:type="dxa"/>
        <w:jc w:val="center"/>
        <w:tblLayout w:type="fixed"/>
        <w:tblCellMar>
          <w:top w:w="58" w:type="dxa"/>
          <w:bottom w:w="58" w:type="dxa"/>
        </w:tblCellMar>
        <w:tblLook w:val="04A0" w:firstRow="1" w:lastRow="0" w:firstColumn="1" w:lastColumn="0" w:noHBand="0" w:noVBand="1"/>
      </w:tblPr>
      <w:tblGrid>
        <w:gridCol w:w="1255"/>
        <w:gridCol w:w="900"/>
        <w:gridCol w:w="1170"/>
        <w:gridCol w:w="1170"/>
        <w:gridCol w:w="1080"/>
        <w:gridCol w:w="900"/>
        <w:gridCol w:w="810"/>
        <w:gridCol w:w="1170"/>
        <w:gridCol w:w="1080"/>
        <w:gridCol w:w="720"/>
        <w:gridCol w:w="905"/>
      </w:tblGrid>
      <w:tr w:rsidRPr="003F34E9" w:rsidR="001B2B16" w:rsidTr="005714FC" w14:paraId="575F938F" w14:textId="77777777">
        <w:trPr>
          <w:cantSplit/>
          <w:tblHeader/>
          <w:jc w:val="center"/>
        </w:trPr>
        <w:tc>
          <w:tcPr>
            <w:tcW w:w="1255" w:type="dxa"/>
            <w:vMerge w:val="restart"/>
            <w:vAlign w:val="bottom"/>
          </w:tcPr>
          <w:p w:rsidR="005714FC" w:rsidP="004B7AFB" w:rsidRDefault="001B2B16" w14:paraId="279575A6" w14:textId="77777777">
            <w:pPr>
              <w:pStyle w:val="Standard"/>
              <w:keepNext/>
              <w:spacing w:line="240" w:lineRule="auto"/>
              <w:ind w:firstLine="0"/>
              <w:jc w:val="center"/>
              <w:rPr>
                <w:b/>
                <w:bCs/>
                <w:sz w:val="20"/>
                <w:szCs w:val="24"/>
              </w:rPr>
            </w:pPr>
            <w:r w:rsidRPr="003F34E9">
              <w:rPr>
                <w:b/>
                <w:bCs/>
                <w:sz w:val="20"/>
                <w:szCs w:val="24"/>
              </w:rPr>
              <w:t xml:space="preserve">Gas Line </w:t>
            </w:r>
          </w:p>
          <w:p w:rsidRPr="003F34E9" w:rsidR="001B2B16" w:rsidP="004B7AFB" w:rsidRDefault="001B2B16" w14:paraId="0C58351E" w14:textId="4A011BD4">
            <w:pPr>
              <w:pStyle w:val="Standard"/>
              <w:keepNext/>
              <w:spacing w:line="240" w:lineRule="auto"/>
              <w:ind w:firstLine="0"/>
              <w:jc w:val="center"/>
              <w:rPr>
                <w:b/>
                <w:bCs/>
                <w:sz w:val="20"/>
                <w:szCs w:val="24"/>
              </w:rPr>
            </w:pPr>
            <w:r w:rsidRPr="003F34E9">
              <w:rPr>
                <w:b/>
                <w:bCs/>
                <w:sz w:val="20"/>
                <w:szCs w:val="24"/>
              </w:rPr>
              <w:t>Subsidies</w:t>
            </w:r>
          </w:p>
        </w:tc>
        <w:tc>
          <w:tcPr>
            <w:tcW w:w="5220" w:type="dxa"/>
            <w:gridSpan w:val="5"/>
            <w:vAlign w:val="bottom"/>
          </w:tcPr>
          <w:p w:rsidRPr="003F34E9" w:rsidR="001B2B16" w:rsidP="004B7AFB" w:rsidRDefault="001B0FE3" w14:paraId="2EFA6DAE" w14:textId="613D0FD4">
            <w:pPr>
              <w:pStyle w:val="Standard"/>
              <w:keepNext/>
              <w:spacing w:line="240" w:lineRule="auto"/>
              <w:ind w:firstLine="0"/>
              <w:jc w:val="center"/>
              <w:rPr>
                <w:b/>
                <w:bCs/>
                <w:sz w:val="20"/>
                <w:szCs w:val="24"/>
              </w:rPr>
            </w:pPr>
            <w:r w:rsidRPr="003F34E9">
              <w:rPr>
                <w:b/>
                <w:bCs/>
                <w:sz w:val="20"/>
                <w:szCs w:val="24"/>
              </w:rPr>
              <w:t>2021</w:t>
            </w:r>
            <w:r w:rsidRPr="003F34E9" w:rsidR="001B2B16">
              <w:rPr>
                <w:b/>
                <w:bCs/>
                <w:sz w:val="20"/>
                <w:szCs w:val="24"/>
              </w:rPr>
              <w:t xml:space="preserve"> Expenditures</w:t>
            </w:r>
            <w:r w:rsidRPr="00447548" w:rsidR="001B2B16">
              <w:rPr>
                <w:rStyle w:val="FootnoteReference"/>
                <w:sz w:val="20"/>
                <w:szCs w:val="24"/>
              </w:rPr>
              <w:footnoteReference w:id="46"/>
            </w:r>
          </w:p>
        </w:tc>
        <w:tc>
          <w:tcPr>
            <w:tcW w:w="4685" w:type="dxa"/>
            <w:gridSpan w:val="5"/>
            <w:vAlign w:val="bottom"/>
          </w:tcPr>
          <w:p w:rsidRPr="00447548" w:rsidR="001B2B16" w:rsidP="004B7AFB" w:rsidRDefault="001B2B16" w14:paraId="7D1363B8" w14:textId="77777777">
            <w:pPr>
              <w:pStyle w:val="Standard"/>
              <w:keepNext/>
              <w:spacing w:line="240" w:lineRule="auto"/>
              <w:ind w:firstLine="0"/>
              <w:jc w:val="center"/>
              <w:rPr>
                <w:b/>
                <w:bCs/>
                <w:sz w:val="20"/>
                <w:szCs w:val="24"/>
              </w:rPr>
            </w:pPr>
            <w:r w:rsidRPr="00447548">
              <w:rPr>
                <w:b/>
                <w:bCs/>
                <w:sz w:val="20"/>
                <w:szCs w:val="24"/>
              </w:rPr>
              <w:t>Estimated Annual Savings</w:t>
            </w:r>
            <w:r w:rsidRPr="00447548" w:rsidR="001B0FE3">
              <w:rPr>
                <w:rStyle w:val="FootnoteReference"/>
                <w:sz w:val="20"/>
                <w:szCs w:val="24"/>
              </w:rPr>
              <w:footnoteReference w:id="47"/>
            </w:r>
          </w:p>
          <w:p w:rsidRPr="003F34E9" w:rsidR="001B2B16" w:rsidP="004B7AFB" w:rsidRDefault="003932A1" w14:paraId="584E8560" w14:textId="333F6376">
            <w:pPr>
              <w:pStyle w:val="Standard"/>
              <w:keepNext/>
              <w:spacing w:line="240" w:lineRule="auto"/>
              <w:ind w:firstLine="0"/>
              <w:jc w:val="center"/>
              <w:rPr>
                <w:sz w:val="20"/>
                <w:szCs w:val="24"/>
              </w:rPr>
            </w:pPr>
            <w:r w:rsidRPr="00447548">
              <w:rPr>
                <w:b/>
                <w:bCs/>
                <w:sz w:val="20"/>
                <w:szCs w:val="24"/>
              </w:rPr>
              <w:t>(Average of Forecast 2024</w:t>
            </w:r>
            <w:r w:rsidR="00513B3F">
              <w:rPr>
                <w:sz w:val="24"/>
                <w:szCs w:val="24"/>
              </w:rPr>
              <w:noBreakHyphen/>
            </w:r>
            <w:r w:rsidRPr="00447548">
              <w:rPr>
                <w:b/>
                <w:bCs/>
                <w:sz w:val="20"/>
                <w:szCs w:val="24"/>
              </w:rPr>
              <w:t>2026)</w:t>
            </w:r>
          </w:p>
        </w:tc>
      </w:tr>
      <w:tr w:rsidRPr="003F34E9" w:rsidR="005714FC" w:rsidTr="005714FC" w14:paraId="7308663F" w14:textId="77777777">
        <w:trPr>
          <w:cantSplit/>
          <w:tblHeader/>
          <w:jc w:val="center"/>
        </w:trPr>
        <w:tc>
          <w:tcPr>
            <w:tcW w:w="1255" w:type="dxa"/>
            <w:vMerge/>
            <w:vAlign w:val="bottom"/>
          </w:tcPr>
          <w:p w:rsidRPr="003F34E9" w:rsidR="001B2B16" w:rsidP="004B7AFB" w:rsidRDefault="001B2B16" w14:paraId="08ACAD12" w14:textId="77777777">
            <w:pPr>
              <w:pStyle w:val="Standard"/>
              <w:keepNext/>
              <w:spacing w:line="240" w:lineRule="auto"/>
              <w:ind w:firstLine="0"/>
              <w:jc w:val="center"/>
              <w:rPr>
                <w:sz w:val="20"/>
                <w:szCs w:val="24"/>
              </w:rPr>
            </w:pPr>
          </w:p>
        </w:tc>
        <w:tc>
          <w:tcPr>
            <w:tcW w:w="900" w:type="dxa"/>
            <w:vAlign w:val="bottom"/>
          </w:tcPr>
          <w:p w:rsidRPr="003F34E9" w:rsidR="001B2B16" w:rsidP="004B7AFB" w:rsidRDefault="001B2B16" w14:paraId="63783007" w14:textId="77777777">
            <w:pPr>
              <w:pStyle w:val="Standard"/>
              <w:keepNext/>
              <w:spacing w:line="240" w:lineRule="auto"/>
              <w:ind w:firstLine="0"/>
              <w:jc w:val="center"/>
              <w:rPr>
                <w:b/>
                <w:bCs/>
                <w:sz w:val="20"/>
                <w:szCs w:val="16"/>
              </w:rPr>
            </w:pPr>
            <w:r w:rsidRPr="003F34E9">
              <w:rPr>
                <w:b/>
                <w:bCs/>
                <w:sz w:val="20"/>
                <w:szCs w:val="16"/>
              </w:rPr>
              <w:t>PG&amp;E</w:t>
            </w:r>
          </w:p>
        </w:tc>
        <w:tc>
          <w:tcPr>
            <w:tcW w:w="1170" w:type="dxa"/>
            <w:vAlign w:val="bottom"/>
          </w:tcPr>
          <w:p w:rsidRPr="003F34E9" w:rsidR="001B2B16" w:rsidP="004B7AFB" w:rsidRDefault="001B2B16" w14:paraId="14D767FE" w14:textId="15F90328">
            <w:pPr>
              <w:pStyle w:val="Standard"/>
              <w:keepNext/>
              <w:spacing w:line="240" w:lineRule="auto"/>
              <w:ind w:firstLine="0"/>
              <w:jc w:val="center"/>
              <w:rPr>
                <w:b/>
                <w:bCs/>
                <w:sz w:val="20"/>
                <w:szCs w:val="16"/>
              </w:rPr>
            </w:pPr>
            <w:r w:rsidRPr="003F34E9">
              <w:rPr>
                <w:b/>
                <w:bCs/>
                <w:sz w:val="20"/>
                <w:szCs w:val="16"/>
              </w:rPr>
              <w:t>SoCalGas</w:t>
            </w:r>
          </w:p>
        </w:tc>
        <w:tc>
          <w:tcPr>
            <w:tcW w:w="1170" w:type="dxa"/>
            <w:vAlign w:val="bottom"/>
          </w:tcPr>
          <w:p w:rsidRPr="003F34E9" w:rsidR="001B2B16" w:rsidP="004B7AFB" w:rsidRDefault="001B2B16" w14:paraId="26BD40E2" w14:textId="3C226197">
            <w:pPr>
              <w:pStyle w:val="Standard"/>
              <w:keepNext/>
              <w:spacing w:line="240" w:lineRule="auto"/>
              <w:ind w:firstLine="0"/>
              <w:jc w:val="center"/>
              <w:rPr>
                <w:b/>
                <w:bCs/>
                <w:sz w:val="20"/>
                <w:szCs w:val="16"/>
              </w:rPr>
            </w:pPr>
            <w:r w:rsidRPr="003F34E9">
              <w:rPr>
                <w:b/>
                <w:bCs/>
                <w:sz w:val="20"/>
                <w:szCs w:val="16"/>
              </w:rPr>
              <w:t>SDG&amp;E</w:t>
            </w:r>
          </w:p>
        </w:tc>
        <w:tc>
          <w:tcPr>
            <w:tcW w:w="1080" w:type="dxa"/>
            <w:vAlign w:val="bottom"/>
          </w:tcPr>
          <w:p w:rsidRPr="003F34E9" w:rsidR="001B2B16" w:rsidP="004B7AFB" w:rsidRDefault="001B2B16" w14:paraId="456EEE20" w14:textId="77777777">
            <w:pPr>
              <w:pStyle w:val="Standard"/>
              <w:keepNext/>
              <w:spacing w:line="240" w:lineRule="auto"/>
              <w:ind w:firstLine="0"/>
              <w:jc w:val="center"/>
              <w:rPr>
                <w:b/>
                <w:bCs/>
                <w:sz w:val="20"/>
                <w:szCs w:val="16"/>
              </w:rPr>
            </w:pPr>
            <w:r w:rsidRPr="003F34E9">
              <w:rPr>
                <w:b/>
                <w:bCs/>
                <w:sz w:val="20"/>
                <w:szCs w:val="16"/>
              </w:rPr>
              <w:t>SWG</w:t>
            </w:r>
          </w:p>
        </w:tc>
        <w:tc>
          <w:tcPr>
            <w:tcW w:w="900" w:type="dxa"/>
            <w:vAlign w:val="bottom"/>
          </w:tcPr>
          <w:p w:rsidRPr="003F34E9" w:rsidR="001B2B16" w:rsidP="004B7AFB" w:rsidRDefault="001B2B16" w14:paraId="4BB21B2A" w14:textId="77777777">
            <w:pPr>
              <w:pStyle w:val="Standard"/>
              <w:keepNext/>
              <w:spacing w:line="240" w:lineRule="auto"/>
              <w:ind w:firstLine="0"/>
              <w:jc w:val="center"/>
              <w:rPr>
                <w:b/>
                <w:bCs/>
                <w:sz w:val="20"/>
                <w:szCs w:val="16"/>
              </w:rPr>
            </w:pPr>
            <w:r w:rsidRPr="003F34E9">
              <w:rPr>
                <w:b/>
                <w:bCs/>
                <w:sz w:val="20"/>
                <w:szCs w:val="16"/>
              </w:rPr>
              <w:t>Total</w:t>
            </w:r>
          </w:p>
        </w:tc>
        <w:tc>
          <w:tcPr>
            <w:tcW w:w="810" w:type="dxa"/>
            <w:vAlign w:val="bottom"/>
          </w:tcPr>
          <w:p w:rsidRPr="003F34E9" w:rsidR="001B2B16" w:rsidP="004B7AFB" w:rsidRDefault="001B2B16" w14:paraId="0AC8F66C" w14:textId="77777777">
            <w:pPr>
              <w:pStyle w:val="Standard"/>
              <w:keepNext/>
              <w:spacing w:line="240" w:lineRule="auto"/>
              <w:ind w:firstLine="0"/>
              <w:jc w:val="center"/>
              <w:rPr>
                <w:b/>
                <w:bCs/>
                <w:sz w:val="20"/>
                <w:szCs w:val="16"/>
              </w:rPr>
            </w:pPr>
            <w:r w:rsidRPr="003F34E9">
              <w:rPr>
                <w:b/>
                <w:bCs/>
                <w:sz w:val="20"/>
                <w:szCs w:val="16"/>
              </w:rPr>
              <w:t>PG&amp;E</w:t>
            </w:r>
          </w:p>
        </w:tc>
        <w:tc>
          <w:tcPr>
            <w:tcW w:w="1170" w:type="dxa"/>
            <w:vAlign w:val="bottom"/>
          </w:tcPr>
          <w:p w:rsidRPr="003F34E9" w:rsidR="001B2B16" w:rsidP="004B7AFB" w:rsidRDefault="001B2B16" w14:paraId="5AA250BE" w14:textId="0E06BA78">
            <w:pPr>
              <w:pStyle w:val="Standard"/>
              <w:keepNext/>
              <w:spacing w:line="240" w:lineRule="auto"/>
              <w:ind w:firstLine="0"/>
              <w:jc w:val="center"/>
              <w:rPr>
                <w:b/>
                <w:bCs/>
                <w:sz w:val="20"/>
                <w:szCs w:val="16"/>
              </w:rPr>
            </w:pPr>
            <w:r w:rsidRPr="003F34E9">
              <w:rPr>
                <w:b/>
                <w:bCs/>
                <w:sz w:val="20"/>
                <w:szCs w:val="16"/>
              </w:rPr>
              <w:t>SoCalGas</w:t>
            </w:r>
          </w:p>
        </w:tc>
        <w:tc>
          <w:tcPr>
            <w:tcW w:w="1080" w:type="dxa"/>
            <w:vAlign w:val="bottom"/>
          </w:tcPr>
          <w:p w:rsidRPr="003F34E9" w:rsidR="001B2B16" w:rsidP="004B7AFB" w:rsidRDefault="001B2B16" w14:paraId="20007C1E" w14:textId="332C548D">
            <w:pPr>
              <w:pStyle w:val="Standard"/>
              <w:keepNext/>
              <w:spacing w:line="240" w:lineRule="auto"/>
              <w:ind w:firstLine="0"/>
              <w:jc w:val="center"/>
              <w:rPr>
                <w:b/>
                <w:bCs/>
                <w:sz w:val="20"/>
                <w:szCs w:val="16"/>
              </w:rPr>
            </w:pPr>
            <w:r w:rsidRPr="003F34E9">
              <w:rPr>
                <w:b/>
                <w:bCs/>
                <w:sz w:val="20"/>
                <w:szCs w:val="16"/>
              </w:rPr>
              <w:t>SDG&amp;E</w:t>
            </w:r>
          </w:p>
        </w:tc>
        <w:tc>
          <w:tcPr>
            <w:tcW w:w="720" w:type="dxa"/>
            <w:vAlign w:val="bottom"/>
          </w:tcPr>
          <w:p w:rsidRPr="003F34E9" w:rsidR="001B2B16" w:rsidP="004B7AFB" w:rsidRDefault="001B2B16" w14:paraId="4DA63E60" w14:textId="77777777">
            <w:pPr>
              <w:pStyle w:val="Standard"/>
              <w:keepNext/>
              <w:spacing w:line="240" w:lineRule="auto"/>
              <w:ind w:firstLine="0"/>
              <w:jc w:val="center"/>
              <w:rPr>
                <w:b/>
                <w:bCs/>
                <w:sz w:val="20"/>
                <w:szCs w:val="16"/>
              </w:rPr>
            </w:pPr>
            <w:r w:rsidRPr="003F34E9">
              <w:rPr>
                <w:b/>
                <w:bCs/>
                <w:sz w:val="20"/>
                <w:szCs w:val="16"/>
              </w:rPr>
              <w:t>SWG</w:t>
            </w:r>
          </w:p>
        </w:tc>
        <w:tc>
          <w:tcPr>
            <w:tcW w:w="905" w:type="dxa"/>
            <w:vAlign w:val="bottom"/>
          </w:tcPr>
          <w:p w:rsidRPr="003F34E9" w:rsidR="001B2B16" w:rsidP="004B7AFB" w:rsidRDefault="001B2B16" w14:paraId="7DB3BA8B" w14:textId="77777777">
            <w:pPr>
              <w:pStyle w:val="Standard"/>
              <w:keepNext/>
              <w:spacing w:line="240" w:lineRule="auto"/>
              <w:ind w:firstLine="0"/>
              <w:jc w:val="center"/>
              <w:rPr>
                <w:b/>
                <w:bCs/>
                <w:sz w:val="20"/>
                <w:szCs w:val="16"/>
              </w:rPr>
            </w:pPr>
            <w:r w:rsidRPr="003F34E9">
              <w:rPr>
                <w:b/>
                <w:bCs/>
                <w:sz w:val="20"/>
                <w:szCs w:val="16"/>
              </w:rPr>
              <w:t>Total</w:t>
            </w:r>
          </w:p>
        </w:tc>
      </w:tr>
      <w:tr w:rsidRPr="003F34E9" w:rsidR="005714FC" w:rsidTr="005714FC" w14:paraId="42C2389A" w14:textId="77777777">
        <w:trPr>
          <w:cantSplit/>
          <w:jc w:val="center"/>
        </w:trPr>
        <w:tc>
          <w:tcPr>
            <w:tcW w:w="1255" w:type="dxa"/>
          </w:tcPr>
          <w:p w:rsidRPr="003F34E9" w:rsidR="001B2B16" w:rsidP="004A66DC" w:rsidRDefault="001B2B16" w14:paraId="2447738D" w14:textId="77777777">
            <w:pPr>
              <w:pStyle w:val="Standard"/>
              <w:keepNext/>
              <w:spacing w:line="240" w:lineRule="auto"/>
              <w:ind w:firstLine="0"/>
              <w:rPr>
                <w:sz w:val="20"/>
                <w:szCs w:val="24"/>
              </w:rPr>
            </w:pPr>
            <w:r w:rsidRPr="003F34E9">
              <w:rPr>
                <w:sz w:val="20"/>
                <w:szCs w:val="24"/>
              </w:rPr>
              <w:t>Allowances</w:t>
            </w:r>
          </w:p>
        </w:tc>
        <w:tc>
          <w:tcPr>
            <w:tcW w:w="900" w:type="dxa"/>
          </w:tcPr>
          <w:p w:rsidRPr="003F34E9" w:rsidR="001B2B16" w:rsidP="004A66DC" w:rsidRDefault="001B2B16" w14:paraId="6428BB04" w14:textId="761D70EB">
            <w:pPr>
              <w:pStyle w:val="Standard"/>
              <w:keepNext/>
              <w:spacing w:line="240" w:lineRule="auto"/>
              <w:ind w:firstLine="0"/>
              <w:jc w:val="center"/>
              <w:rPr>
                <w:b/>
                <w:bCs/>
                <w:sz w:val="20"/>
                <w:szCs w:val="24"/>
              </w:rPr>
            </w:pPr>
            <w:r w:rsidRPr="003F34E9">
              <w:rPr>
                <w:sz w:val="20"/>
                <w:szCs w:val="24"/>
              </w:rPr>
              <w:t>$8</w:t>
            </w:r>
          </w:p>
        </w:tc>
        <w:tc>
          <w:tcPr>
            <w:tcW w:w="1170" w:type="dxa"/>
          </w:tcPr>
          <w:p w:rsidRPr="003F34E9" w:rsidR="001B2B16" w:rsidP="004A66DC" w:rsidRDefault="001B2B16" w14:paraId="099B7DA5" w14:textId="6BB0AB8B">
            <w:pPr>
              <w:pStyle w:val="Standard"/>
              <w:keepNext/>
              <w:spacing w:line="240" w:lineRule="auto"/>
              <w:ind w:firstLine="0"/>
              <w:jc w:val="center"/>
              <w:rPr>
                <w:b/>
                <w:bCs/>
                <w:sz w:val="20"/>
                <w:szCs w:val="24"/>
              </w:rPr>
            </w:pPr>
            <w:r w:rsidRPr="003F34E9">
              <w:rPr>
                <w:sz w:val="20"/>
                <w:szCs w:val="24"/>
              </w:rPr>
              <w:t>$1</w:t>
            </w:r>
            <w:r w:rsidRPr="003F34E9" w:rsidR="00E57012">
              <w:rPr>
                <w:sz w:val="20"/>
                <w:szCs w:val="24"/>
              </w:rPr>
              <w:t>4</w:t>
            </w:r>
          </w:p>
        </w:tc>
        <w:tc>
          <w:tcPr>
            <w:tcW w:w="1170" w:type="dxa"/>
          </w:tcPr>
          <w:p w:rsidR="003F34E9" w:rsidP="004A66DC" w:rsidRDefault="00EC4D5A" w14:paraId="3582F3E5" w14:textId="6281E70C">
            <w:pPr>
              <w:pStyle w:val="Standard"/>
              <w:keepNext/>
              <w:spacing w:line="240" w:lineRule="auto"/>
              <w:ind w:firstLine="0"/>
              <w:jc w:val="center"/>
              <w:rPr>
                <w:sz w:val="20"/>
                <w:szCs w:val="18"/>
              </w:rPr>
            </w:pPr>
            <w:r w:rsidRPr="003F34E9">
              <w:rPr>
                <w:sz w:val="20"/>
                <w:szCs w:val="18"/>
              </w:rPr>
              <w:t>Did not</w:t>
            </w:r>
          </w:p>
          <w:p w:rsidRPr="003F34E9" w:rsidR="001B2B16" w:rsidP="004A66DC" w:rsidRDefault="00EC4D5A" w14:paraId="2D2FD9B7" w14:textId="7B70E80B">
            <w:pPr>
              <w:pStyle w:val="Standard"/>
              <w:keepNext/>
              <w:spacing w:line="240" w:lineRule="auto"/>
              <w:ind w:firstLine="0"/>
              <w:jc w:val="center"/>
              <w:rPr>
                <w:b/>
                <w:bCs/>
                <w:sz w:val="20"/>
                <w:szCs w:val="24"/>
              </w:rPr>
            </w:pPr>
            <w:r w:rsidRPr="003F34E9">
              <w:rPr>
                <w:sz w:val="20"/>
                <w:szCs w:val="18"/>
              </w:rPr>
              <w:t>provide</w:t>
            </w:r>
          </w:p>
        </w:tc>
        <w:tc>
          <w:tcPr>
            <w:tcW w:w="1080" w:type="dxa"/>
          </w:tcPr>
          <w:p w:rsidRPr="003F34E9" w:rsidR="001B2B16" w:rsidP="004A66DC" w:rsidRDefault="001B2B16" w14:paraId="1FC012DB" w14:textId="2C89A4FB">
            <w:pPr>
              <w:pStyle w:val="Standard"/>
              <w:keepNext/>
              <w:spacing w:line="240" w:lineRule="auto"/>
              <w:ind w:firstLine="0"/>
              <w:jc w:val="center"/>
              <w:rPr>
                <w:b/>
                <w:bCs/>
                <w:sz w:val="20"/>
                <w:szCs w:val="24"/>
              </w:rPr>
            </w:pPr>
            <w:r w:rsidRPr="003F34E9">
              <w:rPr>
                <w:sz w:val="20"/>
                <w:szCs w:val="24"/>
              </w:rPr>
              <w:t>$1</w:t>
            </w:r>
          </w:p>
        </w:tc>
        <w:tc>
          <w:tcPr>
            <w:tcW w:w="900" w:type="dxa"/>
          </w:tcPr>
          <w:p w:rsidRPr="003F34E9" w:rsidR="001B2B16" w:rsidP="004A66DC" w:rsidRDefault="001B2B16" w14:paraId="26A01914" w14:textId="378B010F">
            <w:pPr>
              <w:pStyle w:val="Standard"/>
              <w:keepNext/>
              <w:spacing w:line="240" w:lineRule="auto"/>
              <w:ind w:firstLine="0"/>
              <w:jc w:val="center"/>
              <w:rPr>
                <w:b/>
                <w:bCs/>
                <w:sz w:val="20"/>
                <w:szCs w:val="24"/>
              </w:rPr>
            </w:pPr>
            <w:r w:rsidRPr="003F34E9">
              <w:rPr>
                <w:sz w:val="20"/>
                <w:szCs w:val="24"/>
              </w:rPr>
              <w:t>$</w:t>
            </w:r>
            <w:r w:rsidRPr="003F34E9" w:rsidR="00480FF8">
              <w:rPr>
                <w:sz w:val="20"/>
                <w:szCs w:val="24"/>
              </w:rPr>
              <w:t>23</w:t>
            </w:r>
          </w:p>
        </w:tc>
        <w:tc>
          <w:tcPr>
            <w:tcW w:w="810" w:type="dxa"/>
          </w:tcPr>
          <w:p w:rsidRPr="003F34E9" w:rsidR="001B2B16" w:rsidP="004A66DC" w:rsidRDefault="00F86446" w14:paraId="66EECC9C" w14:textId="20D33CCF">
            <w:pPr>
              <w:pStyle w:val="Standard"/>
              <w:keepNext/>
              <w:spacing w:line="240" w:lineRule="auto"/>
              <w:ind w:firstLine="0"/>
              <w:jc w:val="center"/>
              <w:rPr>
                <w:sz w:val="20"/>
                <w:szCs w:val="24"/>
              </w:rPr>
            </w:pPr>
            <w:r w:rsidRPr="003F34E9">
              <w:rPr>
                <w:sz w:val="20"/>
                <w:szCs w:val="24"/>
              </w:rPr>
              <w:t>$1</w:t>
            </w:r>
            <w:r w:rsidRPr="003F34E9" w:rsidR="00B91135">
              <w:rPr>
                <w:sz w:val="20"/>
                <w:szCs w:val="24"/>
              </w:rPr>
              <w:t>3</w:t>
            </w:r>
          </w:p>
        </w:tc>
        <w:tc>
          <w:tcPr>
            <w:tcW w:w="1170" w:type="dxa"/>
          </w:tcPr>
          <w:p w:rsidRPr="003F34E9" w:rsidR="001B2B16" w:rsidP="004A66DC" w:rsidRDefault="009B7D10" w14:paraId="722C6D49" w14:textId="47E6ED10">
            <w:pPr>
              <w:pStyle w:val="Standard"/>
              <w:keepNext/>
              <w:spacing w:line="240" w:lineRule="auto"/>
              <w:ind w:firstLine="0"/>
              <w:jc w:val="center"/>
              <w:rPr>
                <w:sz w:val="20"/>
                <w:szCs w:val="24"/>
              </w:rPr>
            </w:pPr>
            <w:r w:rsidRPr="003F34E9">
              <w:rPr>
                <w:sz w:val="20"/>
                <w:szCs w:val="24"/>
              </w:rPr>
              <w:t>$14</w:t>
            </w:r>
          </w:p>
        </w:tc>
        <w:tc>
          <w:tcPr>
            <w:tcW w:w="1080" w:type="dxa"/>
          </w:tcPr>
          <w:p w:rsidR="00447548" w:rsidP="004A66DC" w:rsidRDefault="00EC4D5A" w14:paraId="77E7A4C3" w14:textId="6AB4680D">
            <w:pPr>
              <w:pStyle w:val="Standard"/>
              <w:keepNext/>
              <w:spacing w:line="240" w:lineRule="auto"/>
              <w:ind w:firstLine="0"/>
              <w:jc w:val="center"/>
              <w:rPr>
                <w:sz w:val="20"/>
                <w:szCs w:val="18"/>
              </w:rPr>
            </w:pPr>
            <w:r w:rsidRPr="003F34E9">
              <w:rPr>
                <w:sz w:val="20"/>
                <w:szCs w:val="18"/>
              </w:rPr>
              <w:t>Did not</w:t>
            </w:r>
          </w:p>
          <w:p w:rsidRPr="003F34E9" w:rsidR="001B2B16" w:rsidP="004A66DC" w:rsidRDefault="00EC4D5A" w14:paraId="2D6989F3" w14:textId="5250916B">
            <w:pPr>
              <w:pStyle w:val="Standard"/>
              <w:keepNext/>
              <w:spacing w:line="240" w:lineRule="auto"/>
              <w:ind w:firstLine="0"/>
              <w:jc w:val="center"/>
              <w:rPr>
                <w:sz w:val="20"/>
                <w:szCs w:val="18"/>
              </w:rPr>
            </w:pPr>
            <w:r w:rsidRPr="003F34E9">
              <w:rPr>
                <w:sz w:val="20"/>
                <w:szCs w:val="18"/>
              </w:rPr>
              <w:t>provide</w:t>
            </w:r>
          </w:p>
        </w:tc>
        <w:tc>
          <w:tcPr>
            <w:tcW w:w="720" w:type="dxa"/>
          </w:tcPr>
          <w:p w:rsidRPr="003F34E9" w:rsidR="001B2B16" w:rsidP="004A66DC" w:rsidRDefault="00AD199E" w14:paraId="44DDEFA4" w14:textId="20156BB0">
            <w:pPr>
              <w:pStyle w:val="Standard"/>
              <w:keepNext/>
              <w:spacing w:line="240" w:lineRule="auto"/>
              <w:ind w:firstLine="0"/>
              <w:jc w:val="center"/>
              <w:rPr>
                <w:sz w:val="20"/>
                <w:szCs w:val="24"/>
              </w:rPr>
            </w:pPr>
            <w:r w:rsidRPr="003F34E9">
              <w:rPr>
                <w:sz w:val="20"/>
                <w:szCs w:val="24"/>
              </w:rPr>
              <w:t>$</w:t>
            </w:r>
            <w:r w:rsidRPr="003F34E9" w:rsidR="00C15E0B">
              <w:rPr>
                <w:sz w:val="20"/>
                <w:szCs w:val="24"/>
              </w:rPr>
              <w:t>1</w:t>
            </w:r>
          </w:p>
        </w:tc>
        <w:tc>
          <w:tcPr>
            <w:tcW w:w="905" w:type="dxa"/>
          </w:tcPr>
          <w:p w:rsidRPr="003F34E9" w:rsidR="001B2B16" w:rsidP="004A66DC" w:rsidRDefault="00872D59" w14:paraId="113F418B" w14:textId="46A67DA4">
            <w:pPr>
              <w:pStyle w:val="Standard"/>
              <w:keepNext/>
              <w:spacing w:line="240" w:lineRule="auto"/>
              <w:ind w:firstLine="0"/>
              <w:jc w:val="center"/>
              <w:rPr>
                <w:sz w:val="20"/>
                <w:szCs w:val="24"/>
              </w:rPr>
            </w:pPr>
            <w:r w:rsidRPr="003F34E9">
              <w:rPr>
                <w:sz w:val="20"/>
                <w:szCs w:val="24"/>
              </w:rPr>
              <w:t>$</w:t>
            </w:r>
            <w:r w:rsidRPr="003F34E9" w:rsidR="009A58FF">
              <w:rPr>
                <w:sz w:val="20"/>
                <w:szCs w:val="24"/>
              </w:rPr>
              <w:t>28</w:t>
            </w:r>
          </w:p>
        </w:tc>
      </w:tr>
      <w:tr w:rsidRPr="003F34E9" w:rsidR="005714FC" w:rsidTr="005714FC" w14:paraId="18B939D8" w14:textId="77777777">
        <w:trPr>
          <w:cantSplit/>
          <w:jc w:val="center"/>
        </w:trPr>
        <w:tc>
          <w:tcPr>
            <w:tcW w:w="1255" w:type="dxa"/>
          </w:tcPr>
          <w:p w:rsidRPr="003F34E9" w:rsidR="00E50143" w:rsidP="004B7AFB" w:rsidRDefault="00E50143" w14:paraId="3002543F" w14:textId="08E0F8C9">
            <w:pPr>
              <w:pStyle w:val="Standard"/>
              <w:keepNext/>
              <w:spacing w:line="240" w:lineRule="auto"/>
              <w:ind w:firstLine="0"/>
              <w:rPr>
                <w:sz w:val="20"/>
                <w:szCs w:val="24"/>
              </w:rPr>
            </w:pPr>
            <w:r w:rsidRPr="003F34E9">
              <w:rPr>
                <w:sz w:val="20"/>
                <w:szCs w:val="24"/>
              </w:rPr>
              <w:t>Refunds</w:t>
            </w:r>
            <w:r w:rsidRPr="003F34E9" w:rsidDel="00453E28">
              <w:rPr>
                <w:sz w:val="20"/>
                <w:szCs w:val="24"/>
              </w:rPr>
              <w:t xml:space="preserve"> </w:t>
            </w:r>
          </w:p>
        </w:tc>
        <w:tc>
          <w:tcPr>
            <w:tcW w:w="900" w:type="dxa"/>
          </w:tcPr>
          <w:p w:rsidRPr="003F34E9" w:rsidR="00E50143" w:rsidP="004B7AFB" w:rsidRDefault="00E50143" w14:paraId="6466C8BB" w14:textId="26089F21">
            <w:pPr>
              <w:pStyle w:val="Standard"/>
              <w:keepNext/>
              <w:spacing w:line="240" w:lineRule="auto"/>
              <w:ind w:firstLine="0"/>
              <w:jc w:val="center"/>
              <w:rPr>
                <w:b/>
                <w:bCs/>
                <w:sz w:val="20"/>
                <w:szCs w:val="24"/>
              </w:rPr>
            </w:pPr>
            <w:r w:rsidRPr="003F34E9">
              <w:rPr>
                <w:sz w:val="20"/>
                <w:szCs w:val="24"/>
              </w:rPr>
              <w:t>$0</w:t>
            </w:r>
            <w:r w:rsidRPr="003F34E9" w:rsidR="00297D9A">
              <w:rPr>
                <w:sz w:val="20"/>
                <w:szCs w:val="24"/>
              </w:rPr>
              <w:t>.</w:t>
            </w:r>
            <w:r w:rsidRPr="003F34E9" w:rsidR="00E67853">
              <w:rPr>
                <w:sz w:val="20"/>
                <w:szCs w:val="24"/>
              </w:rPr>
              <w:t>3</w:t>
            </w:r>
          </w:p>
        </w:tc>
        <w:tc>
          <w:tcPr>
            <w:tcW w:w="1170" w:type="dxa"/>
          </w:tcPr>
          <w:p w:rsidRPr="003F34E9" w:rsidR="00E50143" w:rsidP="004B7AFB" w:rsidRDefault="00E50143" w14:paraId="562F9196" w14:textId="33CD77C0">
            <w:pPr>
              <w:pStyle w:val="Standard"/>
              <w:keepNext/>
              <w:spacing w:line="240" w:lineRule="auto"/>
              <w:ind w:firstLine="0"/>
              <w:jc w:val="center"/>
              <w:rPr>
                <w:b/>
                <w:bCs/>
                <w:sz w:val="20"/>
                <w:szCs w:val="24"/>
              </w:rPr>
            </w:pPr>
            <w:r w:rsidRPr="003F34E9">
              <w:rPr>
                <w:sz w:val="20"/>
                <w:szCs w:val="24"/>
              </w:rPr>
              <w:t>$0</w:t>
            </w:r>
          </w:p>
        </w:tc>
        <w:tc>
          <w:tcPr>
            <w:tcW w:w="1170" w:type="dxa"/>
          </w:tcPr>
          <w:p w:rsidRPr="003F34E9" w:rsidR="00E50143" w:rsidP="004B7AFB" w:rsidRDefault="00E50143" w14:paraId="79F117A8" w14:textId="6C77D484">
            <w:pPr>
              <w:pStyle w:val="Standard"/>
              <w:keepNext/>
              <w:spacing w:line="240" w:lineRule="auto"/>
              <w:ind w:firstLine="0"/>
              <w:jc w:val="center"/>
              <w:rPr>
                <w:b/>
                <w:bCs/>
                <w:sz w:val="20"/>
                <w:szCs w:val="24"/>
              </w:rPr>
            </w:pPr>
            <w:r w:rsidRPr="003F34E9">
              <w:rPr>
                <w:sz w:val="20"/>
                <w:szCs w:val="24"/>
              </w:rPr>
              <w:t>$0</w:t>
            </w:r>
            <w:r w:rsidRPr="003F34E9" w:rsidR="00DA786D">
              <w:rPr>
                <w:rStyle w:val="FootnoteReference"/>
                <w:sz w:val="20"/>
                <w:szCs w:val="24"/>
              </w:rPr>
              <w:footnoteReference w:id="48"/>
            </w:r>
          </w:p>
        </w:tc>
        <w:tc>
          <w:tcPr>
            <w:tcW w:w="1080" w:type="dxa"/>
          </w:tcPr>
          <w:p w:rsidRPr="003F34E9" w:rsidR="00E50143" w:rsidP="004B7AFB" w:rsidRDefault="00E50143" w14:paraId="31258503" w14:textId="4C20CF01">
            <w:pPr>
              <w:pStyle w:val="Standard"/>
              <w:keepNext/>
              <w:spacing w:line="240" w:lineRule="auto"/>
              <w:ind w:firstLine="0"/>
              <w:jc w:val="center"/>
              <w:rPr>
                <w:b/>
                <w:bCs/>
                <w:sz w:val="20"/>
                <w:szCs w:val="24"/>
              </w:rPr>
            </w:pPr>
            <w:r w:rsidRPr="003F34E9">
              <w:rPr>
                <w:sz w:val="20"/>
                <w:szCs w:val="24"/>
              </w:rPr>
              <w:t>$0</w:t>
            </w:r>
          </w:p>
        </w:tc>
        <w:tc>
          <w:tcPr>
            <w:tcW w:w="900" w:type="dxa"/>
          </w:tcPr>
          <w:p w:rsidRPr="003F34E9" w:rsidR="00E50143" w:rsidP="004B7AFB" w:rsidRDefault="00E50143" w14:paraId="076C9D09" w14:textId="21B2275E">
            <w:pPr>
              <w:pStyle w:val="Standard"/>
              <w:keepNext/>
              <w:spacing w:line="240" w:lineRule="auto"/>
              <w:ind w:firstLine="0"/>
              <w:jc w:val="center"/>
              <w:rPr>
                <w:b/>
                <w:bCs/>
                <w:sz w:val="20"/>
                <w:szCs w:val="24"/>
              </w:rPr>
            </w:pPr>
            <w:r w:rsidRPr="003F34E9">
              <w:rPr>
                <w:sz w:val="20"/>
                <w:szCs w:val="24"/>
              </w:rPr>
              <w:t>$</w:t>
            </w:r>
            <w:r w:rsidRPr="003F34E9" w:rsidR="001B0FE3">
              <w:rPr>
                <w:sz w:val="20"/>
                <w:szCs w:val="24"/>
              </w:rPr>
              <w:t>0</w:t>
            </w:r>
            <w:r w:rsidRPr="003F34E9" w:rsidR="004913A6">
              <w:rPr>
                <w:sz w:val="20"/>
                <w:szCs w:val="24"/>
              </w:rPr>
              <w:t>.</w:t>
            </w:r>
            <w:r w:rsidRPr="003F34E9" w:rsidR="00E67853">
              <w:rPr>
                <w:sz w:val="20"/>
                <w:szCs w:val="24"/>
              </w:rPr>
              <w:t>3</w:t>
            </w:r>
          </w:p>
        </w:tc>
        <w:tc>
          <w:tcPr>
            <w:tcW w:w="810" w:type="dxa"/>
          </w:tcPr>
          <w:p w:rsidRPr="003F34E9" w:rsidR="00E50143" w:rsidP="004B7AFB" w:rsidRDefault="00E50143" w14:paraId="6CD106AF" w14:textId="5CCDE7E3">
            <w:pPr>
              <w:pStyle w:val="Standard"/>
              <w:keepNext/>
              <w:spacing w:line="240" w:lineRule="auto"/>
              <w:ind w:firstLine="0"/>
              <w:jc w:val="center"/>
              <w:rPr>
                <w:sz w:val="20"/>
                <w:szCs w:val="24"/>
              </w:rPr>
            </w:pPr>
            <w:r w:rsidRPr="003F34E9">
              <w:rPr>
                <w:sz w:val="20"/>
                <w:szCs w:val="24"/>
              </w:rPr>
              <w:t>$</w:t>
            </w:r>
            <w:r w:rsidRPr="003F34E9" w:rsidR="002C0457">
              <w:rPr>
                <w:sz w:val="20"/>
                <w:szCs w:val="24"/>
              </w:rPr>
              <w:t>1</w:t>
            </w:r>
          </w:p>
        </w:tc>
        <w:tc>
          <w:tcPr>
            <w:tcW w:w="1170" w:type="dxa"/>
          </w:tcPr>
          <w:p w:rsidRPr="003F34E9" w:rsidR="00E50143" w:rsidP="004B7AFB" w:rsidRDefault="008F7E3E" w14:paraId="29FA4C0E" w14:textId="3D8885F0">
            <w:pPr>
              <w:pStyle w:val="Standard"/>
              <w:keepNext/>
              <w:spacing w:line="240" w:lineRule="auto"/>
              <w:ind w:firstLine="0"/>
              <w:jc w:val="center"/>
              <w:rPr>
                <w:sz w:val="20"/>
                <w:szCs w:val="24"/>
              </w:rPr>
            </w:pPr>
            <w:r w:rsidRPr="003F34E9">
              <w:rPr>
                <w:sz w:val="20"/>
                <w:szCs w:val="24"/>
              </w:rPr>
              <w:t>$0</w:t>
            </w:r>
          </w:p>
        </w:tc>
        <w:tc>
          <w:tcPr>
            <w:tcW w:w="1080" w:type="dxa"/>
          </w:tcPr>
          <w:p w:rsidRPr="003F34E9" w:rsidR="00E50143" w:rsidP="004B7AFB" w:rsidRDefault="00E50143" w14:paraId="02447EE5" w14:textId="1CE4F3B4">
            <w:pPr>
              <w:pStyle w:val="Standard"/>
              <w:keepNext/>
              <w:spacing w:line="240" w:lineRule="auto"/>
              <w:ind w:firstLine="0"/>
              <w:jc w:val="center"/>
              <w:rPr>
                <w:sz w:val="20"/>
                <w:szCs w:val="24"/>
              </w:rPr>
            </w:pPr>
            <w:r w:rsidRPr="003F34E9">
              <w:rPr>
                <w:sz w:val="20"/>
                <w:szCs w:val="24"/>
              </w:rPr>
              <w:t>$</w:t>
            </w:r>
            <w:r w:rsidRPr="003F34E9" w:rsidR="00344A0C">
              <w:rPr>
                <w:sz w:val="20"/>
                <w:szCs w:val="24"/>
              </w:rPr>
              <w:t>0</w:t>
            </w:r>
          </w:p>
        </w:tc>
        <w:tc>
          <w:tcPr>
            <w:tcW w:w="720" w:type="dxa"/>
          </w:tcPr>
          <w:p w:rsidRPr="003F34E9" w:rsidR="00E50143" w:rsidP="004B7AFB" w:rsidRDefault="00E50143" w14:paraId="18C4C773" w14:textId="3E71EE4D">
            <w:pPr>
              <w:pStyle w:val="Standard"/>
              <w:keepNext/>
              <w:spacing w:line="240" w:lineRule="auto"/>
              <w:ind w:firstLine="0"/>
              <w:jc w:val="center"/>
              <w:rPr>
                <w:sz w:val="20"/>
                <w:szCs w:val="24"/>
              </w:rPr>
            </w:pPr>
            <w:r w:rsidRPr="003F34E9">
              <w:rPr>
                <w:sz w:val="20"/>
                <w:szCs w:val="24"/>
              </w:rPr>
              <w:t>$0</w:t>
            </w:r>
          </w:p>
        </w:tc>
        <w:tc>
          <w:tcPr>
            <w:tcW w:w="905" w:type="dxa"/>
          </w:tcPr>
          <w:p w:rsidRPr="003F34E9" w:rsidR="00E50143" w:rsidP="004B7AFB" w:rsidRDefault="00E50143" w14:paraId="5024395B" w14:textId="2B55026A">
            <w:pPr>
              <w:pStyle w:val="Standard"/>
              <w:keepNext/>
              <w:spacing w:line="240" w:lineRule="auto"/>
              <w:ind w:firstLine="0"/>
              <w:jc w:val="center"/>
              <w:rPr>
                <w:sz w:val="20"/>
                <w:szCs w:val="24"/>
              </w:rPr>
            </w:pPr>
            <w:r w:rsidRPr="003F34E9">
              <w:rPr>
                <w:sz w:val="20"/>
                <w:szCs w:val="24"/>
              </w:rPr>
              <w:t>$</w:t>
            </w:r>
            <w:r w:rsidRPr="003F34E9" w:rsidR="00546433">
              <w:rPr>
                <w:sz w:val="20"/>
                <w:szCs w:val="24"/>
              </w:rPr>
              <w:t>1</w:t>
            </w:r>
          </w:p>
        </w:tc>
      </w:tr>
      <w:tr w:rsidRPr="003F34E9" w:rsidR="005714FC" w:rsidTr="005714FC" w14:paraId="2A7955FE" w14:textId="77777777">
        <w:trPr>
          <w:cantSplit/>
          <w:jc w:val="center"/>
        </w:trPr>
        <w:tc>
          <w:tcPr>
            <w:tcW w:w="1255" w:type="dxa"/>
          </w:tcPr>
          <w:p w:rsidRPr="003F34E9" w:rsidR="001B2B16" w:rsidP="004B7AFB" w:rsidRDefault="001B2B16" w14:paraId="14ECC885" w14:textId="39B4ECD2">
            <w:pPr>
              <w:pStyle w:val="Standard"/>
              <w:keepNext/>
              <w:spacing w:line="240" w:lineRule="auto"/>
              <w:ind w:firstLine="0"/>
              <w:rPr>
                <w:sz w:val="20"/>
                <w:szCs w:val="24"/>
              </w:rPr>
            </w:pPr>
            <w:r w:rsidRPr="003F34E9">
              <w:rPr>
                <w:sz w:val="20"/>
                <w:szCs w:val="24"/>
              </w:rPr>
              <w:t xml:space="preserve">Discounts </w:t>
            </w:r>
          </w:p>
        </w:tc>
        <w:tc>
          <w:tcPr>
            <w:tcW w:w="900" w:type="dxa"/>
          </w:tcPr>
          <w:p w:rsidRPr="003F34E9" w:rsidR="001B2B16" w:rsidP="004B7AFB" w:rsidRDefault="001B2B16" w14:paraId="5AD560DE" w14:textId="4A9CF7FF">
            <w:pPr>
              <w:pStyle w:val="Standard"/>
              <w:keepNext/>
              <w:spacing w:line="240" w:lineRule="auto"/>
              <w:ind w:firstLine="0"/>
              <w:jc w:val="center"/>
              <w:rPr>
                <w:b/>
                <w:bCs/>
                <w:sz w:val="20"/>
                <w:szCs w:val="24"/>
              </w:rPr>
            </w:pPr>
            <w:r w:rsidRPr="003F34E9">
              <w:rPr>
                <w:sz w:val="20"/>
                <w:szCs w:val="24"/>
              </w:rPr>
              <w:t>$6</w:t>
            </w:r>
          </w:p>
        </w:tc>
        <w:tc>
          <w:tcPr>
            <w:tcW w:w="1170" w:type="dxa"/>
          </w:tcPr>
          <w:p w:rsidRPr="003F34E9" w:rsidR="001B2B16" w:rsidP="004B7AFB" w:rsidRDefault="001B2B16" w14:paraId="46F21A96" w14:textId="02E2C9FB">
            <w:pPr>
              <w:pStyle w:val="Standard"/>
              <w:keepNext/>
              <w:spacing w:line="240" w:lineRule="auto"/>
              <w:ind w:firstLine="0"/>
              <w:jc w:val="center"/>
              <w:rPr>
                <w:b/>
                <w:bCs/>
                <w:sz w:val="20"/>
                <w:szCs w:val="24"/>
              </w:rPr>
            </w:pPr>
            <w:r w:rsidRPr="003F34E9">
              <w:rPr>
                <w:sz w:val="20"/>
                <w:szCs w:val="24"/>
              </w:rPr>
              <w:t>$0</w:t>
            </w:r>
          </w:p>
        </w:tc>
        <w:tc>
          <w:tcPr>
            <w:tcW w:w="1170" w:type="dxa"/>
          </w:tcPr>
          <w:p w:rsidR="00447548" w:rsidP="004B7AFB" w:rsidRDefault="00302EB7" w14:paraId="274C1B36" w14:textId="516B5B94">
            <w:pPr>
              <w:pStyle w:val="Standard"/>
              <w:keepNext/>
              <w:spacing w:line="240" w:lineRule="auto"/>
              <w:ind w:firstLine="0"/>
              <w:jc w:val="center"/>
              <w:rPr>
                <w:sz w:val="20"/>
                <w:szCs w:val="18"/>
              </w:rPr>
            </w:pPr>
            <w:r w:rsidRPr="003F34E9">
              <w:rPr>
                <w:sz w:val="20"/>
                <w:szCs w:val="18"/>
              </w:rPr>
              <w:t>Did not</w:t>
            </w:r>
          </w:p>
          <w:p w:rsidRPr="003F34E9" w:rsidR="001B2B16" w:rsidP="004B7AFB" w:rsidRDefault="00302EB7" w14:paraId="50F2C296" w14:textId="1EA51BDB">
            <w:pPr>
              <w:pStyle w:val="Standard"/>
              <w:keepNext/>
              <w:spacing w:line="240" w:lineRule="auto"/>
              <w:ind w:firstLine="0"/>
              <w:jc w:val="center"/>
              <w:rPr>
                <w:sz w:val="20"/>
                <w:szCs w:val="18"/>
              </w:rPr>
            </w:pPr>
            <w:r w:rsidRPr="003F34E9">
              <w:rPr>
                <w:sz w:val="20"/>
                <w:szCs w:val="18"/>
              </w:rPr>
              <w:t>provide</w:t>
            </w:r>
          </w:p>
        </w:tc>
        <w:tc>
          <w:tcPr>
            <w:tcW w:w="1080" w:type="dxa"/>
          </w:tcPr>
          <w:p w:rsidRPr="003F34E9" w:rsidR="001B2B16" w:rsidP="004B7AFB" w:rsidRDefault="001B2B16" w14:paraId="0C1FC305" w14:textId="3F2A57EE">
            <w:pPr>
              <w:pStyle w:val="Standard"/>
              <w:keepNext/>
              <w:spacing w:line="240" w:lineRule="auto"/>
              <w:ind w:firstLine="0"/>
              <w:jc w:val="center"/>
              <w:rPr>
                <w:b/>
                <w:bCs/>
                <w:sz w:val="20"/>
                <w:szCs w:val="24"/>
              </w:rPr>
            </w:pPr>
            <w:r w:rsidRPr="003F34E9">
              <w:rPr>
                <w:sz w:val="20"/>
                <w:szCs w:val="24"/>
              </w:rPr>
              <w:t>$0</w:t>
            </w:r>
          </w:p>
        </w:tc>
        <w:tc>
          <w:tcPr>
            <w:tcW w:w="900" w:type="dxa"/>
          </w:tcPr>
          <w:p w:rsidRPr="003F34E9" w:rsidR="001B2B16" w:rsidP="004B7AFB" w:rsidRDefault="001B2B16" w14:paraId="39895814" w14:textId="567C2837">
            <w:pPr>
              <w:pStyle w:val="Standard"/>
              <w:keepNext/>
              <w:spacing w:line="240" w:lineRule="auto"/>
              <w:ind w:firstLine="0"/>
              <w:jc w:val="center"/>
              <w:rPr>
                <w:b/>
                <w:bCs/>
                <w:sz w:val="20"/>
                <w:szCs w:val="24"/>
              </w:rPr>
            </w:pPr>
            <w:r w:rsidRPr="003F34E9">
              <w:rPr>
                <w:sz w:val="20"/>
                <w:szCs w:val="24"/>
              </w:rPr>
              <w:t>$6</w:t>
            </w:r>
          </w:p>
        </w:tc>
        <w:tc>
          <w:tcPr>
            <w:tcW w:w="810" w:type="dxa"/>
          </w:tcPr>
          <w:p w:rsidRPr="003F34E9" w:rsidR="001B2B16" w:rsidP="004B7AFB" w:rsidRDefault="004C5ADA" w14:paraId="6504D91F" w14:textId="0E87BF29">
            <w:pPr>
              <w:pStyle w:val="Standard"/>
              <w:keepNext/>
              <w:spacing w:line="240" w:lineRule="auto"/>
              <w:ind w:firstLine="0"/>
              <w:jc w:val="center"/>
              <w:rPr>
                <w:sz w:val="20"/>
                <w:szCs w:val="24"/>
              </w:rPr>
            </w:pPr>
            <w:r w:rsidRPr="003F34E9">
              <w:rPr>
                <w:sz w:val="20"/>
                <w:szCs w:val="24"/>
              </w:rPr>
              <w:t>$20</w:t>
            </w:r>
          </w:p>
        </w:tc>
        <w:tc>
          <w:tcPr>
            <w:tcW w:w="1170" w:type="dxa"/>
          </w:tcPr>
          <w:p w:rsidRPr="003F34E9" w:rsidR="001B2B16" w:rsidP="004B7AFB" w:rsidRDefault="000D69CF" w14:paraId="060A5CA5" w14:textId="209E18C7">
            <w:pPr>
              <w:pStyle w:val="Standard"/>
              <w:keepNext/>
              <w:spacing w:line="240" w:lineRule="auto"/>
              <w:ind w:firstLine="0"/>
              <w:jc w:val="center"/>
              <w:rPr>
                <w:sz w:val="20"/>
                <w:szCs w:val="24"/>
              </w:rPr>
            </w:pPr>
            <w:r w:rsidRPr="003F34E9">
              <w:rPr>
                <w:sz w:val="20"/>
                <w:szCs w:val="24"/>
              </w:rPr>
              <w:t>$0</w:t>
            </w:r>
          </w:p>
        </w:tc>
        <w:tc>
          <w:tcPr>
            <w:tcW w:w="1080" w:type="dxa"/>
          </w:tcPr>
          <w:p w:rsidR="00447548" w:rsidP="004B7AFB" w:rsidRDefault="00302EB7" w14:paraId="41D1FC20" w14:textId="741FAF40">
            <w:pPr>
              <w:pStyle w:val="Standard"/>
              <w:keepNext/>
              <w:spacing w:line="240" w:lineRule="auto"/>
              <w:ind w:firstLine="0"/>
              <w:jc w:val="center"/>
              <w:rPr>
                <w:sz w:val="20"/>
                <w:szCs w:val="18"/>
              </w:rPr>
            </w:pPr>
            <w:r w:rsidRPr="003F34E9">
              <w:rPr>
                <w:sz w:val="20"/>
                <w:szCs w:val="18"/>
              </w:rPr>
              <w:t>Did not</w:t>
            </w:r>
          </w:p>
          <w:p w:rsidRPr="003F34E9" w:rsidR="001B2B16" w:rsidP="004B7AFB" w:rsidRDefault="00302EB7" w14:paraId="5690EC5F" w14:textId="7E933251">
            <w:pPr>
              <w:pStyle w:val="Standard"/>
              <w:keepNext/>
              <w:spacing w:line="240" w:lineRule="auto"/>
              <w:ind w:firstLine="0"/>
              <w:jc w:val="center"/>
              <w:rPr>
                <w:sz w:val="20"/>
                <w:szCs w:val="18"/>
              </w:rPr>
            </w:pPr>
            <w:r w:rsidRPr="003F34E9">
              <w:rPr>
                <w:sz w:val="20"/>
                <w:szCs w:val="18"/>
              </w:rPr>
              <w:t>provide</w:t>
            </w:r>
          </w:p>
        </w:tc>
        <w:tc>
          <w:tcPr>
            <w:tcW w:w="720" w:type="dxa"/>
          </w:tcPr>
          <w:p w:rsidRPr="003F34E9" w:rsidR="001B2B16" w:rsidP="004B7AFB" w:rsidRDefault="00226F0E" w14:paraId="10C8EED4" w14:textId="49D1FA50">
            <w:pPr>
              <w:pStyle w:val="Standard"/>
              <w:keepNext/>
              <w:spacing w:line="240" w:lineRule="auto"/>
              <w:ind w:firstLine="0"/>
              <w:jc w:val="center"/>
              <w:rPr>
                <w:sz w:val="20"/>
                <w:szCs w:val="24"/>
              </w:rPr>
            </w:pPr>
            <w:r w:rsidRPr="003F34E9">
              <w:rPr>
                <w:sz w:val="20"/>
                <w:szCs w:val="24"/>
              </w:rPr>
              <w:t>$0</w:t>
            </w:r>
          </w:p>
        </w:tc>
        <w:tc>
          <w:tcPr>
            <w:tcW w:w="905" w:type="dxa"/>
          </w:tcPr>
          <w:p w:rsidRPr="003F34E9" w:rsidR="001B2B16" w:rsidP="004B7AFB" w:rsidRDefault="00F414B3" w14:paraId="077EE73A" w14:textId="471F4B7F">
            <w:pPr>
              <w:pStyle w:val="Standard"/>
              <w:keepNext/>
              <w:spacing w:line="240" w:lineRule="auto"/>
              <w:ind w:firstLine="0"/>
              <w:jc w:val="center"/>
              <w:rPr>
                <w:sz w:val="20"/>
                <w:szCs w:val="24"/>
              </w:rPr>
            </w:pPr>
            <w:r w:rsidRPr="003F34E9">
              <w:rPr>
                <w:sz w:val="20"/>
                <w:szCs w:val="24"/>
              </w:rPr>
              <w:t>$20</w:t>
            </w:r>
          </w:p>
        </w:tc>
      </w:tr>
      <w:tr w:rsidRPr="003F34E9" w:rsidR="005714FC" w:rsidTr="005714FC" w14:paraId="43D88669" w14:textId="77777777">
        <w:trPr>
          <w:cantSplit/>
          <w:jc w:val="center"/>
        </w:trPr>
        <w:tc>
          <w:tcPr>
            <w:tcW w:w="1255" w:type="dxa"/>
          </w:tcPr>
          <w:p w:rsidRPr="003F34E9" w:rsidR="001B2B16" w:rsidP="00447548" w:rsidRDefault="001B2B16" w14:paraId="0BE4B46A" w14:textId="77777777">
            <w:pPr>
              <w:pStyle w:val="Standard"/>
              <w:spacing w:line="240" w:lineRule="auto"/>
              <w:ind w:firstLine="0"/>
              <w:rPr>
                <w:b/>
                <w:bCs/>
                <w:sz w:val="20"/>
                <w:szCs w:val="24"/>
              </w:rPr>
            </w:pPr>
            <w:r w:rsidRPr="003F34E9">
              <w:rPr>
                <w:b/>
                <w:bCs/>
                <w:sz w:val="20"/>
                <w:szCs w:val="24"/>
              </w:rPr>
              <w:t>Total</w:t>
            </w:r>
          </w:p>
        </w:tc>
        <w:tc>
          <w:tcPr>
            <w:tcW w:w="900" w:type="dxa"/>
          </w:tcPr>
          <w:p w:rsidRPr="003F34E9" w:rsidR="001B2B16" w:rsidP="00447548" w:rsidRDefault="001B2B16" w14:paraId="5FE9F064" w14:textId="6FFE483B">
            <w:pPr>
              <w:pStyle w:val="Standard"/>
              <w:spacing w:line="240" w:lineRule="auto"/>
              <w:ind w:firstLine="0"/>
              <w:jc w:val="center"/>
              <w:rPr>
                <w:b/>
                <w:bCs/>
                <w:sz w:val="20"/>
                <w:szCs w:val="24"/>
              </w:rPr>
            </w:pPr>
            <w:r w:rsidRPr="003F34E9">
              <w:rPr>
                <w:b/>
                <w:bCs/>
                <w:sz w:val="20"/>
                <w:szCs w:val="24"/>
              </w:rPr>
              <w:t>$14</w:t>
            </w:r>
            <w:r w:rsidRPr="003F34E9" w:rsidR="00530793">
              <w:rPr>
                <w:b/>
                <w:bCs/>
                <w:sz w:val="20"/>
                <w:szCs w:val="24"/>
              </w:rPr>
              <w:t>.</w:t>
            </w:r>
            <w:r w:rsidRPr="003F34E9" w:rsidR="00ED10F3">
              <w:rPr>
                <w:b/>
                <w:bCs/>
                <w:sz w:val="20"/>
                <w:szCs w:val="24"/>
              </w:rPr>
              <w:t>3</w:t>
            </w:r>
          </w:p>
        </w:tc>
        <w:tc>
          <w:tcPr>
            <w:tcW w:w="1170" w:type="dxa"/>
          </w:tcPr>
          <w:p w:rsidRPr="003F34E9" w:rsidR="001B2B16" w:rsidP="00447548" w:rsidRDefault="001B2B16" w14:paraId="2CB81AC6" w14:textId="0925F48D">
            <w:pPr>
              <w:pStyle w:val="Standard"/>
              <w:spacing w:line="240" w:lineRule="auto"/>
              <w:ind w:firstLine="0"/>
              <w:jc w:val="center"/>
              <w:rPr>
                <w:b/>
                <w:bCs/>
                <w:sz w:val="20"/>
                <w:szCs w:val="24"/>
              </w:rPr>
            </w:pPr>
            <w:r w:rsidRPr="003F34E9">
              <w:rPr>
                <w:b/>
                <w:bCs/>
                <w:sz w:val="20"/>
                <w:szCs w:val="24"/>
              </w:rPr>
              <w:t>$1</w:t>
            </w:r>
            <w:r w:rsidRPr="003F34E9" w:rsidR="00ED10F3">
              <w:rPr>
                <w:b/>
                <w:bCs/>
                <w:sz w:val="20"/>
                <w:szCs w:val="24"/>
              </w:rPr>
              <w:t>4</w:t>
            </w:r>
          </w:p>
        </w:tc>
        <w:tc>
          <w:tcPr>
            <w:tcW w:w="1170" w:type="dxa"/>
          </w:tcPr>
          <w:p w:rsidRPr="003F34E9" w:rsidR="001B2B16" w:rsidP="00447548" w:rsidRDefault="001B2B16" w14:paraId="2DE7EDBB" w14:textId="1023751B">
            <w:pPr>
              <w:pStyle w:val="Standard"/>
              <w:spacing w:line="240" w:lineRule="auto"/>
              <w:ind w:firstLine="0"/>
              <w:jc w:val="center"/>
              <w:rPr>
                <w:b/>
                <w:bCs/>
                <w:sz w:val="20"/>
                <w:szCs w:val="24"/>
              </w:rPr>
            </w:pPr>
            <w:r w:rsidRPr="003F34E9">
              <w:rPr>
                <w:b/>
                <w:bCs/>
                <w:sz w:val="20"/>
                <w:szCs w:val="24"/>
              </w:rPr>
              <w:t>$0</w:t>
            </w:r>
          </w:p>
        </w:tc>
        <w:tc>
          <w:tcPr>
            <w:tcW w:w="1080" w:type="dxa"/>
          </w:tcPr>
          <w:p w:rsidRPr="003F34E9" w:rsidR="001B2B16" w:rsidP="00447548" w:rsidRDefault="001B2B16" w14:paraId="3597E392" w14:textId="3B5042E8">
            <w:pPr>
              <w:pStyle w:val="Standard"/>
              <w:spacing w:line="240" w:lineRule="auto"/>
              <w:ind w:firstLine="0"/>
              <w:jc w:val="center"/>
              <w:rPr>
                <w:b/>
                <w:bCs/>
                <w:sz w:val="20"/>
                <w:szCs w:val="24"/>
              </w:rPr>
            </w:pPr>
            <w:r w:rsidRPr="003F34E9">
              <w:rPr>
                <w:b/>
                <w:bCs/>
                <w:sz w:val="20"/>
                <w:szCs w:val="24"/>
              </w:rPr>
              <w:t>$1</w:t>
            </w:r>
          </w:p>
        </w:tc>
        <w:tc>
          <w:tcPr>
            <w:tcW w:w="900" w:type="dxa"/>
          </w:tcPr>
          <w:p w:rsidRPr="003F34E9" w:rsidR="001B2B16" w:rsidP="00447548" w:rsidRDefault="001B2B16" w14:paraId="1F021A34" w14:textId="11239DAB">
            <w:pPr>
              <w:pStyle w:val="Standard"/>
              <w:spacing w:line="240" w:lineRule="auto"/>
              <w:ind w:firstLine="0"/>
              <w:jc w:val="center"/>
              <w:rPr>
                <w:b/>
                <w:bCs/>
                <w:sz w:val="20"/>
                <w:szCs w:val="24"/>
              </w:rPr>
            </w:pPr>
            <w:r w:rsidRPr="003F34E9">
              <w:rPr>
                <w:b/>
                <w:bCs/>
                <w:sz w:val="20"/>
                <w:szCs w:val="24"/>
              </w:rPr>
              <w:t>$2</w:t>
            </w:r>
            <w:r w:rsidRPr="003F34E9" w:rsidR="00EC5780">
              <w:rPr>
                <w:b/>
                <w:bCs/>
                <w:sz w:val="20"/>
                <w:szCs w:val="24"/>
              </w:rPr>
              <w:t>9.3</w:t>
            </w:r>
          </w:p>
        </w:tc>
        <w:tc>
          <w:tcPr>
            <w:tcW w:w="810" w:type="dxa"/>
          </w:tcPr>
          <w:p w:rsidRPr="003F34E9" w:rsidR="001B2B16" w:rsidP="00447548" w:rsidRDefault="00E7233D" w14:paraId="2EB3FF47" w14:textId="3B778034">
            <w:pPr>
              <w:pStyle w:val="Standard"/>
              <w:spacing w:line="240" w:lineRule="auto"/>
              <w:ind w:firstLine="0"/>
              <w:jc w:val="center"/>
              <w:rPr>
                <w:b/>
                <w:bCs/>
                <w:sz w:val="20"/>
                <w:szCs w:val="24"/>
              </w:rPr>
            </w:pPr>
            <w:r w:rsidRPr="003F34E9">
              <w:rPr>
                <w:b/>
                <w:bCs/>
                <w:sz w:val="20"/>
                <w:szCs w:val="24"/>
              </w:rPr>
              <w:t>$36</w:t>
            </w:r>
          </w:p>
        </w:tc>
        <w:tc>
          <w:tcPr>
            <w:tcW w:w="1170" w:type="dxa"/>
          </w:tcPr>
          <w:p w:rsidRPr="003F34E9" w:rsidR="001B2B16" w:rsidP="00447548" w:rsidRDefault="00E7233D" w14:paraId="4A551E16" w14:textId="33D4CC3A">
            <w:pPr>
              <w:pStyle w:val="Standard"/>
              <w:spacing w:line="240" w:lineRule="auto"/>
              <w:ind w:firstLine="0"/>
              <w:jc w:val="center"/>
              <w:rPr>
                <w:b/>
                <w:bCs/>
                <w:sz w:val="20"/>
                <w:szCs w:val="24"/>
              </w:rPr>
            </w:pPr>
            <w:r w:rsidRPr="003F34E9">
              <w:rPr>
                <w:b/>
                <w:bCs/>
                <w:sz w:val="20"/>
                <w:szCs w:val="24"/>
              </w:rPr>
              <w:t>$14</w:t>
            </w:r>
          </w:p>
        </w:tc>
        <w:tc>
          <w:tcPr>
            <w:tcW w:w="1080" w:type="dxa"/>
          </w:tcPr>
          <w:p w:rsidRPr="003F34E9" w:rsidR="001B2B16" w:rsidP="00447548" w:rsidRDefault="006373EB" w14:paraId="3E6FFCEC" w14:textId="1B638FA2">
            <w:pPr>
              <w:pStyle w:val="Standard"/>
              <w:spacing w:line="240" w:lineRule="auto"/>
              <w:ind w:firstLine="0"/>
              <w:jc w:val="center"/>
              <w:rPr>
                <w:b/>
                <w:bCs/>
                <w:sz w:val="20"/>
                <w:szCs w:val="24"/>
              </w:rPr>
            </w:pPr>
            <w:r w:rsidRPr="003F34E9">
              <w:rPr>
                <w:b/>
                <w:bCs/>
                <w:sz w:val="20"/>
                <w:szCs w:val="24"/>
              </w:rPr>
              <w:t>$0</w:t>
            </w:r>
          </w:p>
        </w:tc>
        <w:tc>
          <w:tcPr>
            <w:tcW w:w="720" w:type="dxa"/>
          </w:tcPr>
          <w:p w:rsidRPr="003F34E9" w:rsidR="001B2B16" w:rsidP="00447548" w:rsidRDefault="006373EB" w14:paraId="6946B5C9" w14:textId="7CE358A5">
            <w:pPr>
              <w:pStyle w:val="Standard"/>
              <w:spacing w:line="240" w:lineRule="auto"/>
              <w:ind w:firstLine="0"/>
              <w:jc w:val="center"/>
              <w:rPr>
                <w:b/>
                <w:bCs/>
                <w:sz w:val="20"/>
                <w:szCs w:val="24"/>
              </w:rPr>
            </w:pPr>
            <w:r w:rsidRPr="003F34E9">
              <w:rPr>
                <w:b/>
                <w:bCs/>
                <w:sz w:val="20"/>
                <w:szCs w:val="24"/>
              </w:rPr>
              <w:t>$</w:t>
            </w:r>
            <w:r w:rsidRPr="003F34E9" w:rsidR="00BF4DCF">
              <w:rPr>
                <w:b/>
                <w:bCs/>
                <w:sz w:val="20"/>
                <w:szCs w:val="24"/>
              </w:rPr>
              <w:t>1</w:t>
            </w:r>
          </w:p>
        </w:tc>
        <w:tc>
          <w:tcPr>
            <w:tcW w:w="905" w:type="dxa"/>
          </w:tcPr>
          <w:p w:rsidRPr="003F34E9" w:rsidR="001B2B16" w:rsidP="00447548" w:rsidRDefault="00B51A9C" w14:paraId="58B8C7DE" w14:textId="3A5E10F1">
            <w:pPr>
              <w:pStyle w:val="Standard"/>
              <w:spacing w:line="240" w:lineRule="auto"/>
              <w:ind w:firstLine="0"/>
              <w:jc w:val="center"/>
              <w:rPr>
                <w:b/>
                <w:bCs/>
                <w:sz w:val="20"/>
                <w:szCs w:val="24"/>
              </w:rPr>
            </w:pPr>
            <w:r w:rsidRPr="003F34E9">
              <w:rPr>
                <w:b/>
                <w:bCs/>
                <w:sz w:val="20"/>
                <w:szCs w:val="24"/>
              </w:rPr>
              <w:t>$</w:t>
            </w:r>
            <w:r w:rsidRPr="003F34E9" w:rsidR="00BB6552">
              <w:rPr>
                <w:b/>
                <w:bCs/>
                <w:sz w:val="20"/>
                <w:szCs w:val="24"/>
              </w:rPr>
              <w:t>4</w:t>
            </w:r>
            <w:r w:rsidRPr="003F34E9" w:rsidR="00DF3D68">
              <w:rPr>
                <w:b/>
                <w:bCs/>
                <w:sz w:val="20"/>
                <w:szCs w:val="24"/>
              </w:rPr>
              <w:t>9</w:t>
            </w:r>
          </w:p>
        </w:tc>
      </w:tr>
    </w:tbl>
    <w:p w:rsidR="00FF2124" w:rsidP="00856D3B" w:rsidRDefault="00502CCF" w14:paraId="45E5F249" w14:textId="206824DC">
      <w:pPr>
        <w:pStyle w:val="Heading2"/>
        <w:spacing w:before="180"/>
      </w:pPr>
      <w:bookmarkStart w:name="_Hlk95401819" w:id="81"/>
      <w:bookmarkStart w:name="_Toc110598558" w:id="82"/>
      <w:r w:rsidRPr="00F42AEA">
        <w:t xml:space="preserve">Places the Financial </w:t>
      </w:r>
      <w:bookmarkStart w:name="_Hlk95401870" w:id="83"/>
      <w:r w:rsidRPr="00F42AEA">
        <w:t>Responsibility</w:t>
      </w:r>
      <w:bookmarkEnd w:id="83"/>
      <w:r w:rsidR="00337174">
        <w:br/>
      </w:r>
      <w:r w:rsidRPr="00337174">
        <w:t xml:space="preserve">on the </w:t>
      </w:r>
      <w:r w:rsidRPr="00337174" w:rsidR="002412B6">
        <w:t xml:space="preserve">Initiating </w:t>
      </w:r>
      <w:r w:rsidRPr="00337174">
        <w:t>Party</w:t>
      </w:r>
      <w:bookmarkEnd w:id="81"/>
      <w:bookmarkEnd w:id="82"/>
      <w:r>
        <w:t xml:space="preserve"> </w:t>
      </w:r>
    </w:p>
    <w:p w:rsidRPr="005F3FB1" w:rsidR="00502CCF" w:rsidP="00502CCF" w:rsidRDefault="00502CCF" w14:paraId="421C216D" w14:textId="25BF3B0E">
      <w:pPr>
        <w:pStyle w:val="Standard"/>
      </w:pPr>
      <w:r>
        <w:t xml:space="preserve">The Staff Proposal argues that </w:t>
      </w:r>
      <w:r w:rsidRPr="005F3FB1">
        <w:t xml:space="preserve">eliminating </w:t>
      </w:r>
      <w:r w:rsidRPr="00026ACA">
        <w:t xml:space="preserve">gas line </w:t>
      </w:r>
      <w:r>
        <w:t>subsidies will force bu</w:t>
      </w:r>
      <w:r w:rsidRPr="005F3FB1">
        <w:t>ilders</w:t>
      </w:r>
      <w:r>
        <w:t xml:space="preserve">, or customers, </w:t>
      </w:r>
      <w:r w:rsidRPr="005F3FB1">
        <w:t xml:space="preserve">to shoulder </w:t>
      </w:r>
      <w:r>
        <w:t>a greater portion of the</w:t>
      </w:r>
      <w:r w:rsidRPr="005F3FB1">
        <w:t xml:space="preserve"> </w:t>
      </w:r>
      <w:r w:rsidRPr="005F3FB1" w:rsidR="00F12428">
        <w:t>expense</w:t>
      </w:r>
      <w:r w:rsidR="00F12428">
        <w:t>s</w:t>
      </w:r>
      <w:r w:rsidRPr="005F3FB1" w:rsidR="00F12428">
        <w:t xml:space="preserve"> </w:t>
      </w:r>
      <w:r w:rsidR="00F12428">
        <w:t xml:space="preserve">associated with gas line extensions </w:t>
      </w:r>
      <w:r w:rsidRPr="005F3FB1" w:rsidR="00F12428">
        <w:t xml:space="preserve">if they </w:t>
      </w:r>
      <w:r w:rsidRPr="005F3FB1">
        <w:t>choose to construct a building that uses gas</w:t>
      </w:r>
      <w:r>
        <w:t xml:space="preserve"> or</w:t>
      </w:r>
      <w:r w:rsidRPr="005F3FB1">
        <w:t xml:space="preserve"> extend</w:t>
      </w:r>
      <w:r w:rsidR="00F14182">
        <w:t>s</w:t>
      </w:r>
      <w:r w:rsidRPr="005F3FB1">
        <w:t xml:space="preserve"> gas service on existing propert</w:t>
      </w:r>
      <w:r>
        <w:t>ies</w:t>
      </w:r>
      <w:r w:rsidRPr="005F3FB1">
        <w:t xml:space="preserve">. That greater expense, in turn, would be passed on at the point of sale for a new building or directly absorbed by the customer for an existing building. </w:t>
      </w:r>
      <w:r>
        <w:t xml:space="preserve">This </w:t>
      </w:r>
      <w:r w:rsidRPr="005F3FB1">
        <w:t>added up</w:t>
      </w:r>
      <w:r w:rsidR="00513B3F">
        <w:noBreakHyphen/>
      </w:r>
      <w:r w:rsidRPr="005F3FB1">
        <w:t xml:space="preserve">front cost burden would send a signal to builders that building new gas infrastructure is more expensive, and thus make dual fuel new construction less desirable and </w:t>
      </w:r>
      <w:r w:rsidR="00BE0BA1">
        <w:t>more costly.</w:t>
      </w:r>
      <w:r w:rsidRPr="005F3FB1">
        <w:t xml:space="preserve"> </w:t>
      </w:r>
      <w:r w:rsidRPr="005F3FB1" w:rsidR="0066652A">
        <w:t>As such, the builder community would be more likely to gravitate toward all</w:t>
      </w:r>
      <w:r w:rsidR="00513B3F">
        <w:noBreakHyphen/>
      </w:r>
      <w:r w:rsidRPr="005F3FB1" w:rsidR="0066652A">
        <w:t>electric new construction</w:t>
      </w:r>
      <w:r w:rsidR="0066652A">
        <w:t xml:space="preserve">. The Staff Proposal further notes that </w:t>
      </w:r>
      <w:r w:rsidRPr="005F3FB1" w:rsidR="0066652A">
        <w:t xml:space="preserve">property price increases for </w:t>
      </w:r>
      <w:r w:rsidRPr="005F3FB1" w:rsidR="0066652A">
        <w:lastRenderedPageBreak/>
        <w:t>dual fuel new construction would become moo</w:t>
      </w:r>
      <w:r w:rsidR="0066652A">
        <w:t xml:space="preserve">t if </w:t>
      </w:r>
      <w:r w:rsidR="00DB4338">
        <w:t xml:space="preserve">all </w:t>
      </w:r>
      <w:r w:rsidR="00BE0BA1">
        <w:t xml:space="preserve">new </w:t>
      </w:r>
      <w:r w:rsidR="0066652A">
        <w:t>homes and offices are built all</w:t>
      </w:r>
      <w:r w:rsidR="00513B3F">
        <w:noBreakHyphen/>
      </w:r>
      <w:r w:rsidR="0066652A">
        <w:t>electric</w:t>
      </w:r>
      <w:r w:rsidRPr="005F3FB1">
        <w:t>.</w:t>
      </w:r>
      <w:r>
        <w:rPr>
          <w:rStyle w:val="FootnoteReference"/>
        </w:rPr>
        <w:footnoteReference w:id="49"/>
      </w:r>
      <w:r w:rsidRPr="005F3FB1">
        <w:t xml:space="preserve"> </w:t>
      </w:r>
    </w:p>
    <w:p w:rsidR="001A0122" w:rsidP="00F42AEA" w:rsidRDefault="00502CCF" w14:paraId="35636386" w14:textId="2FAA5C83">
      <w:pPr>
        <w:pStyle w:val="Heading2"/>
      </w:pPr>
      <w:bookmarkStart w:name="_Toc110598559" w:id="84"/>
      <w:r w:rsidRPr="00F42AEA">
        <w:t>Incentivizes New</w:t>
      </w:r>
      <w:r w:rsidR="00337174">
        <w:br/>
      </w:r>
      <w:r w:rsidRPr="00337174">
        <w:t>All</w:t>
      </w:r>
      <w:r w:rsidRPr="00337174" w:rsidR="00513B3F">
        <w:rPr>
          <w:bCs/>
        </w:rPr>
        <w:noBreakHyphen/>
      </w:r>
      <w:r w:rsidRPr="00337174">
        <w:t>Electric Construction</w:t>
      </w:r>
      <w:bookmarkEnd w:id="84"/>
      <w:r w:rsidRPr="00F91FE9">
        <w:t xml:space="preserve"> </w:t>
      </w:r>
    </w:p>
    <w:p w:rsidR="00502CCF" w:rsidP="00502CCF" w:rsidRDefault="00502CCF" w14:paraId="4C3B2DA3" w14:textId="6307E6C3">
      <w:pPr>
        <w:pStyle w:val="Standard"/>
        <w:rPr>
          <w:rFonts w:ascii="Garamond" w:hAnsi="Garamond" w:cs="Garamond"/>
          <w:color w:val="000000"/>
          <w:sz w:val="23"/>
          <w:szCs w:val="23"/>
        </w:rPr>
      </w:pPr>
      <w:r>
        <w:t xml:space="preserve">The Staff Proposal argues that </w:t>
      </w:r>
      <w:r w:rsidRPr="005F3FB1">
        <w:t xml:space="preserve">eliminating </w:t>
      </w:r>
      <w:r>
        <w:t>the gas line subsidies</w:t>
      </w:r>
      <w:r w:rsidRPr="005F3FB1">
        <w:t xml:space="preserve"> for all new construction would increase the number of newly constructed all</w:t>
      </w:r>
      <w:r w:rsidR="00513B3F">
        <w:noBreakHyphen/>
      </w:r>
      <w:r w:rsidRPr="005F3FB1">
        <w:t xml:space="preserve">electric buildings </w:t>
      </w:r>
      <w:r>
        <w:t>which</w:t>
      </w:r>
      <w:r w:rsidRPr="005F3FB1">
        <w:t xml:space="preserve"> will likely </w:t>
      </w:r>
      <w:r>
        <w:t xml:space="preserve">cost less than </w:t>
      </w:r>
      <w:r w:rsidRPr="005F3FB1">
        <w:t>newly constructed dual fuel building</w:t>
      </w:r>
      <w:r w:rsidR="00E2152B">
        <w:t>s</w:t>
      </w:r>
      <w:r w:rsidRPr="005F3FB1">
        <w:t>. Dual fuel buildings constructed without gas line extension allowances would be expected to cost more than they do today, but not by more than approximately 0.25</w:t>
      </w:r>
      <w:r w:rsidR="00513B3F">
        <w:t> </w:t>
      </w:r>
      <w:r w:rsidR="003E72B0">
        <w:t>percent</w:t>
      </w:r>
      <w:r w:rsidRPr="005F3FB1">
        <w:t xml:space="preserve"> on average.</w:t>
      </w:r>
      <w:r>
        <w:rPr>
          <w:rStyle w:val="FootnoteReference"/>
        </w:rPr>
        <w:footnoteReference w:id="50"/>
      </w:r>
      <w:r w:rsidRPr="005F3FB1">
        <w:t xml:space="preserve"> </w:t>
      </w:r>
      <w:r>
        <w:t xml:space="preserve">The Staff Proposal also notes that specifically </w:t>
      </w:r>
      <w:r w:rsidRPr="00D61939">
        <w:t>eliminating refunds would remove additional incentives for builders to encourage even more dual fuel construction in the future. Because refund payments are contingent on additional dual fuel buildings being added to a newly constructed gas line extension, builders have a strong interest in adding more dual fuel homes in the vicinity of their dual fuel construction projects. Eliminating refunds removes such considerations and motivations for the builder.</w:t>
      </w:r>
      <w:r>
        <w:rPr>
          <w:rStyle w:val="FootnoteReference"/>
        </w:rPr>
        <w:footnoteReference w:id="51"/>
      </w:r>
      <w:r>
        <w:rPr>
          <w:rFonts w:ascii="Garamond" w:hAnsi="Garamond" w:cs="Garamond"/>
          <w:color w:val="000000"/>
          <w:sz w:val="23"/>
          <w:szCs w:val="23"/>
        </w:rPr>
        <w:t xml:space="preserve"> </w:t>
      </w:r>
    </w:p>
    <w:p w:rsidR="00FA5E07" w:rsidP="00F42AEA" w:rsidRDefault="00502CCF" w14:paraId="0D7EDAF8" w14:textId="37F97F58">
      <w:pPr>
        <w:pStyle w:val="Heading2"/>
      </w:pPr>
      <w:bookmarkStart w:name="_Toc110598560" w:id="85"/>
      <w:r w:rsidRPr="00F42AEA">
        <w:t>Provides Certainty to Builder Community</w:t>
      </w:r>
      <w:r w:rsidR="00337174">
        <w:br/>
      </w:r>
      <w:r w:rsidRPr="00337174">
        <w:t>for Future Projects and Planning</w:t>
      </w:r>
      <w:bookmarkEnd w:id="85"/>
      <w:r>
        <w:t xml:space="preserve"> </w:t>
      </w:r>
    </w:p>
    <w:p w:rsidRPr="00D61939" w:rsidR="00502CCF" w:rsidP="00516185" w:rsidRDefault="00502CCF" w14:paraId="532257BB" w14:textId="6D111113">
      <w:pPr>
        <w:pStyle w:val="Standard"/>
      </w:pPr>
      <w:r>
        <w:t>The Staff Proposal states that e</w:t>
      </w:r>
      <w:r w:rsidRPr="00D61939">
        <w:t>liminating refunds has the additional benefit of encouraging a more predictable future for the building industry. California is already on a trajectory toward building decarbonization, which will eventually result in builders receiving less in refund payments as a greater percentage of homes and offices are built all</w:t>
      </w:r>
      <w:r w:rsidR="00513B3F">
        <w:noBreakHyphen/>
      </w:r>
      <w:r w:rsidRPr="00D61939">
        <w:t xml:space="preserve">electric moving forward. Rather </w:t>
      </w:r>
      <w:r w:rsidRPr="00D61939">
        <w:lastRenderedPageBreak/>
        <w:t>than have builders speculate as to whether they will ever be refunded their full advance payments for building gas infrastructure, eliminating refunds on a set date lets builders know from what point forward their refund payments will stop</w:t>
      </w:r>
      <w:r w:rsidR="00AB2340">
        <w:t>,</w:t>
      </w:r>
      <w:r w:rsidRPr="00D61939" w:rsidR="00516185">
        <w:t xml:space="preserve"> thus enabl</w:t>
      </w:r>
      <w:r w:rsidR="007B7419">
        <w:t>ing</w:t>
      </w:r>
      <w:r w:rsidRPr="00D61939" w:rsidR="00516185">
        <w:t xml:space="preserve"> the builder community to build that knowledge into their project financing considerations and future revenue assumptions.</w:t>
      </w:r>
      <w:r w:rsidR="00516185">
        <w:rPr>
          <w:rStyle w:val="FootnoteReference"/>
        </w:rPr>
        <w:footnoteReference w:id="52"/>
      </w:r>
      <w:r w:rsidRPr="00D61939" w:rsidR="00516185">
        <w:t xml:space="preserve"> </w:t>
      </w:r>
    </w:p>
    <w:p w:rsidR="005166DA" w:rsidP="00F42AEA" w:rsidRDefault="001B2B16" w14:paraId="1071F3D8" w14:textId="3EAE9656">
      <w:pPr>
        <w:pStyle w:val="Heading2"/>
      </w:pPr>
      <w:bookmarkStart w:name="_Toc110598561" w:id="86"/>
      <w:r w:rsidRPr="00F42AEA">
        <w:t xml:space="preserve">Minimally Impacts </w:t>
      </w:r>
      <w:bookmarkEnd w:id="72"/>
      <w:r w:rsidRPr="00F42AEA">
        <w:t>Property Prices</w:t>
      </w:r>
      <w:bookmarkEnd w:id="86"/>
      <w:r w:rsidRPr="00A77361">
        <w:t xml:space="preserve"> </w:t>
      </w:r>
      <w:bookmarkEnd w:id="73"/>
    </w:p>
    <w:p w:rsidRPr="001B2B16" w:rsidR="009C00E0" w:rsidP="009C00E0" w:rsidRDefault="001B2B16" w14:paraId="3F0A78B8" w14:textId="6A51E2CD">
      <w:pPr>
        <w:pStyle w:val="Standard"/>
      </w:pPr>
      <w:r w:rsidRPr="00A77361">
        <w:t>The Staff Proposal argues that eliminating the gas line subsidies is not expected to lead to a significant rise in average property prices. To the extent that such a policy change leads to more all</w:t>
      </w:r>
      <w:r w:rsidR="00513B3F">
        <w:noBreakHyphen/>
      </w:r>
      <w:r w:rsidRPr="00705817">
        <w:t>electric new construction, those new homes and offices will be less expensive than if they were built dual fuel due to the elimination of any expense associated with installing gas infrastructure</w:t>
      </w:r>
      <w:r>
        <w:t xml:space="preserve"> (</w:t>
      </w:r>
      <w:r w:rsidRPr="00337174">
        <w:rPr>
          <w:i/>
          <w:iCs/>
        </w:rPr>
        <w:t>e.g.</w:t>
      </w:r>
      <w:r w:rsidRPr="00337174">
        <w:t>,</w:t>
      </w:r>
      <w:r w:rsidRPr="00337174" w:rsidR="00DB1A0F">
        <w:t> </w:t>
      </w:r>
      <w:r w:rsidRPr="00337174">
        <w:t>trenches</w:t>
      </w:r>
      <w:r>
        <w:t>, pipes, meters)</w:t>
      </w:r>
      <w:r w:rsidRPr="00705817">
        <w:t>. If a builder opts to still build dual fuel, any resulting property price increase should be minimal.</w:t>
      </w:r>
      <w:r w:rsidRPr="00705817">
        <w:rPr>
          <w:rStyle w:val="FootnoteReference"/>
        </w:rPr>
        <w:footnoteReference w:id="53"/>
      </w:r>
      <w:r w:rsidRPr="00705817">
        <w:t xml:space="preserve"> </w:t>
      </w:r>
      <w:r>
        <w:t>I</w:t>
      </w:r>
      <w:r w:rsidR="004D534E">
        <w:t>f</w:t>
      </w:r>
      <w:r w:rsidRPr="00705817">
        <w:t xml:space="preserve"> allowances </w:t>
      </w:r>
      <w:r>
        <w:t>are</w:t>
      </w:r>
      <w:r w:rsidRPr="00705817">
        <w:t xml:space="preserve"> eliminated</w:t>
      </w:r>
      <w:r>
        <w:t xml:space="preserve">, </w:t>
      </w:r>
      <w:r w:rsidRPr="00705817">
        <w:t>residential property price</w:t>
      </w:r>
      <w:r>
        <w:t>s</w:t>
      </w:r>
      <w:r w:rsidRPr="00705817">
        <w:t xml:space="preserve"> would increase between 0.21</w:t>
      </w:r>
      <w:r w:rsidR="00513B3F">
        <w:noBreakHyphen/>
      </w:r>
      <w:r w:rsidRPr="00705817">
        <w:t>0.25</w:t>
      </w:r>
      <w:r w:rsidR="00513B3F">
        <w:t> </w:t>
      </w:r>
      <w:r w:rsidR="003E72B0">
        <w:t>percent</w:t>
      </w:r>
      <w:r>
        <w:t>,</w:t>
      </w:r>
      <w:r w:rsidRPr="00705817">
        <w:rPr>
          <w:rStyle w:val="FootnoteReference"/>
        </w:rPr>
        <w:footnoteReference w:id="54"/>
      </w:r>
      <w:r>
        <w:t xml:space="preserve"> and </w:t>
      </w:r>
      <w:r w:rsidRPr="00A77361">
        <w:t>non</w:t>
      </w:r>
      <w:r w:rsidR="00513B3F">
        <w:noBreakHyphen/>
      </w:r>
      <w:r w:rsidRPr="00A77361">
        <w:t>residential</w:t>
      </w:r>
      <w:r>
        <w:t xml:space="preserve"> property prices would increase by</w:t>
      </w:r>
      <w:r w:rsidRPr="00A77361">
        <w:t xml:space="preserve"> 0.25</w:t>
      </w:r>
      <w:r w:rsidR="00513B3F">
        <w:t> </w:t>
      </w:r>
      <w:r w:rsidR="003E72B0">
        <w:t>percent</w:t>
      </w:r>
      <w:r w:rsidRPr="00A77361">
        <w:t>.</w:t>
      </w:r>
      <w:r w:rsidRPr="00A77361">
        <w:rPr>
          <w:rStyle w:val="FootnoteReference"/>
        </w:rPr>
        <w:footnoteReference w:id="55"/>
      </w:r>
      <w:r w:rsidRPr="00A77361">
        <w:t xml:space="preserve"> </w:t>
      </w:r>
      <w:r w:rsidR="00C860ED">
        <w:t xml:space="preserve">If refunds are eliminated, </w:t>
      </w:r>
      <w:r w:rsidR="009A2D10">
        <w:t>r</w:t>
      </w:r>
      <w:r w:rsidRPr="00A77361">
        <w:t xml:space="preserve">esidential </w:t>
      </w:r>
      <w:r w:rsidR="00FD5BC9">
        <w:t>and non</w:t>
      </w:r>
      <w:r w:rsidR="00513B3F">
        <w:noBreakHyphen/>
      </w:r>
      <w:r w:rsidR="00FD5BC9">
        <w:t xml:space="preserve">residential </w:t>
      </w:r>
      <w:r w:rsidRPr="00A77361">
        <w:t xml:space="preserve">property prices </w:t>
      </w:r>
      <w:r>
        <w:t>are estimated to</w:t>
      </w:r>
      <w:r w:rsidRPr="00A77361">
        <w:t xml:space="preserve"> increase by 0.07</w:t>
      </w:r>
      <w:r w:rsidR="00513B3F">
        <w:t> </w:t>
      </w:r>
      <w:r w:rsidR="003E72B0">
        <w:t>percent</w:t>
      </w:r>
      <w:r w:rsidR="007B6FBB">
        <w:t>.</w:t>
      </w:r>
      <w:r w:rsidRPr="00A77361">
        <w:rPr>
          <w:rStyle w:val="FootnoteReference"/>
        </w:rPr>
        <w:footnoteReference w:id="56"/>
      </w:r>
      <w:r w:rsidR="00FD737F">
        <w:t xml:space="preserve"> If </w:t>
      </w:r>
      <w:r w:rsidRPr="00A77361" w:rsidR="009A2D10">
        <w:t xml:space="preserve">discounts </w:t>
      </w:r>
      <w:r w:rsidR="009A2D10">
        <w:t>are</w:t>
      </w:r>
      <w:r w:rsidRPr="00A77361" w:rsidR="009A2D10">
        <w:t xml:space="preserve"> eliminated</w:t>
      </w:r>
      <w:r w:rsidR="009A2D10">
        <w:t>,</w:t>
      </w:r>
      <w:r w:rsidRPr="009A2D10" w:rsidR="009A2D10">
        <w:t xml:space="preserve"> </w:t>
      </w:r>
      <w:r w:rsidR="009A2D10">
        <w:t>r</w:t>
      </w:r>
      <w:r w:rsidRPr="00A77361" w:rsidR="009A2D10">
        <w:t xml:space="preserve">esidential </w:t>
      </w:r>
      <w:r w:rsidR="007B6FBB">
        <w:t>and non</w:t>
      </w:r>
      <w:r w:rsidR="00513B3F">
        <w:noBreakHyphen/>
      </w:r>
      <w:r w:rsidR="007B6FBB">
        <w:t xml:space="preserve">residential </w:t>
      </w:r>
      <w:r w:rsidRPr="00A77361" w:rsidR="009A2D10">
        <w:t xml:space="preserve">property prices </w:t>
      </w:r>
      <w:r w:rsidR="009A2D10">
        <w:t>are estimated to</w:t>
      </w:r>
      <w:r w:rsidRPr="00A77361" w:rsidR="009A2D10">
        <w:t xml:space="preserve"> increase by </w:t>
      </w:r>
      <w:r w:rsidRPr="00A77361">
        <w:t>0.04</w:t>
      </w:r>
      <w:r w:rsidR="00513B3F">
        <w:t> </w:t>
      </w:r>
      <w:r w:rsidR="003E72B0">
        <w:t>percent</w:t>
      </w:r>
      <w:r w:rsidR="007B6FBB">
        <w:t>.</w:t>
      </w:r>
      <w:r w:rsidRPr="00A77361" w:rsidR="007B6FBB">
        <w:rPr>
          <w:rStyle w:val="FootnoteReference"/>
        </w:rPr>
        <w:footnoteReference w:id="57"/>
      </w:r>
      <w:r w:rsidR="00FD737F">
        <w:t xml:space="preserve"> </w:t>
      </w:r>
      <w:r w:rsidR="007E236D">
        <w:t>The</w:t>
      </w:r>
      <w:r w:rsidR="00C44E16">
        <w:t xml:space="preserve"> combined effect of eliminating all subsidies (allowances, </w:t>
      </w:r>
      <w:r w:rsidR="00C44E16">
        <w:lastRenderedPageBreak/>
        <w:t xml:space="preserve">refunds, </w:t>
      </w:r>
      <w:r w:rsidR="007E3C08">
        <w:t xml:space="preserve">and </w:t>
      </w:r>
      <w:r w:rsidR="00C44E16">
        <w:t>discounts) is</w:t>
      </w:r>
      <w:r w:rsidR="000A23F7">
        <w:t xml:space="preserve"> </w:t>
      </w:r>
      <w:r w:rsidR="00570511">
        <w:t>0.32</w:t>
      </w:r>
      <w:r w:rsidR="00513B3F">
        <w:noBreakHyphen/>
      </w:r>
      <w:r w:rsidR="00570511">
        <w:t>0.36</w:t>
      </w:r>
      <w:r w:rsidR="00513B3F">
        <w:t> </w:t>
      </w:r>
      <w:r w:rsidR="003E72B0">
        <w:t>percent</w:t>
      </w:r>
      <w:r w:rsidR="007E3C08">
        <w:t xml:space="preserve"> </w:t>
      </w:r>
      <w:r w:rsidR="00570511">
        <w:t>for residential</w:t>
      </w:r>
      <w:r w:rsidR="007E3C08">
        <w:t xml:space="preserve"> and non</w:t>
      </w:r>
      <w:r w:rsidR="00513B3F">
        <w:noBreakHyphen/>
      </w:r>
      <w:r w:rsidR="007E3C08">
        <w:t>residential properties.</w:t>
      </w:r>
      <w:r w:rsidR="00AB0E6F">
        <w:rPr>
          <w:rStyle w:val="FootnoteReference"/>
          <w:rFonts w:cs="Helvetica"/>
          <w:szCs w:val="26"/>
        </w:rPr>
        <w:footnoteReference w:id="58"/>
      </w:r>
    </w:p>
    <w:p w:rsidR="003418B7" w:rsidP="007C2EF4" w:rsidRDefault="00C56A2B" w14:paraId="3DCB5F21" w14:textId="34F1B940">
      <w:pPr>
        <w:pStyle w:val="Heading1"/>
      </w:pPr>
      <w:bookmarkStart w:name="_Toc109376110" w:id="87"/>
      <w:bookmarkStart w:name="_Toc109141142" w:id="88"/>
      <w:bookmarkStart w:name="_Toc110598562" w:id="89"/>
      <w:bookmarkStart w:name="_Toc105879255" w:id="90"/>
      <w:r>
        <w:t>Residential Gas Line</w:t>
      </w:r>
      <w:r w:rsidR="00337174">
        <w:br/>
      </w:r>
      <w:r w:rsidRPr="00337174">
        <w:t>Subsidies</w:t>
      </w:r>
      <w:r w:rsidRPr="00337174" w:rsidR="000656F0">
        <w:t xml:space="preserve"> Revisions</w:t>
      </w:r>
      <w:bookmarkEnd w:id="87"/>
      <w:bookmarkEnd w:id="88"/>
      <w:bookmarkEnd w:id="89"/>
    </w:p>
    <w:p w:rsidRPr="003418B7" w:rsidR="003418B7" w:rsidP="00DB4BEA" w:rsidRDefault="00DB4BEA" w14:paraId="5709295B" w14:textId="15F4FF5B">
      <w:pPr>
        <w:pStyle w:val="Standard"/>
      </w:pPr>
      <w:r>
        <w:t>Of the 18 parties commenting on eliminating the gas line subsidies for residential customers, 1</w:t>
      </w:r>
      <w:r w:rsidR="00CC195A">
        <w:t>6</w:t>
      </w:r>
      <w:r>
        <w:t xml:space="preserve"> parties endorse the Staff Proposal (or suggest phased elimination) </w:t>
      </w:r>
      <w:r w:rsidR="00CC195A">
        <w:t xml:space="preserve">and </w:t>
      </w:r>
      <w:r>
        <w:t xml:space="preserve">two oppose. </w:t>
      </w:r>
    </w:p>
    <w:p w:rsidRPr="004A1904" w:rsidR="004A1904" w:rsidP="007C2EF4" w:rsidRDefault="004A1904" w14:paraId="3D9AD00A" w14:textId="1E64655E">
      <w:pPr>
        <w:pStyle w:val="Heading2"/>
      </w:pPr>
      <w:bookmarkStart w:name="_Toc109376111" w:id="91"/>
      <w:bookmarkStart w:name="_Toc109141143" w:id="92"/>
      <w:bookmarkStart w:name="_Toc110598563" w:id="93"/>
      <w:bookmarkEnd w:id="90"/>
      <w:r w:rsidRPr="004A1904">
        <w:t>Positions of Parties</w:t>
      </w:r>
      <w:r w:rsidR="00157E54">
        <w:br/>
      </w:r>
      <w:r w:rsidRPr="004A1904">
        <w:t>Supporting the Staff Proposal</w:t>
      </w:r>
      <w:bookmarkEnd w:id="91"/>
      <w:bookmarkEnd w:id="92"/>
      <w:bookmarkEnd w:id="93"/>
    </w:p>
    <w:p w:rsidR="00FF5560" w:rsidP="00777EB8" w:rsidRDefault="00FF5560" w14:paraId="0BED20F3" w14:textId="78920877">
      <w:pPr>
        <w:pStyle w:val="Standard"/>
      </w:pPr>
      <w:r>
        <w:t>The 1</w:t>
      </w:r>
      <w:r w:rsidR="00FA4EF2">
        <w:t>6</w:t>
      </w:r>
      <w:r>
        <w:t xml:space="preserve"> parties who endorse the Staff Proposal to eliminate gas line </w:t>
      </w:r>
      <w:r w:rsidRPr="001217DB">
        <w:t xml:space="preserve">subsidies for the residential sector (or who suggest phased elimination) are: </w:t>
      </w:r>
      <w:r w:rsidRPr="008A48B2">
        <w:t xml:space="preserve">PG&amp;E, SDG&amp;E, </w:t>
      </w:r>
      <w:r w:rsidRPr="001217DB">
        <w:t xml:space="preserve">SCE, Clean Energy, </w:t>
      </w:r>
      <w:r w:rsidRPr="001217DB" w:rsidR="00CA372C">
        <w:t>Cal</w:t>
      </w:r>
      <w:r w:rsidRPr="001217DB" w:rsidR="00513B3F">
        <w:t> </w:t>
      </w:r>
      <w:r w:rsidRPr="001217DB" w:rsidR="00CA372C">
        <w:t>Advoc</w:t>
      </w:r>
      <w:r w:rsidRPr="001217DB">
        <w:t xml:space="preserve">ates, </w:t>
      </w:r>
      <w:r w:rsidRPr="008A48B2">
        <w:t>CEJA, EDF, NRDC, Sierra Club</w:t>
      </w:r>
      <w:r w:rsidR="0042214A">
        <w:t xml:space="preserve">, </w:t>
      </w:r>
      <w:r w:rsidRPr="001217DB">
        <w:t xml:space="preserve">TURN, </w:t>
      </w:r>
      <w:r w:rsidRPr="008A48B2">
        <w:t xml:space="preserve">EBCE, MCE, </w:t>
      </w:r>
      <w:r w:rsidRPr="008A48B2" w:rsidR="00567C99">
        <w:t>SCP</w:t>
      </w:r>
      <w:r w:rsidRPr="008A48B2">
        <w:t xml:space="preserve">, </w:t>
      </w:r>
      <w:r w:rsidRPr="008A48B2" w:rsidR="00DC42E5">
        <w:t>PCE</w:t>
      </w:r>
      <w:r w:rsidR="0042214A">
        <w:t>,</w:t>
      </w:r>
      <w:r w:rsidRPr="001217DB" w:rsidR="005E5A8C">
        <w:t xml:space="preserve"> </w:t>
      </w:r>
      <w:r w:rsidRPr="001217DB" w:rsidR="00FA4EF2">
        <w:t>and SBUA</w:t>
      </w:r>
      <w:r w:rsidRPr="001217DB">
        <w:t xml:space="preserve">. </w:t>
      </w:r>
      <w:r w:rsidR="00777EB8">
        <w:t xml:space="preserve">SoCalGas did not oppose the recommendation on residential gas line extension allowances, refunds, and discounts as a policy matter. Parties supporting the Staff Proposal </w:t>
      </w:r>
      <w:r w:rsidRPr="001217DB">
        <w:t>make several points</w:t>
      </w:r>
      <w:r>
        <w:t xml:space="preserve">. </w:t>
      </w:r>
    </w:p>
    <w:p w:rsidR="00FF5560" w:rsidRDefault="00FF5560" w14:paraId="2315CCBE" w14:textId="7D420640">
      <w:pPr>
        <w:pStyle w:val="BlockQuoteH025"/>
        <w:numPr>
          <w:ilvl w:val="0"/>
          <w:numId w:val="16"/>
        </w:numPr>
        <w:ind w:left="1080"/>
      </w:pPr>
      <w:r>
        <w:t>Elimination of the gas line subsidies will discourage construction of gas infrastructure while encouraging more all</w:t>
      </w:r>
      <w:r w:rsidR="00513B3F">
        <w:noBreakHyphen/>
      </w:r>
      <w:r>
        <w:t>electric new construction that together will help reduce GHG emissions and improve air quality consistent with California’s decarbonization goals</w:t>
      </w:r>
      <w:r w:rsidR="00710014">
        <w:t xml:space="preserve">; </w:t>
      </w:r>
    </w:p>
    <w:p w:rsidR="00FF5560" w:rsidRDefault="00074D06" w14:paraId="6DFFC08A" w14:textId="309286F6">
      <w:pPr>
        <w:pStyle w:val="BlockQuoteH025"/>
        <w:numPr>
          <w:ilvl w:val="0"/>
          <w:numId w:val="16"/>
        </w:numPr>
        <w:ind w:left="1080"/>
      </w:pPr>
      <w:r>
        <w:t>Current gas line subsidies provide incentives to install appliances which largely lock</w:t>
      </w:r>
      <w:r w:rsidR="00513B3F">
        <w:noBreakHyphen/>
      </w:r>
      <w:r>
        <w:t xml:space="preserve">in that use over </w:t>
      </w:r>
      <w:r w:rsidR="00E52BDA">
        <w:t xml:space="preserve">the </w:t>
      </w:r>
      <w:r>
        <w:t>10</w:t>
      </w:r>
      <w:r w:rsidR="00DD7ED6">
        <w:t xml:space="preserve"> </w:t>
      </w:r>
      <w:r>
        <w:t>to</w:t>
      </w:r>
      <w:r w:rsidR="00DD7ED6">
        <w:t xml:space="preserve"> </w:t>
      </w:r>
      <w:r>
        <w:t>20</w:t>
      </w:r>
      <w:r w:rsidR="00513B3F">
        <w:noBreakHyphen/>
      </w:r>
      <w:r>
        <w:t xml:space="preserve">year life of the appliance, which are likely to become </w:t>
      </w:r>
      <w:r>
        <w:lastRenderedPageBreak/>
        <w:t xml:space="preserve">stranded assets given California’s ambitious </w:t>
      </w:r>
      <w:r w:rsidR="009040D9">
        <w:t>GHG</w:t>
      </w:r>
      <w:r>
        <w:t xml:space="preserve"> </w:t>
      </w:r>
      <w:r w:rsidR="009040D9">
        <w:t xml:space="preserve">emissions </w:t>
      </w:r>
      <w:r>
        <w:t>reduction goals</w:t>
      </w:r>
      <w:r w:rsidR="00710014">
        <w:t xml:space="preserve">; </w:t>
      </w:r>
    </w:p>
    <w:p w:rsidR="00FF5560" w:rsidRDefault="00FF5560" w14:paraId="62B52210" w14:textId="005061C4">
      <w:pPr>
        <w:pStyle w:val="BlockQuoteH025"/>
        <w:numPr>
          <w:ilvl w:val="0"/>
          <w:numId w:val="16"/>
        </w:numPr>
        <w:ind w:left="1080"/>
      </w:pPr>
      <w:r>
        <w:t>Elimination of gas line subsidies does not prohibit any customer from installing gas appliances in applications that need, or where the customer prefers, to use gas, but it relieves other gas ratepayers from subsidizing the extension for those customers and reduces average gas rates for all gas customers</w:t>
      </w:r>
      <w:r w:rsidR="00DD7ED6">
        <w:t xml:space="preserve">; </w:t>
      </w:r>
    </w:p>
    <w:p w:rsidR="00FF5560" w:rsidRDefault="00FF5560" w14:paraId="4C9A7EFC" w14:textId="26C339E0">
      <w:pPr>
        <w:pStyle w:val="BlockQuoteH025"/>
        <w:numPr>
          <w:ilvl w:val="0"/>
          <w:numId w:val="16"/>
        </w:numPr>
        <w:ind w:left="1080"/>
      </w:pPr>
      <w:r>
        <w:t xml:space="preserve">Gas line subsidies </w:t>
      </w:r>
      <w:r w:rsidR="003808AE">
        <w:t xml:space="preserve">originated </w:t>
      </w:r>
      <w:r>
        <w:t>when interconnecting more customers was thought to lower costs and benefit all; this is no longer the case and the benefits, if any, no longer outweigh the costs of increased GHG</w:t>
      </w:r>
      <w:r w:rsidRPr="001A5D73" w:rsidR="001A5D73">
        <w:t xml:space="preserve"> </w:t>
      </w:r>
      <w:r w:rsidR="001A5D73">
        <w:t>emissions</w:t>
      </w:r>
      <w:r>
        <w:t xml:space="preserve"> and dependence on combustion fuels</w:t>
      </w:r>
      <w:r w:rsidR="002A5CB5">
        <w:t xml:space="preserve">; </w:t>
      </w:r>
    </w:p>
    <w:p w:rsidR="00FF5560" w:rsidRDefault="00FF5560" w14:paraId="2D2952FF" w14:textId="2A901D85">
      <w:pPr>
        <w:pStyle w:val="BlockQuoteH025"/>
        <w:numPr>
          <w:ilvl w:val="0"/>
          <w:numId w:val="16"/>
        </w:numPr>
        <w:ind w:left="1080"/>
      </w:pPr>
      <w:r>
        <w:t xml:space="preserve">The elimination of gas line subsidies will save ratepayers hundreds of millions of dollars; support equitable transition from gas to electricity; further California’s climate goals; improve air quality and related health outcomes both inside and outside buildings; and provide greater certainty to builders, </w:t>
      </w:r>
      <w:r w:rsidR="00210C1F">
        <w:t>contractors,</w:t>
      </w:r>
      <w:r>
        <w:t xml:space="preserve"> and gas distribution workers</w:t>
      </w:r>
      <w:r w:rsidR="00E84EBC">
        <w:t xml:space="preserve">. </w:t>
      </w:r>
      <w:r w:rsidRPr="00A26886" w:rsidR="00E84EBC">
        <w:t xml:space="preserve">Eliminating gas </w:t>
      </w:r>
      <w:r w:rsidR="00E84EBC">
        <w:t xml:space="preserve">line subsidies </w:t>
      </w:r>
      <w:r w:rsidRPr="00A26886" w:rsidR="00E84EBC">
        <w:t>is of particular benefit to low</w:t>
      </w:r>
      <w:r w:rsidR="00513B3F">
        <w:noBreakHyphen/>
      </w:r>
      <w:r w:rsidRPr="00A26886" w:rsidR="00E84EBC">
        <w:t>income customer</w:t>
      </w:r>
      <w:r w:rsidR="00E84EBC">
        <w:t>s given these financial implications</w:t>
      </w:r>
      <w:r w:rsidR="002A5CB5">
        <w:t xml:space="preserve">; </w:t>
      </w:r>
    </w:p>
    <w:p w:rsidR="00FF5560" w:rsidRDefault="00FF5560" w14:paraId="2561DB3A" w14:textId="75C942B1">
      <w:pPr>
        <w:pStyle w:val="BlockQuoteH025"/>
        <w:numPr>
          <w:ilvl w:val="0"/>
          <w:numId w:val="16"/>
        </w:numPr>
        <w:ind w:left="1080"/>
      </w:pPr>
      <w:r>
        <w:t>Existing gas line subsidies work against the goals of multiple Commission</w:t>
      </w:r>
      <w:r w:rsidR="00513B3F">
        <w:noBreakHyphen/>
      </w:r>
      <w:r>
        <w:t>authorized building decarbonization programs also funded by ratepayers</w:t>
      </w:r>
      <w:r w:rsidR="002A5CB5">
        <w:t xml:space="preserve">; </w:t>
      </w:r>
    </w:p>
    <w:p w:rsidR="00FF5560" w:rsidRDefault="00FF5560" w14:paraId="6F4EF202" w14:textId="4510762A">
      <w:pPr>
        <w:pStyle w:val="BlockQuoteH025"/>
        <w:numPr>
          <w:ilvl w:val="0"/>
          <w:numId w:val="16"/>
        </w:numPr>
        <w:ind w:left="1080"/>
      </w:pPr>
      <w:r>
        <w:t>There will be minimal or no</w:t>
      </w:r>
      <w:r w:rsidR="00405066">
        <w:t xml:space="preserve"> overall</w:t>
      </w:r>
      <w:r>
        <w:t xml:space="preserve"> negative impacts on workers, with the increased number of jobs in the electric industry being the same or more than the decrease of jobs in the gas industry</w:t>
      </w:r>
      <w:r w:rsidR="002A5CB5">
        <w:t xml:space="preserve">; </w:t>
      </w:r>
    </w:p>
    <w:p w:rsidR="00FF5560" w:rsidRDefault="00FF5560" w14:paraId="224F6D17" w14:textId="315AB408">
      <w:pPr>
        <w:pStyle w:val="BlockQuoteH025"/>
        <w:numPr>
          <w:ilvl w:val="0"/>
          <w:numId w:val="16"/>
        </w:numPr>
        <w:ind w:left="1080"/>
      </w:pPr>
      <w:r>
        <w:t xml:space="preserve">There will be minimal or no </w:t>
      </w:r>
      <w:r w:rsidR="00B140F5">
        <w:t xml:space="preserve">overall </w:t>
      </w:r>
      <w:r>
        <w:t>negative impacts on low</w:t>
      </w:r>
      <w:r w:rsidR="00513B3F">
        <w:noBreakHyphen/>
      </w:r>
      <w:r>
        <w:t xml:space="preserve">income customers, as programs such as </w:t>
      </w:r>
      <w:r w:rsidRPr="00E55966">
        <w:t>BUILD</w:t>
      </w:r>
      <w:r w:rsidR="001130E7">
        <w:t>,</w:t>
      </w:r>
      <w:r w:rsidRPr="00E55966">
        <w:t xml:space="preserve"> the California </w:t>
      </w:r>
      <w:r w:rsidRPr="00E55966" w:rsidR="00F11E23">
        <w:t>Energy</w:t>
      </w:r>
      <w:r w:rsidR="00F11E23">
        <w:t xml:space="preserve"> </w:t>
      </w:r>
      <w:r w:rsidRPr="00E55966" w:rsidR="00F11E23">
        <w:t>Smart</w:t>
      </w:r>
      <w:r w:rsidRPr="00E55966">
        <w:t xml:space="preserve"> Homes Program</w:t>
      </w:r>
      <w:r>
        <w:t xml:space="preserve">, and discount rate programs such as the </w:t>
      </w:r>
      <w:r w:rsidRPr="0099520A">
        <w:t xml:space="preserve">California Alternative Rates for Energy and Family Electric Rate Assistance </w:t>
      </w:r>
      <w:r>
        <w:t>help</w:t>
      </w:r>
      <w:r w:rsidRPr="00E55966">
        <w:t xml:space="preserve"> mitigate such upfront effects on the affordable housing and low</w:t>
      </w:r>
      <w:r w:rsidR="00513B3F">
        <w:noBreakHyphen/>
      </w:r>
      <w:r w:rsidRPr="00E55966">
        <w:t>income sectors</w:t>
      </w:r>
      <w:r>
        <w:t xml:space="preserve">. </w:t>
      </w:r>
      <w:r w:rsidRPr="00A26886" w:rsidR="008E6392">
        <w:t xml:space="preserve">Given their lower rate of new home </w:t>
      </w:r>
      <w:r w:rsidRPr="00A26886" w:rsidR="008E6392">
        <w:lastRenderedPageBreak/>
        <w:t>purchasing, low</w:t>
      </w:r>
      <w:r w:rsidR="00513B3F">
        <w:noBreakHyphen/>
      </w:r>
      <w:r w:rsidRPr="00A26886" w:rsidR="008E6392">
        <w:t xml:space="preserve">income customers are not typically the ones benefitting from gas </w:t>
      </w:r>
      <w:r w:rsidR="008E6392">
        <w:t>line subsidies, yet they contribute towards these subsidies which inequitably increases gas rates for all customers</w:t>
      </w:r>
      <w:r w:rsidR="00497A12">
        <w:t>, including low</w:t>
      </w:r>
      <w:r w:rsidR="00513B3F">
        <w:noBreakHyphen/>
      </w:r>
      <w:r w:rsidR="00497A12">
        <w:t>income customers</w:t>
      </w:r>
      <w:r w:rsidR="002A5CB5">
        <w:t xml:space="preserve">; </w:t>
      </w:r>
    </w:p>
    <w:p w:rsidR="00FF5560" w:rsidRDefault="00FF5560" w14:paraId="5C18DF93" w14:textId="04306EB7">
      <w:pPr>
        <w:pStyle w:val="BlockQuoteH025"/>
        <w:numPr>
          <w:ilvl w:val="0"/>
          <w:numId w:val="16"/>
        </w:numPr>
        <w:ind w:left="1080"/>
      </w:pPr>
      <w:r>
        <w:t xml:space="preserve">There will be minimal impacts on property prices, as </w:t>
      </w:r>
      <w:r w:rsidRPr="00106924">
        <w:t>all</w:t>
      </w:r>
      <w:r w:rsidR="00513B3F">
        <w:noBreakHyphen/>
      </w:r>
      <w:r w:rsidRPr="00106924">
        <w:t>electric new homes are less expensive to build than dual fuel homes</w:t>
      </w:r>
      <w:r>
        <w:t>.</w:t>
      </w:r>
      <w:r w:rsidRPr="00766B4B" w:rsidR="00766B4B">
        <w:t xml:space="preserve"> </w:t>
      </w:r>
      <w:r w:rsidR="00C874C7">
        <w:t>Additionally, p</w:t>
      </w:r>
      <w:r w:rsidR="00766B4B">
        <w:t>rograms such as t</w:t>
      </w:r>
      <w:r w:rsidRPr="005456FC" w:rsidR="00766B4B">
        <w:t>he California Electric Homes Program will provide $75</w:t>
      </w:r>
      <w:r w:rsidR="00513B3F">
        <w:t> </w:t>
      </w:r>
      <w:r w:rsidR="00BF7312">
        <w:t>million</w:t>
      </w:r>
      <w:r w:rsidRPr="005456FC" w:rsidR="00766B4B">
        <w:t xml:space="preserve"> in financial incentives and technical support </w:t>
      </w:r>
      <w:r w:rsidR="00766B4B">
        <w:t xml:space="preserve">for the </w:t>
      </w:r>
      <w:r w:rsidRPr="005456FC" w:rsidR="00766B4B">
        <w:t>construction of new all</w:t>
      </w:r>
      <w:r w:rsidR="00513B3F">
        <w:noBreakHyphen/>
      </w:r>
      <w:r w:rsidRPr="005456FC" w:rsidR="00766B4B">
        <w:t>electric residential buildings</w:t>
      </w:r>
      <w:r w:rsidR="002A5CB5">
        <w:t xml:space="preserve">; </w:t>
      </w:r>
    </w:p>
    <w:p w:rsidR="007E0B81" w:rsidRDefault="007E0B81" w14:paraId="4B85A461" w14:textId="51141282">
      <w:pPr>
        <w:pStyle w:val="BlockQuoteH025"/>
        <w:numPr>
          <w:ilvl w:val="0"/>
          <w:numId w:val="16"/>
        </w:numPr>
        <w:ind w:left="1080"/>
      </w:pPr>
      <w:r>
        <w:t xml:space="preserve">The Commission should </w:t>
      </w:r>
      <w:r w:rsidRPr="0017736D" w:rsidR="0017736D">
        <w:t xml:space="preserve">consider </w:t>
      </w:r>
      <w:r w:rsidR="0017736D">
        <w:t xml:space="preserve">changes </w:t>
      </w:r>
      <w:r w:rsidRPr="0017736D" w:rsidR="0017736D">
        <w:t>to gas line</w:t>
      </w:r>
      <w:r w:rsidR="0017736D">
        <w:t xml:space="preserve"> </w:t>
      </w:r>
      <w:r w:rsidRPr="0017736D" w:rsidR="0017736D">
        <w:t>extension rules in the broader context of California</w:t>
      </w:r>
      <w:r w:rsidR="0017736D">
        <w:t xml:space="preserve">’s </w:t>
      </w:r>
      <w:r w:rsidRPr="00E506C7" w:rsidR="0017736D">
        <w:t>climate change policy</w:t>
      </w:r>
      <w:r w:rsidR="0017736D">
        <w:t xml:space="preserve"> and </w:t>
      </w:r>
      <w:r>
        <w:t>consult with other state agencies</w:t>
      </w:r>
      <w:r w:rsidR="00C77DBC">
        <w:t xml:space="preserve">; </w:t>
      </w:r>
    </w:p>
    <w:p w:rsidR="00FF5560" w:rsidRDefault="00E8697B" w14:paraId="32436555" w14:textId="0229E918">
      <w:pPr>
        <w:pStyle w:val="BlockQuoteH025"/>
        <w:numPr>
          <w:ilvl w:val="0"/>
          <w:numId w:val="16"/>
        </w:numPr>
        <w:ind w:left="1080"/>
      </w:pPr>
      <w:r>
        <w:t>The Joint IOUs</w:t>
      </w:r>
      <w:r w:rsidR="00FF5560">
        <w:t xml:space="preserve"> recommend a phased elimination to reduce the immediate negative impacts while still accomplishing the overall objectives in support of California’s climate goals. In particular, they state that a phased approach would:</w:t>
      </w:r>
      <w:r w:rsidR="00FF5560">
        <w:rPr>
          <w:rStyle w:val="FootnoteReference"/>
          <w:szCs w:val="26"/>
        </w:rPr>
        <w:footnoteReference w:id="59"/>
      </w:r>
      <w:r w:rsidR="00FF5560">
        <w:t xml:space="preserve"> </w:t>
      </w:r>
    </w:p>
    <w:p w:rsidRPr="00A67389" w:rsidR="00FF5560" w:rsidRDefault="00FF5560" w14:paraId="5E93465E" w14:textId="2A82FA60">
      <w:pPr>
        <w:pStyle w:val="BlockQuoteH025"/>
        <w:numPr>
          <w:ilvl w:val="1"/>
          <w:numId w:val="16"/>
        </w:numPr>
      </w:pPr>
      <w:r w:rsidRPr="00A67389">
        <w:t>Avoid near</w:t>
      </w:r>
      <w:r w:rsidRPr="00A67389" w:rsidR="00513B3F">
        <w:noBreakHyphen/>
      </w:r>
      <w:r w:rsidRPr="00A67389">
        <w:t>term gas rate increases if the proposed changes substantially reduce the number of new connections relative to forecasts used in approved ratemaking proceedings;</w:t>
      </w:r>
    </w:p>
    <w:p w:rsidRPr="00A67389" w:rsidR="00FF5560" w:rsidRDefault="00FF5560" w14:paraId="52FF71D8" w14:textId="58F256E0">
      <w:pPr>
        <w:pStyle w:val="BlockQuoteH025"/>
        <w:numPr>
          <w:ilvl w:val="1"/>
          <w:numId w:val="16"/>
        </w:numPr>
      </w:pPr>
      <w:r w:rsidRPr="00A67389">
        <w:t xml:space="preserve">Allow recognition of the varying schedules for </w:t>
      </w:r>
      <w:r w:rsidRPr="00A67389" w:rsidR="000A722D">
        <w:t xml:space="preserve">future </w:t>
      </w:r>
      <w:r w:rsidRPr="00A67389">
        <w:t xml:space="preserve">ratemaking proceedings; </w:t>
      </w:r>
    </w:p>
    <w:p w:rsidRPr="00A67389" w:rsidR="00FF5560" w:rsidRDefault="00FF5560" w14:paraId="2CBF4250" w14:textId="77777777">
      <w:pPr>
        <w:pStyle w:val="BlockQuoteH025"/>
        <w:numPr>
          <w:ilvl w:val="1"/>
          <w:numId w:val="16"/>
        </w:numPr>
      </w:pPr>
      <w:r w:rsidRPr="00A67389">
        <w:t>Allow time for customers to account for increased project costs; and</w:t>
      </w:r>
    </w:p>
    <w:p w:rsidR="00F675AE" w:rsidRDefault="00FF5560" w14:paraId="32600278" w14:textId="23878FD1">
      <w:pPr>
        <w:pStyle w:val="BlockQuoteH025"/>
        <w:numPr>
          <w:ilvl w:val="1"/>
          <w:numId w:val="16"/>
        </w:numPr>
      </w:pPr>
      <w:r w:rsidRPr="00A67389">
        <w:t>Allow utilities time to study the impact on their electric</w:t>
      </w:r>
      <w:r>
        <w:t xml:space="preserve"> load profiles and generation needs.</w:t>
      </w:r>
    </w:p>
    <w:p w:rsidRPr="004A1904" w:rsidR="00FF5560" w:rsidP="007C2EF4" w:rsidRDefault="00FF5560" w14:paraId="1A5419B6" w14:textId="120FE1BB">
      <w:pPr>
        <w:pStyle w:val="Heading2"/>
      </w:pPr>
      <w:bookmarkStart w:name="_Toc109376112" w:id="94"/>
      <w:bookmarkStart w:name="_Toc109141144" w:id="95"/>
      <w:bookmarkStart w:name="_Toc110598564" w:id="96"/>
      <w:r w:rsidRPr="004A1904">
        <w:lastRenderedPageBreak/>
        <w:t>Positions of Parties</w:t>
      </w:r>
      <w:r w:rsidR="004C7175">
        <w:br/>
      </w:r>
      <w:r>
        <w:t>Opposing</w:t>
      </w:r>
      <w:r w:rsidR="004C7175">
        <w:t xml:space="preserve"> </w:t>
      </w:r>
      <w:r w:rsidRPr="004A1904">
        <w:t>the Staff Proposal</w:t>
      </w:r>
      <w:bookmarkEnd w:id="94"/>
      <w:bookmarkEnd w:id="95"/>
      <w:bookmarkEnd w:id="96"/>
    </w:p>
    <w:p w:rsidR="00FC3626" w:rsidP="001A65E9" w:rsidRDefault="00FC3626" w14:paraId="43A40EFB" w14:textId="0A16EFA1">
      <w:pPr>
        <w:pStyle w:val="Standard"/>
      </w:pPr>
      <w:r>
        <w:t>The two parties who oppose the Staff Proposal</w:t>
      </w:r>
      <w:r w:rsidR="00B62499">
        <w:t xml:space="preserve"> </w:t>
      </w:r>
      <w:r w:rsidRPr="00B62499" w:rsidR="00B62499">
        <w:t xml:space="preserve">in </w:t>
      </w:r>
      <w:r w:rsidR="00A81BB8">
        <w:t xml:space="preserve">their </w:t>
      </w:r>
      <w:r w:rsidRPr="00B62499" w:rsidR="00B62499">
        <w:t>comments</w:t>
      </w:r>
      <w:r w:rsidR="00A81BB8">
        <w:t xml:space="preserve"> </w:t>
      </w:r>
      <w:r>
        <w:t>are SWG and CCUE. They make several points in opposition.</w:t>
      </w:r>
    </w:p>
    <w:p w:rsidR="001F59CE" w:rsidRDefault="001F59CE" w14:paraId="33F76888" w14:textId="2CF3A445">
      <w:pPr>
        <w:pStyle w:val="BlockQuoteH025"/>
        <w:numPr>
          <w:ilvl w:val="0"/>
          <w:numId w:val="16"/>
        </w:numPr>
        <w:ind w:left="1080"/>
      </w:pPr>
      <w:r>
        <w:t>Gas line subsidies allow new customer</w:t>
      </w:r>
      <w:r w:rsidR="00326713">
        <w:t>s</w:t>
      </w:r>
      <w:r>
        <w:t xml:space="preserve"> access to clean, reliable, and affordable fuel </w:t>
      </w:r>
      <w:r w:rsidR="000A722D">
        <w:t>(</w:t>
      </w:r>
      <w:r w:rsidRPr="001A65E9" w:rsidR="000A722D">
        <w:rPr>
          <w:i/>
          <w:iCs/>
        </w:rPr>
        <w:t>e.g.</w:t>
      </w:r>
      <w:r w:rsidR="000A722D">
        <w:t xml:space="preserve">, </w:t>
      </w:r>
      <w:r w:rsidR="00E730B5">
        <w:t>renewable natural gas</w:t>
      </w:r>
      <w:r w:rsidR="00532DD9">
        <w:t xml:space="preserve">, </w:t>
      </w:r>
      <w:r w:rsidR="000A722D">
        <w:t xml:space="preserve">hydrogen) </w:t>
      </w:r>
      <w:r>
        <w:t>that is poised to contribute significantly to decarbonization efforts</w:t>
      </w:r>
      <w:r w:rsidR="001A65E9">
        <w:t xml:space="preserve">; </w:t>
      </w:r>
    </w:p>
    <w:p w:rsidR="001F59CE" w:rsidRDefault="001F59CE" w14:paraId="71667FE5" w14:textId="19F1A810">
      <w:pPr>
        <w:pStyle w:val="BlockQuoteH025"/>
        <w:numPr>
          <w:ilvl w:val="0"/>
          <w:numId w:val="16"/>
        </w:numPr>
        <w:ind w:left="1080"/>
      </w:pPr>
      <w:r>
        <w:t xml:space="preserve">Fuel choice should be left to the customer and decisions to reduce GHG </w:t>
      </w:r>
      <w:r w:rsidR="00343FE3">
        <w:t xml:space="preserve">emissions </w:t>
      </w:r>
      <w:r>
        <w:t>should be energy commodity neutral</w:t>
      </w:r>
      <w:r w:rsidR="003652EE">
        <w:t xml:space="preserve">; </w:t>
      </w:r>
    </w:p>
    <w:p w:rsidR="001F59CE" w:rsidRDefault="001F59CE" w14:paraId="734229E4" w14:textId="66C91BBE">
      <w:pPr>
        <w:pStyle w:val="BlockQuoteH025"/>
        <w:numPr>
          <w:ilvl w:val="0"/>
          <w:numId w:val="16"/>
        </w:numPr>
        <w:ind w:left="1080"/>
      </w:pPr>
      <w:r>
        <w:t>Natural gas systems can decarbonize and play an important role in meeting California’s energy objectives</w:t>
      </w:r>
      <w:r w:rsidR="003652EE">
        <w:t>;</w:t>
      </w:r>
    </w:p>
    <w:p w:rsidR="001F59CE" w:rsidRDefault="001F59CE" w14:paraId="6A8A6C10" w14:textId="4C3A2F20">
      <w:pPr>
        <w:pStyle w:val="BlockQuoteH025"/>
        <w:numPr>
          <w:ilvl w:val="0"/>
          <w:numId w:val="16"/>
        </w:numPr>
        <w:ind w:left="1080"/>
      </w:pPr>
      <w:r>
        <w:t>Prices for dual fuel homes will increase and prices for all</w:t>
      </w:r>
      <w:r w:rsidR="00513B3F">
        <w:noBreakHyphen/>
      </w:r>
      <w:r>
        <w:t>electric homes will decrease, requiring builders to charge more to offset the loss of the gas line subsidies where natural gas remains in demand (</w:t>
      </w:r>
      <w:r w:rsidRPr="003652EE">
        <w:rPr>
          <w:i/>
          <w:iCs/>
        </w:rPr>
        <w:t>e.g.</w:t>
      </w:r>
      <w:r>
        <w:t>, cold climates)</w:t>
      </w:r>
      <w:r w:rsidR="003652EE">
        <w:t>;</w:t>
      </w:r>
    </w:p>
    <w:p w:rsidR="001F59CE" w:rsidRDefault="00355AE9" w14:paraId="20579D20" w14:textId="6F2EB610">
      <w:pPr>
        <w:pStyle w:val="BlockQuoteH025"/>
        <w:numPr>
          <w:ilvl w:val="0"/>
          <w:numId w:val="16"/>
        </w:numPr>
        <w:ind w:left="1080"/>
      </w:pPr>
      <w:r>
        <w:t>Gas rates</w:t>
      </w:r>
      <w:r w:rsidR="001F59CE">
        <w:t xml:space="preserve"> will increase as f</w:t>
      </w:r>
      <w:r w:rsidRPr="00E6722E" w:rsidR="001F59CE">
        <w:t>ixed costs of</w:t>
      </w:r>
      <w:r w:rsidR="001F59CE">
        <w:t xml:space="preserve"> </w:t>
      </w:r>
      <w:r w:rsidRPr="00E6722E" w:rsidR="001F59CE">
        <w:t xml:space="preserve">the </w:t>
      </w:r>
      <w:r w:rsidR="001F59CE">
        <w:t xml:space="preserve">gas </w:t>
      </w:r>
      <w:r w:rsidRPr="00E6722E" w:rsidR="001F59CE">
        <w:t xml:space="preserve">system </w:t>
      </w:r>
      <w:r w:rsidR="001F59CE">
        <w:t>will be</w:t>
      </w:r>
      <w:r w:rsidRPr="00E6722E" w:rsidR="001F59CE">
        <w:t xml:space="preserve"> spread over a declining </w:t>
      </w:r>
      <w:r w:rsidR="00343FE3">
        <w:t xml:space="preserve">customer </w:t>
      </w:r>
      <w:r w:rsidRPr="00E6722E" w:rsidR="001F59CE">
        <w:t xml:space="preserve">base, </w:t>
      </w:r>
      <w:r w:rsidR="001F59CE">
        <w:t>leaving those w</w:t>
      </w:r>
      <w:r w:rsidRPr="00E6722E" w:rsidR="001F59CE">
        <w:t>ho cannot afford to electrify or don’t have</w:t>
      </w:r>
      <w:r w:rsidR="001F59CE">
        <w:t xml:space="preserve"> </w:t>
      </w:r>
      <w:r w:rsidRPr="00E6722E" w:rsidR="001F59CE">
        <w:t>the option to electrify</w:t>
      </w:r>
      <w:r w:rsidR="001F59CE">
        <w:t>,</w:t>
      </w:r>
      <w:r w:rsidRPr="00E6722E" w:rsidR="001F59CE">
        <w:t xml:space="preserve"> with higher gas rates</w:t>
      </w:r>
      <w:r w:rsidR="003652EE">
        <w:t>;</w:t>
      </w:r>
    </w:p>
    <w:p w:rsidR="001F59CE" w:rsidRDefault="0058574E" w14:paraId="42DBDDE1" w14:textId="6E0B830A">
      <w:pPr>
        <w:pStyle w:val="BlockQuoteH025"/>
        <w:numPr>
          <w:ilvl w:val="0"/>
          <w:numId w:val="16"/>
        </w:numPr>
        <w:ind w:left="1080"/>
      </w:pPr>
      <w:r>
        <w:t>G</w:t>
      </w:r>
      <w:r w:rsidR="001F59CE">
        <w:t>as industry workers</w:t>
      </w:r>
      <w:r>
        <w:t xml:space="preserve"> will be negatively impacted</w:t>
      </w:r>
      <w:r w:rsidR="001F59CE">
        <w:t xml:space="preserve">, with </w:t>
      </w:r>
      <w:r w:rsidR="00B4246C">
        <w:t xml:space="preserve">fewer </w:t>
      </w:r>
      <w:r w:rsidR="001F59CE">
        <w:t>workers to</w:t>
      </w:r>
      <w:r w:rsidRPr="00E6722E" w:rsidR="001F59CE">
        <w:t xml:space="preserve"> safely operate and maintain the </w:t>
      </w:r>
      <w:r w:rsidR="001F59CE">
        <w:t xml:space="preserve">gas </w:t>
      </w:r>
      <w:r w:rsidRPr="00E6722E" w:rsidR="001F59CE">
        <w:t>system, safely</w:t>
      </w:r>
      <w:r w:rsidR="001F59CE">
        <w:t xml:space="preserve"> </w:t>
      </w:r>
      <w:r w:rsidRPr="00E6722E" w:rsidR="001F59CE">
        <w:t>and properly decommission gas infrastructure, and install new technology</w:t>
      </w:r>
      <w:r w:rsidR="001F59CE">
        <w:t>, affecting safety and reliability</w:t>
      </w:r>
      <w:r w:rsidR="003652EE">
        <w:t>;</w:t>
      </w:r>
    </w:p>
    <w:p w:rsidR="001F59CE" w:rsidRDefault="001F59CE" w14:paraId="1A8DB839" w14:textId="4AAF00F5">
      <w:pPr>
        <w:pStyle w:val="BlockQuoteH025"/>
        <w:numPr>
          <w:ilvl w:val="0"/>
          <w:numId w:val="16"/>
        </w:numPr>
        <w:ind w:left="1080"/>
      </w:pPr>
      <w:r>
        <w:t xml:space="preserve">Grid reliability will be negatively impacted as California’s supply of </w:t>
      </w:r>
      <w:r w:rsidRPr="00495600">
        <w:t>gas</w:t>
      </w:r>
      <w:r w:rsidR="00513B3F">
        <w:noBreakHyphen/>
      </w:r>
      <w:r w:rsidRPr="00495600">
        <w:t>fired generation</w:t>
      </w:r>
      <w:r>
        <w:t xml:space="preserve"> decreases while the need for </w:t>
      </w:r>
      <w:r w:rsidRPr="00495600">
        <w:t>flexible, fast ramping generation and local reliability</w:t>
      </w:r>
      <w:r>
        <w:t xml:space="preserve"> remains</w:t>
      </w:r>
      <w:r w:rsidR="003652EE">
        <w:t>; and</w:t>
      </w:r>
    </w:p>
    <w:p w:rsidRPr="003418B7" w:rsidR="003418B7" w:rsidRDefault="00800C9F" w14:paraId="1EC6FE6D" w14:textId="36C48741">
      <w:pPr>
        <w:pStyle w:val="BlockQuoteH025"/>
        <w:numPr>
          <w:ilvl w:val="0"/>
          <w:numId w:val="16"/>
        </w:numPr>
        <w:ind w:left="1080"/>
      </w:pPr>
      <w:r>
        <w:t>A decision in this proceeding s</w:t>
      </w:r>
      <w:r w:rsidR="00950045">
        <w:t xml:space="preserve">hould be delayed until </w:t>
      </w:r>
      <w:r w:rsidRPr="006B623F" w:rsidR="002D539B">
        <w:rPr>
          <w:rFonts w:cs="Times New Roman"/>
          <w:szCs w:val="20"/>
        </w:rPr>
        <w:t>R</w:t>
      </w:r>
      <w:r w:rsidRPr="006B623F" w:rsidR="004C26E5">
        <w:rPr>
          <w:rFonts w:cs="Times New Roman"/>
          <w:szCs w:val="20"/>
        </w:rPr>
        <w:t>ulemaking</w:t>
      </w:r>
      <w:r w:rsidR="004C26E5">
        <w:t xml:space="preserve"> (</w:t>
      </w:r>
      <w:r w:rsidRPr="006B623F" w:rsidR="004C26E5">
        <w:rPr>
          <w:rFonts w:cs="Times New Roman"/>
          <w:szCs w:val="20"/>
        </w:rPr>
        <w:t>R.</w:t>
      </w:r>
      <w:r w:rsidR="004C26E5">
        <w:t>) </w:t>
      </w:r>
      <w:r w:rsidRPr="006D3253" w:rsidR="002D539B">
        <w:t>20</w:t>
      </w:r>
      <w:r w:rsidR="00513B3F">
        <w:noBreakHyphen/>
      </w:r>
      <w:r w:rsidRPr="006D3253" w:rsidR="002D539B">
        <w:t>01</w:t>
      </w:r>
      <w:r w:rsidR="00513B3F">
        <w:noBreakHyphen/>
      </w:r>
      <w:r w:rsidRPr="006D3253" w:rsidR="002D539B">
        <w:t>007</w:t>
      </w:r>
      <w:r w:rsidR="00162540">
        <w:t xml:space="preserve"> conclu</w:t>
      </w:r>
      <w:r w:rsidR="0098550B">
        <w:t xml:space="preserve">des </w:t>
      </w:r>
      <w:r w:rsidRPr="00950045" w:rsidR="00950045">
        <w:t xml:space="preserve">because </w:t>
      </w:r>
      <w:r w:rsidR="004A6ED7">
        <w:t xml:space="preserve">both </w:t>
      </w:r>
      <w:r w:rsidR="00DF46DE">
        <w:t xml:space="preserve">proceedings </w:t>
      </w:r>
      <w:r w:rsidR="004A6ED7">
        <w:t xml:space="preserve">address </w:t>
      </w:r>
      <w:r w:rsidRPr="00DF46DE" w:rsidR="00DF46DE">
        <w:t>similar forward</w:t>
      </w:r>
      <w:r w:rsidR="00513B3F">
        <w:noBreakHyphen/>
      </w:r>
      <w:r w:rsidRPr="00DF46DE" w:rsidR="00DF46DE">
        <w:t>looking gas infrastructure issues</w:t>
      </w:r>
      <w:r w:rsidR="001218BD">
        <w:t xml:space="preserve">, and </w:t>
      </w:r>
      <w:r w:rsidRPr="00C40732" w:rsidR="00C40732">
        <w:t>delineating the future of natural gas in California is a necessary threshold issue</w:t>
      </w:r>
      <w:r w:rsidR="00C40732">
        <w:t>.</w:t>
      </w:r>
      <w:r w:rsidRPr="00950045" w:rsidR="00950045">
        <w:t xml:space="preserve"> </w:t>
      </w:r>
    </w:p>
    <w:p w:rsidRPr="00D02C70" w:rsidR="00F675AE" w:rsidP="007C2EF4" w:rsidRDefault="00F675AE" w14:paraId="21AD976D" w14:textId="3A020214">
      <w:pPr>
        <w:pStyle w:val="Heading2"/>
      </w:pPr>
      <w:bookmarkStart w:name="_Toc109376113" w:id="97"/>
      <w:bookmarkStart w:name="_Toc109141145" w:id="98"/>
      <w:bookmarkStart w:name="_Toc110598565" w:id="99"/>
      <w:r w:rsidRPr="00D02C70">
        <w:lastRenderedPageBreak/>
        <w:t>Discussion</w:t>
      </w:r>
      <w:bookmarkEnd w:id="97"/>
      <w:bookmarkEnd w:id="98"/>
      <w:bookmarkEnd w:id="99"/>
    </w:p>
    <w:p w:rsidRPr="00D02C70" w:rsidR="005E36B2" w:rsidP="007C2EF4" w:rsidRDefault="005E36B2" w14:paraId="13F9E86D" w14:textId="0CFF4360">
      <w:pPr>
        <w:pStyle w:val="Heading3"/>
      </w:pPr>
      <w:bookmarkStart w:name="_Toc109376114" w:id="100"/>
      <w:bookmarkStart w:name="_Toc109141146" w:id="101"/>
      <w:bookmarkStart w:name="_Toc110598566" w:id="102"/>
      <w:r w:rsidRPr="00D02C70">
        <w:t>Eliminat</w:t>
      </w:r>
      <w:r w:rsidR="001915CB">
        <w:t>ion of</w:t>
      </w:r>
      <w:r w:rsidRPr="00D02C70">
        <w:t xml:space="preserve"> Gas Line Subsidies for Residential Customers: </w:t>
      </w:r>
      <w:r w:rsidRPr="007024E5">
        <w:t>Approved</w:t>
      </w:r>
      <w:bookmarkEnd w:id="100"/>
      <w:bookmarkEnd w:id="101"/>
      <w:bookmarkEnd w:id="102"/>
    </w:p>
    <w:p w:rsidR="00EC4DB0" w:rsidP="005834C6" w:rsidRDefault="001E09B0" w14:paraId="3608FE44" w14:textId="4560D656">
      <w:pPr>
        <w:pStyle w:val="Standard"/>
      </w:pPr>
      <w:r w:rsidRPr="00D02C70">
        <w:t xml:space="preserve">This decision </w:t>
      </w:r>
      <w:r w:rsidR="00946187">
        <w:t xml:space="preserve">adopts </w:t>
      </w:r>
      <w:r w:rsidR="0095120B">
        <w:t xml:space="preserve">the </w:t>
      </w:r>
      <w:r w:rsidR="00C17331">
        <w:t xml:space="preserve">staff’s proposal </w:t>
      </w:r>
      <w:r w:rsidR="00FC1017">
        <w:t>to</w:t>
      </w:r>
      <w:r w:rsidR="0095120B">
        <w:t xml:space="preserve"> </w:t>
      </w:r>
      <w:r w:rsidRPr="00D02C70" w:rsidR="00D368B0">
        <w:t>eliminat</w:t>
      </w:r>
      <w:r w:rsidR="00FC1017">
        <w:t>e</w:t>
      </w:r>
      <w:r w:rsidRPr="00D02C70">
        <w:t xml:space="preserve"> the </w:t>
      </w:r>
      <w:r w:rsidR="0095120B">
        <w:t xml:space="preserve">residential </w:t>
      </w:r>
      <w:r w:rsidRPr="00D02C70">
        <w:t>g</w:t>
      </w:r>
      <w:r w:rsidRPr="00D02C70" w:rsidR="00D368B0">
        <w:t xml:space="preserve">as </w:t>
      </w:r>
      <w:r w:rsidRPr="00D02C70">
        <w:t>l</w:t>
      </w:r>
      <w:r w:rsidRPr="00D02C70" w:rsidR="00D368B0">
        <w:t xml:space="preserve">ine </w:t>
      </w:r>
      <w:r w:rsidRPr="00D02C70">
        <w:t>s</w:t>
      </w:r>
      <w:r w:rsidRPr="00D02C70" w:rsidR="00D368B0">
        <w:t xml:space="preserve">ubsidies </w:t>
      </w:r>
      <w:r w:rsidR="00946187">
        <w:t>effective</w:t>
      </w:r>
      <w:r w:rsidRPr="00DB750D" w:rsidR="00946187">
        <w:t xml:space="preserve"> </w:t>
      </w:r>
      <w:r w:rsidR="0067589C">
        <w:t>July</w:t>
      </w:r>
      <w:r w:rsidR="00513B3F">
        <w:t> </w:t>
      </w:r>
      <w:r w:rsidR="0067589C">
        <w:t>1,</w:t>
      </w:r>
      <w:r w:rsidR="00513B3F">
        <w:t> </w:t>
      </w:r>
      <w:r w:rsidR="0067589C">
        <w:t>202</w:t>
      </w:r>
      <w:r w:rsidRPr="0025795F" w:rsidR="00DB750D">
        <w:t>3</w:t>
      </w:r>
      <w:r w:rsidR="0095120B">
        <w:t>.</w:t>
      </w:r>
      <w:r w:rsidR="00835326">
        <w:t xml:space="preserve"> </w:t>
      </w:r>
      <w:r w:rsidR="00EA45C5">
        <w:t>Th</w:t>
      </w:r>
      <w:r w:rsidR="00431C38">
        <w:t>e</w:t>
      </w:r>
      <w:r w:rsidR="00EA45C5">
        <w:t xml:space="preserve"> elimination </w:t>
      </w:r>
      <w:r w:rsidR="00055F5B">
        <w:t xml:space="preserve">of subsidies </w:t>
      </w:r>
      <w:r w:rsidRPr="00470331" w:rsidR="00470331">
        <w:t xml:space="preserve">applies to new applications for gas line extensions </w:t>
      </w:r>
      <w:r w:rsidR="00772678">
        <w:t xml:space="preserve">submitted </w:t>
      </w:r>
      <w:r w:rsidRPr="00470331" w:rsidR="00470331">
        <w:t xml:space="preserve">on or after </w:t>
      </w:r>
      <w:r w:rsidR="0067589C">
        <w:t>July</w:t>
      </w:r>
      <w:r w:rsidR="00513B3F">
        <w:t> </w:t>
      </w:r>
      <w:r w:rsidR="0067589C">
        <w:t>1,</w:t>
      </w:r>
      <w:r w:rsidR="00513B3F">
        <w:t> </w:t>
      </w:r>
      <w:r w:rsidR="0067589C">
        <w:t>202</w:t>
      </w:r>
      <w:r w:rsidRPr="00470331" w:rsidR="00470331">
        <w:t xml:space="preserve">3, and will not affect applications submitted </w:t>
      </w:r>
      <w:r w:rsidR="000D06EE">
        <w:t xml:space="preserve">to the IOUs </w:t>
      </w:r>
      <w:r w:rsidRPr="00470331" w:rsidR="00470331">
        <w:t xml:space="preserve">before </w:t>
      </w:r>
      <w:r w:rsidR="0067589C">
        <w:t>July</w:t>
      </w:r>
      <w:r w:rsidR="00513B3F">
        <w:t> </w:t>
      </w:r>
      <w:r w:rsidR="0067589C">
        <w:t>1,</w:t>
      </w:r>
      <w:r w:rsidR="00513B3F">
        <w:t> </w:t>
      </w:r>
      <w:r w:rsidR="0067589C">
        <w:t>202</w:t>
      </w:r>
      <w:r w:rsidRPr="00470331" w:rsidR="00470331">
        <w:t>3.</w:t>
      </w:r>
      <w:r w:rsidR="004E06BB">
        <w:t xml:space="preserve"> </w:t>
      </w:r>
      <w:r w:rsidR="00841806">
        <w:t>Within 30 days of the date of this order, t</w:t>
      </w:r>
      <w:r w:rsidR="00217F8F">
        <w:t xml:space="preserve">he gas IOUs shall </w:t>
      </w:r>
      <w:r w:rsidR="00A72FDC">
        <w:t>each</w:t>
      </w:r>
      <w:r w:rsidR="00217F8F">
        <w:t xml:space="preserve"> submit </w:t>
      </w:r>
      <w:r w:rsidR="00A72FDC">
        <w:t xml:space="preserve">a </w:t>
      </w:r>
      <w:r w:rsidR="00B27518">
        <w:t>Tier</w:t>
      </w:r>
      <w:r w:rsidR="00513B3F">
        <w:t> </w:t>
      </w:r>
      <w:r w:rsidR="00B27518">
        <w:t>2</w:t>
      </w:r>
      <w:r w:rsidR="00217F8F">
        <w:t xml:space="preserve"> </w:t>
      </w:r>
      <w:r w:rsidRPr="006B623F" w:rsidR="00217F8F">
        <w:t>Advice Letter</w:t>
      </w:r>
      <w:r w:rsidRPr="006B623F" w:rsidR="00B27518">
        <w:t xml:space="preserve"> </w:t>
      </w:r>
      <w:r w:rsidR="00B27518">
        <w:t>(</w:t>
      </w:r>
      <w:r w:rsidRPr="006B623F" w:rsidR="00B27518">
        <w:t>AL</w:t>
      </w:r>
      <w:r w:rsidR="00B27518">
        <w:t>)</w:t>
      </w:r>
      <w:r w:rsidR="00217F8F">
        <w:t xml:space="preserve"> to </w:t>
      </w:r>
      <w:r w:rsidR="00D72017">
        <w:t xml:space="preserve">revise their respective gas rules to </w:t>
      </w:r>
      <w:r w:rsidR="00217F8F">
        <w:t>implement this decision</w:t>
      </w:r>
      <w:r w:rsidR="00C76850">
        <w:t xml:space="preserve">. </w:t>
      </w:r>
    </w:p>
    <w:p w:rsidR="009226F1" w:rsidP="005834C6" w:rsidRDefault="00B86249" w14:paraId="790DA7D4" w14:textId="108C9992">
      <w:pPr>
        <w:pStyle w:val="Standard"/>
      </w:pPr>
      <w:r>
        <w:t xml:space="preserve">We make this </w:t>
      </w:r>
      <w:r w:rsidR="00835326">
        <w:t xml:space="preserve">revision to the gas rules </w:t>
      </w:r>
      <w:r>
        <w:t xml:space="preserve">because it </w:t>
      </w:r>
      <w:r w:rsidR="00607D0D">
        <w:t xml:space="preserve">is consistent with </w:t>
      </w:r>
      <w:r w:rsidR="00906805">
        <w:t xml:space="preserve">state </w:t>
      </w:r>
      <w:r w:rsidR="00094F47">
        <w:t>objective</w:t>
      </w:r>
      <w:r w:rsidR="00906805">
        <w:t>s</w:t>
      </w:r>
      <w:r w:rsidR="00094F47">
        <w:t xml:space="preserve"> and policy framework</w:t>
      </w:r>
      <w:r w:rsidR="00835BBF">
        <w:t>. It</w:t>
      </w:r>
      <w:r w:rsidR="00094F47">
        <w:t xml:space="preserve"> </w:t>
      </w:r>
      <w:r w:rsidR="008C1ADD">
        <w:t>will</w:t>
      </w:r>
      <w:r w:rsidR="00511152">
        <w:t xml:space="preserve"> </w:t>
      </w:r>
      <w:r w:rsidR="009A3A21">
        <w:t>mov</w:t>
      </w:r>
      <w:r w:rsidR="008C1ADD">
        <w:t>e</w:t>
      </w:r>
      <w:r w:rsidR="00D058D3">
        <w:t xml:space="preserve"> the </w:t>
      </w:r>
      <w:r w:rsidR="008C1ADD">
        <w:t xml:space="preserve">state </w:t>
      </w:r>
      <w:r w:rsidR="009A3A21">
        <w:t>closer to meeting its</w:t>
      </w:r>
      <w:r w:rsidR="00D058D3">
        <w:t xml:space="preserve"> goals </w:t>
      </w:r>
      <w:r w:rsidR="009A3A21">
        <w:t>of</w:t>
      </w:r>
      <w:r w:rsidRPr="003B01FE" w:rsidR="003B01FE">
        <w:t xml:space="preserve"> reduc</w:t>
      </w:r>
      <w:r w:rsidR="009A3A21">
        <w:t>ing</w:t>
      </w:r>
      <w:r w:rsidRPr="003B01FE" w:rsidR="003B01FE">
        <w:t xml:space="preserve"> GHG emissions and combat</w:t>
      </w:r>
      <w:r w:rsidR="009A3A21">
        <w:t>ing</w:t>
      </w:r>
      <w:r w:rsidRPr="003B01FE" w:rsidR="003B01FE">
        <w:t xml:space="preserve"> climate change.</w:t>
      </w:r>
      <w:r w:rsidR="005834C6">
        <w:t xml:space="preserve"> The cumulative ratepayer savings from </w:t>
      </w:r>
      <w:r w:rsidR="00AE00D0">
        <w:t>avoided</w:t>
      </w:r>
      <w:r w:rsidR="005834C6">
        <w:t xml:space="preserve"> gas line subsidies over the life of the gas line extensions </w:t>
      </w:r>
      <w:r w:rsidR="006F3805">
        <w:t xml:space="preserve">will </w:t>
      </w:r>
      <w:r w:rsidR="005834C6">
        <w:t xml:space="preserve">be significant. </w:t>
      </w:r>
    </w:p>
    <w:p w:rsidRPr="00C527EC" w:rsidR="005834C6" w:rsidP="0010068D" w:rsidRDefault="005834C6" w14:paraId="41914B56" w14:textId="69074912">
      <w:pPr>
        <w:pStyle w:val="Standard"/>
      </w:pPr>
      <w:r>
        <w:t xml:space="preserve">As noted above, the total </w:t>
      </w:r>
      <w:r w:rsidR="00AE00D0">
        <w:t xml:space="preserve">amount </w:t>
      </w:r>
      <w:r w:rsidR="005718E3">
        <w:t xml:space="preserve">in rates </w:t>
      </w:r>
      <w:r w:rsidR="00DC67AD">
        <w:t>paid</w:t>
      </w:r>
      <w:r w:rsidR="005718E3">
        <w:t xml:space="preserve"> by all ratepayers</w:t>
      </w:r>
      <w:r w:rsidR="008B1AF3">
        <w:t xml:space="preserve"> </w:t>
      </w:r>
      <w:r w:rsidR="00DB1A0F">
        <w:t>(</w:t>
      </w:r>
      <w:r w:rsidRPr="00C55331" w:rsidR="00066C6F">
        <w:rPr>
          <w:i/>
          <w:iCs/>
        </w:rPr>
        <w:t>i</w:t>
      </w:r>
      <w:r w:rsidRPr="00337174" w:rsidR="00066C6F">
        <w:rPr>
          <w:i/>
          <w:iCs/>
        </w:rPr>
        <w:t>.e.</w:t>
      </w:r>
      <w:r w:rsidRPr="00337174" w:rsidR="00066C6F">
        <w:t>,</w:t>
      </w:r>
      <w:r w:rsidRPr="00337174" w:rsidR="00DB1A0F">
        <w:t> </w:t>
      </w:r>
      <w:r w:rsidRPr="00337174">
        <w:t>revenue</w:t>
      </w:r>
      <w:r>
        <w:t xml:space="preserve"> requirements</w:t>
      </w:r>
      <w:r w:rsidR="00066C6F">
        <w:t>)</w:t>
      </w:r>
      <w:r>
        <w:t xml:space="preserve"> associated with the 2017</w:t>
      </w:r>
      <w:r w:rsidR="00513B3F">
        <w:noBreakHyphen/>
      </w:r>
      <w:r>
        <w:t xml:space="preserve">2026 total gas line subsidies </w:t>
      </w:r>
      <w:r w:rsidR="00B86249">
        <w:t xml:space="preserve">will </w:t>
      </w:r>
      <w:r>
        <w:t xml:space="preserve">be </w:t>
      </w:r>
      <w:r w:rsidR="00666664">
        <w:t>at least</w:t>
      </w:r>
      <w:r>
        <w:t xml:space="preserve"> $1.4</w:t>
      </w:r>
      <w:r w:rsidR="00513B3F">
        <w:t> </w:t>
      </w:r>
      <w:r w:rsidR="00DF1B5B">
        <w:t>billion</w:t>
      </w:r>
      <w:r>
        <w:t>.</w:t>
      </w:r>
      <w:r w:rsidR="00C527EC">
        <w:t xml:space="preserve"> In addition to the </w:t>
      </w:r>
      <w:r w:rsidRPr="0054169A" w:rsidR="008E0F90">
        <w:t>significant reductions</w:t>
      </w:r>
      <w:r w:rsidR="008E0F90">
        <w:t xml:space="preserve"> in </w:t>
      </w:r>
      <w:r w:rsidR="00DF1B5B">
        <w:t>GHG</w:t>
      </w:r>
      <w:r w:rsidR="008E0F90">
        <w:t xml:space="preserve"> emission</w:t>
      </w:r>
      <w:r w:rsidRPr="0054169A" w:rsidR="008E0F90">
        <w:t>s</w:t>
      </w:r>
      <w:r w:rsidR="009A4B26">
        <w:t xml:space="preserve"> and ratepayer savings, </w:t>
      </w:r>
      <w:r w:rsidR="00884BF6">
        <w:t>these changes will</w:t>
      </w:r>
      <w:r w:rsidR="00A044B8">
        <w:t xml:space="preserve"> also</w:t>
      </w:r>
      <w:r w:rsidR="00884BF6">
        <w:t xml:space="preserve"> improve the </w:t>
      </w:r>
      <w:r w:rsidR="008E0F90">
        <w:t>quality of life and health</w:t>
      </w:r>
      <w:r w:rsidRPr="0054169A" w:rsidR="008E0F90">
        <w:t xml:space="preserve"> for customers,</w:t>
      </w:r>
      <w:r w:rsidR="008E0F90">
        <w:t xml:space="preserve"> </w:t>
      </w:r>
      <w:r w:rsidR="0010068D">
        <w:t>provide</w:t>
      </w:r>
      <w:r w:rsidRPr="0054169A" w:rsidR="008E0F90">
        <w:t xml:space="preserve"> </w:t>
      </w:r>
      <w:r w:rsidR="008E0F90">
        <w:t>greater equity for low</w:t>
      </w:r>
      <w:r w:rsidR="00513B3F">
        <w:noBreakHyphen/>
      </w:r>
      <w:r w:rsidR="008E0F90">
        <w:t xml:space="preserve">income </w:t>
      </w:r>
      <w:r w:rsidRPr="003E5933" w:rsidR="008E0F90">
        <w:t>customers</w:t>
      </w:r>
      <w:r w:rsidR="008E0F90">
        <w:t xml:space="preserve">, </w:t>
      </w:r>
      <w:r w:rsidR="0010068D">
        <w:t xml:space="preserve">and </w:t>
      </w:r>
      <w:r w:rsidRPr="0057605F" w:rsidR="008E0F90">
        <w:t>greater certainty for builder</w:t>
      </w:r>
      <w:r w:rsidR="008E0F90">
        <w:t>s, developers,</w:t>
      </w:r>
      <w:r w:rsidRPr="0057605F" w:rsidR="008E0F90">
        <w:t xml:space="preserve"> </w:t>
      </w:r>
      <w:r w:rsidR="008E0F90">
        <w:t xml:space="preserve">and individual customers. </w:t>
      </w:r>
      <w:r w:rsidR="00A044B8">
        <w:t>These benefits are</w:t>
      </w:r>
      <w:r w:rsidR="00B61C5B">
        <w:t xml:space="preserve"> </w:t>
      </w:r>
      <w:r w:rsidR="008D781E">
        <w:t>discussed</w:t>
      </w:r>
      <w:r w:rsidR="00B61C5B">
        <w:t xml:space="preserve"> </w:t>
      </w:r>
      <w:r w:rsidR="00A044B8">
        <w:t xml:space="preserve">in </w:t>
      </w:r>
      <w:r w:rsidR="00B61C5B">
        <w:t xml:space="preserve">more </w:t>
      </w:r>
      <w:r w:rsidR="00A044B8">
        <w:t xml:space="preserve">detail </w:t>
      </w:r>
      <w:r w:rsidR="00B61C5B">
        <w:t>below</w:t>
      </w:r>
      <w:r w:rsidR="00C76850">
        <w:t xml:space="preserve">. </w:t>
      </w:r>
    </w:p>
    <w:p w:rsidRPr="007A3ECB" w:rsidR="00AB5BC9" w:rsidP="00055AF0" w:rsidRDefault="00EA49E7" w14:paraId="054E1FD2" w14:textId="113CD8D7">
      <w:pPr>
        <w:pStyle w:val="Standard"/>
      </w:pPr>
      <w:r>
        <w:t>The Commission</w:t>
      </w:r>
      <w:r w:rsidR="008302A9">
        <w:t xml:space="preserve"> also note</w:t>
      </w:r>
      <w:r>
        <w:t>s</w:t>
      </w:r>
      <w:r w:rsidR="008302A9">
        <w:t xml:space="preserve"> the </w:t>
      </w:r>
      <w:r w:rsidR="00CE6A27">
        <w:t xml:space="preserve">broad </w:t>
      </w:r>
      <w:r w:rsidR="008302A9">
        <w:t>support for the Staff Proposal to eliminate the gas line subsidies for the residential sector</w:t>
      </w:r>
      <w:r w:rsidR="0091150D">
        <w:t xml:space="preserve"> from a cross</w:t>
      </w:r>
      <w:r w:rsidR="00513B3F">
        <w:noBreakHyphen/>
      </w:r>
      <w:r w:rsidR="0091150D">
        <w:t>section of parties representing a wide range of interests (</w:t>
      </w:r>
      <w:r w:rsidRPr="00B27518" w:rsidR="0091150D">
        <w:rPr>
          <w:i/>
          <w:iCs/>
        </w:rPr>
        <w:t>e.g.</w:t>
      </w:r>
      <w:r w:rsidR="0091150D">
        <w:t>, utility, ratepayer, environmental, social justice, community choice aggregators)</w:t>
      </w:r>
      <w:r w:rsidR="00C54356">
        <w:t xml:space="preserve">. </w:t>
      </w:r>
      <w:r w:rsidR="002E1FC2">
        <w:t xml:space="preserve">However, we also address other party concerns </w:t>
      </w:r>
      <w:r w:rsidR="008B723A">
        <w:t xml:space="preserve">in more detail </w:t>
      </w:r>
      <w:r w:rsidR="00912DE1">
        <w:t>below</w:t>
      </w:r>
      <w:r w:rsidR="00C76850">
        <w:t xml:space="preserve">. </w:t>
      </w:r>
    </w:p>
    <w:p w:rsidR="00914C8C" w:rsidP="00F42AEA" w:rsidRDefault="00BE0BA1" w14:paraId="5C4A6256" w14:textId="764537FF">
      <w:pPr>
        <w:pStyle w:val="Heading4"/>
      </w:pPr>
      <w:r>
        <w:lastRenderedPageBreak/>
        <w:t>Elimination of Residential</w:t>
      </w:r>
      <w:r w:rsidR="006B1193">
        <w:br/>
      </w:r>
      <w:r>
        <w:t xml:space="preserve">Gas Line Subsidies </w:t>
      </w:r>
      <w:r w:rsidRPr="00F42AEA" w:rsidR="00EA039A">
        <w:t>Aligns</w:t>
      </w:r>
      <w:r w:rsidR="006B1193">
        <w:br/>
      </w:r>
      <w:r w:rsidRPr="00F42AEA" w:rsidR="00EA039A">
        <w:t xml:space="preserve">with Overall State </w:t>
      </w:r>
      <w:r w:rsidR="006B1193">
        <w:br/>
      </w:r>
      <w:r w:rsidRPr="00F42AEA" w:rsidR="00EA039A">
        <w:t>Decarbonization Goals</w:t>
      </w:r>
      <w:r w:rsidR="00914C8C">
        <w:t xml:space="preserve"> </w:t>
      </w:r>
    </w:p>
    <w:p w:rsidR="007B6C88" w:rsidP="005A79A8" w:rsidRDefault="00D3745D" w14:paraId="781C204A" w14:textId="3B4B8C19">
      <w:pPr>
        <w:pStyle w:val="Standard"/>
      </w:pPr>
      <w:r>
        <w:t>The current gas line subsidies were established during a period when the state’s energy needs, and policy goals were very different from today’s.</w:t>
      </w:r>
      <w:r w:rsidRPr="00B707B1" w:rsidR="00B707B1">
        <w:t xml:space="preserve"> </w:t>
      </w:r>
      <w:r w:rsidR="00B707B1">
        <w:t>The</w:t>
      </w:r>
      <w:r w:rsidR="0096179D">
        <w:t>y</w:t>
      </w:r>
      <w:r w:rsidR="00B707B1">
        <w:t xml:space="preserve"> are no longer consistent with today’s GHG emission reduction goals, the urgent need to reduce costs and rates, and the long term need to minimize future stranded investment</w:t>
      </w:r>
      <w:r w:rsidR="007B6C88">
        <w:t>.</w:t>
      </w:r>
    </w:p>
    <w:p w:rsidR="00D3745D" w:rsidP="005A79A8" w:rsidRDefault="00D3745D" w14:paraId="7EF173A7" w14:textId="60CE6221">
      <w:pPr>
        <w:pStyle w:val="Standard"/>
      </w:pPr>
      <w:r>
        <w:t xml:space="preserve">The Commission agrees with the Staff Proposal, SCE, </w:t>
      </w:r>
      <w:r w:rsidR="00CA372C">
        <w:t>Cal</w:t>
      </w:r>
      <w:r w:rsidR="00513B3F">
        <w:t> </w:t>
      </w:r>
      <w:r w:rsidR="00CA372C">
        <w:t>Advoc</w:t>
      </w:r>
      <w:r>
        <w:t>ates, the Joint Parties, TURN, and the Joint CCAs that the continuation of these subsidies work against today’s climate</w:t>
      </w:r>
      <w:r w:rsidRPr="00B538EC">
        <w:t xml:space="preserve"> goals</w:t>
      </w:r>
      <w:r>
        <w:t xml:space="preserve"> and conflicts with </w:t>
      </w:r>
      <w:r w:rsidR="00452F77">
        <w:t>SB</w:t>
      </w:r>
      <w:r w:rsidR="00513B3F">
        <w:t> </w:t>
      </w:r>
      <w:r w:rsidRPr="003B01FE">
        <w:t xml:space="preserve">32 and </w:t>
      </w:r>
      <w:r w:rsidR="00452F77">
        <w:t>SB</w:t>
      </w:r>
      <w:r w:rsidR="00513B3F">
        <w:t> </w:t>
      </w:r>
      <w:r w:rsidRPr="003B01FE">
        <w:t xml:space="preserve">1477. As the Staff Proposal correctly points out, current gas line </w:t>
      </w:r>
      <w:r>
        <w:t xml:space="preserve">subsidies </w:t>
      </w:r>
      <w:r w:rsidRPr="003B01FE">
        <w:t xml:space="preserve">encourage gas use by providing </w:t>
      </w:r>
      <w:r>
        <w:t xml:space="preserve">incentives to builders to install more gas appliances, </w:t>
      </w:r>
      <w:r w:rsidRPr="003B01FE">
        <w:t>perpetuat</w:t>
      </w:r>
      <w:r>
        <w:t xml:space="preserve">ing a </w:t>
      </w:r>
      <w:r w:rsidRPr="003B01FE">
        <w:t>continu</w:t>
      </w:r>
      <w:r>
        <w:t>ed</w:t>
      </w:r>
      <w:r w:rsidRPr="003B01FE">
        <w:t xml:space="preserve"> reliance on the gas system</w:t>
      </w:r>
      <w:r>
        <w:t xml:space="preserve"> both now and over the life of the appliance</w:t>
      </w:r>
      <w:r w:rsidRPr="003B01FE">
        <w:t xml:space="preserve">, and </w:t>
      </w:r>
      <w:r>
        <w:t xml:space="preserve">offsetting if not </w:t>
      </w:r>
      <w:r w:rsidRPr="003B01FE">
        <w:t>revers</w:t>
      </w:r>
      <w:r>
        <w:t>ing any</w:t>
      </w:r>
      <w:r w:rsidRPr="003B01FE">
        <w:t xml:space="preserve"> GHG emission</w:t>
      </w:r>
      <w:r>
        <w:t xml:space="preserve"> reduction benefit</w:t>
      </w:r>
      <w:r w:rsidRPr="003B01FE">
        <w:t>s</w:t>
      </w:r>
      <w:r>
        <w:t xml:space="preserve"> secured through other decarbonization measures</w:t>
      </w:r>
      <w:r w:rsidRPr="003B01FE">
        <w:t xml:space="preserve">. </w:t>
      </w:r>
    </w:p>
    <w:p w:rsidR="00F34584" w:rsidP="00E855F6" w:rsidRDefault="00F53ED6" w14:paraId="78339FC2" w14:textId="7E37FAB4">
      <w:pPr>
        <w:pStyle w:val="Standard"/>
        <w:rPr>
          <w:rStyle w:val="markedcontent"/>
          <w:rFonts w:cs="Yu Gothic Light"/>
          <w:szCs w:val="26"/>
        </w:rPr>
      </w:pPr>
      <w:r>
        <w:t>The Commission</w:t>
      </w:r>
      <w:r w:rsidR="000E7468">
        <w:t xml:space="preserve"> </w:t>
      </w:r>
      <w:r w:rsidR="003E5C43">
        <w:t xml:space="preserve">also </w:t>
      </w:r>
      <w:r w:rsidR="000E7468">
        <w:t>agree</w:t>
      </w:r>
      <w:r>
        <w:t>s</w:t>
      </w:r>
      <w:r w:rsidR="000E7468">
        <w:t xml:space="preserve"> with the Joint Parties that </w:t>
      </w:r>
      <w:r w:rsidR="003E5C43">
        <w:t>the</w:t>
      </w:r>
      <w:r w:rsidRPr="007A3ECB" w:rsidR="00433DA1">
        <w:t xml:space="preserve"> elimination</w:t>
      </w:r>
      <w:r w:rsidR="003E5C43">
        <w:t xml:space="preserve"> of the gas line </w:t>
      </w:r>
      <w:r w:rsidR="00B707B1">
        <w:t>subsidies</w:t>
      </w:r>
      <w:r w:rsidRPr="007A3ECB" w:rsidR="00433DA1">
        <w:t xml:space="preserve"> </w:t>
      </w:r>
      <w:r w:rsidR="0094292C">
        <w:t>is</w:t>
      </w:r>
      <w:r w:rsidR="006E4ADF">
        <w:t xml:space="preserve"> essential </w:t>
      </w:r>
      <w:r w:rsidR="00AF5D52">
        <w:t xml:space="preserve">in </w:t>
      </w:r>
      <w:r w:rsidR="006E4ADF">
        <w:t>complement</w:t>
      </w:r>
      <w:r w:rsidR="00AF5D52">
        <w:t>ing</w:t>
      </w:r>
      <w:r w:rsidR="006E4ADF">
        <w:t xml:space="preserve"> t</w:t>
      </w:r>
      <w:r w:rsidRPr="007A3ECB" w:rsidR="00F34584">
        <w:t>he changes made to the 2022 Building Code</w:t>
      </w:r>
      <w:r w:rsidR="00CC555B">
        <w:t>,</w:t>
      </w:r>
      <w:r w:rsidRPr="007A3ECB" w:rsidR="00433DA1">
        <w:rPr>
          <w:rStyle w:val="FootnoteReference"/>
        </w:rPr>
        <w:footnoteReference w:id="60"/>
      </w:r>
      <w:r w:rsidRPr="007A3ECB" w:rsidR="00433DA1">
        <w:t xml:space="preserve"> which</w:t>
      </w:r>
      <w:r w:rsidRPr="007A3ECB" w:rsidR="00F34584">
        <w:t xml:space="preserve"> go into effect in 2023</w:t>
      </w:r>
      <w:r w:rsidR="0058608A">
        <w:t>.</w:t>
      </w:r>
      <w:r w:rsidR="006E4ADF">
        <w:rPr>
          <w:rStyle w:val="FootnoteReference"/>
        </w:rPr>
        <w:footnoteReference w:id="61"/>
      </w:r>
      <w:r w:rsidR="0058608A">
        <w:t xml:space="preserve"> These changes </w:t>
      </w:r>
      <w:r w:rsidRPr="007A3ECB" w:rsidR="00F34584">
        <w:t xml:space="preserve">include requiring an electric heat pump space or water heater in standard building design, </w:t>
      </w:r>
      <w:r w:rsidR="000D41FA">
        <w:t xml:space="preserve">and </w:t>
      </w:r>
      <w:r w:rsidRPr="007A3ECB" w:rsidR="00F34584">
        <w:t xml:space="preserve">electrification readiness </w:t>
      </w:r>
      <w:r w:rsidR="008F5A87">
        <w:t>(</w:t>
      </w:r>
      <w:r w:rsidRPr="007A3ECB" w:rsidR="00F34584">
        <w:t>including appropriate electric, space, and plumbing readiness to accommodate a heat pump water heater where not initially installed</w:t>
      </w:r>
      <w:r w:rsidR="003F26B2">
        <w:t>)</w:t>
      </w:r>
      <w:r w:rsidR="006B6B1A">
        <w:t>.</w:t>
      </w:r>
      <w:r w:rsidRPr="007A3ECB" w:rsidR="00FF7BB0">
        <w:t xml:space="preserve"> </w:t>
      </w:r>
      <w:r w:rsidR="00222246">
        <w:t>The</w:t>
      </w:r>
      <w:r w:rsidR="00F7184B">
        <w:t xml:space="preserve"> policy</w:t>
      </w:r>
      <w:r w:rsidRPr="007A3ECB" w:rsidR="00FF7BB0">
        <w:t xml:space="preserve"> would also complement CARB</w:t>
      </w:r>
      <w:r w:rsidR="00E145F6">
        <w:t>’s</w:t>
      </w:r>
      <w:r w:rsidRPr="007A3ECB" w:rsidR="00FF7BB0">
        <w:t xml:space="preserve"> proposal, laid out in its </w:t>
      </w:r>
      <w:r w:rsidRPr="007A3ECB" w:rsidR="00FF7BB0">
        <w:lastRenderedPageBreak/>
        <w:t>Draft 2022 State Strategy for the State Implementation Plan,</w:t>
      </w:r>
      <w:r w:rsidR="00FF7BB0">
        <w:rPr>
          <w:rStyle w:val="FootnoteReference"/>
        </w:rPr>
        <w:footnoteReference w:id="62"/>
      </w:r>
      <w:r w:rsidRPr="007A3ECB" w:rsidR="00FF7BB0">
        <w:t xml:space="preserve"> to implement a zero</w:t>
      </w:r>
      <w:r w:rsidR="00513B3F">
        <w:noBreakHyphen/>
      </w:r>
      <w:r w:rsidRPr="007A3ECB" w:rsidR="00FF7BB0">
        <w:t>emissions standard for all new space and water heaters by 2030, citing the “opportunity for substantial emissions reductions where zero</w:t>
      </w:r>
      <w:r w:rsidR="00513B3F">
        <w:noBreakHyphen/>
      </w:r>
      <w:r w:rsidRPr="007A3ECB" w:rsidR="00FF7BB0">
        <w:t>emission technology is available.”</w:t>
      </w:r>
      <w:r w:rsidRPr="007A3ECB" w:rsidR="00FF7BB0">
        <w:rPr>
          <w:rStyle w:val="FootnoteReference"/>
        </w:rPr>
        <w:footnoteReference w:id="63"/>
      </w:r>
      <w:r w:rsidR="00A2787B">
        <w:t xml:space="preserve"> </w:t>
      </w:r>
    </w:p>
    <w:p w:rsidRPr="00CB16C3" w:rsidR="00CB16C3" w:rsidP="00F42AEA" w:rsidRDefault="00BE0BA1" w14:paraId="61DFA792" w14:textId="1F9AF839">
      <w:pPr>
        <w:pStyle w:val="Heading4"/>
      </w:pPr>
      <w:r>
        <w:t xml:space="preserve">The Elimination of Residential Gas Line Subsidies </w:t>
      </w:r>
      <w:r w:rsidRPr="00F42AEA" w:rsidR="00F34584">
        <w:t>Improves Overall Quality of Life (GHG</w:t>
      </w:r>
      <w:r w:rsidRPr="00F42AEA" w:rsidR="001C7FC0">
        <w:t xml:space="preserve"> </w:t>
      </w:r>
      <w:r w:rsidRPr="00F42AEA" w:rsidR="00F4451C">
        <w:t>E</w:t>
      </w:r>
      <w:r w:rsidRPr="00F42AEA" w:rsidR="001C7FC0">
        <w:t>missions</w:t>
      </w:r>
      <w:r w:rsidRPr="00F42AEA" w:rsidR="00F34584">
        <w:t xml:space="preserve"> </w:t>
      </w:r>
      <w:r w:rsidRPr="00F42AEA" w:rsidR="00F4451C">
        <w:t>R</w:t>
      </w:r>
      <w:r w:rsidRPr="00F42AEA" w:rsidR="00F34584">
        <w:t>eductions, Ratepayer Savings, Benefits to Low Income</w:t>
      </w:r>
      <w:r w:rsidRPr="00F42AEA" w:rsidR="00FC3EB2">
        <w:t>, Greater Certainty</w:t>
      </w:r>
      <w:r w:rsidRPr="00F42AEA" w:rsidR="00F34584">
        <w:t>)</w:t>
      </w:r>
      <w:r w:rsidRPr="00CB16C3" w:rsidR="00F34584">
        <w:t xml:space="preserve"> </w:t>
      </w:r>
    </w:p>
    <w:p w:rsidR="00376617" w:rsidP="000449C8" w:rsidRDefault="00376617" w14:paraId="7181FD90" w14:textId="5C048DE0">
      <w:pPr>
        <w:autoSpaceDE w:val="0"/>
        <w:autoSpaceDN w:val="0"/>
        <w:adjustRightInd w:val="0"/>
        <w:spacing w:line="360" w:lineRule="auto"/>
        <w:ind w:firstLine="720"/>
      </w:pPr>
      <w:r>
        <w:t xml:space="preserve">The Commission </w:t>
      </w:r>
      <w:r w:rsidR="0052258D">
        <w:t xml:space="preserve">also </w:t>
      </w:r>
      <w:r w:rsidRPr="0054169A" w:rsidR="00CB584F">
        <w:t>agree</w:t>
      </w:r>
      <w:r>
        <w:t>s</w:t>
      </w:r>
      <w:r w:rsidRPr="0054169A" w:rsidR="00B821BC">
        <w:t xml:space="preserve"> </w:t>
      </w:r>
      <w:r w:rsidRPr="0054169A" w:rsidR="00CB584F">
        <w:t>with</w:t>
      </w:r>
      <w:r w:rsidRPr="0054169A" w:rsidR="00B821BC">
        <w:t xml:space="preserve"> the numerous supporting parties that the </w:t>
      </w:r>
      <w:r w:rsidRPr="0054169A" w:rsidR="00CB584F">
        <w:t>elimination</w:t>
      </w:r>
      <w:r w:rsidRPr="0054169A" w:rsidR="00B821BC">
        <w:t xml:space="preserve"> of these </w:t>
      </w:r>
      <w:r w:rsidRPr="0054169A" w:rsidR="00CB584F">
        <w:t>subsidies</w:t>
      </w:r>
      <w:r w:rsidRPr="0054169A" w:rsidR="00B821BC">
        <w:t xml:space="preserve"> </w:t>
      </w:r>
      <w:r w:rsidRPr="0054169A" w:rsidR="00CB584F">
        <w:t>will</w:t>
      </w:r>
      <w:r w:rsidRPr="0054169A" w:rsidR="00B821BC">
        <w:t xml:space="preserve"> result in significant </w:t>
      </w:r>
      <w:r w:rsidR="00DC14F5">
        <w:t xml:space="preserve">societal and ratepayer </w:t>
      </w:r>
      <w:r w:rsidR="00FF4B81">
        <w:t xml:space="preserve">benefits. </w:t>
      </w:r>
      <w:r w:rsidR="00C65AD3">
        <w:t xml:space="preserve">These benefits include </w:t>
      </w:r>
      <w:r w:rsidRPr="0054169A" w:rsidR="00C65AD3">
        <w:t xml:space="preserve">GHG </w:t>
      </w:r>
      <w:r w:rsidR="00C65AD3">
        <w:t xml:space="preserve">emission </w:t>
      </w:r>
      <w:r w:rsidRPr="0054169A" w:rsidR="00C65AD3">
        <w:t xml:space="preserve">reductions, </w:t>
      </w:r>
      <w:r w:rsidR="00C65AD3">
        <w:t xml:space="preserve">with </w:t>
      </w:r>
      <w:r w:rsidRPr="0054169A" w:rsidR="00C65AD3">
        <w:t xml:space="preserve">improved </w:t>
      </w:r>
      <w:r w:rsidR="00C65AD3">
        <w:t>health</w:t>
      </w:r>
      <w:r w:rsidRPr="0054169A" w:rsidR="00C65AD3">
        <w:t xml:space="preserve"> </w:t>
      </w:r>
      <w:r w:rsidR="003B7060">
        <w:t>conditions</w:t>
      </w:r>
      <w:r w:rsidR="00467A41">
        <w:t xml:space="preserve"> </w:t>
      </w:r>
      <w:r w:rsidRPr="0054169A" w:rsidR="00C65AD3">
        <w:t>for customers</w:t>
      </w:r>
      <w:r w:rsidR="00C65AD3">
        <w:t xml:space="preserve"> </w:t>
      </w:r>
      <w:r w:rsidRPr="0054169A" w:rsidR="00C65AD3">
        <w:t>via improved indoor and outdoor air quality</w:t>
      </w:r>
      <w:r w:rsidR="00C65AD3">
        <w:t>, with particularly</w:t>
      </w:r>
      <w:r w:rsidRPr="0054169A" w:rsidR="00C65AD3">
        <w:t xml:space="preserve"> </w:t>
      </w:r>
      <w:r w:rsidR="00C65AD3">
        <w:t xml:space="preserve">reduced </w:t>
      </w:r>
      <w:r w:rsidRPr="0054169A" w:rsidR="00C65AD3">
        <w:t xml:space="preserve">health </w:t>
      </w:r>
      <w:r w:rsidR="00C65AD3">
        <w:t xml:space="preserve">risks </w:t>
      </w:r>
      <w:r w:rsidRPr="0054169A" w:rsidR="00C65AD3">
        <w:t xml:space="preserve">from the reduction of </w:t>
      </w:r>
      <w:r w:rsidR="007103CD">
        <w:t xml:space="preserve">high </w:t>
      </w:r>
      <w:r w:rsidRPr="0054169A" w:rsidR="00C65AD3">
        <w:t>GHG</w:t>
      </w:r>
      <w:r w:rsidR="004A5959">
        <w:t xml:space="preserve"> </w:t>
      </w:r>
      <w:r w:rsidRPr="0054169A" w:rsidR="00C65AD3">
        <w:t>emitting appliances inside a home</w:t>
      </w:r>
      <w:r w:rsidR="00C65AD3">
        <w:t>. Low</w:t>
      </w:r>
      <w:r w:rsidR="00513B3F">
        <w:noBreakHyphen/>
      </w:r>
      <w:r w:rsidR="00C65AD3">
        <w:t>income customers are most likely to face these health risks given they often have less effective stove ventilation systems.</w:t>
      </w:r>
      <w:r w:rsidR="00C65AD3">
        <w:rPr>
          <w:rStyle w:val="FootnoteReference"/>
        </w:rPr>
        <w:footnoteReference w:id="64"/>
      </w:r>
      <w:r w:rsidR="00C65AD3">
        <w:t xml:space="preserve"> </w:t>
      </w:r>
    </w:p>
    <w:p w:rsidR="00613FEF" w:rsidP="000449C8" w:rsidRDefault="00DC14F5" w14:paraId="36E6EE22" w14:textId="6EDF8FD5">
      <w:pPr>
        <w:autoSpaceDE w:val="0"/>
        <w:autoSpaceDN w:val="0"/>
        <w:adjustRightInd w:val="0"/>
        <w:spacing w:line="360" w:lineRule="auto"/>
        <w:ind w:firstLine="720"/>
      </w:pPr>
      <w:r>
        <w:t>Other</w:t>
      </w:r>
      <w:r w:rsidR="00C65AD3">
        <w:t xml:space="preserve"> </w:t>
      </w:r>
      <w:r w:rsidR="008D0AC0">
        <w:t>impacts</w:t>
      </w:r>
      <w:r w:rsidR="00C65AD3">
        <w:t xml:space="preserve"> </w:t>
      </w:r>
      <w:r>
        <w:t>include</w:t>
      </w:r>
      <w:r w:rsidDel="000B2FC9">
        <w:t xml:space="preserve"> </w:t>
      </w:r>
      <w:r w:rsidR="00C65AD3">
        <w:t xml:space="preserve">reducing or eliminating </w:t>
      </w:r>
      <w:r w:rsidRPr="007E6CCA" w:rsidR="00C65AD3">
        <w:t xml:space="preserve">a range of </w:t>
      </w:r>
      <w:r w:rsidR="00C65AD3">
        <w:t xml:space="preserve">other negative </w:t>
      </w:r>
      <w:r w:rsidRPr="007E6CCA" w:rsidR="00C65AD3">
        <w:t xml:space="preserve">environmental </w:t>
      </w:r>
      <w:r w:rsidR="00C65AD3">
        <w:t>effects</w:t>
      </w:r>
      <w:r w:rsidRPr="007E6CCA" w:rsidR="00C65AD3">
        <w:t xml:space="preserve"> including land use impacts, wildlife impacts, and impacts on water use and water quality</w:t>
      </w:r>
      <w:r w:rsidRPr="007E6CCA" w:rsidR="00794FFD">
        <w:t xml:space="preserve">. Building out the natural gas system </w:t>
      </w:r>
      <w:r w:rsidR="00C65219">
        <w:t xml:space="preserve">can </w:t>
      </w:r>
      <w:r w:rsidRPr="007E6CCA" w:rsidR="00794FFD">
        <w:t>cause erosion of minerals and toxins into nearby streams, contamination of drinking water sources, and high levels of water us</w:t>
      </w:r>
      <w:r w:rsidR="00794FFD">
        <w:t>e</w:t>
      </w:r>
      <w:r w:rsidRPr="007E6CCA" w:rsidR="00794FFD">
        <w:t>.</w:t>
      </w:r>
      <w:r w:rsidRPr="007E6CCA" w:rsidR="00794FFD">
        <w:rPr>
          <w:rStyle w:val="FootnoteReference"/>
        </w:rPr>
        <w:footnoteReference w:id="65"/>
      </w:r>
      <w:r w:rsidR="00FF4B81">
        <w:t xml:space="preserve"> </w:t>
      </w:r>
    </w:p>
    <w:p w:rsidR="00250CBE" w:rsidP="00250CBE" w:rsidRDefault="007F39DC" w14:paraId="747345DB" w14:textId="6EB00112">
      <w:pPr>
        <w:pStyle w:val="Standard"/>
      </w:pPr>
      <w:r>
        <w:lastRenderedPageBreak/>
        <w:t>The benefits also include</w:t>
      </w:r>
      <w:r w:rsidRPr="0054169A" w:rsidR="00CB584F">
        <w:t xml:space="preserve"> hundreds of millions of dollars in </w:t>
      </w:r>
      <w:r w:rsidR="008C1E20">
        <w:t xml:space="preserve">utility and </w:t>
      </w:r>
      <w:r w:rsidRPr="0054169A" w:rsidR="00CB584F">
        <w:t>ratepayer savings annually</w:t>
      </w:r>
      <w:r w:rsidR="004C3C06">
        <w:t xml:space="preserve"> and over time</w:t>
      </w:r>
      <w:r w:rsidR="005300B3">
        <w:t xml:space="preserve">. </w:t>
      </w:r>
      <w:r w:rsidR="00043D19">
        <w:t>For example, t</w:t>
      </w:r>
      <w:r w:rsidR="0067310F">
        <w:t xml:space="preserve">he costs identified by Staff are the costs that the utility must </w:t>
      </w:r>
      <w:r w:rsidR="008C3882">
        <w:t xml:space="preserve">spend </w:t>
      </w:r>
      <w:r w:rsidR="00160A2A">
        <w:t xml:space="preserve">each year </w:t>
      </w:r>
      <w:r w:rsidR="0033492F">
        <w:t xml:space="preserve">for </w:t>
      </w:r>
      <w:r w:rsidR="00562B3C">
        <w:t>construction and installation.</w:t>
      </w:r>
      <w:r w:rsidR="00AC0E68">
        <w:rPr>
          <w:rStyle w:val="FootnoteReference"/>
        </w:rPr>
        <w:footnoteReference w:id="66"/>
      </w:r>
      <w:r w:rsidR="00562B3C">
        <w:t xml:space="preserve"> Those </w:t>
      </w:r>
      <w:r w:rsidR="00554706">
        <w:t>costs are financed by the utility</w:t>
      </w:r>
      <w:r w:rsidR="00D45B0C">
        <w:t xml:space="preserve"> </w:t>
      </w:r>
      <w:r w:rsidR="00CC65F4">
        <w:t>(</w:t>
      </w:r>
      <w:r w:rsidRPr="005336A6" w:rsidR="00CC65F4">
        <w:rPr>
          <w:i/>
          <w:iCs/>
        </w:rPr>
        <w:t>e.g.</w:t>
      </w:r>
      <w:r w:rsidR="00CC65F4">
        <w:t xml:space="preserve">, </w:t>
      </w:r>
      <w:r w:rsidR="00D45B0C">
        <w:t>via stocks, bonds,</w:t>
      </w:r>
      <w:r w:rsidR="005D5788">
        <w:t xml:space="preserve"> retained earnings</w:t>
      </w:r>
      <w:r w:rsidR="00CC65F4">
        <w:t>)</w:t>
      </w:r>
      <w:r w:rsidR="00563E1E">
        <w:t xml:space="preserve"> so the funds are available to complete the line extension</w:t>
      </w:r>
      <w:r w:rsidR="007936D0">
        <w:t xml:space="preserve"> in the year requested</w:t>
      </w:r>
      <w:r w:rsidR="005D5788">
        <w:t xml:space="preserve">. Those costs are then </w:t>
      </w:r>
      <w:r w:rsidR="008E6EB2">
        <w:t>put into ratebase to be recovered over time (</w:t>
      </w:r>
      <w:r w:rsidRPr="005336A6" w:rsidR="008E6EB2">
        <w:rPr>
          <w:i/>
          <w:iCs/>
        </w:rPr>
        <w:t>e.g.</w:t>
      </w:r>
      <w:r w:rsidR="008E6EB2">
        <w:t xml:space="preserve">, 30 years) </w:t>
      </w:r>
      <w:r w:rsidR="005D5788">
        <w:t>from ratepayers</w:t>
      </w:r>
      <w:r w:rsidR="0067310F">
        <w:t xml:space="preserve">. </w:t>
      </w:r>
      <w:r w:rsidR="00371BCB">
        <w:t>Thus,</w:t>
      </w:r>
      <w:r w:rsidR="001E2B5F">
        <w:t xml:space="preserve"> the</w:t>
      </w:r>
      <w:r w:rsidR="00371BCB">
        <w:t xml:space="preserve"> </w:t>
      </w:r>
      <w:r w:rsidR="00024B8F">
        <w:t xml:space="preserve">Joint Parties and TURN are correct that </w:t>
      </w:r>
      <w:r w:rsidR="00491E78">
        <w:t xml:space="preserve">the savings identified </w:t>
      </w:r>
      <w:r w:rsidR="001E2B5F">
        <w:t>in the Staff Proposal</w:t>
      </w:r>
      <w:r w:rsidR="006803FF">
        <w:t xml:space="preserve"> are understated</w:t>
      </w:r>
      <w:r w:rsidR="004F4D05">
        <w:t xml:space="preserve"> with respect to the actual cost to ratepayers</w:t>
      </w:r>
      <w:r w:rsidR="00680A0E">
        <w:t>.</w:t>
      </w:r>
      <w:r w:rsidR="004F2D6A">
        <w:rPr>
          <w:rStyle w:val="FootnoteReference"/>
        </w:rPr>
        <w:footnoteReference w:id="67"/>
      </w:r>
      <w:r w:rsidR="006F6E74">
        <w:t xml:space="preserve"> The cost is higher since recovery over 30</w:t>
      </w:r>
      <w:r w:rsidR="00513B3F">
        <w:t> </w:t>
      </w:r>
      <w:r w:rsidR="006F6E74">
        <w:t>years costs ratepayers more than would a one</w:t>
      </w:r>
      <w:r w:rsidR="00513B3F">
        <w:noBreakHyphen/>
      </w:r>
      <w:r w:rsidR="006F6E74">
        <w:t>time charge</w:t>
      </w:r>
      <w:r w:rsidR="00635FEA">
        <w:t>.</w:t>
      </w:r>
      <w:r w:rsidRPr="00250CBE" w:rsidR="00250CBE">
        <w:t xml:space="preserve"> </w:t>
      </w:r>
      <w:r w:rsidR="00250CBE">
        <w:t xml:space="preserve">The elimination of gas line subsidies is one of many steps in furthering the </w:t>
      </w:r>
      <w:r w:rsidRPr="007A3ECB" w:rsidR="00250CBE">
        <w:t xml:space="preserve">decarbonization of buildings, while easing the burden on residential customers that currently subsidize the </w:t>
      </w:r>
      <w:r w:rsidR="00250CBE">
        <w:t xml:space="preserve">new </w:t>
      </w:r>
      <w:r w:rsidRPr="007A3ECB" w:rsidR="00250CBE">
        <w:t xml:space="preserve">interconnections. </w:t>
      </w:r>
      <w:r w:rsidR="00250CBE">
        <w:t xml:space="preserve">This is of particular benefit to </w:t>
      </w:r>
      <w:r w:rsidRPr="00A26886" w:rsidR="00250CBE">
        <w:t>low</w:t>
      </w:r>
      <w:r w:rsidR="00513B3F">
        <w:noBreakHyphen/>
      </w:r>
      <w:r w:rsidRPr="00A26886" w:rsidR="00250CBE">
        <w:t>income customer</w:t>
      </w:r>
      <w:r w:rsidR="00250CBE">
        <w:t>s who face increasing affordability pressures. As the Joint Parties note, the current context perpetuates inequity (</w:t>
      </w:r>
      <w:r w:rsidRPr="008C4189" w:rsidR="00250CBE">
        <w:rPr>
          <w:i/>
          <w:iCs/>
        </w:rPr>
        <w:t>i.e.</w:t>
      </w:r>
      <w:r w:rsidR="00250CBE">
        <w:t xml:space="preserve">, </w:t>
      </w:r>
      <w:r w:rsidRPr="00A26886" w:rsidR="00250CBE">
        <w:t>low</w:t>
      </w:r>
      <w:r w:rsidR="00513B3F">
        <w:noBreakHyphen/>
      </w:r>
      <w:r w:rsidRPr="00A26886" w:rsidR="00250CBE">
        <w:t xml:space="preserve">income customers are not typically the ones benefitting from gas </w:t>
      </w:r>
      <w:r w:rsidR="00250CBE">
        <w:t xml:space="preserve">line subsidies given their </w:t>
      </w:r>
      <w:r w:rsidRPr="00A26886" w:rsidR="00250CBE">
        <w:t>lower rate of new home purchasing,</w:t>
      </w:r>
      <w:r w:rsidR="00250CBE">
        <w:t xml:space="preserve"> yet they contribute towards these subsidies which increase gas rates for all customers).</w:t>
      </w:r>
      <w:r w:rsidR="00250CBE">
        <w:rPr>
          <w:rStyle w:val="FootnoteReference"/>
        </w:rPr>
        <w:footnoteReference w:id="68"/>
      </w:r>
      <w:r w:rsidR="00250CBE">
        <w:t xml:space="preserve"> </w:t>
      </w:r>
    </w:p>
    <w:p w:rsidR="00D6112F" w:rsidP="000449C8" w:rsidRDefault="00A15765" w14:paraId="042DD0EF" w14:textId="7125F750">
      <w:pPr>
        <w:autoSpaceDE w:val="0"/>
        <w:autoSpaceDN w:val="0"/>
        <w:adjustRightInd w:val="0"/>
        <w:spacing w:line="360" w:lineRule="auto"/>
        <w:ind w:firstLine="720"/>
      </w:pPr>
      <w:r>
        <w:t>Additionally</w:t>
      </w:r>
      <w:r w:rsidRPr="00A11A53">
        <w:t xml:space="preserve">, </w:t>
      </w:r>
      <w:r w:rsidR="00CC5156">
        <w:t xml:space="preserve">eliminating gas line extension incentives </w:t>
      </w:r>
      <w:r w:rsidRPr="00A11A53">
        <w:t xml:space="preserve">will </w:t>
      </w:r>
      <w:r w:rsidRPr="0057605F">
        <w:t xml:space="preserve">offer </w:t>
      </w:r>
      <w:r w:rsidR="0089300C">
        <w:t xml:space="preserve">the benefit of </w:t>
      </w:r>
      <w:r w:rsidRPr="0057605F">
        <w:t xml:space="preserve">greater certainty for the </w:t>
      </w:r>
      <w:r w:rsidR="007B779A">
        <w:t>market. This is especially true</w:t>
      </w:r>
      <w:r w:rsidR="00895992">
        <w:t xml:space="preserve"> </w:t>
      </w:r>
      <w:r w:rsidRPr="0057605F">
        <w:t>for the builder community</w:t>
      </w:r>
      <w:r w:rsidR="004B6A19">
        <w:t xml:space="preserve"> and</w:t>
      </w:r>
      <w:r w:rsidRPr="0057605F">
        <w:t xml:space="preserve"> the contractor</w:t>
      </w:r>
      <w:r w:rsidRPr="00A11A53">
        <w:t xml:space="preserve"> </w:t>
      </w:r>
      <w:r w:rsidRPr="0057605F">
        <w:t>community</w:t>
      </w:r>
      <w:r w:rsidR="009454B6">
        <w:t>, as noted in the Staff Proposal</w:t>
      </w:r>
      <w:r w:rsidR="004B6A19">
        <w:t xml:space="preserve">. </w:t>
      </w:r>
    </w:p>
    <w:p w:rsidR="00C333BD" w:rsidP="000449C8" w:rsidRDefault="009B61E7" w14:paraId="6E00140A" w14:textId="00412DC5">
      <w:pPr>
        <w:autoSpaceDE w:val="0"/>
        <w:autoSpaceDN w:val="0"/>
        <w:adjustRightInd w:val="0"/>
        <w:spacing w:line="360" w:lineRule="auto"/>
        <w:ind w:firstLine="720"/>
      </w:pPr>
      <w:r>
        <w:lastRenderedPageBreak/>
        <w:t>Lastly,</w:t>
      </w:r>
      <w:r w:rsidR="0089300C">
        <w:t xml:space="preserve"> </w:t>
      </w:r>
      <w:r w:rsidR="00A645E3">
        <w:rPr>
          <w:rStyle w:val="markedcontent"/>
          <w:szCs w:val="26"/>
        </w:rPr>
        <w:t>e</w:t>
      </w:r>
      <w:r w:rsidRPr="007B11A0" w:rsidR="00A645E3">
        <w:rPr>
          <w:rStyle w:val="markedcontent"/>
          <w:szCs w:val="26"/>
        </w:rPr>
        <w:t>liminating gas line extension allowances is not expected to lead to a significant rise in average</w:t>
      </w:r>
      <w:r w:rsidRPr="00306212" w:rsidR="00A645E3">
        <w:rPr>
          <w:szCs w:val="26"/>
        </w:rPr>
        <w:t xml:space="preserve"> </w:t>
      </w:r>
      <w:r w:rsidRPr="007B11A0" w:rsidR="00A645E3">
        <w:rPr>
          <w:rStyle w:val="markedcontent"/>
          <w:szCs w:val="26"/>
        </w:rPr>
        <w:t>property prices</w:t>
      </w:r>
      <w:r w:rsidR="00554942">
        <w:rPr>
          <w:rStyle w:val="markedcontent"/>
          <w:szCs w:val="26"/>
        </w:rPr>
        <w:t xml:space="preserve"> per the Staff Proposal</w:t>
      </w:r>
      <w:r w:rsidRPr="007B11A0" w:rsidR="00A645E3">
        <w:rPr>
          <w:rStyle w:val="markedcontent"/>
          <w:szCs w:val="26"/>
        </w:rPr>
        <w:t>. To the extent that such a policy change leads to more all</w:t>
      </w:r>
      <w:r w:rsidR="00513B3F">
        <w:rPr>
          <w:rStyle w:val="markedcontent"/>
          <w:szCs w:val="26"/>
        </w:rPr>
        <w:noBreakHyphen/>
      </w:r>
      <w:r w:rsidRPr="007B11A0" w:rsidR="00A645E3">
        <w:rPr>
          <w:rStyle w:val="markedcontent"/>
          <w:szCs w:val="26"/>
        </w:rPr>
        <w:t>electric new construction, those</w:t>
      </w:r>
      <w:r w:rsidR="00A645E3">
        <w:rPr>
          <w:szCs w:val="26"/>
        </w:rPr>
        <w:t xml:space="preserve"> </w:t>
      </w:r>
      <w:r w:rsidRPr="007B11A0" w:rsidR="00A645E3">
        <w:rPr>
          <w:rStyle w:val="markedcontent"/>
          <w:szCs w:val="26"/>
        </w:rPr>
        <w:t>new homes and offices will be less expensive than if they were built dual fuel due to the elimination of any</w:t>
      </w:r>
      <w:r w:rsidR="00A645E3">
        <w:rPr>
          <w:szCs w:val="26"/>
        </w:rPr>
        <w:t xml:space="preserve"> </w:t>
      </w:r>
      <w:r w:rsidRPr="007B11A0" w:rsidR="00A645E3">
        <w:rPr>
          <w:rStyle w:val="markedcontent"/>
          <w:szCs w:val="26"/>
        </w:rPr>
        <w:t>expense associated with installing gas infrastructure</w:t>
      </w:r>
      <w:r w:rsidR="00A645E3">
        <w:rPr>
          <w:rStyle w:val="markedcontent"/>
          <w:szCs w:val="26"/>
        </w:rPr>
        <w:t>.</w:t>
      </w:r>
      <w:r w:rsidR="00A645E3">
        <w:t xml:space="preserve"> On the other hand, construction cost/property prices are likely to increase for those that build dual fuel, necessitating gas line </w:t>
      </w:r>
      <w:r w:rsidR="001C422C">
        <w:t>extensions</w:t>
      </w:r>
      <w:r w:rsidR="00A645E3">
        <w:t xml:space="preserve">. Data provided in the </w:t>
      </w:r>
      <w:r w:rsidRPr="00337174" w:rsidR="00A645E3">
        <w:t>Staff</w:t>
      </w:r>
      <w:r w:rsidRPr="00337174" w:rsidR="00EC0DCE">
        <w:t> P</w:t>
      </w:r>
      <w:r w:rsidR="00A645E3">
        <w:t>roposal</w:t>
      </w:r>
      <w:r w:rsidR="006F759D">
        <w:t>, however,</w:t>
      </w:r>
      <w:r w:rsidR="00A645E3">
        <w:t xml:space="preserve"> shows this increase is limited to about 0.</w:t>
      </w:r>
      <w:r w:rsidR="00FF1E52">
        <w:t>32</w:t>
      </w:r>
      <w:r w:rsidR="0021555A">
        <w:t> percent</w:t>
      </w:r>
      <w:r w:rsidR="00FF1E52">
        <w:t xml:space="preserve"> to 0.36</w:t>
      </w:r>
      <w:r w:rsidR="0021555A">
        <w:t> percent</w:t>
      </w:r>
      <w:r w:rsidR="00872F80">
        <w:t>.</w:t>
      </w:r>
      <w:r w:rsidR="00A93353">
        <w:rPr>
          <w:rStyle w:val="FootnoteReference"/>
        </w:rPr>
        <w:footnoteReference w:id="69"/>
      </w:r>
      <w:r w:rsidR="00A93353">
        <w:t xml:space="preserve"> </w:t>
      </w:r>
      <w:r w:rsidR="00FB06BD">
        <w:t>The Commission</w:t>
      </w:r>
      <w:r w:rsidR="00A93353">
        <w:t xml:space="preserve"> agree</w:t>
      </w:r>
      <w:r w:rsidR="00FB06BD">
        <w:t>s</w:t>
      </w:r>
      <w:r w:rsidR="00A93353">
        <w:t xml:space="preserve"> that this</w:t>
      </w:r>
      <w:r w:rsidR="00A645E3">
        <w:t xml:space="preserve"> </w:t>
      </w:r>
      <w:r w:rsidR="00BC61FB">
        <w:t xml:space="preserve">is </w:t>
      </w:r>
      <w:r w:rsidR="00A645E3">
        <w:t>a minimal effect on the total cost of a new residen</w:t>
      </w:r>
      <w:r w:rsidR="00037909">
        <w:t>tial and commercial building</w:t>
      </w:r>
      <w:r w:rsidR="00A645E3">
        <w:t xml:space="preserve">. </w:t>
      </w:r>
      <w:r w:rsidRPr="00A11A53" w:rsidR="00A15765">
        <w:t xml:space="preserve">Thus, </w:t>
      </w:r>
      <w:r w:rsidR="009A51E0">
        <w:t xml:space="preserve">we find </w:t>
      </w:r>
      <w:r w:rsidRPr="00A11A53" w:rsidR="00A15765">
        <w:t xml:space="preserve">the </w:t>
      </w:r>
      <w:r w:rsidR="00B7101E">
        <w:t>net</w:t>
      </w:r>
      <w:r w:rsidRPr="00A11A53" w:rsidR="00A15765">
        <w:t xml:space="preserve"> benefits from these eliminations </w:t>
      </w:r>
      <w:r w:rsidR="009A51E0">
        <w:t>to be</w:t>
      </w:r>
      <w:r w:rsidR="00F60ECE">
        <w:t xml:space="preserve"> </w:t>
      </w:r>
      <w:r w:rsidRPr="00A11A53" w:rsidR="00A15765">
        <w:t>greater than the additional</w:t>
      </w:r>
      <w:r w:rsidR="00A15765">
        <w:t xml:space="preserve"> costs that would be placed on to builders or experienced by owners</w:t>
      </w:r>
      <w:r w:rsidR="009870B3">
        <w:t xml:space="preserve"> </w:t>
      </w:r>
      <w:r w:rsidR="00C325B1">
        <w:t>of new building</w:t>
      </w:r>
      <w:r w:rsidR="00247D28">
        <w:t xml:space="preserve">s </w:t>
      </w:r>
      <w:r w:rsidR="00522669">
        <w:t xml:space="preserve">choosing </w:t>
      </w:r>
      <w:r w:rsidR="009870B3">
        <w:t>dual</w:t>
      </w:r>
      <w:r w:rsidR="00513B3F">
        <w:noBreakHyphen/>
      </w:r>
      <w:r w:rsidR="009870B3">
        <w:t>fuel construction</w:t>
      </w:r>
      <w:r w:rsidR="00A15765">
        <w:t xml:space="preserve">. </w:t>
      </w:r>
    </w:p>
    <w:p w:rsidR="004922C6" w:rsidP="00F42AEA" w:rsidRDefault="00BE0BA1" w14:paraId="0811499E" w14:textId="1F12985F">
      <w:pPr>
        <w:pStyle w:val="Heading4"/>
      </w:pPr>
      <w:r>
        <w:t xml:space="preserve">The Elimination of Residential Gas Line Subsidies </w:t>
      </w:r>
      <w:r w:rsidRPr="00F42AEA" w:rsidR="003C0119">
        <w:t>Benefits Low Income and Vulnerable Communities</w:t>
      </w:r>
      <w:r w:rsidR="003C0119">
        <w:t xml:space="preserve"> </w:t>
      </w:r>
    </w:p>
    <w:p w:rsidR="00441F59" w:rsidP="009B72CB" w:rsidRDefault="00C42EB5" w14:paraId="428F20AD" w14:textId="0BFAF1AE">
      <w:pPr>
        <w:autoSpaceDE w:val="0"/>
        <w:autoSpaceDN w:val="0"/>
        <w:adjustRightInd w:val="0"/>
        <w:spacing w:line="360" w:lineRule="auto"/>
        <w:ind w:firstLine="720"/>
      </w:pPr>
      <w:r>
        <w:t xml:space="preserve">Eliminating gas line subsidies will advance equity. This occurs </w:t>
      </w:r>
      <w:r w:rsidRPr="003E5933">
        <w:t>given that low</w:t>
      </w:r>
      <w:r w:rsidR="00513B3F">
        <w:noBreakHyphen/>
      </w:r>
      <w:r w:rsidRPr="003E5933">
        <w:t xml:space="preserve">income customers </w:t>
      </w:r>
      <w:r>
        <w:t>contribute towards these subsidies through gas rates</w:t>
      </w:r>
      <w:r w:rsidR="009337B3">
        <w:t xml:space="preserve"> even </w:t>
      </w:r>
      <w:r w:rsidR="00571C76">
        <w:t xml:space="preserve">though </w:t>
      </w:r>
      <w:r>
        <w:t xml:space="preserve">they </w:t>
      </w:r>
      <w:r w:rsidRPr="003E5933">
        <w:t>are typically not the ones applying for, or benefiting from</w:t>
      </w:r>
      <w:r w:rsidR="009D5B87">
        <w:t>,</w:t>
      </w:r>
      <w:r w:rsidRPr="003E5933">
        <w:t xml:space="preserve"> the gas line subsidies</w:t>
      </w:r>
      <w:r w:rsidR="009D5B87">
        <w:t xml:space="preserve"> </w:t>
      </w:r>
      <w:r w:rsidR="009337B3">
        <w:t>(</w:t>
      </w:r>
      <w:r w:rsidR="009D5B87">
        <w:t>due to</w:t>
      </w:r>
      <w:r>
        <w:t xml:space="preserve"> the fact that they are more likely to be renters than </w:t>
      </w:r>
      <w:r w:rsidR="009B72CB">
        <w:t>homeowners</w:t>
      </w:r>
      <w:r w:rsidR="009337B3">
        <w:t>)</w:t>
      </w:r>
      <w:r w:rsidRPr="003E5933" w:rsidR="009B72CB">
        <w:t>.</w:t>
      </w:r>
      <w:r w:rsidRPr="00A15765" w:rsidR="009B72CB">
        <w:t xml:space="preserve"> </w:t>
      </w:r>
      <w:r w:rsidR="00CE3D64">
        <w:t>Equity is advance</w:t>
      </w:r>
      <w:r w:rsidR="00571C76">
        <w:t>d</w:t>
      </w:r>
      <w:r w:rsidR="00CE3D64">
        <w:t xml:space="preserve"> by </w:t>
      </w:r>
      <w:r w:rsidR="00C744DE">
        <w:t>revenue requirements</w:t>
      </w:r>
      <w:r w:rsidR="00CE3D64">
        <w:t xml:space="preserve"> being </w:t>
      </w:r>
      <w:r w:rsidR="009B1159">
        <w:t xml:space="preserve">reduced for </w:t>
      </w:r>
      <w:r w:rsidR="009B1159">
        <w:lastRenderedPageBreak/>
        <w:t>everyone, including low</w:t>
      </w:r>
      <w:r w:rsidR="00513B3F">
        <w:noBreakHyphen/>
      </w:r>
      <w:r w:rsidR="009B1159">
        <w:t>income customers,</w:t>
      </w:r>
      <w:r w:rsidR="005A5A97">
        <w:t xml:space="preserve"> </w:t>
      </w:r>
      <w:r w:rsidR="00A25302">
        <w:t xml:space="preserve">estimated at </w:t>
      </w:r>
      <w:r w:rsidRPr="004C3F4A" w:rsidR="00A25302">
        <w:t>approximately $164</w:t>
      </w:r>
      <w:r w:rsidR="006D041F">
        <w:t> </w:t>
      </w:r>
      <w:r w:rsidRPr="004C3F4A" w:rsidR="00A25302">
        <w:t>million annually</w:t>
      </w:r>
      <w:r w:rsidR="00A25302">
        <w:t>.</w:t>
      </w:r>
      <w:r w:rsidR="00A25302">
        <w:rPr>
          <w:rStyle w:val="FootnoteReference"/>
        </w:rPr>
        <w:footnoteReference w:id="70"/>
      </w:r>
    </w:p>
    <w:p w:rsidR="009B72CB" w:rsidP="009B72CB" w:rsidRDefault="006E3AD5" w14:paraId="413517F3" w14:textId="35165B7B">
      <w:pPr>
        <w:autoSpaceDE w:val="0"/>
        <w:autoSpaceDN w:val="0"/>
        <w:adjustRightInd w:val="0"/>
        <w:spacing w:line="360" w:lineRule="auto"/>
        <w:ind w:firstLine="720"/>
        <w:rPr>
          <w:szCs w:val="26"/>
        </w:rPr>
      </w:pPr>
      <w:r>
        <w:t xml:space="preserve">We also note </w:t>
      </w:r>
      <w:r w:rsidR="00441F59">
        <w:t xml:space="preserve">the </w:t>
      </w:r>
      <w:r>
        <w:t xml:space="preserve">concern with </w:t>
      </w:r>
      <w:r w:rsidR="001A75B0">
        <w:t>low</w:t>
      </w:r>
      <w:r w:rsidR="00513B3F">
        <w:noBreakHyphen/>
      </w:r>
      <w:r w:rsidR="001A75B0">
        <w:t>income and vulnerable communit</w:t>
      </w:r>
      <w:r w:rsidR="00E3310A">
        <w:t>ies</w:t>
      </w:r>
      <w:r w:rsidR="009B72CB">
        <w:t xml:space="preserve"> not having the means to </w:t>
      </w:r>
      <w:r w:rsidR="0052233D">
        <w:t>electrify</w:t>
      </w:r>
      <w:r w:rsidR="009B72CB">
        <w:t>, and whether or not they will be “left behind” to carry the burden of higher gas rates as other</w:t>
      </w:r>
      <w:r w:rsidR="00140655">
        <w:t xml:space="preserve"> customer</w:t>
      </w:r>
      <w:r w:rsidR="009B72CB">
        <w:t>s leave the gas system</w:t>
      </w:r>
      <w:r w:rsidR="00262A29">
        <w:t xml:space="preserve">. </w:t>
      </w:r>
      <w:r w:rsidR="001A75B0">
        <w:t xml:space="preserve">This is at least in part addressed by </w:t>
      </w:r>
      <w:r w:rsidR="009B72CB">
        <w:t xml:space="preserve">current </w:t>
      </w:r>
      <w:r w:rsidR="009B72CB">
        <w:rPr>
          <w:szCs w:val="26"/>
        </w:rPr>
        <w:t>programs</w:t>
      </w:r>
      <w:r w:rsidR="002D7DF2">
        <w:rPr>
          <w:szCs w:val="26"/>
        </w:rPr>
        <w:t>,</w:t>
      </w:r>
      <w:r w:rsidR="009B72CB">
        <w:rPr>
          <w:szCs w:val="26"/>
        </w:rPr>
        <w:t xml:space="preserve"> including </w:t>
      </w:r>
      <w:r w:rsidRPr="00ED6178" w:rsidR="009B72CB">
        <w:rPr>
          <w:szCs w:val="26"/>
        </w:rPr>
        <w:t>BUILD</w:t>
      </w:r>
      <w:r w:rsidR="009B72CB">
        <w:rPr>
          <w:szCs w:val="26"/>
        </w:rPr>
        <w:t xml:space="preserve"> and </w:t>
      </w:r>
      <w:r w:rsidRPr="00ED6178" w:rsidR="009B72CB">
        <w:rPr>
          <w:szCs w:val="26"/>
        </w:rPr>
        <w:t>California Energy</w:t>
      </w:r>
      <w:r w:rsidR="009B72CB">
        <w:rPr>
          <w:szCs w:val="26"/>
        </w:rPr>
        <w:t xml:space="preserve"> </w:t>
      </w:r>
      <w:r w:rsidRPr="00ED6178" w:rsidR="009B72CB">
        <w:rPr>
          <w:szCs w:val="26"/>
        </w:rPr>
        <w:t>Smart Homes</w:t>
      </w:r>
      <w:r w:rsidR="002D7DF2">
        <w:rPr>
          <w:szCs w:val="26"/>
        </w:rPr>
        <w:t>, which</w:t>
      </w:r>
      <w:r w:rsidR="009B72CB">
        <w:rPr>
          <w:szCs w:val="26"/>
        </w:rPr>
        <w:t xml:space="preserve"> help </w:t>
      </w:r>
      <w:r w:rsidRPr="00ED6178" w:rsidR="009B72CB">
        <w:rPr>
          <w:szCs w:val="26"/>
        </w:rPr>
        <w:t xml:space="preserve">mitigate </w:t>
      </w:r>
      <w:r w:rsidR="009B72CB">
        <w:rPr>
          <w:szCs w:val="26"/>
        </w:rPr>
        <w:t>these effects by offering subsidies and technical assistance to build homes that are all electric and beyond the current building code. BUILD, in particular, is focused on low</w:t>
      </w:r>
      <w:r w:rsidR="00513B3F">
        <w:rPr>
          <w:szCs w:val="26"/>
        </w:rPr>
        <w:noBreakHyphen/>
      </w:r>
      <w:r w:rsidR="009B72CB">
        <w:rPr>
          <w:szCs w:val="26"/>
        </w:rPr>
        <w:t>income housing.</w:t>
      </w:r>
      <w:r w:rsidR="009B72CB">
        <w:rPr>
          <w:rStyle w:val="FootnoteReference"/>
          <w:szCs w:val="26"/>
        </w:rPr>
        <w:footnoteReference w:id="71"/>
      </w:r>
      <w:r w:rsidR="009B72CB">
        <w:rPr>
          <w:szCs w:val="26"/>
        </w:rPr>
        <w:t xml:space="preserve"> </w:t>
      </w:r>
    </w:p>
    <w:p w:rsidR="00CA7688" w:rsidP="005F12F7" w:rsidRDefault="00914FA0" w14:paraId="2B6E1C32" w14:textId="2DB1B423">
      <w:pPr>
        <w:pStyle w:val="standard0"/>
      </w:pPr>
      <w:r>
        <w:t>Lastly,</w:t>
      </w:r>
      <w:r w:rsidR="0072185F">
        <w:t xml:space="preserve"> </w:t>
      </w:r>
      <w:r w:rsidR="001F0B26">
        <w:t>the Commission</w:t>
      </w:r>
      <w:r w:rsidR="0072185F">
        <w:t xml:space="preserve"> agree</w:t>
      </w:r>
      <w:r w:rsidR="001F0B26">
        <w:t>s</w:t>
      </w:r>
      <w:r w:rsidR="0072185F">
        <w:t xml:space="preserve"> with the </w:t>
      </w:r>
      <w:r w:rsidRPr="00355565" w:rsidR="009B72CB">
        <w:t>Joint Parties</w:t>
      </w:r>
      <w:r w:rsidR="0072185F">
        <w:t xml:space="preserve"> that</w:t>
      </w:r>
      <w:r w:rsidR="00975AF0">
        <w:t>:</w:t>
      </w:r>
    </w:p>
    <w:p w:rsidR="009B72CB" w:rsidP="005F12F7" w:rsidRDefault="009B72CB" w14:paraId="2CE4A2F0" w14:textId="2D1036B1">
      <w:pPr>
        <w:pStyle w:val="BlockQuote"/>
      </w:pPr>
      <w:r w:rsidRPr="00355565">
        <w:t>…</w:t>
      </w:r>
      <w:r w:rsidRPr="007B11A0">
        <w:t>negative implications</w:t>
      </w:r>
      <w:r>
        <w:t xml:space="preserve"> </w:t>
      </w:r>
      <w:r w:rsidRPr="007B11A0">
        <w:t>for affordable housing</w:t>
      </w:r>
      <w:r>
        <w:t xml:space="preserve"> </w:t>
      </w:r>
      <w:r w:rsidRPr="007B11A0">
        <w:t>developers and low</w:t>
      </w:r>
      <w:r w:rsidR="00513B3F">
        <w:rPr>
          <w:szCs w:val="26"/>
        </w:rPr>
        <w:noBreakHyphen/>
      </w:r>
      <w:r w:rsidRPr="007B11A0">
        <w:t>income home purchasers, in terms of upfront purchasing costs, are very</w:t>
      </w:r>
      <w:r>
        <w:t xml:space="preserve"> </w:t>
      </w:r>
      <w:r w:rsidRPr="007B11A0">
        <w:t>small if nonexistent… at least one study has found that electrification in new construction</w:t>
      </w:r>
      <w:r>
        <w:t xml:space="preserve"> </w:t>
      </w:r>
      <w:r w:rsidRPr="007B11A0">
        <w:t>reduces costs over the lifetime of appliances when compared to new homes built with fossil</w:t>
      </w:r>
      <w:r w:rsidR="00513B3F">
        <w:rPr>
          <w:szCs w:val="26"/>
        </w:rPr>
        <w:noBreakHyphen/>
      </w:r>
      <w:r w:rsidRPr="007B11A0">
        <w:t>fuel</w:t>
      </w:r>
      <w:r>
        <w:t xml:space="preserve"> </w:t>
      </w:r>
      <w:r w:rsidRPr="007B11A0">
        <w:t>burning appliances</w:t>
      </w:r>
      <w:r>
        <w:t>.</w:t>
      </w:r>
      <w:r>
        <w:rPr>
          <w:rStyle w:val="FootnoteReference"/>
          <w:szCs w:val="26"/>
        </w:rPr>
        <w:footnoteReference w:id="72"/>
      </w:r>
    </w:p>
    <w:p w:rsidR="006929B0" w:rsidP="00F42AEA" w:rsidRDefault="00BE0BA1" w14:paraId="2624806A" w14:textId="2D0F1298">
      <w:pPr>
        <w:pStyle w:val="Heading4"/>
      </w:pPr>
      <w:r>
        <w:t xml:space="preserve">The Elimination of Residential Gas Line Subsidies </w:t>
      </w:r>
      <w:r w:rsidR="006B1193">
        <w:t>H</w:t>
      </w:r>
      <w:r>
        <w:t xml:space="preserve">as a </w:t>
      </w:r>
      <w:r w:rsidRPr="00F42AEA" w:rsidR="00876F28">
        <w:t>Net Positive Impact</w:t>
      </w:r>
      <w:r>
        <w:t xml:space="preserve"> on Workforce</w:t>
      </w:r>
    </w:p>
    <w:p w:rsidR="00E4633E" w:rsidP="00E4633E" w:rsidRDefault="0055594B" w14:paraId="235310D7" w14:textId="63A7DD36">
      <w:pPr>
        <w:pStyle w:val="Standard"/>
      </w:pPr>
      <w:r w:rsidRPr="00673D4B">
        <w:t xml:space="preserve">The Commission </w:t>
      </w:r>
      <w:r>
        <w:t>acknowledges that a</w:t>
      </w:r>
      <w:r w:rsidR="00CF1671">
        <w:t xml:space="preserve">s more buildings </w:t>
      </w:r>
      <w:r w:rsidRPr="00E6722E" w:rsidR="00CF1671">
        <w:t>electrif</w:t>
      </w:r>
      <w:r w:rsidR="00CF1671">
        <w:t xml:space="preserve">y, </w:t>
      </w:r>
      <w:r w:rsidR="008F176E">
        <w:t xml:space="preserve">there </w:t>
      </w:r>
      <w:r w:rsidR="00462EE0">
        <w:t xml:space="preserve">is likely to </w:t>
      </w:r>
      <w:r w:rsidR="008F176E">
        <w:t>be a shift in demand for work in both the gas and electric fields.</w:t>
      </w:r>
      <w:r w:rsidR="00CF1671">
        <w:t xml:space="preserve"> </w:t>
      </w:r>
      <w:r w:rsidRPr="00EB78AB" w:rsidR="00312625">
        <w:t xml:space="preserve">CCUE </w:t>
      </w:r>
      <w:r w:rsidRPr="00EB78AB" w:rsidR="00312625">
        <w:lastRenderedPageBreak/>
        <w:t xml:space="preserve">claims </w:t>
      </w:r>
      <w:r w:rsidR="00312625">
        <w:t>there will be a loss of</w:t>
      </w:r>
      <w:r w:rsidRPr="00EB78AB" w:rsidR="00312625">
        <w:t xml:space="preserve"> more than 10,000 gas distribution jobs in California</w:t>
      </w:r>
      <w:r w:rsidR="00312625">
        <w:t xml:space="preserve"> due to decarbonization</w:t>
      </w:r>
      <w:r w:rsidRPr="00EB78AB" w:rsidR="00312625">
        <w:t>,</w:t>
      </w:r>
      <w:r w:rsidR="00312625">
        <w:rPr>
          <w:rStyle w:val="FootnoteReference"/>
        </w:rPr>
        <w:footnoteReference w:id="73"/>
      </w:r>
      <w:r w:rsidRPr="00EB78AB" w:rsidR="00312625">
        <w:t xml:space="preserve"> </w:t>
      </w:r>
      <w:r w:rsidR="00312625">
        <w:t>while SCE claims a net gain of 7,000 full time jobs (</w:t>
      </w:r>
      <w:r w:rsidRPr="005F7EA2" w:rsidR="00312625">
        <w:t>12,400 full time electricity generation</w:t>
      </w:r>
      <w:r w:rsidR="00312625">
        <w:t xml:space="preserve"> </w:t>
      </w:r>
      <w:r w:rsidRPr="005F7EA2" w:rsidR="00312625">
        <w:t xml:space="preserve">and distribution jobs </w:t>
      </w:r>
      <w:r w:rsidR="00312625">
        <w:t>offset by</w:t>
      </w:r>
      <w:r w:rsidRPr="005F7EA2" w:rsidR="00312625">
        <w:t xml:space="preserve"> 5,400–6,800 fewer full</w:t>
      </w:r>
      <w:r w:rsidR="00513B3F">
        <w:noBreakHyphen/>
      </w:r>
      <w:r w:rsidRPr="005F7EA2" w:rsidR="00312625">
        <w:t>time gas distribution jobs</w:t>
      </w:r>
      <w:r w:rsidR="00312625">
        <w:t>).</w:t>
      </w:r>
      <w:r w:rsidR="00312625">
        <w:rPr>
          <w:rStyle w:val="FootnoteReference"/>
        </w:rPr>
        <w:footnoteReference w:id="74"/>
      </w:r>
      <w:r w:rsidRPr="003C4564" w:rsidR="00312625">
        <w:t xml:space="preserve"> </w:t>
      </w:r>
      <w:r w:rsidRPr="00673D4B" w:rsidR="00673D4B">
        <w:t xml:space="preserve">The Commission </w:t>
      </w:r>
      <w:r w:rsidR="0008062D">
        <w:t xml:space="preserve">agrees with SCE that there will </w:t>
      </w:r>
      <w:r w:rsidR="00DB542F">
        <w:t xml:space="preserve">likely </w:t>
      </w:r>
      <w:r w:rsidR="0008062D">
        <w:t xml:space="preserve">be a net positive impact </w:t>
      </w:r>
      <w:r w:rsidR="00A22EE1">
        <w:t xml:space="preserve">as we are likely to see an increase in demand </w:t>
      </w:r>
      <w:r w:rsidRPr="005F7EA2" w:rsidR="00A22EE1">
        <w:t>for skilled workers in several</w:t>
      </w:r>
      <w:r w:rsidR="00A22EE1">
        <w:t xml:space="preserve"> </w:t>
      </w:r>
      <w:r w:rsidRPr="005F7EA2" w:rsidR="00A22EE1">
        <w:t xml:space="preserve">economic sectors, including </w:t>
      </w:r>
      <w:r w:rsidR="00A22EE1">
        <w:t xml:space="preserve">in the electric industry, </w:t>
      </w:r>
      <w:r w:rsidRPr="005F7EA2" w:rsidR="00A22EE1">
        <w:t>construction jobs for energy efficiency improvements and</w:t>
      </w:r>
      <w:r w:rsidR="00A22EE1">
        <w:t xml:space="preserve"> </w:t>
      </w:r>
      <w:r w:rsidRPr="005F7EA2" w:rsidR="00A22EE1">
        <w:t>building retrofits</w:t>
      </w:r>
      <w:r w:rsidR="00A22EE1">
        <w:t>.</w:t>
      </w:r>
    </w:p>
    <w:p w:rsidRPr="00F873E0" w:rsidR="003E099B" w:rsidP="00E4633E" w:rsidRDefault="00E4633E" w14:paraId="2943E993" w14:textId="618BC89E">
      <w:pPr>
        <w:pStyle w:val="Standard"/>
        <w:rPr>
          <w:rFonts w:ascii="TimesNewRomanPS-BoldMT" w:hAnsi="TimesNewRomanPS-BoldMT" w:cs="TimesNewRomanPS-BoldMT"/>
          <w:b/>
          <w:sz w:val="24"/>
          <w:szCs w:val="24"/>
        </w:rPr>
      </w:pPr>
      <w:r>
        <w:t>Additionally</w:t>
      </w:r>
      <w:r w:rsidR="00F873E0">
        <w:t xml:space="preserve">, </w:t>
      </w:r>
      <w:r w:rsidR="00EB129B">
        <w:t>since</w:t>
      </w:r>
      <w:r w:rsidR="00F873E0">
        <w:t xml:space="preserve"> </w:t>
      </w:r>
      <w:r w:rsidR="000D0069">
        <w:rPr>
          <w:szCs w:val="26"/>
        </w:rPr>
        <w:t>Track</w:t>
      </w:r>
      <w:r w:rsidR="00513B3F">
        <w:rPr>
          <w:szCs w:val="26"/>
        </w:rPr>
        <w:t> </w:t>
      </w:r>
      <w:r w:rsidR="000D0069">
        <w:rPr>
          <w:szCs w:val="26"/>
        </w:rPr>
        <w:t>2</w:t>
      </w:r>
      <w:r w:rsidRPr="00880862" w:rsidR="00F873E0">
        <w:rPr>
          <w:szCs w:val="26"/>
        </w:rPr>
        <w:t xml:space="preserve"> of the Long</w:t>
      </w:r>
      <w:r w:rsidR="00513B3F">
        <w:rPr>
          <w:szCs w:val="26"/>
        </w:rPr>
        <w:noBreakHyphen/>
      </w:r>
      <w:r w:rsidRPr="00880862" w:rsidR="00F873E0">
        <w:rPr>
          <w:szCs w:val="26"/>
        </w:rPr>
        <w:t>Term Gas Planning OIR</w:t>
      </w:r>
      <w:r w:rsidR="00F873E0">
        <w:rPr>
          <w:szCs w:val="26"/>
        </w:rPr>
        <w:t xml:space="preserve">, </w:t>
      </w:r>
      <w:r w:rsidRPr="00880862" w:rsidR="00F873E0">
        <w:rPr>
          <w:szCs w:val="26"/>
        </w:rPr>
        <w:t>R.20</w:t>
      </w:r>
      <w:r w:rsidR="00513B3F">
        <w:rPr>
          <w:szCs w:val="26"/>
        </w:rPr>
        <w:noBreakHyphen/>
      </w:r>
      <w:r w:rsidRPr="00880862" w:rsidR="00F873E0">
        <w:rPr>
          <w:szCs w:val="26"/>
        </w:rPr>
        <w:t>01</w:t>
      </w:r>
      <w:r w:rsidR="00513B3F">
        <w:rPr>
          <w:szCs w:val="26"/>
        </w:rPr>
        <w:noBreakHyphen/>
      </w:r>
      <w:r w:rsidRPr="00880862" w:rsidR="00F873E0">
        <w:rPr>
          <w:szCs w:val="26"/>
        </w:rPr>
        <w:t>007</w:t>
      </w:r>
      <w:r w:rsidR="002A24F1">
        <w:rPr>
          <w:szCs w:val="26"/>
        </w:rPr>
        <w:t>,</w:t>
      </w:r>
      <w:r w:rsidR="00F873E0">
        <w:t xml:space="preserve"> will be addressing the issue of</w:t>
      </w:r>
      <w:r w:rsidRPr="005F7EA2" w:rsidR="00F873E0">
        <w:t xml:space="preserve"> ensur</w:t>
      </w:r>
      <w:r w:rsidR="00F873E0">
        <w:t>ing</w:t>
      </w:r>
      <w:r w:rsidRPr="005F7EA2" w:rsidR="00F873E0">
        <w:t xml:space="preserve"> an</w:t>
      </w:r>
      <w:r w:rsidR="00F873E0">
        <w:t xml:space="preserve"> </w:t>
      </w:r>
      <w:r w:rsidRPr="005F7EA2" w:rsidR="00F873E0">
        <w:t>equitable future that minimizes workforce disruption</w:t>
      </w:r>
      <w:r w:rsidR="0018292A">
        <w:t>, CCUE</w:t>
      </w:r>
      <w:r w:rsidR="00ED1335">
        <w:t>’s concerns are best addressed in that proceeding.</w:t>
      </w:r>
      <w:r w:rsidR="00F873E0">
        <w:t xml:space="preserve"> The Scoping </w:t>
      </w:r>
      <w:r w:rsidR="00F06211">
        <w:t>M</w:t>
      </w:r>
      <w:r w:rsidR="00F873E0">
        <w:t>emo in that proceeding lays out a scope that includes how negative impacts on workforce from building decarbonization can be mitigated, what the costs of these mitigation strategies</w:t>
      </w:r>
      <w:r w:rsidR="005B5908">
        <w:t xml:space="preserve"> are</w:t>
      </w:r>
      <w:r w:rsidR="00F873E0">
        <w:t>, and who should be responsible for paying them, among other questions.</w:t>
      </w:r>
      <w:r w:rsidR="00F873E0">
        <w:rPr>
          <w:rStyle w:val="FootnoteReference"/>
        </w:rPr>
        <w:footnoteReference w:id="75"/>
      </w:r>
      <w:r w:rsidRPr="00E41462" w:rsidR="00E41462">
        <w:t xml:space="preserve"> </w:t>
      </w:r>
    </w:p>
    <w:p w:rsidR="006929B0" w:rsidP="00F42AEA" w:rsidRDefault="001B75A2" w14:paraId="216DF851" w14:textId="01144190">
      <w:pPr>
        <w:pStyle w:val="Heading4"/>
      </w:pPr>
      <w:r>
        <w:t xml:space="preserve">The Elimination of Residential Gas Line Subsidies </w:t>
      </w:r>
      <w:r w:rsidRPr="00F42AEA" w:rsidR="00CE52B9">
        <w:t>Maintain</w:t>
      </w:r>
      <w:r w:rsidRPr="00F42AEA" w:rsidR="00F3060B">
        <w:t>s</w:t>
      </w:r>
      <w:r w:rsidRPr="00F42AEA" w:rsidR="00CE52B9">
        <w:t xml:space="preserve"> </w:t>
      </w:r>
      <w:r w:rsidRPr="00F42AEA" w:rsidR="00FB24A8">
        <w:t xml:space="preserve">Customer </w:t>
      </w:r>
      <w:r w:rsidRPr="00F42AEA" w:rsidR="00A604E2">
        <w:t xml:space="preserve">Choice and </w:t>
      </w:r>
      <w:r w:rsidRPr="00F42AEA" w:rsidR="00DA55E1">
        <w:t xml:space="preserve">Advances </w:t>
      </w:r>
      <w:r w:rsidRPr="00F42AEA" w:rsidR="001A209C">
        <w:t>Equity</w:t>
      </w:r>
      <w:r w:rsidR="00970F96">
        <w:t xml:space="preserve"> </w:t>
      </w:r>
    </w:p>
    <w:p w:rsidR="00632B8A" w:rsidP="00F34584" w:rsidRDefault="00F065E2" w14:paraId="1CF2643C" w14:textId="17D99F99">
      <w:pPr>
        <w:autoSpaceDE w:val="0"/>
        <w:autoSpaceDN w:val="0"/>
        <w:adjustRightInd w:val="0"/>
        <w:spacing w:line="360" w:lineRule="auto"/>
        <w:ind w:firstLine="720"/>
      </w:pPr>
      <w:r>
        <w:t>T</w:t>
      </w:r>
      <w:r w:rsidR="00E102F7">
        <w:t>he Commission</w:t>
      </w:r>
      <w:r w:rsidR="000A401A">
        <w:t xml:space="preserve"> </w:t>
      </w:r>
      <w:r w:rsidR="00970F96">
        <w:t>disagree</w:t>
      </w:r>
      <w:r w:rsidR="00E102F7">
        <w:t>s</w:t>
      </w:r>
      <w:r w:rsidR="00970F96">
        <w:t xml:space="preserve"> with </w:t>
      </w:r>
      <w:r w:rsidR="007A3ECB">
        <w:t>SWG</w:t>
      </w:r>
      <w:r w:rsidR="008F3278">
        <w:t xml:space="preserve"> </w:t>
      </w:r>
      <w:r w:rsidR="00970F96">
        <w:t xml:space="preserve">that we are removing customer choice by eliminating </w:t>
      </w:r>
      <w:r w:rsidR="00DE72E5">
        <w:t>the</w:t>
      </w:r>
      <w:r w:rsidR="00970F96">
        <w:t xml:space="preserve"> gas line subsid</w:t>
      </w:r>
      <w:r w:rsidR="00A77FEB">
        <w:t>i</w:t>
      </w:r>
      <w:r w:rsidR="00970F96">
        <w:t>es</w:t>
      </w:r>
      <w:r w:rsidR="004279F0">
        <w:t xml:space="preserve">. We </w:t>
      </w:r>
      <w:r w:rsidR="00B77904">
        <w:t xml:space="preserve">reiterate that </w:t>
      </w:r>
      <w:r w:rsidR="00BB33DC">
        <w:t>c</w:t>
      </w:r>
      <w:r w:rsidRPr="003B01FE" w:rsidR="00BB33DC">
        <w:t xml:space="preserve">ustomers </w:t>
      </w:r>
      <w:r w:rsidR="00BB33DC">
        <w:t>can continue to select their choice of fuel</w:t>
      </w:r>
      <w:r w:rsidR="000A401A">
        <w:t xml:space="preserve">. The only difference is that existing </w:t>
      </w:r>
      <w:r w:rsidR="00456AB7">
        <w:t xml:space="preserve">and </w:t>
      </w:r>
      <w:r w:rsidR="00456AB7">
        <w:lastRenderedPageBreak/>
        <w:t>future</w:t>
      </w:r>
      <w:r w:rsidR="000A401A">
        <w:t xml:space="preserve"> </w:t>
      </w:r>
      <w:r w:rsidR="00103ED9">
        <w:t xml:space="preserve">gas </w:t>
      </w:r>
      <w:r w:rsidR="00970F96">
        <w:t xml:space="preserve">customers </w:t>
      </w:r>
      <w:r w:rsidR="00BB33DC">
        <w:t>will</w:t>
      </w:r>
      <w:r w:rsidR="00970F96">
        <w:t xml:space="preserve"> no longer have to </w:t>
      </w:r>
      <w:r w:rsidRPr="003B01FE" w:rsidR="003B01FE">
        <w:t>subsidiz</w:t>
      </w:r>
      <w:r w:rsidR="00970F96">
        <w:t>e</w:t>
      </w:r>
      <w:r w:rsidRPr="003B01FE" w:rsidR="003B01FE">
        <w:t xml:space="preserve"> investments in </w:t>
      </w:r>
      <w:r w:rsidR="00374F9E">
        <w:t xml:space="preserve">the </w:t>
      </w:r>
      <w:r w:rsidRPr="003B01FE" w:rsidR="003B01FE">
        <w:t>gas infrastructure</w:t>
      </w:r>
      <w:r w:rsidR="0061087C">
        <w:t xml:space="preserve"> for new customers</w:t>
      </w:r>
      <w:r w:rsidR="000651B0">
        <w:t xml:space="preserve">. </w:t>
      </w:r>
      <w:r w:rsidR="0061087C">
        <w:t>Requiring the new customers to pay their full cost</w:t>
      </w:r>
      <w:r w:rsidR="00D313F3">
        <w:t>s</w:t>
      </w:r>
      <w:r w:rsidR="00635E5C">
        <w:t xml:space="preserve"> of gas line extension</w:t>
      </w:r>
      <w:r w:rsidR="00243676">
        <w:t>s</w:t>
      </w:r>
      <w:r w:rsidR="00970F96">
        <w:t xml:space="preserve"> </w:t>
      </w:r>
      <w:r w:rsidR="00A35A64">
        <w:t>only places the responsibility back onto</w:t>
      </w:r>
      <w:r w:rsidRPr="00055AF0" w:rsidR="00055AF0">
        <w:t xml:space="preserve"> builders or customers to shoulder a greater portion of the expense if they choose to construct a building that uses gas or extend gas service on existing properties. </w:t>
      </w:r>
      <w:r w:rsidR="00A50FC1">
        <w:t xml:space="preserve">Therefore, </w:t>
      </w:r>
      <w:r w:rsidR="00815D46">
        <w:t xml:space="preserve">this change </w:t>
      </w:r>
      <w:r w:rsidR="005A4B5E">
        <w:t>align</w:t>
      </w:r>
      <w:r w:rsidR="00815D46">
        <w:t>s the cost responsibility</w:t>
      </w:r>
      <w:r w:rsidR="005C4C8C">
        <w:t xml:space="preserve"> with</w:t>
      </w:r>
      <w:r w:rsidR="005A4B5E">
        <w:t xml:space="preserve"> </w:t>
      </w:r>
      <w:r w:rsidR="003F3216">
        <w:t xml:space="preserve">the customer who </w:t>
      </w:r>
      <w:r w:rsidR="00E84BC8">
        <w:t>causes</w:t>
      </w:r>
      <w:r w:rsidR="003F3216">
        <w:t xml:space="preserve"> </w:t>
      </w:r>
      <w:r w:rsidR="005C4C8C">
        <w:t xml:space="preserve">the </w:t>
      </w:r>
      <w:r w:rsidR="00724F78">
        <w:t>costs, thereby</w:t>
      </w:r>
      <w:r w:rsidR="00364F23">
        <w:t xml:space="preserve"> </w:t>
      </w:r>
      <w:r w:rsidR="003F3216">
        <w:t xml:space="preserve">advances equity for all customers. </w:t>
      </w:r>
    </w:p>
    <w:p w:rsidR="006929B0" w:rsidP="00F42AEA" w:rsidRDefault="001B75A2" w14:paraId="4E159D0D" w14:textId="12CC7658">
      <w:pPr>
        <w:pStyle w:val="Heading4"/>
      </w:pPr>
      <w:r>
        <w:t>The Elimination of Residential Gas Line Subsidies Will</w:t>
      </w:r>
      <w:r w:rsidRPr="00F42AEA" w:rsidR="00871747">
        <w:t xml:space="preserve"> Not Create a</w:t>
      </w:r>
      <w:r w:rsidRPr="00F42AEA" w:rsidR="000B2E4C">
        <w:t xml:space="preserve"> Death Spiral</w:t>
      </w:r>
      <w:r w:rsidRPr="00F23041" w:rsidR="00825ECE">
        <w:t xml:space="preserve"> </w:t>
      </w:r>
    </w:p>
    <w:p w:rsidR="00F025E9" w:rsidP="00F34584" w:rsidRDefault="002F6F82" w14:paraId="6504F794" w14:textId="48E4C591">
      <w:pPr>
        <w:autoSpaceDE w:val="0"/>
        <w:autoSpaceDN w:val="0"/>
        <w:adjustRightInd w:val="0"/>
        <w:spacing w:line="360" w:lineRule="auto"/>
        <w:ind w:firstLine="720"/>
      </w:pPr>
      <w:r>
        <w:t xml:space="preserve">The Commission </w:t>
      </w:r>
      <w:r w:rsidR="00AE686E">
        <w:t>disagree</w:t>
      </w:r>
      <w:r>
        <w:t>s</w:t>
      </w:r>
      <w:r w:rsidR="000B2E4C">
        <w:t xml:space="preserve"> </w:t>
      </w:r>
      <w:r w:rsidR="00AC3F67">
        <w:t xml:space="preserve">with CCUE </w:t>
      </w:r>
      <w:r w:rsidR="000B2E4C">
        <w:t>that th</w:t>
      </w:r>
      <w:r w:rsidR="00211AB9">
        <w:t>is</w:t>
      </w:r>
      <w:r w:rsidR="000B2E4C">
        <w:t xml:space="preserve"> decision will lead to a</w:t>
      </w:r>
      <w:r w:rsidR="005964CB">
        <w:t xml:space="preserve"> “</w:t>
      </w:r>
      <w:r w:rsidR="00A35A64">
        <w:t>de</w:t>
      </w:r>
      <w:r w:rsidR="005964CB">
        <w:t>ath spiral</w:t>
      </w:r>
      <w:r w:rsidR="00632B8A">
        <w:t>.</w:t>
      </w:r>
      <w:r w:rsidR="0052272C">
        <w:t xml:space="preserve">” </w:t>
      </w:r>
      <w:r w:rsidR="00BC7411">
        <w:t>We</w:t>
      </w:r>
      <w:r w:rsidR="005964CB">
        <w:t xml:space="preserve"> acknowledge that the effect of </w:t>
      </w:r>
      <w:r w:rsidR="00F64535">
        <w:t xml:space="preserve">eliminating gas line extension incentives </w:t>
      </w:r>
      <w:r w:rsidR="00501726">
        <w:t>w</w:t>
      </w:r>
      <w:r w:rsidR="00884A82">
        <w:t xml:space="preserve">ould </w:t>
      </w:r>
      <w:r w:rsidR="005964CB">
        <w:t>be that</w:t>
      </w:r>
      <w:r w:rsidRPr="005964CB" w:rsidR="005964CB">
        <w:t xml:space="preserve"> </w:t>
      </w:r>
      <w:r w:rsidR="00190E90">
        <w:t xml:space="preserve">the cost of </w:t>
      </w:r>
      <w:r w:rsidRPr="00055AF0" w:rsidR="005964CB">
        <w:t>construct</w:t>
      </w:r>
      <w:r w:rsidR="005964CB">
        <w:t>ing</w:t>
      </w:r>
      <w:r w:rsidRPr="00055AF0" w:rsidR="005964CB">
        <w:t xml:space="preserve"> a building that uses gas</w:t>
      </w:r>
      <w:r w:rsidR="00983598">
        <w:t>,</w:t>
      </w:r>
      <w:r w:rsidRPr="00055AF0" w:rsidR="005964CB">
        <w:t xml:space="preserve"> or extend</w:t>
      </w:r>
      <w:r w:rsidR="008612EB">
        <w:t>s</w:t>
      </w:r>
      <w:r w:rsidRPr="00055AF0" w:rsidR="005964CB">
        <w:t xml:space="preserve"> gas service on existing properties</w:t>
      </w:r>
      <w:r w:rsidR="00983598">
        <w:t>,</w:t>
      </w:r>
      <w:r w:rsidR="005964CB">
        <w:t xml:space="preserve"> </w:t>
      </w:r>
      <w:r w:rsidR="00ED09F8">
        <w:t>may</w:t>
      </w:r>
      <w:r w:rsidR="005964CB">
        <w:t xml:space="preserve"> </w:t>
      </w:r>
      <w:r w:rsidR="002D0825">
        <w:t>increase relative to the status quo.</w:t>
      </w:r>
      <w:r w:rsidR="00C72CBE">
        <w:t xml:space="preserve"> </w:t>
      </w:r>
      <w:r w:rsidR="005A75CE">
        <w:t xml:space="preserve">This </w:t>
      </w:r>
      <w:r w:rsidR="0064059F">
        <w:t xml:space="preserve">cost </w:t>
      </w:r>
      <w:r w:rsidR="00884A82">
        <w:t xml:space="preserve">would </w:t>
      </w:r>
      <w:r w:rsidR="00190E90">
        <w:t xml:space="preserve">in turn </w:t>
      </w:r>
      <w:r w:rsidR="0021098C">
        <w:t xml:space="preserve">likely </w:t>
      </w:r>
      <w:r w:rsidR="0074128B">
        <w:t>be</w:t>
      </w:r>
      <w:r w:rsidR="00190E90">
        <w:t xml:space="preserve"> passed down </w:t>
      </w:r>
      <w:r w:rsidR="00CC040A">
        <w:t>at</w:t>
      </w:r>
      <w:r w:rsidR="00190E90">
        <w:t xml:space="preserve"> the</w:t>
      </w:r>
      <w:r w:rsidRPr="00055AF0" w:rsidR="00055AF0">
        <w:t xml:space="preserve"> point of sale for a new building or directly absorbed by the customer for an existing building</w:t>
      </w:r>
      <w:r w:rsidR="0063649E">
        <w:t xml:space="preserve">. </w:t>
      </w:r>
      <w:r w:rsidR="002D0825">
        <w:t>N</w:t>
      </w:r>
      <w:r w:rsidR="00192757">
        <w:t xml:space="preserve">either </w:t>
      </w:r>
      <w:r w:rsidR="001923B9">
        <w:t xml:space="preserve">CCUE </w:t>
      </w:r>
      <w:r w:rsidR="00192757">
        <w:t xml:space="preserve">nor any other </w:t>
      </w:r>
      <w:r w:rsidR="0064059F">
        <w:t xml:space="preserve">party presents any </w:t>
      </w:r>
      <w:r w:rsidR="009213E9">
        <w:t xml:space="preserve">credible </w:t>
      </w:r>
      <w:r w:rsidR="0064059F">
        <w:t xml:space="preserve">data to show that </w:t>
      </w:r>
      <w:r w:rsidR="005053D1">
        <w:t xml:space="preserve">the </w:t>
      </w:r>
      <w:r w:rsidR="00A92B0A">
        <w:t xml:space="preserve">gas </w:t>
      </w:r>
      <w:r w:rsidR="00A86C74">
        <w:t xml:space="preserve">rates </w:t>
      </w:r>
      <w:r w:rsidR="005053D1">
        <w:t xml:space="preserve">increase will </w:t>
      </w:r>
      <w:r w:rsidR="00A92B0A">
        <w:t xml:space="preserve">cause the cost of a building to escalate so much that demand for buildings will disproportionately decline, leading to </w:t>
      </w:r>
      <w:r w:rsidR="00450295">
        <w:t xml:space="preserve">higher gas </w:t>
      </w:r>
      <w:r w:rsidR="00972044">
        <w:t xml:space="preserve">rates </w:t>
      </w:r>
      <w:r w:rsidR="00450295">
        <w:t>and even less building until the gas utility goes out of business</w:t>
      </w:r>
      <w:r w:rsidR="008A0714">
        <w:t>, or some other catastrophic outcome</w:t>
      </w:r>
      <w:r w:rsidRPr="00B14F5E" w:rsidR="00B14F5E">
        <w:t xml:space="preserve"> </w:t>
      </w:r>
      <w:r w:rsidR="00B14F5E">
        <w:t>for the gas system</w:t>
      </w:r>
      <w:r w:rsidR="00450295">
        <w:t xml:space="preserve">. </w:t>
      </w:r>
      <w:r w:rsidR="001F3D70">
        <w:t xml:space="preserve">Further, there is no </w:t>
      </w:r>
      <w:r w:rsidR="00E97773">
        <w:t xml:space="preserve">support for the argument that </w:t>
      </w:r>
      <w:r w:rsidR="00BD4403">
        <w:t xml:space="preserve">there </w:t>
      </w:r>
      <w:r w:rsidR="00CE0E1F">
        <w:t>will</w:t>
      </w:r>
      <w:r w:rsidR="00BD4403">
        <w:t xml:space="preserve"> be a “death spiral” </w:t>
      </w:r>
      <w:r w:rsidR="00910683">
        <w:t xml:space="preserve">due to the elimination of gas line extension subsidies </w:t>
      </w:r>
      <w:r w:rsidR="00BD4403">
        <w:t xml:space="preserve">that leads to an unreliable and unsafe utility system, as discussed more </w:t>
      </w:r>
      <w:r w:rsidR="00CB31BD">
        <w:t xml:space="preserve">fully </w:t>
      </w:r>
      <w:r w:rsidR="00BD4403">
        <w:t xml:space="preserve">below. </w:t>
      </w:r>
    </w:p>
    <w:p w:rsidRPr="00DC578C" w:rsidR="00A15765" w:rsidP="00F34584" w:rsidRDefault="00C86D71" w14:paraId="068B9888" w14:textId="0C434D26">
      <w:pPr>
        <w:autoSpaceDE w:val="0"/>
        <w:autoSpaceDN w:val="0"/>
        <w:adjustRightInd w:val="0"/>
        <w:spacing w:line="360" w:lineRule="auto"/>
        <w:ind w:firstLine="720"/>
      </w:pPr>
      <w:r>
        <w:t>Rather</w:t>
      </w:r>
      <w:r w:rsidR="008E33CB">
        <w:t xml:space="preserve">, eliminating gas line extension incentives </w:t>
      </w:r>
      <w:r w:rsidR="0063649E">
        <w:t xml:space="preserve">will send </w:t>
      </w:r>
      <w:r w:rsidR="00E66E29">
        <w:t xml:space="preserve">a </w:t>
      </w:r>
      <w:r w:rsidR="0063649E">
        <w:t xml:space="preserve">price </w:t>
      </w:r>
      <w:r w:rsidRPr="00055AF0" w:rsidR="00055AF0">
        <w:t xml:space="preserve">signal that building new gas infrastructure is more expensive, </w:t>
      </w:r>
      <w:r w:rsidR="00B14457">
        <w:t xml:space="preserve">thus </w:t>
      </w:r>
      <w:r w:rsidRPr="00055AF0" w:rsidR="00055AF0">
        <w:t>mak</w:t>
      </w:r>
      <w:r w:rsidR="00E52941">
        <w:t>ing</w:t>
      </w:r>
      <w:r w:rsidR="009B01B3">
        <w:t xml:space="preserve"> </w:t>
      </w:r>
      <w:r w:rsidRPr="00055AF0" w:rsidR="00055AF0">
        <w:t xml:space="preserve">dual fuel new construction less desirable and financially riskier. As such, </w:t>
      </w:r>
      <w:r w:rsidR="00E52941">
        <w:t>there would be a</w:t>
      </w:r>
      <w:r w:rsidRPr="00055AF0" w:rsidR="00055AF0">
        <w:t xml:space="preserve"> </w:t>
      </w:r>
      <w:r w:rsidRPr="00055AF0" w:rsidR="00055AF0">
        <w:lastRenderedPageBreak/>
        <w:t>gravitat</w:t>
      </w:r>
      <w:r w:rsidR="00E52941">
        <w:t>ion t</w:t>
      </w:r>
      <w:r w:rsidRPr="00055AF0" w:rsidR="00055AF0">
        <w:t>oward all</w:t>
      </w:r>
      <w:r w:rsidR="00513B3F">
        <w:noBreakHyphen/>
      </w:r>
      <w:r w:rsidRPr="00A11A53" w:rsidR="00055AF0">
        <w:t xml:space="preserve">electric new construction, </w:t>
      </w:r>
      <w:r w:rsidR="00044CCC">
        <w:t xml:space="preserve">leading to all the benefits described above, </w:t>
      </w:r>
      <w:r w:rsidRPr="00A11A53" w:rsidR="00F80F09">
        <w:t>help</w:t>
      </w:r>
      <w:r w:rsidR="00044CCC">
        <w:t>ing</w:t>
      </w:r>
      <w:r w:rsidRPr="00A11A53" w:rsidR="00F80F09">
        <w:t xml:space="preserve"> </w:t>
      </w:r>
      <w:r w:rsidRPr="00A11A53" w:rsidR="00243409">
        <w:t>California</w:t>
      </w:r>
      <w:r w:rsidRPr="00A11A53" w:rsidR="00F80F09">
        <w:t xml:space="preserve"> meet </w:t>
      </w:r>
      <w:r w:rsidRPr="00A11A53" w:rsidR="00B64B94">
        <w:t>its</w:t>
      </w:r>
      <w:r w:rsidRPr="00A11A53" w:rsidR="00F60307">
        <w:t xml:space="preserve"> </w:t>
      </w:r>
      <w:r w:rsidRPr="00DC578C" w:rsidR="00243409">
        <w:t>decarbonization goals.</w:t>
      </w:r>
      <w:r w:rsidR="00901E7F">
        <w:t xml:space="preserve"> </w:t>
      </w:r>
      <w:r w:rsidR="00653128">
        <w:t>We conclude that th</w:t>
      </w:r>
      <w:r w:rsidR="00B74132">
        <w:t>es</w:t>
      </w:r>
      <w:r w:rsidR="00FC4F30">
        <w:t>e</w:t>
      </w:r>
      <w:r w:rsidR="00653128">
        <w:t xml:space="preserve"> benefit</w:t>
      </w:r>
      <w:r w:rsidR="00FC4F30">
        <w:t>s</w:t>
      </w:r>
      <w:r w:rsidR="00653128">
        <w:t xml:space="preserve"> outweigh </w:t>
      </w:r>
      <w:r w:rsidR="00C242A3">
        <w:t>any</w:t>
      </w:r>
      <w:r w:rsidR="005A006A">
        <w:t xml:space="preserve"> </w:t>
      </w:r>
      <w:r w:rsidR="00653128">
        <w:t>concerns about a hypothetical “death spiral”</w:t>
      </w:r>
      <w:r w:rsidR="00B931DF">
        <w:t xml:space="preserve"> due to the decisions we make here. </w:t>
      </w:r>
    </w:p>
    <w:p w:rsidR="006929B0" w:rsidP="00F42AEA" w:rsidRDefault="001B75A2" w14:paraId="64E6F4F9" w14:textId="70B3093F">
      <w:pPr>
        <w:pStyle w:val="Heading4"/>
      </w:pPr>
      <w:r>
        <w:t xml:space="preserve">The Elimination of Residential Gas Line Subsidies </w:t>
      </w:r>
      <w:r w:rsidRPr="00F42AEA" w:rsidR="00664C83">
        <w:t xml:space="preserve">Maintains </w:t>
      </w:r>
      <w:r w:rsidRPr="00F42AEA" w:rsidR="004E0A7F">
        <w:t xml:space="preserve">Gas System </w:t>
      </w:r>
      <w:r w:rsidRPr="00F42AEA" w:rsidR="005139D1">
        <w:t>Reliability</w:t>
      </w:r>
      <w:r w:rsidRPr="00F42AEA" w:rsidR="005D268F">
        <w:t xml:space="preserve"> and Safety</w:t>
      </w:r>
      <w:r w:rsidR="009705F0">
        <w:t xml:space="preserve"> </w:t>
      </w:r>
    </w:p>
    <w:p w:rsidR="008B6D1F" w:rsidP="00DD30AD" w:rsidRDefault="00DD30AD" w14:paraId="7AC1401C" w14:textId="774D208F">
      <w:pPr>
        <w:autoSpaceDE w:val="0"/>
        <w:autoSpaceDN w:val="0"/>
        <w:adjustRightInd w:val="0"/>
        <w:spacing w:line="360" w:lineRule="auto"/>
        <w:ind w:firstLine="720"/>
      </w:pPr>
      <w:r>
        <w:t xml:space="preserve">CCUE argues that the elimination of the gas line subsidies will lead to </w:t>
      </w:r>
      <w:r w:rsidR="005748F0">
        <w:t xml:space="preserve">fewer </w:t>
      </w:r>
      <w:r>
        <w:t>gas customers</w:t>
      </w:r>
      <w:r w:rsidR="00842172">
        <w:t xml:space="preserve"> and higher rates</w:t>
      </w:r>
      <w:r w:rsidR="00705B4E">
        <w:t xml:space="preserve">, </w:t>
      </w:r>
      <w:r>
        <w:t xml:space="preserve">putting the utilities at risk </w:t>
      </w:r>
      <w:r w:rsidR="001A4155">
        <w:t xml:space="preserve">of </w:t>
      </w:r>
      <w:r>
        <w:t>not having enough</w:t>
      </w:r>
      <w:r w:rsidRPr="00E6722E">
        <w:t xml:space="preserve"> revenue</w:t>
      </w:r>
      <w:r>
        <w:t xml:space="preserve"> </w:t>
      </w:r>
      <w:r w:rsidRPr="00E6722E">
        <w:t>to cover the costs to pay</w:t>
      </w:r>
      <w:r w:rsidRPr="00E6722E">
        <w:rPr>
          <w:rFonts w:ascii="CenturySchoolbook" w:hAnsi="CenturySchoolbook" w:cs="CenturySchoolbook"/>
          <w:sz w:val="24"/>
          <w:szCs w:val="24"/>
        </w:rPr>
        <w:t xml:space="preserve"> </w:t>
      </w:r>
      <w:r w:rsidRPr="00E6722E">
        <w:t>workers to maintain the system</w:t>
      </w:r>
      <w:r>
        <w:t xml:space="preserve">, which leads to </w:t>
      </w:r>
      <w:r w:rsidRPr="00E6722E">
        <w:t>a less safe and less</w:t>
      </w:r>
      <w:r>
        <w:t xml:space="preserve"> </w:t>
      </w:r>
      <w:r w:rsidRPr="00E6722E">
        <w:t xml:space="preserve">reliable gas system. </w:t>
      </w:r>
      <w:r w:rsidR="00ED3700">
        <w:t xml:space="preserve">CCUE states that some </w:t>
      </w:r>
      <w:r w:rsidRPr="00E6722E" w:rsidR="00ED3700">
        <w:t>of the anticipated impacts include fewer leaks detected</w:t>
      </w:r>
      <w:r w:rsidR="00ED3700">
        <w:t xml:space="preserve"> </w:t>
      </w:r>
      <w:r w:rsidRPr="00E6722E" w:rsidR="00ED3700">
        <w:t>and repaired (impacting both safety and the climate), reduced customer response</w:t>
      </w:r>
      <w:r w:rsidR="00ED3700">
        <w:t xml:space="preserve"> </w:t>
      </w:r>
      <w:r w:rsidRPr="00E6722E" w:rsidR="00ED3700">
        <w:t>levels at call centers, extended response time from reconnections, longer service</w:t>
      </w:r>
      <w:r w:rsidR="00ED3700">
        <w:t xml:space="preserve"> </w:t>
      </w:r>
      <w:r w:rsidRPr="00E6722E" w:rsidR="00ED3700">
        <w:t>outages, deferred reliability maintenance projects, deferred gas pipeline</w:t>
      </w:r>
      <w:r w:rsidR="00ED3700">
        <w:t xml:space="preserve"> </w:t>
      </w:r>
      <w:r w:rsidRPr="00E6722E" w:rsidR="00ED3700">
        <w:t>replacements, and slower emergency response times.</w:t>
      </w:r>
      <w:r w:rsidR="00ED3700">
        <w:rPr>
          <w:rStyle w:val="FootnoteReference"/>
        </w:rPr>
        <w:footnoteReference w:id="76"/>
      </w:r>
      <w:r w:rsidR="00705194">
        <w:t xml:space="preserve"> </w:t>
      </w:r>
    </w:p>
    <w:p w:rsidR="00B037AE" w:rsidP="00DD30AD" w:rsidRDefault="00ED3700" w14:paraId="1A313A24" w14:textId="7DAFBBC6">
      <w:pPr>
        <w:autoSpaceDE w:val="0"/>
        <w:autoSpaceDN w:val="0"/>
        <w:adjustRightInd w:val="0"/>
        <w:spacing w:line="360" w:lineRule="auto"/>
        <w:ind w:firstLine="720"/>
      </w:pPr>
      <w:r>
        <w:t>CCUE’s concerns are misplaced.</w:t>
      </w:r>
      <w:r w:rsidR="00E40655">
        <w:t xml:space="preserve"> </w:t>
      </w:r>
      <w:r w:rsidR="00AD7726">
        <w:t xml:space="preserve">The Commission disagrees with CCUE </w:t>
      </w:r>
      <w:r w:rsidR="006A31B8">
        <w:t>that</w:t>
      </w:r>
      <w:r w:rsidR="00F56A2F">
        <w:t xml:space="preserve"> eliminating </w:t>
      </w:r>
      <w:r w:rsidR="00A77BC7">
        <w:t>gas line extension subsidies would adversely impact gas system reliability and safety.</w:t>
      </w:r>
      <w:r w:rsidR="00DE6A8E">
        <w:t xml:space="preserve"> </w:t>
      </w:r>
      <w:r w:rsidR="00107F20">
        <w:t>The Commission</w:t>
      </w:r>
      <w:r w:rsidR="00F5129F">
        <w:t xml:space="preserve">’s </w:t>
      </w:r>
      <w:r w:rsidR="009A24CC">
        <w:t xml:space="preserve">regulatory and </w:t>
      </w:r>
      <w:r w:rsidR="00F5129F">
        <w:t>ratemaking process</w:t>
      </w:r>
      <w:r w:rsidR="00107F20">
        <w:t xml:space="preserve"> consistently ensure</w:t>
      </w:r>
      <w:r w:rsidR="009A24CC">
        <w:t>s</w:t>
      </w:r>
      <w:r w:rsidR="00107F20">
        <w:t xml:space="preserve"> </w:t>
      </w:r>
      <w:r w:rsidR="00D56E83">
        <w:t xml:space="preserve">that </w:t>
      </w:r>
      <w:r w:rsidR="00107F20">
        <w:t xml:space="preserve">utilities have </w:t>
      </w:r>
      <w:r w:rsidR="009A24CC">
        <w:t>sufficient</w:t>
      </w:r>
      <w:r w:rsidR="00BA2CC9">
        <w:t xml:space="preserve"> resources</w:t>
      </w:r>
      <w:r w:rsidR="004B54B0">
        <w:t xml:space="preserve"> to </w:t>
      </w:r>
      <w:r w:rsidR="00695EB6">
        <w:t xml:space="preserve">operate and </w:t>
      </w:r>
      <w:r w:rsidR="004B54B0">
        <w:t>maintain a safe and reliable system</w:t>
      </w:r>
      <w:r w:rsidR="00827ED1">
        <w:t>,</w:t>
      </w:r>
      <w:r w:rsidR="00B037AE">
        <w:t xml:space="preserve"> </w:t>
      </w:r>
      <w:r w:rsidR="00BD1227">
        <w:t>and minimize rate impacts</w:t>
      </w:r>
      <w:r w:rsidR="005D3A1D">
        <w:t xml:space="preserve">. </w:t>
      </w:r>
      <w:r w:rsidR="006A3942">
        <w:t>The utilities</w:t>
      </w:r>
      <w:r w:rsidR="00AD6A14">
        <w:t xml:space="preserve">’ revenue requirement </w:t>
      </w:r>
      <w:r w:rsidR="008565DF">
        <w:t>covers</w:t>
      </w:r>
      <w:r w:rsidR="00AD6A14">
        <w:t xml:space="preserve"> </w:t>
      </w:r>
      <w:r w:rsidR="00B01E31">
        <w:t>worker</w:t>
      </w:r>
      <w:r w:rsidR="004D0405">
        <w:t xml:space="preserve"> </w:t>
      </w:r>
      <w:r w:rsidR="00AD6A14">
        <w:t>compensation</w:t>
      </w:r>
      <w:r w:rsidR="008565DF">
        <w:t xml:space="preserve">, </w:t>
      </w:r>
      <w:r w:rsidR="003D438D">
        <w:t>essential</w:t>
      </w:r>
      <w:r w:rsidR="008565DF">
        <w:t xml:space="preserve"> work</w:t>
      </w:r>
      <w:r w:rsidR="004E378D">
        <w:t xml:space="preserve"> </w:t>
      </w:r>
      <w:r w:rsidR="00AC5859">
        <w:t>including</w:t>
      </w:r>
      <w:r w:rsidR="003F1F42">
        <w:t xml:space="preserve"> </w:t>
      </w:r>
      <w:r w:rsidR="00271273">
        <w:t>leak detections</w:t>
      </w:r>
      <w:r w:rsidR="00AC5859">
        <w:t xml:space="preserve"> and</w:t>
      </w:r>
      <w:r w:rsidR="00271273">
        <w:t xml:space="preserve"> leak repairs, </w:t>
      </w:r>
      <w:r w:rsidR="00F02ABE">
        <w:t xml:space="preserve">appropriate </w:t>
      </w:r>
      <w:r w:rsidR="003C68A7">
        <w:t xml:space="preserve">customer response levels at call centers, </w:t>
      </w:r>
      <w:r w:rsidR="00F86E7D">
        <w:t xml:space="preserve">reasonable </w:t>
      </w:r>
      <w:r w:rsidR="003C68A7">
        <w:t xml:space="preserve">response times, </w:t>
      </w:r>
      <w:r w:rsidR="00CA1E54">
        <w:t xml:space="preserve">minimizing </w:t>
      </w:r>
      <w:r w:rsidR="003C68A7">
        <w:t xml:space="preserve">service outages, </w:t>
      </w:r>
      <w:r w:rsidR="00E42934">
        <w:t xml:space="preserve">not deferring </w:t>
      </w:r>
      <w:r w:rsidR="00D95FD6">
        <w:t xml:space="preserve">projects </w:t>
      </w:r>
      <w:r w:rsidR="00EF2FEA">
        <w:lastRenderedPageBreak/>
        <w:t xml:space="preserve">that are </w:t>
      </w:r>
      <w:r w:rsidR="00D95FD6">
        <w:t xml:space="preserve">necessary </w:t>
      </w:r>
      <w:r w:rsidR="00EF2FEA">
        <w:t>for</w:t>
      </w:r>
      <w:r w:rsidR="00D95FD6">
        <w:t xml:space="preserve"> reliability, </w:t>
      </w:r>
      <w:r w:rsidR="00E42934">
        <w:t xml:space="preserve">not deferring </w:t>
      </w:r>
      <w:r w:rsidR="00D95FD6">
        <w:t xml:space="preserve">replacements, and </w:t>
      </w:r>
      <w:r w:rsidR="002E4886">
        <w:t xml:space="preserve">maintaining </w:t>
      </w:r>
      <w:r w:rsidR="00E55637">
        <w:t xml:space="preserve">responsible </w:t>
      </w:r>
      <w:r w:rsidR="00D95FD6">
        <w:t xml:space="preserve">emergency response times. </w:t>
      </w:r>
      <w:r w:rsidR="0002737D">
        <w:t>There is no credible evidence that the authorized revenue requirements have been, or will be, inadequate to maintain safe and reliable</w:t>
      </w:r>
      <w:r w:rsidR="00FB4047">
        <w:t xml:space="preserve"> gas</w:t>
      </w:r>
      <w:r w:rsidR="0002737D">
        <w:t xml:space="preserve"> systems. </w:t>
      </w:r>
      <w:r w:rsidR="00E55637">
        <w:t>And there is certainly no evidence that utilities will not apply for</w:t>
      </w:r>
      <w:r w:rsidR="005D438C">
        <w:t xml:space="preserve"> additional</w:t>
      </w:r>
      <w:r w:rsidR="009607A2">
        <w:t xml:space="preserve"> </w:t>
      </w:r>
      <w:r w:rsidR="009C0F7B">
        <w:t>funding</w:t>
      </w:r>
      <w:r w:rsidR="00E55637">
        <w:t xml:space="preserve"> as and when necessary. </w:t>
      </w:r>
      <w:r w:rsidR="00AB72BC">
        <w:t xml:space="preserve">In setting the overall revenue requirement, </w:t>
      </w:r>
      <w:r w:rsidR="00BA7F36">
        <w:t>the</w:t>
      </w:r>
      <w:r w:rsidR="00DA5A51">
        <w:t xml:space="preserve"> </w:t>
      </w:r>
      <w:r w:rsidR="004B54B0">
        <w:t xml:space="preserve">Commission does not micromanage how utilities spend their authorized revenue. </w:t>
      </w:r>
      <w:r w:rsidR="00DA5A51">
        <w:t xml:space="preserve">Utility managements are responsible for </w:t>
      </w:r>
      <w:r w:rsidR="00BA7F36">
        <w:t xml:space="preserve">allocating the </w:t>
      </w:r>
      <w:r w:rsidR="00691790">
        <w:t xml:space="preserve">authorized </w:t>
      </w:r>
      <w:r w:rsidR="00BA7F36">
        <w:t xml:space="preserve">revenue </w:t>
      </w:r>
      <w:r w:rsidR="00831ACE">
        <w:t xml:space="preserve">(with limited exceptions) </w:t>
      </w:r>
      <w:r w:rsidR="00BA7F36">
        <w:t>to meet all requirements of the utility system</w:t>
      </w:r>
      <w:r w:rsidR="00333F52">
        <w:t xml:space="preserve">, and apply for </w:t>
      </w:r>
      <w:r w:rsidR="007D65BD">
        <w:t xml:space="preserve">additional </w:t>
      </w:r>
      <w:r w:rsidR="005F4FD4">
        <w:t>funding</w:t>
      </w:r>
      <w:r w:rsidR="00333F52">
        <w:t xml:space="preserve"> when necessary. </w:t>
      </w:r>
    </w:p>
    <w:p w:rsidRPr="005139D1" w:rsidR="00DD30AD" w:rsidP="00DB4749" w:rsidRDefault="00723669" w14:paraId="16118E97" w14:textId="63D55835">
      <w:pPr>
        <w:autoSpaceDE w:val="0"/>
        <w:autoSpaceDN w:val="0"/>
        <w:adjustRightInd w:val="0"/>
        <w:spacing w:line="360" w:lineRule="auto"/>
        <w:ind w:firstLine="720"/>
      </w:pPr>
      <w:r>
        <w:t>But let there be no misunderstanding</w:t>
      </w:r>
      <w:r w:rsidR="00C433C2">
        <w:t>,</w:t>
      </w:r>
      <w:r>
        <w:t xml:space="preserve"> </w:t>
      </w:r>
      <w:r w:rsidR="00C433C2">
        <w:t>s</w:t>
      </w:r>
      <w:r>
        <w:t>afe and reliable service</w:t>
      </w:r>
      <w:r w:rsidR="00062FCB">
        <w:t>s</w:t>
      </w:r>
      <w:r>
        <w:t xml:space="preserve"> </w:t>
      </w:r>
      <w:r w:rsidR="0085056A">
        <w:t>of</w:t>
      </w:r>
      <w:r w:rsidR="00333F52">
        <w:t xml:space="preserve"> the utilities </w:t>
      </w:r>
      <w:r w:rsidR="000D2C98">
        <w:t xml:space="preserve">the Commission </w:t>
      </w:r>
      <w:r w:rsidR="00333F52">
        <w:t xml:space="preserve">regulate </w:t>
      </w:r>
      <w:r>
        <w:t xml:space="preserve">is </w:t>
      </w:r>
      <w:r w:rsidR="000D2C98">
        <w:t xml:space="preserve">our </w:t>
      </w:r>
      <w:r w:rsidR="005305D1">
        <w:t xml:space="preserve">top priority. </w:t>
      </w:r>
      <w:r w:rsidR="005D344D">
        <w:t>We disagree that the</w:t>
      </w:r>
      <w:r w:rsidR="0077066A">
        <w:t xml:space="preserve"> changes we </w:t>
      </w:r>
      <w:r w:rsidR="00E44505">
        <w:t xml:space="preserve">make in this decision </w:t>
      </w:r>
      <w:r w:rsidR="0077066A">
        <w:t xml:space="preserve">compromises that </w:t>
      </w:r>
      <w:r w:rsidR="005D344D">
        <w:t>priority</w:t>
      </w:r>
      <w:r w:rsidR="009733E5">
        <w:t xml:space="preserve"> in any manner</w:t>
      </w:r>
      <w:r w:rsidR="0077066A">
        <w:t>.</w:t>
      </w:r>
      <w:r w:rsidR="004D78B7">
        <w:t xml:space="preserve"> </w:t>
      </w:r>
    </w:p>
    <w:p w:rsidRPr="00DC578C" w:rsidR="00883DA7" w:rsidP="007C2EF4" w:rsidRDefault="001915CB" w14:paraId="5147333D" w14:textId="66CD6092">
      <w:pPr>
        <w:pStyle w:val="Heading3"/>
      </w:pPr>
      <w:bookmarkStart w:name="_Toc109376115" w:id="104"/>
      <w:bookmarkStart w:name="_Toc109141147" w:id="105"/>
      <w:bookmarkStart w:name="_Toc110598567" w:id="106"/>
      <w:r w:rsidRPr="00DC578C">
        <w:t>Eliminat</w:t>
      </w:r>
      <w:r>
        <w:t>ion of</w:t>
      </w:r>
      <w:r w:rsidRPr="00DC578C" w:rsidR="00800650">
        <w:t xml:space="preserve"> </w:t>
      </w:r>
      <w:r w:rsidRPr="00DC578C" w:rsidR="00883DA7">
        <w:t xml:space="preserve">Gas Line Subsidies for Residential Customers </w:t>
      </w:r>
      <w:r w:rsidR="00245640">
        <w:t>T</w:t>
      </w:r>
      <w:r w:rsidRPr="00DC578C" w:rsidR="00883DA7">
        <w:t xml:space="preserve">hrough a Phased Approach: </w:t>
      </w:r>
      <w:r w:rsidRPr="00736370" w:rsidR="00883DA7">
        <w:t>Denied</w:t>
      </w:r>
      <w:bookmarkEnd w:id="104"/>
      <w:bookmarkEnd w:id="105"/>
      <w:bookmarkEnd w:id="106"/>
    </w:p>
    <w:p w:rsidR="003D16BE" w:rsidP="00996303" w:rsidRDefault="00C82488" w14:paraId="04DD9CEA" w14:textId="1169E924">
      <w:pPr>
        <w:pStyle w:val="Standard"/>
        <w:rPr>
          <w:szCs w:val="26"/>
        </w:rPr>
      </w:pPr>
      <w:r w:rsidRPr="00C82488">
        <w:t xml:space="preserve">This decision denies the </w:t>
      </w:r>
      <w:r w:rsidRPr="00C82488" w:rsidR="007177A4">
        <w:t>Joint IOUs</w:t>
      </w:r>
      <w:r w:rsidRPr="00C82488">
        <w:t xml:space="preserve">’ proposal to eliminate the gas line subsidies through a phased, or delayed, approach. </w:t>
      </w:r>
      <w:r w:rsidR="00573B6E">
        <w:t>The Joint IOUs argue that</w:t>
      </w:r>
      <w:r w:rsidR="00930F50">
        <w:t>:</w:t>
      </w:r>
      <w:r w:rsidR="00573B6E">
        <w:t xml:space="preserve"> </w:t>
      </w:r>
      <w:r w:rsidR="00F05F01">
        <w:t>(</w:t>
      </w:r>
      <w:r w:rsidR="00DA6D4B">
        <w:rPr>
          <w:szCs w:val="26"/>
        </w:rPr>
        <w:t>1</w:t>
      </w:r>
      <w:r w:rsidR="00C2048E">
        <w:rPr>
          <w:szCs w:val="26"/>
        </w:rPr>
        <w:t>)</w:t>
      </w:r>
      <w:r w:rsidR="00513B3F">
        <w:rPr>
          <w:szCs w:val="26"/>
        </w:rPr>
        <w:t> </w:t>
      </w:r>
      <w:r w:rsidR="00C2048E">
        <w:rPr>
          <w:szCs w:val="26"/>
        </w:rPr>
        <w:t>r</w:t>
      </w:r>
      <w:r w:rsidRPr="009E009C" w:rsidR="00C2048E">
        <w:rPr>
          <w:szCs w:val="26"/>
        </w:rPr>
        <w:t xml:space="preserve">emoving </w:t>
      </w:r>
      <w:r w:rsidR="00C2048E">
        <w:rPr>
          <w:szCs w:val="26"/>
        </w:rPr>
        <w:t>the gas line subsid</w:t>
      </w:r>
      <w:r w:rsidR="00674E25">
        <w:rPr>
          <w:szCs w:val="26"/>
        </w:rPr>
        <w:t>i</w:t>
      </w:r>
      <w:r w:rsidR="00C2048E">
        <w:rPr>
          <w:szCs w:val="26"/>
        </w:rPr>
        <w:t xml:space="preserve">es </w:t>
      </w:r>
      <w:r w:rsidRPr="009E009C" w:rsidR="00C2048E">
        <w:rPr>
          <w:szCs w:val="26"/>
        </w:rPr>
        <w:t>too quickly could result in a near</w:t>
      </w:r>
      <w:r w:rsidR="00513B3F">
        <w:rPr>
          <w:szCs w:val="26"/>
        </w:rPr>
        <w:noBreakHyphen/>
      </w:r>
      <w:r w:rsidRPr="009E009C" w:rsidR="00C2048E">
        <w:rPr>
          <w:szCs w:val="26"/>
        </w:rPr>
        <w:t>term</w:t>
      </w:r>
      <w:r w:rsidR="00C2048E">
        <w:rPr>
          <w:szCs w:val="26"/>
        </w:rPr>
        <w:t xml:space="preserve"> </w:t>
      </w:r>
      <w:r w:rsidRPr="009E009C" w:rsidR="00C2048E">
        <w:rPr>
          <w:szCs w:val="26"/>
        </w:rPr>
        <w:t>increase in gas rates if the proposed changes substantially reduce the number of new connections</w:t>
      </w:r>
      <w:r w:rsidR="00C2048E">
        <w:rPr>
          <w:szCs w:val="26"/>
        </w:rPr>
        <w:t xml:space="preserve"> </w:t>
      </w:r>
      <w:r w:rsidRPr="009E009C" w:rsidR="00C2048E">
        <w:rPr>
          <w:szCs w:val="26"/>
        </w:rPr>
        <w:t xml:space="preserve">relative to the forecasts within the utilities’ approved and ongoing ratemaking </w:t>
      </w:r>
      <w:r w:rsidRPr="00F43FE5" w:rsidR="00C2048E">
        <w:rPr>
          <w:szCs w:val="26"/>
        </w:rPr>
        <w:t xml:space="preserve">proceedings; </w:t>
      </w:r>
      <w:r w:rsidR="009448CD">
        <w:rPr>
          <w:szCs w:val="26"/>
        </w:rPr>
        <w:t>(</w:t>
      </w:r>
      <w:r w:rsidR="00DA6D4B">
        <w:rPr>
          <w:szCs w:val="26"/>
        </w:rPr>
        <w:t>2</w:t>
      </w:r>
      <w:r w:rsidRPr="00F43FE5" w:rsidR="00C2048E">
        <w:rPr>
          <w:szCs w:val="26"/>
        </w:rPr>
        <w:t>)</w:t>
      </w:r>
      <w:r w:rsidR="00513B3F">
        <w:rPr>
          <w:szCs w:val="26"/>
        </w:rPr>
        <w:t> </w:t>
      </w:r>
      <w:r w:rsidRPr="00F43FE5" w:rsidR="00C2048E">
        <w:rPr>
          <w:szCs w:val="26"/>
        </w:rPr>
        <w:t>gas utilities have varying schedules for their ratemaking proceedings so a utility</w:t>
      </w:r>
      <w:r w:rsidR="00513B3F">
        <w:rPr>
          <w:szCs w:val="26"/>
        </w:rPr>
        <w:noBreakHyphen/>
      </w:r>
      <w:r w:rsidRPr="00F43FE5" w:rsidR="00C2048E">
        <w:rPr>
          <w:szCs w:val="26"/>
        </w:rPr>
        <w:t>specific phase</w:t>
      </w:r>
      <w:r w:rsidR="00513B3F">
        <w:rPr>
          <w:szCs w:val="26"/>
        </w:rPr>
        <w:noBreakHyphen/>
      </w:r>
      <w:r w:rsidRPr="00F43FE5" w:rsidR="00C2048E">
        <w:rPr>
          <w:szCs w:val="26"/>
        </w:rPr>
        <w:t xml:space="preserve">in may be appropriate; </w:t>
      </w:r>
      <w:r w:rsidR="009448CD">
        <w:rPr>
          <w:szCs w:val="26"/>
        </w:rPr>
        <w:t>(</w:t>
      </w:r>
      <w:r w:rsidR="00DA6D4B">
        <w:rPr>
          <w:szCs w:val="26"/>
        </w:rPr>
        <w:t>3</w:t>
      </w:r>
      <w:r w:rsidRPr="00F43FE5" w:rsidR="00C2048E">
        <w:rPr>
          <w:szCs w:val="26"/>
        </w:rPr>
        <w:t>)</w:t>
      </w:r>
      <w:r w:rsidR="00513B3F">
        <w:rPr>
          <w:szCs w:val="26"/>
        </w:rPr>
        <w:t> </w:t>
      </w:r>
      <w:r w:rsidRPr="00F43FE5" w:rsidR="00C2048E">
        <w:rPr>
          <w:szCs w:val="26"/>
        </w:rPr>
        <w:t xml:space="preserve">customers will have time to account for increased project costs; and </w:t>
      </w:r>
      <w:r w:rsidR="009448CD">
        <w:rPr>
          <w:szCs w:val="26"/>
        </w:rPr>
        <w:t>(</w:t>
      </w:r>
      <w:r w:rsidR="00DA6D4B">
        <w:rPr>
          <w:szCs w:val="26"/>
        </w:rPr>
        <w:t>4</w:t>
      </w:r>
      <w:r w:rsidRPr="00F43FE5" w:rsidR="00C2048E">
        <w:rPr>
          <w:szCs w:val="26"/>
        </w:rPr>
        <w:t>)</w:t>
      </w:r>
      <w:r w:rsidR="00513B3F">
        <w:rPr>
          <w:szCs w:val="26"/>
        </w:rPr>
        <w:t> </w:t>
      </w:r>
      <w:r w:rsidRPr="009E009C" w:rsidR="00C2048E">
        <w:rPr>
          <w:szCs w:val="26"/>
        </w:rPr>
        <w:t xml:space="preserve">utilities </w:t>
      </w:r>
      <w:r w:rsidR="00C2048E">
        <w:rPr>
          <w:szCs w:val="26"/>
        </w:rPr>
        <w:t xml:space="preserve">will have time </w:t>
      </w:r>
      <w:r w:rsidRPr="009E009C" w:rsidR="00C2048E">
        <w:rPr>
          <w:szCs w:val="26"/>
        </w:rPr>
        <w:t xml:space="preserve">to study the impact </w:t>
      </w:r>
      <w:r w:rsidR="00C2048E">
        <w:rPr>
          <w:szCs w:val="26"/>
        </w:rPr>
        <w:t>to its</w:t>
      </w:r>
      <w:r w:rsidRPr="009E009C" w:rsidR="00C2048E">
        <w:rPr>
          <w:szCs w:val="26"/>
        </w:rPr>
        <w:t xml:space="preserve"> electric load profile and </w:t>
      </w:r>
      <w:r w:rsidRPr="009E009C" w:rsidR="00C2048E">
        <w:rPr>
          <w:szCs w:val="26"/>
        </w:rPr>
        <w:lastRenderedPageBreak/>
        <w:t>generation needs to ensure the</w:t>
      </w:r>
      <w:r w:rsidR="00C2048E">
        <w:rPr>
          <w:szCs w:val="26"/>
        </w:rPr>
        <w:t xml:space="preserve"> </w:t>
      </w:r>
      <w:r w:rsidRPr="009E009C" w:rsidR="00C2048E">
        <w:rPr>
          <w:szCs w:val="26"/>
        </w:rPr>
        <w:t>safety and reliability of services.</w:t>
      </w:r>
      <w:r w:rsidR="00C2048E">
        <w:rPr>
          <w:rStyle w:val="FootnoteReference"/>
          <w:szCs w:val="26"/>
        </w:rPr>
        <w:footnoteReference w:id="77"/>
      </w:r>
      <w:r w:rsidR="00C2048E">
        <w:rPr>
          <w:szCs w:val="26"/>
        </w:rPr>
        <w:t xml:space="preserve"> </w:t>
      </w:r>
      <w:r w:rsidR="00DA6D4B">
        <w:rPr>
          <w:szCs w:val="26"/>
        </w:rPr>
        <w:t xml:space="preserve">The </w:t>
      </w:r>
      <w:r w:rsidR="00C02BC1">
        <w:rPr>
          <w:szCs w:val="26"/>
        </w:rPr>
        <w:t xml:space="preserve">Joint </w:t>
      </w:r>
      <w:r w:rsidR="00BF590F">
        <w:rPr>
          <w:szCs w:val="26"/>
        </w:rPr>
        <w:t>IOUs</w:t>
      </w:r>
      <w:r w:rsidR="00F84EC4">
        <w:rPr>
          <w:szCs w:val="26"/>
        </w:rPr>
        <w:t xml:space="preserve"> </w:t>
      </w:r>
      <w:r w:rsidR="00C02BC1">
        <w:rPr>
          <w:szCs w:val="26"/>
        </w:rPr>
        <w:t xml:space="preserve">recommend a workshop to explore these issues in more detail. </w:t>
      </w:r>
    </w:p>
    <w:p w:rsidR="00D65FC7" w:rsidP="00996303" w:rsidRDefault="009C744B" w14:paraId="2BFCC520" w14:textId="5C6A5ABF">
      <w:pPr>
        <w:pStyle w:val="Standard"/>
        <w:rPr>
          <w:szCs w:val="26"/>
        </w:rPr>
      </w:pPr>
      <w:r>
        <w:rPr>
          <w:szCs w:val="26"/>
        </w:rPr>
        <w:t>The Commission is</w:t>
      </w:r>
      <w:r w:rsidR="00E10E5B">
        <w:rPr>
          <w:szCs w:val="26"/>
        </w:rPr>
        <w:t xml:space="preserve"> not convinced by the Joint </w:t>
      </w:r>
      <w:r w:rsidR="00213EC1">
        <w:rPr>
          <w:szCs w:val="26"/>
        </w:rPr>
        <w:t>IOUs’</w:t>
      </w:r>
      <w:r w:rsidR="00E10E5B">
        <w:rPr>
          <w:szCs w:val="26"/>
        </w:rPr>
        <w:t xml:space="preserve"> </w:t>
      </w:r>
      <w:r w:rsidR="00B04708">
        <w:rPr>
          <w:szCs w:val="26"/>
        </w:rPr>
        <w:t xml:space="preserve">arguments for a phased approach. </w:t>
      </w:r>
      <w:r w:rsidR="003D16BE">
        <w:rPr>
          <w:szCs w:val="26"/>
        </w:rPr>
        <w:t>Rather, we a</w:t>
      </w:r>
      <w:r w:rsidR="003D16BE">
        <w:t xml:space="preserve">gree with SCE that </w:t>
      </w:r>
      <w:r w:rsidRPr="00B94561" w:rsidR="003D16BE">
        <w:t xml:space="preserve">we must pursue carbon neutrality with unprecedented urgency and </w:t>
      </w:r>
      <w:r w:rsidR="003D16BE">
        <w:t>c</w:t>
      </w:r>
      <w:r w:rsidRPr="00B94561" w:rsidR="003D16BE">
        <w:t>ommitment</w:t>
      </w:r>
      <w:r w:rsidR="003D16BE">
        <w:t xml:space="preserve"> as </w:t>
      </w:r>
      <w:r w:rsidRPr="00B94561" w:rsidR="003D16BE">
        <w:t>California is already behind</w:t>
      </w:r>
      <w:r w:rsidR="003D16BE">
        <w:t xml:space="preserve"> </w:t>
      </w:r>
      <w:r w:rsidRPr="00B94561" w:rsidR="003D16BE">
        <w:t>in meeting its 2030 emission reduction targets.</w:t>
      </w:r>
      <w:r w:rsidRPr="00263470" w:rsidR="00173754">
        <w:rPr>
          <w:vertAlign w:val="superscript"/>
        </w:rPr>
        <w:footnoteReference w:id="78"/>
      </w:r>
      <w:r w:rsidR="003D16BE">
        <w:t xml:space="preserve"> </w:t>
      </w:r>
    </w:p>
    <w:p w:rsidR="005434C4" w:rsidP="00996303" w:rsidRDefault="00834878" w14:paraId="0E656A52" w14:textId="476A0E17">
      <w:pPr>
        <w:pStyle w:val="Standard"/>
        <w:rPr>
          <w:szCs w:val="26"/>
        </w:rPr>
      </w:pPr>
      <w:r>
        <w:rPr>
          <w:szCs w:val="26"/>
        </w:rPr>
        <w:t xml:space="preserve">The Joint IOUs </w:t>
      </w:r>
      <w:r w:rsidR="003C2B93">
        <w:rPr>
          <w:szCs w:val="26"/>
        </w:rPr>
        <w:t xml:space="preserve">do not </w:t>
      </w:r>
      <w:r>
        <w:rPr>
          <w:szCs w:val="26"/>
        </w:rPr>
        <w:t xml:space="preserve">provide </w:t>
      </w:r>
      <w:r w:rsidR="003C2B93">
        <w:rPr>
          <w:szCs w:val="26"/>
        </w:rPr>
        <w:t xml:space="preserve">a </w:t>
      </w:r>
      <w:r w:rsidR="00330A42">
        <w:rPr>
          <w:szCs w:val="26"/>
        </w:rPr>
        <w:t xml:space="preserve">detailed </w:t>
      </w:r>
      <w:r w:rsidR="00B04708">
        <w:rPr>
          <w:szCs w:val="26"/>
        </w:rPr>
        <w:t>plan for a phase</w:t>
      </w:r>
      <w:r w:rsidR="00D50E05">
        <w:rPr>
          <w:szCs w:val="26"/>
        </w:rPr>
        <w:t>d</w:t>
      </w:r>
      <w:r w:rsidR="00B04708">
        <w:rPr>
          <w:szCs w:val="26"/>
        </w:rPr>
        <w:t xml:space="preserve"> approach </w:t>
      </w:r>
      <w:r w:rsidR="00330A42">
        <w:rPr>
          <w:szCs w:val="26"/>
        </w:rPr>
        <w:t xml:space="preserve">(other than a recommendation to </w:t>
      </w:r>
      <w:r w:rsidR="00565CC8">
        <w:rPr>
          <w:szCs w:val="26"/>
        </w:rPr>
        <w:t xml:space="preserve">simply </w:t>
      </w:r>
      <w:r w:rsidR="00330A42">
        <w:rPr>
          <w:szCs w:val="26"/>
        </w:rPr>
        <w:t>delay the elimination of the gas line subsidies)</w:t>
      </w:r>
      <w:r w:rsidR="003D7A8B">
        <w:rPr>
          <w:szCs w:val="26"/>
        </w:rPr>
        <w:t xml:space="preserve">. </w:t>
      </w:r>
      <w:r w:rsidR="00895E48">
        <w:rPr>
          <w:szCs w:val="26"/>
        </w:rPr>
        <w:t xml:space="preserve">Nonetheless, </w:t>
      </w:r>
      <w:r w:rsidR="00910F65">
        <w:rPr>
          <w:szCs w:val="26"/>
        </w:rPr>
        <w:t xml:space="preserve">the Commission </w:t>
      </w:r>
      <w:r w:rsidR="0077671F">
        <w:rPr>
          <w:szCs w:val="26"/>
        </w:rPr>
        <w:t>consider</w:t>
      </w:r>
      <w:r w:rsidR="00910F65">
        <w:rPr>
          <w:szCs w:val="26"/>
        </w:rPr>
        <w:t>s</w:t>
      </w:r>
      <w:r w:rsidR="0077671F">
        <w:rPr>
          <w:szCs w:val="26"/>
        </w:rPr>
        <w:t xml:space="preserve"> each </w:t>
      </w:r>
      <w:r w:rsidR="00CB0F6A">
        <w:rPr>
          <w:szCs w:val="26"/>
        </w:rPr>
        <w:t xml:space="preserve">of the Joint IOUs’ </w:t>
      </w:r>
      <w:r w:rsidR="0077671F">
        <w:rPr>
          <w:szCs w:val="26"/>
        </w:rPr>
        <w:t>claim</w:t>
      </w:r>
      <w:r w:rsidR="00CB0F6A">
        <w:rPr>
          <w:szCs w:val="26"/>
        </w:rPr>
        <w:t>s</w:t>
      </w:r>
      <w:r w:rsidR="00895E48">
        <w:rPr>
          <w:szCs w:val="26"/>
        </w:rPr>
        <w:t xml:space="preserve"> </w:t>
      </w:r>
      <w:r w:rsidR="005C46E7">
        <w:rPr>
          <w:szCs w:val="26"/>
        </w:rPr>
        <w:t xml:space="preserve">with the information we </w:t>
      </w:r>
      <w:r w:rsidR="00895E48">
        <w:rPr>
          <w:szCs w:val="26"/>
        </w:rPr>
        <w:t xml:space="preserve">do </w:t>
      </w:r>
      <w:r w:rsidR="005C46E7">
        <w:rPr>
          <w:szCs w:val="26"/>
        </w:rPr>
        <w:t xml:space="preserve">have </w:t>
      </w:r>
      <w:r w:rsidR="00895E48">
        <w:rPr>
          <w:szCs w:val="26"/>
        </w:rPr>
        <w:t xml:space="preserve">but do not </w:t>
      </w:r>
      <w:r w:rsidR="0077671F">
        <w:rPr>
          <w:szCs w:val="26"/>
        </w:rPr>
        <w:t xml:space="preserve">find </w:t>
      </w:r>
      <w:r w:rsidR="0094157A">
        <w:rPr>
          <w:szCs w:val="26"/>
        </w:rPr>
        <w:t xml:space="preserve">any </w:t>
      </w:r>
      <w:r w:rsidR="001222E4">
        <w:rPr>
          <w:szCs w:val="26"/>
        </w:rPr>
        <w:t xml:space="preserve">of them </w:t>
      </w:r>
      <w:r w:rsidR="0077671F">
        <w:rPr>
          <w:szCs w:val="26"/>
        </w:rPr>
        <w:t xml:space="preserve">convincing. </w:t>
      </w:r>
    </w:p>
    <w:p w:rsidR="005434C4" w:rsidP="00B9613C" w:rsidRDefault="00AA2AEE" w14:paraId="1C16A7EE" w14:textId="2721D41C">
      <w:pPr>
        <w:pStyle w:val="Standard"/>
      </w:pPr>
      <w:r>
        <w:rPr>
          <w:szCs w:val="26"/>
        </w:rPr>
        <w:t xml:space="preserve">The Commission </w:t>
      </w:r>
      <w:r w:rsidR="005434C4">
        <w:t>disagree</w:t>
      </w:r>
      <w:r>
        <w:t>s</w:t>
      </w:r>
      <w:r w:rsidR="0077671F">
        <w:t>, for example,</w:t>
      </w:r>
      <w:r w:rsidR="005434C4">
        <w:t xml:space="preserve"> that </w:t>
      </w:r>
      <w:r w:rsidR="00E01298">
        <w:t xml:space="preserve">eliminating </w:t>
      </w:r>
      <w:r w:rsidR="005434C4">
        <w:t>gas line subsidies now could result in unreasonable near</w:t>
      </w:r>
      <w:r w:rsidR="00513B3F">
        <w:noBreakHyphen/>
      </w:r>
      <w:r w:rsidR="005434C4">
        <w:t xml:space="preserve">term </w:t>
      </w:r>
      <w:r w:rsidR="003074BE">
        <w:t xml:space="preserve">rate </w:t>
      </w:r>
      <w:r w:rsidR="005434C4">
        <w:t xml:space="preserve">increases due to </w:t>
      </w:r>
      <w:r w:rsidR="0000471C">
        <w:t xml:space="preserve">a </w:t>
      </w:r>
      <w:r w:rsidR="003E4D83">
        <w:t xml:space="preserve">reduction </w:t>
      </w:r>
      <w:r w:rsidR="005434C4">
        <w:t xml:space="preserve">in </w:t>
      </w:r>
      <w:r w:rsidR="003E4D83">
        <w:t>the number of</w:t>
      </w:r>
      <w:r w:rsidR="005434C4">
        <w:t xml:space="preserve"> residential customers. In fact, no credible evidence is presented on what the impact will be on gas </w:t>
      </w:r>
      <w:r w:rsidR="003074BE">
        <w:t>rates</w:t>
      </w:r>
      <w:r w:rsidR="0039042B">
        <w:t>,</w:t>
      </w:r>
      <w:r w:rsidR="005434C4">
        <w:t xml:space="preserve"> let alone that it will be unreasonable. </w:t>
      </w:r>
      <w:r w:rsidR="0016592C">
        <w:t xml:space="preserve">We </w:t>
      </w:r>
      <w:r w:rsidR="002874CE">
        <w:t xml:space="preserve">understand </w:t>
      </w:r>
      <w:r w:rsidR="0016592C">
        <w:t xml:space="preserve">that the change </w:t>
      </w:r>
      <w:r w:rsidR="00B52C0B">
        <w:t>for</w:t>
      </w:r>
      <w:r w:rsidR="0016592C">
        <w:t xml:space="preserve"> residential customers</w:t>
      </w:r>
      <w:r w:rsidR="00DD0DE1">
        <w:t xml:space="preserve"> due to the policy we adopt today </w:t>
      </w:r>
      <w:r w:rsidR="00CC3FB8">
        <w:t xml:space="preserve">may </w:t>
      </w:r>
      <w:r w:rsidR="002874CE">
        <w:t>have a</w:t>
      </w:r>
      <w:r w:rsidR="00F07C95">
        <w:t>n</w:t>
      </w:r>
      <w:r w:rsidR="00B20307">
        <w:t xml:space="preserve"> incidental</w:t>
      </w:r>
      <w:r w:rsidR="00F07C95">
        <w:t xml:space="preserve"> effect on gas</w:t>
      </w:r>
      <w:r w:rsidR="00D16C9E">
        <w:t xml:space="preserve"> </w:t>
      </w:r>
      <w:r w:rsidR="003074BE">
        <w:t>rates</w:t>
      </w:r>
      <w:r w:rsidR="00B9613C">
        <w:t xml:space="preserve">. We do not, however, </w:t>
      </w:r>
      <w:r w:rsidR="00F07C95">
        <w:t xml:space="preserve">foresee that it will be </w:t>
      </w:r>
      <w:r w:rsidR="00B9613C">
        <w:t xml:space="preserve">such a </w:t>
      </w:r>
      <w:r w:rsidR="003A0C9B">
        <w:t>significant</w:t>
      </w:r>
      <w:r w:rsidR="00B9613C">
        <w:t xml:space="preserve"> increase </w:t>
      </w:r>
      <w:r w:rsidR="005D35B1">
        <w:t xml:space="preserve">in the near term </w:t>
      </w:r>
      <w:r w:rsidR="00B9613C">
        <w:t>as to require a phasing in of our policy, particularly given the unprecedented urgency with which we must pursue carbon neutrality.</w:t>
      </w:r>
      <w:r w:rsidR="007A0A1F">
        <w:t xml:space="preserve"> </w:t>
      </w:r>
      <w:r w:rsidR="00802516">
        <w:t xml:space="preserve">Many variables affect the final determination of the </w:t>
      </w:r>
      <w:r w:rsidR="00A64629">
        <w:t>gas rates</w:t>
      </w:r>
      <w:r w:rsidR="00802516">
        <w:t xml:space="preserve">. </w:t>
      </w:r>
      <w:r w:rsidR="00A81394">
        <w:rPr>
          <w:szCs w:val="26"/>
        </w:rPr>
        <w:t xml:space="preserve">The Commission </w:t>
      </w:r>
      <w:r w:rsidR="00A81394">
        <w:t>is</w:t>
      </w:r>
      <w:r w:rsidR="00AF4E00">
        <w:t xml:space="preserve"> not convinced that the policy change we adopt today </w:t>
      </w:r>
      <w:r w:rsidR="00B04C58">
        <w:t xml:space="preserve">requires </w:t>
      </w:r>
      <w:r w:rsidR="007102DA">
        <w:t>spe</w:t>
      </w:r>
      <w:r w:rsidR="002B6F0C">
        <w:t>cial treatment</w:t>
      </w:r>
      <w:r w:rsidR="00925E83">
        <w:t xml:space="preserve">; rather, it </w:t>
      </w:r>
      <w:r w:rsidR="00B04C58">
        <w:t>can be reasonably addressed</w:t>
      </w:r>
      <w:r w:rsidR="00FC74A5">
        <w:t xml:space="preserve"> when we address all relevant variables in determining gas</w:t>
      </w:r>
      <w:r w:rsidR="002418AA">
        <w:t xml:space="preserve"> rates</w:t>
      </w:r>
      <w:r w:rsidR="00FC74A5">
        <w:t>.</w:t>
      </w:r>
      <w:r w:rsidR="00705194">
        <w:t xml:space="preserve"> </w:t>
      </w:r>
    </w:p>
    <w:p w:rsidR="005434C4" w:rsidP="005434C4" w:rsidRDefault="00E03984" w14:paraId="2C351C92" w14:textId="5D3B0C81">
      <w:pPr>
        <w:pStyle w:val="Standard"/>
      </w:pPr>
      <w:r>
        <w:rPr>
          <w:szCs w:val="26"/>
        </w:rPr>
        <w:lastRenderedPageBreak/>
        <w:t xml:space="preserve">The Commission </w:t>
      </w:r>
      <w:r>
        <w:t>disagrees</w:t>
      </w:r>
      <w:r w:rsidDel="00E03984">
        <w:t xml:space="preserve"> </w:t>
      </w:r>
      <w:r w:rsidR="005434C4">
        <w:t xml:space="preserve">that </w:t>
      </w:r>
      <w:r w:rsidR="004E277A">
        <w:t xml:space="preserve">utilities’ </w:t>
      </w:r>
      <w:r w:rsidR="005434C4">
        <w:t>varying ratemaking schedules require a utility</w:t>
      </w:r>
      <w:r w:rsidR="00513B3F">
        <w:noBreakHyphen/>
      </w:r>
      <w:r w:rsidR="005434C4">
        <w:t>specific phase</w:t>
      </w:r>
      <w:r w:rsidR="00B45B9E">
        <w:t xml:space="preserve"> </w:t>
      </w:r>
      <w:r w:rsidR="005434C4">
        <w:t xml:space="preserve">in. No credible evidence is presented that the </w:t>
      </w:r>
      <w:r w:rsidR="00C6289C">
        <w:t>impact on rates</w:t>
      </w:r>
      <w:r w:rsidR="00080B22">
        <w:t xml:space="preserve">, if </w:t>
      </w:r>
      <w:r w:rsidR="00433244">
        <w:t>any</w:t>
      </w:r>
      <w:r w:rsidR="00080B22">
        <w:t>,</w:t>
      </w:r>
      <w:r w:rsidR="00C6289C">
        <w:t xml:space="preserve"> will be so </w:t>
      </w:r>
      <w:r w:rsidR="005434C4">
        <w:t xml:space="preserve">dramatic </w:t>
      </w:r>
      <w:r w:rsidR="00C6289C">
        <w:t xml:space="preserve">that we must account for </w:t>
      </w:r>
      <w:r w:rsidR="00794496">
        <w:t xml:space="preserve">the timing of </w:t>
      </w:r>
      <w:r w:rsidR="00C6289C">
        <w:t xml:space="preserve">various ratemaking proceedings, nor </w:t>
      </w:r>
      <w:r w:rsidR="005434C4">
        <w:t xml:space="preserve">that </w:t>
      </w:r>
      <w:r w:rsidR="00621E19">
        <w:t xml:space="preserve">any effect on rates </w:t>
      </w:r>
      <w:r w:rsidR="005434C4">
        <w:t xml:space="preserve">cannot be addressed within current ratemaking tools. </w:t>
      </w:r>
    </w:p>
    <w:p w:rsidR="003D1B71" w:rsidP="00996303" w:rsidRDefault="005160C8" w14:paraId="21972EA4" w14:textId="3A016BB2">
      <w:pPr>
        <w:pStyle w:val="Standard"/>
      </w:pPr>
      <w:r>
        <w:rPr>
          <w:szCs w:val="26"/>
        </w:rPr>
        <w:t xml:space="preserve">The Commission also </w:t>
      </w:r>
      <w:r>
        <w:t>disagrees</w:t>
      </w:r>
      <w:r w:rsidDel="00E03984">
        <w:t xml:space="preserve"> </w:t>
      </w:r>
      <w:r w:rsidR="005434C4">
        <w:t xml:space="preserve">that customers need </w:t>
      </w:r>
      <w:r w:rsidR="0039042B">
        <w:t xml:space="preserve">more </w:t>
      </w:r>
      <w:r w:rsidR="005434C4">
        <w:t xml:space="preserve">time to adjust. The available evidence is that all electric homes </w:t>
      </w:r>
      <w:r w:rsidR="00FA2770">
        <w:t xml:space="preserve">are </w:t>
      </w:r>
      <w:r w:rsidR="005434C4">
        <w:t xml:space="preserve">less costly </w:t>
      </w:r>
      <w:r w:rsidR="00FA2770">
        <w:t xml:space="preserve">to construct </w:t>
      </w:r>
      <w:r w:rsidR="00D66B01">
        <w:t>than</w:t>
      </w:r>
      <w:r w:rsidR="005434C4">
        <w:t xml:space="preserve"> dual fuel homes. Customers do not need time to adjust</w:t>
      </w:r>
      <w:r w:rsidR="00D66B01">
        <w:t xml:space="preserve"> when costs decline</w:t>
      </w:r>
      <w:r w:rsidR="005434C4">
        <w:t xml:space="preserve">. Further, </w:t>
      </w:r>
      <w:r w:rsidR="00BF1FD7">
        <w:rPr>
          <w:szCs w:val="26"/>
        </w:rPr>
        <w:t xml:space="preserve">given that the </w:t>
      </w:r>
      <w:r w:rsidR="00030857">
        <w:rPr>
          <w:szCs w:val="26"/>
        </w:rPr>
        <w:t>elimination</w:t>
      </w:r>
      <w:r w:rsidR="00BF1FD7">
        <w:rPr>
          <w:szCs w:val="26"/>
        </w:rPr>
        <w:t xml:space="preserve"> of </w:t>
      </w:r>
      <w:r w:rsidR="00030857">
        <w:rPr>
          <w:szCs w:val="26"/>
        </w:rPr>
        <w:t xml:space="preserve">the gas line subsidies would not take effect until </w:t>
      </w:r>
      <w:r w:rsidR="0067589C">
        <w:t>July</w:t>
      </w:r>
      <w:r w:rsidR="00513B3F">
        <w:t> </w:t>
      </w:r>
      <w:r w:rsidR="0067589C">
        <w:t>1,</w:t>
      </w:r>
      <w:r w:rsidR="00513B3F">
        <w:t> </w:t>
      </w:r>
      <w:r w:rsidR="0067589C">
        <w:t>202</w:t>
      </w:r>
      <w:r w:rsidRPr="0025795F" w:rsidR="00030857">
        <w:t>3</w:t>
      </w:r>
      <w:r w:rsidR="00573F0E">
        <w:t xml:space="preserve"> (</w:t>
      </w:r>
      <w:r w:rsidR="00030857">
        <w:t xml:space="preserve">the time required by </w:t>
      </w:r>
      <w:r w:rsidR="007D79B6">
        <w:t>Pub.</w:t>
      </w:r>
      <w:r w:rsidR="00513B3F">
        <w:t> </w:t>
      </w:r>
      <w:r w:rsidR="007D79B6">
        <w:t>Util.</w:t>
      </w:r>
      <w:r w:rsidR="00030857">
        <w:t xml:space="preserve"> Code </w:t>
      </w:r>
      <w:r w:rsidR="000F2D16">
        <w:t>Section</w:t>
      </w:r>
      <w:r w:rsidR="00513B3F">
        <w:t> </w:t>
      </w:r>
      <w:r w:rsidRPr="00B94561" w:rsidR="00030857">
        <w:t>783</w:t>
      </w:r>
      <w:r w:rsidR="00C3043F">
        <w:t>(d)</w:t>
      </w:r>
      <w:r w:rsidR="00710F03">
        <w:t>)</w:t>
      </w:r>
      <w:r w:rsidR="00030857">
        <w:t xml:space="preserve">, </w:t>
      </w:r>
      <w:r w:rsidR="00CF4F8D">
        <w:t xml:space="preserve">there is already </w:t>
      </w:r>
      <w:r w:rsidR="00EF791D">
        <w:t xml:space="preserve">a reasonable amount of time </w:t>
      </w:r>
      <w:r w:rsidR="00CF4F8D">
        <w:t>built in</w:t>
      </w:r>
      <w:r w:rsidR="00603485">
        <w:t xml:space="preserve"> for the change</w:t>
      </w:r>
      <w:r w:rsidR="004E2784">
        <w:t>, particularly for those customers who still require dual fuel service</w:t>
      </w:r>
      <w:r w:rsidR="00603485">
        <w:t xml:space="preserve">. </w:t>
      </w:r>
      <w:r w:rsidR="00DD7E64">
        <w:t>Therefore,</w:t>
      </w:r>
      <w:r w:rsidR="00EF791D">
        <w:t xml:space="preserve"> the Joint </w:t>
      </w:r>
      <w:r w:rsidR="00C9045E">
        <w:t>IOUs’</w:t>
      </w:r>
      <w:r w:rsidR="00EF791D">
        <w:t xml:space="preserve"> concerns about </w:t>
      </w:r>
      <w:r w:rsidR="00DD7E64">
        <w:t xml:space="preserve">sufficient </w:t>
      </w:r>
      <w:r w:rsidR="00EF791D">
        <w:t>tim</w:t>
      </w:r>
      <w:r w:rsidR="000D080A">
        <w:t>e</w:t>
      </w:r>
      <w:r w:rsidR="00EF791D">
        <w:t xml:space="preserve"> </w:t>
      </w:r>
      <w:r w:rsidR="00DD7E64">
        <w:t>with regards to the implementation of any changes</w:t>
      </w:r>
      <w:r w:rsidR="00843FF0">
        <w:t xml:space="preserve"> </w:t>
      </w:r>
      <w:r w:rsidR="00EF791D">
        <w:t>ha</w:t>
      </w:r>
      <w:r w:rsidR="00C14B48">
        <w:t>ve</w:t>
      </w:r>
      <w:r w:rsidR="00517E5F">
        <w:t xml:space="preserve"> </w:t>
      </w:r>
      <w:r w:rsidR="00EF791D">
        <w:t xml:space="preserve">already been </w:t>
      </w:r>
      <w:r w:rsidR="00925E83">
        <w:t xml:space="preserve">addressed </w:t>
      </w:r>
      <w:r w:rsidR="00DD7E64">
        <w:t xml:space="preserve">by </w:t>
      </w:r>
      <w:r w:rsidR="00843FF0">
        <w:t>statu</w:t>
      </w:r>
      <w:r w:rsidR="00EE67C4">
        <w:t>t</w:t>
      </w:r>
      <w:r w:rsidR="00843FF0">
        <w:t>e</w:t>
      </w:r>
      <w:r w:rsidRPr="00B94561" w:rsidR="00030857">
        <w:t>.</w:t>
      </w:r>
      <w:r w:rsidR="007020EB">
        <w:t xml:space="preserve"> </w:t>
      </w:r>
    </w:p>
    <w:p w:rsidR="00794E3B" w:rsidP="00996303" w:rsidRDefault="005A06C2" w14:paraId="72B15FC1" w14:textId="5147CF98">
      <w:pPr>
        <w:pStyle w:val="Standard"/>
      </w:pPr>
      <w:r>
        <w:t xml:space="preserve">Finally, </w:t>
      </w:r>
      <w:r w:rsidR="00517E5F">
        <w:rPr>
          <w:szCs w:val="26"/>
        </w:rPr>
        <w:t xml:space="preserve">the Commission </w:t>
      </w:r>
      <w:r w:rsidR="00517E5F">
        <w:t>disagrees</w:t>
      </w:r>
      <w:r w:rsidDel="00E03984" w:rsidR="00517E5F">
        <w:t xml:space="preserve"> </w:t>
      </w:r>
      <w:r>
        <w:t xml:space="preserve">that </w:t>
      </w:r>
      <w:r w:rsidR="00AA6BF3">
        <w:t xml:space="preserve">electric </w:t>
      </w:r>
      <w:r w:rsidR="003D1B71">
        <w:t xml:space="preserve">utilities need time to study the impact on load and generation </w:t>
      </w:r>
      <w:r w:rsidR="00C45862">
        <w:t>requirements</w:t>
      </w:r>
      <w:r w:rsidR="003D1B71">
        <w:t>. No credible evidence is presented that the change in the number of residential customers will cause</w:t>
      </w:r>
      <w:r w:rsidR="00C45862">
        <w:t xml:space="preserve"> such a dramatic change in the near term as to require </w:t>
      </w:r>
      <w:r w:rsidR="00AA6BF3">
        <w:t xml:space="preserve">delayed implementation in order </w:t>
      </w:r>
      <w:r w:rsidR="00C45862">
        <w:t>to study load and generation requirements</w:t>
      </w:r>
      <w:r w:rsidR="00B02EE2">
        <w:t xml:space="preserve">, particularly with respect to </w:t>
      </w:r>
      <w:r w:rsidR="00800E6B">
        <w:t>safety and reliability</w:t>
      </w:r>
      <w:r w:rsidR="00C45862">
        <w:t xml:space="preserve">. </w:t>
      </w:r>
      <w:r w:rsidR="00B02EE2">
        <w:t>The changes will be incremental and</w:t>
      </w:r>
      <w:r w:rsidR="00800E6B">
        <w:t xml:space="preserve"> can be factored into current tools </w:t>
      </w:r>
      <w:r w:rsidR="00BF5158">
        <w:t>to forecast load</w:t>
      </w:r>
      <w:r w:rsidR="001C2AD3">
        <w:t xml:space="preserve"> </w:t>
      </w:r>
      <w:r w:rsidR="00794496">
        <w:t xml:space="preserve">and generation requirements </w:t>
      </w:r>
      <w:r w:rsidR="009774BE">
        <w:t xml:space="preserve">to </w:t>
      </w:r>
      <w:r w:rsidR="001C2AD3">
        <w:t xml:space="preserve">ensure safe and reliable service. </w:t>
      </w:r>
    </w:p>
    <w:p w:rsidR="00703700" w:rsidP="00996303" w:rsidRDefault="004F7C80" w14:paraId="53F308A4" w14:textId="3FA1DDE9">
      <w:pPr>
        <w:pStyle w:val="Standard"/>
      </w:pPr>
      <w:r>
        <w:t xml:space="preserve">Utilities are obligated to provide safe and reliable </w:t>
      </w:r>
      <w:r w:rsidR="00976DF7">
        <w:t>service</w:t>
      </w:r>
      <w:r>
        <w:t xml:space="preserve">. The Commission adjusts rates so that each utility </w:t>
      </w:r>
      <w:r w:rsidR="004F75A5">
        <w:t>h</w:t>
      </w:r>
      <w:r>
        <w:t xml:space="preserve">as the financial resources to do so. </w:t>
      </w:r>
      <w:r w:rsidR="00785068">
        <w:t xml:space="preserve">Utilities </w:t>
      </w:r>
      <w:r w:rsidR="005679A1">
        <w:t>continually consider safety and reliability of their systems</w:t>
      </w:r>
      <w:r w:rsidR="00785068">
        <w:t xml:space="preserve"> and make necessary </w:t>
      </w:r>
      <w:r w:rsidR="00910047">
        <w:t>changes</w:t>
      </w:r>
      <w:r>
        <w:t xml:space="preserve">. </w:t>
      </w:r>
      <w:r w:rsidR="00794E3B">
        <w:t xml:space="preserve">SCE says, for example, that </w:t>
      </w:r>
      <w:r w:rsidR="003827ED">
        <w:t xml:space="preserve">it continuously </w:t>
      </w:r>
      <w:r w:rsidRPr="00F96180" w:rsidR="00723C92">
        <w:t xml:space="preserve">evaluates how the grid must </w:t>
      </w:r>
      <w:r w:rsidRPr="00F96180" w:rsidR="00723C92">
        <w:lastRenderedPageBreak/>
        <w:t>evolve</w:t>
      </w:r>
      <w:r w:rsidR="00723C92">
        <w:t xml:space="preserve"> </w:t>
      </w:r>
      <w:r w:rsidRPr="00F96180" w:rsidR="00723C92">
        <w:t>to support California’s GHG reduction goals</w:t>
      </w:r>
      <w:r w:rsidR="00FA5C5C">
        <w:t>.</w:t>
      </w:r>
      <w:r w:rsidRPr="00F96180" w:rsidR="00723C92">
        <w:t xml:space="preserve"> Each year, SCE </w:t>
      </w:r>
      <w:r w:rsidR="00001BAF">
        <w:t xml:space="preserve">reports that it </w:t>
      </w:r>
      <w:r w:rsidRPr="00F96180" w:rsidR="00723C92">
        <w:t>conducts transmission, sub</w:t>
      </w:r>
      <w:r w:rsidR="00513B3F">
        <w:noBreakHyphen/>
      </w:r>
      <w:r w:rsidRPr="00F96180" w:rsidR="00723C92">
        <w:t>transmission, and</w:t>
      </w:r>
      <w:r w:rsidR="00723C92">
        <w:t xml:space="preserve"> </w:t>
      </w:r>
      <w:r w:rsidRPr="00F96180" w:rsidR="00723C92">
        <w:t xml:space="preserve">distribution system planning assessments for a </w:t>
      </w:r>
      <w:r w:rsidR="00294E9D">
        <w:t>10</w:t>
      </w:r>
      <w:r w:rsidR="00294E9D">
        <w:noBreakHyphen/>
        <w:t>year</w:t>
      </w:r>
      <w:r w:rsidRPr="00F96180" w:rsidR="00723C92">
        <w:t xml:space="preserve"> planning horizon that</w:t>
      </w:r>
      <w:r w:rsidR="00723C92">
        <w:t xml:space="preserve"> </w:t>
      </w:r>
      <w:r w:rsidRPr="00F96180" w:rsidR="00723C92">
        <w:t>identify the grid needs to accommodate new generation resources, customer load</w:t>
      </w:r>
      <w:r w:rsidR="00723C92">
        <w:t xml:space="preserve"> </w:t>
      </w:r>
      <w:r w:rsidRPr="00F96180" w:rsidR="00723C92">
        <w:t>and Distributed Energy Resource growth. SCE</w:t>
      </w:r>
      <w:r w:rsidR="00723C92">
        <w:t xml:space="preserve"> says it</w:t>
      </w:r>
      <w:r w:rsidRPr="00F96180" w:rsidR="00723C92">
        <w:t xml:space="preserve"> will continue working with</w:t>
      </w:r>
      <w:r w:rsidR="00723C92">
        <w:t xml:space="preserve"> </w:t>
      </w:r>
      <w:r w:rsidRPr="00F96180" w:rsidR="00723C92">
        <w:t xml:space="preserve">the </w:t>
      </w:r>
      <w:r w:rsidRPr="006B623F" w:rsidR="00571F85">
        <w:t xml:space="preserve">California Energy Commission </w:t>
      </w:r>
      <w:r w:rsidR="00571F85">
        <w:t>(</w:t>
      </w:r>
      <w:r w:rsidRPr="006B623F" w:rsidR="00723C92">
        <w:t>CEC</w:t>
      </w:r>
      <w:r w:rsidR="00571F85">
        <w:t>)</w:t>
      </w:r>
      <w:r w:rsidR="0093263E">
        <w:t xml:space="preserve"> </w:t>
      </w:r>
      <w:r w:rsidRPr="00F96180" w:rsidR="00723C92">
        <w:t xml:space="preserve">to develop the </w:t>
      </w:r>
      <w:r w:rsidR="00723C92">
        <w:t>building electrification</w:t>
      </w:r>
      <w:r w:rsidRPr="00F96180" w:rsidR="00723C92">
        <w:t xml:space="preserve"> forecast and include it in the Integrated Energy Policy</w:t>
      </w:r>
      <w:r w:rsidR="00723C92">
        <w:t xml:space="preserve"> </w:t>
      </w:r>
      <w:r w:rsidRPr="00F96180" w:rsidR="00723C92">
        <w:t>Report load forecast to ensure the reliable and affordable integration of</w:t>
      </w:r>
      <w:r w:rsidR="00723C92">
        <w:t xml:space="preserve"> building electrification</w:t>
      </w:r>
      <w:r w:rsidRPr="00F96180" w:rsidR="00723C92">
        <w:t xml:space="preserve"> growth into SCE’s annual system planning assessments.</w:t>
      </w:r>
      <w:r w:rsidR="00EC73C9">
        <w:rPr>
          <w:rStyle w:val="FootnoteReference"/>
        </w:rPr>
        <w:footnoteReference w:id="79"/>
      </w:r>
      <w:r w:rsidR="00FA5C5C">
        <w:t xml:space="preserve"> </w:t>
      </w:r>
    </w:p>
    <w:p w:rsidR="00A34648" w:rsidP="0075304F" w:rsidRDefault="00A64C73" w14:paraId="0E88CAFE" w14:textId="3370595F">
      <w:pPr>
        <w:pStyle w:val="Standard"/>
      </w:pPr>
      <w:r>
        <w:t xml:space="preserve">The Commission </w:t>
      </w:r>
      <w:r w:rsidR="00116CB1">
        <w:t>expects</w:t>
      </w:r>
      <w:r w:rsidR="00605688">
        <w:t xml:space="preserve"> that each electric utility</w:t>
      </w:r>
      <w:r w:rsidR="00110706">
        <w:t>, just like SCE,</w:t>
      </w:r>
      <w:r w:rsidR="00605688">
        <w:t xml:space="preserve"> </w:t>
      </w:r>
      <w:r w:rsidR="00FA382E">
        <w:t xml:space="preserve">continuously </w:t>
      </w:r>
      <w:r w:rsidRPr="00F96180" w:rsidR="00FA382E">
        <w:t xml:space="preserve">evaluates how </w:t>
      </w:r>
      <w:r w:rsidR="00C803A4">
        <w:t xml:space="preserve">the </w:t>
      </w:r>
      <w:r w:rsidRPr="00F96180" w:rsidR="00FA382E">
        <w:t xml:space="preserve">grid </w:t>
      </w:r>
      <w:r w:rsidR="00C803A4">
        <w:t xml:space="preserve">needs </w:t>
      </w:r>
      <w:r w:rsidRPr="00F96180" w:rsidR="00FA382E">
        <w:t>evolve</w:t>
      </w:r>
      <w:r w:rsidR="00FA382E">
        <w:t xml:space="preserve"> </w:t>
      </w:r>
      <w:r w:rsidRPr="00F96180" w:rsidR="00FA382E">
        <w:t xml:space="preserve">to support </w:t>
      </w:r>
      <w:r w:rsidR="00666E42">
        <w:t>a wide range of goals, including</w:t>
      </w:r>
      <w:r w:rsidR="00984C2D">
        <w:t xml:space="preserve"> </w:t>
      </w:r>
      <w:r w:rsidRPr="00F96180" w:rsidR="00FA382E">
        <w:t>California’s GHG reduction goals</w:t>
      </w:r>
      <w:r w:rsidR="00110706">
        <w:t>.</w:t>
      </w:r>
      <w:r w:rsidR="00083DC5">
        <w:t xml:space="preserve"> </w:t>
      </w:r>
    </w:p>
    <w:p w:rsidR="007020EB" w:rsidP="00A34648" w:rsidRDefault="001C2AD3" w14:paraId="2B89A423" w14:textId="5A2002AA">
      <w:pPr>
        <w:pStyle w:val="Standard"/>
      </w:pPr>
      <w:r>
        <w:t xml:space="preserve">Based on these considerations, </w:t>
      </w:r>
      <w:r w:rsidRPr="00B94561" w:rsidR="00BF1FD7">
        <w:t xml:space="preserve">the Joint </w:t>
      </w:r>
      <w:r w:rsidR="00BF42C7">
        <w:t>IOUs’</w:t>
      </w:r>
      <w:r w:rsidRPr="00B94561" w:rsidR="00BF1FD7">
        <w:t xml:space="preserve"> request for additional workshops is unnecessar</w:t>
      </w:r>
      <w:r w:rsidR="007020EB">
        <w:t xml:space="preserve">y and denied. </w:t>
      </w:r>
      <w:r w:rsidR="00B22964">
        <w:t>We conclude that</w:t>
      </w:r>
      <w:r w:rsidR="001131A9">
        <w:t xml:space="preserve"> the </w:t>
      </w:r>
      <w:r w:rsidR="007020EB">
        <w:t xml:space="preserve">elimination of the gas line subsidies </w:t>
      </w:r>
      <w:r w:rsidR="00656663">
        <w:t xml:space="preserve">for the residential sector </w:t>
      </w:r>
      <w:r w:rsidR="009F5382">
        <w:t xml:space="preserve">effective </w:t>
      </w:r>
      <w:r w:rsidR="0067589C">
        <w:t>July</w:t>
      </w:r>
      <w:r w:rsidR="00513B3F">
        <w:t> </w:t>
      </w:r>
      <w:r w:rsidR="0067589C">
        <w:t>1,</w:t>
      </w:r>
      <w:r w:rsidR="00513B3F">
        <w:t> </w:t>
      </w:r>
      <w:r w:rsidR="0067589C">
        <w:t>202</w:t>
      </w:r>
      <w:r w:rsidRPr="0025795F" w:rsidR="007020EB">
        <w:t>3</w:t>
      </w:r>
      <w:r w:rsidR="007020EB">
        <w:t xml:space="preserve"> </w:t>
      </w:r>
      <w:r w:rsidR="00932946">
        <w:t>c</w:t>
      </w:r>
      <w:r w:rsidR="00F50F5B">
        <w:t>ompli</w:t>
      </w:r>
      <w:r w:rsidR="00932946">
        <w:t>es</w:t>
      </w:r>
      <w:r w:rsidRPr="00B94561" w:rsidR="00996303">
        <w:t xml:space="preserve"> with the timelines required under </w:t>
      </w:r>
      <w:r w:rsidR="007D79B6">
        <w:t>Pub.</w:t>
      </w:r>
      <w:r w:rsidR="00513B3F">
        <w:t> </w:t>
      </w:r>
      <w:r w:rsidR="007D79B6">
        <w:t>Util.</w:t>
      </w:r>
      <w:r w:rsidR="007020EB">
        <w:t xml:space="preserve"> Code </w:t>
      </w:r>
      <w:r w:rsidR="000F2D16">
        <w:t>Section</w:t>
      </w:r>
      <w:r w:rsidR="00513B3F">
        <w:t> </w:t>
      </w:r>
      <w:r w:rsidRPr="00B94561" w:rsidR="007020EB">
        <w:t>783</w:t>
      </w:r>
      <w:r w:rsidR="00A672F1">
        <w:t>(d)</w:t>
      </w:r>
      <w:r w:rsidR="007020EB">
        <w:t xml:space="preserve"> and </w:t>
      </w:r>
      <w:r w:rsidR="001131A9">
        <w:t xml:space="preserve">should </w:t>
      </w:r>
      <w:r w:rsidR="007020EB">
        <w:t>not be further delayed.</w:t>
      </w:r>
    </w:p>
    <w:p w:rsidRPr="00FF2E48" w:rsidR="00883DA7" w:rsidP="007C2EF4" w:rsidRDefault="00883DA7" w14:paraId="7A22614C" w14:textId="185B7A4A">
      <w:pPr>
        <w:pStyle w:val="Heading3"/>
      </w:pPr>
      <w:bookmarkStart w:name="_Toc109376116" w:id="108"/>
      <w:bookmarkStart w:name="_Toc109141148" w:id="109"/>
      <w:bookmarkStart w:name="_Toc110598568" w:id="110"/>
      <w:r w:rsidRPr="00FF2E48">
        <w:t>C</w:t>
      </w:r>
      <w:r w:rsidR="00F5725E">
        <w:t>ontinued C</w:t>
      </w:r>
      <w:r w:rsidRPr="00FF2E48">
        <w:t>oordination</w:t>
      </w:r>
      <w:r w:rsidR="00BE5277">
        <w:t>/</w:t>
      </w:r>
      <w:r w:rsidR="004F65E4">
        <w:br/>
      </w:r>
      <w:r w:rsidR="00BE5277">
        <w:t>Consultation</w:t>
      </w:r>
      <w:r w:rsidRPr="00FF2E48">
        <w:t xml:space="preserve"> with Other State Agencies</w:t>
      </w:r>
      <w:r w:rsidR="00372767">
        <w:t xml:space="preserve">: </w:t>
      </w:r>
      <w:r w:rsidRPr="007E1A24" w:rsidR="00372767">
        <w:t>Approved</w:t>
      </w:r>
      <w:bookmarkEnd w:id="108"/>
      <w:bookmarkEnd w:id="109"/>
      <w:bookmarkEnd w:id="110"/>
    </w:p>
    <w:p w:rsidR="00750281" w:rsidP="007D55E2" w:rsidRDefault="00CA372C" w14:paraId="2FF5FA71" w14:textId="40ED644D">
      <w:pPr>
        <w:pStyle w:val="Standard"/>
      </w:pPr>
      <w:r>
        <w:t>Cal</w:t>
      </w:r>
      <w:r w:rsidR="00513B3F">
        <w:t> </w:t>
      </w:r>
      <w:r>
        <w:t>Advoc</w:t>
      </w:r>
      <w:r w:rsidR="007D55E2">
        <w:t>ates recommend that the Commission coordinate with the state agencies that are responsible for the state building code (</w:t>
      </w:r>
      <w:r w:rsidRPr="00BA3273" w:rsidR="00B22964">
        <w:rPr>
          <w:i/>
          <w:iCs/>
        </w:rPr>
        <w:t>e.g.</w:t>
      </w:r>
      <w:r w:rsidR="00B22964">
        <w:t xml:space="preserve">, </w:t>
      </w:r>
      <w:r w:rsidR="007D55E2">
        <w:t xml:space="preserve">the </w:t>
      </w:r>
      <w:r w:rsidR="00571F85">
        <w:t>CEC</w:t>
      </w:r>
      <w:r w:rsidR="007D55E2">
        <w:t>) and that the Commission should “approach GHG reductions broadly and work to promote GHG reduction across all sectors.”</w:t>
      </w:r>
      <w:r w:rsidR="007D55E2">
        <w:rPr>
          <w:rStyle w:val="FootnoteReference"/>
        </w:rPr>
        <w:footnoteReference w:id="80"/>
      </w:r>
      <w:r w:rsidR="007D55E2">
        <w:t xml:space="preserve"> </w:t>
      </w:r>
      <w:r w:rsidR="00591307">
        <w:t xml:space="preserve">The Commission </w:t>
      </w:r>
      <w:r w:rsidR="00392863">
        <w:t>agree</w:t>
      </w:r>
      <w:r w:rsidR="00591307">
        <w:t>s</w:t>
      </w:r>
      <w:r w:rsidR="00392863">
        <w:t xml:space="preserve"> with </w:t>
      </w:r>
      <w:r>
        <w:lastRenderedPageBreak/>
        <w:t>Cal</w:t>
      </w:r>
      <w:r w:rsidR="00513B3F">
        <w:t> </w:t>
      </w:r>
      <w:r>
        <w:t>Advoc</w:t>
      </w:r>
      <w:r w:rsidR="00392863">
        <w:t>ates that coordination is critical</w:t>
      </w:r>
      <w:r w:rsidR="00750281">
        <w:t xml:space="preserve">. </w:t>
      </w:r>
      <w:r w:rsidR="00591307">
        <w:t xml:space="preserve">The Commission has </w:t>
      </w:r>
      <w:r w:rsidR="00392863">
        <w:t>and will continue to</w:t>
      </w:r>
      <w:r w:rsidR="007D55E2">
        <w:t xml:space="preserve"> consult with the CEC and </w:t>
      </w:r>
      <w:r w:rsidR="007D55E2">
        <w:rPr>
          <w:rStyle w:val="markedcontent"/>
          <w:rFonts w:cs="Yu Gothic Light"/>
          <w:szCs w:val="26"/>
        </w:rPr>
        <w:t>CARB</w:t>
      </w:r>
      <w:r w:rsidR="005478C5">
        <w:rPr>
          <w:rStyle w:val="markedcontent"/>
          <w:rFonts w:cs="Yu Gothic Light"/>
          <w:szCs w:val="26"/>
        </w:rPr>
        <w:t>, and other agencies as appropriate,</w:t>
      </w:r>
      <w:r w:rsidR="007D55E2">
        <w:rPr>
          <w:rStyle w:val="markedcontent"/>
          <w:rFonts w:cs="Yu Gothic Light"/>
          <w:szCs w:val="26"/>
        </w:rPr>
        <w:t xml:space="preserve"> </w:t>
      </w:r>
      <w:r w:rsidR="007D55E2">
        <w:t>on th</w:t>
      </w:r>
      <w:r w:rsidR="00054E56">
        <w:t>ese</w:t>
      </w:r>
      <w:r w:rsidR="007D55E2">
        <w:t xml:space="preserve"> issue</w:t>
      </w:r>
      <w:r w:rsidR="009C4597">
        <w:t>s</w:t>
      </w:r>
      <w:r w:rsidR="00C76850">
        <w:t xml:space="preserve">. </w:t>
      </w:r>
    </w:p>
    <w:p w:rsidR="008C64D1" w:rsidP="007D55E2" w:rsidRDefault="00AF3B1A" w14:paraId="182DC5F8" w14:textId="76A18588">
      <w:pPr>
        <w:pStyle w:val="Standard"/>
        <w:rPr>
          <w:rStyle w:val="markedcontent"/>
          <w:rFonts w:cs="Yu Gothic Light"/>
          <w:szCs w:val="26"/>
        </w:rPr>
      </w:pPr>
      <w:r>
        <w:t xml:space="preserve">The </w:t>
      </w:r>
      <w:r w:rsidR="007D55E2">
        <w:t>publications</w:t>
      </w:r>
      <w:r>
        <w:t xml:space="preserve"> of </w:t>
      </w:r>
      <w:r w:rsidR="002869C5">
        <w:t xml:space="preserve">both </w:t>
      </w:r>
      <w:r>
        <w:t>CEC and CARB</w:t>
      </w:r>
      <w:r w:rsidR="002869C5">
        <w:t xml:space="preserve"> reflect relevant views on eliminating line extensions and building electrification, which we note here. </w:t>
      </w:r>
      <w:r w:rsidR="007D55E2">
        <w:t xml:space="preserve">The 2021 Integrated Energy Policy Report, published by the CEC, recommends that </w:t>
      </w:r>
      <w:r w:rsidRPr="00107B40" w:rsidR="007D55E2">
        <w:rPr>
          <w:szCs w:val="26"/>
        </w:rPr>
        <w:t>the “</w:t>
      </w:r>
      <w:r w:rsidRPr="007B11A0" w:rsidR="007D55E2">
        <w:rPr>
          <w:rStyle w:val="markedcontent"/>
          <w:rFonts w:cs="Yu Gothic Light"/>
          <w:szCs w:val="26"/>
        </w:rPr>
        <w:t xml:space="preserve">CPUC should continue to investigate eliminating line </w:t>
      </w:r>
      <w:r w:rsidRPr="007B11A0" w:rsidR="007D55E2">
        <w:rPr>
          <w:rStyle w:val="highlight"/>
          <w:rFonts w:cs="Yu Gothic Light"/>
          <w:szCs w:val="26"/>
        </w:rPr>
        <w:t>extension</w:t>
      </w:r>
      <w:r w:rsidRPr="007B11A0" w:rsidR="007D55E2">
        <w:rPr>
          <w:rStyle w:val="markedcontent"/>
          <w:rFonts w:cs="Yu Gothic Light"/>
          <w:szCs w:val="26"/>
        </w:rPr>
        <w:t xml:space="preserve"> allowances for new</w:t>
      </w:r>
      <w:r w:rsidRPr="00107B40" w:rsidR="007D55E2">
        <w:rPr>
          <w:szCs w:val="26"/>
        </w:rPr>
        <w:t xml:space="preserve"> </w:t>
      </w:r>
      <w:r w:rsidRPr="007B11A0" w:rsidR="007D55E2">
        <w:rPr>
          <w:rStyle w:val="markedcontent"/>
          <w:rFonts w:cs="Yu Gothic Light"/>
          <w:szCs w:val="26"/>
        </w:rPr>
        <w:t>gas hookups.</w:t>
      </w:r>
      <w:r w:rsidR="007D55E2">
        <w:rPr>
          <w:rStyle w:val="markedcontent"/>
          <w:rFonts w:cs="Yu Gothic Light"/>
          <w:szCs w:val="26"/>
        </w:rPr>
        <w:t>”</w:t>
      </w:r>
      <w:r w:rsidR="007D55E2">
        <w:rPr>
          <w:rStyle w:val="FootnoteReference"/>
          <w:rFonts w:cs="Yu Gothic Light"/>
          <w:szCs w:val="26"/>
        </w:rPr>
        <w:footnoteReference w:id="81"/>
      </w:r>
      <w:r w:rsidR="007D55E2">
        <w:rPr>
          <w:rStyle w:val="markedcontent"/>
          <w:rFonts w:cs="Yu Gothic Light"/>
          <w:szCs w:val="26"/>
        </w:rPr>
        <w:t xml:space="preserve"> CARB has released its draft 2022 Scoping Plan for </w:t>
      </w:r>
      <w:r w:rsidR="00D57CB8">
        <w:rPr>
          <w:rStyle w:val="markedcontent"/>
          <w:rFonts w:cs="Yu Gothic Light"/>
          <w:szCs w:val="26"/>
        </w:rPr>
        <w:t>Assembly Bill </w:t>
      </w:r>
      <w:r w:rsidR="007D55E2">
        <w:rPr>
          <w:rStyle w:val="markedcontent"/>
          <w:rFonts w:cs="Yu Gothic Light"/>
          <w:szCs w:val="26"/>
        </w:rPr>
        <w:t>32 compliance, and dedicates an appendix chapter to building electrification</w:t>
      </w:r>
      <w:r w:rsidR="00952FF5">
        <w:rPr>
          <w:rStyle w:val="markedcontent"/>
          <w:rFonts w:cs="Yu Gothic Light"/>
          <w:szCs w:val="26"/>
        </w:rPr>
        <w:t>,</w:t>
      </w:r>
      <w:r w:rsidR="007D55E2">
        <w:rPr>
          <w:rStyle w:val="markedcontent"/>
          <w:rFonts w:cs="Yu Gothic Light"/>
          <w:szCs w:val="26"/>
        </w:rPr>
        <w:t xml:space="preserve"> </w:t>
      </w:r>
      <w:r w:rsidR="00952FF5">
        <w:rPr>
          <w:rStyle w:val="markedcontent"/>
          <w:rFonts w:cs="Yu Gothic Light"/>
          <w:szCs w:val="26"/>
        </w:rPr>
        <w:t xml:space="preserve">strongly </w:t>
      </w:r>
      <w:r w:rsidR="007D55E2">
        <w:rPr>
          <w:rStyle w:val="markedcontent"/>
          <w:rFonts w:cs="Yu Gothic Light"/>
          <w:szCs w:val="26"/>
        </w:rPr>
        <w:t>advocat</w:t>
      </w:r>
      <w:r w:rsidR="002F648F">
        <w:rPr>
          <w:rStyle w:val="markedcontent"/>
          <w:rFonts w:cs="Yu Gothic Light"/>
          <w:szCs w:val="26"/>
        </w:rPr>
        <w:t>ing</w:t>
      </w:r>
      <w:r w:rsidR="007D55E2">
        <w:rPr>
          <w:rStyle w:val="markedcontent"/>
          <w:rFonts w:cs="Yu Gothic Light"/>
          <w:szCs w:val="26"/>
        </w:rPr>
        <w:t xml:space="preserve"> for electrification as a means to reduce GHGs from the building sector.</w:t>
      </w:r>
      <w:r w:rsidR="007D55E2">
        <w:rPr>
          <w:rStyle w:val="FootnoteReference"/>
          <w:rFonts w:cs="Yu Gothic Light"/>
          <w:szCs w:val="26"/>
        </w:rPr>
        <w:footnoteReference w:id="82"/>
      </w:r>
      <w:r w:rsidR="008C64D1">
        <w:rPr>
          <w:rStyle w:val="markedcontent"/>
          <w:rFonts w:cs="Yu Gothic Light"/>
          <w:szCs w:val="26"/>
        </w:rPr>
        <w:t xml:space="preserve"> CARB notes that scaling back natural gas infrastructure is a potential action to support a successful transition to building electrification.</w:t>
      </w:r>
      <w:r w:rsidR="008C64D1">
        <w:rPr>
          <w:rStyle w:val="FootnoteReference"/>
          <w:rFonts w:cs="Yu Gothic Light"/>
          <w:szCs w:val="26"/>
        </w:rPr>
        <w:footnoteReference w:id="83"/>
      </w:r>
      <w:r w:rsidR="008C64D1">
        <w:rPr>
          <w:rStyle w:val="markedcontent"/>
          <w:rFonts w:cs="Yu Gothic Light"/>
          <w:szCs w:val="26"/>
        </w:rPr>
        <w:t xml:space="preserve"> CARB further notes that the </w:t>
      </w:r>
      <w:r w:rsidR="008C64D1">
        <w:t>Staff Proposal to eliminate gas line subsidies “can encourage all-electric new construction and help alleviate future gas rate escalation.”</w:t>
      </w:r>
      <w:r w:rsidR="008C64D1">
        <w:rPr>
          <w:rStyle w:val="FootnoteReference"/>
        </w:rPr>
        <w:footnoteReference w:id="84"/>
      </w:r>
      <w:r w:rsidR="007D55E2">
        <w:rPr>
          <w:rStyle w:val="markedcontent"/>
          <w:rFonts w:cs="Yu Gothic Light"/>
          <w:szCs w:val="26"/>
        </w:rPr>
        <w:t xml:space="preserve"> </w:t>
      </w:r>
    </w:p>
    <w:p w:rsidRPr="007D55E2" w:rsidR="00A53197" w:rsidP="007D55E2" w:rsidRDefault="00F5725E" w14:paraId="12F52E9C" w14:textId="4F3AA737">
      <w:pPr>
        <w:pStyle w:val="Standard"/>
      </w:pPr>
      <w:r>
        <w:t xml:space="preserve">The Commission </w:t>
      </w:r>
      <w:r w:rsidR="00D14F85">
        <w:t xml:space="preserve">will continue </w:t>
      </w:r>
      <w:r w:rsidR="00A86768">
        <w:t xml:space="preserve">to </w:t>
      </w:r>
      <w:r w:rsidR="00D14F85">
        <w:t xml:space="preserve">work closely with </w:t>
      </w:r>
      <w:r w:rsidR="00750281">
        <w:t>CEC, CARB</w:t>
      </w:r>
      <w:r w:rsidR="00B55EA4">
        <w:t>,</w:t>
      </w:r>
      <w:r w:rsidR="00750281">
        <w:t xml:space="preserve"> and </w:t>
      </w:r>
      <w:r w:rsidR="00D14F85">
        <w:t xml:space="preserve">other state agencies on these issues to ensure consistency in </w:t>
      </w:r>
      <w:r w:rsidR="00C05856">
        <w:t xml:space="preserve">our </w:t>
      </w:r>
      <w:r>
        <w:t>approach</w:t>
      </w:r>
      <w:r w:rsidR="00C05856">
        <w:t>es to</w:t>
      </w:r>
      <w:r>
        <w:t xml:space="preserve"> GHG reductions broadly</w:t>
      </w:r>
      <w:r w:rsidR="00C05856">
        <w:t>.</w:t>
      </w:r>
      <w:r>
        <w:t xml:space="preserve"> </w:t>
      </w:r>
    </w:p>
    <w:p w:rsidRPr="00FF2E48" w:rsidR="00A92508" w:rsidP="007C2EF4" w:rsidRDefault="00372767" w14:paraId="0695A629" w14:textId="35213E90">
      <w:pPr>
        <w:pStyle w:val="Heading3"/>
      </w:pPr>
      <w:bookmarkStart w:name="_Toc109376117" w:id="111"/>
      <w:bookmarkStart w:name="_Toc109141149" w:id="112"/>
      <w:bookmarkStart w:name="_Toc110598569" w:id="113"/>
      <w:r>
        <w:lastRenderedPageBreak/>
        <w:t>Delay</w:t>
      </w:r>
      <w:r w:rsidRPr="00FF2E48" w:rsidR="00A92508">
        <w:t xml:space="preserve"> </w:t>
      </w:r>
      <w:r w:rsidR="00B46019">
        <w:t xml:space="preserve">Decision </w:t>
      </w:r>
      <w:r w:rsidR="00756E26">
        <w:t xml:space="preserve">Until the </w:t>
      </w:r>
      <w:r w:rsidR="009F69B0">
        <w:t>Conclusion of the</w:t>
      </w:r>
      <w:r w:rsidRPr="00FF2E48" w:rsidR="00A92508">
        <w:t xml:space="preserve"> Long</w:t>
      </w:r>
      <w:r w:rsidR="00513B3F">
        <w:noBreakHyphen/>
      </w:r>
      <w:r w:rsidRPr="00FF2E48" w:rsidR="00A92508">
        <w:t>Term Gas System Planning Rulemaking (R.20</w:t>
      </w:r>
      <w:r w:rsidR="00513B3F">
        <w:noBreakHyphen/>
      </w:r>
      <w:r w:rsidRPr="00FF2E48" w:rsidR="00A92508">
        <w:t>01</w:t>
      </w:r>
      <w:r w:rsidR="00513B3F">
        <w:noBreakHyphen/>
      </w:r>
      <w:r w:rsidRPr="00FF2E48" w:rsidR="00A92508">
        <w:t>007</w:t>
      </w:r>
      <w:r w:rsidRPr="00337174" w:rsidR="00FA7A60">
        <w:t>)</w:t>
      </w:r>
      <w:r w:rsidRPr="00337174">
        <w:t>:</w:t>
      </w:r>
      <w:r w:rsidRPr="00337174" w:rsidR="00EC0DCE">
        <w:t xml:space="preserve"> </w:t>
      </w:r>
      <w:r w:rsidRPr="00337174">
        <w:t xml:space="preserve"> D</w:t>
      </w:r>
      <w:r w:rsidRPr="007518FE">
        <w:t>enied</w:t>
      </w:r>
      <w:bookmarkEnd w:id="111"/>
      <w:bookmarkEnd w:id="112"/>
      <w:bookmarkEnd w:id="113"/>
    </w:p>
    <w:p w:rsidR="0094642D" w:rsidP="00845D1B" w:rsidRDefault="00FA7A60" w14:paraId="1CC4E12E" w14:textId="21CFD4B7">
      <w:pPr>
        <w:pStyle w:val="Standard"/>
      </w:pPr>
      <w:bookmarkStart w:name="_Hlk107502390" w:id="114"/>
      <w:r>
        <w:t>SWG</w:t>
      </w:r>
      <w:r w:rsidR="009F6EDD">
        <w:t xml:space="preserve"> </w:t>
      </w:r>
      <w:r w:rsidR="00927C88">
        <w:t>recommends</w:t>
      </w:r>
      <w:r>
        <w:t xml:space="preserve"> that a decision on gas </w:t>
      </w:r>
      <w:r w:rsidR="00475A20">
        <w:t>line</w:t>
      </w:r>
      <w:r>
        <w:t xml:space="preserve"> subsidies be suspended until R.20</w:t>
      </w:r>
      <w:r w:rsidR="00513B3F">
        <w:noBreakHyphen/>
      </w:r>
      <w:r>
        <w:t>01</w:t>
      </w:r>
      <w:r w:rsidR="00513B3F">
        <w:noBreakHyphen/>
      </w:r>
      <w:r>
        <w:t xml:space="preserve">007 concludes because </w:t>
      </w:r>
      <w:r w:rsidRPr="00E85421" w:rsidR="00E85421">
        <w:t xml:space="preserve">the relationship </w:t>
      </w:r>
      <w:r w:rsidR="00562582">
        <w:t xml:space="preserve">between </w:t>
      </w:r>
      <w:r w:rsidRPr="00E85421" w:rsidR="00E85421">
        <w:t>this proceeding and R.20</w:t>
      </w:r>
      <w:r w:rsidR="00513B3F">
        <w:noBreakHyphen/>
      </w:r>
      <w:r w:rsidRPr="00E85421" w:rsidR="00E85421">
        <w:t>01</w:t>
      </w:r>
      <w:r w:rsidR="00513B3F">
        <w:noBreakHyphen/>
      </w:r>
      <w:r w:rsidRPr="00E85421" w:rsidR="00E85421">
        <w:t xml:space="preserve">007 requires </w:t>
      </w:r>
      <w:r w:rsidR="00F9289E">
        <w:t xml:space="preserve">further </w:t>
      </w:r>
      <w:r w:rsidRPr="00E85421" w:rsidR="00E85421">
        <w:t>analysis</w:t>
      </w:r>
      <w:r w:rsidR="00F9289E">
        <w:t xml:space="preserve">, and that </w:t>
      </w:r>
      <w:r>
        <w:t xml:space="preserve">“delineating the future of natural gas in California is a necessary threshold issue.” </w:t>
      </w:r>
      <w:r w:rsidR="00F9289E">
        <w:t xml:space="preserve">They argue that </w:t>
      </w:r>
      <w:r w:rsidRPr="00E85421" w:rsidR="00E85421">
        <w:t>addressing similar forward</w:t>
      </w:r>
      <w:r w:rsidR="00513B3F">
        <w:noBreakHyphen/>
      </w:r>
      <w:r w:rsidRPr="00E85421" w:rsidR="00E85421">
        <w:t>looking gas infrastructure issues in separate, concurrent proceedings</w:t>
      </w:r>
      <w:r w:rsidR="009D3963">
        <w:t xml:space="preserve"> </w:t>
      </w:r>
      <w:r w:rsidRPr="00E85421" w:rsidR="00E85421">
        <w:t>could result in inconsistent factual findings and policy determinations, potentially causing future</w:t>
      </w:r>
      <w:r w:rsidR="009D3963">
        <w:t xml:space="preserve"> </w:t>
      </w:r>
      <w:r w:rsidRPr="00E85421" w:rsidR="00E85421">
        <w:t>confusion and inefficiencies.</w:t>
      </w:r>
      <w:r>
        <w:rPr>
          <w:rStyle w:val="FootnoteReference"/>
        </w:rPr>
        <w:footnoteReference w:id="85"/>
      </w:r>
      <w:r>
        <w:t xml:space="preserve"> </w:t>
      </w:r>
      <w:r w:rsidR="00806041">
        <w:t xml:space="preserve">The Commission </w:t>
      </w:r>
      <w:r w:rsidR="0094642D">
        <w:t>disagree</w:t>
      </w:r>
      <w:r w:rsidR="00806041">
        <w:t>s</w:t>
      </w:r>
      <w:r w:rsidR="0094642D">
        <w:t xml:space="preserve">. </w:t>
      </w:r>
    </w:p>
    <w:bookmarkEnd w:id="114"/>
    <w:p w:rsidR="00845D1B" w:rsidP="00845D1B" w:rsidRDefault="00BF521A" w14:paraId="512205E9" w14:textId="2D8CAC3E">
      <w:pPr>
        <w:pStyle w:val="Standard"/>
        <w:rPr>
          <w:rStyle w:val="markedcontent"/>
          <w:rFonts w:cs="Yu Gothic Light"/>
          <w:szCs w:val="26"/>
        </w:rPr>
      </w:pPr>
      <w:r>
        <w:t>R.20</w:t>
      </w:r>
      <w:r w:rsidR="00513B3F">
        <w:noBreakHyphen/>
      </w:r>
      <w:r>
        <w:t>01</w:t>
      </w:r>
      <w:r w:rsidR="00513B3F">
        <w:noBreakHyphen/>
      </w:r>
      <w:r>
        <w:t>007 includes two tracks</w:t>
      </w:r>
      <w:r w:rsidR="00B202D6">
        <w:t xml:space="preserve">. </w:t>
      </w:r>
      <w:r w:rsidR="00FA7A60">
        <w:t xml:space="preserve">The </w:t>
      </w:r>
      <w:r w:rsidR="00A96C44">
        <w:t>s</w:t>
      </w:r>
      <w:r w:rsidR="00FA7A60">
        <w:t xml:space="preserve">cope of </w:t>
      </w:r>
      <w:r w:rsidR="000D0069">
        <w:t>Track</w:t>
      </w:r>
      <w:r w:rsidR="00513B3F">
        <w:t> </w:t>
      </w:r>
      <w:r w:rsidR="000D0069">
        <w:t>1</w:t>
      </w:r>
      <w:r w:rsidR="00FA7A60">
        <w:t>A</w:t>
      </w:r>
      <w:r w:rsidDel="00F73E35" w:rsidR="00F73E35">
        <w:t xml:space="preserve"> </w:t>
      </w:r>
      <w:r w:rsidR="00FA7A60">
        <w:t>includes r</w:t>
      </w:r>
      <w:r w:rsidRPr="007B11A0" w:rsidR="00FA7A60">
        <w:rPr>
          <w:rStyle w:val="markedcontent"/>
          <w:rFonts w:cs="Yu Gothic Light"/>
          <w:szCs w:val="26"/>
        </w:rPr>
        <w:t>eliability standards that reflect the</w:t>
      </w:r>
      <w:r w:rsidR="00845D1B">
        <w:rPr>
          <w:rStyle w:val="markedcontent"/>
          <w:rFonts w:cs="Yu Gothic Light"/>
          <w:szCs w:val="26"/>
        </w:rPr>
        <w:t xml:space="preserve"> </w:t>
      </w:r>
      <w:r w:rsidRPr="007B11A0" w:rsidR="00FA7A60">
        <w:rPr>
          <w:rStyle w:val="markedcontent"/>
          <w:rFonts w:cs="Yu Gothic Light"/>
          <w:szCs w:val="26"/>
        </w:rPr>
        <w:t>current and prospective operational challenges that face gas system operators.</w:t>
      </w:r>
      <w:r w:rsidR="00FA7A60">
        <w:rPr>
          <w:rStyle w:val="markedcontent"/>
          <w:rFonts w:cs="Yu Gothic Light"/>
          <w:szCs w:val="26"/>
        </w:rPr>
        <w:t xml:space="preserve"> </w:t>
      </w:r>
      <w:r w:rsidR="000D0069">
        <w:rPr>
          <w:rStyle w:val="markedcontent"/>
          <w:rFonts w:cs="Yu Gothic Light"/>
          <w:szCs w:val="26"/>
        </w:rPr>
        <w:t>Track</w:t>
      </w:r>
      <w:r w:rsidR="00513B3F">
        <w:rPr>
          <w:rStyle w:val="markedcontent"/>
          <w:rFonts w:cs="Yu Gothic Light"/>
          <w:szCs w:val="26"/>
        </w:rPr>
        <w:t> </w:t>
      </w:r>
      <w:r w:rsidR="000D0069">
        <w:rPr>
          <w:rStyle w:val="markedcontent"/>
          <w:rFonts w:cs="Yu Gothic Light"/>
          <w:szCs w:val="26"/>
        </w:rPr>
        <w:t>1</w:t>
      </w:r>
      <w:r w:rsidR="00FA7A60">
        <w:rPr>
          <w:rStyle w:val="markedcontent"/>
          <w:rFonts w:cs="Yu Gothic Light"/>
          <w:szCs w:val="26"/>
        </w:rPr>
        <w:t xml:space="preserve">B addresses market structure and regulation. </w:t>
      </w:r>
      <w:r w:rsidR="000D0069">
        <w:rPr>
          <w:rStyle w:val="markedcontent"/>
          <w:rFonts w:cs="Yu Gothic Light"/>
          <w:szCs w:val="26"/>
        </w:rPr>
        <w:t>Track</w:t>
      </w:r>
      <w:r w:rsidR="00513B3F">
        <w:rPr>
          <w:rStyle w:val="markedcontent"/>
          <w:rFonts w:cs="Yu Gothic Light"/>
          <w:szCs w:val="26"/>
        </w:rPr>
        <w:t> </w:t>
      </w:r>
      <w:r w:rsidR="000D0069">
        <w:rPr>
          <w:rStyle w:val="markedcontent"/>
          <w:rFonts w:cs="Yu Gothic Light"/>
          <w:szCs w:val="26"/>
        </w:rPr>
        <w:t>2</w:t>
      </w:r>
      <w:r w:rsidR="00FA7A60">
        <w:rPr>
          <w:rStyle w:val="markedcontent"/>
          <w:rFonts w:cs="Yu Gothic Light"/>
          <w:szCs w:val="26"/>
        </w:rPr>
        <w:t xml:space="preserve">A addresses the appropriate gas infrastructure for California given the state’s </w:t>
      </w:r>
      <w:r w:rsidR="00EE748A">
        <w:rPr>
          <w:rStyle w:val="markedcontent"/>
          <w:rFonts w:cs="Yu Gothic Light"/>
          <w:szCs w:val="26"/>
        </w:rPr>
        <w:t>GHG</w:t>
      </w:r>
      <w:r w:rsidR="00FA7A60">
        <w:rPr>
          <w:rStyle w:val="markedcontent"/>
          <w:rFonts w:cs="Yu Gothic Light"/>
          <w:szCs w:val="26"/>
        </w:rPr>
        <w:t xml:space="preserve"> reduction laws, addressing gas transmission and distribution infrastructure. </w:t>
      </w:r>
      <w:r w:rsidR="000D0069">
        <w:rPr>
          <w:rStyle w:val="markedcontent"/>
          <w:rFonts w:cs="Yu Gothic Light"/>
          <w:szCs w:val="26"/>
        </w:rPr>
        <w:t>Track</w:t>
      </w:r>
      <w:r w:rsidR="00513B3F">
        <w:rPr>
          <w:rStyle w:val="markedcontent"/>
          <w:rFonts w:cs="Yu Gothic Light"/>
          <w:szCs w:val="26"/>
        </w:rPr>
        <w:t> </w:t>
      </w:r>
      <w:r w:rsidR="000D0069">
        <w:rPr>
          <w:rStyle w:val="markedcontent"/>
          <w:rFonts w:cs="Yu Gothic Light"/>
          <w:szCs w:val="26"/>
        </w:rPr>
        <w:t>2</w:t>
      </w:r>
      <w:r w:rsidR="00FA7A60">
        <w:rPr>
          <w:rStyle w:val="markedcontent"/>
          <w:rFonts w:cs="Yu Gothic Light"/>
          <w:szCs w:val="26"/>
        </w:rPr>
        <w:t>B addresses equity, rate design, and gas revenues, with a particular lens for low</w:t>
      </w:r>
      <w:r w:rsidR="00513B3F">
        <w:rPr>
          <w:rStyle w:val="markedcontent"/>
          <w:rFonts w:cs="Yu Gothic Light"/>
          <w:szCs w:val="26"/>
        </w:rPr>
        <w:noBreakHyphen/>
      </w:r>
      <w:r w:rsidR="00FA7A60">
        <w:rPr>
          <w:rStyle w:val="markedcontent"/>
          <w:rFonts w:cs="Yu Gothic Light"/>
          <w:szCs w:val="26"/>
        </w:rPr>
        <w:t xml:space="preserve">income customers and those residing in disadvantaged communities. </w:t>
      </w:r>
      <w:r w:rsidR="000D0069">
        <w:rPr>
          <w:rStyle w:val="markedcontent"/>
          <w:rFonts w:cs="Yu Gothic Light"/>
          <w:szCs w:val="26"/>
        </w:rPr>
        <w:t>Track</w:t>
      </w:r>
      <w:r w:rsidR="00513B3F">
        <w:rPr>
          <w:rStyle w:val="markedcontent"/>
          <w:rFonts w:cs="Yu Gothic Light"/>
          <w:szCs w:val="26"/>
        </w:rPr>
        <w:t> </w:t>
      </w:r>
      <w:r w:rsidR="000D0069">
        <w:rPr>
          <w:rStyle w:val="markedcontent"/>
          <w:rFonts w:cs="Yu Gothic Light"/>
          <w:szCs w:val="26"/>
        </w:rPr>
        <w:t>2</w:t>
      </w:r>
      <w:r w:rsidR="00FA7A60">
        <w:rPr>
          <w:rStyle w:val="markedcontent"/>
          <w:rFonts w:cs="Yu Gothic Light"/>
          <w:szCs w:val="26"/>
        </w:rPr>
        <w:t xml:space="preserve">C </w:t>
      </w:r>
      <w:r w:rsidR="00615FFC">
        <w:rPr>
          <w:rStyle w:val="markedcontent"/>
          <w:rFonts w:cs="Yu Gothic Light"/>
          <w:szCs w:val="26"/>
        </w:rPr>
        <w:t>addresses</w:t>
      </w:r>
      <w:r w:rsidR="00FA7A60">
        <w:rPr>
          <w:rStyle w:val="markedcontent"/>
          <w:rFonts w:cs="Yu Gothic Light"/>
          <w:szCs w:val="26"/>
        </w:rPr>
        <w:t xml:space="preserve"> forecasting and data.</w:t>
      </w:r>
      <w:r w:rsidR="00FA7A60">
        <w:rPr>
          <w:rStyle w:val="FootnoteReference"/>
          <w:rFonts w:cs="Yu Gothic Light"/>
          <w:szCs w:val="26"/>
        </w:rPr>
        <w:footnoteReference w:id="86"/>
      </w:r>
      <w:r w:rsidR="00FA7A60">
        <w:rPr>
          <w:rStyle w:val="markedcontent"/>
          <w:rFonts w:cs="Yu Gothic Light"/>
          <w:szCs w:val="26"/>
        </w:rPr>
        <w:t xml:space="preserve"> </w:t>
      </w:r>
    </w:p>
    <w:p w:rsidRPr="00FA7A60" w:rsidR="00A53197" w:rsidP="00845D1B" w:rsidRDefault="00B200C4" w14:paraId="0D5CFA49" w14:textId="5FD9E6EF">
      <w:pPr>
        <w:pStyle w:val="Standard"/>
        <w:rPr>
          <w:rFonts w:cs="Yu Gothic Light"/>
          <w:szCs w:val="26"/>
        </w:rPr>
      </w:pPr>
      <w:r>
        <w:rPr>
          <w:rStyle w:val="markedcontent"/>
          <w:rFonts w:cs="Yu Gothic Light"/>
          <w:szCs w:val="26"/>
        </w:rPr>
        <w:t xml:space="preserve">Both </w:t>
      </w:r>
      <w:r w:rsidR="00E73455">
        <w:rPr>
          <w:rStyle w:val="markedcontent"/>
          <w:rFonts w:cs="Yu Gothic Light"/>
          <w:szCs w:val="26"/>
        </w:rPr>
        <w:t>R.20</w:t>
      </w:r>
      <w:r w:rsidR="00513B3F">
        <w:rPr>
          <w:rStyle w:val="markedcontent"/>
          <w:rFonts w:cs="Yu Gothic Light"/>
          <w:szCs w:val="26"/>
        </w:rPr>
        <w:noBreakHyphen/>
      </w:r>
      <w:r w:rsidR="00586169">
        <w:rPr>
          <w:rStyle w:val="markedcontent"/>
          <w:rFonts w:cs="Yu Gothic Light"/>
          <w:szCs w:val="26"/>
        </w:rPr>
        <w:t>01</w:t>
      </w:r>
      <w:r w:rsidR="00513B3F">
        <w:rPr>
          <w:rStyle w:val="markedcontent"/>
          <w:rFonts w:cs="Yu Gothic Light"/>
          <w:szCs w:val="26"/>
        </w:rPr>
        <w:noBreakHyphen/>
      </w:r>
      <w:r w:rsidR="00586169">
        <w:rPr>
          <w:rStyle w:val="markedcontent"/>
          <w:rFonts w:cs="Yu Gothic Light"/>
          <w:szCs w:val="26"/>
        </w:rPr>
        <w:t>007 and this proceeding address</w:t>
      </w:r>
      <w:r w:rsidR="00592097">
        <w:rPr>
          <w:rStyle w:val="markedcontent"/>
          <w:rFonts w:cs="Yu Gothic Light"/>
          <w:szCs w:val="26"/>
        </w:rPr>
        <w:t xml:space="preserve"> </w:t>
      </w:r>
      <w:r w:rsidR="00FA7A60">
        <w:rPr>
          <w:rStyle w:val="markedcontent"/>
          <w:rFonts w:cs="Yu Gothic Light"/>
          <w:szCs w:val="26"/>
        </w:rPr>
        <w:t>issues relating to gas system</w:t>
      </w:r>
      <w:r w:rsidR="00586169">
        <w:rPr>
          <w:rStyle w:val="markedcontent"/>
          <w:rFonts w:cs="Yu Gothic Light"/>
          <w:szCs w:val="26"/>
        </w:rPr>
        <w:t>s</w:t>
      </w:r>
      <w:r w:rsidR="00795CC3">
        <w:rPr>
          <w:rStyle w:val="markedcontent"/>
          <w:rFonts w:cs="Yu Gothic Light"/>
          <w:szCs w:val="26"/>
        </w:rPr>
        <w:t>;</w:t>
      </w:r>
      <w:r w:rsidR="004C0AA6">
        <w:rPr>
          <w:rStyle w:val="markedcontent"/>
          <w:rFonts w:cs="Yu Gothic Light"/>
          <w:szCs w:val="26"/>
        </w:rPr>
        <w:t xml:space="preserve"> </w:t>
      </w:r>
      <w:r w:rsidR="007F5EE7">
        <w:rPr>
          <w:rStyle w:val="markedcontent"/>
          <w:rFonts w:cs="Yu Gothic Light"/>
          <w:szCs w:val="26"/>
        </w:rPr>
        <w:t>however,</w:t>
      </w:r>
      <w:r w:rsidR="004C0AA6">
        <w:rPr>
          <w:rStyle w:val="markedcontent"/>
          <w:rFonts w:cs="Yu Gothic Light"/>
          <w:szCs w:val="26"/>
        </w:rPr>
        <w:t xml:space="preserve"> </w:t>
      </w:r>
      <w:r w:rsidR="00372767">
        <w:rPr>
          <w:rStyle w:val="markedcontent"/>
          <w:rFonts w:cs="Yu Gothic Light"/>
          <w:szCs w:val="26"/>
        </w:rPr>
        <w:t>th</w:t>
      </w:r>
      <w:r w:rsidR="00FA7A60">
        <w:rPr>
          <w:rStyle w:val="markedcontent"/>
          <w:rFonts w:cs="Yu Gothic Light"/>
          <w:szCs w:val="26"/>
        </w:rPr>
        <w:t xml:space="preserve">e scope of this decision is </w:t>
      </w:r>
      <w:r w:rsidR="00420A21">
        <w:rPr>
          <w:rStyle w:val="markedcontent"/>
          <w:rFonts w:cs="Yu Gothic Light"/>
          <w:szCs w:val="26"/>
        </w:rPr>
        <w:t>narrowly focused on the elimination of the gas line subsidies</w:t>
      </w:r>
      <w:r w:rsidR="00E94687">
        <w:rPr>
          <w:rStyle w:val="markedcontent"/>
          <w:rFonts w:cs="Yu Gothic Light"/>
          <w:szCs w:val="26"/>
        </w:rPr>
        <w:t xml:space="preserve">. </w:t>
      </w:r>
      <w:r w:rsidR="009E1908">
        <w:rPr>
          <w:rStyle w:val="markedcontent"/>
          <w:rFonts w:cs="Yu Gothic Light"/>
          <w:szCs w:val="26"/>
        </w:rPr>
        <w:t xml:space="preserve">Our decision on this limited issue here </w:t>
      </w:r>
      <w:r w:rsidR="00420A21">
        <w:rPr>
          <w:rStyle w:val="markedcontent"/>
          <w:rFonts w:cs="Yu Gothic Light"/>
          <w:szCs w:val="26"/>
        </w:rPr>
        <w:t xml:space="preserve">will not have a </w:t>
      </w:r>
      <w:r w:rsidR="00FA7A60">
        <w:rPr>
          <w:rStyle w:val="markedcontent"/>
          <w:rFonts w:cs="Yu Gothic Light"/>
          <w:szCs w:val="26"/>
        </w:rPr>
        <w:t xml:space="preserve">material impact on </w:t>
      </w:r>
      <w:r w:rsidR="00165EDD">
        <w:rPr>
          <w:rStyle w:val="markedcontent"/>
          <w:rFonts w:cs="Yu Gothic Light"/>
          <w:szCs w:val="26"/>
        </w:rPr>
        <w:t xml:space="preserve">any issues scoped in </w:t>
      </w:r>
      <w:r w:rsidR="00FA7A60">
        <w:rPr>
          <w:rStyle w:val="markedcontent"/>
          <w:rFonts w:cs="Yu Gothic Light"/>
          <w:szCs w:val="26"/>
        </w:rPr>
        <w:t>R.20</w:t>
      </w:r>
      <w:r w:rsidR="00513B3F">
        <w:rPr>
          <w:rStyle w:val="markedcontent"/>
          <w:rFonts w:cs="Yu Gothic Light"/>
          <w:szCs w:val="26"/>
        </w:rPr>
        <w:noBreakHyphen/>
      </w:r>
      <w:r w:rsidR="00FA7A60">
        <w:rPr>
          <w:rStyle w:val="markedcontent"/>
          <w:rFonts w:cs="Yu Gothic Light"/>
          <w:szCs w:val="26"/>
        </w:rPr>
        <w:t>01</w:t>
      </w:r>
      <w:r w:rsidR="00513B3F">
        <w:rPr>
          <w:rStyle w:val="markedcontent"/>
          <w:rFonts w:cs="Yu Gothic Light"/>
          <w:szCs w:val="26"/>
        </w:rPr>
        <w:noBreakHyphen/>
      </w:r>
      <w:r w:rsidR="00FA7A60">
        <w:rPr>
          <w:rStyle w:val="markedcontent"/>
          <w:rFonts w:cs="Yu Gothic Light"/>
          <w:szCs w:val="26"/>
        </w:rPr>
        <w:t>007</w:t>
      </w:r>
      <w:r w:rsidR="00FA753D">
        <w:rPr>
          <w:rStyle w:val="markedcontent"/>
          <w:rFonts w:cs="Yu Gothic Light"/>
          <w:szCs w:val="26"/>
        </w:rPr>
        <w:t xml:space="preserve">. </w:t>
      </w:r>
      <w:r w:rsidR="007B3548">
        <w:rPr>
          <w:rStyle w:val="markedcontent"/>
          <w:rFonts w:cs="Yu Gothic Light"/>
          <w:szCs w:val="26"/>
        </w:rPr>
        <w:t>Therefore,</w:t>
      </w:r>
      <w:r w:rsidR="00845D1B">
        <w:rPr>
          <w:rStyle w:val="markedcontent"/>
          <w:rFonts w:cs="Yu Gothic Light"/>
          <w:szCs w:val="26"/>
        </w:rPr>
        <w:t xml:space="preserve"> we </w:t>
      </w:r>
      <w:r w:rsidR="00845D1B">
        <w:rPr>
          <w:rStyle w:val="markedcontent"/>
          <w:rFonts w:cs="Yu Gothic Light"/>
          <w:szCs w:val="26"/>
        </w:rPr>
        <w:lastRenderedPageBreak/>
        <w:t xml:space="preserve">deny SWG’s </w:t>
      </w:r>
      <w:r w:rsidR="007F4F5C">
        <w:rPr>
          <w:rStyle w:val="markedcontent"/>
          <w:rFonts w:cs="Yu Gothic Light"/>
          <w:szCs w:val="26"/>
        </w:rPr>
        <w:t>recommendation</w:t>
      </w:r>
      <w:r w:rsidR="00845D1B">
        <w:rPr>
          <w:rStyle w:val="markedcontent"/>
          <w:rFonts w:cs="Yu Gothic Light"/>
          <w:szCs w:val="26"/>
        </w:rPr>
        <w:t xml:space="preserve"> to </w:t>
      </w:r>
      <w:r w:rsidR="007F4F5C">
        <w:rPr>
          <w:rStyle w:val="markedcontent"/>
          <w:rFonts w:cs="Yu Gothic Light"/>
          <w:szCs w:val="26"/>
        </w:rPr>
        <w:t>delay a decision in this proceeding</w:t>
      </w:r>
      <w:r w:rsidRPr="00845D1B" w:rsidR="00845D1B">
        <w:rPr>
          <w:rFonts w:cs="Yu Gothic Light"/>
          <w:szCs w:val="26"/>
        </w:rPr>
        <w:t xml:space="preserve"> until R.20</w:t>
      </w:r>
      <w:r w:rsidR="00513B3F">
        <w:rPr>
          <w:rFonts w:cs="Yu Gothic Light"/>
          <w:szCs w:val="26"/>
        </w:rPr>
        <w:noBreakHyphen/>
      </w:r>
      <w:r w:rsidRPr="00845D1B" w:rsidR="00845D1B">
        <w:rPr>
          <w:rFonts w:cs="Yu Gothic Light"/>
          <w:szCs w:val="26"/>
        </w:rPr>
        <w:t>01</w:t>
      </w:r>
      <w:r w:rsidR="00513B3F">
        <w:rPr>
          <w:rFonts w:cs="Yu Gothic Light"/>
          <w:szCs w:val="26"/>
        </w:rPr>
        <w:noBreakHyphen/>
      </w:r>
      <w:r w:rsidRPr="00845D1B" w:rsidR="00845D1B">
        <w:rPr>
          <w:rFonts w:cs="Yu Gothic Light"/>
          <w:szCs w:val="26"/>
        </w:rPr>
        <w:t>007 concludes.</w:t>
      </w:r>
    </w:p>
    <w:p w:rsidR="00EE3195" w:rsidP="007C2EF4" w:rsidRDefault="00023D94" w14:paraId="39D4FBB8" w14:textId="4EAD312F">
      <w:pPr>
        <w:pStyle w:val="Heading1"/>
      </w:pPr>
      <w:bookmarkStart w:name="_Toc109376118" w:id="115"/>
      <w:bookmarkStart w:name="_Toc109141150" w:id="116"/>
      <w:bookmarkStart w:name="_Toc110598570" w:id="117"/>
      <w:r>
        <w:t>Non</w:t>
      </w:r>
      <w:r w:rsidR="00513B3F">
        <w:noBreakHyphen/>
      </w:r>
      <w:r w:rsidR="001A5952">
        <w:t>R</w:t>
      </w:r>
      <w:r>
        <w:t xml:space="preserve">esidential </w:t>
      </w:r>
      <w:r w:rsidR="00EE3195">
        <w:t>Gas Line</w:t>
      </w:r>
      <w:r w:rsidR="00337174">
        <w:br/>
      </w:r>
      <w:r w:rsidRPr="00337174" w:rsidR="00EE3195">
        <w:t>Subsid</w:t>
      </w:r>
      <w:r w:rsidRPr="00337174" w:rsidR="00A77FEB">
        <w:t>i</w:t>
      </w:r>
      <w:r w:rsidRPr="00337174" w:rsidR="00EE3195">
        <w:t>es</w:t>
      </w:r>
      <w:r w:rsidRPr="00337174" w:rsidR="007C7587">
        <w:t xml:space="preserve"> Revisions</w:t>
      </w:r>
      <w:bookmarkEnd w:id="115"/>
      <w:bookmarkEnd w:id="116"/>
      <w:bookmarkEnd w:id="117"/>
      <w:r w:rsidR="00EE3195">
        <w:t xml:space="preserve"> </w:t>
      </w:r>
    </w:p>
    <w:p w:rsidR="00DC565F" w:rsidP="00DC565F" w:rsidRDefault="00DC565F" w14:paraId="61DB1020" w14:textId="6C3369BF">
      <w:pPr>
        <w:pStyle w:val="Standard"/>
      </w:pPr>
      <w:r>
        <w:t>Of the 18 parties commenting on eliminating the gas line subsidies for non</w:t>
      </w:r>
      <w:r w:rsidR="00513B3F">
        <w:noBreakHyphen/>
      </w:r>
      <w:r>
        <w:t>residential customers, 12 parties support the Staff Proposal and six oppose</w:t>
      </w:r>
      <w:r w:rsidR="00C76850">
        <w:t xml:space="preserve">. </w:t>
      </w:r>
    </w:p>
    <w:p w:rsidR="00DC565F" w:rsidP="007C2EF4" w:rsidRDefault="00DC565F" w14:paraId="14F52232" w14:textId="780EA7F0">
      <w:pPr>
        <w:pStyle w:val="Heading2"/>
      </w:pPr>
      <w:bookmarkStart w:name="_Toc109376119" w:id="118"/>
      <w:bookmarkStart w:name="_Toc109141151" w:id="119"/>
      <w:bookmarkStart w:name="_Toc110598571" w:id="120"/>
      <w:r w:rsidRPr="004A1904">
        <w:t>Positions of Parties</w:t>
      </w:r>
      <w:r w:rsidR="00D93F09">
        <w:br/>
      </w:r>
      <w:r w:rsidRPr="004A1904">
        <w:t>Supporting the Staff Proposa</w:t>
      </w:r>
      <w:r>
        <w:t>l</w:t>
      </w:r>
      <w:bookmarkEnd w:id="118"/>
      <w:bookmarkEnd w:id="119"/>
      <w:bookmarkEnd w:id="120"/>
    </w:p>
    <w:p w:rsidR="00013A9D" w:rsidP="00013A9D" w:rsidRDefault="00013A9D" w14:paraId="47882556" w14:textId="0709D572">
      <w:pPr>
        <w:pStyle w:val="Standard"/>
      </w:pPr>
      <w:r>
        <w:t>The 12 parties who endorse the Staff Proposal to eliminate gas line subsidies for the non</w:t>
      </w:r>
      <w:r w:rsidR="00513B3F">
        <w:noBreakHyphen/>
      </w:r>
      <w:r>
        <w:t>residential sector are</w:t>
      </w:r>
      <w:r w:rsidRPr="00337174">
        <w:t xml:space="preserve">: </w:t>
      </w:r>
      <w:r w:rsidRPr="00337174" w:rsidR="00EC0DCE">
        <w:t xml:space="preserve"> </w:t>
      </w:r>
      <w:r w:rsidRPr="00337174">
        <w:t>S</w:t>
      </w:r>
      <w:r>
        <w:t xml:space="preserve">CE, </w:t>
      </w:r>
      <w:r w:rsidR="00CA372C">
        <w:t>Cal</w:t>
      </w:r>
      <w:r w:rsidR="00513B3F">
        <w:t> </w:t>
      </w:r>
      <w:r w:rsidR="00CA372C">
        <w:t>Advoc</w:t>
      </w:r>
      <w:r>
        <w:t xml:space="preserve">ates, CEJA, EDF, NRDC, Sierra Club, TURN, EBCE, MCE, </w:t>
      </w:r>
      <w:r w:rsidR="00567C99">
        <w:t>SCP</w:t>
      </w:r>
      <w:r>
        <w:t xml:space="preserve">, </w:t>
      </w:r>
      <w:r w:rsidR="00DC42E5">
        <w:t>PCE</w:t>
      </w:r>
      <w:r w:rsidR="002F07E4">
        <w:t>,</w:t>
      </w:r>
      <w:r w:rsidR="00080E46">
        <w:t xml:space="preserve"> and SBUA</w:t>
      </w:r>
      <w:r>
        <w:t xml:space="preserve">. </w:t>
      </w:r>
      <w:r w:rsidR="009F13D0">
        <w:t xml:space="preserve">In addition to </w:t>
      </w:r>
      <w:r w:rsidR="007519E5">
        <w:t>many of the same</w:t>
      </w:r>
      <w:r w:rsidR="009F13D0">
        <w:t xml:space="preserve"> points made supporting the elimination of the gas line subsid</w:t>
      </w:r>
      <w:r w:rsidR="00A77FEB">
        <w:t>i</w:t>
      </w:r>
      <w:r w:rsidR="009F13D0">
        <w:t xml:space="preserve">es for the residential sector </w:t>
      </w:r>
      <w:r w:rsidR="00581831">
        <w:t>as discussed</w:t>
      </w:r>
      <w:r w:rsidR="009F13D0">
        <w:t xml:space="preserve"> </w:t>
      </w:r>
      <w:r w:rsidR="00F22B28">
        <w:t>above</w:t>
      </w:r>
      <w:r w:rsidR="009F13D0">
        <w:t xml:space="preserve">, they make these </w:t>
      </w:r>
      <w:r w:rsidR="00DB3293">
        <w:t xml:space="preserve">additional </w:t>
      </w:r>
      <w:r w:rsidR="009F13D0">
        <w:t>points in support</w:t>
      </w:r>
      <w:r w:rsidRPr="00257475" w:rsidR="00257475">
        <w:t xml:space="preserve"> </w:t>
      </w:r>
      <w:r w:rsidR="00257475">
        <w:t>o</w:t>
      </w:r>
      <w:r w:rsidR="007519E5">
        <w:t>f</w:t>
      </w:r>
      <w:r w:rsidR="00257475">
        <w:t xml:space="preserve"> eliminating the gas line subsidies for non</w:t>
      </w:r>
      <w:r w:rsidR="00513B3F">
        <w:noBreakHyphen/>
      </w:r>
      <w:r w:rsidR="00257475">
        <w:t>residential customers</w:t>
      </w:r>
      <w:r w:rsidR="009F13D0">
        <w:t>:</w:t>
      </w:r>
    </w:p>
    <w:p w:rsidRPr="005D0E6B" w:rsidR="001A7DE4" w:rsidRDefault="001A7DE4" w14:paraId="7874ABE4" w14:textId="45DA6A02">
      <w:pPr>
        <w:pStyle w:val="BlockQuoteH025"/>
        <w:numPr>
          <w:ilvl w:val="0"/>
          <w:numId w:val="2"/>
        </w:numPr>
        <w:tabs>
          <w:tab w:val="clear" w:pos="360"/>
        </w:tabs>
        <w:ind w:left="1080"/>
      </w:pPr>
      <w:r w:rsidRPr="001A7DE4">
        <w:t xml:space="preserve">Elimination of the gas line subsidies is a reasonable and necessary </w:t>
      </w:r>
      <w:r w:rsidRPr="005D0E6B">
        <w:t>step in pursuit of reduc</w:t>
      </w:r>
      <w:r w:rsidR="00D17065">
        <w:t>ing</w:t>
      </w:r>
      <w:r w:rsidRPr="005D0E6B">
        <w:t xml:space="preserve"> GHG emissions given that California is at substantial risk of not achieving its </w:t>
      </w:r>
      <w:r w:rsidR="00452F77">
        <w:t>SB</w:t>
      </w:r>
      <w:r w:rsidR="00513B3F">
        <w:t> </w:t>
      </w:r>
      <w:r w:rsidRPr="005D0E6B">
        <w:t>32 requirement to reduce emissions to 40</w:t>
      </w:r>
      <w:r w:rsidR="0021555A">
        <w:t> percent</w:t>
      </w:r>
      <w:r w:rsidRPr="005D0E6B">
        <w:t xml:space="preserve"> below 1990 levels by 2030, and as such, California must pursue </w:t>
      </w:r>
      <w:r w:rsidRPr="005F7EA2" w:rsidR="00031990">
        <w:t>carbon</w:t>
      </w:r>
      <w:r w:rsidR="00031990">
        <w:t xml:space="preserve"> </w:t>
      </w:r>
      <w:r w:rsidRPr="005D0E6B">
        <w:t>neutrality with urgency</w:t>
      </w:r>
      <w:r w:rsidR="001D21EC">
        <w:t xml:space="preserve">; </w:t>
      </w:r>
    </w:p>
    <w:p w:rsidR="009C3695" w:rsidRDefault="00EA5C95" w14:paraId="1B7B5F64" w14:textId="12270A86">
      <w:pPr>
        <w:pStyle w:val="BlockQuoteH025"/>
        <w:numPr>
          <w:ilvl w:val="0"/>
          <w:numId w:val="2"/>
        </w:numPr>
        <w:tabs>
          <w:tab w:val="clear" w:pos="360"/>
        </w:tabs>
        <w:ind w:left="1080"/>
      </w:pPr>
      <w:r w:rsidRPr="005D0E6B">
        <w:t xml:space="preserve">Elimination of the gas line subsidies </w:t>
      </w:r>
      <w:r w:rsidRPr="005D0E6B" w:rsidR="005D0E6B">
        <w:t xml:space="preserve">does not equate to a gas ban as builders and customers </w:t>
      </w:r>
      <w:r w:rsidR="005D0E6B">
        <w:t xml:space="preserve">can </w:t>
      </w:r>
      <w:r w:rsidRPr="005D0E6B" w:rsidR="003B7A0B">
        <w:t>contin</w:t>
      </w:r>
      <w:r w:rsidR="003B7A0B">
        <w:t>ue</w:t>
      </w:r>
      <w:r w:rsidRPr="005D0E6B" w:rsidR="005D0E6B">
        <w:t xml:space="preserve"> to build new facilities with gas service capabilities, and there is currently no mandate prohibiting customers from continuing to install gas infrastructure</w:t>
      </w:r>
      <w:r w:rsidR="001D21EC">
        <w:t>; and</w:t>
      </w:r>
    </w:p>
    <w:p w:rsidRPr="009C3695" w:rsidR="00EA5C95" w:rsidRDefault="00B35ACE" w14:paraId="1C87F675" w14:textId="52FEDE4A">
      <w:pPr>
        <w:pStyle w:val="BlockQuoteH025"/>
        <w:numPr>
          <w:ilvl w:val="0"/>
          <w:numId w:val="2"/>
        </w:numPr>
        <w:tabs>
          <w:tab w:val="clear" w:pos="360"/>
        </w:tabs>
        <w:ind w:left="1080"/>
      </w:pPr>
      <w:r>
        <w:t>Large n</w:t>
      </w:r>
      <w:r w:rsidR="003B7A0B">
        <w:t>on</w:t>
      </w:r>
      <w:r w:rsidR="00513B3F">
        <w:noBreakHyphen/>
      </w:r>
      <w:r w:rsidR="003B7A0B">
        <w:t>residential customer</w:t>
      </w:r>
      <w:r>
        <w:t xml:space="preserve">s </w:t>
      </w:r>
      <w:r w:rsidRPr="00C60E20" w:rsidR="003B7A0B">
        <w:t xml:space="preserve">are the most significant contributors to </w:t>
      </w:r>
      <w:r>
        <w:t>GHG</w:t>
      </w:r>
      <w:r w:rsidRPr="00C60E20" w:rsidR="003B7A0B">
        <w:t xml:space="preserve"> gas emissions with great potential to drive problematic expansion of the main gas line infrastructure further beyond existing use areas. </w:t>
      </w:r>
    </w:p>
    <w:p w:rsidR="00DC565F" w:rsidP="007C2EF4" w:rsidRDefault="00DC565F" w14:paraId="535B1968" w14:textId="3528A81A">
      <w:pPr>
        <w:pStyle w:val="Heading2"/>
      </w:pPr>
      <w:bookmarkStart w:name="_Toc109376120" w:id="121"/>
      <w:bookmarkStart w:name="_Toc109141152" w:id="122"/>
      <w:bookmarkStart w:name="_Toc110598572" w:id="123"/>
      <w:r w:rsidRPr="004A1904">
        <w:lastRenderedPageBreak/>
        <w:t>Positions of Parties</w:t>
      </w:r>
      <w:r w:rsidR="00D93F09">
        <w:br/>
      </w:r>
      <w:r>
        <w:t>Opposing</w:t>
      </w:r>
      <w:r w:rsidR="00D93F09">
        <w:t xml:space="preserve"> </w:t>
      </w:r>
      <w:r w:rsidRPr="004A1904">
        <w:t>the Staff Proposa</w:t>
      </w:r>
      <w:r>
        <w:t>l</w:t>
      </w:r>
      <w:bookmarkEnd w:id="121"/>
      <w:bookmarkEnd w:id="122"/>
      <w:bookmarkEnd w:id="123"/>
    </w:p>
    <w:p w:rsidR="0054085F" w:rsidP="0054085F" w:rsidRDefault="0054085F" w14:paraId="67E86A95" w14:textId="1F4E2698">
      <w:pPr>
        <w:pStyle w:val="Standard"/>
      </w:pPr>
      <w:r>
        <w:t xml:space="preserve">The six parties who </w:t>
      </w:r>
      <w:r w:rsidR="00AF63C1">
        <w:t xml:space="preserve">oppose </w:t>
      </w:r>
      <w:r>
        <w:t>the Staff Proposal to eliminate gas line subsidies for the non</w:t>
      </w:r>
      <w:r w:rsidR="00513B3F">
        <w:noBreakHyphen/>
      </w:r>
      <w:r>
        <w:t>residential sector are</w:t>
      </w:r>
      <w:r w:rsidRPr="00337174">
        <w:t>:</w:t>
      </w:r>
      <w:r w:rsidRPr="00337174" w:rsidR="00EC0DCE">
        <w:t xml:space="preserve"> </w:t>
      </w:r>
      <w:r w:rsidRPr="00337174">
        <w:t xml:space="preserve"> </w:t>
      </w:r>
      <w:r w:rsidRPr="00337174" w:rsidR="00A46715">
        <w:t>P</w:t>
      </w:r>
      <w:r w:rsidR="00A46715">
        <w:t>G&amp;E, SDG&amp;E, SoCalGas, S</w:t>
      </w:r>
      <w:r w:rsidR="00753EB7">
        <w:t xml:space="preserve">WG, </w:t>
      </w:r>
      <w:r w:rsidR="00A46715">
        <w:t>Clean Energy</w:t>
      </w:r>
      <w:r w:rsidR="00753EB7">
        <w:t xml:space="preserve">, and </w:t>
      </w:r>
      <w:r>
        <w:t xml:space="preserve">CCUE. In addition to </w:t>
      </w:r>
      <w:r w:rsidR="007519E5">
        <w:t xml:space="preserve">many of the </w:t>
      </w:r>
      <w:r w:rsidR="00D77F99">
        <w:t xml:space="preserve">same </w:t>
      </w:r>
      <w:r>
        <w:t xml:space="preserve">points made </w:t>
      </w:r>
      <w:r w:rsidR="00F65EAA">
        <w:t xml:space="preserve">opposing </w:t>
      </w:r>
      <w:r>
        <w:t>the elimination of the gas line subsid</w:t>
      </w:r>
      <w:r w:rsidR="00A77FEB">
        <w:t>i</w:t>
      </w:r>
      <w:r>
        <w:t xml:space="preserve">es for the residential sector </w:t>
      </w:r>
      <w:r w:rsidR="00B162E1">
        <w:t xml:space="preserve">as discussed </w:t>
      </w:r>
      <w:r w:rsidR="00451703">
        <w:t>above</w:t>
      </w:r>
      <w:r>
        <w:t xml:space="preserve">, they make these </w:t>
      </w:r>
      <w:r w:rsidRPr="00451703">
        <w:t>additional</w:t>
      </w:r>
      <w:r>
        <w:t xml:space="preserve"> points in </w:t>
      </w:r>
      <w:r w:rsidR="00F65EAA">
        <w:t>opposition</w:t>
      </w:r>
      <w:r w:rsidRPr="00257475">
        <w:t xml:space="preserve"> </w:t>
      </w:r>
      <w:r w:rsidR="00332973">
        <w:t xml:space="preserve">to </w:t>
      </w:r>
      <w:r>
        <w:t>eliminating the gas line subsidies for non</w:t>
      </w:r>
      <w:r w:rsidR="00513B3F">
        <w:noBreakHyphen/>
      </w:r>
      <w:r>
        <w:t>residential customers:</w:t>
      </w:r>
    </w:p>
    <w:p w:rsidR="00CC6797" w:rsidRDefault="006520C9" w14:paraId="6CF77A95" w14:textId="7ECB6369">
      <w:pPr>
        <w:pStyle w:val="BlockQuoteH025"/>
        <w:numPr>
          <w:ilvl w:val="0"/>
          <w:numId w:val="2"/>
        </w:numPr>
        <w:tabs>
          <w:tab w:val="clear" w:pos="360"/>
        </w:tabs>
        <w:ind w:left="1080"/>
      </w:pPr>
      <w:r w:rsidRPr="000B1715">
        <w:t>There is continued need for gas</w:t>
      </w:r>
      <w:r w:rsidRPr="00D34F90" w:rsidR="00950A98">
        <w:rPr>
          <w:szCs w:val="26"/>
        </w:rPr>
        <w:t xml:space="preserve"> and the natural gas system</w:t>
      </w:r>
      <w:r w:rsidRPr="00D34F90" w:rsidR="000B1715">
        <w:rPr>
          <w:szCs w:val="26"/>
        </w:rPr>
        <w:t xml:space="preserve"> specifically in the </w:t>
      </w:r>
      <w:r w:rsidRPr="000B1715" w:rsidR="000B1715">
        <w:t>industrial sectors that have yet to see energy options that can help them transition to a decarbonized future.</w:t>
      </w:r>
      <w:r w:rsidR="00D34F90">
        <w:t xml:space="preserve"> </w:t>
      </w:r>
      <w:r w:rsidRPr="00D34F90" w:rsidR="00DB7E66">
        <w:rPr>
          <w:szCs w:val="26"/>
        </w:rPr>
        <w:t>Clean</w:t>
      </w:r>
      <w:r w:rsidRPr="00D34F90" w:rsidR="00FA3792">
        <w:rPr>
          <w:szCs w:val="26"/>
        </w:rPr>
        <w:t>er</w:t>
      </w:r>
      <w:r w:rsidRPr="00D34F90" w:rsidR="00DB7E66">
        <w:rPr>
          <w:szCs w:val="26"/>
        </w:rPr>
        <w:t xml:space="preserve"> gases can replace or contribut</w:t>
      </w:r>
      <w:r w:rsidRPr="00D34F90" w:rsidR="00FA3792">
        <w:rPr>
          <w:szCs w:val="26"/>
        </w:rPr>
        <w:t>e</w:t>
      </w:r>
      <w:r w:rsidRPr="00D34F90" w:rsidR="00DB7E66">
        <w:rPr>
          <w:szCs w:val="26"/>
        </w:rPr>
        <w:t xml:space="preserve"> to </w:t>
      </w:r>
      <w:r w:rsidRPr="00D34F90" w:rsidR="00FA3792">
        <w:rPr>
          <w:szCs w:val="26"/>
        </w:rPr>
        <w:t>the</w:t>
      </w:r>
      <w:r w:rsidRPr="00D34F90" w:rsidR="00DB7E66">
        <w:rPr>
          <w:szCs w:val="26"/>
        </w:rPr>
        <w:t xml:space="preserve"> natural gas service and full electrification</w:t>
      </w:r>
      <w:r w:rsidRPr="006F3BB9" w:rsidR="006F3BB9">
        <w:t>, contributing to C</w:t>
      </w:r>
      <w:r w:rsidRPr="006F3BB9" w:rsidR="00CC6797">
        <w:t>alifornia’s energy objectives</w:t>
      </w:r>
      <w:r w:rsidR="00993E89">
        <w:t>;</w:t>
      </w:r>
    </w:p>
    <w:p w:rsidRPr="003653A8" w:rsidR="00655B5D" w:rsidRDefault="00544753" w14:paraId="15A7EFA7" w14:textId="4801341F">
      <w:pPr>
        <w:pStyle w:val="BlockQuoteH025"/>
        <w:numPr>
          <w:ilvl w:val="0"/>
          <w:numId w:val="2"/>
        </w:numPr>
        <w:tabs>
          <w:tab w:val="clear" w:pos="360"/>
        </w:tabs>
        <w:ind w:left="1080"/>
      </w:pPr>
      <w:r w:rsidRPr="003653A8">
        <w:t xml:space="preserve">Removing gas line subsidies for </w:t>
      </w:r>
      <w:r w:rsidRPr="003653A8" w:rsidR="005203FB">
        <w:t>large non</w:t>
      </w:r>
      <w:r w:rsidR="00513B3F">
        <w:noBreakHyphen/>
      </w:r>
      <w:r w:rsidRPr="003653A8" w:rsidR="005203FB">
        <w:t xml:space="preserve">residential or industrial customers will </w:t>
      </w:r>
      <w:r w:rsidR="00073E2C">
        <w:t xml:space="preserve">result in a net increase in GHG emissions because it will </w:t>
      </w:r>
      <w:r w:rsidR="00C075B9">
        <w:t>disincentiv</w:t>
      </w:r>
      <w:r w:rsidR="00FA6CA6">
        <w:t>ize</w:t>
      </w:r>
      <w:r w:rsidR="00C075B9">
        <w:t xml:space="preserve"> the </w:t>
      </w:r>
      <w:r w:rsidR="004D1778">
        <w:t>use</w:t>
      </w:r>
      <w:r w:rsidR="00543011">
        <w:t xml:space="preserve"> and production </w:t>
      </w:r>
      <w:r w:rsidR="004D1778">
        <w:t xml:space="preserve">of cleaner </w:t>
      </w:r>
      <w:r w:rsidR="00927C8D">
        <w:t>gas</w:t>
      </w:r>
      <w:r w:rsidR="000C1AA3">
        <w:t>es</w:t>
      </w:r>
      <w:r w:rsidR="00271933">
        <w:t>,</w:t>
      </w:r>
      <w:r w:rsidR="00B55683">
        <w:t xml:space="preserve"> </w:t>
      </w:r>
      <w:r w:rsidR="00572F40">
        <w:t xml:space="preserve">which </w:t>
      </w:r>
      <w:r w:rsidR="00F33E69">
        <w:t>can</w:t>
      </w:r>
      <w:r w:rsidR="00572F40">
        <w:t xml:space="preserve"> replace </w:t>
      </w:r>
      <w:r w:rsidRPr="003653A8" w:rsidR="005203FB">
        <w:t>higher GHG emitting fuels</w:t>
      </w:r>
      <w:r w:rsidR="00E13FBC">
        <w:t xml:space="preserve">, or </w:t>
      </w:r>
      <w:r w:rsidR="00824023">
        <w:t>“dirtier fuels”</w:t>
      </w:r>
      <w:r w:rsidR="00993E89">
        <w:t>;</w:t>
      </w:r>
      <w:r w:rsidRPr="005F01F4" w:rsidR="005F01F4">
        <w:rPr>
          <w:szCs w:val="26"/>
        </w:rPr>
        <w:t xml:space="preserve"> </w:t>
      </w:r>
    </w:p>
    <w:p w:rsidR="00655B5D" w:rsidRDefault="004A5D71" w14:paraId="5DCAA075" w14:textId="71395C21">
      <w:pPr>
        <w:pStyle w:val="BlockQuoteH025"/>
        <w:numPr>
          <w:ilvl w:val="0"/>
          <w:numId w:val="2"/>
        </w:numPr>
        <w:tabs>
          <w:tab w:val="clear" w:pos="360"/>
        </w:tabs>
        <w:ind w:left="1080"/>
      </w:pPr>
      <w:r w:rsidRPr="001C6D87">
        <w:t>Removing gas line subsidies for large non</w:t>
      </w:r>
      <w:r w:rsidR="00513B3F">
        <w:noBreakHyphen/>
      </w:r>
      <w:r w:rsidRPr="001C6D87">
        <w:t xml:space="preserve">residential or industrial customers will increase project costs and create additional hardship, which may cause developers to slow down projects, abandon projects or develop projects outside California, </w:t>
      </w:r>
      <w:r w:rsidR="0062406C">
        <w:t xml:space="preserve">negatively impacting </w:t>
      </w:r>
      <w:r w:rsidRPr="001C6D87" w:rsidR="001C6D87">
        <w:t>California</w:t>
      </w:r>
      <w:r w:rsidR="00E14E7C">
        <w:t>’s economy</w:t>
      </w:r>
      <w:r w:rsidR="00993E89">
        <w:t>; and</w:t>
      </w:r>
    </w:p>
    <w:p w:rsidR="005055E0" w:rsidRDefault="00C5455E" w14:paraId="1B409914" w14:textId="40905A25">
      <w:pPr>
        <w:pStyle w:val="BlockQuoteH025"/>
        <w:numPr>
          <w:ilvl w:val="0"/>
          <w:numId w:val="2"/>
        </w:numPr>
        <w:tabs>
          <w:tab w:val="clear" w:pos="360"/>
        </w:tabs>
        <w:ind w:left="1080"/>
      </w:pPr>
      <w:r>
        <w:t xml:space="preserve">Minimizing </w:t>
      </w:r>
      <w:r w:rsidRPr="006B623F">
        <w:rPr>
          <w:rFonts w:cs="Times New Roman"/>
          <w:szCs w:val="20"/>
        </w:rPr>
        <w:t>s</w:t>
      </w:r>
      <w:r w:rsidRPr="006B623F" w:rsidR="004C3052">
        <w:rPr>
          <w:rFonts w:cs="Times New Roman"/>
          <w:szCs w:val="20"/>
        </w:rPr>
        <w:t xml:space="preserve">hort lived climate pollutants </w:t>
      </w:r>
      <w:r w:rsidR="004C3052">
        <w:t>(</w:t>
      </w:r>
      <w:r w:rsidRPr="006B623F" w:rsidR="004C3052">
        <w:rPr>
          <w:rFonts w:cs="Times New Roman"/>
          <w:szCs w:val="20"/>
        </w:rPr>
        <w:t>SLCP</w:t>
      </w:r>
      <w:r w:rsidR="009A27D1">
        <w:rPr>
          <w:rFonts w:cs="Times New Roman"/>
          <w:szCs w:val="20"/>
        </w:rPr>
        <w:t>s</w:t>
      </w:r>
      <w:r w:rsidR="004C3052">
        <w:t>) should be the Commission’s top priority</w:t>
      </w:r>
      <w:r w:rsidR="004A5B71">
        <w:t>, as opposed to eliminating non</w:t>
      </w:r>
      <w:r w:rsidR="00513B3F">
        <w:noBreakHyphen/>
      </w:r>
      <w:r w:rsidR="004A5B71">
        <w:t>residential gas line subsidies,</w:t>
      </w:r>
      <w:r w:rsidR="004C3052">
        <w:t xml:space="preserve"> as these are the </w:t>
      </w:r>
      <w:r w:rsidRPr="002040CB" w:rsidR="004C3052">
        <w:t>only reductions that benefit the</w:t>
      </w:r>
      <w:r w:rsidR="004C3052">
        <w:t xml:space="preserve"> </w:t>
      </w:r>
      <w:r w:rsidRPr="002040CB" w:rsidR="004C3052">
        <w:t>climate immediately</w:t>
      </w:r>
      <w:r w:rsidR="004C3052">
        <w:t>.</w:t>
      </w:r>
    </w:p>
    <w:p w:rsidR="0033202B" w:rsidP="007C2EF4" w:rsidRDefault="0033202B" w14:paraId="156934B7" w14:textId="37AC0553">
      <w:pPr>
        <w:pStyle w:val="Heading2"/>
      </w:pPr>
      <w:bookmarkStart w:name="_Toc109376121" w:id="124"/>
      <w:bookmarkStart w:name="_Toc109141153" w:id="125"/>
      <w:bookmarkStart w:name="_Toc110598573" w:id="126"/>
      <w:r>
        <w:lastRenderedPageBreak/>
        <w:t xml:space="preserve">Alternate </w:t>
      </w:r>
      <w:r w:rsidR="00BE38AF">
        <w:t>Proposals</w:t>
      </w:r>
      <w:bookmarkEnd w:id="124"/>
      <w:bookmarkEnd w:id="125"/>
      <w:bookmarkEnd w:id="126"/>
      <w:r>
        <w:t xml:space="preserve"> </w:t>
      </w:r>
    </w:p>
    <w:p w:rsidR="00791C1B" w:rsidP="007C2EF4" w:rsidRDefault="00AD7379" w14:paraId="0D7C5E9A" w14:textId="1C004BD6">
      <w:pPr>
        <w:pStyle w:val="Heading3"/>
      </w:pPr>
      <w:bookmarkStart w:name="_Toc109376122" w:id="127"/>
      <w:bookmarkStart w:name="_Toc109141154" w:id="128"/>
      <w:bookmarkStart w:name="_Toc110598574" w:id="129"/>
      <w:r w:rsidRPr="00142428">
        <w:t xml:space="preserve">Exemptions for </w:t>
      </w:r>
      <w:r>
        <w:t xml:space="preserve">Specific List of </w:t>
      </w:r>
      <w:r w:rsidRPr="00142428">
        <w:t>Projects that Provide Environmental or Financial Benefits</w:t>
      </w:r>
      <w:r>
        <w:t xml:space="preserve"> (</w:t>
      </w:r>
      <w:r w:rsidRPr="006B623F" w:rsidR="0033202B">
        <w:t>Joint IOU</w:t>
      </w:r>
      <w:r w:rsidRPr="006B623F" w:rsidR="00791C1B">
        <w:t>s</w:t>
      </w:r>
      <w:r>
        <w:t>)</w:t>
      </w:r>
      <w:bookmarkEnd w:id="127"/>
      <w:bookmarkEnd w:id="128"/>
      <w:bookmarkEnd w:id="129"/>
      <w:r w:rsidR="00791C1B">
        <w:t xml:space="preserve"> </w:t>
      </w:r>
    </w:p>
    <w:p w:rsidR="00E1256B" w:rsidP="00E1256B" w:rsidRDefault="00E1256B" w14:paraId="78264BAE" w14:textId="7CDF1687">
      <w:pPr>
        <w:pStyle w:val="Standard"/>
        <w:rPr>
          <w:szCs w:val="26"/>
        </w:rPr>
      </w:pPr>
      <w:r w:rsidRPr="004E33A5">
        <w:rPr>
          <w:szCs w:val="26"/>
        </w:rPr>
        <w:t xml:space="preserve">The Joint </w:t>
      </w:r>
      <w:r w:rsidR="00140697">
        <w:rPr>
          <w:szCs w:val="26"/>
        </w:rPr>
        <w:t>IOUs</w:t>
      </w:r>
      <w:r w:rsidRPr="004E33A5">
        <w:rPr>
          <w:szCs w:val="26"/>
        </w:rPr>
        <w:t xml:space="preserve"> </w:t>
      </w:r>
      <w:r>
        <w:rPr>
          <w:szCs w:val="26"/>
        </w:rPr>
        <w:t xml:space="preserve">propose to continue the </w:t>
      </w:r>
      <w:r w:rsidRPr="00557695">
        <w:rPr>
          <w:szCs w:val="26"/>
        </w:rPr>
        <w:t>non</w:t>
      </w:r>
      <w:r w:rsidR="00513B3F">
        <w:rPr>
          <w:szCs w:val="26"/>
        </w:rPr>
        <w:noBreakHyphen/>
      </w:r>
      <w:r w:rsidRPr="00557695">
        <w:rPr>
          <w:szCs w:val="26"/>
        </w:rPr>
        <w:t xml:space="preserve">residential gas line </w:t>
      </w:r>
      <w:r w:rsidR="00557E8E">
        <w:rPr>
          <w:szCs w:val="26"/>
        </w:rPr>
        <w:t>s</w:t>
      </w:r>
      <w:r w:rsidR="00D47630">
        <w:rPr>
          <w:szCs w:val="26"/>
        </w:rPr>
        <w:t>ub</w:t>
      </w:r>
      <w:r w:rsidR="00557E8E">
        <w:rPr>
          <w:szCs w:val="26"/>
        </w:rPr>
        <w:t>sidies</w:t>
      </w:r>
      <w:r w:rsidRPr="00557695">
        <w:rPr>
          <w:szCs w:val="26"/>
        </w:rPr>
        <w:t xml:space="preserve"> for </w:t>
      </w:r>
      <w:r w:rsidR="00171EC4">
        <w:rPr>
          <w:szCs w:val="26"/>
        </w:rPr>
        <w:t xml:space="preserve">several categories of </w:t>
      </w:r>
      <w:r w:rsidRPr="00557695">
        <w:rPr>
          <w:szCs w:val="26"/>
        </w:rPr>
        <w:t>non</w:t>
      </w:r>
      <w:r w:rsidR="00513B3F">
        <w:rPr>
          <w:szCs w:val="26"/>
        </w:rPr>
        <w:noBreakHyphen/>
      </w:r>
      <w:r w:rsidRPr="00557695">
        <w:rPr>
          <w:szCs w:val="26"/>
        </w:rPr>
        <w:t>residential</w:t>
      </w:r>
      <w:r>
        <w:rPr>
          <w:szCs w:val="26"/>
        </w:rPr>
        <w:t xml:space="preserve"> </w:t>
      </w:r>
      <w:r w:rsidRPr="00557695">
        <w:rPr>
          <w:szCs w:val="26"/>
        </w:rPr>
        <w:t>projects that provide environmental or financial benefits to California ratepayers</w:t>
      </w:r>
      <w:r w:rsidR="00831D74">
        <w:rPr>
          <w:szCs w:val="26"/>
        </w:rPr>
        <w:t xml:space="preserve">. They also </w:t>
      </w:r>
      <w:r w:rsidR="00F704D6">
        <w:rPr>
          <w:szCs w:val="26"/>
        </w:rPr>
        <w:t xml:space="preserve">propose </w:t>
      </w:r>
      <w:r>
        <w:rPr>
          <w:szCs w:val="26"/>
        </w:rPr>
        <w:t xml:space="preserve">a </w:t>
      </w:r>
      <w:r w:rsidRPr="00557695">
        <w:rPr>
          <w:szCs w:val="26"/>
        </w:rPr>
        <w:t>mechanism to update</w:t>
      </w:r>
      <w:r>
        <w:rPr>
          <w:szCs w:val="26"/>
        </w:rPr>
        <w:t xml:space="preserve"> </w:t>
      </w:r>
      <w:r w:rsidRPr="00557695">
        <w:rPr>
          <w:szCs w:val="26"/>
        </w:rPr>
        <w:t>these categories periodically.</w:t>
      </w:r>
      <w:r>
        <w:rPr>
          <w:szCs w:val="26"/>
        </w:rPr>
        <w:t xml:space="preserve"> </w:t>
      </w:r>
      <w:r w:rsidR="0064180F">
        <w:rPr>
          <w:szCs w:val="26"/>
        </w:rPr>
        <w:t xml:space="preserve">According to the Joint </w:t>
      </w:r>
      <w:r w:rsidR="00914D85">
        <w:rPr>
          <w:szCs w:val="26"/>
        </w:rPr>
        <w:t>IOUs</w:t>
      </w:r>
      <w:r w:rsidR="0064180F">
        <w:rPr>
          <w:szCs w:val="26"/>
        </w:rPr>
        <w:t xml:space="preserve">, the following </w:t>
      </w:r>
      <w:r w:rsidR="00294E9D">
        <w:rPr>
          <w:szCs w:val="26"/>
        </w:rPr>
        <w:t xml:space="preserve">10 </w:t>
      </w:r>
      <w:r w:rsidRPr="009E009C">
        <w:rPr>
          <w:szCs w:val="26"/>
        </w:rPr>
        <w:t>non</w:t>
      </w:r>
      <w:r w:rsidR="00513B3F">
        <w:rPr>
          <w:szCs w:val="26"/>
        </w:rPr>
        <w:noBreakHyphen/>
      </w:r>
      <w:r w:rsidRPr="009E009C">
        <w:rPr>
          <w:szCs w:val="26"/>
        </w:rPr>
        <w:t>residential</w:t>
      </w:r>
      <w:r>
        <w:rPr>
          <w:szCs w:val="26"/>
        </w:rPr>
        <w:t xml:space="preserve"> </w:t>
      </w:r>
      <w:r w:rsidRPr="009E009C">
        <w:rPr>
          <w:szCs w:val="26"/>
        </w:rPr>
        <w:t xml:space="preserve">projects </w:t>
      </w:r>
      <w:r>
        <w:rPr>
          <w:szCs w:val="26"/>
        </w:rPr>
        <w:t>would</w:t>
      </w:r>
      <w:r w:rsidRPr="009E009C">
        <w:rPr>
          <w:szCs w:val="26"/>
        </w:rPr>
        <w:t xml:space="preserve"> provide environmental or financial benefits to California ratepayers</w:t>
      </w:r>
      <w:r>
        <w:rPr>
          <w:szCs w:val="26"/>
        </w:rPr>
        <w:t>:</w:t>
      </w:r>
      <w:r>
        <w:rPr>
          <w:rStyle w:val="FootnoteReference"/>
          <w:szCs w:val="26"/>
        </w:rPr>
        <w:footnoteReference w:id="87"/>
      </w:r>
      <w:r>
        <w:rPr>
          <w:szCs w:val="26"/>
        </w:rPr>
        <w:t xml:space="preserve"> </w:t>
      </w:r>
    </w:p>
    <w:p w:rsidRPr="009E009C" w:rsidR="00E1256B" w:rsidRDefault="00E1256B" w14:paraId="703246CC" w14:textId="77777777">
      <w:pPr>
        <w:pStyle w:val="BlockQuoteH025"/>
        <w:numPr>
          <w:ilvl w:val="0"/>
          <w:numId w:val="10"/>
        </w:numPr>
        <w:ind w:left="1080"/>
        <w:rPr>
          <w:szCs w:val="26"/>
        </w:rPr>
      </w:pPr>
      <w:r w:rsidRPr="006B623F">
        <w:rPr>
          <w:rFonts w:cs="Times New Roman"/>
          <w:szCs w:val="20"/>
        </w:rPr>
        <w:t xml:space="preserve">Renewable Natural Gas </w:t>
      </w:r>
      <w:r>
        <w:rPr>
          <w:szCs w:val="26"/>
        </w:rPr>
        <w:t>(</w:t>
      </w:r>
      <w:r w:rsidRPr="006B623F">
        <w:rPr>
          <w:rFonts w:cs="Times New Roman"/>
          <w:szCs w:val="20"/>
        </w:rPr>
        <w:t>RNG</w:t>
      </w:r>
      <w:r>
        <w:rPr>
          <w:szCs w:val="26"/>
        </w:rPr>
        <w:t xml:space="preserve">) </w:t>
      </w:r>
      <w:r w:rsidRPr="009E009C">
        <w:rPr>
          <w:szCs w:val="26"/>
        </w:rPr>
        <w:t>or Hydrogen (Piped and Virtual)</w:t>
      </w:r>
      <w:r>
        <w:rPr>
          <w:szCs w:val="26"/>
        </w:rPr>
        <w:t>;</w:t>
      </w:r>
    </w:p>
    <w:p w:rsidRPr="009E009C" w:rsidR="00E1256B" w:rsidRDefault="00E1256B" w14:paraId="53D2F239" w14:textId="15703820">
      <w:pPr>
        <w:pStyle w:val="BlockQuoteH025"/>
        <w:numPr>
          <w:ilvl w:val="0"/>
          <w:numId w:val="10"/>
        </w:numPr>
        <w:ind w:left="1080"/>
        <w:rPr>
          <w:szCs w:val="26"/>
        </w:rPr>
      </w:pPr>
      <w:r w:rsidRPr="006B623F">
        <w:rPr>
          <w:rFonts w:cs="Times New Roman"/>
          <w:szCs w:val="20"/>
        </w:rPr>
        <w:t xml:space="preserve">Compressed Natural Gas </w:t>
      </w:r>
      <w:r>
        <w:rPr>
          <w:szCs w:val="26"/>
        </w:rPr>
        <w:t>(</w:t>
      </w:r>
      <w:r w:rsidRPr="006B623F">
        <w:rPr>
          <w:rFonts w:cs="Times New Roman"/>
          <w:szCs w:val="20"/>
        </w:rPr>
        <w:t>CNG</w:t>
      </w:r>
      <w:r>
        <w:rPr>
          <w:szCs w:val="26"/>
        </w:rPr>
        <w:t>)</w:t>
      </w:r>
      <w:r w:rsidRPr="009E009C">
        <w:rPr>
          <w:szCs w:val="26"/>
        </w:rPr>
        <w:t xml:space="preserve">, </w:t>
      </w:r>
      <w:r w:rsidRPr="00E02B3B">
        <w:rPr>
          <w:rFonts w:cs="Times New Roman"/>
          <w:szCs w:val="20"/>
        </w:rPr>
        <w:t>Liquid Natural Gas</w:t>
      </w:r>
      <w:r w:rsidRPr="009E009C">
        <w:rPr>
          <w:szCs w:val="26"/>
        </w:rPr>
        <w:t>, and Hydrogen Stations</w:t>
      </w:r>
      <w:r>
        <w:rPr>
          <w:szCs w:val="26"/>
        </w:rPr>
        <w:t>;</w:t>
      </w:r>
    </w:p>
    <w:p w:rsidRPr="009E009C" w:rsidR="00E1256B" w:rsidRDefault="00E1256B" w14:paraId="5EA3671F" w14:textId="77777777">
      <w:pPr>
        <w:pStyle w:val="BlockQuoteH025"/>
        <w:numPr>
          <w:ilvl w:val="0"/>
          <w:numId w:val="10"/>
        </w:numPr>
        <w:ind w:left="1080"/>
        <w:rPr>
          <w:szCs w:val="26"/>
        </w:rPr>
      </w:pPr>
      <w:r w:rsidRPr="009E009C">
        <w:rPr>
          <w:szCs w:val="26"/>
        </w:rPr>
        <w:t>Electric Generation Projects</w:t>
      </w:r>
      <w:r>
        <w:rPr>
          <w:szCs w:val="26"/>
        </w:rPr>
        <w:t>;</w:t>
      </w:r>
    </w:p>
    <w:p w:rsidRPr="009E009C" w:rsidR="00E1256B" w:rsidRDefault="00E1256B" w14:paraId="3DB7F81D" w14:textId="77777777">
      <w:pPr>
        <w:pStyle w:val="BlockQuoteH025"/>
        <w:numPr>
          <w:ilvl w:val="0"/>
          <w:numId w:val="10"/>
        </w:numPr>
        <w:ind w:left="1080"/>
        <w:rPr>
          <w:szCs w:val="26"/>
        </w:rPr>
      </w:pPr>
      <w:r w:rsidRPr="009E009C">
        <w:rPr>
          <w:szCs w:val="26"/>
        </w:rPr>
        <w:t>Backup Generation Projects</w:t>
      </w:r>
      <w:r>
        <w:rPr>
          <w:szCs w:val="26"/>
        </w:rPr>
        <w:t>;</w:t>
      </w:r>
    </w:p>
    <w:p w:rsidRPr="009E009C" w:rsidR="00E1256B" w:rsidRDefault="00E1256B" w14:paraId="55B640EF" w14:textId="77777777">
      <w:pPr>
        <w:pStyle w:val="BlockQuoteH025"/>
        <w:numPr>
          <w:ilvl w:val="0"/>
          <w:numId w:val="10"/>
        </w:numPr>
        <w:ind w:left="1080"/>
        <w:rPr>
          <w:szCs w:val="26"/>
        </w:rPr>
      </w:pPr>
      <w:r w:rsidRPr="009E009C">
        <w:rPr>
          <w:szCs w:val="26"/>
        </w:rPr>
        <w:t>Facility Conversions (facilities switching from dirtier fuels)</w:t>
      </w:r>
      <w:r>
        <w:rPr>
          <w:szCs w:val="26"/>
        </w:rPr>
        <w:t>;</w:t>
      </w:r>
    </w:p>
    <w:p w:rsidRPr="009E009C" w:rsidR="00E1256B" w:rsidRDefault="00E1256B" w14:paraId="4BE5E6D7" w14:textId="77777777">
      <w:pPr>
        <w:pStyle w:val="BlockQuoteH025"/>
        <w:numPr>
          <w:ilvl w:val="0"/>
          <w:numId w:val="10"/>
        </w:numPr>
        <w:ind w:left="1080"/>
        <w:rPr>
          <w:szCs w:val="26"/>
        </w:rPr>
      </w:pPr>
      <w:r w:rsidRPr="009E009C">
        <w:rPr>
          <w:szCs w:val="26"/>
        </w:rPr>
        <w:t>Large Commercial Customers</w:t>
      </w:r>
      <w:r>
        <w:rPr>
          <w:szCs w:val="26"/>
        </w:rPr>
        <w:t>;</w:t>
      </w:r>
    </w:p>
    <w:p w:rsidRPr="009E009C" w:rsidR="00E1256B" w:rsidRDefault="00E1256B" w14:paraId="4DD5B406" w14:textId="77777777">
      <w:pPr>
        <w:pStyle w:val="BlockQuoteH025"/>
        <w:numPr>
          <w:ilvl w:val="0"/>
          <w:numId w:val="10"/>
        </w:numPr>
        <w:ind w:left="1080"/>
        <w:rPr>
          <w:szCs w:val="26"/>
        </w:rPr>
      </w:pPr>
      <w:r w:rsidRPr="009E009C">
        <w:rPr>
          <w:szCs w:val="26"/>
        </w:rPr>
        <w:t>Industrial Customers</w:t>
      </w:r>
      <w:r>
        <w:rPr>
          <w:szCs w:val="26"/>
        </w:rPr>
        <w:t>;</w:t>
      </w:r>
    </w:p>
    <w:p w:rsidRPr="009E009C" w:rsidR="00E1256B" w:rsidRDefault="00E1256B" w14:paraId="1A6835EE" w14:textId="77777777">
      <w:pPr>
        <w:pStyle w:val="BlockQuoteH025"/>
        <w:numPr>
          <w:ilvl w:val="0"/>
          <w:numId w:val="10"/>
        </w:numPr>
        <w:ind w:left="1080"/>
        <w:rPr>
          <w:szCs w:val="26"/>
        </w:rPr>
      </w:pPr>
      <w:r w:rsidRPr="009E009C">
        <w:rPr>
          <w:szCs w:val="26"/>
        </w:rPr>
        <w:t>Transmission Customers</w:t>
      </w:r>
      <w:r>
        <w:rPr>
          <w:szCs w:val="26"/>
        </w:rPr>
        <w:t>;</w:t>
      </w:r>
    </w:p>
    <w:p w:rsidRPr="009E009C" w:rsidR="00E1256B" w:rsidRDefault="00E1256B" w14:paraId="2AE9A695" w14:textId="77777777">
      <w:pPr>
        <w:pStyle w:val="BlockQuoteH025"/>
        <w:numPr>
          <w:ilvl w:val="0"/>
          <w:numId w:val="10"/>
        </w:numPr>
        <w:ind w:left="1080"/>
        <w:rPr>
          <w:szCs w:val="26"/>
        </w:rPr>
      </w:pPr>
      <w:r w:rsidRPr="009E009C">
        <w:rPr>
          <w:szCs w:val="26"/>
        </w:rPr>
        <w:t>Critical Load</w:t>
      </w:r>
      <w:r>
        <w:rPr>
          <w:szCs w:val="26"/>
        </w:rPr>
        <w:t>; and</w:t>
      </w:r>
    </w:p>
    <w:p w:rsidR="00E1256B" w:rsidRDefault="00DE609B" w14:paraId="60A861AB" w14:textId="59DB03FC">
      <w:pPr>
        <w:pStyle w:val="BlockQuoteH025"/>
        <w:numPr>
          <w:ilvl w:val="0"/>
          <w:numId w:val="10"/>
        </w:numPr>
        <w:ind w:left="1080"/>
        <w:rPr>
          <w:szCs w:val="26"/>
        </w:rPr>
      </w:pPr>
      <w:r w:rsidRPr="007C648C">
        <w:rPr>
          <w:szCs w:val="26"/>
        </w:rPr>
        <w:t xml:space="preserve">Restaurants </w:t>
      </w:r>
      <w:r w:rsidRPr="007C648C" w:rsidR="00E1256B">
        <w:rPr>
          <w:szCs w:val="26"/>
        </w:rPr>
        <w:t>(</w:t>
      </w:r>
      <w:r w:rsidR="00124B2E">
        <w:rPr>
          <w:szCs w:val="26"/>
        </w:rPr>
        <w:t xml:space="preserve">proposed by </w:t>
      </w:r>
      <w:r w:rsidRPr="007C648C" w:rsidR="00E1256B">
        <w:rPr>
          <w:szCs w:val="26"/>
        </w:rPr>
        <w:t>SDG&amp;E and SoCalGas)</w:t>
      </w:r>
      <w:r w:rsidR="00E1256B">
        <w:rPr>
          <w:szCs w:val="26"/>
        </w:rPr>
        <w:t xml:space="preserve">. </w:t>
      </w:r>
    </w:p>
    <w:p w:rsidRPr="00642921" w:rsidR="003D17D3" w:rsidP="003D17D3" w:rsidRDefault="00ED15C8" w14:paraId="2B7EFA82" w14:textId="2FDAB58C">
      <w:pPr>
        <w:pStyle w:val="Standard"/>
        <w:rPr>
          <w:rFonts w:cs="Calibri Light"/>
          <w:szCs w:val="26"/>
        </w:rPr>
      </w:pPr>
      <w:r>
        <w:rPr>
          <w:szCs w:val="26"/>
        </w:rPr>
        <w:t xml:space="preserve">The </w:t>
      </w:r>
      <w:r w:rsidR="00BA32C0">
        <w:rPr>
          <w:szCs w:val="26"/>
        </w:rPr>
        <w:t xml:space="preserve">Joint </w:t>
      </w:r>
      <w:r>
        <w:rPr>
          <w:szCs w:val="26"/>
        </w:rPr>
        <w:t>IOUs</w:t>
      </w:r>
      <w:r w:rsidR="00BA32C0">
        <w:rPr>
          <w:szCs w:val="26"/>
        </w:rPr>
        <w:t xml:space="preserve"> also propose that the </w:t>
      </w:r>
      <w:r w:rsidRPr="009E009C" w:rsidR="003D17D3">
        <w:rPr>
          <w:szCs w:val="26"/>
        </w:rPr>
        <w:t>categories of customers receiving gas</w:t>
      </w:r>
      <w:r w:rsidR="003D17D3">
        <w:rPr>
          <w:szCs w:val="26"/>
        </w:rPr>
        <w:t xml:space="preserve"> line subsidies</w:t>
      </w:r>
      <w:r w:rsidRPr="009E009C" w:rsidR="003D17D3">
        <w:rPr>
          <w:szCs w:val="26"/>
        </w:rPr>
        <w:t xml:space="preserve"> </w:t>
      </w:r>
      <w:r w:rsidR="009D5F0D">
        <w:rPr>
          <w:szCs w:val="26"/>
        </w:rPr>
        <w:t xml:space="preserve">would </w:t>
      </w:r>
      <w:r w:rsidRPr="009E009C" w:rsidR="003D17D3">
        <w:rPr>
          <w:szCs w:val="26"/>
        </w:rPr>
        <w:t xml:space="preserve">be reviewed via a </w:t>
      </w:r>
      <w:r w:rsidR="00B27518">
        <w:rPr>
          <w:szCs w:val="26"/>
        </w:rPr>
        <w:t>Tier</w:t>
      </w:r>
      <w:r w:rsidR="00513B3F">
        <w:rPr>
          <w:szCs w:val="26"/>
        </w:rPr>
        <w:t> </w:t>
      </w:r>
      <w:r w:rsidR="00B27518">
        <w:rPr>
          <w:szCs w:val="26"/>
        </w:rPr>
        <w:t>2</w:t>
      </w:r>
      <w:r w:rsidRPr="009E009C" w:rsidR="003D17D3">
        <w:rPr>
          <w:szCs w:val="26"/>
        </w:rPr>
        <w:t xml:space="preserve"> </w:t>
      </w:r>
      <w:r w:rsidR="00B27518">
        <w:rPr>
          <w:szCs w:val="26"/>
        </w:rPr>
        <w:t>AL</w:t>
      </w:r>
      <w:r w:rsidR="003D17D3">
        <w:rPr>
          <w:szCs w:val="26"/>
        </w:rPr>
        <w:t xml:space="preserve"> (to be</w:t>
      </w:r>
      <w:r w:rsidRPr="009E009C" w:rsidR="003D17D3">
        <w:rPr>
          <w:szCs w:val="26"/>
        </w:rPr>
        <w:t xml:space="preserve"> filed every three years starting</w:t>
      </w:r>
      <w:r w:rsidR="003D17D3">
        <w:rPr>
          <w:szCs w:val="26"/>
        </w:rPr>
        <w:t xml:space="preserve"> in</w:t>
      </w:r>
      <w:r w:rsidRPr="009E009C" w:rsidR="003D17D3">
        <w:rPr>
          <w:szCs w:val="26"/>
        </w:rPr>
        <w:t xml:space="preserve"> 2026</w:t>
      </w:r>
      <w:r w:rsidR="00AF59DB">
        <w:rPr>
          <w:szCs w:val="26"/>
        </w:rPr>
        <w:t>)</w:t>
      </w:r>
      <w:r w:rsidRPr="009E009C" w:rsidR="003D17D3">
        <w:rPr>
          <w:szCs w:val="26"/>
        </w:rPr>
        <w:t xml:space="preserve"> or that a</w:t>
      </w:r>
      <w:r w:rsidR="003D17D3">
        <w:rPr>
          <w:szCs w:val="26"/>
        </w:rPr>
        <w:t xml:space="preserve"> </w:t>
      </w:r>
      <w:r w:rsidRPr="009E009C" w:rsidR="003D17D3">
        <w:rPr>
          <w:szCs w:val="26"/>
        </w:rPr>
        <w:t>cadence for re</w:t>
      </w:r>
      <w:r w:rsidR="00513B3F">
        <w:rPr>
          <w:szCs w:val="26"/>
        </w:rPr>
        <w:noBreakHyphen/>
      </w:r>
      <w:r w:rsidRPr="009E009C" w:rsidR="003D17D3">
        <w:rPr>
          <w:szCs w:val="26"/>
        </w:rPr>
        <w:t xml:space="preserve">visiting </w:t>
      </w:r>
      <w:r w:rsidR="00524AB5">
        <w:rPr>
          <w:szCs w:val="26"/>
        </w:rPr>
        <w:t xml:space="preserve">the </w:t>
      </w:r>
      <w:r w:rsidR="003D17D3">
        <w:rPr>
          <w:szCs w:val="26"/>
        </w:rPr>
        <w:t>subsidies</w:t>
      </w:r>
      <w:r w:rsidRPr="009E009C" w:rsidR="003D17D3">
        <w:rPr>
          <w:szCs w:val="26"/>
        </w:rPr>
        <w:t xml:space="preserve"> be established in the ongoing </w:t>
      </w:r>
      <w:r w:rsidR="008A44C2">
        <w:rPr>
          <w:szCs w:val="26"/>
        </w:rPr>
        <w:t>long term gas planning proceeding</w:t>
      </w:r>
      <w:r w:rsidR="00FF5E01">
        <w:rPr>
          <w:szCs w:val="26"/>
        </w:rPr>
        <w:t xml:space="preserve"> </w:t>
      </w:r>
      <w:r w:rsidR="00806E4A">
        <w:rPr>
          <w:szCs w:val="26"/>
        </w:rPr>
        <w:t>(</w:t>
      </w:r>
      <w:r w:rsidRPr="009E009C" w:rsidR="003D17D3">
        <w:rPr>
          <w:szCs w:val="26"/>
        </w:rPr>
        <w:t>R.20</w:t>
      </w:r>
      <w:r w:rsidR="00513B3F">
        <w:rPr>
          <w:szCs w:val="26"/>
        </w:rPr>
        <w:noBreakHyphen/>
      </w:r>
      <w:r w:rsidRPr="009E009C" w:rsidR="003D17D3">
        <w:rPr>
          <w:szCs w:val="26"/>
        </w:rPr>
        <w:t>01</w:t>
      </w:r>
      <w:r w:rsidR="00513B3F">
        <w:rPr>
          <w:szCs w:val="26"/>
        </w:rPr>
        <w:noBreakHyphen/>
      </w:r>
      <w:r w:rsidRPr="009E009C" w:rsidR="003D17D3">
        <w:rPr>
          <w:szCs w:val="26"/>
        </w:rPr>
        <w:t>007</w:t>
      </w:r>
      <w:r w:rsidR="00806E4A">
        <w:rPr>
          <w:szCs w:val="26"/>
        </w:rPr>
        <w:t>)</w:t>
      </w:r>
      <w:r w:rsidR="00ED6518">
        <w:rPr>
          <w:szCs w:val="26"/>
        </w:rPr>
        <w:t xml:space="preserve">. </w:t>
      </w:r>
      <w:r w:rsidR="00D14D56">
        <w:rPr>
          <w:szCs w:val="26"/>
        </w:rPr>
        <w:t xml:space="preserve">In support, they </w:t>
      </w:r>
      <w:r w:rsidR="00D14D56">
        <w:rPr>
          <w:szCs w:val="26"/>
        </w:rPr>
        <w:lastRenderedPageBreak/>
        <w:t xml:space="preserve">say the </w:t>
      </w:r>
      <w:r w:rsidR="00887F02">
        <w:rPr>
          <w:szCs w:val="26"/>
        </w:rPr>
        <w:t xml:space="preserve">review would </w:t>
      </w:r>
      <w:r w:rsidRPr="009E009C" w:rsidR="003D17D3">
        <w:rPr>
          <w:szCs w:val="26"/>
        </w:rPr>
        <w:t>ensure that gas</w:t>
      </w:r>
      <w:r w:rsidR="003D17D3">
        <w:rPr>
          <w:szCs w:val="26"/>
        </w:rPr>
        <w:t xml:space="preserve"> </w:t>
      </w:r>
      <w:r w:rsidRPr="009E009C" w:rsidR="003D17D3">
        <w:rPr>
          <w:szCs w:val="26"/>
        </w:rPr>
        <w:t xml:space="preserve">ratepayers continue to benefit from providing gas </w:t>
      </w:r>
      <w:r w:rsidR="003D17D3">
        <w:rPr>
          <w:szCs w:val="26"/>
        </w:rPr>
        <w:t>line subsidi</w:t>
      </w:r>
      <w:r w:rsidRPr="00257887" w:rsidR="003D17D3">
        <w:rPr>
          <w:rFonts w:cs="Calibri Light"/>
          <w:szCs w:val="26"/>
        </w:rPr>
        <w:t>es.</w:t>
      </w:r>
      <w:r w:rsidRPr="00257887" w:rsidDel="00A50376" w:rsidR="00A50376">
        <w:rPr>
          <w:rFonts w:cs="Calibri Light"/>
        </w:rPr>
        <w:t xml:space="preserve"> </w:t>
      </w:r>
      <w:r w:rsidRPr="00A50376" w:rsidR="00CA4A78">
        <w:rPr>
          <w:rFonts w:cs="Calibri Light"/>
          <w:szCs w:val="26"/>
        </w:rPr>
        <w:t xml:space="preserve">According to the </w:t>
      </w:r>
      <w:r w:rsidR="00B83288">
        <w:rPr>
          <w:rFonts w:cs="Calibri Light"/>
          <w:szCs w:val="26"/>
        </w:rPr>
        <w:t>Joint IOUs</w:t>
      </w:r>
      <w:r w:rsidRPr="00A50376" w:rsidR="00CA4A78">
        <w:rPr>
          <w:rFonts w:cs="Calibri Light"/>
          <w:szCs w:val="26"/>
        </w:rPr>
        <w:t>, “</w:t>
      </w:r>
      <w:r w:rsidRPr="00E52451" w:rsidR="00CA4A78">
        <w:rPr>
          <w:szCs w:val="26"/>
        </w:rPr>
        <w:t>non</w:t>
      </w:r>
      <w:r w:rsidR="00513B3F">
        <w:rPr>
          <w:szCs w:val="26"/>
        </w:rPr>
        <w:noBreakHyphen/>
      </w:r>
      <w:r w:rsidRPr="00E52451" w:rsidR="00CA4A78">
        <w:rPr>
          <w:szCs w:val="26"/>
        </w:rPr>
        <w:t>residential customers identified as having</w:t>
      </w:r>
      <w:r w:rsidRPr="00A50376" w:rsidR="00D548DA">
        <w:rPr>
          <w:szCs w:val="26"/>
        </w:rPr>
        <w:t xml:space="preserve"> </w:t>
      </w:r>
      <w:r w:rsidRPr="00E52451" w:rsidR="00CA4A78">
        <w:rPr>
          <w:szCs w:val="26"/>
        </w:rPr>
        <w:t>economic and environmental benefits to gas ratepayers can shift over time</w:t>
      </w:r>
      <w:r w:rsidRPr="00E52451" w:rsidR="00A50376">
        <w:rPr>
          <w:szCs w:val="26"/>
        </w:rPr>
        <w:t xml:space="preserve"> and that the removal</w:t>
      </w:r>
      <w:r w:rsidRPr="00A50376" w:rsidR="00A50376">
        <w:rPr>
          <w:szCs w:val="26"/>
        </w:rPr>
        <w:t xml:space="preserve"> </w:t>
      </w:r>
      <w:r w:rsidRPr="00E52451" w:rsidR="00A50376">
        <w:rPr>
          <w:szCs w:val="26"/>
        </w:rPr>
        <w:t>of residential allowances may have a negative impact on affordable housing developers.”</w:t>
      </w:r>
      <w:r w:rsidR="00A50376">
        <w:rPr>
          <w:rStyle w:val="FootnoteReference"/>
          <w:szCs w:val="26"/>
        </w:rPr>
        <w:footnoteReference w:id="88"/>
      </w:r>
    </w:p>
    <w:p w:rsidR="00E62C1E" w:rsidP="00E62C1E" w:rsidRDefault="009D5F0D" w14:paraId="6907BFC9" w14:textId="34BF637A">
      <w:pPr>
        <w:pStyle w:val="Standard"/>
        <w:rPr>
          <w:szCs w:val="26"/>
        </w:rPr>
      </w:pPr>
      <w:r>
        <w:rPr>
          <w:szCs w:val="26"/>
        </w:rPr>
        <w:t xml:space="preserve">Additionally, </w:t>
      </w:r>
      <w:r w:rsidRPr="00A25CD9" w:rsidR="00E62C1E">
        <w:rPr>
          <w:szCs w:val="26"/>
        </w:rPr>
        <w:t xml:space="preserve">PG&amp;E proposes </w:t>
      </w:r>
      <w:r w:rsidRPr="00ED6178" w:rsidR="00E62C1E">
        <w:rPr>
          <w:szCs w:val="26"/>
        </w:rPr>
        <w:t>two new</w:t>
      </w:r>
      <w:r w:rsidRPr="00A25CD9" w:rsidR="00E62C1E">
        <w:rPr>
          <w:szCs w:val="26"/>
        </w:rPr>
        <w:t xml:space="preserve"> </w:t>
      </w:r>
      <w:r w:rsidRPr="00ED6178" w:rsidR="00E62C1E">
        <w:rPr>
          <w:szCs w:val="26"/>
        </w:rPr>
        <w:t xml:space="preserve">methods for calculating </w:t>
      </w:r>
      <w:r w:rsidR="00862AEC">
        <w:rPr>
          <w:szCs w:val="26"/>
        </w:rPr>
        <w:t>the</w:t>
      </w:r>
      <w:r w:rsidRPr="00A25CD9" w:rsidR="00E62C1E">
        <w:rPr>
          <w:szCs w:val="26"/>
        </w:rPr>
        <w:t xml:space="preserve"> </w:t>
      </w:r>
      <w:r w:rsidRPr="00ED6178" w:rsidR="00E62C1E">
        <w:rPr>
          <w:szCs w:val="26"/>
        </w:rPr>
        <w:t>allowance amounts</w:t>
      </w:r>
      <w:r w:rsidRPr="00A25CD9" w:rsidR="00E62C1E">
        <w:rPr>
          <w:szCs w:val="26"/>
        </w:rPr>
        <w:t xml:space="preserve"> for </w:t>
      </w:r>
      <w:r w:rsidRPr="00ED6178" w:rsidR="00E62C1E">
        <w:rPr>
          <w:szCs w:val="26"/>
        </w:rPr>
        <w:t>non</w:t>
      </w:r>
      <w:r w:rsidR="00513B3F">
        <w:rPr>
          <w:szCs w:val="26"/>
        </w:rPr>
        <w:noBreakHyphen/>
      </w:r>
      <w:r w:rsidRPr="00ED6178" w:rsidR="00E62C1E">
        <w:rPr>
          <w:szCs w:val="26"/>
        </w:rPr>
        <w:t>residential projects that provide environmental or financial benefits</w:t>
      </w:r>
      <w:r w:rsidR="00E62C1E">
        <w:rPr>
          <w:szCs w:val="26"/>
        </w:rPr>
        <w:t xml:space="preserve"> </w:t>
      </w:r>
      <w:r w:rsidRPr="00ED6178" w:rsidR="00E62C1E">
        <w:rPr>
          <w:szCs w:val="26"/>
        </w:rPr>
        <w:t>to California ratepayers</w:t>
      </w:r>
      <w:r w:rsidRPr="00337174" w:rsidR="00E62C1E">
        <w:rPr>
          <w:szCs w:val="26"/>
        </w:rPr>
        <w:t>:</w:t>
      </w:r>
      <w:r w:rsidRPr="00337174" w:rsidR="00EC0DCE">
        <w:rPr>
          <w:szCs w:val="26"/>
        </w:rPr>
        <w:t xml:space="preserve"> </w:t>
      </w:r>
      <w:r w:rsidRPr="00337174" w:rsidR="00E62C1E">
        <w:rPr>
          <w:szCs w:val="26"/>
        </w:rPr>
        <w:t xml:space="preserve"> </w:t>
      </w:r>
      <w:r w:rsidRPr="00337174" w:rsidR="00A86CBD">
        <w:rPr>
          <w:szCs w:val="26"/>
        </w:rPr>
        <w:t>(</w:t>
      </w:r>
      <w:r w:rsidR="00A86CBD">
        <w:rPr>
          <w:szCs w:val="26"/>
        </w:rPr>
        <w:t>1</w:t>
      </w:r>
      <w:r w:rsidR="002E48FD">
        <w:rPr>
          <w:szCs w:val="26"/>
        </w:rPr>
        <w:t>)</w:t>
      </w:r>
      <w:r w:rsidR="00513B3F">
        <w:rPr>
          <w:szCs w:val="26"/>
        </w:rPr>
        <w:t> </w:t>
      </w:r>
      <w:r w:rsidRPr="00ED6178" w:rsidR="00E62C1E">
        <w:rPr>
          <w:szCs w:val="26"/>
        </w:rPr>
        <w:t>the ability for all current calculations of distribution</w:t>
      </w:r>
      <w:r w:rsidR="00E62C1E">
        <w:rPr>
          <w:szCs w:val="26"/>
        </w:rPr>
        <w:t xml:space="preserve"> </w:t>
      </w:r>
      <w:r w:rsidRPr="00ED6178" w:rsidR="00E62C1E">
        <w:rPr>
          <w:szCs w:val="26"/>
        </w:rPr>
        <w:t>to be applied to the non</w:t>
      </w:r>
      <w:r w:rsidR="00513B3F">
        <w:rPr>
          <w:szCs w:val="26"/>
        </w:rPr>
        <w:noBreakHyphen/>
      </w:r>
      <w:r w:rsidRPr="00ED6178" w:rsidR="00E62C1E">
        <w:rPr>
          <w:szCs w:val="26"/>
        </w:rPr>
        <w:t>residential projects</w:t>
      </w:r>
      <w:r w:rsidR="00573F0E">
        <w:rPr>
          <w:szCs w:val="26"/>
        </w:rPr>
        <w:t>; and (</w:t>
      </w:r>
      <w:r w:rsidR="005B3FF4">
        <w:rPr>
          <w:szCs w:val="26"/>
        </w:rPr>
        <w:t>2</w:t>
      </w:r>
      <w:r w:rsidR="002E48FD">
        <w:rPr>
          <w:szCs w:val="26"/>
        </w:rPr>
        <w:t>)</w:t>
      </w:r>
      <w:r w:rsidR="00513B3F">
        <w:rPr>
          <w:szCs w:val="26"/>
        </w:rPr>
        <w:t> </w:t>
      </w:r>
      <w:r w:rsidRPr="00ED6178" w:rsidR="00E62C1E">
        <w:rPr>
          <w:szCs w:val="26"/>
        </w:rPr>
        <w:t>the addition of a graduated discount when</w:t>
      </w:r>
      <w:r w:rsidR="00E62C1E">
        <w:rPr>
          <w:szCs w:val="26"/>
        </w:rPr>
        <w:t xml:space="preserve"> </w:t>
      </w:r>
      <w:r w:rsidRPr="00ED6178" w:rsidR="00E62C1E">
        <w:rPr>
          <w:szCs w:val="26"/>
        </w:rPr>
        <w:t xml:space="preserve">additional load reduces GHG emissions. PG&amp;E </w:t>
      </w:r>
      <w:r w:rsidR="00E62C1E">
        <w:rPr>
          <w:szCs w:val="26"/>
        </w:rPr>
        <w:t xml:space="preserve">also </w:t>
      </w:r>
      <w:r w:rsidRPr="00ED6178" w:rsidR="00E62C1E">
        <w:rPr>
          <w:szCs w:val="26"/>
        </w:rPr>
        <w:t xml:space="preserve">proposes </w:t>
      </w:r>
      <w:r w:rsidR="00E62C1E">
        <w:rPr>
          <w:szCs w:val="26"/>
        </w:rPr>
        <w:t xml:space="preserve">that </w:t>
      </w:r>
      <w:r w:rsidRPr="00ED6178" w:rsidR="00E62C1E">
        <w:rPr>
          <w:szCs w:val="26"/>
        </w:rPr>
        <w:t xml:space="preserve">the </w:t>
      </w:r>
      <w:r w:rsidR="00E62C1E">
        <w:rPr>
          <w:szCs w:val="26"/>
        </w:rPr>
        <w:t>gas line subsidies</w:t>
      </w:r>
      <w:r w:rsidRPr="00ED6178" w:rsidR="00E62C1E">
        <w:rPr>
          <w:szCs w:val="26"/>
        </w:rPr>
        <w:t xml:space="preserve"> be modified such that customers cannot switch from core service to noncore</w:t>
      </w:r>
      <w:r w:rsidR="00E62C1E">
        <w:rPr>
          <w:szCs w:val="26"/>
        </w:rPr>
        <w:t xml:space="preserve"> </w:t>
      </w:r>
      <w:r w:rsidRPr="00ED6178" w:rsidR="00E62C1E">
        <w:rPr>
          <w:szCs w:val="26"/>
        </w:rPr>
        <w:t>service until the allowance amount is fully recovered through revenue</w:t>
      </w:r>
      <w:r w:rsidR="00841BF4">
        <w:rPr>
          <w:szCs w:val="26"/>
        </w:rPr>
        <w:t>.</w:t>
      </w:r>
      <w:r w:rsidR="006E588E">
        <w:rPr>
          <w:szCs w:val="26"/>
        </w:rPr>
        <w:t xml:space="preserve"> In support, PG&amp;E states</w:t>
      </w:r>
      <w:r w:rsidR="00E62C1E">
        <w:rPr>
          <w:szCs w:val="26"/>
        </w:rPr>
        <w:t xml:space="preserve"> that the</w:t>
      </w:r>
      <w:r w:rsidRPr="00ED6178" w:rsidR="00E62C1E">
        <w:rPr>
          <w:szCs w:val="26"/>
        </w:rPr>
        <w:t xml:space="preserve"> current practice</w:t>
      </w:r>
      <w:r w:rsidR="00E62C1E">
        <w:rPr>
          <w:szCs w:val="26"/>
        </w:rPr>
        <w:t xml:space="preserve"> </w:t>
      </w:r>
      <w:r w:rsidRPr="00ED6178" w:rsidR="00E62C1E">
        <w:rPr>
          <w:szCs w:val="26"/>
        </w:rPr>
        <w:t>of switching from core to non</w:t>
      </w:r>
      <w:r w:rsidR="00513B3F">
        <w:rPr>
          <w:szCs w:val="26"/>
        </w:rPr>
        <w:noBreakHyphen/>
      </w:r>
      <w:r w:rsidRPr="00ED6178" w:rsidR="00E62C1E">
        <w:rPr>
          <w:szCs w:val="26"/>
        </w:rPr>
        <w:t xml:space="preserve">core service creates an unsustainable loophole where </w:t>
      </w:r>
      <w:r w:rsidR="0075773C">
        <w:rPr>
          <w:szCs w:val="26"/>
        </w:rPr>
        <w:t xml:space="preserve">core </w:t>
      </w:r>
      <w:r w:rsidRPr="00ED6178" w:rsidR="00E62C1E">
        <w:rPr>
          <w:szCs w:val="26"/>
        </w:rPr>
        <w:t>customers</w:t>
      </w:r>
      <w:r w:rsidR="00E62C1E">
        <w:rPr>
          <w:szCs w:val="26"/>
        </w:rPr>
        <w:t xml:space="preserve"> </w:t>
      </w:r>
      <w:r w:rsidRPr="00ED6178" w:rsidR="00E62C1E">
        <w:rPr>
          <w:szCs w:val="26"/>
        </w:rPr>
        <w:t xml:space="preserve">can receive a higher allowance amount which may not be fully </w:t>
      </w:r>
      <w:r w:rsidR="00BC2788">
        <w:rPr>
          <w:szCs w:val="26"/>
        </w:rPr>
        <w:t>repaid</w:t>
      </w:r>
      <w:r w:rsidRPr="00ED6178" w:rsidR="00E62C1E">
        <w:rPr>
          <w:szCs w:val="26"/>
        </w:rPr>
        <w:t xml:space="preserve"> should they switch to</w:t>
      </w:r>
      <w:r w:rsidR="00E62C1E">
        <w:rPr>
          <w:szCs w:val="26"/>
        </w:rPr>
        <w:t xml:space="preserve"> </w:t>
      </w:r>
      <w:r w:rsidRPr="00ED6178" w:rsidR="00E62C1E">
        <w:rPr>
          <w:szCs w:val="26"/>
        </w:rPr>
        <w:t>non</w:t>
      </w:r>
      <w:r w:rsidR="00513B3F">
        <w:rPr>
          <w:szCs w:val="26"/>
        </w:rPr>
        <w:noBreakHyphen/>
      </w:r>
      <w:r w:rsidRPr="00ED6178" w:rsidR="00E62C1E">
        <w:rPr>
          <w:szCs w:val="26"/>
        </w:rPr>
        <w:t>core service before the allowance amount is recovered.</w:t>
      </w:r>
      <w:r w:rsidR="00E62C1E">
        <w:rPr>
          <w:rStyle w:val="FootnoteReference"/>
          <w:szCs w:val="26"/>
        </w:rPr>
        <w:footnoteReference w:id="89"/>
      </w:r>
    </w:p>
    <w:p w:rsidR="003A468A" w:rsidP="00571F85" w:rsidRDefault="00AD7379" w14:paraId="65FB4FAE" w14:textId="0CA27AFC">
      <w:pPr>
        <w:pStyle w:val="Heading3"/>
      </w:pPr>
      <w:bookmarkStart w:name="_Toc109376123" w:id="130"/>
      <w:bookmarkStart w:name="_Toc109141155" w:id="131"/>
      <w:bookmarkStart w:name="_Toc110598575" w:id="132"/>
      <w:r>
        <w:t>Exemptions for P</w:t>
      </w:r>
      <w:r w:rsidRPr="001915CB">
        <w:t>rojects</w:t>
      </w:r>
      <w:r w:rsidR="00571F85">
        <w:t xml:space="preserve"> </w:t>
      </w:r>
      <w:r w:rsidR="00CA634E">
        <w:t>T</w:t>
      </w:r>
      <w:r w:rsidRPr="001915CB">
        <w:t xml:space="preserve">hat </w:t>
      </w:r>
      <w:r>
        <w:t>E</w:t>
      </w:r>
      <w:r w:rsidRPr="001915CB">
        <w:t xml:space="preserve">nable </w:t>
      </w:r>
      <w:r w:rsidR="00C076B8">
        <w:t>Hydrogen</w:t>
      </w:r>
      <w:r w:rsidR="00753A5E">
        <w:t xml:space="preserve">, </w:t>
      </w:r>
      <w:r w:rsidRPr="001915CB">
        <w:t>RNG</w:t>
      </w:r>
      <w:r w:rsidR="00571F85">
        <w:t xml:space="preserve"> </w:t>
      </w:r>
      <w:r w:rsidR="00C076B8">
        <w:t xml:space="preserve">and CNG </w:t>
      </w:r>
      <w:r>
        <w:t>U</w:t>
      </w:r>
      <w:r w:rsidRPr="001915CB">
        <w:t>se</w:t>
      </w:r>
      <w:r>
        <w:t xml:space="preserve"> (</w:t>
      </w:r>
      <w:r w:rsidRPr="006B623F" w:rsidR="003A468A">
        <w:t>Clean Energy</w:t>
      </w:r>
      <w:r>
        <w:t>)</w:t>
      </w:r>
      <w:bookmarkEnd w:id="130"/>
      <w:bookmarkEnd w:id="131"/>
      <w:bookmarkEnd w:id="132"/>
    </w:p>
    <w:p w:rsidR="00514D5D" w:rsidP="00514D5D" w:rsidRDefault="003A468A" w14:paraId="6A9CAAEB" w14:textId="5F858F31">
      <w:pPr>
        <w:pStyle w:val="Standard"/>
      </w:pPr>
      <w:r>
        <w:t xml:space="preserve">Clean Energy recommends </w:t>
      </w:r>
      <w:r w:rsidR="00514D5D">
        <w:t xml:space="preserve">that the </w:t>
      </w:r>
      <w:r w:rsidRPr="00AA03A2" w:rsidR="00514D5D">
        <w:t>Commission prioritize the phase</w:t>
      </w:r>
      <w:r w:rsidR="00513B3F">
        <w:noBreakHyphen/>
      </w:r>
      <w:r w:rsidRPr="00AA03A2" w:rsidR="00514D5D">
        <w:t>out of diesel in the transportation</w:t>
      </w:r>
      <w:r w:rsidR="00514D5D">
        <w:t xml:space="preserve">, </w:t>
      </w:r>
      <w:r w:rsidRPr="00AA03A2" w:rsidR="00873389">
        <w:t>electricity,</w:t>
      </w:r>
      <w:r w:rsidR="00514D5D">
        <w:t xml:space="preserve"> and agricultural </w:t>
      </w:r>
      <w:r w:rsidRPr="00AA03A2" w:rsidR="00514D5D">
        <w:t>sectors</w:t>
      </w:r>
      <w:r w:rsidR="00871B9D">
        <w:t xml:space="preserve">. To do this, </w:t>
      </w:r>
      <w:r w:rsidRPr="00337174" w:rsidR="00871B9D">
        <w:t>Clean</w:t>
      </w:r>
      <w:r w:rsidRPr="00337174" w:rsidR="00EC0DCE">
        <w:t> </w:t>
      </w:r>
      <w:r w:rsidRPr="00337174" w:rsidR="00871B9D">
        <w:t>E</w:t>
      </w:r>
      <w:r w:rsidR="00871B9D">
        <w:t>nergy proposes</w:t>
      </w:r>
      <w:r w:rsidR="00514D5D">
        <w:t xml:space="preserve"> </w:t>
      </w:r>
      <w:r w:rsidRPr="00AA03A2" w:rsidR="00514D5D">
        <w:t xml:space="preserve">maintaining incentives for </w:t>
      </w:r>
      <w:r w:rsidR="00E7016D">
        <w:t>c</w:t>
      </w:r>
      <w:r w:rsidRPr="00E7016D" w:rsidR="00E7016D">
        <w:t>ustomers seeking to develop hydrogen, agricultural customers seeking to produce</w:t>
      </w:r>
      <w:r w:rsidR="00E7016D">
        <w:t xml:space="preserve"> </w:t>
      </w:r>
      <w:r w:rsidRPr="00E7016D" w:rsidR="00E7016D">
        <w:t xml:space="preserve">biogas and RNG from </w:t>
      </w:r>
      <w:r w:rsidRPr="00E7016D" w:rsidR="00E7016D">
        <w:lastRenderedPageBreak/>
        <w:t>manure, and private companies investing in CN</w:t>
      </w:r>
      <w:r w:rsidR="00E7016D">
        <w:t>G</w:t>
      </w:r>
      <w:r w:rsidRPr="00E7016D" w:rsidR="00E7016D">
        <w:t xml:space="preserve"> fueling stations that distribute RNG </w:t>
      </w:r>
      <w:r w:rsidR="00C73433">
        <w:t>to facilitate reductions in SLCP</w:t>
      </w:r>
      <w:r w:rsidRPr="00AA03A2" w:rsidR="00514D5D">
        <w:t>.</w:t>
      </w:r>
      <w:r w:rsidR="00514D5D">
        <w:rPr>
          <w:rStyle w:val="FootnoteReference"/>
        </w:rPr>
        <w:footnoteReference w:id="90"/>
      </w:r>
    </w:p>
    <w:p w:rsidRPr="003A468A" w:rsidR="003A468A" w:rsidP="00CB7E24" w:rsidRDefault="00514D5D" w14:paraId="44BC0991" w14:textId="6265C93A">
      <w:pPr>
        <w:pStyle w:val="Standard"/>
      </w:pPr>
      <w:r>
        <w:t xml:space="preserve">For the transportation sector, </w:t>
      </w:r>
      <w:r w:rsidR="000C465B">
        <w:t>Clean Energy states</w:t>
      </w:r>
      <w:r w:rsidR="003332C7">
        <w:t xml:space="preserve"> that </w:t>
      </w:r>
      <w:r w:rsidR="00795AA3">
        <w:t xml:space="preserve">the gas </w:t>
      </w:r>
      <w:r w:rsidR="000C465B">
        <w:t xml:space="preserve">line </w:t>
      </w:r>
      <w:r w:rsidR="003A468A">
        <w:t xml:space="preserve">subsidies </w:t>
      </w:r>
      <w:r w:rsidRPr="004F186A" w:rsidR="003A468A">
        <w:t>make construction of new CNG fueling stations financially viable</w:t>
      </w:r>
      <w:r w:rsidR="003A468A">
        <w:t xml:space="preserve"> and </w:t>
      </w:r>
      <w:r w:rsidRPr="004F186A" w:rsidR="003A468A">
        <w:t>present opportunit</w:t>
      </w:r>
      <w:r w:rsidR="003A468A">
        <w:t>ies</w:t>
      </w:r>
      <w:r w:rsidRPr="004F186A" w:rsidR="003A468A">
        <w:t xml:space="preserve"> for collocation with</w:t>
      </w:r>
      <w:r w:rsidR="003A468A">
        <w:t xml:space="preserve"> </w:t>
      </w:r>
      <w:r w:rsidRPr="004F186A" w:rsidR="003A468A">
        <w:t>hydrogen fueling stations.</w:t>
      </w:r>
      <w:r w:rsidR="003A468A">
        <w:rPr>
          <w:rStyle w:val="FootnoteReference"/>
        </w:rPr>
        <w:footnoteReference w:id="91"/>
      </w:r>
      <w:r w:rsidR="00096056">
        <w:t xml:space="preserve"> For the </w:t>
      </w:r>
      <w:r w:rsidRPr="00AA03A2" w:rsidR="00096056">
        <w:t>electricity sector</w:t>
      </w:r>
      <w:r w:rsidR="003A468A">
        <w:t xml:space="preserve">, </w:t>
      </w:r>
      <w:r w:rsidR="003332C7">
        <w:t xml:space="preserve">they argue that </w:t>
      </w:r>
      <w:r w:rsidR="003A468A">
        <w:t>r</w:t>
      </w:r>
      <w:r w:rsidRPr="00AA03A2" w:rsidR="003A468A">
        <w:t>enewable gas,</w:t>
      </w:r>
      <w:r w:rsidR="003A468A">
        <w:t xml:space="preserve"> </w:t>
      </w:r>
      <w:r w:rsidRPr="00AA03A2" w:rsidR="003A468A">
        <w:t>including biogas and hydrogen from organic waste, can provide the same reliability services</w:t>
      </w:r>
      <w:r w:rsidR="003A468A">
        <w:t xml:space="preserve"> </w:t>
      </w:r>
      <w:r w:rsidRPr="00AA03A2" w:rsidR="003A468A">
        <w:t>with far lower emissions</w:t>
      </w:r>
      <w:r w:rsidR="006A0887">
        <w:t xml:space="preserve"> than</w:t>
      </w:r>
      <w:r w:rsidRPr="006A0887" w:rsidR="006A0887">
        <w:t xml:space="preserve"> </w:t>
      </w:r>
      <w:r w:rsidRPr="00AA03A2" w:rsidR="006A0887">
        <w:t>diesel backup generators</w:t>
      </w:r>
      <w:r w:rsidRPr="00AA03A2" w:rsidR="003A468A">
        <w:t>.</w:t>
      </w:r>
      <w:r w:rsidR="003A468A">
        <w:rPr>
          <w:rStyle w:val="FootnoteReference"/>
        </w:rPr>
        <w:footnoteReference w:id="92"/>
      </w:r>
      <w:r w:rsidR="003A468A">
        <w:t xml:space="preserve"> </w:t>
      </w:r>
      <w:r>
        <w:t>For</w:t>
      </w:r>
      <w:r w:rsidR="003A468A">
        <w:t xml:space="preserve"> the </w:t>
      </w:r>
      <w:r w:rsidRPr="00AA03A2" w:rsidR="003A468A">
        <w:t>agricultur</w:t>
      </w:r>
      <w:r w:rsidR="003A468A">
        <w:t>al</w:t>
      </w:r>
      <w:r w:rsidRPr="00AA03A2" w:rsidR="003A468A">
        <w:t xml:space="preserve"> </w:t>
      </w:r>
      <w:r w:rsidR="003A468A">
        <w:t xml:space="preserve">sector, </w:t>
      </w:r>
      <w:r w:rsidR="003332C7">
        <w:t xml:space="preserve">they </w:t>
      </w:r>
      <w:r w:rsidR="007A3977">
        <w:t>state</w:t>
      </w:r>
      <w:r w:rsidR="003332C7">
        <w:t xml:space="preserve"> that </w:t>
      </w:r>
      <w:r w:rsidRPr="001C221D" w:rsidR="003A468A">
        <w:t>agricultural feedstock RNG</w:t>
      </w:r>
      <w:r w:rsidR="005539D0">
        <w:t xml:space="preserve"> (</w:t>
      </w:r>
      <w:r w:rsidRPr="001C221D" w:rsidR="003A468A">
        <w:t>particularly negative carbon RNG feedstock such as animal agriculture</w:t>
      </w:r>
      <w:r w:rsidR="00B01AF9">
        <w:t>)</w:t>
      </w:r>
      <w:r w:rsidRPr="001C221D" w:rsidR="003A468A">
        <w:t xml:space="preserve"> </w:t>
      </w:r>
      <w:r w:rsidR="006A0887">
        <w:t>can</w:t>
      </w:r>
      <w:r w:rsidRPr="001C221D" w:rsidR="003A468A">
        <w:t xml:space="preserve"> significantly lower GHG emissions</w:t>
      </w:r>
      <w:r w:rsidR="003A468A">
        <w:t xml:space="preserve">, and </w:t>
      </w:r>
      <w:r w:rsidRPr="00C021D9" w:rsidR="003A468A">
        <w:t>help the state achieve its climate goals.</w:t>
      </w:r>
      <w:r w:rsidR="003A468A">
        <w:rPr>
          <w:rStyle w:val="FootnoteReference"/>
        </w:rPr>
        <w:footnoteReference w:id="93"/>
      </w:r>
      <w:r w:rsidR="00296C96">
        <w:t xml:space="preserve"> </w:t>
      </w:r>
      <w:r w:rsidR="000C689B">
        <w:t>Therefore c</w:t>
      </w:r>
      <w:r w:rsidR="00CB7E24">
        <w:t xml:space="preserve">ontinuing </w:t>
      </w:r>
      <w:r w:rsidR="00296C96">
        <w:t xml:space="preserve">gas line </w:t>
      </w:r>
      <w:r w:rsidR="00313478">
        <w:t xml:space="preserve">subsidies </w:t>
      </w:r>
      <w:r w:rsidR="00296C96">
        <w:t xml:space="preserve">for these customers </w:t>
      </w:r>
      <w:r w:rsidR="00CB7E24">
        <w:t>will e</w:t>
      </w:r>
      <w:r w:rsidRPr="00CB7E24" w:rsidR="00CB7E24">
        <w:t xml:space="preserve">ncourage </w:t>
      </w:r>
      <w:r w:rsidR="00CB7E24">
        <w:t>f</w:t>
      </w:r>
      <w:r w:rsidRPr="00CB7E24" w:rsidR="00CB7E24">
        <w:t>urther</w:t>
      </w:r>
      <w:r w:rsidR="00CB7E24">
        <w:t xml:space="preserve"> d</w:t>
      </w:r>
      <w:r w:rsidRPr="00CB7E24" w:rsidR="00CB7E24">
        <w:t>evelopment</w:t>
      </w:r>
      <w:r w:rsidR="00CB7E24">
        <w:t xml:space="preserve"> of these </w:t>
      </w:r>
      <w:r w:rsidR="000657B5">
        <w:t>“carbon beneficial</w:t>
      </w:r>
      <w:r w:rsidR="007C083E">
        <w:t>” fuel</w:t>
      </w:r>
      <w:r w:rsidR="000657B5">
        <w:t xml:space="preserve"> </w:t>
      </w:r>
      <w:r w:rsidR="00F9115E">
        <w:t>options</w:t>
      </w:r>
      <w:r w:rsidR="007C083E">
        <w:t>.</w:t>
      </w:r>
    </w:p>
    <w:p w:rsidR="009F3EEE" w:rsidP="007C2EF4" w:rsidRDefault="00AD7379" w14:paraId="517C293F" w14:textId="0B0DD502">
      <w:pPr>
        <w:pStyle w:val="Heading3"/>
      </w:pPr>
      <w:bookmarkStart w:name="_Toc109376124" w:id="133"/>
      <w:bookmarkStart w:name="_Toc109141156" w:id="134"/>
      <w:bookmarkStart w:name="_Toc110598576" w:id="135"/>
      <w:r w:rsidRPr="00BB0FEE">
        <w:t>Application Process</w:t>
      </w:r>
      <w:r w:rsidR="004348FC">
        <w:br/>
      </w:r>
      <w:r w:rsidRPr="00BB0FEE">
        <w:t xml:space="preserve">for </w:t>
      </w:r>
      <w:r>
        <w:t>Select</w:t>
      </w:r>
      <w:r w:rsidR="004F4B2B">
        <w:t xml:space="preserve"> </w:t>
      </w:r>
      <w:r w:rsidRPr="00BB0FEE">
        <w:t>Projects that Provide Environmental</w:t>
      </w:r>
      <w:r w:rsidR="004348FC">
        <w:br/>
      </w:r>
      <w:r w:rsidRPr="00BB0FEE">
        <w:t>or Financial Benefits</w:t>
      </w:r>
      <w:r w:rsidR="004348FC">
        <w:br/>
      </w:r>
      <w:r>
        <w:t>(</w:t>
      </w:r>
      <w:r w:rsidR="00100931">
        <w:t xml:space="preserve">Joint Parties and </w:t>
      </w:r>
      <w:r w:rsidR="00791C1B">
        <w:t>TURN</w:t>
      </w:r>
      <w:r>
        <w:t>)</w:t>
      </w:r>
      <w:bookmarkEnd w:id="133"/>
      <w:bookmarkEnd w:id="134"/>
      <w:bookmarkEnd w:id="135"/>
      <w:r w:rsidR="009F3EEE">
        <w:t xml:space="preserve"> </w:t>
      </w:r>
    </w:p>
    <w:p w:rsidRPr="00A30F68" w:rsidR="00A30F68" w:rsidP="00186CC3" w:rsidRDefault="00100931" w14:paraId="1732143B" w14:textId="7E8119AE">
      <w:pPr>
        <w:pStyle w:val="Standard"/>
      </w:pPr>
      <w:r>
        <w:rPr>
          <w:szCs w:val="26"/>
        </w:rPr>
        <w:t xml:space="preserve">The Joint Parties and </w:t>
      </w:r>
      <w:r w:rsidR="00A30F68">
        <w:rPr>
          <w:szCs w:val="26"/>
        </w:rPr>
        <w:t xml:space="preserve">TURN </w:t>
      </w:r>
      <w:r>
        <w:rPr>
          <w:szCs w:val="26"/>
        </w:rPr>
        <w:t xml:space="preserve">oppose providing any exceptions to offering the gas line subsidies, but </w:t>
      </w:r>
      <w:r w:rsidR="00A30F68">
        <w:rPr>
          <w:szCs w:val="26"/>
        </w:rPr>
        <w:t>state that i</w:t>
      </w:r>
      <w:r w:rsidRPr="00E21DB7" w:rsidR="00A30F68">
        <w:rPr>
          <w:szCs w:val="26"/>
        </w:rPr>
        <w:t>f the Commission decide</w:t>
      </w:r>
      <w:r w:rsidR="00A30F68">
        <w:rPr>
          <w:szCs w:val="26"/>
        </w:rPr>
        <w:t>s</w:t>
      </w:r>
      <w:r w:rsidRPr="00E21DB7" w:rsidR="00A30F68">
        <w:rPr>
          <w:szCs w:val="26"/>
        </w:rPr>
        <w:t xml:space="preserve"> to provide limited exemptions, </w:t>
      </w:r>
      <w:r w:rsidR="00C750AF">
        <w:rPr>
          <w:szCs w:val="26"/>
        </w:rPr>
        <w:t xml:space="preserve">it should require </w:t>
      </w:r>
      <w:r w:rsidRPr="00711DA0" w:rsidR="00A30F68">
        <w:t xml:space="preserve">the IOUs </w:t>
      </w:r>
      <w:r w:rsidR="00C750AF">
        <w:t xml:space="preserve">to </w:t>
      </w:r>
      <w:r w:rsidR="00A30F68">
        <w:t xml:space="preserve">submit a </w:t>
      </w:r>
      <w:r w:rsidRPr="00711DA0" w:rsidR="00A30F68">
        <w:t>stand</w:t>
      </w:r>
      <w:r w:rsidR="00513B3F">
        <w:noBreakHyphen/>
      </w:r>
      <w:r w:rsidRPr="00711DA0" w:rsidR="00A30F68">
        <w:t>alone application</w:t>
      </w:r>
      <w:r w:rsidR="00A30F68">
        <w:t xml:space="preserve"> </w:t>
      </w:r>
      <w:r w:rsidR="00EE4380">
        <w:t xml:space="preserve">seeking </w:t>
      </w:r>
      <w:r w:rsidR="00A30B8F">
        <w:t xml:space="preserve">ratepayer support for specific </w:t>
      </w:r>
      <w:r w:rsidR="00EE4380">
        <w:t>line</w:t>
      </w:r>
      <w:r w:rsidR="00C750AF">
        <w:t xml:space="preserve"> </w:t>
      </w:r>
      <w:r w:rsidR="00A30B8F">
        <w:t>extension projects.</w:t>
      </w:r>
      <w:r w:rsidR="00C750AF">
        <w:t xml:space="preserve"> </w:t>
      </w:r>
      <w:r w:rsidR="009E574C">
        <w:t>They assert t</w:t>
      </w:r>
      <w:r w:rsidR="00423431">
        <w:t>hat</w:t>
      </w:r>
      <w:r w:rsidR="009E574C">
        <w:t xml:space="preserve"> the </w:t>
      </w:r>
      <w:r w:rsidR="00406385">
        <w:lastRenderedPageBreak/>
        <w:t>IOU</w:t>
      </w:r>
      <w:r w:rsidR="00386E80">
        <w:t>s</w:t>
      </w:r>
      <w:r w:rsidR="00406385">
        <w:t xml:space="preserve"> should demonstrate that ratepayer funding </w:t>
      </w:r>
      <w:r w:rsidR="00941330">
        <w:t>is</w:t>
      </w:r>
      <w:r w:rsidR="00406385">
        <w:t xml:space="preserve"> just and reasonable in light of reasonably anticipated</w:t>
      </w:r>
      <w:r w:rsidR="00063E79">
        <w:t xml:space="preserve"> </w:t>
      </w:r>
      <w:r w:rsidR="00406385">
        <w:t xml:space="preserve">ratepayer benefits and </w:t>
      </w:r>
      <w:r w:rsidR="002E06DD">
        <w:t xml:space="preserve">in furtherance of California’s </w:t>
      </w:r>
      <w:r w:rsidR="00E8440B">
        <w:t>decarbonization policy</w:t>
      </w:r>
      <w:r w:rsidRPr="00711DA0" w:rsidR="00A30F68">
        <w:t>.</w:t>
      </w:r>
      <w:r w:rsidRPr="005B5143" w:rsidR="00A30F68">
        <w:rPr>
          <w:rStyle w:val="FootnoteReference"/>
        </w:rPr>
        <w:footnoteReference w:id="94"/>
      </w:r>
      <w:r w:rsidR="00A30F68">
        <w:t xml:space="preserve"> </w:t>
      </w:r>
      <w:r w:rsidR="004E33C1">
        <w:t xml:space="preserve">Specifically, </w:t>
      </w:r>
      <w:r w:rsidR="000739DD">
        <w:t>t</w:t>
      </w:r>
      <w:r w:rsidR="00AF3982">
        <w:t xml:space="preserve">he Joint </w:t>
      </w:r>
      <w:r w:rsidR="0090400B">
        <w:t>Parties</w:t>
      </w:r>
      <w:r w:rsidR="004E33C1">
        <w:t xml:space="preserve"> propose that the </w:t>
      </w:r>
      <w:r w:rsidR="00A30F68">
        <w:t>a</w:t>
      </w:r>
      <w:r w:rsidRPr="00F82050" w:rsidR="00A30F68">
        <w:t xml:space="preserve">pplication meet </w:t>
      </w:r>
      <w:r w:rsidR="00A30F68">
        <w:t xml:space="preserve">the following </w:t>
      </w:r>
      <w:r w:rsidRPr="00F82050" w:rsidR="00A30F68">
        <w:t>minimum criteria</w:t>
      </w:r>
      <w:r w:rsidRPr="00337174" w:rsidR="00A30F68">
        <w:t xml:space="preserve">: </w:t>
      </w:r>
      <w:r w:rsidRPr="00337174" w:rsidR="00406A80">
        <w:t xml:space="preserve"> </w:t>
      </w:r>
      <w:r w:rsidRPr="00337174" w:rsidR="00B01AF9">
        <w:t>(</w:t>
      </w:r>
      <w:r w:rsidRPr="00F82050" w:rsidR="00A30F68">
        <w:t>1)</w:t>
      </w:r>
      <w:r w:rsidR="00513B3F">
        <w:t> </w:t>
      </w:r>
      <w:r w:rsidRPr="00F82050" w:rsidR="00A30F68">
        <w:t>the extension does not</w:t>
      </w:r>
      <w:r w:rsidR="00A30F68">
        <w:t xml:space="preserve"> </w:t>
      </w:r>
      <w:r w:rsidRPr="00F82050" w:rsidR="00A30F68">
        <w:t>emit local criteria or toxic air pollution</w:t>
      </w:r>
      <w:r w:rsidR="00573F0E">
        <w:t>; (</w:t>
      </w:r>
      <w:r w:rsidRPr="00F82050" w:rsidR="00A30F68">
        <w:t>2</w:t>
      </w:r>
      <w:r w:rsidR="00F92A9C">
        <w:t>)</w:t>
      </w:r>
      <w:r w:rsidR="00513B3F">
        <w:t> </w:t>
      </w:r>
      <w:r w:rsidRPr="00F82050" w:rsidR="00A30F68">
        <w:t>the extension is not located in an environmental and</w:t>
      </w:r>
      <w:r w:rsidR="00A30F68">
        <w:t xml:space="preserve"> </w:t>
      </w:r>
      <w:r w:rsidRPr="00F82050" w:rsidR="00A30F68">
        <w:t>social justice community</w:t>
      </w:r>
      <w:r w:rsidR="00573F0E">
        <w:t>; (</w:t>
      </w:r>
      <w:r w:rsidRPr="00F82050" w:rsidR="00A30F68">
        <w:t>3</w:t>
      </w:r>
      <w:r w:rsidR="00F92A9C">
        <w:t>)</w:t>
      </w:r>
      <w:r w:rsidR="00513B3F">
        <w:t> </w:t>
      </w:r>
      <w:r w:rsidRPr="00F82050" w:rsidR="00A30F68">
        <w:t>the extension is consistent with all California climate goals</w:t>
      </w:r>
      <w:r w:rsidR="00573F0E">
        <w:t>; (</w:t>
      </w:r>
      <w:r w:rsidRPr="00F82050" w:rsidR="00A30F68">
        <w:t>4</w:t>
      </w:r>
      <w:r w:rsidR="00F92A9C">
        <w:t>)</w:t>
      </w:r>
      <w:r w:rsidR="00513B3F">
        <w:t> </w:t>
      </w:r>
      <w:r w:rsidRPr="00F82050" w:rsidR="00A30F68">
        <w:t>the</w:t>
      </w:r>
      <w:r w:rsidR="00A30F68">
        <w:t xml:space="preserve"> </w:t>
      </w:r>
      <w:r w:rsidRPr="00F82050" w:rsidR="00A30F68">
        <w:t>project does not claim any environmental credits</w:t>
      </w:r>
      <w:r w:rsidR="00573F0E">
        <w:t>; and (</w:t>
      </w:r>
      <w:r w:rsidRPr="00F82050" w:rsidR="00A30F68">
        <w:t>5</w:t>
      </w:r>
      <w:r w:rsidR="00F92A9C">
        <w:t>)</w:t>
      </w:r>
      <w:r w:rsidR="00513B3F">
        <w:t> </w:t>
      </w:r>
      <w:r w:rsidRPr="00F82050" w:rsidR="00A30F68">
        <w:t>there are no feasible non</w:t>
      </w:r>
      <w:r w:rsidR="00513B3F">
        <w:noBreakHyphen/>
      </w:r>
      <w:r w:rsidRPr="00F82050" w:rsidR="00A30F68">
        <w:t>pipeline</w:t>
      </w:r>
      <w:r w:rsidR="00A30F68">
        <w:t xml:space="preserve"> </w:t>
      </w:r>
      <w:r w:rsidRPr="00F82050" w:rsidR="00A30F68">
        <w:t>alternatives to the extension.</w:t>
      </w:r>
      <w:r w:rsidR="00A30F68">
        <w:rPr>
          <w:rStyle w:val="FootnoteReference"/>
        </w:rPr>
        <w:footnoteReference w:id="95"/>
      </w:r>
      <w:r w:rsidRPr="00F82050" w:rsidR="00A30F68">
        <w:t xml:space="preserve"> Given the need to verify these facts with discovery, the Joint Parties</w:t>
      </w:r>
      <w:r w:rsidR="00A30F68">
        <w:t xml:space="preserve"> </w:t>
      </w:r>
      <w:r w:rsidRPr="00F82050" w:rsidR="00A30F68">
        <w:t xml:space="preserve">recommend an expedited </w:t>
      </w:r>
      <w:r w:rsidR="00A30F68">
        <w:t>a</w:t>
      </w:r>
      <w:r w:rsidRPr="00F82050" w:rsidR="00A30F68">
        <w:t>pplication process</w:t>
      </w:r>
      <w:r w:rsidR="00A30F68">
        <w:t xml:space="preserve"> that</w:t>
      </w:r>
      <w:r w:rsidRPr="00F82050" w:rsidR="00A30F68">
        <w:t xml:space="preserve"> should receive at least the same</w:t>
      </w:r>
      <w:r w:rsidR="00A30F68">
        <w:t xml:space="preserve"> </w:t>
      </w:r>
      <w:r w:rsidRPr="00F82050" w:rsidR="00A30F68">
        <w:t xml:space="preserve">level of scrutiny as a </w:t>
      </w:r>
      <w:r w:rsidR="00B27518">
        <w:t>Tier</w:t>
      </w:r>
      <w:r w:rsidR="00513B3F">
        <w:t> </w:t>
      </w:r>
      <w:r w:rsidR="00B27518">
        <w:t>3</w:t>
      </w:r>
      <w:r w:rsidRPr="00F82050" w:rsidR="00A30F68">
        <w:t xml:space="preserve"> </w:t>
      </w:r>
      <w:r w:rsidR="00B27518">
        <w:t>AL</w:t>
      </w:r>
      <w:r w:rsidRPr="00F82050" w:rsidR="00A30F68">
        <w:t xml:space="preserve">, </w:t>
      </w:r>
      <w:r w:rsidR="00A30F68">
        <w:t xml:space="preserve">where the </w:t>
      </w:r>
      <w:r w:rsidRPr="00F82050" w:rsidR="00A30F68">
        <w:t xml:space="preserve">applicants </w:t>
      </w:r>
      <w:r w:rsidR="00A30F68">
        <w:t xml:space="preserve">must </w:t>
      </w:r>
      <w:r w:rsidRPr="00F82050" w:rsidR="00A30F68">
        <w:t>demonstrate the factual</w:t>
      </w:r>
      <w:r w:rsidR="00A30F68">
        <w:t xml:space="preserve"> </w:t>
      </w:r>
      <w:r w:rsidRPr="00F82050" w:rsidR="00A30F68">
        <w:t xml:space="preserve">basis for its assertions, </w:t>
      </w:r>
      <w:r w:rsidR="00A30F68">
        <w:t xml:space="preserve">and </w:t>
      </w:r>
      <w:r w:rsidRPr="00F82050" w:rsidR="00A30F68">
        <w:t>parties</w:t>
      </w:r>
      <w:r w:rsidR="00A30F68">
        <w:t xml:space="preserve"> are allowed</w:t>
      </w:r>
      <w:r w:rsidRPr="00F82050" w:rsidR="00A30F68">
        <w:t xml:space="preserve"> to conduct discovery to verify that each of the</w:t>
      </w:r>
      <w:r w:rsidR="00A30F68">
        <w:t xml:space="preserve"> </w:t>
      </w:r>
      <w:r w:rsidRPr="00F82050" w:rsidR="00A30F68">
        <w:t>suggested criteria have been met.</w:t>
      </w:r>
      <w:r>
        <w:t xml:space="preserve"> </w:t>
      </w:r>
      <w:r w:rsidR="00A30F68">
        <w:t xml:space="preserve">TURN also recommends that if exceptions are made to </w:t>
      </w:r>
      <w:r w:rsidRPr="0031117A" w:rsidR="00A30F68">
        <w:t>preserve gas line subsidies for some</w:t>
      </w:r>
      <w:r w:rsidR="00A30F68">
        <w:t xml:space="preserve"> </w:t>
      </w:r>
      <w:r w:rsidRPr="0031117A" w:rsidR="00A30F68">
        <w:t>non</w:t>
      </w:r>
      <w:r w:rsidR="00513B3F">
        <w:noBreakHyphen/>
      </w:r>
      <w:r w:rsidRPr="0031117A" w:rsidR="00A30F68">
        <w:t xml:space="preserve">residential customers, </w:t>
      </w:r>
      <w:r w:rsidR="00A30F68">
        <w:t xml:space="preserve">the </w:t>
      </w:r>
      <w:r w:rsidRPr="0031117A" w:rsidR="00A30F68">
        <w:t xml:space="preserve">Commission </w:t>
      </w:r>
      <w:r w:rsidR="00A30F68">
        <w:t xml:space="preserve">should </w:t>
      </w:r>
      <w:r w:rsidRPr="0031117A" w:rsidR="00A30F68">
        <w:t xml:space="preserve">protect residential customers </w:t>
      </w:r>
      <w:r w:rsidR="00A30F68">
        <w:t xml:space="preserve">and require the </w:t>
      </w:r>
      <w:r w:rsidRPr="0031117A" w:rsidR="00A30F68">
        <w:t>non</w:t>
      </w:r>
      <w:r w:rsidR="00513B3F">
        <w:noBreakHyphen/>
      </w:r>
      <w:r w:rsidRPr="0031117A" w:rsidR="00A30F68">
        <w:t>residential</w:t>
      </w:r>
      <w:r w:rsidR="00A30F68">
        <w:t xml:space="preserve"> </w:t>
      </w:r>
      <w:r w:rsidRPr="0031117A" w:rsidR="00A30F68">
        <w:t xml:space="preserve">customer classes </w:t>
      </w:r>
      <w:r w:rsidR="00A30F68">
        <w:t>to subsidize the costs.</w:t>
      </w:r>
      <w:r w:rsidR="00A30F68">
        <w:rPr>
          <w:rStyle w:val="FootnoteReference"/>
        </w:rPr>
        <w:footnoteReference w:id="96"/>
      </w:r>
    </w:p>
    <w:p w:rsidR="0069546A" w:rsidP="007C2EF4" w:rsidRDefault="00AD7379" w14:paraId="317D9077" w14:textId="496FC8CB">
      <w:pPr>
        <w:pStyle w:val="Heading3"/>
      </w:pPr>
      <w:bookmarkStart w:name="_Toc109376125" w:id="136"/>
      <w:bookmarkStart w:name="_Toc109141157" w:id="137"/>
      <w:bookmarkStart w:name="_Toc110598577" w:id="138"/>
      <w:r>
        <w:t>Assistance</w:t>
      </w:r>
      <w:r w:rsidRPr="0052607D">
        <w:t xml:space="preserve"> for Low</w:t>
      </w:r>
      <w:r w:rsidR="004348FC">
        <w:br/>
      </w:r>
      <w:r w:rsidRPr="0052607D">
        <w:t>Income, Rural</w:t>
      </w:r>
      <w:r w:rsidR="004348FC">
        <w:t xml:space="preserve"> </w:t>
      </w:r>
      <w:r w:rsidRPr="0052607D">
        <w:t>and Small Businesses</w:t>
      </w:r>
      <w:r>
        <w:t xml:space="preserve"> (</w:t>
      </w:r>
      <w:r w:rsidR="00B527E0">
        <w:t>SBUA</w:t>
      </w:r>
      <w:r>
        <w:t>)</w:t>
      </w:r>
      <w:bookmarkEnd w:id="136"/>
      <w:bookmarkEnd w:id="137"/>
      <w:bookmarkEnd w:id="138"/>
    </w:p>
    <w:p w:rsidR="00DC565F" w:rsidP="006A2A75" w:rsidRDefault="00CE1D5A" w14:paraId="2CDE7889" w14:textId="39C32E8F">
      <w:pPr>
        <w:autoSpaceDE w:val="0"/>
        <w:autoSpaceDN w:val="0"/>
        <w:adjustRightInd w:val="0"/>
        <w:spacing w:line="360" w:lineRule="auto"/>
        <w:ind w:firstLine="720"/>
      </w:pPr>
      <w:r w:rsidRPr="00C84F36">
        <w:t xml:space="preserve">SBUA </w:t>
      </w:r>
      <w:r w:rsidR="00647FBB">
        <w:t>supports the elimination of gas line subsidies</w:t>
      </w:r>
      <w:r w:rsidR="00686DA5">
        <w:t xml:space="preserve"> for non</w:t>
      </w:r>
      <w:r w:rsidR="00513B3F">
        <w:noBreakHyphen/>
      </w:r>
      <w:r w:rsidR="00686DA5">
        <w:t>residential customers</w:t>
      </w:r>
      <w:r w:rsidR="00647FBB">
        <w:t>, but</w:t>
      </w:r>
      <w:r w:rsidRPr="00C84F36">
        <w:t xml:space="preserve"> </w:t>
      </w:r>
      <w:r w:rsidR="00AB26C1">
        <w:t>re</w:t>
      </w:r>
      <w:r w:rsidRPr="00C60E20">
        <w:t xml:space="preserve">commends replacing the allowance regime with direct assistance to small businesses not currently connected to gas infrastructure </w:t>
      </w:r>
      <w:r w:rsidR="00EC0583">
        <w:t xml:space="preserve">but who </w:t>
      </w:r>
      <w:r w:rsidRPr="00C60E20">
        <w:t>upgrade to high</w:t>
      </w:r>
      <w:r w:rsidR="00513B3F">
        <w:noBreakHyphen/>
      </w:r>
      <w:r w:rsidRPr="00C60E20">
        <w:t xml:space="preserve">efficiency electric appliances in furtherance of the state’s </w:t>
      </w:r>
      <w:r w:rsidR="0028285F">
        <w:lastRenderedPageBreak/>
        <w:t>GHG</w:t>
      </w:r>
      <w:r w:rsidRPr="00C60E20">
        <w:t xml:space="preserve"> emission goals.</w:t>
      </w:r>
      <w:r>
        <w:t xml:space="preserve"> More specifically, they propose</w:t>
      </w:r>
      <w:r w:rsidRPr="00337174" w:rsidR="006066F4">
        <w:t>:</w:t>
      </w:r>
      <w:r w:rsidRPr="00337174">
        <w:t xml:space="preserve"> </w:t>
      </w:r>
      <w:r w:rsidRPr="00337174" w:rsidR="00406A80">
        <w:t xml:space="preserve"> </w:t>
      </w:r>
      <w:r w:rsidRPr="00337174" w:rsidR="00644BED">
        <w:t>(</w:t>
      </w:r>
      <w:r>
        <w:t>1)</w:t>
      </w:r>
      <w:r w:rsidR="00513B3F">
        <w:t> </w:t>
      </w:r>
      <w:r w:rsidRPr="00151B00">
        <w:t xml:space="preserve">opening a further phase of this proceeding </w:t>
      </w:r>
      <w:r w:rsidRPr="009966EF">
        <w:t>to understand the support required to assist small businesses in overcoming barriers to electrification, such as by providing subsidies for appliance or panel upgrades in locations where stranded asset problems are most likely to be acute or where propane reliance is high</w:t>
      </w:r>
      <w:r w:rsidR="00573F0E">
        <w:t>; (</w:t>
      </w:r>
      <w:r>
        <w:t>2)</w:t>
      </w:r>
      <w:r w:rsidR="00513B3F">
        <w:t> </w:t>
      </w:r>
      <w:r w:rsidRPr="00151B00">
        <w:t xml:space="preserve">establishing a pilot project </w:t>
      </w:r>
      <w:r w:rsidRPr="009966EF">
        <w:t xml:space="preserve">to investigate the effectiveness of electrification incentive programs, akin to the </w:t>
      </w:r>
      <w:r w:rsidR="000F2D16">
        <w:t>San</w:t>
      </w:r>
      <w:r w:rsidR="00513B3F">
        <w:t> </w:t>
      </w:r>
      <w:r w:rsidRPr="009966EF">
        <w:t>Joaquin Valley Pilots (D.18</w:t>
      </w:r>
      <w:r w:rsidR="00513B3F">
        <w:noBreakHyphen/>
      </w:r>
      <w:r w:rsidRPr="009966EF">
        <w:t>12</w:t>
      </w:r>
      <w:r w:rsidR="00513B3F">
        <w:noBreakHyphen/>
      </w:r>
      <w:r w:rsidRPr="009966EF">
        <w:t xml:space="preserve">015) referenced in the Staff </w:t>
      </w:r>
      <w:r w:rsidRPr="00151B00">
        <w:t>Proposal</w:t>
      </w:r>
      <w:r w:rsidR="00573F0E">
        <w:t>; and (</w:t>
      </w:r>
      <w:r>
        <w:t>3)</w:t>
      </w:r>
      <w:r w:rsidR="00513B3F">
        <w:t> </w:t>
      </w:r>
      <w:r>
        <w:t>r</w:t>
      </w:r>
      <w:r w:rsidRPr="00151B00">
        <w:t>equir</w:t>
      </w:r>
      <w:r>
        <w:t>ing</w:t>
      </w:r>
      <w:r w:rsidRPr="00151B00">
        <w:t xml:space="preserve"> electric utilities, through the</w:t>
      </w:r>
      <w:r w:rsidR="00F855C8">
        <w:t xml:space="preserve"> </w:t>
      </w:r>
      <w:r w:rsidR="005B759E">
        <w:t>advice</w:t>
      </w:r>
      <w:r w:rsidRPr="00151B00">
        <w:t xml:space="preserve"> letter process, </w:t>
      </w:r>
      <w:r>
        <w:t xml:space="preserve">to </w:t>
      </w:r>
      <w:r w:rsidRPr="00151B00">
        <w:t xml:space="preserve">gather further data on bill savings comparisons between gas and electric </w:t>
      </w:r>
      <w:r w:rsidR="00A1319C">
        <w:t xml:space="preserve">usage </w:t>
      </w:r>
      <w:r w:rsidRPr="00151B00">
        <w:t>and propose programs to address financial barriers to adoption of electric appliances.</w:t>
      </w:r>
      <w:r>
        <w:rPr>
          <w:rStyle w:val="FootnoteReference"/>
        </w:rPr>
        <w:footnoteReference w:id="97"/>
      </w:r>
    </w:p>
    <w:p w:rsidR="00EE3195" w:rsidP="007C2EF4" w:rsidRDefault="00EE3195" w14:paraId="43B3BBA8" w14:textId="2B4B8B1C">
      <w:pPr>
        <w:pStyle w:val="Heading2"/>
      </w:pPr>
      <w:bookmarkStart w:name="_Toc109376126" w:id="139"/>
      <w:bookmarkStart w:name="_Toc109141158" w:id="140"/>
      <w:bookmarkStart w:name="_Toc110598578" w:id="141"/>
      <w:r>
        <w:t>Discussion</w:t>
      </w:r>
      <w:bookmarkEnd w:id="139"/>
      <w:bookmarkEnd w:id="140"/>
      <w:bookmarkEnd w:id="141"/>
    </w:p>
    <w:p w:rsidRPr="00142428" w:rsidR="00C75ECB" w:rsidP="007C2EF4" w:rsidRDefault="001915CB" w14:paraId="7B4A73F5" w14:textId="21D5CC27">
      <w:pPr>
        <w:pStyle w:val="Heading3"/>
      </w:pPr>
      <w:bookmarkStart w:name="_Toc109376127" w:id="142"/>
      <w:bookmarkStart w:name="_Toc109141159" w:id="143"/>
      <w:bookmarkStart w:name="_Toc110598579" w:id="144"/>
      <w:r w:rsidRPr="00142428">
        <w:t>Eliminat</w:t>
      </w:r>
      <w:r>
        <w:t>ion of</w:t>
      </w:r>
      <w:r w:rsidRPr="00142428" w:rsidR="00000602">
        <w:t xml:space="preserve"> Non</w:t>
      </w:r>
      <w:r w:rsidR="00513B3F">
        <w:noBreakHyphen/>
      </w:r>
      <w:r w:rsidR="009C41F0">
        <w:t>R</w:t>
      </w:r>
      <w:r w:rsidRPr="00142428" w:rsidR="00000602">
        <w:t>esidential</w:t>
      </w:r>
      <w:r w:rsidR="0045657F">
        <w:t xml:space="preserve"> </w:t>
      </w:r>
      <w:r w:rsidRPr="00142428" w:rsidR="00000602">
        <w:t>Gas Line Subsidies</w:t>
      </w:r>
      <w:r w:rsidRPr="00337174" w:rsidR="004E2426">
        <w:t>:</w:t>
      </w:r>
      <w:r w:rsidRPr="00337174" w:rsidR="00406A80">
        <w:t xml:space="preserve"> </w:t>
      </w:r>
      <w:r w:rsidRPr="00337174" w:rsidR="004E2426">
        <w:t xml:space="preserve"> A</w:t>
      </w:r>
      <w:r w:rsidRPr="00F97EE6" w:rsidR="004E2426">
        <w:t>pproved</w:t>
      </w:r>
      <w:bookmarkEnd w:id="142"/>
      <w:bookmarkEnd w:id="143"/>
      <w:bookmarkEnd w:id="144"/>
      <w:r w:rsidRPr="00142428" w:rsidR="00C75ECB">
        <w:t xml:space="preserve"> </w:t>
      </w:r>
    </w:p>
    <w:p w:rsidRPr="00AE5287" w:rsidR="00A46F11" w:rsidP="00230169" w:rsidRDefault="000C6964" w14:paraId="00555BDD" w14:textId="4BBE390A">
      <w:pPr>
        <w:pStyle w:val="Standard"/>
      </w:pPr>
      <w:r w:rsidRPr="00D02C70">
        <w:t xml:space="preserve">This decision </w:t>
      </w:r>
      <w:r>
        <w:t xml:space="preserve">adopts the staff’s proposal </w:t>
      </w:r>
      <w:r w:rsidR="00A81D45">
        <w:t xml:space="preserve">to </w:t>
      </w:r>
      <w:r w:rsidRPr="00D02C70">
        <w:t>eliminat</w:t>
      </w:r>
      <w:r w:rsidR="00A81D45">
        <w:t>e</w:t>
      </w:r>
      <w:r w:rsidRPr="00D02C70">
        <w:t xml:space="preserve"> the </w:t>
      </w:r>
      <w:r>
        <w:t>non</w:t>
      </w:r>
      <w:r w:rsidR="00513B3F">
        <w:noBreakHyphen/>
      </w:r>
      <w:r>
        <w:t xml:space="preserve">residential </w:t>
      </w:r>
      <w:r w:rsidRPr="00D02C70">
        <w:t xml:space="preserve">gas line subsidies </w:t>
      </w:r>
      <w:r>
        <w:t>effective</w:t>
      </w:r>
      <w:r w:rsidRPr="00DB750D">
        <w:t xml:space="preserve"> </w:t>
      </w:r>
      <w:r w:rsidR="0067589C">
        <w:t>July</w:t>
      </w:r>
      <w:r w:rsidR="00513B3F">
        <w:t> </w:t>
      </w:r>
      <w:r w:rsidR="0067589C">
        <w:t>1,</w:t>
      </w:r>
      <w:r w:rsidR="00513B3F">
        <w:t> </w:t>
      </w:r>
      <w:r w:rsidR="0067589C">
        <w:t>202</w:t>
      </w:r>
      <w:r w:rsidRPr="0025795F">
        <w:t>3</w:t>
      </w:r>
      <w:r>
        <w:t xml:space="preserve">. </w:t>
      </w:r>
      <w:r w:rsidR="00431C38">
        <w:t>The</w:t>
      </w:r>
      <w:r w:rsidR="00230169">
        <w:t xml:space="preserve"> elimination of subsidies </w:t>
      </w:r>
      <w:r w:rsidRPr="00470331" w:rsidR="00230169">
        <w:t xml:space="preserve">applies to new applications for gas line extensions </w:t>
      </w:r>
      <w:r w:rsidR="00230169">
        <w:t xml:space="preserve">submitted </w:t>
      </w:r>
      <w:r w:rsidRPr="00470331" w:rsidR="00230169">
        <w:t xml:space="preserve">on or after </w:t>
      </w:r>
      <w:r w:rsidR="0067589C">
        <w:t>July</w:t>
      </w:r>
      <w:r w:rsidR="00513B3F">
        <w:t> </w:t>
      </w:r>
      <w:r w:rsidR="0067589C">
        <w:t>1,</w:t>
      </w:r>
      <w:r w:rsidR="00513B3F">
        <w:t> </w:t>
      </w:r>
      <w:r w:rsidR="0067589C">
        <w:t>202</w:t>
      </w:r>
      <w:r w:rsidRPr="00470331" w:rsidR="00230169">
        <w:t xml:space="preserve">3, and </w:t>
      </w:r>
      <w:r w:rsidRPr="00AE5287" w:rsidR="00230169">
        <w:t xml:space="preserve">will not affect applications submitted before </w:t>
      </w:r>
      <w:r w:rsidR="0067589C">
        <w:t>July</w:t>
      </w:r>
      <w:r w:rsidR="00513B3F">
        <w:t> </w:t>
      </w:r>
      <w:r w:rsidR="0067589C">
        <w:t>1,</w:t>
      </w:r>
      <w:r w:rsidR="00513B3F">
        <w:t> </w:t>
      </w:r>
      <w:r w:rsidR="0067589C">
        <w:t>202</w:t>
      </w:r>
      <w:r w:rsidRPr="00AE5287" w:rsidR="00230169">
        <w:t xml:space="preserve">3. </w:t>
      </w:r>
      <w:r w:rsidR="00841806">
        <w:t>Within 30 days of the date of this order, t</w:t>
      </w:r>
      <w:r w:rsidRPr="00AE5287" w:rsidR="00230169">
        <w:t xml:space="preserve">he gas IOUs shall each submit a </w:t>
      </w:r>
      <w:r w:rsidR="00B27518">
        <w:t>Tier</w:t>
      </w:r>
      <w:r w:rsidR="00513B3F">
        <w:t> </w:t>
      </w:r>
      <w:r w:rsidR="00B27518">
        <w:t>2</w:t>
      </w:r>
      <w:r w:rsidRPr="00AE5287" w:rsidR="00230169">
        <w:t xml:space="preserve"> </w:t>
      </w:r>
      <w:r w:rsidR="00B27518">
        <w:t>AL</w:t>
      </w:r>
      <w:r w:rsidRPr="00AE5287" w:rsidR="00230169">
        <w:t xml:space="preserve"> to revise their respective gas rules to implement this decision.</w:t>
      </w:r>
      <w:r w:rsidRPr="00AE5287" w:rsidR="00A46F11">
        <w:t xml:space="preserve"> </w:t>
      </w:r>
    </w:p>
    <w:p w:rsidR="008C1CAF" w:rsidP="00122686" w:rsidRDefault="00AE5287" w14:paraId="73F3CD70" w14:textId="56B95841">
      <w:pPr>
        <w:pStyle w:val="Standard"/>
      </w:pPr>
      <w:r>
        <w:t>Gas line subsidies are eliminated for the non</w:t>
      </w:r>
      <w:r w:rsidR="00513B3F">
        <w:noBreakHyphen/>
      </w:r>
      <w:r>
        <w:t xml:space="preserve">residential sector for the same reasons as for the residential sector. </w:t>
      </w:r>
      <w:r w:rsidR="004844B2">
        <w:t>The</w:t>
      </w:r>
      <w:r w:rsidR="001A2A1A">
        <w:t>se</w:t>
      </w:r>
      <w:r w:rsidR="004844B2">
        <w:t xml:space="preserve"> benefits</w:t>
      </w:r>
      <w:r>
        <w:t xml:space="preserve"> include significant ratepayer savings, </w:t>
      </w:r>
      <w:r w:rsidRPr="00B47BF3">
        <w:t>reduc</w:t>
      </w:r>
      <w:r>
        <w:t xml:space="preserve">tions in </w:t>
      </w:r>
      <w:r w:rsidRPr="00B47BF3">
        <w:t>GHG emissions</w:t>
      </w:r>
      <w:r>
        <w:t xml:space="preserve">, </w:t>
      </w:r>
      <w:r w:rsidRPr="00B47BF3">
        <w:t>combating climate change</w:t>
      </w:r>
      <w:r>
        <w:t>, i</w:t>
      </w:r>
      <w:r w:rsidRPr="00B47BF3">
        <w:t>mprove</w:t>
      </w:r>
      <w:r>
        <w:t>d</w:t>
      </w:r>
      <w:r w:rsidRPr="00B47BF3">
        <w:t xml:space="preserve"> </w:t>
      </w:r>
      <w:r>
        <w:t>o</w:t>
      </w:r>
      <w:r w:rsidRPr="00B47BF3">
        <w:t xml:space="preserve">verall </w:t>
      </w:r>
      <w:r>
        <w:t>q</w:t>
      </w:r>
      <w:r w:rsidRPr="00B47BF3">
        <w:t>uality of</w:t>
      </w:r>
      <w:r>
        <w:t xml:space="preserve"> l</w:t>
      </w:r>
      <w:r w:rsidRPr="00B47BF3">
        <w:t>ife</w:t>
      </w:r>
      <w:r>
        <w:t xml:space="preserve">, greater certainty for the builder community, and benefits </w:t>
      </w:r>
      <w:r>
        <w:lastRenderedPageBreak/>
        <w:t>to low</w:t>
      </w:r>
      <w:r w:rsidR="00513B3F">
        <w:noBreakHyphen/>
      </w:r>
      <w:r>
        <w:t xml:space="preserve">income customers. The Commission </w:t>
      </w:r>
      <w:r w:rsidRPr="006B3A1D">
        <w:t>reiterate</w:t>
      </w:r>
      <w:r>
        <w:t>s</w:t>
      </w:r>
      <w:r w:rsidRPr="006B3A1D">
        <w:t xml:space="preserve"> that the elimination of these subsidies is one of many </w:t>
      </w:r>
      <w:r>
        <w:t xml:space="preserve">necessary and important </w:t>
      </w:r>
      <w:r w:rsidRPr="006B3A1D">
        <w:t xml:space="preserve">steps in furthering </w:t>
      </w:r>
      <w:r>
        <w:t xml:space="preserve">California’s </w:t>
      </w:r>
      <w:r w:rsidRPr="006B3A1D">
        <w:t xml:space="preserve">decarbonization </w:t>
      </w:r>
      <w:r>
        <w:t>goals</w:t>
      </w:r>
      <w:r w:rsidRPr="006B3A1D">
        <w:t xml:space="preserve">, while easing the burden on </w:t>
      </w:r>
      <w:r>
        <w:t>gas ratepayers, ensuring grid safety and reliability, and continuing to promote alternative clean fuels.</w:t>
      </w:r>
      <w:r w:rsidR="00122686">
        <w:t xml:space="preserve"> </w:t>
      </w:r>
    </w:p>
    <w:p w:rsidR="00122686" w:rsidP="00122686" w:rsidRDefault="00122686" w14:paraId="5B5DE9C3" w14:textId="5B9F1A62">
      <w:pPr>
        <w:pStyle w:val="Standard"/>
      </w:pPr>
      <w:r w:rsidRPr="00AE5287">
        <w:t xml:space="preserve">We also adopt the proposal of the Joint Parties and TURN, with modifications, to allow individual applications for the </w:t>
      </w:r>
      <w:r w:rsidR="009E2130">
        <w:t>provision</w:t>
      </w:r>
      <w:r w:rsidRPr="00AE5287" w:rsidR="009E2130">
        <w:t xml:space="preserve"> </w:t>
      </w:r>
      <w:r w:rsidRPr="00AE5287">
        <w:t>of gas line subsidies for select unique projects meeting specific application criteria discussed below.</w:t>
      </w:r>
      <w:r>
        <w:t xml:space="preserve"> </w:t>
      </w:r>
    </w:p>
    <w:p w:rsidR="00904288" w:rsidP="006B3A1D" w:rsidRDefault="00357A2A" w14:paraId="4B35E140" w14:textId="66852930">
      <w:pPr>
        <w:pStyle w:val="Standard"/>
      </w:pPr>
      <w:r>
        <w:t>The Commission</w:t>
      </w:r>
      <w:r w:rsidR="00904288">
        <w:t xml:space="preserve"> agree</w:t>
      </w:r>
      <w:r>
        <w:t>s</w:t>
      </w:r>
      <w:r w:rsidR="00904288">
        <w:t xml:space="preserve"> with</w:t>
      </w:r>
      <w:r w:rsidR="008C727A">
        <w:t xml:space="preserve"> </w:t>
      </w:r>
      <w:r w:rsidR="000935C6">
        <w:t>SBUA</w:t>
      </w:r>
      <w:r w:rsidR="008C727A">
        <w:t xml:space="preserve"> and other</w:t>
      </w:r>
      <w:r w:rsidR="008359EA">
        <w:t xml:space="preserve"> parties </w:t>
      </w:r>
      <w:r w:rsidR="008C727A">
        <w:t xml:space="preserve">that large </w:t>
      </w:r>
      <w:bookmarkStart w:name="_Hlk109082364" w:id="145"/>
      <w:r w:rsidR="008C727A">
        <w:t>non</w:t>
      </w:r>
      <w:r w:rsidR="00513B3F">
        <w:noBreakHyphen/>
      </w:r>
      <w:r w:rsidR="008C727A">
        <w:t>residential</w:t>
      </w:r>
      <w:bookmarkEnd w:id="145"/>
      <w:r w:rsidR="008C727A">
        <w:t xml:space="preserve"> customers are the most significant contributors to GHG gas emissions</w:t>
      </w:r>
      <w:r w:rsidR="00697391">
        <w:t>,</w:t>
      </w:r>
      <w:r w:rsidR="00694ACC">
        <w:rPr>
          <w:rStyle w:val="FootnoteReference"/>
        </w:rPr>
        <w:footnoteReference w:id="98"/>
      </w:r>
      <w:r w:rsidR="00697391">
        <w:t xml:space="preserve"> making it especially important to </w:t>
      </w:r>
      <w:r w:rsidR="005F4807">
        <w:t xml:space="preserve">adopt </w:t>
      </w:r>
      <w:r w:rsidR="00697391">
        <w:t>this</w:t>
      </w:r>
      <w:r w:rsidR="00147F4C">
        <w:t xml:space="preserve"> </w:t>
      </w:r>
      <w:r w:rsidR="00697391">
        <w:t>policy change</w:t>
      </w:r>
      <w:r w:rsidR="00262531">
        <w:t xml:space="preserve"> for th</w:t>
      </w:r>
      <w:r w:rsidR="00821BDB">
        <w:t>is customer segment</w:t>
      </w:r>
      <w:r w:rsidR="00262531">
        <w:t xml:space="preserve">. </w:t>
      </w:r>
      <w:r w:rsidR="00D76B79">
        <w:t xml:space="preserve">Absent this change, </w:t>
      </w:r>
      <w:r w:rsidR="003B25BF">
        <w:t>non</w:t>
      </w:r>
      <w:r w:rsidR="00513B3F">
        <w:noBreakHyphen/>
      </w:r>
      <w:r w:rsidR="003B25BF">
        <w:t xml:space="preserve">residential </w:t>
      </w:r>
      <w:r w:rsidR="00D76B79">
        <w:t xml:space="preserve">customers create the </w:t>
      </w:r>
      <w:r w:rsidR="008359EA">
        <w:t xml:space="preserve">great potential to drive problematic </w:t>
      </w:r>
      <w:r w:rsidR="007E02FA">
        <w:t>expansion of gas line infrastructure beyond existing use areas</w:t>
      </w:r>
      <w:r w:rsidR="00542F0E">
        <w:t>, and create additional stranded investment</w:t>
      </w:r>
      <w:r w:rsidR="00C76850">
        <w:t xml:space="preserve">. </w:t>
      </w:r>
    </w:p>
    <w:p w:rsidRPr="006B3A1D" w:rsidR="00CE310E" w:rsidP="006B3A1D" w:rsidRDefault="009032BF" w14:paraId="61DE89AF" w14:textId="51A83062">
      <w:pPr>
        <w:pStyle w:val="Standard"/>
      </w:pPr>
      <w:r>
        <w:t>Therefore, we eliminate gas line subsidies</w:t>
      </w:r>
      <w:r w:rsidR="003637ED">
        <w:t xml:space="preserve"> to promote the many benefits of</w:t>
      </w:r>
      <w:r w:rsidR="00FC08C2">
        <w:t xml:space="preserve"> this policy.</w:t>
      </w:r>
      <w:r w:rsidR="006F31D6">
        <w:t xml:space="preserve"> </w:t>
      </w:r>
      <w:r w:rsidR="002830CB">
        <w:t xml:space="preserve">However, </w:t>
      </w:r>
      <w:r w:rsidR="00D71199">
        <w:t xml:space="preserve">gas line </w:t>
      </w:r>
      <w:r w:rsidRPr="00E944DC" w:rsidR="00E944DC">
        <w:t xml:space="preserve">subsidies </w:t>
      </w:r>
      <w:r w:rsidR="00962375">
        <w:t xml:space="preserve">may be </w:t>
      </w:r>
      <w:r w:rsidRPr="00E944DC" w:rsidR="00E944DC">
        <w:t xml:space="preserve">extended to a limited number of unique </w:t>
      </w:r>
      <w:r w:rsidR="00303761">
        <w:t>gas line extension projects</w:t>
      </w:r>
      <w:r w:rsidRPr="00E944DC" w:rsidR="00303761">
        <w:t xml:space="preserve"> </w:t>
      </w:r>
      <w:r w:rsidRPr="00E944DC" w:rsidR="00E944DC">
        <w:t>meeting specific criteria</w:t>
      </w:r>
      <w:r w:rsidR="00DE2A98">
        <w:t>, and will be reviewed</w:t>
      </w:r>
      <w:r w:rsidR="007874BE">
        <w:t xml:space="preserve"> through the application process outlined below</w:t>
      </w:r>
      <w:r w:rsidR="00C76850">
        <w:t xml:space="preserve">. </w:t>
      </w:r>
    </w:p>
    <w:p w:rsidRPr="00142428" w:rsidR="00000602" w:rsidP="007C2EF4" w:rsidRDefault="00C75ECB" w14:paraId="192CAB54" w14:textId="2BD916E7">
      <w:pPr>
        <w:pStyle w:val="Heading3"/>
      </w:pPr>
      <w:bookmarkStart w:name="_Toc109376128" w:id="146"/>
      <w:bookmarkStart w:name="_Toc109141160" w:id="147"/>
      <w:bookmarkStart w:name="_Toc110598580" w:id="148"/>
      <w:r w:rsidRPr="00142428">
        <w:t xml:space="preserve">Exemptions for </w:t>
      </w:r>
      <w:r w:rsidR="003B2059">
        <w:t>Specific List of</w:t>
      </w:r>
      <w:r w:rsidR="009176BC">
        <w:t xml:space="preserve"> </w:t>
      </w:r>
      <w:r w:rsidRPr="00142428">
        <w:t>Projects that Provide Environmental</w:t>
      </w:r>
      <w:r w:rsidR="009176BC">
        <w:t xml:space="preserve"> </w:t>
      </w:r>
      <w:r w:rsidRPr="00142428">
        <w:t>or Financial Benefits</w:t>
      </w:r>
      <w:r w:rsidRPr="00337174" w:rsidR="004E2426">
        <w:t>:</w:t>
      </w:r>
      <w:r w:rsidRPr="00337174" w:rsidR="00406A80">
        <w:t xml:space="preserve"> </w:t>
      </w:r>
      <w:r w:rsidRPr="00337174" w:rsidR="004E2426">
        <w:t xml:space="preserve"> D</w:t>
      </w:r>
      <w:r w:rsidRPr="00373233" w:rsidR="004E2426">
        <w:t>enied</w:t>
      </w:r>
      <w:bookmarkEnd w:id="146"/>
      <w:bookmarkEnd w:id="147"/>
      <w:bookmarkEnd w:id="148"/>
    </w:p>
    <w:p w:rsidR="009B4098" w:rsidP="0083517D" w:rsidRDefault="00DB0157" w14:paraId="780C1946" w14:textId="087ABE67">
      <w:pPr>
        <w:autoSpaceDE w:val="0"/>
        <w:autoSpaceDN w:val="0"/>
        <w:adjustRightInd w:val="0"/>
        <w:spacing w:line="360" w:lineRule="auto"/>
        <w:ind w:firstLine="720"/>
        <w:rPr>
          <w:szCs w:val="26"/>
        </w:rPr>
      </w:pPr>
      <w:r w:rsidRPr="00142428">
        <w:rPr>
          <w:szCs w:val="26"/>
        </w:rPr>
        <w:t>This decision denies the Joint IOUs</w:t>
      </w:r>
      <w:r w:rsidRPr="00142428" w:rsidR="00471689">
        <w:rPr>
          <w:szCs w:val="26"/>
        </w:rPr>
        <w:t>’</w:t>
      </w:r>
      <w:r w:rsidRPr="00142428">
        <w:rPr>
          <w:szCs w:val="26"/>
        </w:rPr>
        <w:t xml:space="preserve"> proposal to continue offering gas lin</w:t>
      </w:r>
      <w:r w:rsidRPr="00142428" w:rsidR="00471689">
        <w:rPr>
          <w:szCs w:val="26"/>
        </w:rPr>
        <w:t>e</w:t>
      </w:r>
      <w:r>
        <w:rPr>
          <w:szCs w:val="26"/>
        </w:rPr>
        <w:t xml:space="preserve"> subsid</w:t>
      </w:r>
      <w:r w:rsidR="00A77FEB">
        <w:rPr>
          <w:szCs w:val="26"/>
        </w:rPr>
        <w:t>i</w:t>
      </w:r>
      <w:r>
        <w:rPr>
          <w:szCs w:val="26"/>
        </w:rPr>
        <w:t xml:space="preserve">es to </w:t>
      </w:r>
      <w:r w:rsidR="008D7D34">
        <w:rPr>
          <w:szCs w:val="26"/>
        </w:rPr>
        <w:t>the</w:t>
      </w:r>
      <w:r w:rsidR="00F65A29">
        <w:rPr>
          <w:szCs w:val="26"/>
        </w:rPr>
        <w:t>ir proposed</w:t>
      </w:r>
      <w:r w:rsidR="00D72EAA">
        <w:rPr>
          <w:szCs w:val="26"/>
        </w:rPr>
        <w:t xml:space="preserve"> list of </w:t>
      </w:r>
      <w:r w:rsidR="00294E9D">
        <w:rPr>
          <w:szCs w:val="26"/>
        </w:rPr>
        <w:t xml:space="preserve">10 </w:t>
      </w:r>
      <w:r>
        <w:rPr>
          <w:szCs w:val="26"/>
        </w:rPr>
        <w:t>non</w:t>
      </w:r>
      <w:r w:rsidR="00513B3F">
        <w:rPr>
          <w:szCs w:val="26"/>
        </w:rPr>
        <w:noBreakHyphen/>
      </w:r>
      <w:r>
        <w:rPr>
          <w:szCs w:val="26"/>
        </w:rPr>
        <w:t>residential project</w:t>
      </w:r>
      <w:r w:rsidR="00A02869">
        <w:rPr>
          <w:szCs w:val="26"/>
        </w:rPr>
        <w:t xml:space="preserve"> categories</w:t>
      </w:r>
      <w:r>
        <w:rPr>
          <w:szCs w:val="26"/>
        </w:rPr>
        <w:t xml:space="preserve"> that </w:t>
      </w:r>
      <w:r w:rsidR="00D72EAA">
        <w:rPr>
          <w:szCs w:val="26"/>
        </w:rPr>
        <w:t xml:space="preserve">might </w:t>
      </w:r>
      <w:r w:rsidDel="00CD2684">
        <w:rPr>
          <w:szCs w:val="26"/>
        </w:rPr>
        <w:lastRenderedPageBreak/>
        <w:t>provide</w:t>
      </w:r>
      <w:r>
        <w:rPr>
          <w:szCs w:val="26"/>
        </w:rPr>
        <w:t xml:space="preserve"> </w:t>
      </w:r>
      <w:r w:rsidRPr="00383C6D">
        <w:rPr>
          <w:szCs w:val="26"/>
        </w:rPr>
        <w:t>environmental and financial benefits to ratepayers</w:t>
      </w:r>
      <w:r w:rsidR="00D72EAA">
        <w:rPr>
          <w:szCs w:val="26"/>
        </w:rPr>
        <w:t xml:space="preserve">. </w:t>
      </w:r>
      <w:r w:rsidR="003B2059">
        <w:rPr>
          <w:szCs w:val="26"/>
        </w:rPr>
        <w:t>We</w:t>
      </w:r>
      <w:r w:rsidR="00E62838">
        <w:rPr>
          <w:szCs w:val="26"/>
        </w:rPr>
        <w:t xml:space="preserve"> </w:t>
      </w:r>
      <w:r>
        <w:rPr>
          <w:szCs w:val="26"/>
        </w:rPr>
        <w:t xml:space="preserve">are not convinced by the </w:t>
      </w:r>
      <w:r w:rsidRPr="00383C6D">
        <w:rPr>
          <w:szCs w:val="26"/>
        </w:rPr>
        <w:t>Joint IOUs</w:t>
      </w:r>
      <w:r w:rsidR="00822DA7">
        <w:rPr>
          <w:szCs w:val="26"/>
        </w:rPr>
        <w:t>’</w:t>
      </w:r>
      <w:r w:rsidRPr="00383C6D">
        <w:rPr>
          <w:szCs w:val="26"/>
        </w:rPr>
        <w:t xml:space="preserve"> </w:t>
      </w:r>
      <w:r w:rsidRPr="00383C6D" w:rsidR="00822DA7">
        <w:rPr>
          <w:szCs w:val="26"/>
        </w:rPr>
        <w:t>argum</w:t>
      </w:r>
      <w:r w:rsidR="00822DA7">
        <w:rPr>
          <w:szCs w:val="26"/>
        </w:rPr>
        <w:t xml:space="preserve">ent </w:t>
      </w:r>
      <w:r w:rsidRPr="00383C6D">
        <w:rPr>
          <w:szCs w:val="26"/>
        </w:rPr>
        <w:t xml:space="preserve">that </w:t>
      </w:r>
      <w:r w:rsidR="00822DA7">
        <w:rPr>
          <w:szCs w:val="26"/>
        </w:rPr>
        <w:t xml:space="preserve">an exception for </w:t>
      </w:r>
      <w:r w:rsidR="003A0708">
        <w:rPr>
          <w:szCs w:val="26"/>
        </w:rPr>
        <w:t xml:space="preserve">a specific group of </w:t>
      </w:r>
      <w:r w:rsidR="00822DA7">
        <w:rPr>
          <w:szCs w:val="26"/>
        </w:rPr>
        <w:t>projects is</w:t>
      </w:r>
      <w:r w:rsidRPr="00383C6D">
        <w:rPr>
          <w:szCs w:val="26"/>
        </w:rPr>
        <w:t xml:space="preserve"> necessary </w:t>
      </w:r>
      <w:r w:rsidR="00C9108F">
        <w:rPr>
          <w:szCs w:val="26"/>
        </w:rPr>
        <w:t>given the</w:t>
      </w:r>
      <w:r w:rsidRPr="004D4845">
        <w:rPr>
          <w:szCs w:val="26"/>
        </w:rPr>
        <w:t xml:space="preserve"> urgent nature of </w:t>
      </w:r>
      <w:r w:rsidR="00F47A69">
        <w:rPr>
          <w:szCs w:val="26"/>
        </w:rPr>
        <w:t>California’s</w:t>
      </w:r>
      <w:r w:rsidRPr="004D4845">
        <w:rPr>
          <w:szCs w:val="26"/>
        </w:rPr>
        <w:t xml:space="preserve"> decarbonization goals and the likelihood that any new gas investments </w:t>
      </w:r>
      <w:r w:rsidR="005F5697">
        <w:rPr>
          <w:szCs w:val="26"/>
        </w:rPr>
        <w:t>c</w:t>
      </w:r>
      <w:r w:rsidR="00357D10">
        <w:rPr>
          <w:szCs w:val="26"/>
        </w:rPr>
        <w:t>ould</w:t>
      </w:r>
      <w:r w:rsidRPr="004D4845">
        <w:rPr>
          <w:szCs w:val="26"/>
        </w:rPr>
        <w:t xml:space="preserve"> become stranded assets in the future.</w:t>
      </w:r>
      <w:r w:rsidR="00C9108F">
        <w:rPr>
          <w:szCs w:val="26"/>
        </w:rPr>
        <w:t xml:space="preserve"> </w:t>
      </w:r>
      <w:r w:rsidR="00807D16">
        <w:rPr>
          <w:szCs w:val="26"/>
        </w:rPr>
        <w:t xml:space="preserve">Rather, </w:t>
      </w:r>
      <w:r w:rsidR="005E4A52">
        <w:rPr>
          <w:szCs w:val="26"/>
        </w:rPr>
        <w:t>as explained below</w:t>
      </w:r>
      <w:r w:rsidR="00807D16">
        <w:rPr>
          <w:szCs w:val="26"/>
        </w:rPr>
        <w:t>, the potential benefits of</w:t>
      </w:r>
      <w:r w:rsidR="00115F5A">
        <w:rPr>
          <w:szCs w:val="26"/>
        </w:rPr>
        <w:t xml:space="preserve"> an exemption for a specific group of customer</w:t>
      </w:r>
      <w:r w:rsidR="00915566">
        <w:rPr>
          <w:szCs w:val="26"/>
        </w:rPr>
        <w:t xml:space="preserve">s </w:t>
      </w:r>
      <w:r w:rsidR="002D4289">
        <w:rPr>
          <w:szCs w:val="26"/>
        </w:rPr>
        <w:t>are</w:t>
      </w:r>
      <w:r w:rsidR="00115F5A">
        <w:rPr>
          <w:szCs w:val="26"/>
        </w:rPr>
        <w:t xml:space="preserve"> outweighed by the </w:t>
      </w:r>
      <w:r w:rsidR="00B04E99">
        <w:rPr>
          <w:szCs w:val="26"/>
        </w:rPr>
        <w:t xml:space="preserve">environmental and stranded investment costs. </w:t>
      </w:r>
    </w:p>
    <w:p w:rsidR="009F4EEE" w:rsidP="003D2415" w:rsidRDefault="009B4098" w14:paraId="27816EBD" w14:textId="5A9EFB9D">
      <w:pPr>
        <w:autoSpaceDE w:val="0"/>
        <w:autoSpaceDN w:val="0"/>
        <w:adjustRightInd w:val="0"/>
        <w:spacing w:line="360" w:lineRule="auto"/>
        <w:ind w:firstLine="720"/>
        <w:rPr>
          <w:szCs w:val="26"/>
        </w:rPr>
      </w:pPr>
      <w:r>
        <w:rPr>
          <w:szCs w:val="26"/>
        </w:rPr>
        <w:t>T</w:t>
      </w:r>
      <w:r w:rsidRPr="00BE6DB9" w:rsidR="00DB0157">
        <w:rPr>
          <w:szCs w:val="26"/>
        </w:rPr>
        <w:t xml:space="preserve">he Joint IOUs </w:t>
      </w:r>
      <w:r w:rsidR="00002986">
        <w:rPr>
          <w:szCs w:val="26"/>
        </w:rPr>
        <w:t>propose this exception</w:t>
      </w:r>
      <w:r w:rsidRPr="00BE6DB9" w:rsidR="00DB0157">
        <w:rPr>
          <w:szCs w:val="26"/>
        </w:rPr>
        <w:t xml:space="preserve"> for </w:t>
      </w:r>
      <w:r w:rsidR="00F865BD">
        <w:rPr>
          <w:szCs w:val="26"/>
        </w:rPr>
        <w:t>a group</w:t>
      </w:r>
      <w:r w:rsidR="007C29C6">
        <w:rPr>
          <w:szCs w:val="26"/>
        </w:rPr>
        <w:t xml:space="preserve"> </w:t>
      </w:r>
      <w:r w:rsidR="008A0DFB">
        <w:rPr>
          <w:szCs w:val="26"/>
        </w:rPr>
        <w:t xml:space="preserve">of </w:t>
      </w:r>
      <w:r w:rsidRPr="00BE6DB9" w:rsidR="00DB0157">
        <w:rPr>
          <w:szCs w:val="26"/>
        </w:rPr>
        <w:t>large non</w:t>
      </w:r>
      <w:r w:rsidR="00513B3F">
        <w:rPr>
          <w:szCs w:val="26"/>
        </w:rPr>
        <w:noBreakHyphen/>
      </w:r>
      <w:r w:rsidRPr="00BE6DB9" w:rsidR="00DB0157">
        <w:rPr>
          <w:szCs w:val="26"/>
        </w:rPr>
        <w:t>residential customers</w:t>
      </w:r>
      <w:r w:rsidR="00F47A69">
        <w:rPr>
          <w:szCs w:val="26"/>
        </w:rPr>
        <w:t xml:space="preserve"> </w:t>
      </w:r>
      <w:r w:rsidR="00002986">
        <w:rPr>
          <w:szCs w:val="26"/>
        </w:rPr>
        <w:t xml:space="preserve">that </w:t>
      </w:r>
      <w:r w:rsidR="00CF4A97">
        <w:rPr>
          <w:szCs w:val="26"/>
        </w:rPr>
        <w:t xml:space="preserve">they argue </w:t>
      </w:r>
      <w:r w:rsidR="00002986">
        <w:rPr>
          <w:szCs w:val="26"/>
        </w:rPr>
        <w:t>provide environmental and financial benefits</w:t>
      </w:r>
      <w:r w:rsidR="008A0DFB">
        <w:rPr>
          <w:szCs w:val="26"/>
        </w:rPr>
        <w:t xml:space="preserve">. </w:t>
      </w:r>
      <w:r w:rsidR="002A299D">
        <w:rPr>
          <w:szCs w:val="26"/>
        </w:rPr>
        <w:t>The categories</w:t>
      </w:r>
      <w:r w:rsidR="00002986">
        <w:rPr>
          <w:szCs w:val="26"/>
        </w:rPr>
        <w:t xml:space="preserve">, </w:t>
      </w:r>
      <w:r w:rsidR="0083517D">
        <w:rPr>
          <w:szCs w:val="26"/>
        </w:rPr>
        <w:t>however</w:t>
      </w:r>
      <w:r w:rsidR="00F6416E">
        <w:rPr>
          <w:szCs w:val="26"/>
        </w:rPr>
        <w:t>,</w:t>
      </w:r>
      <w:r w:rsidR="006B3949">
        <w:rPr>
          <w:szCs w:val="26"/>
        </w:rPr>
        <w:t xml:space="preserve"> </w:t>
      </w:r>
      <w:r w:rsidR="002A299D">
        <w:rPr>
          <w:szCs w:val="26"/>
        </w:rPr>
        <w:t>are very broad and vague</w:t>
      </w:r>
      <w:r w:rsidR="009D43FF">
        <w:rPr>
          <w:szCs w:val="26"/>
        </w:rPr>
        <w:t xml:space="preserve">, such as </w:t>
      </w:r>
      <w:r w:rsidR="008421FC">
        <w:rPr>
          <w:szCs w:val="26"/>
        </w:rPr>
        <w:t>“large commercial customers” and “industrial customers</w:t>
      </w:r>
      <w:r w:rsidR="009D43FF">
        <w:rPr>
          <w:szCs w:val="26"/>
        </w:rPr>
        <w:t>.</w:t>
      </w:r>
      <w:r w:rsidR="008421FC">
        <w:rPr>
          <w:szCs w:val="26"/>
        </w:rPr>
        <w:t xml:space="preserve">” </w:t>
      </w:r>
      <w:r w:rsidR="00BC614C">
        <w:rPr>
          <w:szCs w:val="26"/>
        </w:rPr>
        <w:t xml:space="preserve">It would not be reasonable to adopt a category as broad as “industrial customers” since not </w:t>
      </w:r>
      <w:r w:rsidR="009D43FF">
        <w:rPr>
          <w:szCs w:val="26"/>
        </w:rPr>
        <w:t xml:space="preserve">every </w:t>
      </w:r>
      <w:r w:rsidR="007D1521">
        <w:rPr>
          <w:szCs w:val="26"/>
        </w:rPr>
        <w:t xml:space="preserve">project serving an </w:t>
      </w:r>
      <w:r w:rsidR="001160B0">
        <w:rPr>
          <w:szCs w:val="26"/>
        </w:rPr>
        <w:t xml:space="preserve">industrial customer </w:t>
      </w:r>
      <w:r w:rsidR="00C76F93">
        <w:rPr>
          <w:szCs w:val="26"/>
        </w:rPr>
        <w:t xml:space="preserve">can be said to </w:t>
      </w:r>
      <w:r w:rsidR="001160B0">
        <w:rPr>
          <w:szCs w:val="26"/>
        </w:rPr>
        <w:t xml:space="preserve">provide environmental or financial benefits to </w:t>
      </w:r>
      <w:r w:rsidR="00BC614C">
        <w:rPr>
          <w:szCs w:val="26"/>
        </w:rPr>
        <w:t xml:space="preserve">California ratepayers. </w:t>
      </w:r>
      <w:r w:rsidR="00FD4087">
        <w:rPr>
          <w:szCs w:val="26"/>
        </w:rPr>
        <w:t xml:space="preserve">Adopting the Joint IOUs’ proposal as is could effectively make the elimination for the gas line subsidies largely meaningless, while adding confusion and administrative inefficiencies to the process as the categories are reviewed and parties argue for adjusting the categories. </w:t>
      </w:r>
    </w:p>
    <w:p w:rsidR="000D530C" w:rsidP="004017E3" w:rsidRDefault="00706F61" w14:paraId="30893789" w14:textId="25B2760A">
      <w:pPr>
        <w:autoSpaceDE w:val="0"/>
        <w:autoSpaceDN w:val="0"/>
        <w:adjustRightInd w:val="0"/>
        <w:spacing w:line="360" w:lineRule="auto"/>
        <w:ind w:firstLine="720"/>
        <w:rPr>
          <w:szCs w:val="26"/>
        </w:rPr>
      </w:pPr>
      <w:r>
        <w:rPr>
          <w:szCs w:val="26"/>
        </w:rPr>
        <w:t xml:space="preserve">Moreover, </w:t>
      </w:r>
      <w:r w:rsidR="004B0E05">
        <w:rPr>
          <w:szCs w:val="26"/>
        </w:rPr>
        <w:t xml:space="preserve">most </w:t>
      </w:r>
      <w:r w:rsidR="004017E3">
        <w:rPr>
          <w:szCs w:val="26"/>
        </w:rPr>
        <w:t>parties</w:t>
      </w:r>
      <w:r w:rsidR="00954F51">
        <w:rPr>
          <w:szCs w:val="26"/>
        </w:rPr>
        <w:t>,</w:t>
      </w:r>
      <w:r w:rsidR="004017E3">
        <w:rPr>
          <w:szCs w:val="26"/>
        </w:rPr>
        <w:t xml:space="preserve"> </w:t>
      </w:r>
      <w:r w:rsidR="00B067D5">
        <w:rPr>
          <w:szCs w:val="26"/>
        </w:rPr>
        <w:t xml:space="preserve">even when prompted by the </w:t>
      </w:r>
      <w:r w:rsidR="00451F8D">
        <w:rPr>
          <w:szCs w:val="26"/>
        </w:rPr>
        <w:t xml:space="preserve">assigned </w:t>
      </w:r>
      <w:r w:rsidR="00B067D5">
        <w:rPr>
          <w:szCs w:val="26"/>
        </w:rPr>
        <w:t>ALJs to be more specific</w:t>
      </w:r>
      <w:r w:rsidR="00954F51">
        <w:rPr>
          <w:szCs w:val="26"/>
        </w:rPr>
        <w:t>,</w:t>
      </w:r>
      <w:r w:rsidR="00BD4C85">
        <w:rPr>
          <w:rStyle w:val="FootnoteReference"/>
          <w:szCs w:val="26"/>
        </w:rPr>
        <w:footnoteReference w:id="99"/>
      </w:r>
      <w:r w:rsidR="00B067D5">
        <w:rPr>
          <w:szCs w:val="26"/>
        </w:rPr>
        <w:t xml:space="preserve"> </w:t>
      </w:r>
      <w:r w:rsidR="006B3949">
        <w:rPr>
          <w:szCs w:val="26"/>
        </w:rPr>
        <w:t xml:space="preserve">did not </w:t>
      </w:r>
      <w:r w:rsidR="002F3E51">
        <w:rPr>
          <w:szCs w:val="26"/>
        </w:rPr>
        <w:t xml:space="preserve">provide a </w:t>
      </w:r>
      <w:r w:rsidR="007D4E67">
        <w:rPr>
          <w:szCs w:val="26"/>
        </w:rPr>
        <w:t xml:space="preserve">sufficiently </w:t>
      </w:r>
      <w:r w:rsidR="003253E8">
        <w:rPr>
          <w:szCs w:val="26"/>
        </w:rPr>
        <w:t xml:space="preserve">unambiguous </w:t>
      </w:r>
      <w:r w:rsidR="00E106A8">
        <w:rPr>
          <w:szCs w:val="26"/>
        </w:rPr>
        <w:t xml:space="preserve">and clear </w:t>
      </w:r>
      <w:r w:rsidR="002F3E51">
        <w:rPr>
          <w:szCs w:val="26"/>
        </w:rPr>
        <w:t>d</w:t>
      </w:r>
      <w:r w:rsidR="0063369F">
        <w:rPr>
          <w:szCs w:val="26"/>
        </w:rPr>
        <w:t>efin</w:t>
      </w:r>
      <w:r w:rsidR="002F3E51">
        <w:rPr>
          <w:szCs w:val="26"/>
        </w:rPr>
        <w:t xml:space="preserve">ition </w:t>
      </w:r>
      <w:r w:rsidR="00F865BD">
        <w:rPr>
          <w:szCs w:val="26"/>
        </w:rPr>
        <w:t xml:space="preserve">of </w:t>
      </w:r>
      <w:r w:rsidR="002F3E51">
        <w:rPr>
          <w:szCs w:val="26"/>
        </w:rPr>
        <w:t xml:space="preserve">what constitutes </w:t>
      </w:r>
      <w:r w:rsidR="00A55A2D">
        <w:rPr>
          <w:szCs w:val="26"/>
        </w:rPr>
        <w:t>environmental and financial benefits</w:t>
      </w:r>
      <w:r w:rsidR="00531A19">
        <w:rPr>
          <w:szCs w:val="26"/>
        </w:rPr>
        <w:t xml:space="preserve"> </w:t>
      </w:r>
      <w:r w:rsidR="00D25F4C">
        <w:rPr>
          <w:szCs w:val="26"/>
        </w:rPr>
        <w:t xml:space="preserve">for </w:t>
      </w:r>
      <w:r w:rsidR="0086510D">
        <w:rPr>
          <w:szCs w:val="26"/>
        </w:rPr>
        <w:t>the Commission</w:t>
      </w:r>
      <w:r w:rsidR="00D25F4C">
        <w:rPr>
          <w:szCs w:val="26"/>
        </w:rPr>
        <w:t xml:space="preserve"> to adopt this as a </w:t>
      </w:r>
      <w:r w:rsidR="00B067D5">
        <w:rPr>
          <w:szCs w:val="26"/>
        </w:rPr>
        <w:t xml:space="preserve">workable </w:t>
      </w:r>
      <w:r w:rsidR="00E62D28">
        <w:rPr>
          <w:szCs w:val="26"/>
        </w:rPr>
        <w:t xml:space="preserve">basis to establish categories. </w:t>
      </w:r>
      <w:r w:rsidR="00EF0EEE">
        <w:rPr>
          <w:iCs/>
          <w:szCs w:val="26"/>
        </w:rPr>
        <w:t xml:space="preserve">Instead, </w:t>
      </w:r>
      <w:r w:rsidR="00DF468F">
        <w:rPr>
          <w:iCs/>
          <w:szCs w:val="26"/>
        </w:rPr>
        <w:t>the Joint IOUs</w:t>
      </w:r>
      <w:r w:rsidR="00CF7F2B">
        <w:rPr>
          <w:szCs w:val="26"/>
        </w:rPr>
        <w:t xml:space="preserve"> only provide a</w:t>
      </w:r>
      <w:r w:rsidRPr="00BE6DB9" w:rsidR="00CF7F2B">
        <w:rPr>
          <w:szCs w:val="26"/>
        </w:rPr>
        <w:t xml:space="preserve"> list </w:t>
      </w:r>
      <w:r w:rsidR="00CF7F2B">
        <w:rPr>
          <w:szCs w:val="26"/>
        </w:rPr>
        <w:t xml:space="preserve">of </w:t>
      </w:r>
      <w:r w:rsidR="00294E9D">
        <w:rPr>
          <w:szCs w:val="26"/>
        </w:rPr>
        <w:t xml:space="preserve">10 </w:t>
      </w:r>
      <w:r w:rsidRPr="00BE6DB9" w:rsidR="00CF7F2B">
        <w:rPr>
          <w:szCs w:val="26"/>
        </w:rPr>
        <w:t>categories they claim</w:t>
      </w:r>
      <w:r w:rsidR="00CF7F2B">
        <w:rPr>
          <w:szCs w:val="26"/>
        </w:rPr>
        <w:t xml:space="preserve"> </w:t>
      </w:r>
      <w:r w:rsidRPr="00BE6DB9" w:rsidR="00CF7F2B">
        <w:rPr>
          <w:szCs w:val="26"/>
        </w:rPr>
        <w:t>provide</w:t>
      </w:r>
      <w:r w:rsidR="00CF7F2B">
        <w:rPr>
          <w:szCs w:val="26"/>
        </w:rPr>
        <w:t xml:space="preserve"> </w:t>
      </w:r>
      <w:r w:rsidRPr="00BE6DB9" w:rsidR="00CF7F2B">
        <w:rPr>
          <w:szCs w:val="26"/>
        </w:rPr>
        <w:t>financial</w:t>
      </w:r>
      <w:r w:rsidR="00CF7F2B">
        <w:rPr>
          <w:szCs w:val="26"/>
        </w:rPr>
        <w:t xml:space="preserve"> </w:t>
      </w:r>
      <w:r w:rsidRPr="00BE6DB9" w:rsidR="00CF7F2B">
        <w:rPr>
          <w:szCs w:val="26"/>
        </w:rPr>
        <w:t xml:space="preserve">and/or environmental benefits to </w:t>
      </w:r>
      <w:r w:rsidR="00CF7F2B">
        <w:rPr>
          <w:szCs w:val="26"/>
        </w:rPr>
        <w:t>C</w:t>
      </w:r>
      <w:r w:rsidRPr="00BE6DB9" w:rsidR="00CF7F2B">
        <w:rPr>
          <w:szCs w:val="26"/>
        </w:rPr>
        <w:t>alifornia</w:t>
      </w:r>
      <w:r w:rsidR="00CF7F2B">
        <w:rPr>
          <w:szCs w:val="26"/>
        </w:rPr>
        <w:t xml:space="preserve"> </w:t>
      </w:r>
      <w:r w:rsidRPr="00BE6DB9" w:rsidR="00CF7F2B">
        <w:rPr>
          <w:szCs w:val="26"/>
        </w:rPr>
        <w:t>ratepayers</w:t>
      </w:r>
      <w:r w:rsidR="00C76850">
        <w:rPr>
          <w:szCs w:val="26"/>
        </w:rPr>
        <w:t xml:space="preserve">. </w:t>
      </w:r>
    </w:p>
    <w:p w:rsidRPr="00F8457E" w:rsidR="00F8457E" w:rsidP="00F8457E" w:rsidRDefault="00CF7F2B" w14:paraId="1775C496" w14:textId="685626F0">
      <w:pPr>
        <w:autoSpaceDE w:val="0"/>
        <w:autoSpaceDN w:val="0"/>
        <w:adjustRightInd w:val="0"/>
        <w:spacing w:line="360" w:lineRule="auto"/>
        <w:ind w:firstLine="720"/>
        <w:rPr>
          <w:szCs w:val="26"/>
        </w:rPr>
      </w:pPr>
      <w:r>
        <w:rPr>
          <w:szCs w:val="26"/>
        </w:rPr>
        <w:lastRenderedPageBreak/>
        <w:t>PG&amp;E</w:t>
      </w:r>
      <w:r w:rsidR="00DA7B33">
        <w:rPr>
          <w:szCs w:val="26"/>
        </w:rPr>
        <w:t xml:space="preserve"> and Clean Energy</w:t>
      </w:r>
      <w:r w:rsidR="006F7646">
        <w:rPr>
          <w:szCs w:val="26"/>
        </w:rPr>
        <w:t>, on the other hand,</w:t>
      </w:r>
      <w:r>
        <w:rPr>
          <w:szCs w:val="26"/>
        </w:rPr>
        <w:t xml:space="preserve"> </w:t>
      </w:r>
      <w:r w:rsidR="005B14CC">
        <w:rPr>
          <w:szCs w:val="26"/>
        </w:rPr>
        <w:t>propose the following</w:t>
      </w:r>
      <w:r w:rsidRPr="00EA5C69" w:rsidR="00EA5C69">
        <w:rPr>
          <w:szCs w:val="26"/>
        </w:rPr>
        <w:t xml:space="preserve"> </w:t>
      </w:r>
      <w:r w:rsidR="00EA5C69">
        <w:rPr>
          <w:szCs w:val="26"/>
        </w:rPr>
        <w:t xml:space="preserve">definitions </w:t>
      </w:r>
      <w:r w:rsidRPr="00F8457E" w:rsidR="00EA5C69">
        <w:rPr>
          <w:szCs w:val="26"/>
        </w:rPr>
        <w:t>within the limited context of this proceeding</w:t>
      </w:r>
      <w:r w:rsidR="0046393F">
        <w:rPr>
          <w:szCs w:val="26"/>
        </w:rPr>
        <w:t>. PG&amp;E proposes</w:t>
      </w:r>
      <w:r w:rsidR="005B14CC">
        <w:rPr>
          <w:szCs w:val="26"/>
        </w:rPr>
        <w:t>:</w:t>
      </w:r>
      <w:r w:rsidRPr="00F8457E" w:rsidR="00F8457E">
        <w:rPr>
          <w:szCs w:val="26"/>
          <w:vertAlign w:val="superscript"/>
        </w:rPr>
        <w:footnoteReference w:id="100"/>
      </w:r>
      <w:r w:rsidRPr="00F8457E" w:rsidR="00F8457E">
        <w:rPr>
          <w:szCs w:val="26"/>
        </w:rPr>
        <w:t xml:space="preserve"> </w:t>
      </w:r>
    </w:p>
    <w:p w:rsidR="00240B3A" w:rsidRDefault="00F8457E" w14:paraId="341E8DC5" w14:textId="6C66F38F">
      <w:pPr>
        <w:pStyle w:val="BlockQuoteH025"/>
        <w:numPr>
          <w:ilvl w:val="0"/>
          <w:numId w:val="10"/>
        </w:numPr>
        <w:ind w:left="1080"/>
        <w:rPr>
          <w:szCs w:val="26"/>
        </w:rPr>
      </w:pPr>
      <w:r w:rsidRPr="00290319">
        <w:rPr>
          <w:szCs w:val="26"/>
          <w:u w:val="single"/>
        </w:rPr>
        <w:t>Direct Environmental Benefit</w:t>
      </w:r>
      <w:r w:rsidRPr="00337174">
        <w:rPr>
          <w:szCs w:val="26"/>
        </w:rPr>
        <w:t xml:space="preserve">: </w:t>
      </w:r>
      <w:r w:rsidRPr="00337174" w:rsidR="00406A80">
        <w:rPr>
          <w:szCs w:val="26"/>
        </w:rPr>
        <w:t xml:space="preserve"> </w:t>
      </w:r>
      <w:r w:rsidRPr="00337174">
        <w:rPr>
          <w:szCs w:val="26"/>
        </w:rPr>
        <w:t>A</w:t>
      </w:r>
      <w:r w:rsidRPr="00F8457E">
        <w:rPr>
          <w:szCs w:val="26"/>
        </w:rPr>
        <w:t xml:space="preserve"> project offers a direct environmental benefit where it provides on</w:t>
      </w:r>
      <w:r w:rsidR="00513B3F">
        <w:rPr>
          <w:szCs w:val="26"/>
        </w:rPr>
        <w:noBreakHyphen/>
      </w:r>
      <w:r w:rsidRPr="00F8457E">
        <w:rPr>
          <w:szCs w:val="26"/>
        </w:rPr>
        <w:t xml:space="preserve">site </w:t>
      </w:r>
      <w:r w:rsidR="00DF1B5B">
        <w:rPr>
          <w:szCs w:val="26"/>
        </w:rPr>
        <w:t>GHG</w:t>
      </w:r>
      <w:r w:rsidRPr="00F8457E">
        <w:rPr>
          <w:szCs w:val="26"/>
        </w:rPr>
        <w:t>, NOx, or other pollutant reduction compared an existing fuel baseline.</w:t>
      </w:r>
    </w:p>
    <w:p w:rsidRPr="00F8457E" w:rsidR="00F8457E" w:rsidRDefault="00F8457E" w14:paraId="47B88570" w14:textId="30BEF56C">
      <w:pPr>
        <w:pStyle w:val="BlockQuoteH025"/>
        <w:numPr>
          <w:ilvl w:val="0"/>
          <w:numId w:val="10"/>
        </w:numPr>
        <w:ind w:left="1080"/>
        <w:rPr>
          <w:szCs w:val="26"/>
        </w:rPr>
      </w:pPr>
      <w:r w:rsidRPr="00290319">
        <w:rPr>
          <w:szCs w:val="26"/>
          <w:u w:val="single"/>
        </w:rPr>
        <w:t>Indirect Environmental Benefit</w:t>
      </w:r>
      <w:r w:rsidRPr="00337174">
        <w:rPr>
          <w:szCs w:val="26"/>
        </w:rPr>
        <w:t xml:space="preserve">: </w:t>
      </w:r>
      <w:r w:rsidRPr="00337174" w:rsidR="00406A80">
        <w:rPr>
          <w:szCs w:val="26"/>
        </w:rPr>
        <w:t xml:space="preserve"> </w:t>
      </w:r>
      <w:r w:rsidRPr="00337174">
        <w:rPr>
          <w:szCs w:val="26"/>
        </w:rPr>
        <w:t>A</w:t>
      </w:r>
      <w:r w:rsidRPr="00F8457E">
        <w:rPr>
          <w:szCs w:val="26"/>
        </w:rPr>
        <w:t xml:space="preserve"> project offers an indirect environmental benefit where it displaces either existing gas system emissions (</w:t>
      </w:r>
      <w:r w:rsidRPr="00290319">
        <w:rPr>
          <w:i/>
          <w:iCs/>
          <w:szCs w:val="26"/>
        </w:rPr>
        <w:t>e.g.</w:t>
      </w:r>
      <w:r w:rsidRPr="00F8457E">
        <w:rPr>
          <w:szCs w:val="26"/>
        </w:rPr>
        <w:t>, through renewable natural gas) or off</w:t>
      </w:r>
      <w:r w:rsidR="00513B3F">
        <w:rPr>
          <w:szCs w:val="26"/>
        </w:rPr>
        <w:noBreakHyphen/>
      </w:r>
      <w:r w:rsidRPr="00F8457E">
        <w:rPr>
          <w:szCs w:val="26"/>
        </w:rPr>
        <w:t>site (</w:t>
      </w:r>
      <w:r w:rsidRPr="00290319">
        <w:rPr>
          <w:i/>
          <w:iCs/>
          <w:szCs w:val="26"/>
        </w:rPr>
        <w:t>e.g.</w:t>
      </w:r>
      <w:r w:rsidRPr="00F8457E">
        <w:rPr>
          <w:szCs w:val="26"/>
        </w:rPr>
        <w:t xml:space="preserve">, through CNG) </w:t>
      </w:r>
      <w:r w:rsidR="00DF1B5B">
        <w:rPr>
          <w:szCs w:val="26"/>
        </w:rPr>
        <w:t>GHG</w:t>
      </w:r>
      <w:r w:rsidRPr="00F8457E">
        <w:rPr>
          <w:szCs w:val="26"/>
        </w:rPr>
        <w:t xml:space="preserve">, NOx, or other pollutant emissions. </w:t>
      </w:r>
    </w:p>
    <w:p w:rsidRPr="00F8457E" w:rsidR="00F8457E" w:rsidRDefault="00F8457E" w14:paraId="0CE40750" w14:textId="1D486CB1">
      <w:pPr>
        <w:pStyle w:val="BlockQuoteH025"/>
        <w:numPr>
          <w:ilvl w:val="0"/>
          <w:numId w:val="10"/>
        </w:numPr>
        <w:ind w:left="1080"/>
        <w:rPr>
          <w:szCs w:val="26"/>
        </w:rPr>
      </w:pPr>
      <w:r w:rsidRPr="00290319">
        <w:rPr>
          <w:szCs w:val="26"/>
          <w:u w:val="single"/>
        </w:rPr>
        <w:t>Financial Benefit</w:t>
      </w:r>
      <w:r w:rsidRPr="00337174">
        <w:rPr>
          <w:szCs w:val="26"/>
        </w:rPr>
        <w:t>:</w:t>
      </w:r>
      <w:r w:rsidRPr="00337174" w:rsidR="00406A80">
        <w:rPr>
          <w:szCs w:val="26"/>
        </w:rPr>
        <w:t xml:space="preserve"> </w:t>
      </w:r>
      <w:r w:rsidRPr="00337174">
        <w:rPr>
          <w:szCs w:val="26"/>
        </w:rPr>
        <w:t xml:space="preserve"> B</w:t>
      </w:r>
      <w:r w:rsidRPr="00F8457E">
        <w:rPr>
          <w:szCs w:val="26"/>
        </w:rPr>
        <w:t>roadly, a new gas connection offers financial benefit to all gas ratepayers where the connecting customer financially contributes, via gas rates, in excess of the costs to extend gas service to that customer. The customer may also offer financial benefit in the form of externalities that are more difficult to quantify</w:t>
      </w:r>
      <w:r w:rsidR="00573F0E">
        <w:rPr>
          <w:szCs w:val="26"/>
        </w:rPr>
        <w:t xml:space="preserve"> (</w:t>
      </w:r>
      <w:r w:rsidRPr="00C55331">
        <w:rPr>
          <w:i/>
          <w:iCs/>
          <w:szCs w:val="26"/>
        </w:rPr>
        <w:t>e.g.</w:t>
      </w:r>
      <w:r w:rsidRPr="00F8457E">
        <w:rPr>
          <w:szCs w:val="26"/>
        </w:rPr>
        <w:t xml:space="preserve">, job creation, increased state and local tax revenue, and local development). </w:t>
      </w:r>
    </w:p>
    <w:p w:rsidR="0046393F" w:rsidP="00290319" w:rsidRDefault="0046393F" w14:paraId="3D90EDDC" w14:textId="43DFFCA7">
      <w:pPr>
        <w:keepNext/>
        <w:autoSpaceDE w:val="0"/>
        <w:autoSpaceDN w:val="0"/>
        <w:adjustRightInd w:val="0"/>
        <w:spacing w:line="360" w:lineRule="auto"/>
        <w:ind w:firstLine="720"/>
      </w:pPr>
      <w:r>
        <w:t>Clean Energy proposes:</w:t>
      </w:r>
      <w:r w:rsidR="00467250">
        <w:rPr>
          <w:rStyle w:val="FootnoteReference"/>
        </w:rPr>
        <w:footnoteReference w:id="101"/>
      </w:r>
    </w:p>
    <w:p w:rsidR="00467250" w:rsidRDefault="00505A85" w14:paraId="5A7E260F" w14:textId="74396310">
      <w:pPr>
        <w:pStyle w:val="BlockQuoteH025"/>
        <w:numPr>
          <w:ilvl w:val="0"/>
          <w:numId w:val="10"/>
        </w:numPr>
        <w:ind w:left="1080"/>
      </w:pPr>
      <w:r w:rsidRPr="00290319">
        <w:rPr>
          <w:szCs w:val="26"/>
          <w:u w:val="single"/>
        </w:rPr>
        <w:t>Environmental</w:t>
      </w:r>
      <w:r w:rsidRPr="00290319">
        <w:rPr>
          <w:u w:val="single"/>
        </w:rPr>
        <w:t xml:space="preserve"> </w:t>
      </w:r>
      <w:r w:rsidRPr="00290319" w:rsidR="00290319">
        <w:rPr>
          <w:u w:val="single"/>
        </w:rPr>
        <w:t>Benefit</w:t>
      </w:r>
      <w:r w:rsidRPr="00337174" w:rsidR="00290319">
        <w:t>:</w:t>
      </w:r>
      <w:r w:rsidRPr="00337174" w:rsidR="00406A80">
        <w:t xml:space="preserve"> </w:t>
      </w:r>
      <w:r w:rsidRPr="00337174">
        <w:t xml:space="preserve"> (</w:t>
      </w:r>
      <w:r w:rsidR="00D60F08">
        <w:t>a</w:t>
      </w:r>
      <w:r w:rsidR="00290319">
        <w:t>)</w:t>
      </w:r>
      <w:r w:rsidR="00513B3F">
        <w:t> </w:t>
      </w:r>
      <w:r w:rsidRPr="00CF2D50">
        <w:t xml:space="preserve">receipt of any tradable </w:t>
      </w:r>
      <w:r>
        <w:t>e</w:t>
      </w:r>
      <w:r w:rsidRPr="00CF2D50">
        <w:t xml:space="preserve">nvironmental </w:t>
      </w:r>
      <w:r>
        <w:t>a</w:t>
      </w:r>
      <w:r w:rsidRPr="00CF2D50">
        <w:t>ttributes;</w:t>
      </w:r>
      <w:r w:rsidRPr="00E92A5C">
        <w:rPr>
          <w:vertAlign w:val="superscript"/>
        </w:rPr>
        <w:t xml:space="preserve"> </w:t>
      </w:r>
      <w:r w:rsidRPr="00CF2D50">
        <w:t>(</w:t>
      </w:r>
      <w:r w:rsidR="00D60F08">
        <w:t>b</w:t>
      </w:r>
      <w:r w:rsidR="00290319">
        <w:t>)</w:t>
      </w:r>
      <w:r w:rsidR="00513B3F">
        <w:t> </w:t>
      </w:r>
      <w:r w:rsidRPr="00CF2D50">
        <w:t>reduction</w:t>
      </w:r>
      <w:r>
        <w:t xml:space="preserve"> </w:t>
      </w:r>
      <w:r w:rsidRPr="00CF2D50">
        <w:t>of</w:t>
      </w:r>
      <w:r>
        <w:t xml:space="preserve"> </w:t>
      </w:r>
      <w:r w:rsidRPr="00CF2D50">
        <w:t>SLCP</w:t>
      </w:r>
      <w:r w:rsidR="001C6B6C">
        <w:t>s</w:t>
      </w:r>
      <w:r w:rsidRPr="00CF2D50">
        <w:t>;</w:t>
      </w:r>
      <w:r>
        <w:t xml:space="preserve"> </w:t>
      </w:r>
      <w:r w:rsidRPr="00CF2D50">
        <w:t>(</w:t>
      </w:r>
      <w:r w:rsidR="00D60F08">
        <w:t>c</w:t>
      </w:r>
      <w:r w:rsidR="00290319">
        <w:t>)</w:t>
      </w:r>
      <w:r w:rsidR="00513B3F">
        <w:t> </w:t>
      </w:r>
      <w:r w:rsidRPr="00CF2D50">
        <w:t>reduction of</w:t>
      </w:r>
      <w:r>
        <w:t xml:space="preserve"> </w:t>
      </w:r>
      <w:r w:rsidRPr="00CF2D50">
        <w:t>GHG emissions;</w:t>
      </w:r>
      <w:r>
        <w:t xml:space="preserve"> </w:t>
      </w:r>
      <w:r w:rsidRPr="00CF2D50">
        <w:t>or</w:t>
      </w:r>
      <w:r>
        <w:t xml:space="preserve"> </w:t>
      </w:r>
      <w:r w:rsidRPr="00CF2D50">
        <w:t>(</w:t>
      </w:r>
      <w:r w:rsidR="00D60F08">
        <w:t>d</w:t>
      </w:r>
      <w:r w:rsidR="00290319">
        <w:t>)</w:t>
      </w:r>
      <w:r w:rsidR="00513B3F">
        <w:t> </w:t>
      </w:r>
      <w:r w:rsidRPr="00CF2D50">
        <w:t>reduction of regulated</w:t>
      </w:r>
      <w:r>
        <w:t xml:space="preserve"> </w:t>
      </w:r>
      <w:r w:rsidRPr="00CF2D50">
        <w:t>air or water pollutants</w:t>
      </w:r>
      <w:r>
        <w:t xml:space="preserve">. </w:t>
      </w:r>
    </w:p>
    <w:p w:rsidRPr="00E92A5C" w:rsidR="00505A85" w:rsidRDefault="00505A85" w14:paraId="5735A429" w14:textId="01BAD91A">
      <w:pPr>
        <w:pStyle w:val="BlockQuoteH025"/>
        <w:numPr>
          <w:ilvl w:val="0"/>
          <w:numId w:val="10"/>
        </w:numPr>
        <w:ind w:left="1080"/>
        <w:rPr>
          <w:szCs w:val="26"/>
        </w:rPr>
      </w:pPr>
      <w:r w:rsidRPr="00290319">
        <w:rPr>
          <w:u w:val="single"/>
        </w:rPr>
        <w:t xml:space="preserve">Financial </w:t>
      </w:r>
      <w:r w:rsidRPr="00290319" w:rsidR="00290319">
        <w:rPr>
          <w:szCs w:val="26"/>
          <w:u w:val="single"/>
        </w:rPr>
        <w:t>Benefit</w:t>
      </w:r>
      <w:r w:rsidRPr="00337174">
        <w:t xml:space="preserve">: </w:t>
      </w:r>
      <w:r w:rsidRPr="00337174" w:rsidR="00406A80">
        <w:t xml:space="preserve"> </w:t>
      </w:r>
      <w:r w:rsidRPr="00337174">
        <w:t>(</w:t>
      </w:r>
      <w:r w:rsidR="00D60F08">
        <w:t>a</w:t>
      </w:r>
      <w:r w:rsidR="00290319">
        <w:t>)</w:t>
      </w:r>
      <w:r w:rsidR="00513B3F">
        <w:t> </w:t>
      </w:r>
      <w:r w:rsidRPr="00CF2D50">
        <w:t>address</w:t>
      </w:r>
      <w:r w:rsidR="007632B8">
        <w:t>es</w:t>
      </w:r>
      <w:r w:rsidRPr="00CF2D50">
        <w:t xml:space="preserve"> the pay</w:t>
      </w:r>
      <w:r w:rsidR="00513B3F">
        <w:noBreakHyphen/>
      </w:r>
      <w:r w:rsidRPr="00CF2D50">
        <w:t>back</w:t>
      </w:r>
      <w:r>
        <w:t xml:space="preserve"> </w:t>
      </w:r>
      <w:r w:rsidRPr="00CF2D50">
        <w:t xml:space="preserve">period for the </w:t>
      </w:r>
      <w:r>
        <w:t>g</w:t>
      </w:r>
      <w:r w:rsidRPr="00CF2D50">
        <w:t xml:space="preserve">as </w:t>
      </w:r>
      <w:r>
        <w:t>l</w:t>
      </w:r>
      <w:r w:rsidRPr="00CF2D50">
        <w:t xml:space="preserve">ine </w:t>
      </w:r>
      <w:r>
        <w:t>s</w:t>
      </w:r>
      <w:r w:rsidRPr="00CF2D50">
        <w:t>ubsidies;</w:t>
      </w:r>
      <w:r>
        <w:t xml:space="preserve"> </w:t>
      </w:r>
      <w:r w:rsidRPr="00CF2D50">
        <w:t>(</w:t>
      </w:r>
      <w:r w:rsidR="00D60F08">
        <w:t>b</w:t>
      </w:r>
      <w:r w:rsidR="00290319">
        <w:t>)</w:t>
      </w:r>
      <w:r w:rsidR="00513B3F">
        <w:t> </w:t>
      </w:r>
      <w:r w:rsidRPr="00CF2D50">
        <w:t>reduces system costs</w:t>
      </w:r>
      <w:r>
        <w:t xml:space="preserve"> by </w:t>
      </w:r>
      <w:r w:rsidRPr="00CF2D50">
        <w:t>more than the cost of</w:t>
      </w:r>
      <w:r>
        <w:t xml:space="preserve"> </w:t>
      </w:r>
      <w:r w:rsidRPr="00CF2D50">
        <w:t>the subsidy; or</w:t>
      </w:r>
      <w:r>
        <w:t xml:space="preserve"> </w:t>
      </w:r>
      <w:r w:rsidRPr="00CF2D50">
        <w:t>(</w:t>
      </w:r>
      <w:r w:rsidR="00D60F08">
        <w:t>c</w:t>
      </w:r>
      <w:r w:rsidR="00290319">
        <w:t>)</w:t>
      </w:r>
      <w:r w:rsidR="00513B3F">
        <w:t> </w:t>
      </w:r>
      <w:r w:rsidRPr="00CF2D50">
        <w:t>contributes</w:t>
      </w:r>
      <w:r>
        <w:t xml:space="preserve"> </w:t>
      </w:r>
      <w:r w:rsidRPr="00CF2D50">
        <w:t>significantly</w:t>
      </w:r>
      <w:r>
        <w:t xml:space="preserve"> </w:t>
      </w:r>
      <w:r w:rsidRPr="00CF2D50">
        <w:t>to racial or social equity, public health, community</w:t>
      </w:r>
      <w:r>
        <w:t xml:space="preserve"> </w:t>
      </w:r>
      <w:r w:rsidRPr="00CF2D50">
        <w:t>resilience, or a robust</w:t>
      </w:r>
      <w:r>
        <w:t xml:space="preserve"> </w:t>
      </w:r>
      <w:r w:rsidRPr="00CF2D50">
        <w:t>economy</w:t>
      </w:r>
      <w:r>
        <w:t xml:space="preserve">. </w:t>
      </w:r>
    </w:p>
    <w:p w:rsidR="00AA39ED" w:rsidP="003D2415" w:rsidRDefault="00825357" w14:paraId="74FF87FF" w14:textId="2BBAFF78">
      <w:pPr>
        <w:autoSpaceDE w:val="0"/>
        <w:autoSpaceDN w:val="0"/>
        <w:adjustRightInd w:val="0"/>
        <w:spacing w:line="360" w:lineRule="auto"/>
        <w:ind w:firstLine="720"/>
        <w:rPr>
          <w:szCs w:val="26"/>
        </w:rPr>
      </w:pPr>
      <w:r>
        <w:rPr>
          <w:szCs w:val="26"/>
        </w:rPr>
        <w:lastRenderedPageBreak/>
        <w:t xml:space="preserve">We appreciate </w:t>
      </w:r>
      <w:r w:rsidR="002A4109">
        <w:rPr>
          <w:szCs w:val="26"/>
        </w:rPr>
        <w:t xml:space="preserve">the proposals of </w:t>
      </w:r>
      <w:r>
        <w:rPr>
          <w:szCs w:val="26"/>
        </w:rPr>
        <w:t>PG&amp;</w:t>
      </w:r>
      <w:r w:rsidR="002A4109">
        <w:rPr>
          <w:szCs w:val="26"/>
        </w:rPr>
        <w:t xml:space="preserve">E and Clean Energy </w:t>
      </w:r>
      <w:r>
        <w:rPr>
          <w:szCs w:val="26"/>
        </w:rPr>
        <w:t>but</w:t>
      </w:r>
      <w:r w:rsidR="00CA1979">
        <w:rPr>
          <w:szCs w:val="26"/>
        </w:rPr>
        <w:t xml:space="preserve"> find </w:t>
      </w:r>
      <w:r w:rsidR="00DF19AD">
        <w:rPr>
          <w:szCs w:val="26"/>
        </w:rPr>
        <w:t>the</w:t>
      </w:r>
      <w:r w:rsidR="00B56C27">
        <w:rPr>
          <w:szCs w:val="26"/>
        </w:rPr>
        <w:t xml:space="preserve">se definitions </w:t>
      </w:r>
      <w:r w:rsidR="006139C9">
        <w:rPr>
          <w:szCs w:val="26"/>
        </w:rPr>
        <w:t>overly broad and</w:t>
      </w:r>
      <w:r w:rsidR="00344F32">
        <w:rPr>
          <w:szCs w:val="26"/>
        </w:rPr>
        <w:t xml:space="preserve"> </w:t>
      </w:r>
      <w:r w:rsidR="00223C61">
        <w:rPr>
          <w:szCs w:val="26"/>
        </w:rPr>
        <w:t xml:space="preserve">lacking in </w:t>
      </w:r>
      <w:r w:rsidR="00CA1979">
        <w:rPr>
          <w:szCs w:val="26"/>
        </w:rPr>
        <w:t xml:space="preserve">adequate </w:t>
      </w:r>
      <w:r w:rsidRPr="00A11D27" w:rsidR="00344F32">
        <w:rPr>
          <w:szCs w:val="26"/>
        </w:rPr>
        <w:t>benchmark</w:t>
      </w:r>
      <w:r w:rsidR="00E21BAD">
        <w:rPr>
          <w:szCs w:val="26"/>
        </w:rPr>
        <w:t>s</w:t>
      </w:r>
      <w:r w:rsidRPr="00A11D27" w:rsidR="00344F32">
        <w:rPr>
          <w:szCs w:val="26"/>
        </w:rPr>
        <w:t xml:space="preserve"> or </w:t>
      </w:r>
      <w:r w:rsidR="00CA1979">
        <w:rPr>
          <w:szCs w:val="26"/>
        </w:rPr>
        <w:t>specific</w:t>
      </w:r>
      <w:r w:rsidRPr="00A11D27" w:rsidR="00344F32">
        <w:rPr>
          <w:szCs w:val="26"/>
        </w:rPr>
        <w:t xml:space="preserve"> criteria for how </w:t>
      </w:r>
      <w:r w:rsidR="00C44EE3">
        <w:rPr>
          <w:szCs w:val="26"/>
        </w:rPr>
        <w:t xml:space="preserve">to </w:t>
      </w:r>
      <w:r w:rsidR="00417F11">
        <w:rPr>
          <w:szCs w:val="26"/>
        </w:rPr>
        <w:t xml:space="preserve">establish </w:t>
      </w:r>
      <w:r w:rsidR="00103D8A">
        <w:rPr>
          <w:szCs w:val="26"/>
        </w:rPr>
        <w:t>the</w:t>
      </w:r>
      <w:r w:rsidR="00C44EE3">
        <w:rPr>
          <w:szCs w:val="26"/>
        </w:rPr>
        <w:t xml:space="preserve"> </w:t>
      </w:r>
      <w:r w:rsidR="00294E9D">
        <w:rPr>
          <w:szCs w:val="26"/>
        </w:rPr>
        <w:t xml:space="preserve">10 </w:t>
      </w:r>
      <w:r w:rsidR="00C44EE3">
        <w:rPr>
          <w:szCs w:val="26"/>
        </w:rPr>
        <w:t xml:space="preserve">categories </w:t>
      </w:r>
      <w:r w:rsidR="00417F11">
        <w:rPr>
          <w:szCs w:val="26"/>
        </w:rPr>
        <w:t xml:space="preserve">for </w:t>
      </w:r>
      <w:r w:rsidR="00862EED">
        <w:rPr>
          <w:szCs w:val="26"/>
        </w:rPr>
        <w:t xml:space="preserve">potentially </w:t>
      </w:r>
      <w:r w:rsidR="00D624A8">
        <w:rPr>
          <w:szCs w:val="26"/>
        </w:rPr>
        <w:t>vast number</w:t>
      </w:r>
      <w:r w:rsidR="00593C88">
        <w:rPr>
          <w:szCs w:val="26"/>
        </w:rPr>
        <w:t>s</w:t>
      </w:r>
      <w:r w:rsidR="00862EED">
        <w:rPr>
          <w:szCs w:val="26"/>
        </w:rPr>
        <w:t xml:space="preserve"> of different</w:t>
      </w:r>
      <w:r w:rsidRPr="00A11D27" w:rsidR="00344F32">
        <w:rPr>
          <w:szCs w:val="26"/>
        </w:rPr>
        <w:t xml:space="preserve"> projects</w:t>
      </w:r>
      <w:r w:rsidR="008F0F40">
        <w:rPr>
          <w:szCs w:val="26"/>
        </w:rPr>
        <w:t>, all of which</w:t>
      </w:r>
      <w:r w:rsidRPr="00A11D27" w:rsidR="00344F32">
        <w:rPr>
          <w:szCs w:val="26"/>
        </w:rPr>
        <w:t xml:space="preserve"> would qualify for the exception</w:t>
      </w:r>
      <w:r w:rsidRPr="00A11D27" w:rsidR="004440A0">
        <w:rPr>
          <w:szCs w:val="26"/>
        </w:rPr>
        <w:t xml:space="preserve">. </w:t>
      </w:r>
      <w:r w:rsidRPr="00A11D27" w:rsidR="00226130">
        <w:rPr>
          <w:szCs w:val="26"/>
        </w:rPr>
        <w:t xml:space="preserve">Absent </w:t>
      </w:r>
      <w:r w:rsidR="00BA01F7">
        <w:rPr>
          <w:szCs w:val="26"/>
        </w:rPr>
        <w:t xml:space="preserve">an adequate </w:t>
      </w:r>
      <w:r w:rsidRPr="00A11D27" w:rsidR="001D61C7">
        <w:rPr>
          <w:rFonts w:cs="Symbol"/>
          <w:szCs w:val="26"/>
        </w:rPr>
        <w:t xml:space="preserve">definition </w:t>
      </w:r>
      <w:r w:rsidRPr="00A11D27" w:rsidR="009D665D">
        <w:rPr>
          <w:rFonts w:cs="Symbol"/>
          <w:szCs w:val="26"/>
        </w:rPr>
        <w:t>or</w:t>
      </w:r>
      <w:r w:rsidRPr="00A11D27" w:rsidR="00226130">
        <w:rPr>
          <w:rFonts w:cs="Symbol"/>
          <w:szCs w:val="26"/>
        </w:rPr>
        <w:t xml:space="preserve"> </w:t>
      </w:r>
      <w:r w:rsidR="00BA01F7">
        <w:rPr>
          <w:rFonts w:cs="Symbol"/>
          <w:szCs w:val="26"/>
        </w:rPr>
        <w:t>a</w:t>
      </w:r>
      <w:r w:rsidRPr="00A11D27" w:rsidR="00226130">
        <w:rPr>
          <w:rFonts w:cs="Symbol"/>
          <w:szCs w:val="26"/>
        </w:rPr>
        <w:t xml:space="preserve"> </w:t>
      </w:r>
      <w:r w:rsidRPr="00A11D27" w:rsidR="001D61C7">
        <w:rPr>
          <w:rFonts w:cs="Symbol"/>
          <w:szCs w:val="26"/>
        </w:rPr>
        <w:t>reasonably accurate baseline for calculating environmental or financial benefits</w:t>
      </w:r>
      <w:r w:rsidRPr="00A11D27" w:rsidR="009D665D">
        <w:rPr>
          <w:rFonts w:cs="Symbol"/>
          <w:szCs w:val="26"/>
        </w:rPr>
        <w:t xml:space="preserve">, </w:t>
      </w:r>
      <w:r w:rsidR="00670265">
        <w:rPr>
          <w:rFonts w:cs="Symbol"/>
          <w:szCs w:val="26"/>
        </w:rPr>
        <w:t xml:space="preserve">many categories </w:t>
      </w:r>
      <w:r w:rsidR="00593C88">
        <w:rPr>
          <w:rFonts w:cs="Symbol"/>
          <w:szCs w:val="26"/>
        </w:rPr>
        <w:t xml:space="preserve">of projects </w:t>
      </w:r>
      <w:r w:rsidRPr="00A11D27" w:rsidR="009D665D">
        <w:rPr>
          <w:szCs w:val="26"/>
        </w:rPr>
        <w:t xml:space="preserve">could </w:t>
      </w:r>
      <w:r w:rsidR="00B520D2">
        <w:rPr>
          <w:szCs w:val="26"/>
        </w:rPr>
        <w:t xml:space="preserve">broadly </w:t>
      </w:r>
      <w:r w:rsidRPr="00A11D27" w:rsidR="009D665D">
        <w:rPr>
          <w:szCs w:val="26"/>
        </w:rPr>
        <w:t>make a case for the exception</w:t>
      </w:r>
      <w:r w:rsidR="00180225">
        <w:rPr>
          <w:szCs w:val="26"/>
        </w:rPr>
        <w:t>, and many</w:t>
      </w:r>
      <w:r w:rsidR="004D126A">
        <w:rPr>
          <w:szCs w:val="26"/>
        </w:rPr>
        <w:t xml:space="preserve"> </w:t>
      </w:r>
      <w:r w:rsidR="00BC09C6">
        <w:rPr>
          <w:szCs w:val="26"/>
        </w:rPr>
        <w:t xml:space="preserve">customers </w:t>
      </w:r>
      <w:r w:rsidR="004D126A">
        <w:rPr>
          <w:szCs w:val="26"/>
        </w:rPr>
        <w:t xml:space="preserve">might be granted </w:t>
      </w:r>
      <w:r w:rsidR="00BC09C6">
        <w:rPr>
          <w:szCs w:val="26"/>
        </w:rPr>
        <w:t xml:space="preserve">exemptions </w:t>
      </w:r>
      <w:r w:rsidR="004D126A">
        <w:rPr>
          <w:szCs w:val="26"/>
        </w:rPr>
        <w:t xml:space="preserve">even if the criteria are </w:t>
      </w:r>
      <w:r w:rsidR="00276577">
        <w:rPr>
          <w:szCs w:val="26"/>
        </w:rPr>
        <w:t>imprecise</w:t>
      </w:r>
      <w:r w:rsidR="009B2C49">
        <w:rPr>
          <w:szCs w:val="26"/>
        </w:rPr>
        <w:t xml:space="preserve">. </w:t>
      </w:r>
      <w:r w:rsidR="00F443AB">
        <w:rPr>
          <w:szCs w:val="26"/>
        </w:rPr>
        <w:t>We share TURN’s concern that</w:t>
      </w:r>
      <w:r w:rsidR="00AA39ED">
        <w:rPr>
          <w:szCs w:val="26"/>
        </w:rPr>
        <w:t>:</w:t>
      </w:r>
      <w:r w:rsidR="00CB452A">
        <w:rPr>
          <w:szCs w:val="26"/>
        </w:rPr>
        <w:t xml:space="preserve"> </w:t>
      </w:r>
    </w:p>
    <w:p w:rsidR="00D71348" w:rsidP="00595461" w:rsidRDefault="00D71348" w14:paraId="3E4A9341" w14:textId="77DB9F8E">
      <w:pPr>
        <w:pStyle w:val="BlockQuote"/>
      </w:pPr>
      <w:r w:rsidRPr="00D71348">
        <w:t>A</w:t>
      </w:r>
      <w:r w:rsidRPr="000F0E41" w:rsidR="00CB452A">
        <w:t>ny project that adds new customer load to the gas system could, all else</w:t>
      </w:r>
      <w:r>
        <w:t xml:space="preserve"> </w:t>
      </w:r>
      <w:r w:rsidRPr="000F0E41" w:rsidR="00CB452A">
        <w:t>being equal, provide a contribution to margin for at least some amount of time. However,</w:t>
      </w:r>
      <w:r>
        <w:t xml:space="preserve"> </w:t>
      </w:r>
      <w:r w:rsidRPr="000F0E41" w:rsidR="00CB452A">
        <w:t>any system buildout today could become a stranded asset well before the end of the</w:t>
      </w:r>
      <w:r>
        <w:t xml:space="preserve"> </w:t>
      </w:r>
      <w:r w:rsidRPr="000F0E41" w:rsidR="00CB452A">
        <w:t>asset’s life because of electrification</w:t>
      </w:r>
      <w:r w:rsidR="00595461">
        <w:t xml:space="preserve"> — </w:t>
      </w:r>
      <w:r w:rsidRPr="000F0E41" w:rsidR="00CB452A">
        <w:t>whether mandated by state or local building codes</w:t>
      </w:r>
      <w:r>
        <w:t xml:space="preserve"> </w:t>
      </w:r>
      <w:r w:rsidRPr="000F0E41" w:rsidR="00CB452A">
        <w:t>or inspired by ratepayer</w:t>
      </w:r>
      <w:r w:rsidR="00513B3F">
        <w:rPr>
          <w:rFonts w:cs="Yu Gothic Light"/>
          <w:szCs w:val="26"/>
        </w:rPr>
        <w:noBreakHyphen/>
      </w:r>
      <w:r w:rsidRPr="000F0E41" w:rsidR="00CB452A">
        <w:t>funded incentive programs and market transformation. This</w:t>
      </w:r>
      <w:r>
        <w:t xml:space="preserve"> </w:t>
      </w:r>
      <w:r w:rsidRPr="000F0E41" w:rsidR="00CB452A">
        <w:t>serious risk cuts against any near</w:t>
      </w:r>
      <w:r w:rsidR="00513B3F">
        <w:rPr>
          <w:rFonts w:cs="Yu Gothic Light"/>
          <w:szCs w:val="26"/>
        </w:rPr>
        <w:noBreakHyphen/>
      </w:r>
      <w:r w:rsidRPr="000F0E41" w:rsidR="00CB452A">
        <w:t>term financial benefits from increased sales associated</w:t>
      </w:r>
      <w:r w:rsidR="00595461">
        <w:t xml:space="preserve"> </w:t>
      </w:r>
      <w:r w:rsidRPr="000F0E41" w:rsidR="00CB452A">
        <w:t>with new customer load.</w:t>
      </w:r>
      <w:r w:rsidRPr="000F0E41" w:rsidR="001761C5">
        <w:rPr>
          <w:rStyle w:val="FootnoteReference"/>
          <w:rFonts w:cs="Yu Gothic Light"/>
          <w:szCs w:val="26"/>
        </w:rPr>
        <w:footnoteReference w:id="102"/>
      </w:r>
      <w:r w:rsidR="009B2C49">
        <w:t xml:space="preserve"> </w:t>
      </w:r>
    </w:p>
    <w:p w:rsidR="00531A19" w:rsidP="003D2415" w:rsidRDefault="009C4B33" w14:paraId="214937BE" w14:textId="03B8C537">
      <w:pPr>
        <w:autoSpaceDE w:val="0"/>
        <w:autoSpaceDN w:val="0"/>
        <w:adjustRightInd w:val="0"/>
        <w:spacing w:line="360" w:lineRule="auto"/>
        <w:ind w:firstLine="720"/>
        <w:rPr>
          <w:szCs w:val="26"/>
        </w:rPr>
      </w:pPr>
      <w:r>
        <w:rPr>
          <w:szCs w:val="26"/>
        </w:rPr>
        <w:t xml:space="preserve">Thus, </w:t>
      </w:r>
      <w:r w:rsidR="00D82C36">
        <w:rPr>
          <w:szCs w:val="26"/>
        </w:rPr>
        <w:t>along with</w:t>
      </w:r>
      <w:r w:rsidR="004E0A04">
        <w:rPr>
          <w:szCs w:val="26"/>
        </w:rPr>
        <w:t xml:space="preserve"> </w:t>
      </w:r>
      <w:r w:rsidR="00795DC3">
        <w:rPr>
          <w:szCs w:val="26"/>
        </w:rPr>
        <w:t xml:space="preserve">the lack of adequate </w:t>
      </w:r>
      <w:r w:rsidR="004E0A04">
        <w:rPr>
          <w:szCs w:val="26"/>
        </w:rPr>
        <w:t>definitions and criteria provided by the Joint IOUs</w:t>
      </w:r>
      <w:r w:rsidR="00862788">
        <w:rPr>
          <w:szCs w:val="26"/>
        </w:rPr>
        <w:t>, PG&amp;E and Clean Energy</w:t>
      </w:r>
      <w:r w:rsidR="007244AC">
        <w:rPr>
          <w:szCs w:val="26"/>
        </w:rPr>
        <w:t>,</w:t>
      </w:r>
      <w:r w:rsidR="004E0A04">
        <w:rPr>
          <w:szCs w:val="26"/>
        </w:rPr>
        <w:t xml:space="preserve"> </w:t>
      </w:r>
      <w:r w:rsidR="00D637F9">
        <w:rPr>
          <w:szCs w:val="26"/>
        </w:rPr>
        <w:t xml:space="preserve">and without </w:t>
      </w:r>
      <w:r w:rsidR="003848BA">
        <w:rPr>
          <w:szCs w:val="26"/>
        </w:rPr>
        <w:t xml:space="preserve">sufficient information and analysis on the record, </w:t>
      </w:r>
      <w:r w:rsidR="007244AC">
        <w:rPr>
          <w:szCs w:val="26"/>
        </w:rPr>
        <w:t xml:space="preserve">we are not convinced that </w:t>
      </w:r>
      <w:r w:rsidR="00A82337">
        <w:rPr>
          <w:szCs w:val="26"/>
        </w:rPr>
        <w:t>continuing gas line subsid</w:t>
      </w:r>
      <w:r w:rsidR="00A77FEB">
        <w:rPr>
          <w:szCs w:val="26"/>
        </w:rPr>
        <w:t>i</w:t>
      </w:r>
      <w:r w:rsidR="00A82337">
        <w:rPr>
          <w:szCs w:val="26"/>
        </w:rPr>
        <w:t xml:space="preserve">es for </w:t>
      </w:r>
      <w:r w:rsidR="000D3A3C">
        <w:rPr>
          <w:szCs w:val="26"/>
        </w:rPr>
        <w:t xml:space="preserve">this broad set of </w:t>
      </w:r>
      <w:r w:rsidR="00A82337">
        <w:rPr>
          <w:szCs w:val="26"/>
        </w:rPr>
        <w:t>non</w:t>
      </w:r>
      <w:r w:rsidR="00513B3F">
        <w:rPr>
          <w:szCs w:val="26"/>
        </w:rPr>
        <w:noBreakHyphen/>
      </w:r>
      <w:r w:rsidR="00A82337">
        <w:rPr>
          <w:szCs w:val="26"/>
        </w:rPr>
        <w:t xml:space="preserve">residential projects would lead to the benefits claimed. </w:t>
      </w:r>
    </w:p>
    <w:p w:rsidR="008309AC" w:rsidP="00F6083A" w:rsidRDefault="00012369" w14:paraId="22BF3AC2" w14:textId="72E2247B">
      <w:pPr>
        <w:autoSpaceDE w:val="0"/>
        <w:autoSpaceDN w:val="0"/>
        <w:adjustRightInd w:val="0"/>
        <w:spacing w:line="360" w:lineRule="auto"/>
        <w:ind w:firstLine="720"/>
        <w:rPr>
          <w:szCs w:val="26"/>
        </w:rPr>
      </w:pPr>
      <w:r>
        <w:rPr>
          <w:szCs w:val="26"/>
        </w:rPr>
        <w:t>We</w:t>
      </w:r>
      <w:r w:rsidR="00E219A5">
        <w:rPr>
          <w:szCs w:val="26"/>
        </w:rPr>
        <w:t xml:space="preserve"> </w:t>
      </w:r>
      <w:r w:rsidR="00CB2836">
        <w:rPr>
          <w:szCs w:val="26"/>
        </w:rPr>
        <w:t xml:space="preserve">acknowledge that there may be </w:t>
      </w:r>
      <w:r w:rsidRPr="00BE6DB9" w:rsidR="00DB0157">
        <w:rPr>
          <w:szCs w:val="26"/>
        </w:rPr>
        <w:t>limited</w:t>
      </w:r>
      <w:r w:rsidR="00CB2836">
        <w:rPr>
          <w:szCs w:val="26"/>
        </w:rPr>
        <w:t xml:space="preserve"> </w:t>
      </w:r>
      <w:r w:rsidRPr="00BE6DB9" w:rsidR="00DB0157">
        <w:rPr>
          <w:szCs w:val="26"/>
        </w:rPr>
        <w:t>circumstances</w:t>
      </w:r>
      <w:r w:rsidR="00CB2836">
        <w:rPr>
          <w:szCs w:val="26"/>
        </w:rPr>
        <w:t xml:space="preserve"> </w:t>
      </w:r>
      <w:r w:rsidRPr="00BE6DB9" w:rsidR="00DB0157">
        <w:rPr>
          <w:szCs w:val="26"/>
        </w:rPr>
        <w:t>where</w:t>
      </w:r>
      <w:r w:rsidR="00CB2836">
        <w:rPr>
          <w:szCs w:val="26"/>
        </w:rPr>
        <w:t xml:space="preserve"> </w:t>
      </w:r>
      <w:r w:rsidR="001C0DD2">
        <w:rPr>
          <w:szCs w:val="26"/>
        </w:rPr>
        <w:t xml:space="preserve">gas line extensions for </w:t>
      </w:r>
      <w:r w:rsidR="00DE0A0A">
        <w:rPr>
          <w:szCs w:val="26"/>
        </w:rPr>
        <w:t>some non</w:t>
      </w:r>
      <w:r w:rsidR="00513B3F">
        <w:rPr>
          <w:szCs w:val="26"/>
        </w:rPr>
        <w:noBreakHyphen/>
      </w:r>
      <w:r w:rsidR="00DE0A0A">
        <w:rPr>
          <w:szCs w:val="26"/>
        </w:rPr>
        <w:t xml:space="preserve">residential </w:t>
      </w:r>
      <w:r w:rsidR="00CB2836">
        <w:rPr>
          <w:szCs w:val="26"/>
        </w:rPr>
        <w:t xml:space="preserve">projects </w:t>
      </w:r>
      <w:r w:rsidR="00DE0A0A">
        <w:rPr>
          <w:szCs w:val="26"/>
        </w:rPr>
        <w:t xml:space="preserve">can </w:t>
      </w:r>
      <w:r w:rsidR="00704047">
        <w:rPr>
          <w:szCs w:val="26"/>
        </w:rPr>
        <w:t>be beneficial</w:t>
      </w:r>
      <w:r>
        <w:rPr>
          <w:szCs w:val="26"/>
        </w:rPr>
        <w:t>. Nonethel</w:t>
      </w:r>
      <w:r w:rsidR="006A409B">
        <w:rPr>
          <w:szCs w:val="26"/>
        </w:rPr>
        <w:t>e</w:t>
      </w:r>
      <w:r>
        <w:rPr>
          <w:szCs w:val="26"/>
        </w:rPr>
        <w:t>ss</w:t>
      </w:r>
      <w:r w:rsidR="00DE0A0A">
        <w:rPr>
          <w:szCs w:val="26"/>
        </w:rPr>
        <w:t>, these potentially</w:t>
      </w:r>
      <w:r w:rsidRPr="00BE6DB9" w:rsidR="00DB0157">
        <w:rPr>
          <w:szCs w:val="26"/>
        </w:rPr>
        <w:t xml:space="preserve"> limited circumstances are not</w:t>
      </w:r>
      <w:r w:rsidR="00DE0A0A">
        <w:rPr>
          <w:szCs w:val="26"/>
        </w:rPr>
        <w:t xml:space="preserve"> </w:t>
      </w:r>
      <w:r w:rsidRPr="00BE6DB9" w:rsidR="00DB0157">
        <w:rPr>
          <w:szCs w:val="26"/>
        </w:rPr>
        <w:t xml:space="preserve">sufficient to warrant </w:t>
      </w:r>
      <w:r w:rsidR="00112FB7">
        <w:rPr>
          <w:szCs w:val="26"/>
        </w:rPr>
        <w:t xml:space="preserve">blanket subsidies for various broad categories of projects, such as the </w:t>
      </w:r>
      <w:r w:rsidR="00294E9D">
        <w:rPr>
          <w:szCs w:val="26"/>
        </w:rPr>
        <w:t xml:space="preserve">10 </w:t>
      </w:r>
      <w:r w:rsidR="007F6FC6">
        <w:rPr>
          <w:szCs w:val="26"/>
        </w:rPr>
        <w:t xml:space="preserve">project types </w:t>
      </w:r>
      <w:r w:rsidR="00112FB7">
        <w:rPr>
          <w:szCs w:val="26"/>
        </w:rPr>
        <w:t>proposed by the Joint IOUs.</w:t>
      </w:r>
      <w:r w:rsidRPr="00BE6DB9" w:rsidR="00DB0157">
        <w:rPr>
          <w:szCs w:val="26"/>
        </w:rPr>
        <w:t xml:space="preserve"> </w:t>
      </w:r>
      <w:r w:rsidR="00802DDF">
        <w:rPr>
          <w:szCs w:val="26"/>
        </w:rPr>
        <w:t>Not only would this be complicated</w:t>
      </w:r>
      <w:r w:rsidR="00C22044">
        <w:rPr>
          <w:szCs w:val="26"/>
        </w:rPr>
        <w:t>,</w:t>
      </w:r>
      <w:r w:rsidR="00607B29">
        <w:rPr>
          <w:szCs w:val="26"/>
        </w:rPr>
        <w:t xml:space="preserve"> </w:t>
      </w:r>
      <w:r w:rsidR="00C22044">
        <w:rPr>
          <w:szCs w:val="26"/>
        </w:rPr>
        <w:t xml:space="preserve">but more </w:t>
      </w:r>
      <w:r w:rsidR="00F205FF">
        <w:rPr>
          <w:szCs w:val="26"/>
        </w:rPr>
        <w:t>importantly</w:t>
      </w:r>
      <w:r w:rsidR="00C22044">
        <w:rPr>
          <w:szCs w:val="26"/>
        </w:rPr>
        <w:t xml:space="preserve">, this </w:t>
      </w:r>
      <w:r w:rsidR="00C22044">
        <w:rPr>
          <w:szCs w:val="26"/>
        </w:rPr>
        <w:lastRenderedPageBreak/>
        <w:t xml:space="preserve">would be </w:t>
      </w:r>
      <w:r w:rsidR="00F205FF">
        <w:rPr>
          <w:szCs w:val="26"/>
        </w:rPr>
        <w:t>misaligned</w:t>
      </w:r>
      <w:r w:rsidR="00C22044">
        <w:rPr>
          <w:szCs w:val="26"/>
        </w:rPr>
        <w:t xml:space="preserve"> with California’s overall decarbonization goals</w:t>
      </w:r>
      <w:r w:rsidR="008540B4">
        <w:rPr>
          <w:szCs w:val="26"/>
        </w:rPr>
        <w:t xml:space="preserve">. </w:t>
      </w:r>
      <w:r w:rsidR="00186392">
        <w:rPr>
          <w:szCs w:val="26"/>
        </w:rPr>
        <w:t xml:space="preserve">Exceptions for </w:t>
      </w:r>
      <w:r w:rsidR="00D23A55">
        <w:rPr>
          <w:szCs w:val="26"/>
        </w:rPr>
        <w:t>such</w:t>
      </w:r>
      <w:r w:rsidR="00186392">
        <w:rPr>
          <w:szCs w:val="26"/>
        </w:rPr>
        <w:t xml:space="preserve"> broad </w:t>
      </w:r>
      <w:r w:rsidR="00607B29">
        <w:rPr>
          <w:szCs w:val="26"/>
        </w:rPr>
        <w:t>categories of</w:t>
      </w:r>
      <w:r w:rsidR="00186392">
        <w:rPr>
          <w:szCs w:val="26"/>
        </w:rPr>
        <w:t xml:space="preserve"> projects would </w:t>
      </w:r>
      <w:r w:rsidR="00505DC7">
        <w:rPr>
          <w:szCs w:val="26"/>
        </w:rPr>
        <w:t xml:space="preserve">perpetuate, </w:t>
      </w:r>
      <w:r w:rsidR="00D70DB2">
        <w:rPr>
          <w:szCs w:val="26"/>
        </w:rPr>
        <w:t xml:space="preserve">even if </w:t>
      </w:r>
      <w:r w:rsidR="00C22044">
        <w:rPr>
          <w:szCs w:val="26"/>
        </w:rPr>
        <w:t xml:space="preserve">on a smaller scale, the </w:t>
      </w:r>
      <w:r w:rsidR="00E219A5">
        <w:rPr>
          <w:szCs w:val="26"/>
        </w:rPr>
        <w:t xml:space="preserve">continued </w:t>
      </w:r>
      <w:r w:rsidR="00C22044">
        <w:rPr>
          <w:szCs w:val="26"/>
        </w:rPr>
        <w:t xml:space="preserve">reliance on gas </w:t>
      </w:r>
      <w:r w:rsidR="00F205FF">
        <w:rPr>
          <w:szCs w:val="26"/>
        </w:rPr>
        <w:t>a</w:t>
      </w:r>
      <w:r w:rsidR="00C22044">
        <w:rPr>
          <w:szCs w:val="26"/>
        </w:rPr>
        <w:t xml:space="preserve">nd </w:t>
      </w:r>
      <w:r w:rsidRPr="00BE6DB9" w:rsidR="00DB0157">
        <w:rPr>
          <w:szCs w:val="26"/>
        </w:rPr>
        <w:t>lock</w:t>
      </w:r>
      <w:r w:rsidR="00C22044">
        <w:rPr>
          <w:szCs w:val="26"/>
        </w:rPr>
        <w:t>ing</w:t>
      </w:r>
      <w:r w:rsidRPr="00BE6DB9" w:rsidR="00DB0157">
        <w:rPr>
          <w:szCs w:val="26"/>
        </w:rPr>
        <w:t xml:space="preserve"> in gas use for</w:t>
      </w:r>
      <w:r w:rsidR="00C22044">
        <w:rPr>
          <w:szCs w:val="26"/>
        </w:rPr>
        <w:t xml:space="preserve"> </w:t>
      </w:r>
      <w:r w:rsidR="00BB43D8">
        <w:rPr>
          <w:szCs w:val="26"/>
        </w:rPr>
        <w:t>the life of the asset</w:t>
      </w:r>
      <w:r w:rsidR="00C76850">
        <w:rPr>
          <w:szCs w:val="26"/>
        </w:rPr>
        <w:t xml:space="preserve">. </w:t>
      </w:r>
    </w:p>
    <w:p w:rsidR="00C36C14" w:rsidP="00F6083A" w:rsidRDefault="00D23A55" w14:paraId="1AFBA162" w14:textId="6A0506DB">
      <w:pPr>
        <w:autoSpaceDE w:val="0"/>
        <w:autoSpaceDN w:val="0"/>
        <w:adjustRightInd w:val="0"/>
        <w:spacing w:line="360" w:lineRule="auto"/>
        <w:ind w:firstLine="720"/>
        <w:rPr>
          <w:szCs w:val="26"/>
        </w:rPr>
      </w:pPr>
      <w:r>
        <w:rPr>
          <w:szCs w:val="26"/>
        </w:rPr>
        <w:t>Instead, w</w:t>
      </w:r>
      <w:r w:rsidR="00D915CF">
        <w:rPr>
          <w:szCs w:val="26"/>
        </w:rPr>
        <w:t xml:space="preserve">e adopt a limited alternative below </w:t>
      </w:r>
      <w:r w:rsidR="007E77E2">
        <w:rPr>
          <w:szCs w:val="26"/>
        </w:rPr>
        <w:t xml:space="preserve">that considers </w:t>
      </w:r>
      <w:r w:rsidR="00D915CF">
        <w:rPr>
          <w:szCs w:val="26"/>
        </w:rPr>
        <w:t xml:space="preserve">applications for specific and unique projects </w:t>
      </w:r>
      <w:r w:rsidR="00D77FA5">
        <w:rPr>
          <w:szCs w:val="26"/>
        </w:rPr>
        <w:t xml:space="preserve">meeting </w:t>
      </w:r>
      <w:r>
        <w:rPr>
          <w:szCs w:val="26"/>
        </w:rPr>
        <w:t>a</w:t>
      </w:r>
      <w:r w:rsidR="00D77FA5">
        <w:rPr>
          <w:szCs w:val="26"/>
        </w:rPr>
        <w:t xml:space="preserve"> narrow </w:t>
      </w:r>
      <w:r>
        <w:rPr>
          <w:szCs w:val="26"/>
        </w:rPr>
        <w:t>set of</w:t>
      </w:r>
      <w:r w:rsidR="00D77FA5">
        <w:rPr>
          <w:szCs w:val="26"/>
        </w:rPr>
        <w:t xml:space="preserve"> criteria</w:t>
      </w:r>
      <w:r w:rsidR="00D915CF">
        <w:rPr>
          <w:szCs w:val="26"/>
        </w:rPr>
        <w:t xml:space="preserve"> that </w:t>
      </w:r>
      <w:r w:rsidR="008309AC">
        <w:rPr>
          <w:szCs w:val="26"/>
        </w:rPr>
        <w:t xml:space="preserve">may </w:t>
      </w:r>
      <w:r w:rsidR="00D77FA5">
        <w:rPr>
          <w:szCs w:val="26"/>
        </w:rPr>
        <w:t>warrant</w:t>
      </w:r>
      <w:r w:rsidR="00D915CF">
        <w:rPr>
          <w:szCs w:val="26"/>
        </w:rPr>
        <w:t xml:space="preserve"> gas line subsid</w:t>
      </w:r>
      <w:r w:rsidR="00236971">
        <w:rPr>
          <w:szCs w:val="26"/>
        </w:rPr>
        <w:t>ies</w:t>
      </w:r>
      <w:r w:rsidR="00D915CF">
        <w:rPr>
          <w:szCs w:val="26"/>
        </w:rPr>
        <w:t xml:space="preserve">. </w:t>
      </w:r>
      <w:r w:rsidR="007E77E2">
        <w:rPr>
          <w:szCs w:val="26"/>
        </w:rPr>
        <w:t xml:space="preserve">This will account for the </w:t>
      </w:r>
      <w:r w:rsidR="0012598F">
        <w:rPr>
          <w:szCs w:val="26"/>
        </w:rPr>
        <w:t>special cases of environmental</w:t>
      </w:r>
      <w:r w:rsidR="003922C1">
        <w:rPr>
          <w:szCs w:val="26"/>
        </w:rPr>
        <w:t xml:space="preserve">, </w:t>
      </w:r>
      <w:r w:rsidR="0012598F">
        <w:rPr>
          <w:szCs w:val="26"/>
        </w:rPr>
        <w:t>financia</w:t>
      </w:r>
      <w:r w:rsidR="003922C1">
        <w:rPr>
          <w:szCs w:val="26"/>
        </w:rPr>
        <w:t xml:space="preserve">l, or other </w:t>
      </w:r>
      <w:r w:rsidR="0012598F">
        <w:rPr>
          <w:szCs w:val="26"/>
        </w:rPr>
        <w:t xml:space="preserve">benefits without creating up to </w:t>
      </w:r>
      <w:r w:rsidR="00294E9D">
        <w:rPr>
          <w:szCs w:val="26"/>
        </w:rPr>
        <w:t xml:space="preserve">10 </w:t>
      </w:r>
      <w:r>
        <w:rPr>
          <w:szCs w:val="26"/>
        </w:rPr>
        <w:t>broad</w:t>
      </w:r>
      <w:r w:rsidR="0012598F">
        <w:rPr>
          <w:szCs w:val="26"/>
        </w:rPr>
        <w:t xml:space="preserve"> project categories</w:t>
      </w:r>
      <w:r w:rsidR="00303235">
        <w:rPr>
          <w:szCs w:val="26"/>
        </w:rPr>
        <w:t xml:space="preserve">. </w:t>
      </w:r>
    </w:p>
    <w:p w:rsidR="00AA3DA8" w:rsidP="00F6083A" w:rsidRDefault="00AA3DA8" w14:paraId="15041E00" w14:textId="24B4A0A9">
      <w:pPr>
        <w:autoSpaceDE w:val="0"/>
        <w:autoSpaceDN w:val="0"/>
        <w:adjustRightInd w:val="0"/>
        <w:spacing w:line="360" w:lineRule="auto"/>
        <w:ind w:firstLine="720"/>
        <w:rPr>
          <w:szCs w:val="26"/>
        </w:rPr>
      </w:pPr>
      <w:r w:rsidRPr="008622FB">
        <w:t xml:space="preserve">This decision </w:t>
      </w:r>
      <w:r w:rsidR="00F26402">
        <w:t xml:space="preserve">also </w:t>
      </w:r>
      <w:r w:rsidRPr="008622FB">
        <w:t>denies PG&amp;E’s proposal for two new methods for calculating allowance amounts</w:t>
      </w:r>
      <w:r w:rsidR="00EA103E">
        <w:t>. We find this prop</w:t>
      </w:r>
      <w:r w:rsidR="00777FD8">
        <w:t>osal</w:t>
      </w:r>
      <w:r w:rsidRPr="008622FB">
        <w:t xml:space="preserve"> </w:t>
      </w:r>
      <w:r w:rsidR="00F55A4B">
        <w:t xml:space="preserve">now </w:t>
      </w:r>
      <w:r w:rsidRPr="008622FB">
        <w:t xml:space="preserve">moot </w:t>
      </w:r>
      <w:r w:rsidR="00777FD8">
        <w:t xml:space="preserve">since we eliminate </w:t>
      </w:r>
      <w:r w:rsidRPr="008622FB">
        <w:t>all gas line subsidies</w:t>
      </w:r>
      <w:r>
        <w:t>.</w:t>
      </w:r>
      <w:r w:rsidR="00B7452E">
        <w:t xml:space="preserve"> Moreover, we</w:t>
      </w:r>
      <w:r w:rsidR="00643350">
        <w:t xml:space="preserve"> do not </w:t>
      </w:r>
      <w:r w:rsidR="00B304D0">
        <w:t xml:space="preserve">wish </w:t>
      </w:r>
      <w:r w:rsidR="00643350">
        <w:t>to complicate the application process described below with additional factors</w:t>
      </w:r>
      <w:r>
        <w:t>.</w:t>
      </w:r>
    </w:p>
    <w:p w:rsidRPr="00BF4B21" w:rsidR="001B29FD" w:rsidP="007C2EF4" w:rsidRDefault="008273F8" w14:paraId="69B30BB5" w14:textId="1F6CC78E">
      <w:pPr>
        <w:pStyle w:val="Heading3"/>
      </w:pPr>
      <w:bookmarkStart w:name="_Toc109376129" w:id="149"/>
      <w:bookmarkStart w:name="_Toc109141161" w:id="150"/>
      <w:bookmarkStart w:name="_Toc110598581" w:id="151"/>
      <w:r>
        <w:t>Exemptions for P</w:t>
      </w:r>
      <w:r w:rsidRPr="001915CB">
        <w:t xml:space="preserve">rojects </w:t>
      </w:r>
      <w:r w:rsidR="00BC1AEB">
        <w:t>T</w:t>
      </w:r>
      <w:r w:rsidRPr="001915CB">
        <w:t>hat</w:t>
      </w:r>
      <w:r w:rsidR="00357F04">
        <w:t xml:space="preserve"> </w:t>
      </w:r>
      <w:r>
        <w:t>E</w:t>
      </w:r>
      <w:r w:rsidRPr="001915CB">
        <w:t xml:space="preserve">nable </w:t>
      </w:r>
      <w:r>
        <w:t xml:space="preserve">Hydrogen, </w:t>
      </w:r>
      <w:r w:rsidRPr="001915CB">
        <w:t xml:space="preserve">RNG </w:t>
      </w:r>
      <w:r>
        <w:t>and</w:t>
      </w:r>
      <w:r w:rsidR="00357F04">
        <w:t xml:space="preserve"> </w:t>
      </w:r>
      <w:r>
        <w:t>CNG Use</w:t>
      </w:r>
      <w:r w:rsidRPr="00337174" w:rsidR="001B29FD">
        <w:t>:</w:t>
      </w:r>
      <w:r w:rsidRPr="00337174" w:rsidR="00406A80">
        <w:t xml:space="preserve"> </w:t>
      </w:r>
      <w:r w:rsidRPr="00337174" w:rsidR="001B29FD">
        <w:t xml:space="preserve"> D</w:t>
      </w:r>
      <w:r w:rsidRPr="00BC1AEB" w:rsidR="001B29FD">
        <w:t>enied</w:t>
      </w:r>
      <w:bookmarkEnd w:id="149"/>
      <w:bookmarkEnd w:id="150"/>
      <w:bookmarkEnd w:id="151"/>
    </w:p>
    <w:p w:rsidRPr="00047607" w:rsidR="00582AA4" w:rsidP="00047607" w:rsidRDefault="00C50F30" w14:paraId="544306EC" w14:textId="0582595D">
      <w:pPr>
        <w:pStyle w:val="Standard"/>
        <w:rPr>
          <w:szCs w:val="26"/>
        </w:rPr>
      </w:pPr>
      <w:r>
        <w:t xml:space="preserve">This </w:t>
      </w:r>
      <w:r>
        <w:rPr>
          <w:szCs w:val="26"/>
        </w:rPr>
        <w:t xml:space="preserve">decision denies Clean Energy’s proposal to </w:t>
      </w:r>
      <w:r w:rsidR="00246CC3">
        <w:rPr>
          <w:szCs w:val="26"/>
        </w:rPr>
        <w:t xml:space="preserve">continue offering </w:t>
      </w:r>
      <w:r w:rsidR="00864899">
        <w:rPr>
          <w:szCs w:val="26"/>
        </w:rPr>
        <w:t>blanket</w:t>
      </w:r>
      <w:r w:rsidR="00246CC3">
        <w:rPr>
          <w:szCs w:val="26"/>
        </w:rPr>
        <w:t xml:space="preserve"> gas line </w:t>
      </w:r>
      <w:r w:rsidR="00802F7E">
        <w:rPr>
          <w:szCs w:val="26"/>
        </w:rPr>
        <w:t>subsid</w:t>
      </w:r>
      <w:r w:rsidR="00A77FEB">
        <w:rPr>
          <w:szCs w:val="26"/>
        </w:rPr>
        <w:t>i</w:t>
      </w:r>
      <w:r w:rsidR="00802F7E">
        <w:rPr>
          <w:szCs w:val="26"/>
        </w:rPr>
        <w:t>es</w:t>
      </w:r>
      <w:r w:rsidR="00246CC3">
        <w:rPr>
          <w:szCs w:val="26"/>
        </w:rPr>
        <w:t xml:space="preserve"> for non</w:t>
      </w:r>
      <w:r w:rsidR="00513B3F">
        <w:rPr>
          <w:szCs w:val="26"/>
        </w:rPr>
        <w:noBreakHyphen/>
      </w:r>
      <w:r w:rsidR="00246CC3">
        <w:rPr>
          <w:szCs w:val="26"/>
        </w:rPr>
        <w:t xml:space="preserve">residential </w:t>
      </w:r>
      <w:r w:rsidR="00500F64">
        <w:rPr>
          <w:szCs w:val="26"/>
        </w:rPr>
        <w:t>transportation, agricultural, commercial</w:t>
      </w:r>
      <w:r w:rsidR="00584BEF">
        <w:rPr>
          <w:szCs w:val="26"/>
        </w:rPr>
        <w:t>,</w:t>
      </w:r>
      <w:r w:rsidR="00500F64">
        <w:rPr>
          <w:szCs w:val="26"/>
        </w:rPr>
        <w:t xml:space="preserve"> and industrial </w:t>
      </w:r>
      <w:r w:rsidR="005025C3">
        <w:rPr>
          <w:szCs w:val="26"/>
        </w:rPr>
        <w:t>projects that enable RNG use in or</w:t>
      </w:r>
      <w:r w:rsidR="00802F7E">
        <w:rPr>
          <w:szCs w:val="26"/>
        </w:rPr>
        <w:t xml:space="preserve">der to prioritize </w:t>
      </w:r>
      <w:r w:rsidR="00D1410F">
        <w:rPr>
          <w:szCs w:val="26"/>
        </w:rPr>
        <w:t xml:space="preserve">reduction in </w:t>
      </w:r>
      <w:r w:rsidR="00802F7E">
        <w:rPr>
          <w:szCs w:val="26"/>
        </w:rPr>
        <w:t>SLCP</w:t>
      </w:r>
      <w:r w:rsidR="00301CA4">
        <w:rPr>
          <w:szCs w:val="26"/>
        </w:rPr>
        <w:t xml:space="preserve"> emission</w:t>
      </w:r>
      <w:r w:rsidR="00BF3F82">
        <w:rPr>
          <w:szCs w:val="26"/>
        </w:rPr>
        <w:t>s</w:t>
      </w:r>
      <w:r w:rsidR="00802F7E">
        <w:rPr>
          <w:szCs w:val="26"/>
        </w:rPr>
        <w:t xml:space="preserve">. We </w:t>
      </w:r>
      <w:r w:rsidR="00BE4F5D">
        <w:rPr>
          <w:szCs w:val="26"/>
        </w:rPr>
        <w:t xml:space="preserve">are not convinced by Clean Energy’s argument </w:t>
      </w:r>
      <w:r w:rsidR="00BA4E16">
        <w:rPr>
          <w:szCs w:val="26"/>
        </w:rPr>
        <w:t xml:space="preserve">that </w:t>
      </w:r>
      <w:r w:rsidR="00B5279E">
        <w:rPr>
          <w:szCs w:val="26"/>
        </w:rPr>
        <w:t xml:space="preserve">gas line subsidies </w:t>
      </w:r>
      <w:r w:rsidR="003A139B">
        <w:rPr>
          <w:szCs w:val="26"/>
        </w:rPr>
        <w:t xml:space="preserve">should continue to be offered </w:t>
      </w:r>
      <w:r w:rsidR="00B5279E">
        <w:rPr>
          <w:szCs w:val="26"/>
        </w:rPr>
        <w:t>to the non</w:t>
      </w:r>
      <w:r w:rsidR="00513B3F">
        <w:rPr>
          <w:szCs w:val="26"/>
        </w:rPr>
        <w:noBreakHyphen/>
      </w:r>
      <w:r w:rsidR="00B5279E">
        <w:rPr>
          <w:szCs w:val="26"/>
        </w:rPr>
        <w:t>residential sector</w:t>
      </w:r>
      <w:r w:rsidR="003A139B">
        <w:rPr>
          <w:szCs w:val="26"/>
        </w:rPr>
        <w:t xml:space="preserve"> to advance the goal of reducing SLCP</w:t>
      </w:r>
      <w:r w:rsidR="0071263E">
        <w:rPr>
          <w:szCs w:val="26"/>
        </w:rPr>
        <w:t>s</w:t>
      </w:r>
      <w:r w:rsidR="0015569C">
        <w:rPr>
          <w:szCs w:val="26"/>
        </w:rPr>
        <w:t xml:space="preserve">. Rather, we believe that ending gas line subsidies and </w:t>
      </w:r>
      <w:r w:rsidR="00FE1AD6">
        <w:rPr>
          <w:szCs w:val="26"/>
        </w:rPr>
        <w:t xml:space="preserve">supporting </w:t>
      </w:r>
      <w:r w:rsidR="00507F2D">
        <w:rPr>
          <w:szCs w:val="26"/>
        </w:rPr>
        <w:t xml:space="preserve">the </w:t>
      </w:r>
      <w:r w:rsidR="00D320BB">
        <w:rPr>
          <w:szCs w:val="26"/>
        </w:rPr>
        <w:t>hydrogen/</w:t>
      </w:r>
      <w:r w:rsidR="00E921D5">
        <w:rPr>
          <w:szCs w:val="26"/>
        </w:rPr>
        <w:t>RNG</w:t>
      </w:r>
      <w:r w:rsidR="00D320BB">
        <w:rPr>
          <w:szCs w:val="26"/>
        </w:rPr>
        <w:t>/CNG</w:t>
      </w:r>
      <w:r w:rsidR="00E921D5">
        <w:rPr>
          <w:szCs w:val="26"/>
        </w:rPr>
        <w:t xml:space="preserve"> </w:t>
      </w:r>
      <w:r w:rsidR="00507F2D">
        <w:rPr>
          <w:szCs w:val="26"/>
        </w:rPr>
        <w:t xml:space="preserve">sector </w:t>
      </w:r>
      <w:r w:rsidR="00CF0391">
        <w:rPr>
          <w:szCs w:val="26"/>
        </w:rPr>
        <w:t>to reduce SLCP</w:t>
      </w:r>
      <w:r w:rsidR="00232A29">
        <w:rPr>
          <w:szCs w:val="26"/>
        </w:rPr>
        <w:t>s</w:t>
      </w:r>
      <w:r w:rsidR="00CF0391">
        <w:rPr>
          <w:szCs w:val="26"/>
        </w:rPr>
        <w:t xml:space="preserve"> </w:t>
      </w:r>
      <w:r w:rsidR="00556A4D">
        <w:rPr>
          <w:szCs w:val="26"/>
        </w:rPr>
        <w:t>can be successfully achieved together</w:t>
      </w:r>
      <w:r w:rsidR="00B5279E">
        <w:rPr>
          <w:szCs w:val="26"/>
        </w:rPr>
        <w:t xml:space="preserve">. </w:t>
      </w:r>
    </w:p>
    <w:p w:rsidR="00482974" w:rsidP="00F42AEA" w:rsidRDefault="00CB3FA5" w14:paraId="3A8C7224" w14:textId="4147AD0D">
      <w:pPr>
        <w:pStyle w:val="Standard"/>
        <w:tabs>
          <w:tab w:val="left" w:pos="7020"/>
        </w:tabs>
      </w:pPr>
      <w:r>
        <w:t>Clean Energy claims that the lack of g</w:t>
      </w:r>
      <w:r w:rsidRPr="00DC7339" w:rsidR="008A69D0">
        <w:t xml:space="preserve">as </w:t>
      </w:r>
      <w:r>
        <w:t>l</w:t>
      </w:r>
      <w:r w:rsidRPr="00DC7339" w:rsidR="008A69D0">
        <w:t xml:space="preserve">ine </w:t>
      </w:r>
      <w:r>
        <w:t>s</w:t>
      </w:r>
      <w:r w:rsidRPr="00DC7339" w:rsidR="008A69D0">
        <w:t>ubsid</w:t>
      </w:r>
      <w:r w:rsidR="00E86AF9">
        <w:t>ies</w:t>
      </w:r>
      <w:r w:rsidRPr="00DC7339" w:rsidR="008A69D0">
        <w:t xml:space="preserve"> could be the sole reason that a new project </w:t>
      </w:r>
      <w:r w:rsidR="00682E60">
        <w:t>will</w:t>
      </w:r>
      <w:r w:rsidRPr="00DC7339" w:rsidR="00682E60">
        <w:t xml:space="preserve"> </w:t>
      </w:r>
      <w:r w:rsidRPr="00DC7339" w:rsidR="008A69D0">
        <w:t xml:space="preserve">not </w:t>
      </w:r>
      <w:r w:rsidR="00682E60">
        <w:t>be</w:t>
      </w:r>
      <w:r w:rsidRPr="00DC7339" w:rsidR="008A69D0">
        <w:t xml:space="preserve"> built</w:t>
      </w:r>
      <w:r w:rsidR="00863476">
        <w:t>,</w:t>
      </w:r>
      <w:r w:rsidR="00CD1EB9">
        <w:t xml:space="preserve"> because the project may no longer be </w:t>
      </w:r>
      <w:r w:rsidRPr="00DC7339" w:rsidR="00CD1EB9">
        <w:t>economic</w:t>
      </w:r>
      <w:r w:rsidR="00CD1EB9">
        <w:t>al</w:t>
      </w:r>
      <w:r w:rsidR="00650776">
        <w:t>.</w:t>
      </w:r>
      <w:r w:rsidR="00A17152">
        <w:rPr>
          <w:rStyle w:val="FootnoteReference"/>
        </w:rPr>
        <w:footnoteReference w:id="103"/>
      </w:r>
      <w:r w:rsidR="000F1728">
        <w:t xml:space="preserve"> </w:t>
      </w:r>
      <w:r w:rsidR="009A6576">
        <w:t xml:space="preserve">Clean Energy </w:t>
      </w:r>
      <w:r w:rsidR="00D863FE">
        <w:t>argues</w:t>
      </w:r>
      <w:r w:rsidR="003D6E08">
        <w:t xml:space="preserve"> that t</w:t>
      </w:r>
      <w:r w:rsidRPr="003D6E08" w:rsidR="003D6E08">
        <w:t xml:space="preserve">ypically, a CNG project will cost </w:t>
      </w:r>
      <w:r w:rsidRPr="003D6E08" w:rsidR="003D6E08">
        <w:lastRenderedPageBreak/>
        <w:t>approximately $1.5</w:t>
      </w:r>
      <w:r w:rsidR="00154071">
        <w:noBreakHyphen/>
      </w:r>
      <w:r w:rsidRPr="003D6E08" w:rsidR="003D6E08">
        <w:t>$2.0</w:t>
      </w:r>
      <w:r w:rsidR="00513B3F">
        <w:t> </w:t>
      </w:r>
      <w:r w:rsidR="00BF7312">
        <w:t>million</w:t>
      </w:r>
      <w:r w:rsidRPr="003D6E08" w:rsidR="003D6E08">
        <w:t xml:space="preserve"> plus a gas line extension cost of $400,000</w:t>
      </w:r>
      <w:r w:rsidR="00154071">
        <w:noBreakHyphen/>
      </w:r>
      <w:r w:rsidRPr="003D6E08" w:rsidR="003D6E08">
        <w:t>$500,000</w:t>
      </w:r>
      <w:r w:rsidR="00A244CD">
        <w:t> </w:t>
      </w:r>
      <w:r w:rsidRPr="003D6E08" w:rsidR="003D6E08">
        <w:t>—</w:t>
      </w:r>
      <w:r w:rsidR="00A244CD">
        <w:t xml:space="preserve"> </w:t>
      </w:r>
      <w:r w:rsidRPr="003D6E08" w:rsidR="003D6E08">
        <w:t>approximately 25</w:t>
      </w:r>
      <w:r w:rsidR="0021555A">
        <w:t> percent</w:t>
      </w:r>
      <w:r w:rsidRPr="003D6E08" w:rsidR="003D6E08">
        <w:t xml:space="preserve"> of the investment.</w:t>
      </w:r>
      <w:r w:rsidR="00225EC5">
        <w:rPr>
          <w:rStyle w:val="FootnoteReference"/>
        </w:rPr>
        <w:footnoteReference w:id="104"/>
      </w:r>
      <w:r w:rsidRPr="003D6E08" w:rsidR="003D6E08">
        <w:t xml:space="preserve"> </w:t>
      </w:r>
      <w:r w:rsidRPr="00337174" w:rsidR="00406A80">
        <w:t>C</w:t>
      </w:r>
      <w:r w:rsidRPr="00337174" w:rsidR="009A6576">
        <w:t>lean</w:t>
      </w:r>
      <w:r w:rsidRPr="00337174" w:rsidR="00406A80">
        <w:t> </w:t>
      </w:r>
      <w:r w:rsidRPr="00337174" w:rsidR="009A6576">
        <w:t>E</w:t>
      </w:r>
      <w:r w:rsidR="009A6576">
        <w:t>nergy does not</w:t>
      </w:r>
      <w:r w:rsidR="00A12346">
        <w:t>, however,</w:t>
      </w:r>
      <w:r w:rsidR="00304D54">
        <w:t xml:space="preserve"> </w:t>
      </w:r>
      <w:r w:rsidR="00482974">
        <w:t xml:space="preserve">state whether the full gas line extension cost is eligible for gas line subsidies. As noted earlier in this decision, </w:t>
      </w:r>
      <w:r w:rsidRPr="003D6E08" w:rsidR="00482974">
        <w:t>gas line extension cost</w:t>
      </w:r>
      <w:r w:rsidR="00482974">
        <w:t>s are made up of a refundable portion and a non</w:t>
      </w:r>
      <w:r w:rsidR="00513B3F">
        <w:noBreakHyphen/>
      </w:r>
      <w:r w:rsidR="00482974">
        <w:t xml:space="preserve">refundable portion, with only the refundable </w:t>
      </w:r>
      <w:r w:rsidRPr="00337174" w:rsidR="00482974">
        <w:t>portion b</w:t>
      </w:r>
      <w:r w:rsidR="00482974">
        <w:t>eing eligible for a subsidy. Clean Energy also does not provide data on average subsidies received for its projects</w:t>
      </w:r>
      <w:r w:rsidRPr="001F3B5C" w:rsidR="00482974">
        <w:t>.</w:t>
      </w:r>
      <w:r w:rsidR="00482974">
        <w:t xml:space="preserve"> Recent data provided by the IOUs show the following average non</w:t>
      </w:r>
      <w:r w:rsidR="00513B3F">
        <w:noBreakHyphen/>
      </w:r>
      <w:r w:rsidR="00482974">
        <w:t>residential subsidies paid below.</w:t>
      </w:r>
    </w:p>
    <w:p w:rsidRPr="00A916F1" w:rsidR="001F443F" w:rsidP="00A916F1" w:rsidRDefault="00A916F1" w14:paraId="2F00F795" w14:textId="216D7598">
      <w:pPr>
        <w:pStyle w:val="TableTitle1"/>
      </w:pPr>
      <w:bookmarkStart w:name="Table5" w:id="152"/>
      <w:r w:rsidRPr="00A916F1">
        <w:rPr>
          <w:b/>
          <w:bCs w:val="0"/>
        </w:rPr>
        <w:t>Table 5</w:t>
      </w:r>
      <w:r w:rsidRPr="003B7F03" w:rsidR="003B7F03">
        <w:rPr>
          <w:b/>
          <w:bCs w:val="0"/>
        </w:rPr>
        <w:t>.</w:t>
      </w:r>
      <w:r w:rsidR="003B7F03">
        <w:tab/>
      </w:r>
      <w:r w:rsidRPr="00A916F1">
        <w:t xml:space="preserve">Average Subsidies Paid </w:t>
      </w:r>
      <w:r w:rsidR="00554422">
        <w:t>t</w:t>
      </w:r>
      <w:r w:rsidRPr="00A916F1">
        <w:t>o Non</w:t>
      </w:r>
      <w:r w:rsidRPr="00A916F1">
        <w:noBreakHyphen/>
        <w:t xml:space="preserve">Residential Projects </w:t>
      </w:r>
      <w:r w:rsidR="003B7F03">
        <w:t>i</w:t>
      </w:r>
      <w:r w:rsidRPr="00A916F1">
        <w:t>n 2021</w:t>
      </w:r>
      <w:bookmarkEnd w:id="152"/>
      <w:r w:rsidRPr="00A916F1">
        <w:t xml:space="preserve"> </w:t>
      </w:r>
    </w:p>
    <w:tbl>
      <w:tblPr>
        <w:tblStyle w:val="TableGrid"/>
        <w:tblW w:w="9360" w:type="dxa"/>
        <w:tblLayout w:type="fixed"/>
        <w:tblCellMar>
          <w:top w:w="58" w:type="dxa"/>
          <w:bottom w:w="58" w:type="dxa"/>
        </w:tblCellMar>
        <w:tblLook w:val="04A0" w:firstRow="1" w:lastRow="0" w:firstColumn="1" w:lastColumn="0" w:noHBand="0" w:noVBand="1"/>
      </w:tblPr>
      <w:tblGrid>
        <w:gridCol w:w="2515"/>
        <w:gridCol w:w="1440"/>
        <w:gridCol w:w="1620"/>
        <w:gridCol w:w="1890"/>
        <w:gridCol w:w="1895"/>
      </w:tblGrid>
      <w:tr w:rsidRPr="006D6DC3" w:rsidR="00C743BA" w:rsidTr="006D6DC3" w14:paraId="3324112E" w14:textId="77777777">
        <w:trPr>
          <w:tblHeader/>
        </w:trPr>
        <w:tc>
          <w:tcPr>
            <w:tcW w:w="2515" w:type="dxa"/>
            <w:vMerge w:val="restart"/>
            <w:vAlign w:val="bottom"/>
          </w:tcPr>
          <w:p w:rsidRPr="006D6DC3" w:rsidR="00C743BA" w:rsidP="006D6DC3" w:rsidRDefault="00C743BA" w14:paraId="5AE9FA3D" w14:textId="3A76A4ED">
            <w:pPr>
              <w:pStyle w:val="Standard"/>
              <w:spacing w:line="240" w:lineRule="auto"/>
              <w:ind w:firstLine="0"/>
              <w:jc w:val="center"/>
              <w:rPr>
                <w:b/>
                <w:bCs/>
                <w:szCs w:val="24"/>
              </w:rPr>
            </w:pPr>
            <w:r w:rsidRPr="006D6DC3">
              <w:rPr>
                <w:b/>
                <w:bCs/>
                <w:szCs w:val="24"/>
              </w:rPr>
              <w:t>Gas Line Subsidies</w:t>
            </w:r>
          </w:p>
        </w:tc>
        <w:tc>
          <w:tcPr>
            <w:tcW w:w="6845" w:type="dxa"/>
            <w:gridSpan w:val="4"/>
            <w:vAlign w:val="bottom"/>
          </w:tcPr>
          <w:p w:rsidRPr="006D6DC3" w:rsidR="00C743BA" w:rsidP="006D6DC3" w:rsidRDefault="004B323B" w14:paraId="5D31E19B" w14:textId="13E2AD4D">
            <w:pPr>
              <w:pStyle w:val="Standard"/>
              <w:spacing w:line="240" w:lineRule="auto"/>
              <w:ind w:firstLine="0"/>
              <w:jc w:val="center"/>
              <w:rPr>
                <w:b/>
                <w:bCs/>
                <w:szCs w:val="24"/>
              </w:rPr>
            </w:pPr>
            <w:r w:rsidRPr="006D6DC3">
              <w:rPr>
                <w:b/>
                <w:bCs/>
                <w:szCs w:val="24"/>
              </w:rPr>
              <w:t>Average Subsidies Paid</w:t>
            </w:r>
            <w:r w:rsidRPr="006D6DC3" w:rsidR="00723526">
              <w:rPr>
                <w:b/>
                <w:bCs/>
                <w:szCs w:val="24"/>
              </w:rPr>
              <w:t xml:space="preserve"> </w:t>
            </w:r>
            <w:r w:rsidRPr="006D6DC3" w:rsidR="0004728F">
              <w:rPr>
                <w:b/>
                <w:bCs/>
                <w:szCs w:val="24"/>
              </w:rPr>
              <w:t xml:space="preserve">Per Project </w:t>
            </w:r>
            <w:r w:rsidRPr="006D6DC3" w:rsidR="00723526">
              <w:rPr>
                <w:b/>
                <w:bCs/>
                <w:szCs w:val="24"/>
              </w:rPr>
              <w:t>in 2021</w:t>
            </w:r>
            <w:r w:rsidRPr="006D6DC3" w:rsidR="00A42951">
              <w:rPr>
                <w:rStyle w:val="FootnoteReference"/>
              </w:rPr>
              <w:footnoteReference w:id="105"/>
            </w:r>
          </w:p>
        </w:tc>
      </w:tr>
      <w:tr w:rsidRPr="006D6DC3" w:rsidR="00723526" w:rsidTr="006D6DC3" w14:paraId="04D80035" w14:textId="77777777">
        <w:trPr>
          <w:tblHeader/>
        </w:trPr>
        <w:tc>
          <w:tcPr>
            <w:tcW w:w="2515" w:type="dxa"/>
            <w:vMerge/>
          </w:tcPr>
          <w:p w:rsidRPr="006D6DC3" w:rsidR="00723526" w:rsidP="00CF24F0" w:rsidRDefault="00723526" w14:paraId="09B3EB41" w14:textId="77777777">
            <w:pPr>
              <w:pStyle w:val="Standard"/>
              <w:spacing w:line="240" w:lineRule="auto"/>
              <w:ind w:firstLine="0"/>
              <w:rPr>
                <w:szCs w:val="24"/>
              </w:rPr>
            </w:pPr>
          </w:p>
        </w:tc>
        <w:tc>
          <w:tcPr>
            <w:tcW w:w="1440" w:type="dxa"/>
          </w:tcPr>
          <w:p w:rsidRPr="006D6DC3" w:rsidR="00723526" w:rsidP="00CF24F0" w:rsidRDefault="00723526" w14:paraId="5654D269" w14:textId="77777777">
            <w:pPr>
              <w:pStyle w:val="Standard"/>
              <w:spacing w:line="240" w:lineRule="auto"/>
              <w:ind w:firstLine="0"/>
              <w:jc w:val="center"/>
              <w:rPr>
                <w:b/>
                <w:szCs w:val="24"/>
              </w:rPr>
            </w:pPr>
            <w:r w:rsidRPr="006D6DC3">
              <w:rPr>
                <w:b/>
                <w:szCs w:val="24"/>
              </w:rPr>
              <w:t>PG&amp;E</w:t>
            </w:r>
          </w:p>
        </w:tc>
        <w:tc>
          <w:tcPr>
            <w:tcW w:w="1620" w:type="dxa"/>
          </w:tcPr>
          <w:p w:rsidRPr="006D6DC3" w:rsidR="00723526" w:rsidP="00CF24F0" w:rsidRDefault="00723526" w14:paraId="0F18F006" w14:textId="2B5583BA">
            <w:pPr>
              <w:pStyle w:val="Standard"/>
              <w:spacing w:line="240" w:lineRule="auto"/>
              <w:ind w:firstLine="0"/>
              <w:jc w:val="center"/>
              <w:rPr>
                <w:b/>
                <w:szCs w:val="24"/>
              </w:rPr>
            </w:pPr>
            <w:r w:rsidRPr="006D6DC3">
              <w:rPr>
                <w:b/>
                <w:szCs w:val="24"/>
              </w:rPr>
              <w:t>SoCalGas</w:t>
            </w:r>
          </w:p>
        </w:tc>
        <w:tc>
          <w:tcPr>
            <w:tcW w:w="1890" w:type="dxa"/>
          </w:tcPr>
          <w:p w:rsidRPr="006D6DC3" w:rsidR="00723526" w:rsidP="00CF24F0" w:rsidRDefault="00723526" w14:paraId="4ABCBC8B" w14:textId="29243FAD">
            <w:pPr>
              <w:pStyle w:val="Standard"/>
              <w:spacing w:line="240" w:lineRule="auto"/>
              <w:ind w:firstLine="0"/>
              <w:jc w:val="center"/>
              <w:rPr>
                <w:b/>
                <w:szCs w:val="24"/>
              </w:rPr>
            </w:pPr>
            <w:r w:rsidRPr="006D6DC3">
              <w:rPr>
                <w:b/>
                <w:szCs w:val="24"/>
              </w:rPr>
              <w:t>SDG&amp;E</w:t>
            </w:r>
          </w:p>
        </w:tc>
        <w:tc>
          <w:tcPr>
            <w:tcW w:w="1895" w:type="dxa"/>
          </w:tcPr>
          <w:p w:rsidRPr="006D6DC3" w:rsidR="00723526" w:rsidP="00CF24F0" w:rsidRDefault="00723526" w14:paraId="4599FA56" w14:textId="77777777">
            <w:pPr>
              <w:pStyle w:val="Standard"/>
              <w:spacing w:line="240" w:lineRule="auto"/>
              <w:ind w:firstLine="0"/>
              <w:jc w:val="center"/>
              <w:rPr>
                <w:b/>
                <w:szCs w:val="24"/>
              </w:rPr>
            </w:pPr>
            <w:r w:rsidRPr="006D6DC3">
              <w:rPr>
                <w:b/>
                <w:szCs w:val="24"/>
              </w:rPr>
              <w:t>SWG</w:t>
            </w:r>
          </w:p>
        </w:tc>
      </w:tr>
      <w:tr w:rsidRPr="006D6DC3" w:rsidR="00723526" w:rsidTr="006D6DC3" w14:paraId="55AF391E" w14:textId="77777777">
        <w:trPr>
          <w:trHeight w:val="233"/>
        </w:trPr>
        <w:tc>
          <w:tcPr>
            <w:tcW w:w="2515" w:type="dxa"/>
          </w:tcPr>
          <w:p w:rsidRPr="006D6DC3" w:rsidR="00723526" w:rsidP="00CF24F0" w:rsidRDefault="00723526" w14:paraId="6D8C984A" w14:textId="77777777">
            <w:pPr>
              <w:pStyle w:val="Standard"/>
              <w:spacing w:line="240" w:lineRule="auto"/>
              <w:ind w:firstLine="0"/>
              <w:rPr>
                <w:szCs w:val="24"/>
              </w:rPr>
            </w:pPr>
            <w:r w:rsidRPr="006D6DC3">
              <w:rPr>
                <w:szCs w:val="24"/>
              </w:rPr>
              <w:t>Allowances</w:t>
            </w:r>
          </w:p>
        </w:tc>
        <w:tc>
          <w:tcPr>
            <w:tcW w:w="1440" w:type="dxa"/>
          </w:tcPr>
          <w:p w:rsidRPr="006D6DC3" w:rsidR="00723526" w:rsidP="00CF24F0" w:rsidRDefault="00723526" w14:paraId="45BB4113" w14:textId="68C37FC2">
            <w:pPr>
              <w:pStyle w:val="Standard"/>
              <w:spacing w:line="240" w:lineRule="auto"/>
              <w:ind w:firstLine="0"/>
              <w:jc w:val="center"/>
              <w:rPr>
                <w:szCs w:val="24"/>
              </w:rPr>
            </w:pPr>
            <w:r w:rsidRPr="006D6DC3">
              <w:rPr>
                <w:szCs w:val="24"/>
              </w:rPr>
              <w:t>$12,030</w:t>
            </w:r>
          </w:p>
        </w:tc>
        <w:tc>
          <w:tcPr>
            <w:tcW w:w="1620" w:type="dxa"/>
          </w:tcPr>
          <w:p w:rsidRPr="006D6DC3" w:rsidR="00723526" w:rsidP="00CF24F0" w:rsidRDefault="00723526" w14:paraId="3BBC48D9" w14:textId="28FEBB93">
            <w:pPr>
              <w:pStyle w:val="Standard"/>
              <w:spacing w:line="240" w:lineRule="auto"/>
              <w:ind w:firstLine="0"/>
              <w:jc w:val="center"/>
              <w:rPr>
                <w:szCs w:val="24"/>
              </w:rPr>
            </w:pPr>
            <w:r w:rsidRPr="006D6DC3">
              <w:rPr>
                <w:szCs w:val="24"/>
              </w:rPr>
              <w:t>$7,058</w:t>
            </w:r>
          </w:p>
        </w:tc>
        <w:tc>
          <w:tcPr>
            <w:tcW w:w="1890" w:type="dxa"/>
          </w:tcPr>
          <w:p w:rsidRPr="006D6DC3" w:rsidR="00723526" w:rsidP="002B30A3" w:rsidRDefault="00723526" w14:paraId="41438998" w14:textId="70EC7EF0">
            <w:pPr>
              <w:pStyle w:val="Standard"/>
              <w:spacing w:line="240" w:lineRule="auto"/>
              <w:ind w:firstLine="0"/>
              <w:jc w:val="center"/>
            </w:pPr>
            <w:r w:rsidRPr="006D6DC3">
              <w:t>Not Provided</w:t>
            </w:r>
          </w:p>
        </w:tc>
        <w:tc>
          <w:tcPr>
            <w:tcW w:w="1895" w:type="dxa"/>
          </w:tcPr>
          <w:p w:rsidRPr="006D6DC3" w:rsidR="00723526" w:rsidP="00CF24F0" w:rsidRDefault="00723526" w14:paraId="5702611D" w14:textId="1B4DDD44">
            <w:pPr>
              <w:pStyle w:val="Standard"/>
              <w:spacing w:line="240" w:lineRule="auto"/>
              <w:ind w:firstLine="0"/>
              <w:jc w:val="center"/>
              <w:rPr>
                <w:szCs w:val="24"/>
              </w:rPr>
            </w:pPr>
            <w:r w:rsidRPr="006D6DC3">
              <w:rPr>
                <w:szCs w:val="24"/>
              </w:rPr>
              <w:t xml:space="preserve">$107,228 </w:t>
            </w:r>
          </w:p>
        </w:tc>
      </w:tr>
      <w:tr w:rsidRPr="006D6DC3" w:rsidR="00723526" w:rsidTr="006D6DC3" w14:paraId="19406F0B" w14:textId="77777777">
        <w:trPr>
          <w:trHeight w:val="233"/>
        </w:trPr>
        <w:tc>
          <w:tcPr>
            <w:tcW w:w="2515" w:type="dxa"/>
          </w:tcPr>
          <w:p w:rsidRPr="006D6DC3" w:rsidR="00723526" w:rsidP="00F30770" w:rsidRDefault="00723526" w14:paraId="3E2F0BF1" w14:textId="791547B3">
            <w:pPr>
              <w:pStyle w:val="Standard"/>
              <w:keepNext/>
              <w:spacing w:line="240" w:lineRule="auto"/>
              <w:ind w:firstLine="0"/>
              <w:rPr>
                <w:szCs w:val="24"/>
              </w:rPr>
            </w:pPr>
            <w:r w:rsidRPr="006D6DC3">
              <w:rPr>
                <w:szCs w:val="24"/>
              </w:rPr>
              <w:t>Refunds</w:t>
            </w:r>
            <w:r w:rsidRPr="006D6DC3" w:rsidDel="00A42951">
              <w:rPr>
                <w:szCs w:val="24"/>
              </w:rPr>
              <w:t xml:space="preserve"> </w:t>
            </w:r>
          </w:p>
        </w:tc>
        <w:tc>
          <w:tcPr>
            <w:tcW w:w="1440" w:type="dxa"/>
          </w:tcPr>
          <w:p w:rsidRPr="006D6DC3" w:rsidR="00723526" w:rsidP="00F30770" w:rsidRDefault="00723526" w14:paraId="2DE9E070" w14:textId="4C4C7591">
            <w:pPr>
              <w:pStyle w:val="Standard"/>
              <w:keepNext/>
              <w:spacing w:line="240" w:lineRule="auto"/>
              <w:ind w:firstLine="0"/>
              <w:jc w:val="center"/>
              <w:rPr>
                <w:szCs w:val="24"/>
              </w:rPr>
            </w:pPr>
            <w:r w:rsidRPr="006D6DC3">
              <w:rPr>
                <w:szCs w:val="24"/>
              </w:rPr>
              <w:t xml:space="preserve">$490 </w:t>
            </w:r>
          </w:p>
        </w:tc>
        <w:tc>
          <w:tcPr>
            <w:tcW w:w="1620" w:type="dxa"/>
          </w:tcPr>
          <w:p w:rsidRPr="006D6DC3" w:rsidR="00723526" w:rsidP="00F30770" w:rsidRDefault="00723526" w14:paraId="0053F1E6" w14:textId="5ED70901">
            <w:pPr>
              <w:pStyle w:val="Standard"/>
              <w:keepNext/>
              <w:spacing w:line="240" w:lineRule="auto"/>
              <w:ind w:firstLine="0"/>
              <w:jc w:val="center"/>
              <w:rPr>
                <w:szCs w:val="24"/>
              </w:rPr>
            </w:pPr>
            <w:r w:rsidRPr="006D6DC3">
              <w:rPr>
                <w:szCs w:val="24"/>
              </w:rPr>
              <w:t xml:space="preserve">$0 </w:t>
            </w:r>
          </w:p>
        </w:tc>
        <w:tc>
          <w:tcPr>
            <w:tcW w:w="1890" w:type="dxa"/>
          </w:tcPr>
          <w:p w:rsidRPr="006D6DC3" w:rsidR="00723526" w:rsidP="00F30770" w:rsidRDefault="00723526" w14:paraId="2F73A36D" w14:textId="3ACC22B3">
            <w:pPr>
              <w:pStyle w:val="Standard"/>
              <w:keepNext/>
              <w:spacing w:line="240" w:lineRule="auto"/>
              <w:ind w:firstLine="0"/>
              <w:jc w:val="center"/>
              <w:rPr>
                <w:szCs w:val="24"/>
              </w:rPr>
            </w:pPr>
            <w:r w:rsidRPr="006D6DC3">
              <w:rPr>
                <w:szCs w:val="24"/>
              </w:rPr>
              <w:t>$9,056</w:t>
            </w:r>
          </w:p>
        </w:tc>
        <w:tc>
          <w:tcPr>
            <w:tcW w:w="1895" w:type="dxa"/>
          </w:tcPr>
          <w:p w:rsidRPr="006D6DC3" w:rsidR="00723526" w:rsidP="00F30770" w:rsidRDefault="00723526" w14:paraId="02516026" w14:textId="1A0D9F1F">
            <w:pPr>
              <w:pStyle w:val="Standard"/>
              <w:keepNext/>
              <w:spacing w:line="240" w:lineRule="auto"/>
              <w:ind w:firstLine="0"/>
              <w:jc w:val="center"/>
              <w:rPr>
                <w:szCs w:val="24"/>
              </w:rPr>
            </w:pPr>
            <w:r w:rsidRPr="006D6DC3">
              <w:t>Not Provided</w:t>
            </w:r>
          </w:p>
        </w:tc>
      </w:tr>
      <w:tr w:rsidRPr="006D6DC3" w:rsidR="00723526" w:rsidTr="006D6DC3" w14:paraId="17969E2B" w14:textId="77777777">
        <w:trPr>
          <w:trHeight w:val="224"/>
        </w:trPr>
        <w:tc>
          <w:tcPr>
            <w:tcW w:w="2515" w:type="dxa"/>
          </w:tcPr>
          <w:p w:rsidRPr="006D6DC3" w:rsidR="00723526" w:rsidP="00CF24F0" w:rsidRDefault="00723526" w14:paraId="57F0B204" w14:textId="406CA57F">
            <w:pPr>
              <w:pStyle w:val="Standard"/>
              <w:spacing w:line="240" w:lineRule="auto"/>
              <w:ind w:firstLine="0"/>
              <w:rPr>
                <w:szCs w:val="24"/>
              </w:rPr>
            </w:pPr>
            <w:r w:rsidRPr="006D6DC3">
              <w:rPr>
                <w:szCs w:val="24"/>
              </w:rPr>
              <w:t xml:space="preserve">Discounts </w:t>
            </w:r>
          </w:p>
        </w:tc>
        <w:tc>
          <w:tcPr>
            <w:tcW w:w="1440" w:type="dxa"/>
          </w:tcPr>
          <w:p w:rsidRPr="006D6DC3" w:rsidR="00723526" w:rsidP="00CF24F0" w:rsidRDefault="00723526" w14:paraId="47EA260F" w14:textId="705B416C">
            <w:pPr>
              <w:pStyle w:val="Standard"/>
              <w:spacing w:line="240" w:lineRule="auto"/>
              <w:ind w:firstLine="0"/>
              <w:jc w:val="center"/>
              <w:rPr>
                <w:szCs w:val="24"/>
              </w:rPr>
            </w:pPr>
            <w:r w:rsidRPr="006D6DC3">
              <w:rPr>
                <w:szCs w:val="24"/>
              </w:rPr>
              <w:t>$8,702</w:t>
            </w:r>
          </w:p>
        </w:tc>
        <w:tc>
          <w:tcPr>
            <w:tcW w:w="1620" w:type="dxa"/>
          </w:tcPr>
          <w:p w:rsidRPr="006D6DC3" w:rsidR="00723526" w:rsidP="00CF24F0" w:rsidRDefault="00723526" w14:paraId="7CC2E8C9" w14:textId="3127A337">
            <w:pPr>
              <w:pStyle w:val="Standard"/>
              <w:spacing w:line="240" w:lineRule="auto"/>
              <w:ind w:firstLine="0"/>
              <w:jc w:val="center"/>
              <w:rPr>
                <w:szCs w:val="24"/>
              </w:rPr>
            </w:pPr>
            <w:r w:rsidRPr="006D6DC3">
              <w:rPr>
                <w:szCs w:val="24"/>
              </w:rPr>
              <w:t xml:space="preserve">$74 </w:t>
            </w:r>
          </w:p>
        </w:tc>
        <w:tc>
          <w:tcPr>
            <w:tcW w:w="1890" w:type="dxa"/>
          </w:tcPr>
          <w:p w:rsidRPr="006D6DC3" w:rsidR="00723526" w:rsidP="00CF24F0" w:rsidRDefault="002F5AD0" w14:paraId="5C6950F7" w14:textId="210FCD8F">
            <w:pPr>
              <w:pStyle w:val="Standard"/>
              <w:spacing w:line="240" w:lineRule="auto"/>
              <w:ind w:firstLine="0"/>
              <w:jc w:val="center"/>
              <w:rPr>
                <w:szCs w:val="24"/>
              </w:rPr>
            </w:pPr>
            <w:r w:rsidRPr="006D6DC3">
              <w:t>Not Provided</w:t>
            </w:r>
          </w:p>
        </w:tc>
        <w:tc>
          <w:tcPr>
            <w:tcW w:w="1895" w:type="dxa"/>
          </w:tcPr>
          <w:p w:rsidRPr="006D6DC3" w:rsidR="00723526" w:rsidP="00CF24F0" w:rsidRDefault="00723526" w14:paraId="4F540DF0" w14:textId="37B795B5">
            <w:pPr>
              <w:pStyle w:val="Standard"/>
              <w:spacing w:line="240" w:lineRule="auto"/>
              <w:ind w:firstLine="0"/>
              <w:jc w:val="center"/>
              <w:rPr>
                <w:szCs w:val="24"/>
              </w:rPr>
            </w:pPr>
            <w:r w:rsidRPr="006D6DC3">
              <w:rPr>
                <w:szCs w:val="24"/>
              </w:rPr>
              <w:t xml:space="preserve">$4,418 </w:t>
            </w:r>
          </w:p>
        </w:tc>
      </w:tr>
    </w:tbl>
    <w:p w:rsidR="00104088" w:rsidP="00F30770" w:rsidRDefault="001847B3" w14:paraId="40E974D6" w14:textId="6FA5A1FE">
      <w:pPr>
        <w:pStyle w:val="standard0"/>
        <w:spacing w:before="180"/>
      </w:pPr>
      <w:r w:rsidRPr="00F30770">
        <w:t>Although</w:t>
      </w:r>
      <w:r w:rsidRPr="00FB3A32">
        <w:t xml:space="preserve"> these average</w:t>
      </w:r>
      <w:r w:rsidR="005227E3">
        <w:t xml:space="preserve"> subsidie</w:t>
      </w:r>
      <w:r w:rsidRPr="00FB3A32">
        <w:t xml:space="preserve">s are </w:t>
      </w:r>
      <w:r>
        <w:t xml:space="preserve">not </w:t>
      </w:r>
      <w:r w:rsidRPr="00FB3A32">
        <w:t xml:space="preserve">identified by project type, </w:t>
      </w:r>
      <w:r w:rsidR="00CB4F96">
        <w:t xml:space="preserve">we note that </w:t>
      </w:r>
      <w:r w:rsidR="002A7DCA">
        <w:t>they</w:t>
      </w:r>
      <w:r w:rsidR="000730D9">
        <w:t xml:space="preserve"> are </w:t>
      </w:r>
      <w:r w:rsidR="00B448D6">
        <w:t>far</w:t>
      </w:r>
      <w:r w:rsidR="00C41C1C">
        <w:t xml:space="preserve"> </w:t>
      </w:r>
      <w:r w:rsidR="004C6E8A">
        <w:t>below</w:t>
      </w:r>
      <w:r w:rsidR="00DF438D">
        <w:t xml:space="preserve"> </w:t>
      </w:r>
      <w:r w:rsidR="000730D9">
        <w:t xml:space="preserve">the </w:t>
      </w:r>
      <w:r w:rsidR="000307F3">
        <w:t xml:space="preserve">CNG </w:t>
      </w:r>
      <w:r w:rsidR="00772DDC">
        <w:t xml:space="preserve">gas line extension </w:t>
      </w:r>
      <w:r w:rsidR="006E7558">
        <w:t>estimate</w:t>
      </w:r>
      <w:r w:rsidR="005227E3">
        <w:t xml:space="preserve"> </w:t>
      </w:r>
      <w:r w:rsidR="006B3FF8">
        <w:t>of $400,000 to $500,00</w:t>
      </w:r>
      <w:r w:rsidR="00904A5C">
        <w:rPr>
          <w:rStyle w:val="FootnoteReference"/>
        </w:rPr>
        <w:footnoteReference w:id="106"/>
      </w:r>
      <w:r w:rsidR="00AB05D0">
        <w:t xml:space="preserve"> </w:t>
      </w:r>
      <w:r w:rsidR="006B3FF8">
        <w:t xml:space="preserve">provided by </w:t>
      </w:r>
      <w:r w:rsidR="000730D9">
        <w:t>Clean Energy</w:t>
      </w:r>
      <w:r w:rsidR="00927C1C">
        <w:t>.</w:t>
      </w:r>
      <w:r w:rsidR="006B6459">
        <w:t xml:space="preserve"> </w:t>
      </w:r>
      <w:r w:rsidR="00E51AFE">
        <w:t>Given the a</w:t>
      </w:r>
      <w:r w:rsidR="00B06ADB">
        <w:t xml:space="preserve">bsence of </w:t>
      </w:r>
      <w:r w:rsidR="005736EE">
        <w:t xml:space="preserve">sufficient information </w:t>
      </w:r>
      <w:r w:rsidR="00A71567">
        <w:t>to support</w:t>
      </w:r>
      <w:r w:rsidR="00C62104">
        <w:t xml:space="preserve"> </w:t>
      </w:r>
      <w:r w:rsidR="001C6F7E">
        <w:t>Clean Energy</w:t>
      </w:r>
      <w:r w:rsidR="00A71567">
        <w:t>’s claim</w:t>
      </w:r>
      <w:r w:rsidR="001C6F7E">
        <w:t xml:space="preserve">, </w:t>
      </w:r>
      <w:r w:rsidR="006F7D28">
        <w:t xml:space="preserve">and </w:t>
      </w:r>
      <w:r w:rsidR="009A678A">
        <w:t xml:space="preserve">based on </w:t>
      </w:r>
      <w:r w:rsidR="001C6F7E">
        <w:t>the gas IOUs</w:t>
      </w:r>
      <w:r w:rsidR="004E7616">
        <w:t xml:space="preserve">’ </w:t>
      </w:r>
      <w:r w:rsidR="00B022E9">
        <w:t xml:space="preserve">2021 </w:t>
      </w:r>
      <w:r w:rsidR="004E7616">
        <w:t>average subsidies</w:t>
      </w:r>
      <w:r w:rsidR="00B022E9">
        <w:t xml:space="preserve"> as shown above</w:t>
      </w:r>
      <w:r w:rsidR="004E7616">
        <w:t>, the Commission is not convinced</w:t>
      </w:r>
      <w:r w:rsidR="002C767F">
        <w:t xml:space="preserve"> by the speculative argument</w:t>
      </w:r>
      <w:r w:rsidR="005960BA">
        <w:t xml:space="preserve"> that </w:t>
      </w:r>
      <w:r w:rsidR="00B022E9">
        <w:t>eliminating the gas line subsidies for non</w:t>
      </w:r>
      <w:r w:rsidR="00513B3F">
        <w:noBreakHyphen/>
      </w:r>
      <w:r w:rsidR="00B022E9">
        <w:t>residential project</w:t>
      </w:r>
      <w:r w:rsidR="00705194">
        <w:t xml:space="preserve"> </w:t>
      </w:r>
      <w:r w:rsidRPr="00FB3C86" w:rsidR="001124BB">
        <w:t xml:space="preserve">could be the sole reason that a new project </w:t>
      </w:r>
      <w:r w:rsidR="009D5E37">
        <w:t xml:space="preserve">will </w:t>
      </w:r>
      <w:r w:rsidRPr="00FB3C86" w:rsidR="001124BB">
        <w:t xml:space="preserve">not </w:t>
      </w:r>
      <w:r w:rsidR="009D5E37">
        <w:t>be</w:t>
      </w:r>
      <w:r w:rsidRPr="00FB3C86" w:rsidR="001124BB">
        <w:t xml:space="preserve"> built.</w:t>
      </w:r>
    </w:p>
    <w:p w:rsidR="00B0482C" w:rsidP="00B55E6D" w:rsidRDefault="00726C1F" w14:paraId="0EDE2C9D" w14:textId="7AAFCB84">
      <w:pPr>
        <w:pStyle w:val="standard0"/>
      </w:pPr>
      <w:r w:rsidRPr="000C3BD8">
        <w:lastRenderedPageBreak/>
        <w:t>W</w:t>
      </w:r>
      <w:r w:rsidRPr="000C3BD8" w:rsidR="00F6083A">
        <w:t xml:space="preserve">hile this analysis suggests that the </w:t>
      </w:r>
      <w:r w:rsidRPr="000C3BD8">
        <w:t>average</w:t>
      </w:r>
      <w:r w:rsidRPr="000C3BD8" w:rsidR="00F6083A">
        <w:t xml:space="preserve"> </w:t>
      </w:r>
      <w:r w:rsidRPr="000C3BD8" w:rsidR="00E74917">
        <w:t>subsid</w:t>
      </w:r>
      <w:r w:rsidR="00DB5A74">
        <w:t>ies</w:t>
      </w:r>
      <w:r w:rsidRPr="000C3BD8" w:rsidR="00E74917">
        <w:t xml:space="preserve"> </w:t>
      </w:r>
      <w:r w:rsidR="00461C0F">
        <w:t>may</w:t>
      </w:r>
      <w:r w:rsidRPr="000C3BD8" w:rsidR="00F6083A">
        <w:t xml:space="preserve"> </w:t>
      </w:r>
      <w:r w:rsidR="00C37893">
        <w:t>be</w:t>
      </w:r>
      <w:r w:rsidRPr="000C3BD8" w:rsidR="00F6083A">
        <w:t xml:space="preserve"> small compared to the overall project costs, </w:t>
      </w:r>
      <w:r w:rsidRPr="000C3BD8">
        <w:t xml:space="preserve">we acknowledge that there may be some </w:t>
      </w:r>
      <w:r w:rsidR="008E17B2">
        <w:t>CNG/RNG/</w:t>
      </w:r>
      <w:r w:rsidR="002C767F">
        <w:t xml:space="preserve">hydrogen </w:t>
      </w:r>
      <w:r w:rsidRPr="000C3BD8">
        <w:t xml:space="preserve">projects </w:t>
      </w:r>
      <w:r w:rsidR="001C29D4">
        <w:t xml:space="preserve">at the margin </w:t>
      </w:r>
      <w:r w:rsidRPr="000C3BD8">
        <w:t xml:space="preserve">where the subsidy </w:t>
      </w:r>
      <w:r w:rsidR="00AC5272">
        <w:t xml:space="preserve">makes </w:t>
      </w:r>
      <w:r w:rsidRPr="000C3BD8">
        <w:t>up a larger portion</w:t>
      </w:r>
      <w:r w:rsidR="00B64BC9">
        <w:t xml:space="preserve"> of total project costs</w:t>
      </w:r>
      <w:r w:rsidRPr="000C3BD8">
        <w:t xml:space="preserve">. However, </w:t>
      </w:r>
      <w:r w:rsidR="00EF2A9E">
        <w:t xml:space="preserve">no compelling evidence </w:t>
      </w:r>
      <w:r w:rsidR="003F0734">
        <w:t xml:space="preserve">demonstrates </w:t>
      </w:r>
      <w:r w:rsidRPr="000C3BD8" w:rsidR="00F6083A">
        <w:t xml:space="preserve">that </w:t>
      </w:r>
      <w:r w:rsidR="003F0734">
        <w:t xml:space="preserve">the gas line </w:t>
      </w:r>
      <w:r w:rsidRPr="000C3BD8" w:rsidR="00F6083A">
        <w:t>subsidies are actually necessary</w:t>
      </w:r>
      <w:r w:rsidRPr="000C3BD8" w:rsidR="000C3BD8">
        <w:t xml:space="preserve">, or are the tipping point, </w:t>
      </w:r>
      <w:r w:rsidRPr="000C3BD8" w:rsidR="00F6083A">
        <w:t xml:space="preserve">to encourage these larger customers to make the </w:t>
      </w:r>
      <w:r w:rsidRPr="000C3BD8" w:rsidR="007F541D">
        <w:t xml:space="preserve">“cleaner” </w:t>
      </w:r>
      <w:r w:rsidRPr="000C3BD8" w:rsidR="00F6083A">
        <w:t xml:space="preserve">gas </w:t>
      </w:r>
      <w:r w:rsidRPr="000C3BD8" w:rsidR="007F541D">
        <w:t>investments</w:t>
      </w:r>
      <w:r w:rsidRPr="000C3BD8" w:rsidR="00E74917">
        <w:t>.</w:t>
      </w:r>
      <w:r w:rsidRPr="000C3BD8" w:rsidR="000C3BD8">
        <w:t xml:space="preserve"> </w:t>
      </w:r>
      <w:r w:rsidR="0009031E">
        <w:t>Rather, many factors are involved in</w:t>
      </w:r>
      <w:r w:rsidR="00A536C2">
        <w:t xml:space="preserve"> a developer deciding to develop or not develop a project. </w:t>
      </w:r>
      <w:r w:rsidR="006B1448">
        <w:t xml:space="preserve">While we </w:t>
      </w:r>
      <w:r w:rsidR="008D0B99">
        <w:t xml:space="preserve">understand </w:t>
      </w:r>
      <w:r w:rsidRPr="000C3BD8" w:rsidR="007A2D63">
        <w:t xml:space="preserve">that the elimination of these subsidies would make </w:t>
      </w:r>
      <w:r w:rsidR="0067286E">
        <w:t>some</w:t>
      </w:r>
      <w:r w:rsidRPr="000C3BD8" w:rsidR="007A2D63">
        <w:t xml:space="preserve"> projects more expensive, </w:t>
      </w:r>
      <w:r w:rsidR="005C4BC1">
        <w:t xml:space="preserve">simply pointing this out does not </w:t>
      </w:r>
      <w:r w:rsidR="00E1435D">
        <w:t>prove it is the driving</w:t>
      </w:r>
      <w:r w:rsidR="00DC0561">
        <w:t xml:space="preserve"> or controlling factor in </w:t>
      </w:r>
      <w:r w:rsidR="00904A0B">
        <w:t xml:space="preserve">a </w:t>
      </w:r>
      <w:r w:rsidR="00DC0561">
        <w:t>decision</w:t>
      </w:r>
      <w:r w:rsidR="00904A0B">
        <w:t xml:space="preserve">, and </w:t>
      </w:r>
      <w:r w:rsidR="000A1A83">
        <w:t xml:space="preserve">we </w:t>
      </w:r>
      <w:r w:rsidRPr="000C3BD8" w:rsidR="007A2D63">
        <w:t>are no</w:t>
      </w:r>
      <w:r w:rsidR="00030F15">
        <w:t>t</w:t>
      </w:r>
      <w:r w:rsidRPr="000C3BD8" w:rsidR="007A2D63">
        <w:t xml:space="preserve"> convinced</w:t>
      </w:r>
      <w:r w:rsidR="00EF543A">
        <w:t>, absent</w:t>
      </w:r>
      <w:r w:rsidR="00EF1A30">
        <w:t xml:space="preserve"> specific evidence or examples</w:t>
      </w:r>
      <w:r w:rsidR="000B44F3">
        <w:t xml:space="preserve"> of representative projects</w:t>
      </w:r>
      <w:r w:rsidR="00EF1A30">
        <w:t>,</w:t>
      </w:r>
      <w:r w:rsidRPr="000C3BD8" w:rsidR="007A2D63">
        <w:t xml:space="preserve"> that it is a </w:t>
      </w:r>
      <w:r w:rsidR="00B47E85">
        <w:t xml:space="preserve">significant </w:t>
      </w:r>
      <w:r w:rsidRPr="000C3BD8" w:rsidR="007A2D63">
        <w:t>enough change to halt such projects altogether</w:t>
      </w:r>
      <w:r w:rsidR="001457CD">
        <w:t xml:space="preserve">. </w:t>
      </w:r>
      <w:r w:rsidRPr="000C033E" w:rsidR="001457CD">
        <w:t xml:space="preserve">This is especially true </w:t>
      </w:r>
      <w:r w:rsidRPr="00C7042D" w:rsidR="00B14CE5">
        <w:t xml:space="preserve">given that there are existing </w:t>
      </w:r>
      <w:r w:rsidRPr="00C7042D" w:rsidR="006D1CDA">
        <w:t>subsidies</w:t>
      </w:r>
      <w:r w:rsidRPr="00C7042D" w:rsidR="00B14CE5">
        <w:t xml:space="preserve"> and programs that</w:t>
      </w:r>
      <w:r w:rsidRPr="00C7042D" w:rsidR="006D1CDA">
        <w:t xml:space="preserve"> offer incentives</w:t>
      </w:r>
      <w:r w:rsidRPr="00F701BF" w:rsidR="00572BEC">
        <w:t xml:space="preserve"> </w:t>
      </w:r>
      <w:r w:rsidRPr="00F701BF" w:rsidR="00D83C30">
        <w:t xml:space="preserve">for </w:t>
      </w:r>
      <w:r w:rsidR="003407BD">
        <w:t xml:space="preserve">the development of </w:t>
      </w:r>
      <w:r w:rsidRPr="00F701BF" w:rsidR="00D83C30">
        <w:t>alternative fuels, including $40</w:t>
      </w:r>
      <w:r w:rsidR="00513B3F">
        <w:t> </w:t>
      </w:r>
      <w:r w:rsidR="00BF7312">
        <w:t>million</w:t>
      </w:r>
      <w:r w:rsidRPr="00F701BF" w:rsidR="00D83C30">
        <w:t xml:space="preserve"> for</w:t>
      </w:r>
      <w:r w:rsidRPr="00F701BF" w:rsidR="00554E46">
        <w:t xml:space="preserve"> bio</w:t>
      </w:r>
      <w:r w:rsidR="00513B3F">
        <w:noBreakHyphen/>
      </w:r>
      <w:r w:rsidRPr="00F701BF" w:rsidR="00554E46">
        <w:t>SNG</w:t>
      </w:r>
      <w:r w:rsidRPr="00F701BF" w:rsidR="00D83C30">
        <w:t xml:space="preserve"> </w:t>
      </w:r>
      <w:r w:rsidR="000A54D6">
        <w:t>(</w:t>
      </w:r>
      <w:r w:rsidR="00D5593B">
        <w:t xml:space="preserve">synthetic </w:t>
      </w:r>
      <w:r w:rsidR="000A54D6">
        <w:t>natural gas)</w:t>
      </w:r>
      <w:r w:rsidRPr="00F701BF" w:rsidR="00D83C30">
        <w:t xml:space="preserve"> incentives that was authorized in</w:t>
      </w:r>
      <w:r w:rsidRPr="00F701BF" w:rsidR="00CF59A1">
        <w:t xml:space="preserve"> D.22</w:t>
      </w:r>
      <w:r w:rsidR="00513B3F">
        <w:noBreakHyphen/>
      </w:r>
      <w:r w:rsidRPr="00F701BF" w:rsidR="00CF59A1">
        <w:t>02</w:t>
      </w:r>
      <w:r w:rsidR="00513B3F">
        <w:noBreakHyphen/>
      </w:r>
      <w:r w:rsidRPr="00F701BF" w:rsidR="008D2911">
        <w:t>025.</w:t>
      </w:r>
      <w:r w:rsidRPr="00F701BF" w:rsidR="00A77CCC">
        <w:rPr>
          <w:rStyle w:val="FootnoteReference"/>
        </w:rPr>
        <w:footnoteReference w:id="107"/>
      </w:r>
      <w:r w:rsidRPr="00F701BF" w:rsidR="00EF1A30">
        <w:rPr>
          <w:szCs w:val="26"/>
        </w:rPr>
        <w:t xml:space="preserve">  </w:t>
      </w:r>
    </w:p>
    <w:p w:rsidR="001E24E4" w:rsidP="000732E4" w:rsidRDefault="0029654A" w14:paraId="7DE47E33" w14:textId="3A9FAF57">
      <w:pPr>
        <w:autoSpaceDE w:val="0"/>
        <w:autoSpaceDN w:val="0"/>
        <w:adjustRightInd w:val="0"/>
        <w:spacing w:line="360" w:lineRule="auto"/>
        <w:ind w:firstLine="720"/>
      </w:pPr>
      <w:r>
        <w:t xml:space="preserve">The Commission </w:t>
      </w:r>
      <w:r w:rsidR="00C05199">
        <w:t>also d</w:t>
      </w:r>
      <w:r>
        <w:t>is</w:t>
      </w:r>
      <w:r w:rsidR="00031F6E">
        <w:t>agree</w:t>
      </w:r>
      <w:r>
        <w:t>s</w:t>
      </w:r>
      <w:r w:rsidR="00031F6E">
        <w:t xml:space="preserve"> </w:t>
      </w:r>
      <w:r w:rsidR="00776FF6">
        <w:t>with Clean Energy</w:t>
      </w:r>
      <w:r w:rsidR="00031F6E">
        <w:t xml:space="preserve"> </w:t>
      </w:r>
      <w:r w:rsidR="003F4E31">
        <w:t>th</w:t>
      </w:r>
      <w:r w:rsidR="009346F8">
        <w:t xml:space="preserve">at by making these projects more expensive, we are </w:t>
      </w:r>
      <w:r w:rsidRPr="00DC7339" w:rsidR="00DE66C9">
        <w:t>decelerat</w:t>
      </w:r>
      <w:r w:rsidR="009346F8">
        <w:t>ing</w:t>
      </w:r>
      <w:r w:rsidR="00031F6E">
        <w:t xml:space="preserve"> </w:t>
      </w:r>
      <w:r w:rsidR="00226AF9">
        <w:t xml:space="preserve">the move towards </w:t>
      </w:r>
      <w:r>
        <w:t xml:space="preserve">the </w:t>
      </w:r>
      <w:r w:rsidR="004908E8">
        <w:t xml:space="preserve">use of </w:t>
      </w:r>
      <w:r w:rsidRPr="00DC7339" w:rsidR="00DE66C9">
        <w:t xml:space="preserve">cleaner </w:t>
      </w:r>
      <w:r w:rsidR="004908E8">
        <w:t>fuels</w:t>
      </w:r>
      <w:r w:rsidRPr="00DC7339" w:rsidR="004908E8">
        <w:t xml:space="preserve"> </w:t>
      </w:r>
      <w:r w:rsidRPr="00DC7339" w:rsidR="00DE66C9">
        <w:t>in the transportation/mobility sector that would otherwise reduce GHG emissions and help displace SLCP</w:t>
      </w:r>
      <w:r w:rsidR="003D2561">
        <w:t>s</w:t>
      </w:r>
      <w:r w:rsidR="00226AF9">
        <w:t xml:space="preserve">. </w:t>
      </w:r>
      <w:r w:rsidR="00C27056">
        <w:t xml:space="preserve">Many factors affect the </w:t>
      </w:r>
      <w:r w:rsidR="007168D3">
        <w:t>use of alternative fuel</w:t>
      </w:r>
      <w:r w:rsidR="002B047A">
        <w:t>s</w:t>
      </w:r>
      <w:r w:rsidR="007168D3">
        <w:t xml:space="preserve"> in </w:t>
      </w:r>
      <w:r w:rsidR="003E1A16">
        <w:t>transportation</w:t>
      </w:r>
      <w:r w:rsidR="007031EC">
        <w:t>,</w:t>
      </w:r>
      <w:r w:rsidR="003E1A16">
        <w:t xml:space="preserve"> such as </w:t>
      </w:r>
      <w:r w:rsidR="002B047A">
        <w:t>technology</w:t>
      </w:r>
      <w:r w:rsidR="00887EE5">
        <w:t xml:space="preserve"> and state </w:t>
      </w:r>
      <w:r w:rsidR="007031EC">
        <w:t>policy</w:t>
      </w:r>
      <w:r w:rsidR="00887EE5">
        <w:t>.</w:t>
      </w:r>
      <w:r w:rsidR="002B047A">
        <w:t xml:space="preserve"> </w:t>
      </w:r>
      <w:r w:rsidR="008273B4">
        <w:t xml:space="preserve">As </w:t>
      </w:r>
      <w:r w:rsidR="00A47704">
        <w:t>discussed above, g</w:t>
      </w:r>
      <w:r w:rsidR="004435AA">
        <w:t>as line subsidies</w:t>
      </w:r>
      <w:r w:rsidR="00A47704">
        <w:t xml:space="preserve"> </w:t>
      </w:r>
      <w:r w:rsidR="00B92A3C">
        <w:t xml:space="preserve">date back </w:t>
      </w:r>
      <w:r w:rsidR="00990CFB">
        <w:t>to the</w:t>
      </w:r>
      <w:r w:rsidR="00224AB4">
        <w:t xml:space="preserve"> 1970s and the current rules on gas line subsidies </w:t>
      </w:r>
      <w:r w:rsidR="00280489">
        <w:t xml:space="preserve">were adopted </w:t>
      </w:r>
      <w:r w:rsidR="005844DF">
        <w:t>in 2007</w:t>
      </w:r>
      <w:r w:rsidR="00B86E63">
        <w:t>. Yet,</w:t>
      </w:r>
      <w:r w:rsidR="00FE1C53">
        <w:t xml:space="preserve"> </w:t>
      </w:r>
      <w:r w:rsidR="00782808">
        <w:t xml:space="preserve">Clean Energy’s data shows that </w:t>
      </w:r>
      <w:r w:rsidR="00FE1C53">
        <w:t xml:space="preserve">only </w:t>
      </w:r>
      <w:r w:rsidR="00FE1C53">
        <w:lastRenderedPageBreak/>
        <w:t>3</w:t>
      </w:r>
      <w:r w:rsidR="0021555A">
        <w:t> percent</w:t>
      </w:r>
      <w:r w:rsidR="00A226F8">
        <w:t xml:space="preserve"> of </w:t>
      </w:r>
      <w:r w:rsidR="0013328D">
        <w:t xml:space="preserve">trucks in </w:t>
      </w:r>
      <w:r w:rsidR="00A226F8">
        <w:t xml:space="preserve">large fleets </w:t>
      </w:r>
      <w:r w:rsidR="0013328D">
        <w:t xml:space="preserve">are </w:t>
      </w:r>
      <w:r w:rsidR="00B84731">
        <w:t>powered</w:t>
      </w:r>
      <w:r w:rsidR="00860840">
        <w:t xml:space="preserve"> by natural gas</w:t>
      </w:r>
      <w:r w:rsidR="00B84731">
        <w:t>,</w:t>
      </w:r>
      <w:r w:rsidR="00782808">
        <w:t xml:space="preserve"> and 0.01</w:t>
      </w:r>
      <w:r w:rsidR="0021555A">
        <w:t> percent</w:t>
      </w:r>
      <w:r w:rsidR="002B0AFD">
        <w:t xml:space="preserve"> </w:t>
      </w:r>
      <w:r w:rsidR="00B84731">
        <w:t xml:space="preserve">are </w:t>
      </w:r>
      <w:r w:rsidR="002B0AFD">
        <w:t>powered by hydrogen</w:t>
      </w:r>
      <w:r w:rsidR="00520F28">
        <w:t>.</w:t>
      </w:r>
      <w:r w:rsidR="00B53380">
        <w:rPr>
          <w:rStyle w:val="FootnoteReference"/>
        </w:rPr>
        <w:footnoteReference w:id="108"/>
      </w:r>
      <w:r w:rsidR="007D7824">
        <w:t xml:space="preserve"> </w:t>
      </w:r>
    </w:p>
    <w:p w:rsidR="00356CEE" w:rsidP="000732E4" w:rsidRDefault="00381F45" w14:paraId="2D732101" w14:textId="3F723CEC">
      <w:pPr>
        <w:autoSpaceDE w:val="0"/>
        <w:autoSpaceDN w:val="0"/>
        <w:adjustRightInd w:val="0"/>
        <w:spacing w:line="360" w:lineRule="auto"/>
        <w:ind w:firstLine="720"/>
      </w:pPr>
      <w:r>
        <w:t>Although we</w:t>
      </w:r>
      <w:r w:rsidR="00FD32B2">
        <w:t xml:space="preserve"> agree with Clean Energy that t</w:t>
      </w:r>
      <w:r w:rsidR="00226AF9">
        <w:t>he use of</w:t>
      </w:r>
      <w:r w:rsidRPr="00DC7339" w:rsidR="00DE66C9">
        <w:t xml:space="preserve"> CNG/</w:t>
      </w:r>
      <w:r w:rsidR="0023236D">
        <w:t>RNG/</w:t>
      </w:r>
      <w:r w:rsidR="007641DA">
        <w:t xml:space="preserve"> </w:t>
      </w:r>
      <w:r w:rsidR="0023236D">
        <w:t>hydrogen</w:t>
      </w:r>
      <w:r w:rsidRPr="00DC7339" w:rsidR="00DE66C9">
        <w:t xml:space="preserve"> is </w:t>
      </w:r>
      <w:r w:rsidR="00377C3D">
        <w:t xml:space="preserve">a preferred </w:t>
      </w:r>
      <w:r w:rsidR="00BB4EC0">
        <w:t>option</w:t>
      </w:r>
      <w:r w:rsidR="00377C3D">
        <w:t xml:space="preserve"> </w:t>
      </w:r>
      <w:r w:rsidR="00BB4EC0">
        <w:t>over</w:t>
      </w:r>
      <w:r w:rsidR="00377C3D">
        <w:t xml:space="preserve"> </w:t>
      </w:r>
      <w:r w:rsidRPr="00DC7339" w:rsidR="00DE66C9">
        <w:t>diesel</w:t>
      </w:r>
      <w:r w:rsidR="00377C3D">
        <w:t xml:space="preserve"> and other “dirtier” fuel</w:t>
      </w:r>
      <w:r w:rsidR="00BB4EC0">
        <w:t>s</w:t>
      </w:r>
      <w:r w:rsidR="00AC468A">
        <w:t xml:space="preserve"> during a transition </w:t>
      </w:r>
      <w:r w:rsidR="001D3B27">
        <w:t>to full electrification</w:t>
      </w:r>
      <w:r w:rsidR="00377C3D">
        <w:t xml:space="preserve">, </w:t>
      </w:r>
      <w:r w:rsidR="00BB4EC0">
        <w:t>it is still not the preferred option</w:t>
      </w:r>
      <w:r w:rsidR="00C05199">
        <w:t xml:space="preserve"> </w:t>
      </w:r>
      <w:r w:rsidR="00B75961">
        <w:t xml:space="preserve">in </w:t>
      </w:r>
      <w:r w:rsidR="00301E1E">
        <w:t xml:space="preserve">the long term </w:t>
      </w:r>
      <w:r w:rsidR="00B2584B">
        <w:t xml:space="preserve">over </w:t>
      </w:r>
      <w:r w:rsidR="00D2536C">
        <w:t xml:space="preserve">full </w:t>
      </w:r>
      <w:r>
        <w:t>electrification</w:t>
      </w:r>
      <w:r w:rsidR="00BC7E1F">
        <w:t>.</w:t>
      </w:r>
      <w:r w:rsidR="0043362D">
        <w:rPr>
          <w:rStyle w:val="FootnoteReference"/>
        </w:rPr>
        <w:footnoteReference w:id="109"/>
      </w:r>
      <w:r w:rsidR="0043362D">
        <w:t xml:space="preserve"> </w:t>
      </w:r>
      <w:r w:rsidR="00BC7E1F">
        <w:t xml:space="preserve"> </w:t>
      </w:r>
      <w:r w:rsidR="00AC527A">
        <w:t>Our</w:t>
      </w:r>
      <w:r w:rsidR="004B1638">
        <w:t xml:space="preserve"> </w:t>
      </w:r>
      <w:r w:rsidR="005F3916">
        <w:t xml:space="preserve">priority </w:t>
      </w:r>
      <w:r w:rsidR="00EA6194">
        <w:t xml:space="preserve">in the long term is to </w:t>
      </w:r>
      <w:r w:rsidR="00FF5A6A">
        <w:t>move</w:t>
      </w:r>
      <w:r w:rsidR="004B1638">
        <w:t xml:space="preserve"> away from fossil fuels altogether, </w:t>
      </w:r>
      <w:r w:rsidR="00EA6194">
        <w:t>including in the transportation sector,</w:t>
      </w:r>
      <w:r w:rsidR="000537B6">
        <w:t xml:space="preserve"> </w:t>
      </w:r>
      <w:r w:rsidR="004B1638">
        <w:t>as opposed to support</w:t>
      </w:r>
      <w:r w:rsidR="005F3916">
        <w:t>ing</w:t>
      </w:r>
      <w:r w:rsidR="004B1638">
        <w:t xml:space="preserve"> </w:t>
      </w:r>
      <w:r w:rsidR="00CF1007">
        <w:t xml:space="preserve">less </w:t>
      </w:r>
      <w:r w:rsidR="005D3593">
        <w:t xml:space="preserve">harmful </w:t>
      </w:r>
      <w:r w:rsidRPr="007E1191" w:rsidR="004B1638">
        <w:t>fossil fuel</w:t>
      </w:r>
      <w:r w:rsidR="00CF1007">
        <w:t>s</w:t>
      </w:r>
      <w:r w:rsidR="00861F1F">
        <w:t>. Th</w:t>
      </w:r>
      <w:r w:rsidR="00AC0200">
        <w:t>is</w:t>
      </w:r>
      <w:r w:rsidRPr="007E1191" w:rsidR="004B1638">
        <w:t xml:space="preserve"> </w:t>
      </w:r>
      <w:r w:rsidR="004B1638">
        <w:t>has bee</w:t>
      </w:r>
      <w:r w:rsidR="00A971F5">
        <w:t xml:space="preserve">n </w:t>
      </w:r>
      <w:r w:rsidR="00AC527A">
        <w:t xml:space="preserve">consistent and </w:t>
      </w:r>
      <w:r w:rsidR="00A971F5">
        <w:t xml:space="preserve">reiterated in </w:t>
      </w:r>
      <w:r w:rsidR="00754EA7">
        <w:t xml:space="preserve">several </w:t>
      </w:r>
      <w:r w:rsidR="00D91446">
        <w:t xml:space="preserve">Commission </w:t>
      </w:r>
      <w:r w:rsidR="00A971F5">
        <w:t>proceedings.</w:t>
      </w:r>
      <w:r w:rsidR="00D91446">
        <w:rPr>
          <w:rStyle w:val="FootnoteReference"/>
        </w:rPr>
        <w:footnoteReference w:id="110"/>
      </w:r>
      <w:r w:rsidR="00A971F5">
        <w:t xml:space="preserve"> </w:t>
      </w:r>
      <w:r w:rsidR="00CF428F">
        <w:t>It is also the</w:t>
      </w:r>
      <w:r w:rsidR="008508DB">
        <w:t xml:space="preserve"> polic</w:t>
      </w:r>
      <w:r w:rsidR="003F1502">
        <w:t>y</w:t>
      </w:r>
      <w:r w:rsidR="008508DB">
        <w:t xml:space="preserve"> of </w:t>
      </w:r>
      <w:r w:rsidR="00523CC0">
        <w:t>our sister</w:t>
      </w:r>
      <w:r w:rsidRPr="00041E59" w:rsidR="006F1D6F">
        <w:t xml:space="preserve"> agencies</w:t>
      </w:r>
      <w:r w:rsidR="00523CC0">
        <w:t>, which</w:t>
      </w:r>
      <w:r w:rsidRPr="00041E59" w:rsidR="006F1D6F">
        <w:t xml:space="preserve"> have </w:t>
      </w:r>
      <w:r w:rsidRPr="00041E59" w:rsidR="003C4881">
        <w:t xml:space="preserve">also </w:t>
      </w:r>
      <w:r w:rsidRPr="00041E59" w:rsidR="00BF4B21">
        <w:t>encouraged the</w:t>
      </w:r>
      <w:r w:rsidRPr="00041E59" w:rsidR="006F1D6F">
        <w:t xml:space="preserve"> </w:t>
      </w:r>
      <w:r w:rsidRPr="00041E59" w:rsidR="004D6896">
        <w:t xml:space="preserve">move away from </w:t>
      </w:r>
      <w:r w:rsidR="00E9507A">
        <w:t>fossil fuel</w:t>
      </w:r>
      <w:r w:rsidRPr="00041E59" w:rsidR="00E9507A">
        <w:t xml:space="preserve"> </w:t>
      </w:r>
      <w:r w:rsidRPr="00041E59" w:rsidR="004D6896">
        <w:t>investment</w:t>
      </w:r>
      <w:r w:rsidRPr="00041E59" w:rsidR="00C60560">
        <w:t xml:space="preserve">. </w:t>
      </w:r>
      <w:r w:rsidRPr="00041E59" w:rsidR="004D6896">
        <w:t xml:space="preserve">For example, </w:t>
      </w:r>
      <w:r w:rsidRPr="00041E59" w:rsidR="00C60560">
        <w:t>the CEC’s C</w:t>
      </w:r>
      <w:r w:rsidRPr="00041E59" w:rsidR="004D6896">
        <w:t>alifornia</w:t>
      </w:r>
      <w:r w:rsidRPr="00041E59" w:rsidR="00C60560">
        <w:t xml:space="preserve"> </w:t>
      </w:r>
      <w:r w:rsidRPr="00041E59" w:rsidR="004D6896">
        <w:t>Clean Transportation Program</w:t>
      </w:r>
      <w:r w:rsidRPr="00041E59" w:rsidR="00C60560">
        <w:t xml:space="preserve"> </w:t>
      </w:r>
      <w:r w:rsidRPr="00041E59" w:rsidR="004D6896">
        <w:t xml:space="preserve">has shifted focus significantly since 2019 to heavily prioritize </w:t>
      </w:r>
      <w:r w:rsidRPr="006B623F" w:rsidR="005C734E">
        <w:t xml:space="preserve">zero emission vehicles </w:t>
      </w:r>
      <w:r w:rsidR="005C734E">
        <w:t>(</w:t>
      </w:r>
      <w:r w:rsidRPr="006B623F" w:rsidR="004D6896">
        <w:t>ZEV</w:t>
      </w:r>
      <w:r w:rsidRPr="00041E59" w:rsidR="004D6896">
        <w:t>s</w:t>
      </w:r>
      <w:r w:rsidR="005C734E">
        <w:t>)</w:t>
      </w:r>
      <w:r w:rsidRPr="00041E59" w:rsidR="004D6896">
        <w:t xml:space="preserve"> </w:t>
      </w:r>
      <w:r w:rsidRPr="0008150D" w:rsidR="004D6896">
        <w:t xml:space="preserve">over </w:t>
      </w:r>
      <w:r w:rsidRPr="0008150D" w:rsidR="00BA5887">
        <w:t>near zero</w:t>
      </w:r>
      <w:r w:rsidRPr="0008150D" w:rsidR="000D07BD">
        <w:t xml:space="preserve"> emission </w:t>
      </w:r>
      <w:r w:rsidRPr="00041E59" w:rsidR="004D6896">
        <w:t>vehicles.</w:t>
      </w:r>
      <w:r w:rsidRPr="00041E59" w:rsidR="000B4B27">
        <w:t xml:space="preserve"> </w:t>
      </w:r>
      <w:r w:rsidR="007055B9">
        <w:t>CARB has adopted rule</w:t>
      </w:r>
      <w:r w:rsidR="00CF522B">
        <w:t>s</w:t>
      </w:r>
      <w:r w:rsidRPr="00041E59" w:rsidR="00BF503E">
        <w:t xml:space="preserve"> requiring 100</w:t>
      </w:r>
      <w:r w:rsidR="00513B3F">
        <w:t> </w:t>
      </w:r>
      <w:r w:rsidR="003E72B0">
        <w:t>percent</w:t>
      </w:r>
      <w:r w:rsidRPr="00041E59" w:rsidR="00BF503E">
        <w:t xml:space="preserve"> </w:t>
      </w:r>
      <w:r w:rsidR="00BF503E">
        <w:t xml:space="preserve">medium duty </w:t>
      </w:r>
      <w:r w:rsidRPr="00041E59" w:rsidR="00BF503E">
        <w:t xml:space="preserve">and </w:t>
      </w:r>
      <w:r w:rsidR="00BF503E">
        <w:t>heavy duty ZEVs</w:t>
      </w:r>
      <w:r w:rsidRPr="00041E59" w:rsidR="00BF503E">
        <w:t xml:space="preserve"> by 2045 </w:t>
      </w:r>
      <w:r w:rsidR="00BF503E">
        <w:t xml:space="preserve">(to the fullest extent </w:t>
      </w:r>
      <w:r w:rsidRPr="00041E59" w:rsidR="00BF503E">
        <w:t>feasible</w:t>
      </w:r>
      <w:r w:rsidR="00BF503E">
        <w:t>)</w:t>
      </w:r>
      <w:r w:rsidR="00262A29">
        <w:t xml:space="preserve">. </w:t>
      </w:r>
      <w:r w:rsidR="00CF522B">
        <w:t>It has</w:t>
      </w:r>
      <w:r w:rsidRPr="00041E59" w:rsidR="004D6896">
        <w:t xml:space="preserve"> </w:t>
      </w:r>
      <w:r w:rsidR="00186C3A">
        <w:t>explained</w:t>
      </w:r>
      <w:r w:rsidRPr="00041E59" w:rsidR="00D013EA">
        <w:t xml:space="preserve"> that “</w:t>
      </w:r>
      <w:r w:rsidRPr="00041E59" w:rsidR="004D6896">
        <w:t xml:space="preserve">Infrastructure for methane trucks is expensive and would become a stranded asset if use of those </w:t>
      </w:r>
      <w:r w:rsidR="00D16DE5">
        <w:t>[</w:t>
      </w:r>
      <w:r w:rsidR="00954E0A">
        <w:t>electric</w:t>
      </w:r>
      <w:r w:rsidR="00513B3F">
        <w:noBreakHyphen/>
      </w:r>
      <w:r w:rsidR="00D16DE5">
        <w:t>fueled</w:t>
      </w:r>
      <w:r w:rsidR="003A3D2E">
        <w:t xml:space="preserve">] </w:t>
      </w:r>
      <w:r w:rsidRPr="00041E59" w:rsidR="004D6896">
        <w:t>trucks continued to expand; EV infrastructure, in contrast, will be needed indefinitely.</w:t>
      </w:r>
      <w:r w:rsidRPr="00041E59" w:rsidR="005A6FC6">
        <w:t>”</w:t>
      </w:r>
      <w:r w:rsidRPr="00041E59" w:rsidR="00854FF8">
        <w:rPr>
          <w:rStyle w:val="FootnoteReference"/>
        </w:rPr>
        <w:footnoteReference w:id="111"/>
      </w:r>
      <w:r w:rsidRPr="00041E59" w:rsidR="00041E59">
        <w:t xml:space="preserve"> </w:t>
      </w:r>
      <w:r w:rsidR="00C51CBA">
        <w:t>In light of these state policies,</w:t>
      </w:r>
      <w:r w:rsidR="00495874">
        <w:t xml:space="preserve"> </w:t>
      </w:r>
      <w:r w:rsidR="008E7812">
        <w:t>long term gas line subsidies</w:t>
      </w:r>
      <w:r w:rsidRPr="00041E59" w:rsidR="004D6896">
        <w:t xml:space="preserve"> to expand CNG infrastructure </w:t>
      </w:r>
      <w:r w:rsidR="00E52589">
        <w:t xml:space="preserve">does not </w:t>
      </w:r>
      <w:r w:rsidR="000E2A32">
        <w:t>me</w:t>
      </w:r>
      <w:r w:rsidR="002A1A8A">
        <w:t>rit a cate</w:t>
      </w:r>
      <w:r w:rsidR="00381DAF">
        <w:t>gorical exemption from our overall policy</w:t>
      </w:r>
      <w:r w:rsidR="006A6E94">
        <w:t xml:space="preserve"> adopted here</w:t>
      </w:r>
      <w:r w:rsidR="00381DAF">
        <w:t>.</w:t>
      </w:r>
    </w:p>
    <w:p w:rsidR="00E070D3" w:rsidP="00DF4861" w:rsidRDefault="00436B36" w14:paraId="2A2D7571" w14:textId="3A60BFA5">
      <w:pPr>
        <w:autoSpaceDE w:val="0"/>
        <w:autoSpaceDN w:val="0"/>
        <w:adjustRightInd w:val="0"/>
        <w:spacing w:line="360" w:lineRule="auto"/>
        <w:ind w:firstLine="720"/>
        <w:rPr>
          <w:bCs/>
        </w:rPr>
      </w:pPr>
      <w:r>
        <w:lastRenderedPageBreak/>
        <w:t>Additionally</w:t>
      </w:r>
      <w:r w:rsidR="0041388D">
        <w:t>,</w:t>
      </w:r>
      <w:r w:rsidR="008C1B93">
        <w:t xml:space="preserve"> we note that </w:t>
      </w:r>
      <w:r w:rsidRPr="0041388D" w:rsidR="0041388D">
        <w:rPr>
          <w:bCs/>
        </w:rPr>
        <w:t xml:space="preserve">most of </w:t>
      </w:r>
      <w:r w:rsidR="008F26E1">
        <w:rPr>
          <w:bCs/>
        </w:rPr>
        <w:t xml:space="preserve">the </w:t>
      </w:r>
      <w:r w:rsidR="004462ED">
        <w:rPr>
          <w:bCs/>
        </w:rPr>
        <w:t>cleaner</w:t>
      </w:r>
      <w:r w:rsidRPr="0041388D" w:rsidR="004462ED">
        <w:rPr>
          <w:bCs/>
        </w:rPr>
        <w:t xml:space="preserve"> </w:t>
      </w:r>
      <w:r w:rsidRPr="0041388D" w:rsidR="0041388D">
        <w:rPr>
          <w:bCs/>
        </w:rPr>
        <w:t>fuels are already heavily subsidized, and eliminating the</w:t>
      </w:r>
      <w:r w:rsidR="008F26E1">
        <w:rPr>
          <w:bCs/>
        </w:rPr>
        <w:t xml:space="preserve"> gas</w:t>
      </w:r>
      <w:r w:rsidRPr="0041388D" w:rsidR="0041388D">
        <w:rPr>
          <w:bCs/>
        </w:rPr>
        <w:t xml:space="preserve"> line subsidies would not undermine their development in any significant way</w:t>
      </w:r>
      <w:r w:rsidR="0041388D">
        <w:rPr>
          <w:bCs/>
        </w:rPr>
        <w:t xml:space="preserve">. </w:t>
      </w:r>
      <w:r w:rsidR="00073B48">
        <w:rPr>
          <w:bCs/>
        </w:rPr>
        <w:t>The table</w:t>
      </w:r>
      <w:r w:rsidR="00FD5FC3">
        <w:rPr>
          <w:bCs/>
        </w:rPr>
        <w:t xml:space="preserve"> below summarizes these subsidies</w:t>
      </w:r>
      <w:r w:rsidR="00EC2F71">
        <w:rPr>
          <w:bCs/>
        </w:rPr>
        <w:t xml:space="preserve"> as approved by the </w:t>
      </w:r>
      <w:r w:rsidR="00073B48">
        <w:rPr>
          <w:bCs/>
        </w:rPr>
        <w:t>Commission</w:t>
      </w:r>
      <w:r w:rsidR="00EC2F71">
        <w:rPr>
          <w:bCs/>
        </w:rPr>
        <w:t>, and does not include additional subsidies that may be available from other sources</w:t>
      </w:r>
      <w:r w:rsidR="00FD5FC3">
        <w:rPr>
          <w:bCs/>
        </w:rPr>
        <w:t>.</w:t>
      </w:r>
    </w:p>
    <w:p w:rsidRPr="00EA65E0" w:rsidR="00FD5FC3" w:rsidP="00EA65E0" w:rsidRDefault="00EA65E0" w14:paraId="435876A2" w14:textId="3D42962C">
      <w:pPr>
        <w:pStyle w:val="TableTitle1"/>
      </w:pPr>
      <w:bookmarkStart w:name="Table6" w:id="153"/>
      <w:r w:rsidRPr="00EA65E0">
        <w:rPr>
          <w:b/>
          <w:bCs w:val="0"/>
        </w:rPr>
        <w:t>Table 6</w:t>
      </w:r>
      <w:r>
        <w:t>.</w:t>
      </w:r>
      <w:r>
        <w:tab/>
      </w:r>
      <w:r w:rsidRPr="00EA65E0">
        <w:t xml:space="preserve">Commission Approved Subsidies </w:t>
      </w:r>
      <w:r>
        <w:t>f</w:t>
      </w:r>
      <w:r w:rsidRPr="00EA65E0">
        <w:t>or Alternate Fuels</w:t>
      </w:r>
      <w:bookmarkEnd w:id="153"/>
    </w:p>
    <w:tbl>
      <w:tblPr>
        <w:tblStyle w:val="TableGrid"/>
        <w:tblW w:w="9360" w:type="dxa"/>
        <w:tblLayout w:type="fixed"/>
        <w:tblCellMar>
          <w:top w:w="58" w:type="dxa"/>
          <w:bottom w:w="58" w:type="dxa"/>
        </w:tblCellMar>
        <w:tblLook w:val="04A0" w:firstRow="1" w:lastRow="0" w:firstColumn="1" w:lastColumn="0" w:noHBand="0" w:noVBand="1"/>
      </w:tblPr>
      <w:tblGrid>
        <w:gridCol w:w="3120"/>
        <w:gridCol w:w="3120"/>
        <w:gridCol w:w="3120"/>
      </w:tblGrid>
      <w:tr w:rsidR="00BF38C4" w:rsidTr="00061B26" w14:paraId="009DD1BF" w14:textId="77777777">
        <w:trPr>
          <w:tblHeader/>
        </w:trPr>
        <w:tc>
          <w:tcPr>
            <w:tcW w:w="3116" w:type="dxa"/>
          </w:tcPr>
          <w:p w:rsidRPr="00DF4861" w:rsidR="00BF38C4" w:rsidP="00E00884" w:rsidRDefault="00BF38C4" w14:paraId="561A24B5" w14:textId="267A049F">
            <w:pPr>
              <w:autoSpaceDE w:val="0"/>
              <w:autoSpaceDN w:val="0"/>
              <w:adjustRightInd w:val="0"/>
              <w:jc w:val="center"/>
              <w:rPr>
                <w:b/>
              </w:rPr>
            </w:pPr>
            <w:r w:rsidRPr="00DF4861">
              <w:rPr>
                <w:b/>
              </w:rPr>
              <w:t>Fuel type</w:t>
            </w:r>
          </w:p>
        </w:tc>
        <w:tc>
          <w:tcPr>
            <w:tcW w:w="3117" w:type="dxa"/>
          </w:tcPr>
          <w:p w:rsidRPr="00DF4861" w:rsidR="00BF38C4" w:rsidP="00E00884" w:rsidRDefault="00BF38C4" w14:paraId="43FF1F0D" w14:textId="24440ECE">
            <w:pPr>
              <w:autoSpaceDE w:val="0"/>
              <w:autoSpaceDN w:val="0"/>
              <w:adjustRightInd w:val="0"/>
              <w:jc w:val="center"/>
              <w:rPr>
                <w:b/>
              </w:rPr>
            </w:pPr>
            <w:r w:rsidRPr="00DF4861">
              <w:rPr>
                <w:b/>
              </w:rPr>
              <w:t>Subsidy</w:t>
            </w:r>
            <w:r w:rsidR="00DA304B">
              <w:rPr>
                <w:b/>
              </w:rPr>
              <w:t xml:space="preserve"> Budget</w:t>
            </w:r>
          </w:p>
        </w:tc>
        <w:tc>
          <w:tcPr>
            <w:tcW w:w="3117" w:type="dxa"/>
          </w:tcPr>
          <w:p w:rsidRPr="00DF4861" w:rsidR="00BF38C4" w:rsidP="00E00884" w:rsidRDefault="00BF38C4" w14:paraId="2D5713C2" w14:textId="46DE7291">
            <w:pPr>
              <w:autoSpaceDE w:val="0"/>
              <w:autoSpaceDN w:val="0"/>
              <w:adjustRightInd w:val="0"/>
              <w:jc w:val="center"/>
              <w:rPr>
                <w:b/>
              </w:rPr>
            </w:pPr>
            <w:r w:rsidRPr="00DF4861">
              <w:rPr>
                <w:b/>
              </w:rPr>
              <w:t xml:space="preserve">Authorized </w:t>
            </w:r>
            <w:r w:rsidR="00ED4AA8">
              <w:rPr>
                <w:b/>
              </w:rPr>
              <w:t>B</w:t>
            </w:r>
            <w:r w:rsidRPr="00DF4861">
              <w:rPr>
                <w:b/>
              </w:rPr>
              <w:t>y</w:t>
            </w:r>
          </w:p>
        </w:tc>
      </w:tr>
      <w:tr w:rsidR="00BF38C4" w:rsidTr="00061B26" w14:paraId="42598C4B" w14:textId="77777777">
        <w:tc>
          <w:tcPr>
            <w:tcW w:w="3116" w:type="dxa"/>
          </w:tcPr>
          <w:p w:rsidR="00BF38C4" w:rsidP="00061B26" w:rsidRDefault="00755BE9" w14:paraId="41843ED0" w14:textId="1140BC9F">
            <w:pPr>
              <w:keepNext/>
              <w:autoSpaceDE w:val="0"/>
              <w:autoSpaceDN w:val="0"/>
              <w:adjustRightInd w:val="0"/>
              <w:rPr>
                <w:bCs/>
              </w:rPr>
            </w:pPr>
            <w:r>
              <w:rPr>
                <w:bCs/>
              </w:rPr>
              <w:t>Bio</w:t>
            </w:r>
            <w:r w:rsidR="00513B3F">
              <w:rPr>
                <w:bCs/>
              </w:rPr>
              <w:noBreakHyphen/>
            </w:r>
            <w:r>
              <w:rPr>
                <w:bCs/>
              </w:rPr>
              <w:t>SNG</w:t>
            </w:r>
          </w:p>
        </w:tc>
        <w:tc>
          <w:tcPr>
            <w:tcW w:w="3117" w:type="dxa"/>
          </w:tcPr>
          <w:p w:rsidR="00BF38C4" w:rsidP="00061B26" w:rsidRDefault="00755BE9" w14:paraId="096A94C6" w14:textId="1A257875">
            <w:pPr>
              <w:keepNext/>
              <w:autoSpaceDE w:val="0"/>
              <w:autoSpaceDN w:val="0"/>
              <w:adjustRightInd w:val="0"/>
              <w:rPr>
                <w:bCs/>
              </w:rPr>
            </w:pPr>
            <w:r>
              <w:rPr>
                <w:bCs/>
              </w:rPr>
              <w:t>$40</w:t>
            </w:r>
            <w:r w:rsidR="00513B3F">
              <w:rPr>
                <w:bCs/>
              </w:rPr>
              <w:t> </w:t>
            </w:r>
            <w:r w:rsidR="00BF7312">
              <w:rPr>
                <w:bCs/>
              </w:rPr>
              <w:t>million</w:t>
            </w:r>
            <w:r>
              <w:rPr>
                <w:bCs/>
              </w:rPr>
              <w:t xml:space="preserve"> </w:t>
            </w:r>
          </w:p>
        </w:tc>
        <w:tc>
          <w:tcPr>
            <w:tcW w:w="3117" w:type="dxa"/>
          </w:tcPr>
          <w:p w:rsidR="00BF38C4" w:rsidP="00061B26" w:rsidRDefault="00E070D3" w14:paraId="58DA1B63" w14:textId="6A245C74">
            <w:pPr>
              <w:keepNext/>
              <w:autoSpaceDE w:val="0"/>
              <w:autoSpaceDN w:val="0"/>
              <w:adjustRightInd w:val="0"/>
              <w:rPr>
                <w:bCs/>
              </w:rPr>
            </w:pPr>
            <w:r>
              <w:t>D.22</w:t>
            </w:r>
            <w:r w:rsidR="00513B3F">
              <w:noBreakHyphen/>
            </w:r>
            <w:r>
              <w:t>02</w:t>
            </w:r>
            <w:r w:rsidR="00513B3F">
              <w:noBreakHyphen/>
            </w:r>
            <w:r>
              <w:t>025</w:t>
            </w:r>
          </w:p>
        </w:tc>
      </w:tr>
      <w:tr w:rsidR="00BF38C4" w:rsidTr="00061B26" w14:paraId="074133B0" w14:textId="77777777">
        <w:tc>
          <w:tcPr>
            <w:tcW w:w="3116" w:type="dxa"/>
          </w:tcPr>
          <w:p w:rsidRPr="00AE0C5F" w:rsidR="00BF38C4" w:rsidP="00061B26" w:rsidRDefault="004C39A0" w14:paraId="0067DF3C" w14:textId="6999A681">
            <w:pPr>
              <w:keepNext/>
              <w:autoSpaceDE w:val="0"/>
              <w:autoSpaceDN w:val="0"/>
              <w:adjustRightInd w:val="0"/>
              <w:rPr>
                <w:bCs/>
                <w:szCs w:val="26"/>
              </w:rPr>
            </w:pPr>
            <w:r w:rsidRPr="00AE0C5F">
              <w:rPr>
                <w:bCs/>
                <w:szCs w:val="26"/>
              </w:rPr>
              <w:t>Bio</w:t>
            </w:r>
            <w:r w:rsidR="000B4977">
              <w:rPr>
                <w:bCs/>
                <w:szCs w:val="26"/>
              </w:rPr>
              <w:t>m</w:t>
            </w:r>
            <w:r w:rsidRPr="00AE0C5F">
              <w:rPr>
                <w:bCs/>
                <w:szCs w:val="26"/>
              </w:rPr>
              <w:t>ethane</w:t>
            </w:r>
          </w:p>
        </w:tc>
        <w:tc>
          <w:tcPr>
            <w:tcW w:w="3117" w:type="dxa"/>
          </w:tcPr>
          <w:p w:rsidRPr="00AE0C5F" w:rsidR="00BF38C4" w:rsidP="00061B26" w:rsidRDefault="001D086C" w14:paraId="2BEBA6F0" w14:textId="2D295C61">
            <w:pPr>
              <w:keepNext/>
              <w:autoSpaceDE w:val="0"/>
              <w:autoSpaceDN w:val="0"/>
              <w:adjustRightInd w:val="0"/>
              <w:rPr>
                <w:bCs/>
                <w:szCs w:val="26"/>
              </w:rPr>
            </w:pPr>
            <w:r w:rsidRPr="00AE0C5F">
              <w:rPr>
                <w:bCs/>
                <w:szCs w:val="26"/>
              </w:rPr>
              <w:t>$40</w:t>
            </w:r>
            <w:r w:rsidR="00513B3F">
              <w:rPr>
                <w:bCs/>
                <w:szCs w:val="26"/>
              </w:rPr>
              <w:t> </w:t>
            </w:r>
            <w:r w:rsidR="00BF7312">
              <w:rPr>
                <w:bCs/>
                <w:szCs w:val="26"/>
              </w:rPr>
              <w:t>million</w:t>
            </w:r>
          </w:p>
        </w:tc>
        <w:tc>
          <w:tcPr>
            <w:tcW w:w="3117" w:type="dxa"/>
          </w:tcPr>
          <w:p w:rsidRPr="005B1289" w:rsidR="00BF38C4" w:rsidP="00061B26" w:rsidRDefault="004C39A0" w14:paraId="0A700A20" w14:textId="7C2A7A60">
            <w:pPr>
              <w:keepNext/>
              <w:rPr>
                <w:rFonts w:eastAsia="Palatino Linotype" w:cs="Helvetica"/>
                <w:szCs w:val="26"/>
              </w:rPr>
            </w:pPr>
            <w:r w:rsidRPr="00DF4861">
              <w:rPr>
                <w:rFonts w:eastAsia="Palatino Linotype" w:cs="Helvetica"/>
                <w:szCs w:val="26"/>
              </w:rPr>
              <w:t>D.15</w:t>
            </w:r>
            <w:r w:rsidR="00513B3F">
              <w:rPr>
                <w:rFonts w:eastAsia="Palatino Linotype" w:cs="Helvetica"/>
                <w:szCs w:val="26"/>
              </w:rPr>
              <w:noBreakHyphen/>
            </w:r>
            <w:r w:rsidRPr="00DF4861">
              <w:rPr>
                <w:rFonts w:eastAsia="Palatino Linotype" w:cs="Helvetica"/>
                <w:szCs w:val="26"/>
              </w:rPr>
              <w:t>06</w:t>
            </w:r>
            <w:r w:rsidR="00513B3F">
              <w:rPr>
                <w:rFonts w:eastAsia="Palatino Linotype" w:cs="Helvetica"/>
                <w:szCs w:val="26"/>
              </w:rPr>
              <w:noBreakHyphen/>
            </w:r>
            <w:r w:rsidRPr="00DF4861">
              <w:rPr>
                <w:rFonts w:eastAsia="Palatino Linotype" w:cs="Helvetica"/>
                <w:szCs w:val="26"/>
              </w:rPr>
              <w:t>029</w:t>
            </w:r>
          </w:p>
        </w:tc>
      </w:tr>
      <w:tr w:rsidR="00BF38C4" w:rsidTr="00061B26" w14:paraId="4CE54E4E" w14:textId="77777777">
        <w:tc>
          <w:tcPr>
            <w:tcW w:w="3116" w:type="dxa"/>
          </w:tcPr>
          <w:p w:rsidRPr="00AE0C5F" w:rsidR="00BF38C4" w:rsidP="00061B26" w:rsidRDefault="001B14F5" w14:paraId="6B68940B" w14:textId="074D916A">
            <w:pPr>
              <w:autoSpaceDE w:val="0"/>
              <w:autoSpaceDN w:val="0"/>
              <w:adjustRightInd w:val="0"/>
              <w:rPr>
                <w:bCs/>
                <w:szCs w:val="26"/>
              </w:rPr>
            </w:pPr>
            <w:r>
              <w:rPr>
                <w:bCs/>
                <w:szCs w:val="26"/>
              </w:rPr>
              <w:t>Biom</w:t>
            </w:r>
            <w:r w:rsidR="00EB7E61">
              <w:rPr>
                <w:bCs/>
                <w:szCs w:val="26"/>
              </w:rPr>
              <w:t>ethane (</w:t>
            </w:r>
            <w:r w:rsidR="00DB18D0">
              <w:rPr>
                <w:bCs/>
                <w:szCs w:val="26"/>
              </w:rPr>
              <w:t>augment)</w:t>
            </w:r>
            <w:r w:rsidRPr="00AE0C5F" w:rsidR="0004518E">
              <w:rPr>
                <w:bCs/>
                <w:szCs w:val="26"/>
              </w:rPr>
              <w:t xml:space="preserve"> </w:t>
            </w:r>
          </w:p>
        </w:tc>
        <w:tc>
          <w:tcPr>
            <w:tcW w:w="3117" w:type="dxa"/>
          </w:tcPr>
          <w:p w:rsidRPr="00AE0C5F" w:rsidR="00BF38C4" w:rsidP="00061B26" w:rsidRDefault="00AE0C5F" w14:paraId="2604512D" w14:textId="261A2F73">
            <w:pPr>
              <w:autoSpaceDE w:val="0"/>
              <w:autoSpaceDN w:val="0"/>
              <w:adjustRightInd w:val="0"/>
              <w:rPr>
                <w:bCs/>
                <w:szCs w:val="26"/>
              </w:rPr>
            </w:pPr>
            <w:r w:rsidRPr="00AE0C5F">
              <w:rPr>
                <w:bCs/>
                <w:szCs w:val="26"/>
              </w:rPr>
              <w:t>$40</w:t>
            </w:r>
            <w:r w:rsidR="00513B3F">
              <w:rPr>
                <w:bCs/>
                <w:szCs w:val="26"/>
              </w:rPr>
              <w:t> </w:t>
            </w:r>
            <w:r w:rsidR="00BF7312">
              <w:rPr>
                <w:bCs/>
                <w:szCs w:val="26"/>
              </w:rPr>
              <w:t>million</w:t>
            </w:r>
          </w:p>
        </w:tc>
        <w:tc>
          <w:tcPr>
            <w:tcW w:w="3117" w:type="dxa"/>
          </w:tcPr>
          <w:p w:rsidRPr="00AE0C5F" w:rsidR="00BF38C4" w:rsidP="00061B26" w:rsidRDefault="00FC305A" w14:paraId="0EAAE379" w14:textId="034FE72E">
            <w:pPr>
              <w:autoSpaceDE w:val="0"/>
              <w:autoSpaceDN w:val="0"/>
              <w:adjustRightInd w:val="0"/>
              <w:rPr>
                <w:bCs/>
                <w:szCs w:val="26"/>
              </w:rPr>
            </w:pPr>
            <w:r w:rsidRPr="00AE0C5F">
              <w:rPr>
                <w:szCs w:val="26"/>
              </w:rPr>
              <w:t>D.20</w:t>
            </w:r>
            <w:r w:rsidR="00513B3F">
              <w:rPr>
                <w:szCs w:val="26"/>
              </w:rPr>
              <w:noBreakHyphen/>
            </w:r>
            <w:r w:rsidRPr="00AE0C5F">
              <w:rPr>
                <w:szCs w:val="26"/>
              </w:rPr>
              <w:t>12</w:t>
            </w:r>
            <w:r w:rsidR="00513B3F">
              <w:rPr>
                <w:szCs w:val="26"/>
              </w:rPr>
              <w:noBreakHyphen/>
            </w:r>
            <w:r w:rsidRPr="00AE0C5F">
              <w:rPr>
                <w:szCs w:val="26"/>
              </w:rPr>
              <w:t xml:space="preserve">031 </w:t>
            </w:r>
          </w:p>
        </w:tc>
      </w:tr>
    </w:tbl>
    <w:p w:rsidRPr="00BB0FEE" w:rsidR="00124D2A" w:rsidP="00815249" w:rsidRDefault="00436B36" w14:paraId="55FD06A3" w14:textId="4D435BBF">
      <w:pPr>
        <w:pStyle w:val="standard0"/>
        <w:spacing w:before="180"/>
      </w:pPr>
      <w:r>
        <w:rPr>
          <w:bCs/>
        </w:rPr>
        <w:t>Lastly, w</w:t>
      </w:r>
      <w:r w:rsidR="0097194F">
        <w:rPr>
          <w:bCs/>
        </w:rPr>
        <w:t xml:space="preserve">e </w:t>
      </w:r>
      <w:r w:rsidR="00B327FF">
        <w:t xml:space="preserve">reiterate that the </w:t>
      </w:r>
      <w:r w:rsidR="00124D2A">
        <w:t>elimination</w:t>
      </w:r>
      <w:r w:rsidR="00B327FF">
        <w:t xml:space="preserve"> of these subsidies </w:t>
      </w:r>
      <w:r w:rsidR="00E7373E">
        <w:t>does</w:t>
      </w:r>
      <w:r w:rsidR="00B327FF">
        <w:t xml:space="preserve"> not remove the </w:t>
      </w:r>
      <w:r w:rsidR="00124D2A">
        <w:t>builder</w:t>
      </w:r>
      <w:r w:rsidR="00CE4EE6">
        <w:t xml:space="preserve"> or</w:t>
      </w:r>
      <w:r w:rsidR="00A424C6">
        <w:t xml:space="preserve"> </w:t>
      </w:r>
      <w:r w:rsidR="009E6F54">
        <w:t>developer’s</w:t>
      </w:r>
      <w:r w:rsidR="00124D2A">
        <w:t xml:space="preserve"> choice to build the </w:t>
      </w:r>
      <w:r w:rsidRPr="00DC7339" w:rsidR="00124D2A">
        <w:t>CNG/RNG</w:t>
      </w:r>
      <w:r w:rsidR="00124D2A">
        <w:t xml:space="preserve"> facility, it only requires </w:t>
      </w:r>
      <w:r w:rsidRPr="00BB0FEE" w:rsidR="00124D2A">
        <w:t xml:space="preserve">that the costs </w:t>
      </w:r>
      <w:r w:rsidR="000F63B3">
        <w:t>caused</w:t>
      </w:r>
      <w:r w:rsidRPr="00BB0FEE" w:rsidR="004B58FD">
        <w:t xml:space="preserve"> by new customers</w:t>
      </w:r>
      <w:r w:rsidR="000F63B3">
        <w:t xml:space="preserve"> be paid </w:t>
      </w:r>
      <w:r w:rsidRPr="00BB0FEE" w:rsidR="004B58FD">
        <w:t xml:space="preserve">by </w:t>
      </w:r>
      <w:r w:rsidR="00B26E18">
        <w:t>those</w:t>
      </w:r>
      <w:r w:rsidRPr="00BB0FEE" w:rsidR="00B26E18">
        <w:t xml:space="preserve"> </w:t>
      </w:r>
      <w:r w:rsidRPr="00BB0FEE" w:rsidR="004B58FD">
        <w:t>customers.</w:t>
      </w:r>
      <w:r>
        <w:t xml:space="preserve"> And</w:t>
      </w:r>
      <w:r w:rsidR="00322379">
        <w:t xml:space="preserve">, </w:t>
      </w:r>
      <w:r w:rsidR="00026FCF">
        <w:t xml:space="preserve">in the limited cases where a gas line subsidy may still be </w:t>
      </w:r>
      <w:r w:rsidR="00924FA2">
        <w:t>warranted</w:t>
      </w:r>
      <w:r w:rsidR="00026FCF">
        <w:t xml:space="preserve">, </w:t>
      </w:r>
      <w:r w:rsidR="00322379">
        <w:t xml:space="preserve">we provide an application process </w:t>
      </w:r>
      <w:r w:rsidR="0078066D">
        <w:t xml:space="preserve">below </w:t>
      </w:r>
      <w:r w:rsidR="007F0E97">
        <w:t xml:space="preserve">to consider </w:t>
      </w:r>
      <w:r w:rsidR="00322379">
        <w:t xml:space="preserve">specific, unique projects that </w:t>
      </w:r>
      <w:r w:rsidR="007F0E97">
        <w:t xml:space="preserve">claim to be unable to </w:t>
      </w:r>
      <w:r w:rsidR="00D970C3">
        <w:t xml:space="preserve">proceed without a gas line subsidy. </w:t>
      </w:r>
    </w:p>
    <w:p w:rsidRPr="00BB0FEE" w:rsidR="00CE6A1D" w:rsidP="007C2EF4" w:rsidRDefault="00124745" w14:paraId="6D38044E" w14:textId="04E49F91">
      <w:pPr>
        <w:pStyle w:val="Heading3"/>
      </w:pPr>
      <w:bookmarkStart w:name="_Toc109376130" w:id="154"/>
      <w:bookmarkStart w:name="_Toc109141162" w:id="155"/>
      <w:bookmarkStart w:name="_Toc110598582" w:id="156"/>
      <w:r w:rsidRPr="00BB0FEE">
        <w:t xml:space="preserve">Application Process for </w:t>
      </w:r>
      <w:r w:rsidR="00120EA3">
        <w:t xml:space="preserve">Select </w:t>
      </w:r>
      <w:r w:rsidRPr="00BB0FEE">
        <w:t xml:space="preserve">Projects that </w:t>
      </w:r>
      <w:r w:rsidRPr="00BB0FEE" w:rsidR="00CE6A1D">
        <w:t>Provide Environmental or Financial Benefits</w:t>
      </w:r>
      <w:r w:rsidRPr="00337174" w:rsidR="00CE6A1D">
        <w:t xml:space="preserve">: </w:t>
      </w:r>
      <w:r w:rsidRPr="00337174" w:rsidR="00406A80">
        <w:t xml:space="preserve"> </w:t>
      </w:r>
      <w:r w:rsidRPr="00337174" w:rsidR="00596A4C">
        <w:t>A</w:t>
      </w:r>
      <w:r w:rsidRPr="00330D39" w:rsidR="00596A4C">
        <w:t>pproved</w:t>
      </w:r>
      <w:r w:rsidRPr="00330D39" w:rsidR="00BB65A1">
        <w:t xml:space="preserve"> with Modifications</w:t>
      </w:r>
      <w:bookmarkEnd w:id="154"/>
      <w:bookmarkEnd w:id="155"/>
      <w:bookmarkEnd w:id="156"/>
    </w:p>
    <w:p w:rsidR="00643165" w:rsidP="00D51C0C" w:rsidRDefault="00391A2A" w14:paraId="66499589" w14:textId="5EDE0A0D">
      <w:pPr>
        <w:pStyle w:val="Standard"/>
        <w:rPr>
          <w:szCs w:val="26"/>
        </w:rPr>
      </w:pPr>
      <w:r>
        <w:rPr>
          <w:szCs w:val="26"/>
        </w:rPr>
        <w:t xml:space="preserve">This decision </w:t>
      </w:r>
      <w:r w:rsidR="001B6BBA">
        <w:rPr>
          <w:szCs w:val="26"/>
        </w:rPr>
        <w:t>approves</w:t>
      </w:r>
      <w:r>
        <w:rPr>
          <w:szCs w:val="26"/>
        </w:rPr>
        <w:t xml:space="preserve"> the Joint Parties and TURN</w:t>
      </w:r>
      <w:r w:rsidR="002A4975">
        <w:rPr>
          <w:szCs w:val="26"/>
        </w:rPr>
        <w:t xml:space="preserve">’s </w:t>
      </w:r>
      <w:r w:rsidR="00693EDC">
        <w:rPr>
          <w:szCs w:val="26"/>
        </w:rPr>
        <w:t xml:space="preserve">proposal for an </w:t>
      </w:r>
      <w:r w:rsidR="002A4975">
        <w:rPr>
          <w:szCs w:val="26"/>
        </w:rPr>
        <w:t>application process</w:t>
      </w:r>
      <w:r w:rsidR="00693EDC">
        <w:rPr>
          <w:szCs w:val="26"/>
        </w:rPr>
        <w:t>,</w:t>
      </w:r>
      <w:r w:rsidR="002A4975">
        <w:rPr>
          <w:szCs w:val="26"/>
        </w:rPr>
        <w:t xml:space="preserve"> </w:t>
      </w:r>
      <w:r w:rsidR="001B6BBA">
        <w:rPr>
          <w:szCs w:val="26"/>
        </w:rPr>
        <w:t xml:space="preserve">with </w:t>
      </w:r>
      <w:r w:rsidR="00281B51">
        <w:rPr>
          <w:szCs w:val="26"/>
        </w:rPr>
        <w:t>modification</w:t>
      </w:r>
      <w:r w:rsidR="00E13138">
        <w:rPr>
          <w:szCs w:val="26"/>
        </w:rPr>
        <w:t>s</w:t>
      </w:r>
      <w:r w:rsidR="00281B51">
        <w:rPr>
          <w:szCs w:val="26"/>
        </w:rPr>
        <w:t xml:space="preserve">, for those </w:t>
      </w:r>
      <w:r w:rsidR="00281B51">
        <w:t xml:space="preserve">specific, unique </w:t>
      </w:r>
      <w:r w:rsidR="00622534">
        <w:t>non</w:t>
      </w:r>
      <w:r w:rsidR="00513B3F">
        <w:noBreakHyphen/>
      </w:r>
      <w:r w:rsidR="00622534">
        <w:t xml:space="preserve">residential </w:t>
      </w:r>
      <w:r w:rsidR="00281B51">
        <w:t>projects where a gas line subsidy may still be warranted</w:t>
      </w:r>
      <w:r w:rsidR="001B6BBA">
        <w:rPr>
          <w:szCs w:val="26"/>
        </w:rPr>
        <w:t>. For th</w:t>
      </w:r>
      <w:r w:rsidR="00D51C0C">
        <w:rPr>
          <w:szCs w:val="26"/>
        </w:rPr>
        <w:t xml:space="preserve">ese </w:t>
      </w:r>
      <w:r w:rsidR="001B6BBA">
        <w:rPr>
          <w:szCs w:val="26"/>
        </w:rPr>
        <w:t>project</w:t>
      </w:r>
      <w:r w:rsidR="00622534">
        <w:rPr>
          <w:szCs w:val="26"/>
        </w:rPr>
        <w:t>s, the gas</w:t>
      </w:r>
      <w:r w:rsidRPr="00711DA0">
        <w:t xml:space="preserve"> IOUs </w:t>
      </w:r>
      <w:r w:rsidR="00622534">
        <w:t>shall</w:t>
      </w:r>
      <w:r w:rsidRPr="00711DA0">
        <w:t xml:space="preserve"> </w:t>
      </w:r>
      <w:r w:rsidR="0062388E">
        <w:t xml:space="preserve">evaluate the project based on the criteria </w:t>
      </w:r>
      <w:r w:rsidR="00A87273">
        <w:t>established</w:t>
      </w:r>
      <w:r w:rsidR="0062388E">
        <w:t xml:space="preserve"> in </w:t>
      </w:r>
      <w:r w:rsidR="00735DA2">
        <w:t xml:space="preserve">this decision </w:t>
      </w:r>
      <w:r w:rsidR="00A87273">
        <w:t>and</w:t>
      </w:r>
      <w:r w:rsidR="0062388E">
        <w:t xml:space="preserve"> </w:t>
      </w:r>
      <w:r w:rsidR="009F65EC">
        <w:t>file</w:t>
      </w:r>
      <w:r>
        <w:t xml:space="preserve"> a</w:t>
      </w:r>
      <w:r w:rsidR="00622534">
        <w:t xml:space="preserve">n </w:t>
      </w:r>
      <w:r w:rsidRPr="00711DA0">
        <w:t>application</w:t>
      </w:r>
      <w:r>
        <w:t xml:space="preserve"> </w:t>
      </w:r>
      <w:r w:rsidR="009F65EC">
        <w:t>with</w:t>
      </w:r>
      <w:r w:rsidR="00622534">
        <w:t xml:space="preserve"> the Commission for approval</w:t>
      </w:r>
      <w:r w:rsidR="009F65EC">
        <w:t xml:space="preserve"> of </w:t>
      </w:r>
      <w:r w:rsidR="00E16A10">
        <w:t>a</w:t>
      </w:r>
      <w:r w:rsidR="009F65EC">
        <w:t xml:space="preserve"> gas line subsidy </w:t>
      </w:r>
      <w:r w:rsidR="00622534">
        <w:t xml:space="preserve">on behalf of the </w:t>
      </w:r>
      <w:r w:rsidR="00922DE6">
        <w:t xml:space="preserve">project </w:t>
      </w:r>
      <w:r w:rsidR="00622534">
        <w:t>applicant</w:t>
      </w:r>
      <w:r w:rsidR="008D4E6A">
        <w:t>(s)</w:t>
      </w:r>
      <w:r w:rsidR="00DF4265">
        <w:t xml:space="preserve">. </w:t>
      </w:r>
    </w:p>
    <w:p w:rsidR="00BD65CC" w:rsidP="00F47386" w:rsidRDefault="00622E67" w14:paraId="233654EB" w14:textId="20B4D02A">
      <w:pPr>
        <w:pStyle w:val="Standard"/>
      </w:pPr>
      <w:r>
        <w:lastRenderedPageBreak/>
        <w:t>T</w:t>
      </w:r>
      <w:r w:rsidR="00E16A10">
        <w:t>he IOU</w:t>
      </w:r>
      <w:r w:rsidR="00922DE6">
        <w:t>s</w:t>
      </w:r>
      <w:r w:rsidR="00E16A10">
        <w:t xml:space="preserve"> shall ensure that </w:t>
      </w:r>
      <w:r w:rsidR="00AD2583">
        <w:t>projects seeking a gas line subsidy</w:t>
      </w:r>
      <w:r w:rsidR="008A3BF1">
        <w:t xml:space="preserve"> </w:t>
      </w:r>
      <w:r w:rsidR="00E16A10">
        <w:t xml:space="preserve">shall meet the </w:t>
      </w:r>
      <w:r w:rsidR="00391A2A">
        <w:t xml:space="preserve">following </w:t>
      </w:r>
      <w:r w:rsidRPr="00F82050" w:rsidR="00391A2A">
        <w:t>minimum criteria</w:t>
      </w:r>
      <w:r w:rsidR="008E70B9">
        <w:t xml:space="preserve"> based on the information provided by the applicant(s)</w:t>
      </w:r>
      <w:r w:rsidRPr="00622E67">
        <w:t xml:space="preserve"> </w:t>
      </w:r>
      <w:r w:rsidR="00F10ABB">
        <w:t xml:space="preserve">before </w:t>
      </w:r>
      <w:r w:rsidR="00876D5B">
        <w:t>includ</w:t>
      </w:r>
      <w:r w:rsidR="000F7133">
        <w:t>ing</w:t>
      </w:r>
      <w:r w:rsidR="00876D5B">
        <w:t xml:space="preserve"> i</w:t>
      </w:r>
      <w:r w:rsidR="001B4942">
        <w:t>t</w:t>
      </w:r>
      <w:r w:rsidR="00876D5B">
        <w:t xml:space="preserve"> in </w:t>
      </w:r>
      <w:r w:rsidR="00653028">
        <w:t xml:space="preserve">an </w:t>
      </w:r>
      <w:r w:rsidR="00876D5B">
        <w:t>annual filing</w:t>
      </w:r>
      <w:r w:rsidR="00DB1CC9">
        <w:t xml:space="preserve"> to the Commission</w:t>
      </w:r>
      <w:r w:rsidR="00653028">
        <w:t xml:space="preserve"> seeking </w:t>
      </w:r>
      <w:r w:rsidR="0011313D">
        <w:t>such subsidies</w:t>
      </w:r>
      <w:r w:rsidR="00876D5B">
        <w:t xml:space="preserve">. </w:t>
      </w:r>
      <w:r w:rsidR="00F10ABB">
        <w:t xml:space="preserve">These minimum requirements </w:t>
      </w:r>
      <w:r w:rsidR="00C22DEC">
        <w:t>are</w:t>
      </w:r>
      <w:r w:rsidRPr="00F82050" w:rsidR="00391A2A">
        <w:t xml:space="preserve">: </w:t>
      </w:r>
    </w:p>
    <w:p w:rsidR="00BD65CC" w:rsidRDefault="00BD65CC" w14:paraId="5BBE8D78" w14:textId="07348BB6">
      <w:pPr>
        <w:pStyle w:val="BlockQuoteH033"/>
        <w:numPr>
          <w:ilvl w:val="1"/>
          <w:numId w:val="8"/>
        </w:numPr>
        <w:ind w:left="1195" w:hanging="475"/>
      </w:pPr>
      <w:r>
        <w:t>T</w:t>
      </w:r>
      <w:r w:rsidRPr="00F82050" w:rsidR="00391A2A">
        <w:t xml:space="preserve">he </w:t>
      </w:r>
      <w:r w:rsidR="00F10ABB">
        <w:t>project</w:t>
      </w:r>
      <w:r w:rsidRPr="00C1052C" w:rsidR="00C1052C">
        <w:t xml:space="preserve"> </w:t>
      </w:r>
      <w:r w:rsidR="003E7D83">
        <w:t xml:space="preserve">will lead to </w:t>
      </w:r>
      <w:r w:rsidR="00BD7CC4">
        <w:t xml:space="preserve">a </w:t>
      </w:r>
      <w:r w:rsidRPr="00C2680F" w:rsidR="00C1052C">
        <w:t>demonstrable reduction in GHG emissions</w:t>
      </w:r>
      <w:r w:rsidR="00BC6D12">
        <w:t xml:space="preserve">; </w:t>
      </w:r>
    </w:p>
    <w:p w:rsidR="00BD65CC" w:rsidRDefault="00BD65CC" w14:paraId="60FBB6AD" w14:textId="5439C34A">
      <w:pPr>
        <w:pStyle w:val="BlockQuoteH033"/>
        <w:numPr>
          <w:ilvl w:val="1"/>
          <w:numId w:val="8"/>
        </w:numPr>
        <w:ind w:left="1195" w:hanging="475"/>
      </w:pPr>
      <w:r>
        <w:t>T</w:t>
      </w:r>
      <w:r w:rsidRPr="00F82050" w:rsidR="00391A2A">
        <w:t xml:space="preserve">he </w:t>
      </w:r>
      <w:r w:rsidR="00F10ABB">
        <w:t xml:space="preserve">gas line </w:t>
      </w:r>
      <w:r w:rsidRPr="00F82050" w:rsidR="00391A2A">
        <w:t xml:space="preserve">extension </w:t>
      </w:r>
      <w:r w:rsidR="003E7D83">
        <w:t xml:space="preserve">required for the project </w:t>
      </w:r>
      <w:r w:rsidRPr="00F82050" w:rsidR="00391A2A">
        <w:t xml:space="preserve">is consistent with </w:t>
      </w:r>
      <w:r w:rsidR="00391A2A">
        <w:t>California’s</w:t>
      </w:r>
      <w:r w:rsidRPr="00F82050" w:rsidR="00391A2A">
        <w:t xml:space="preserve"> climate goals</w:t>
      </w:r>
      <w:r w:rsidR="00A97804">
        <w:t xml:space="preserve">, including those articulated in </w:t>
      </w:r>
      <w:r w:rsidR="00452F77">
        <w:t>SB</w:t>
      </w:r>
      <w:r w:rsidR="00513B3F">
        <w:t> </w:t>
      </w:r>
      <w:r w:rsidR="00A97804">
        <w:t>32</w:t>
      </w:r>
      <w:r w:rsidR="00856655">
        <w:t xml:space="preserve"> (</w:t>
      </w:r>
      <w:r w:rsidR="007E4502">
        <w:t xml:space="preserve">Pavley, </w:t>
      </w:r>
      <w:r w:rsidR="00856655">
        <w:t>2016)</w:t>
      </w:r>
      <w:r w:rsidR="00BC6D12">
        <w:t>; and</w:t>
      </w:r>
    </w:p>
    <w:p w:rsidR="00BD65CC" w:rsidRDefault="00BD65CC" w14:paraId="38B1DD53" w14:textId="0D8B85ED">
      <w:pPr>
        <w:pStyle w:val="BlockQuoteH033"/>
        <w:numPr>
          <w:ilvl w:val="1"/>
          <w:numId w:val="8"/>
        </w:numPr>
        <w:ind w:left="1195" w:hanging="475"/>
      </w:pPr>
      <w:r>
        <w:t>T</w:t>
      </w:r>
      <w:r w:rsidRPr="00F82050" w:rsidR="00391A2A">
        <w:t xml:space="preserve">he </w:t>
      </w:r>
      <w:r w:rsidR="003E7D83">
        <w:t>project applicant demonstrates</w:t>
      </w:r>
      <w:r w:rsidRPr="00F82050" w:rsidR="00391A2A">
        <w:t xml:space="preserve"> </w:t>
      </w:r>
      <w:r w:rsidR="00391A2A">
        <w:t>that it has</w:t>
      </w:r>
      <w:r w:rsidRPr="00F82050" w:rsidR="00391A2A">
        <w:t xml:space="preserve"> no feasible alternatives to the </w:t>
      </w:r>
      <w:r w:rsidR="00391A2A">
        <w:t>use of natural gas, including</w:t>
      </w:r>
      <w:r w:rsidR="00DB1CC9">
        <w:t xml:space="preserve"> </w:t>
      </w:r>
      <w:r w:rsidR="51A456A5">
        <w:t>electrification</w:t>
      </w:r>
      <w:r w:rsidR="00C70E38">
        <w:t xml:space="preserve">. </w:t>
      </w:r>
    </w:p>
    <w:p w:rsidR="003C1C80" w:rsidP="003C1C80" w:rsidRDefault="003C1C80" w14:paraId="71C1B458" w14:textId="7563BF9D">
      <w:pPr>
        <w:pStyle w:val="Standard"/>
      </w:pPr>
      <w:r w:rsidRPr="00D9242A">
        <w:t xml:space="preserve">We </w:t>
      </w:r>
      <w:r w:rsidR="00AD0735">
        <w:t xml:space="preserve">do not </w:t>
      </w:r>
      <w:r w:rsidR="00E73115">
        <w:t>include</w:t>
      </w:r>
      <w:r w:rsidRPr="00D9242A">
        <w:t xml:space="preserve"> </w:t>
      </w:r>
      <w:r w:rsidRPr="00D9242A" w:rsidR="00A33B74">
        <w:t xml:space="preserve">the other criteria proposed by </w:t>
      </w:r>
      <w:r w:rsidRPr="00D9242A">
        <w:t>the Joint Parties and TURN</w:t>
      </w:r>
      <w:r w:rsidRPr="00D9242A" w:rsidR="00585D69">
        <w:t xml:space="preserve"> (the extension is not located in an </w:t>
      </w:r>
      <w:r w:rsidRPr="00BF5F72" w:rsidR="00585D69">
        <w:t>environmental and social justice community, and the project does not claim any environmental credits)</w:t>
      </w:r>
      <w:r w:rsidR="003044A4">
        <w:t xml:space="preserve"> at this time</w:t>
      </w:r>
      <w:r w:rsidR="009700F4">
        <w:t xml:space="preserve">. We are not persuaded that these additional criteria are </w:t>
      </w:r>
      <w:r w:rsidR="006A3B62">
        <w:t xml:space="preserve">necessary in </w:t>
      </w:r>
      <w:r w:rsidR="006A1E04">
        <w:t>assessing the impacts of the project</w:t>
      </w:r>
      <w:r w:rsidR="009700F4">
        <w:t xml:space="preserve">. </w:t>
      </w:r>
    </w:p>
    <w:p w:rsidRPr="008622FB" w:rsidR="00BD4EAC" w:rsidP="00BD4EAC" w:rsidRDefault="00365A77" w14:paraId="5C154178" w14:textId="5145BF07">
      <w:pPr>
        <w:pStyle w:val="Standard"/>
      </w:pPr>
      <w:r>
        <w:rPr>
          <w:szCs w:val="26"/>
        </w:rPr>
        <w:t>If there are project</w:t>
      </w:r>
      <w:r w:rsidR="007D70D0">
        <w:rPr>
          <w:szCs w:val="26"/>
        </w:rPr>
        <w:t>s</w:t>
      </w:r>
      <w:r>
        <w:rPr>
          <w:szCs w:val="26"/>
        </w:rPr>
        <w:t xml:space="preserve"> seeking gas line subsidies that </w:t>
      </w:r>
      <w:r w:rsidR="005F21B0">
        <w:rPr>
          <w:szCs w:val="26"/>
        </w:rPr>
        <w:t xml:space="preserve">an </w:t>
      </w:r>
      <w:r>
        <w:rPr>
          <w:szCs w:val="26"/>
        </w:rPr>
        <w:t xml:space="preserve">IOU </w:t>
      </w:r>
      <w:r w:rsidR="005F21B0">
        <w:rPr>
          <w:szCs w:val="26"/>
        </w:rPr>
        <w:t xml:space="preserve">determines </w:t>
      </w:r>
      <w:r>
        <w:rPr>
          <w:szCs w:val="26"/>
        </w:rPr>
        <w:t>meet</w:t>
      </w:r>
      <w:r w:rsidR="005F21B0">
        <w:rPr>
          <w:szCs w:val="26"/>
        </w:rPr>
        <w:t>s</w:t>
      </w:r>
      <w:r>
        <w:rPr>
          <w:szCs w:val="26"/>
        </w:rPr>
        <w:t xml:space="preserve"> the above criteria, </w:t>
      </w:r>
      <w:r w:rsidR="00F928C7">
        <w:rPr>
          <w:szCs w:val="26"/>
        </w:rPr>
        <w:t>t</w:t>
      </w:r>
      <w:r w:rsidR="00AB2D14">
        <w:rPr>
          <w:szCs w:val="26"/>
        </w:rPr>
        <w:t xml:space="preserve">he IOU shall </w:t>
      </w:r>
      <w:r w:rsidR="007B2D03">
        <w:rPr>
          <w:szCs w:val="26"/>
        </w:rPr>
        <w:t>fi</w:t>
      </w:r>
      <w:r w:rsidR="002509E8">
        <w:rPr>
          <w:szCs w:val="26"/>
        </w:rPr>
        <w:t>l</w:t>
      </w:r>
      <w:r w:rsidR="007B2D03">
        <w:rPr>
          <w:szCs w:val="26"/>
        </w:rPr>
        <w:t>e an annual application</w:t>
      </w:r>
      <w:r>
        <w:rPr>
          <w:szCs w:val="26"/>
        </w:rPr>
        <w:t xml:space="preserve">, by </w:t>
      </w:r>
      <w:r w:rsidR="00F62B39">
        <w:rPr>
          <w:szCs w:val="26"/>
        </w:rPr>
        <w:t>July</w:t>
      </w:r>
      <w:r w:rsidR="00513B3F">
        <w:rPr>
          <w:szCs w:val="26"/>
        </w:rPr>
        <w:t> </w:t>
      </w:r>
      <w:r w:rsidR="00F62B39">
        <w:rPr>
          <w:szCs w:val="26"/>
        </w:rPr>
        <w:t>1</w:t>
      </w:r>
      <w:r>
        <w:rPr>
          <w:szCs w:val="26"/>
        </w:rPr>
        <w:t xml:space="preserve"> of each year</w:t>
      </w:r>
      <w:r w:rsidR="00406B89">
        <w:rPr>
          <w:szCs w:val="26"/>
        </w:rPr>
        <w:t xml:space="preserve"> beginning in 2023</w:t>
      </w:r>
      <w:r>
        <w:rPr>
          <w:szCs w:val="26"/>
        </w:rPr>
        <w:t>,</w:t>
      </w:r>
      <w:r w:rsidR="00AB2D14">
        <w:rPr>
          <w:szCs w:val="26"/>
        </w:rPr>
        <w:t xml:space="preserve"> </w:t>
      </w:r>
      <w:r w:rsidR="001622F5">
        <w:rPr>
          <w:szCs w:val="26"/>
        </w:rPr>
        <w:t>and include</w:t>
      </w:r>
      <w:r w:rsidR="00AB2D14">
        <w:rPr>
          <w:szCs w:val="26"/>
        </w:rPr>
        <w:t xml:space="preserve"> all </w:t>
      </w:r>
      <w:r w:rsidR="007D70D0">
        <w:rPr>
          <w:szCs w:val="26"/>
        </w:rPr>
        <w:t xml:space="preserve">qualified </w:t>
      </w:r>
      <w:r w:rsidR="00AB2D14">
        <w:rPr>
          <w:szCs w:val="26"/>
        </w:rPr>
        <w:t>projects requesting a gas line subsidy</w:t>
      </w:r>
      <w:r w:rsidRPr="004307DC" w:rsidR="00AB2D14">
        <w:rPr>
          <w:szCs w:val="26"/>
        </w:rPr>
        <w:t>.</w:t>
      </w:r>
      <w:r w:rsidRPr="004307DC" w:rsidR="00321119">
        <w:rPr>
          <w:szCs w:val="26"/>
        </w:rPr>
        <w:t xml:space="preserve"> </w:t>
      </w:r>
      <w:r w:rsidRPr="004307DC" w:rsidR="00C0786A">
        <w:rPr>
          <w:szCs w:val="26"/>
        </w:rPr>
        <w:t xml:space="preserve">Even though this decision eliminates gas line subsidies for all customer classes, it does not change the methodology for the calculation of gas line subsidies if the Commissions grants gas line subsidies for specific projects through the application process. In its annual filing, each IOU should include an update to the non-residential gas line extension allowance calculations based on the current methodology (including all inputs used, </w:t>
      </w:r>
      <w:r w:rsidRPr="004307DC" w:rsidR="00C0786A">
        <w:rPr>
          <w:i/>
          <w:iCs/>
          <w:szCs w:val="26"/>
        </w:rPr>
        <w:t>e.g.</w:t>
      </w:r>
      <w:r w:rsidRPr="004307DC" w:rsidR="00C0786A">
        <w:rPr>
          <w:szCs w:val="26"/>
        </w:rPr>
        <w:t xml:space="preserve">, cost of service factor). </w:t>
      </w:r>
      <w:r w:rsidRPr="004307DC" w:rsidR="00321119">
        <w:rPr>
          <w:szCs w:val="26"/>
        </w:rPr>
        <w:t>The</w:t>
      </w:r>
      <w:r w:rsidR="00321119">
        <w:rPr>
          <w:szCs w:val="26"/>
        </w:rPr>
        <w:t xml:space="preserve"> IOUs, on behalf of the project </w:t>
      </w:r>
      <w:r w:rsidR="002E020C">
        <w:rPr>
          <w:szCs w:val="26"/>
        </w:rPr>
        <w:t>applicant</w:t>
      </w:r>
      <w:r w:rsidR="003531D1">
        <w:rPr>
          <w:szCs w:val="26"/>
        </w:rPr>
        <w:t>(</w:t>
      </w:r>
      <w:r w:rsidR="002E020C">
        <w:rPr>
          <w:szCs w:val="26"/>
        </w:rPr>
        <w:t>s</w:t>
      </w:r>
      <w:r w:rsidR="003531D1">
        <w:rPr>
          <w:szCs w:val="26"/>
        </w:rPr>
        <w:t>)</w:t>
      </w:r>
      <w:r w:rsidR="00321119">
        <w:rPr>
          <w:szCs w:val="26"/>
        </w:rPr>
        <w:t xml:space="preserve">, </w:t>
      </w:r>
      <w:r w:rsidR="00391A2A">
        <w:t xml:space="preserve">must </w:t>
      </w:r>
      <w:r w:rsidRPr="00F82050" w:rsidR="00391A2A">
        <w:t>demonstrate the factual</w:t>
      </w:r>
      <w:r w:rsidR="00391A2A">
        <w:t xml:space="preserve"> </w:t>
      </w:r>
      <w:r w:rsidRPr="00F82050" w:rsidR="00391A2A">
        <w:t xml:space="preserve">basis for </w:t>
      </w:r>
      <w:r w:rsidR="00321119">
        <w:t>the project</w:t>
      </w:r>
      <w:r w:rsidR="002E020C">
        <w:t xml:space="preserve"> applicant</w:t>
      </w:r>
      <w:r w:rsidR="00321119">
        <w:t>s’</w:t>
      </w:r>
      <w:r w:rsidRPr="00F82050" w:rsidR="00391A2A">
        <w:t xml:space="preserve"> assertions, </w:t>
      </w:r>
      <w:r w:rsidR="00424903">
        <w:t xml:space="preserve">and </w:t>
      </w:r>
      <w:r w:rsidR="00F447B2">
        <w:t>confirm</w:t>
      </w:r>
      <w:r w:rsidR="00004B34">
        <w:t xml:space="preserve"> </w:t>
      </w:r>
      <w:r w:rsidRPr="00F82050" w:rsidR="00391A2A">
        <w:t>that the</w:t>
      </w:r>
      <w:r w:rsidR="00391A2A">
        <w:t xml:space="preserve"> </w:t>
      </w:r>
      <w:r w:rsidR="00C777C2">
        <w:t xml:space="preserve">minimum </w:t>
      </w:r>
      <w:r w:rsidR="00C777C2">
        <w:lastRenderedPageBreak/>
        <w:t xml:space="preserve">requirements </w:t>
      </w:r>
      <w:r w:rsidRPr="00F82050" w:rsidR="00391A2A">
        <w:t>have been met</w:t>
      </w:r>
      <w:r w:rsidRPr="004F4919" w:rsidR="004F4919">
        <w:rPr>
          <w:i/>
          <w:iCs/>
          <w:color w:val="0070C0"/>
        </w:rPr>
        <w:t xml:space="preserve"> </w:t>
      </w:r>
      <w:r w:rsidRPr="004F4919" w:rsidR="004F4919">
        <w:t xml:space="preserve">based on </w:t>
      </w:r>
      <w:r w:rsidR="004F4919">
        <w:t>the information</w:t>
      </w:r>
      <w:r w:rsidRPr="004F4919" w:rsidR="004F4919">
        <w:t xml:space="preserve"> provided by applicants</w:t>
      </w:r>
      <w:r w:rsidRPr="00F82050" w:rsidR="00391A2A">
        <w:t>.</w:t>
      </w:r>
      <w:r w:rsidR="00C97089">
        <w:rPr>
          <w:rStyle w:val="FootnoteReference"/>
        </w:rPr>
        <w:footnoteReference w:id="112"/>
      </w:r>
      <w:r w:rsidR="00C777C2">
        <w:t xml:space="preserve"> </w:t>
      </w:r>
      <w:r w:rsidRPr="007F4FD3" w:rsidR="007F4FD3">
        <w:t xml:space="preserve"> </w:t>
      </w:r>
      <w:r w:rsidR="009D2254">
        <w:t>The Commission</w:t>
      </w:r>
      <w:r w:rsidR="00BD4EAC">
        <w:t xml:space="preserve"> will evaluate the types of applications that are found to be </w:t>
      </w:r>
      <w:r w:rsidR="005D1C94">
        <w:t>deserving of gas line subsidies</w:t>
      </w:r>
      <w:r w:rsidR="00BD4EAC">
        <w:t xml:space="preserve"> over the next few application cycles, and </w:t>
      </w:r>
      <w:r w:rsidR="005D1C94">
        <w:t>may revisit the need for categorical exemptions at</w:t>
      </w:r>
      <w:r w:rsidR="00BD4EAC">
        <w:t xml:space="preserve"> </w:t>
      </w:r>
      <w:r w:rsidR="00C06E75">
        <w:t>a later</w:t>
      </w:r>
      <w:r w:rsidR="00BD4EAC">
        <w:t xml:space="preserve"> </w:t>
      </w:r>
      <w:r w:rsidR="005D1C94">
        <w:t>time</w:t>
      </w:r>
      <w:r w:rsidR="00C76850">
        <w:t xml:space="preserve">. </w:t>
      </w:r>
      <w:r w:rsidR="001B5B05">
        <w:t xml:space="preserve">The </w:t>
      </w:r>
      <w:r w:rsidRPr="001B5B05" w:rsidR="001B5B05">
        <w:t xml:space="preserve">IOUs </w:t>
      </w:r>
      <w:r w:rsidR="001B5B05">
        <w:t xml:space="preserve">may </w:t>
      </w:r>
      <w:r w:rsidRPr="001B5B05" w:rsidR="001B5B05">
        <w:t xml:space="preserve">propose potential categorical exemptions </w:t>
      </w:r>
      <w:r w:rsidR="001B5B05">
        <w:t xml:space="preserve">in their annual filing </w:t>
      </w:r>
      <w:r w:rsidRPr="001B5B05" w:rsidR="001B5B05">
        <w:t>after two application cycles</w:t>
      </w:r>
      <w:r w:rsidR="00C76850">
        <w:t xml:space="preserve">. </w:t>
      </w:r>
      <w:r w:rsidR="00C6169B">
        <w:t xml:space="preserve">The IOUs </w:t>
      </w:r>
      <w:r w:rsidR="00DB4B4C">
        <w:t xml:space="preserve">may </w:t>
      </w:r>
      <w:r w:rsidR="0041692D">
        <w:t>also</w:t>
      </w:r>
      <w:r w:rsidR="00C6169B">
        <w:t xml:space="preserve"> reference similar projects that have received gas line subsidies in the</w:t>
      </w:r>
      <w:r w:rsidR="00DB4B4C">
        <w:t>ir</w:t>
      </w:r>
      <w:r w:rsidR="00C6169B">
        <w:t xml:space="preserve"> annual filing, and</w:t>
      </w:r>
      <w:r w:rsidR="00685206">
        <w:t xml:space="preserve"> o</w:t>
      </w:r>
      <w:r w:rsidR="009319B8">
        <w:t xml:space="preserve">ver time, this </w:t>
      </w:r>
      <w:r w:rsidR="00093A86">
        <w:t xml:space="preserve">could </w:t>
      </w:r>
      <w:r w:rsidR="009319B8">
        <w:t>reduce the burden on applicants and IOUs in demonstrating eligibility for these subsidies</w:t>
      </w:r>
      <w:r w:rsidR="00C76850">
        <w:t xml:space="preserve">. </w:t>
      </w:r>
    </w:p>
    <w:p w:rsidRPr="008622FB" w:rsidR="00935510" w:rsidP="00935510" w:rsidRDefault="00C26120" w14:paraId="4D9BD054" w14:textId="640E9C7A">
      <w:pPr>
        <w:pStyle w:val="Standard"/>
      </w:pPr>
      <w:r>
        <w:t xml:space="preserve">Lastly, </w:t>
      </w:r>
      <w:r w:rsidR="00E624B9">
        <w:t xml:space="preserve">the Commission </w:t>
      </w:r>
      <w:r w:rsidR="007F4FD3">
        <w:t>den</w:t>
      </w:r>
      <w:r w:rsidR="00E624B9">
        <w:t>ies</w:t>
      </w:r>
      <w:r w:rsidR="007F4FD3">
        <w:t xml:space="preserve"> TURN’s proposal to modify the </w:t>
      </w:r>
      <w:r>
        <w:t>cost allocation</w:t>
      </w:r>
      <w:r w:rsidR="00F67BBC">
        <w:t>/</w:t>
      </w:r>
      <w:r w:rsidR="00A734B9">
        <w:t>collection</w:t>
      </w:r>
      <w:r w:rsidR="006850ED">
        <w:t xml:space="preserve"> methodology</w:t>
      </w:r>
      <w:r w:rsidR="00A734B9">
        <w:t xml:space="preserve"> </w:t>
      </w:r>
      <w:r>
        <w:t xml:space="preserve">of these subsidies to only </w:t>
      </w:r>
      <w:r w:rsidRPr="007F4FD3" w:rsidR="007F4FD3">
        <w:t>require non</w:t>
      </w:r>
      <w:r w:rsidR="00513B3F">
        <w:noBreakHyphen/>
      </w:r>
      <w:r w:rsidRPr="007F4FD3" w:rsidR="007F4FD3">
        <w:t>residential customer classes to subsidize the costs</w:t>
      </w:r>
      <w:r w:rsidR="00233081">
        <w:t>.</w:t>
      </w:r>
      <w:r w:rsidRPr="00557DD3" w:rsidR="00557DD3">
        <w:rPr>
          <w:vertAlign w:val="superscript"/>
        </w:rPr>
        <w:footnoteReference w:id="113"/>
      </w:r>
      <w:r w:rsidR="00557DD3">
        <w:t xml:space="preserve"> </w:t>
      </w:r>
      <w:r w:rsidR="00233081">
        <w:t xml:space="preserve">We do this because </w:t>
      </w:r>
      <w:r w:rsidR="00664104">
        <w:t>the</w:t>
      </w:r>
      <w:r w:rsidR="00E624B9">
        <w:t>se</w:t>
      </w:r>
      <w:r w:rsidR="00664104">
        <w:t xml:space="preserve"> </w:t>
      </w:r>
      <w:r w:rsidR="00E624B9">
        <w:t>projects</w:t>
      </w:r>
      <w:r w:rsidR="003024CA">
        <w:t xml:space="preserve">, if </w:t>
      </w:r>
      <w:r w:rsidR="00DB600B">
        <w:t xml:space="preserve">approved </w:t>
      </w:r>
      <w:r w:rsidR="00E624B9">
        <w:t xml:space="preserve">for subsidies </w:t>
      </w:r>
      <w:r w:rsidR="00EE7A06">
        <w:t>through this application process</w:t>
      </w:r>
      <w:r w:rsidR="00CC0EBC">
        <w:t>,</w:t>
      </w:r>
      <w:r w:rsidR="000C5836">
        <w:t xml:space="preserve"> would</w:t>
      </w:r>
      <w:r w:rsidR="00EE7A06">
        <w:t xml:space="preserve"> </w:t>
      </w:r>
      <w:r w:rsidR="00A62746">
        <w:t>ha</w:t>
      </w:r>
      <w:r w:rsidR="00E624B9">
        <w:t>ve</w:t>
      </w:r>
      <w:r w:rsidR="00A62746">
        <w:t xml:space="preserve"> demonstrated </w:t>
      </w:r>
      <w:r w:rsidR="00E624B9">
        <w:t>that they will</w:t>
      </w:r>
      <w:r w:rsidR="00A62746">
        <w:t xml:space="preserve"> </w:t>
      </w:r>
      <w:r w:rsidR="0071686E">
        <w:t>reduce GHG emissions and be consistent with California’s climate goals. This benefits all ratepayers, not just the non</w:t>
      </w:r>
      <w:r w:rsidR="00513B3F">
        <w:noBreakHyphen/>
      </w:r>
      <w:r w:rsidR="0071686E">
        <w:t xml:space="preserve">residential customer class. </w:t>
      </w:r>
      <w:r w:rsidR="00E624B9">
        <w:t xml:space="preserve">The Commission </w:t>
      </w:r>
      <w:r w:rsidR="000828EF">
        <w:t xml:space="preserve">also </w:t>
      </w:r>
      <w:r w:rsidR="00233081">
        <w:t>believe</w:t>
      </w:r>
      <w:r w:rsidR="00E624B9">
        <w:t>s</w:t>
      </w:r>
      <w:r w:rsidR="00233081">
        <w:t xml:space="preserve"> the resulting subsidies, if any, will </w:t>
      </w:r>
      <w:r w:rsidR="000828EF">
        <w:t xml:space="preserve">not </w:t>
      </w:r>
      <w:r w:rsidR="00233081">
        <w:t xml:space="preserve">be </w:t>
      </w:r>
      <w:r w:rsidR="00182CFD">
        <w:t xml:space="preserve">so large as to justify the additional administrative burden to </w:t>
      </w:r>
      <w:r w:rsidR="000828EF">
        <w:t>distribute the costs</w:t>
      </w:r>
      <w:r w:rsidR="00C74470">
        <w:t xml:space="preserve"> in proportion to the benefits received by customer class. </w:t>
      </w:r>
    </w:p>
    <w:p w:rsidRPr="00717BC2" w:rsidR="00991835" w:rsidP="007C2EF4" w:rsidRDefault="00AD7379" w14:paraId="179F707B" w14:textId="51CA42D5">
      <w:pPr>
        <w:pStyle w:val="Heading3"/>
      </w:pPr>
      <w:bookmarkStart w:name="_Toc109376131" w:id="157"/>
      <w:bookmarkStart w:name="_Toc109141163" w:id="158"/>
      <w:bookmarkStart w:name="_Toc110598583" w:id="159"/>
      <w:r>
        <w:t>Assistance</w:t>
      </w:r>
      <w:r w:rsidRPr="0052607D" w:rsidR="00253556">
        <w:t xml:space="preserve"> for Low Income, Rural</w:t>
      </w:r>
      <w:r w:rsidR="00117AE2">
        <w:t xml:space="preserve"> </w:t>
      </w:r>
      <w:r w:rsidRPr="0052607D" w:rsidR="00253556">
        <w:t>and Small Businesses</w:t>
      </w:r>
      <w:r w:rsidRPr="00337174" w:rsidR="00CD2720">
        <w:t>:</w:t>
      </w:r>
      <w:r w:rsidRPr="00337174" w:rsidR="00117AE2">
        <w:t xml:space="preserve"> </w:t>
      </w:r>
      <w:r w:rsidRPr="00337174" w:rsidR="00406A80">
        <w:t xml:space="preserve"> </w:t>
      </w:r>
      <w:r w:rsidRPr="00337174" w:rsidR="0052607D">
        <w:t>A</w:t>
      </w:r>
      <w:r w:rsidRPr="00717BC2" w:rsidR="0052607D">
        <w:t>pproved</w:t>
      </w:r>
      <w:r w:rsidRPr="00717BC2" w:rsidR="002812C4">
        <w:t xml:space="preserve"> with Modifications</w:t>
      </w:r>
      <w:bookmarkEnd w:id="157"/>
      <w:bookmarkEnd w:id="158"/>
      <w:bookmarkEnd w:id="159"/>
    </w:p>
    <w:p w:rsidRPr="00455D99" w:rsidR="00455D99" w:rsidP="000F3361" w:rsidRDefault="00FE4F29" w14:paraId="0E099F5E" w14:textId="08D8E3D4">
      <w:pPr>
        <w:pStyle w:val="Standard"/>
      </w:pPr>
      <w:r w:rsidRPr="0052607D">
        <w:t xml:space="preserve">We approve </w:t>
      </w:r>
      <w:r w:rsidRPr="0052607D" w:rsidR="00433F78">
        <w:t xml:space="preserve">SBUA’s proposal </w:t>
      </w:r>
      <w:r w:rsidRPr="0052607D" w:rsidR="0048768F">
        <w:t xml:space="preserve">to </w:t>
      </w:r>
      <w:r w:rsidRPr="0052607D">
        <w:t xml:space="preserve">further </w:t>
      </w:r>
      <w:r w:rsidR="00141F3F">
        <w:t>investigate</w:t>
      </w:r>
      <w:r w:rsidR="00095C33">
        <w:t xml:space="preserve"> the needs of small busines</w:t>
      </w:r>
      <w:r w:rsidRPr="00C60E20" w:rsidR="0048768F">
        <w:t xml:space="preserve">ses not currently connected to gas infrastructure that </w:t>
      </w:r>
      <w:r w:rsidR="00E0000E">
        <w:t xml:space="preserve">move towards electrification. </w:t>
      </w:r>
      <w:r w:rsidR="00E80A08">
        <w:t xml:space="preserve">Although this decision does not make any special exceptions for </w:t>
      </w:r>
      <w:r w:rsidR="00E80A08">
        <w:lastRenderedPageBreak/>
        <w:t xml:space="preserve">the treatment of small businesses </w:t>
      </w:r>
      <w:r w:rsidR="00C77A27">
        <w:t>in regard to</w:t>
      </w:r>
      <w:r w:rsidR="00E80A08">
        <w:t xml:space="preserve"> </w:t>
      </w:r>
      <w:r w:rsidR="00C77A27">
        <w:t xml:space="preserve">electrification, </w:t>
      </w:r>
      <w:r w:rsidR="00A64DA1">
        <w:t xml:space="preserve">we are committed to </w:t>
      </w:r>
      <w:r w:rsidR="002E1762">
        <w:t>considering</w:t>
      </w:r>
      <w:r w:rsidR="00A64DA1">
        <w:t xml:space="preserve"> the unique challenges to electrification faced by small businesses</w:t>
      </w:r>
      <w:r w:rsidR="00CF2584">
        <w:t xml:space="preserve"> in </w:t>
      </w:r>
      <w:r w:rsidR="001252EC">
        <w:t xml:space="preserve">future </w:t>
      </w:r>
      <w:r w:rsidR="00CF2584">
        <w:t xml:space="preserve">phases </w:t>
      </w:r>
      <w:r w:rsidR="00E0000E">
        <w:t>of this proceeding</w:t>
      </w:r>
      <w:r w:rsidRPr="00455D99" w:rsidR="00455D99">
        <w:t>.</w:t>
      </w:r>
    </w:p>
    <w:p w:rsidRPr="00017BAE" w:rsidR="00FC28E7" w:rsidP="007C2EF4" w:rsidRDefault="00FC28E7" w14:paraId="2F0F81C3" w14:textId="67BE8CBE">
      <w:pPr>
        <w:pStyle w:val="Heading1"/>
      </w:pPr>
      <w:bookmarkStart w:name="_Toc109376132" w:id="160"/>
      <w:bookmarkStart w:name="_Toc109141164" w:id="161"/>
      <w:bookmarkStart w:name="_Toc110598584" w:id="162"/>
      <w:r w:rsidRPr="00017BAE">
        <w:t xml:space="preserve">Compliance with </w:t>
      </w:r>
      <w:r w:rsidR="007D79B6">
        <w:t>Pub. Util.</w:t>
      </w:r>
      <w:r w:rsidR="00CB4064">
        <w:br/>
      </w:r>
      <w:r w:rsidRPr="00017BAE">
        <w:t xml:space="preserve">Code </w:t>
      </w:r>
      <w:r w:rsidR="000F2D16">
        <w:t>Section </w:t>
      </w:r>
      <w:r w:rsidRPr="00017BAE">
        <w:t>783(b)</w:t>
      </w:r>
      <w:r w:rsidR="00154071">
        <w:noBreakHyphen/>
      </w:r>
      <w:r w:rsidRPr="00017BAE" w:rsidR="000D797A">
        <w:t>(d)</w:t>
      </w:r>
      <w:bookmarkEnd w:id="160"/>
      <w:bookmarkEnd w:id="161"/>
      <w:bookmarkEnd w:id="162"/>
    </w:p>
    <w:p w:rsidR="00E2775A" w:rsidP="006F5DBD" w:rsidRDefault="007D79B6" w14:paraId="044E8DB0" w14:textId="265A8B69">
      <w:pPr>
        <w:pStyle w:val="Standard"/>
        <w:keepNext/>
      </w:pPr>
      <w:r>
        <w:t>Pub.</w:t>
      </w:r>
      <w:r w:rsidR="00513B3F">
        <w:t> </w:t>
      </w:r>
      <w:r>
        <w:t>Util.</w:t>
      </w:r>
      <w:r w:rsidRPr="00017BAE" w:rsidR="00FC28E7">
        <w:t xml:space="preserve"> Code </w:t>
      </w:r>
      <w:r w:rsidR="000F2D16">
        <w:t>Section</w:t>
      </w:r>
      <w:r w:rsidR="00513B3F">
        <w:t> </w:t>
      </w:r>
      <w:r w:rsidRPr="00017BAE" w:rsidR="00FC28E7">
        <w:t>783(b) states that</w:t>
      </w:r>
      <w:r w:rsidR="00E2775A">
        <w:t>:</w:t>
      </w:r>
    </w:p>
    <w:p w:rsidRPr="00FC28E7" w:rsidR="00FC28E7" w:rsidP="0073789F" w:rsidRDefault="0073789F" w14:paraId="22535539" w14:textId="550CA029">
      <w:pPr>
        <w:pStyle w:val="BlockQuote"/>
      </w:pPr>
      <w:r w:rsidRPr="0073789F">
        <w:t xml:space="preserve">Whenever the commission </w:t>
      </w:r>
      <w:r w:rsidRPr="00FC28E7" w:rsidR="00FC28E7">
        <w:t xml:space="preserve">institutes an investigation into the terms and conditions for the extension of services provided by gas and electrical corporations to new or existing customers, or considers issuing an order or decision amending those terms or conditions, the commission shall make written findings on </w:t>
      </w:r>
      <w:r w:rsidRPr="0073789F">
        <w:t xml:space="preserve">all of </w:t>
      </w:r>
      <w:r w:rsidR="00FC28E7">
        <w:t xml:space="preserve">the </w:t>
      </w:r>
      <w:r w:rsidRPr="0073789F">
        <w:t>following</w:t>
      </w:r>
      <w:r w:rsidRPr="00FC28E7" w:rsidR="00FC28E7">
        <w:t xml:space="preserve"> issues</w:t>
      </w:r>
      <w:r w:rsidRPr="0073789F">
        <w:t>:</w:t>
      </w:r>
      <w:r w:rsidRPr="00FC28E7" w:rsidR="00FC28E7">
        <w:t xml:space="preserve"> </w:t>
      </w:r>
    </w:p>
    <w:p w:rsidRPr="00C87130" w:rsidR="00C87130" w:rsidP="001D4704" w:rsidRDefault="00C87130" w14:paraId="5DE85061" w14:textId="6069191D">
      <w:pPr>
        <w:pStyle w:val="BlockQuoteH033"/>
      </w:pPr>
      <w:r w:rsidRPr="00C87130">
        <w:t>(1)</w:t>
      </w:r>
      <w:r w:rsidR="00856F3C">
        <w:tab/>
      </w:r>
      <w:r w:rsidRPr="00C87130">
        <w:t xml:space="preserve">The economic effect of the line and service extension terms and conditions upon agriculture, residential housing, </w:t>
      </w:r>
      <w:r w:rsidRPr="00C87130" w:rsidR="007412B1">
        <w:t>mobile home</w:t>
      </w:r>
      <w:r w:rsidRPr="00C87130">
        <w:t xml:space="preserve"> parks, rural customers, urban customers, employment, and commercial and industrial building and development.</w:t>
      </w:r>
    </w:p>
    <w:p w:rsidRPr="00C87130" w:rsidR="00C87130" w:rsidP="001D4704" w:rsidRDefault="00C87130" w14:paraId="346070DE" w14:textId="2B7F2B58">
      <w:pPr>
        <w:pStyle w:val="BlockQuoteH033"/>
      </w:pPr>
      <w:r w:rsidRPr="00C87130">
        <w:t>(2)</w:t>
      </w:r>
      <w:r w:rsidR="00856F3C">
        <w:tab/>
      </w:r>
      <w:r w:rsidRPr="00C87130">
        <w:t>The effect of requiring new or existing customers applying for an extension to an electrical or gas corporation to provide transmission or distribution facilities for other customers who will apply to receive line and service extensions in the future.</w:t>
      </w:r>
    </w:p>
    <w:p w:rsidRPr="00C87130" w:rsidR="00C87130" w:rsidP="001D4704" w:rsidRDefault="00C87130" w14:paraId="72D6CBB6" w14:textId="2F59A9AA">
      <w:pPr>
        <w:pStyle w:val="BlockQuoteH033"/>
      </w:pPr>
      <w:r w:rsidRPr="00C87130">
        <w:t>(3)</w:t>
      </w:r>
      <w:r w:rsidR="00856F3C">
        <w:tab/>
      </w:r>
      <w:r w:rsidRPr="00C87130">
        <w:t>The effect of requiring a new or existing customer applying for an extension to an electrical or gas corporation to be responsible for the distribution of, reinforcements of, relocations of, or additions to that gas or electrical corporation.</w:t>
      </w:r>
    </w:p>
    <w:p w:rsidRPr="00C87130" w:rsidR="00C87130" w:rsidP="001D4704" w:rsidRDefault="00C87130" w14:paraId="355207DE" w14:textId="0356A71B">
      <w:pPr>
        <w:pStyle w:val="BlockQuoteH033"/>
      </w:pPr>
      <w:r w:rsidRPr="00C87130">
        <w:t>(4)</w:t>
      </w:r>
      <w:r w:rsidR="00856F3C">
        <w:tab/>
      </w:r>
      <w:r w:rsidRPr="00C87130">
        <w:t>The economic effect of the terms and conditions upon projects, including redevelopment projects, funded or sponsored by cities, counties, or districts.</w:t>
      </w:r>
    </w:p>
    <w:p w:rsidRPr="00C87130" w:rsidR="00C87130" w:rsidP="001D4704" w:rsidRDefault="00C87130" w14:paraId="2704A824" w14:textId="054696BB">
      <w:pPr>
        <w:pStyle w:val="BlockQuoteH033"/>
      </w:pPr>
      <w:r w:rsidRPr="00C87130">
        <w:t>(5)</w:t>
      </w:r>
      <w:r w:rsidR="00856F3C">
        <w:tab/>
      </w:r>
      <w:r w:rsidRPr="00C87130">
        <w:t>The effect of the line and service extension regulations, and any modifications to them, on existing ratepayers.</w:t>
      </w:r>
    </w:p>
    <w:p w:rsidRPr="00C87130" w:rsidR="00C87130" w:rsidP="001D4704" w:rsidRDefault="00C87130" w14:paraId="78B33468" w14:textId="60980AE9">
      <w:pPr>
        <w:pStyle w:val="BlockQuoteH033"/>
      </w:pPr>
      <w:r w:rsidRPr="00C87130">
        <w:lastRenderedPageBreak/>
        <w:t>(6)</w:t>
      </w:r>
      <w:r w:rsidR="00856F3C">
        <w:tab/>
      </w:r>
      <w:r w:rsidRPr="00C87130">
        <w:t>The effect of the line and service extension regulations, and any modifications to them, on the consumption and conservation of energy.</w:t>
      </w:r>
    </w:p>
    <w:p w:rsidRPr="00C87130" w:rsidR="00C87130" w:rsidP="001D4704" w:rsidRDefault="00C87130" w14:paraId="0DEE76FD" w14:textId="3817292C">
      <w:pPr>
        <w:pStyle w:val="BlockQuoteH033"/>
      </w:pPr>
      <w:r w:rsidRPr="00C87130">
        <w:t>(</w:t>
      </w:r>
      <w:r w:rsidRPr="00C87130" w:rsidR="002F254D">
        <w:t>7</w:t>
      </w:r>
      <w:r w:rsidRPr="00C87130">
        <w:t>)</w:t>
      </w:r>
      <w:r w:rsidR="00856F3C">
        <w:tab/>
      </w:r>
      <w:r w:rsidRPr="00C87130" w:rsidR="00FC28E7">
        <w:t>The extent to which there is cost</w:t>
      </w:r>
      <w:r w:rsidR="00513B3F">
        <w:noBreakHyphen/>
      </w:r>
      <w:r w:rsidRPr="00C87130" w:rsidR="00FC28E7">
        <w:t>justification for a special line and service extension allowance for agriculture</w:t>
      </w:r>
      <w:r w:rsidRPr="00C87130">
        <w:t>.</w:t>
      </w:r>
      <w:r w:rsidR="00E06937">
        <w:t>”</w:t>
      </w:r>
      <w:r w:rsidR="0012671D">
        <w:rPr>
          <w:rStyle w:val="FootnoteReference"/>
        </w:rPr>
        <w:footnoteReference w:id="114"/>
      </w:r>
    </w:p>
    <w:p w:rsidR="00847B2C" w:rsidP="006F5DBD" w:rsidRDefault="007D79B6" w14:paraId="00758DBE" w14:textId="6B520022">
      <w:pPr>
        <w:pStyle w:val="Standard"/>
        <w:keepNext/>
      </w:pPr>
      <w:r>
        <w:t>Pub.</w:t>
      </w:r>
      <w:r w:rsidR="00513B3F">
        <w:t> </w:t>
      </w:r>
      <w:r>
        <w:t>Util.</w:t>
      </w:r>
      <w:r w:rsidRPr="000D797A" w:rsidR="00847B2C">
        <w:t xml:space="preserve"> Code </w:t>
      </w:r>
      <w:r w:rsidR="000F2D16">
        <w:t>Section</w:t>
      </w:r>
      <w:r w:rsidR="00513B3F">
        <w:t> </w:t>
      </w:r>
      <w:r w:rsidRPr="000D797A" w:rsidR="00847B2C">
        <w:t>783(</w:t>
      </w:r>
      <w:r w:rsidR="00847B2C">
        <w:t>c</w:t>
      </w:r>
      <w:r w:rsidRPr="000D797A" w:rsidR="00847B2C">
        <w:t xml:space="preserve">) </w:t>
      </w:r>
      <w:r w:rsidR="00505418">
        <w:t>states</w:t>
      </w:r>
      <w:r w:rsidR="00DF6F6C">
        <w:t xml:space="preserve"> that</w:t>
      </w:r>
      <w:r w:rsidR="006F7812">
        <w:t>:</w:t>
      </w:r>
    </w:p>
    <w:p w:rsidR="006F7812" w:rsidP="009C7BD2" w:rsidRDefault="009C7BD2" w14:paraId="08395878" w14:textId="05D63612">
      <w:pPr>
        <w:pStyle w:val="BlockQuote"/>
      </w:pPr>
      <w:r w:rsidRPr="009C7BD2">
        <w:t>The commission shall request the assistance of appropriate state agencies and departments in conducting any investigation or proceeding pursuant to sub</w:t>
      </w:r>
      <w:r w:rsidR="00D57C9E">
        <w:t>division</w:t>
      </w:r>
      <w:r w:rsidR="00513B3F">
        <w:t> </w:t>
      </w:r>
      <w:r w:rsidR="00D57C9E">
        <w:t>(</w:t>
      </w:r>
      <w:r w:rsidRPr="009C7BD2">
        <w:t>b), including, but not limited to, the Transportation Agency, the Department of Food and Agriculture, the Department of Consumer Affairs, the Bureau of Real Estate, and the Department of Housing and Community Development.</w:t>
      </w:r>
      <w:r w:rsidR="00DF6F6C">
        <w:rPr>
          <w:rStyle w:val="FootnoteReference"/>
        </w:rPr>
        <w:footnoteReference w:id="115"/>
      </w:r>
    </w:p>
    <w:p w:rsidR="006908E8" w:rsidP="006F5DBD" w:rsidRDefault="00D539C0" w14:paraId="78669DCD" w14:textId="304D0534">
      <w:pPr>
        <w:pStyle w:val="Standard"/>
        <w:keepNext/>
      </w:pPr>
      <w:r>
        <w:t>Lastly</w:t>
      </w:r>
      <w:r w:rsidRPr="000D797A" w:rsidR="000D797A">
        <w:t xml:space="preserve">, </w:t>
      </w:r>
      <w:r w:rsidR="007D79B6">
        <w:t>Pub.</w:t>
      </w:r>
      <w:r w:rsidR="00513B3F">
        <w:t> </w:t>
      </w:r>
      <w:r w:rsidR="007D79B6">
        <w:t>Util.</w:t>
      </w:r>
      <w:r w:rsidRPr="000D797A" w:rsidR="000D797A">
        <w:t xml:space="preserve"> Code </w:t>
      </w:r>
      <w:r w:rsidR="000F2D16">
        <w:t>Section</w:t>
      </w:r>
      <w:r w:rsidR="00513B3F">
        <w:t> </w:t>
      </w:r>
      <w:r w:rsidRPr="000D797A" w:rsidR="000D797A">
        <w:t>783(d) requires</w:t>
      </w:r>
      <w:r w:rsidR="006908E8">
        <w:t>:</w:t>
      </w:r>
    </w:p>
    <w:p w:rsidR="00207AF9" w:rsidP="000B3F5F" w:rsidRDefault="006908E8" w14:paraId="0C3F4F0F" w14:textId="3B14BEF1">
      <w:pPr>
        <w:pStyle w:val="BlockQuote"/>
      </w:pPr>
      <w:r>
        <w:t>Any new order or decision issued pursuant to an investigation or proceeding conducted pursuant to sub</w:t>
      </w:r>
      <w:r w:rsidR="00D57C9E">
        <w:t>division</w:t>
      </w:r>
      <w:r w:rsidR="00513B3F">
        <w:t> </w:t>
      </w:r>
      <w:r w:rsidR="00D57C9E">
        <w:t>(</w:t>
      </w:r>
      <w:r>
        <w:t xml:space="preserve">b) shall become effective on </w:t>
      </w:r>
      <w:r w:rsidR="00F62B39">
        <w:t>July</w:t>
      </w:r>
      <w:r w:rsidR="00513B3F">
        <w:t> </w:t>
      </w:r>
      <w:r w:rsidR="00F62B39">
        <w:t>1</w:t>
      </w:r>
      <w:r>
        <w:t xml:space="preserve"> of the year which follows the year when the new order or decision is adopted by the commission, so as to ensure that the public has at least six months to consider the new order or decision.</w:t>
      </w:r>
      <w:r w:rsidR="0012671D">
        <w:rPr>
          <w:rStyle w:val="FootnoteReference"/>
        </w:rPr>
        <w:footnoteReference w:id="116"/>
      </w:r>
    </w:p>
    <w:p w:rsidR="00FC28E7" w:rsidP="007C2EF4" w:rsidRDefault="00FC28E7" w14:paraId="713238B3" w14:textId="18EC0F7B">
      <w:pPr>
        <w:pStyle w:val="Heading2"/>
      </w:pPr>
      <w:bookmarkStart w:name="_Toc109376133" w:id="163"/>
      <w:bookmarkStart w:name="_Toc109141165" w:id="164"/>
      <w:bookmarkStart w:name="_Toc110598585" w:id="165"/>
      <w:r>
        <w:t>Staff Proposal</w:t>
      </w:r>
      <w:bookmarkEnd w:id="163"/>
      <w:bookmarkEnd w:id="164"/>
      <w:bookmarkEnd w:id="165"/>
    </w:p>
    <w:p w:rsidRPr="005F3FB1" w:rsidR="00AE4AFE" w:rsidP="00AE4AFE" w:rsidRDefault="00D539C0" w14:paraId="21BE8AB1" w14:textId="70E4B379">
      <w:pPr>
        <w:pStyle w:val="Standard"/>
      </w:pPr>
      <w:r>
        <w:t xml:space="preserve">In response to </w:t>
      </w:r>
      <w:r w:rsidR="007D79B6">
        <w:t>Pub.</w:t>
      </w:r>
      <w:r w:rsidR="00513B3F">
        <w:t> </w:t>
      </w:r>
      <w:r w:rsidR="007D79B6">
        <w:t>Util.</w:t>
      </w:r>
      <w:r w:rsidRPr="00017BAE">
        <w:t xml:space="preserve"> Code </w:t>
      </w:r>
      <w:r w:rsidR="000F2D16">
        <w:t>Section</w:t>
      </w:r>
      <w:r w:rsidR="00513B3F">
        <w:t> </w:t>
      </w:r>
      <w:r w:rsidRPr="00017BAE">
        <w:t xml:space="preserve">783(b) </w:t>
      </w:r>
      <w:r>
        <w:t>t</w:t>
      </w:r>
      <w:r w:rsidR="00AC1DCB">
        <w:t xml:space="preserve">he Staff </w:t>
      </w:r>
      <w:r w:rsidR="009F642B">
        <w:t>P</w:t>
      </w:r>
      <w:r w:rsidR="00AC1DCB">
        <w:t xml:space="preserve">roposal </w:t>
      </w:r>
      <w:r w:rsidR="009F642B">
        <w:t xml:space="preserve">addresses each of the </w:t>
      </w:r>
      <w:r w:rsidR="00D967B9">
        <w:t xml:space="preserve">seven issues </w:t>
      </w:r>
      <w:r w:rsidR="00FD7031">
        <w:t>as follows</w:t>
      </w:r>
      <w:r w:rsidR="00D967B9">
        <w:t>.</w:t>
      </w:r>
      <w:r w:rsidR="0063271B">
        <w:rPr>
          <w:rStyle w:val="FootnoteReference"/>
        </w:rPr>
        <w:footnoteReference w:id="117"/>
      </w:r>
      <w:r w:rsidR="00D967B9">
        <w:t xml:space="preserve"> </w:t>
      </w:r>
    </w:p>
    <w:p w:rsidR="009A6A30" w:rsidP="00D31C87" w:rsidRDefault="000B3F5F" w14:paraId="1B478193" w14:textId="59756CA9">
      <w:pPr>
        <w:pStyle w:val="Standard"/>
      </w:pPr>
      <w:r w:rsidRPr="008A48B2">
        <w:rPr>
          <w:iCs/>
        </w:rPr>
        <w:lastRenderedPageBreak/>
        <w:t xml:space="preserve">On </w:t>
      </w:r>
      <w:r w:rsidRPr="008A48B2" w:rsidR="00FD740B">
        <w:rPr>
          <w:iCs/>
        </w:rPr>
        <w:t>Issue</w:t>
      </w:r>
      <w:r w:rsidRPr="008A48B2" w:rsidR="00513B3F">
        <w:rPr>
          <w:iCs/>
        </w:rPr>
        <w:t> </w:t>
      </w:r>
      <w:r w:rsidRPr="008A48B2" w:rsidR="002F254D">
        <w:rPr>
          <w:iCs/>
        </w:rPr>
        <w:t>1</w:t>
      </w:r>
      <w:r w:rsidRPr="005D3ACF">
        <w:rPr>
          <w:iCs/>
        </w:rPr>
        <w:t>,</w:t>
      </w:r>
      <w:r w:rsidR="00E01054">
        <w:t xml:space="preserve"> </w:t>
      </w:r>
      <w:r w:rsidRPr="00D967B9" w:rsidR="00AE4AFE">
        <w:t>Staff</w:t>
      </w:r>
      <w:r w:rsidR="00E01054">
        <w:t xml:space="preserve"> </w:t>
      </w:r>
      <w:r w:rsidRPr="00D967B9" w:rsidR="00AE4AFE">
        <w:t>expect</w:t>
      </w:r>
      <w:r w:rsidR="00E01054">
        <w:t xml:space="preserve">s that the </w:t>
      </w:r>
      <w:r w:rsidRPr="00D967B9" w:rsidR="00AE4AFE">
        <w:t>eliminati</w:t>
      </w:r>
      <w:r w:rsidR="00E01054">
        <w:t>o</w:t>
      </w:r>
      <w:r w:rsidRPr="00D967B9" w:rsidR="00AE4AFE">
        <w:t>n</w:t>
      </w:r>
      <w:r w:rsidR="00E01054">
        <w:t xml:space="preserve"> of </w:t>
      </w:r>
      <w:r w:rsidRPr="00D967B9" w:rsidR="00AE4AFE">
        <w:t xml:space="preserve">gas line </w:t>
      </w:r>
      <w:r w:rsidR="00D725FD">
        <w:t>subsidies</w:t>
      </w:r>
      <w:r w:rsidRPr="00D967B9" w:rsidR="00AE4AFE">
        <w:t xml:space="preserve"> would increase the number of newly constructed all</w:t>
      </w:r>
      <w:r w:rsidR="00513B3F">
        <w:noBreakHyphen/>
      </w:r>
      <w:r w:rsidRPr="00D967B9" w:rsidR="00AE4AFE">
        <w:t>electric buildings and that prices for those all</w:t>
      </w:r>
      <w:r w:rsidR="00513B3F">
        <w:noBreakHyphen/>
      </w:r>
      <w:r w:rsidRPr="00D967B9" w:rsidR="00AE4AFE">
        <w:t>electric buildings will likely be less than those for an equivalent newly constructed dual fuel building</w:t>
      </w:r>
      <w:r w:rsidR="00E01054">
        <w:t>.</w:t>
      </w:r>
      <w:r w:rsidR="00296941">
        <w:t xml:space="preserve"> </w:t>
      </w:r>
      <w:r w:rsidRPr="009A6A30" w:rsidR="009A6A30">
        <w:t xml:space="preserve">Dual fuel buildings constructed without gas line </w:t>
      </w:r>
      <w:r w:rsidR="00D57DDF">
        <w:t>subsidies</w:t>
      </w:r>
      <w:r w:rsidRPr="009A6A30" w:rsidR="009A6A30">
        <w:t xml:space="preserve"> would be expected to cost more than they do today, but </w:t>
      </w:r>
      <w:r w:rsidR="008571FF">
        <w:t>minimally (anywhere from 0.07</w:t>
      </w:r>
      <w:r w:rsidR="00513B3F">
        <w:t> </w:t>
      </w:r>
      <w:r w:rsidR="003E72B0">
        <w:t>percent</w:t>
      </w:r>
      <w:r w:rsidR="00154A7E">
        <w:t xml:space="preserve"> </w:t>
      </w:r>
      <w:r w:rsidR="00D44A27">
        <w:t xml:space="preserve">to </w:t>
      </w:r>
      <w:r w:rsidR="008571FF">
        <w:t>0.25</w:t>
      </w:r>
      <w:r w:rsidR="00513B3F">
        <w:t> </w:t>
      </w:r>
      <w:r w:rsidR="003E72B0">
        <w:t>percent</w:t>
      </w:r>
      <w:r w:rsidR="008571FF">
        <w:t xml:space="preserve"> depending on the </w:t>
      </w:r>
      <w:r w:rsidRPr="009A6A30" w:rsidR="008571FF">
        <w:t xml:space="preserve">gas line </w:t>
      </w:r>
      <w:r w:rsidR="008571FF">
        <w:t>subsidies</w:t>
      </w:r>
      <w:r w:rsidRPr="009A6A30" w:rsidR="008571FF">
        <w:t xml:space="preserve"> </w:t>
      </w:r>
      <w:r w:rsidR="008571FF">
        <w:t>type)</w:t>
      </w:r>
      <w:r w:rsidR="00B64D31">
        <w:t xml:space="preserve">. </w:t>
      </w:r>
      <w:r w:rsidRPr="009A6A30" w:rsidR="009A6A30">
        <w:t>Whether or not customer bills would be higher or lower in a new all</w:t>
      </w:r>
      <w:r w:rsidR="00513B3F">
        <w:noBreakHyphen/>
      </w:r>
      <w:r w:rsidRPr="009A6A30" w:rsidR="009A6A30">
        <w:t>electric building vis</w:t>
      </w:r>
      <w:r w:rsidR="00513B3F">
        <w:noBreakHyphen/>
      </w:r>
      <w:r w:rsidRPr="009A6A30" w:rsidR="009A6A30">
        <w:t>à</w:t>
      </w:r>
      <w:r w:rsidR="00513B3F">
        <w:noBreakHyphen/>
      </w:r>
      <w:r w:rsidRPr="009A6A30" w:rsidR="009A6A30">
        <w:t xml:space="preserve">vis a new dual fuel building would depend on numerous factors that include tariff type, climate zone, future electricity prices, future gas prices, customer energy consumption habits, and time of energy usage. </w:t>
      </w:r>
    </w:p>
    <w:p w:rsidR="00AE4AFE" w:rsidP="00D31C87" w:rsidRDefault="001A5125" w14:paraId="18AF8137" w14:textId="2783F275">
      <w:pPr>
        <w:pStyle w:val="Standard"/>
      </w:pPr>
      <w:r w:rsidRPr="008A48B2">
        <w:rPr>
          <w:iCs/>
        </w:rPr>
        <w:t xml:space="preserve">On </w:t>
      </w:r>
      <w:r w:rsidRPr="008A48B2" w:rsidR="00FD740B">
        <w:rPr>
          <w:iCs/>
        </w:rPr>
        <w:t>Issue</w:t>
      </w:r>
      <w:r w:rsidRPr="008A48B2" w:rsidR="00513B3F">
        <w:rPr>
          <w:i/>
        </w:rPr>
        <w:t> </w:t>
      </w:r>
      <w:r w:rsidRPr="008A48B2" w:rsidR="00296941">
        <w:rPr>
          <w:iCs/>
        </w:rPr>
        <w:t>2</w:t>
      </w:r>
      <w:r w:rsidRPr="005D3ACF">
        <w:t>,</w:t>
      </w:r>
      <w:r>
        <w:t xml:space="preserve"> Staff</w:t>
      </w:r>
      <w:r w:rsidR="00E01054">
        <w:t xml:space="preserve"> </w:t>
      </w:r>
      <w:r w:rsidR="001A7DF6">
        <w:t xml:space="preserve">does not </w:t>
      </w:r>
      <w:r w:rsidRPr="00D967B9" w:rsidR="00AE4AFE">
        <w:t xml:space="preserve">expect </w:t>
      </w:r>
      <w:r w:rsidR="001A7DF6">
        <w:t>the</w:t>
      </w:r>
      <w:r w:rsidRPr="00D967B9" w:rsidR="00AE4AFE">
        <w:t xml:space="preserve"> eliminati</w:t>
      </w:r>
      <w:r w:rsidR="001A7DF6">
        <w:t xml:space="preserve">on of </w:t>
      </w:r>
      <w:r w:rsidRPr="00D967B9" w:rsidR="00AE4AFE">
        <w:t xml:space="preserve">gas line </w:t>
      </w:r>
      <w:r w:rsidR="001A7DF6">
        <w:t xml:space="preserve">subsidies </w:t>
      </w:r>
      <w:r w:rsidR="00296941">
        <w:t xml:space="preserve">to </w:t>
      </w:r>
      <w:r w:rsidRPr="00D967B9" w:rsidR="00296941">
        <w:t>affect</w:t>
      </w:r>
      <w:r w:rsidR="001A7DF6">
        <w:t xml:space="preserve"> the</w:t>
      </w:r>
      <w:r w:rsidRPr="00D967B9" w:rsidR="00AE4AFE">
        <w:t xml:space="preserve"> current methods of providing transmission or distribution facilities for future customers, as </w:t>
      </w:r>
      <w:r w:rsidR="00E01054">
        <w:t xml:space="preserve">the </w:t>
      </w:r>
      <w:r w:rsidRPr="00D967B9" w:rsidR="00AE4AFE">
        <w:t xml:space="preserve">Staff </w:t>
      </w:r>
      <w:r w:rsidR="00E01054">
        <w:t xml:space="preserve">Proposal </w:t>
      </w:r>
      <w:r w:rsidRPr="00D967B9" w:rsidR="00AE4AFE">
        <w:t xml:space="preserve">is not proposing to modify such rules. If </w:t>
      </w:r>
      <w:r w:rsidR="00E01054">
        <w:t>gas line subsidies are</w:t>
      </w:r>
      <w:r w:rsidR="00296941">
        <w:t xml:space="preserve"> </w:t>
      </w:r>
      <w:r w:rsidRPr="00D967B9" w:rsidR="00296941">
        <w:t>eliminat</w:t>
      </w:r>
      <w:r w:rsidR="00296941">
        <w:t>e</w:t>
      </w:r>
      <w:r w:rsidR="00E01054">
        <w:t xml:space="preserve">d as proposed, </w:t>
      </w:r>
      <w:r w:rsidRPr="00D967B9" w:rsidR="00AE4AFE">
        <w:t>and builders increase their rate of all</w:t>
      </w:r>
      <w:r w:rsidR="00513B3F">
        <w:noBreakHyphen/>
      </w:r>
      <w:r w:rsidRPr="00D967B9" w:rsidR="00AE4AFE">
        <w:t>electric new construction, builders building dual fuel new construction further away from a point of gas pipeline interconnection could expect to pay more than they otherwise would be expected to if they have to pay for additional trenching and infrastructure that neighboring all</w:t>
      </w:r>
      <w:r w:rsidR="00513B3F">
        <w:noBreakHyphen/>
      </w:r>
      <w:r w:rsidRPr="00D967B9" w:rsidR="00AE4AFE">
        <w:t>electric buildings did not need and thus did not help pay to extend from its current cut</w:t>
      </w:r>
      <w:r w:rsidR="00513B3F">
        <w:noBreakHyphen/>
      </w:r>
      <w:r w:rsidRPr="00D967B9" w:rsidR="00AE4AFE">
        <w:t xml:space="preserve">off location. </w:t>
      </w:r>
    </w:p>
    <w:p w:rsidR="00AE4AFE" w:rsidP="00C61DFA" w:rsidRDefault="007822D7" w14:paraId="1FFCD8A6" w14:textId="25EDE6EA">
      <w:pPr>
        <w:pStyle w:val="Standard"/>
      </w:pPr>
      <w:r w:rsidRPr="008A48B2">
        <w:rPr>
          <w:iCs/>
        </w:rPr>
        <w:t xml:space="preserve">On </w:t>
      </w:r>
      <w:r w:rsidRPr="008A48B2" w:rsidR="00FD740B">
        <w:rPr>
          <w:iCs/>
        </w:rPr>
        <w:t>Issue</w:t>
      </w:r>
      <w:r w:rsidRPr="008A48B2" w:rsidR="00513B3F">
        <w:rPr>
          <w:i/>
        </w:rPr>
        <w:t> </w:t>
      </w:r>
      <w:r w:rsidRPr="008A48B2" w:rsidR="00296941">
        <w:rPr>
          <w:iCs/>
        </w:rPr>
        <w:t>3</w:t>
      </w:r>
      <w:r w:rsidRPr="008C3D62">
        <w:t>,</w:t>
      </w:r>
      <w:r>
        <w:t xml:space="preserve"> Staff</w:t>
      </w:r>
      <w:r w:rsidR="00E01054">
        <w:t xml:space="preserve"> </w:t>
      </w:r>
      <w:r w:rsidRPr="00D967B9" w:rsidR="00AE4AFE">
        <w:t>expect</w:t>
      </w:r>
      <w:r w:rsidR="00E01054">
        <w:t>s</w:t>
      </w:r>
      <w:r w:rsidRPr="00D967B9" w:rsidR="00AE4AFE">
        <w:t xml:space="preserve"> </w:t>
      </w:r>
      <w:r w:rsidR="00E01054">
        <w:t xml:space="preserve">the </w:t>
      </w:r>
      <w:r w:rsidRPr="00D967B9" w:rsidR="00AE4AFE">
        <w:t>eliminati</w:t>
      </w:r>
      <w:r w:rsidR="00E01054">
        <w:t>o</w:t>
      </w:r>
      <w:r w:rsidRPr="00D967B9" w:rsidR="00AE4AFE">
        <w:t>n</w:t>
      </w:r>
      <w:r w:rsidR="00E01054">
        <w:t xml:space="preserve"> of</w:t>
      </w:r>
      <w:r w:rsidRPr="00D967B9" w:rsidR="00AE4AFE">
        <w:t xml:space="preserve"> gas line </w:t>
      </w:r>
      <w:r w:rsidR="00FC2AA5">
        <w:t>subsidies</w:t>
      </w:r>
      <w:r w:rsidRPr="00D967B9" w:rsidR="00AE4AFE">
        <w:t xml:space="preserve"> for all new construction </w:t>
      </w:r>
      <w:r w:rsidR="00E01054">
        <w:t>to</w:t>
      </w:r>
      <w:r w:rsidRPr="00D967B9" w:rsidR="00AE4AFE">
        <w:t xml:space="preserve"> result in increased costs to any customer seeking to extend a gas line. Depending on what infrastructure upgrades are necessary to extend gas service to the customer’s building, the increased cost</w:t>
      </w:r>
      <w:r w:rsidR="0049062D">
        <w:t>s</w:t>
      </w:r>
      <w:r w:rsidRPr="00D967B9" w:rsidR="00AE4AFE">
        <w:t xml:space="preserve"> would vary. </w:t>
      </w:r>
    </w:p>
    <w:p w:rsidRPr="00C229B0" w:rsidR="00AE4AFE" w:rsidP="00C61DFA" w:rsidRDefault="007822D7" w14:paraId="553CD549" w14:textId="24FA2E19">
      <w:pPr>
        <w:pStyle w:val="Standard"/>
      </w:pPr>
      <w:r w:rsidRPr="008A48B2">
        <w:rPr>
          <w:iCs/>
        </w:rPr>
        <w:t xml:space="preserve">On </w:t>
      </w:r>
      <w:r w:rsidRPr="008A48B2" w:rsidR="00FD740B">
        <w:rPr>
          <w:iCs/>
        </w:rPr>
        <w:t>Issue</w:t>
      </w:r>
      <w:r w:rsidRPr="008A48B2" w:rsidR="00513B3F">
        <w:t> </w:t>
      </w:r>
      <w:r w:rsidRPr="008A48B2" w:rsidR="00FC2AA5">
        <w:rPr>
          <w:iCs/>
        </w:rPr>
        <w:t>4</w:t>
      </w:r>
      <w:r w:rsidRPr="008C3D62">
        <w:t>,</w:t>
      </w:r>
      <w:r>
        <w:t xml:space="preserve"> Staff</w:t>
      </w:r>
      <w:r w:rsidR="00E01054">
        <w:t xml:space="preserve"> </w:t>
      </w:r>
      <w:r w:rsidR="00FC2AA5">
        <w:t xml:space="preserve">does not </w:t>
      </w:r>
      <w:r w:rsidRPr="00D967B9" w:rsidR="00AE4AFE">
        <w:t>expect th</w:t>
      </w:r>
      <w:r w:rsidR="00FC2AA5">
        <w:t>e</w:t>
      </w:r>
      <w:r w:rsidRPr="00D967B9" w:rsidR="00AE4AFE">
        <w:t xml:space="preserve"> eliminati</w:t>
      </w:r>
      <w:r w:rsidR="00FC2AA5">
        <w:t>o</w:t>
      </w:r>
      <w:r w:rsidRPr="00D967B9" w:rsidR="00AE4AFE">
        <w:t>n</w:t>
      </w:r>
      <w:r w:rsidR="00FC2AA5">
        <w:t xml:space="preserve"> of </w:t>
      </w:r>
      <w:r w:rsidRPr="00D967B9" w:rsidR="00AE4AFE">
        <w:t xml:space="preserve">gas line </w:t>
      </w:r>
      <w:r w:rsidR="00FC2AA5">
        <w:t xml:space="preserve">subsidies </w:t>
      </w:r>
      <w:r w:rsidR="000C28D4">
        <w:t>f</w:t>
      </w:r>
      <w:r w:rsidRPr="00D967B9" w:rsidR="00AE4AFE">
        <w:t xml:space="preserve">or all new construction </w:t>
      </w:r>
      <w:r w:rsidR="000C28D4">
        <w:t xml:space="preserve">to </w:t>
      </w:r>
      <w:r w:rsidRPr="00D967B9" w:rsidR="00AE4AFE">
        <w:t xml:space="preserve">result in changes specific to projects sponsored by cities, </w:t>
      </w:r>
      <w:r w:rsidRPr="00D967B9" w:rsidR="00AE4AFE">
        <w:lastRenderedPageBreak/>
        <w:t xml:space="preserve">counties, or districts, as </w:t>
      </w:r>
      <w:r w:rsidR="00E01054">
        <w:t xml:space="preserve">the </w:t>
      </w:r>
      <w:r w:rsidRPr="00D967B9" w:rsidR="00E01054">
        <w:t xml:space="preserve">Staff </w:t>
      </w:r>
      <w:r w:rsidR="00E01054">
        <w:t xml:space="preserve">Proposal </w:t>
      </w:r>
      <w:r w:rsidRPr="00D967B9" w:rsidR="00AE4AFE">
        <w:t xml:space="preserve">is not proposing any such changes. Should </w:t>
      </w:r>
      <w:r w:rsidRPr="005A531B" w:rsidR="00AE4AFE">
        <w:t>those projects be constructed all</w:t>
      </w:r>
      <w:r w:rsidR="00513B3F">
        <w:noBreakHyphen/>
      </w:r>
      <w:r w:rsidRPr="005A531B" w:rsidR="00AE4AFE">
        <w:t>electric, they will be less expensive than they are today, and should those projects be</w:t>
      </w:r>
      <w:r w:rsidRPr="005A531B" w:rsidR="005A531B">
        <w:t xml:space="preserve"> </w:t>
      </w:r>
      <w:r w:rsidRPr="005A531B" w:rsidR="00AE4AFE">
        <w:t>constructed dual fuel, they are anticipated to be only slightly more expensive than they are today.</w:t>
      </w:r>
      <w:r w:rsidRPr="005A531B" w:rsidR="00AE4AFE">
        <w:rPr>
          <w:b/>
          <w:bCs/>
        </w:rPr>
        <w:t xml:space="preserve"> </w:t>
      </w:r>
    </w:p>
    <w:p w:rsidRPr="00735BB0" w:rsidR="00735BB0" w:rsidP="008E3726" w:rsidRDefault="007822D7" w14:paraId="58092A18" w14:textId="0D4D466B">
      <w:pPr>
        <w:pStyle w:val="Standard"/>
      </w:pPr>
      <w:r w:rsidRPr="008A48B2">
        <w:rPr>
          <w:iCs/>
        </w:rPr>
        <w:t xml:space="preserve">On </w:t>
      </w:r>
      <w:r w:rsidRPr="008A48B2" w:rsidR="00FD740B">
        <w:rPr>
          <w:iCs/>
        </w:rPr>
        <w:t>Issue</w:t>
      </w:r>
      <w:r w:rsidRPr="008A48B2" w:rsidR="00513B3F">
        <w:rPr>
          <w:i/>
        </w:rPr>
        <w:t> </w:t>
      </w:r>
      <w:r w:rsidRPr="008A48B2" w:rsidR="00C229B0">
        <w:rPr>
          <w:iCs/>
        </w:rPr>
        <w:t>5</w:t>
      </w:r>
      <w:r w:rsidRPr="000B3F5F">
        <w:t>,</w:t>
      </w:r>
      <w:r>
        <w:t xml:space="preserve"> Staff</w:t>
      </w:r>
      <w:r w:rsidR="00E01054">
        <w:t xml:space="preserve"> </w:t>
      </w:r>
      <w:r w:rsidRPr="00C229B0" w:rsidR="00613C75">
        <w:t>expect</w:t>
      </w:r>
      <w:r w:rsidR="00E01054">
        <w:t xml:space="preserve">s the </w:t>
      </w:r>
      <w:r w:rsidRPr="00C229B0" w:rsidR="00613C75">
        <w:t>eliminati</w:t>
      </w:r>
      <w:r w:rsidR="00E01054">
        <w:t>o</w:t>
      </w:r>
      <w:r w:rsidRPr="00C229B0" w:rsidR="00613C75">
        <w:t>n</w:t>
      </w:r>
      <w:r w:rsidR="00E01054">
        <w:t xml:space="preserve"> of ga</w:t>
      </w:r>
      <w:r w:rsidRPr="00C229B0" w:rsidR="00613C75">
        <w:t xml:space="preserve">s line </w:t>
      </w:r>
      <w:r w:rsidR="00613C75">
        <w:t xml:space="preserve">subsidies </w:t>
      </w:r>
      <w:r w:rsidRPr="00C229B0" w:rsidR="00613C75">
        <w:t xml:space="preserve">for all new construction </w:t>
      </w:r>
      <w:r w:rsidR="00E01054">
        <w:t>to</w:t>
      </w:r>
      <w:r w:rsidRPr="00C229B0" w:rsidR="00613C75">
        <w:t xml:space="preserve"> lead to a</w:t>
      </w:r>
      <w:r w:rsidR="00962616">
        <w:t>n annual</w:t>
      </w:r>
      <w:r w:rsidRPr="00C229B0" w:rsidR="00613C75">
        <w:t xml:space="preserve"> reduction of approximately</w:t>
      </w:r>
      <w:r w:rsidR="00735BB0">
        <w:t xml:space="preserve"> </w:t>
      </w:r>
      <w:r w:rsidRPr="005F3FB1" w:rsidR="00735BB0">
        <w:t>$115,528,305</w:t>
      </w:r>
      <w:r w:rsidR="00735BB0">
        <w:t xml:space="preserve"> in allowances,</w:t>
      </w:r>
      <w:r w:rsidR="00735BB0">
        <w:rPr>
          <w:rStyle w:val="FootnoteReference"/>
        </w:rPr>
        <w:footnoteReference w:id="118"/>
      </w:r>
      <w:r w:rsidR="00735BB0">
        <w:t xml:space="preserve"> </w:t>
      </w:r>
      <w:r w:rsidRPr="005F3FB1" w:rsidR="00735BB0">
        <w:t xml:space="preserve">$2,625,678 </w:t>
      </w:r>
      <w:r w:rsidR="00735BB0">
        <w:t>in</w:t>
      </w:r>
      <w:r w:rsidRPr="005F3FB1" w:rsidR="00735BB0">
        <w:t xml:space="preserve"> refunds</w:t>
      </w:r>
      <w:r w:rsidR="00735BB0">
        <w:t>,</w:t>
      </w:r>
      <w:r w:rsidR="00735BB0">
        <w:rPr>
          <w:rStyle w:val="FootnoteReference"/>
        </w:rPr>
        <w:footnoteReference w:id="119"/>
      </w:r>
      <w:r w:rsidR="00735BB0">
        <w:t xml:space="preserve"> and $</w:t>
      </w:r>
      <w:r w:rsidRPr="00AB2F9D" w:rsidR="00735BB0">
        <w:t>26,195,639</w:t>
      </w:r>
      <w:r w:rsidR="00735BB0">
        <w:t xml:space="preserve"> in discounts</w:t>
      </w:r>
      <w:r w:rsidR="00735BB0">
        <w:rPr>
          <w:rStyle w:val="FootnoteReference"/>
        </w:rPr>
        <w:footnoteReference w:id="120"/>
      </w:r>
      <w:r w:rsidR="00735BB0">
        <w:t xml:space="preserve"> </w:t>
      </w:r>
      <w:r w:rsidR="00A44172">
        <w:t xml:space="preserve">(with partial data for SDG&amp;E) </w:t>
      </w:r>
      <w:r w:rsidRPr="00C229B0" w:rsidR="00A44EE1">
        <w:t xml:space="preserve">as a result of </w:t>
      </w:r>
      <w:r w:rsidR="00586932">
        <w:t xml:space="preserve">gas ratepayers </w:t>
      </w:r>
      <w:r w:rsidRPr="00C229B0" w:rsidR="00A44EE1">
        <w:t xml:space="preserve">no longer having to pay for gas line </w:t>
      </w:r>
      <w:r w:rsidR="00AD7282">
        <w:t>subsidies</w:t>
      </w:r>
      <w:r w:rsidRPr="00C229B0" w:rsidR="00A44EE1">
        <w:t>.</w:t>
      </w:r>
      <w:r w:rsidR="00D1454A">
        <w:rPr>
          <w:rStyle w:val="FootnoteReference"/>
        </w:rPr>
        <w:footnoteReference w:id="121"/>
      </w:r>
      <w:r w:rsidRPr="00C229B0" w:rsidR="00A44EE1">
        <w:t xml:space="preserve"> If a new building were to be constructed dual fuel without a</w:t>
      </w:r>
      <w:r w:rsidR="00A44EE1">
        <w:t xml:space="preserve"> gas line subsidy</w:t>
      </w:r>
      <w:r w:rsidRPr="00C229B0" w:rsidR="00A44EE1">
        <w:t>, gas ratepayers would save even more as a result of an additional customer sharing in costs necessary to maintain the common carrier</w:t>
      </w:r>
      <w:r w:rsidRPr="00C229B0" w:rsidR="00A44EE1">
        <w:rPr>
          <w:b/>
          <w:bCs/>
        </w:rPr>
        <w:t xml:space="preserve"> </w:t>
      </w:r>
      <w:r w:rsidRPr="00303945" w:rsidR="00A44EE1">
        <w:t>pipeline network</w:t>
      </w:r>
      <w:r w:rsidR="00C76850">
        <w:t xml:space="preserve">. </w:t>
      </w:r>
    </w:p>
    <w:p w:rsidR="00AE4AFE" w:rsidP="008E3726" w:rsidRDefault="007822D7" w14:paraId="3E48DCDE" w14:textId="7FF016BD">
      <w:pPr>
        <w:pStyle w:val="Standard"/>
      </w:pPr>
      <w:r w:rsidRPr="008A48B2">
        <w:rPr>
          <w:iCs/>
        </w:rPr>
        <w:t xml:space="preserve">On </w:t>
      </w:r>
      <w:r w:rsidRPr="008A48B2" w:rsidR="00FD740B">
        <w:rPr>
          <w:iCs/>
        </w:rPr>
        <w:t>Issue</w:t>
      </w:r>
      <w:r w:rsidRPr="008A48B2" w:rsidR="00513B3F">
        <w:rPr>
          <w:i/>
        </w:rPr>
        <w:t> </w:t>
      </w:r>
      <w:r w:rsidRPr="008A48B2" w:rsidR="00735BB0">
        <w:rPr>
          <w:iCs/>
        </w:rPr>
        <w:t>6</w:t>
      </w:r>
      <w:r w:rsidRPr="00172B33">
        <w:t>,</w:t>
      </w:r>
      <w:r>
        <w:t xml:space="preserve"> Staff</w:t>
      </w:r>
      <w:r w:rsidR="00AD7282">
        <w:t xml:space="preserve"> </w:t>
      </w:r>
      <w:r w:rsidRPr="00251B28" w:rsidR="00AE4AFE">
        <w:t>expect</w:t>
      </w:r>
      <w:r w:rsidR="00AD7282">
        <w:t>s</w:t>
      </w:r>
      <w:r w:rsidRPr="00251B28" w:rsidR="00AE4AFE">
        <w:t xml:space="preserve"> </w:t>
      </w:r>
      <w:r w:rsidR="00251B28">
        <w:t xml:space="preserve">the </w:t>
      </w:r>
      <w:r w:rsidRPr="00251B28" w:rsidR="00AE4AFE">
        <w:t>eliminati</w:t>
      </w:r>
      <w:r w:rsidR="00251B28">
        <w:t>o</w:t>
      </w:r>
      <w:r w:rsidRPr="00251B28" w:rsidR="00AE4AFE">
        <w:t>n</w:t>
      </w:r>
      <w:r w:rsidR="00251B28">
        <w:t xml:space="preserve"> of</w:t>
      </w:r>
      <w:r w:rsidRPr="00251B28" w:rsidR="00AE4AFE">
        <w:t xml:space="preserve"> gas line </w:t>
      </w:r>
      <w:r w:rsidR="00251B28">
        <w:t xml:space="preserve">subsidies </w:t>
      </w:r>
      <w:r w:rsidRPr="00251B28" w:rsidR="00AE4AFE">
        <w:t xml:space="preserve">for all new construction </w:t>
      </w:r>
      <w:r w:rsidR="00AD7282">
        <w:t>to</w:t>
      </w:r>
      <w:r w:rsidRPr="00251B28" w:rsidR="00AE4AFE">
        <w:t xml:space="preserve"> result in less gas consumption and more electricity consumption. Because gas consumed in California is overwhelmingly non</w:t>
      </w:r>
      <w:r w:rsidR="00513B3F">
        <w:noBreakHyphen/>
      </w:r>
      <w:r w:rsidRPr="00251B28" w:rsidR="00AE4AFE">
        <w:t>renewable and electricity is increasingly carbon</w:t>
      </w:r>
      <w:r w:rsidR="00513B3F">
        <w:noBreakHyphen/>
      </w:r>
      <w:r w:rsidRPr="00251B28" w:rsidR="00AE4AFE">
        <w:t xml:space="preserve">free, the encouragement of fuel substitution associated with adoption of Staff’s recommendation would result in fewer GHG emissions and less air pollution. However, additional electrical load will gradually result in the need for additional electricity procurement and could pose challenges to managing winter peak electric demand if not properly planned for. </w:t>
      </w:r>
    </w:p>
    <w:p w:rsidRPr="0083711F" w:rsidR="00AE4AFE" w:rsidP="003149F3" w:rsidRDefault="007822D7" w14:paraId="0366A724" w14:textId="23257EB0">
      <w:pPr>
        <w:pStyle w:val="Standard"/>
      </w:pPr>
      <w:r w:rsidRPr="008A48B2">
        <w:rPr>
          <w:iCs/>
        </w:rPr>
        <w:lastRenderedPageBreak/>
        <w:t xml:space="preserve">On </w:t>
      </w:r>
      <w:r w:rsidRPr="008A48B2" w:rsidR="00FD740B">
        <w:rPr>
          <w:iCs/>
        </w:rPr>
        <w:t>Issue</w:t>
      </w:r>
      <w:r w:rsidRPr="008A48B2" w:rsidR="00513B3F">
        <w:rPr>
          <w:i/>
        </w:rPr>
        <w:t> </w:t>
      </w:r>
      <w:r w:rsidRPr="008A48B2" w:rsidR="0083711F">
        <w:rPr>
          <w:iCs/>
        </w:rPr>
        <w:t>7</w:t>
      </w:r>
      <w:r w:rsidRPr="00D24A68">
        <w:t>,</w:t>
      </w:r>
      <w:r>
        <w:t xml:space="preserve"> Staff</w:t>
      </w:r>
      <w:r w:rsidR="00AD7282">
        <w:t xml:space="preserve"> </w:t>
      </w:r>
      <w:r w:rsidRPr="0083711F" w:rsidR="00AE4AFE">
        <w:t>do</w:t>
      </w:r>
      <w:r w:rsidR="00AD7282">
        <w:t>es</w:t>
      </w:r>
      <w:r w:rsidRPr="0083711F" w:rsidR="00AE4AFE">
        <w:t xml:space="preserve"> not recommend any special allowance for agricultural customers and, as such, there is no cost</w:t>
      </w:r>
      <w:r w:rsidR="00513B3F">
        <w:noBreakHyphen/>
      </w:r>
      <w:r w:rsidRPr="0083711F" w:rsidR="00AE4AFE">
        <w:t xml:space="preserve">justification for such an allowance. Agricultural operations typically use gas primarily for greenhouse heating and grain drying, both of which can be done using electricity. Additionally, the small property price increase for new dual fuel construction that can be expected if Staff’s recommendation is adopted is insufficiently high to merit a special allowance for any customer class. </w:t>
      </w:r>
    </w:p>
    <w:p w:rsidR="00D539C0" w:rsidP="00D967B9" w:rsidRDefault="00D539C0" w14:paraId="4E9938C9" w14:textId="3EDA97F4">
      <w:pPr>
        <w:pStyle w:val="Standard"/>
      </w:pPr>
      <w:r>
        <w:t xml:space="preserve">In response to </w:t>
      </w:r>
      <w:r w:rsidR="007D79B6">
        <w:t>Pub.</w:t>
      </w:r>
      <w:r w:rsidR="00513B3F">
        <w:t> </w:t>
      </w:r>
      <w:r w:rsidR="007D79B6">
        <w:t>Util.</w:t>
      </w:r>
      <w:r w:rsidRPr="00017BAE">
        <w:t xml:space="preserve"> Code </w:t>
      </w:r>
      <w:r w:rsidR="000F2D16">
        <w:t>Section</w:t>
      </w:r>
      <w:r w:rsidR="00513B3F">
        <w:t> </w:t>
      </w:r>
      <w:r w:rsidRPr="00017BAE">
        <w:t>783(</w:t>
      </w:r>
      <w:r>
        <w:t>c</w:t>
      </w:r>
      <w:r w:rsidRPr="00017BAE">
        <w:t>)</w:t>
      </w:r>
      <w:r w:rsidR="00FF07A6">
        <w:t xml:space="preserve">, Commission staff </w:t>
      </w:r>
      <w:r w:rsidRPr="002D0A02" w:rsidR="002D0A02">
        <w:t>requested the assistance of the California State Transportation Agency, California Department of Food and Agriculture, DCA</w:t>
      </w:r>
      <w:r w:rsidR="00335422">
        <w:t>,</w:t>
      </w:r>
      <w:r w:rsidRPr="002D0A02" w:rsidR="002D0A02">
        <w:t xml:space="preserve"> </w:t>
      </w:r>
      <w:r w:rsidRPr="004868A6" w:rsidR="002D0A02">
        <w:t>DRE</w:t>
      </w:r>
      <w:r w:rsidRPr="002D0A02" w:rsidR="002D0A02">
        <w:t>,</w:t>
      </w:r>
      <w:r w:rsidRPr="002D0A02" w:rsidR="002D0A02">
        <w:rPr>
          <w:vertAlign w:val="superscript"/>
        </w:rPr>
        <w:footnoteReference w:id="122"/>
      </w:r>
      <w:r w:rsidRPr="002D0A02" w:rsidR="002D0A02">
        <w:t xml:space="preserve"> and </w:t>
      </w:r>
      <w:r w:rsidR="00D70E3E">
        <w:t>HCD</w:t>
      </w:r>
      <w:r w:rsidR="0097703D">
        <w:t xml:space="preserve"> </w:t>
      </w:r>
      <w:r w:rsidRPr="002D0A02" w:rsidR="002D0A02">
        <w:t xml:space="preserve">in developing the recommendations in </w:t>
      </w:r>
      <w:r w:rsidR="00BC40D3">
        <w:t>its</w:t>
      </w:r>
      <w:r w:rsidRPr="002D0A02" w:rsidR="002D0A02">
        <w:t xml:space="preserve"> Staff Proposal. </w:t>
      </w:r>
      <w:r w:rsidR="00BC40D3">
        <w:t>Staff states that the f</w:t>
      </w:r>
      <w:r w:rsidRPr="002D0A02" w:rsidR="002D0A02">
        <w:t xml:space="preserve">eedback that was received </w:t>
      </w:r>
      <w:r w:rsidR="00BC40D3">
        <w:t>was</w:t>
      </w:r>
      <w:r w:rsidRPr="002D0A02" w:rsidR="002D0A02">
        <w:t xml:space="preserve"> considered as part of Staff’s recommendations. </w:t>
      </w:r>
      <w:r w:rsidR="00E708FA">
        <w:t>Ad</w:t>
      </w:r>
      <w:r w:rsidR="00F04BFA">
        <w:t xml:space="preserve">ditionally, </w:t>
      </w:r>
      <w:r w:rsidR="00BC40D3">
        <w:t xml:space="preserve">Staff </w:t>
      </w:r>
      <w:r w:rsidR="00E708FA">
        <w:t>consulted with</w:t>
      </w:r>
      <w:r w:rsidR="00BC40D3">
        <w:t xml:space="preserve"> </w:t>
      </w:r>
      <w:r w:rsidRPr="002D0A02" w:rsidR="002D0A02">
        <w:t xml:space="preserve">CARB, CEC, and </w:t>
      </w:r>
      <w:r w:rsidR="00BC40D3">
        <w:t xml:space="preserve">the </w:t>
      </w:r>
      <w:r w:rsidRPr="002D0A02" w:rsidR="002D0A02">
        <w:t>California Strategic Growth Council.</w:t>
      </w:r>
      <w:r w:rsidR="000E7848">
        <w:rPr>
          <w:rStyle w:val="FootnoteReference"/>
        </w:rPr>
        <w:footnoteReference w:id="123"/>
      </w:r>
    </w:p>
    <w:p w:rsidRPr="00D967B9" w:rsidR="00DC4079" w:rsidP="00D967B9" w:rsidRDefault="00C54EAF" w14:paraId="49B128BD" w14:textId="255EA6BD">
      <w:pPr>
        <w:pStyle w:val="Standard"/>
      </w:pPr>
      <w:r>
        <w:t xml:space="preserve">Lastly, </w:t>
      </w:r>
      <w:r w:rsidR="002702A5">
        <w:t xml:space="preserve">in response to </w:t>
      </w:r>
      <w:r w:rsidR="007D79B6">
        <w:t>Pub.</w:t>
      </w:r>
      <w:r w:rsidR="00513B3F">
        <w:t> </w:t>
      </w:r>
      <w:r w:rsidR="007D79B6">
        <w:t>Util.</w:t>
      </w:r>
      <w:r w:rsidRPr="00017BAE" w:rsidR="002702A5">
        <w:t xml:space="preserve"> Code </w:t>
      </w:r>
      <w:r w:rsidR="000F2D16">
        <w:t>Section</w:t>
      </w:r>
      <w:r w:rsidR="00513B3F">
        <w:t> </w:t>
      </w:r>
      <w:r w:rsidRPr="00017BAE" w:rsidR="002702A5">
        <w:t>783(</w:t>
      </w:r>
      <w:r w:rsidR="002702A5">
        <w:t>d</w:t>
      </w:r>
      <w:r w:rsidRPr="00017BAE" w:rsidR="002702A5">
        <w:t>)</w:t>
      </w:r>
      <w:r w:rsidR="002702A5">
        <w:t>,</w:t>
      </w:r>
      <w:r w:rsidRPr="00017BAE" w:rsidR="002702A5">
        <w:t xml:space="preserve"> </w:t>
      </w:r>
      <w:r w:rsidR="00F203BD">
        <w:t xml:space="preserve">Staff recommends an effective date of </w:t>
      </w:r>
      <w:r w:rsidR="0067589C">
        <w:t>July</w:t>
      </w:r>
      <w:r w:rsidR="00513B3F">
        <w:t> </w:t>
      </w:r>
      <w:r w:rsidR="0067589C">
        <w:t>1,</w:t>
      </w:r>
      <w:r w:rsidR="00513B3F">
        <w:t> </w:t>
      </w:r>
      <w:r w:rsidR="0067589C">
        <w:t>202</w:t>
      </w:r>
      <w:r w:rsidRPr="000D797A" w:rsidR="00F203BD">
        <w:t>3</w:t>
      </w:r>
      <w:r w:rsidR="0035269D">
        <w:t>, in compliance with the minimum</w:t>
      </w:r>
      <w:r w:rsidR="00F203BD">
        <w:t xml:space="preserve"> time </w:t>
      </w:r>
      <w:r w:rsidR="0035269D">
        <w:t>required</w:t>
      </w:r>
      <w:r w:rsidRPr="000D797A">
        <w:t xml:space="preserve">. </w:t>
      </w:r>
    </w:p>
    <w:p w:rsidR="00FC4A72" w:rsidP="007C2EF4" w:rsidRDefault="00FC4A72" w14:paraId="46413F71" w14:textId="038B2FCA">
      <w:pPr>
        <w:pStyle w:val="Heading2"/>
      </w:pPr>
      <w:bookmarkStart w:name="_Toc109376134" w:id="166"/>
      <w:bookmarkStart w:name="_Toc109141166" w:id="167"/>
      <w:bookmarkStart w:name="_Toc110598586" w:id="168"/>
      <w:r w:rsidRPr="004A1904">
        <w:t>Positions of Parties</w:t>
      </w:r>
      <w:r w:rsidR="00DC72A1">
        <w:br/>
      </w:r>
      <w:r w:rsidRPr="004A1904" w:rsidR="00FD7031">
        <w:t>Supporting the Staff Proposa</w:t>
      </w:r>
      <w:r w:rsidR="00FD7031">
        <w:t>l</w:t>
      </w:r>
      <w:bookmarkEnd w:id="166"/>
      <w:bookmarkEnd w:id="167"/>
      <w:bookmarkEnd w:id="168"/>
      <w:r w:rsidR="00FD7031">
        <w:t xml:space="preserve"> </w:t>
      </w:r>
    </w:p>
    <w:p w:rsidRPr="00732231" w:rsidR="00732231" w:rsidP="00732231" w:rsidRDefault="00EA7993" w14:paraId="7BF1318F" w14:textId="7BBE54AF">
      <w:pPr>
        <w:pStyle w:val="Standard"/>
      </w:pPr>
      <w:r>
        <w:t>Of the 1</w:t>
      </w:r>
      <w:r w:rsidR="004953AC">
        <w:t>4</w:t>
      </w:r>
      <w:r>
        <w:t xml:space="preserve"> parties</w:t>
      </w:r>
      <w:r w:rsidR="00F12C99">
        <w:t xml:space="preserve"> </w:t>
      </w:r>
      <w:r w:rsidR="00EF2504">
        <w:t>commenting</w:t>
      </w:r>
      <w:r w:rsidR="00F12C99">
        <w:t xml:space="preserve"> on the Staff Proposal</w:t>
      </w:r>
      <w:r w:rsidR="00DB085E">
        <w:t>’s findings pursuant to</w:t>
      </w:r>
      <w:r w:rsidR="00F12C99">
        <w:t xml:space="preserve"> </w:t>
      </w:r>
      <w:r w:rsidR="007D79B6">
        <w:rPr>
          <w:szCs w:val="26"/>
        </w:rPr>
        <w:t>Pub.</w:t>
      </w:r>
      <w:r w:rsidR="00513B3F">
        <w:rPr>
          <w:szCs w:val="26"/>
        </w:rPr>
        <w:t> </w:t>
      </w:r>
      <w:r w:rsidR="007D79B6">
        <w:rPr>
          <w:szCs w:val="26"/>
        </w:rPr>
        <w:t>Util.</w:t>
      </w:r>
      <w:r w:rsidRPr="004F19A7" w:rsidR="00F12C99">
        <w:rPr>
          <w:szCs w:val="26"/>
        </w:rPr>
        <w:t xml:space="preserve"> Code </w:t>
      </w:r>
      <w:r w:rsidR="000F2D16">
        <w:rPr>
          <w:szCs w:val="26"/>
        </w:rPr>
        <w:t>Section</w:t>
      </w:r>
      <w:r w:rsidR="00513B3F">
        <w:rPr>
          <w:szCs w:val="26"/>
        </w:rPr>
        <w:t> </w:t>
      </w:r>
      <w:r w:rsidRPr="004F19A7" w:rsidR="00F12C99">
        <w:rPr>
          <w:szCs w:val="26"/>
        </w:rPr>
        <w:t>783</w:t>
      </w:r>
      <w:r w:rsidR="00F12C99">
        <w:rPr>
          <w:szCs w:val="26"/>
        </w:rPr>
        <w:t>(b)</w:t>
      </w:r>
      <w:r>
        <w:t xml:space="preserve">, </w:t>
      </w:r>
      <w:r w:rsidR="003B5487">
        <w:t>1</w:t>
      </w:r>
      <w:r w:rsidR="00781314">
        <w:t>0</w:t>
      </w:r>
      <w:r>
        <w:t xml:space="preserve"> parties</w:t>
      </w:r>
      <w:r w:rsidR="002F3DDF">
        <w:t xml:space="preserve"> </w:t>
      </w:r>
      <w:r w:rsidR="005B3509">
        <w:t>agree with</w:t>
      </w:r>
      <w:r w:rsidR="002F3DDF">
        <w:t xml:space="preserve"> the S</w:t>
      </w:r>
      <w:r>
        <w:t>taff Proposal’s assessment of the seven issues</w:t>
      </w:r>
      <w:r w:rsidRPr="003B5487" w:rsidR="003B5487">
        <w:t xml:space="preserve"> </w:t>
      </w:r>
      <w:r w:rsidR="003B5487">
        <w:t>and agree that e</w:t>
      </w:r>
      <w:r w:rsidRPr="00D66D26" w:rsidR="003B5487">
        <w:t xml:space="preserve">liminating gas line </w:t>
      </w:r>
      <w:r w:rsidR="003B5487">
        <w:t>subsidies</w:t>
      </w:r>
      <w:r w:rsidRPr="00D66D26" w:rsidR="003B5487">
        <w:t xml:space="preserve"> is within the</w:t>
      </w:r>
      <w:r w:rsidR="003B5487">
        <w:t xml:space="preserve"> </w:t>
      </w:r>
      <w:r w:rsidRPr="00D66D26" w:rsidR="003B5487">
        <w:t>Commission’s legal purview</w:t>
      </w:r>
      <w:r>
        <w:t xml:space="preserve">. These parties </w:t>
      </w:r>
      <w:r w:rsidR="003B5487">
        <w:t>are:</w:t>
      </w:r>
      <w:r w:rsidR="00781314">
        <w:t xml:space="preserve"> </w:t>
      </w:r>
      <w:r w:rsidR="00CA372C">
        <w:t>Cal</w:t>
      </w:r>
      <w:r w:rsidR="00513B3F">
        <w:t> </w:t>
      </w:r>
      <w:r w:rsidR="00CA372C">
        <w:t>Advoc</w:t>
      </w:r>
      <w:r w:rsidR="002F0060">
        <w:t xml:space="preserve">ates, CEJA, EDF, NRDC, Sierra Club, TURN, EBCE, MCE, </w:t>
      </w:r>
      <w:r w:rsidR="00567C99">
        <w:t>SCP</w:t>
      </w:r>
      <w:r w:rsidR="002F0060">
        <w:t xml:space="preserve">, </w:t>
      </w:r>
      <w:r w:rsidR="00781314">
        <w:t xml:space="preserve">and </w:t>
      </w:r>
      <w:r w:rsidR="00DC42E5">
        <w:t>PCE</w:t>
      </w:r>
      <w:r w:rsidR="002F0060">
        <w:t xml:space="preserve">. </w:t>
      </w:r>
      <w:r w:rsidR="003B5487">
        <w:t xml:space="preserve">They make several points in support. </w:t>
      </w:r>
    </w:p>
    <w:p w:rsidRPr="00732231" w:rsidR="00732231" w:rsidRDefault="00732231" w14:paraId="7FCC1B67" w14:textId="47754DEB">
      <w:pPr>
        <w:pStyle w:val="BlockQuoteH025"/>
        <w:numPr>
          <w:ilvl w:val="0"/>
          <w:numId w:val="10"/>
        </w:numPr>
        <w:ind w:left="1080"/>
      </w:pPr>
      <w:r>
        <w:rPr>
          <w:szCs w:val="26"/>
        </w:rPr>
        <w:lastRenderedPageBreak/>
        <w:t>T</w:t>
      </w:r>
      <w:r w:rsidRPr="00DE61F5">
        <w:rPr>
          <w:szCs w:val="26"/>
        </w:rPr>
        <w:t>he Staff Proposal sufficiently addresses the</w:t>
      </w:r>
      <w:r w:rsidR="00E66537">
        <w:rPr>
          <w:szCs w:val="26"/>
        </w:rPr>
        <w:t xml:space="preserve"> seven</w:t>
      </w:r>
      <w:r w:rsidRPr="00DE61F5">
        <w:rPr>
          <w:szCs w:val="26"/>
        </w:rPr>
        <w:t xml:space="preserve"> issues</w:t>
      </w:r>
      <w:r w:rsidR="00307973">
        <w:rPr>
          <w:szCs w:val="26"/>
        </w:rPr>
        <w:t xml:space="preserve"> to</w:t>
      </w:r>
      <w:r w:rsidRPr="00DE61F5">
        <w:rPr>
          <w:szCs w:val="26"/>
        </w:rPr>
        <w:t xml:space="preserve"> make the requisite written </w:t>
      </w:r>
      <w:r w:rsidRPr="005066CA">
        <w:t>findings</w:t>
      </w:r>
      <w:r w:rsidR="005066CA">
        <w:rPr>
          <w:szCs w:val="26"/>
        </w:rPr>
        <w:t>;</w:t>
      </w:r>
      <w:r w:rsidRPr="00DE61F5">
        <w:rPr>
          <w:szCs w:val="26"/>
        </w:rPr>
        <w:t xml:space="preserve"> </w:t>
      </w:r>
    </w:p>
    <w:p w:rsidR="00FD7031" w:rsidRDefault="0009436E" w14:paraId="7E1D5A6B" w14:textId="7A3B05DC">
      <w:pPr>
        <w:pStyle w:val="BlockQuoteH025"/>
        <w:numPr>
          <w:ilvl w:val="0"/>
          <w:numId w:val="10"/>
        </w:numPr>
        <w:ind w:left="1080"/>
      </w:pPr>
      <w:r>
        <w:rPr>
          <w:szCs w:val="26"/>
        </w:rPr>
        <w:t>S</w:t>
      </w:r>
      <w:r w:rsidR="00A90AF2">
        <w:rPr>
          <w:szCs w:val="26"/>
        </w:rPr>
        <w:t xml:space="preserve">tatute </w:t>
      </w:r>
      <w:r w:rsidRPr="00DE61F5" w:rsidR="00732231">
        <w:rPr>
          <w:szCs w:val="26"/>
        </w:rPr>
        <w:t xml:space="preserve">does not specify the </w:t>
      </w:r>
      <w:r w:rsidRPr="005066CA" w:rsidR="00732231">
        <w:t>exact</w:t>
      </w:r>
      <w:r w:rsidRPr="00DE61F5" w:rsidR="00732231">
        <w:rPr>
          <w:szCs w:val="26"/>
        </w:rPr>
        <w:t xml:space="preserve"> nature of the economic analysis required for the Commission to make the necessary findings pursuant to this section</w:t>
      </w:r>
      <w:r w:rsidR="005066CA">
        <w:rPr>
          <w:szCs w:val="26"/>
        </w:rPr>
        <w:t>; and</w:t>
      </w:r>
    </w:p>
    <w:p w:rsidRPr="00FD7031" w:rsidR="00E62C5F" w:rsidRDefault="007D4B3C" w14:paraId="45C9432C" w14:textId="150F719E">
      <w:pPr>
        <w:pStyle w:val="BlockQuoteH025"/>
        <w:numPr>
          <w:ilvl w:val="0"/>
          <w:numId w:val="10"/>
        </w:numPr>
        <w:ind w:left="1080"/>
      </w:pPr>
      <w:r>
        <w:rPr>
          <w:szCs w:val="26"/>
        </w:rPr>
        <w:t>S</w:t>
      </w:r>
      <w:r w:rsidR="00A90AF2">
        <w:rPr>
          <w:szCs w:val="26"/>
        </w:rPr>
        <w:t>tatute</w:t>
      </w:r>
      <w:r w:rsidRPr="00DE61F5" w:rsidR="00732231">
        <w:rPr>
          <w:szCs w:val="26"/>
        </w:rPr>
        <w:t xml:space="preserve"> does not</w:t>
      </w:r>
      <w:r w:rsidRPr="00732231" w:rsidR="00732231">
        <w:t xml:space="preserve"> require that new rules result in any particular findings </w:t>
      </w:r>
      <w:r w:rsidR="005066CA">
        <w:t>(</w:t>
      </w:r>
      <w:r w:rsidRPr="005066CA" w:rsidR="00732231">
        <w:rPr>
          <w:i/>
          <w:iCs/>
        </w:rPr>
        <w:t>e.g.</w:t>
      </w:r>
      <w:r w:rsidRPr="00732231" w:rsidR="00732231">
        <w:t>, favorable rate effects for customers</w:t>
      </w:r>
      <w:r w:rsidR="005066CA">
        <w:t xml:space="preserve">) </w:t>
      </w:r>
      <w:r w:rsidRPr="00732231" w:rsidR="00732231">
        <w:t xml:space="preserve">simply that they be documented. </w:t>
      </w:r>
    </w:p>
    <w:p w:rsidR="00FD7031" w:rsidP="007C2EF4" w:rsidRDefault="00FD7031" w14:paraId="18E824B6" w14:textId="2D2C0FD5">
      <w:pPr>
        <w:pStyle w:val="Heading2"/>
      </w:pPr>
      <w:bookmarkStart w:name="_Toc109376135" w:id="169"/>
      <w:bookmarkStart w:name="_Toc109141167" w:id="170"/>
      <w:bookmarkStart w:name="_Toc110598587" w:id="171"/>
      <w:r w:rsidRPr="004A1904">
        <w:t>Positions of Parties</w:t>
      </w:r>
      <w:r w:rsidR="00CB4064">
        <w:br/>
      </w:r>
      <w:r>
        <w:t>Opposing</w:t>
      </w:r>
      <w:r w:rsidRPr="004A1904">
        <w:t xml:space="preserve"> the Staff Proposa</w:t>
      </w:r>
      <w:r>
        <w:t>l</w:t>
      </w:r>
      <w:bookmarkEnd w:id="169"/>
      <w:bookmarkEnd w:id="170"/>
      <w:bookmarkEnd w:id="171"/>
      <w:r>
        <w:t xml:space="preserve"> </w:t>
      </w:r>
    </w:p>
    <w:p w:rsidR="00BC7C69" w:rsidP="002F0060" w:rsidRDefault="00EF2504" w14:paraId="7D689820" w14:textId="76417744">
      <w:pPr>
        <w:pStyle w:val="Standard"/>
      </w:pPr>
      <w:r>
        <w:t>Of the 1</w:t>
      </w:r>
      <w:r w:rsidR="004953AC">
        <w:t>4</w:t>
      </w:r>
      <w:r>
        <w:t xml:space="preserve"> parties commenting on the Staff Proposal’s findings pursuant to </w:t>
      </w:r>
      <w:r w:rsidR="007D79B6">
        <w:rPr>
          <w:szCs w:val="26"/>
        </w:rPr>
        <w:t>Pub.</w:t>
      </w:r>
      <w:r w:rsidR="00513B3F">
        <w:rPr>
          <w:szCs w:val="26"/>
        </w:rPr>
        <w:t> </w:t>
      </w:r>
      <w:r w:rsidR="007D79B6">
        <w:rPr>
          <w:szCs w:val="26"/>
        </w:rPr>
        <w:t>Util.</w:t>
      </w:r>
      <w:r w:rsidRPr="004F19A7">
        <w:rPr>
          <w:szCs w:val="26"/>
        </w:rPr>
        <w:t xml:space="preserve"> Code </w:t>
      </w:r>
      <w:r w:rsidR="000F2D16">
        <w:rPr>
          <w:szCs w:val="26"/>
        </w:rPr>
        <w:t>Section</w:t>
      </w:r>
      <w:r w:rsidR="00513B3F">
        <w:rPr>
          <w:szCs w:val="26"/>
        </w:rPr>
        <w:t> </w:t>
      </w:r>
      <w:r w:rsidRPr="004F19A7">
        <w:rPr>
          <w:szCs w:val="26"/>
        </w:rPr>
        <w:t>783</w:t>
      </w:r>
      <w:r>
        <w:rPr>
          <w:szCs w:val="26"/>
        </w:rPr>
        <w:t>(b)</w:t>
      </w:r>
      <w:r>
        <w:t>,</w:t>
      </w:r>
      <w:r w:rsidR="002D58AA">
        <w:rPr>
          <w:szCs w:val="26"/>
        </w:rPr>
        <w:t xml:space="preserve"> </w:t>
      </w:r>
      <w:r w:rsidR="00C057AD">
        <w:rPr>
          <w:szCs w:val="26"/>
        </w:rPr>
        <w:t xml:space="preserve">four </w:t>
      </w:r>
      <w:r w:rsidR="003D2EF2">
        <w:rPr>
          <w:szCs w:val="26"/>
        </w:rPr>
        <w:t xml:space="preserve">parties disagree with </w:t>
      </w:r>
      <w:r w:rsidR="00BC7C69">
        <w:t>the Staff Proposal’s assessment of the seven issues</w:t>
      </w:r>
      <w:r w:rsidRPr="003B5487" w:rsidR="00BC7C69">
        <w:t xml:space="preserve"> </w:t>
      </w:r>
      <w:r w:rsidR="00A90AF2">
        <w:t>citing</w:t>
      </w:r>
      <w:r w:rsidR="00BC7C69">
        <w:t xml:space="preserve"> </w:t>
      </w:r>
      <w:r w:rsidR="003D2EF2">
        <w:t>in</w:t>
      </w:r>
      <w:r w:rsidR="00F521E8">
        <w:t xml:space="preserve">sufficient </w:t>
      </w:r>
      <w:r w:rsidRPr="00BC7C69" w:rsidR="00BC7C69">
        <w:t>analysis</w:t>
      </w:r>
      <w:r w:rsidR="00BC7C69">
        <w:t>.</w:t>
      </w:r>
      <w:r w:rsidR="00CD4D5C">
        <w:t xml:space="preserve"> These parties are: SDG&amp;E, SoCalGas, </w:t>
      </w:r>
      <w:r w:rsidR="00C057AD">
        <w:t>SBUA</w:t>
      </w:r>
      <w:r w:rsidR="00603EEE">
        <w:t>,</w:t>
      </w:r>
      <w:r w:rsidR="00C057AD">
        <w:t xml:space="preserve"> </w:t>
      </w:r>
      <w:r w:rsidR="00E66537">
        <w:t xml:space="preserve">and </w:t>
      </w:r>
      <w:r w:rsidR="00F12C99">
        <w:t>Clean Energy.</w:t>
      </w:r>
      <w:r w:rsidRPr="00E62C5F" w:rsidR="00E62C5F">
        <w:t xml:space="preserve"> </w:t>
      </w:r>
      <w:r w:rsidR="00E62C5F">
        <w:t xml:space="preserve">They make several points in opposition. </w:t>
      </w:r>
    </w:p>
    <w:p w:rsidR="00732231" w:rsidRDefault="00732231" w14:paraId="0B5D4693" w14:textId="0C8672E6">
      <w:pPr>
        <w:pStyle w:val="BlockQuoteH025"/>
        <w:numPr>
          <w:ilvl w:val="0"/>
          <w:numId w:val="10"/>
        </w:numPr>
        <w:ind w:left="1080"/>
      </w:pPr>
      <w:r>
        <w:t>The</w:t>
      </w:r>
      <w:r w:rsidRPr="00122127">
        <w:t xml:space="preserve"> </w:t>
      </w:r>
      <w:r w:rsidRPr="00D227CE">
        <w:t xml:space="preserve">record of this proceeding </w:t>
      </w:r>
      <w:r w:rsidR="00A90AF2">
        <w:t>does</w:t>
      </w:r>
      <w:r w:rsidRPr="00D227CE">
        <w:t xml:space="preserve"> support </w:t>
      </w:r>
      <w:r w:rsidRPr="00FB6DBE">
        <w:t>written finding</w:t>
      </w:r>
      <w:r w:rsidR="00C73A1D">
        <w:t>s</w:t>
      </w:r>
      <w:r w:rsidRPr="00FB6DBE">
        <w:t xml:space="preserve"> </w:t>
      </w:r>
      <w:r>
        <w:t>on all seven issues</w:t>
      </w:r>
      <w:r w:rsidR="00A5453E">
        <w:t xml:space="preserve">; </w:t>
      </w:r>
    </w:p>
    <w:p w:rsidR="00CD06A9" w:rsidRDefault="00C65F41" w14:paraId="7C3F06F0" w14:textId="073D5E90">
      <w:pPr>
        <w:pStyle w:val="BlockQuoteH025"/>
        <w:numPr>
          <w:ilvl w:val="0"/>
          <w:numId w:val="10"/>
        </w:numPr>
        <w:ind w:left="1080"/>
      </w:pPr>
      <w:r>
        <w:t>There has been n</w:t>
      </w:r>
      <w:r w:rsidRPr="00C65F41" w:rsidR="006B7C19">
        <w:t xml:space="preserve">o </w:t>
      </w:r>
      <w:r w:rsidRPr="00C65F41" w:rsidR="00BC7C69">
        <w:t>examination of the impacts on agriculture</w:t>
      </w:r>
      <w:r w:rsidR="00006F17">
        <w:t>, m</w:t>
      </w:r>
      <w:r w:rsidRPr="002759B2" w:rsidR="00006F17">
        <w:t xml:space="preserve">obile home parks, rural </w:t>
      </w:r>
      <w:r w:rsidR="004608D7">
        <w:t xml:space="preserve">and urban </w:t>
      </w:r>
      <w:r w:rsidRPr="002759B2" w:rsidR="00006F17">
        <w:t>customers, employment, or commercial</w:t>
      </w:r>
      <w:r w:rsidR="00006F17">
        <w:t xml:space="preserve"> </w:t>
      </w:r>
      <w:r w:rsidRPr="002759B2" w:rsidR="00006F17">
        <w:t>and industrial buildings and development</w:t>
      </w:r>
      <w:r w:rsidR="00EC5815">
        <w:t xml:space="preserve"> (</w:t>
      </w:r>
      <w:r w:rsidR="007D79B6">
        <w:t>Pub.</w:t>
      </w:r>
      <w:r w:rsidR="00513B3F">
        <w:t> </w:t>
      </w:r>
      <w:r w:rsidR="007D79B6">
        <w:t>Util.</w:t>
      </w:r>
      <w:r w:rsidR="00C32928">
        <w:t xml:space="preserve"> Code </w:t>
      </w:r>
      <w:r w:rsidR="000F2D16">
        <w:t>Section</w:t>
      </w:r>
      <w:r w:rsidR="00513B3F">
        <w:t> </w:t>
      </w:r>
      <w:r w:rsidR="00C32928">
        <w:t>78</w:t>
      </w:r>
      <w:r w:rsidRPr="002143B9" w:rsidR="00C32928">
        <w:t>3(b)(</w:t>
      </w:r>
      <w:r w:rsidR="006C45D7">
        <w:t>1</w:t>
      </w:r>
      <w:r w:rsidR="00C32928">
        <w:t>)</w:t>
      </w:r>
      <w:r w:rsidR="00EC5815">
        <w:t>)</w:t>
      </w:r>
      <w:r w:rsidR="00A5453E">
        <w:t xml:space="preserve">; </w:t>
      </w:r>
    </w:p>
    <w:p w:rsidRPr="00C65F41" w:rsidR="00732231" w:rsidRDefault="00732231" w14:paraId="72EEED44" w14:textId="6A080D78">
      <w:pPr>
        <w:pStyle w:val="BlockQuoteH025"/>
        <w:numPr>
          <w:ilvl w:val="0"/>
          <w:numId w:val="10"/>
        </w:numPr>
        <w:ind w:left="1080"/>
      </w:pPr>
      <w:r>
        <w:t>There has been n</w:t>
      </w:r>
      <w:r w:rsidRPr="00C65F41">
        <w:t xml:space="preserve">o examination of the impacts </w:t>
      </w:r>
      <w:r>
        <w:t>to customer bills</w:t>
      </w:r>
      <w:r w:rsidR="00EC5815">
        <w:t xml:space="preserve"> (</w:t>
      </w:r>
      <w:r w:rsidR="007D79B6">
        <w:t>Pub.</w:t>
      </w:r>
      <w:r w:rsidR="00513B3F">
        <w:t> </w:t>
      </w:r>
      <w:r w:rsidR="007D79B6">
        <w:t>Util.</w:t>
      </w:r>
      <w:r w:rsidR="006C45D7">
        <w:t xml:space="preserve"> Code </w:t>
      </w:r>
      <w:r w:rsidR="000F2D16">
        <w:t>Section</w:t>
      </w:r>
      <w:r w:rsidR="00513B3F">
        <w:t> </w:t>
      </w:r>
      <w:r w:rsidR="006C45D7">
        <w:t>78</w:t>
      </w:r>
      <w:r w:rsidRPr="002143B9" w:rsidR="006C45D7">
        <w:t>3(b)(</w:t>
      </w:r>
      <w:r w:rsidR="006C45D7">
        <w:t>5)</w:t>
      </w:r>
      <w:r w:rsidR="00EC5815">
        <w:t>)</w:t>
      </w:r>
      <w:r w:rsidR="00A5453E">
        <w:t>;</w:t>
      </w:r>
    </w:p>
    <w:p w:rsidR="001D1779" w:rsidRDefault="00C65F41" w14:paraId="4B4C45F1" w14:textId="51F992A1">
      <w:pPr>
        <w:pStyle w:val="BlockQuoteH025"/>
        <w:numPr>
          <w:ilvl w:val="0"/>
          <w:numId w:val="10"/>
        </w:numPr>
        <w:ind w:left="1080"/>
      </w:pPr>
      <w:r>
        <w:t>There has been n</w:t>
      </w:r>
      <w:r w:rsidRPr="00C65F41">
        <w:t xml:space="preserve">o </w:t>
      </w:r>
      <w:r w:rsidRPr="00C65F41" w:rsidR="00BC7C69">
        <w:t xml:space="preserve">discussion of the impact on </w:t>
      </w:r>
      <w:r w:rsidR="00006F17">
        <w:t xml:space="preserve">the </w:t>
      </w:r>
      <w:r w:rsidRPr="00C65F41" w:rsidR="00BC7C69">
        <w:t>development of RNG fueling stations</w:t>
      </w:r>
      <w:r w:rsidR="00006F17">
        <w:t xml:space="preserve"> or </w:t>
      </w:r>
      <w:r w:rsidRPr="00C65F41" w:rsidR="00BC7C69">
        <w:t>hydrogen production sites</w:t>
      </w:r>
      <w:r w:rsidR="00A5453E">
        <w:t>;</w:t>
      </w:r>
    </w:p>
    <w:p w:rsidRPr="001D1779" w:rsidR="003E5F74" w:rsidRDefault="003E5F74" w14:paraId="7C34C5B1" w14:textId="39824733">
      <w:pPr>
        <w:pStyle w:val="BlockQuoteH025"/>
        <w:numPr>
          <w:ilvl w:val="0"/>
          <w:numId w:val="10"/>
        </w:numPr>
        <w:ind w:left="1080"/>
      </w:pPr>
      <w:r>
        <w:t xml:space="preserve">The Staff Proposal does not </w:t>
      </w:r>
      <w:r w:rsidR="002143B9">
        <w:t xml:space="preserve">address the </w:t>
      </w:r>
      <w:r w:rsidRPr="008D7DC5" w:rsidR="008D7DC5">
        <w:t>equity</w:t>
      </w:r>
      <w:r w:rsidR="008D7DC5">
        <w:t xml:space="preserve"> </w:t>
      </w:r>
      <w:r w:rsidRPr="008D7DC5" w:rsidR="008D7DC5">
        <w:t>concern between the customer applying for the extension now and future customers applying for</w:t>
      </w:r>
      <w:r w:rsidR="008D7DC5">
        <w:t xml:space="preserve"> </w:t>
      </w:r>
      <w:r w:rsidRPr="008D7DC5" w:rsidR="008D7DC5">
        <w:t>line extensions at a later tim</w:t>
      </w:r>
      <w:r w:rsidR="008D7DC5">
        <w:t>e</w:t>
      </w:r>
      <w:r w:rsidR="00EC5815">
        <w:t xml:space="preserve"> (</w:t>
      </w:r>
      <w:r w:rsidR="007D79B6">
        <w:t>Pub.</w:t>
      </w:r>
      <w:r w:rsidR="00513B3F">
        <w:t> </w:t>
      </w:r>
      <w:r w:rsidR="007D79B6">
        <w:t>Util.</w:t>
      </w:r>
      <w:r>
        <w:t xml:space="preserve"> Code </w:t>
      </w:r>
      <w:r w:rsidR="000F2D16">
        <w:t>Section</w:t>
      </w:r>
      <w:r w:rsidR="00513B3F">
        <w:t> </w:t>
      </w:r>
      <w:r>
        <w:t>78</w:t>
      </w:r>
      <w:r w:rsidRPr="002143B9">
        <w:t>3(b)(2)</w:t>
      </w:r>
      <w:r w:rsidR="00EC5815">
        <w:t>);</w:t>
      </w:r>
    </w:p>
    <w:p w:rsidR="00A90AF2" w:rsidRDefault="00451F0F" w14:paraId="253D2A11" w14:textId="5695611B">
      <w:pPr>
        <w:pStyle w:val="BlockQuoteH025"/>
        <w:numPr>
          <w:ilvl w:val="0"/>
          <w:numId w:val="10"/>
        </w:numPr>
        <w:ind w:left="1080"/>
      </w:pPr>
      <w:r>
        <w:t xml:space="preserve">The </w:t>
      </w:r>
      <w:r w:rsidR="00F11C92">
        <w:t xml:space="preserve">Staff Proposal </w:t>
      </w:r>
      <w:r w:rsidR="00891F2C">
        <w:t xml:space="preserve">failed </w:t>
      </w:r>
      <w:r>
        <w:t>to show that staff</w:t>
      </w:r>
      <w:r w:rsidRPr="00EC1DA3" w:rsidR="00EC1DA3">
        <w:t xml:space="preserve"> consulted any city, county or district</w:t>
      </w:r>
      <w:r w:rsidR="00760BBA">
        <w:t xml:space="preserve"> </w:t>
      </w:r>
      <w:r w:rsidRPr="00EC1DA3" w:rsidR="00EC1DA3">
        <w:t xml:space="preserve">before arriving at </w:t>
      </w:r>
      <w:r w:rsidR="00CB2A46">
        <w:t>the</w:t>
      </w:r>
      <w:r w:rsidRPr="00EC1DA3" w:rsidR="00EC1DA3">
        <w:t xml:space="preserve"> conclusion</w:t>
      </w:r>
      <w:r w:rsidR="00CB2A46">
        <w:t xml:space="preserve"> that </w:t>
      </w:r>
      <w:r w:rsidRPr="00152F5F" w:rsidR="00152F5F">
        <w:lastRenderedPageBreak/>
        <w:t xml:space="preserve">eliminating gas line </w:t>
      </w:r>
      <w:r w:rsidR="00152F5F">
        <w:t>subsid</w:t>
      </w:r>
      <w:r w:rsidR="00A77FEB">
        <w:t>i</w:t>
      </w:r>
      <w:r w:rsidR="00152F5F">
        <w:t>es would not have</w:t>
      </w:r>
      <w:r w:rsidRPr="00152F5F" w:rsidR="00152F5F">
        <w:t xml:space="preserve"> any effect on</w:t>
      </w:r>
      <w:r w:rsidR="00152F5F">
        <w:t xml:space="preserve"> r</w:t>
      </w:r>
      <w:r w:rsidRPr="00152F5F" w:rsidR="00152F5F">
        <w:t>edevelopment projects, funded or sponsored by cities, counties, or districts</w:t>
      </w:r>
      <w:r w:rsidR="00EC5815">
        <w:t xml:space="preserve"> (</w:t>
      </w:r>
      <w:r w:rsidR="007D79B6">
        <w:t>Pub.</w:t>
      </w:r>
      <w:r w:rsidR="00513B3F">
        <w:t> </w:t>
      </w:r>
      <w:r w:rsidR="007D79B6">
        <w:t>Util.</w:t>
      </w:r>
      <w:r w:rsidR="006C45D7">
        <w:t xml:space="preserve"> Code </w:t>
      </w:r>
      <w:r w:rsidR="000F2D16">
        <w:t>Section</w:t>
      </w:r>
      <w:r w:rsidR="00513B3F">
        <w:t> </w:t>
      </w:r>
      <w:r w:rsidR="006C45D7">
        <w:t>78</w:t>
      </w:r>
      <w:r w:rsidRPr="002143B9" w:rsidR="006C45D7">
        <w:t>3(b)(</w:t>
      </w:r>
      <w:r w:rsidR="006C45D7">
        <w:t>4)</w:t>
      </w:r>
      <w:r w:rsidR="00EC5815">
        <w:t>);</w:t>
      </w:r>
      <w:r w:rsidR="00CF0E65">
        <w:t xml:space="preserve"> and</w:t>
      </w:r>
      <w:r w:rsidRPr="00EC1DA3" w:rsidR="00EC1DA3">
        <w:t xml:space="preserve"> </w:t>
      </w:r>
    </w:p>
    <w:p w:rsidRPr="00A90AF2" w:rsidR="002759B2" w:rsidRDefault="00A90AF2" w14:paraId="1EDD98A9" w14:textId="2CA104A9">
      <w:pPr>
        <w:pStyle w:val="BlockQuoteH025"/>
        <w:numPr>
          <w:ilvl w:val="0"/>
          <w:numId w:val="10"/>
        </w:numPr>
        <w:ind w:left="1080"/>
      </w:pPr>
      <w:r>
        <w:t xml:space="preserve">A </w:t>
      </w:r>
      <w:r w:rsidRPr="008A01FD">
        <w:t xml:space="preserve">study </w:t>
      </w:r>
      <w:r>
        <w:t xml:space="preserve">should be conducted on </w:t>
      </w:r>
      <w:r w:rsidRPr="008A01FD">
        <w:t>the economic effects on residential housing, rural</w:t>
      </w:r>
      <w:r>
        <w:t xml:space="preserve"> </w:t>
      </w:r>
      <w:r w:rsidRPr="008A01FD">
        <w:t xml:space="preserve">customers and urban customers </w:t>
      </w:r>
      <w:r>
        <w:t xml:space="preserve">and </w:t>
      </w:r>
      <w:r w:rsidRPr="008A01FD">
        <w:t xml:space="preserve">must include </w:t>
      </w:r>
      <w:r>
        <w:t>low</w:t>
      </w:r>
      <w:r w:rsidR="00513B3F">
        <w:noBreakHyphen/>
      </w:r>
      <w:r w:rsidRPr="008A01FD">
        <w:t>income customers, disadvantaged communities,</w:t>
      </w:r>
      <w:r>
        <w:t xml:space="preserve"> </w:t>
      </w:r>
      <w:r w:rsidRPr="008A01FD">
        <w:t>and the affordable housing sector.</w:t>
      </w:r>
    </w:p>
    <w:p w:rsidR="00FC28E7" w:rsidP="007C2EF4" w:rsidRDefault="00FC28E7" w14:paraId="726709E9" w14:textId="6AE49C47">
      <w:pPr>
        <w:pStyle w:val="Heading2"/>
      </w:pPr>
      <w:bookmarkStart w:name="_Toc109376136" w:id="172"/>
      <w:bookmarkStart w:name="_Toc109141168" w:id="173"/>
      <w:bookmarkStart w:name="_Toc110598588" w:id="174"/>
      <w:r w:rsidRPr="00177983">
        <w:t>Discussion</w:t>
      </w:r>
      <w:bookmarkEnd w:id="172"/>
      <w:bookmarkEnd w:id="173"/>
      <w:bookmarkEnd w:id="174"/>
    </w:p>
    <w:p w:rsidRPr="00BB0FEE" w:rsidR="00A07AEF" w:rsidP="007C2EF4" w:rsidRDefault="00A07AEF" w14:paraId="72ECE316" w14:textId="741766AA">
      <w:pPr>
        <w:pStyle w:val="Heading3"/>
      </w:pPr>
      <w:bookmarkStart w:name="_Toc109376137" w:id="175"/>
      <w:bookmarkStart w:name="_Toc109141169" w:id="176"/>
      <w:bookmarkStart w:name="_Toc110598589" w:id="177"/>
      <w:r w:rsidRPr="00017BAE">
        <w:t xml:space="preserve">Compliance with </w:t>
      </w:r>
      <w:r w:rsidR="007D79B6">
        <w:t>Pub. Util.</w:t>
      </w:r>
      <w:r w:rsidR="00117AE2">
        <w:t xml:space="preserve"> </w:t>
      </w:r>
      <w:r w:rsidRPr="00017BAE">
        <w:t xml:space="preserve">Code </w:t>
      </w:r>
      <w:r w:rsidR="000F2D16">
        <w:t>Section </w:t>
      </w:r>
      <w:r w:rsidRPr="00017BAE">
        <w:t>783(b)</w:t>
      </w:r>
      <w:bookmarkEnd w:id="175"/>
      <w:bookmarkEnd w:id="176"/>
      <w:bookmarkEnd w:id="177"/>
    </w:p>
    <w:p w:rsidR="00477A20" w:rsidP="00CA6E64" w:rsidRDefault="00713B4E" w14:paraId="07CE77C9" w14:textId="60F5CA07">
      <w:pPr>
        <w:pStyle w:val="Standard"/>
      </w:pPr>
      <w:r>
        <w:t>In this decision, t</w:t>
      </w:r>
      <w:r w:rsidR="00C776EB">
        <w:t xml:space="preserve">he Commission </w:t>
      </w:r>
      <w:r w:rsidR="00D4557C">
        <w:t>make</w:t>
      </w:r>
      <w:r w:rsidR="00C776EB">
        <w:t>s</w:t>
      </w:r>
      <w:r w:rsidR="00D4557C">
        <w:t xml:space="preserve"> </w:t>
      </w:r>
      <w:r w:rsidRPr="00177983" w:rsidR="004165A8">
        <w:t>findings on each of the seven issues</w:t>
      </w:r>
      <w:r w:rsidR="00F5303E">
        <w:t xml:space="preserve"> </w:t>
      </w:r>
      <w:r w:rsidR="00E46C79">
        <w:t xml:space="preserve">included </w:t>
      </w:r>
      <w:r w:rsidR="00F5303E">
        <w:t xml:space="preserve">in </w:t>
      </w:r>
      <w:r w:rsidR="007D79B6">
        <w:t>Pub.</w:t>
      </w:r>
      <w:r w:rsidR="00513B3F">
        <w:t> </w:t>
      </w:r>
      <w:r w:rsidR="007D79B6">
        <w:t>Util.</w:t>
      </w:r>
      <w:r w:rsidR="00F5303E">
        <w:t xml:space="preserve"> Code</w:t>
      </w:r>
      <w:r w:rsidR="00111455">
        <w:t xml:space="preserve"> </w:t>
      </w:r>
      <w:r w:rsidR="000F2D16">
        <w:t>Section</w:t>
      </w:r>
      <w:r w:rsidR="00513B3F">
        <w:t> </w:t>
      </w:r>
      <w:r w:rsidR="00F5303E">
        <w:t>783(b)</w:t>
      </w:r>
      <w:r w:rsidR="00B60D5A">
        <w:t>. We do so by</w:t>
      </w:r>
      <w:r w:rsidRPr="00543E69" w:rsidR="00543E69">
        <w:t xml:space="preserve"> </w:t>
      </w:r>
      <w:r w:rsidR="00543E69">
        <w:t>relying on the best information we have</w:t>
      </w:r>
      <w:r w:rsidRPr="00E96924" w:rsidR="00543E69">
        <w:t xml:space="preserve"> </w:t>
      </w:r>
      <w:r w:rsidR="0083344B">
        <w:t>in</w:t>
      </w:r>
      <w:r w:rsidR="00543E69">
        <w:t xml:space="preserve"> the record of this p</w:t>
      </w:r>
      <w:r w:rsidR="00704E43">
        <w:t xml:space="preserve">roceeding. </w:t>
      </w:r>
    </w:p>
    <w:p w:rsidR="00C10EA2" w:rsidP="00DB791C" w:rsidRDefault="00BE09A0" w14:paraId="072436AB" w14:textId="6EC65679">
      <w:pPr>
        <w:pStyle w:val="Standard"/>
      </w:pPr>
      <w:r>
        <w:t>W</w:t>
      </w:r>
      <w:r w:rsidRPr="00177983" w:rsidR="00457811">
        <w:t>e</w:t>
      </w:r>
      <w:r w:rsidRPr="00177983" w:rsidR="004165A8">
        <w:t xml:space="preserve"> </w:t>
      </w:r>
      <w:r w:rsidR="007100AD">
        <w:t xml:space="preserve">agree with </w:t>
      </w:r>
      <w:r w:rsidR="005F0AF0">
        <w:t xml:space="preserve">the Joint Parties and </w:t>
      </w:r>
      <w:r w:rsidR="007100AD">
        <w:t xml:space="preserve">TURN that </w:t>
      </w:r>
      <w:r w:rsidR="006C2DC5">
        <w:t xml:space="preserve">the </w:t>
      </w:r>
      <w:r w:rsidRPr="00B35E19" w:rsidR="00B35E19">
        <w:t xml:space="preserve">statute </w:t>
      </w:r>
      <w:r w:rsidR="00F43809">
        <w:t>requires</w:t>
      </w:r>
      <w:r w:rsidRPr="00B35E19" w:rsidR="00B35E19">
        <w:t xml:space="preserve"> </w:t>
      </w:r>
      <w:r w:rsidR="008E62C5">
        <w:t xml:space="preserve">the </w:t>
      </w:r>
      <w:r w:rsidRPr="00D66D26" w:rsidR="008E62C5">
        <w:t xml:space="preserve">Commission </w:t>
      </w:r>
      <w:r w:rsidR="008E62C5">
        <w:t xml:space="preserve">to </w:t>
      </w:r>
      <w:r w:rsidR="0010625D">
        <w:t>make</w:t>
      </w:r>
      <w:r w:rsidR="008E62C5">
        <w:t xml:space="preserve"> </w:t>
      </w:r>
      <w:r w:rsidRPr="00D66D26" w:rsidR="008E62C5">
        <w:t>findings on questions</w:t>
      </w:r>
      <w:r w:rsidRPr="00DB791C" w:rsidR="00DB791C">
        <w:t xml:space="preserve"> such as “the effect of requiring new or existing customers applying</w:t>
      </w:r>
      <w:r w:rsidR="00DB791C">
        <w:t xml:space="preserve"> </w:t>
      </w:r>
      <w:r w:rsidRPr="00DB791C" w:rsidR="00DB791C">
        <w:t>for an extension to an electrical or gas corporation to provide transmission or distribution</w:t>
      </w:r>
      <w:r w:rsidR="00DB791C">
        <w:t xml:space="preserve"> </w:t>
      </w:r>
      <w:r w:rsidRPr="00DB791C" w:rsidR="00DB791C">
        <w:t>facilities for other customers who will apply to receive line and service extensions in the future</w:t>
      </w:r>
      <w:r w:rsidR="00F74316">
        <w:t>.</w:t>
      </w:r>
      <w:r w:rsidRPr="00DB791C" w:rsidR="00DB791C">
        <w:t>”</w:t>
      </w:r>
      <w:r w:rsidR="008E62C5">
        <w:t xml:space="preserve"> </w:t>
      </w:r>
      <w:r w:rsidR="00D2159A">
        <w:t xml:space="preserve">However, </w:t>
      </w:r>
      <w:r w:rsidR="005441C8">
        <w:t>it does not</w:t>
      </w:r>
      <w:r w:rsidRPr="00D66D26" w:rsidR="008E62C5">
        <w:t xml:space="preserve"> require that </w:t>
      </w:r>
      <w:r w:rsidR="002A191C">
        <w:t xml:space="preserve">the </w:t>
      </w:r>
      <w:r w:rsidR="004E0445">
        <w:t>Commission arrive</w:t>
      </w:r>
      <w:r w:rsidR="00287F72">
        <w:t>s</w:t>
      </w:r>
      <w:r w:rsidR="004E0445">
        <w:t xml:space="preserve"> </w:t>
      </w:r>
      <w:r w:rsidR="00983F45">
        <w:t>at</w:t>
      </w:r>
      <w:r w:rsidRPr="00D66D26" w:rsidR="008E62C5">
        <w:t xml:space="preserve"> any particular </w:t>
      </w:r>
      <w:r w:rsidR="00807821">
        <w:t>conclusions</w:t>
      </w:r>
      <w:r w:rsidRPr="00D66D26" w:rsidR="00807821">
        <w:t xml:space="preserve"> </w:t>
      </w:r>
      <w:r w:rsidR="00222E2D">
        <w:t>(</w:t>
      </w:r>
      <w:r w:rsidRPr="00222E2D" w:rsidR="008E62C5">
        <w:rPr>
          <w:i/>
          <w:iCs/>
        </w:rPr>
        <w:t>e.g.</w:t>
      </w:r>
      <w:r w:rsidRPr="00D66D26" w:rsidR="008E62C5">
        <w:t>,</w:t>
      </w:r>
      <w:r w:rsidR="00513B3F">
        <w:t> </w:t>
      </w:r>
      <w:r w:rsidRPr="00D66D26" w:rsidR="008E62C5">
        <w:t>favorable rate effects for</w:t>
      </w:r>
      <w:r w:rsidR="008E62C5">
        <w:t xml:space="preserve"> </w:t>
      </w:r>
      <w:r w:rsidRPr="00D66D26" w:rsidR="008E62C5">
        <w:t>customers</w:t>
      </w:r>
      <w:r w:rsidR="00222E2D">
        <w:t>)</w:t>
      </w:r>
      <w:r w:rsidRPr="00D66D26" w:rsidR="008E62C5">
        <w:t xml:space="preserve"> simply that </w:t>
      </w:r>
      <w:r w:rsidR="00144680">
        <w:t xml:space="preserve">the </w:t>
      </w:r>
      <w:r w:rsidR="00807821">
        <w:t>Commission arrive</w:t>
      </w:r>
      <w:r w:rsidR="00287F72">
        <w:t>s</w:t>
      </w:r>
      <w:r w:rsidR="00807821">
        <w:t xml:space="preserve"> at </w:t>
      </w:r>
      <w:r w:rsidR="007C77A2">
        <w:t xml:space="preserve">written </w:t>
      </w:r>
      <w:r w:rsidR="00807821">
        <w:t xml:space="preserve">findings for </w:t>
      </w:r>
      <w:r w:rsidR="00F30694">
        <w:t xml:space="preserve">all </w:t>
      </w:r>
      <w:r w:rsidR="00EB6E8C">
        <w:t xml:space="preserve">seven issues set out in </w:t>
      </w:r>
      <w:r w:rsidR="007D79B6">
        <w:t>Pub.</w:t>
      </w:r>
      <w:r w:rsidR="00513B3F">
        <w:t> </w:t>
      </w:r>
      <w:r w:rsidR="007D79B6">
        <w:t>Util.</w:t>
      </w:r>
      <w:r w:rsidRPr="00B35E19" w:rsidR="003C650A">
        <w:t xml:space="preserve"> Code </w:t>
      </w:r>
      <w:r w:rsidR="006F5DBD">
        <w:t>Section </w:t>
      </w:r>
      <w:r w:rsidRPr="00B35E19" w:rsidR="003C650A">
        <w:t>783(b)</w:t>
      </w:r>
      <w:r w:rsidR="00D15021">
        <w:t>.</w:t>
      </w:r>
      <w:r w:rsidR="00D15021">
        <w:rPr>
          <w:rStyle w:val="FootnoteReference"/>
        </w:rPr>
        <w:footnoteReference w:id="124"/>
      </w:r>
      <w:r w:rsidR="00A027FC">
        <w:t xml:space="preserve"> </w:t>
      </w:r>
    </w:p>
    <w:p w:rsidR="00477A20" w:rsidP="00DB791C" w:rsidRDefault="006C2DC5" w14:paraId="5C6E9CD1" w14:textId="2491FC33">
      <w:pPr>
        <w:pStyle w:val="Standard"/>
      </w:pPr>
      <w:r>
        <w:t>Moreover, the statute</w:t>
      </w:r>
      <w:r w:rsidR="00DF10B9">
        <w:t xml:space="preserve"> </w:t>
      </w:r>
      <w:r w:rsidR="00F85AB7">
        <w:t>does</w:t>
      </w:r>
      <w:r w:rsidR="00AC4DA2">
        <w:t xml:space="preserve"> </w:t>
      </w:r>
      <w:r w:rsidR="006600F1">
        <w:t>not</w:t>
      </w:r>
      <w:r w:rsidRPr="00D64C28" w:rsidR="00D64C28">
        <w:t xml:space="preserve"> </w:t>
      </w:r>
      <w:r w:rsidR="00D64C28">
        <w:t xml:space="preserve">require the Commission to </w:t>
      </w:r>
      <w:r w:rsidRPr="00B83AB4" w:rsidR="00D64C28">
        <w:t>conduct or</w:t>
      </w:r>
      <w:r w:rsidR="00D64C28">
        <w:t xml:space="preserve"> </w:t>
      </w:r>
      <w:r w:rsidRPr="00B83AB4" w:rsidR="00D64C28">
        <w:t>commission a study</w:t>
      </w:r>
      <w:r w:rsidR="00D64C28">
        <w:t xml:space="preserve">, </w:t>
      </w:r>
      <w:r w:rsidR="00DB13EF">
        <w:t xml:space="preserve">or </w:t>
      </w:r>
      <w:r w:rsidRPr="00D278BE" w:rsidR="00D278BE">
        <w:t>specify the exact nature of the</w:t>
      </w:r>
      <w:r w:rsidR="00D278BE">
        <w:t xml:space="preserve"> </w:t>
      </w:r>
      <w:r w:rsidRPr="00D278BE" w:rsidR="00D278BE">
        <w:t xml:space="preserve">economic analysis required </w:t>
      </w:r>
      <w:r w:rsidR="008B6077">
        <w:t xml:space="preserve">before the </w:t>
      </w:r>
      <w:r w:rsidRPr="00D278BE" w:rsidR="00D278BE">
        <w:t xml:space="preserve">Commission </w:t>
      </w:r>
      <w:r w:rsidR="008B6077">
        <w:t xml:space="preserve">can </w:t>
      </w:r>
      <w:r w:rsidRPr="00D278BE" w:rsidR="00D278BE">
        <w:t>make the necessary findings</w:t>
      </w:r>
      <w:r w:rsidRPr="00B83AB4" w:rsidR="00B83AB4">
        <w:t xml:space="preserve">. </w:t>
      </w:r>
    </w:p>
    <w:p w:rsidR="00EA005B" w:rsidP="00CA6E64" w:rsidRDefault="008233BB" w14:paraId="3506234E" w14:textId="0A306105">
      <w:pPr>
        <w:pStyle w:val="Standard"/>
      </w:pPr>
      <w:r>
        <w:t xml:space="preserve">The Commission has </w:t>
      </w:r>
      <w:r w:rsidR="00161220">
        <w:t>consider</w:t>
      </w:r>
      <w:r>
        <w:t>ed</w:t>
      </w:r>
      <w:r w:rsidR="00161220">
        <w:t xml:space="preserve"> the potential impacts of these changes</w:t>
      </w:r>
      <w:r w:rsidR="00EA005B">
        <w:t xml:space="preserve"> as further discussed below</w:t>
      </w:r>
      <w:r w:rsidR="002322D5">
        <w:t xml:space="preserve"> and </w:t>
      </w:r>
      <w:r w:rsidR="0019604E">
        <w:t>conclude</w:t>
      </w:r>
      <w:r w:rsidR="00C51B5B">
        <w:t>s</w:t>
      </w:r>
      <w:r w:rsidR="0019604E">
        <w:t xml:space="preserve"> </w:t>
      </w:r>
      <w:r w:rsidR="002322D5">
        <w:t xml:space="preserve">that </w:t>
      </w:r>
      <w:r w:rsidRPr="00D10DF5" w:rsidR="00D10DF5">
        <w:t xml:space="preserve">eliminating gas line subsidies </w:t>
      </w:r>
      <w:r w:rsidR="00B85F62">
        <w:t xml:space="preserve">will </w:t>
      </w:r>
      <w:r w:rsidR="00B85F62">
        <w:lastRenderedPageBreak/>
        <w:t xml:space="preserve">have a net positive impact on </w:t>
      </w:r>
      <w:r w:rsidRPr="00D10DF5" w:rsidR="00D10DF5">
        <w:t xml:space="preserve">all sectors mentioned in </w:t>
      </w:r>
      <w:r w:rsidR="007D79B6">
        <w:t>Pub.</w:t>
      </w:r>
      <w:r w:rsidR="00513B3F">
        <w:t> </w:t>
      </w:r>
      <w:r w:rsidR="007D79B6">
        <w:t>Util.</w:t>
      </w:r>
      <w:r w:rsidRPr="00D10DF5" w:rsidR="00D10DF5">
        <w:t xml:space="preserve"> Code </w:t>
      </w:r>
      <w:r w:rsidR="000F2D16">
        <w:t>Section</w:t>
      </w:r>
      <w:r w:rsidR="00513B3F">
        <w:t> </w:t>
      </w:r>
      <w:r w:rsidRPr="00D10DF5" w:rsidR="00D10DF5">
        <w:t>783</w:t>
      </w:r>
      <w:r w:rsidR="004A7D15">
        <w:t>(b)</w:t>
      </w:r>
      <w:r w:rsidR="00A61362">
        <w:t xml:space="preserve"> for all the reasons discussed in earlier sections of this decision</w:t>
      </w:r>
      <w:r w:rsidRPr="00D10DF5" w:rsidR="00D10DF5">
        <w:t xml:space="preserve">. </w:t>
      </w:r>
      <w:r w:rsidR="009E4B3B">
        <w:t>T</w:t>
      </w:r>
      <w:r w:rsidR="00FC3393">
        <w:t>he</w:t>
      </w:r>
      <w:r w:rsidRPr="00D10DF5" w:rsidR="00D10DF5">
        <w:t xml:space="preserve"> record in th</w:t>
      </w:r>
      <w:r w:rsidR="00FC3393">
        <w:t>is</w:t>
      </w:r>
      <w:r w:rsidRPr="00D10DF5" w:rsidR="00D10DF5">
        <w:t xml:space="preserve"> proceeding provides the Commission sufficient basis to </w:t>
      </w:r>
      <w:r w:rsidR="00B95B18">
        <w:t>eliminate</w:t>
      </w:r>
      <w:r w:rsidRPr="00D10DF5" w:rsidR="00B95B18">
        <w:t xml:space="preserve"> </w:t>
      </w:r>
      <w:r w:rsidRPr="00D10DF5" w:rsidR="00D10DF5">
        <w:t xml:space="preserve">gas line subsidies for all customer classes </w:t>
      </w:r>
      <w:r w:rsidR="00FC3393">
        <w:t>and</w:t>
      </w:r>
      <w:r w:rsidRPr="00D10DF5" w:rsidR="00D10DF5">
        <w:t xml:space="preserve"> </w:t>
      </w:r>
      <w:r w:rsidR="00F029EB">
        <w:t xml:space="preserve">we </w:t>
      </w:r>
      <w:r w:rsidRPr="00D10DF5" w:rsidR="00D10DF5">
        <w:t xml:space="preserve">determine that </w:t>
      </w:r>
      <w:r w:rsidR="00F029EB">
        <w:t>this</w:t>
      </w:r>
      <w:r w:rsidR="007E7B4B">
        <w:t xml:space="preserve"> </w:t>
      </w:r>
      <w:r w:rsidR="00FC3393">
        <w:t xml:space="preserve">decision </w:t>
      </w:r>
      <w:r w:rsidRPr="00D10DF5" w:rsidR="00D10DF5">
        <w:t>is in California’s best interest and is consistent with other Commission decisions and legislative intent.</w:t>
      </w:r>
      <w:r w:rsidR="00D90B32">
        <w:t xml:space="preserve"> More specifically, we make the following findings on each of the seven issues.</w:t>
      </w:r>
      <w:r w:rsidR="00DF516A">
        <w:t xml:space="preserve"> </w:t>
      </w:r>
    </w:p>
    <w:p w:rsidRPr="00C067C4" w:rsidR="00C27B7C" w:rsidRDefault="00C27B7C" w14:paraId="36A54078" w14:textId="7E64F85F">
      <w:pPr>
        <w:pStyle w:val="BlockQuoteH033"/>
        <w:numPr>
          <w:ilvl w:val="0"/>
          <w:numId w:val="14"/>
        </w:numPr>
        <w:ind w:left="1195" w:hanging="475"/>
      </w:pPr>
      <w:r w:rsidRPr="00C067C4">
        <w:t xml:space="preserve">The economic effect of the line and service extension terms and conditions upon agriculture, residential housing, </w:t>
      </w:r>
      <w:r w:rsidRPr="00C067C4" w:rsidR="007412B1">
        <w:t>mobile home</w:t>
      </w:r>
      <w:r w:rsidRPr="00C067C4">
        <w:t xml:space="preserve"> parks, rural customers, urban customers, employment, and commercial and industrial building and development.</w:t>
      </w:r>
    </w:p>
    <w:p w:rsidR="003718FA" w:rsidP="00A85A13" w:rsidRDefault="00F029EB" w14:paraId="26507F55" w14:textId="6FE95438">
      <w:pPr>
        <w:pStyle w:val="Standard"/>
      </w:pPr>
      <w:r>
        <w:t>The Commission</w:t>
      </w:r>
      <w:r w:rsidRPr="007065F3" w:rsidR="007065F3">
        <w:t xml:space="preserve"> find</w:t>
      </w:r>
      <w:r>
        <w:t>s</w:t>
      </w:r>
      <w:r w:rsidRPr="007065F3" w:rsidR="007065F3">
        <w:t xml:space="preserve"> that the elimination of the gas line subsidies </w:t>
      </w:r>
      <w:r w:rsidR="00781CCB">
        <w:t xml:space="preserve">will </w:t>
      </w:r>
      <w:r w:rsidRPr="007065F3" w:rsidR="007065F3">
        <w:t xml:space="preserve">have </w:t>
      </w:r>
      <w:r w:rsidR="00781CCB">
        <w:t xml:space="preserve">an overall </w:t>
      </w:r>
      <w:r w:rsidRPr="007065F3" w:rsidR="007065F3">
        <w:t xml:space="preserve">net positive </w:t>
      </w:r>
      <w:r w:rsidR="00683FA1">
        <w:t xml:space="preserve">economic effect </w:t>
      </w:r>
      <w:r w:rsidRPr="007065F3" w:rsidR="007065F3">
        <w:t xml:space="preserve">on these groups of customers. </w:t>
      </w:r>
      <w:r w:rsidR="002B3744">
        <w:t>G</w:t>
      </w:r>
      <w:r w:rsidRPr="007065F3" w:rsidR="007065F3">
        <w:t>as rates paid by all gas customers will be reduced due to the reduction in gas line subsidies, estimated at an annual savings of $</w:t>
      </w:r>
      <w:r w:rsidR="001020AF">
        <w:t>164</w:t>
      </w:r>
      <w:r w:rsidR="00EE6D72">
        <w:t> </w:t>
      </w:r>
      <w:r w:rsidR="00AF3C91">
        <w:t>million</w:t>
      </w:r>
      <w:r w:rsidR="00C76850">
        <w:t xml:space="preserve">. </w:t>
      </w:r>
    </w:p>
    <w:p w:rsidR="002A077E" w:rsidP="00A85A13" w:rsidRDefault="002A077E" w14:paraId="693D0CDA" w14:textId="3ED5C601">
      <w:pPr>
        <w:pStyle w:val="Standard"/>
      </w:pPr>
      <w:r>
        <w:t>The Commission</w:t>
      </w:r>
      <w:r w:rsidRPr="007065F3">
        <w:t xml:space="preserve"> </w:t>
      </w:r>
      <w:r w:rsidRPr="007065F3" w:rsidR="007065F3">
        <w:t>agree</w:t>
      </w:r>
      <w:r>
        <w:t>s</w:t>
      </w:r>
      <w:r w:rsidRPr="007065F3" w:rsidR="007065F3">
        <w:t xml:space="preserve"> with the Joint Parties that in light of state climate and equity objectives and the importance of price signals to discourage the expansion of the gas system and reliance on gas appliances, the benefits of ending gas line extensions outweigh the economic impact upon those customers that may incur additional line or service extension costs by continuing to choose </w:t>
      </w:r>
      <w:r w:rsidR="00EF7F23">
        <w:t xml:space="preserve">to </w:t>
      </w:r>
      <w:r w:rsidR="005E7689">
        <w:t xml:space="preserve">build </w:t>
      </w:r>
      <w:r w:rsidR="00BC6207">
        <w:t xml:space="preserve">an </w:t>
      </w:r>
      <w:r w:rsidR="005E7689">
        <w:t xml:space="preserve">extension </w:t>
      </w:r>
      <w:r w:rsidRPr="007065F3" w:rsidR="007065F3">
        <w:t>connect</w:t>
      </w:r>
      <w:r w:rsidR="00EF7F23">
        <w:t>ing</w:t>
      </w:r>
      <w:r w:rsidRPr="007065F3" w:rsidR="007065F3">
        <w:t xml:space="preserve"> to the gas system.</w:t>
      </w:r>
      <w:r w:rsidRPr="007065F3" w:rsidR="007065F3">
        <w:rPr>
          <w:vertAlign w:val="superscript"/>
        </w:rPr>
        <w:footnoteReference w:id="125"/>
      </w:r>
      <w:r w:rsidRPr="007065F3" w:rsidR="007065F3">
        <w:t xml:space="preserve"> We also </w:t>
      </w:r>
      <w:r w:rsidR="00F5354C">
        <w:t xml:space="preserve">note </w:t>
      </w:r>
      <w:r w:rsidRPr="007065F3" w:rsidR="007065F3">
        <w:t xml:space="preserve">that there are programs that can help reduce any potential cost increase for these groups including the Manufactured and Mobile Homes Program, the Mobile Home Park Utility Conversion Program, and BUILD. </w:t>
      </w:r>
    </w:p>
    <w:p w:rsidR="003E696D" w:rsidP="003E696D" w:rsidRDefault="003E696D" w14:paraId="15337B98" w14:textId="367A97A1">
      <w:pPr>
        <w:pStyle w:val="Standard"/>
      </w:pPr>
      <w:r>
        <w:lastRenderedPageBreak/>
        <w:t>In terms of employment, and as discussed in this decision, t</w:t>
      </w:r>
      <w:r w:rsidRPr="00D010F6">
        <w:t xml:space="preserve">he Commission </w:t>
      </w:r>
      <w:r>
        <w:t>finds that there</w:t>
      </w:r>
      <w:r w:rsidRPr="00D010F6">
        <w:t xml:space="preserve"> will likely be a net positive impact as we are likely to see an increase in demand for skilled workers in several economic sectors, including in the electric industry, construction jobs for energy efficiency improvements and building retrofits.</w:t>
      </w:r>
    </w:p>
    <w:p w:rsidR="003E696D" w:rsidP="003E696D" w:rsidRDefault="003E696D" w14:paraId="73193E4C" w14:textId="77777777">
      <w:pPr>
        <w:pStyle w:val="Standard"/>
      </w:pPr>
      <w:r>
        <w:t>In terms of co</w:t>
      </w:r>
      <w:r w:rsidRPr="00F42AEA">
        <w:t>mmercial and industrial building and development</w:t>
      </w:r>
      <w:r>
        <w:t xml:space="preserve">, and as discussed in this decision, the Commission finds that there will likely be an </w:t>
      </w:r>
      <w:r w:rsidRPr="00440F89">
        <w:t>increase</w:t>
      </w:r>
      <w:r>
        <w:t xml:space="preserve"> in</w:t>
      </w:r>
      <w:r w:rsidRPr="00440F89">
        <w:t xml:space="preserve"> the number of newly constructed all-electric buildings which will likely cost less than newly constructed dual fuel buildings. </w:t>
      </w:r>
    </w:p>
    <w:p w:rsidRPr="005A2D7F" w:rsidR="007065F3" w:rsidP="00A85A13" w:rsidRDefault="009D4952" w14:paraId="3D520E8E" w14:textId="4B1E894B">
      <w:pPr>
        <w:pStyle w:val="Standard"/>
      </w:pPr>
      <w:r>
        <w:t xml:space="preserve">Therefore, </w:t>
      </w:r>
      <w:r w:rsidR="002A077E">
        <w:t xml:space="preserve">the Commission </w:t>
      </w:r>
      <w:r>
        <w:t>find</w:t>
      </w:r>
      <w:r w:rsidR="002A077E">
        <w:t>s</w:t>
      </w:r>
      <w:r>
        <w:t xml:space="preserve"> </w:t>
      </w:r>
      <w:r w:rsidR="00D61614">
        <w:t xml:space="preserve">the </w:t>
      </w:r>
      <w:r w:rsidR="0074092C">
        <w:t>“</w:t>
      </w:r>
      <w:r>
        <w:t>economic effect</w:t>
      </w:r>
      <w:r w:rsidR="009F47DA">
        <w:t xml:space="preserve"> of gas line and service extension terms and conditions </w:t>
      </w:r>
      <w:r w:rsidR="00F143B6">
        <w:t xml:space="preserve">upon agricultural, residential housing, </w:t>
      </w:r>
      <w:r w:rsidR="007412B1">
        <w:t>mobile home</w:t>
      </w:r>
      <w:r w:rsidR="00F143B6">
        <w:t xml:space="preserve"> parks, </w:t>
      </w:r>
      <w:r w:rsidR="00605E35">
        <w:t>rural customers, urban customers, employment, and commercial and industrial building and development</w:t>
      </w:r>
      <w:r w:rsidR="00D61614">
        <w:t>”</w:t>
      </w:r>
      <w:r w:rsidR="00D42995">
        <w:t xml:space="preserve"> to be </w:t>
      </w:r>
      <w:r w:rsidR="00D61614">
        <w:t xml:space="preserve">overall net </w:t>
      </w:r>
      <w:r w:rsidR="00A57A8F">
        <w:t>positive</w:t>
      </w:r>
      <w:r w:rsidR="00C04581">
        <w:t xml:space="preserve">. </w:t>
      </w:r>
    </w:p>
    <w:p w:rsidRPr="006C3614" w:rsidR="009C394D" w:rsidRDefault="009C394D" w14:paraId="656BFF60" w14:textId="3AECDE4F">
      <w:pPr>
        <w:pStyle w:val="BlockQuoteH033"/>
        <w:numPr>
          <w:ilvl w:val="0"/>
          <w:numId w:val="14"/>
        </w:numPr>
        <w:ind w:left="1195" w:hanging="475"/>
        <w:rPr>
          <w:i/>
          <w:iCs/>
        </w:rPr>
      </w:pPr>
      <w:r w:rsidRPr="005A2D7F">
        <w:t>The effect of requiring new or existing customers applying for an extension to an electrical or gas corporation to provide transmission or distribution facilities for other customers who will apply to receive line and service extensions in the future.</w:t>
      </w:r>
    </w:p>
    <w:p w:rsidR="000D411E" w:rsidP="002742AC" w:rsidRDefault="002A035B" w14:paraId="32F2D412" w14:textId="42D7AF7C">
      <w:pPr>
        <w:pStyle w:val="Standard"/>
      </w:pPr>
      <w:r>
        <w:t xml:space="preserve">The Commission agrees with </w:t>
      </w:r>
      <w:r w:rsidR="00BA7E9E">
        <w:t>the Staff Proposal</w:t>
      </w:r>
      <w:r w:rsidR="00BA7E9E">
        <w:rPr>
          <w:rStyle w:val="FootnoteReference"/>
        </w:rPr>
        <w:footnoteReference w:id="126"/>
      </w:r>
      <w:r w:rsidR="00BA7E9E">
        <w:t xml:space="preserve"> and </w:t>
      </w:r>
      <w:r>
        <w:t xml:space="preserve">the </w:t>
      </w:r>
      <w:r w:rsidRPr="007A6D3C" w:rsidR="007A6D3C">
        <w:t>Joint Parties</w:t>
      </w:r>
      <w:r w:rsidR="00BA7E9E">
        <w:rPr>
          <w:rStyle w:val="FootnoteReference"/>
        </w:rPr>
        <w:footnoteReference w:id="127"/>
      </w:r>
      <w:r w:rsidRPr="007A6D3C" w:rsidR="007A6D3C">
        <w:t xml:space="preserve"> that the elimination of gas line subsidies will have no effect on the current methods of providing transmission or distribution facilities for future customers. </w:t>
      </w:r>
    </w:p>
    <w:p w:rsidR="00C33935" w:rsidP="002742AC" w:rsidRDefault="000D411E" w14:paraId="29B32823" w14:textId="558E1983">
      <w:pPr>
        <w:pStyle w:val="Standard"/>
      </w:pPr>
      <w:r>
        <w:t xml:space="preserve">We note that the elimination of gas line allowances may </w:t>
      </w:r>
      <w:r w:rsidR="005A5837">
        <w:t>shift who pays wh</w:t>
      </w:r>
      <w:r w:rsidR="0082372A">
        <w:t xml:space="preserve">ich </w:t>
      </w:r>
      <w:r w:rsidR="005A5837">
        <w:t>costs, but there is no chang</w:t>
      </w:r>
      <w:r w:rsidR="00DA391B">
        <w:t xml:space="preserve">e in the extent to which </w:t>
      </w:r>
      <w:r w:rsidR="001E07AF">
        <w:t xml:space="preserve">new or existing customers applying for an extension provide transmission or distribution facilities for future customers. </w:t>
      </w:r>
      <w:r w:rsidR="00CF17B4">
        <w:t xml:space="preserve">We </w:t>
      </w:r>
      <w:r w:rsidR="009778A9">
        <w:t xml:space="preserve">acknowledge </w:t>
      </w:r>
      <w:r w:rsidR="00CF17B4">
        <w:t>that</w:t>
      </w:r>
      <w:r w:rsidRPr="007A6D3C" w:rsidR="007A6D3C">
        <w:t xml:space="preserve"> builders building dual fuel </w:t>
      </w:r>
      <w:r w:rsidRPr="007A6D3C" w:rsidR="007A6D3C">
        <w:lastRenderedPageBreak/>
        <w:t xml:space="preserve">new construction away from a point of gas pipeline interconnection may pay more </w:t>
      </w:r>
      <w:r w:rsidR="00016DEB">
        <w:t>(</w:t>
      </w:r>
      <w:r w:rsidRPr="00FA1A34" w:rsidR="00016DEB">
        <w:rPr>
          <w:i/>
          <w:iCs/>
        </w:rPr>
        <w:t>e.g.</w:t>
      </w:r>
      <w:r w:rsidR="00016DEB">
        <w:t xml:space="preserve">, </w:t>
      </w:r>
      <w:r w:rsidRPr="007A6D3C" w:rsidR="007A6D3C">
        <w:t>for additional trenching and infrastructure</w:t>
      </w:r>
      <w:r w:rsidR="00E17411">
        <w:t>)</w:t>
      </w:r>
      <w:r w:rsidRPr="007A6D3C" w:rsidR="007A6D3C">
        <w:t xml:space="preserve"> </w:t>
      </w:r>
      <w:r w:rsidR="008D4A8B">
        <w:t xml:space="preserve">than </w:t>
      </w:r>
      <w:r w:rsidRPr="007A6D3C" w:rsidR="007A6D3C">
        <w:t>neighboring all</w:t>
      </w:r>
      <w:r w:rsidR="00513B3F">
        <w:noBreakHyphen/>
      </w:r>
      <w:r w:rsidRPr="007A6D3C" w:rsidR="007A6D3C">
        <w:t>electric buildings</w:t>
      </w:r>
      <w:r w:rsidR="00E17411">
        <w:t xml:space="preserve"> (who do not need the additional trenching and gas infrastructure)</w:t>
      </w:r>
      <w:r w:rsidR="008D4A8B">
        <w:t>.</w:t>
      </w:r>
      <w:r w:rsidRPr="007A6D3C" w:rsidR="007A6D3C">
        <w:t xml:space="preserve"> </w:t>
      </w:r>
    </w:p>
    <w:p w:rsidR="00C33935" w:rsidP="002742AC" w:rsidRDefault="00F82BD9" w14:paraId="7F686CEB" w14:textId="47EA64F2">
      <w:pPr>
        <w:pStyle w:val="Standard"/>
      </w:pPr>
      <w:r>
        <w:t>With respect to the magnitude of any such cost shift</w:t>
      </w:r>
      <w:r w:rsidR="00AC115D">
        <w:t>, n</w:t>
      </w:r>
      <w:r w:rsidR="00691373">
        <w:t xml:space="preserve">o </w:t>
      </w:r>
      <w:r w:rsidR="00C444E2">
        <w:t xml:space="preserve">party presented credible evidence that </w:t>
      </w:r>
      <w:r>
        <w:t>it</w:t>
      </w:r>
      <w:r w:rsidR="00C444E2">
        <w:t xml:space="preserve"> would be material</w:t>
      </w:r>
      <w:r w:rsidR="007D0240">
        <w:t xml:space="preserve"> and significantly disrupt </w:t>
      </w:r>
      <w:r w:rsidR="00A6683F">
        <w:t>necessary expansion of utility service</w:t>
      </w:r>
      <w:r w:rsidR="00C444E2">
        <w:t xml:space="preserve">. </w:t>
      </w:r>
      <w:r w:rsidR="002C49DF">
        <w:t xml:space="preserve">In </w:t>
      </w:r>
      <w:r w:rsidRPr="007A6D3C" w:rsidR="007A6D3C">
        <w:t>light of the state’s climate and equity objectives, the benefits of ending these subsidies to all gas customers outweigh any economic impact of developers that may receive lower subsidies due to neighboring developments opting for all</w:t>
      </w:r>
      <w:r w:rsidR="00513B3F">
        <w:noBreakHyphen/>
      </w:r>
      <w:r w:rsidRPr="007A6D3C" w:rsidR="007A6D3C">
        <w:t>electric designs.</w:t>
      </w:r>
      <w:r w:rsidR="005F0EF1">
        <w:t xml:space="preserve"> </w:t>
      </w:r>
    </w:p>
    <w:p w:rsidRPr="005615F9" w:rsidR="007A6D3C" w:rsidP="00CA2270" w:rsidRDefault="00684E3F" w14:paraId="39F068C4" w14:textId="61D28AEC">
      <w:pPr>
        <w:pStyle w:val="Standard"/>
      </w:pPr>
      <w:r>
        <w:t>Therefore, w</w:t>
      </w:r>
      <w:r w:rsidR="005F0EF1">
        <w:t>e find that the</w:t>
      </w:r>
      <w:r w:rsidRPr="005362DD" w:rsidR="005362DD">
        <w:t xml:space="preserve"> </w:t>
      </w:r>
      <w:r w:rsidR="005362DD">
        <w:t>actions in this decision do not have the</w:t>
      </w:r>
      <w:r w:rsidR="005F0EF1">
        <w:t xml:space="preserve"> </w:t>
      </w:r>
      <w:r w:rsidR="00A957CE">
        <w:t>“</w:t>
      </w:r>
      <w:r w:rsidR="005F0EF1">
        <w:t>effect of requiring new or existing customers</w:t>
      </w:r>
      <w:r w:rsidR="00894813">
        <w:t xml:space="preserve"> applying for a gas line extension</w:t>
      </w:r>
      <w:r w:rsidR="007E3A3E">
        <w:t xml:space="preserve"> to provide transmission and distribution facilities to other customers who receive line and service extension in the future</w:t>
      </w:r>
      <w:r w:rsidR="002A35DB">
        <w:t>.</w:t>
      </w:r>
      <w:r w:rsidR="00E32C62">
        <w:t>”</w:t>
      </w:r>
      <w:r w:rsidR="008C2749">
        <w:t xml:space="preserve"> </w:t>
      </w:r>
      <w:r w:rsidR="000D75E2">
        <w:t xml:space="preserve"> </w:t>
      </w:r>
      <w:r w:rsidR="0063367C">
        <w:t xml:space="preserve">We find that the </w:t>
      </w:r>
      <w:r w:rsidR="008C2749">
        <w:t xml:space="preserve">effect </w:t>
      </w:r>
      <w:r w:rsidR="009D0A69">
        <w:t xml:space="preserve">of this decision </w:t>
      </w:r>
      <w:r w:rsidR="008C2749">
        <w:t xml:space="preserve">is </w:t>
      </w:r>
      <w:r w:rsidR="00F176AE">
        <w:t xml:space="preserve">limited to a shift in who pays which costs, </w:t>
      </w:r>
      <w:r w:rsidR="0063367C">
        <w:t xml:space="preserve">this is </w:t>
      </w:r>
      <w:r w:rsidR="00F176AE">
        <w:t xml:space="preserve">not a material effect, and </w:t>
      </w:r>
      <w:r w:rsidR="00176779">
        <w:t xml:space="preserve">the negative effects on some customers, if any, </w:t>
      </w:r>
      <w:r w:rsidR="00B97D9D">
        <w:t xml:space="preserve">are </w:t>
      </w:r>
      <w:r w:rsidR="00176779">
        <w:t xml:space="preserve">offset by the overall positive effects of </w:t>
      </w:r>
      <w:r w:rsidR="00190E8F">
        <w:t>reducing GHG emissions</w:t>
      </w:r>
      <w:r w:rsidR="00A2343C">
        <w:t>,</w:t>
      </w:r>
      <w:r w:rsidRPr="0054169A" w:rsidR="00EC56AC">
        <w:t xml:space="preserve"> improved </w:t>
      </w:r>
      <w:r w:rsidR="00EC56AC">
        <w:t>quality of life and health</w:t>
      </w:r>
      <w:r w:rsidRPr="0054169A" w:rsidR="00EC56AC">
        <w:t xml:space="preserve"> for customers,</w:t>
      </w:r>
      <w:r w:rsidR="00EC56AC">
        <w:t xml:space="preserve"> h</w:t>
      </w:r>
      <w:r w:rsidRPr="0054169A" w:rsidR="00EC56AC">
        <w:t xml:space="preserve">undreds of millions of dollars in </w:t>
      </w:r>
      <w:r w:rsidR="00AC112B">
        <w:t xml:space="preserve">total </w:t>
      </w:r>
      <w:r w:rsidRPr="0054169A" w:rsidR="00EC56AC">
        <w:t xml:space="preserve">ratepayer savings annually, </w:t>
      </w:r>
      <w:r w:rsidR="00EC56AC">
        <w:t>greater equity for low</w:t>
      </w:r>
      <w:r w:rsidR="00513B3F">
        <w:noBreakHyphen/>
      </w:r>
      <w:r w:rsidR="00EC56AC">
        <w:t xml:space="preserve">income </w:t>
      </w:r>
      <w:r w:rsidRPr="003E5933" w:rsidR="00EC56AC">
        <w:t>customers</w:t>
      </w:r>
      <w:r w:rsidR="00EC56AC">
        <w:t xml:space="preserve">, and </w:t>
      </w:r>
      <w:r w:rsidRPr="0057605F" w:rsidR="00EC56AC">
        <w:t xml:space="preserve">greater certainty for the builder </w:t>
      </w:r>
      <w:r w:rsidR="00EC56AC">
        <w:t xml:space="preserve">and </w:t>
      </w:r>
      <w:r w:rsidRPr="0057605F" w:rsidR="00EC56AC">
        <w:t>contractor</w:t>
      </w:r>
      <w:r w:rsidRPr="00A11A53" w:rsidR="00EC56AC">
        <w:t xml:space="preserve"> </w:t>
      </w:r>
      <w:r w:rsidRPr="0057605F" w:rsidR="00EC56AC">
        <w:t>community</w:t>
      </w:r>
      <w:r w:rsidR="00EC56AC">
        <w:t xml:space="preserve">. </w:t>
      </w:r>
    </w:p>
    <w:p w:rsidRPr="0011765D" w:rsidR="00442ECA" w:rsidRDefault="00442ECA" w14:paraId="1E266A5D" w14:textId="1F3BFF8F">
      <w:pPr>
        <w:pStyle w:val="BlockQuoteH033"/>
        <w:numPr>
          <w:ilvl w:val="0"/>
          <w:numId w:val="14"/>
        </w:numPr>
        <w:ind w:left="1195" w:hanging="475"/>
        <w:rPr>
          <w:i/>
          <w:iCs/>
        </w:rPr>
      </w:pPr>
      <w:r w:rsidRPr="005615F9">
        <w:t>The effect of requiring a new or existing customer applying for an extension to an electrical or gas corporation to be responsible for the distribution of, reinforcements of, relocations of, or additions to that gas or electrical corporation.</w:t>
      </w:r>
    </w:p>
    <w:p w:rsidRPr="0069592B" w:rsidR="0069592B" w:rsidP="00CA2270" w:rsidRDefault="00CA2270" w14:paraId="363ADE7B" w14:textId="584ECA95">
      <w:pPr>
        <w:pStyle w:val="Standard"/>
      </w:pPr>
      <w:r>
        <w:lastRenderedPageBreak/>
        <w:t xml:space="preserve">The Commission </w:t>
      </w:r>
      <w:r w:rsidR="0060366A">
        <w:t>agrees with the Staff Proposal</w:t>
      </w:r>
      <w:r w:rsidR="00A41507">
        <w:rPr>
          <w:rStyle w:val="FootnoteReference"/>
        </w:rPr>
        <w:footnoteReference w:id="128"/>
      </w:r>
      <w:r w:rsidR="0060366A">
        <w:t xml:space="preserve"> and the Joint Parties</w:t>
      </w:r>
      <w:r w:rsidR="0060366A">
        <w:rPr>
          <w:rStyle w:val="FootnoteReference"/>
        </w:rPr>
        <w:footnoteReference w:id="129"/>
      </w:r>
      <w:r w:rsidR="0060366A">
        <w:t xml:space="preserve"> that the </w:t>
      </w:r>
      <w:r w:rsidRPr="0069592B" w:rsidR="0069592B">
        <w:t xml:space="preserve">elimination of gas line subsidies for all new construction </w:t>
      </w:r>
      <w:r w:rsidR="00E71440">
        <w:t>will</w:t>
      </w:r>
      <w:r w:rsidRPr="0069592B" w:rsidR="0069592B">
        <w:t xml:space="preserve"> result in increased costs to any customer choosing to extend a gas line, with costs depending on what infrastructure upgrades are necessary to extend gas service to the customer’s building. However as mentioned above, the benefits of ending these subsidies to all gas customers outweigh any economic impact on developers seeking to extend gas lines.</w:t>
      </w:r>
      <w:r w:rsidR="00D72610">
        <w:t xml:space="preserve"> </w:t>
      </w:r>
      <w:r w:rsidR="004D3AEA">
        <w:t>Therefore</w:t>
      </w:r>
      <w:r w:rsidR="00B30AE0">
        <w:t xml:space="preserve">, we find </w:t>
      </w:r>
      <w:r w:rsidR="00741038">
        <w:t xml:space="preserve">the </w:t>
      </w:r>
      <w:r w:rsidR="00092D48">
        <w:t>“</w:t>
      </w:r>
      <w:r w:rsidRPr="00865871" w:rsidR="00865871">
        <w:t>effect of requiring a new or existing customer applying for an extension to an electrical or gas corporation to be responsible for the distribution of, reinforcements of, relocations of, or additions to that gas or electrical corporation</w:t>
      </w:r>
      <w:r w:rsidR="00865871">
        <w:t xml:space="preserve">” </w:t>
      </w:r>
      <w:r w:rsidR="005F4791">
        <w:t>to be</w:t>
      </w:r>
      <w:r w:rsidR="005D231F">
        <w:t>:</w:t>
      </w:r>
      <w:r w:rsidR="00EC0A9C">
        <w:t xml:space="preserve"> the new or existing customer will be responsible for and must pay the costs </w:t>
      </w:r>
      <w:r w:rsidR="006B0C63">
        <w:t xml:space="preserve">that are caused by that customer’s line extension (including reinforcements, relocations, or additions). </w:t>
      </w:r>
      <w:r w:rsidR="005D231F">
        <w:t xml:space="preserve">These costs are outweighed by the </w:t>
      </w:r>
      <w:r w:rsidR="00034378">
        <w:t>economic and environmental effects along with increased equity of having the cost</w:t>
      </w:r>
      <w:r w:rsidR="00513B3F">
        <w:noBreakHyphen/>
      </w:r>
      <w:r w:rsidR="00034378">
        <w:t xml:space="preserve">causer pay the costs that are incurred. </w:t>
      </w:r>
    </w:p>
    <w:p w:rsidRPr="005615F9" w:rsidR="00257587" w:rsidRDefault="00257587" w14:paraId="22BEF7AC" w14:textId="0CB6E1CB">
      <w:pPr>
        <w:pStyle w:val="BlockQuoteH033"/>
        <w:numPr>
          <w:ilvl w:val="0"/>
          <w:numId w:val="14"/>
        </w:numPr>
        <w:ind w:left="1195" w:hanging="475"/>
      </w:pPr>
      <w:r w:rsidRPr="005615F9">
        <w:t>The economic effect of the terms and conditions upon projects, including redevelopment projects, funded or sponsored by cities, counties, or districts.</w:t>
      </w:r>
    </w:p>
    <w:p w:rsidRPr="005D2F84" w:rsidR="005F1192" w:rsidP="000C48DF" w:rsidRDefault="000C48DF" w14:paraId="631C3C26" w14:textId="56F2C359">
      <w:pPr>
        <w:pStyle w:val="Standard"/>
      </w:pPr>
      <w:r>
        <w:t>The Commission</w:t>
      </w:r>
      <w:r w:rsidRPr="005D2F84" w:rsidR="005F1192">
        <w:t xml:space="preserve"> </w:t>
      </w:r>
      <w:r w:rsidR="00340659">
        <w:t>agrees with the Joint Parties that</w:t>
      </w:r>
      <w:r w:rsidR="00C940A0">
        <w:t xml:space="preserve"> </w:t>
      </w:r>
      <w:r w:rsidRPr="005D2F84" w:rsidR="005F1192">
        <w:t>the elimination of gas line subsidies may increase project costs (including those that are funded or sponsored by cities, counties, or districts) that choose to connect to the gas system.</w:t>
      </w:r>
      <w:r w:rsidR="00340659">
        <w:rPr>
          <w:rStyle w:val="FootnoteReference"/>
        </w:rPr>
        <w:footnoteReference w:id="130"/>
      </w:r>
      <w:r w:rsidRPr="005D2F84" w:rsidR="005F1192">
        <w:t xml:space="preserve"> However, as discussed above, the rates paid by all gas customers (including cities, counties, or districts as utility customers themselves) will be </w:t>
      </w:r>
      <w:r w:rsidRPr="005D2F84" w:rsidR="005F1192">
        <w:lastRenderedPageBreak/>
        <w:t xml:space="preserve">reduced due to the millions of dollars in ratepayer savings from eliminating the gas line subsidies. As such, we find </w:t>
      </w:r>
      <w:r w:rsidR="00747383">
        <w:t xml:space="preserve">that </w:t>
      </w:r>
      <w:r w:rsidRPr="005D2F84" w:rsidR="005F1192">
        <w:t xml:space="preserve">the </w:t>
      </w:r>
      <w:r w:rsidR="00864486">
        <w:t>“</w:t>
      </w:r>
      <w:r w:rsidR="00C948F4">
        <w:t xml:space="preserve">economic </w:t>
      </w:r>
      <w:r w:rsidRPr="0097613A" w:rsidR="0097613A">
        <w:t xml:space="preserve">effect of the terms and conditions upon projects, including redevelopment projects, funded or sponsored by cities, counties, or districts” to be </w:t>
      </w:r>
      <w:r w:rsidR="00F13251">
        <w:t>higher costs for those projects that choose to connect to the gas system</w:t>
      </w:r>
      <w:r w:rsidR="00895CCD">
        <w:t xml:space="preserve"> but offset (at least in part) by reduced gas rates, and also offset by the environmental and social benefits of ending gas line subsidies. </w:t>
      </w:r>
    </w:p>
    <w:p w:rsidRPr="00C246A9" w:rsidR="00943AFB" w:rsidRDefault="00943AFB" w14:paraId="0FA8D811" w14:textId="12142757">
      <w:pPr>
        <w:pStyle w:val="BlockQuoteH033"/>
        <w:numPr>
          <w:ilvl w:val="0"/>
          <w:numId w:val="14"/>
        </w:numPr>
        <w:ind w:left="1195" w:hanging="475"/>
      </w:pPr>
      <w:r w:rsidRPr="00C246A9">
        <w:t>The effect of the line and service extension regulations, and any modifications to them, on existing ratepayers.</w:t>
      </w:r>
    </w:p>
    <w:p w:rsidRPr="009525E1" w:rsidR="009525E1" w:rsidP="00340659" w:rsidRDefault="00340659" w14:paraId="1E730C68" w14:textId="68F0D778">
      <w:pPr>
        <w:pStyle w:val="Standard"/>
      </w:pPr>
      <w:r>
        <w:t xml:space="preserve">The Commission </w:t>
      </w:r>
      <w:r w:rsidR="00034378">
        <w:t>estimate</w:t>
      </w:r>
      <w:r w:rsidR="0029201E">
        <w:t>s</w:t>
      </w:r>
      <w:r w:rsidR="00034378">
        <w:t xml:space="preserve"> </w:t>
      </w:r>
      <w:r w:rsidRPr="009525E1" w:rsidR="009525E1">
        <w:t>that the elimination of gas line subsidies for all new construction (residential and non</w:t>
      </w:r>
      <w:r w:rsidR="00513B3F">
        <w:noBreakHyphen/>
      </w:r>
      <w:r w:rsidRPr="009525E1" w:rsidR="009525E1">
        <w:t xml:space="preserve">residential) will lead to an annual savings of </w:t>
      </w:r>
      <w:r w:rsidR="005D7EB2">
        <w:t xml:space="preserve">approximately </w:t>
      </w:r>
      <w:r w:rsidR="008A6598">
        <w:t>$</w:t>
      </w:r>
      <w:r w:rsidR="005D7EB2">
        <w:t>1</w:t>
      </w:r>
      <w:r w:rsidR="00386AE6">
        <w:t>6</w:t>
      </w:r>
      <w:r w:rsidR="008A6598">
        <w:t>4</w:t>
      </w:r>
      <w:r w:rsidR="00513B3F">
        <w:t> </w:t>
      </w:r>
      <w:r w:rsidR="00BF7312">
        <w:t>million</w:t>
      </w:r>
      <w:r w:rsidR="008A6598">
        <w:t xml:space="preserve"> per year</w:t>
      </w:r>
      <w:r w:rsidR="00F116E2">
        <w:t>, as noted above</w:t>
      </w:r>
      <w:r w:rsidR="00C76850">
        <w:t xml:space="preserve">. </w:t>
      </w:r>
      <w:r w:rsidRPr="009525E1" w:rsidR="009525E1">
        <w:t>In addition to the ratepayer savings, other benefits to the ratepayers include reduction in GHG emissions and improving public health outcomes due to improved air quality.</w:t>
      </w:r>
      <w:r w:rsidR="00511AC8">
        <w:t xml:space="preserve"> Thus, we find that the “</w:t>
      </w:r>
      <w:r w:rsidRPr="00BC510F" w:rsidR="00BC510F">
        <w:t>effect of the line</w:t>
      </w:r>
      <w:r w:rsidR="00BC510F">
        <w:t xml:space="preserve"> </w:t>
      </w:r>
      <w:r w:rsidRPr="00BC510F" w:rsidR="00BC510F">
        <w:t>and service extension regulations, and any modifications to them, on existing ratepayers</w:t>
      </w:r>
      <w:r w:rsidR="00FF52A0">
        <w:t>” is a savings of at least $1</w:t>
      </w:r>
      <w:r w:rsidR="00386AE6">
        <w:t>6</w:t>
      </w:r>
      <w:r w:rsidR="00CE0078">
        <w:t>4</w:t>
      </w:r>
      <w:r w:rsidR="00513B3F">
        <w:t> </w:t>
      </w:r>
      <w:r w:rsidR="00BF7312">
        <w:t>million</w:t>
      </w:r>
      <w:r w:rsidR="00FF52A0">
        <w:t xml:space="preserve"> per year, plus </w:t>
      </w:r>
      <w:r w:rsidR="00EF36B1">
        <w:t xml:space="preserve">additional environmental, social and health benefits. </w:t>
      </w:r>
    </w:p>
    <w:p w:rsidRPr="008C62FC" w:rsidR="00B01F63" w:rsidRDefault="00B01F63" w14:paraId="7B413E8A" w14:textId="4023F319">
      <w:pPr>
        <w:pStyle w:val="BlockQuoteH033"/>
        <w:numPr>
          <w:ilvl w:val="0"/>
          <w:numId w:val="14"/>
        </w:numPr>
        <w:ind w:left="1195" w:hanging="475"/>
      </w:pPr>
      <w:r w:rsidRPr="008C62FC">
        <w:t>The effect of the line and service extension regulations, and any modifications to them, on the consumption and conservation of energy.</w:t>
      </w:r>
    </w:p>
    <w:p w:rsidRPr="002A5EC6" w:rsidR="002A5EC6" w:rsidP="00C60295" w:rsidRDefault="001F13A1" w14:paraId="0EC3F5C0" w14:textId="04665B4F">
      <w:pPr>
        <w:pStyle w:val="Standard"/>
      </w:pPr>
      <w:r>
        <w:t>The Commission agrees with the Staff Proposal that the</w:t>
      </w:r>
      <w:r w:rsidRPr="002A5EC6" w:rsidR="002A5EC6">
        <w:t xml:space="preserve"> elimination of gas line subsidies for all new construction </w:t>
      </w:r>
      <w:r w:rsidR="00563CB6">
        <w:t>will</w:t>
      </w:r>
      <w:r w:rsidRPr="002A5EC6" w:rsidR="00563CB6">
        <w:t xml:space="preserve"> </w:t>
      </w:r>
      <w:r w:rsidRPr="002A5EC6" w:rsidR="002A5EC6">
        <w:t>result in less gas extensions, less gas consumption, and more electricity consumption.</w:t>
      </w:r>
      <w:r>
        <w:rPr>
          <w:rStyle w:val="FootnoteReference"/>
        </w:rPr>
        <w:footnoteReference w:id="131"/>
      </w:r>
      <w:r w:rsidRPr="002A5EC6" w:rsidR="002A5EC6">
        <w:t xml:space="preserve"> This </w:t>
      </w:r>
      <w:r w:rsidR="006C6E80">
        <w:t xml:space="preserve">will </w:t>
      </w:r>
      <w:r w:rsidRPr="002A5EC6" w:rsidR="002A5EC6">
        <w:t xml:space="preserve">also result in fewer GHG emissions and less air pollution. </w:t>
      </w:r>
      <w:r w:rsidR="006C6E80">
        <w:t xml:space="preserve">That is because electric generation </w:t>
      </w:r>
      <w:r w:rsidR="000A373E">
        <w:t xml:space="preserve">is now produced by a </w:t>
      </w:r>
      <w:r w:rsidR="006C6E80">
        <w:t>substantial amount of non</w:t>
      </w:r>
      <w:r w:rsidR="00513B3F">
        <w:noBreakHyphen/>
      </w:r>
      <w:r w:rsidR="006C6E80">
        <w:t xml:space="preserve">GHG </w:t>
      </w:r>
      <w:r w:rsidR="001E09B2">
        <w:t xml:space="preserve">polluting </w:t>
      </w:r>
      <w:r w:rsidR="006C6E80">
        <w:t xml:space="preserve">power plants, and the </w:t>
      </w:r>
      <w:r w:rsidR="006C6E80">
        <w:lastRenderedPageBreak/>
        <w:t>percentage of non</w:t>
      </w:r>
      <w:r w:rsidR="00513B3F">
        <w:noBreakHyphen/>
      </w:r>
      <w:r w:rsidR="006C6E80">
        <w:t>GHG producing power plants will increase over time</w:t>
      </w:r>
      <w:r w:rsidR="001E09B2">
        <w:t xml:space="preserve"> as California meets its </w:t>
      </w:r>
      <w:r w:rsidR="008634CB">
        <w:t>100</w:t>
      </w:r>
      <w:r w:rsidR="0021555A">
        <w:t> percent</w:t>
      </w:r>
      <w:r w:rsidR="008634CB">
        <w:t xml:space="preserve"> clean electricity</w:t>
      </w:r>
      <w:r w:rsidR="00620EB9">
        <w:t xml:space="preserve"> </w:t>
      </w:r>
      <w:r w:rsidR="006A7022">
        <w:t>mandate of</w:t>
      </w:r>
      <w:r w:rsidR="00620EB9">
        <w:t xml:space="preserve"> </w:t>
      </w:r>
      <w:r w:rsidR="00452F77">
        <w:t>SB</w:t>
      </w:r>
      <w:r w:rsidR="00513B3F">
        <w:t> </w:t>
      </w:r>
      <w:r w:rsidR="00620EB9">
        <w:t>100.</w:t>
      </w:r>
      <w:r w:rsidR="008634CB">
        <w:t xml:space="preserve"> </w:t>
      </w:r>
      <w:r w:rsidRPr="002A5EC6" w:rsidR="002A5EC6">
        <w:t>With regard to energy conservation, to the extent elimination of these subsidies results in more all</w:t>
      </w:r>
      <w:r w:rsidR="00513B3F">
        <w:noBreakHyphen/>
      </w:r>
      <w:r w:rsidRPr="002A5EC6" w:rsidR="002A5EC6">
        <w:t>electric construction, we agree with the Joint Parties that energy conservation will likely increase due to the efficiency of electric appliances.</w:t>
      </w:r>
      <w:r w:rsidRPr="002A5EC6" w:rsidR="002A5EC6">
        <w:rPr>
          <w:vertAlign w:val="superscript"/>
        </w:rPr>
        <w:footnoteReference w:id="132"/>
      </w:r>
      <w:r w:rsidR="00EF36B1">
        <w:t xml:space="preserve"> Thus, we find the ”</w:t>
      </w:r>
      <w:r w:rsidRPr="009F5CE4" w:rsidR="009F5CE4">
        <w:t>effect of the line and service extension regulations, and any modifications to them, on consumption and conservation of energy”</w:t>
      </w:r>
      <w:r w:rsidR="00116B01">
        <w:t xml:space="preserve"> </w:t>
      </w:r>
      <w:r w:rsidR="009F5CE4">
        <w:t xml:space="preserve">to be a reduction in </w:t>
      </w:r>
      <w:r w:rsidR="00036153">
        <w:t xml:space="preserve">gas consumption, an increase in electricity consumption, lower GHG emissions, less air pollution, and more energy conservation, with overall environmental, social and health benefits. </w:t>
      </w:r>
    </w:p>
    <w:p w:rsidRPr="00E80BFA" w:rsidR="007B1005" w:rsidRDefault="007B1005" w14:paraId="20B59CE1" w14:textId="4C7AE294">
      <w:pPr>
        <w:pStyle w:val="BlockQuoteH033"/>
        <w:numPr>
          <w:ilvl w:val="0"/>
          <w:numId w:val="14"/>
        </w:numPr>
        <w:ind w:left="1195" w:hanging="475"/>
      </w:pPr>
      <w:r w:rsidRPr="00E80BFA">
        <w:t>The extent to which there is cost</w:t>
      </w:r>
      <w:r w:rsidR="00513B3F">
        <w:rPr>
          <w:i/>
          <w:iCs/>
        </w:rPr>
        <w:noBreakHyphen/>
      </w:r>
      <w:r w:rsidRPr="00E80BFA">
        <w:t>justification for a special line and service extension allowance for agriculture.</w:t>
      </w:r>
    </w:p>
    <w:p w:rsidR="00EA005B" w:rsidP="001378EC" w:rsidRDefault="003413BB" w14:paraId="044D8DAC" w14:textId="40F4749B">
      <w:pPr>
        <w:pStyle w:val="Standard"/>
      </w:pPr>
      <w:r>
        <w:t xml:space="preserve">The Commission </w:t>
      </w:r>
      <w:r w:rsidRPr="000030EE" w:rsidR="000030EE">
        <w:t>find no impacts here as the proposal to eliminate gas line subsidies for all customer classes does not include special allowances for agricultural loads.</w:t>
      </w:r>
      <w:r w:rsidR="007246FF">
        <w:t xml:space="preserve"> No credible evidence was presented on</w:t>
      </w:r>
      <w:r w:rsidR="003C45EF">
        <w:t xml:space="preserve"> a</w:t>
      </w:r>
      <w:r w:rsidR="007246FF">
        <w:t xml:space="preserve"> cost</w:t>
      </w:r>
      <w:r w:rsidR="00513B3F">
        <w:noBreakHyphen/>
      </w:r>
      <w:r w:rsidR="007246FF">
        <w:t xml:space="preserve">justification, if any, </w:t>
      </w:r>
      <w:r w:rsidR="0053734B">
        <w:t>for a special line and service extension allowance for agriculture.</w:t>
      </w:r>
      <w:r w:rsidR="00BC5DEF">
        <w:t xml:space="preserve"> </w:t>
      </w:r>
    </w:p>
    <w:p w:rsidR="00B35E19" w:rsidP="00CA6E64" w:rsidRDefault="00184419" w14:paraId="51B80F59" w14:textId="0256A167">
      <w:pPr>
        <w:pStyle w:val="Standard"/>
      </w:pPr>
      <w:r>
        <w:t xml:space="preserve">Therefore, we conclude on these seven issues that the </w:t>
      </w:r>
      <w:r w:rsidRPr="00FA2631" w:rsidR="00FA2631">
        <w:t>record in the proceeding</w:t>
      </w:r>
      <w:r w:rsidR="00D02EA7">
        <w:t xml:space="preserve"> </w:t>
      </w:r>
      <w:r w:rsidRPr="00830BF4" w:rsidR="00830BF4">
        <w:t xml:space="preserve">provides the Commission sufficient basis to end gas line </w:t>
      </w:r>
      <w:r w:rsidR="00830BF4">
        <w:t xml:space="preserve">subsidies </w:t>
      </w:r>
      <w:r w:rsidRPr="00830BF4" w:rsidR="00830BF4">
        <w:t>for all customer</w:t>
      </w:r>
      <w:r w:rsidR="00830BF4">
        <w:t xml:space="preserve"> </w:t>
      </w:r>
      <w:r w:rsidRPr="00830BF4" w:rsidR="00830BF4">
        <w:t>classes</w:t>
      </w:r>
      <w:r w:rsidR="00830BF4">
        <w:t xml:space="preserve"> as this change is in California’s best interest</w:t>
      </w:r>
      <w:r w:rsidR="003E5D37">
        <w:t xml:space="preserve"> and is consistent with </w:t>
      </w:r>
      <w:r w:rsidRPr="00E27C19" w:rsidR="00E27C19">
        <w:t xml:space="preserve">other </w:t>
      </w:r>
      <w:r w:rsidR="00E27C19">
        <w:t>Commission decisions and l</w:t>
      </w:r>
      <w:r w:rsidRPr="00E27C19" w:rsidR="00E27C19">
        <w:t>egislat</w:t>
      </w:r>
      <w:r w:rsidR="00E27C19">
        <w:t>ive intent</w:t>
      </w:r>
      <w:r w:rsidRPr="00830BF4" w:rsidR="00830BF4">
        <w:t xml:space="preserve">. </w:t>
      </w:r>
      <w:r w:rsidR="00C25ECA">
        <w:t>As attested by n</w:t>
      </w:r>
      <w:r w:rsidRPr="00FA2631" w:rsidR="00C25ECA">
        <w:t>umerous parties</w:t>
      </w:r>
      <w:r w:rsidR="00C25ECA">
        <w:t xml:space="preserve">, </w:t>
      </w:r>
      <w:r w:rsidR="00875AB8">
        <w:t xml:space="preserve">there are </w:t>
      </w:r>
      <w:r w:rsidR="0083329E">
        <w:t xml:space="preserve">significant </w:t>
      </w:r>
      <w:r w:rsidR="00D16020">
        <w:t>economy</w:t>
      </w:r>
      <w:r w:rsidR="00513B3F">
        <w:noBreakHyphen/>
      </w:r>
      <w:r w:rsidR="00D16020">
        <w:t xml:space="preserve">wide </w:t>
      </w:r>
      <w:r w:rsidRPr="00FA2631" w:rsidR="00D16020">
        <w:t>climate,</w:t>
      </w:r>
      <w:r w:rsidR="00D16020">
        <w:t xml:space="preserve"> </w:t>
      </w:r>
      <w:r w:rsidRPr="00FA2631" w:rsidR="00D16020">
        <w:t xml:space="preserve">health, affordability, and equity </w:t>
      </w:r>
      <w:r w:rsidR="00875AB8">
        <w:t>benefits to</w:t>
      </w:r>
      <w:r w:rsidRPr="00FA2631" w:rsidR="00D16020">
        <w:t xml:space="preserve"> eliminating gas line subsidies</w:t>
      </w:r>
      <w:r w:rsidR="00D16020">
        <w:t xml:space="preserve">, </w:t>
      </w:r>
      <w:r w:rsidR="00E97E6D">
        <w:t xml:space="preserve">in addition to the </w:t>
      </w:r>
      <w:r w:rsidR="00D16020">
        <w:t xml:space="preserve">significant </w:t>
      </w:r>
      <w:r w:rsidR="0011660A">
        <w:t xml:space="preserve">ratepayer </w:t>
      </w:r>
      <w:r w:rsidR="00D16020">
        <w:t xml:space="preserve">savings </w:t>
      </w:r>
      <w:r w:rsidR="0077519C">
        <w:t>as</w:t>
      </w:r>
      <w:r w:rsidR="00D16020">
        <w:t xml:space="preserve"> </w:t>
      </w:r>
      <w:r w:rsidR="00875AB8">
        <w:t>s</w:t>
      </w:r>
      <w:r w:rsidR="00D16020">
        <w:t>upported by the data</w:t>
      </w:r>
      <w:r w:rsidRPr="00FA2631" w:rsidR="00D16020">
        <w:t xml:space="preserve"> in the Staff Proposal and </w:t>
      </w:r>
      <w:r w:rsidR="00D16020">
        <w:t>the IOUs’ ED</w:t>
      </w:r>
      <w:r w:rsidR="00513B3F">
        <w:noBreakHyphen/>
      </w:r>
      <w:r w:rsidR="00D16020">
        <w:t xml:space="preserve">DR </w:t>
      </w:r>
      <w:r w:rsidRPr="00FA2631" w:rsidR="00D16020">
        <w:t xml:space="preserve">responses. </w:t>
      </w:r>
      <w:r w:rsidR="00C92FA7">
        <w:t>I</w:t>
      </w:r>
      <w:r w:rsidRPr="00B35E19" w:rsidR="00B35E19">
        <w:t xml:space="preserve">n light of </w:t>
      </w:r>
      <w:r w:rsidR="001266E1">
        <w:t xml:space="preserve">California’s </w:t>
      </w:r>
      <w:r w:rsidRPr="00B35E19" w:rsidR="001266E1">
        <w:t>climate</w:t>
      </w:r>
      <w:r w:rsidRPr="00B35E19" w:rsidR="00B35E19">
        <w:t xml:space="preserve"> objectives and the importance of </w:t>
      </w:r>
      <w:r w:rsidR="001266E1">
        <w:t>market</w:t>
      </w:r>
      <w:r w:rsidRPr="00B35E19" w:rsidR="00B35E19">
        <w:t xml:space="preserve"> signals to discourage </w:t>
      </w:r>
      <w:r w:rsidR="00F86520">
        <w:t>further</w:t>
      </w:r>
      <w:r w:rsidRPr="00B35E19" w:rsidR="00B35E19">
        <w:t xml:space="preserve"> reliance on gas, </w:t>
      </w:r>
      <w:r w:rsidR="00BA0F69">
        <w:t xml:space="preserve">we find that the </w:t>
      </w:r>
      <w:r w:rsidRPr="00B35E19" w:rsidR="00B35E19">
        <w:t xml:space="preserve">benefits </w:t>
      </w:r>
      <w:r w:rsidRPr="00B35E19" w:rsidR="00B35E19">
        <w:lastRenderedPageBreak/>
        <w:t xml:space="preserve">of ending these subsidies </w:t>
      </w:r>
      <w:r w:rsidR="00F86520">
        <w:t xml:space="preserve">as discussed </w:t>
      </w:r>
      <w:r w:rsidR="00BA0F69">
        <w:t>thoroughly</w:t>
      </w:r>
      <w:r w:rsidR="00F86520">
        <w:t xml:space="preserve"> </w:t>
      </w:r>
      <w:r w:rsidR="008C0403">
        <w:t xml:space="preserve">in this </w:t>
      </w:r>
      <w:r w:rsidR="00BA0F69">
        <w:t xml:space="preserve">decision outweigh </w:t>
      </w:r>
      <w:r w:rsidR="008C0403">
        <w:t xml:space="preserve">any potentially negative economic effects to any particular customer classes </w:t>
      </w:r>
      <w:r w:rsidR="7D5154EB">
        <w:t>described within</w:t>
      </w:r>
      <w:r w:rsidR="008C0403">
        <w:t xml:space="preserve"> these seven issues</w:t>
      </w:r>
      <w:r w:rsidRPr="00B35E19" w:rsidR="00B35E19">
        <w:t xml:space="preserve">. </w:t>
      </w:r>
    </w:p>
    <w:p w:rsidRPr="00BB0FEE" w:rsidR="00A07AEF" w:rsidP="007C2EF4" w:rsidRDefault="00A07AEF" w14:paraId="55BE4F96" w14:textId="019D25BC">
      <w:pPr>
        <w:pStyle w:val="Heading3"/>
      </w:pPr>
      <w:bookmarkStart w:name="_Toc109376138" w:id="178"/>
      <w:bookmarkStart w:name="_Toc109141170" w:id="179"/>
      <w:bookmarkStart w:name="_Toc110598590" w:id="180"/>
      <w:r w:rsidRPr="00017BAE">
        <w:t xml:space="preserve">Compliance with </w:t>
      </w:r>
      <w:r w:rsidR="007D79B6">
        <w:t>Pub. Util.</w:t>
      </w:r>
      <w:r w:rsidR="00117AE2">
        <w:t xml:space="preserve"> </w:t>
      </w:r>
      <w:r w:rsidRPr="00017BAE">
        <w:t xml:space="preserve">Code </w:t>
      </w:r>
      <w:r w:rsidR="000F2D16">
        <w:t>Section </w:t>
      </w:r>
      <w:r w:rsidRPr="00017BAE">
        <w:t>783(</w:t>
      </w:r>
      <w:r>
        <w:t>c</w:t>
      </w:r>
      <w:r w:rsidRPr="00017BAE">
        <w:t>)</w:t>
      </w:r>
      <w:bookmarkEnd w:id="178"/>
      <w:bookmarkEnd w:id="179"/>
      <w:bookmarkEnd w:id="180"/>
    </w:p>
    <w:p w:rsidR="005B4342" w:rsidP="00546318" w:rsidRDefault="00164AC0" w14:paraId="635B21CB" w14:textId="272FB393">
      <w:pPr>
        <w:pStyle w:val="Standard"/>
      </w:pPr>
      <w:r>
        <w:t>In compliance</w:t>
      </w:r>
      <w:r w:rsidR="005C6934">
        <w:t xml:space="preserve"> </w:t>
      </w:r>
      <w:r>
        <w:t xml:space="preserve">with </w:t>
      </w:r>
      <w:r w:rsidR="007D79B6">
        <w:t>Pub.</w:t>
      </w:r>
      <w:r w:rsidR="00513B3F">
        <w:t> </w:t>
      </w:r>
      <w:r w:rsidR="007D79B6">
        <w:t>Util.</w:t>
      </w:r>
      <w:r w:rsidRPr="000D797A" w:rsidR="002C0F6F">
        <w:t xml:space="preserve"> Code </w:t>
      </w:r>
      <w:r w:rsidR="000F2D16">
        <w:t>Section</w:t>
      </w:r>
      <w:r w:rsidR="00513B3F">
        <w:t> </w:t>
      </w:r>
      <w:r w:rsidRPr="000D797A" w:rsidR="002C0F6F">
        <w:t>783(</w:t>
      </w:r>
      <w:r w:rsidR="002C0F6F">
        <w:t xml:space="preserve">c), </w:t>
      </w:r>
      <w:r w:rsidR="001725EF">
        <w:t xml:space="preserve">the </w:t>
      </w:r>
      <w:r w:rsidR="009278DF">
        <w:t>Phase</w:t>
      </w:r>
      <w:r w:rsidR="00513B3F">
        <w:t> </w:t>
      </w:r>
      <w:r w:rsidR="009278DF">
        <w:t>I</w:t>
      </w:r>
      <w:r w:rsidR="001725EF">
        <w:t>II Scoping Memo request</w:t>
      </w:r>
      <w:r w:rsidR="00A21776">
        <w:t>ed</w:t>
      </w:r>
      <w:r w:rsidR="002563BE">
        <w:t xml:space="preserve"> the assistance </w:t>
      </w:r>
      <w:r w:rsidR="008923DA">
        <w:t xml:space="preserve">and input </w:t>
      </w:r>
      <w:r w:rsidR="002563BE">
        <w:t xml:space="preserve">of the </w:t>
      </w:r>
      <w:r w:rsidR="00F21885">
        <w:t>agencies and departments</w:t>
      </w:r>
      <w:r w:rsidR="00150FF6">
        <w:t xml:space="preserve"> </w:t>
      </w:r>
      <w:r w:rsidR="00D10196">
        <w:t>included</w:t>
      </w:r>
      <w:r w:rsidR="002112CD">
        <w:t xml:space="preserve"> in </w:t>
      </w:r>
      <w:r w:rsidR="00F43E68">
        <w:t>the statute</w:t>
      </w:r>
      <w:r w:rsidR="002F262F">
        <w:t>.</w:t>
      </w:r>
      <w:r w:rsidRPr="002F262F" w:rsidR="002F262F">
        <w:t xml:space="preserve"> </w:t>
      </w:r>
      <w:r w:rsidR="002F262F">
        <w:t xml:space="preserve">The Commission served the </w:t>
      </w:r>
      <w:r w:rsidR="009278DF">
        <w:t>Phase</w:t>
      </w:r>
      <w:r w:rsidR="00513B3F">
        <w:t> </w:t>
      </w:r>
      <w:r w:rsidR="009278DF">
        <w:t>I</w:t>
      </w:r>
      <w:r w:rsidR="002F262F">
        <w:t xml:space="preserve">II Scoping Memo </w:t>
      </w:r>
      <w:r w:rsidR="0015502B">
        <w:t xml:space="preserve">on </w:t>
      </w:r>
      <w:r w:rsidR="002F262F">
        <w:t>these agencies and invited them to participate in this proceeding</w:t>
      </w:r>
      <w:r w:rsidR="00C55331">
        <w:t xml:space="preserve"> (</w:t>
      </w:r>
      <w:r w:rsidRPr="00D40566" w:rsidR="002F262F">
        <w:rPr>
          <w:i/>
          <w:iCs/>
        </w:rPr>
        <w:t>e.g.,</w:t>
      </w:r>
      <w:r w:rsidR="002F262F">
        <w:t xml:space="preserve"> submit comments and reply comments on the Staff Proposal</w:t>
      </w:r>
      <w:r w:rsidR="00C55331">
        <w:t>)</w:t>
      </w:r>
      <w:r w:rsidR="002F262F">
        <w:t>.</w:t>
      </w:r>
      <w:r w:rsidRPr="006A1C6D" w:rsidR="002F262F">
        <w:rPr>
          <w:vertAlign w:val="superscript"/>
        </w:rPr>
        <w:footnoteReference w:id="133"/>
      </w:r>
      <w:r w:rsidR="002F262F">
        <w:t xml:space="preserve"> Additionally, on November</w:t>
      </w:r>
      <w:r w:rsidR="00513B3F">
        <w:t> </w:t>
      </w:r>
      <w:r w:rsidR="002F262F">
        <w:t>17,</w:t>
      </w:r>
      <w:r w:rsidR="00513B3F">
        <w:t> </w:t>
      </w:r>
      <w:r w:rsidR="002F262F">
        <w:t>20</w:t>
      </w:r>
      <w:r>
        <w:t>2</w:t>
      </w:r>
      <w:r w:rsidR="002F262F">
        <w:t>1, t</w:t>
      </w:r>
      <w:r w:rsidRPr="006A1C6D" w:rsidR="002F262F">
        <w:t>he assigned Commissioner</w:t>
      </w:r>
      <w:r w:rsidR="002F262F">
        <w:t xml:space="preserve"> sent a follow up </w:t>
      </w:r>
      <w:r w:rsidR="00A8118A">
        <w:t>e</w:t>
      </w:r>
      <w:r w:rsidR="00A8118A">
        <w:noBreakHyphen/>
        <w:t>mail</w:t>
      </w:r>
      <w:r w:rsidR="002F262F">
        <w:t xml:space="preserve"> to</w:t>
      </w:r>
      <w:r w:rsidRPr="008C1BF0" w:rsidR="002F262F">
        <w:t xml:space="preserve"> </w:t>
      </w:r>
      <w:r w:rsidR="002F262F">
        <w:t>the</w:t>
      </w:r>
      <w:r w:rsidRPr="0091649D" w:rsidR="002F262F">
        <w:t xml:space="preserve"> Executive Director</w:t>
      </w:r>
      <w:r w:rsidR="002F262F">
        <w:t>s</w:t>
      </w:r>
      <w:r w:rsidRPr="0091649D" w:rsidR="002F262F">
        <w:t xml:space="preserve"> (or</w:t>
      </w:r>
      <w:r w:rsidR="002F262F">
        <w:t xml:space="preserve"> </w:t>
      </w:r>
      <w:r w:rsidRPr="0091649D" w:rsidR="002F262F">
        <w:t xml:space="preserve">an equivalent position) of </w:t>
      </w:r>
      <w:r w:rsidR="002F262F">
        <w:t>these</w:t>
      </w:r>
      <w:r w:rsidRPr="0091649D" w:rsidR="002F262F">
        <w:t xml:space="preserve"> agencies </w:t>
      </w:r>
      <w:r w:rsidR="002F262F">
        <w:t>and</w:t>
      </w:r>
      <w:r w:rsidRPr="0091649D" w:rsidR="002F262F">
        <w:t xml:space="preserve"> departments</w:t>
      </w:r>
      <w:r w:rsidR="002F262F">
        <w:t xml:space="preserve"> and </w:t>
      </w:r>
      <w:r w:rsidRPr="008C1BF0" w:rsidR="002F262F">
        <w:t xml:space="preserve">invited them to </w:t>
      </w:r>
      <w:r w:rsidR="002F262F">
        <w:t xml:space="preserve">provide input on the Staff Proposal </w:t>
      </w:r>
      <w:r w:rsidRPr="005340BB" w:rsidR="002F262F">
        <w:t>by December</w:t>
      </w:r>
      <w:r w:rsidR="00513B3F">
        <w:t> </w:t>
      </w:r>
      <w:r w:rsidRPr="005340BB" w:rsidR="002F262F">
        <w:t>20</w:t>
      </w:r>
      <w:r w:rsidR="002F262F">
        <w:t>,</w:t>
      </w:r>
      <w:r w:rsidR="00513B3F">
        <w:t> </w:t>
      </w:r>
      <w:r w:rsidR="002F262F">
        <w:t>2021</w:t>
      </w:r>
      <w:r w:rsidRPr="005340BB" w:rsidR="002F262F">
        <w:t>.</w:t>
      </w:r>
      <w:r w:rsidR="002C2BD8">
        <w:t xml:space="preserve"> </w:t>
      </w:r>
      <w:r w:rsidRPr="008C1BF0">
        <w:t xml:space="preserve">No comments or responses </w:t>
      </w:r>
      <w:r>
        <w:t>from</w:t>
      </w:r>
      <w:r w:rsidRPr="008C1BF0">
        <w:t xml:space="preserve"> </w:t>
      </w:r>
      <w:r>
        <w:t>the state</w:t>
      </w:r>
      <w:r w:rsidRPr="008C1BF0">
        <w:t xml:space="preserve"> agencies and </w:t>
      </w:r>
      <w:r>
        <w:t xml:space="preserve">state </w:t>
      </w:r>
      <w:r w:rsidRPr="008C1BF0">
        <w:t>departments were received</w:t>
      </w:r>
      <w:r w:rsidR="00C76850">
        <w:t xml:space="preserve">. </w:t>
      </w:r>
    </w:p>
    <w:p w:rsidRPr="00BB0FEE" w:rsidR="00A07AEF" w:rsidP="007C2EF4" w:rsidRDefault="00A07AEF" w14:paraId="0BA94A2A" w14:textId="287231C6">
      <w:pPr>
        <w:pStyle w:val="Heading3"/>
      </w:pPr>
      <w:bookmarkStart w:name="_Toc109376139" w:id="181"/>
      <w:bookmarkStart w:name="_Toc109141171" w:id="182"/>
      <w:bookmarkStart w:name="_Toc110598591" w:id="183"/>
      <w:r w:rsidRPr="00017BAE">
        <w:t xml:space="preserve">Compliance with </w:t>
      </w:r>
      <w:r w:rsidR="007D79B6">
        <w:t>Pub. Util.</w:t>
      </w:r>
      <w:r w:rsidR="00117AE2">
        <w:t xml:space="preserve"> </w:t>
      </w:r>
      <w:r w:rsidRPr="00017BAE">
        <w:t xml:space="preserve">Code </w:t>
      </w:r>
      <w:r w:rsidR="000F2D16">
        <w:t>Section </w:t>
      </w:r>
      <w:r w:rsidRPr="00017BAE">
        <w:t>783(</w:t>
      </w:r>
      <w:r>
        <w:t>d</w:t>
      </w:r>
      <w:r w:rsidRPr="00017BAE">
        <w:t>)</w:t>
      </w:r>
      <w:bookmarkEnd w:id="181"/>
      <w:bookmarkEnd w:id="182"/>
      <w:bookmarkEnd w:id="183"/>
    </w:p>
    <w:p w:rsidRPr="00FD0E20" w:rsidR="00FD0E20" w:rsidP="00546318" w:rsidRDefault="00BA0F69" w14:paraId="2B5FBC58" w14:textId="75D411C3">
      <w:pPr>
        <w:pStyle w:val="Standard"/>
      </w:pPr>
      <w:r>
        <w:t>Lastly</w:t>
      </w:r>
      <w:r w:rsidRPr="000D797A" w:rsidR="00CD50FF">
        <w:t xml:space="preserve">, </w:t>
      </w:r>
      <w:r w:rsidR="0092338F">
        <w:t>the revisions to the gas rules adopted in this decision</w:t>
      </w:r>
      <w:r w:rsidRPr="000D797A" w:rsidR="0092338F">
        <w:t xml:space="preserve"> </w:t>
      </w:r>
      <w:r w:rsidR="0092338F">
        <w:t>are effective July 1, 2023</w:t>
      </w:r>
      <w:r w:rsidR="000921D6">
        <w:t>,</w:t>
      </w:r>
      <w:r w:rsidR="0092338F">
        <w:t xml:space="preserve"> </w:t>
      </w:r>
      <w:r w:rsidR="001171E6">
        <w:t>consistent</w:t>
      </w:r>
      <w:r w:rsidR="00CD50FF">
        <w:t xml:space="preserve"> with </w:t>
      </w:r>
      <w:r w:rsidR="007D79B6">
        <w:t>Pub.</w:t>
      </w:r>
      <w:r w:rsidR="00513B3F">
        <w:t> </w:t>
      </w:r>
      <w:r w:rsidR="007D79B6">
        <w:t>Util.</w:t>
      </w:r>
      <w:r w:rsidRPr="000D797A" w:rsidR="00CD50FF">
        <w:t xml:space="preserve"> Code </w:t>
      </w:r>
      <w:r w:rsidR="000F2D16">
        <w:t>Section</w:t>
      </w:r>
      <w:r w:rsidR="00513B3F">
        <w:t> </w:t>
      </w:r>
      <w:r w:rsidRPr="000D797A" w:rsidR="00CD50FF">
        <w:t>783(d)</w:t>
      </w:r>
      <w:r w:rsidR="000921D6">
        <w:t>.</w:t>
      </w:r>
    </w:p>
    <w:p w:rsidRPr="00B70982" w:rsidR="00E4530B" w:rsidP="007C2EF4" w:rsidRDefault="00E4530B" w14:paraId="1779046A" w14:textId="77777777">
      <w:pPr>
        <w:pStyle w:val="Heading1"/>
      </w:pPr>
      <w:bookmarkStart w:name="_Toc10793267" w:id="184"/>
      <w:bookmarkStart w:name="_Toc10793341" w:id="185"/>
      <w:bookmarkStart w:name="_Toc10793472" w:id="186"/>
      <w:bookmarkStart w:name="_Toc10793268" w:id="187"/>
      <w:bookmarkStart w:name="_Toc10793342" w:id="188"/>
      <w:bookmarkStart w:name="_Toc10793473" w:id="189"/>
      <w:bookmarkStart w:name="_Toc81167784" w:id="190"/>
      <w:bookmarkStart w:name="_Toc87340013" w:id="191"/>
      <w:bookmarkStart w:name="_Toc109376140" w:id="192"/>
      <w:bookmarkStart w:name="_Toc109141172" w:id="193"/>
      <w:bookmarkStart w:name="_Toc110598592" w:id="194"/>
      <w:bookmarkStart w:name="_Toc12866697" w:id="195"/>
      <w:bookmarkEnd w:id="184"/>
      <w:bookmarkEnd w:id="185"/>
      <w:bookmarkEnd w:id="186"/>
      <w:bookmarkEnd w:id="187"/>
      <w:bookmarkEnd w:id="188"/>
      <w:bookmarkEnd w:id="189"/>
      <w:r w:rsidRPr="00B70982">
        <w:t>Conclusion</w:t>
      </w:r>
      <w:bookmarkEnd w:id="190"/>
      <w:bookmarkEnd w:id="191"/>
      <w:bookmarkEnd w:id="192"/>
      <w:bookmarkEnd w:id="193"/>
      <w:bookmarkEnd w:id="194"/>
    </w:p>
    <w:p w:rsidR="00E4530B" w:rsidP="00E4530B" w:rsidRDefault="00E4530B" w14:paraId="18AB2659" w14:textId="336942BF">
      <w:pPr>
        <w:pStyle w:val="Standard"/>
      </w:pPr>
      <w:r w:rsidRPr="00B70982">
        <w:t xml:space="preserve">Based on the record and the analysis above, we conclude </w:t>
      </w:r>
      <w:r w:rsidR="00D62E36">
        <w:t>that</w:t>
      </w:r>
      <w:r w:rsidR="00352BCA">
        <w:t>,</w:t>
      </w:r>
      <w:r w:rsidR="00D62E36">
        <w:t xml:space="preserve"> consistent with the </w:t>
      </w:r>
      <w:r w:rsidR="00B977F0">
        <w:t xml:space="preserve">policy </w:t>
      </w:r>
      <w:r w:rsidR="00A61B21">
        <w:t xml:space="preserve">objectives </w:t>
      </w:r>
      <w:r w:rsidR="00B977F0">
        <w:t>of</w:t>
      </w:r>
      <w:r w:rsidR="00A61B21">
        <w:t xml:space="preserve"> this rulemaking and</w:t>
      </w:r>
      <w:r w:rsidR="002E208E">
        <w:t xml:space="preserve"> </w:t>
      </w:r>
      <w:r w:rsidR="003F0381">
        <w:t xml:space="preserve">the </w:t>
      </w:r>
      <w:r w:rsidR="002E208E">
        <w:t xml:space="preserve">state’s </w:t>
      </w:r>
      <w:r w:rsidR="00E049F1">
        <w:t>climate</w:t>
      </w:r>
      <w:r w:rsidR="002E208E">
        <w:t xml:space="preserve"> goals</w:t>
      </w:r>
      <w:r w:rsidR="00E049F1">
        <w:t xml:space="preserve">, the current gas line subsidies </w:t>
      </w:r>
      <w:r w:rsidR="00F06E17">
        <w:t>for all customer classes</w:t>
      </w:r>
      <w:r w:rsidR="001B0D4E">
        <w:t xml:space="preserve"> </w:t>
      </w:r>
      <w:r w:rsidR="005B096A">
        <w:t>should</w:t>
      </w:r>
      <w:r w:rsidR="00AE6DBD">
        <w:t xml:space="preserve"> </w:t>
      </w:r>
      <w:r w:rsidR="00F06E17">
        <w:t>be eliminated</w:t>
      </w:r>
      <w:r w:rsidR="003405A7">
        <w:t xml:space="preserve">, </w:t>
      </w:r>
      <w:r w:rsidR="00ED4101">
        <w:t>effect</w:t>
      </w:r>
      <w:r w:rsidR="00B11E8D">
        <w:t xml:space="preserve">ive </w:t>
      </w:r>
      <w:r w:rsidR="00F62B39">
        <w:t>July</w:t>
      </w:r>
      <w:r w:rsidR="00513B3F">
        <w:t> </w:t>
      </w:r>
      <w:r w:rsidR="00F62B39">
        <w:t>1</w:t>
      </w:r>
      <w:r w:rsidR="003405A7">
        <w:t xml:space="preserve"> of the year following </w:t>
      </w:r>
      <w:r w:rsidR="005333AF">
        <w:t xml:space="preserve">today’s order </w:t>
      </w:r>
      <w:r w:rsidR="00520936">
        <w:t xml:space="preserve">pursuant to Pub. Util. Code Section 783(c), </w:t>
      </w:r>
      <w:r w:rsidRPr="00520936" w:rsidR="00251F6D">
        <w:rPr>
          <w:color w:val="000000"/>
          <w:szCs w:val="26"/>
        </w:rPr>
        <w:t xml:space="preserve">on </w:t>
      </w:r>
      <w:r w:rsidR="0067589C">
        <w:t>July</w:t>
      </w:r>
      <w:r w:rsidR="00513B3F">
        <w:t> </w:t>
      </w:r>
      <w:r w:rsidR="0067589C">
        <w:t>1,</w:t>
      </w:r>
      <w:r w:rsidR="00513B3F">
        <w:t> </w:t>
      </w:r>
      <w:r w:rsidR="0067589C">
        <w:t>202</w:t>
      </w:r>
      <w:r w:rsidR="00F06E17">
        <w:t>3</w:t>
      </w:r>
      <w:r w:rsidR="005333AF">
        <w:t>. We also</w:t>
      </w:r>
      <w:r w:rsidR="0027317A">
        <w:t xml:space="preserve"> adopt an application process through which </w:t>
      </w:r>
      <w:r w:rsidR="00B24711">
        <w:t xml:space="preserve">the </w:t>
      </w:r>
      <w:r w:rsidR="0027317A">
        <w:lastRenderedPageBreak/>
        <w:t xml:space="preserve">IOUs may seek gas line subsidies for individual projects meeting the criteria set out in this decision. </w:t>
      </w:r>
      <w:r w:rsidR="002E208E">
        <w:t>This decision meets</w:t>
      </w:r>
      <w:r w:rsidR="00A61B21">
        <w:t xml:space="preserve"> the statutory requirements</w:t>
      </w:r>
      <w:r w:rsidR="002E208E">
        <w:t xml:space="preserve"> as set forth in </w:t>
      </w:r>
      <w:r w:rsidR="007D79B6">
        <w:t>Pub. Util.</w:t>
      </w:r>
      <w:r w:rsidR="002E208E">
        <w:t xml:space="preserve"> Code </w:t>
      </w:r>
      <w:r w:rsidR="000F2D16">
        <w:t>Section</w:t>
      </w:r>
      <w:r w:rsidR="00513B3F">
        <w:t> </w:t>
      </w:r>
      <w:r w:rsidR="002E208E">
        <w:t>783(b)</w:t>
      </w:r>
      <w:r w:rsidR="00B42244">
        <w:noBreakHyphen/>
      </w:r>
      <w:r w:rsidR="002E208E">
        <w:t>(</w:t>
      </w:r>
      <w:r w:rsidR="007463B4">
        <w:t>d</w:t>
      </w:r>
      <w:r w:rsidR="002E208E">
        <w:t>)</w:t>
      </w:r>
      <w:r w:rsidR="00A61B21">
        <w:t>.</w:t>
      </w:r>
    </w:p>
    <w:p w:rsidR="00E4530B" w:rsidP="007C2EF4" w:rsidRDefault="00E4530B" w14:paraId="506806BE" w14:textId="77777777">
      <w:pPr>
        <w:pStyle w:val="Heading1"/>
      </w:pPr>
      <w:bookmarkStart w:name="_Toc81167787" w:id="196"/>
      <w:bookmarkStart w:name="_Toc87340016" w:id="197"/>
      <w:bookmarkStart w:name="_Toc109376141" w:id="198"/>
      <w:bookmarkStart w:name="_Toc109141173" w:id="199"/>
      <w:bookmarkStart w:name="_Toc110598593" w:id="200"/>
      <w:r w:rsidRPr="001D6C86">
        <w:t>Comment</w:t>
      </w:r>
      <w:r>
        <w:t>s on Proposed Decision</w:t>
      </w:r>
      <w:bookmarkEnd w:id="196"/>
      <w:bookmarkEnd w:id="197"/>
      <w:bookmarkEnd w:id="198"/>
      <w:bookmarkEnd w:id="199"/>
      <w:bookmarkEnd w:id="200"/>
    </w:p>
    <w:p w:rsidR="00E4530B" w:rsidP="00CB2CE0" w:rsidRDefault="00E4530B" w14:paraId="41D7867B" w14:textId="5B3B3AEF">
      <w:pPr>
        <w:pStyle w:val="Standard"/>
      </w:pPr>
      <w:bookmarkStart w:name="_Toc8123724" w:id="201"/>
      <w:bookmarkStart w:name="_Toc12866694" w:id="202"/>
      <w:r w:rsidRPr="00B70982">
        <w:t xml:space="preserve">The proposed decision of </w:t>
      </w:r>
      <w:r w:rsidR="00131D44">
        <w:t>Commissioner Clifford Rechtschaffen</w:t>
      </w:r>
      <w:r w:rsidRPr="00B70982" w:rsidR="007C1A76">
        <w:t xml:space="preserve"> </w:t>
      </w:r>
      <w:r w:rsidRPr="00B70982">
        <w:t xml:space="preserve">in this matter was mailed to the parties in accordance with </w:t>
      </w:r>
      <w:r w:rsidR="007D79B6">
        <w:t>Pub. Util.</w:t>
      </w:r>
      <w:r w:rsidRPr="00B70982">
        <w:t xml:space="preserve"> </w:t>
      </w:r>
      <w:r w:rsidR="000F2D16">
        <w:t>Section</w:t>
      </w:r>
      <w:r w:rsidR="00513B3F">
        <w:t> </w:t>
      </w:r>
      <w:r w:rsidRPr="00B70982">
        <w:t xml:space="preserve">311 and comments were allowed under </w:t>
      </w:r>
      <w:r w:rsidR="000F2D16">
        <w:t>Rule </w:t>
      </w:r>
      <w:r w:rsidRPr="00B70982">
        <w:t xml:space="preserve">14.3 of the Commission’s </w:t>
      </w:r>
      <w:r w:rsidRPr="006B623F">
        <w:rPr>
          <w:rFonts w:cstheme="minorBidi"/>
          <w:szCs w:val="22"/>
        </w:rPr>
        <w:t>Rules of Practice and Procedure</w:t>
      </w:r>
      <w:r w:rsidRPr="006B623F" w:rsidR="004917B6">
        <w:rPr>
          <w:rFonts w:cstheme="minorBidi"/>
          <w:szCs w:val="22"/>
        </w:rPr>
        <w:t xml:space="preserve"> </w:t>
      </w:r>
      <w:r w:rsidR="004917B6">
        <w:t>(</w:t>
      </w:r>
      <w:r w:rsidRPr="006B623F" w:rsidR="004917B6">
        <w:t>Rules</w:t>
      </w:r>
      <w:r w:rsidR="004917B6">
        <w:t>)</w:t>
      </w:r>
      <w:r w:rsidRPr="00B70982">
        <w:t xml:space="preserve">. Comments were filed on </w:t>
      </w:r>
      <w:r w:rsidR="00AE2A78">
        <w:t>August</w:t>
      </w:r>
      <w:r w:rsidR="00745837">
        <w:t> </w:t>
      </w:r>
      <w:r w:rsidR="00AE2A78">
        <w:t>30,</w:t>
      </w:r>
      <w:r w:rsidR="00745837">
        <w:t> </w:t>
      </w:r>
      <w:r w:rsidR="00AE2A78">
        <w:t>2022</w:t>
      </w:r>
      <w:r w:rsidRPr="00B70982" w:rsidR="00AE2A78">
        <w:t xml:space="preserve"> </w:t>
      </w:r>
      <w:r w:rsidRPr="00B70982">
        <w:t>by</w:t>
      </w:r>
      <w:r w:rsidRPr="00763047" w:rsidR="00763047">
        <w:t xml:space="preserve"> </w:t>
      </w:r>
      <w:r w:rsidRPr="00D66090" w:rsidR="00763047">
        <w:t>PG&amp;E</w:t>
      </w:r>
      <w:r w:rsidRPr="00D66090" w:rsidR="00C66CEC">
        <w:t>;</w:t>
      </w:r>
      <w:r w:rsidRPr="00D66090" w:rsidR="00763047">
        <w:t xml:space="preserve"> SDG&amp;E</w:t>
      </w:r>
      <w:r w:rsidRPr="00D66090" w:rsidR="00C66CEC">
        <w:t>;</w:t>
      </w:r>
      <w:r w:rsidRPr="00D66090" w:rsidR="00763047">
        <w:t xml:space="preserve"> SoCalGas; SCE; SWG; Clean Energy; the Joint Parties; SBUA</w:t>
      </w:r>
      <w:r w:rsidRPr="00D66090" w:rsidR="00C66CEC">
        <w:t xml:space="preserve">; and </w:t>
      </w:r>
      <w:r w:rsidRPr="00D66090" w:rsidR="00CB2CE0">
        <w:t>The California Manufactures and Technology Association (CMTA)</w:t>
      </w:r>
      <w:r w:rsidRPr="00D66090">
        <w:t>.</w:t>
      </w:r>
      <w:r w:rsidRPr="00B70982">
        <w:t xml:space="preserve"> Reply comments were filed on </w:t>
      </w:r>
      <w:r w:rsidR="00921644">
        <w:t>September</w:t>
      </w:r>
      <w:r w:rsidR="00745837">
        <w:t> </w:t>
      </w:r>
      <w:r w:rsidR="00055E8E">
        <w:t>6</w:t>
      </w:r>
      <w:r w:rsidR="00D66090">
        <w:t>,</w:t>
      </w:r>
      <w:r w:rsidR="00745837">
        <w:t> </w:t>
      </w:r>
      <w:r w:rsidRPr="001F4A7A" w:rsidR="00D66090">
        <w:t>2022</w:t>
      </w:r>
      <w:r w:rsidRPr="001F4A7A" w:rsidR="00921644">
        <w:t xml:space="preserve"> </w:t>
      </w:r>
      <w:r w:rsidRPr="001F4A7A">
        <w:t xml:space="preserve">by </w:t>
      </w:r>
      <w:r w:rsidRPr="001F4A7A" w:rsidR="00535F30">
        <w:t>PG&amp;E; SDG&amp;E; SoCalGas; Clean Energy; the Joint Parties; SBUA; CMTA</w:t>
      </w:r>
      <w:r w:rsidRPr="001F4A7A" w:rsidR="005C0F7E">
        <w:t>; and TURN</w:t>
      </w:r>
      <w:r w:rsidRPr="001F4A7A">
        <w:t>.</w:t>
      </w:r>
      <w:r>
        <w:t xml:space="preserve"> </w:t>
      </w:r>
    </w:p>
    <w:p w:rsidRPr="00366AB3" w:rsidR="00366AB3" w:rsidP="00366AB3" w:rsidRDefault="00E4530B" w14:paraId="5BC16F2E" w14:textId="4B22FF29">
      <w:pPr>
        <w:pStyle w:val="Standard"/>
      </w:pPr>
      <w:r w:rsidRPr="00B70982">
        <w:t>Consistent with the Rules, we give no weight to comments that fail to focus on factual, legal, or technical errors (</w:t>
      </w:r>
      <w:r w:rsidR="000F2D16">
        <w:t>Rule</w:t>
      </w:r>
      <w:r w:rsidR="00513B3F">
        <w:t> </w:t>
      </w:r>
      <w:r w:rsidRPr="00B70982">
        <w:t>14.3(c))</w:t>
      </w:r>
      <w:r w:rsidR="0062404C">
        <w:t>.</w:t>
      </w:r>
      <w:r w:rsidRPr="00B70982">
        <w:t xml:space="preserve"> In particular, we disregard comments that only reargue a party’s position.</w:t>
      </w:r>
      <w:r w:rsidRPr="00366AB3" w:rsidR="00366AB3">
        <w:t xml:space="preserve"> In response to comments, we make </w:t>
      </w:r>
      <w:r w:rsidR="00497763">
        <w:t>the following</w:t>
      </w:r>
      <w:r w:rsidRPr="00366AB3" w:rsidR="00366AB3">
        <w:t xml:space="preserve"> revisions and clarifications:</w:t>
      </w:r>
    </w:p>
    <w:p w:rsidRPr="00291B96" w:rsidR="00291B96" w:rsidP="00291B96" w:rsidRDefault="00291B96" w14:paraId="7B57EA9D" w14:textId="46F7B0DA">
      <w:pPr>
        <w:pStyle w:val="ListParagraph"/>
        <w:numPr>
          <w:ilvl w:val="0"/>
          <w:numId w:val="23"/>
        </w:numPr>
      </w:pPr>
      <w:r w:rsidRPr="00291B96">
        <w:t xml:space="preserve">Corrections to non-substantive typographical errors and omissions. </w:t>
      </w:r>
    </w:p>
    <w:p w:rsidR="007E69E2" w:rsidP="00366AB3" w:rsidRDefault="00DC5A8F" w14:paraId="793D8DAD" w14:textId="36C4568D">
      <w:pPr>
        <w:pStyle w:val="Standard"/>
        <w:numPr>
          <w:ilvl w:val="0"/>
          <w:numId w:val="23"/>
        </w:numPr>
      </w:pPr>
      <w:r>
        <w:t xml:space="preserve">Clarification </w:t>
      </w:r>
      <w:r w:rsidR="002C4E3F">
        <w:t>on the requirement of</w:t>
      </w:r>
      <w:r w:rsidR="00497763">
        <w:t xml:space="preserve"> the </w:t>
      </w:r>
      <w:r w:rsidRPr="00497763" w:rsidR="00497763">
        <w:t>IOUs, on behalf of the project applicant(s)</w:t>
      </w:r>
      <w:r w:rsidRPr="00261CA4" w:rsidR="00261CA4">
        <w:rPr>
          <w:szCs w:val="26"/>
        </w:rPr>
        <w:t xml:space="preserve"> </w:t>
      </w:r>
      <w:r w:rsidR="00261CA4">
        <w:rPr>
          <w:szCs w:val="26"/>
        </w:rPr>
        <w:t>seeking gas line subsidies</w:t>
      </w:r>
      <w:r w:rsidRPr="00497763" w:rsidR="00497763">
        <w:t xml:space="preserve">, </w:t>
      </w:r>
      <w:r>
        <w:t>to</w:t>
      </w:r>
      <w:r w:rsidRPr="00497763" w:rsidR="00497763">
        <w:t xml:space="preserve"> demonstrate the factual basis for the project applicants’ assertions, and confirm that the minimum requirements have been met</w:t>
      </w:r>
      <w:r w:rsidRPr="00497763" w:rsidR="00497763">
        <w:rPr>
          <w:i/>
          <w:iCs/>
        </w:rPr>
        <w:t xml:space="preserve"> </w:t>
      </w:r>
      <w:r w:rsidRPr="00497763" w:rsidR="00497763">
        <w:t>based on the information provided by applicants</w:t>
      </w:r>
      <w:r w:rsidR="007E69E2">
        <w:t>.</w:t>
      </w:r>
    </w:p>
    <w:p w:rsidRPr="00B70982" w:rsidR="00E4530B" w:rsidP="00366AB3" w:rsidRDefault="007E69E2" w14:paraId="044F0643" w14:textId="14DCEDD6">
      <w:pPr>
        <w:pStyle w:val="Standard"/>
        <w:numPr>
          <w:ilvl w:val="0"/>
          <w:numId w:val="23"/>
        </w:numPr>
      </w:pPr>
      <w:r>
        <w:t>Remov</w:t>
      </w:r>
      <w:r w:rsidR="002C4E3F">
        <w:t>al of</w:t>
      </w:r>
      <w:r>
        <w:t xml:space="preserve"> </w:t>
      </w:r>
      <w:r w:rsidR="00DB79FD">
        <w:t>the</w:t>
      </w:r>
      <w:r>
        <w:t xml:space="preserve"> </w:t>
      </w:r>
      <w:r w:rsidR="00DB79FD">
        <w:t>requirement of</w:t>
      </w:r>
      <w:r>
        <w:t xml:space="preserve"> the </w:t>
      </w:r>
      <w:r w:rsidRPr="00497763">
        <w:t>IOUs, on behalf of the project applicant(s)</w:t>
      </w:r>
      <w:r w:rsidRPr="00DB79FD" w:rsidR="00DB79FD">
        <w:rPr>
          <w:szCs w:val="26"/>
        </w:rPr>
        <w:t xml:space="preserve"> </w:t>
      </w:r>
      <w:r w:rsidR="00DB79FD">
        <w:rPr>
          <w:szCs w:val="26"/>
        </w:rPr>
        <w:t>seeking gas line subsidies</w:t>
      </w:r>
      <w:r w:rsidRPr="00497763">
        <w:t xml:space="preserve">, </w:t>
      </w:r>
      <w:r>
        <w:t>to</w:t>
      </w:r>
      <w:r w:rsidRPr="00497763" w:rsidR="00497763">
        <w:t xml:space="preserve"> disclose all other incentives received by each project.  </w:t>
      </w:r>
    </w:p>
    <w:p w:rsidRPr="00B70982" w:rsidR="00E4530B" w:rsidP="007C2EF4" w:rsidRDefault="00E4530B" w14:paraId="7D27D89E" w14:textId="77777777">
      <w:pPr>
        <w:pStyle w:val="Heading1"/>
      </w:pPr>
      <w:bookmarkStart w:name="_Toc81167788" w:id="203"/>
      <w:bookmarkStart w:name="_Toc87340017" w:id="204"/>
      <w:bookmarkStart w:name="_Toc109376142" w:id="205"/>
      <w:bookmarkStart w:name="_Toc109141174" w:id="206"/>
      <w:bookmarkStart w:name="_Toc110598594" w:id="207"/>
      <w:r w:rsidRPr="00B70982">
        <w:lastRenderedPageBreak/>
        <w:t>Assignment of Proceeding</w:t>
      </w:r>
      <w:bookmarkEnd w:id="201"/>
      <w:bookmarkEnd w:id="202"/>
      <w:bookmarkEnd w:id="203"/>
      <w:bookmarkEnd w:id="204"/>
      <w:bookmarkEnd w:id="205"/>
      <w:bookmarkEnd w:id="206"/>
      <w:bookmarkEnd w:id="207"/>
    </w:p>
    <w:p w:rsidRPr="00B70982" w:rsidR="00E4530B" w:rsidP="00E4530B" w:rsidRDefault="00E4530B" w14:paraId="7CAE0E12" w14:textId="6FE7020B">
      <w:pPr>
        <w:pStyle w:val="Standard"/>
      </w:pPr>
      <w:r w:rsidRPr="00B70982">
        <w:t>Clifford Rechtschaffen is the assigned Commissioner and Scarlett Liang</w:t>
      </w:r>
      <w:r w:rsidR="00154071">
        <w:noBreakHyphen/>
      </w:r>
      <w:r w:rsidRPr="00B70982">
        <w:t>Uejio and Ava</w:t>
      </w:r>
      <w:r w:rsidR="00513B3F">
        <w:t> </w:t>
      </w:r>
      <w:r w:rsidRPr="00B70982">
        <w:t>Tran are the assigned ALJs in this proceeding.</w:t>
      </w:r>
    </w:p>
    <w:p w:rsidRPr="00B70982" w:rsidR="00E4530B" w:rsidP="00023D57" w:rsidRDefault="00E4530B" w14:paraId="20120D76" w14:textId="77777777">
      <w:pPr>
        <w:pStyle w:val="Dummy"/>
      </w:pPr>
      <w:bookmarkStart w:name="_Toc81167789" w:id="208"/>
      <w:bookmarkStart w:name="_Toc87340018" w:id="209"/>
      <w:bookmarkStart w:name="_Toc109376143" w:id="210"/>
      <w:bookmarkStart w:name="_Toc109141175" w:id="211"/>
      <w:bookmarkStart w:name="_Toc110598595" w:id="212"/>
      <w:bookmarkStart w:name="_Toc8123726" w:id="213"/>
      <w:bookmarkStart w:name="_Toc12866696" w:id="214"/>
      <w:bookmarkEnd w:id="195"/>
      <w:r w:rsidRPr="00B70982">
        <w:t xml:space="preserve">Findings of </w:t>
      </w:r>
      <w:r w:rsidRPr="00023D57">
        <w:t>Fact</w:t>
      </w:r>
      <w:bookmarkEnd w:id="208"/>
      <w:bookmarkEnd w:id="209"/>
      <w:bookmarkEnd w:id="210"/>
      <w:bookmarkEnd w:id="211"/>
      <w:bookmarkEnd w:id="212"/>
    </w:p>
    <w:p w:rsidR="00FA70C8" w:rsidP="00FA70C8" w:rsidRDefault="00FA70C8" w14:paraId="2B888CFE" w14:textId="29A20DB1">
      <w:pPr>
        <w:pStyle w:val="FoF"/>
      </w:pPr>
      <w:r>
        <w:t>The Commission initiated this proceeding to consider policy frameworks supporting decarbonization of buildings</w:t>
      </w:r>
      <w:r w:rsidR="00835CA5">
        <w:t>, including</w:t>
      </w:r>
      <w:r w:rsidR="00C677A7">
        <w:t xml:space="preserve"> </w:t>
      </w:r>
      <w:r>
        <w:t>ongoing efforts to reduce GHG emissions associated with energy use in buildings.</w:t>
      </w:r>
    </w:p>
    <w:p w:rsidR="00FA70C8" w:rsidP="00FA70C8" w:rsidRDefault="00FA70C8" w14:paraId="3095B1BC" w14:textId="59CBDAD3">
      <w:pPr>
        <w:pStyle w:val="FoF"/>
      </w:pPr>
      <w:r>
        <w:t xml:space="preserve">The </w:t>
      </w:r>
      <w:r w:rsidR="009278DF">
        <w:t>Phase</w:t>
      </w:r>
      <w:r w:rsidR="00513B3F">
        <w:t> </w:t>
      </w:r>
      <w:r w:rsidR="009278DF">
        <w:t>I</w:t>
      </w:r>
      <w:r>
        <w:t xml:space="preserve"> decision established the BUILD Program and the TECH Initiative pursuant to </w:t>
      </w:r>
      <w:r w:rsidR="00452F77">
        <w:t>SB</w:t>
      </w:r>
      <w:r w:rsidR="00513B3F">
        <w:t> </w:t>
      </w:r>
      <w:r>
        <w:t>1477.</w:t>
      </w:r>
    </w:p>
    <w:p w:rsidR="00FA70C8" w:rsidP="00FA70C8" w:rsidRDefault="00FA70C8" w14:paraId="79D03B61" w14:textId="2CBE82CF">
      <w:pPr>
        <w:pStyle w:val="FoF"/>
      </w:pPr>
      <w:r>
        <w:t>The BUILD Program provides incentives to new residential housing projects that are all</w:t>
      </w:r>
      <w:r w:rsidR="00513B3F">
        <w:noBreakHyphen/>
      </w:r>
      <w:r>
        <w:t>electric and have no hookup to the gas distribution grid.</w:t>
      </w:r>
    </w:p>
    <w:p w:rsidR="00FA70C8" w:rsidP="00FA70C8" w:rsidRDefault="00FA70C8" w14:paraId="44830062" w14:textId="78A901CD">
      <w:pPr>
        <w:pStyle w:val="FoF"/>
      </w:pPr>
      <w:r>
        <w:t xml:space="preserve">The TECH Initiative </w:t>
      </w:r>
      <w:r w:rsidR="00B737F4">
        <w:t xml:space="preserve">is a market transformation program </w:t>
      </w:r>
      <w:r>
        <w:t>provid</w:t>
      </w:r>
      <w:r w:rsidR="00B737F4">
        <w:t>ing</w:t>
      </w:r>
      <w:r>
        <w:t xml:space="preserve"> incentives to advance the adoption of low</w:t>
      </w:r>
      <w:r w:rsidR="00513B3F">
        <w:noBreakHyphen/>
      </w:r>
      <w:r>
        <w:t>emission space and water hearing technologies.</w:t>
      </w:r>
    </w:p>
    <w:p w:rsidR="00FA70C8" w:rsidP="00FA70C8" w:rsidRDefault="00FA70C8" w14:paraId="70B28B16" w14:textId="29024F64">
      <w:pPr>
        <w:pStyle w:val="FoF"/>
      </w:pPr>
      <w:r>
        <w:t xml:space="preserve">The </w:t>
      </w:r>
      <w:r w:rsidR="009278DF">
        <w:t>Phase</w:t>
      </w:r>
      <w:r w:rsidR="00513B3F">
        <w:t> </w:t>
      </w:r>
      <w:r w:rsidR="009278DF">
        <w:t>I</w:t>
      </w:r>
      <w:r>
        <w:t>I decision adopted</w:t>
      </w:r>
      <w:r w:rsidRPr="00337174">
        <w:t xml:space="preserve">: </w:t>
      </w:r>
      <w:r w:rsidRPr="00337174" w:rsidR="003D0BD0">
        <w:t xml:space="preserve"> </w:t>
      </w:r>
      <w:r w:rsidRPr="00337174">
        <w:t>(a</w:t>
      </w:r>
      <w:r w:rsidR="0003333A">
        <w:t>)</w:t>
      </w:r>
      <w:r w:rsidR="00513B3F">
        <w:t> </w:t>
      </w:r>
      <w:r>
        <w:t>guiding principles for the layering of incentives provided by multiple building decarbonization programs</w:t>
      </w:r>
      <w:r w:rsidR="00573F0E">
        <w:t>; (</w:t>
      </w:r>
      <w:r>
        <w:t>b</w:t>
      </w:r>
      <w:r w:rsidR="0003333A">
        <w:t>)</w:t>
      </w:r>
      <w:r w:rsidR="00513B3F">
        <w:t> </w:t>
      </w:r>
      <w:r>
        <w:t>the WNDRR Program</w:t>
      </w:r>
      <w:r w:rsidR="00573F0E">
        <w:t>; (</w:t>
      </w:r>
      <w:r>
        <w:t>c</w:t>
      </w:r>
      <w:r w:rsidR="0003333A">
        <w:t>)</w:t>
      </w:r>
      <w:r w:rsidR="00513B3F">
        <w:t> </w:t>
      </w:r>
      <w:r>
        <w:t>guidance on data sharing of customer and other information</w:t>
      </w:r>
      <w:r w:rsidR="00573F0E">
        <w:t>; and (</w:t>
      </w:r>
      <w:r>
        <w:t>d</w:t>
      </w:r>
      <w:r w:rsidR="0003333A">
        <w:t>)</w:t>
      </w:r>
      <w:r w:rsidR="00513B3F">
        <w:t> </w:t>
      </w:r>
      <w:r>
        <w:t xml:space="preserve">requirements for the three large electric IOUs to conduct studies on bill impacts that result from fuel </w:t>
      </w:r>
      <w:r w:rsidR="00B737F4">
        <w:t xml:space="preserve">substitution </w:t>
      </w:r>
      <w:r>
        <w:t>for water heaters from natural gas to electric</w:t>
      </w:r>
      <w:r w:rsidR="00C76850">
        <w:t xml:space="preserve">. </w:t>
      </w:r>
    </w:p>
    <w:p w:rsidRPr="000A558B" w:rsidR="000A558B" w:rsidP="000A558B" w:rsidRDefault="00FA70C8" w14:paraId="1ED84BFA" w14:textId="5E0C5271">
      <w:pPr>
        <w:pStyle w:val="FoF"/>
      </w:pPr>
      <w:r>
        <w:t xml:space="preserve">The </w:t>
      </w:r>
      <w:r w:rsidR="009278DF">
        <w:t>Phase</w:t>
      </w:r>
      <w:r w:rsidR="00513B3F">
        <w:t> </w:t>
      </w:r>
      <w:r w:rsidR="009278DF">
        <w:t>I</w:t>
      </w:r>
      <w:r>
        <w:t xml:space="preserve">II Scoping Memo determined the issues to be resolved in </w:t>
      </w:r>
      <w:r w:rsidR="009278DF">
        <w:t>Phase</w:t>
      </w:r>
      <w:r w:rsidR="00513B3F">
        <w:t> </w:t>
      </w:r>
      <w:r w:rsidR="009278DF">
        <w:t>I</w:t>
      </w:r>
      <w:r>
        <w:t xml:space="preserve">II </w:t>
      </w:r>
      <w:r w:rsidR="00F32E71">
        <w:t>including</w:t>
      </w:r>
      <w:r w:rsidRPr="00337174" w:rsidR="00F32E71">
        <w:t>:</w:t>
      </w:r>
      <w:r w:rsidRPr="00337174" w:rsidR="003D0BD0">
        <w:t xml:space="preserve"> </w:t>
      </w:r>
      <w:r w:rsidRPr="00337174" w:rsidR="00F32E71">
        <w:t xml:space="preserve"> (</w:t>
      </w:r>
      <w:r>
        <w:t>a</w:t>
      </w:r>
      <w:r w:rsidR="00877BB8">
        <w:t>)</w:t>
      </w:r>
      <w:r w:rsidR="00513B3F">
        <w:t> </w:t>
      </w:r>
      <w:r w:rsidR="000A558B">
        <w:t>w</w:t>
      </w:r>
      <w:r w:rsidRPr="000A558B" w:rsidR="000A558B">
        <w:t>hether the Commission should modify or eliminate gas line extension allowances for some or all customer classes (residential and non</w:t>
      </w:r>
      <w:r w:rsidR="00154071">
        <w:noBreakHyphen/>
      </w:r>
      <w:r w:rsidRPr="000A558B" w:rsidR="000A558B">
        <w:t>residential)</w:t>
      </w:r>
      <w:r w:rsidR="00573F0E">
        <w:t>; (</w:t>
      </w:r>
      <w:r w:rsidR="000A558B">
        <w:t>b</w:t>
      </w:r>
      <w:r w:rsidR="00877BB8">
        <w:t>)</w:t>
      </w:r>
      <w:r w:rsidR="00513B3F">
        <w:t> </w:t>
      </w:r>
      <w:r w:rsidR="006E2C67">
        <w:t>w</w:t>
      </w:r>
      <w:r w:rsidRPr="006E2C67" w:rsidR="006E2C67">
        <w:t>hether the Commission should modify or eliminate gas line extension refunds for some or all customer classes (residential and non</w:t>
      </w:r>
      <w:r w:rsidR="00154071">
        <w:noBreakHyphen/>
      </w:r>
      <w:r w:rsidRPr="006E2C67" w:rsidR="006E2C67">
        <w:t>residential)</w:t>
      </w:r>
      <w:r w:rsidR="00573F0E">
        <w:t>; and (</w:t>
      </w:r>
      <w:r w:rsidR="006E2C67">
        <w:t>c</w:t>
      </w:r>
      <w:r w:rsidR="00877BB8">
        <w:t>)</w:t>
      </w:r>
      <w:r w:rsidR="00513B3F">
        <w:t> </w:t>
      </w:r>
      <w:r w:rsidR="00ED10FA">
        <w:t>w</w:t>
      </w:r>
      <w:r w:rsidRPr="00ED10FA" w:rsidR="00ED10FA">
        <w:t xml:space="preserve">hether the Commission should modify or eliminate </w:t>
      </w:r>
      <w:r w:rsidRPr="00ED10FA" w:rsidR="00ED10FA">
        <w:lastRenderedPageBreak/>
        <w:t>gas line extension discounts for some or all customer classes (residential and non</w:t>
      </w:r>
      <w:r w:rsidR="00154071">
        <w:noBreakHyphen/>
      </w:r>
      <w:r w:rsidRPr="00ED10FA" w:rsidR="00ED10FA">
        <w:t>residential</w:t>
      </w:r>
      <w:r w:rsidR="00ED10FA">
        <w:t xml:space="preserve">). </w:t>
      </w:r>
    </w:p>
    <w:p w:rsidR="00FA70C8" w:rsidP="00FA70C8" w:rsidRDefault="00FA70C8" w14:paraId="5BD6FD31" w14:textId="35EC9AD8">
      <w:pPr>
        <w:pStyle w:val="FoF"/>
      </w:pPr>
      <w:r>
        <w:t>The</w:t>
      </w:r>
      <w:r w:rsidR="00ED10FA">
        <w:t xml:space="preserve"> Energy Division</w:t>
      </w:r>
      <w:r>
        <w:t xml:space="preserve"> Staff Proposal recommends revisions to the current gas rules to eliminate the gas line subsidies for all customer classes effective </w:t>
      </w:r>
      <w:r w:rsidR="0067589C">
        <w:t>July</w:t>
      </w:r>
      <w:r w:rsidR="00513B3F">
        <w:t> </w:t>
      </w:r>
      <w:r w:rsidR="0067589C">
        <w:t>1,</w:t>
      </w:r>
      <w:r w:rsidR="00513B3F">
        <w:t> </w:t>
      </w:r>
      <w:r w:rsidR="0067589C">
        <w:t>202</w:t>
      </w:r>
      <w:r>
        <w:t>3</w:t>
      </w:r>
      <w:r w:rsidR="006245EC">
        <w:t>.</w:t>
      </w:r>
    </w:p>
    <w:p w:rsidR="00874A0F" w:rsidP="00874A0F" w:rsidRDefault="00874A0F" w14:paraId="4D66C984" w14:textId="30333298">
      <w:pPr>
        <w:pStyle w:val="FoF"/>
      </w:pPr>
      <w:r>
        <w:t xml:space="preserve">Of the parties commenting on eliminating the gas line subsidies for residential customers, there is wide support </w:t>
      </w:r>
      <w:r w:rsidR="007D0670">
        <w:t xml:space="preserve">for </w:t>
      </w:r>
      <w:r>
        <w:t xml:space="preserve">the Staff </w:t>
      </w:r>
      <w:r w:rsidR="000715D3">
        <w:t xml:space="preserve">Proposal </w:t>
      </w:r>
      <w:r>
        <w:t xml:space="preserve">among parties representing a substantial range of social, economic, and environmental interests. </w:t>
      </w:r>
    </w:p>
    <w:p w:rsidR="00874A0F" w:rsidP="00874A0F" w:rsidRDefault="00874A0F" w14:paraId="7B4DBD58" w14:textId="6D539116">
      <w:pPr>
        <w:pStyle w:val="FoF"/>
      </w:pPr>
      <w:r>
        <w:t>Of the parties commenting on eliminating the gas line subsidies for non</w:t>
      </w:r>
      <w:r w:rsidR="00513B3F">
        <w:noBreakHyphen/>
      </w:r>
      <w:r>
        <w:t>residential customers, there is substantial support for the Staff Proposal among parties representing a wide range of interests</w:t>
      </w:r>
      <w:r w:rsidR="00C76850">
        <w:t xml:space="preserve">. </w:t>
      </w:r>
    </w:p>
    <w:p w:rsidR="00874A0F" w:rsidP="00874A0F" w:rsidRDefault="00874A0F" w14:paraId="1B125554" w14:textId="63BA4EBD">
      <w:pPr>
        <w:pStyle w:val="FoF"/>
      </w:pPr>
      <w:r>
        <w:t xml:space="preserve">The current gas line subsidies were established during a period when the state’s energy needs and policy goals were very different from today’s, and are no longer consistent with today’s GHG emission reduction goals, the urgent need to </w:t>
      </w:r>
      <w:r w:rsidRPr="00337174">
        <w:t xml:space="preserve">reduce </w:t>
      </w:r>
      <w:r w:rsidRPr="00337174" w:rsidR="00492FE8">
        <w:t>g</w:t>
      </w:r>
      <w:r w:rsidR="00492FE8">
        <w:t>as rates to ensure affordability</w:t>
      </w:r>
      <w:r>
        <w:t xml:space="preserve">, and the long term need to minimize future stranded investment. </w:t>
      </w:r>
    </w:p>
    <w:p w:rsidR="00E97C53" w:rsidRDefault="00FA70C8" w14:paraId="24070D52" w14:textId="3598FE48">
      <w:pPr>
        <w:pStyle w:val="FoF"/>
      </w:pPr>
      <w:r>
        <w:t xml:space="preserve">The Commission adopted </w:t>
      </w:r>
      <w:r w:rsidR="008C0177">
        <w:t xml:space="preserve">a uniform set </w:t>
      </w:r>
      <w:r w:rsidR="00A609E1">
        <w:t xml:space="preserve">of </w:t>
      </w:r>
      <w:r w:rsidR="00FB3F70">
        <w:t xml:space="preserve">rules for </w:t>
      </w:r>
      <w:r>
        <w:t xml:space="preserve">gas </w:t>
      </w:r>
      <w:r w:rsidR="00FB3F70">
        <w:t>utilit</w:t>
      </w:r>
      <w:r w:rsidR="0001107B">
        <w:t xml:space="preserve">y </w:t>
      </w:r>
      <w:r w:rsidR="00FB3F70">
        <w:t xml:space="preserve">line and service extensions </w:t>
      </w:r>
      <w:r w:rsidR="00283E37">
        <w:t>beginning in</w:t>
      </w:r>
      <w:r>
        <w:t xml:space="preserve"> 1915</w:t>
      </w:r>
      <w:r w:rsidR="00E97C53">
        <w:t>.</w:t>
      </w:r>
    </w:p>
    <w:p w:rsidR="00A45547" w:rsidRDefault="00E14615" w14:paraId="5F5E4B8A" w14:textId="3F84D44F">
      <w:pPr>
        <w:pStyle w:val="FoF"/>
      </w:pPr>
      <w:r>
        <w:t xml:space="preserve"> </w:t>
      </w:r>
      <w:r w:rsidRPr="00A45547" w:rsidR="00A45547">
        <w:t>Under current rules, gas IOUs are not obligated to extend gas lines free of cost but must provide the opportunity for customers to be connected to the utility system at reasonable prices, terms, and condition</w:t>
      </w:r>
      <w:r w:rsidR="00A45547">
        <w:t>s.</w:t>
      </w:r>
    </w:p>
    <w:p w:rsidR="00874A0F" w:rsidP="00874A0F" w:rsidRDefault="00874A0F" w14:paraId="0072689B" w14:textId="77777777">
      <w:pPr>
        <w:pStyle w:val="FoF"/>
      </w:pPr>
      <w:r>
        <w:t xml:space="preserve">Current gas rules </w:t>
      </w:r>
      <w:r w:rsidRPr="00DF0422">
        <w:t>incentivize</w:t>
      </w:r>
      <w:r>
        <w:t xml:space="preserve"> the installation of </w:t>
      </w:r>
      <w:r w:rsidRPr="00DF0422">
        <w:t xml:space="preserve">more gas appliances </w:t>
      </w:r>
      <w:r>
        <w:t>which</w:t>
      </w:r>
      <w:r w:rsidRPr="00DF0422">
        <w:t xml:space="preserve"> perpetuate reliance on gas service and lock in all associated GHG emissions for the life of the appliance unless the appliance is retired early and replaced with an electric alternative</w:t>
      </w:r>
      <w:r>
        <w:t>.</w:t>
      </w:r>
    </w:p>
    <w:p w:rsidR="00874A0F" w:rsidP="00874A0F" w:rsidRDefault="00874A0F" w14:paraId="4023BB1B" w14:textId="15482EB1">
      <w:pPr>
        <w:pStyle w:val="FoF"/>
      </w:pPr>
      <w:r>
        <w:lastRenderedPageBreak/>
        <w:t>The elimination of gas line subsides would make</w:t>
      </w:r>
      <w:r w:rsidR="00FF7ED0">
        <w:t xml:space="preserve"> gas</w:t>
      </w:r>
      <w:r w:rsidRPr="005F3FB1">
        <w:t xml:space="preserve"> </w:t>
      </w:r>
      <w:r>
        <w:t xml:space="preserve">line and service extensions </w:t>
      </w:r>
      <w:r w:rsidRPr="005F3FB1">
        <w:t>more expensive</w:t>
      </w:r>
      <w:r>
        <w:t xml:space="preserve"> to the applicant for new gas service</w:t>
      </w:r>
      <w:r w:rsidRPr="005F3FB1">
        <w:t>, and dual fuel new construction less desirable and financially riskier</w:t>
      </w:r>
      <w:r>
        <w:t xml:space="preserve">. </w:t>
      </w:r>
    </w:p>
    <w:p w:rsidR="006139D2" w:rsidP="006139D2" w:rsidRDefault="006139D2" w14:paraId="4BE8C960" w14:textId="5786B015">
      <w:pPr>
        <w:pStyle w:val="FoF"/>
      </w:pPr>
      <w:r>
        <w:t>Eliminating gas line subsidies for all customer classes will result in significant ratepayer savings over the life of the gas line extensions.</w:t>
      </w:r>
    </w:p>
    <w:p w:rsidR="00874A0F" w:rsidP="00874A0F" w:rsidRDefault="00874A0F" w14:paraId="13C11007" w14:textId="28EAA5EA">
      <w:pPr>
        <w:pStyle w:val="FoF"/>
      </w:pPr>
      <w:r>
        <w:t xml:space="preserve">Eliminating gas line subsidies for all customer classes is a logical step toward building decarbonization, consistent with </w:t>
      </w:r>
      <w:r w:rsidR="004440F4">
        <w:t xml:space="preserve">state </w:t>
      </w:r>
      <w:r>
        <w:t xml:space="preserve">objectives </w:t>
      </w:r>
      <w:r w:rsidR="00B87ABA">
        <w:t xml:space="preserve">and </w:t>
      </w:r>
      <w:r>
        <w:t>the</w:t>
      </w:r>
      <w:r w:rsidR="00E81641">
        <w:t xml:space="preserve"> Commission’s</w:t>
      </w:r>
      <w:r>
        <w:t xml:space="preserve"> policy frameworks. It will further the state’s climate goals of reducing GHG emissions 40</w:t>
      </w:r>
      <w:r w:rsidR="0021555A">
        <w:t> percent</w:t>
      </w:r>
      <w:r>
        <w:t xml:space="preserve"> by 2030 and achieving carbon neutrality by 2045 or sooner. </w:t>
      </w:r>
    </w:p>
    <w:p w:rsidR="00874A0F" w:rsidP="00874A0F" w:rsidRDefault="00874A0F" w14:paraId="7A1A1564" w14:textId="77777777">
      <w:pPr>
        <w:pStyle w:val="FoF"/>
      </w:pPr>
      <w:r>
        <w:t>Eliminating gas line subsidies for all customer classes will improve o</w:t>
      </w:r>
      <w:r w:rsidRPr="00CA2CAC">
        <w:t xml:space="preserve">verall </w:t>
      </w:r>
      <w:r>
        <w:t>q</w:t>
      </w:r>
      <w:r w:rsidRPr="00CA2CAC">
        <w:t xml:space="preserve">uality of </w:t>
      </w:r>
      <w:r>
        <w:t>l</w:t>
      </w:r>
      <w:r w:rsidRPr="00CA2CAC">
        <w:t>ife</w:t>
      </w:r>
      <w:r>
        <w:t xml:space="preserve"> (</w:t>
      </w:r>
      <w:r w:rsidRPr="00CA2CAC">
        <w:t xml:space="preserve">GHG emissions reductions, </w:t>
      </w:r>
      <w:r>
        <w:t>r</w:t>
      </w:r>
      <w:r w:rsidRPr="00CA2CAC">
        <w:t xml:space="preserve">atepayer </w:t>
      </w:r>
      <w:r>
        <w:t>s</w:t>
      </w:r>
      <w:r w:rsidRPr="00CA2CAC">
        <w:t xml:space="preserve">avings, </w:t>
      </w:r>
      <w:r>
        <w:t>b</w:t>
      </w:r>
      <w:r w:rsidRPr="00CA2CAC">
        <w:t xml:space="preserve">enefits to </w:t>
      </w:r>
      <w:r>
        <w:t>l</w:t>
      </w:r>
      <w:r w:rsidRPr="00CA2CAC">
        <w:t xml:space="preserve">ow </w:t>
      </w:r>
      <w:r>
        <w:t>i</w:t>
      </w:r>
      <w:r w:rsidRPr="00CA2CAC">
        <w:t>ncome</w:t>
      </w:r>
      <w:r>
        <w:t xml:space="preserve"> customers)</w:t>
      </w:r>
      <w:r w:rsidRPr="00CA2CAC">
        <w:t xml:space="preserve">, </w:t>
      </w:r>
      <w:r>
        <w:t>and provide g</w:t>
      </w:r>
      <w:r w:rsidRPr="00CA2CAC">
        <w:t xml:space="preserve">reater </w:t>
      </w:r>
      <w:r>
        <w:t>c</w:t>
      </w:r>
      <w:r w:rsidRPr="00CA2CAC">
        <w:t>ertainty</w:t>
      </w:r>
      <w:r w:rsidRPr="001E3271">
        <w:t xml:space="preserve"> </w:t>
      </w:r>
      <w:r>
        <w:t xml:space="preserve">for the </w:t>
      </w:r>
      <w:r w:rsidRPr="001E3271">
        <w:t>builder community and the contractor community</w:t>
      </w:r>
      <w:r>
        <w:t xml:space="preserve">. </w:t>
      </w:r>
    </w:p>
    <w:p w:rsidR="00874A0F" w:rsidP="00874A0F" w:rsidRDefault="00874A0F" w14:paraId="55B399A2" w14:textId="04AEC287">
      <w:pPr>
        <w:pStyle w:val="FoF"/>
      </w:pPr>
      <w:r>
        <w:t xml:space="preserve">Eliminating gas line subsidies for all customer classes will result in a net positive impact on the workforce, as </w:t>
      </w:r>
      <w:r w:rsidR="004440F4">
        <w:t>any potential</w:t>
      </w:r>
      <w:r>
        <w:t xml:space="preserve"> decrease in demand for jobs within the gas industry is offset by the </w:t>
      </w:r>
      <w:r w:rsidR="00492004">
        <w:t xml:space="preserve">likely </w:t>
      </w:r>
      <w:r>
        <w:t xml:space="preserve">increase in demand for </w:t>
      </w:r>
      <w:r w:rsidRPr="005F7EA2">
        <w:t>workers in several</w:t>
      </w:r>
      <w:r>
        <w:t xml:space="preserve"> </w:t>
      </w:r>
      <w:r w:rsidRPr="005F7EA2">
        <w:t xml:space="preserve">economic sectors, including </w:t>
      </w:r>
      <w:r>
        <w:t xml:space="preserve">in the electric industry, </w:t>
      </w:r>
      <w:r w:rsidRPr="005F7EA2">
        <w:t>construction jobs for energy efficiency improvements and</w:t>
      </w:r>
      <w:r>
        <w:t xml:space="preserve"> </w:t>
      </w:r>
      <w:r w:rsidRPr="005F7EA2">
        <w:t>building retrofits</w:t>
      </w:r>
      <w:r>
        <w:t>.</w:t>
      </w:r>
    </w:p>
    <w:p w:rsidR="00874A0F" w:rsidP="00874A0F" w:rsidRDefault="00874A0F" w14:paraId="6619C2E0" w14:textId="77777777">
      <w:pPr>
        <w:pStyle w:val="FoF"/>
      </w:pPr>
      <w:r>
        <w:t>Eliminating gas line subsidies for all customer classes</w:t>
      </w:r>
      <w:r w:rsidRPr="000645F7">
        <w:t xml:space="preserve"> </w:t>
      </w:r>
      <w:r>
        <w:t xml:space="preserve">does not </w:t>
      </w:r>
      <w:r w:rsidRPr="000645F7">
        <w:t>remov</w:t>
      </w:r>
      <w:r>
        <w:t>e</w:t>
      </w:r>
      <w:r w:rsidRPr="000645F7">
        <w:t xml:space="preserve"> customer choice </w:t>
      </w:r>
      <w:r>
        <w:t xml:space="preserve">as </w:t>
      </w:r>
      <w:r w:rsidRPr="000645F7">
        <w:t>customers can continue to select their choice of fuel</w:t>
      </w:r>
      <w:r>
        <w:t xml:space="preserve">, with the difference being that </w:t>
      </w:r>
      <w:r w:rsidRPr="000645F7">
        <w:t>existing and future gas customers will no longer have to subsidize</w:t>
      </w:r>
      <w:r w:rsidRPr="00592623">
        <w:t xml:space="preserve"> </w:t>
      </w:r>
      <w:r w:rsidRPr="003B01FE">
        <w:t xml:space="preserve">investments in </w:t>
      </w:r>
      <w:r>
        <w:t xml:space="preserve">the </w:t>
      </w:r>
      <w:r w:rsidRPr="003B01FE">
        <w:t>gas infrastructure</w:t>
      </w:r>
      <w:r>
        <w:t xml:space="preserve"> for new customers.</w:t>
      </w:r>
    </w:p>
    <w:p w:rsidR="00874A0F" w:rsidP="00874A0F" w:rsidRDefault="00874A0F" w14:paraId="05560237" w14:textId="77777777">
      <w:pPr>
        <w:pStyle w:val="FoF"/>
      </w:pPr>
      <w:r>
        <w:t>Eliminating gas line subsidies for all customer classes will not negatively impact energy reliability.</w:t>
      </w:r>
    </w:p>
    <w:p w:rsidR="00874A0F" w:rsidP="00874A0F" w:rsidRDefault="00874A0F" w14:paraId="4F9FAE9A" w14:textId="77777777">
      <w:pPr>
        <w:pStyle w:val="FoF"/>
      </w:pPr>
      <w:r>
        <w:lastRenderedPageBreak/>
        <w:t>Eliminating gas line subsidies for all customer classes will have minimal impacts on property prices.</w:t>
      </w:r>
    </w:p>
    <w:p w:rsidR="00874A0F" w:rsidP="00874A0F" w:rsidRDefault="00874A0F" w14:paraId="3BFA33BF" w14:textId="3F6974F5">
      <w:pPr>
        <w:pStyle w:val="FoF"/>
      </w:pPr>
      <w:r>
        <w:t xml:space="preserve">Eliminating gas line subsidies for all customer classes </w:t>
      </w:r>
      <w:r w:rsidRPr="00C93257">
        <w:rPr>
          <w:szCs w:val="26"/>
        </w:rPr>
        <w:t xml:space="preserve">and supporting the </w:t>
      </w:r>
      <w:r w:rsidR="00CF1FFA">
        <w:rPr>
          <w:szCs w:val="26"/>
        </w:rPr>
        <w:t xml:space="preserve">hydrogen/RNG/CNG </w:t>
      </w:r>
      <w:r w:rsidRPr="00C93257">
        <w:rPr>
          <w:szCs w:val="26"/>
        </w:rPr>
        <w:t>sector to reduce SLCP</w:t>
      </w:r>
      <w:r w:rsidR="00E21646">
        <w:rPr>
          <w:szCs w:val="26"/>
        </w:rPr>
        <w:t>s</w:t>
      </w:r>
      <w:r w:rsidRPr="00C93257">
        <w:rPr>
          <w:szCs w:val="26"/>
        </w:rPr>
        <w:t xml:space="preserve"> can be successfully achieved together.</w:t>
      </w:r>
    </w:p>
    <w:p w:rsidR="00874A0F" w:rsidP="00874A0F" w:rsidRDefault="00874A0F" w14:paraId="089FEC26" w14:textId="2D005863">
      <w:pPr>
        <w:pStyle w:val="FoF"/>
      </w:pPr>
      <w:r>
        <w:t>Large non</w:t>
      </w:r>
      <w:r w:rsidR="00513B3F">
        <w:noBreakHyphen/>
      </w:r>
      <w:r>
        <w:t xml:space="preserve">residential customers are the most significant contributors to GHG emissions. </w:t>
      </w:r>
    </w:p>
    <w:p w:rsidR="00874A0F" w:rsidP="00874A0F" w:rsidRDefault="00874A0F" w14:paraId="7A332566" w14:textId="4C213626">
      <w:pPr>
        <w:pStyle w:val="FoF"/>
      </w:pPr>
      <w:r>
        <w:t xml:space="preserve">There </w:t>
      </w:r>
      <w:r w:rsidRPr="0028132C">
        <w:t xml:space="preserve">may be limited circumstances where </w:t>
      </w:r>
      <w:r w:rsidR="004D6633">
        <w:t xml:space="preserve">gas line extensions for </w:t>
      </w:r>
      <w:r w:rsidRPr="0028132C">
        <w:t>some non</w:t>
      </w:r>
      <w:r w:rsidR="00513B3F">
        <w:noBreakHyphen/>
      </w:r>
      <w:r w:rsidRPr="0028132C">
        <w:t xml:space="preserve">residential projects can </w:t>
      </w:r>
      <w:r w:rsidR="004D6633">
        <w:rPr>
          <w:szCs w:val="26"/>
        </w:rPr>
        <w:t>be beneficial</w:t>
      </w:r>
      <w:r>
        <w:t>, and gas line subsidies for these projects may be warranted.</w:t>
      </w:r>
    </w:p>
    <w:p w:rsidRPr="009124E6" w:rsidR="009124E6" w:rsidP="009124E6" w:rsidRDefault="005C6EB5" w14:paraId="164F3B6A" w14:textId="3AB8BE3E">
      <w:pPr>
        <w:pStyle w:val="FoF"/>
      </w:pPr>
      <w:bookmarkStart w:name="_Hlk107869416" w:id="215"/>
      <w:r>
        <w:t>C</w:t>
      </w:r>
      <w:r w:rsidRPr="005C6EB5">
        <w:t xml:space="preserve">onsideration of modifying or eliminating gas line subsidies is governed by </w:t>
      </w:r>
      <w:r w:rsidR="007D79B6">
        <w:t>Pub.</w:t>
      </w:r>
      <w:r w:rsidR="00513B3F">
        <w:t> </w:t>
      </w:r>
      <w:r w:rsidR="007D79B6">
        <w:t>Util.</w:t>
      </w:r>
      <w:r w:rsidRPr="005C6EB5">
        <w:t xml:space="preserve"> Code </w:t>
      </w:r>
      <w:r w:rsidR="000F2D16">
        <w:t>Section</w:t>
      </w:r>
      <w:r w:rsidR="00513B3F">
        <w:t> </w:t>
      </w:r>
      <w:r w:rsidRPr="005C6EB5">
        <w:t xml:space="preserve">783(b), </w:t>
      </w:r>
      <w:r>
        <w:t xml:space="preserve">which requires </w:t>
      </w:r>
      <w:r w:rsidR="009124E6">
        <w:t xml:space="preserve">the Commission to </w:t>
      </w:r>
      <w:r w:rsidRPr="009124E6" w:rsidR="009124E6">
        <w:t xml:space="preserve">make written findings on the following </w:t>
      </w:r>
      <w:r w:rsidR="009124E6">
        <w:t xml:space="preserve">seven </w:t>
      </w:r>
      <w:r w:rsidRPr="009124E6" w:rsidR="009124E6">
        <w:t xml:space="preserve">issues: </w:t>
      </w:r>
    </w:p>
    <w:bookmarkEnd w:id="215"/>
    <w:p w:rsidRPr="009124E6" w:rsidR="009124E6" w:rsidRDefault="009124E6" w14:paraId="78A70402" w14:textId="07A57827">
      <w:pPr>
        <w:pStyle w:val="BlockQuoteH033"/>
        <w:numPr>
          <w:ilvl w:val="0"/>
          <w:numId w:val="18"/>
        </w:numPr>
      </w:pPr>
      <w:r>
        <w:t>T</w:t>
      </w:r>
      <w:r w:rsidRPr="009124E6">
        <w:t xml:space="preserve">he economic effect of the line and service extension terms and conditions </w:t>
      </w:r>
      <w:r w:rsidRPr="0049750B">
        <w:t>upon</w:t>
      </w:r>
      <w:r w:rsidRPr="009124E6">
        <w:t xml:space="preserve"> agriculture, residential housing, </w:t>
      </w:r>
      <w:r w:rsidRPr="009124E6" w:rsidR="007412B1">
        <w:t>mobile home</w:t>
      </w:r>
      <w:r w:rsidRPr="009124E6">
        <w:t xml:space="preserve"> parks, rural customers, urban customers, employment, and commercial and industrial building and development</w:t>
      </w:r>
      <w:r w:rsidR="00D94474">
        <w:t xml:space="preserve">; </w:t>
      </w:r>
    </w:p>
    <w:p w:rsidRPr="009124E6" w:rsidR="009124E6" w:rsidRDefault="009124E6" w14:paraId="3A51AAE7" w14:textId="71FF2FDB">
      <w:pPr>
        <w:pStyle w:val="BlockQuoteH033"/>
        <w:numPr>
          <w:ilvl w:val="0"/>
          <w:numId w:val="18"/>
        </w:numPr>
      </w:pPr>
      <w:r>
        <w:t>T</w:t>
      </w:r>
      <w:r w:rsidRPr="009124E6">
        <w:t>he effect of requiring new or existing customers applying for an extension to an electrical or gas corporation to provide transmission or distribution facilities for other customers who will apply to receive line and service extensions in the future</w:t>
      </w:r>
      <w:r w:rsidR="00D94474">
        <w:t>;</w:t>
      </w:r>
    </w:p>
    <w:p w:rsidRPr="009124E6" w:rsidR="009124E6" w:rsidRDefault="009124E6" w14:paraId="6A16223A" w14:textId="65DBCD88">
      <w:pPr>
        <w:pStyle w:val="BlockQuoteH033"/>
        <w:numPr>
          <w:ilvl w:val="0"/>
          <w:numId w:val="18"/>
        </w:numPr>
      </w:pPr>
      <w:r w:rsidRPr="009124E6">
        <w:t>The effect of requiring a new or existing customer applying for an extension to an electrical or gas corporation to be responsible for the distribution of, reinforcements of, relocations of, or additions to that gas or electrical corporation</w:t>
      </w:r>
      <w:r w:rsidR="00D94474">
        <w:t>;</w:t>
      </w:r>
    </w:p>
    <w:p w:rsidRPr="009124E6" w:rsidR="009124E6" w:rsidRDefault="009124E6" w14:paraId="6E2C01C1" w14:textId="3C68C6AE">
      <w:pPr>
        <w:pStyle w:val="BlockQuoteH033"/>
        <w:numPr>
          <w:ilvl w:val="0"/>
          <w:numId w:val="18"/>
        </w:numPr>
      </w:pPr>
      <w:r>
        <w:t>T</w:t>
      </w:r>
      <w:r w:rsidRPr="009124E6">
        <w:t>he economic effect of the terms and conditions upon projects, including redevelopment projects, funded or sponsored by cities, counties, or districts</w:t>
      </w:r>
      <w:r w:rsidR="00D94474">
        <w:t>;</w:t>
      </w:r>
    </w:p>
    <w:p w:rsidRPr="009124E6" w:rsidR="009124E6" w:rsidRDefault="009124E6" w14:paraId="294C3E87" w14:textId="1A9AC6BF">
      <w:pPr>
        <w:pStyle w:val="BlockQuoteH033"/>
        <w:numPr>
          <w:ilvl w:val="0"/>
          <w:numId w:val="18"/>
        </w:numPr>
      </w:pPr>
      <w:r>
        <w:lastRenderedPageBreak/>
        <w:t>T</w:t>
      </w:r>
      <w:r w:rsidRPr="009124E6">
        <w:t>he effect of the line and service extension regulations, and any modifications to them, on existing ratepayers</w:t>
      </w:r>
      <w:r w:rsidR="00D94474">
        <w:t>;</w:t>
      </w:r>
    </w:p>
    <w:p w:rsidRPr="009124E6" w:rsidR="009124E6" w:rsidRDefault="009124E6" w14:paraId="6D078CCB" w14:textId="3EC75671">
      <w:pPr>
        <w:pStyle w:val="BlockQuoteH033"/>
        <w:numPr>
          <w:ilvl w:val="0"/>
          <w:numId w:val="18"/>
        </w:numPr>
      </w:pPr>
      <w:r w:rsidRPr="009124E6">
        <w:t>The effect of the line and service extension regulations, and any modifications to them, on the consumption and conservation of energy</w:t>
      </w:r>
      <w:r w:rsidR="00D94474">
        <w:t>; and</w:t>
      </w:r>
    </w:p>
    <w:p w:rsidR="005C6EB5" w:rsidRDefault="009124E6" w14:paraId="38F1F886" w14:textId="5CFC67E9">
      <w:pPr>
        <w:pStyle w:val="BlockQuoteH033"/>
        <w:numPr>
          <w:ilvl w:val="0"/>
          <w:numId w:val="18"/>
        </w:numPr>
      </w:pPr>
      <w:r>
        <w:t>T</w:t>
      </w:r>
      <w:r w:rsidRPr="009124E6">
        <w:t>he extent to which there is cost</w:t>
      </w:r>
      <w:r w:rsidR="00513B3F">
        <w:noBreakHyphen/>
      </w:r>
      <w:r w:rsidRPr="009124E6">
        <w:t>justification for a special line and service extension allowance for agriculture.</w:t>
      </w:r>
    </w:p>
    <w:p w:rsidRPr="00517328" w:rsidR="00CD026A" w:rsidP="00CD026A" w:rsidRDefault="0081014D" w14:paraId="07F22872" w14:textId="3067AB32">
      <w:pPr>
        <w:pStyle w:val="FoF"/>
      </w:pPr>
      <w:r w:rsidRPr="00517328">
        <w:t>E</w:t>
      </w:r>
      <w:r w:rsidRPr="00517328" w:rsidR="00CD026A">
        <w:t xml:space="preserve">liminating gas line subsidies </w:t>
      </w:r>
      <w:r w:rsidRPr="00517328">
        <w:t>will have the following impacts on the seven issues governed</w:t>
      </w:r>
      <w:r w:rsidRPr="00517328" w:rsidR="00CD026A">
        <w:t xml:space="preserve"> by </w:t>
      </w:r>
      <w:r w:rsidR="007D79B6">
        <w:t>Pub.</w:t>
      </w:r>
      <w:r w:rsidR="00513B3F">
        <w:t> </w:t>
      </w:r>
      <w:r w:rsidR="007D79B6">
        <w:t>Util.</w:t>
      </w:r>
      <w:r w:rsidRPr="00517328" w:rsidR="00CD026A">
        <w:t xml:space="preserve"> Code </w:t>
      </w:r>
      <w:r w:rsidR="000F2D16">
        <w:t>Section</w:t>
      </w:r>
      <w:r w:rsidR="00513B3F">
        <w:t> </w:t>
      </w:r>
      <w:r w:rsidRPr="00517328" w:rsidR="00CD026A">
        <w:t>783(b)</w:t>
      </w:r>
      <w:r w:rsidRPr="00517328" w:rsidR="00DC6626">
        <w:t xml:space="preserve">: </w:t>
      </w:r>
      <w:r w:rsidRPr="00517328" w:rsidR="00CD026A">
        <w:t xml:space="preserve"> </w:t>
      </w:r>
    </w:p>
    <w:p w:rsidRPr="007065F3" w:rsidR="00CD026A" w:rsidRDefault="0081014D" w14:paraId="12130340" w14:textId="0043C3E9">
      <w:pPr>
        <w:pStyle w:val="BlockQuoteH033"/>
        <w:numPr>
          <w:ilvl w:val="0"/>
          <w:numId w:val="19"/>
        </w:numPr>
      </w:pPr>
      <w:r w:rsidRPr="00517328">
        <w:t>The</w:t>
      </w:r>
      <w:r w:rsidRPr="00517328" w:rsidR="00CD026A">
        <w:t xml:space="preserve"> “economic effect of gas line and service extension terms and</w:t>
      </w:r>
      <w:r w:rsidR="00CD026A">
        <w:t xml:space="preserve"> conditions upon agricultural, residential housing, </w:t>
      </w:r>
      <w:r w:rsidR="007412B1">
        <w:t>mobile home</w:t>
      </w:r>
      <w:r w:rsidR="00CD026A">
        <w:t xml:space="preserve"> parks, rural customers, urban customers, employment, and commercial and industrial building and development” </w:t>
      </w:r>
      <w:r>
        <w:t>will</w:t>
      </w:r>
      <w:r w:rsidR="00CD026A">
        <w:t xml:space="preserve"> be overall net positive</w:t>
      </w:r>
      <w:r w:rsidR="0013541D">
        <w:t>;</w:t>
      </w:r>
    </w:p>
    <w:p w:rsidR="00D445F3" w:rsidRDefault="0081014D" w14:paraId="7E70585B" w14:textId="42BF6251">
      <w:pPr>
        <w:pStyle w:val="BlockQuoteH033"/>
        <w:numPr>
          <w:ilvl w:val="0"/>
          <w:numId w:val="19"/>
        </w:numPr>
      </w:pPr>
      <w:r>
        <w:t>T</w:t>
      </w:r>
      <w:r w:rsidR="00CD026A">
        <w:t xml:space="preserve">he “effect of requiring new or existing customers applying for a gas line extension to provide transmission and distribution facilities to other customers who receive line and service extension in the future” </w:t>
      </w:r>
      <w:r>
        <w:t>will</w:t>
      </w:r>
      <w:r w:rsidR="00CD026A">
        <w:t xml:space="preserve"> be limited to a shift in who pays which costs, </w:t>
      </w:r>
      <w:r>
        <w:t>will</w:t>
      </w:r>
      <w:r w:rsidR="00CD026A">
        <w:t xml:space="preserve"> not be a material effect, and </w:t>
      </w:r>
      <w:r>
        <w:t>any</w:t>
      </w:r>
      <w:r w:rsidR="00CD026A">
        <w:t xml:space="preserve"> negative effects on some customers, if any, </w:t>
      </w:r>
      <w:r>
        <w:t>will</w:t>
      </w:r>
      <w:r w:rsidR="00CD026A">
        <w:t xml:space="preserve"> be offset by the overall positive effects of reducing GHG emissions,</w:t>
      </w:r>
      <w:r w:rsidRPr="0054169A" w:rsidR="00CD026A">
        <w:t xml:space="preserve"> improved </w:t>
      </w:r>
      <w:r w:rsidR="00CD026A">
        <w:t>quality of life and health</w:t>
      </w:r>
      <w:r w:rsidRPr="0054169A" w:rsidR="00CD026A">
        <w:t xml:space="preserve"> for customers,</w:t>
      </w:r>
      <w:r w:rsidR="00CD026A">
        <w:t xml:space="preserve"> h</w:t>
      </w:r>
      <w:r w:rsidRPr="0054169A" w:rsidR="00CD026A">
        <w:t xml:space="preserve">undreds of millions of dollars in </w:t>
      </w:r>
      <w:r w:rsidR="00CD026A">
        <w:t xml:space="preserve">total </w:t>
      </w:r>
      <w:r w:rsidRPr="0054169A" w:rsidR="00CD026A">
        <w:t xml:space="preserve">ratepayer savings annually, </w:t>
      </w:r>
      <w:r w:rsidR="00CD026A">
        <w:t>greater equity for low</w:t>
      </w:r>
      <w:r w:rsidR="00513B3F">
        <w:noBreakHyphen/>
      </w:r>
      <w:r w:rsidR="00CD026A">
        <w:t xml:space="preserve">income </w:t>
      </w:r>
      <w:r w:rsidRPr="003E5933" w:rsidR="00CD026A">
        <w:t>customers</w:t>
      </w:r>
      <w:r w:rsidR="00CD026A">
        <w:t xml:space="preserve">, and </w:t>
      </w:r>
      <w:r w:rsidRPr="0057605F" w:rsidR="00CD026A">
        <w:t xml:space="preserve">greater certainty for the builder </w:t>
      </w:r>
      <w:r w:rsidR="00CD026A">
        <w:t xml:space="preserve">and </w:t>
      </w:r>
      <w:r w:rsidRPr="0057605F" w:rsidR="00CD026A">
        <w:t>contractor</w:t>
      </w:r>
      <w:r w:rsidRPr="00A11A53" w:rsidR="00CD026A">
        <w:t xml:space="preserve"> </w:t>
      </w:r>
      <w:r w:rsidRPr="0057605F" w:rsidR="00CD026A">
        <w:t>community</w:t>
      </w:r>
      <w:r w:rsidR="0013541D">
        <w:t>;</w:t>
      </w:r>
    </w:p>
    <w:p w:rsidRPr="0069592B" w:rsidR="00CD026A" w:rsidRDefault="0081014D" w14:paraId="36FA9E69" w14:textId="5A2B4C41">
      <w:pPr>
        <w:pStyle w:val="BlockQuoteH033"/>
        <w:numPr>
          <w:ilvl w:val="0"/>
          <w:numId w:val="19"/>
        </w:numPr>
      </w:pPr>
      <w:r>
        <w:t>T</w:t>
      </w:r>
      <w:r w:rsidR="00CD026A">
        <w:t>he “</w:t>
      </w:r>
      <w:r w:rsidRPr="00865871" w:rsidR="00CD026A">
        <w:t>effect of requiring a new or existing customer applying for an extension to an electrical or gas corporation to be responsible for the distribution of, reinforcements of, relocations of, or additions to that gas or electrical corporation</w:t>
      </w:r>
      <w:r w:rsidR="00CD026A">
        <w:t xml:space="preserve">” </w:t>
      </w:r>
      <w:r>
        <w:t>will</w:t>
      </w:r>
      <w:r w:rsidR="00CD026A">
        <w:t xml:space="preserve"> be</w:t>
      </w:r>
      <w:r w:rsidR="00B979A8">
        <w:t xml:space="preserve"> that </w:t>
      </w:r>
      <w:r w:rsidR="00CD026A">
        <w:t xml:space="preserve">the new or existing customer will be responsible for and must pay the costs that are caused by that customer’s line extension (including reinforcements, relocations, or additions). These costs </w:t>
      </w:r>
      <w:r w:rsidR="00517328">
        <w:t>will be</w:t>
      </w:r>
      <w:r w:rsidR="00CD026A">
        <w:t xml:space="preserve"> outweighed by the economic and </w:t>
      </w:r>
      <w:r w:rsidR="00CD026A">
        <w:lastRenderedPageBreak/>
        <w:t>environmental effects along with increased equity of having the cost</w:t>
      </w:r>
      <w:r w:rsidR="00513B3F">
        <w:noBreakHyphen/>
      </w:r>
      <w:r w:rsidR="00CD026A">
        <w:t>causer pay the costs that are incurred</w:t>
      </w:r>
      <w:r w:rsidR="0013541D">
        <w:t>;</w:t>
      </w:r>
    </w:p>
    <w:p w:rsidRPr="005D2F84" w:rsidR="00CD026A" w:rsidRDefault="00517328" w14:paraId="479BE5A8" w14:textId="77DE011D">
      <w:pPr>
        <w:pStyle w:val="BlockQuoteH033"/>
        <w:numPr>
          <w:ilvl w:val="0"/>
          <w:numId w:val="19"/>
        </w:numPr>
      </w:pPr>
      <w:r>
        <w:t>T</w:t>
      </w:r>
      <w:r w:rsidRPr="005D2F84" w:rsidR="00CD026A">
        <w:t xml:space="preserve">he </w:t>
      </w:r>
      <w:r w:rsidR="00CD026A">
        <w:t xml:space="preserve">“economic </w:t>
      </w:r>
      <w:r w:rsidRPr="0097613A" w:rsidR="00CD026A">
        <w:t xml:space="preserve">effect of the terms and conditions upon projects, including redevelopment projects, funded or sponsored by cities, counties, or districts” </w:t>
      </w:r>
      <w:r>
        <w:t>will</w:t>
      </w:r>
      <w:r w:rsidRPr="0097613A" w:rsidR="00CD026A">
        <w:t xml:space="preserve"> be </w:t>
      </w:r>
      <w:r w:rsidR="00CD026A">
        <w:t xml:space="preserve">higher costs for those projects that choose to connect to the gas system but </w:t>
      </w:r>
      <w:r>
        <w:t xml:space="preserve">will be </w:t>
      </w:r>
      <w:r w:rsidR="00CD026A">
        <w:t>offset (at least in part) by reduced gas rates, and also offset by the environmental and social benefits of ending gas line subsidies</w:t>
      </w:r>
      <w:r w:rsidR="0013541D">
        <w:t>;</w:t>
      </w:r>
    </w:p>
    <w:p w:rsidRPr="009525E1" w:rsidR="00CD026A" w:rsidRDefault="00517328" w14:paraId="42C62AC2" w14:textId="1E2F7C26">
      <w:pPr>
        <w:pStyle w:val="BlockQuoteH033"/>
        <w:numPr>
          <w:ilvl w:val="0"/>
          <w:numId w:val="19"/>
        </w:numPr>
      </w:pPr>
      <w:r>
        <w:t>T</w:t>
      </w:r>
      <w:r w:rsidR="00CD026A">
        <w:t>he “</w:t>
      </w:r>
      <w:r w:rsidRPr="00BC510F" w:rsidR="00CD026A">
        <w:t>effect of the line</w:t>
      </w:r>
      <w:r w:rsidR="00CD026A">
        <w:t xml:space="preserve"> </w:t>
      </w:r>
      <w:r w:rsidRPr="00BC510F" w:rsidR="00CD026A">
        <w:t>and service extension regulations, and any modifications to them, on existing ratepayers</w:t>
      </w:r>
      <w:r w:rsidR="00CD026A">
        <w:t xml:space="preserve">” </w:t>
      </w:r>
      <w:r w:rsidR="00DA6B08">
        <w:t>will be</w:t>
      </w:r>
      <w:r w:rsidR="00CD026A">
        <w:t xml:space="preserve"> savings of at least $1</w:t>
      </w:r>
      <w:r w:rsidR="00502EAB">
        <w:t>64</w:t>
      </w:r>
      <w:r w:rsidR="00513B3F">
        <w:t> </w:t>
      </w:r>
      <w:r w:rsidR="00BF7312">
        <w:t>million</w:t>
      </w:r>
      <w:r w:rsidR="00CD026A">
        <w:t xml:space="preserve"> per year, plus additional environmental, social and health benefits</w:t>
      </w:r>
      <w:r w:rsidR="0013541D">
        <w:t>;</w:t>
      </w:r>
    </w:p>
    <w:p w:rsidRPr="002A5EC6" w:rsidR="00CD026A" w:rsidRDefault="00DA6B08" w14:paraId="47632E51" w14:textId="468F059C">
      <w:pPr>
        <w:pStyle w:val="BlockQuoteH033"/>
        <w:numPr>
          <w:ilvl w:val="0"/>
          <w:numId w:val="19"/>
        </w:numPr>
      </w:pPr>
      <w:r>
        <w:t>T</w:t>
      </w:r>
      <w:r w:rsidR="00CD026A">
        <w:t>he ”</w:t>
      </w:r>
      <w:r w:rsidRPr="009F5CE4" w:rsidR="00CD026A">
        <w:t>effect of the line and service extension regulations, and any modifications to them, on consumption and conservation of energy”</w:t>
      </w:r>
      <w:r w:rsidR="00CD026A">
        <w:t xml:space="preserve"> </w:t>
      </w:r>
      <w:r>
        <w:t>will</w:t>
      </w:r>
      <w:r w:rsidR="00CD026A">
        <w:t xml:space="preserve"> be a reduction in gas consumption, an increase in electricity consumption, lower GHG emissions, less air pollution, and more energy conservation, with overall environmental, social and health benefits</w:t>
      </w:r>
      <w:r w:rsidR="0013541D">
        <w:t>; and</w:t>
      </w:r>
    </w:p>
    <w:p w:rsidR="00CD026A" w:rsidRDefault="00DA6B08" w14:paraId="246D5999" w14:textId="683AEBEE">
      <w:pPr>
        <w:pStyle w:val="BlockQuoteH033"/>
        <w:numPr>
          <w:ilvl w:val="0"/>
          <w:numId w:val="19"/>
        </w:numPr>
      </w:pPr>
      <w:r>
        <w:t>T</w:t>
      </w:r>
      <w:r w:rsidR="00CD026A">
        <w:t>he</w:t>
      </w:r>
      <w:r>
        <w:t>re will be no</w:t>
      </w:r>
      <w:r w:rsidR="00CD026A">
        <w:t xml:space="preserve"> “</w:t>
      </w:r>
      <w:r w:rsidRPr="0011660A" w:rsidR="00CD026A">
        <w:t>extent to which there is cost justification for a special line and service extension allowance for agriculture</w:t>
      </w:r>
      <w:r w:rsidR="0020480B">
        <w:t>.</w:t>
      </w:r>
      <w:r w:rsidR="00CD026A">
        <w:t xml:space="preserve">” </w:t>
      </w:r>
    </w:p>
    <w:p w:rsidR="00615A17" w:rsidP="00135076" w:rsidRDefault="007D79B6" w14:paraId="51E80947" w14:textId="118C821D">
      <w:pPr>
        <w:pStyle w:val="FoF"/>
        <w:keepNext/>
        <w:ind w:firstLine="547"/>
      </w:pPr>
      <w:r>
        <w:t>Pub. Util.</w:t>
      </w:r>
      <w:r w:rsidR="00796FF6">
        <w:t xml:space="preserve"> Code </w:t>
      </w:r>
      <w:r w:rsidR="000F2D16">
        <w:t>Section </w:t>
      </w:r>
      <w:r w:rsidRPr="000F0DBA" w:rsidR="00796FF6">
        <w:t>783(</w:t>
      </w:r>
      <w:r w:rsidR="00796FF6">
        <w:t>c</w:t>
      </w:r>
      <w:r w:rsidRPr="000F0DBA" w:rsidR="00796FF6">
        <w:t>) requires</w:t>
      </w:r>
      <w:r w:rsidR="00796FF6">
        <w:t xml:space="preserve"> that</w:t>
      </w:r>
      <w:r w:rsidRPr="000F0DBA" w:rsidR="00796FF6">
        <w:t>:</w:t>
      </w:r>
      <w:r w:rsidRPr="00F36FEA" w:rsidR="00796FF6">
        <w:t xml:space="preserve"> </w:t>
      </w:r>
    </w:p>
    <w:p w:rsidR="00796FF6" w:rsidP="00615A17" w:rsidRDefault="00796FF6" w14:paraId="609D6829" w14:textId="56684CAE">
      <w:pPr>
        <w:pStyle w:val="BlockQuote"/>
      </w:pPr>
      <w:r w:rsidRPr="00796FF6">
        <w:t>The commission shall request the assistance of appropriate state agencies and departments in conducting any investigation or proceeding pursuant to sub</w:t>
      </w:r>
      <w:r w:rsidR="00D57C9E">
        <w:t>division</w:t>
      </w:r>
      <w:r w:rsidR="00513B3F">
        <w:t> </w:t>
      </w:r>
      <w:r w:rsidR="00D57C9E">
        <w:t>(</w:t>
      </w:r>
      <w:r w:rsidRPr="00796FF6">
        <w:t>b), including, but not limited to, the Transportation Agency, the Department of Food and Agriculture, the Department of Consumer Affairs, the Bureau of Real Estate, and the Department of Housing and Community Development</w:t>
      </w:r>
      <w:r>
        <w:t>.</w:t>
      </w:r>
    </w:p>
    <w:p w:rsidR="00615A17" w:rsidP="00135076" w:rsidRDefault="007D79B6" w14:paraId="0D712583" w14:textId="77714BBA">
      <w:pPr>
        <w:pStyle w:val="FoF"/>
        <w:keepNext/>
        <w:ind w:firstLine="547"/>
      </w:pPr>
      <w:r>
        <w:t>Pub. Util.</w:t>
      </w:r>
      <w:r w:rsidR="00FA70C8">
        <w:t xml:space="preserve"> Code </w:t>
      </w:r>
      <w:r w:rsidR="000F2D16">
        <w:t>Section </w:t>
      </w:r>
      <w:r w:rsidRPr="000F0DBA" w:rsidR="000F0DBA">
        <w:t>783(d) requires</w:t>
      </w:r>
      <w:r w:rsidR="00F36FEA">
        <w:t xml:space="preserve"> that</w:t>
      </w:r>
      <w:r w:rsidRPr="000F0DBA" w:rsidR="000F0DBA">
        <w:t>:</w:t>
      </w:r>
    </w:p>
    <w:p w:rsidR="000F0DBA" w:rsidP="00615A17" w:rsidRDefault="00F36FEA" w14:paraId="265449E6" w14:textId="5B9DE436">
      <w:pPr>
        <w:pStyle w:val="BlockQuote"/>
      </w:pPr>
      <w:r w:rsidRPr="00F36FEA">
        <w:t>Any new order or decision issued pursuant to an investigation or proceeding conducted pursuant to sub</w:t>
      </w:r>
      <w:r w:rsidR="00D57C9E">
        <w:t>division</w:t>
      </w:r>
      <w:r w:rsidR="00513B3F">
        <w:t> </w:t>
      </w:r>
      <w:r w:rsidR="00D57C9E">
        <w:t>(</w:t>
      </w:r>
      <w:r w:rsidRPr="00F36FEA">
        <w:t xml:space="preserve">b) shall become effective on </w:t>
      </w:r>
      <w:r w:rsidR="00F62B39">
        <w:t>July</w:t>
      </w:r>
      <w:r w:rsidR="00513B3F">
        <w:t> </w:t>
      </w:r>
      <w:r w:rsidR="00F62B39">
        <w:t>1</w:t>
      </w:r>
      <w:r w:rsidRPr="00F36FEA">
        <w:t xml:space="preserve"> of the year which follows the year </w:t>
      </w:r>
      <w:r w:rsidRPr="00F36FEA">
        <w:lastRenderedPageBreak/>
        <w:t>when the new order or decision is adopted by the commission, so as to ensure that the public has at least six months to consider the new order or decision</w:t>
      </w:r>
      <w:r w:rsidR="00061AE5">
        <w:t>.</w:t>
      </w:r>
    </w:p>
    <w:p w:rsidRPr="000F0DBA" w:rsidR="00622333" w:rsidP="00A822C6" w:rsidRDefault="00622333" w14:paraId="5348D544" w14:textId="18011530">
      <w:pPr>
        <w:pStyle w:val="FoF"/>
      </w:pPr>
      <w:r>
        <w:t xml:space="preserve"> During the course of this proceeding, </w:t>
      </w:r>
      <w:r w:rsidR="00150AFE">
        <w:t>the Commission provided notice and an opportunity to comment</w:t>
      </w:r>
      <w:r w:rsidR="002F52F9">
        <w:t xml:space="preserve"> to those agencies identified in Pub.</w:t>
      </w:r>
      <w:r w:rsidR="0047537E">
        <w:t> </w:t>
      </w:r>
      <w:r w:rsidR="002F52F9">
        <w:t>Util. Code Section</w:t>
      </w:r>
      <w:r w:rsidR="0047537E">
        <w:t> </w:t>
      </w:r>
      <w:r w:rsidR="002F52F9">
        <w:t>783(c).</w:t>
      </w:r>
    </w:p>
    <w:p w:rsidRPr="00023D57" w:rsidR="00E4530B" w:rsidP="00023D57" w:rsidRDefault="00E4530B" w14:paraId="26AE4029" w14:textId="77777777">
      <w:pPr>
        <w:pStyle w:val="Dummy"/>
      </w:pPr>
      <w:bookmarkStart w:name="_Toc81167790" w:id="216"/>
      <w:bookmarkStart w:name="_Toc87340019" w:id="217"/>
      <w:bookmarkStart w:name="_Toc109376144" w:id="218"/>
      <w:bookmarkStart w:name="_Toc109141176" w:id="219"/>
      <w:bookmarkStart w:name="_Toc110598596" w:id="220"/>
      <w:r w:rsidRPr="00B70982">
        <w:t>Conclusions of Law</w:t>
      </w:r>
      <w:bookmarkEnd w:id="213"/>
      <w:bookmarkEnd w:id="214"/>
      <w:bookmarkEnd w:id="216"/>
      <w:bookmarkEnd w:id="217"/>
      <w:bookmarkEnd w:id="218"/>
      <w:bookmarkEnd w:id="219"/>
      <w:bookmarkEnd w:id="220"/>
    </w:p>
    <w:p w:rsidR="00D34C52" w:rsidRDefault="00D34C52" w14:paraId="23C20149" w14:textId="1582B537">
      <w:pPr>
        <w:pStyle w:val="CoL"/>
        <w:numPr>
          <w:ilvl w:val="0"/>
          <w:numId w:val="9"/>
        </w:numPr>
      </w:pPr>
      <w:r>
        <w:t>The Commission should eliminate gas line extension allowances, refunds</w:t>
      </w:r>
      <w:r w:rsidR="00F21F15">
        <w:t>,</w:t>
      </w:r>
      <w:r>
        <w:t xml:space="preserve"> and discounts for all customer classes</w:t>
      </w:r>
      <w:r w:rsidR="00B37ADB">
        <w:t>, with limited exception</w:t>
      </w:r>
      <w:r w:rsidR="00E960A6">
        <w:t>s</w:t>
      </w:r>
      <w:r>
        <w:t>.</w:t>
      </w:r>
    </w:p>
    <w:p w:rsidR="00BC4B08" w:rsidRDefault="00D34C52" w14:paraId="06C7BABE" w14:textId="42917FF5">
      <w:pPr>
        <w:pStyle w:val="CoL"/>
        <w:numPr>
          <w:ilvl w:val="0"/>
          <w:numId w:val="9"/>
        </w:numPr>
      </w:pPr>
      <w:r>
        <w:t xml:space="preserve">The Commission </w:t>
      </w:r>
      <w:r w:rsidR="00B37ADB">
        <w:t xml:space="preserve">should </w:t>
      </w:r>
      <w:r w:rsidR="00F21F15">
        <w:t>allow limited exception</w:t>
      </w:r>
      <w:r w:rsidR="00E960A6">
        <w:t>s</w:t>
      </w:r>
      <w:r w:rsidR="00F21F15">
        <w:t xml:space="preserve"> to the elimination of </w:t>
      </w:r>
      <w:r w:rsidR="003F24A8">
        <w:t xml:space="preserve">gas line subsidies by </w:t>
      </w:r>
      <w:r w:rsidR="00BC4B08">
        <w:t>permitting a utility to file an application for projects that meet specific criteria.</w:t>
      </w:r>
    </w:p>
    <w:p w:rsidR="000E3FB3" w:rsidRDefault="00BC4B08" w14:paraId="5E7244C7" w14:textId="33406387">
      <w:pPr>
        <w:pStyle w:val="CoL"/>
        <w:numPr>
          <w:ilvl w:val="0"/>
          <w:numId w:val="9"/>
        </w:numPr>
      </w:pPr>
      <w:r>
        <w:t xml:space="preserve">The application should be filed each year by </w:t>
      </w:r>
      <w:r w:rsidR="00F62B39">
        <w:t>July</w:t>
      </w:r>
      <w:r w:rsidR="00513B3F">
        <w:t> </w:t>
      </w:r>
      <w:r w:rsidR="00F62B39">
        <w:t>1</w:t>
      </w:r>
      <w:r w:rsidR="000E3FB3">
        <w:t xml:space="preserve"> and must demonstrate that each project meets the following criteria</w:t>
      </w:r>
      <w:r w:rsidR="003D3B96">
        <w:t>:</w:t>
      </w:r>
    </w:p>
    <w:p w:rsidR="000E3FB3" w:rsidRDefault="000E3FB3" w14:paraId="2E18B25E" w14:textId="1973B711">
      <w:pPr>
        <w:pStyle w:val="BlockQuoteH033"/>
        <w:numPr>
          <w:ilvl w:val="0"/>
          <w:numId w:val="20"/>
        </w:numPr>
      </w:pPr>
      <w:r>
        <w:t>T</w:t>
      </w:r>
      <w:r w:rsidRPr="00F82050">
        <w:t xml:space="preserve">he </w:t>
      </w:r>
      <w:r>
        <w:t>project</w:t>
      </w:r>
      <w:r w:rsidRPr="00C1052C">
        <w:t xml:space="preserve"> </w:t>
      </w:r>
      <w:r>
        <w:t xml:space="preserve">shows a </w:t>
      </w:r>
      <w:r w:rsidRPr="00C2680F">
        <w:t>demonstrable reduction in GHG emissions</w:t>
      </w:r>
      <w:r w:rsidR="00135076">
        <w:t xml:space="preserve">; </w:t>
      </w:r>
    </w:p>
    <w:p w:rsidR="000E3FB3" w:rsidRDefault="000E3FB3" w14:paraId="047F847D" w14:textId="2904A78E">
      <w:pPr>
        <w:pStyle w:val="BlockQuoteH033"/>
        <w:numPr>
          <w:ilvl w:val="0"/>
          <w:numId w:val="20"/>
        </w:numPr>
      </w:pPr>
      <w:r>
        <w:t>T</w:t>
      </w:r>
      <w:r w:rsidRPr="00F82050">
        <w:t xml:space="preserve">he </w:t>
      </w:r>
      <w:r>
        <w:t xml:space="preserve">project’s gas line </w:t>
      </w:r>
      <w:r w:rsidRPr="00F82050">
        <w:t xml:space="preserve">extension is consistent with </w:t>
      </w:r>
      <w:r>
        <w:t>California’s</w:t>
      </w:r>
      <w:r w:rsidRPr="00F82050">
        <w:t xml:space="preserve"> climate goals</w:t>
      </w:r>
      <w:r>
        <w:t xml:space="preserve">, including those articulated in </w:t>
      </w:r>
      <w:r w:rsidR="00452F77">
        <w:t>SB</w:t>
      </w:r>
      <w:r w:rsidR="00513B3F">
        <w:t> </w:t>
      </w:r>
      <w:r>
        <w:t>32 (Pavley, 2016)</w:t>
      </w:r>
      <w:r w:rsidR="00135076">
        <w:t>; and</w:t>
      </w:r>
    </w:p>
    <w:p w:rsidR="00D34C52" w:rsidRDefault="000E3FB3" w14:paraId="042F8F91" w14:textId="74E573A8">
      <w:pPr>
        <w:pStyle w:val="BlockQuoteH033"/>
        <w:numPr>
          <w:ilvl w:val="0"/>
          <w:numId w:val="20"/>
        </w:numPr>
      </w:pPr>
      <w:r>
        <w:t>T</w:t>
      </w:r>
      <w:r w:rsidRPr="00F82050">
        <w:t xml:space="preserve">he </w:t>
      </w:r>
      <w:r>
        <w:t>project demonstrates that it has</w:t>
      </w:r>
      <w:r w:rsidRPr="00F82050">
        <w:t xml:space="preserve"> no feasible alternatives to the </w:t>
      </w:r>
      <w:r>
        <w:t xml:space="preserve">use of natural gas, including electrification. </w:t>
      </w:r>
    </w:p>
    <w:p w:rsidR="00C87016" w:rsidRDefault="00C87016" w14:paraId="0B7BF588" w14:textId="2192EF71">
      <w:pPr>
        <w:pStyle w:val="CoL"/>
        <w:numPr>
          <w:ilvl w:val="0"/>
          <w:numId w:val="9"/>
        </w:numPr>
      </w:pPr>
      <w:r>
        <w:t>The change</w:t>
      </w:r>
      <w:r w:rsidR="00232182">
        <w:t>s</w:t>
      </w:r>
      <w:r>
        <w:t xml:space="preserve"> adopted in this decision to the gas rules compl</w:t>
      </w:r>
      <w:r w:rsidR="00087238">
        <w:t>y</w:t>
      </w:r>
      <w:r>
        <w:t xml:space="preserve"> with the statutory require</w:t>
      </w:r>
      <w:r w:rsidR="00087238">
        <w:t>ments of</w:t>
      </w:r>
      <w:r>
        <w:t xml:space="preserve"> </w:t>
      </w:r>
      <w:r w:rsidR="007D79B6">
        <w:t>Pub. Util.</w:t>
      </w:r>
      <w:r>
        <w:t xml:space="preserve"> Code</w:t>
      </w:r>
      <w:r w:rsidR="005E69C8">
        <w:t> </w:t>
      </w:r>
      <w:r w:rsidR="006F5DBD">
        <w:t>Section </w:t>
      </w:r>
      <w:r>
        <w:t>783(b)</w:t>
      </w:r>
      <w:r w:rsidR="005E69C8">
        <w:t>-</w:t>
      </w:r>
      <w:r w:rsidR="00732768">
        <w:t>(d)</w:t>
      </w:r>
      <w:r>
        <w:t>.</w:t>
      </w:r>
    </w:p>
    <w:p w:rsidRPr="002663CF" w:rsidR="00D53BA1" w:rsidRDefault="00D53BA1" w14:paraId="310C3A0F" w14:textId="0E889654">
      <w:pPr>
        <w:pStyle w:val="CoL"/>
        <w:numPr>
          <w:ilvl w:val="0"/>
          <w:numId w:val="9"/>
        </w:numPr>
      </w:pPr>
      <w:r w:rsidRPr="002663CF">
        <w:t xml:space="preserve">The gas IOUs should each submit a </w:t>
      </w:r>
      <w:r w:rsidR="00B27518">
        <w:t>Tier</w:t>
      </w:r>
      <w:r w:rsidR="00513B3F">
        <w:t> </w:t>
      </w:r>
      <w:r w:rsidR="00B27518">
        <w:t>2</w:t>
      </w:r>
      <w:r w:rsidRPr="002663CF">
        <w:t xml:space="preserve"> </w:t>
      </w:r>
      <w:r w:rsidR="00B27518">
        <w:t>AL</w:t>
      </w:r>
      <w:r w:rsidRPr="002663CF">
        <w:t xml:space="preserve"> to revise their gas line extension </w:t>
      </w:r>
      <w:r w:rsidR="004C0A5A">
        <w:t>rule</w:t>
      </w:r>
      <w:r w:rsidRPr="002663CF" w:rsidR="004C0A5A">
        <w:t xml:space="preserve">s </w:t>
      </w:r>
      <w:r w:rsidR="002E1384">
        <w:t>to</w:t>
      </w:r>
      <w:r w:rsidRPr="002663CF" w:rsidR="002E1384">
        <w:t xml:space="preserve"> </w:t>
      </w:r>
      <w:r w:rsidRPr="002663CF">
        <w:t>eliminate gas line extension subsides in conformance with this decision</w:t>
      </w:r>
      <w:r w:rsidR="002C7B90">
        <w:t xml:space="preserve">. The revised </w:t>
      </w:r>
      <w:r w:rsidR="004C0A5A">
        <w:t xml:space="preserve">rules </w:t>
      </w:r>
      <w:r w:rsidRPr="002663CF">
        <w:t xml:space="preserve">should include </w:t>
      </w:r>
      <w:r w:rsidR="00080F5E">
        <w:t>the</w:t>
      </w:r>
      <w:r w:rsidRPr="002663CF">
        <w:t xml:space="preserve"> application process </w:t>
      </w:r>
      <w:r w:rsidR="00487E37">
        <w:t xml:space="preserve">adopted </w:t>
      </w:r>
      <w:r w:rsidR="00716C0D">
        <w:t xml:space="preserve">in this decision allowing </w:t>
      </w:r>
      <w:r w:rsidRPr="002663CF">
        <w:t xml:space="preserve">limited projects </w:t>
      </w:r>
      <w:r w:rsidRPr="002663CF" w:rsidR="00144D48">
        <w:t>meet</w:t>
      </w:r>
      <w:r w:rsidR="00144D48">
        <w:t>ing</w:t>
      </w:r>
      <w:r w:rsidRPr="002663CF" w:rsidR="00144D48">
        <w:t xml:space="preserve"> </w:t>
      </w:r>
      <w:r w:rsidR="00144D48">
        <w:t xml:space="preserve">the </w:t>
      </w:r>
      <w:r w:rsidRPr="002663CF" w:rsidR="00144D48">
        <w:t xml:space="preserve">specific </w:t>
      </w:r>
      <w:r w:rsidR="00144D48">
        <w:t>eligibility criteria set out in this decision to seek gas line extension allowances, refunds, and discounts</w:t>
      </w:r>
      <w:r w:rsidR="00F30672">
        <w:t>.</w:t>
      </w:r>
      <w:r w:rsidR="00144D48">
        <w:t xml:space="preserve"> </w:t>
      </w:r>
    </w:p>
    <w:p w:rsidRPr="00023D57" w:rsidR="00E4530B" w:rsidP="00023D57" w:rsidRDefault="00E4530B" w14:paraId="65BCC3DA" w14:textId="77777777">
      <w:pPr>
        <w:pStyle w:val="Mainex"/>
      </w:pPr>
      <w:bookmarkStart w:name="_Toc81167791" w:id="221"/>
      <w:bookmarkStart w:name="_Toc87340020" w:id="222"/>
      <w:bookmarkStart w:name="_Toc109376145" w:id="223"/>
      <w:bookmarkStart w:name="_Toc109141177" w:id="224"/>
      <w:bookmarkStart w:name="_Toc110598597" w:id="225"/>
      <w:r w:rsidRPr="00B70982">
        <w:lastRenderedPageBreak/>
        <w:t>ORDER</w:t>
      </w:r>
      <w:bookmarkEnd w:id="221"/>
      <w:bookmarkEnd w:id="222"/>
      <w:bookmarkEnd w:id="223"/>
      <w:bookmarkEnd w:id="224"/>
      <w:bookmarkEnd w:id="225"/>
    </w:p>
    <w:p w:rsidRPr="00B70982" w:rsidR="00E4530B" w:rsidP="00661D62" w:rsidRDefault="00E4530B" w14:paraId="15B27091" w14:textId="77777777">
      <w:pPr>
        <w:pStyle w:val="standard0"/>
        <w:keepNext/>
      </w:pPr>
      <w:r w:rsidRPr="00E76301">
        <w:rPr>
          <w:b/>
          <w:bCs/>
        </w:rPr>
        <w:t>IT IS ORDERED</w:t>
      </w:r>
      <w:r w:rsidRPr="00B70982">
        <w:t xml:space="preserve"> that:</w:t>
      </w:r>
    </w:p>
    <w:p w:rsidRPr="00B70982" w:rsidR="00F30C32" w:rsidP="00E76301" w:rsidRDefault="00F429A7" w14:paraId="79953381" w14:textId="2E48BE50">
      <w:pPr>
        <w:pStyle w:val="OP"/>
      </w:pPr>
      <w:r>
        <w:t>Gas</w:t>
      </w:r>
      <w:r w:rsidRPr="001255BA" w:rsidR="001255BA">
        <w:t xml:space="preserve"> line extension allowances, the 10</w:t>
      </w:r>
      <w:r w:rsidR="00513B3F">
        <w:noBreakHyphen/>
      </w:r>
      <w:r w:rsidRPr="001255BA" w:rsidR="001255BA">
        <w:t>year refundable payment option, and the 50</w:t>
      </w:r>
      <w:r w:rsidR="00513B3F">
        <w:t> </w:t>
      </w:r>
      <w:r w:rsidR="003E72B0">
        <w:t>percent</w:t>
      </w:r>
      <w:r w:rsidRPr="001255BA" w:rsidR="001255BA">
        <w:t xml:space="preserve"> discount option </w:t>
      </w:r>
      <w:r w:rsidR="006F5252">
        <w:t>in</w:t>
      </w:r>
      <w:r w:rsidRPr="001255BA" w:rsidR="001255BA">
        <w:t xml:space="preserve"> current </w:t>
      </w:r>
      <w:r w:rsidR="006F5252">
        <w:t>utility</w:t>
      </w:r>
      <w:r w:rsidRPr="001255BA" w:rsidR="001255BA">
        <w:t xml:space="preserve"> </w:t>
      </w:r>
      <w:r w:rsidR="00EB5BA0">
        <w:t xml:space="preserve">gas </w:t>
      </w:r>
      <w:r w:rsidRPr="001255BA" w:rsidR="001255BA">
        <w:t xml:space="preserve">line extension rules </w:t>
      </w:r>
      <w:r w:rsidR="006F5252">
        <w:t xml:space="preserve">shall be </w:t>
      </w:r>
      <w:r w:rsidR="000940B1">
        <w:t>eliminated</w:t>
      </w:r>
      <w:r w:rsidR="007F4743">
        <w:t>, as provided below:</w:t>
      </w:r>
      <w:r w:rsidR="006F5252">
        <w:t xml:space="preserve"> </w:t>
      </w:r>
    </w:p>
    <w:p w:rsidRPr="00CA50A1" w:rsidR="00CE7511" w:rsidRDefault="00DE6354" w14:paraId="186CE09D" w14:textId="727CB090">
      <w:pPr>
        <w:pStyle w:val="BlockQuoteH033"/>
        <w:numPr>
          <w:ilvl w:val="0"/>
          <w:numId w:val="21"/>
        </w:numPr>
      </w:pPr>
      <w:r>
        <w:t xml:space="preserve">Gas Line Extension </w:t>
      </w:r>
      <w:r w:rsidRPr="008B77AC" w:rsidR="00D1149E">
        <w:t>A</w:t>
      </w:r>
      <w:r w:rsidRPr="008B77AC" w:rsidR="00A513E3">
        <w:t>llowances</w:t>
      </w:r>
      <w:r w:rsidRPr="008B77AC" w:rsidR="001A7DA5">
        <w:t>:</w:t>
      </w:r>
      <w:r w:rsidRPr="008B77AC" w:rsidR="00CE7511">
        <w:t xml:space="preserve"> All allowances set forth in </w:t>
      </w:r>
      <w:r w:rsidR="00AD6B06">
        <w:t>utilities’</w:t>
      </w:r>
      <w:r w:rsidR="002560B8">
        <w:t xml:space="preserve"> </w:t>
      </w:r>
      <w:r w:rsidR="00FF29AE">
        <w:t>Gas</w:t>
      </w:r>
      <w:r w:rsidR="00513B3F">
        <w:t> </w:t>
      </w:r>
      <w:r w:rsidR="00FF29AE">
        <w:t>Rule</w:t>
      </w:r>
      <w:r w:rsidR="004D1555">
        <w:t xml:space="preserve"> </w:t>
      </w:r>
      <w:r w:rsidR="002D31DB">
        <w:t>No</w:t>
      </w:r>
      <w:r w:rsidR="00806B11">
        <w:t>s</w:t>
      </w:r>
      <w:r w:rsidR="00777541">
        <w:t>.</w:t>
      </w:r>
      <w:r w:rsidR="004D1555">
        <w:t> </w:t>
      </w:r>
      <w:r w:rsidRPr="008B77AC" w:rsidR="00796E57">
        <w:t>15</w:t>
      </w:r>
      <w:r w:rsidR="008408F9">
        <w:t xml:space="preserve"> and 16</w:t>
      </w:r>
      <w:r w:rsidRPr="008B77AC" w:rsidR="00796E57">
        <w:t xml:space="preserve"> (for </w:t>
      </w:r>
      <w:r w:rsidRPr="006B623F" w:rsidR="00796E57">
        <w:t>P</w:t>
      </w:r>
      <w:r w:rsidRPr="006B623F" w:rsidR="00D1149E">
        <w:t xml:space="preserve">acific </w:t>
      </w:r>
      <w:r w:rsidRPr="006B623F" w:rsidR="00796E57">
        <w:t>G</w:t>
      </w:r>
      <w:r w:rsidRPr="006B623F" w:rsidR="00D1149E">
        <w:t>as and Electric Company</w:t>
      </w:r>
      <w:r w:rsidRPr="008B77AC" w:rsidR="00796E57">
        <w:t xml:space="preserve">, </w:t>
      </w:r>
      <w:r w:rsidRPr="006B623F" w:rsidR="000F2D16">
        <w:t>San</w:t>
      </w:r>
      <w:r w:rsidR="00513B3F">
        <w:t> </w:t>
      </w:r>
      <w:r w:rsidRPr="006B623F" w:rsidR="00D1149E">
        <w:t>Diego Gas</w:t>
      </w:r>
      <w:r w:rsidRPr="006B623F" w:rsidR="007E61A2">
        <w:t xml:space="preserve"> &amp; </w:t>
      </w:r>
      <w:r w:rsidRPr="006B623F" w:rsidR="00D1149E">
        <w:t>Electric Company</w:t>
      </w:r>
      <w:r w:rsidRPr="008B77AC" w:rsidR="00D1149E">
        <w:t xml:space="preserve">, and </w:t>
      </w:r>
      <w:r w:rsidRPr="006B623F" w:rsidR="00C21A71">
        <w:t>Southwest Gas Corporation</w:t>
      </w:r>
      <w:r w:rsidRPr="008B77AC" w:rsidR="00D1149E">
        <w:t>)</w:t>
      </w:r>
      <w:r w:rsidR="007804DA">
        <w:t xml:space="preserve"> </w:t>
      </w:r>
      <w:r w:rsidR="00213C6A">
        <w:t>(</w:t>
      </w:r>
      <w:r w:rsidR="00926006">
        <w:t>c</w:t>
      </w:r>
      <w:r w:rsidR="00213C6A">
        <w:t>ollectively,</w:t>
      </w:r>
      <w:r w:rsidR="000940B1">
        <w:t xml:space="preserve"> the</w:t>
      </w:r>
      <w:r w:rsidR="00213C6A">
        <w:t xml:space="preserve"> </w:t>
      </w:r>
      <w:r w:rsidR="001E4F71">
        <w:t xml:space="preserve">three </w:t>
      </w:r>
      <w:r w:rsidR="00ED4CF4">
        <w:t xml:space="preserve">gas </w:t>
      </w:r>
      <w:r w:rsidR="00396CE5">
        <w:t>utilities</w:t>
      </w:r>
      <w:r w:rsidR="00213C6A">
        <w:t xml:space="preserve">) </w:t>
      </w:r>
      <w:r w:rsidRPr="008B77AC" w:rsidR="00796E57">
        <w:t xml:space="preserve">and </w:t>
      </w:r>
      <w:r w:rsidR="00FF29AE">
        <w:t>Gas</w:t>
      </w:r>
      <w:r w:rsidR="00513B3F">
        <w:t> </w:t>
      </w:r>
      <w:r w:rsidR="00FF29AE">
        <w:t>Rule</w:t>
      </w:r>
      <w:r w:rsidR="00777541">
        <w:t xml:space="preserve"> No</w:t>
      </w:r>
      <w:r w:rsidR="00806B11">
        <w:t>s</w:t>
      </w:r>
      <w:r w:rsidR="00777541">
        <w:t>.</w:t>
      </w:r>
      <w:r w:rsidR="00513B3F">
        <w:t> </w:t>
      </w:r>
      <w:r w:rsidRPr="008B77AC" w:rsidR="00796E57">
        <w:t>20</w:t>
      </w:r>
      <w:r w:rsidR="00806B11">
        <w:t xml:space="preserve"> and 21</w:t>
      </w:r>
      <w:r w:rsidRPr="008B77AC" w:rsidR="00796E57">
        <w:t xml:space="preserve"> (for </w:t>
      </w:r>
      <w:r w:rsidRPr="006B623F" w:rsidR="00796E57">
        <w:t>So</w:t>
      </w:r>
      <w:r w:rsidRPr="006B623F" w:rsidR="00D1149E">
        <w:t>uthern California Gas Company</w:t>
      </w:r>
      <w:r w:rsidRPr="006B623F" w:rsidR="00310A6B">
        <w:t xml:space="preserve"> </w:t>
      </w:r>
      <w:r w:rsidR="00310A6B">
        <w:t>(</w:t>
      </w:r>
      <w:r w:rsidRPr="006B623F" w:rsidR="00310A6B">
        <w:rPr>
          <w:rFonts w:cs="Times New Roman"/>
          <w:szCs w:val="20"/>
        </w:rPr>
        <w:t>SoCalGas</w:t>
      </w:r>
      <w:r w:rsidR="00310A6B">
        <w:t>)</w:t>
      </w:r>
      <w:r w:rsidRPr="008B77AC" w:rsidR="00796E57">
        <w:t>)</w:t>
      </w:r>
      <w:r w:rsidRPr="008B77AC" w:rsidR="00CE7511">
        <w:t xml:space="preserve"> </w:t>
      </w:r>
      <w:r w:rsidR="001852EB">
        <w:t xml:space="preserve">shall be </w:t>
      </w:r>
      <w:r w:rsidR="00AD61A7">
        <w:t xml:space="preserve">removed </w:t>
      </w:r>
      <w:r w:rsidRPr="008B77AC" w:rsidR="00CE7511">
        <w:t xml:space="preserve">effective </w:t>
      </w:r>
      <w:r w:rsidR="00F62B39">
        <w:t>July</w:t>
      </w:r>
      <w:r w:rsidR="00513B3F">
        <w:t> </w:t>
      </w:r>
      <w:r w:rsidR="00F62B39">
        <w:t>1</w:t>
      </w:r>
      <w:r w:rsidR="001852EB">
        <w:t>,</w:t>
      </w:r>
      <w:r w:rsidR="0013547C">
        <w:t> </w:t>
      </w:r>
      <w:r w:rsidR="001852EB">
        <w:t>2023</w:t>
      </w:r>
      <w:r w:rsidR="00393557">
        <w:t>,</w:t>
      </w:r>
      <w:r w:rsidR="006E6C92">
        <w:t xml:space="preserve"> </w:t>
      </w:r>
      <w:r w:rsidR="00FB1666">
        <w:t xml:space="preserve">subject to the application process described </w:t>
      </w:r>
      <w:r w:rsidR="00460E0A">
        <w:t xml:space="preserve">in </w:t>
      </w:r>
      <w:r w:rsidR="006C7A89">
        <w:t xml:space="preserve">Ordering Paragraph </w:t>
      </w:r>
      <w:r w:rsidR="00675164">
        <w:t>(OP) </w:t>
      </w:r>
      <w:r w:rsidR="006C7A89">
        <w:t>2</w:t>
      </w:r>
      <w:r w:rsidR="00460E0A">
        <w:t xml:space="preserve"> of this decision</w:t>
      </w:r>
      <w:r w:rsidR="00807A92">
        <w:t>;</w:t>
      </w:r>
      <w:r w:rsidR="000D170C">
        <w:t xml:space="preserve"> </w:t>
      </w:r>
    </w:p>
    <w:p w:rsidRPr="00A513E3" w:rsidR="00CA50A1" w:rsidRDefault="00DE6354" w14:paraId="7E8D94CA" w14:textId="348E7E72">
      <w:pPr>
        <w:pStyle w:val="BlockQuoteH033"/>
        <w:numPr>
          <w:ilvl w:val="0"/>
          <w:numId w:val="21"/>
        </w:numPr>
      </w:pPr>
      <w:r w:rsidRPr="001255BA">
        <w:t>10</w:t>
      </w:r>
      <w:r w:rsidR="00513B3F">
        <w:noBreakHyphen/>
      </w:r>
      <w:r w:rsidR="004C14FB">
        <w:t>Y</w:t>
      </w:r>
      <w:r w:rsidRPr="001255BA">
        <w:t xml:space="preserve">ear </w:t>
      </w:r>
      <w:r>
        <w:t>R</w:t>
      </w:r>
      <w:r w:rsidRPr="001255BA">
        <w:t xml:space="preserve">efundable </w:t>
      </w:r>
      <w:r>
        <w:t>P</w:t>
      </w:r>
      <w:r w:rsidRPr="001255BA">
        <w:t xml:space="preserve">ayment </w:t>
      </w:r>
      <w:r>
        <w:t>O</w:t>
      </w:r>
      <w:r w:rsidRPr="001255BA">
        <w:t>ption</w:t>
      </w:r>
      <w:r w:rsidR="00A513E3">
        <w:t>:</w:t>
      </w:r>
      <w:r w:rsidRPr="008B77AC" w:rsidR="00CA50A1">
        <w:t xml:space="preserve"> All</w:t>
      </w:r>
      <w:r w:rsidRPr="008B77AC" w:rsidR="00A513E3">
        <w:t xml:space="preserve"> refunds</w:t>
      </w:r>
      <w:r w:rsidRPr="008B77AC" w:rsidR="00CA50A1">
        <w:t xml:space="preserve"> set forth in </w:t>
      </w:r>
      <w:r w:rsidR="00AD6B06">
        <w:t>utilities</w:t>
      </w:r>
      <w:r w:rsidR="002560B8">
        <w:t xml:space="preserve">’ </w:t>
      </w:r>
      <w:r w:rsidR="00FF29AE">
        <w:t>Gas</w:t>
      </w:r>
      <w:r w:rsidR="00513B3F">
        <w:t> </w:t>
      </w:r>
      <w:r w:rsidR="00FF29AE">
        <w:t>Rule</w:t>
      </w:r>
      <w:r w:rsidR="004D1555">
        <w:t xml:space="preserve"> </w:t>
      </w:r>
      <w:r w:rsidR="00777541">
        <w:t>No</w:t>
      </w:r>
      <w:r w:rsidR="00806B11">
        <w:t>s</w:t>
      </w:r>
      <w:r w:rsidR="00777541">
        <w:t>.</w:t>
      </w:r>
      <w:r w:rsidR="004D1555">
        <w:t> </w:t>
      </w:r>
      <w:r w:rsidRPr="008B77AC" w:rsidR="00CA50A1">
        <w:t>15</w:t>
      </w:r>
      <w:r w:rsidR="00806B11">
        <w:t xml:space="preserve"> and 16</w:t>
      </w:r>
      <w:r w:rsidRPr="008B77AC" w:rsidR="00CA50A1">
        <w:t xml:space="preserve"> (for </w:t>
      </w:r>
      <w:r w:rsidR="00213C6A">
        <w:t xml:space="preserve">the </w:t>
      </w:r>
      <w:r w:rsidR="001E4F71">
        <w:t>three</w:t>
      </w:r>
      <w:r w:rsidR="00ED4CF4">
        <w:t xml:space="preserve"> gas</w:t>
      </w:r>
      <w:r w:rsidR="001E4F71">
        <w:t xml:space="preserve"> </w:t>
      </w:r>
      <w:r w:rsidR="00396CE5">
        <w:t>utilities</w:t>
      </w:r>
      <w:r w:rsidRPr="008B77AC" w:rsidR="00CA50A1">
        <w:t xml:space="preserve">) and </w:t>
      </w:r>
      <w:r w:rsidR="00FF29AE">
        <w:t>Gas Rule</w:t>
      </w:r>
      <w:r w:rsidR="004D1555">
        <w:t xml:space="preserve"> </w:t>
      </w:r>
      <w:r w:rsidR="00F77F9F">
        <w:t>No</w:t>
      </w:r>
      <w:r w:rsidR="00806B11">
        <w:t>s</w:t>
      </w:r>
      <w:r w:rsidR="00F77F9F">
        <w:t>.</w:t>
      </w:r>
      <w:r w:rsidR="004D1555">
        <w:t> </w:t>
      </w:r>
      <w:r w:rsidRPr="008B77AC" w:rsidR="00CA50A1">
        <w:t>20</w:t>
      </w:r>
      <w:r w:rsidR="00806B11">
        <w:t xml:space="preserve"> and 21</w:t>
      </w:r>
      <w:r w:rsidRPr="008B77AC" w:rsidR="00CA50A1">
        <w:t xml:space="preserve"> (for </w:t>
      </w:r>
      <w:r w:rsidR="00310A6B">
        <w:t>SoCalGas</w:t>
      </w:r>
      <w:r w:rsidRPr="008B77AC" w:rsidR="00CA50A1">
        <w:t xml:space="preserve">) </w:t>
      </w:r>
      <w:r w:rsidR="00F70B33">
        <w:t xml:space="preserve">shall be </w:t>
      </w:r>
      <w:r w:rsidR="003A3638">
        <w:t xml:space="preserve">removed </w:t>
      </w:r>
      <w:r w:rsidRPr="008B77AC" w:rsidR="00CA50A1">
        <w:t>effective</w:t>
      </w:r>
      <w:r w:rsidR="002B53BC">
        <w:t xml:space="preserve"> </w:t>
      </w:r>
      <w:r w:rsidR="00F62B39">
        <w:t>July</w:t>
      </w:r>
      <w:r w:rsidR="00513B3F">
        <w:t> </w:t>
      </w:r>
      <w:r w:rsidR="00F62B39">
        <w:t>1</w:t>
      </w:r>
      <w:r w:rsidR="002B53BC">
        <w:t>,</w:t>
      </w:r>
      <w:r w:rsidR="00393557">
        <w:t> </w:t>
      </w:r>
      <w:r w:rsidR="002B53BC">
        <w:t>2023</w:t>
      </w:r>
      <w:r w:rsidR="00393557">
        <w:t>,</w:t>
      </w:r>
      <w:r w:rsidR="00ED18CB">
        <w:t xml:space="preserve"> subject to the application process </w:t>
      </w:r>
      <w:r w:rsidR="00460E0A">
        <w:t xml:space="preserve">described in </w:t>
      </w:r>
      <w:r w:rsidR="00675164">
        <w:t>OP </w:t>
      </w:r>
      <w:r w:rsidR="00460E0A">
        <w:t>2 of this decision</w:t>
      </w:r>
      <w:r w:rsidR="00807A92">
        <w:t>; and</w:t>
      </w:r>
    </w:p>
    <w:p w:rsidRPr="002A7C4B" w:rsidR="002A7C4B" w:rsidRDefault="00DE6354" w14:paraId="4F4EED98" w14:textId="00B2F1D0">
      <w:pPr>
        <w:pStyle w:val="BlockQuoteH033"/>
        <w:numPr>
          <w:ilvl w:val="0"/>
          <w:numId w:val="21"/>
        </w:numPr>
      </w:pPr>
      <w:r w:rsidRPr="001255BA">
        <w:t>50</w:t>
      </w:r>
      <w:r w:rsidR="00513B3F">
        <w:t> </w:t>
      </w:r>
      <w:r w:rsidR="00F62B39">
        <w:t>Percent</w:t>
      </w:r>
      <w:r w:rsidRPr="001255BA">
        <w:t xml:space="preserve"> </w:t>
      </w:r>
      <w:r>
        <w:t>D</w:t>
      </w:r>
      <w:r w:rsidRPr="001255BA">
        <w:t xml:space="preserve">iscount </w:t>
      </w:r>
      <w:r>
        <w:t>O</w:t>
      </w:r>
      <w:r w:rsidRPr="001255BA">
        <w:t>ption</w:t>
      </w:r>
      <w:r w:rsidRPr="00337174" w:rsidR="00A513E3">
        <w:t>:</w:t>
      </w:r>
      <w:r w:rsidRPr="00337174" w:rsidR="003D0BD0">
        <w:t xml:space="preserve"> </w:t>
      </w:r>
      <w:r w:rsidRPr="00337174" w:rsidR="00A513E3">
        <w:t xml:space="preserve"> A</w:t>
      </w:r>
      <w:r w:rsidRPr="008B77AC" w:rsidR="00A513E3">
        <w:t xml:space="preserve">ll discounts set forth in </w:t>
      </w:r>
      <w:r w:rsidR="00AD6B06">
        <w:t>utilities</w:t>
      </w:r>
      <w:r w:rsidR="002560B8">
        <w:t xml:space="preserve">’ </w:t>
      </w:r>
      <w:r w:rsidR="00FF29AE">
        <w:t>Gas</w:t>
      </w:r>
      <w:r w:rsidR="00513B3F">
        <w:t> </w:t>
      </w:r>
      <w:r w:rsidR="00FF29AE">
        <w:t>Rule</w:t>
      </w:r>
      <w:r w:rsidR="00661D62">
        <w:t xml:space="preserve"> </w:t>
      </w:r>
      <w:r w:rsidR="00F77F9F">
        <w:t>No</w:t>
      </w:r>
      <w:r w:rsidR="009A6A60">
        <w:t>s</w:t>
      </w:r>
      <w:r w:rsidR="00F77F9F">
        <w:t>.</w:t>
      </w:r>
      <w:r w:rsidR="00661D62">
        <w:t> </w:t>
      </w:r>
      <w:r w:rsidRPr="008B77AC" w:rsidR="00A513E3">
        <w:t>15</w:t>
      </w:r>
      <w:r w:rsidR="009A6A60">
        <w:t xml:space="preserve"> and 16</w:t>
      </w:r>
      <w:r w:rsidRPr="008B77AC" w:rsidR="00A513E3">
        <w:t xml:space="preserve"> (for </w:t>
      </w:r>
      <w:r w:rsidR="001E4F71">
        <w:t xml:space="preserve">the three </w:t>
      </w:r>
      <w:r w:rsidR="00ED4CF4">
        <w:t xml:space="preserve">gas </w:t>
      </w:r>
      <w:r w:rsidR="007149FF">
        <w:t>utilities</w:t>
      </w:r>
      <w:r w:rsidRPr="008B77AC" w:rsidR="00A513E3">
        <w:t xml:space="preserve">) and </w:t>
      </w:r>
      <w:r w:rsidR="00FF29AE">
        <w:t>Gas Rule</w:t>
      </w:r>
      <w:r w:rsidR="00661D62">
        <w:t xml:space="preserve"> </w:t>
      </w:r>
      <w:r w:rsidR="00F77F9F">
        <w:t>No</w:t>
      </w:r>
      <w:r w:rsidR="009A6A60">
        <w:t>s</w:t>
      </w:r>
      <w:r w:rsidR="00F77F9F">
        <w:t>.</w:t>
      </w:r>
      <w:r w:rsidR="00661D62">
        <w:t> </w:t>
      </w:r>
      <w:r w:rsidRPr="008B77AC" w:rsidR="00A513E3">
        <w:t>20</w:t>
      </w:r>
      <w:r w:rsidR="009A6A60">
        <w:t xml:space="preserve"> and 21</w:t>
      </w:r>
      <w:r w:rsidRPr="008B77AC" w:rsidR="00A513E3">
        <w:t xml:space="preserve"> (for </w:t>
      </w:r>
      <w:r w:rsidR="00E50328">
        <w:t>SoCalGas</w:t>
      </w:r>
      <w:r w:rsidRPr="008B77AC" w:rsidR="00A513E3">
        <w:t xml:space="preserve">) </w:t>
      </w:r>
      <w:r w:rsidR="00651684">
        <w:t xml:space="preserve">shall be </w:t>
      </w:r>
      <w:r w:rsidR="003A3638">
        <w:t xml:space="preserve">removed </w:t>
      </w:r>
      <w:r w:rsidR="00A513E3">
        <w:t xml:space="preserve">effective </w:t>
      </w:r>
      <w:r w:rsidR="00651684">
        <w:t xml:space="preserve">on </w:t>
      </w:r>
      <w:r w:rsidR="00F62B39">
        <w:t>July</w:t>
      </w:r>
      <w:r w:rsidR="00513B3F">
        <w:t> </w:t>
      </w:r>
      <w:r w:rsidR="00F62B39">
        <w:t>1</w:t>
      </w:r>
      <w:r w:rsidR="00BC186E">
        <w:t>,</w:t>
      </w:r>
      <w:r w:rsidR="00126001">
        <w:t> </w:t>
      </w:r>
      <w:r w:rsidR="00BC186E">
        <w:t>2023</w:t>
      </w:r>
      <w:r w:rsidR="00651684">
        <w:t xml:space="preserve">, </w:t>
      </w:r>
      <w:r w:rsidR="00ED18CB">
        <w:t xml:space="preserve">subject to the application process </w:t>
      </w:r>
      <w:r w:rsidR="00BC186E">
        <w:t xml:space="preserve">described in </w:t>
      </w:r>
      <w:r w:rsidR="00126001">
        <w:t>OP </w:t>
      </w:r>
      <w:r w:rsidR="00BC186E">
        <w:t>2 of this decision</w:t>
      </w:r>
      <w:r w:rsidR="00ED18CB">
        <w:t>.</w:t>
      </w:r>
    </w:p>
    <w:p w:rsidRPr="004307DC" w:rsidR="00FC2B46" w:rsidP="008C5535" w:rsidRDefault="00386135" w14:paraId="08421634" w14:textId="1ED60AAD">
      <w:pPr>
        <w:pStyle w:val="OP"/>
      </w:pPr>
      <w:r w:rsidRPr="00386135">
        <w:t xml:space="preserve">Pacific Gas and Electric Company, </w:t>
      </w:r>
      <w:r w:rsidR="000F2D16">
        <w:t>San</w:t>
      </w:r>
      <w:r w:rsidR="00513B3F">
        <w:t> </w:t>
      </w:r>
      <w:r w:rsidRPr="00386135">
        <w:t>Diego Gas</w:t>
      </w:r>
      <w:r w:rsidR="00513B3F">
        <w:t> </w:t>
      </w:r>
      <w:r w:rsidR="007E61A2">
        <w:t xml:space="preserve">&amp; </w:t>
      </w:r>
      <w:r w:rsidRPr="00386135">
        <w:t>Electric Company, Southern California Gas Company</w:t>
      </w:r>
      <w:r>
        <w:t xml:space="preserve"> and </w:t>
      </w:r>
      <w:r w:rsidRPr="00386135">
        <w:t xml:space="preserve">Southwest Gas </w:t>
      </w:r>
      <w:r w:rsidR="001261B8">
        <w:t>Corporation</w:t>
      </w:r>
      <w:r w:rsidR="0021224B">
        <w:t xml:space="preserve"> </w:t>
      </w:r>
      <w:r w:rsidR="00C25418">
        <w:t>(collectively</w:t>
      </w:r>
      <w:r w:rsidR="00ED4CF4">
        <w:t>,</w:t>
      </w:r>
      <w:r w:rsidR="00C25418">
        <w:t xml:space="preserve"> the gas </w:t>
      </w:r>
      <w:r w:rsidR="00396CE5">
        <w:t>utilitie</w:t>
      </w:r>
      <w:r w:rsidR="00C25418">
        <w:t xml:space="preserve">s) </w:t>
      </w:r>
      <w:r w:rsidR="0021224B">
        <w:t xml:space="preserve">may request approval </w:t>
      </w:r>
      <w:r w:rsidR="00154071">
        <w:t xml:space="preserve">from the </w:t>
      </w:r>
      <w:r w:rsidRPr="006B623F" w:rsidR="00154071">
        <w:rPr>
          <w:rFonts w:cstheme="minorBidi"/>
          <w:szCs w:val="22"/>
        </w:rPr>
        <w:t xml:space="preserve">California Public Utilities Commission </w:t>
      </w:r>
      <w:r w:rsidR="00154071">
        <w:t>(</w:t>
      </w:r>
      <w:r w:rsidRPr="006B623F" w:rsidR="00154071">
        <w:t>Commission</w:t>
      </w:r>
      <w:r w:rsidR="00154071">
        <w:t xml:space="preserve">) </w:t>
      </w:r>
      <w:r w:rsidR="00EF5A71">
        <w:t xml:space="preserve">by </w:t>
      </w:r>
      <w:r w:rsidR="001F5943">
        <w:t xml:space="preserve">an annual </w:t>
      </w:r>
      <w:r w:rsidR="00EF5A71">
        <w:t xml:space="preserve">application </w:t>
      </w:r>
      <w:r w:rsidR="003C0A64">
        <w:t xml:space="preserve">for a </w:t>
      </w:r>
      <w:r w:rsidRPr="00AB584B" w:rsidR="003C0A64">
        <w:t xml:space="preserve">gas line extension allowance, </w:t>
      </w:r>
      <w:r w:rsidR="00AA0AFE">
        <w:t>a</w:t>
      </w:r>
      <w:r w:rsidRPr="00AB584B" w:rsidR="00AA0AFE">
        <w:t xml:space="preserve"> </w:t>
      </w:r>
      <w:r w:rsidRPr="00AB584B" w:rsidR="003C0A64">
        <w:t>10</w:t>
      </w:r>
      <w:r w:rsidR="00154071">
        <w:noBreakHyphen/>
      </w:r>
      <w:r w:rsidRPr="00AB584B" w:rsidR="003C0A64">
        <w:t xml:space="preserve">year refundable payment option, </w:t>
      </w:r>
      <w:r w:rsidR="003C0A64">
        <w:t>or</w:t>
      </w:r>
      <w:r w:rsidRPr="00AB584B" w:rsidR="003C0A64">
        <w:t xml:space="preserve"> </w:t>
      </w:r>
      <w:r w:rsidR="00AA0AFE">
        <w:t>a</w:t>
      </w:r>
      <w:r w:rsidRPr="00AB584B" w:rsidR="00AA0AFE">
        <w:t xml:space="preserve"> </w:t>
      </w:r>
      <w:r w:rsidRPr="00AB584B" w:rsidR="003C0A64">
        <w:t>50</w:t>
      </w:r>
      <w:r w:rsidR="00513B3F">
        <w:t> </w:t>
      </w:r>
      <w:r w:rsidR="003E72B0">
        <w:t>percent</w:t>
      </w:r>
      <w:r w:rsidRPr="00AB584B" w:rsidR="003C0A64">
        <w:t xml:space="preserve"> discount payment option</w:t>
      </w:r>
      <w:r w:rsidR="003C0A64">
        <w:t xml:space="preserve"> </w:t>
      </w:r>
      <w:r w:rsidR="003F22AF">
        <w:t>(gas line subsid</w:t>
      </w:r>
      <w:r w:rsidR="0072271A">
        <w:t>y</w:t>
      </w:r>
      <w:r w:rsidR="003F22AF">
        <w:t xml:space="preserve">) </w:t>
      </w:r>
      <w:r w:rsidR="00FC2B46">
        <w:t>for specific, unique non</w:t>
      </w:r>
      <w:r w:rsidR="00513B3F">
        <w:noBreakHyphen/>
      </w:r>
      <w:r w:rsidR="00FC2B46">
        <w:t>residential projects</w:t>
      </w:r>
      <w:r w:rsidR="007C56BD">
        <w:t xml:space="preserve"> meeting </w:t>
      </w:r>
      <w:r w:rsidR="00FC2B46">
        <w:t>the criteria established in this decision</w:t>
      </w:r>
      <w:r w:rsidR="00C3328B">
        <w:t xml:space="preserve">. </w:t>
      </w:r>
      <w:r w:rsidR="0098351E">
        <w:t>For those</w:t>
      </w:r>
      <w:r w:rsidR="00C3328B">
        <w:t xml:space="preserve"> eligible </w:t>
      </w:r>
      <w:r w:rsidR="0098351E">
        <w:t>projects</w:t>
      </w:r>
      <w:r w:rsidR="003052EA">
        <w:t xml:space="preserve">, </w:t>
      </w:r>
      <w:r w:rsidR="00C3328B">
        <w:t xml:space="preserve">the gas </w:t>
      </w:r>
      <w:r w:rsidR="0098351E">
        <w:t xml:space="preserve">utility </w:t>
      </w:r>
      <w:r w:rsidR="00C3328B">
        <w:t>shall</w:t>
      </w:r>
      <w:r w:rsidR="003052EA">
        <w:t xml:space="preserve"> </w:t>
      </w:r>
      <w:r w:rsidR="00FC2B46">
        <w:t xml:space="preserve">file </w:t>
      </w:r>
      <w:r w:rsidR="0091454A">
        <w:t>an</w:t>
      </w:r>
      <w:r w:rsidR="00FC2B46">
        <w:t xml:space="preserve"> application</w:t>
      </w:r>
      <w:r w:rsidRPr="00395A6C" w:rsidR="00395A6C">
        <w:t xml:space="preserve"> </w:t>
      </w:r>
      <w:r w:rsidR="00395A6C">
        <w:t>with the Commission</w:t>
      </w:r>
      <w:r w:rsidR="0098351E">
        <w:t xml:space="preserve">, on behalf of the </w:t>
      </w:r>
      <w:r w:rsidR="0098351E">
        <w:lastRenderedPageBreak/>
        <w:t xml:space="preserve">applicant(s), </w:t>
      </w:r>
      <w:r w:rsidR="00FC2B46">
        <w:t>for approval of a gas line subsidy</w:t>
      </w:r>
      <w:r w:rsidR="00AB584B">
        <w:t xml:space="preserve">, </w:t>
      </w:r>
      <w:r w:rsidR="0064775F">
        <w:t xml:space="preserve">by </w:t>
      </w:r>
      <w:r w:rsidR="00F62B39">
        <w:t>July</w:t>
      </w:r>
      <w:r w:rsidR="00513B3F">
        <w:t> </w:t>
      </w:r>
      <w:r w:rsidR="00F62B39">
        <w:t>1</w:t>
      </w:r>
      <w:r w:rsidR="0064775F">
        <w:t xml:space="preserve"> of each year</w:t>
      </w:r>
      <w:r w:rsidR="00A56E9B">
        <w:t xml:space="preserve"> starting </w:t>
      </w:r>
      <w:r w:rsidR="00F0227F">
        <w:t>in 2023</w:t>
      </w:r>
      <w:r w:rsidR="00FC2B46">
        <w:t xml:space="preserve">. </w:t>
      </w:r>
      <w:r w:rsidRPr="004307DC" w:rsidR="008C5535">
        <w:t xml:space="preserve">In its annual filing, each </w:t>
      </w:r>
      <w:r w:rsidRPr="004307DC" w:rsidR="00F3300D">
        <w:t xml:space="preserve">investor-owned </w:t>
      </w:r>
      <w:r w:rsidR="00AB59F1">
        <w:t xml:space="preserve">gas </w:t>
      </w:r>
      <w:r w:rsidRPr="004307DC" w:rsidR="00F3300D">
        <w:t xml:space="preserve">utility </w:t>
      </w:r>
      <w:r w:rsidRPr="004307DC" w:rsidR="008C5535">
        <w:t xml:space="preserve">shall include an update to the non-residential gas line extension allowance calculations based on the current methodology (including all inputs used, </w:t>
      </w:r>
      <w:r w:rsidRPr="004307DC" w:rsidR="008C5535">
        <w:rPr>
          <w:i/>
          <w:iCs/>
        </w:rPr>
        <w:t>e.g.</w:t>
      </w:r>
      <w:r w:rsidRPr="004307DC" w:rsidR="008C5535">
        <w:t>, cost of service factor</w:t>
      </w:r>
      <w:r w:rsidRPr="00041C68" w:rsidR="008C5535">
        <w:t>).</w:t>
      </w:r>
      <w:r w:rsidRPr="00041C68" w:rsidR="003D0BD0">
        <w:t xml:space="preserve"> </w:t>
      </w:r>
      <w:r w:rsidRPr="00041C68" w:rsidR="001906F1">
        <w:t>T</w:t>
      </w:r>
      <w:r w:rsidRPr="004307DC" w:rsidR="001906F1">
        <w:t>he criteria are</w:t>
      </w:r>
      <w:r w:rsidRPr="004307DC" w:rsidR="00A77AE0">
        <w:t>:</w:t>
      </w:r>
    </w:p>
    <w:p w:rsidR="00CA721E" w:rsidRDefault="00CA721E" w14:paraId="57B7F5FC" w14:textId="4CF4B3BC">
      <w:pPr>
        <w:pStyle w:val="BlockQuoteH033"/>
        <w:numPr>
          <w:ilvl w:val="0"/>
          <w:numId w:val="22"/>
        </w:numPr>
      </w:pPr>
      <w:r>
        <w:t>T</w:t>
      </w:r>
      <w:r w:rsidRPr="00F82050">
        <w:t xml:space="preserve">he </w:t>
      </w:r>
      <w:r>
        <w:t>project</w:t>
      </w:r>
      <w:r w:rsidRPr="00C1052C">
        <w:t xml:space="preserve"> </w:t>
      </w:r>
      <w:r>
        <w:t xml:space="preserve">shows a </w:t>
      </w:r>
      <w:r w:rsidRPr="00C2680F">
        <w:t xml:space="preserve">demonstrable reduction in </w:t>
      </w:r>
      <w:r w:rsidR="00154071">
        <w:t>greenhouse gas</w:t>
      </w:r>
      <w:r w:rsidRPr="00C2680F">
        <w:t xml:space="preserve"> emissions</w:t>
      </w:r>
      <w:r w:rsidR="00E60BC6">
        <w:t>;</w:t>
      </w:r>
    </w:p>
    <w:p w:rsidR="00CA721E" w:rsidRDefault="00CA721E" w14:paraId="4764B59D" w14:textId="68EB5BDC">
      <w:pPr>
        <w:pStyle w:val="BlockQuoteH033"/>
        <w:numPr>
          <w:ilvl w:val="0"/>
          <w:numId w:val="22"/>
        </w:numPr>
      </w:pPr>
      <w:r>
        <w:t>T</w:t>
      </w:r>
      <w:r w:rsidRPr="00F82050">
        <w:t xml:space="preserve">he </w:t>
      </w:r>
      <w:r>
        <w:t xml:space="preserve">project’s gas line </w:t>
      </w:r>
      <w:r w:rsidRPr="00F82050">
        <w:t xml:space="preserve">extension is consistent with </w:t>
      </w:r>
      <w:r>
        <w:t>California’s</w:t>
      </w:r>
      <w:r w:rsidRPr="00F82050">
        <w:t xml:space="preserve"> climate goals</w:t>
      </w:r>
      <w:r>
        <w:t>, including those articulated in S</w:t>
      </w:r>
      <w:r w:rsidR="00154071">
        <w:t xml:space="preserve">enate </w:t>
      </w:r>
      <w:r>
        <w:t>B</w:t>
      </w:r>
      <w:r w:rsidR="00154071">
        <w:t>ill </w:t>
      </w:r>
      <w:r>
        <w:t>32 (Pavley, 2016)</w:t>
      </w:r>
      <w:r w:rsidR="00E60BC6">
        <w:t>; and</w:t>
      </w:r>
    </w:p>
    <w:p w:rsidR="00F0227F" w:rsidP="00A42B02" w:rsidRDefault="00CA721E" w14:paraId="3CB6CC66" w14:textId="5A3A157A">
      <w:pPr>
        <w:pStyle w:val="BlockQuoteH033"/>
        <w:numPr>
          <w:ilvl w:val="0"/>
          <w:numId w:val="22"/>
        </w:numPr>
      </w:pPr>
      <w:r>
        <w:t>T</w:t>
      </w:r>
      <w:r w:rsidRPr="00F82050">
        <w:t xml:space="preserve">he </w:t>
      </w:r>
      <w:r>
        <w:t>project demonstrates that it has</w:t>
      </w:r>
      <w:r w:rsidRPr="00F82050">
        <w:t xml:space="preserve"> no feasible alternatives to the </w:t>
      </w:r>
      <w:r>
        <w:t xml:space="preserve">use of natural gas, including electrification. </w:t>
      </w:r>
    </w:p>
    <w:p w:rsidR="00F67752" w:rsidP="005F5819" w:rsidRDefault="00E56F5E" w14:paraId="3773DC25" w14:textId="1DA87729">
      <w:pPr>
        <w:pStyle w:val="OP"/>
      </w:pPr>
      <w:r>
        <w:t>For those specific, unique non</w:t>
      </w:r>
      <w:r w:rsidR="00513B3F">
        <w:noBreakHyphen/>
      </w:r>
      <w:r>
        <w:t xml:space="preserve">residential projects where </w:t>
      </w:r>
      <w:r w:rsidR="00C159A1">
        <w:t xml:space="preserve">a </w:t>
      </w:r>
      <w:r w:rsidRPr="001255BA" w:rsidR="002C05FC">
        <w:t xml:space="preserve">gas line extension allowance, the </w:t>
      </w:r>
      <w:r w:rsidR="00154071">
        <w:t>10</w:t>
      </w:r>
      <w:r w:rsidR="00154071">
        <w:noBreakHyphen/>
        <w:t>year</w:t>
      </w:r>
      <w:r w:rsidRPr="001255BA" w:rsidR="002C05FC">
        <w:t xml:space="preserve"> refundable payment option, and the 50</w:t>
      </w:r>
      <w:r w:rsidR="00513B3F">
        <w:t> </w:t>
      </w:r>
      <w:r w:rsidR="003E72B0">
        <w:t>percent</w:t>
      </w:r>
      <w:r w:rsidRPr="001255BA" w:rsidR="002C05FC">
        <w:t xml:space="preserve"> discount payment option</w:t>
      </w:r>
      <w:r w:rsidR="002C05FC">
        <w:t xml:space="preserve"> </w:t>
      </w:r>
      <w:r>
        <w:t>may still be warranted, t</w:t>
      </w:r>
      <w:r w:rsidR="00B75110">
        <w:t>he gas utilities</w:t>
      </w:r>
      <w:r w:rsidRPr="00B75110" w:rsidR="00B75110">
        <w:t xml:space="preserve">, on behalf of the project applicants, </w:t>
      </w:r>
      <w:r w:rsidR="004A478E">
        <w:t>shall</w:t>
      </w:r>
      <w:r w:rsidRPr="00B75110" w:rsidR="00B75110">
        <w:t xml:space="preserve"> demonstrate the factual basis for the project applicants’ assertions, and </w:t>
      </w:r>
      <w:r w:rsidR="00F4324B">
        <w:t>confirm</w:t>
      </w:r>
      <w:r w:rsidR="004F4919">
        <w:t xml:space="preserve"> </w:t>
      </w:r>
      <w:r w:rsidRPr="00B75110" w:rsidR="00B75110">
        <w:t>that the minimum requirements have been met</w:t>
      </w:r>
      <w:r w:rsidR="006C2DEA">
        <w:t xml:space="preserve"> </w:t>
      </w:r>
      <w:r w:rsidRPr="004F4919" w:rsidR="004F4919">
        <w:t xml:space="preserve">based on </w:t>
      </w:r>
      <w:r w:rsidR="004F4919">
        <w:t>the information</w:t>
      </w:r>
      <w:r w:rsidRPr="004F4919" w:rsidR="004F4919">
        <w:t xml:space="preserve"> provided by applicants</w:t>
      </w:r>
      <w:r w:rsidRPr="00B75110" w:rsidR="004F4919">
        <w:t xml:space="preserve"> </w:t>
      </w:r>
      <w:r w:rsidR="006C2DEA">
        <w:t xml:space="preserve">before </w:t>
      </w:r>
      <w:r w:rsidR="00C159A1">
        <w:t xml:space="preserve">filing the annual application with the </w:t>
      </w:r>
      <w:r w:rsidR="00154071">
        <w:t>California Public Utilities Commission</w:t>
      </w:r>
      <w:r w:rsidR="00C76850">
        <w:t xml:space="preserve">. </w:t>
      </w:r>
    </w:p>
    <w:p w:rsidR="004308E6" w:rsidP="00E76301" w:rsidRDefault="004308E6" w14:paraId="188E19FC" w14:textId="71B325E4">
      <w:pPr>
        <w:pStyle w:val="OP"/>
      </w:pPr>
      <w:r>
        <w:t>Within 30 days of the date of this order</w:t>
      </w:r>
      <w:r w:rsidR="00152083">
        <w:t>,</w:t>
      </w:r>
      <w:r>
        <w:t xml:space="preserve"> P</w:t>
      </w:r>
      <w:r w:rsidR="00A4422B">
        <w:t xml:space="preserve">acific Gas and Electric Company, Southern California Gas Company, </w:t>
      </w:r>
      <w:r w:rsidR="000F2D16">
        <w:t>San</w:t>
      </w:r>
      <w:r w:rsidR="00513B3F">
        <w:t> </w:t>
      </w:r>
      <w:r w:rsidR="00136A39">
        <w:t>Diego Gas</w:t>
      </w:r>
      <w:r w:rsidR="007E61A2">
        <w:t xml:space="preserve"> &amp; </w:t>
      </w:r>
      <w:r w:rsidR="00136A39">
        <w:t xml:space="preserve">Electric Company, and Southwest Gas </w:t>
      </w:r>
      <w:r w:rsidR="001261B8">
        <w:t xml:space="preserve">Corporation </w:t>
      </w:r>
      <w:r>
        <w:t xml:space="preserve">shall each </w:t>
      </w:r>
      <w:r w:rsidR="00BD01C4">
        <w:t xml:space="preserve">submit </w:t>
      </w:r>
      <w:r w:rsidR="00735AE2">
        <w:t xml:space="preserve">a </w:t>
      </w:r>
      <w:r w:rsidR="00B27518">
        <w:t>Tier</w:t>
      </w:r>
      <w:r w:rsidR="00513B3F">
        <w:t> </w:t>
      </w:r>
      <w:r w:rsidR="00B27518">
        <w:t>2</w:t>
      </w:r>
      <w:r w:rsidR="00BD01C4">
        <w:t xml:space="preserve"> Advice Letter </w:t>
      </w:r>
      <w:r w:rsidR="00622A69">
        <w:t xml:space="preserve">to </w:t>
      </w:r>
      <w:r>
        <w:t>revise</w:t>
      </w:r>
      <w:r w:rsidR="00E96EE9">
        <w:t xml:space="preserve"> tariffs for</w:t>
      </w:r>
      <w:r>
        <w:t xml:space="preserve"> </w:t>
      </w:r>
      <w:r w:rsidR="00854BF4">
        <w:t>their</w:t>
      </w:r>
      <w:r>
        <w:t xml:space="preserve"> </w:t>
      </w:r>
      <w:r w:rsidR="00DF57E0">
        <w:t xml:space="preserve">respective </w:t>
      </w:r>
      <w:r>
        <w:t xml:space="preserve">gas line extension </w:t>
      </w:r>
      <w:r w:rsidR="00DF57E0">
        <w:t xml:space="preserve">rules </w:t>
      </w:r>
      <w:r>
        <w:t>that eliminate gas line extension subsides in conformance with this decision</w:t>
      </w:r>
      <w:r w:rsidR="00A61C60">
        <w:t>.</w:t>
      </w:r>
      <w:r>
        <w:t xml:space="preserve"> </w:t>
      </w:r>
      <w:r w:rsidR="00ED2DB8">
        <w:t xml:space="preserve">The revised tariffs shall </w:t>
      </w:r>
      <w:r w:rsidRPr="002663CF" w:rsidR="00ED2DB8">
        <w:t xml:space="preserve">include </w:t>
      </w:r>
      <w:r w:rsidR="00ED2DB8">
        <w:t xml:space="preserve">the </w:t>
      </w:r>
      <w:r w:rsidRPr="002663CF" w:rsidR="00ED2DB8">
        <w:t xml:space="preserve">application process </w:t>
      </w:r>
      <w:r w:rsidR="00451C51">
        <w:t xml:space="preserve">adopted </w:t>
      </w:r>
      <w:r w:rsidR="00ED2DB8">
        <w:t xml:space="preserve">in this decision allowing </w:t>
      </w:r>
      <w:r w:rsidRPr="002663CF" w:rsidR="00ED2DB8">
        <w:t>limited projects meet</w:t>
      </w:r>
      <w:r w:rsidR="00ED2DB8">
        <w:t>ing</w:t>
      </w:r>
      <w:r w:rsidRPr="002663CF" w:rsidR="00ED2DB8">
        <w:t xml:space="preserve"> </w:t>
      </w:r>
      <w:r w:rsidR="00ED2DB8">
        <w:t xml:space="preserve">the </w:t>
      </w:r>
      <w:r w:rsidRPr="002663CF" w:rsidR="00ED2DB8">
        <w:t xml:space="preserve">specific </w:t>
      </w:r>
      <w:r w:rsidR="00ED2DB8">
        <w:t xml:space="preserve">eligibility criteria set out in this decision to seek gas line extension allowances, </w:t>
      </w:r>
      <w:r w:rsidR="00161B52">
        <w:t xml:space="preserve">10-year </w:t>
      </w:r>
      <w:r w:rsidR="00ED2DB8">
        <w:t xml:space="preserve">refunds, </w:t>
      </w:r>
      <w:r w:rsidR="003C174E">
        <w:t xml:space="preserve">or </w:t>
      </w:r>
      <w:r w:rsidR="00652BF5">
        <w:t>50</w:t>
      </w:r>
      <w:r w:rsidR="008D6A5F">
        <w:t> </w:t>
      </w:r>
      <w:r w:rsidR="00161B52">
        <w:t xml:space="preserve">percent </w:t>
      </w:r>
      <w:r w:rsidR="00ED2DB8">
        <w:t xml:space="preserve">discounts </w:t>
      </w:r>
      <w:r w:rsidR="003C174E">
        <w:t>payment option</w:t>
      </w:r>
      <w:r w:rsidR="00ED2DB8">
        <w:t>.</w:t>
      </w:r>
      <w:r>
        <w:t xml:space="preserve"> </w:t>
      </w:r>
    </w:p>
    <w:p w:rsidRPr="00B70982" w:rsidR="00E4530B" w:rsidP="00E76301" w:rsidRDefault="00E4530B" w14:paraId="6848CA9C" w14:textId="5D1376B1">
      <w:pPr>
        <w:pStyle w:val="OP"/>
      </w:pPr>
      <w:r w:rsidRPr="00B70982">
        <w:lastRenderedPageBreak/>
        <w:t>Rulemaking 19</w:t>
      </w:r>
      <w:r w:rsidR="00513B3F">
        <w:noBreakHyphen/>
      </w:r>
      <w:r w:rsidRPr="00B70982">
        <w:t>01</w:t>
      </w:r>
      <w:r w:rsidR="00513B3F">
        <w:noBreakHyphen/>
      </w:r>
      <w:r w:rsidRPr="00B70982">
        <w:t>011 remains open.</w:t>
      </w:r>
    </w:p>
    <w:p w:rsidR="00E4530B" w:rsidP="00E76301" w:rsidRDefault="00E4530B" w14:paraId="4B91AA72" w14:textId="77777777">
      <w:pPr>
        <w:pStyle w:val="standard0"/>
      </w:pPr>
      <w:r>
        <w:t xml:space="preserve">This order is </w:t>
      </w:r>
      <w:r w:rsidRPr="00E76301">
        <w:t>effective</w:t>
      </w:r>
      <w:r>
        <w:t xml:space="preserve"> today.</w:t>
      </w:r>
    </w:p>
    <w:p w:rsidR="00E4530B" w:rsidP="00FD20BE" w:rsidRDefault="00E4530B" w14:paraId="2E44C735" w14:textId="62F0267A">
      <w:pPr>
        <w:pStyle w:val="standard0"/>
      </w:pPr>
      <w:r>
        <w:t>Dated _________</w:t>
      </w:r>
      <w:r w:rsidR="00B55E6D">
        <w:t>___________</w:t>
      </w:r>
      <w:r>
        <w:t xml:space="preserve">, at </w:t>
      </w:r>
      <w:r w:rsidR="0016751B">
        <w:t>Clovis</w:t>
      </w:r>
      <w:r>
        <w:t>, California.</w:t>
      </w:r>
    </w:p>
    <w:p w:rsidR="0087454D" w:rsidP="00FD20BE" w:rsidRDefault="0087454D" w14:paraId="37923A50" w14:textId="7FD3F0B1">
      <w:pPr>
        <w:pStyle w:val="standard0"/>
      </w:pPr>
    </w:p>
    <w:p w:rsidR="00B7103B" w:rsidP="00FD20BE" w:rsidRDefault="00B7103B" w14:paraId="7BA3136A" w14:textId="77777777">
      <w:pPr>
        <w:pStyle w:val="standard0"/>
        <w:sectPr w:rsidR="00B7103B" w:rsidSect="00F75780">
          <w:footerReference w:type="default" r:id="rId19"/>
          <w:pgSz w:w="12240" w:h="15840"/>
          <w:pgMar w:top="1728" w:right="1440" w:bottom="1440" w:left="1440" w:header="720" w:footer="720" w:gutter="0"/>
          <w:pgNumType w:start="2"/>
          <w:cols w:space="720"/>
          <w:docGrid w:linePitch="360"/>
        </w:sectPr>
      </w:pPr>
    </w:p>
    <w:p w:rsidR="00B7103B" w:rsidP="00B7103B" w:rsidRDefault="00B7103B" w14:paraId="46E98F98" w14:textId="77777777">
      <w:pPr>
        <w:spacing w:line="360" w:lineRule="auto"/>
      </w:pPr>
    </w:p>
    <w:p w:rsidR="00B7103B" w:rsidP="00B7103B" w:rsidRDefault="00B7103B" w14:paraId="09368C92" w14:textId="77777777">
      <w:pPr>
        <w:spacing w:line="360" w:lineRule="auto"/>
      </w:pPr>
    </w:p>
    <w:p w:rsidR="00B7103B" w:rsidP="00B7103B" w:rsidRDefault="00B7103B" w14:paraId="0CBB620F" w14:textId="77777777">
      <w:pPr>
        <w:spacing w:line="360" w:lineRule="auto"/>
      </w:pPr>
    </w:p>
    <w:p w:rsidR="00B7103B" w:rsidP="00B7103B" w:rsidRDefault="00B7103B" w14:paraId="0BAD8297" w14:textId="77777777">
      <w:pPr>
        <w:spacing w:line="360" w:lineRule="auto"/>
      </w:pPr>
    </w:p>
    <w:p w:rsidR="00B7103B" w:rsidP="00B7103B" w:rsidRDefault="00B7103B" w14:paraId="1A77839E" w14:textId="77777777">
      <w:pPr>
        <w:spacing w:line="360" w:lineRule="auto"/>
      </w:pPr>
    </w:p>
    <w:p w:rsidR="00B7103B" w:rsidP="00B7103B" w:rsidRDefault="00B7103B" w14:paraId="7601170B" w14:textId="77777777">
      <w:pPr>
        <w:spacing w:line="360" w:lineRule="auto"/>
      </w:pPr>
    </w:p>
    <w:p w:rsidR="00B7103B" w:rsidP="00B7103B" w:rsidRDefault="00B7103B" w14:paraId="22DDE840" w14:textId="77777777">
      <w:pPr>
        <w:spacing w:line="360" w:lineRule="auto"/>
      </w:pPr>
    </w:p>
    <w:p w:rsidRPr="00B7103B" w:rsidR="00B7103B" w:rsidP="00B7103B" w:rsidRDefault="00B7103B" w14:paraId="72582483" w14:textId="77777777">
      <w:pPr>
        <w:jc w:val="center"/>
        <w:rPr>
          <w:b/>
          <w:bCs/>
          <w:sz w:val="50"/>
          <w:szCs w:val="56"/>
        </w:rPr>
      </w:pPr>
      <w:r w:rsidRPr="00B7103B">
        <w:rPr>
          <w:b/>
          <w:bCs/>
          <w:sz w:val="50"/>
          <w:szCs w:val="56"/>
        </w:rPr>
        <w:t>APPENDIX A</w:t>
      </w:r>
    </w:p>
    <w:p w:rsidR="00B7103B" w:rsidP="00B7103B" w:rsidRDefault="00B7103B" w14:paraId="3A7D9F2A" w14:textId="77777777">
      <w:pPr>
        <w:jc w:val="center"/>
        <w:rPr>
          <w:rFonts w:cs="Arial"/>
          <w:b/>
          <w:bCs/>
          <w:sz w:val="40"/>
          <w:szCs w:val="40"/>
        </w:rPr>
      </w:pPr>
      <w:r w:rsidRPr="00DC3C68">
        <w:rPr>
          <w:rFonts w:cs="Arial"/>
          <w:b/>
          <w:bCs/>
          <w:sz w:val="40"/>
          <w:szCs w:val="40"/>
        </w:rPr>
        <w:t>Abbreviations, Acronyms, and Definitions</w:t>
      </w:r>
    </w:p>
    <w:p w:rsidR="00B7103B" w:rsidP="00B7103B" w:rsidRDefault="00B7103B" w14:paraId="004FE58E" w14:textId="77777777">
      <w:pPr>
        <w:jc w:val="center"/>
        <w:rPr>
          <w:rFonts w:cs="Arial"/>
          <w:b/>
          <w:bCs/>
          <w:sz w:val="40"/>
          <w:szCs w:val="40"/>
        </w:rPr>
      </w:pPr>
    </w:p>
    <w:p w:rsidRPr="00DC3C68" w:rsidR="00B7103B" w:rsidP="00B7103B" w:rsidRDefault="00B7103B" w14:paraId="14261D27" w14:textId="77777777">
      <w:pPr>
        <w:jc w:val="center"/>
        <w:rPr>
          <w:b/>
          <w:bCs/>
          <w:sz w:val="40"/>
          <w:szCs w:val="40"/>
        </w:rPr>
        <w:sectPr w:rsidRPr="00DC3C68" w:rsidR="00B7103B" w:rsidSect="00B7103B">
          <w:footerReference w:type="default" r:id="rId20"/>
          <w:footerReference w:type="first" r:id="rId21"/>
          <w:pgSz w:w="12240" w:h="15840"/>
          <w:pgMar w:top="1728" w:right="1440" w:bottom="1440" w:left="1440" w:header="720" w:footer="720" w:gutter="0"/>
          <w:pgNumType w:start="1"/>
          <w:cols w:space="720"/>
          <w:docGrid w:linePitch="360"/>
        </w:sectPr>
      </w:pPr>
    </w:p>
    <w:p w:rsidR="00B7103B" w:rsidP="00B7103B" w:rsidRDefault="00B7103B" w14:paraId="15392D39" w14:textId="77777777">
      <w:pPr>
        <w:keepNext/>
        <w:spacing w:after="240"/>
        <w:jc w:val="center"/>
        <w:rPr>
          <w:b/>
          <w:bCs/>
          <w:caps/>
        </w:rPr>
      </w:pPr>
      <w:r w:rsidRPr="004943C6">
        <w:rPr>
          <w:b/>
          <w:bCs/>
          <w:caps/>
        </w:rPr>
        <w:lastRenderedPageBreak/>
        <w:t xml:space="preserve">Appendix </w:t>
      </w:r>
      <w:r>
        <w:rPr>
          <w:b/>
          <w:bCs/>
          <w:caps/>
        </w:rPr>
        <w:t>A</w:t>
      </w:r>
    </w:p>
    <w:p w:rsidR="00B7103B" w:rsidP="00B7103B" w:rsidRDefault="00B7103B" w14:paraId="4D88B390" w14:textId="77777777">
      <w:pPr>
        <w:keepNext/>
        <w:spacing w:after="240"/>
        <w:jc w:val="center"/>
        <w:rPr>
          <w:b/>
        </w:rPr>
      </w:pPr>
      <w:r>
        <w:rPr>
          <w:b/>
        </w:rPr>
        <w:t xml:space="preserve">Abbreviations, </w:t>
      </w:r>
      <w:r w:rsidRPr="00515DD9">
        <w:rPr>
          <w:b/>
        </w:rPr>
        <w:t>Acronyms</w:t>
      </w:r>
      <w:r>
        <w:rPr>
          <w:b/>
        </w:rPr>
        <w:t>, and Definitions</w:t>
      </w:r>
      <w:r w:rsidRPr="00723C8C">
        <w:rPr>
          <w:b/>
        </w:rPr>
        <w:t xml:space="preserve"> </w:t>
      </w:r>
    </w:p>
    <w:tbl>
      <w:tblPr>
        <w:tblStyle w:val="TableGrid"/>
        <w:tblW w:w="10447" w:type="dxa"/>
        <w:jc w:val="center"/>
        <w:tblLayout w:type="fixed"/>
        <w:tblCellMar>
          <w:top w:w="58" w:type="dxa"/>
          <w:bottom w:w="58" w:type="dxa"/>
        </w:tblCellMar>
        <w:tblLook w:val="04A0" w:firstRow="1" w:lastRow="0" w:firstColumn="1" w:lastColumn="0" w:noHBand="0" w:noVBand="1"/>
      </w:tblPr>
      <w:tblGrid>
        <w:gridCol w:w="2070"/>
        <w:gridCol w:w="8377"/>
      </w:tblGrid>
      <w:tr w:rsidR="00B7103B" w:rsidTr="00DD339F" w14:paraId="20DA4849" w14:textId="77777777">
        <w:trPr>
          <w:jc w:val="center"/>
        </w:trPr>
        <w:tc>
          <w:tcPr>
            <w:tcW w:w="2070" w:type="dxa"/>
          </w:tcPr>
          <w:p w:rsidRPr="00807761" w:rsidR="00B7103B" w:rsidP="00DD339F" w:rsidRDefault="00B7103B" w14:paraId="105D6EC4" w14:textId="77777777">
            <w:pPr>
              <w:pStyle w:val="ALJBodyText"/>
              <w:tabs>
                <w:tab w:val="left" w:pos="2520"/>
              </w:tabs>
              <w:spacing w:line="240" w:lineRule="auto"/>
              <w:ind w:firstLine="0"/>
              <w:rPr>
                <w:sz w:val="24"/>
                <w:szCs w:val="24"/>
              </w:rPr>
            </w:pPr>
            <w:r w:rsidRPr="00807761">
              <w:rPr>
                <w:sz w:val="24"/>
                <w:szCs w:val="24"/>
              </w:rPr>
              <w:t>A.</w:t>
            </w:r>
          </w:p>
        </w:tc>
        <w:tc>
          <w:tcPr>
            <w:tcW w:w="8377" w:type="dxa"/>
          </w:tcPr>
          <w:p w:rsidRPr="00807761" w:rsidR="00B7103B" w:rsidP="00DD339F" w:rsidRDefault="00B7103B" w14:paraId="6B6F1DE2" w14:textId="77777777">
            <w:pPr>
              <w:pStyle w:val="ALJBodyText"/>
              <w:tabs>
                <w:tab w:val="left" w:pos="2520"/>
              </w:tabs>
              <w:spacing w:line="240" w:lineRule="auto"/>
              <w:ind w:firstLine="0"/>
              <w:rPr>
                <w:sz w:val="24"/>
                <w:szCs w:val="24"/>
              </w:rPr>
            </w:pPr>
            <w:r w:rsidRPr="00807761">
              <w:rPr>
                <w:sz w:val="24"/>
                <w:szCs w:val="24"/>
              </w:rPr>
              <w:t>Application</w:t>
            </w:r>
          </w:p>
        </w:tc>
      </w:tr>
      <w:tr w:rsidR="00B7103B" w:rsidTr="00DD339F" w14:paraId="014CE613" w14:textId="77777777">
        <w:trPr>
          <w:jc w:val="center"/>
        </w:trPr>
        <w:tc>
          <w:tcPr>
            <w:tcW w:w="2070" w:type="dxa"/>
          </w:tcPr>
          <w:p w:rsidRPr="00807761" w:rsidR="00B7103B" w:rsidP="00DD339F" w:rsidRDefault="00B7103B" w14:paraId="7113E29F" w14:textId="77777777">
            <w:pPr>
              <w:pStyle w:val="ALJBodyText"/>
              <w:tabs>
                <w:tab w:val="left" w:pos="2520"/>
              </w:tabs>
              <w:spacing w:line="240" w:lineRule="auto"/>
              <w:ind w:firstLine="0"/>
              <w:rPr>
                <w:sz w:val="24"/>
                <w:szCs w:val="24"/>
              </w:rPr>
            </w:pPr>
            <w:r w:rsidRPr="00807761">
              <w:rPr>
                <w:sz w:val="24"/>
                <w:szCs w:val="24"/>
              </w:rPr>
              <w:t>ALJ</w:t>
            </w:r>
          </w:p>
        </w:tc>
        <w:tc>
          <w:tcPr>
            <w:tcW w:w="8377" w:type="dxa"/>
          </w:tcPr>
          <w:p w:rsidRPr="00807761" w:rsidR="00B7103B" w:rsidP="00DD339F" w:rsidRDefault="00B7103B" w14:paraId="22E9E041" w14:textId="77777777">
            <w:pPr>
              <w:pStyle w:val="ALJBodyText"/>
              <w:tabs>
                <w:tab w:val="left" w:pos="2520"/>
              </w:tabs>
              <w:spacing w:line="240" w:lineRule="auto"/>
              <w:ind w:firstLine="0"/>
              <w:rPr>
                <w:sz w:val="24"/>
                <w:szCs w:val="24"/>
              </w:rPr>
            </w:pPr>
            <w:r w:rsidRPr="00807761">
              <w:rPr>
                <w:sz w:val="24"/>
                <w:szCs w:val="24"/>
              </w:rPr>
              <w:t>Administrative Law Judge</w:t>
            </w:r>
          </w:p>
        </w:tc>
      </w:tr>
      <w:tr w:rsidR="00B7103B" w:rsidTr="00DD339F" w14:paraId="65740D70" w14:textId="77777777">
        <w:trPr>
          <w:jc w:val="center"/>
        </w:trPr>
        <w:tc>
          <w:tcPr>
            <w:tcW w:w="2070" w:type="dxa"/>
          </w:tcPr>
          <w:p w:rsidRPr="00807761" w:rsidR="00B7103B" w:rsidP="00DD339F" w:rsidRDefault="00B7103B" w14:paraId="7E230CD0" w14:textId="77777777">
            <w:pPr>
              <w:pStyle w:val="ALJBodyText"/>
              <w:tabs>
                <w:tab w:val="left" w:pos="2520"/>
              </w:tabs>
              <w:spacing w:line="240" w:lineRule="auto"/>
              <w:ind w:firstLine="0"/>
              <w:rPr>
                <w:sz w:val="24"/>
                <w:szCs w:val="24"/>
              </w:rPr>
            </w:pPr>
            <w:r w:rsidRPr="00807761">
              <w:rPr>
                <w:sz w:val="24"/>
                <w:szCs w:val="24"/>
              </w:rPr>
              <w:t>Allowances</w:t>
            </w:r>
          </w:p>
        </w:tc>
        <w:tc>
          <w:tcPr>
            <w:tcW w:w="8377" w:type="dxa"/>
          </w:tcPr>
          <w:p w:rsidRPr="00807761" w:rsidR="00B7103B" w:rsidP="00DD339F" w:rsidRDefault="00B7103B" w14:paraId="21AF8452" w14:textId="77777777">
            <w:pPr>
              <w:pStyle w:val="ALJBodyText"/>
              <w:tabs>
                <w:tab w:val="left" w:pos="2520"/>
              </w:tabs>
              <w:spacing w:line="240" w:lineRule="auto"/>
              <w:ind w:firstLine="0"/>
              <w:rPr>
                <w:sz w:val="24"/>
                <w:szCs w:val="24"/>
              </w:rPr>
            </w:pPr>
            <w:r w:rsidRPr="00807761">
              <w:rPr>
                <w:sz w:val="24"/>
                <w:szCs w:val="24"/>
              </w:rPr>
              <w:t>Gas line extension allowances</w:t>
            </w:r>
          </w:p>
        </w:tc>
      </w:tr>
      <w:tr w:rsidR="00B7103B" w:rsidTr="00DD339F" w14:paraId="490FDE2B" w14:textId="77777777">
        <w:trPr>
          <w:jc w:val="center"/>
        </w:trPr>
        <w:tc>
          <w:tcPr>
            <w:tcW w:w="2070" w:type="dxa"/>
          </w:tcPr>
          <w:p w:rsidRPr="00807761" w:rsidR="00B7103B" w:rsidP="00DD339F" w:rsidRDefault="00B7103B" w14:paraId="30345EC0" w14:textId="77777777">
            <w:pPr>
              <w:pStyle w:val="ALJBodyText"/>
              <w:tabs>
                <w:tab w:val="left" w:pos="2520"/>
              </w:tabs>
              <w:spacing w:line="240" w:lineRule="auto"/>
              <w:ind w:firstLine="0"/>
              <w:rPr>
                <w:sz w:val="24"/>
                <w:szCs w:val="24"/>
              </w:rPr>
            </w:pPr>
            <w:r w:rsidRPr="00807761">
              <w:rPr>
                <w:sz w:val="24"/>
                <w:szCs w:val="24"/>
              </w:rPr>
              <w:t>Applicant</w:t>
            </w:r>
          </w:p>
        </w:tc>
        <w:tc>
          <w:tcPr>
            <w:tcW w:w="8377" w:type="dxa"/>
          </w:tcPr>
          <w:p w:rsidRPr="00807761" w:rsidR="00B7103B" w:rsidP="00DD339F" w:rsidRDefault="00B7103B" w14:paraId="6423B627" w14:textId="77777777">
            <w:pPr>
              <w:pStyle w:val="ALJBodyText"/>
              <w:tabs>
                <w:tab w:val="left" w:pos="2520"/>
              </w:tabs>
              <w:spacing w:line="240" w:lineRule="auto"/>
              <w:ind w:firstLine="0"/>
              <w:rPr>
                <w:sz w:val="24"/>
                <w:szCs w:val="24"/>
              </w:rPr>
            </w:pPr>
            <w:r w:rsidRPr="00807761">
              <w:rPr>
                <w:sz w:val="24"/>
                <w:szCs w:val="24"/>
              </w:rPr>
              <w:t>An entity (</w:t>
            </w:r>
            <w:r w:rsidRPr="00B36239">
              <w:rPr>
                <w:sz w:val="24"/>
                <w:szCs w:val="24"/>
              </w:rPr>
              <w:t>e.g.</w:t>
            </w:r>
            <w:r w:rsidRPr="00807761">
              <w:rPr>
                <w:sz w:val="24"/>
                <w:szCs w:val="24"/>
              </w:rPr>
              <w:t>, builder, developer, individual customer) who seeks connection to the utility system</w:t>
            </w:r>
          </w:p>
        </w:tc>
      </w:tr>
      <w:tr w:rsidR="00B7103B" w:rsidTr="00DD339F" w14:paraId="16FB11F7" w14:textId="77777777">
        <w:trPr>
          <w:jc w:val="center"/>
        </w:trPr>
        <w:tc>
          <w:tcPr>
            <w:tcW w:w="2070" w:type="dxa"/>
          </w:tcPr>
          <w:p w:rsidRPr="00807761" w:rsidR="00B7103B" w:rsidP="00DD339F" w:rsidRDefault="00B7103B" w14:paraId="00CAF5F6" w14:textId="77777777">
            <w:pPr>
              <w:pStyle w:val="ALJBodyText"/>
              <w:tabs>
                <w:tab w:val="left" w:pos="2520"/>
              </w:tabs>
              <w:spacing w:line="240" w:lineRule="auto"/>
              <w:ind w:firstLine="0"/>
              <w:rPr>
                <w:sz w:val="24"/>
                <w:szCs w:val="24"/>
              </w:rPr>
            </w:pPr>
            <w:r w:rsidRPr="00807761">
              <w:rPr>
                <w:sz w:val="24"/>
                <w:szCs w:val="24"/>
              </w:rPr>
              <w:t>AL</w:t>
            </w:r>
          </w:p>
        </w:tc>
        <w:tc>
          <w:tcPr>
            <w:tcW w:w="8377" w:type="dxa"/>
          </w:tcPr>
          <w:p w:rsidRPr="00807761" w:rsidR="00B7103B" w:rsidP="00DD339F" w:rsidRDefault="00B7103B" w14:paraId="054A85C9" w14:textId="77777777">
            <w:pPr>
              <w:pStyle w:val="ALJBodyText"/>
              <w:tabs>
                <w:tab w:val="left" w:pos="2520"/>
              </w:tabs>
              <w:spacing w:line="240" w:lineRule="auto"/>
              <w:ind w:firstLine="0"/>
              <w:rPr>
                <w:sz w:val="24"/>
                <w:szCs w:val="24"/>
              </w:rPr>
            </w:pPr>
            <w:r w:rsidRPr="00807761">
              <w:rPr>
                <w:sz w:val="24"/>
                <w:szCs w:val="24"/>
              </w:rPr>
              <w:t>Advice Letter</w:t>
            </w:r>
          </w:p>
        </w:tc>
      </w:tr>
      <w:tr w:rsidR="00B7103B" w:rsidTr="00DD339F" w14:paraId="4FF1F6CF" w14:textId="77777777">
        <w:trPr>
          <w:jc w:val="center"/>
        </w:trPr>
        <w:tc>
          <w:tcPr>
            <w:tcW w:w="2070" w:type="dxa"/>
          </w:tcPr>
          <w:p w:rsidR="00B7103B" w:rsidP="00DD339F" w:rsidRDefault="00B7103B" w14:paraId="38ECFA92" w14:textId="77777777">
            <w:pPr>
              <w:pStyle w:val="ALJBodyText"/>
              <w:tabs>
                <w:tab w:val="left" w:pos="2520"/>
              </w:tabs>
              <w:spacing w:line="240" w:lineRule="auto"/>
              <w:ind w:firstLine="0"/>
              <w:rPr>
                <w:sz w:val="24"/>
                <w:szCs w:val="24"/>
              </w:rPr>
            </w:pPr>
            <w:r w:rsidRPr="00807761">
              <w:rPr>
                <w:sz w:val="24"/>
                <w:szCs w:val="24"/>
              </w:rPr>
              <w:t xml:space="preserve">April 18, 2022 </w:t>
            </w:r>
          </w:p>
          <w:p w:rsidRPr="00807761" w:rsidR="00B7103B" w:rsidP="00DD339F" w:rsidRDefault="00B7103B" w14:paraId="76557255" w14:textId="77777777">
            <w:pPr>
              <w:pStyle w:val="ALJBodyText"/>
              <w:tabs>
                <w:tab w:val="left" w:pos="2520"/>
              </w:tabs>
              <w:spacing w:line="240" w:lineRule="auto"/>
              <w:ind w:firstLine="0"/>
              <w:rPr>
                <w:sz w:val="24"/>
                <w:szCs w:val="24"/>
              </w:rPr>
            </w:pPr>
            <w:r w:rsidRPr="00807761">
              <w:rPr>
                <w:sz w:val="24"/>
                <w:szCs w:val="24"/>
              </w:rPr>
              <w:t>ALJ Ruling</w:t>
            </w:r>
          </w:p>
        </w:tc>
        <w:tc>
          <w:tcPr>
            <w:tcW w:w="8377" w:type="dxa"/>
          </w:tcPr>
          <w:p w:rsidRPr="00807761" w:rsidR="00B7103B" w:rsidP="00DD339F" w:rsidRDefault="00B7103B" w14:paraId="47101B3E" w14:textId="77777777">
            <w:pPr>
              <w:pStyle w:val="ALJBodyText"/>
              <w:tabs>
                <w:tab w:val="left" w:pos="2520"/>
              </w:tabs>
              <w:spacing w:line="240" w:lineRule="auto"/>
              <w:ind w:firstLine="0"/>
              <w:rPr>
                <w:sz w:val="24"/>
                <w:szCs w:val="24"/>
              </w:rPr>
            </w:pPr>
            <w:r w:rsidRPr="00807761">
              <w:rPr>
                <w:sz w:val="24"/>
                <w:szCs w:val="24"/>
              </w:rPr>
              <w:t>An ALJ ruling receiving into the evidentiary record the gas utilities’ responses to the ED</w:t>
            </w:r>
            <w:r w:rsidRPr="00807761">
              <w:rPr>
                <w:sz w:val="24"/>
                <w:szCs w:val="24"/>
              </w:rPr>
              <w:noBreakHyphen/>
              <w:t xml:space="preserve">DR </w:t>
            </w:r>
          </w:p>
        </w:tc>
      </w:tr>
      <w:tr w:rsidR="00B7103B" w:rsidTr="00DD339F" w14:paraId="75650DBE" w14:textId="77777777">
        <w:trPr>
          <w:jc w:val="center"/>
        </w:trPr>
        <w:tc>
          <w:tcPr>
            <w:tcW w:w="2070" w:type="dxa"/>
          </w:tcPr>
          <w:p w:rsidRPr="00807761" w:rsidR="00B7103B" w:rsidP="00DD339F" w:rsidRDefault="00B7103B" w14:paraId="10964283" w14:textId="77777777">
            <w:pPr>
              <w:pStyle w:val="ALJBodyText"/>
              <w:tabs>
                <w:tab w:val="left" w:pos="2520"/>
              </w:tabs>
              <w:spacing w:line="240" w:lineRule="auto"/>
              <w:ind w:firstLine="0"/>
              <w:rPr>
                <w:sz w:val="24"/>
                <w:szCs w:val="24"/>
              </w:rPr>
            </w:pPr>
            <w:r w:rsidRPr="00807761">
              <w:rPr>
                <w:sz w:val="24"/>
                <w:szCs w:val="24"/>
              </w:rPr>
              <w:t xml:space="preserve">BUILD Program </w:t>
            </w:r>
          </w:p>
        </w:tc>
        <w:tc>
          <w:tcPr>
            <w:tcW w:w="8377" w:type="dxa"/>
          </w:tcPr>
          <w:p w:rsidRPr="00807761" w:rsidR="00B7103B" w:rsidP="00DD339F" w:rsidRDefault="00B7103B" w14:paraId="6F8250DC" w14:textId="77777777">
            <w:pPr>
              <w:pStyle w:val="ALJBodyText"/>
              <w:tabs>
                <w:tab w:val="left" w:pos="246"/>
                <w:tab w:val="left" w:pos="2520"/>
              </w:tabs>
              <w:spacing w:line="240" w:lineRule="auto"/>
              <w:ind w:firstLine="0"/>
              <w:rPr>
                <w:sz w:val="24"/>
                <w:szCs w:val="24"/>
              </w:rPr>
            </w:pPr>
            <w:r w:rsidRPr="00807761">
              <w:rPr>
                <w:sz w:val="24"/>
                <w:szCs w:val="24"/>
              </w:rPr>
              <w:t xml:space="preserve">Building Initiative for Low Emissions Development Program. </w:t>
            </w:r>
          </w:p>
        </w:tc>
      </w:tr>
      <w:tr w:rsidR="00B7103B" w:rsidTr="00DD339F" w14:paraId="15CA9716" w14:textId="77777777">
        <w:trPr>
          <w:jc w:val="center"/>
        </w:trPr>
        <w:tc>
          <w:tcPr>
            <w:tcW w:w="2070" w:type="dxa"/>
          </w:tcPr>
          <w:p w:rsidRPr="00807761" w:rsidR="00B7103B" w:rsidP="00DD339F" w:rsidRDefault="00B7103B" w14:paraId="40CD1BBF" w14:textId="77777777">
            <w:pPr>
              <w:pStyle w:val="ALJBodyText"/>
              <w:tabs>
                <w:tab w:val="left" w:pos="2520"/>
              </w:tabs>
              <w:spacing w:line="240" w:lineRule="auto"/>
              <w:ind w:firstLine="0"/>
              <w:rPr>
                <w:sz w:val="24"/>
                <w:szCs w:val="24"/>
              </w:rPr>
            </w:pPr>
            <w:r w:rsidRPr="00807761">
              <w:rPr>
                <w:sz w:val="24"/>
                <w:szCs w:val="24"/>
              </w:rPr>
              <w:t>Cal Advocates</w:t>
            </w:r>
          </w:p>
        </w:tc>
        <w:tc>
          <w:tcPr>
            <w:tcW w:w="8377" w:type="dxa"/>
          </w:tcPr>
          <w:p w:rsidRPr="00807761" w:rsidR="00B7103B" w:rsidP="00DD339F" w:rsidRDefault="00B7103B" w14:paraId="17AE539E" w14:textId="77777777">
            <w:pPr>
              <w:pStyle w:val="ALJBodyText"/>
              <w:tabs>
                <w:tab w:val="left" w:pos="2520"/>
              </w:tabs>
              <w:spacing w:line="240" w:lineRule="auto"/>
              <w:ind w:firstLine="0"/>
              <w:rPr>
                <w:sz w:val="24"/>
                <w:szCs w:val="24"/>
              </w:rPr>
            </w:pPr>
            <w:r w:rsidRPr="00807761">
              <w:rPr>
                <w:sz w:val="24"/>
                <w:szCs w:val="24"/>
              </w:rPr>
              <w:t>The Public Advocates Office of the Commission</w:t>
            </w:r>
          </w:p>
        </w:tc>
      </w:tr>
      <w:tr w:rsidR="00B7103B" w:rsidTr="00DD339F" w14:paraId="186C7C24" w14:textId="77777777">
        <w:trPr>
          <w:jc w:val="center"/>
        </w:trPr>
        <w:tc>
          <w:tcPr>
            <w:tcW w:w="2070" w:type="dxa"/>
          </w:tcPr>
          <w:p w:rsidRPr="00807761" w:rsidR="00B7103B" w:rsidP="00DD339F" w:rsidRDefault="00B7103B" w14:paraId="1812F3CC" w14:textId="77777777">
            <w:pPr>
              <w:pStyle w:val="ALJBodyText"/>
              <w:tabs>
                <w:tab w:val="left" w:pos="2520"/>
              </w:tabs>
              <w:spacing w:line="240" w:lineRule="auto"/>
              <w:ind w:firstLine="0"/>
              <w:rPr>
                <w:sz w:val="24"/>
                <w:szCs w:val="24"/>
              </w:rPr>
            </w:pPr>
            <w:r w:rsidRPr="00807761">
              <w:rPr>
                <w:sz w:val="24"/>
                <w:szCs w:val="24"/>
              </w:rPr>
              <w:t>CARB</w:t>
            </w:r>
          </w:p>
        </w:tc>
        <w:tc>
          <w:tcPr>
            <w:tcW w:w="8377" w:type="dxa"/>
          </w:tcPr>
          <w:p w:rsidRPr="00807761" w:rsidR="00B7103B" w:rsidP="00DD339F" w:rsidRDefault="00B7103B" w14:paraId="2A1F938E" w14:textId="77777777">
            <w:pPr>
              <w:pStyle w:val="ALJBodyText"/>
              <w:tabs>
                <w:tab w:val="left" w:pos="2520"/>
              </w:tabs>
              <w:spacing w:line="240" w:lineRule="auto"/>
              <w:ind w:firstLine="0"/>
              <w:rPr>
                <w:sz w:val="24"/>
                <w:szCs w:val="24"/>
              </w:rPr>
            </w:pPr>
            <w:r w:rsidRPr="00807761">
              <w:rPr>
                <w:sz w:val="24"/>
                <w:szCs w:val="24"/>
              </w:rPr>
              <w:t>California Air Resources Board</w:t>
            </w:r>
          </w:p>
        </w:tc>
      </w:tr>
      <w:tr w:rsidR="00B7103B" w:rsidTr="00DD339F" w14:paraId="0BD4AC7B" w14:textId="77777777">
        <w:trPr>
          <w:jc w:val="center"/>
        </w:trPr>
        <w:tc>
          <w:tcPr>
            <w:tcW w:w="2070" w:type="dxa"/>
          </w:tcPr>
          <w:p w:rsidRPr="00807761" w:rsidR="00B7103B" w:rsidP="00DD339F" w:rsidRDefault="00B7103B" w14:paraId="14E3247B" w14:textId="77777777">
            <w:pPr>
              <w:pStyle w:val="ALJBodyText"/>
              <w:tabs>
                <w:tab w:val="left" w:pos="2520"/>
              </w:tabs>
              <w:spacing w:line="240" w:lineRule="auto"/>
              <w:ind w:firstLine="0"/>
              <w:rPr>
                <w:sz w:val="24"/>
                <w:szCs w:val="24"/>
              </w:rPr>
            </w:pPr>
            <w:r w:rsidRPr="00807761">
              <w:rPr>
                <w:sz w:val="24"/>
                <w:szCs w:val="24"/>
              </w:rPr>
              <w:t>CCUE</w:t>
            </w:r>
          </w:p>
        </w:tc>
        <w:tc>
          <w:tcPr>
            <w:tcW w:w="8377" w:type="dxa"/>
          </w:tcPr>
          <w:p w:rsidRPr="00807761" w:rsidR="00B7103B" w:rsidP="00DD339F" w:rsidRDefault="00B7103B" w14:paraId="68FB4D63" w14:textId="77777777">
            <w:pPr>
              <w:pStyle w:val="ALJBodyText"/>
              <w:tabs>
                <w:tab w:val="left" w:pos="2520"/>
              </w:tabs>
              <w:spacing w:line="240" w:lineRule="auto"/>
              <w:ind w:firstLine="0"/>
              <w:rPr>
                <w:sz w:val="24"/>
                <w:szCs w:val="24"/>
              </w:rPr>
            </w:pPr>
            <w:r w:rsidRPr="00807761">
              <w:rPr>
                <w:sz w:val="24"/>
                <w:szCs w:val="24"/>
              </w:rPr>
              <w:t>Coalition of California Utility Employees</w:t>
            </w:r>
          </w:p>
        </w:tc>
      </w:tr>
      <w:tr w:rsidR="00B7103B" w:rsidTr="00DD339F" w14:paraId="209AD1B6" w14:textId="77777777">
        <w:trPr>
          <w:jc w:val="center"/>
        </w:trPr>
        <w:tc>
          <w:tcPr>
            <w:tcW w:w="2070" w:type="dxa"/>
          </w:tcPr>
          <w:p w:rsidRPr="00807761" w:rsidR="00B7103B" w:rsidP="00DD339F" w:rsidRDefault="00B7103B" w14:paraId="78E9922B" w14:textId="77777777">
            <w:pPr>
              <w:pStyle w:val="ALJBodyText"/>
              <w:tabs>
                <w:tab w:val="left" w:pos="2520"/>
              </w:tabs>
              <w:spacing w:line="240" w:lineRule="auto"/>
              <w:ind w:firstLine="0"/>
              <w:rPr>
                <w:sz w:val="24"/>
                <w:szCs w:val="24"/>
              </w:rPr>
            </w:pPr>
            <w:r w:rsidRPr="00807761">
              <w:rPr>
                <w:sz w:val="24"/>
                <w:szCs w:val="24"/>
              </w:rPr>
              <w:t>Commission</w:t>
            </w:r>
          </w:p>
        </w:tc>
        <w:tc>
          <w:tcPr>
            <w:tcW w:w="8377" w:type="dxa"/>
          </w:tcPr>
          <w:p w:rsidRPr="00807761" w:rsidR="00B7103B" w:rsidP="00DD339F" w:rsidRDefault="00B7103B" w14:paraId="33997142" w14:textId="77777777">
            <w:pPr>
              <w:pStyle w:val="ALJBodyText"/>
              <w:tabs>
                <w:tab w:val="left" w:pos="2520"/>
              </w:tabs>
              <w:spacing w:line="240" w:lineRule="auto"/>
              <w:ind w:firstLine="0"/>
              <w:rPr>
                <w:sz w:val="24"/>
                <w:szCs w:val="24"/>
              </w:rPr>
            </w:pPr>
            <w:r w:rsidRPr="00807761">
              <w:rPr>
                <w:sz w:val="24"/>
                <w:szCs w:val="24"/>
              </w:rPr>
              <w:t>California Public Utilities Commission</w:t>
            </w:r>
          </w:p>
        </w:tc>
      </w:tr>
      <w:tr w:rsidR="00B7103B" w:rsidTr="00DD339F" w14:paraId="0D564C6A" w14:textId="77777777">
        <w:trPr>
          <w:jc w:val="center"/>
        </w:trPr>
        <w:tc>
          <w:tcPr>
            <w:tcW w:w="2070" w:type="dxa"/>
          </w:tcPr>
          <w:p w:rsidRPr="00807761" w:rsidR="00B7103B" w:rsidP="00DD339F" w:rsidRDefault="00B7103B" w14:paraId="6E6BF9B2" w14:textId="77777777">
            <w:pPr>
              <w:pStyle w:val="ALJBodyText"/>
              <w:tabs>
                <w:tab w:val="left" w:pos="2520"/>
              </w:tabs>
              <w:spacing w:line="240" w:lineRule="auto"/>
              <w:ind w:firstLine="0"/>
              <w:rPr>
                <w:sz w:val="24"/>
                <w:szCs w:val="24"/>
              </w:rPr>
            </w:pPr>
            <w:r w:rsidRPr="00807761">
              <w:rPr>
                <w:sz w:val="24"/>
                <w:szCs w:val="24"/>
              </w:rPr>
              <w:t>CEC</w:t>
            </w:r>
          </w:p>
        </w:tc>
        <w:tc>
          <w:tcPr>
            <w:tcW w:w="8377" w:type="dxa"/>
          </w:tcPr>
          <w:p w:rsidRPr="00807761" w:rsidR="00B7103B" w:rsidP="00DD339F" w:rsidRDefault="00B7103B" w14:paraId="3F5725EA" w14:textId="77777777">
            <w:pPr>
              <w:pStyle w:val="ALJBodyText"/>
              <w:tabs>
                <w:tab w:val="left" w:pos="2520"/>
              </w:tabs>
              <w:spacing w:line="240" w:lineRule="auto"/>
              <w:ind w:firstLine="0"/>
              <w:rPr>
                <w:sz w:val="24"/>
                <w:szCs w:val="24"/>
              </w:rPr>
            </w:pPr>
            <w:r w:rsidRPr="00807761">
              <w:rPr>
                <w:sz w:val="24"/>
                <w:szCs w:val="24"/>
              </w:rPr>
              <w:t>California Energy Commission</w:t>
            </w:r>
          </w:p>
        </w:tc>
      </w:tr>
      <w:tr w:rsidR="00B7103B" w:rsidTr="00DD339F" w14:paraId="49110511" w14:textId="77777777">
        <w:trPr>
          <w:jc w:val="center"/>
        </w:trPr>
        <w:tc>
          <w:tcPr>
            <w:tcW w:w="2070" w:type="dxa"/>
          </w:tcPr>
          <w:p w:rsidRPr="00807761" w:rsidR="00B7103B" w:rsidP="00DD339F" w:rsidRDefault="00B7103B" w14:paraId="42BE4025" w14:textId="77777777">
            <w:pPr>
              <w:pStyle w:val="ALJBodyText"/>
              <w:tabs>
                <w:tab w:val="left" w:pos="2520"/>
              </w:tabs>
              <w:spacing w:line="240" w:lineRule="auto"/>
              <w:ind w:firstLine="0"/>
              <w:rPr>
                <w:sz w:val="24"/>
                <w:szCs w:val="24"/>
              </w:rPr>
            </w:pPr>
            <w:r w:rsidRPr="00807761">
              <w:rPr>
                <w:sz w:val="24"/>
                <w:szCs w:val="24"/>
              </w:rPr>
              <w:t>CEJA</w:t>
            </w:r>
          </w:p>
        </w:tc>
        <w:tc>
          <w:tcPr>
            <w:tcW w:w="8377" w:type="dxa"/>
          </w:tcPr>
          <w:p w:rsidRPr="00807761" w:rsidR="00B7103B" w:rsidP="00DD339F" w:rsidRDefault="00B7103B" w14:paraId="17AFA9C7" w14:textId="77777777">
            <w:pPr>
              <w:pStyle w:val="ALJBodyText"/>
              <w:tabs>
                <w:tab w:val="left" w:pos="2520"/>
              </w:tabs>
              <w:spacing w:line="240" w:lineRule="auto"/>
              <w:ind w:firstLine="0"/>
              <w:rPr>
                <w:sz w:val="24"/>
                <w:szCs w:val="24"/>
              </w:rPr>
            </w:pPr>
            <w:r w:rsidRPr="00807761">
              <w:rPr>
                <w:sz w:val="24"/>
                <w:szCs w:val="24"/>
              </w:rPr>
              <w:t>California Environmental Justice Alliance</w:t>
            </w:r>
          </w:p>
        </w:tc>
      </w:tr>
      <w:tr w:rsidR="00B7103B" w:rsidTr="00DD339F" w14:paraId="3CECB09F" w14:textId="77777777">
        <w:trPr>
          <w:jc w:val="center"/>
        </w:trPr>
        <w:tc>
          <w:tcPr>
            <w:tcW w:w="2070" w:type="dxa"/>
          </w:tcPr>
          <w:p w:rsidRPr="00807761" w:rsidR="00B7103B" w:rsidP="00DD339F" w:rsidRDefault="00B7103B" w14:paraId="2CFC4BD9" w14:textId="77777777">
            <w:pPr>
              <w:pStyle w:val="ALJBodyText"/>
              <w:tabs>
                <w:tab w:val="left" w:pos="2520"/>
              </w:tabs>
              <w:spacing w:line="240" w:lineRule="auto"/>
              <w:ind w:firstLine="0"/>
              <w:rPr>
                <w:sz w:val="24"/>
                <w:szCs w:val="24"/>
              </w:rPr>
            </w:pPr>
            <w:r w:rsidRPr="00807761">
              <w:rPr>
                <w:sz w:val="24"/>
                <w:szCs w:val="24"/>
              </w:rPr>
              <w:t>CNG</w:t>
            </w:r>
          </w:p>
        </w:tc>
        <w:tc>
          <w:tcPr>
            <w:tcW w:w="8377" w:type="dxa"/>
          </w:tcPr>
          <w:p w:rsidRPr="00807761" w:rsidR="00B7103B" w:rsidP="00DD339F" w:rsidRDefault="00B7103B" w14:paraId="65F6822C" w14:textId="77777777">
            <w:pPr>
              <w:pStyle w:val="ALJBodyText"/>
              <w:tabs>
                <w:tab w:val="left" w:pos="2520"/>
              </w:tabs>
              <w:spacing w:line="240" w:lineRule="auto"/>
              <w:ind w:firstLine="0"/>
              <w:rPr>
                <w:sz w:val="24"/>
                <w:szCs w:val="24"/>
              </w:rPr>
            </w:pPr>
            <w:r w:rsidRPr="00807761">
              <w:rPr>
                <w:sz w:val="24"/>
                <w:szCs w:val="24"/>
              </w:rPr>
              <w:t>Compressed Natural Gas</w:t>
            </w:r>
          </w:p>
        </w:tc>
      </w:tr>
      <w:tr w:rsidR="0016440A" w:rsidTr="00DD339F" w14:paraId="5E64EC03" w14:textId="77777777">
        <w:trPr>
          <w:jc w:val="center"/>
        </w:trPr>
        <w:tc>
          <w:tcPr>
            <w:tcW w:w="2070" w:type="dxa"/>
          </w:tcPr>
          <w:p w:rsidRPr="00807761" w:rsidR="0016440A" w:rsidP="00DD339F" w:rsidRDefault="0016440A" w14:paraId="221B4097" w14:textId="2084ED4C">
            <w:pPr>
              <w:pStyle w:val="ALJBodyText"/>
              <w:tabs>
                <w:tab w:val="left" w:pos="2520"/>
              </w:tabs>
              <w:spacing w:line="240" w:lineRule="auto"/>
              <w:ind w:firstLine="0"/>
              <w:rPr>
                <w:sz w:val="24"/>
                <w:szCs w:val="24"/>
              </w:rPr>
            </w:pPr>
            <w:r w:rsidRPr="0016440A">
              <w:rPr>
                <w:sz w:val="24"/>
                <w:szCs w:val="24"/>
              </w:rPr>
              <w:t>DCA</w:t>
            </w:r>
          </w:p>
        </w:tc>
        <w:tc>
          <w:tcPr>
            <w:tcW w:w="8377" w:type="dxa"/>
          </w:tcPr>
          <w:p w:rsidRPr="0016440A" w:rsidR="0016440A" w:rsidP="00DD339F" w:rsidRDefault="0016440A" w14:paraId="0A89AAAA" w14:textId="530EBF56">
            <w:pPr>
              <w:pStyle w:val="ALJBodyText"/>
              <w:tabs>
                <w:tab w:val="left" w:pos="2520"/>
              </w:tabs>
              <w:spacing w:line="240" w:lineRule="auto"/>
              <w:ind w:firstLine="0"/>
              <w:rPr>
                <w:sz w:val="24"/>
                <w:szCs w:val="24"/>
              </w:rPr>
            </w:pPr>
            <w:r w:rsidRPr="0016440A">
              <w:rPr>
                <w:sz w:val="24"/>
                <w:szCs w:val="24"/>
              </w:rPr>
              <w:t>California Department of Consumer Affairs</w:t>
            </w:r>
          </w:p>
        </w:tc>
      </w:tr>
      <w:tr w:rsidR="0016440A" w:rsidTr="00DD339F" w14:paraId="68930BB7" w14:textId="77777777">
        <w:trPr>
          <w:jc w:val="center"/>
        </w:trPr>
        <w:tc>
          <w:tcPr>
            <w:tcW w:w="2070" w:type="dxa"/>
          </w:tcPr>
          <w:p w:rsidRPr="00807761" w:rsidR="0016440A" w:rsidP="00DD339F" w:rsidRDefault="0016440A" w14:paraId="2AB02155" w14:textId="516DB6EE">
            <w:pPr>
              <w:pStyle w:val="ALJBodyText"/>
              <w:tabs>
                <w:tab w:val="left" w:pos="2520"/>
              </w:tabs>
              <w:spacing w:line="240" w:lineRule="auto"/>
              <w:ind w:firstLine="0"/>
              <w:rPr>
                <w:sz w:val="24"/>
                <w:szCs w:val="24"/>
              </w:rPr>
            </w:pPr>
            <w:r>
              <w:rPr>
                <w:sz w:val="24"/>
                <w:szCs w:val="24"/>
              </w:rPr>
              <w:t>DRE</w:t>
            </w:r>
          </w:p>
        </w:tc>
        <w:tc>
          <w:tcPr>
            <w:tcW w:w="8377" w:type="dxa"/>
          </w:tcPr>
          <w:p w:rsidRPr="00807761" w:rsidR="0016440A" w:rsidP="00DD339F" w:rsidRDefault="000625F3" w14:paraId="41FB8110" w14:textId="584B96E8">
            <w:pPr>
              <w:pStyle w:val="ALJBodyText"/>
              <w:tabs>
                <w:tab w:val="left" w:pos="2520"/>
              </w:tabs>
              <w:spacing w:line="240" w:lineRule="auto"/>
              <w:ind w:firstLine="0"/>
              <w:rPr>
                <w:sz w:val="24"/>
                <w:szCs w:val="24"/>
              </w:rPr>
            </w:pPr>
            <w:r w:rsidRPr="000625F3">
              <w:rPr>
                <w:sz w:val="24"/>
                <w:szCs w:val="24"/>
              </w:rPr>
              <w:t>California Department of Real Estate</w:t>
            </w:r>
          </w:p>
        </w:tc>
      </w:tr>
      <w:tr w:rsidR="00B7103B" w:rsidTr="00DD339F" w14:paraId="43067BB3" w14:textId="77777777">
        <w:trPr>
          <w:jc w:val="center"/>
        </w:trPr>
        <w:tc>
          <w:tcPr>
            <w:tcW w:w="2070" w:type="dxa"/>
          </w:tcPr>
          <w:p w:rsidRPr="00807761" w:rsidR="00B7103B" w:rsidP="00DD339F" w:rsidRDefault="00B7103B" w14:paraId="5F40870C" w14:textId="77777777">
            <w:pPr>
              <w:pStyle w:val="ALJBodyText"/>
              <w:tabs>
                <w:tab w:val="left" w:pos="2520"/>
              </w:tabs>
              <w:spacing w:line="240" w:lineRule="auto"/>
              <w:ind w:firstLine="0"/>
              <w:rPr>
                <w:sz w:val="24"/>
                <w:szCs w:val="24"/>
              </w:rPr>
            </w:pPr>
            <w:r w:rsidRPr="00807761">
              <w:rPr>
                <w:sz w:val="24"/>
                <w:szCs w:val="24"/>
              </w:rPr>
              <w:t>EBCE</w:t>
            </w:r>
          </w:p>
        </w:tc>
        <w:tc>
          <w:tcPr>
            <w:tcW w:w="8377" w:type="dxa"/>
          </w:tcPr>
          <w:p w:rsidRPr="00807761" w:rsidR="00B7103B" w:rsidP="00DD339F" w:rsidRDefault="00B7103B" w14:paraId="4989B58B" w14:textId="77777777">
            <w:pPr>
              <w:pStyle w:val="ALJBodyText"/>
              <w:tabs>
                <w:tab w:val="left" w:pos="2520"/>
              </w:tabs>
              <w:spacing w:line="240" w:lineRule="auto"/>
              <w:ind w:firstLine="0"/>
              <w:rPr>
                <w:sz w:val="24"/>
                <w:szCs w:val="24"/>
              </w:rPr>
            </w:pPr>
            <w:r w:rsidRPr="00807761">
              <w:rPr>
                <w:sz w:val="24"/>
                <w:szCs w:val="24"/>
              </w:rPr>
              <w:t>East Bay Community Energy</w:t>
            </w:r>
          </w:p>
        </w:tc>
      </w:tr>
      <w:tr w:rsidR="00B7103B" w:rsidTr="00DD339F" w14:paraId="185A49BD" w14:textId="77777777">
        <w:trPr>
          <w:jc w:val="center"/>
        </w:trPr>
        <w:tc>
          <w:tcPr>
            <w:tcW w:w="2070" w:type="dxa"/>
          </w:tcPr>
          <w:p w:rsidRPr="00807761" w:rsidR="00B7103B" w:rsidP="00DD339F" w:rsidRDefault="00B7103B" w14:paraId="6AC45293" w14:textId="77777777">
            <w:pPr>
              <w:pStyle w:val="ALJBodyText"/>
              <w:tabs>
                <w:tab w:val="left" w:pos="2520"/>
              </w:tabs>
              <w:spacing w:line="240" w:lineRule="auto"/>
              <w:ind w:firstLine="0"/>
              <w:rPr>
                <w:sz w:val="24"/>
                <w:szCs w:val="24"/>
              </w:rPr>
            </w:pPr>
            <w:r w:rsidRPr="00807761">
              <w:rPr>
                <w:sz w:val="24"/>
                <w:szCs w:val="24"/>
              </w:rPr>
              <w:t>ED-DR</w:t>
            </w:r>
          </w:p>
        </w:tc>
        <w:tc>
          <w:tcPr>
            <w:tcW w:w="8377" w:type="dxa"/>
          </w:tcPr>
          <w:p w:rsidRPr="00807761" w:rsidR="00B7103B" w:rsidP="00DD339F" w:rsidRDefault="00B7103B" w14:paraId="08A0B55C" w14:textId="77777777">
            <w:pPr>
              <w:pStyle w:val="ALJBodyText"/>
              <w:tabs>
                <w:tab w:val="left" w:pos="2520"/>
              </w:tabs>
              <w:spacing w:line="240" w:lineRule="auto"/>
              <w:ind w:firstLine="0"/>
              <w:rPr>
                <w:sz w:val="24"/>
                <w:szCs w:val="24"/>
              </w:rPr>
            </w:pPr>
            <w:r w:rsidRPr="00807761">
              <w:rPr>
                <w:sz w:val="24"/>
                <w:szCs w:val="24"/>
              </w:rPr>
              <w:t>A March 14, 2022, Energy Division data request (ED</w:t>
            </w:r>
            <w:r w:rsidRPr="00807761">
              <w:rPr>
                <w:sz w:val="24"/>
                <w:szCs w:val="24"/>
              </w:rPr>
              <w:noBreakHyphen/>
              <w:t>DR) sent to PG&amp;E, SoCalGas, SDG&amp;E and SWG; directed the gas utilities to verify and serve their responses to the ED</w:t>
            </w:r>
            <w:r w:rsidRPr="00807761">
              <w:rPr>
                <w:sz w:val="24"/>
                <w:szCs w:val="24"/>
              </w:rPr>
              <w:noBreakHyphen/>
              <w:t>DR on all parties</w:t>
            </w:r>
          </w:p>
        </w:tc>
      </w:tr>
      <w:tr w:rsidR="00B7103B" w:rsidTr="00DD339F" w14:paraId="25F7A122" w14:textId="77777777">
        <w:trPr>
          <w:jc w:val="center"/>
        </w:trPr>
        <w:tc>
          <w:tcPr>
            <w:tcW w:w="2070" w:type="dxa"/>
          </w:tcPr>
          <w:p w:rsidRPr="00807761" w:rsidR="00B7103B" w:rsidP="00DD339F" w:rsidRDefault="00B7103B" w14:paraId="5ACB9DCB" w14:textId="77777777">
            <w:pPr>
              <w:pStyle w:val="ALJBodyText"/>
              <w:tabs>
                <w:tab w:val="left" w:pos="2520"/>
              </w:tabs>
              <w:spacing w:line="240" w:lineRule="auto"/>
              <w:ind w:firstLine="0"/>
              <w:rPr>
                <w:sz w:val="24"/>
                <w:szCs w:val="24"/>
              </w:rPr>
            </w:pPr>
            <w:r w:rsidRPr="00807761">
              <w:rPr>
                <w:sz w:val="24"/>
                <w:szCs w:val="24"/>
              </w:rPr>
              <w:t>EDF</w:t>
            </w:r>
          </w:p>
        </w:tc>
        <w:tc>
          <w:tcPr>
            <w:tcW w:w="8377" w:type="dxa"/>
          </w:tcPr>
          <w:p w:rsidRPr="00807761" w:rsidR="00B7103B" w:rsidP="00DD339F" w:rsidRDefault="00B7103B" w14:paraId="50714F2F" w14:textId="77777777">
            <w:pPr>
              <w:pStyle w:val="ALJBodyText"/>
              <w:tabs>
                <w:tab w:val="left" w:pos="2520"/>
              </w:tabs>
              <w:spacing w:line="240" w:lineRule="auto"/>
              <w:ind w:firstLine="0"/>
              <w:rPr>
                <w:sz w:val="24"/>
                <w:szCs w:val="24"/>
              </w:rPr>
            </w:pPr>
            <w:r w:rsidRPr="00807761">
              <w:rPr>
                <w:sz w:val="24"/>
                <w:szCs w:val="24"/>
              </w:rPr>
              <w:t>Environmental Defense Fund</w:t>
            </w:r>
          </w:p>
        </w:tc>
      </w:tr>
      <w:tr w:rsidR="00B7103B" w:rsidTr="00DD339F" w14:paraId="463A8C1C" w14:textId="77777777">
        <w:trPr>
          <w:jc w:val="center"/>
        </w:trPr>
        <w:tc>
          <w:tcPr>
            <w:tcW w:w="2070" w:type="dxa"/>
          </w:tcPr>
          <w:p w:rsidRPr="00807761" w:rsidR="00B7103B" w:rsidP="00DD339F" w:rsidRDefault="00B7103B" w14:paraId="27ED4DC6" w14:textId="77777777">
            <w:pPr>
              <w:pStyle w:val="ALJBodyText"/>
              <w:tabs>
                <w:tab w:val="left" w:pos="2520"/>
              </w:tabs>
              <w:spacing w:line="240" w:lineRule="auto"/>
              <w:ind w:firstLine="0"/>
              <w:rPr>
                <w:sz w:val="24"/>
                <w:szCs w:val="24"/>
              </w:rPr>
            </w:pPr>
            <w:r w:rsidRPr="00807761">
              <w:rPr>
                <w:sz w:val="24"/>
                <w:szCs w:val="24"/>
              </w:rPr>
              <w:t>FY</w:t>
            </w:r>
          </w:p>
        </w:tc>
        <w:tc>
          <w:tcPr>
            <w:tcW w:w="8377" w:type="dxa"/>
          </w:tcPr>
          <w:p w:rsidRPr="00807761" w:rsidR="00B7103B" w:rsidP="00DD339F" w:rsidRDefault="00B7103B" w14:paraId="55CD7627" w14:textId="77777777">
            <w:pPr>
              <w:pStyle w:val="ALJBodyText"/>
              <w:tabs>
                <w:tab w:val="left" w:pos="2520"/>
              </w:tabs>
              <w:spacing w:line="240" w:lineRule="auto"/>
              <w:ind w:firstLine="0"/>
              <w:rPr>
                <w:sz w:val="24"/>
                <w:szCs w:val="24"/>
              </w:rPr>
            </w:pPr>
            <w:r w:rsidRPr="00807761">
              <w:rPr>
                <w:sz w:val="24"/>
                <w:szCs w:val="24"/>
              </w:rPr>
              <w:t>Fiscal Year</w:t>
            </w:r>
          </w:p>
        </w:tc>
      </w:tr>
      <w:tr w:rsidR="00B7103B" w:rsidTr="00DD339F" w14:paraId="13F95119" w14:textId="77777777">
        <w:trPr>
          <w:jc w:val="center"/>
        </w:trPr>
        <w:tc>
          <w:tcPr>
            <w:tcW w:w="2070" w:type="dxa"/>
          </w:tcPr>
          <w:p w:rsidRPr="00807761" w:rsidR="00B7103B" w:rsidP="00DD339F" w:rsidRDefault="00B7103B" w14:paraId="4F1DF51F" w14:textId="77777777">
            <w:pPr>
              <w:pStyle w:val="ALJBodyText"/>
              <w:tabs>
                <w:tab w:val="left" w:pos="2520"/>
              </w:tabs>
              <w:spacing w:line="240" w:lineRule="auto"/>
              <w:ind w:firstLine="0"/>
              <w:rPr>
                <w:sz w:val="24"/>
                <w:szCs w:val="24"/>
              </w:rPr>
            </w:pPr>
            <w:r w:rsidRPr="00807761">
              <w:rPr>
                <w:sz w:val="24"/>
                <w:szCs w:val="24"/>
              </w:rPr>
              <w:t>GHG</w:t>
            </w:r>
          </w:p>
        </w:tc>
        <w:tc>
          <w:tcPr>
            <w:tcW w:w="8377" w:type="dxa"/>
          </w:tcPr>
          <w:p w:rsidRPr="00807761" w:rsidR="00B7103B" w:rsidP="00DD339F" w:rsidRDefault="00B7103B" w14:paraId="4B519621" w14:textId="77777777">
            <w:pPr>
              <w:pStyle w:val="ALJBodyText"/>
              <w:tabs>
                <w:tab w:val="left" w:pos="2520"/>
              </w:tabs>
              <w:spacing w:line="240" w:lineRule="auto"/>
              <w:ind w:firstLine="0"/>
              <w:rPr>
                <w:sz w:val="24"/>
                <w:szCs w:val="24"/>
              </w:rPr>
            </w:pPr>
            <w:r w:rsidRPr="00807761">
              <w:rPr>
                <w:sz w:val="24"/>
                <w:szCs w:val="24"/>
              </w:rPr>
              <w:t>Greenhouse Gas</w:t>
            </w:r>
          </w:p>
        </w:tc>
      </w:tr>
      <w:tr w:rsidR="00B7103B" w:rsidTr="00DD339F" w14:paraId="42FF7B92" w14:textId="77777777">
        <w:trPr>
          <w:jc w:val="center"/>
        </w:trPr>
        <w:tc>
          <w:tcPr>
            <w:tcW w:w="2070" w:type="dxa"/>
          </w:tcPr>
          <w:p w:rsidR="00B7103B" w:rsidP="00DD339F" w:rsidRDefault="00B7103B" w14:paraId="5EA8EF24" w14:textId="77777777">
            <w:pPr>
              <w:pStyle w:val="ALJBodyText"/>
              <w:tabs>
                <w:tab w:val="left" w:pos="2520"/>
              </w:tabs>
              <w:spacing w:line="240" w:lineRule="auto"/>
              <w:ind w:firstLine="0"/>
              <w:rPr>
                <w:sz w:val="24"/>
                <w:szCs w:val="24"/>
              </w:rPr>
            </w:pPr>
            <w:r w:rsidRPr="00807761">
              <w:rPr>
                <w:sz w:val="24"/>
                <w:szCs w:val="24"/>
              </w:rPr>
              <w:t xml:space="preserve">Gas Line </w:t>
            </w:r>
          </w:p>
          <w:p w:rsidRPr="00807761" w:rsidR="00B7103B" w:rsidP="00DD339F" w:rsidRDefault="00B7103B" w14:paraId="11EB27B9" w14:textId="77777777">
            <w:pPr>
              <w:pStyle w:val="ALJBodyText"/>
              <w:tabs>
                <w:tab w:val="left" w:pos="2520"/>
              </w:tabs>
              <w:spacing w:line="240" w:lineRule="auto"/>
              <w:ind w:firstLine="0"/>
              <w:rPr>
                <w:sz w:val="24"/>
                <w:szCs w:val="24"/>
              </w:rPr>
            </w:pPr>
            <w:r w:rsidRPr="00807761">
              <w:rPr>
                <w:sz w:val="24"/>
                <w:szCs w:val="24"/>
              </w:rPr>
              <w:t xml:space="preserve">Subsidies </w:t>
            </w:r>
          </w:p>
        </w:tc>
        <w:tc>
          <w:tcPr>
            <w:tcW w:w="8377" w:type="dxa"/>
          </w:tcPr>
          <w:p w:rsidRPr="00807761" w:rsidR="00B7103B" w:rsidP="00DD339F" w:rsidRDefault="00B7103B" w14:paraId="055FB06A" w14:textId="77777777">
            <w:pPr>
              <w:pStyle w:val="ALJBodyText"/>
              <w:tabs>
                <w:tab w:val="left" w:pos="2520"/>
              </w:tabs>
              <w:spacing w:line="240" w:lineRule="auto"/>
              <w:ind w:firstLine="0"/>
              <w:rPr>
                <w:sz w:val="24"/>
                <w:szCs w:val="24"/>
              </w:rPr>
            </w:pPr>
            <w:r w:rsidRPr="00807761">
              <w:rPr>
                <w:sz w:val="24"/>
                <w:szCs w:val="24"/>
              </w:rPr>
              <w:t>Gas line extension allowance, 10</w:t>
            </w:r>
            <w:r w:rsidRPr="00807761">
              <w:rPr>
                <w:sz w:val="24"/>
                <w:szCs w:val="24"/>
              </w:rPr>
              <w:noBreakHyphen/>
              <w:t>year refundable payment option, or 50 percent discount payment option</w:t>
            </w:r>
          </w:p>
        </w:tc>
      </w:tr>
      <w:tr w:rsidR="00B7103B" w:rsidTr="00DD339F" w14:paraId="66042524" w14:textId="77777777">
        <w:trPr>
          <w:jc w:val="center"/>
        </w:trPr>
        <w:tc>
          <w:tcPr>
            <w:tcW w:w="2070" w:type="dxa"/>
          </w:tcPr>
          <w:p w:rsidRPr="00807761" w:rsidR="00B7103B" w:rsidP="00DD339F" w:rsidRDefault="00B7103B" w14:paraId="5E345832" w14:textId="77777777">
            <w:pPr>
              <w:pStyle w:val="ALJBodyText"/>
              <w:tabs>
                <w:tab w:val="left" w:pos="2520"/>
              </w:tabs>
              <w:spacing w:line="240" w:lineRule="auto"/>
              <w:ind w:firstLine="0"/>
              <w:rPr>
                <w:sz w:val="24"/>
                <w:szCs w:val="24"/>
              </w:rPr>
            </w:pPr>
            <w:r w:rsidRPr="00807761">
              <w:rPr>
                <w:sz w:val="24"/>
                <w:szCs w:val="24"/>
              </w:rPr>
              <w:t>Gas Rules</w:t>
            </w:r>
          </w:p>
        </w:tc>
        <w:tc>
          <w:tcPr>
            <w:tcW w:w="8377" w:type="dxa"/>
          </w:tcPr>
          <w:p w:rsidRPr="00807761" w:rsidR="00B7103B" w:rsidP="00DD339F" w:rsidRDefault="00B7103B" w14:paraId="19284CEF" w14:textId="77777777">
            <w:pPr>
              <w:pStyle w:val="ALJBodyText"/>
              <w:tabs>
                <w:tab w:val="left" w:pos="2520"/>
              </w:tabs>
              <w:spacing w:line="240" w:lineRule="auto"/>
              <w:ind w:firstLine="0"/>
              <w:rPr>
                <w:sz w:val="24"/>
                <w:szCs w:val="24"/>
              </w:rPr>
            </w:pPr>
            <w:r w:rsidRPr="00807761">
              <w:rPr>
                <w:sz w:val="24"/>
                <w:szCs w:val="24"/>
              </w:rPr>
              <w:t xml:space="preserve">Gas line extension rules: </w:t>
            </w:r>
          </w:p>
          <w:p w:rsidRPr="00807761" w:rsidR="00B7103B" w:rsidP="00DD339F" w:rsidRDefault="00B7103B" w14:paraId="3A1C2D57" w14:textId="1201B9AF">
            <w:pPr>
              <w:pStyle w:val="ALJBodyText"/>
              <w:tabs>
                <w:tab w:val="left" w:pos="2520"/>
              </w:tabs>
              <w:spacing w:line="240" w:lineRule="auto"/>
              <w:ind w:firstLine="0"/>
              <w:rPr>
                <w:sz w:val="24"/>
                <w:szCs w:val="24"/>
              </w:rPr>
            </w:pPr>
            <w:r w:rsidRPr="00807761">
              <w:rPr>
                <w:sz w:val="24"/>
                <w:szCs w:val="24"/>
              </w:rPr>
              <w:lastRenderedPageBreak/>
              <w:t>Gas Rules 15</w:t>
            </w:r>
            <w:r w:rsidRPr="00807761">
              <w:rPr>
                <w:sz w:val="24"/>
                <w:szCs w:val="24"/>
              </w:rPr>
              <w:noBreakHyphen/>
              <w:t>16 for PG&amp;E (</w:t>
            </w:r>
            <w:hyperlink w:history="1" r:id="rId22">
              <w:r w:rsidRPr="00807761">
                <w:rPr>
                  <w:rStyle w:val="Hyperlink"/>
                  <w:sz w:val="24"/>
                  <w:szCs w:val="24"/>
                </w:rPr>
                <w:t>https://www.pge.com/tariffs/assets/pdf/tariffbook/GAS_RULES_15.pdf</w:t>
              </w:r>
            </w:hyperlink>
            <w:r w:rsidRPr="00807761">
              <w:rPr>
                <w:sz w:val="24"/>
                <w:szCs w:val="24"/>
              </w:rPr>
              <w:t xml:space="preserve">, </w:t>
            </w:r>
            <w:hyperlink w:history="1" r:id="rId23">
              <w:r w:rsidRPr="00807761">
                <w:rPr>
                  <w:rStyle w:val="Hyperlink"/>
                  <w:sz w:val="24"/>
                  <w:szCs w:val="24"/>
                </w:rPr>
                <w:t>https://www.pge.com/tariffs/assets/pdf/tariffbook/GAS_RULES_16.pdf</w:t>
              </w:r>
            </w:hyperlink>
            <w:r w:rsidRPr="00807761">
              <w:rPr>
                <w:sz w:val="24"/>
                <w:szCs w:val="24"/>
              </w:rPr>
              <w:t>), SDG&amp;E (</w:t>
            </w:r>
            <w:hyperlink w:history="1" r:id="rId24">
              <w:r w:rsidRPr="00807761">
                <w:rPr>
                  <w:rStyle w:val="Hyperlink"/>
                  <w:sz w:val="24"/>
                  <w:szCs w:val="24"/>
                </w:rPr>
                <w:t>https://tariff.sdge.com/tm2/pdf/GAS_GAS-RULES_GRULE15.pdf</w:t>
              </w:r>
            </w:hyperlink>
            <w:r w:rsidRPr="00807761">
              <w:rPr>
                <w:sz w:val="24"/>
                <w:szCs w:val="24"/>
              </w:rPr>
              <w:t xml:space="preserve">, </w:t>
            </w:r>
            <w:hyperlink w:history="1" r:id="rId25">
              <w:r w:rsidRPr="00807761">
                <w:rPr>
                  <w:rStyle w:val="Hyperlink"/>
                  <w:sz w:val="24"/>
                  <w:szCs w:val="24"/>
                </w:rPr>
                <w:t>https://tariff.sdge.com/tm2/pdf/GAS_GAS-RULES_GRULE16.pdf</w:t>
              </w:r>
            </w:hyperlink>
            <w:r w:rsidRPr="00807761">
              <w:rPr>
                <w:sz w:val="24"/>
                <w:szCs w:val="24"/>
              </w:rPr>
              <w:t>), and SWG (</w:t>
            </w:r>
            <w:hyperlink w:history="1" r:id="rId26">
              <w:r w:rsidRPr="00807761">
                <w:rPr>
                  <w:rStyle w:val="Hyperlink"/>
                  <w:sz w:val="24"/>
                  <w:szCs w:val="24"/>
                </w:rPr>
                <w:t>https://www.swgas.com/1409184638489/rule15.pdf</w:t>
              </w:r>
            </w:hyperlink>
            <w:r w:rsidRPr="00807761">
              <w:rPr>
                <w:sz w:val="24"/>
                <w:szCs w:val="24"/>
              </w:rPr>
              <w:t xml:space="preserve">, </w:t>
            </w:r>
            <w:hyperlink w:history="1" r:id="rId27">
              <w:r w:rsidRPr="00807761">
                <w:rPr>
                  <w:rStyle w:val="Hyperlink"/>
                  <w:sz w:val="24"/>
                  <w:szCs w:val="24"/>
                </w:rPr>
                <w:t>https://www.swgas.com/1409184638517/RULE_16</w:t>
              </w:r>
              <w:r w:rsidRPr="00807761">
                <w:rPr>
                  <w:rStyle w:val="Hyperlink"/>
                  <w:sz w:val="24"/>
                  <w:szCs w:val="24"/>
                </w:rPr>
                <w:noBreakHyphen/>
                <w:t>-GRC_Eff-April-1-2021.pdf</w:t>
              </w:r>
            </w:hyperlink>
            <w:r w:rsidRPr="00807761">
              <w:rPr>
                <w:sz w:val="24"/>
                <w:szCs w:val="24"/>
              </w:rPr>
              <w:t>), and Gas Rules 20</w:t>
            </w:r>
            <w:r w:rsidRPr="00807761">
              <w:rPr>
                <w:sz w:val="24"/>
                <w:szCs w:val="24"/>
              </w:rPr>
              <w:noBreakHyphen/>
              <w:t>21 for SoCalGas (</w:t>
            </w:r>
            <w:hyperlink w:history="1" r:id="rId28">
              <w:r w:rsidRPr="00807761">
                <w:rPr>
                  <w:rStyle w:val="Hyperlink"/>
                  <w:sz w:val="24"/>
                  <w:szCs w:val="24"/>
                </w:rPr>
                <w:t>https://tariff.socalgas.com/regulatory/tariffs/tm2/pdf/20.pdf</w:t>
              </w:r>
            </w:hyperlink>
            <w:r w:rsidRPr="00807761">
              <w:rPr>
                <w:sz w:val="24"/>
                <w:szCs w:val="24"/>
              </w:rPr>
              <w:t xml:space="preserve">, </w:t>
            </w:r>
            <w:hyperlink w:history="1" r:id="rId29">
              <w:r w:rsidRPr="00807761">
                <w:rPr>
                  <w:rStyle w:val="Hyperlink"/>
                  <w:sz w:val="24"/>
                  <w:szCs w:val="24"/>
                </w:rPr>
                <w:t>https://tariff.socalgas.com/regulatory/tariffs/tm2/pdf/21.pdf</w:t>
              </w:r>
            </w:hyperlink>
            <w:r w:rsidRPr="00807761">
              <w:rPr>
                <w:sz w:val="24"/>
                <w:szCs w:val="24"/>
              </w:rPr>
              <w:t>). Rule 15/20 pertains to gas distribution main extensions and Rule 16/21 pertains to gas service line extensions.</w:t>
            </w:r>
          </w:p>
        </w:tc>
      </w:tr>
      <w:tr w:rsidR="00EA109C" w:rsidTr="00DD339F" w14:paraId="314F328E" w14:textId="77777777">
        <w:trPr>
          <w:jc w:val="center"/>
        </w:trPr>
        <w:tc>
          <w:tcPr>
            <w:tcW w:w="2070" w:type="dxa"/>
          </w:tcPr>
          <w:p w:rsidRPr="00807761" w:rsidR="00EA109C" w:rsidP="00DD339F" w:rsidRDefault="00425981" w14:paraId="6D7DF03B" w14:textId="7BAA63B1">
            <w:pPr>
              <w:pStyle w:val="ALJBodyText"/>
              <w:tabs>
                <w:tab w:val="left" w:pos="2520"/>
              </w:tabs>
              <w:spacing w:line="240" w:lineRule="auto"/>
              <w:ind w:firstLine="0"/>
              <w:rPr>
                <w:sz w:val="24"/>
                <w:szCs w:val="24"/>
              </w:rPr>
            </w:pPr>
            <w:r w:rsidRPr="00425981">
              <w:rPr>
                <w:sz w:val="24"/>
                <w:szCs w:val="24"/>
              </w:rPr>
              <w:lastRenderedPageBreak/>
              <w:t>HCD</w:t>
            </w:r>
          </w:p>
        </w:tc>
        <w:tc>
          <w:tcPr>
            <w:tcW w:w="8377" w:type="dxa"/>
          </w:tcPr>
          <w:p w:rsidRPr="00807761" w:rsidR="00EA109C" w:rsidP="00DD339F" w:rsidRDefault="00425981" w14:paraId="1376029E" w14:textId="0B25D941">
            <w:pPr>
              <w:pStyle w:val="ALJBodyText"/>
              <w:tabs>
                <w:tab w:val="left" w:pos="2520"/>
              </w:tabs>
              <w:spacing w:line="240" w:lineRule="auto"/>
              <w:ind w:firstLine="0"/>
              <w:rPr>
                <w:sz w:val="24"/>
                <w:szCs w:val="24"/>
              </w:rPr>
            </w:pPr>
            <w:r w:rsidRPr="00425981">
              <w:rPr>
                <w:sz w:val="24"/>
                <w:szCs w:val="24"/>
              </w:rPr>
              <w:t>California Department of Housing and Community Development</w:t>
            </w:r>
          </w:p>
        </w:tc>
      </w:tr>
      <w:tr w:rsidR="00B7103B" w:rsidTr="00DD339F" w14:paraId="4BBC0AC4" w14:textId="77777777">
        <w:trPr>
          <w:jc w:val="center"/>
        </w:trPr>
        <w:tc>
          <w:tcPr>
            <w:tcW w:w="2070" w:type="dxa"/>
          </w:tcPr>
          <w:p w:rsidRPr="00807761" w:rsidR="00B7103B" w:rsidP="00DD339F" w:rsidRDefault="00B7103B" w14:paraId="4811BB4E" w14:textId="77777777">
            <w:pPr>
              <w:pStyle w:val="ALJBodyText"/>
              <w:tabs>
                <w:tab w:val="left" w:pos="2520"/>
              </w:tabs>
              <w:spacing w:line="240" w:lineRule="auto"/>
              <w:ind w:firstLine="0"/>
              <w:rPr>
                <w:sz w:val="24"/>
                <w:szCs w:val="24"/>
              </w:rPr>
            </w:pPr>
            <w:r w:rsidRPr="00807761">
              <w:rPr>
                <w:sz w:val="24"/>
                <w:szCs w:val="24"/>
              </w:rPr>
              <w:t>IOUs</w:t>
            </w:r>
          </w:p>
        </w:tc>
        <w:tc>
          <w:tcPr>
            <w:tcW w:w="8377" w:type="dxa"/>
          </w:tcPr>
          <w:p w:rsidRPr="00807761" w:rsidR="00B7103B" w:rsidP="00DD339F" w:rsidRDefault="00B7103B" w14:paraId="6B4B8862" w14:textId="77777777">
            <w:pPr>
              <w:pStyle w:val="ALJBodyText"/>
              <w:tabs>
                <w:tab w:val="left" w:pos="2520"/>
              </w:tabs>
              <w:spacing w:line="240" w:lineRule="auto"/>
              <w:ind w:firstLine="0"/>
              <w:rPr>
                <w:sz w:val="24"/>
                <w:szCs w:val="24"/>
              </w:rPr>
            </w:pPr>
            <w:r w:rsidRPr="00807761">
              <w:rPr>
                <w:sz w:val="24"/>
                <w:szCs w:val="24"/>
              </w:rPr>
              <w:t>Investor-</w:t>
            </w:r>
            <w:r>
              <w:rPr>
                <w:sz w:val="24"/>
                <w:szCs w:val="24"/>
              </w:rPr>
              <w:t>o</w:t>
            </w:r>
            <w:r w:rsidRPr="00807761">
              <w:rPr>
                <w:sz w:val="24"/>
                <w:szCs w:val="24"/>
              </w:rPr>
              <w:t xml:space="preserve">wned </w:t>
            </w:r>
            <w:r>
              <w:rPr>
                <w:sz w:val="24"/>
                <w:szCs w:val="24"/>
              </w:rPr>
              <w:t>u</w:t>
            </w:r>
            <w:r w:rsidRPr="00807761">
              <w:rPr>
                <w:sz w:val="24"/>
                <w:szCs w:val="24"/>
              </w:rPr>
              <w:t>tilities</w:t>
            </w:r>
          </w:p>
        </w:tc>
      </w:tr>
      <w:tr w:rsidR="00B7103B" w:rsidTr="00DD339F" w14:paraId="3AA4893C" w14:textId="77777777">
        <w:trPr>
          <w:jc w:val="center"/>
        </w:trPr>
        <w:tc>
          <w:tcPr>
            <w:tcW w:w="2070" w:type="dxa"/>
          </w:tcPr>
          <w:p w:rsidRPr="00807761" w:rsidR="00B7103B" w:rsidP="00DD339F" w:rsidRDefault="00B7103B" w14:paraId="07F5E217" w14:textId="77777777">
            <w:pPr>
              <w:pStyle w:val="ALJBodyText"/>
              <w:tabs>
                <w:tab w:val="left" w:pos="2520"/>
              </w:tabs>
              <w:spacing w:line="240" w:lineRule="auto"/>
              <w:ind w:firstLine="0"/>
              <w:rPr>
                <w:sz w:val="24"/>
                <w:szCs w:val="24"/>
              </w:rPr>
            </w:pPr>
            <w:r w:rsidRPr="00807761">
              <w:rPr>
                <w:sz w:val="24"/>
                <w:szCs w:val="24"/>
              </w:rPr>
              <w:t>Joint CCAs</w:t>
            </w:r>
          </w:p>
        </w:tc>
        <w:tc>
          <w:tcPr>
            <w:tcW w:w="8377" w:type="dxa"/>
          </w:tcPr>
          <w:p w:rsidRPr="00807761" w:rsidR="00B7103B" w:rsidP="00DD339F" w:rsidRDefault="00B7103B" w14:paraId="7EEF3A82" w14:textId="77777777">
            <w:pPr>
              <w:pStyle w:val="ALJBodyText"/>
              <w:tabs>
                <w:tab w:val="left" w:pos="2520"/>
              </w:tabs>
              <w:spacing w:line="240" w:lineRule="auto"/>
              <w:ind w:firstLine="0"/>
              <w:rPr>
                <w:sz w:val="24"/>
                <w:szCs w:val="24"/>
              </w:rPr>
            </w:pPr>
            <w:r w:rsidRPr="00807761">
              <w:rPr>
                <w:sz w:val="24"/>
                <w:szCs w:val="24"/>
              </w:rPr>
              <w:t xml:space="preserve">EBCE, Marin Clean Energy, Peninsula Clean Energy, and Sonoma Clean Power </w:t>
            </w:r>
          </w:p>
        </w:tc>
      </w:tr>
      <w:tr w:rsidR="00B7103B" w:rsidTr="00DD339F" w14:paraId="7920CD48" w14:textId="77777777">
        <w:trPr>
          <w:jc w:val="center"/>
        </w:trPr>
        <w:tc>
          <w:tcPr>
            <w:tcW w:w="2070" w:type="dxa"/>
          </w:tcPr>
          <w:p w:rsidRPr="00807761" w:rsidR="00B7103B" w:rsidP="00DD339F" w:rsidRDefault="00B7103B" w14:paraId="55318DF3" w14:textId="77777777">
            <w:pPr>
              <w:pStyle w:val="ALJBodyText"/>
              <w:tabs>
                <w:tab w:val="left" w:pos="2520"/>
              </w:tabs>
              <w:spacing w:line="240" w:lineRule="auto"/>
              <w:ind w:firstLine="0"/>
              <w:rPr>
                <w:sz w:val="24"/>
                <w:szCs w:val="24"/>
              </w:rPr>
            </w:pPr>
            <w:r w:rsidRPr="00807761">
              <w:rPr>
                <w:sz w:val="24"/>
                <w:szCs w:val="24"/>
              </w:rPr>
              <w:t>Joint IOUs</w:t>
            </w:r>
          </w:p>
        </w:tc>
        <w:tc>
          <w:tcPr>
            <w:tcW w:w="8377" w:type="dxa"/>
          </w:tcPr>
          <w:p w:rsidRPr="00807761" w:rsidR="00B7103B" w:rsidP="00DD339F" w:rsidRDefault="00B7103B" w14:paraId="691F843B" w14:textId="77777777">
            <w:pPr>
              <w:pStyle w:val="ALJBodyText"/>
              <w:tabs>
                <w:tab w:val="left" w:pos="2520"/>
              </w:tabs>
              <w:spacing w:line="240" w:lineRule="auto"/>
              <w:ind w:firstLine="0"/>
              <w:rPr>
                <w:sz w:val="24"/>
                <w:szCs w:val="24"/>
              </w:rPr>
            </w:pPr>
            <w:r>
              <w:rPr>
                <w:sz w:val="24"/>
                <w:szCs w:val="24"/>
              </w:rPr>
              <w:t>Pacific Gas and Electric Company,</w:t>
            </w:r>
            <w:r w:rsidRPr="00807761">
              <w:rPr>
                <w:sz w:val="24"/>
                <w:szCs w:val="24"/>
              </w:rPr>
              <w:t xml:space="preserve"> S</w:t>
            </w:r>
            <w:r>
              <w:rPr>
                <w:sz w:val="24"/>
                <w:szCs w:val="24"/>
              </w:rPr>
              <w:t xml:space="preserve">an </w:t>
            </w:r>
            <w:r w:rsidRPr="00807761">
              <w:rPr>
                <w:sz w:val="24"/>
                <w:szCs w:val="24"/>
              </w:rPr>
              <w:t>D</w:t>
            </w:r>
            <w:r>
              <w:rPr>
                <w:sz w:val="24"/>
                <w:szCs w:val="24"/>
              </w:rPr>
              <w:t xml:space="preserve">iego </w:t>
            </w:r>
            <w:r w:rsidRPr="00807761">
              <w:rPr>
                <w:sz w:val="24"/>
                <w:szCs w:val="24"/>
              </w:rPr>
              <w:t>G</w:t>
            </w:r>
            <w:r>
              <w:rPr>
                <w:sz w:val="24"/>
                <w:szCs w:val="24"/>
              </w:rPr>
              <w:t xml:space="preserve">as </w:t>
            </w:r>
            <w:r w:rsidRPr="00807761">
              <w:rPr>
                <w:sz w:val="24"/>
                <w:szCs w:val="24"/>
              </w:rPr>
              <w:t>&amp;</w:t>
            </w:r>
            <w:r>
              <w:rPr>
                <w:sz w:val="24"/>
                <w:szCs w:val="24"/>
              </w:rPr>
              <w:t xml:space="preserve"> Electric Company</w:t>
            </w:r>
            <w:r w:rsidRPr="00807761">
              <w:rPr>
                <w:sz w:val="24"/>
                <w:szCs w:val="24"/>
              </w:rPr>
              <w:t>, and S</w:t>
            </w:r>
            <w:r>
              <w:rPr>
                <w:sz w:val="24"/>
                <w:szCs w:val="24"/>
              </w:rPr>
              <w:t>outhern California Gas Company</w:t>
            </w:r>
          </w:p>
        </w:tc>
      </w:tr>
      <w:tr w:rsidR="00B7103B" w:rsidTr="00DD339F" w14:paraId="16D07253" w14:textId="77777777">
        <w:trPr>
          <w:jc w:val="center"/>
        </w:trPr>
        <w:tc>
          <w:tcPr>
            <w:tcW w:w="2070" w:type="dxa"/>
          </w:tcPr>
          <w:p w:rsidRPr="00807761" w:rsidR="00B7103B" w:rsidP="00DD339F" w:rsidRDefault="00B7103B" w14:paraId="7A703B0A" w14:textId="77777777">
            <w:pPr>
              <w:pStyle w:val="ALJBodyText"/>
              <w:tabs>
                <w:tab w:val="left" w:pos="2520"/>
              </w:tabs>
              <w:spacing w:line="240" w:lineRule="auto"/>
              <w:ind w:firstLine="0"/>
              <w:rPr>
                <w:sz w:val="24"/>
                <w:szCs w:val="24"/>
              </w:rPr>
            </w:pPr>
            <w:r w:rsidRPr="00807761">
              <w:rPr>
                <w:sz w:val="24"/>
                <w:szCs w:val="24"/>
              </w:rPr>
              <w:t>Joint Parties</w:t>
            </w:r>
          </w:p>
        </w:tc>
        <w:tc>
          <w:tcPr>
            <w:tcW w:w="8377" w:type="dxa"/>
          </w:tcPr>
          <w:p w:rsidRPr="00807761" w:rsidR="00B7103B" w:rsidP="00DD339F" w:rsidRDefault="00B7103B" w14:paraId="3E95E073" w14:textId="77777777">
            <w:pPr>
              <w:pStyle w:val="ALJBodyText"/>
              <w:tabs>
                <w:tab w:val="left" w:pos="2520"/>
              </w:tabs>
              <w:spacing w:line="240" w:lineRule="auto"/>
              <w:ind w:firstLine="0"/>
              <w:rPr>
                <w:sz w:val="24"/>
                <w:szCs w:val="24"/>
              </w:rPr>
            </w:pPr>
            <w:r w:rsidRPr="00807761">
              <w:rPr>
                <w:sz w:val="24"/>
                <w:szCs w:val="24"/>
              </w:rPr>
              <w:t>California Environmental Justice Alliance, Environmental Defense Fund, Natural Resources Defense Council, and Sierra Club</w:t>
            </w:r>
          </w:p>
        </w:tc>
      </w:tr>
      <w:tr w:rsidR="00B7103B" w:rsidTr="00DD339F" w14:paraId="6C3F2EC3" w14:textId="77777777">
        <w:trPr>
          <w:jc w:val="center"/>
        </w:trPr>
        <w:tc>
          <w:tcPr>
            <w:tcW w:w="2070" w:type="dxa"/>
          </w:tcPr>
          <w:p w:rsidRPr="00807761" w:rsidR="00B7103B" w:rsidP="00DD339F" w:rsidRDefault="00B7103B" w14:paraId="55BE85C2" w14:textId="77777777">
            <w:pPr>
              <w:pStyle w:val="ALJBodyText"/>
              <w:tabs>
                <w:tab w:val="left" w:pos="2520"/>
              </w:tabs>
              <w:spacing w:line="240" w:lineRule="auto"/>
              <w:ind w:firstLine="0"/>
              <w:rPr>
                <w:sz w:val="24"/>
                <w:szCs w:val="24"/>
              </w:rPr>
            </w:pPr>
            <w:r w:rsidRPr="00807761">
              <w:rPr>
                <w:sz w:val="24"/>
                <w:szCs w:val="24"/>
              </w:rPr>
              <w:t>MCE</w:t>
            </w:r>
          </w:p>
        </w:tc>
        <w:tc>
          <w:tcPr>
            <w:tcW w:w="8377" w:type="dxa"/>
          </w:tcPr>
          <w:p w:rsidRPr="00807761" w:rsidR="00B7103B" w:rsidP="00DD339F" w:rsidRDefault="00B7103B" w14:paraId="091E58BE" w14:textId="77777777">
            <w:pPr>
              <w:pStyle w:val="ALJBodyText"/>
              <w:tabs>
                <w:tab w:val="left" w:pos="2520"/>
              </w:tabs>
              <w:spacing w:line="240" w:lineRule="auto"/>
              <w:ind w:firstLine="0"/>
              <w:rPr>
                <w:sz w:val="24"/>
                <w:szCs w:val="24"/>
              </w:rPr>
            </w:pPr>
            <w:r w:rsidRPr="00807761">
              <w:rPr>
                <w:sz w:val="24"/>
                <w:szCs w:val="24"/>
              </w:rPr>
              <w:t>Marin Clean Energy</w:t>
            </w:r>
          </w:p>
        </w:tc>
      </w:tr>
      <w:tr w:rsidR="00B7103B" w:rsidTr="00DD339F" w14:paraId="2146BDC1" w14:textId="77777777">
        <w:trPr>
          <w:jc w:val="center"/>
        </w:trPr>
        <w:tc>
          <w:tcPr>
            <w:tcW w:w="2070" w:type="dxa"/>
          </w:tcPr>
          <w:p w:rsidRPr="00807761" w:rsidR="00B7103B" w:rsidP="00DD339F" w:rsidRDefault="00B7103B" w14:paraId="4EF1E274" w14:textId="77777777">
            <w:pPr>
              <w:pStyle w:val="ALJBodyText"/>
              <w:tabs>
                <w:tab w:val="left" w:pos="2520"/>
              </w:tabs>
              <w:spacing w:line="240" w:lineRule="auto"/>
              <w:ind w:firstLine="0"/>
              <w:rPr>
                <w:sz w:val="24"/>
                <w:szCs w:val="24"/>
              </w:rPr>
            </w:pPr>
            <w:r w:rsidRPr="00807761">
              <w:rPr>
                <w:sz w:val="24"/>
                <w:szCs w:val="24"/>
              </w:rPr>
              <w:t>NRDC</w:t>
            </w:r>
          </w:p>
        </w:tc>
        <w:tc>
          <w:tcPr>
            <w:tcW w:w="8377" w:type="dxa"/>
          </w:tcPr>
          <w:p w:rsidRPr="00807761" w:rsidR="00B7103B" w:rsidP="00DD339F" w:rsidRDefault="00B7103B" w14:paraId="30896079" w14:textId="77777777">
            <w:pPr>
              <w:pStyle w:val="ALJBodyText"/>
              <w:tabs>
                <w:tab w:val="left" w:pos="2520"/>
              </w:tabs>
              <w:spacing w:line="240" w:lineRule="auto"/>
              <w:ind w:firstLine="0"/>
              <w:rPr>
                <w:sz w:val="24"/>
                <w:szCs w:val="24"/>
              </w:rPr>
            </w:pPr>
            <w:r w:rsidRPr="00807761">
              <w:rPr>
                <w:sz w:val="24"/>
                <w:szCs w:val="24"/>
              </w:rPr>
              <w:t>Natural Resources Defense Council</w:t>
            </w:r>
          </w:p>
        </w:tc>
      </w:tr>
      <w:tr w:rsidR="00B7103B" w:rsidTr="00DD339F" w14:paraId="66E14546" w14:textId="77777777">
        <w:trPr>
          <w:jc w:val="center"/>
        </w:trPr>
        <w:tc>
          <w:tcPr>
            <w:tcW w:w="2070" w:type="dxa"/>
          </w:tcPr>
          <w:p w:rsidRPr="00807761" w:rsidR="00B7103B" w:rsidP="00DD339F" w:rsidRDefault="00B7103B" w14:paraId="31EA46A4" w14:textId="77777777">
            <w:pPr>
              <w:pStyle w:val="ALJBodyText"/>
              <w:tabs>
                <w:tab w:val="left" w:pos="2520"/>
              </w:tabs>
              <w:spacing w:line="240" w:lineRule="auto"/>
              <w:ind w:firstLine="0"/>
              <w:rPr>
                <w:sz w:val="24"/>
                <w:szCs w:val="24"/>
              </w:rPr>
            </w:pPr>
            <w:r>
              <w:rPr>
                <w:sz w:val="24"/>
                <w:szCs w:val="24"/>
              </w:rPr>
              <w:t>OIR</w:t>
            </w:r>
          </w:p>
        </w:tc>
        <w:tc>
          <w:tcPr>
            <w:tcW w:w="8377" w:type="dxa"/>
          </w:tcPr>
          <w:p w:rsidRPr="00807761" w:rsidR="00B7103B" w:rsidP="00DD339F" w:rsidRDefault="00B7103B" w14:paraId="03A4DDE5" w14:textId="77777777">
            <w:pPr>
              <w:pStyle w:val="ALJBodyText"/>
              <w:tabs>
                <w:tab w:val="left" w:pos="2520"/>
              </w:tabs>
              <w:spacing w:line="240" w:lineRule="auto"/>
              <w:ind w:firstLine="0"/>
              <w:rPr>
                <w:sz w:val="24"/>
                <w:szCs w:val="24"/>
              </w:rPr>
            </w:pPr>
            <w:r>
              <w:rPr>
                <w:sz w:val="24"/>
                <w:szCs w:val="24"/>
              </w:rPr>
              <w:t>Order Instituting Rulemaking</w:t>
            </w:r>
          </w:p>
        </w:tc>
      </w:tr>
      <w:tr w:rsidR="00B7103B" w:rsidTr="00DD339F" w14:paraId="73CF414D" w14:textId="77777777">
        <w:trPr>
          <w:jc w:val="center"/>
        </w:trPr>
        <w:tc>
          <w:tcPr>
            <w:tcW w:w="2070" w:type="dxa"/>
          </w:tcPr>
          <w:p w:rsidRPr="00807761" w:rsidR="00B7103B" w:rsidP="00DD339F" w:rsidRDefault="00B7103B" w14:paraId="6B2B7946" w14:textId="77777777">
            <w:pPr>
              <w:pStyle w:val="ALJBodyText"/>
              <w:tabs>
                <w:tab w:val="left" w:pos="2520"/>
              </w:tabs>
              <w:spacing w:line="240" w:lineRule="auto"/>
              <w:ind w:firstLine="0"/>
              <w:rPr>
                <w:sz w:val="24"/>
                <w:szCs w:val="24"/>
              </w:rPr>
            </w:pPr>
            <w:r w:rsidRPr="00807761">
              <w:rPr>
                <w:sz w:val="24"/>
                <w:szCs w:val="24"/>
              </w:rPr>
              <w:t>OP</w:t>
            </w:r>
          </w:p>
        </w:tc>
        <w:tc>
          <w:tcPr>
            <w:tcW w:w="8377" w:type="dxa"/>
          </w:tcPr>
          <w:p w:rsidRPr="00807761" w:rsidR="00B7103B" w:rsidP="00DD339F" w:rsidRDefault="00B7103B" w14:paraId="7DD87361" w14:textId="77777777">
            <w:pPr>
              <w:pStyle w:val="ALJBodyText"/>
              <w:tabs>
                <w:tab w:val="left" w:pos="2520"/>
              </w:tabs>
              <w:spacing w:line="240" w:lineRule="auto"/>
              <w:ind w:firstLine="0"/>
              <w:rPr>
                <w:sz w:val="24"/>
                <w:szCs w:val="24"/>
              </w:rPr>
            </w:pPr>
            <w:r w:rsidRPr="00807761">
              <w:rPr>
                <w:sz w:val="24"/>
                <w:szCs w:val="24"/>
              </w:rPr>
              <w:t>Ordering Paragraph</w:t>
            </w:r>
          </w:p>
        </w:tc>
      </w:tr>
      <w:tr w:rsidR="00B7103B" w:rsidTr="00DD339F" w14:paraId="7D4716AE" w14:textId="77777777">
        <w:trPr>
          <w:jc w:val="center"/>
        </w:trPr>
        <w:tc>
          <w:tcPr>
            <w:tcW w:w="2070" w:type="dxa"/>
          </w:tcPr>
          <w:p w:rsidRPr="00807761" w:rsidR="00B7103B" w:rsidP="00DD339F" w:rsidRDefault="00B7103B" w14:paraId="71092AEB" w14:textId="77777777">
            <w:pPr>
              <w:pStyle w:val="ALJBodyText"/>
              <w:tabs>
                <w:tab w:val="left" w:pos="2520"/>
              </w:tabs>
              <w:spacing w:line="240" w:lineRule="auto"/>
              <w:ind w:firstLine="0"/>
              <w:rPr>
                <w:sz w:val="24"/>
                <w:szCs w:val="24"/>
              </w:rPr>
            </w:pPr>
            <w:r w:rsidRPr="00807761">
              <w:rPr>
                <w:sz w:val="24"/>
                <w:szCs w:val="24"/>
              </w:rPr>
              <w:t>PCE</w:t>
            </w:r>
          </w:p>
        </w:tc>
        <w:tc>
          <w:tcPr>
            <w:tcW w:w="8377" w:type="dxa"/>
          </w:tcPr>
          <w:p w:rsidRPr="00807761" w:rsidR="00B7103B" w:rsidP="00DD339F" w:rsidRDefault="00B7103B" w14:paraId="07C074A2" w14:textId="77777777">
            <w:pPr>
              <w:pStyle w:val="ALJBodyText"/>
              <w:tabs>
                <w:tab w:val="left" w:pos="2520"/>
              </w:tabs>
              <w:spacing w:line="240" w:lineRule="auto"/>
              <w:ind w:firstLine="0"/>
              <w:rPr>
                <w:sz w:val="24"/>
                <w:szCs w:val="24"/>
              </w:rPr>
            </w:pPr>
            <w:r w:rsidRPr="00807761">
              <w:rPr>
                <w:sz w:val="24"/>
                <w:szCs w:val="24"/>
              </w:rPr>
              <w:t>Peninsula Clean Energy</w:t>
            </w:r>
          </w:p>
        </w:tc>
      </w:tr>
      <w:tr w:rsidR="00B7103B" w:rsidTr="00DD339F" w14:paraId="77167E8E" w14:textId="77777777">
        <w:trPr>
          <w:jc w:val="center"/>
        </w:trPr>
        <w:tc>
          <w:tcPr>
            <w:tcW w:w="2070" w:type="dxa"/>
          </w:tcPr>
          <w:p w:rsidRPr="00807761" w:rsidR="00B7103B" w:rsidP="00DD339F" w:rsidRDefault="00B7103B" w14:paraId="2B3E1B61" w14:textId="77777777">
            <w:pPr>
              <w:pStyle w:val="ALJBodyText"/>
              <w:tabs>
                <w:tab w:val="left" w:pos="2520"/>
              </w:tabs>
              <w:spacing w:line="240" w:lineRule="auto"/>
              <w:ind w:firstLine="0"/>
              <w:rPr>
                <w:sz w:val="24"/>
                <w:szCs w:val="24"/>
              </w:rPr>
            </w:pPr>
            <w:r w:rsidRPr="00807761">
              <w:rPr>
                <w:sz w:val="24"/>
                <w:szCs w:val="24"/>
              </w:rPr>
              <w:t>PG&amp;E</w:t>
            </w:r>
          </w:p>
        </w:tc>
        <w:tc>
          <w:tcPr>
            <w:tcW w:w="8377" w:type="dxa"/>
          </w:tcPr>
          <w:p w:rsidRPr="00807761" w:rsidR="00B7103B" w:rsidP="00DD339F" w:rsidRDefault="00B7103B" w14:paraId="08AD2FFC" w14:textId="77777777">
            <w:pPr>
              <w:pStyle w:val="ALJBodyText"/>
              <w:tabs>
                <w:tab w:val="left" w:pos="2520"/>
              </w:tabs>
              <w:spacing w:line="240" w:lineRule="auto"/>
              <w:ind w:firstLine="0"/>
              <w:rPr>
                <w:sz w:val="24"/>
                <w:szCs w:val="24"/>
              </w:rPr>
            </w:pPr>
            <w:r w:rsidRPr="00807761">
              <w:rPr>
                <w:sz w:val="24"/>
                <w:szCs w:val="24"/>
              </w:rPr>
              <w:t>Pacific Gas and Electric Company</w:t>
            </w:r>
          </w:p>
        </w:tc>
      </w:tr>
      <w:tr w:rsidR="00B7103B" w:rsidTr="00DD339F" w14:paraId="57CB8E90" w14:textId="77777777">
        <w:trPr>
          <w:jc w:val="center"/>
        </w:trPr>
        <w:tc>
          <w:tcPr>
            <w:tcW w:w="2070" w:type="dxa"/>
          </w:tcPr>
          <w:p w:rsidRPr="00807761" w:rsidR="00B7103B" w:rsidP="00DD339F" w:rsidRDefault="00B7103B" w14:paraId="35020DA4" w14:textId="77777777">
            <w:pPr>
              <w:pStyle w:val="ALJBodyText"/>
              <w:tabs>
                <w:tab w:val="left" w:pos="2520"/>
              </w:tabs>
              <w:spacing w:line="240" w:lineRule="auto"/>
              <w:ind w:firstLine="0"/>
              <w:rPr>
                <w:sz w:val="24"/>
                <w:szCs w:val="24"/>
              </w:rPr>
            </w:pPr>
            <w:r>
              <w:rPr>
                <w:sz w:val="24"/>
                <w:szCs w:val="24"/>
              </w:rPr>
              <w:t>Phase I</w:t>
            </w:r>
            <w:r w:rsidRPr="00807761">
              <w:rPr>
                <w:sz w:val="24"/>
                <w:szCs w:val="24"/>
              </w:rPr>
              <w:t xml:space="preserve"> Decision</w:t>
            </w:r>
          </w:p>
        </w:tc>
        <w:tc>
          <w:tcPr>
            <w:tcW w:w="8377" w:type="dxa"/>
          </w:tcPr>
          <w:p w:rsidRPr="00807761" w:rsidR="00B7103B" w:rsidP="00DD339F" w:rsidRDefault="00B7103B" w14:paraId="2AD21064" w14:textId="77777777">
            <w:pPr>
              <w:pStyle w:val="ALJBodyText"/>
              <w:tabs>
                <w:tab w:val="left" w:pos="2520"/>
              </w:tabs>
              <w:spacing w:line="240" w:lineRule="auto"/>
              <w:ind w:firstLine="0"/>
              <w:rPr>
                <w:sz w:val="24"/>
                <w:szCs w:val="24"/>
              </w:rPr>
            </w:pPr>
            <w:r w:rsidRPr="00807761">
              <w:rPr>
                <w:sz w:val="24"/>
                <w:szCs w:val="24"/>
              </w:rPr>
              <w:t>D.20-03-027 established the two building decarbonization pilot programs required by SB 1477: the BUILD Program and the TECH</w:t>
            </w:r>
            <w:r w:rsidRPr="00807761" w:rsidDel="00C10105">
              <w:rPr>
                <w:sz w:val="24"/>
                <w:szCs w:val="24"/>
              </w:rPr>
              <w:t xml:space="preserve"> Initiative</w:t>
            </w:r>
            <w:r w:rsidRPr="00807761">
              <w:rPr>
                <w:sz w:val="24"/>
                <w:szCs w:val="24"/>
              </w:rPr>
              <w:t>.</w:t>
            </w:r>
          </w:p>
        </w:tc>
      </w:tr>
      <w:tr w:rsidR="00B7103B" w:rsidTr="00DD339F" w14:paraId="11836292" w14:textId="77777777">
        <w:trPr>
          <w:jc w:val="center"/>
        </w:trPr>
        <w:tc>
          <w:tcPr>
            <w:tcW w:w="2070" w:type="dxa"/>
          </w:tcPr>
          <w:p w:rsidRPr="00807761" w:rsidR="00B7103B" w:rsidP="00DD339F" w:rsidRDefault="00B7103B" w14:paraId="37291A08" w14:textId="77777777">
            <w:pPr>
              <w:pStyle w:val="ALJBodyText"/>
              <w:tabs>
                <w:tab w:val="left" w:pos="2520"/>
              </w:tabs>
              <w:spacing w:line="240" w:lineRule="auto"/>
              <w:ind w:firstLine="0"/>
              <w:rPr>
                <w:sz w:val="24"/>
                <w:szCs w:val="24"/>
              </w:rPr>
            </w:pPr>
            <w:r>
              <w:rPr>
                <w:sz w:val="24"/>
                <w:szCs w:val="24"/>
              </w:rPr>
              <w:t>Phase I</w:t>
            </w:r>
            <w:r w:rsidRPr="00807761">
              <w:rPr>
                <w:sz w:val="24"/>
                <w:szCs w:val="24"/>
              </w:rPr>
              <w:t>I Decision</w:t>
            </w:r>
          </w:p>
        </w:tc>
        <w:tc>
          <w:tcPr>
            <w:tcW w:w="8377" w:type="dxa"/>
          </w:tcPr>
          <w:p w:rsidRPr="00807761" w:rsidR="00B7103B" w:rsidP="00DD339F" w:rsidRDefault="00B7103B" w14:paraId="3ED87814" w14:textId="77777777">
            <w:pPr>
              <w:pStyle w:val="ALJBodyText"/>
              <w:tabs>
                <w:tab w:val="left" w:pos="2520"/>
              </w:tabs>
              <w:spacing w:line="240" w:lineRule="auto"/>
              <w:ind w:firstLine="0"/>
              <w:rPr>
                <w:sz w:val="24"/>
                <w:szCs w:val="24"/>
              </w:rPr>
            </w:pPr>
            <w:r>
              <w:rPr>
                <w:sz w:val="24"/>
                <w:szCs w:val="24"/>
              </w:rPr>
              <w:t>D.</w:t>
            </w:r>
            <w:r w:rsidRPr="00807761">
              <w:rPr>
                <w:sz w:val="24"/>
                <w:szCs w:val="24"/>
              </w:rPr>
              <w:t>21-11-002 (1) adopted</w:t>
            </w:r>
            <w:r w:rsidRPr="00807761" w:rsidDel="00D922E9">
              <w:rPr>
                <w:sz w:val="24"/>
                <w:szCs w:val="24"/>
              </w:rPr>
              <w:t xml:space="preserve"> </w:t>
            </w:r>
            <w:r w:rsidRPr="00807761">
              <w:rPr>
                <w:sz w:val="24"/>
                <w:szCs w:val="24"/>
              </w:rPr>
              <w:t>guiding principles for the layering of incentives when multiple programs fund the same equipment; (2) established the WNDRR Program to provide financial incentives to help victims of wildfires and natural disasters rebuild all</w:t>
            </w:r>
            <w:r w:rsidRPr="00807761">
              <w:rPr>
                <w:sz w:val="24"/>
                <w:szCs w:val="24"/>
              </w:rPr>
              <w:noBreakHyphen/>
              <w:t>electric properties; (3) provided guidance on data sharing; and (4) directed California’s three large electric investor</w:t>
            </w:r>
            <w:r w:rsidRPr="00807761">
              <w:rPr>
                <w:sz w:val="24"/>
                <w:szCs w:val="24"/>
              </w:rPr>
              <w:noBreakHyphen/>
              <w:t>owned utilities (IOUs)</w:t>
            </w:r>
          </w:p>
        </w:tc>
      </w:tr>
      <w:tr w:rsidR="00B7103B" w:rsidTr="00DD339F" w14:paraId="02252D1B" w14:textId="77777777">
        <w:trPr>
          <w:jc w:val="center"/>
        </w:trPr>
        <w:tc>
          <w:tcPr>
            <w:tcW w:w="2070" w:type="dxa"/>
          </w:tcPr>
          <w:p w:rsidR="00B7103B" w:rsidP="00DD339F" w:rsidRDefault="00B7103B" w14:paraId="78694391" w14:textId="77777777">
            <w:pPr>
              <w:pStyle w:val="ALJBodyText"/>
              <w:tabs>
                <w:tab w:val="left" w:pos="2520"/>
              </w:tabs>
              <w:spacing w:line="240" w:lineRule="auto"/>
              <w:ind w:firstLine="0"/>
              <w:rPr>
                <w:sz w:val="24"/>
                <w:szCs w:val="24"/>
              </w:rPr>
            </w:pPr>
            <w:r>
              <w:rPr>
                <w:sz w:val="24"/>
                <w:szCs w:val="24"/>
              </w:rPr>
              <w:lastRenderedPageBreak/>
              <w:t>Phase I</w:t>
            </w:r>
            <w:r w:rsidRPr="00807761">
              <w:rPr>
                <w:sz w:val="24"/>
                <w:szCs w:val="24"/>
              </w:rPr>
              <w:t xml:space="preserve">II </w:t>
            </w:r>
          </w:p>
          <w:p w:rsidRPr="00807761" w:rsidR="00B7103B" w:rsidP="00DD339F" w:rsidRDefault="00B7103B" w14:paraId="79520B48" w14:textId="77777777">
            <w:pPr>
              <w:pStyle w:val="ALJBodyText"/>
              <w:tabs>
                <w:tab w:val="left" w:pos="2520"/>
              </w:tabs>
              <w:spacing w:line="240" w:lineRule="auto"/>
              <w:ind w:firstLine="0"/>
              <w:rPr>
                <w:sz w:val="24"/>
                <w:szCs w:val="24"/>
              </w:rPr>
            </w:pPr>
            <w:r w:rsidRPr="00807761">
              <w:rPr>
                <w:sz w:val="24"/>
                <w:szCs w:val="24"/>
              </w:rPr>
              <w:t xml:space="preserve">Scoping Memo </w:t>
            </w:r>
          </w:p>
        </w:tc>
        <w:tc>
          <w:tcPr>
            <w:tcW w:w="8377" w:type="dxa"/>
          </w:tcPr>
          <w:p w:rsidRPr="00807761" w:rsidR="00B7103B" w:rsidP="00DD339F" w:rsidRDefault="00B7103B" w14:paraId="5B87C1DD" w14:textId="77777777">
            <w:pPr>
              <w:pStyle w:val="ALJBodyText"/>
              <w:tabs>
                <w:tab w:val="left" w:pos="2520"/>
              </w:tabs>
              <w:spacing w:line="240" w:lineRule="auto"/>
              <w:ind w:firstLine="0"/>
              <w:rPr>
                <w:sz w:val="24"/>
                <w:szCs w:val="24"/>
              </w:rPr>
            </w:pPr>
            <w:r>
              <w:rPr>
                <w:sz w:val="24"/>
                <w:szCs w:val="24"/>
              </w:rPr>
              <w:t xml:space="preserve">An </w:t>
            </w:r>
            <w:r w:rsidRPr="00807761">
              <w:rPr>
                <w:sz w:val="24"/>
                <w:szCs w:val="24"/>
              </w:rPr>
              <w:t xml:space="preserve">Amended Scoping Memo and Ruling setting forth the issues to be considered in </w:t>
            </w:r>
            <w:r>
              <w:rPr>
                <w:sz w:val="24"/>
                <w:szCs w:val="24"/>
              </w:rPr>
              <w:t>Phase I</w:t>
            </w:r>
            <w:r w:rsidRPr="00807761">
              <w:rPr>
                <w:sz w:val="24"/>
                <w:szCs w:val="24"/>
              </w:rPr>
              <w:t>II of this proceeding</w:t>
            </w:r>
            <w:r>
              <w:rPr>
                <w:sz w:val="24"/>
                <w:szCs w:val="24"/>
              </w:rPr>
              <w:t xml:space="preserve"> issued on November 16, 2021</w:t>
            </w:r>
            <w:r w:rsidRPr="00807761">
              <w:rPr>
                <w:sz w:val="24"/>
                <w:szCs w:val="24"/>
              </w:rPr>
              <w:t>.</w:t>
            </w:r>
          </w:p>
        </w:tc>
      </w:tr>
      <w:tr w:rsidR="00B7103B" w:rsidTr="00DD339F" w14:paraId="622BFD1D" w14:textId="77777777">
        <w:trPr>
          <w:jc w:val="center"/>
        </w:trPr>
        <w:tc>
          <w:tcPr>
            <w:tcW w:w="2070" w:type="dxa"/>
          </w:tcPr>
          <w:p w:rsidRPr="00807761" w:rsidR="00B7103B" w:rsidP="00DD339F" w:rsidRDefault="00B7103B" w14:paraId="674014E9" w14:textId="77777777">
            <w:pPr>
              <w:pStyle w:val="ALJBodyText"/>
              <w:tabs>
                <w:tab w:val="left" w:pos="2520"/>
              </w:tabs>
              <w:spacing w:line="240" w:lineRule="auto"/>
              <w:ind w:firstLine="0"/>
              <w:rPr>
                <w:sz w:val="24"/>
                <w:szCs w:val="24"/>
              </w:rPr>
            </w:pPr>
            <w:r w:rsidRPr="00807761">
              <w:rPr>
                <w:sz w:val="24"/>
                <w:szCs w:val="24"/>
              </w:rPr>
              <w:t>Pub. Util. Code</w:t>
            </w:r>
          </w:p>
        </w:tc>
        <w:tc>
          <w:tcPr>
            <w:tcW w:w="8377" w:type="dxa"/>
          </w:tcPr>
          <w:p w:rsidRPr="00807761" w:rsidR="00B7103B" w:rsidP="00DD339F" w:rsidRDefault="00B7103B" w14:paraId="206F2004" w14:textId="77777777">
            <w:pPr>
              <w:pStyle w:val="ALJBodyText"/>
              <w:tabs>
                <w:tab w:val="left" w:pos="2520"/>
              </w:tabs>
              <w:spacing w:line="240" w:lineRule="auto"/>
              <w:ind w:firstLine="0"/>
              <w:rPr>
                <w:sz w:val="24"/>
                <w:szCs w:val="24"/>
              </w:rPr>
            </w:pPr>
            <w:r w:rsidRPr="00807761">
              <w:rPr>
                <w:sz w:val="24"/>
                <w:szCs w:val="24"/>
              </w:rPr>
              <w:t>Public Utilities Code</w:t>
            </w:r>
          </w:p>
        </w:tc>
      </w:tr>
      <w:tr w:rsidR="00B7103B" w:rsidTr="00DD339F" w14:paraId="4AB0780C" w14:textId="77777777">
        <w:trPr>
          <w:jc w:val="center"/>
        </w:trPr>
        <w:tc>
          <w:tcPr>
            <w:tcW w:w="2070" w:type="dxa"/>
          </w:tcPr>
          <w:p w:rsidRPr="00807761" w:rsidR="00B7103B" w:rsidP="00DD339F" w:rsidRDefault="00B7103B" w14:paraId="4C9A1C33" w14:textId="77777777">
            <w:pPr>
              <w:pStyle w:val="ALJBodyText"/>
              <w:tabs>
                <w:tab w:val="left" w:pos="2520"/>
              </w:tabs>
              <w:spacing w:line="240" w:lineRule="auto"/>
              <w:ind w:firstLine="0"/>
              <w:rPr>
                <w:sz w:val="24"/>
                <w:szCs w:val="24"/>
              </w:rPr>
            </w:pPr>
            <w:r w:rsidRPr="00807761">
              <w:rPr>
                <w:sz w:val="24"/>
                <w:szCs w:val="24"/>
              </w:rPr>
              <w:t>R.</w:t>
            </w:r>
          </w:p>
        </w:tc>
        <w:tc>
          <w:tcPr>
            <w:tcW w:w="8377" w:type="dxa"/>
          </w:tcPr>
          <w:p w:rsidRPr="00807761" w:rsidR="00B7103B" w:rsidP="00DD339F" w:rsidRDefault="00B7103B" w14:paraId="4F38A220" w14:textId="77777777">
            <w:pPr>
              <w:pStyle w:val="ALJBodyText"/>
              <w:tabs>
                <w:tab w:val="left" w:pos="2520"/>
              </w:tabs>
              <w:spacing w:line="240" w:lineRule="auto"/>
              <w:ind w:firstLine="0"/>
              <w:rPr>
                <w:sz w:val="24"/>
                <w:szCs w:val="24"/>
              </w:rPr>
            </w:pPr>
            <w:r w:rsidRPr="00807761">
              <w:rPr>
                <w:sz w:val="24"/>
                <w:szCs w:val="24"/>
              </w:rPr>
              <w:t xml:space="preserve">Rulemaking </w:t>
            </w:r>
          </w:p>
        </w:tc>
      </w:tr>
      <w:tr w:rsidR="00B7103B" w:rsidTr="00DD339F" w14:paraId="0BC6AD01" w14:textId="77777777">
        <w:trPr>
          <w:jc w:val="center"/>
        </w:trPr>
        <w:tc>
          <w:tcPr>
            <w:tcW w:w="2070" w:type="dxa"/>
          </w:tcPr>
          <w:p w:rsidRPr="00807761" w:rsidR="00B7103B" w:rsidP="00DD339F" w:rsidRDefault="00B7103B" w14:paraId="6EFA36B4" w14:textId="77777777">
            <w:pPr>
              <w:pStyle w:val="ALJBodyText"/>
              <w:tabs>
                <w:tab w:val="left" w:pos="2520"/>
              </w:tabs>
              <w:spacing w:line="240" w:lineRule="auto"/>
              <w:ind w:firstLine="0"/>
              <w:rPr>
                <w:sz w:val="24"/>
                <w:szCs w:val="24"/>
              </w:rPr>
            </w:pPr>
            <w:r w:rsidRPr="00807761">
              <w:rPr>
                <w:sz w:val="24"/>
                <w:szCs w:val="24"/>
              </w:rPr>
              <w:t>RNG</w:t>
            </w:r>
          </w:p>
        </w:tc>
        <w:tc>
          <w:tcPr>
            <w:tcW w:w="8377" w:type="dxa"/>
          </w:tcPr>
          <w:p w:rsidRPr="00807761" w:rsidR="00B7103B" w:rsidP="00DD339F" w:rsidRDefault="00B7103B" w14:paraId="10118923" w14:textId="77777777">
            <w:pPr>
              <w:pStyle w:val="ALJBodyText"/>
              <w:tabs>
                <w:tab w:val="left" w:pos="2520"/>
              </w:tabs>
              <w:spacing w:line="240" w:lineRule="auto"/>
              <w:ind w:firstLine="0"/>
              <w:rPr>
                <w:sz w:val="24"/>
                <w:szCs w:val="24"/>
              </w:rPr>
            </w:pPr>
            <w:r w:rsidRPr="00807761">
              <w:rPr>
                <w:sz w:val="24"/>
                <w:szCs w:val="24"/>
              </w:rPr>
              <w:t>Renewable Natural Gas</w:t>
            </w:r>
          </w:p>
        </w:tc>
      </w:tr>
      <w:tr w:rsidR="00B7103B" w:rsidTr="00DD339F" w14:paraId="59057BFB" w14:textId="77777777">
        <w:trPr>
          <w:jc w:val="center"/>
        </w:trPr>
        <w:tc>
          <w:tcPr>
            <w:tcW w:w="2070" w:type="dxa"/>
          </w:tcPr>
          <w:p w:rsidRPr="00807761" w:rsidR="00B7103B" w:rsidP="00DD339F" w:rsidRDefault="00B7103B" w14:paraId="5FE7B60F" w14:textId="77777777">
            <w:pPr>
              <w:pStyle w:val="ALJBodyText"/>
              <w:tabs>
                <w:tab w:val="left" w:pos="2520"/>
              </w:tabs>
              <w:spacing w:line="240" w:lineRule="auto"/>
              <w:ind w:firstLine="0"/>
              <w:rPr>
                <w:sz w:val="24"/>
                <w:szCs w:val="24"/>
              </w:rPr>
            </w:pPr>
            <w:r w:rsidRPr="00807761">
              <w:rPr>
                <w:sz w:val="24"/>
                <w:szCs w:val="24"/>
              </w:rPr>
              <w:t>SCE</w:t>
            </w:r>
          </w:p>
        </w:tc>
        <w:tc>
          <w:tcPr>
            <w:tcW w:w="8377" w:type="dxa"/>
          </w:tcPr>
          <w:p w:rsidRPr="00807761" w:rsidR="00B7103B" w:rsidP="00DD339F" w:rsidRDefault="00B7103B" w14:paraId="57404E37" w14:textId="77777777">
            <w:pPr>
              <w:pStyle w:val="ALJBodyText"/>
              <w:tabs>
                <w:tab w:val="left" w:pos="2520"/>
              </w:tabs>
              <w:spacing w:line="240" w:lineRule="auto"/>
              <w:ind w:firstLine="0"/>
              <w:rPr>
                <w:sz w:val="24"/>
                <w:szCs w:val="24"/>
              </w:rPr>
            </w:pPr>
            <w:r w:rsidRPr="00807761">
              <w:rPr>
                <w:sz w:val="24"/>
                <w:szCs w:val="24"/>
              </w:rPr>
              <w:t>Southern California Edison Company</w:t>
            </w:r>
          </w:p>
        </w:tc>
      </w:tr>
      <w:tr w:rsidR="00B7103B" w:rsidTr="00DD339F" w14:paraId="1C81A707" w14:textId="77777777">
        <w:trPr>
          <w:jc w:val="center"/>
        </w:trPr>
        <w:tc>
          <w:tcPr>
            <w:tcW w:w="2070" w:type="dxa"/>
          </w:tcPr>
          <w:p w:rsidRPr="00807761" w:rsidR="00B7103B" w:rsidP="00DD339F" w:rsidRDefault="00B7103B" w14:paraId="42722A85" w14:textId="77777777">
            <w:pPr>
              <w:pStyle w:val="ALJBodyText"/>
              <w:tabs>
                <w:tab w:val="left" w:pos="2520"/>
              </w:tabs>
              <w:spacing w:line="240" w:lineRule="auto"/>
              <w:ind w:firstLine="0"/>
              <w:rPr>
                <w:sz w:val="24"/>
                <w:szCs w:val="24"/>
              </w:rPr>
            </w:pPr>
            <w:r w:rsidRPr="00807761">
              <w:rPr>
                <w:sz w:val="24"/>
                <w:szCs w:val="24"/>
              </w:rPr>
              <w:t>SCP</w:t>
            </w:r>
          </w:p>
        </w:tc>
        <w:tc>
          <w:tcPr>
            <w:tcW w:w="8377" w:type="dxa"/>
          </w:tcPr>
          <w:p w:rsidRPr="00807761" w:rsidR="00B7103B" w:rsidP="00DD339F" w:rsidRDefault="00B7103B" w14:paraId="30D5FE18" w14:textId="77777777">
            <w:pPr>
              <w:pStyle w:val="ALJBodyText"/>
              <w:tabs>
                <w:tab w:val="left" w:pos="2520"/>
              </w:tabs>
              <w:spacing w:line="240" w:lineRule="auto"/>
              <w:ind w:firstLine="0"/>
              <w:rPr>
                <w:sz w:val="24"/>
                <w:szCs w:val="24"/>
              </w:rPr>
            </w:pPr>
            <w:r w:rsidRPr="00807761">
              <w:rPr>
                <w:sz w:val="24"/>
                <w:szCs w:val="24"/>
              </w:rPr>
              <w:t>Sonoma Clean Power</w:t>
            </w:r>
          </w:p>
        </w:tc>
      </w:tr>
      <w:tr w:rsidR="00B7103B" w:rsidTr="00DD339F" w14:paraId="0B013EF3" w14:textId="77777777">
        <w:trPr>
          <w:jc w:val="center"/>
        </w:trPr>
        <w:tc>
          <w:tcPr>
            <w:tcW w:w="2070" w:type="dxa"/>
          </w:tcPr>
          <w:p w:rsidRPr="00807761" w:rsidR="00B7103B" w:rsidP="00DD339F" w:rsidRDefault="00B7103B" w14:paraId="34F175E2" w14:textId="77777777">
            <w:pPr>
              <w:pStyle w:val="ALJBodyText"/>
              <w:tabs>
                <w:tab w:val="left" w:pos="2520"/>
              </w:tabs>
              <w:spacing w:line="240" w:lineRule="auto"/>
              <w:ind w:firstLine="0"/>
              <w:rPr>
                <w:sz w:val="24"/>
                <w:szCs w:val="24"/>
              </w:rPr>
            </w:pPr>
            <w:r w:rsidRPr="00807761">
              <w:rPr>
                <w:sz w:val="24"/>
                <w:szCs w:val="24"/>
              </w:rPr>
              <w:t>SB</w:t>
            </w:r>
          </w:p>
        </w:tc>
        <w:tc>
          <w:tcPr>
            <w:tcW w:w="8377" w:type="dxa"/>
          </w:tcPr>
          <w:p w:rsidRPr="00807761" w:rsidR="00B7103B" w:rsidP="00DD339F" w:rsidRDefault="00B7103B" w14:paraId="2E443DBD" w14:textId="77777777">
            <w:pPr>
              <w:pStyle w:val="ALJBodyText"/>
              <w:tabs>
                <w:tab w:val="left" w:pos="2520"/>
              </w:tabs>
              <w:spacing w:line="240" w:lineRule="auto"/>
              <w:ind w:firstLine="0"/>
              <w:rPr>
                <w:sz w:val="24"/>
                <w:szCs w:val="24"/>
              </w:rPr>
            </w:pPr>
            <w:r w:rsidRPr="00807761">
              <w:rPr>
                <w:sz w:val="24"/>
                <w:szCs w:val="24"/>
              </w:rPr>
              <w:t>Senate Bill</w:t>
            </w:r>
          </w:p>
        </w:tc>
      </w:tr>
      <w:tr w:rsidR="00B7103B" w:rsidTr="00DD339F" w14:paraId="2FC59A12" w14:textId="77777777">
        <w:trPr>
          <w:jc w:val="center"/>
        </w:trPr>
        <w:tc>
          <w:tcPr>
            <w:tcW w:w="2070" w:type="dxa"/>
          </w:tcPr>
          <w:p w:rsidRPr="00807761" w:rsidR="00B7103B" w:rsidP="00DD339F" w:rsidRDefault="00B7103B" w14:paraId="49D8A819" w14:textId="77777777">
            <w:pPr>
              <w:pStyle w:val="ALJBodyText"/>
              <w:tabs>
                <w:tab w:val="left" w:pos="2520"/>
              </w:tabs>
              <w:spacing w:line="240" w:lineRule="auto"/>
              <w:ind w:firstLine="0"/>
              <w:rPr>
                <w:sz w:val="24"/>
                <w:szCs w:val="24"/>
              </w:rPr>
            </w:pPr>
            <w:r w:rsidRPr="00807761">
              <w:rPr>
                <w:sz w:val="24"/>
                <w:szCs w:val="24"/>
              </w:rPr>
              <w:t>SBUA</w:t>
            </w:r>
          </w:p>
        </w:tc>
        <w:tc>
          <w:tcPr>
            <w:tcW w:w="8377" w:type="dxa"/>
          </w:tcPr>
          <w:p w:rsidRPr="00807761" w:rsidR="00B7103B" w:rsidP="00DD339F" w:rsidRDefault="00B7103B" w14:paraId="17B5AD49" w14:textId="77777777">
            <w:pPr>
              <w:pStyle w:val="ALJBodyText"/>
              <w:tabs>
                <w:tab w:val="left" w:pos="2520"/>
              </w:tabs>
              <w:spacing w:line="240" w:lineRule="auto"/>
              <w:ind w:firstLine="0"/>
              <w:rPr>
                <w:sz w:val="24"/>
                <w:szCs w:val="24"/>
              </w:rPr>
            </w:pPr>
            <w:r w:rsidRPr="00807761">
              <w:rPr>
                <w:sz w:val="24"/>
                <w:szCs w:val="24"/>
              </w:rPr>
              <w:t>Small Business Utility Advocates</w:t>
            </w:r>
          </w:p>
        </w:tc>
      </w:tr>
      <w:tr w:rsidR="00B7103B" w:rsidTr="00DD339F" w14:paraId="08867342" w14:textId="77777777">
        <w:trPr>
          <w:jc w:val="center"/>
        </w:trPr>
        <w:tc>
          <w:tcPr>
            <w:tcW w:w="2070" w:type="dxa"/>
          </w:tcPr>
          <w:p w:rsidRPr="00807761" w:rsidR="00B7103B" w:rsidP="00DD339F" w:rsidRDefault="00B7103B" w14:paraId="4AB46221" w14:textId="77777777">
            <w:pPr>
              <w:pStyle w:val="ALJBodyText"/>
              <w:tabs>
                <w:tab w:val="left" w:pos="2520"/>
              </w:tabs>
              <w:spacing w:line="240" w:lineRule="auto"/>
              <w:ind w:firstLine="0"/>
              <w:rPr>
                <w:sz w:val="24"/>
                <w:szCs w:val="24"/>
              </w:rPr>
            </w:pPr>
            <w:r w:rsidRPr="00807761">
              <w:rPr>
                <w:sz w:val="24"/>
                <w:szCs w:val="24"/>
              </w:rPr>
              <w:t>SDG&amp;E</w:t>
            </w:r>
          </w:p>
        </w:tc>
        <w:tc>
          <w:tcPr>
            <w:tcW w:w="8377" w:type="dxa"/>
          </w:tcPr>
          <w:p w:rsidRPr="00807761" w:rsidR="00B7103B" w:rsidP="00DD339F" w:rsidRDefault="00B7103B" w14:paraId="052571AB" w14:textId="77777777">
            <w:pPr>
              <w:pStyle w:val="ALJBodyText"/>
              <w:tabs>
                <w:tab w:val="left" w:pos="2520"/>
              </w:tabs>
              <w:spacing w:line="240" w:lineRule="auto"/>
              <w:ind w:firstLine="0"/>
              <w:rPr>
                <w:sz w:val="24"/>
                <w:szCs w:val="24"/>
              </w:rPr>
            </w:pPr>
            <w:r w:rsidRPr="00807761">
              <w:rPr>
                <w:sz w:val="24"/>
                <w:szCs w:val="24"/>
              </w:rPr>
              <w:t>San Diego Gas &amp; Electric Company</w:t>
            </w:r>
          </w:p>
        </w:tc>
      </w:tr>
      <w:tr w:rsidR="00B7103B" w:rsidTr="00DD339F" w14:paraId="7B99A913" w14:textId="77777777">
        <w:trPr>
          <w:jc w:val="center"/>
        </w:trPr>
        <w:tc>
          <w:tcPr>
            <w:tcW w:w="2070" w:type="dxa"/>
          </w:tcPr>
          <w:p w:rsidRPr="00807761" w:rsidR="00B7103B" w:rsidP="00DD339F" w:rsidRDefault="00B7103B" w14:paraId="29005F0E" w14:textId="77777777">
            <w:pPr>
              <w:pStyle w:val="ALJBodyText"/>
              <w:tabs>
                <w:tab w:val="left" w:pos="2520"/>
              </w:tabs>
              <w:spacing w:line="240" w:lineRule="auto"/>
              <w:ind w:firstLine="0"/>
              <w:rPr>
                <w:sz w:val="24"/>
                <w:szCs w:val="24"/>
              </w:rPr>
            </w:pPr>
            <w:r w:rsidRPr="00807761">
              <w:rPr>
                <w:sz w:val="24"/>
                <w:szCs w:val="24"/>
              </w:rPr>
              <w:t>SLCPs</w:t>
            </w:r>
          </w:p>
        </w:tc>
        <w:tc>
          <w:tcPr>
            <w:tcW w:w="8377" w:type="dxa"/>
          </w:tcPr>
          <w:p w:rsidRPr="00807761" w:rsidR="00B7103B" w:rsidP="00DD339F" w:rsidRDefault="00B7103B" w14:paraId="0E4B58C8" w14:textId="77777777">
            <w:pPr>
              <w:pStyle w:val="ALJBodyText"/>
              <w:tabs>
                <w:tab w:val="left" w:pos="2520"/>
              </w:tabs>
              <w:spacing w:line="240" w:lineRule="auto"/>
              <w:ind w:firstLine="0"/>
              <w:rPr>
                <w:sz w:val="24"/>
                <w:szCs w:val="24"/>
              </w:rPr>
            </w:pPr>
            <w:r w:rsidRPr="00807761">
              <w:rPr>
                <w:sz w:val="24"/>
                <w:szCs w:val="24"/>
              </w:rPr>
              <w:t>Short Lived Climate Pollutants</w:t>
            </w:r>
          </w:p>
        </w:tc>
      </w:tr>
      <w:tr w:rsidR="00B7103B" w:rsidTr="00DD339F" w14:paraId="021AADA7" w14:textId="77777777">
        <w:trPr>
          <w:jc w:val="center"/>
        </w:trPr>
        <w:tc>
          <w:tcPr>
            <w:tcW w:w="2070" w:type="dxa"/>
          </w:tcPr>
          <w:p w:rsidRPr="00807761" w:rsidR="00B7103B" w:rsidP="00DD339F" w:rsidRDefault="00B7103B" w14:paraId="50F8357D" w14:textId="77777777">
            <w:pPr>
              <w:pStyle w:val="ALJBodyText"/>
              <w:tabs>
                <w:tab w:val="left" w:pos="2520"/>
              </w:tabs>
              <w:spacing w:line="240" w:lineRule="auto"/>
              <w:ind w:firstLine="0"/>
              <w:rPr>
                <w:sz w:val="24"/>
                <w:szCs w:val="24"/>
              </w:rPr>
            </w:pPr>
            <w:r w:rsidRPr="00807761">
              <w:rPr>
                <w:sz w:val="24"/>
                <w:szCs w:val="24"/>
              </w:rPr>
              <w:t>SoCalGas</w:t>
            </w:r>
          </w:p>
        </w:tc>
        <w:tc>
          <w:tcPr>
            <w:tcW w:w="8377" w:type="dxa"/>
          </w:tcPr>
          <w:p w:rsidRPr="00807761" w:rsidR="00B7103B" w:rsidP="00DD339F" w:rsidRDefault="00B7103B" w14:paraId="5D28D25A" w14:textId="77777777">
            <w:pPr>
              <w:pStyle w:val="ALJBodyText"/>
              <w:tabs>
                <w:tab w:val="left" w:pos="2520"/>
              </w:tabs>
              <w:spacing w:line="240" w:lineRule="auto"/>
              <w:ind w:firstLine="0"/>
              <w:rPr>
                <w:sz w:val="24"/>
                <w:szCs w:val="24"/>
              </w:rPr>
            </w:pPr>
            <w:r w:rsidRPr="00807761">
              <w:rPr>
                <w:sz w:val="24"/>
                <w:szCs w:val="24"/>
              </w:rPr>
              <w:t>Southern California Gas Company</w:t>
            </w:r>
          </w:p>
        </w:tc>
      </w:tr>
      <w:tr w:rsidR="00B7103B" w:rsidTr="00DD339F" w14:paraId="2C3350C4" w14:textId="77777777">
        <w:trPr>
          <w:jc w:val="center"/>
        </w:trPr>
        <w:tc>
          <w:tcPr>
            <w:tcW w:w="2070" w:type="dxa"/>
          </w:tcPr>
          <w:p w:rsidRPr="00807761" w:rsidR="00B7103B" w:rsidP="00DD339F" w:rsidRDefault="00B7103B" w14:paraId="548482CF" w14:textId="77777777">
            <w:pPr>
              <w:pStyle w:val="ALJBodyText"/>
              <w:tabs>
                <w:tab w:val="left" w:pos="2520"/>
              </w:tabs>
              <w:spacing w:line="240" w:lineRule="auto"/>
              <w:ind w:firstLine="0"/>
              <w:rPr>
                <w:sz w:val="24"/>
                <w:szCs w:val="24"/>
              </w:rPr>
            </w:pPr>
            <w:r w:rsidRPr="00807761">
              <w:rPr>
                <w:sz w:val="24"/>
                <w:szCs w:val="24"/>
              </w:rPr>
              <w:t>Staff Proposal</w:t>
            </w:r>
          </w:p>
        </w:tc>
        <w:tc>
          <w:tcPr>
            <w:tcW w:w="8377" w:type="dxa"/>
          </w:tcPr>
          <w:p w:rsidRPr="00807761" w:rsidR="00B7103B" w:rsidP="00DD339F" w:rsidRDefault="00B7103B" w14:paraId="7A9B204E" w14:textId="77777777">
            <w:pPr>
              <w:pStyle w:val="ALJBodyText"/>
              <w:tabs>
                <w:tab w:val="left" w:pos="2520"/>
              </w:tabs>
              <w:spacing w:line="240" w:lineRule="auto"/>
              <w:ind w:firstLine="0"/>
              <w:rPr>
                <w:sz w:val="24"/>
                <w:szCs w:val="24"/>
              </w:rPr>
            </w:pPr>
            <w:r w:rsidRPr="00807761">
              <w:rPr>
                <w:sz w:val="24"/>
                <w:szCs w:val="24"/>
              </w:rPr>
              <w:t xml:space="preserve">Staff Proposal on </w:t>
            </w:r>
            <w:r>
              <w:rPr>
                <w:sz w:val="24"/>
                <w:szCs w:val="24"/>
              </w:rPr>
              <w:t>Phase I</w:t>
            </w:r>
            <w:r w:rsidRPr="00807761">
              <w:rPr>
                <w:sz w:val="24"/>
                <w:szCs w:val="24"/>
              </w:rPr>
              <w:t xml:space="preserve">II issues </w:t>
            </w:r>
            <w:r>
              <w:rPr>
                <w:sz w:val="24"/>
                <w:szCs w:val="24"/>
              </w:rPr>
              <w:t>(Appendix A,</w:t>
            </w:r>
            <w:r w:rsidRPr="00807761">
              <w:rPr>
                <w:sz w:val="24"/>
                <w:szCs w:val="24"/>
              </w:rPr>
              <w:t xml:space="preserve"> </w:t>
            </w:r>
            <w:r>
              <w:rPr>
                <w:sz w:val="24"/>
                <w:szCs w:val="24"/>
              </w:rPr>
              <w:t>Phase I</w:t>
            </w:r>
            <w:r w:rsidRPr="00807761">
              <w:rPr>
                <w:sz w:val="24"/>
                <w:szCs w:val="24"/>
              </w:rPr>
              <w:t>II Scoping Memo</w:t>
            </w:r>
            <w:r>
              <w:rPr>
                <w:sz w:val="24"/>
                <w:szCs w:val="24"/>
              </w:rPr>
              <w:t>)</w:t>
            </w:r>
            <w:r w:rsidRPr="00807761">
              <w:rPr>
                <w:sz w:val="24"/>
                <w:szCs w:val="24"/>
              </w:rPr>
              <w:t>.</w:t>
            </w:r>
          </w:p>
        </w:tc>
      </w:tr>
      <w:tr w:rsidR="00B7103B" w:rsidTr="00DD339F" w14:paraId="0A4962B0" w14:textId="77777777">
        <w:trPr>
          <w:jc w:val="center"/>
        </w:trPr>
        <w:tc>
          <w:tcPr>
            <w:tcW w:w="2070" w:type="dxa"/>
          </w:tcPr>
          <w:p w:rsidRPr="00807761" w:rsidR="00B7103B" w:rsidP="00DD339F" w:rsidRDefault="00B7103B" w14:paraId="47AE2F91" w14:textId="77777777">
            <w:pPr>
              <w:pStyle w:val="ALJBodyText"/>
              <w:tabs>
                <w:tab w:val="left" w:pos="2520"/>
              </w:tabs>
              <w:spacing w:line="240" w:lineRule="auto"/>
              <w:ind w:firstLine="0"/>
              <w:rPr>
                <w:sz w:val="24"/>
                <w:szCs w:val="24"/>
              </w:rPr>
            </w:pPr>
            <w:r w:rsidRPr="00807761">
              <w:rPr>
                <w:sz w:val="24"/>
                <w:szCs w:val="24"/>
              </w:rPr>
              <w:t>SWG</w:t>
            </w:r>
          </w:p>
        </w:tc>
        <w:tc>
          <w:tcPr>
            <w:tcW w:w="8377" w:type="dxa"/>
          </w:tcPr>
          <w:p w:rsidRPr="00807761" w:rsidR="00B7103B" w:rsidP="00DD339F" w:rsidRDefault="00B7103B" w14:paraId="0063A8A5" w14:textId="77777777">
            <w:pPr>
              <w:pStyle w:val="ALJBodyText"/>
              <w:tabs>
                <w:tab w:val="left" w:pos="2520"/>
              </w:tabs>
              <w:spacing w:line="240" w:lineRule="auto"/>
              <w:ind w:firstLine="0"/>
              <w:rPr>
                <w:sz w:val="24"/>
                <w:szCs w:val="24"/>
              </w:rPr>
            </w:pPr>
            <w:r w:rsidRPr="00807761">
              <w:rPr>
                <w:sz w:val="24"/>
                <w:szCs w:val="24"/>
              </w:rPr>
              <w:t>Southwest Gas Corporation</w:t>
            </w:r>
          </w:p>
        </w:tc>
      </w:tr>
      <w:tr w:rsidR="00B7103B" w:rsidTr="00DD339F" w14:paraId="022A5729" w14:textId="77777777">
        <w:trPr>
          <w:jc w:val="center"/>
        </w:trPr>
        <w:tc>
          <w:tcPr>
            <w:tcW w:w="2070" w:type="dxa"/>
          </w:tcPr>
          <w:p w:rsidRPr="00807761" w:rsidR="00B7103B" w:rsidP="00DD339F" w:rsidRDefault="00B7103B" w14:paraId="3C5BBBE0" w14:textId="77777777">
            <w:pPr>
              <w:pStyle w:val="ALJBodyText"/>
              <w:tabs>
                <w:tab w:val="left" w:pos="2520"/>
              </w:tabs>
              <w:spacing w:line="240" w:lineRule="auto"/>
              <w:ind w:firstLine="0"/>
              <w:rPr>
                <w:sz w:val="24"/>
                <w:szCs w:val="24"/>
              </w:rPr>
            </w:pPr>
            <w:r w:rsidRPr="00807761">
              <w:rPr>
                <w:sz w:val="24"/>
                <w:szCs w:val="24"/>
              </w:rPr>
              <w:t xml:space="preserve">TECH Initiative </w:t>
            </w:r>
          </w:p>
        </w:tc>
        <w:tc>
          <w:tcPr>
            <w:tcW w:w="8377" w:type="dxa"/>
          </w:tcPr>
          <w:p w:rsidRPr="00807761" w:rsidR="00B7103B" w:rsidP="00DD339F" w:rsidRDefault="00B7103B" w14:paraId="26436299" w14:textId="77777777">
            <w:pPr>
              <w:pStyle w:val="ALJBodyText"/>
              <w:tabs>
                <w:tab w:val="left" w:pos="2520"/>
              </w:tabs>
              <w:spacing w:line="240" w:lineRule="auto"/>
              <w:ind w:firstLine="0"/>
              <w:rPr>
                <w:sz w:val="24"/>
                <w:szCs w:val="24"/>
              </w:rPr>
            </w:pPr>
            <w:r w:rsidRPr="00807761">
              <w:rPr>
                <w:sz w:val="24"/>
                <w:szCs w:val="24"/>
              </w:rPr>
              <w:t>Technology and Equipment for Clean Heating Initiative.</w:t>
            </w:r>
          </w:p>
        </w:tc>
      </w:tr>
      <w:tr w:rsidR="00B7103B" w:rsidTr="00DD339F" w14:paraId="154AADF0" w14:textId="77777777">
        <w:trPr>
          <w:jc w:val="center"/>
        </w:trPr>
        <w:tc>
          <w:tcPr>
            <w:tcW w:w="2070" w:type="dxa"/>
          </w:tcPr>
          <w:p w:rsidRPr="00807761" w:rsidR="00B7103B" w:rsidP="00DD339F" w:rsidRDefault="00B7103B" w14:paraId="2D5E6FA0" w14:textId="77777777">
            <w:pPr>
              <w:pStyle w:val="ALJBodyText"/>
              <w:tabs>
                <w:tab w:val="left" w:pos="2520"/>
              </w:tabs>
              <w:spacing w:line="240" w:lineRule="auto"/>
              <w:ind w:firstLine="0"/>
              <w:rPr>
                <w:sz w:val="24"/>
                <w:szCs w:val="24"/>
              </w:rPr>
            </w:pPr>
            <w:r w:rsidRPr="00807761">
              <w:rPr>
                <w:sz w:val="24"/>
                <w:szCs w:val="24"/>
              </w:rPr>
              <w:t>TURN</w:t>
            </w:r>
          </w:p>
        </w:tc>
        <w:tc>
          <w:tcPr>
            <w:tcW w:w="8377" w:type="dxa"/>
          </w:tcPr>
          <w:p w:rsidRPr="00807761" w:rsidR="00B7103B" w:rsidP="00DD339F" w:rsidRDefault="00B7103B" w14:paraId="1AED1BA8" w14:textId="77777777">
            <w:pPr>
              <w:pStyle w:val="ALJBodyText"/>
              <w:tabs>
                <w:tab w:val="left" w:pos="2520"/>
              </w:tabs>
              <w:spacing w:line="240" w:lineRule="auto"/>
              <w:ind w:firstLine="0"/>
              <w:rPr>
                <w:sz w:val="24"/>
                <w:szCs w:val="24"/>
              </w:rPr>
            </w:pPr>
            <w:r w:rsidRPr="00807761">
              <w:rPr>
                <w:sz w:val="24"/>
                <w:szCs w:val="24"/>
              </w:rPr>
              <w:t>The Utility Reform Network</w:t>
            </w:r>
          </w:p>
        </w:tc>
      </w:tr>
      <w:tr w:rsidR="00B7103B" w:rsidTr="00DD339F" w14:paraId="64F93B14" w14:textId="77777777">
        <w:trPr>
          <w:jc w:val="center"/>
        </w:trPr>
        <w:tc>
          <w:tcPr>
            <w:tcW w:w="2070" w:type="dxa"/>
          </w:tcPr>
          <w:p w:rsidR="00B7103B" w:rsidP="00DD339F" w:rsidRDefault="00B7103B" w14:paraId="6CFF829D" w14:textId="77777777">
            <w:pPr>
              <w:pStyle w:val="ALJBodyText"/>
              <w:tabs>
                <w:tab w:val="left" w:pos="2520"/>
              </w:tabs>
              <w:spacing w:line="240" w:lineRule="auto"/>
              <w:ind w:firstLine="0"/>
              <w:rPr>
                <w:sz w:val="24"/>
                <w:szCs w:val="24"/>
              </w:rPr>
            </w:pPr>
            <w:r w:rsidRPr="00807761">
              <w:rPr>
                <w:sz w:val="24"/>
                <w:szCs w:val="24"/>
              </w:rPr>
              <w:t xml:space="preserve">WNDRR </w:t>
            </w:r>
          </w:p>
          <w:p w:rsidRPr="00807761" w:rsidR="00B7103B" w:rsidP="00DD339F" w:rsidRDefault="00B7103B" w14:paraId="2142A43E" w14:textId="77777777">
            <w:pPr>
              <w:pStyle w:val="ALJBodyText"/>
              <w:tabs>
                <w:tab w:val="left" w:pos="2520"/>
              </w:tabs>
              <w:spacing w:line="240" w:lineRule="auto"/>
              <w:ind w:firstLine="0"/>
              <w:rPr>
                <w:sz w:val="24"/>
                <w:szCs w:val="24"/>
              </w:rPr>
            </w:pPr>
            <w:r w:rsidRPr="00807761">
              <w:rPr>
                <w:sz w:val="24"/>
                <w:szCs w:val="24"/>
              </w:rPr>
              <w:t>Program</w:t>
            </w:r>
          </w:p>
        </w:tc>
        <w:tc>
          <w:tcPr>
            <w:tcW w:w="8377" w:type="dxa"/>
          </w:tcPr>
          <w:p w:rsidRPr="00807761" w:rsidR="00B7103B" w:rsidP="00DD339F" w:rsidRDefault="00B7103B" w14:paraId="14A3A4E2" w14:textId="77777777">
            <w:pPr>
              <w:pStyle w:val="ALJBodyText"/>
              <w:tabs>
                <w:tab w:val="left" w:pos="2520"/>
              </w:tabs>
              <w:spacing w:line="240" w:lineRule="auto"/>
              <w:ind w:firstLine="0"/>
              <w:rPr>
                <w:sz w:val="24"/>
                <w:szCs w:val="24"/>
              </w:rPr>
            </w:pPr>
            <w:r w:rsidRPr="00807761">
              <w:rPr>
                <w:sz w:val="24"/>
                <w:szCs w:val="24"/>
              </w:rPr>
              <w:t>Wildfire and Natural Disaster Resiliency Rebuild Program</w:t>
            </w:r>
          </w:p>
        </w:tc>
      </w:tr>
    </w:tbl>
    <w:p w:rsidRPr="00FF5310" w:rsidR="00B7103B" w:rsidP="00B7103B" w:rsidRDefault="00B7103B" w14:paraId="485C6B52" w14:textId="77777777">
      <w:pPr>
        <w:spacing w:line="360" w:lineRule="auto"/>
        <w:rPr>
          <w:bCs/>
          <w:sz w:val="24"/>
          <w:szCs w:val="24"/>
        </w:rPr>
      </w:pPr>
    </w:p>
    <w:p w:rsidRPr="00FF5310" w:rsidR="00B7103B" w:rsidP="00B7103B" w:rsidRDefault="00B7103B" w14:paraId="1C8E08B3" w14:textId="77777777">
      <w:pPr>
        <w:spacing w:line="360" w:lineRule="auto"/>
        <w:rPr>
          <w:bCs/>
          <w:sz w:val="24"/>
          <w:szCs w:val="24"/>
        </w:rPr>
      </w:pPr>
    </w:p>
    <w:p w:rsidRPr="00FF5310" w:rsidR="00B7103B" w:rsidP="00B7103B" w:rsidRDefault="00B7103B" w14:paraId="0FF081B0" w14:textId="77777777">
      <w:pPr>
        <w:spacing w:line="360" w:lineRule="auto"/>
        <w:rPr>
          <w:bCs/>
          <w:sz w:val="24"/>
          <w:szCs w:val="24"/>
        </w:rPr>
      </w:pPr>
    </w:p>
    <w:p w:rsidRPr="009E5A97" w:rsidR="00B7103B" w:rsidP="00B7103B" w:rsidRDefault="00B7103B" w14:paraId="18ABFB6E" w14:textId="77777777">
      <w:pPr>
        <w:jc w:val="center"/>
        <w:rPr>
          <w:b/>
          <w:sz w:val="24"/>
          <w:szCs w:val="24"/>
        </w:rPr>
      </w:pPr>
      <w:r w:rsidRPr="0080443E">
        <w:rPr>
          <w:b/>
          <w:sz w:val="24"/>
          <w:szCs w:val="24"/>
        </w:rPr>
        <w:t>(END OF A</w:t>
      </w:r>
      <w:r>
        <w:rPr>
          <w:b/>
          <w:sz w:val="24"/>
          <w:szCs w:val="24"/>
        </w:rPr>
        <w:t>PPENDIX</w:t>
      </w:r>
      <w:r w:rsidRPr="0080443E">
        <w:rPr>
          <w:b/>
          <w:sz w:val="24"/>
          <w:szCs w:val="24"/>
        </w:rPr>
        <w:t xml:space="preserve"> </w:t>
      </w:r>
      <w:r>
        <w:rPr>
          <w:b/>
          <w:sz w:val="24"/>
          <w:szCs w:val="24"/>
        </w:rPr>
        <w:t>A)</w:t>
      </w:r>
    </w:p>
    <w:p w:rsidR="0087454D" w:rsidP="00B7103B" w:rsidRDefault="0087454D" w14:paraId="00C5AA25" w14:textId="77777777">
      <w:pPr>
        <w:pStyle w:val="standard0"/>
        <w:ind w:firstLine="0"/>
      </w:pPr>
    </w:p>
    <w:sectPr w:rsidR="0087454D" w:rsidSect="00377764">
      <w:footerReference w:type="default" r:id="rId30"/>
      <w:footerReference w:type="first" r:id="rId31"/>
      <w:pgSz w:w="12240" w:h="15840"/>
      <w:pgMar w:top="1728" w:right="1440" w:bottom="1440" w:left="1440" w:header="720" w:footer="720" w:gutter="0"/>
      <w:pgNumType w:start="1"/>
      <w:cols w:space="720"/>
      <w:docGrid w:linePitch="360"/>
    </w:sectPr>
    <w:p>
      <w:r>
        <w:t xml:space="preserve"/>
      </w:r>
    </w:p>
    <w:p>
      <w:r>
        <w:t xml:space="preserve">Attachment 1: </w:t>
      </w:r>
    </w:p>
    <w:p>
      <w:hyperlink w:history="true" r:id="Re213a8fa31404bd2">
        <w:r w:rsidRPr="00CB1292">
          <w:rPr>
            <w:rStyle w:val="Hyperlink"/>
            <w:color w:val="2E74B5" w:themeColor="accent1" w:themeShade="BF"/>
            <w:u w:val="single"/>
          </w:rPr>
          <w:t>R1901011 Tran PD (Redline Version).pdf</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1118E" w14:textId="77777777" w:rsidR="00C874BA" w:rsidRDefault="00C874BA" w:rsidP="0098138E">
      <w:r>
        <w:separator/>
      </w:r>
    </w:p>
  </w:endnote>
  <w:endnote w:type="continuationSeparator" w:id="0">
    <w:p w14:paraId="049889B0" w14:textId="77777777" w:rsidR="00C874BA" w:rsidRDefault="00C874BA" w:rsidP="0098138E">
      <w:r>
        <w:continuationSeparator/>
      </w:r>
    </w:p>
  </w:endnote>
  <w:endnote w:type="continuationNotice" w:id="1">
    <w:p w14:paraId="36C3D844" w14:textId="77777777" w:rsidR="00C874BA" w:rsidRDefault="00C87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alatino">
    <w:altName w:val="Segoe UI Historic"/>
    <w:charset w:val="00"/>
    <w:family w:val="roman"/>
    <w:pitch w:val="variable"/>
    <w:sig w:usb0="20000A87" w:usb1="08000000" w:usb2="00000008" w:usb3="00000000" w:csb0="00000101" w:csb1="00000000"/>
  </w:font>
  <w:font w:name="Palatino Linotype">
    <w:panose1 w:val="02040502050505030304"/>
    <w:charset w:val="00"/>
    <w:family w:val="roman"/>
    <w:pitch w:val="variable"/>
    <w:sig w:usb0="E0000287" w:usb1="40000013" w:usb2="00000000" w:usb3="00000000" w:csb0="0000019F" w:csb1="00000000"/>
  </w:font>
  <w:font w:name="TimesNewRomanPS-BoldMT">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Schoolbook">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C553" w14:textId="0BFCFDCE" w:rsidR="00937B96" w:rsidRDefault="00154071" w:rsidP="00937B96">
    <w:pPr>
      <w:pStyle w:val="Footer"/>
      <w:jc w:val="center"/>
    </w:pPr>
    <w:r>
      <w:noBreakHyphen/>
    </w:r>
    <w:r w:rsidR="00937B96">
      <w:t xml:space="preserve"> </w:t>
    </w:r>
    <w:r w:rsidR="00937B96">
      <w:fldChar w:fldCharType="begin"/>
    </w:r>
    <w:r w:rsidR="00937B96">
      <w:instrText xml:space="preserve"> PAGE   \* MERGEFORMAT </w:instrText>
    </w:r>
    <w:r w:rsidR="00937B96">
      <w:fldChar w:fldCharType="separate"/>
    </w:r>
    <w:r w:rsidR="00937B96">
      <w:rPr>
        <w:noProof/>
      </w:rPr>
      <w:t>1</w:t>
    </w:r>
    <w:r w:rsidR="00937B96">
      <w:rPr>
        <w:noProof/>
      </w:rPr>
      <w:fldChar w:fldCharType="end"/>
    </w:r>
    <w:r w:rsidR="00937B96">
      <w:rPr>
        <w:noProof/>
      </w:rPr>
      <w:t xml:space="preserve"> </w:t>
    </w:r>
    <w:r>
      <w:rPr>
        <w:noProof/>
      </w:rPr>
      <w:noBreak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499F" w14:textId="157B7FA5" w:rsidR="008959A4" w:rsidRDefault="007D7AC7" w:rsidP="000C1980">
    <w:pPr>
      <w:pStyle w:val="Footer"/>
    </w:pPr>
    <w:r w:rsidRPr="007D7AC7">
      <w:rPr>
        <w:rFonts w:ascii="Arial" w:hAnsi="Arial"/>
        <w:sz w:val="16"/>
      </w:rPr>
      <w:t>496876177</w:t>
    </w:r>
    <w:r w:rsidR="008959A4">
      <w:tab/>
    </w:r>
    <w:r w:rsidR="00154071">
      <w:noBreakHyphen/>
    </w:r>
    <w:r w:rsidR="008959A4">
      <w:t xml:space="preserve"> </w:t>
    </w:r>
    <w:r w:rsidR="008959A4">
      <w:rPr>
        <w:noProof/>
      </w:rPr>
      <w:t xml:space="preserve">1 </w:t>
    </w:r>
    <w:r w:rsidR="00513B3F">
      <w:rPr>
        <w:noProof/>
      </w:rPr>
      <w:noBreak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F6E7" w14:textId="06188A3B" w:rsidR="008959A4" w:rsidRDefault="00513B3F" w:rsidP="000C1980">
    <w:pPr>
      <w:pStyle w:val="Footer"/>
      <w:jc w:val="center"/>
    </w:pPr>
    <w:r>
      <w:noBreakHyphen/>
    </w:r>
    <w:r w:rsidR="008959A4">
      <w:t xml:space="preserve"> </w:t>
    </w:r>
    <w:r w:rsidR="008959A4">
      <w:fldChar w:fldCharType="begin"/>
    </w:r>
    <w:r w:rsidR="008959A4">
      <w:instrText xml:space="preserve"> PAGE   \* MERGEFORMAT </w:instrText>
    </w:r>
    <w:r w:rsidR="008959A4">
      <w:fldChar w:fldCharType="separate"/>
    </w:r>
    <w:r w:rsidR="008959A4">
      <w:rPr>
        <w:noProof/>
      </w:rPr>
      <w:t>2</w:t>
    </w:r>
    <w:r w:rsidR="008959A4">
      <w:rPr>
        <w:noProof/>
      </w:rPr>
      <w:fldChar w:fldCharType="end"/>
    </w:r>
    <w:r w:rsidR="008959A4">
      <w:rPr>
        <w:noProof/>
      </w:rPr>
      <w:t xml:space="preserve"> </w:t>
    </w:r>
    <w:r>
      <w:rPr>
        <w:noProof/>
      </w:rPr>
      <w:noBreakHyphen/>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5067" w14:textId="129CC1BE" w:rsidR="003A49B6" w:rsidRDefault="006462FD" w:rsidP="003A49B6">
    <w:pPr>
      <w:pStyle w:val="Footer"/>
      <w:jc w:val="center"/>
    </w:pPr>
    <w:sdt>
      <w:sdtPr>
        <w:id w:val="-140586922"/>
        <w:docPartObj>
          <w:docPartGallery w:val="Page Numbers (Bottom of Page)"/>
          <w:docPartUnique/>
        </w:docPartObj>
      </w:sdtPr>
      <w:sdtEndPr>
        <w:rPr>
          <w:noProof/>
        </w:rPr>
      </w:sdtEndPr>
      <w:sdtContent>
        <w:r w:rsidR="00154071">
          <w:noBreakHyphen/>
        </w:r>
        <w:r w:rsidR="004313D4">
          <w:t xml:space="preserve"> </w:t>
        </w:r>
        <w:r w:rsidR="004313D4">
          <w:fldChar w:fldCharType="begin"/>
        </w:r>
        <w:r w:rsidR="004313D4">
          <w:instrText xml:space="preserve"> PAGE   \* MERGEFORMAT </w:instrText>
        </w:r>
        <w:r w:rsidR="004313D4">
          <w:fldChar w:fldCharType="separate"/>
        </w:r>
        <w:r w:rsidR="004313D4">
          <w:rPr>
            <w:noProof/>
          </w:rPr>
          <w:t>2</w:t>
        </w:r>
        <w:r w:rsidR="004313D4">
          <w:rPr>
            <w:noProof/>
          </w:rPr>
          <w:fldChar w:fldCharType="end"/>
        </w:r>
      </w:sdtContent>
    </w:sdt>
    <w:r w:rsidR="004313D4">
      <w:rPr>
        <w:noProof/>
      </w:rPr>
      <w:t xml:space="preserve"> </w:t>
    </w:r>
    <w:r w:rsidR="00513B3F">
      <w:rPr>
        <w:noProof/>
      </w:rPr>
      <w:noBreakHyphen/>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1B1" w14:textId="58301C64" w:rsidR="00B7103B" w:rsidRPr="006C7528" w:rsidRDefault="00B7103B" w:rsidP="006C75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CB7B" w14:textId="77777777" w:rsidR="00B7103B" w:rsidRPr="00BF001C" w:rsidRDefault="00B7103B" w:rsidP="00DD339F">
    <w:pPr>
      <w:tabs>
        <w:tab w:val="center" w:pos="4680"/>
      </w:tabs>
      <w:jc w:val="center"/>
      <w:rPr>
        <w:noProof/>
        <w:szCs w:val="2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CA62" w14:textId="77777777" w:rsidR="00DD339F" w:rsidRPr="009E3E55" w:rsidRDefault="00B7103B" w:rsidP="007E0FEE">
    <w:pPr>
      <w:jc w:val="center"/>
    </w:pPr>
    <w:r>
      <w:t>A-</w:t>
    </w:r>
    <w:r>
      <w:fldChar w:fldCharType="begin"/>
    </w:r>
    <w:r>
      <w:instrText xml:space="preserve"> PAGE   \* MERGEFORMAT </w:instrText>
    </w:r>
    <w:r>
      <w:fldChar w:fldCharType="separate"/>
    </w:r>
    <w:r>
      <w:rPr>
        <w:noProof/>
      </w:rPr>
      <w:t>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C7AB" w14:textId="77777777" w:rsidR="00DD339F" w:rsidRPr="002D092E" w:rsidRDefault="00B7103B" w:rsidP="00DD339F">
    <w:pPr>
      <w:pStyle w:val="Footer"/>
      <w:jc w:val="center"/>
    </w:pPr>
    <w:r>
      <w:t>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A48CF" w14:textId="77777777" w:rsidR="00C874BA" w:rsidRDefault="00C874BA" w:rsidP="00DF58E7">
      <w:r>
        <w:separator/>
      </w:r>
    </w:p>
  </w:footnote>
  <w:footnote w:type="continuationSeparator" w:id="0">
    <w:p w14:paraId="1DD6AA88" w14:textId="77777777" w:rsidR="00C874BA" w:rsidRDefault="00C874BA" w:rsidP="00DF58E7">
      <w:r>
        <w:continuationSeparator/>
      </w:r>
    </w:p>
  </w:footnote>
  <w:footnote w:type="continuationNotice" w:id="1">
    <w:p w14:paraId="22D8B87E" w14:textId="77777777" w:rsidR="00C874BA" w:rsidRPr="00DF58E7" w:rsidRDefault="00C874BA" w:rsidP="00DF58E7">
      <w:pPr>
        <w:jc w:val="right"/>
        <w:rPr>
          <w:i/>
          <w:sz w:val="22"/>
        </w:rPr>
      </w:pPr>
      <w:r w:rsidRPr="00DF58E7">
        <w:rPr>
          <w:i/>
          <w:sz w:val="22"/>
        </w:rPr>
        <w:t>Footnote continued on next page.</w:t>
      </w:r>
    </w:p>
  </w:footnote>
  <w:footnote w:id="2">
    <w:p w14:paraId="3C25FC24" w14:textId="5157D913" w:rsidR="003C610A" w:rsidRDefault="003C610A">
      <w:pPr>
        <w:pStyle w:val="FootnoteText"/>
      </w:pPr>
      <w:r>
        <w:rPr>
          <w:rStyle w:val="FootnoteReference"/>
        </w:rPr>
        <w:footnoteRef/>
      </w:r>
      <w:r>
        <w:t xml:space="preserve">  </w:t>
      </w:r>
      <w:r w:rsidR="00021FCD" w:rsidRPr="0024219F">
        <w:rPr>
          <w:i/>
          <w:iCs/>
        </w:rPr>
        <w:t>S</w:t>
      </w:r>
      <w:r w:rsidR="0024219F" w:rsidRPr="0024219F">
        <w:rPr>
          <w:i/>
          <w:iCs/>
        </w:rPr>
        <w:t>ee</w:t>
      </w:r>
      <w:r w:rsidR="0024219F">
        <w:t xml:space="preserve"> Appendix A for a list of abbreviations, acronyms, and definitions used in this decision.</w:t>
      </w:r>
    </w:p>
  </w:footnote>
  <w:footnote w:id="3">
    <w:p w14:paraId="4260EB32" w14:textId="6BFCA75E" w:rsidR="00056100" w:rsidRDefault="00056100">
      <w:pPr>
        <w:pStyle w:val="FootnoteText"/>
      </w:pPr>
      <w:r>
        <w:rPr>
          <w:rStyle w:val="FootnoteReference"/>
        </w:rPr>
        <w:footnoteRef/>
      </w:r>
      <w:r>
        <w:t xml:space="preserve"> </w:t>
      </w:r>
      <w:r w:rsidR="00452F77">
        <w:t>SB</w:t>
      </w:r>
      <w:r w:rsidR="00513B3F">
        <w:t> </w:t>
      </w:r>
      <w:r w:rsidRPr="00056100">
        <w:t xml:space="preserve">1477 was codified as </w:t>
      </w:r>
      <w:r w:rsidR="0015332E" w:rsidRPr="006B623F">
        <w:t>Public Utilities</w:t>
      </w:r>
      <w:r w:rsidR="0015332E">
        <w:t xml:space="preserve"> (</w:t>
      </w:r>
      <w:r w:rsidR="007D79B6" w:rsidRPr="006B623F">
        <w:t>Pub.</w:t>
      </w:r>
      <w:r w:rsidR="00513B3F">
        <w:t> </w:t>
      </w:r>
      <w:r w:rsidR="007D79B6" w:rsidRPr="006B623F">
        <w:t>Util.</w:t>
      </w:r>
      <w:r w:rsidR="0015332E">
        <w:t>)</w:t>
      </w:r>
      <w:r w:rsidRPr="00056100">
        <w:t xml:space="preserve"> Code </w:t>
      </w:r>
      <w:r w:rsidR="009E2034">
        <w:t>Section </w:t>
      </w:r>
      <w:r w:rsidRPr="00056100">
        <w:t xml:space="preserve">748.6, </w:t>
      </w:r>
      <w:r w:rsidR="009E2034">
        <w:t>Section </w:t>
      </w:r>
      <w:r w:rsidRPr="00056100">
        <w:t xml:space="preserve">910.4, </w:t>
      </w:r>
      <w:r w:rsidR="009E2034">
        <w:t>and Sections </w:t>
      </w:r>
      <w:r w:rsidRPr="00056100">
        <w:t>921</w:t>
      </w:r>
      <w:r w:rsidR="009E2034">
        <w:t>-</w:t>
      </w:r>
      <w:r w:rsidRPr="00056100">
        <w:t>922.</w:t>
      </w:r>
    </w:p>
  </w:footnote>
  <w:footnote w:id="4">
    <w:p w14:paraId="3CF139C6" w14:textId="0C4DB117" w:rsidR="00E47F3C" w:rsidRDefault="00E47F3C">
      <w:pPr>
        <w:pStyle w:val="FootnoteText"/>
      </w:pPr>
      <w:r>
        <w:rPr>
          <w:rStyle w:val="FootnoteReference"/>
        </w:rPr>
        <w:footnoteRef/>
      </w:r>
      <w:r>
        <w:t xml:space="preserve"> </w:t>
      </w:r>
      <w:r w:rsidRPr="006B623F">
        <w:t>Fiscal Year</w:t>
      </w:r>
      <w:r w:rsidRPr="00E47F3C">
        <w:t xml:space="preserve"> (</w:t>
      </w:r>
      <w:r w:rsidRPr="006B623F">
        <w:t>FY</w:t>
      </w:r>
      <w:r w:rsidRPr="00E47F3C">
        <w:t>) 2019</w:t>
      </w:r>
      <w:r w:rsidR="00513B3F">
        <w:noBreakHyphen/>
      </w:r>
      <w:r w:rsidRPr="00E47F3C">
        <w:t>2020 to FY 2022</w:t>
      </w:r>
      <w:r w:rsidR="00513B3F">
        <w:noBreakHyphen/>
      </w:r>
      <w:r w:rsidRPr="00E47F3C">
        <w:t xml:space="preserve">23. </w:t>
      </w:r>
    </w:p>
  </w:footnote>
  <w:footnote w:id="5">
    <w:p w14:paraId="51B497D4" w14:textId="1F8A731F" w:rsidR="00E47F3C" w:rsidRDefault="00E47F3C">
      <w:pPr>
        <w:pStyle w:val="FootnoteText"/>
      </w:pPr>
      <w:r>
        <w:rPr>
          <w:rStyle w:val="FootnoteReference"/>
        </w:rPr>
        <w:footnoteRef/>
      </w:r>
      <w:r>
        <w:t xml:space="preserve"> </w:t>
      </w:r>
      <w:r w:rsidRPr="00E47F3C">
        <w:t>Four gas corporations currently participate in California’s Cap</w:t>
      </w:r>
      <w:r w:rsidR="00513B3F">
        <w:noBreakHyphen/>
      </w:r>
      <w:r w:rsidRPr="00E47F3C">
        <w:t>and</w:t>
      </w:r>
      <w:r w:rsidR="00513B3F">
        <w:noBreakHyphen/>
      </w:r>
      <w:r w:rsidRPr="00E47F3C">
        <w:t xml:space="preserve">Trade program: </w:t>
      </w:r>
      <w:r w:rsidRPr="006B623F">
        <w:t>Southern California Gas Company</w:t>
      </w:r>
      <w:r w:rsidR="001112D1" w:rsidRPr="006B623F">
        <w:t xml:space="preserve"> </w:t>
      </w:r>
      <w:r w:rsidR="001112D1">
        <w:t>(</w:t>
      </w:r>
      <w:r w:rsidR="001112D1" w:rsidRPr="006B623F">
        <w:t>SoCalGas</w:t>
      </w:r>
      <w:r w:rsidR="001112D1">
        <w:t>)</w:t>
      </w:r>
      <w:r w:rsidRPr="00E47F3C">
        <w:t xml:space="preserve">, </w:t>
      </w:r>
      <w:r w:rsidRPr="006B623F">
        <w:t xml:space="preserve">Pacific </w:t>
      </w:r>
      <w:r w:rsidR="00A2334C" w:rsidRPr="006B623F">
        <w:t>Gas and</w:t>
      </w:r>
      <w:r w:rsidRPr="006B623F">
        <w:t xml:space="preserve"> Electric Company</w:t>
      </w:r>
      <w:r w:rsidR="001112D1" w:rsidRPr="006B623F">
        <w:t xml:space="preserve"> </w:t>
      </w:r>
      <w:r w:rsidR="001112D1">
        <w:t>(</w:t>
      </w:r>
      <w:r w:rsidR="001112D1" w:rsidRPr="006B623F">
        <w:t>PG&amp;E</w:t>
      </w:r>
      <w:r w:rsidR="001112D1">
        <w:t>)</w:t>
      </w:r>
      <w:r w:rsidRPr="00E47F3C">
        <w:t xml:space="preserve">, </w:t>
      </w:r>
      <w:r w:rsidR="000F2D16" w:rsidRPr="006B623F">
        <w:t>San</w:t>
      </w:r>
      <w:r w:rsidR="00513B3F">
        <w:t> </w:t>
      </w:r>
      <w:r w:rsidRPr="006B623F">
        <w:t>Diego Gas</w:t>
      </w:r>
      <w:r w:rsidR="00513B3F">
        <w:t> </w:t>
      </w:r>
      <w:r w:rsidR="007E61A2" w:rsidRPr="006B623F">
        <w:t xml:space="preserve">&amp; </w:t>
      </w:r>
      <w:r w:rsidRPr="006B623F">
        <w:t>Electric Company</w:t>
      </w:r>
      <w:r w:rsidR="001112D1">
        <w:t xml:space="preserve"> (</w:t>
      </w:r>
      <w:r w:rsidR="001112D1" w:rsidRPr="006B623F">
        <w:t>SDG&amp;E</w:t>
      </w:r>
      <w:r w:rsidR="001112D1">
        <w:t>)</w:t>
      </w:r>
      <w:r w:rsidRPr="00E47F3C">
        <w:t xml:space="preserve">, and </w:t>
      </w:r>
      <w:r w:rsidRPr="006B623F">
        <w:t>Southwest Gas Corporation</w:t>
      </w:r>
      <w:r w:rsidR="001261B8" w:rsidRPr="006B623F">
        <w:t xml:space="preserve"> </w:t>
      </w:r>
      <w:r w:rsidR="001261B8">
        <w:t>(</w:t>
      </w:r>
      <w:r w:rsidR="001261B8" w:rsidRPr="006B623F">
        <w:t>SWG</w:t>
      </w:r>
      <w:r w:rsidR="001261B8">
        <w:t>)</w:t>
      </w:r>
      <w:r w:rsidRPr="00E47F3C">
        <w:t xml:space="preserve">. </w:t>
      </w:r>
    </w:p>
  </w:footnote>
  <w:footnote w:id="6">
    <w:p w14:paraId="09A6D740" w14:textId="346A8A47" w:rsidR="00870D08" w:rsidRPr="008802B8" w:rsidRDefault="00870D08" w:rsidP="00870D08">
      <w:pPr>
        <w:pStyle w:val="FootnoteText"/>
        <w:rPr>
          <w:szCs w:val="22"/>
        </w:rPr>
      </w:pPr>
      <w:r w:rsidRPr="008802B8">
        <w:rPr>
          <w:rStyle w:val="FootnoteReference"/>
          <w:szCs w:val="22"/>
        </w:rPr>
        <w:footnoteRef/>
      </w:r>
      <w:r>
        <w:rPr>
          <w:szCs w:val="22"/>
        </w:rPr>
        <w:t xml:space="preserve"> </w:t>
      </w:r>
      <w:r w:rsidRPr="006B623F">
        <w:t xml:space="preserve">Order Instituting Rulemaking </w:t>
      </w:r>
      <w:r w:rsidRPr="008802B8">
        <w:rPr>
          <w:szCs w:val="22"/>
        </w:rPr>
        <w:t>(</w:t>
      </w:r>
      <w:r w:rsidRPr="006B623F">
        <w:rPr>
          <w:szCs w:val="22"/>
        </w:rPr>
        <w:t>OIR</w:t>
      </w:r>
      <w:r w:rsidRPr="008802B8">
        <w:rPr>
          <w:szCs w:val="22"/>
        </w:rPr>
        <w:t>) 19</w:t>
      </w:r>
      <w:r w:rsidR="00513B3F">
        <w:rPr>
          <w:szCs w:val="22"/>
        </w:rPr>
        <w:noBreakHyphen/>
      </w:r>
      <w:r w:rsidRPr="008802B8">
        <w:rPr>
          <w:szCs w:val="22"/>
        </w:rPr>
        <w:t>01</w:t>
      </w:r>
      <w:r w:rsidR="00513B3F">
        <w:rPr>
          <w:szCs w:val="22"/>
        </w:rPr>
        <w:noBreakHyphen/>
      </w:r>
      <w:r w:rsidRPr="008802B8">
        <w:rPr>
          <w:szCs w:val="22"/>
        </w:rPr>
        <w:t>011</w:t>
      </w:r>
      <w:r w:rsidR="00FF674A">
        <w:rPr>
          <w:szCs w:val="22"/>
        </w:rPr>
        <w:t xml:space="preserve"> at</w:t>
      </w:r>
      <w:r w:rsidR="00513B3F">
        <w:rPr>
          <w:szCs w:val="22"/>
        </w:rPr>
        <w:t> </w:t>
      </w:r>
      <w:r w:rsidRPr="008802B8">
        <w:rPr>
          <w:szCs w:val="22"/>
        </w:rPr>
        <w:t>2.</w:t>
      </w:r>
    </w:p>
  </w:footnote>
  <w:footnote w:id="7">
    <w:p w14:paraId="7BA44AAD" w14:textId="1D6F3937" w:rsidR="00056100" w:rsidRDefault="00056100">
      <w:pPr>
        <w:pStyle w:val="FootnoteText"/>
      </w:pPr>
      <w:r>
        <w:rPr>
          <w:rStyle w:val="FootnoteReference"/>
        </w:rPr>
        <w:footnoteRef/>
      </w:r>
      <w:r>
        <w:t xml:space="preserve"> </w:t>
      </w:r>
      <w:r w:rsidRPr="00056100">
        <w:rPr>
          <w:i/>
        </w:rPr>
        <w:t>See</w:t>
      </w:r>
      <w:r w:rsidRPr="00056100">
        <w:t xml:space="preserve"> D.20</w:t>
      </w:r>
      <w:r w:rsidR="00513B3F">
        <w:noBreakHyphen/>
      </w:r>
      <w:r w:rsidRPr="00056100">
        <w:t>03</w:t>
      </w:r>
      <w:r w:rsidR="00513B3F">
        <w:noBreakHyphen/>
      </w:r>
      <w:r w:rsidRPr="00056100">
        <w:t>027</w:t>
      </w:r>
      <w:r w:rsidR="00FF674A">
        <w:t xml:space="preserve"> at</w:t>
      </w:r>
      <w:r w:rsidR="00513B3F">
        <w:t> </w:t>
      </w:r>
      <w:r w:rsidRPr="00056100">
        <w:t>7.</w:t>
      </w:r>
    </w:p>
  </w:footnote>
  <w:footnote w:id="8">
    <w:p w14:paraId="24A155DB" w14:textId="39904C75" w:rsidR="00870D08" w:rsidRDefault="00870D08" w:rsidP="00870D08">
      <w:pPr>
        <w:pStyle w:val="FootnoteText"/>
      </w:pPr>
      <w:r>
        <w:rPr>
          <w:rStyle w:val="FootnoteReference"/>
        </w:rPr>
        <w:footnoteRef/>
      </w:r>
      <w:r w:rsidDel="00681676">
        <w:t xml:space="preserve"> </w:t>
      </w:r>
      <w:r w:rsidRPr="006B623F">
        <w:t>Southern California Edison Company</w:t>
      </w:r>
      <w:r>
        <w:t xml:space="preserve"> (</w:t>
      </w:r>
      <w:r w:rsidRPr="006B623F">
        <w:t>SCE</w:t>
      </w:r>
      <w:r>
        <w:t>), PG&amp;E, and SDG&amp;E.</w:t>
      </w:r>
    </w:p>
  </w:footnote>
  <w:footnote w:id="9">
    <w:p w14:paraId="3ACBFEFC" w14:textId="564A077D" w:rsidR="008F1605" w:rsidRPr="00FE0C20" w:rsidRDefault="008F1605" w:rsidP="008F1605">
      <w:pPr>
        <w:pStyle w:val="FootnoteText"/>
        <w:rPr>
          <w:szCs w:val="22"/>
        </w:rPr>
      </w:pPr>
      <w:r w:rsidRPr="00FE0C20">
        <w:rPr>
          <w:rStyle w:val="FootnoteReference"/>
          <w:szCs w:val="22"/>
        </w:rPr>
        <w:footnoteRef/>
      </w:r>
      <w:r w:rsidRPr="00FE0C20">
        <w:rPr>
          <w:szCs w:val="22"/>
        </w:rPr>
        <w:t xml:space="preserve"> </w:t>
      </w:r>
      <w:r w:rsidR="00FF29AE">
        <w:rPr>
          <w:szCs w:val="22"/>
        </w:rPr>
        <w:t>Gas</w:t>
      </w:r>
      <w:r w:rsidR="00513B3F">
        <w:rPr>
          <w:szCs w:val="22"/>
        </w:rPr>
        <w:t> </w:t>
      </w:r>
      <w:r w:rsidR="00FF29AE">
        <w:rPr>
          <w:szCs w:val="22"/>
        </w:rPr>
        <w:t>Rule</w:t>
      </w:r>
      <w:r w:rsidRPr="00FE0C20">
        <w:rPr>
          <w:szCs w:val="22"/>
        </w:rPr>
        <w:t>s 15</w:t>
      </w:r>
      <w:r w:rsidR="00154071">
        <w:rPr>
          <w:szCs w:val="22"/>
        </w:rPr>
        <w:noBreakHyphen/>
      </w:r>
      <w:r w:rsidRPr="00FE0C20">
        <w:rPr>
          <w:szCs w:val="22"/>
        </w:rPr>
        <w:t>16 for PG&amp;E (</w:t>
      </w:r>
      <w:hyperlink r:id="rId1" w:history="1">
        <w:r w:rsidRPr="00FE0C20">
          <w:rPr>
            <w:rStyle w:val="Hyperlink"/>
            <w:szCs w:val="22"/>
          </w:rPr>
          <w:t>https://www.pge.com/tariffs/assets/pdf/tariffbook/GAS_RULES_15.pdf</w:t>
        </w:r>
      </w:hyperlink>
      <w:r w:rsidRPr="00FE0C20">
        <w:rPr>
          <w:szCs w:val="22"/>
        </w:rPr>
        <w:t>,</w:t>
      </w:r>
      <w:r w:rsidR="0076425C">
        <w:rPr>
          <w:szCs w:val="22"/>
        </w:rPr>
        <w:t xml:space="preserve"> </w:t>
      </w:r>
      <w:hyperlink r:id="rId2" w:history="1">
        <w:r w:rsidR="0076425C" w:rsidRPr="00EC0F0D">
          <w:rPr>
            <w:rStyle w:val="Hyperlink"/>
            <w:szCs w:val="22"/>
          </w:rPr>
          <w:t>https://www.pge.com/tariffs/assets/pdf/tariffbook/GAS_RULES_16.pdf</w:t>
        </w:r>
      </w:hyperlink>
      <w:r w:rsidRPr="00FE0C20">
        <w:rPr>
          <w:szCs w:val="22"/>
        </w:rPr>
        <w:t>)</w:t>
      </w:r>
      <w:r w:rsidR="007C25CD">
        <w:rPr>
          <w:szCs w:val="22"/>
        </w:rPr>
        <w:t>,</w:t>
      </w:r>
      <w:r w:rsidR="0076425C">
        <w:rPr>
          <w:szCs w:val="22"/>
        </w:rPr>
        <w:t xml:space="preserve"> </w:t>
      </w:r>
      <w:r w:rsidRPr="00FE0C20">
        <w:rPr>
          <w:szCs w:val="22"/>
        </w:rPr>
        <w:t>SDG&amp;E</w:t>
      </w:r>
      <w:r w:rsidR="00BC4524">
        <w:rPr>
          <w:szCs w:val="22"/>
        </w:rPr>
        <w:t xml:space="preserve"> </w:t>
      </w:r>
      <w:r w:rsidRPr="00FE0C20">
        <w:rPr>
          <w:szCs w:val="22"/>
        </w:rPr>
        <w:t>(</w:t>
      </w:r>
      <w:hyperlink r:id="rId3" w:history="1">
        <w:r w:rsidRPr="00FE0C20">
          <w:rPr>
            <w:rStyle w:val="Hyperlink"/>
            <w:szCs w:val="22"/>
          </w:rPr>
          <w:t>https://tariff.sdge.com/tm2/pdf/GAS_GAS</w:t>
        </w:r>
        <w:r w:rsidR="00DC37CE">
          <w:rPr>
            <w:rStyle w:val="Hyperlink"/>
            <w:szCs w:val="22"/>
          </w:rPr>
          <w:t>-</w:t>
        </w:r>
        <w:r w:rsidRPr="00FE0C20">
          <w:rPr>
            <w:rStyle w:val="Hyperlink"/>
            <w:szCs w:val="22"/>
          </w:rPr>
          <w:t>RULES_GRULE15.pdf</w:t>
        </w:r>
      </w:hyperlink>
      <w:r w:rsidRPr="00FE0C20">
        <w:rPr>
          <w:szCs w:val="22"/>
        </w:rPr>
        <w:t>,</w:t>
      </w:r>
      <w:r w:rsidR="0076425C">
        <w:rPr>
          <w:szCs w:val="22"/>
        </w:rPr>
        <w:t xml:space="preserve"> </w:t>
      </w:r>
      <w:hyperlink r:id="rId4" w:history="1">
        <w:r w:rsidR="00C83C5A" w:rsidRPr="00CE35E4">
          <w:rPr>
            <w:rStyle w:val="Hyperlink"/>
            <w:szCs w:val="22"/>
          </w:rPr>
          <w:t>https://tariff.sdge.com/tm2/pdf/GAS_GAS</w:t>
        </w:r>
        <w:r w:rsidR="00DC37CE">
          <w:rPr>
            <w:rStyle w:val="Hyperlink"/>
            <w:szCs w:val="22"/>
          </w:rPr>
          <w:t>-</w:t>
        </w:r>
        <w:r w:rsidR="00C83C5A" w:rsidRPr="00CE35E4">
          <w:rPr>
            <w:rStyle w:val="Hyperlink"/>
            <w:szCs w:val="22"/>
          </w:rPr>
          <w:t>RULES_GRULE16.pdf</w:t>
        </w:r>
      </w:hyperlink>
      <w:r w:rsidRPr="00FE0C20">
        <w:rPr>
          <w:szCs w:val="22"/>
        </w:rPr>
        <w:t>)</w:t>
      </w:r>
      <w:r w:rsidR="007C25CD">
        <w:rPr>
          <w:szCs w:val="22"/>
        </w:rPr>
        <w:t>,</w:t>
      </w:r>
      <w:r w:rsidR="0076425C">
        <w:rPr>
          <w:szCs w:val="22"/>
        </w:rPr>
        <w:t xml:space="preserve"> </w:t>
      </w:r>
      <w:r w:rsidRPr="00FE0C20">
        <w:rPr>
          <w:szCs w:val="22"/>
        </w:rPr>
        <w:t>and</w:t>
      </w:r>
      <w:r w:rsidR="0076425C">
        <w:rPr>
          <w:szCs w:val="22"/>
        </w:rPr>
        <w:t xml:space="preserve"> </w:t>
      </w:r>
      <w:r w:rsidR="00EF70B2">
        <w:rPr>
          <w:szCs w:val="22"/>
        </w:rPr>
        <w:t>SWG</w:t>
      </w:r>
      <w:r w:rsidR="00BC4524">
        <w:rPr>
          <w:szCs w:val="22"/>
        </w:rPr>
        <w:t xml:space="preserve"> </w:t>
      </w:r>
      <w:r w:rsidRPr="00FE0C20">
        <w:rPr>
          <w:szCs w:val="22"/>
        </w:rPr>
        <w:t>(</w:t>
      </w:r>
      <w:hyperlink r:id="rId5" w:history="1">
        <w:r w:rsidRPr="00FE0C20">
          <w:rPr>
            <w:rStyle w:val="Hyperlink"/>
            <w:szCs w:val="22"/>
          </w:rPr>
          <w:t>https://www.swgas.com/1409184638489/rule15.pdf</w:t>
        </w:r>
      </w:hyperlink>
      <w:r w:rsidRPr="00FE0C20">
        <w:rPr>
          <w:szCs w:val="22"/>
        </w:rPr>
        <w:t xml:space="preserve">, </w:t>
      </w:r>
      <w:hyperlink r:id="rId6" w:history="1">
        <w:r w:rsidR="00C83C5A" w:rsidRPr="00CE35E4">
          <w:rPr>
            <w:rStyle w:val="Hyperlink"/>
            <w:szCs w:val="22"/>
          </w:rPr>
          <w:t>https://www.swgas.com/1409184638517/RULE_16</w:t>
        </w:r>
        <w:r w:rsidR="00935C76">
          <w:rPr>
            <w:rStyle w:val="Hyperlink"/>
            <w:szCs w:val="22"/>
          </w:rPr>
          <w:noBreakHyphen/>
        </w:r>
        <w:r w:rsidR="00DC37CE">
          <w:rPr>
            <w:rStyle w:val="Hyperlink"/>
            <w:szCs w:val="22"/>
          </w:rPr>
          <w:t>-</w:t>
        </w:r>
        <w:r w:rsidR="00C83C5A" w:rsidRPr="00CE35E4">
          <w:rPr>
            <w:rStyle w:val="Hyperlink"/>
            <w:szCs w:val="22"/>
          </w:rPr>
          <w:t>GRC_Eff</w:t>
        </w:r>
        <w:r w:rsidR="00DC37CE">
          <w:rPr>
            <w:rStyle w:val="Hyperlink"/>
            <w:szCs w:val="22"/>
          </w:rPr>
          <w:t>-</w:t>
        </w:r>
        <w:r w:rsidR="00C83C5A" w:rsidRPr="00CE35E4">
          <w:rPr>
            <w:rStyle w:val="Hyperlink"/>
            <w:szCs w:val="22"/>
          </w:rPr>
          <w:t>April</w:t>
        </w:r>
        <w:r w:rsidR="00DC37CE">
          <w:rPr>
            <w:rStyle w:val="Hyperlink"/>
            <w:szCs w:val="22"/>
          </w:rPr>
          <w:t>-</w:t>
        </w:r>
        <w:r w:rsidR="00C83C5A" w:rsidRPr="00CE35E4">
          <w:rPr>
            <w:rStyle w:val="Hyperlink"/>
            <w:szCs w:val="22"/>
          </w:rPr>
          <w:t>1</w:t>
        </w:r>
        <w:r w:rsidR="00DC37CE">
          <w:rPr>
            <w:rStyle w:val="Hyperlink"/>
            <w:szCs w:val="22"/>
          </w:rPr>
          <w:t>-</w:t>
        </w:r>
        <w:r w:rsidR="00C83C5A" w:rsidRPr="00CE35E4">
          <w:rPr>
            <w:rStyle w:val="Hyperlink"/>
            <w:szCs w:val="22"/>
          </w:rPr>
          <w:t>2021.pdf</w:t>
        </w:r>
      </w:hyperlink>
      <w:r w:rsidRPr="00FE0C20">
        <w:rPr>
          <w:szCs w:val="22"/>
        </w:rPr>
        <w:t>)</w:t>
      </w:r>
      <w:r w:rsidR="007C25CD">
        <w:rPr>
          <w:szCs w:val="22"/>
        </w:rPr>
        <w:t>,</w:t>
      </w:r>
      <w:r w:rsidRPr="00FE0C20">
        <w:rPr>
          <w:szCs w:val="22"/>
        </w:rPr>
        <w:t xml:space="preserve"> and </w:t>
      </w:r>
      <w:r w:rsidR="00FF29AE">
        <w:rPr>
          <w:szCs w:val="22"/>
        </w:rPr>
        <w:t>Gas Rule</w:t>
      </w:r>
      <w:r w:rsidRPr="00FE0C20">
        <w:rPr>
          <w:szCs w:val="22"/>
        </w:rPr>
        <w:t>s 20</w:t>
      </w:r>
      <w:r w:rsidR="00154071">
        <w:rPr>
          <w:szCs w:val="22"/>
        </w:rPr>
        <w:noBreakHyphen/>
      </w:r>
      <w:r w:rsidRPr="00FE0C20">
        <w:rPr>
          <w:szCs w:val="22"/>
        </w:rPr>
        <w:t xml:space="preserve">21 for </w:t>
      </w:r>
      <w:r w:rsidR="00EF70B2">
        <w:rPr>
          <w:szCs w:val="22"/>
        </w:rPr>
        <w:t>SoCalGas</w:t>
      </w:r>
      <w:r w:rsidRPr="00FE0C20">
        <w:rPr>
          <w:szCs w:val="22"/>
        </w:rPr>
        <w:t xml:space="preserve"> (</w:t>
      </w:r>
      <w:hyperlink r:id="rId7" w:history="1">
        <w:r w:rsidRPr="00FE0C20">
          <w:rPr>
            <w:rStyle w:val="Hyperlink"/>
            <w:szCs w:val="22"/>
          </w:rPr>
          <w:t>https://tariff.socalgas.com/regulatory/tariffs/tm2/pdf/20.pdf</w:t>
        </w:r>
      </w:hyperlink>
      <w:r w:rsidRPr="00FE0C20">
        <w:rPr>
          <w:szCs w:val="22"/>
        </w:rPr>
        <w:t xml:space="preserve">, </w:t>
      </w:r>
      <w:hyperlink r:id="rId8" w:history="1">
        <w:r w:rsidR="00C83C5A" w:rsidRPr="00CE35E4">
          <w:rPr>
            <w:rStyle w:val="Hyperlink"/>
            <w:szCs w:val="22"/>
          </w:rPr>
          <w:t>https://tariff.socalgas.com/regulatory/tariffs/tm2/pdf/21.pdf</w:t>
        </w:r>
      </w:hyperlink>
      <w:r w:rsidRPr="00FE0C20">
        <w:rPr>
          <w:szCs w:val="22"/>
        </w:rPr>
        <w:t xml:space="preserve">). </w:t>
      </w:r>
      <w:r w:rsidR="000F2D16">
        <w:rPr>
          <w:szCs w:val="22"/>
        </w:rPr>
        <w:t>Rule</w:t>
      </w:r>
      <w:r w:rsidR="00513B3F">
        <w:rPr>
          <w:szCs w:val="22"/>
        </w:rPr>
        <w:t> </w:t>
      </w:r>
      <w:r w:rsidRPr="00FE0C20">
        <w:rPr>
          <w:szCs w:val="22"/>
        </w:rPr>
        <w:t xml:space="preserve">15/20 pertains to gas distribution main extensions and </w:t>
      </w:r>
      <w:r w:rsidR="000F2D16">
        <w:rPr>
          <w:szCs w:val="22"/>
        </w:rPr>
        <w:t>Rule</w:t>
      </w:r>
      <w:r w:rsidR="00513B3F">
        <w:rPr>
          <w:szCs w:val="22"/>
        </w:rPr>
        <w:t> </w:t>
      </w:r>
      <w:r w:rsidRPr="00FE0C20">
        <w:rPr>
          <w:szCs w:val="22"/>
        </w:rPr>
        <w:t>16/21 pertains to gas service line extensions.</w:t>
      </w:r>
      <w:r>
        <w:rPr>
          <w:szCs w:val="22"/>
        </w:rPr>
        <w:t xml:space="preserve"> </w:t>
      </w:r>
    </w:p>
  </w:footnote>
  <w:footnote w:id="10">
    <w:p w14:paraId="05745683" w14:textId="710E3CB8" w:rsidR="00DB7BBE" w:rsidRDefault="00DB7BBE">
      <w:pPr>
        <w:pStyle w:val="FootnoteText"/>
      </w:pPr>
      <w:r>
        <w:rPr>
          <w:rStyle w:val="FootnoteReference"/>
        </w:rPr>
        <w:footnoteRef/>
      </w:r>
      <w:r>
        <w:t xml:space="preserve"> </w:t>
      </w:r>
      <w:r w:rsidR="00CA5F0B" w:rsidRPr="00385A44">
        <w:rPr>
          <w:i/>
          <w:iCs/>
        </w:rPr>
        <w:t>See</w:t>
      </w:r>
      <w:r>
        <w:t xml:space="preserve"> Rule</w:t>
      </w:r>
      <w:r w:rsidR="00385A44">
        <w:t> </w:t>
      </w:r>
      <w:r>
        <w:t xml:space="preserve">1.11 and </w:t>
      </w:r>
      <w:r w:rsidR="00385A44">
        <w:t>Rule </w:t>
      </w:r>
      <w:r>
        <w:t xml:space="preserve">18.1. </w:t>
      </w:r>
      <w:r w:rsidR="0037765F">
        <w:t xml:space="preserve">Verification requires that the </w:t>
      </w:r>
      <w:r w:rsidR="0032063A">
        <w:t>person filing the pleading</w:t>
      </w:r>
      <w:r w:rsidR="005121B5">
        <w:t xml:space="preserve"> </w:t>
      </w:r>
      <w:r w:rsidR="00CA5F0B">
        <w:t>knows</w:t>
      </w:r>
      <w:r w:rsidR="005121B5">
        <w:t xml:space="preserve"> </w:t>
      </w:r>
      <w:r w:rsidR="00736DDD">
        <w:t xml:space="preserve">that </w:t>
      </w:r>
      <w:r w:rsidR="005121B5">
        <w:t>the statements in the document are true</w:t>
      </w:r>
      <w:r w:rsidR="00165CB6">
        <w:t>, except for matters</w:t>
      </w:r>
      <w:r w:rsidR="00E24DBB">
        <w:t xml:space="preserve"> which are stated on information or belief,</w:t>
      </w:r>
      <w:r w:rsidR="00612BB3">
        <w:t xml:space="preserve"> and </w:t>
      </w:r>
      <w:r w:rsidR="00843028">
        <w:t>a</w:t>
      </w:r>
      <w:r w:rsidR="00612BB3">
        <w:t xml:space="preserve">s to those matters </w:t>
      </w:r>
      <w:r w:rsidR="00042324">
        <w:t xml:space="preserve">requires </w:t>
      </w:r>
      <w:r w:rsidR="00DB3BCB">
        <w:t xml:space="preserve">that </w:t>
      </w:r>
      <w:r w:rsidR="00042324">
        <w:t xml:space="preserve">the person </w:t>
      </w:r>
      <w:r w:rsidR="00DB3BCB">
        <w:t>believes</w:t>
      </w:r>
      <w:r w:rsidR="00042324">
        <w:t xml:space="preserve"> them to be true. </w:t>
      </w:r>
      <w:r w:rsidR="005B7BED">
        <w:t xml:space="preserve">Moreover, it requires that the </w:t>
      </w:r>
      <w:r w:rsidR="00AE05D1">
        <w:t>person</w:t>
      </w:r>
      <w:r w:rsidR="008157F3">
        <w:t xml:space="preserve"> declare</w:t>
      </w:r>
      <w:r w:rsidR="003B7583">
        <w:t xml:space="preserve"> under penalty of perjury</w:t>
      </w:r>
      <w:r w:rsidR="00761831">
        <w:t xml:space="preserve"> that the foregoing is true and correct. </w:t>
      </w:r>
      <w:r w:rsidR="008E1AD0">
        <w:t>The</w:t>
      </w:r>
      <w:r w:rsidR="00C215C8">
        <w:t xml:space="preserve"> </w:t>
      </w:r>
      <w:r w:rsidR="009278DF">
        <w:t>Phase</w:t>
      </w:r>
      <w:r w:rsidR="00513B3F">
        <w:t> </w:t>
      </w:r>
      <w:r w:rsidR="009278DF">
        <w:t>I</w:t>
      </w:r>
      <w:r>
        <w:t>II Scoping Memo</w:t>
      </w:r>
      <w:r w:rsidR="00B612B4">
        <w:t xml:space="preserve"> stated that unverified comments and reply comments would only be given the weight of argument. </w:t>
      </w:r>
    </w:p>
  </w:footnote>
  <w:footnote w:id="11">
    <w:p w14:paraId="3BE19B50" w14:textId="4040DF4F" w:rsidR="00144776" w:rsidRDefault="00144776">
      <w:pPr>
        <w:pStyle w:val="FootnoteText"/>
      </w:pPr>
      <w:r>
        <w:rPr>
          <w:rStyle w:val="FootnoteReference"/>
        </w:rPr>
        <w:footnoteRef/>
      </w:r>
      <w:r>
        <w:t xml:space="preserve"> </w:t>
      </w:r>
      <w:r w:rsidR="007D79B6">
        <w:t>Pub.</w:t>
      </w:r>
      <w:r w:rsidR="00513B3F">
        <w:t> </w:t>
      </w:r>
      <w:r w:rsidR="007D79B6">
        <w:t>Util.</w:t>
      </w:r>
      <w:r w:rsidR="005138DF">
        <w:t xml:space="preserve"> Code </w:t>
      </w:r>
      <w:r w:rsidR="000F2D16">
        <w:t>Section</w:t>
      </w:r>
      <w:r w:rsidR="00513B3F">
        <w:t> </w:t>
      </w:r>
      <w:r w:rsidR="005138DF">
        <w:t>783(c) states</w:t>
      </w:r>
      <w:r w:rsidR="005138DF" w:rsidRPr="00337174">
        <w:t>:</w:t>
      </w:r>
      <w:r w:rsidR="00E269A3" w:rsidRPr="00337174">
        <w:t xml:space="preserve"> </w:t>
      </w:r>
      <w:r w:rsidR="005138DF" w:rsidRPr="00337174">
        <w:t xml:space="preserve"> “</w:t>
      </w:r>
      <w:r w:rsidR="005138DF" w:rsidRPr="005138DF">
        <w:t>The commission shall request the assistance of appropriate state agencies and departments in conducting any investigation or proceeding pursuant to sub</w:t>
      </w:r>
      <w:r w:rsidR="00D57C9E">
        <w:t>division</w:t>
      </w:r>
      <w:r w:rsidR="00513B3F">
        <w:t> </w:t>
      </w:r>
      <w:r w:rsidR="00D57C9E">
        <w:t>(</w:t>
      </w:r>
      <w:r w:rsidR="005138DF" w:rsidRPr="005138DF">
        <w:t>b), including, but not limited to, the Transportation Agency, the Department of Food and Agriculture, the Department of Consumer Affairs, the Bureau of Real Estate, and the Department of Housing and Community Development.”</w:t>
      </w:r>
    </w:p>
  </w:footnote>
  <w:footnote w:id="12">
    <w:p w14:paraId="74A57345" w14:textId="071B67D6" w:rsidR="00155C41" w:rsidRDefault="00155C41" w:rsidP="00155C41">
      <w:pPr>
        <w:pStyle w:val="FootnoteText"/>
      </w:pPr>
      <w:r>
        <w:rPr>
          <w:rStyle w:val="FootnoteReference"/>
        </w:rPr>
        <w:footnoteRef/>
      </w:r>
      <w:r>
        <w:t xml:space="preserve"> </w:t>
      </w:r>
      <w:r w:rsidR="009278DF">
        <w:t>Phase</w:t>
      </w:r>
      <w:r w:rsidR="00513B3F">
        <w:t> </w:t>
      </w:r>
      <w:r w:rsidR="009278DF">
        <w:t>I</w:t>
      </w:r>
      <w:r>
        <w:t>II Scoping Memo</w:t>
      </w:r>
      <w:r w:rsidR="00FF674A">
        <w:t xml:space="preserve"> at</w:t>
      </w:r>
      <w:r w:rsidR="00513B3F">
        <w:t> </w:t>
      </w:r>
      <w:r>
        <w:t>1 and 12.</w:t>
      </w:r>
    </w:p>
  </w:footnote>
  <w:footnote w:id="13">
    <w:p w14:paraId="5ED74958" w14:textId="3A0D2E69" w:rsidR="006D3D46" w:rsidRDefault="006D3D46">
      <w:pPr>
        <w:pStyle w:val="FootnoteText"/>
      </w:pPr>
      <w:r>
        <w:rPr>
          <w:rStyle w:val="FootnoteReference"/>
        </w:rPr>
        <w:footnoteRef/>
      </w:r>
      <w:r>
        <w:t xml:space="preserve"> </w:t>
      </w:r>
      <w:r w:rsidR="00D32FCC">
        <w:t xml:space="preserve">The parties filed individual pleadings </w:t>
      </w:r>
      <w:r w:rsidR="003C7634">
        <w:t xml:space="preserve">in several instances </w:t>
      </w:r>
      <w:r w:rsidR="00D22FA2">
        <w:t>and are cited as such in this order</w:t>
      </w:r>
      <w:r w:rsidR="00BF04DF">
        <w:t xml:space="preserve">. The exception is when </w:t>
      </w:r>
      <w:r w:rsidR="00160E2B">
        <w:t xml:space="preserve">they </w:t>
      </w:r>
      <w:r w:rsidR="00214727">
        <w:t xml:space="preserve">filed </w:t>
      </w:r>
      <w:r w:rsidR="00BF04DF">
        <w:t xml:space="preserve">jointly </w:t>
      </w:r>
      <w:r w:rsidR="00214727">
        <w:t xml:space="preserve">and </w:t>
      </w:r>
      <w:r w:rsidR="00160E2B">
        <w:t xml:space="preserve">are cited herein </w:t>
      </w:r>
      <w:r w:rsidR="00214727">
        <w:t>as Joint IOUs, Joint</w:t>
      </w:r>
      <w:r w:rsidR="00DC2919">
        <w:t xml:space="preserve"> Parties, or Joint CCAs. </w:t>
      </w:r>
    </w:p>
  </w:footnote>
  <w:footnote w:id="14">
    <w:p w14:paraId="75870CEA" w14:textId="4A08904A" w:rsidR="008959A4" w:rsidRDefault="008959A4" w:rsidP="008959A4">
      <w:pPr>
        <w:pStyle w:val="FootnoteText"/>
      </w:pPr>
      <w:r>
        <w:rPr>
          <w:rStyle w:val="FootnoteReference"/>
        </w:rPr>
        <w:footnoteRef/>
      </w:r>
      <w:r>
        <w:t xml:space="preserve"> </w:t>
      </w:r>
      <w:r w:rsidR="009278DF">
        <w:t>Phase</w:t>
      </w:r>
      <w:r w:rsidR="00513B3F">
        <w:t> </w:t>
      </w:r>
      <w:r w:rsidR="009278DF">
        <w:t>I</w:t>
      </w:r>
      <w:r w:rsidR="001140C4">
        <w:t>II Scoping Memo</w:t>
      </w:r>
      <w:r w:rsidR="00FF674A">
        <w:t xml:space="preserve"> at </w:t>
      </w:r>
      <w:r>
        <w:t>3</w:t>
      </w:r>
      <w:r w:rsidR="00154071">
        <w:noBreakHyphen/>
      </w:r>
      <w:r w:rsidR="00F73D8D">
        <w:t>5</w:t>
      </w:r>
      <w:r w:rsidRPr="00B71721">
        <w:t>.</w:t>
      </w:r>
    </w:p>
  </w:footnote>
  <w:footnote w:id="15">
    <w:p w14:paraId="7D486AF1" w14:textId="4A3C57C7" w:rsidR="005A36B6" w:rsidRDefault="005A36B6">
      <w:pPr>
        <w:pStyle w:val="FootnoteText"/>
      </w:pPr>
      <w:r>
        <w:rPr>
          <w:rStyle w:val="FootnoteReference"/>
        </w:rPr>
        <w:footnoteRef/>
      </w:r>
      <w:r>
        <w:t xml:space="preserve"> </w:t>
      </w:r>
      <w:r w:rsidRPr="005A36B6">
        <w:t>Case</w:t>
      </w:r>
      <w:r w:rsidR="00513B3F">
        <w:t> </w:t>
      </w:r>
      <w:r w:rsidRPr="005A36B6">
        <w:t>10260.</w:t>
      </w:r>
    </w:p>
  </w:footnote>
  <w:footnote w:id="16">
    <w:p w14:paraId="3C69C65F" w14:textId="21E5E515" w:rsidR="006E7921" w:rsidRDefault="006E7921">
      <w:pPr>
        <w:pStyle w:val="FootnoteText"/>
      </w:pPr>
      <w:r>
        <w:rPr>
          <w:rStyle w:val="FootnoteReference"/>
        </w:rPr>
        <w:footnoteRef/>
      </w:r>
      <w:r>
        <w:t xml:space="preserve"> </w:t>
      </w:r>
      <w:r w:rsidRPr="006E7921">
        <w:t>D.91328, February</w:t>
      </w:r>
      <w:r w:rsidR="00513B3F">
        <w:t> </w:t>
      </w:r>
      <w:r w:rsidRPr="006E7921">
        <w:t>13,</w:t>
      </w:r>
      <w:r w:rsidR="00513B3F">
        <w:t> </w:t>
      </w:r>
      <w:r w:rsidRPr="006E7921">
        <w:t>1980.</w:t>
      </w:r>
    </w:p>
  </w:footnote>
  <w:footnote w:id="17">
    <w:p w14:paraId="7D4210EF" w14:textId="08004DBB" w:rsidR="006E7921" w:rsidRDefault="006E7921">
      <w:pPr>
        <w:pStyle w:val="FootnoteText"/>
      </w:pPr>
      <w:r>
        <w:rPr>
          <w:rStyle w:val="FootnoteReference"/>
        </w:rPr>
        <w:footnoteRef/>
      </w:r>
      <w:r>
        <w:t xml:space="preserve"> </w:t>
      </w:r>
      <w:r w:rsidRPr="006E7921">
        <w:t>D.82</w:t>
      </w:r>
      <w:r w:rsidR="00513B3F">
        <w:noBreakHyphen/>
      </w:r>
      <w:r w:rsidRPr="006E7921">
        <w:t>04</w:t>
      </w:r>
      <w:r w:rsidR="00513B3F">
        <w:noBreakHyphen/>
      </w:r>
      <w:r w:rsidRPr="006E7921">
        <w:t>068</w:t>
      </w:r>
      <w:r>
        <w:t xml:space="preserve">, </w:t>
      </w:r>
      <w:r w:rsidRPr="006E7921">
        <w:t>April</w:t>
      </w:r>
      <w:r w:rsidR="00513B3F">
        <w:t> </w:t>
      </w:r>
      <w:r w:rsidRPr="006E7921">
        <w:t xml:space="preserve">1982 </w:t>
      </w:r>
      <w:r>
        <w:t xml:space="preserve">and </w:t>
      </w:r>
      <w:r w:rsidRPr="006E7921">
        <w:t>D.82</w:t>
      </w:r>
      <w:r w:rsidR="00513B3F">
        <w:noBreakHyphen/>
      </w:r>
      <w:r w:rsidRPr="006E7921">
        <w:t>12</w:t>
      </w:r>
      <w:r w:rsidR="00513B3F">
        <w:noBreakHyphen/>
      </w:r>
      <w:r w:rsidRPr="006E7921">
        <w:t>094</w:t>
      </w:r>
      <w:r>
        <w:t xml:space="preserve">, </w:t>
      </w:r>
      <w:r w:rsidRPr="006E7921">
        <w:t>December</w:t>
      </w:r>
      <w:r w:rsidR="00513B3F">
        <w:t> </w:t>
      </w:r>
      <w:r w:rsidRPr="006E7921">
        <w:t xml:space="preserve">1982. </w:t>
      </w:r>
    </w:p>
  </w:footnote>
  <w:footnote w:id="18">
    <w:p w14:paraId="7D03197D" w14:textId="3505DC71" w:rsidR="008B5C8E" w:rsidRDefault="008B5C8E">
      <w:pPr>
        <w:pStyle w:val="FootnoteText"/>
      </w:pPr>
      <w:r>
        <w:rPr>
          <w:rStyle w:val="FootnoteReference"/>
        </w:rPr>
        <w:footnoteRef/>
      </w:r>
      <w:r>
        <w:t xml:space="preserve"> </w:t>
      </w:r>
      <w:r w:rsidR="00452F77">
        <w:t>SB</w:t>
      </w:r>
      <w:r w:rsidR="00513B3F">
        <w:t> </w:t>
      </w:r>
      <w:r w:rsidRPr="008B5C8E">
        <w:t>48; Stats.</w:t>
      </w:r>
      <w:r w:rsidR="00513B3F">
        <w:t> </w:t>
      </w:r>
      <w:r w:rsidRPr="008B5C8E">
        <w:t>1983, Ch.</w:t>
      </w:r>
      <w:r w:rsidR="00513B3F">
        <w:t> </w:t>
      </w:r>
      <w:r w:rsidRPr="008B5C8E">
        <w:t>1229, Sec.</w:t>
      </w:r>
      <w:r w:rsidR="00513B3F">
        <w:t> </w:t>
      </w:r>
      <w:r w:rsidRPr="008B5C8E">
        <w:t>2, effective September</w:t>
      </w:r>
      <w:r w:rsidR="00513B3F">
        <w:t> </w:t>
      </w:r>
      <w:r w:rsidRPr="008B5C8E">
        <w:t>30,</w:t>
      </w:r>
      <w:r w:rsidR="00513B3F">
        <w:t> </w:t>
      </w:r>
      <w:r w:rsidRPr="008B5C8E">
        <w:t xml:space="preserve">1983. </w:t>
      </w:r>
    </w:p>
  </w:footnote>
  <w:footnote w:id="19">
    <w:p w14:paraId="61B01461" w14:textId="5BE4CCB5" w:rsidR="00F737D9" w:rsidRDefault="00F737D9" w:rsidP="00F737D9">
      <w:pPr>
        <w:pStyle w:val="FootnoteText"/>
      </w:pPr>
      <w:r>
        <w:rPr>
          <w:rStyle w:val="FootnoteReference"/>
        </w:rPr>
        <w:footnoteRef/>
      </w:r>
      <w:r>
        <w:t xml:space="preserve"> </w:t>
      </w:r>
      <w:r w:rsidRPr="002F0967">
        <w:t>D.83</w:t>
      </w:r>
      <w:r w:rsidR="00513B3F">
        <w:noBreakHyphen/>
      </w:r>
      <w:r w:rsidRPr="002F0967">
        <w:t>09</w:t>
      </w:r>
      <w:r w:rsidR="00513B3F">
        <w:noBreakHyphen/>
      </w:r>
      <w:r w:rsidRPr="002F0967">
        <w:t>066, D.84</w:t>
      </w:r>
      <w:r w:rsidR="00513B3F">
        <w:noBreakHyphen/>
      </w:r>
      <w:r w:rsidRPr="002F0967">
        <w:t>04</w:t>
      </w:r>
      <w:r w:rsidR="00513B3F">
        <w:noBreakHyphen/>
      </w:r>
      <w:r w:rsidRPr="002F0967">
        <w:t>047.</w:t>
      </w:r>
    </w:p>
  </w:footnote>
  <w:footnote w:id="20">
    <w:p w14:paraId="48EB5490" w14:textId="7722E6F2" w:rsidR="004D354C" w:rsidRDefault="004D354C" w:rsidP="004D354C">
      <w:pPr>
        <w:pStyle w:val="FootnoteText"/>
      </w:pPr>
      <w:r>
        <w:rPr>
          <w:rStyle w:val="FootnoteReference"/>
        </w:rPr>
        <w:footnoteRef/>
      </w:r>
      <w:r w:rsidR="004D01E6">
        <w:t xml:space="preserve"> </w:t>
      </w:r>
      <w:r w:rsidRPr="009B798C">
        <w:rPr>
          <w:i/>
          <w:iCs/>
        </w:rPr>
        <w:t>See</w:t>
      </w:r>
      <w:r w:rsidR="004D01E6">
        <w:t xml:space="preserve"> </w:t>
      </w:r>
      <w:hyperlink r:id="rId9" w:history="1">
        <w:r w:rsidR="009B798C" w:rsidRPr="00CE35E4">
          <w:rPr>
            <w:rStyle w:val="Hyperlink"/>
          </w:rPr>
          <w:t>https://leginfo.legislature.ca.gov/faces/codes_displaySection.xhtml?sectionNum=783&amp;lawCode=PUC</w:t>
        </w:r>
      </w:hyperlink>
      <w:r w:rsidRPr="00C54EAF">
        <w:t xml:space="preserve">. </w:t>
      </w:r>
    </w:p>
  </w:footnote>
  <w:footnote w:id="21">
    <w:p w14:paraId="69907268" w14:textId="413082BB" w:rsidR="004D5BAA" w:rsidRDefault="004D5BAA" w:rsidP="004D5BAA">
      <w:pPr>
        <w:pStyle w:val="FootnoteText"/>
      </w:pPr>
      <w:r>
        <w:rPr>
          <w:rStyle w:val="FootnoteReference"/>
        </w:rPr>
        <w:footnoteRef/>
      </w:r>
      <w:r>
        <w:t xml:space="preserve"> Both </w:t>
      </w:r>
      <w:r w:rsidRPr="0056104A">
        <w:t>“refundable” costs and “non</w:t>
      </w:r>
      <w:r w:rsidR="00513B3F">
        <w:noBreakHyphen/>
      </w:r>
      <w:r w:rsidRPr="0056104A">
        <w:t>refundable” costs</w:t>
      </w:r>
      <w:r>
        <w:t xml:space="preserve"> </w:t>
      </w:r>
      <w:r w:rsidRPr="0056104A">
        <w:t xml:space="preserve">are specified in </w:t>
      </w:r>
      <w:r w:rsidR="000F2D16">
        <w:t>Section</w:t>
      </w:r>
      <w:r w:rsidR="00513B3F">
        <w:t> </w:t>
      </w:r>
      <w:r w:rsidRPr="0056104A">
        <w:t xml:space="preserve">D.6 of </w:t>
      </w:r>
      <w:r w:rsidR="00FF29AE">
        <w:t>Gas</w:t>
      </w:r>
      <w:r w:rsidR="00513B3F">
        <w:t> </w:t>
      </w:r>
      <w:r w:rsidR="00FF29AE">
        <w:t>Rule</w:t>
      </w:r>
      <w:r w:rsidR="00513B3F">
        <w:t> </w:t>
      </w:r>
      <w:r w:rsidRPr="0056104A">
        <w:t xml:space="preserve">15 for PG&amp;E, SDG&amp;E, and SWG and </w:t>
      </w:r>
      <w:r w:rsidR="00FF29AE">
        <w:t>Gas</w:t>
      </w:r>
      <w:r w:rsidR="00513B3F">
        <w:t> </w:t>
      </w:r>
      <w:r w:rsidR="00FF29AE">
        <w:t>Rule</w:t>
      </w:r>
      <w:r w:rsidR="00513B3F">
        <w:t> </w:t>
      </w:r>
      <w:r w:rsidRPr="0056104A">
        <w:t xml:space="preserve">20 for SoCalGas. Per </w:t>
      </w:r>
      <w:r w:rsidR="000F2D16">
        <w:t>Section</w:t>
      </w:r>
      <w:r w:rsidR="00513B3F">
        <w:t> </w:t>
      </w:r>
      <w:r w:rsidRPr="0056104A">
        <w:t xml:space="preserve">D.6.a of </w:t>
      </w:r>
      <w:r w:rsidR="00FF29AE">
        <w:t>Gas</w:t>
      </w:r>
      <w:r w:rsidR="00513B3F">
        <w:t> </w:t>
      </w:r>
      <w:r w:rsidR="00FF29AE">
        <w:t>Rule</w:t>
      </w:r>
      <w:r w:rsidR="00513B3F">
        <w:t> </w:t>
      </w:r>
      <w:r w:rsidRPr="0056104A">
        <w:t xml:space="preserve">15/20, refundable costs include the total estimated installed cost, including taxes, to complete the distribution line extension. Per </w:t>
      </w:r>
      <w:r w:rsidR="000F2D16">
        <w:t>Section</w:t>
      </w:r>
      <w:r w:rsidR="00513B3F">
        <w:t> </w:t>
      </w:r>
      <w:r w:rsidRPr="0056104A">
        <w:t xml:space="preserve">D.6.c of </w:t>
      </w:r>
      <w:r w:rsidR="00FF29AE">
        <w:t>Gas</w:t>
      </w:r>
      <w:r w:rsidR="00513B3F">
        <w:t> </w:t>
      </w:r>
      <w:r w:rsidR="00FF29AE">
        <w:t>Rule</w:t>
      </w:r>
      <w:r w:rsidR="00513B3F">
        <w:t> </w:t>
      </w:r>
      <w:r w:rsidRPr="0056104A">
        <w:t>15/20, non</w:t>
      </w:r>
      <w:r w:rsidR="00513B3F">
        <w:noBreakHyphen/>
      </w:r>
      <w:r w:rsidRPr="0056104A">
        <w:t xml:space="preserve">refundable costs include the estimated value of all substructures and other protective structures. </w:t>
      </w:r>
      <w:r w:rsidR="000F2D16">
        <w:t>Section</w:t>
      </w:r>
      <w:r w:rsidR="00513B3F">
        <w:t> </w:t>
      </w:r>
      <w:r w:rsidRPr="0056104A">
        <w:t xml:space="preserve">E.5 of </w:t>
      </w:r>
      <w:r w:rsidR="00FF29AE">
        <w:t>Gas</w:t>
      </w:r>
      <w:r w:rsidR="00513B3F">
        <w:t> </w:t>
      </w:r>
      <w:r w:rsidR="00FF29AE">
        <w:t>Rule</w:t>
      </w:r>
      <w:r w:rsidR="00513B3F">
        <w:t> </w:t>
      </w:r>
      <w:r w:rsidRPr="0056104A">
        <w:t>16 for PG&amp;E, SDG&amp;E, and SWG</w:t>
      </w:r>
      <w:r w:rsidR="00FE7B04">
        <w:t>,</w:t>
      </w:r>
      <w:r w:rsidRPr="0056104A">
        <w:t xml:space="preserve"> and </w:t>
      </w:r>
      <w:r w:rsidR="00FF29AE">
        <w:t>Gas</w:t>
      </w:r>
      <w:r w:rsidR="00513B3F">
        <w:t> </w:t>
      </w:r>
      <w:r w:rsidR="00FF29AE">
        <w:t>Rule</w:t>
      </w:r>
      <w:r w:rsidR="00513B3F">
        <w:t> </w:t>
      </w:r>
      <w:r w:rsidRPr="0056104A">
        <w:t>21 for SoCalGas specifies that service line extensions are not eligible for refund.</w:t>
      </w:r>
    </w:p>
  </w:footnote>
  <w:footnote w:id="22">
    <w:p w14:paraId="3BA90104" w14:textId="0971A829" w:rsidR="0040398A" w:rsidRDefault="0040398A" w:rsidP="00CF0658">
      <w:pPr>
        <w:pStyle w:val="FootnoteText"/>
      </w:pPr>
      <w:r>
        <w:rPr>
          <w:rStyle w:val="FootnoteReference"/>
        </w:rPr>
        <w:footnoteRef/>
      </w:r>
      <w:r w:rsidR="004D01E6">
        <w:t xml:space="preserve"> </w:t>
      </w:r>
      <w:r>
        <w:t>PG&amp;E</w:t>
      </w:r>
      <w:r w:rsidR="004D01E6">
        <w:t xml:space="preserve"> </w:t>
      </w:r>
      <w:r>
        <w:t>rates</w:t>
      </w:r>
      <w:r w:rsidR="004D01E6">
        <w:t xml:space="preserve"> </w:t>
      </w:r>
      <w:r>
        <w:t>effective</w:t>
      </w:r>
      <w:r w:rsidR="004D01E6">
        <w:t xml:space="preserve"> </w:t>
      </w:r>
      <w:r>
        <w:t>January</w:t>
      </w:r>
      <w:r w:rsidR="00513B3F">
        <w:t> </w:t>
      </w:r>
      <w:r>
        <w:t>1,</w:t>
      </w:r>
      <w:r w:rsidR="00513B3F">
        <w:t> </w:t>
      </w:r>
      <w:r>
        <w:t>2022</w:t>
      </w:r>
      <w:r w:rsidR="004D01E6">
        <w:t xml:space="preserve"> </w:t>
      </w:r>
      <w:r w:rsidR="00DE7669">
        <w:t>(</w:t>
      </w:r>
      <w:hyperlink r:id="rId10" w:history="1">
        <w:r w:rsidR="00DE7669" w:rsidRPr="00CE35E4">
          <w:rPr>
            <w:rStyle w:val="Hyperlink"/>
          </w:rPr>
          <w:t>https://www.pge.com/tariffs/assets/pdf/adviceletter/GAS_4488</w:t>
        </w:r>
        <w:r w:rsidR="00DC37CE">
          <w:rPr>
            <w:rStyle w:val="Hyperlink"/>
          </w:rPr>
          <w:t>-</w:t>
        </w:r>
        <w:r w:rsidR="00DE7669" w:rsidRPr="00CE35E4">
          <w:rPr>
            <w:rStyle w:val="Hyperlink"/>
          </w:rPr>
          <w:t>G.pdf</w:t>
        </w:r>
      </w:hyperlink>
      <w:r w:rsidR="00DE7669">
        <w:t xml:space="preserve">). </w:t>
      </w:r>
    </w:p>
  </w:footnote>
  <w:footnote w:id="23">
    <w:p w14:paraId="1B19D62C" w14:textId="0E018A1E" w:rsidR="0040398A" w:rsidRDefault="0040398A" w:rsidP="00CF0658">
      <w:pPr>
        <w:pStyle w:val="FootnoteText"/>
      </w:pPr>
      <w:r>
        <w:rPr>
          <w:rStyle w:val="FootnoteReference"/>
        </w:rPr>
        <w:footnoteRef/>
      </w:r>
      <w:r w:rsidR="004D01E6">
        <w:t xml:space="preserve"> </w:t>
      </w:r>
      <w:r>
        <w:t>SCG</w:t>
      </w:r>
      <w:r w:rsidR="004D01E6">
        <w:t xml:space="preserve"> </w:t>
      </w:r>
      <w:r>
        <w:t>Rule</w:t>
      </w:r>
      <w:r w:rsidR="00513B3F">
        <w:t> </w:t>
      </w:r>
      <w:r>
        <w:t>20</w:t>
      </w:r>
      <w:r w:rsidR="004D01E6">
        <w:t xml:space="preserve"> </w:t>
      </w:r>
      <w:r w:rsidR="00FF29AE">
        <w:t>Gas</w:t>
      </w:r>
      <w:r w:rsidR="00513B3F">
        <w:t> </w:t>
      </w:r>
      <w:r w:rsidR="00FF29AE">
        <w:t>Rule</w:t>
      </w:r>
      <w:r>
        <w:t>s</w:t>
      </w:r>
      <w:r w:rsidR="004D01E6">
        <w:t xml:space="preserve"> </w:t>
      </w:r>
      <w:r>
        <w:t>approved</w:t>
      </w:r>
      <w:r w:rsidR="004D01E6">
        <w:t xml:space="preserve"> </w:t>
      </w:r>
      <w:r>
        <w:t>in</w:t>
      </w:r>
      <w:r w:rsidR="004D01E6">
        <w:t xml:space="preserve"> </w:t>
      </w:r>
      <w:r>
        <w:t>2022</w:t>
      </w:r>
      <w:r w:rsidR="004D01E6">
        <w:t xml:space="preserve"> </w:t>
      </w:r>
      <w:r w:rsidR="00DE7669">
        <w:t>(</w:t>
      </w:r>
      <w:hyperlink r:id="rId11" w:history="1">
        <w:r w:rsidR="00DE7669" w:rsidRPr="00CE35E4">
          <w:rPr>
            <w:rStyle w:val="Hyperlink"/>
          </w:rPr>
          <w:t>https://tariff.socalgas.com/regulatory/tariffs/tm2/pdf/20.pdf</w:t>
        </w:r>
      </w:hyperlink>
      <w:r w:rsidR="00DE7669">
        <w:t>)</w:t>
      </w:r>
      <w:r w:rsidR="00311995">
        <w:t>.</w:t>
      </w:r>
    </w:p>
  </w:footnote>
  <w:footnote w:id="24">
    <w:p w14:paraId="3B8CD882" w14:textId="162E34EE" w:rsidR="0040398A" w:rsidRPr="00E07A3D" w:rsidRDefault="0040398A" w:rsidP="00CF0658">
      <w:pPr>
        <w:pStyle w:val="FootnoteText"/>
        <w:rPr>
          <w:szCs w:val="22"/>
        </w:rPr>
      </w:pPr>
      <w:r w:rsidRPr="00E07A3D">
        <w:rPr>
          <w:rStyle w:val="FootnoteReference"/>
          <w:szCs w:val="22"/>
        </w:rPr>
        <w:footnoteRef/>
      </w:r>
      <w:r w:rsidRPr="00E07A3D">
        <w:rPr>
          <w:szCs w:val="22"/>
        </w:rPr>
        <w:t xml:space="preserve"> SDG&amp;E </w:t>
      </w:r>
      <w:r>
        <w:rPr>
          <w:szCs w:val="22"/>
        </w:rPr>
        <w:t xml:space="preserve">rates approved in 2020 </w:t>
      </w:r>
      <w:r w:rsidR="00DE7669">
        <w:rPr>
          <w:szCs w:val="22"/>
        </w:rPr>
        <w:t>(</w:t>
      </w:r>
      <w:hyperlink r:id="rId12" w:history="1">
        <w:r w:rsidR="00DE7669" w:rsidRPr="00CE35E4">
          <w:rPr>
            <w:rStyle w:val="Hyperlink"/>
            <w:szCs w:val="22"/>
          </w:rPr>
          <w:t>https://tariff.sdge.com/tm2/pdf/2866</w:t>
        </w:r>
        <w:r w:rsidR="00DC37CE">
          <w:rPr>
            <w:rStyle w:val="Hyperlink"/>
            <w:szCs w:val="22"/>
          </w:rPr>
          <w:t>-</w:t>
        </w:r>
        <w:r w:rsidR="00DE7669" w:rsidRPr="00CE35E4">
          <w:rPr>
            <w:rStyle w:val="Hyperlink"/>
            <w:szCs w:val="22"/>
          </w:rPr>
          <w:t>G.pdf</w:t>
        </w:r>
      </w:hyperlink>
      <w:r w:rsidR="00DE7669">
        <w:rPr>
          <w:rStyle w:val="markedcontent"/>
          <w:szCs w:val="22"/>
        </w:rPr>
        <w:t>)</w:t>
      </w:r>
      <w:r w:rsidRPr="007B11A0">
        <w:rPr>
          <w:rStyle w:val="markedcontent"/>
          <w:szCs w:val="22"/>
        </w:rPr>
        <w:t>.</w:t>
      </w:r>
    </w:p>
  </w:footnote>
  <w:footnote w:id="25">
    <w:p w14:paraId="3935BF1A" w14:textId="7C2466E4" w:rsidR="0040398A" w:rsidRPr="007A613F" w:rsidRDefault="0040398A" w:rsidP="00CF0658">
      <w:pPr>
        <w:pStyle w:val="FootnoteText"/>
        <w:rPr>
          <w:szCs w:val="22"/>
        </w:rPr>
      </w:pPr>
      <w:r w:rsidRPr="007A613F">
        <w:rPr>
          <w:rStyle w:val="FootnoteReference"/>
          <w:szCs w:val="22"/>
        </w:rPr>
        <w:footnoteRef/>
      </w:r>
      <w:r w:rsidR="004D01E6">
        <w:rPr>
          <w:szCs w:val="22"/>
        </w:rPr>
        <w:t xml:space="preserve"> </w:t>
      </w:r>
      <w:r w:rsidRPr="007B11A0">
        <w:rPr>
          <w:rStyle w:val="markedcontent"/>
          <w:szCs w:val="22"/>
        </w:rPr>
        <w:t>SWG</w:t>
      </w:r>
      <w:r w:rsidR="004D01E6">
        <w:rPr>
          <w:rStyle w:val="markedcontent"/>
          <w:szCs w:val="22"/>
        </w:rPr>
        <w:t xml:space="preserve"> </w:t>
      </w:r>
      <w:r w:rsidRPr="007B11A0">
        <w:rPr>
          <w:rStyle w:val="markedcontent"/>
          <w:szCs w:val="22"/>
        </w:rPr>
        <w:t>rates</w:t>
      </w:r>
      <w:r w:rsidR="004D01E6">
        <w:rPr>
          <w:rStyle w:val="markedcontent"/>
          <w:szCs w:val="22"/>
        </w:rPr>
        <w:t xml:space="preserve"> </w:t>
      </w:r>
      <w:r w:rsidRPr="007B11A0">
        <w:rPr>
          <w:rStyle w:val="markedcontent"/>
          <w:szCs w:val="22"/>
        </w:rPr>
        <w:t>are</w:t>
      </w:r>
      <w:r w:rsidR="004D01E6">
        <w:rPr>
          <w:rStyle w:val="markedcontent"/>
          <w:szCs w:val="22"/>
        </w:rPr>
        <w:t xml:space="preserve"> </w:t>
      </w:r>
      <w:r w:rsidRPr="007B11A0">
        <w:rPr>
          <w:rStyle w:val="markedcontent"/>
          <w:szCs w:val="22"/>
        </w:rPr>
        <w:t>bifurcated</w:t>
      </w:r>
      <w:r w:rsidR="004D01E6">
        <w:rPr>
          <w:rStyle w:val="markedcontent"/>
          <w:szCs w:val="22"/>
        </w:rPr>
        <w:t xml:space="preserve"> </w:t>
      </w:r>
      <w:r w:rsidRPr="007B11A0">
        <w:rPr>
          <w:rStyle w:val="markedcontent"/>
          <w:szCs w:val="22"/>
        </w:rPr>
        <w:t>into</w:t>
      </w:r>
      <w:r w:rsidR="004D01E6">
        <w:rPr>
          <w:rStyle w:val="markedcontent"/>
          <w:szCs w:val="22"/>
        </w:rPr>
        <w:t xml:space="preserve"> </w:t>
      </w:r>
      <w:r w:rsidRPr="007B11A0">
        <w:rPr>
          <w:rStyle w:val="markedcontent"/>
          <w:szCs w:val="22"/>
        </w:rPr>
        <w:t>their</w:t>
      </w:r>
      <w:r w:rsidR="004D01E6">
        <w:rPr>
          <w:rStyle w:val="markedcontent"/>
          <w:szCs w:val="22"/>
        </w:rPr>
        <w:t xml:space="preserve"> </w:t>
      </w:r>
      <w:r w:rsidRPr="007B11A0">
        <w:rPr>
          <w:rStyle w:val="markedcontent"/>
          <w:szCs w:val="22"/>
        </w:rPr>
        <w:t>two</w:t>
      </w:r>
      <w:r w:rsidR="004D01E6">
        <w:rPr>
          <w:rStyle w:val="markedcontent"/>
          <w:szCs w:val="22"/>
        </w:rPr>
        <w:t xml:space="preserve"> </w:t>
      </w:r>
      <w:r w:rsidRPr="007B11A0">
        <w:rPr>
          <w:rStyle w:val="markedcontent"/>
          <w:szCs w:val="22"/>
        </w:rPr>
        <w:t>non</w:t>
      </w:r>
      <w:r w:rsidR="00513B3F">
        <w:rPr>
          <w:rStyle w:val="markedcontent"/>
          <w:szCs w:val="22"/>
        </w:rPr>
        <w:noBreakHyphen/>
      </w:r>
      <w:r w:rsidRPr="007B11A0">
        <w:rPr>
          <w:rStyle w:val="markedcontent"/>
          <w:szCs w:val="22"/>
        </w:rPr>
        <w:t>contiguous</w:t>
      </w:r>
      <w:r w:rsidR="004D01E6">
        <w:rPr>
          <w:rStyle w:val="markedcontent"/>
          <w:szCs w:val="22"/>
        </w:rPr>
        <w:t xml:space="preserve"> </w:t>
      </w:r>
      <w:r w:rsidRPr="007B11A0">
        <w:rPr>
          <w:rStyle w:val="markedcontent"/>
          <w:szCs w:val="22"/>
        </w:rPr>
        <w:t>territories</w:t>
      </w:r>
      <w:r w:rsidR="004D01E6">
        <w:rPr>
          <w:rStyle w:val="markedcontent"/>
          <w:szCs w:val="22"/>
        </w:rPr>
        <w:t xml:space="preserve"> </w:t>
      </w:r>
      <w:r w:rsidR="00DE7669">
        <w:rPr>
          <w:rStyle w:val="markedcontent"/>
          <w:szCs w:val="22"/>
        </w:rPr>
        <w:t>(</w:t>
      </w:r>
      <w:hyperlink r:id="rId13" w:history="1">
        <w:r w:rsidR="00DE7669" w:rsidRPr="00CE35E4">
          <w:rPr>
            <w:rStyle w:val="Hyperlink"/>
            <w:szCs w:val="22"/>
          </w:rPr>
          <w:t>https://www.swgas.com/1409184638489/rule15.pdf</w:t>
        </w:r>
      </w:hyperlink>
      <w:r w:rsidR="00DE7669">
        <w:rPr>
          <w:rStyle w:val="markedcontent"/>
          <w:szCs w:val="22"/>
        </w:rPr>
        <w:t>).</w:t>
      </w:r>
    </w:p>
  </w:footnote>
  <w:footnote w:id="26">
    <w:p w14:paraId="4F6324F0" w14:textId="66F0CDC2" w:rsidR="00E955D6" w:rsidRDefault="00E955D6" w:rsidP="00E955D6">
      <w:pPr>
        <w:pStyle w:val="FootnoteText"/>
      </w:pPr>
      <w:r>
        <w:rPr>
          <w:rStyle w:val="FootnoteReference"/>
        </w:rPr>
        <w:footnoteRef/>
      </w:r>
      <w:r>
        <w:t xml:space="preserve"> </w:t>
      </w:r>
      <w:r w:rsidRPr="00E32187">
        <w:t>“Net revenue” is a projection of how much additional revenue a gas IOU is expected to net annually as a result of a new customer using gas.</w:t>
      </w:r>
    </w:p>
  </w:footnote>
  <w:footnote w:id="27">
    <w:p w14:paraId="298CEC25" w14:textId="12B81884" w:rsidR="00E955D6" w:rsidRDefault="00E955D6" w:rsidP="00E955D6">
      <w:pPr>
        <w:pStyle w:val="FootnoteText"/>
      </w:pPr>
      <w:r>
        <w:rPr>
          <w:rStyle w:val="FootnoteReference"/>
        </w:rPr>
        <w:footnoteRef/>
      </w:r>
      <w:r>
        <w:t xml:space="preserve"> </w:t>
      </w:r>
      <w:r w:rsidRPr="00E32187">
        <w:t xml:space="preserve">“Cost of service factor” is a figure that represents the annual cost of servicing one dollar’s worth of capital investment </w:t>
      </w:r>
      <w:r w:rsidR="00F57239">
        <w:t>for which</w:t>
      </w:r>
      <w:r w:rsidRPr="00E32187">
        <w:t xml:space="preserve"> ratepayers must pay</w:t>
      </w:r>
      <w:r w:rsidR="00C56A37">
        <w:t>.</w:t>
      </w:r>
    </w:p>
  </w:footnote>
  <w:footnote w:id="28">
    <w:p w14:paraId="05CC065F" w14:textId="3B1692D5" w:rsidR="009046CD" w:rsidRDefault="009046CD">
      <w:pPr>
        <w:pStyle w:val="FootnoteText"/>
      </w:pPr>
      <w:r>
        <w:rPr>
          <w:rStyle w:val="FootnoteReference"/>
        </w:rPr>
        <w:footnoteRef/>
      </w:r>
      <w:r w:rsidR="00B76259">
        <w:t xml:space="preserve"> </w:t>
      </w:r>
      <w:r w:rsidR="00CD3201">
        <w:t xml:space="preserve">The </w:t>
      </w:r>
      <w:r w:rsidR="005B79D4">
        <w:t xml:space="preserve">three </w:t>
      </w:r>
      <w:r w:rsidR="00CD3201">
        <w:t xml:space="preserve">IOUs </w:t>
      </w:r>
      <w:r w:rsidR="0000563F">
        <w:t>are</w:t>
      </w:r>
      <w:r w:rsidR="00CD3201">
        <w:t xml:space="preserve"> PG&amp;E, SoCalGas, and SWG. </w:t>
      </w:r>
      <w:r w:rsidR="00B40EEA">
        <w:t xml:space="preserve">The </w:t>
      </w:r>
      <w:r w:rsidR="00CD3201">
        <w:t>data does</w:t>
      </w:r>
      <w:r w:rsidR="00560FB0">
        <w:t xml:space="preserve"> n</w:t>
      </w:r>
      <w:r w:rsidR="00C9753A">
        <w:t>ot</w:t>
      </w:r>
      <w:r w:rsidR="00B76259">
        <w:t xml:space="preserve"> include SDG&amp;E’s </w:t>
      </w:r>
      <w:r w:rsidR="00D62216">
        <w:t>a</w:t>
      </w:r>
      <w:r w:rsidR="00B76259">
        <w:t xml:space="preserve">llowances because </w:t>
      </w:r>
      <w:r w:rsidR="00B40EEA">
        <w:t>SDG&amp;E says that</w:t>
      </w:r>
      <w:r w:rsidR="00B76259">
        <w:t xml:space="preserve"> information is not available due to the limitation of SDG&amp;E’s project management system. </w:t>
      </w:r>
      <w:r w:rsidR="00311995">
        <w:t>(</w:t>
      </w:r>
      <w:r w:rsidR="00B76259">
        <w:t>April</w:t>
      </w:r>
      <w:r w:rsidR="00513B3F">
        <w:t> </w:t>
      </w:r>
      <w:r w:rsidR="00B76259">
        <w:t>18,</w:t>
      </w:r>
      <w:r w:rsidR="00513B3F">
        <w:t> </w:t>
      </w:r>
      <w:r w:rsidR="00B76259">
        <w:t xml:space="preserve">2022 </w:t>
      </w:r>
      <w:r w:rsidR="00AB073D">
        <w:t>ALJ</w:t>
      </w:r>
      <w:r w:rsidR="00513B3F">
        <w:t> </w:t>
      </w:r>
      <w:r w:rsidR="00B76259">
        <w:t xml:space="preserve">Ruling, </w:t>
      </w:r>
      <w:r w:rsidR="00F641DF">
        <w:t>Attachment </w:t>
      </w:r>
      <w:r w:rsidR="00B76259">
        <w:t xml:space="preserve">3 and </w:t>
      </w:r>
      <w:r w:rsidR="00F641DF">
        <w:t>Attachment </w:t>
      </w:r>
      <w:r w:rsidR="00B76259">
        <w:t>5.</w:t>
      </w:r>
      <w:r w:rsidR="007F4EAA">
        <w:t>)</w:t>
      </w:r>
    </w:p>
  </w:footnote>
  <w:footnote w:id="29">
    <w:p w14:paraId="27CFF7E0" w14:textId="693C1686" w:rsidR="00CB78D7" w:rsidRPr="00C51DB6" w:rsidRDefault="00CB78D7">
      <w:pPr>
        <w:pStyle w:val="FootnoteText"/>
        <w:rPr>
          <w:szCs w:val="22"/>
        </w:rPr>
      </w:pPr>
      <w:r>
        <w:rPr>
          <w:rStyle w:val="FootnoteReference"/>
        </w:rPr>
        <w:footnoteRef/>
      </w:r>
      <w:r>
        <w:t xml:space="preserve"> </w:t>
      </w:r>
      <w:r w:rsidR="00140A74">
        <w:t xml:space="preserve">SDG&amp;E </w:t>
      </w:r>
      <w:r w:rsidR="004010FB">
        <w:t xml:space="preserve">did not provide </w:t>
      </w:r>
      <w:r w:rsidR="00140A74">
        <w:t>data on allowances</w:t>
      </w:r>
      <w:r w:rsidR="00AA4761" w:rsidRPr="00AA4761">
        <w:t xml:space="preserve"> </w:t>
      </w:r>
      <w:r w:rsidR="00AA4761">
        <w:t>to the Commission</w:t>
      </w:r>
      <w:r w:rsidR="00751E3F">
        <w:t xml:space="preserve">. </w:t>
      </w:r>
      <w:r w:rsidR="0026620B">
        <w:t>In explanation, SDG&amp;E sa</w:t>
      </w:r>
      <w:r w:rsidR="00C51DB6">
        <w:t>ys</w:t>
      </w:r>
      <w:r w:rsidR="0026620B" w:rsidRPr="00C509CE">
        <w:rPr>
          <w:rStyle w:val="cf01"/>
          <w:rFonts w:ascii="Book Antiqua" w:hAnsi="Book Antiqua"/>
          <w:sz w:val="22"/>
          <w:szCs w:val="22"/>
        </w:rPr>
        <w:t xml:space="preserve"> </w:t>
      </w:r>
      <w:r w:rsidR="00150A20">
        <w:rPr>
          <w:rStyle w:val="cf01"/>
          <w:rFonts w:ascii="Book Antiqua" w:hAnsi="Book Antiqua"/>
          <w:sz w:val="22"/>
          <w:szCs w:val="22"/>
        </w:rPr>
        <w:t xml:space="preserve">its </w:t>
      </w:r>
      <w:r w:rsidR="0026620B" w:rsidRPr="00C509CE">
        <w:rPr>
          <w:rStyle w:val="cf01"/>
          <w:rFonts w:ascii="Book Antiqua" w:hAnsi="Book Antiqua"/>
          <w:sz w:val="22"/>
          <w:szCs w:val="22"/>
        </w:rPr>
        <w:t>project</w:t>
      </w:r>
      <w:r w:rsidR="00C51DB6">
        <w:rPr>
          <w:rStyle w:val="cf01"/>
          <w:rFonts w:ascii="Book Antiqua" w:hAnsi="Book Antiqua"/>
          <w:sz w:val="22"/>
          <w:szCs w:val="22"/>
        </w:rPr>
        <w:t xml:space="preserve"> </w:t>
      </w:r>
      <w:r w:rsidR="0026620B" w:rsidRPr="00C509CE">
        <w:rPr>
          <w:rStyle w:val="cf01"/>
          <w:rFonts w:ascii="Book Antiqua" w:hAnsi="Book Antiqua"/>
          <w:sz w:val="22"/>
          <w:szCs w:val="22"/>
        </w:rPr>
        <w:t xml:space="preserve">management system does not facilitate data extraction of allowances granted or discounts provided. </w:t>
      </w:r>
      <w:r w:rsidR="006063D9">
        <w:rPr>
          <w:rStyle w:val="cf01"/>
          <w:rFonts w:ascii="Book Antiqua" w:hAnsi="Book Antiqua"/>
          <w:sz w:val="22"/>
          <w:szCs w:val="22"/>
        </w:rPr>
        <w:t>(</w:t>
      </w:r>
      <w:r w:rsidR="00695BF6">
        <w:rPr>
          <w:rStyle w:val="cf01"/>
          <w:rFonts w:ascii="Book Antiqua" w:hAnsi="Book Antiqua"/>
          <w:i/>
          <w:iCs/>
          <w:sz w:val="22"/>
          <w:szCs w:val="22"/>
        </w:rPr>
        <w:t>S</w:t>
      </w:r>
      <w:r w:rsidR="00150A20" w:rsidRPr="008A48B2">
        <w:rPr>
          <w:rStyle w:val="cf01"/>
          <w:rFonts w:ascii="Book Antiqua" w:hAnsi="Book Antiqua"/>
          <w:i/>
          <w:iCs/>
          <w:sz w:val="22"/>
          <w:szCs w:val="22"/>
        </w:rPr>
        <w:t xml:space="preserve">ee </w:t>
      </w:r>
      <w:r w:rsidR="007C4277">
        <w:t>April</w:t>
      </w:r>
      <w:r w:rsidR="00513B3F">
        <w:t> </w:t>
      </w:r>
      <w:r w:rsidR="007C4277">
        <w:t>18,</w:t>
      </w:r>
      <w:r w:rsidR="00513B3F">
        <w:t> </w:t>
      </w:r>
      <w:r w:rsidR="007C4277">
        <w:t xml:space="preserve">2022 </w:t>
      </w:r>
      <w:r w:rsidR="00AB073D">
        <w:t>ALJ</w:t>
      </w:r>
      <w:r w:rsidR="00513B3F">
        <w:t> </w:t>
      </w:r>
      <w:r w:rsidR="007C4277">
        <w:t>Ruling</w:t>
      </w:r>
      <w:r w:rsidR="00DE50BC">
        <w:t xml:space="preserve">, </w:t>
      </w:r>
      <w:r w:rsidR="00F641DF">
        <w:t>Attachment </w:t>
      </w:r>
      <w:r w:rsidR="00DE50BC">
        <w:t>3</w:t>
      </w:r>
      <w:r w:rsidR="00FF674A">
        <w:rPr>
          <w:rStyle w:val="cf01"/>
          <w:rFonts w:ascii="Book Antiqua" w:hAnsi="Book Antiqua"/>
          <w:sz w:val="22"/>
          <w:szCs w:val="22"/>
        </w:rPr>
        <w:t xml:space="preserve"> at</w:t>
      </w:r>
      <w:r w:rsidR="00513B3F">
        <w:rPr>
          <w:rStyle w:val="cf01"/>
          <w:rFonts w:ascii="Book Antiqua" w:hAnsi="Book Antiqua"/>
          <w:sz w:val="22"/>
          <w:szCs w:val="22"/>
        </w:rPr>
        <w:t> </w:t>
      </w:r>
      <w:r w:rsidR="006063D9" w:rsidRPr="000353CA">
        <w:rPr>
          <w:rStyle w:val="cf01"/>
          <w:rFonts w:ascii="Book Antiqua" w:hAnsi="Book Antiqua"/>
          <w:sz w:val="22"/>
          <w:szCs w:val="22"/>
        </w:rPr>
        <w:t>1</w:t>
      </w:r>
      <w:r w:rsidR="00C26E5C">
        <w:rPr>
          <w:rStyle w:val="cf01"/>
          <w:rFonts w:ascii="Book Antiqua" w:hAnsi="Book Antiqua"/>
          <w:sz w:val="22"/>
          <w:szCs w:val="22"/>
        </w:rPr>
        <w:t>.</w:t>
      </w:r>
      <w:r w:rsidR="006063D9" w:rsidRPr="000353CA">
        <w:rPr>
          <w:rStyle w:val="cf01"/>
          <w:rFonts w:ascii="Book Antiqua" w:hAnsi="Book Antiqua"/>
          <w:sz w:val="22"/>
          <w:szCs w:val="22"/>
        </w:rPr>
        <w:t>)</w:t>
      </w:r>
    </w:p>
  </w:footnote>
  <w:footnote w:id="30">
    <w:p w14:paraId="3527883C" w14:textId="10E0CC7D" w:rsidR="00176F64" w:rsidRDefault="00176F64">
      <w:pPr>
        <w:pStyle w:val="FootnoteText"/>
      </w:pPr>
      <w:r>
        <w:rPr>
          <w:rStyle w:val="FootnoteReference"/>
        </w:rPr>
        <w:footnoteRef/>
      </w:r>
      <w:r>
        <w:t xml:space="preserve"> April</w:t>
      </w:r>
      <w:r w:rsidR="00513B3F">
        <w:t> </w:t>
      </w:r>
      <w:r>
        <w:t>18,</w:t>
      </w:r>
      <w:r w:rsidR="00513B3F">
        <w:t> </w:t>
      </w:r>
      <w:r>
        <w:t>2022</w:t>
      </w:r>
      <w:r w:rsidR="007F5021">
        <w:t xml:space="preserve"> ALJ</w:t>
      </w:r>
      <w:r w:rsidR="00513B3F">
        <w:t> </w:t>
      </w:r>
      <w:r>
        <w:t xml:space="preserve">Ruling, </w:t>
      </w:r>
      <w:r w:rsidR="00F641DF">
        <w:t>Attachment</w:t>
      </w:r>
      <w:r w:rsidR="00513B3F">
        <w:t> </w:t>
      </w:r>
      <w:r>
        <w:t>5.</w:t>
      </w:r>
    </w:p>
  </w:footnote>
  <w:footnote w:id="31">
    <w:p w14:paraId="62849CD6" w14:textId="158838FC" w:rsidR="004402BC" w:rsidRPr="00C51DB6" w:rsidRDefault="004402BC" w:rsidP="004402BC">
      <w:pPr>
        <w:pStyle w:val="FootnoteText"/>
        <w:rPr>
          <w:szCs w:val="22"/>
        </w:rPr>
      </w:pPr>
      <w:r>
        <w:rPr>
          <w:rStyle w:val="FootnoteReference"/>
        </w:rPr>
        <w:footnoteRef/>
      </w:r>
      <w:r>
        <w:t xml:space="preserve"> </w:t>
      </w:r>
      <w:r w:rsidR="00430AC1">
        <w:t>SDG&amp;E refund data includes residential and commercial, but not other non</w:t>
      </w:r>
      <w:r w:rsidR="00513B3F">
        <w:noBreakHyphen/>
      </w:r>
      <w:r w:rsidR="00430AC1">
        <w:t>residential (</w:t>
      </w:r>
      <w:r w:rsidR="00430AC1" w:rsidRPr="00F61E8D">
        <w:rPr>
          <w:i/>
          <w:iCs/>
        </w:rPr>
        <w:t>e.g.</w:t>
      </w:r>
      <w:r w:rsidR="00430AC1">
        <w:t>, industrial, agricultural).</w:t>
      </w:r>
      <w:r w:rsidRPr="00C509CE">
        <w:rPr>
          <w:rStyle w:val="cf01"/>
          <w:rFonts w:ascii="Book Antiqua" w:hAnsi="Book Antiqua"/>
          <w:sz w:val="22"/>
          <w:szCs w:val="22"/>
        </w:rPr>
        <w:t xml:space="preserve"> </w:t>
      </w:r>
      <w:r>
        <w:rPr>
          <w:rStyle w:val="cf01"/>
          <w:rFonts w:ascii="Book Antiqua" w:hAnsi="Book Antiqua"/>
          <w:sz w:val="22"/>
          <w:szCs w:val="22"/>
        </w:rPr>
        <w:t>(</w:t>
      </w:r>
      <w:r>
        <w:t>April</w:t>
      </w:r>
      <w:r w:rsidR="00513B3F">
        <w:t> </w:t>
      </w:r>
      <w:r>
        <w:t>18,</w:t>
      </w:r>
      <w:r w:rsidR="00513B3F">
        <w:t> </w:t>
      </w:r>
      <w:r>
        <w:t>2022</w:t>
      </w:r>
      <w:r w:rsidR="007F5021">
        <w:t xml:space="preserve"> ALJ</w:t>
      </w:r>
      <w:r w:rsidR="00513B3F">
        <w:t> </w:t>
      </w:r>
      <w:r>
        <w:t xml:space="preserve">Ruling, </w:t>
      </w:r>
      <w:r w:rsidR="00F61E8D">
        <w:t>Attachment 3</w:t>
      </w:r>
      <w:r w:rsidR="00FF674A">
        <w:t xml:space="preserve"> at</w:t>
      </w:r>
      <w:r w:rsidR="00513B3F">
        <w:rPr>
          <w:rStyle w:val="cf01"/>
          <w:rFonts w:ascii="Book Antiqua" w:hAnsi="Book Antiqua"/>
          <w:sz w:val="22"/>
          <w:szCs w:val="22"/>
        </w:rPr>
        <w:t> </w:t>
      </w:r>
      <w:r w:rsidRPr="000353CA">
        <w:rPr>
          <w:rStyle w:val="cf01"/>
          <w:rFonts w:ascii="Book Antiqua" w:hAnsi="Book Antiqua"/>
          <w:sz w:val="22"/>
          <w:szCs w:val="22"/>
        </w:rPr>
        <w:t>1</w:t>
      </w:r>
      <w:r w:rsidR="00F61E8D">
        <w:rPr>
          <w:rStyle w:val="cf01"/>
          <w:rFonts w:ascii="Book Antiqua" w:hAnsi="Book Antiqua"/>
          <w:sz w:val="22"/>
          <w:szCs w:val="22"/>
        </w:rPr>
        <w:t>.</w:t>
      </w:r>
      <w:r w:rsidRPr="000353CA">
        <w:rPr>
          <w:rStyle w:val="cf01"/>
          <w:rFonts w:ascii="Book Antiqua" w:hAnsi="Book Antiqua"/>
          <w:sz w:val="22"/>
          <w:szCs w:val="22"/>
        </w:rPr>
        <w:t>)</w:t>
      </w:r>
    </w:p>
  </w:footnote>
  <w:footnote w:id="32">
    <w:p w14:paraId="5712C819" w14:textId="391B4CFE" w:rsidR="001C44E3" w:rsidRDefault="001C44E3" w:rsidP="001C44E3">
      <w:pPr>
        <w:pStyle w:val="FootnoteText"/>
      </w:pPr>
      <w:r>
        <w:rPr>
          <w:rStyle w:val="FootnoteReference"/>
        </w:rPr>
        <w:footnoteRef/>
      </w:r>
      <w:r>
        <w:t xml:space="preserve"> </w:t>
      </w:r>
      <w:r w:rsidR="00EB66A7">
        <w:t>The data does</w:t>
      </w:r>
      <w:r w:rsidR="00822461">
        <w:t xml:space="preserve"> n</w:t>
      </w:r>
      <w:r w:rsidR="005B179D">
        <w:t xml:space="preserve">ot include SDG&amp;E’s </w:t>
      </w:r>
      <w:r w:rsidR="00EB66A7">
        <w:t>discounts</w:t>
      </w:r>
      <w:r w:rsidR="005B179D">
        <w:t xml:space="preserve"> because the information is not available due to the limitation of SDG&amp;E’s project management system. </w:t>
      </w:r>
      <w:r w:rsidR="00B219B8" w:rsidRPr="00337174">
        <w:t>(</w:t>
      </w:r>
      <w:r w:rsidR="005B179D" w:rsidRPr="000E7876">
        <w:rPr>
          <w:i/>
          <w:iCs/>
        </w:rPr>
        <w:t>See</w:t>
      </w:r>
      <w:r w:rsidR="005B179D">
        <w:t xml:space="preserve"> April</w:t>
      </w:r>
      <w:r w:rsidR="00513B3F">
        <w:t> </w:t>
      </w:r>
      <w:r w:rsidR="005B179D">
        <w:t>18,</w:t>
      </w:r>
      <w:r w:rsidR="00513B3F">
        <w:t> </w:t>
      </w:r>
      <w:r w:rsidR="005B179D">
        <w:t xml:space="preserve">2022 </w:t>
      </w:r>
      <w:r w:rsidR="00AB073D">
        <w:t>ALJ</w:t>
      </w:r>
      <w:r w:rsidR="00513B3F">
        <w:t> </w:t>
      </w:r>
      <w:r w:rsidR="005B179D">
        <w:t>Ruling, Attachment</w:t>
      </w:r>
      <w:r w:rsidR="007F5021">
        <w:t> </w:t>
      </w:r>
      <w:r w:rsidR="005B179D">
        <w:t xml:space="preserve">3 and </w:t>
      </w:r>
      <w:r w:rsidR="007F5021">
        <w:t>Attachment </w:t>
      </w:r>
      <w:r w:rsidR="005B179D">
        <w:t>5</w:t>
      </w:r>
      <w:r>
        <w:t>.</w:t>
      </w:r>
      <w:r w:rsidR="00B219B8" w:rsidRPr="00337174">
        <w:t>)</w:t>
      </w:r>
    </w:p>
  </w:footnote>
  <w:footnote w:id="33">
    <w:p w14:paraId="63E8248B" w14:textId="357DBC7D" w:rsidR="003A2628" w:rsidRPr="00C51DB6" w:rsidRDefault="003A2628" w:rsidP="003A2628">
      <w:pPr>
        <w:pStyle w:val="FootnoteText"/>
        <w:rPr>
          <w:szCs w:val="22"/>
        </w:rPr>
      </w:pPr>
      <w:r>
        <w:rPr>
          <w:rStyle w:val="FootnoteReference"/>
        </w:rPr>
        <w:footnoteRef/>
      </w:r>
      <w:r>
        <w:t xml:space="preserve"> SDG&amp;E did not provide data on discounts</w:t>
      </w:r>
      <w:r w:rsidR="001E2BEB" w:rsidRPr="001E2BEB">
        <w:t xml:space="preserve"> </w:t>
      </w:r>
      <w:r w:rsidR="001E2BEB">
        <w:t>to the Commission</w:t>
      </w:r>
      <w:r>
        <w:t>. In explanation, SDG&amp;E says</w:t>
      </w:r>
      <w:r w:rsidR="00560201">
        <w:rPr>
          <w:rStyle w:val="cf01"/>
          <w:rFonts w:ascii="Book Antiqua" w:hAnsi="Book Antiqua"/>
          <w:sz w:val="22"/>
          <w:szCs w:val="22"/>
        </w:rPr>
        <w:t xml:space="preserve"> its </w:t>
      </w:r>
      <w:r w:rsidRPr="00C509CE">
        <w:rPr>
          <w:rStyle w:val="cf01"/>
          <w:rFonts w:ascii="Book Antiqua" w:hAnsi="Book Antiqua"/>
          <w:sz w:val="22"/>
          <w:szCs w:val="22"/>
        </w:rPr>
        <w:t>project</w:t>
      </w:r>
      <w:r>
        <w:rPr>
          <w:rStyle w:val="cf01"/>
          <w:rFonts w:ascii="Book Antiqua" w:hAnsi="Book Antiqua"/>
          <w:sz w:val="22"/>
          <w:szCs w:val="22"/>
        </w:rPr>
        <w:t xml:space="preserve"> </w:t>
      </w:r>
      <w:r w:rsidRPr="00C509CE">
        <w:rPr>
          <w:rStyle w:val="cf01"/>
          <w:rFonts w:ascii="Book Antiqua" w:hAnsi="Book Antiqua"/>
          <w:sz w:val="22"/>
          <w:szCs w:val="22"/>
        </w:rPr>
        <w:t xml:space="preserve">management system does not facilitate data extraction of allowances granted or discounts provided." </w:t>
      </w:r>
      <w:r>
        <w:rPr>
          <w:rStyle w:val="cf01"/>
          <w:rFonts w:ascii="Book Antiqua" w:hAnsi="Book Antiqua"/>
          <w:sz w:val="22"/>
          <w:szCs w:val="22"/>
        </w:rPr>
        <w:t>(</w:t>
      </w:r>
      <w:r w:rsidR="00B219B8" w:rsidRPr="00337174">
        <w:rPr>
          <w:rStyle w:val="cf01"/>
          <w:rFonts w:ascii="Book Antiqua" w:hAnsi="Book Antiqua"/>
          <w:i/>
          <w:iCs/>
          <w:sz w:val="22"/>
          <w:szCs w:val="22"/>
        </w:rPr>
        <w:t>S</w:t>
      </w:r>
      <w:r w:rsidR="00560201" w:rsidRPr="00560201">
        <w:rPr>
          <w:rStyle w:val="cf01"/>
          <w:rFonts w:ascii="Book Antiqua" w:hAnsi="Book Antiqua"/>
          <w:i/>
          <w:iCs/>
          <w:sz w:val="22"/>
          <w:szCs w:val="22"/>
        </w:rPr>
        <w:t>ee</w:t>
      </w:r>
      <w:r w:rsidR="00560201">
        <w:rPr>
          <w:rStyle w:val="cf01"/>
          <w:rFonts w:ascii="Book Antiqua" w:hAnsi="Book Antiqua"/>
          <w:sz w:val="22"/>
          <w:szCs w:val="22"/>
        </w:rPr>
        <w:t xml:space="preserve"> </w:t>
      </w:r>
      <w:r w:rsidR="007F5021">
        <w:t>April</w:t>
      </w:r>
      <w:r w:rsidR="00513B3F">
        <w:t> </w:t>
      </w:r>
      <w:r w:rsidR="007F5021">
        <w:t>18,</w:t>
      </w:r>
      <w:r w:rsidR="00513B3F">
        <w:t> </w:t>
      </w:r>
      <w:r w:rsidR="007F5021">
        <w:t>2022 ALJ</w:t>
      </w:r>
      <w:r w:rsidR="00513B3F">
        <w:t> </w:t>
      </w:r>
      <w:r w:rsidR="007F5021">
        <w:t>Ruling</w:t>
      </w:r>
      <w:r>
        <w:t>, Attachment</w:t>
      </w:r>
      <w:r w:rsidR="007F5021">
        <w:t> </w:t>
      </w:r>
      <w:r>
        <w:t>3</w:t>
      </w:r>
      <w:r w:rsidR="00FF674A">
        <w:rPr>
          <w:rStyle w:val="cf01"/>
          <w:rFonts w:ascii="Book Antiqua" w:hAnsi="Book Antiqua"/>
          <w:sz w:val="22"/>
          <w:szCs w:val="22"/>
        </w:rPr>
        <w:t xml:space="preserve"> at</w:t>
      </w:r>
      <w:r w:rsidR="00513B3F">
        <w:rPr>
          <w:rStyle w:val="cf01"/>
          <w:rFonts w:ascii="Book Antiqua" w:hAnsi="Book Antiqua"/>
          <w:sz w:val="22"/>
          <w:szCs w:val="22"/>
        </w:rPr>
        <w:t> </w:t>
      </w:r>
      <w:r w:rsidRPr="000353CA">
        <w:rPr>
          <w:rStyle w:val="cf01"/>
          <w:rFonts w:ascii="Book Antiqua" w:hAnsi="Book Antiqua"/>
          <w:sz w:val="22"/>
          <w:szCs w:val="22"/>
        </w:rPr>
        <w:t>1</w:t>
      </w:r>
      <w:r w:rsidR="00B219B8" w:rsidRPr="00337174">
        <w:rPr>
          <w:rStyle w:val="cf01"/>
          <w:rFonts w:ascii="Book Antiqua" w:hAnsi="Book Antiqua"/>
          <w:sz w:val="22"/>
          <w:szCs w:val="22"/>
        </w:rPr>
        <w:t>.</w:t>
      </w:r>
      <w:r w:rsidRPr="000353CA">
        <w:rPr>
          <w:rStyle w:val="cf01"/>
          <w:rFonts w:ascii="Book Antiqua" w:hAnsi="Book Antiqua"/>
          <w:sz w:val="22"/>
          <w:szCs w:val="22"/>
        </w:rPr>
        <w:t xml:space="preserve">) </w:t>
      </w:r>
    </w:p>
  </w:footnote>
  <w:footnote w:id="34">
    <w:p w14:paraId="3A16F741" w14:textId="33B4E90B" w:rsidR="00BB6E5A" w:rsidRDefault="00BB6E5A" w:rsidP="00BB6E5A">
      <w:pPr>
        <w:pStyle w:val="FootnoteText"/>
      </w:pPr>
      <w:r>
        <w:rPr>
          <w:rStyle w:val="FootnoteReference"/>
        </w:rPr>
        <w:footnoteRef/>
      </w:r>
      <w:r>
        <w:t xml:space="preserve"> The total amount includes SDG&amp;E’s amounts for refunds but not for allowances and discounts because the information is not available due to the limitation of SDG&amp;E’s project management system. </w:t>
      </w:r>
      <w:r w:rsidR="00B219B8" w:rsidRPr="00337174">
        <w:t>(</w:t>
      </w:r>
      <w:r w:rsidRPr="002A33FD">
        <w:rPr>
          <w:i/>
          <w:iCs/>
        </w:rPr>
        <w:t>See</w:t>
      </w:r>
      <w:r>
        <w:t xml:space="preserve"> </w:t>
      </w:r>
      <w:r w:rsidR="007F5021">
        <w:t>April</w:t>
      </w:r>
      <w:r w:rsidR="00513B3F">
        <w:t> </w:t>
      </w:r>
      <w:r w:rsidR="007F5021">
        <w:t>18,</w:t>
      </w:r>
      <w:r w:rsidR="00513B3F">
        <w:t> </w:t>
      </w:r>
      <w:r w:rsidR="007F5021">
        <w:t>2022 ALJ</w:t>
      </w:r>
      <w:r w:rsidR="00513B3F">
        <w:t> </w:t>
      </w:r>
      <w:r w:rsidR="007F5021">
        <w:t>Ruling</w:t>
      </w:r>
      <w:r>
        <w:t>, Attachment</w:t>
      </w:r>
      <w:r w:rsidR="007F5021">
        <w:t> </w:t>
      </w:r>
      <w:r>
        <w:t xml:space="preserve">3 and </w:t>
      </w:r>
      <w:r w:rsidR="007F5021">
        <w:t>Attachment </w:t>
      </w:r>
      <w:r>
        <w:t>5.</w:t>
      </w:r>
      <w:r w:rsidR="00B219B8" w:rsidRPr="00337174">
        <w:t>)</w:t>
      </w:r>
      <w:r>
        <w:t xml:space="preserve"> </w:t>
      </w:r>
      <w:r w:rsidR="00CE2AF6">
        <w:t xml:space="preserve">  </w:t>
      </w:r>
    </w:p>
  </w:footnote>
  <w:footnote w:id="35">
    <w:p w14:paraId="1E185920" w14:textId="7B34B14E" w:rsidR="00BB6E5A" w:rsidRDefault="00BB6E5A" w:rsidP="00BB6E5A">
      <w:pPr>
        <w:pStyle w:val="FootnoteText"/>
      </w:pPr>
      <w:r>
        <w:rPr>
          <w:rStyle w:val="FootnoteReference"/>
        </w:rPr>
        <w:footnoteRef/>
      </w:r>
      <w:r w:rsidR="00705194">
        <w:t xml:space="preserve"> </w:t>
      </w:r>
      <w:r w:rsidR="007F5021">
        <w:t>April</w:t>
      </w:r>
      <w:r w:rsidR="00513B3F">
        <w:t> </w:t>
      </w:r>
      <w:r w:rsidR="007F5021">
        <w:t>18,</w:t>
      </w:r>
      <w:r w:rsidR="00513B3F">
        <w:t> </w:t>
      </w:r>
      <w:r w:rsidR="007F5021">
        <w:t>2022 ALJ</w:t>
      </w:r>
      <w:r w:rsidR="00513B3F">
        <w:t> </w:t>
      </w:r>
      <w:r w:rsidR="007F5021">
        <w:t>Ruling</w:t>
      </w:r>
      <w:r w:rsidR="003B09D5" w:rsidRPr="003366F3">
        <w:t xml:space="preserve">, </w:t>
      </w:r>
      <w:r w:rsidR="00F641DF">
        <w:t>Attachment</w:t>
      </w:r>
      <w:r w:rsidR="00513B3F">
        <w:t> </w:t>
      </w:r>
      <w:r w:rsidR="003B09D5" w:rsidRPr="003366F3">
        <w:t>5</w:t>
      </w:r>
      <w:r w:rsidRPr="00241105">
        <w:rPr>
          <w:i/>
          <w:iCs/>
        </w:rPr>
        <w:t>.</w:t>
      </w:r>
    </w:p>
  </w:footnote>
  <w:footnote w:id="36">
    <w:p w14:paraId="271FD24E" w14:textId="381E6E20" w:rsidR="00BB6E5A" w:rsidRDefault="00BB6E5A" w:rsidP="00BB6E5A">
      <w:pPr>
        <w:pStyle w:val="FootnoteText"/>
      </w:pPr>
      <w:r>
        <w:rPr>
          <w:rStyle w:val="FootnoteReference"/>
        </w:rPr>
        <w:footnoteRef/>
      </w:r>
      <w:r w:rsidR="00705194">
        <w:t xml:space="preserve"> </w:t>
      </w:r>
      <w:r w:rsidR="007B2A99" w:rsidRPr="005B41EC">
        <w:rPr>
          <w:i/>
          <w:iCs/>
        </w:rPr>
        <w:t>Id</w:t>
      </w:r>
      <w:r w:rsidR="007B2A99">
        <w:t>.</w:t>
      </w:r>
    </w:p>
  </w:footnote>
  <w:footnote w:id="37">
    <w:p w14:paraId="53D61983" w14:textId="620D93AA" w:rsidR="003366F3" w:rsidRDefault="003366F3">
      <w:pPr>
        <w:pStyle w:val="FootnoteText"/>
      </w:pPr>
      <w:r>
        <w:rPr>
          <w:rStyle w:val="FootnoteReference"/>
        </w:rPr>
        <w:footnoteRef/>
      </w:r>
      <w:r>
        <w:t xml:space="preserve"> </w:t>
      </w:r>
      <w:r w:rsidRPr="005B41EC">
        <w:rPr>
          <w:i/>
          <w:iCs/>
        </w:rPr>
        <w:t>Id</w:t>
      </w:r>
      <w:r>
        <w:t>.</w:t>
      </w:r>
    </w:p>
  </w:footnote>
  <w:footnote w:id="38">
    <w:p w14:paraId="7CEB8CCD" w14:textId="03292A12" w:rsidR="008A1596" w:rsidRDefault="008A1596">
      <w:pPr>
        <w:pStyle w:val="FootnoteText"/>
      </w:pPr>
      <w:r>
        <w:rPr>
          <w:rStyle w:val="FootnoteReference"/>
        </w:rPr>
        <w:footnoteRef/>
      </w:r>
      <w:r>
        <w:t xml:space="preserve"> </w:t>
      </w:r>
      <w:r w:rsidR="000F71EB">
        <w:t>Only partial data for SDG&amp;E</w:t>
      </w:r>
      <w:r w:rsidR="00C76850">
        <w:t xml:space="preserve">. </w:t>
      </w:r>
    </w:p>
  </w:footnote>
  <w:footnote w:id="39">
    <w:p w14:paraId="3A00443D" w14:textId="3E5D1879" w:rsidR="001B2B16" w:rsidRDefault="001B2B16" w:rsidP="001B2B16">
      <w:pPr>
        <w:pStyle w:val="FootnoteText"/>
      </w:pPr>
      <w:r>
        <w:rPr>
          <w:rStyle w:val="FootnoteReference"/>
        </w:rPr>
        <w:footnoteRef/>
      </w:r>
      <w:r>
        <w:t xml:space="preserve"> </w:t>
      </w:r>
      <w:bookmarkStart w:id="71" w:name="_Hlk109657905"/>
      <w:r w:rsidR="00021A27">
        <w:t xml:space="preserve">Staff Proposal. </w:t>
      </w:r>
      <w:r w:rsidR="00B219B8" w:rsidRPr="00337174">
        <w:t>(</w:t>
      </w:r>
      <w:r w:rsidR="00021A27" w:rsidRPr="00982A2F">
        <w:rPr>
          <w:i/>
          <w:iCs/>
        </w:rPr>
        <w:t>See</w:t>
      </w:r>
      <w:r>
        <w:t xml:space="preserve"> </w:t>
      </w:r>
      <w:r w:rsidR="009278DF">
        <w:t>Phase</w:t>
      </w:r>
      <w:r w:rsidR="00513B3F">
        <w:t> </w:t>
      </w:r>
      <w:r w:rsidR="009278DF">
        <w:t>I</w:t>
      </w:r>
      <w:r>
        <w:t xml:space="preserve">II Scoping Memo, </w:t>
      </w:r>
      <w:r w:rsidR="00FF674A">
        <w:t>Appendix</w:t>
      </w:r>
      <w:r w:rsidR="00513B3F">
        <w:t> </w:t>
      </w:r>
      <w:r w:rsidRPr="00552494">
        <w:t>A</w:t>
      </w:r>
      <w:r w:rsidR="00FF674A">
        <w:t xml:space="preserve"> at</w:t>
      </w:r>
      <w:r w:rsidR="00513B3F">
        <w:t> </w:t>
      </w:r>
      <w:r>
        <w:t>24</w:t>
      </w:r>
      <w:r w:rsidR="00513B3F">
        <w:noBreakHyphen/>
      </w:r>
      <w:r>
        <w:t>25.</w:t>
      </w:r>
      <w:bookmarkEnd w:id="71"/>
      <w:r w:rsidR="00B219B8" w:rsidRPr="00337174">
        <w:t>)</w:t>
      </w:r>
    </w:p>
  </w:footnote>
  <w:footnote w:id="40">
    <w:p w14:paraId="3746B8AB" w14:textId="1480ACC1" w:rsidR="001B2B16" w:rsidRDefault="001B2B16" w:rsidP="001B2B16">
      <w:pPr>
        <w:pStyle w:val="FootnoteText"/>
      </w:pPr>
      <w:r>
        <w:rPr>
          <w:rStyle w:val="FootnoteReference"/>
        </w:rPr>
        <w:footnoteRef/>
      </w:r>
      <w:r>
        <w:t xml:space="preserve"> </w:t>
      </w:r>
      <w:bookmarkStart w:id="76" w:name="_Hlk109657966"/>
      <w:r w:rsidR="00021A27">
        <w:t>Staff Propo</w:t>
      </w:r>
      <w:r w:rsidR="008D3B5C">
        <w:t xml:space="preserve">sal. </w:t>
      </w:r>
      <w:r w:rsidR="00B219B8" w:rsidRPr="00337174">
        <w:t>(</w:t>
      </w:r>
      <w:r w:rsidR="008D3B5C" w:rsidRPr="006326FD">
        <w:rPr>
          <w:i/>
          <w:iCs/>
        </w:rPr>
        <w:t>See</w:t>
      </w:r>
      <w:r>
        <w:t xml:space="preserve"> </w:t>
      </w:r>
      <w:r w:rsidR="009278DF">
        <w:t>Phase</w:t>
      </w:r>
      <w:r w:rsidR="00513B3F">
        <w:t> </w:t>
      </w:r>
      <w:r w:rsidR="009278DF">
        <w:t>I</w:t>
      </w:r>
      <w:r w:rsidRPr="005A209B">
        <w:t xml:space="preserve">II Scoping Memo, </w:t>
      </w:r>
      <w:r w:rsidR="00FF674A">
        <w:t>Appendix</w:t>
      </w:r>
      <w:r w:rsidR="00513B3F">
        <w:t> </w:t>
      </w:r>
      <w:r w:rsidR="00FF674A">
        <w:t>A at</w:t>
      </w:r>
      <w:r w:rsidR="00513B3F">
        <w:t> </w:t>
      </w:r>
      <w:r>
        <w:t>35, 40</w:t>
      </w:r>
      <w:r w:rsidR="00211314">
        <w:t>,</w:t>
      </w:r>
      <w:r>
        <w:t xml:space="preserve"> </w:t>
      </w:r>
      <w:r w:rsidR="003F257F">
        <w:t xml:space="preserve">and </w:t>
      </w:r>
      <w:r>
        <w:t>44</w:t>
      </w:r>
      <w:r w:rsidRPr="005A209B">
        <w:t>.</w:t>
      </w:r>
      <w:bookmarkEnd w:id="76"/>
      <w:r w:rsidR="00B219B8" w:rsidRPr="00337174">
        <w:t>)</w:t>
      </w:r>
    </w:p>
  </w:footnote>
  <w:footnote w:id="41">
    <w:p w14:paraId="2AD1C27D" w14:textId="277036F1" w:rsidR="00FD3CE8" w:rsidRDefault="00FD3CE8">
      <w:pPr>
        <w:pStyle w:val="FootnoteText"/>
      </w:pPr>
      <w:r>
        <w:rPr>
          <w:rStyle w:val="FootnoteReference"/>
        </w:rPr>
        <w:footnoteRef/>
      </w:r>
      <w:r>
        <w:t xml:space="preserve"> </w:t>
      </w:r>
      <w:r w:rsidRPr="00FD3CE8">
        <w:t xml:space="preserve">The total amount </w:t>
      </w:r>
      <w:r w:rsidR="00947697">
        <w:t>ex</w:t>
      </w:r>
      <w:r w:rsidRPr="00FD3CE8">
        <w:t xml:space="preserve">cludes SDG&amp;E’s amounts for allowances and discounts because the information is not available due to the limitation of SDG&amp;E’s project management system. </w:t>
      </w:r>
      <w:r w:rsidR="00B219B8" w:rsidRPr="00337174">
        <w:t>(</w:t>
      </w:r>
      <w:r w:rsidRPr="00FD3CE8">
        <w:rPr>
          <w:i/>
          <w:iCs/>
        </w:rPr>
        <w:t>See</w:t>
      </w:r>
      <w:r w:rsidR="00513B3F">
        <w:t> </w:t>
      </w:r>
      <w:r w:rsidR="007F5021">
        <w:t>April</w:t>
      </w:r>
      <w:r w:rsidR="00513B3F">
        <w:t> </w:t>
      </w:r>
      <w:r w:rsidR="007F5021">
        <w:t>18,</w:t>
      </w:r>
      <w:r w:rsidR="00513B3F">
        <w:t> </w:t>
      </w:r>
      <w:r w:rsidR="007F5021">
        <w:t>2022 ALJ</w:t>
      </w:r>
      <w:r w:rsidR="00513B3F">
        <w:t> </w:t>
      </w:r>
      <w:r w:rsidR="007F5021">
        <w:t>Ruling</w:t>
      </w:r>
      <w:r w:rsidRPr="00FD3CE8">
        <w:t>, Attachment</w:t>
      </w:r>
      <w:r w:rsidR="007F5021">
        <w:t> </w:t>
      </w:r>
      <w:r w:rsidRPr="00FD3CE8">
        <w:t xml:space="preserve">3 and </w:t>
      </w:r>
      <w:r w:rsidR="007F5021">
        <w:t>Attachment </w:t>
      </w:r>
      <w:r w:rsidRPr="00FD3CE8">
        <w:t>5.</w:t>
      </w:r>
      <w:r w:rsidR="00B219B8" w:rsidRPr="00337174">
        <w:t>)</w:t>
      </w:r>
      <w:r w:rsidR="00CE2AF6">
        <w:t xml:space="preserve">  </w:t>
      </w:r>
    </w:p>
  </w:footnote>
  <w:footnote w:id="42">
    <w:p w14:paraId="3031F3B6" w14:textId="3F15979C" w:rsidR="007918BC" w:rsidRDefault="007918BC" w:rsidP="007918BC">
      <w:pPr>
        <w:pStyle w:val="FootnoteText"/>
      </w:pPr>
      <w:r>
        <w:rPr>
          <w:rStyle w:val="FootnoteReference"/>
        </w:rPr>
        <w:footnoteRef/>
      </w:r>
      <w:r>
        <w:t xml:space="preserve"> </w:t>
      </w:r>
      <w:r w:rsidR="007F5021">
        <w:t>April</w:t>
      </w:r>
      <w:r w:rsidR="00513B3F">
        <w:t> </w:t>
      </w:r>
      <w:r w:rsidR="007F5021">
        <w:t>18,</w:t>
      </w:r>
      <w:r w:rsidR="00513B3F">
        <w:t> </w:t>
      </w:r>
      <w:r w:rsidR="007F5021">
        <w:t>2022 ALJ Ruling</w:t>
      </w:r>
      <w:r>
        <w:t xml:space="preserve">, </w:t>
      </w:r>
      <w:r w:rsidR="00F641DF">
        <w:t>Attachment</w:t>
      </w:r>
      <w:r w:rsidR="00513B3F">
        <w:t> </w:t>
      </w:r>
      <w:r>
        <w:t>2</w:t>
      </w:r>
      <w:r w:rsidR="00BD6D25">
        <w:t xml:space="preserve"> and </w:t>
      </w:r>
      <w:r w:rsidR="00F641DF">
        <w:t>Attachment </w:t>
      </w:r>
      <w:r>
        <w:t>5</w:t>
      </w:r>
      <w:r w:rsidR="00FF674A">
        <w:t xml:space="preserve"> at</w:t>
      </w:r>
      <w:r w:rsidR="00513B3F">
        <w:t> </w:t>
      </w:r>
      <w:r>
        <w:t>2.</w:t>
      </w:r>
    </w:p>
  </w:footnote>
  <w:footnote w:id="43">
    <w:p w14:paraId="075F49BD" w14:textId="76097E24" w:rsidR="007918BC" w:rsidRDefault="007918BC" w:rsidP="007918BC">
      <w:pPr>
        <w:pStyle w:val="FootnoteText"/>
      </w:pPr>
      <w:r>
        <w:rPr>
          <w:rStyle w:val="FootnoteReference"/>
        </w:rPr>
        <w:footnoteRef/>
      </w:r>
      <w:r>
        <w:t xml:space="preserve"> </w:t>
      </w:r>
      <w:bookmarkStart w:id="78" w:name="_Hlk109657978"/>
      <w:r w:rsidR="00C93BE2">
        <w:t>Staff Proposal</w:t>
      </w:r>
      <w:r w:rsidR="007C0703">
        <w:t xml:space="preserve">. </w:t>
      </w:r>
      <w:r w:rsidR="007C0703" w:rsidRPr="001E1851">
        <w:rPr>
          <w:i/>
          <w:iCs/>
        </w:rPr>
        <w:t>See</w:t>
      </w:r>
      <w:r>
        <w:t xml:space="preserve"> </w:t>
      </w:r>
      <w:r w:rsidR="009278DF">
        <w:t>Phase</w:t>
      </w:r>
      <w:r w:rsidR="00513B3F">
        <w:t> </w:t>
      </w:r>
      <w:r w:rsidR="009278DF">
        <w:t>I</w:t>
      </w:r>
      <w:r w:rsidRPr="005A209B">
        <w:t xml:space="preserve">II Scoping Memo, </w:t>
      </w:r>
      <w:r w:rsidR="00FF674A">
        <w:t>Appendix</w:t>
      </w:r>
      <w:r w:rsidR="00513B3F">
        <w:t> </w:t>
      </w:r>
      <w:r w:rsidR="00FF674A">
        <w:t>A at</w:t>
      </w:r>
      <w:r w:rsidR="00513B3F">
        <w:t> </w:t>
      </w:r>
      <w:r>
        <w:t>46</w:t>
      </w:r>
      <w:r w:rsidRPr="005A209B">
        <w:t>.</w:t>
      </w:r>
      <w:bookmarkEnd w:id="78"/>
    </w:p>
  </w:footnote>
  <w:footnote w:id="44">
    <w:p w14:paraId="4094808A" w14:textId="1548CA20" w:rsidR="001B2B16" w:rsidRDefault="001B2B16" w:rsidP="001B2B16">
      <w:pPr>
        <w:pStyle w:val="FootnoteText"/>
      </w:pPr>
      <w:r>
        <w:rPr>
          <w:rStyle w:val="FootnoteReference"/>
        </w:rPr>
        <w:footnoteRef/>
      </w:r>
      <w:r>
        <w:t xml:space="preserve"> </w:t>
      </w:r>
      <w:r w:rsidR="007F5021">
        <w:t>April</w:t>
      </w:r>
      <w:r w:rsidR="00513B3F">
        <w:t> </w:t>
      </w:r>
      <w:r w:rsidR="007F5021">
        <w:t>18,</w:t>
      </w:r>
      <w:r w:rsidR="00513B3F">
        <w:t> </w:t>
      </w:r>
      <w:r w:rsidR="007F5021">
        <w:t>2022 ALJ</w:t>
      </w:r>
      <w:r w:rsidR="00513B3F">
        <w:t> </w:t>
      </w:r>
      <w:r w:rsidR="007F5021">
        <w:t>Ruling</w:t>
      </w:r>
      <w:r>
        <w:t xml:space="preserve">, </w:t>
      </w:r>
      <w:r w:rsidR="00F641DF">
        <w:t>Attachment</w:t>
      </w:r>
      <w:r w:rsidR="00513B3F">
        <w:t> </w:t>
      </w:r>
      <w:r>
        <w:t xml:space="preserve">5. </w:t>
      </w:r>
    </w:p>
  </w:footnote>
  <w:footnote w:id="45">
    <w:p w14:paraId="329C70D9" w14:textId="1A52759F" w:rsidR="005E5DFD" w:rsidRDefault="005E5DFD" w:rsidP="005E5DFD">
      <w:pPr>
        <w:pStyle w:val="FootnoteText"/>
      </w:pPr>
      <w:r>
        <w:rPr>
          <w:rStyle w:val="FootnoteReference"/>
        </w:rPr>
        <w:footnoteRef/>
      </w:r>
      <w:r>
        <w:t xml:space="preserve"> </w:t>
      </w:r>
      <w:r w:rsidR="007F5021">
        <w:t>April</w:t>
      </w:r>
      <w:r w:rsidR="00513B3F">
        <w:t> </w:t>
      </w:r>
      <w:r w:rsidR="007F5021">
        <w:t>18,</w:t>
      </w:r>
      <w:r w:rsidR="00513B3F">
        <w:t> </w:t>
      </w:r>
      <w:r w:rsidR="007F5021">
        <w:t>2022 ALJ</w:t>
      </w:r>
      <w:r w:rsidR="00513B3F">
        <w:t> </w:t>
      </w:r>
      <w:r w:rsidR="007F5021">
        <w:t>Ruling</w:t>
      </w:r>
      <w:r w:rsidR="008E3208">
        <w:t>, Attachments</w:t>
      </w:r>
      <w:r w:rsidR="00513B3F">
        <w:t> </w:t>
      </w:r>
      <w:r w:rsidR="008E3208">
        <w:t>1</w:t>
      </w:r>
      <w:r w:rsidR="00513B3F">
        <w:noBreakHyphen/>
      </w:r>
      <w:r w:rsidR="008E3208">
        <w:t>5</w:t>
      </w:r>
      <w:r>
        <w:t xml:space="preserve">. </w:t>
      </w:r>
      <w:r w:rsidR="004259E0">
        <w:t xml:space="preserve">Estimates </w:t>
      </w:r>
      <w:r>
        <w:t>are</w:t>
      </w:r>
      <w:r w:rsidR="00D858EE">
        <w:t xml:space="preserve"> averages </w:t>
      </w:r>
      <w:r w:rsidR="004259E0">
        <w:t xml:space="preserve">provided by the IOUs </w:t>
      </w:r>
      <w:r w:rsidR="00D858EE">
        <w:t xml:space="preserve">of projected </w:t>
      </w:r>
      <w:r w:rsidR="00665E61">
        <w:t>expenditures</w:t>
      </w:r>
      <w:r w:rsidR="00D858EE">
        <w:t xml:space="preserve"> from 2024 </w:t>
      </w:r>
      <w:r w:rsidR="00A055BA">
        <w:t>to</w:t>
      </w:r>
      <w:r w:rsidR="00D858EE">
        <w:t xml:space="preserve"> 2026</w:t>
      </w:r>
      <w:r w:rsidR="004259E0">
        <w:t>.</w:t>
      </w:r>
      <w:r w:rsidR="00A055BA">
        <w:t xml:space="preserve"> </w:t>
      </w:r>
      <w:r w:rsidR="004259E0">
        <w:t xml:space="preserve">Year </w:t>
      </w:r>
      <w:r w:rsidR="00A055BA">
        <w:t>2024 is the first full year that this decision would be in effect</w:t>
      </w:r>
      <w:r>
        <w:t>.</w:t>
      </w:r>
    </w:p>
  </w:footnote>
  <w:footnote w:id="46">
    <w:p w14:paraId="3CFA80E7" w14:textId="46BEDFE0" w:rsidR="001B2B16" w:rsidRDefault="001B2B16" w:rsidP="001B2B16">
      <w:pPr>
        <w:pStyle w:val="FootnoteText"/>
      </w:pPr>
      <w:r>
        <w:rPr>
          <w:rStyle w:val="FootnoteReference"/>
        </w:rPr>
        <w:footnoteRef/>
      </w:r>
      <w:r>
        <w:t xml:space="preserve"> </w:t>
      </w:r>
      <w:r w:rsidR="007F5021">
        <w:t>April</w:t>
      </w:r>
      <w:r w:rsidR="00513B3F">
        <w:t> </w:t>
      </w:r>
      <w:r w:rsidR="007F5021">
        <w:t>18,</w:t>
      </w:r>
      <w:r w:rsidR="00513B3F">
        <w:t> </w:t>
      </w:r>
      <w:r w:rsidR="007F5021">
        <w:t>2022 ALJ</w:t>
      </w:r>
      <w:r w:rsidR="00513B3F">
        <w:t> </w:t>
      </w:r>
      <w:r w:rsidR="007F5021">
        <w:t>Ruling</w:t>
      </w:r>
      <w:r>
        <w:t xml:space="preserve">, </w:t>
      </w:r>
      <w:r w:rsidR="00F641DF">
        <w:t>Attachment</w:t>
      </w:r>
      <w:r w:rsidR="00513B3F">
        <w:t> </w:t>
      </w:r>
      <w:r>
        <w:t>5.</w:t>
      </w:r>
    </w:p>
  </w:footnote>
  <w:footnote w:id="47">
    <w:p w14:paraId="2FA03126" w14:textId="65391493" w:rsidR="001B0FE3" w:rsidRDefault="001B0FE3" w:rsidP="008C6C4F">
      <w:pPr>
        <w:pStyle w:val="FootnoteText"/>
      </w:pPr>
      <w:r>
        <w:rPr>
          <w:rStyle w:val="FootnoteReference"/>
        </w:rPr>
        <w:footnoteRef/>
      </w:r>
      <w:r>
        <w:t xml:space="preserve"> Estimate based on IOU projections reported to CPUC and served as attachment in the </w:t>
      </w:r>
      <w:r w:rsidR="007F5021">
        <w:t>April</w:t>
      </w:r>
      <w:r w:rsidR="00513B3F">
        <w:t> </w:t>
      </w:r>
      <w:r w:rsidR="007F5021">
        <w:t>18,</w:t>
      </w:r>
      <w:r w:rsidR="00513B3F">
        <w:t> </w:t>
      </w:r>
      <w:r w:rsidR="007F5021">
        <w:t>2022 ALJ Ruling</w:t>
      </w:r>
      <w:r>
        <w:t>. Figures are 2024 projections as that is the first full year that this decision would be in effect.</w:t>
      </w:r>
    </w:p>
  </w:footnote>
  <w:footnote w:id="48">
    <w:p w14:paraId="1D41A11A" w14:textId="076AB5D6" w:rsidR="00DA786D" w:rsidRDefault="00DA786D">
      <w:pPr>
        <w:pStyle w:val="FootnoteText"/>
      </w:pPr>
      <w:r>
        <w:rPr>
          <w:rStyle w:val="FootnoteReference"/>
        </w:rPr>
        <w:footnoteRef/>
      </w:r>
      <w:r>
        <w:t xml:space="preserve"> Commercial only. </w:t>
      </w:r>
    </w:p>
  </w:footnote>
  <w:footnote w:id="49">
    <w:p w14:paraId="1552944B" w14:textId="320C5B89" w:rsidR="00502CCF" w:rsidRDefault="00502CCF" w:rsidP="00502CCF">
      <w:pPr>
        <w:pStyle w:val="FootnoteText"/>
      </w:pPr>
      <w:r>
        <w:rPr>
          <w:rStyle w:val="FootnoteReference"/>
        </w:rPr>
        <w:footnoteRef/>
      </w:r>
      <w:r>
        <w:t xml:space="preserve"> </w:t>
      </w:r>
      <w:r w:rsidR="009278DF">
        <w:t>Phase</w:t>
      </w:r>
      <w:r w:rsidR="00513B3F">
        <w:t> </w:t>
      </w:r>
      <w:r w:rsidR="009278DF">
        <w:t>I</w:t>
      </w:r>
      <w:r>
        <w:t xml:space="preserve">II Scoping Memo, </w:t>
      </w:r>
      <w:r w:rsidR="00FF674A">
        <w:t>Appendix</w:t>
      </w:r>
      <w:r w:rsidR="00513B3F">
        <w:t> </w:t>
      </w:r>
      <w:r w:rsidR="00FF674A">
        <w:t>A at</w:t>
      </w:r>
      <w:r w:rsidR="00513B3F">
        <w:t> </w:t>
      </w:r>
      <w:r>
        <w:t>31.</w:t>
      </w:r>
    </w:p>
  </w:footnote>
  <w:footnote w:id="50">
    <w:p w14:paraId="1C0FBF11" w14:textId="306B537A" w:rsidR="00502CCF" w:rsidRDefault="00502CCF" w:rsidP="00502CCF">
      <w:pPr>
        <w:pStyle w:val="FootnoteText"/>
      </w:pPr>
      <w:r>
        <w:rPr>
          <w:rStyle w:val="FootnoteReference"/>
        </w:rPr>
        <w:footnoteRef/>
      </w:r>
      <w:r>
        <w:t xml:space="preserve"> </w:t>
      </w:r>
      <w:r w:rsidR="009278DF">
        <w:t>Phase</w:t>
      </w:r>
      <w:r w:rsidR="00513B3F">
        <w:t> </w:t>
      </w:r>
      <w:r w:rsidR="009278DF">
        <w:t>I</w:t>
      </w:r>
      <w:r w:rsidRPr="00103FE5">
        <w:t xml:space="preserve">II Scoping Memo, </w:t>
      </w:r>
      <w:r w:rsidR="00FF674A">
        <w:t>Appendix</w:t>
      </w:r>
      <w:r w:rsidR="00513B3F">
        <w:t> </w:t>
      </w:r>
      <w:r w:rsidR="00FF674A">
        <w:t>A at</w:t>
      </w:r>
      <w:r w:rsidR="00513B3F">
        <w:t> </w:t>
      </w:r>
      <w:r>
        <w:t>33</w:t>
      </w:r>
      <w:r w:rsidR="00513B3F">
        <w:noBreakHyphen/>
      </w:r>
      <w:r>
        <w:t>34</w:t>
      </w:r>
      <w:r w:rsidR="00DE2E37">
        <w:t xml:space="preserve"> and</w:t>
      </w:r>
      <w:r w:rsidR="00D71DBA">
        <w:t xml:space="preserve"> </w:t>
      </w:r>
      <w:r>
        <w:t>41.</w:t>
      </w:r>
    </w:p>
  </w:footnote>
  <w:footnote w:id="51">
    <w:p w14:paraId="23219D09" w14:textId="4197BFF7" w:rsidR="00502CCF" w:rsidRDefault="00502CCF" w:rsidP="00502CCF">
      <w:pPr>
        <w:pStyle w:val="FootnoteText"/>
      </w:pPr>
      <w:r>
        <w:rPr>
          <w:rStyle w:val="FootnoteReference"/>
        </w:rPr>
        <w:footnoteRef/>
      </w:r>
      <w:r>
        <w:t xml:space="preserve"> </w:t>
      </w:r>
      <w:r w:rsidR="009278DF">
        <w:t>Phase</w:t>
      </w:r>
      <w:r w:rsidR="00513B3F">
        <w:t> </w:t>
      </w:r>
      <w:r w:rsidR="009278DF">
        <w:t>I</w:t>
      </w:r>
      <w:r w:rsidRPr="00103FE5">
        <w:t xml:space="preserve">II Scoping Memo, </w:t>
      </w:r>
      <w:r w:rsidR="00FF674A">
        <w:t>Appendix</w:t>
      </w:r>
      <w:r w:rsidR="00513B3F">
        <w:t> </w:t>
      </w:r>
      <w:r w:rsidR="00FF674A">
        <w:t>A at</w:t>
      </w:r>
      <w:r w:rsidR="00513B3F">
        <w:t> </w:t>
      </w:r>
      <w:r>
        <w:t>36.</w:t>
      </w:r>
    </w:p>
  </w:footnote>
  <w:footnote w:id="52">
    <w:p w14:paraId="413A1B6B" w14:textId="6A250A81" w:rsidR="00516185" w:rsidRDefault="00516185" w:rsidP="00516185">
      <w:pPr>
        <w:pStyle w:val="FootnoteText"/>
      </w:pPr>
      <w:r>
        <w:rPr>
          <w:rStyle w:val="FootnoteReference"/>
        </w:rPr>
        <w:footnoteRef/>
      </w:r>
      <w:r>
        <w:t xml:space="preserve"> </w:t>
      </w:r>
      <w:r w:rsidR="009278DF">
        <w:t>Phase</w:t>
      </w:r>
      <w:r w:rsidR="00513B3F">
        <w:t> </w:t>
      </w:r>
      <w:r w:rsidR="009278DF">
        <w:t>I</w:t>
      </w:r>
      <w:r w:rsidRPr="00103FE5">
        <w:t xml:space="preserve">II Scoping Memo, </w:t>
      </w:r>
      <w:r w:rsidR="00FF674A">
        <w:t>Appendix</w:t>
      </w:r>
      <w:r w:rsidR="00513B3F">
        <w:t> </w:t>
      </w:r>
      <w:r w:rsidR="00FF674A">
        <w:t>A at</w:t>
      </w:r>
      <w:r w:rsidR="00513B3F">
        <w:t> </w:t>
      </w:r>
      <w:r>
        <w:t>37.</w:t>
      </w:r>
    </w:p>
  </w:footnote>
  <w:footnote w:id="53">
    <w:p w14:paraId="22EE0F46" w14:textId="667EA8E2" w:rsidR="001B2B16" w:rsidRDefault="001B2B16" w:rsidP="001B2B16">
      <w:pPr>
        <w:pStyle w:val="FootnoteText"/>
      </w:pPr>
      <w:r>
        <w:rPr>
          <w:rStyle w:val="FootnoteReference"/>
        </w:rPr>
        <w:footnoteRef/>
      </w:r>
      <w:r>
        <w:t xml:space="preserve"> </w:t>
      </w:r>
      <w:r w:rsidR="009278DF">
        <w:t>Phase</w:t>
      </w:r>
      <w:r w:rsidR="00513B3F">
        <w:t> </w:t>
      </w:r>
      <w:r w:rsidR="009278DF">
        <w:t>I</w:t>
      </w:r>
      <w:r>
        <w:t xml:space="preserve">II Scoping Memo, </w:t>
      </w:r>
      <w:r w:rsidR="00FF674A">
        <w:t>Appendix</w:t>
      </w:r>
      <w:r w:rsidR="00513B3F">
        <w:t> </w:t>
      </w:r>
      <w:r w:rsidR="00FF674A">
        <w:t>A at</w:t>
      </w:r>
      <w:r w:rsidR="00513B3F">
        <w:t> </w:t>
      </w:r>
      <w:r>
        <w:t>31</w:t>
      </w:r>
      <w:r w:rsidR="00513B3F">
        <w:noBreakHyphen/>
      </w:r>
      <w:r>
        <w:t>32.</w:t>
      </w:r>
    </w:p>
  </w:footnote>
  <w:footnote w:id="54">
    <w:p w14:paraId="21CCC5ED" w14:textId="3F937DCA" w:rsidR="001B2B16" w:rsidRDefault="001B2B16" w:rsidP="001B2B16">
      <w:pPr>
        <w:pStyle w:val="FootnoteText"/>
      </w:pPr>
      <w:r>
        <w:rPr>
          <w:rStyle w:val="FootnoteReference"/>
        </w:rPr>
        <w:footnoteRef/>
      </w:r>
      <w:r>
        <w:t xml:space="preserve"> </w:t>
      </w:r>
      <w:r w:rsidR="009278DF">
        <w:t>Phase</w:t>
      </w:r>
      <w:r w:rsidR="00513B3F">
        <w:t> </w:t>
      </w:r>
      <w:r w:rsidR="009278DF">
        <w:t>I</w:t>
      </w:r>
      <w:r>
        <w:t xml:space="preserve">II Scoping Memo, </w:t>
      </w:r>
      <w:r w:rsidR="00FF674A">
        <w:t>Appendix</w:t>
      </w:r>
      <w:r w:rsidR="00513B3F">
        <w:t> </w:t>
      </w:r>
      <w:r w:rsidR="00FF674A">
        <w:t>A at</w:t>
      </w:r>
      <w:r w:rsidR="00513B3F">
        <w:t> </w:t>
      </w:r>
      <w:r>
        <w:t>32</w:t>
      </w:r>
      <w:r w:rsidR="00513B3F">
        <w:noBreakHyphen/>
      </w:r>
      <w:r>
        <w:t>33.</w:t>
      </w:r>
    </w:p>
  </w:footnote>
  <w:footnote w:id="55">
    <w:p w14:paraId="47D1D23D" w14:textId="7186C357" w:rsidR="001B2B16" w:rsidRDefault="001B2B16" w:rsidP="001B2B16">
      <w:pPr>
        <w:pStyle w:val="FootnoteText"/>
      </w:pPr>
      <w:r>
        <w:rPr>
          <w:rStyle w:val="FootnoteReference"/>
        </w:rPr>
        <w:footnoteRef/>
      </w:r>
      <w:r>
        <w:t xml:space="preserve"> </w:t>
      </w:r>
      <w:r w:rsidR="009278DF">
        <w:t>Phase</w:t>
      </w:r>
      <w:r w:rsidR="00513B3F">
        <w:t> </w:t>
      </w:r>
      <w:r w:rsidR="009278DF">
        <w:t>I</w:t>
      </w:r>
      <w:r w:rsidRPr="00103FE5">
        <w:t xml:space="preserve">II Scoping Memo, </w:t>
      </w:r>
      <w:r w:rsidR="00FF674A">
        <w:t>Appendix</w:t>
      </w:r>
      <w:r w:rsidR="00513B3F">
        <w:t> </w:t>
      </w:r>
      <w:r w:rsidR="00FF674A">
        <w:t>A at</w:t>
      </w:r>
      <w:r w:rsidR="00513B3F">
        <w:t> </w:t>
      </w:r>
      <w:r w:rsidRPr="00103FE5">
        <w:t>3</w:t>
      </w:r>
      <w:r>
        <w:t>3</w:t>
      </w:r>
      <w:r w:rsidRPr="00103FE5">
        <w:t>.</w:t>
      </w:r>
    </w:p>
  </w:footnote>
  <w:footnote w:id="56">
    <w:p w14:paraId="577B5064" w14:textId="5A190F0E" w:rsidR="001B2B16" w:rsidRDefault="001B2B16" w:rsidP="001B2B16">
      <w:pPr>
        <w:pStyle w:val="FootnoteText"/>
      </w:pPr>
      <w:r>
        <w:rPr>
          <w:rStyle w:val="FootnoteReference"/>
        </w:rPr>
        <w:footnoteRef/>
      </w:r>
      <w:r>
        <w:t xml:space="preserve"> </w:t>
      </w:r>
      <w:r w:rsidR="009278DF">
        <w:t>Phase</w:t>
      </w:r>
      <w:r w:rsidR="00513B3F">
        <w:t> </w:t>
      </w:r>
      <w:r w:rsidR="009278DF">
        <w:t>I</w:t>
      </w:r>
      <w:r w:rsidRPr="00103FE5">
        <w:t xml:space="preserve">II Scoping Memo, </w:t>
      </w:r>
      <w:r w:rsidR="00FF674A">
        <w:t>Appendix</w:t>
      </w:r>
      <w:r w:rsidR="00513B3F">
        <w:t> </w:t>
      </w:r>
      <w:r w:rsidR="00FF674A">
        <w:t>A at</w:t>
      </w:r>
      <w:r w:rsidR="00513B3F">
        <w:t> </w:t>
      </w:r>
      <w:r w:rsidR="00C56566">
        <w:t>32</w:t>
      </w:r>
      <w:r w:rsidR="00E02A7E">
        <w:t xml:space="preserve"> and</w:t>
      </w:r>
      <w:r w:rsidR="00C56566">
        <w:t xml:space="preserve"> </w:t>
      </w:r>
      <w:r>
        <w:t>37</w:t>
      </w:r>
      <w:r w:rsidR="00513B3F">
        <w:noBreakHyphen/>
      </w:r>
      <w:r>
        <w:t>38.</w:t>
      </w:r>
    </w:p>
  </w:footnote>
  <w:footnote w:id="57">
    <w:p w14:paraId="35661D56" w14:textId="61F42FD5" w:rsidR="007B6FBB" w:rsidRDefault="007B6FBB" w:rsidP="007B6FBB">
      <w:pPr>
        <w:pStyle w:val="FootnoteText"/>
      </w:pPr>
      <w:r>
        <w:rPr>
          <w:rStyle w:val="FootnoteReference"/>
        </w:rPr>
        <w:footnoteRef/>
      </w:r>
      <w:r>
        <w:t xml:space="preserve"> </w:t>
      </w:r>
      <w:r w:rsidR="009278DF">
        <w:t>Phase</w:t>
      </w:r>
      <w:r w:rsidR="00513B3F">
        <w:t> </w:t>
      </w:r>
      <w:r w:rsidR="009278DF">
        <w:t>I</w:t>
      </w:r>
      <w:r w:rsidRPr="00103FE5">
        <w:t xml:space="preserve">II Scoping Memo, </w:t>
      </w:r>
      <w:r w:rsidR="00FF674A">
        <w:t>Appendix</w:t>
      </w:r>
      <w:r w:rsidR="00513B3F">
        <w:t> </w:t>
      </w:r>
      <w:r w:rsidR="00FF674A">
        <w:t>A at</w:t>
      </w:r>
      <w:r w:rsidR="00513B3F">
        <w:t> </w:t>
      </w:r>
      <w:r>
        <w:t>32</w:t>
      </w:r>
      <w:r w:rsidR="00E02A7E">
        <w:t xml:space="preserve"> and</w:t>
      </w:r>
      <w:r>
        <w:t xml:space="preserve"> 41</w:t>
      </w:r>
      <w:r w:rsidR="00513B3F">
        <w:noBreakHyphen/>
      </w:r>
      <w:r>
        <w:t xml:space="preserve">42. </w:t>
      </w:r>
    </w:p>
  </w:footnote>
  <w:footnote w:id="58">
    <w:p w14:paraId="390BEE0E" w14:textId="1240BA44" w:rsidR="00AB0E6F" w:rsidRDefault="00AB0E6F">
      <w:pPr>
        <w:pStyle w:val="FootnoteText"/>
      </w:pPr>
      <w:r>
        <w:rPr>
          <w:rStyle w:val="FootnoteReference"/>
        </w:rPr>
        <w:footnoteRef/>
      </w:r>
      <w:r>
        <w:t xml:space="preserve"> </w:t>
      </w:r>
      <w:r w:rsidR="00E155A1" w:rsidRPr="00E155A1">
        <w:t>Non</w:t>
      </w:r>
      <w:r w:rsidR="00513B3F">
        <w:noBreakHyphen/>
      </w:r>
      <w:r w:rsidR="00E155A1" w:rsidRPr="00E155A1">
        <w:t>residential property price impacts can be estimated based on the same logic used to estimate residential property price impacts. D.07</w:t>
      </w:r>
      <w:r w:rsidR="00513B3F">
        <w:noBreakHyphen/>
      </w:r>
      <w:r w:rsidR="00E155A1" w:rsidRPr="00E155A1">
        <w:t>07</w:t>
      </w:r>
      <w:r w:rsidR="00513B3F">
        <w:noBreakHyphen/>
      </w:r>
      <w:r w:rsidR="00E155A1" w:rsidRPr="00E155A1">
        <w:t>019 did not make any finding of fact regarding the property price impact associated with the elimination of line extension allowances for non</w:t>
      </w:r>
      <w:r w:rsidR="00513B3F">
        <w:noBreakHyphen/>
      </w:r>
      <w:r w:rsidR="00E155A1" w:rsidRPr="00E155A1">
        <w:t>residential building, but the inputs and assumptions used to determine non</w:t>
      </w:r>
      <w:r w:rsidR="00513B3F">
        <w:noBreakHyphen/>
      </w:r>
      <w:r w:rsidR="00E155A1" w:rsidRPr="00E155A1">
        <w:t>residential allowances (</w:t>
      </w:r>
      <w:r w:rsidR="00E155A1" w:rsidRPr="006B3F33">
        <w:rPr>
          <w:i/>
          <w:iCs/>
        </w:rPr>
        <w:t>e.g.</w:t>
      </w:r>
      <w:r w:rsidR="00E155A1" w:rsidRPr="00E155A1">
        <w:t xml:space="preserve">, demand, usage, </w:t>
      </w:r>
      <w:r w:rsidR="00E155A1" w:rsidRPr="00C55331">
        <w:rPr>
          <w:i/>
          <w:iCs/>
        </w:rPr>
        <w:t>etc.</w:t>
      </w:r>
      <w:r w:rsidR="00E155A1" w:rsidRPr="00E155A1">
        <w:t>) are largely the same as for residential allowance computations</w:t>
      </w:r>
      <w:r w:rsidR="00E155A1">
        <w:t xml:space="preserve">. </w:t>
      </w:r>
      <w:r w:rsidR="00973239">
        <w:t>(</w:t>
      </w:r>
      <w:r w:rsidR="009278DF">
        <w:t>Phase</w:t>
      </w:r>
      <w:r w:rsidR="00513B3F">
        <w:t> </w:t>
      </w:r>
      <w:r w:rsidR="009278DF">
        <w:t>I</w:t>
      </w:r>
      <w:r w:rsidRPr="00103FE5">
        <w:t xml:space="preserve">II Scoping Memo, </w:t>
      </w:r>
      <w:r w:rsidR="00FF674A">
        <w:t>Appendix</w:t>
      </w:r>
      <w:r w:rsidR="00513B3F">
        <w:t> </w:t>
      </w:r>
      <w:r w:rsidR="00FF674A">
        <w:t>A at</w:t>
      </w:r>
      <w:r w:rsidR="00513B3F">
        <w:t> </w:t>
      </w:r>
      <w:r>
        <w:t>32.</w:t>
      </w:r>
      <w:r w:rsidR="00973239">
        <w:t>)</w:t>
      </w:r>
    </w:p>
  </w:footnote>
  <w:footnote w:id="59">
    <w:p w14:paraId="341DBF47" w14:textId="58367ECB" w:rsidR="00FF5560" w:rsidRDefault="00FF5560" w:rsidP="00FF5560">
      <w:pPr>
        <w:pStyle w:val="FootnoteText"/>
      </w:pPr>
      <w:r>
        <w:rPr>
          <w:rStyle w:val="FootnoteReference"/>
        </w:rPr>
        <w:footnoteRef/>
      </w:r>
      <w:r>
        <w:t xml:space="preserve"> </w:t>
      </w:r>
      <w:r w:rsidRPr="00EA6922">
        <w:t>O</w:t>
      </w:r>
      <w:r>
        <w:t xml:space="preserve">pening Comments of the Joint </w:t>
      </w:r>
      <w:r w:rsidR="008E74B4">
        <w:t>IOUs</w:t>
      </w:r>
      <w:r>
        <w:t xml:space="preserve"> on </w:t>
      </w:r>
      <w:r w:rsidR="009278DF">
        <w:t>Phase</w:t>
      </w:r>
      <w:r w:rsidR="00513B3F">
        <w:t> </w:t>
      </w:r>
      <w:r w:rsidR="009278DF">
        <w:t>I</w:t>
      </w:r>
      <w:r>
        <w:t>II Staff Proposal</w:t>
      </w:r>
      <w:r w:rsidR="00FF674A">
        <w:t xml:space="preserve"> at</w:t>
      </w:r>
      <w:r w:rsidR="00513B3F">
        <w:t> </w:t>
      </w:r>
      <w:r>
        <w:t>9</w:t>
      </w:r>
      <w:r w:rsidR="00513B3F">
        <w:noBreakHyphen/>
      </w:r>
      <w:r>
        <w:t>10.</w:t>
      </w:r>
    </w:p>
  </w:footnote>
  <w:footnote w:id="60">
    <w:p w14:paraId="6303438F" w14:textId="26C381D2" w:rsidR="00433DA1" w:rsidRDefault="00433DA1" w:rsidP="00433DA1">
      <w:pPr>
        <w:pStyle w:val="FootnoteText"/>
      </w:pPr>
      <w:r>
        <w:rPr>
          <w:rStyle w:val="FootnoteReference"/>
        </w:rPr>
        <w:footnoteRef/>
      </w:r>
      <w:r w:rsidR="00A10FCE">
        <w:t xml:space="preserve"> </w:t>
      </w:r>
      <w:r w:rsidR="00B30121">
        <w:t>2022</w:t>
      </w:r>
      <w:r w:rsidR="00A10FCE">
        <w:t xml:space="preserve"> </w:t>
      </w:r>
      <w:r w:rsidR="00B30121">
        <w:t>Building</w:t>
      </w:r>
      <w:r w:rsidR="00A10FCE">
        <w:t xml:space="preserve"> </w:t>
      </w:r>
      <w:r w:rsidR="00B30121">
        <w:t>Efficiency</w:t>
      </w:r>
      <w:r w:rsidR="00A10FCE">
        <w:t xml:space="preserve"> </w:t>
      </w:r>
      <w:r w:rsidR="00B30121">
        <w:t>Standards</w:t>
      </w:r>
      <w:r w:rsidR="00A10FCE">
        <w:t xml:space="preserve"> </w:t>
      </w:r>
      <w:r w:rsidR="00EE3B4B">
        <w:t>(</w:t>
      </w:r>
      <w:hyperlink r:id="rId14" w:history="1">
        <w:r w:rsidR="00EE3B4B" w:rsidRPr="00CE35E4">
          <w:rPr>
            <w:rStyle w:val="Hyperlink"/>
          </w:rPr>
          <w:t>https://www.energy.ca.gov/programs</w:t>
        </w:r>
        <w:r w:rsidR="00FE0D3E">
          <w:rPr>
            <w:rStyle w:val="Hyperlink"/>
          </w:rPr>
          <w:t>-</w:t>
        </w:r>
        <w:r w:rsidR="00EE3B4B" w:rsidRPr="00CE35E4">
          <w:rPr>
            <w:rStyle w:val="Hyperlink"/>
          </w:rPr>
          <w:t>and</w:t>
        </w:r>
        <w:r w:rsidR="00FE0D3E">
          <w:rPr>
            <w:rStyle w:val="Hyperlink"/>
          </w:rPr>
          <w:t>-</w:t>
        </w:r>
        <w:r w:rsidR="00EE3B4B" w:rsidRPr="00CE35E4">
          <w:rPr>
            <w:rStyle w:val="Hyperlink"/>
          </w:rPr>
          <w:t>topics/programs/building</w:t>
        </w:r>
        <w:r w:rsidR="00FE0D3E">
          <w:rPr>
            <w:rStyle w:val="Hyperlink"/>
          </w:rPr>
          <w:t>-</w:t>
        </w:r>
        <w:r w:rsidR="00EE3B4B" w:rsidRPr="00CE35E4">
          <w:rPr>
            <w:rStyle w:val="Hyperlink"/>
          </w:rPr>
          <w:t>energy</w:t>
        </w:r>
        <w:r w:rsidR="00FE0D3E">
          <w:rPr>
            <w:rStyle w:val="Hyperlink"/>
          </w:rPr>
          <w:t>-</w:t>
        </w:r>
        <w:r w:rsidR="00EE3B4B" w:rsidRPr="00CE35E4">
          <w:rPr>
            <w:rStyle w:val="Hyperlink"/>
          </w:rPr>
          <w:t>efficiency</w:t>
        </w:r>
        <w:r w:rsidR="00FE0D3E">
          <w:rPr>
            <w:rStyle w:val="Hyperlink"/>
          </w:rPr>
          <w:t>-</w:t>
        </w:r>
        <w:r w:rsidR="00EE3B4B" w:rsidRPr="00CE35E4">
          <w:rPr>
            <w:rStyle w:val="Hyperlink"/>
          </w:rPr>
          <w:t>standards/2022</w:t>
        </w:r>
        <w:r w:rsidR="00FE0D3E">
          <w:rPr>
            <w:rStyle w:val="Hyperlink"/>
          </w:rPr>
          <w:t>-</w:t>
        </w:r>
        <w:r w:rsidR="00EE3B4B" w:rsidRPr="00CE35E4">
          <w:rPr>
            <w:rStyle w:val="Hyperlink"/>
          </w:rPr>
          <w:t>building</w:t>
        </w:r>
        <w:r w:rsidR="00FE0D3E">
          <w:rPr>
            <w:rStyle w:val="Hyperlink"/>
          </w:rPr>
          <w:t>-</w:t>
        </w:r>
        <w:r w:rsidR="00EE3B4B" w:rsidRPr="00CE35E4">
          <w:rPr>
            <w:rStyle w:val="Hyperlink"/>
          </w:rPr>
          <w:t>energy</w:t>
        </w:r>
        <w:r w:rsidR="00FE0D3E">
          <w:rPr>
            <w:rStyle w:val="Hyperlink"/>
          </w:rPr>
          <w:t>-</w:t>
        </w:r>
        <w:r w:rsidR="00EE3B4B" w:rsidRPr="00CE35E4">
          <w:rPr>
            <w:rStyle w:val="Hyperlink"/>
          </w:rPr>
          <w:t>efficiency</w:t>
        </w:r>
      </w:hyperlink>
      <w:r w:rsidR="00EE3B4B">
        <w:t xml:space="preserve">). </w:t>
      </w:r>
    </w:p>
  </w:footnote>
  <w:footnote w:id="61">
    <w:p w14:paraId="523FBD86" w14:textId="4D38AF50" w:rsidR="006E4ADF" w:rsidRDefault="006E4ADF">
      <w:pPr>
        <w:pStyle w:val="FootnoteText"/>
      </w:pPr>
      <w:r>
        <w:rPr>
          <w:rStyle w:val="FootnoteReference"/>
        </w:rPr>
        <w:footnoteRef/>
      </w:r>
      <w:r>
        <w:t xml:space="preserve"> Opening Brief of Joint Parties</w:t>
      </w:r>
      <w:r w:rsidR="00FF674A">
        <w:t xml:space="preserve"> at</w:t>
      </w:r>
      <w:r w:rsidR="00513B3F">
        <w:t> </w:t>
      </w:r>
      <w:r w:rsidR="00955634">
        <w:t>7</w:t>
      </w:r>
      <w:r w:rsidR="00513B3F">
        <w:noBreakHyphen/>
      </w:r>
      <w:r w:rsidR="00955634">
        <w:t>8.</w:t>
      </w:r>
    </w:p>
  </w:footnote>
  <w:footnote w:id="62">
    <w:p w14:paraId="5EA33A04" w14:textId="61624480" w:rsidR="00FF7BB0" w:rsidRDefault="00FF7BB0" w:rsidP="00FF674A">
      <w:pPr>
        <w:pStyle w:val="FootnoteText"/>
      </w:pPr>
      <w:r>
        <w:rPr>
          <w:rStyle w:val="FootnoteReference"/>
        </w:rPr>
        <w:footnoteRef/>
      </w:r>
      <w:r w:rsidR="005253DE">
        <w:t xml:space="preserve">Although still </w:t>
      </w:r>
      <w:r w:rsidR="000D697E">
        <w:t xml:space="preserve">a draft, this proposal indicates the direction state policy is headed. </w:t>
      </w:r>
      <w:r w:rsidR="004D29A3">
        <w:t xml:space="preserve">CARB, </w:t>
      </w:r>
      <w:r w:rsidR="004C66C5">
        <w:t>Draft 2022 State Strategy for the State Implementation Plan</w:t>
      </w:r>
      <w:r w:rsidR="004D29A3">
        <w:t xml:space="preserve"> at </w:t>
      </w:r>
      <w:r w:rsidR="004C66C5">
        <w:t>86</w:t>
      </w:r>
      <w:r w:rsidR="0006350F">
        <w:t xml:space="preserve"> (</w:t>
      </w:r>
      <w:hyperlink r:id="rId15" w:history="1">
        <w:r w:rsidR="0006350F" w:rsidRPr="00AE5511">
          <w:rPr>
            <w:rStyle w:val="Hyperlink"/>
          </w:rPr>
          <w:t>https://ww2.arb.ca.gov/sites/default/files/2022-01/Draft_2022_State_SIP_Strategy.pdf</w:t>
        </w:r>
      </w:hyperlink>
      <w:r w:rsidR="0006350F">
        <w:t>).</w:t>
      </w:r>
      <w:r w:rsidR="00844740">
        <w:t xml:space="preserve"> </w:t>
      </w:r>
    </w:p>
  </w:footnote>
  <w:footnote w:id="63">
    <w:p w14:paraId="36F5A177" w14:textId="2DB09FF9" w:rsidR="00FF7BB0" w:rsidRDefault="00FF7BB0" w:rsidP="00FF7BB0">
      <w:pPr>
        <w:pStyle w:val="FootnoteText"/>
      </w:pPr>
      <w:r>
        <w:rPr>
          <w:rStyle w:val="FootnoteReference"/>
        </w:rPr>
        <w:footnoteRef/>
      </w:r>
      <w:r>
        <w:t xml:space="preserve"> </w:t>
      </w:r>
      <w:bookmarkStart w:id="103" w:name="_Hlk109384693"/>
      <w:r w:rsidR="00EE77CC">
        <w:t>Opening Brief of Joint Parties</w:t>
      </w:r>
      <w:r w:rsidR="00FF674A">
        <w:t xml:space="preserve"> </w:t>
      </w:r>
      <w:bookmarkEnd w:id="103"/>
      <w:r w:rsidR="00FF674A">
        <w:t>at</w:t>
      </w:r>
      <w:r w:rsidR="00513B3F">
        <w:t> </w:t>
      </w:r>
      <w:r w:rsidR="00EE77CC">
        <w:t>8.</w:t>
      </w:r>
    </w:p>
  </w:footnote>
  <w:footnote w:id="64">
    <w:p w14:paraId="38E724F3" w14:textId="11EABF57" w:rsidR="00C65AD3" w:rsidRDefault="00C65AD3" w:rsidP="00C65AD3">
      <w:pPr>
        <w:pStyle w:val="FootnoteText"/>
      </w:pPr>
      <w:r>
        <w:rPr>
          <w:rStyle w:val="FootnoteReference"/>
        </w:rPr>
        <w:footnoteRef/>
      </w:r>
      <w:r>
        <w:t xml:space="preserve"> </w:t>
      </w:r>
      <w:r w:rsidR="0027329F">
        <w:t xml:space="preserve">Opening Brief of </w:t>
      </w:r>
      <w:r>
        <w:t xml:space="preserve">Joint Parties </w:t>
      </w:r>
      <w:r w:rsidR="00FF674A">
        <w:t>at</w:t>
      </w:r>
      <w:r w:rsidR="00513B3F">
        <w:t> </w:t>
      </w:r>
      <w:r>
        <w:t>8</w:t>
      </w:r>
      <w:r w:rsidR="00513B3F">
        <w:noBreakHyphen/>
      </w:r>
      <w:r>
        <w:t xml:space="preserve">9. </w:t>
      </w:r>
    </w:p>
  </w:footnote>
  <w:footnote w:id="65">
    <w:p w14:paraId="2B805534" w14:textId="35E2025B" w:rsidR="00794FFD" w:rsidRDefault="00794FFD" w:rsidP="00794FFD">
      <w:pPr>
        <w:pStyle w:val="FootnoteText"/>
      </w:pPr>
      <w:r>
        <w:rPr>
          <w:rStyle w:val="FootnoteReference"/>
        </w:rPr>
        <w:footnoteRef/>
      </w:r>
      <w:r>
        <w:t xml:space="preserve"> </w:t>
      </w:r>
      <w:r w:rsidRPr="00C933A1">
        <w:t xml:space="preserve">Response of the </w:t>
      </w:r>
      <w:r>
        <w:t>Joint Parties</w:t>
      </w:r>
      <w:r w:rsidRPr="00C933A1">
        <w:t xml:space="preserve"> to the </w:t>
      </w:r>
      <w:r w:rsidR="00591889">
        <w:t>January</w:t>
      </w:r>
      <w:r w:rsidR="00695BF6">
        <w:t> </w:t>
      </w:r>
      <w:r w:rsidR="00591889">
        <w:t>28,</w:t>
      </w:r>
      <w:r w:rsidR="00695BF6">
        <w:t> </w:t>
      </w:r>
      <w:r w:rsidR="00591889">
        <w:t xml:space="preserve">2022 </w:t>
      </w:r>
      <w:r w:rsidRPr="00C933A1">
        <w:t xml:space="preserve">Assigned </w:t>
      </w:r>
      <w:r w:rsidR="0063596C">
        <w:t>ALJ</w:t>
      </w:r>
      <w:r w:rsidRPr="00C933A1">
        <w:t>s</w:t>
      </w:r>
      <w:r w:rsidR="00591889">
        <w:t>’</w:t>
      </w:r>
      <w:r w:rsidR="0063596C">
        <w:t xml:space="preserve"> </w:t>
      </w:r>
      <w:r w:rsidRPr="00C933A1">
        <w:t>Ruling Seeking Clarifications and Additional Information at</w:t>
      </w:r>
      <w:r w:rsidR="00513B3F">
        <w:t> </w:t>
      </w:r>
      <w:r>
        <w:t>5.</w:t>
      </w:r>
    </w:p>
  </w:footnote>
  <w:footnote w:id="66">
    <w:p w14:paraId="319965B3" w14:textId="50DFC8AC" w:rsidR="00AC0E68" w:rsidRDefault="00AC0E68">
      <w:pPr>
        <w:pStyle w:val="FootnoteText"/>
      </w:pPr>
      <w:r>
        <w:rPr>
          <w:rStyle w:val="FootnoteReference"/>
        </w:rPr>
        <w:footnoteRef/>
      </w:r>
      <w:r>
        <w:t xml:space="preserve"> </w:t>
      </w:r>
      <w:r w:rsidR="00C27A60">
        <w:t xml:space="preserve">The customer pays the entire </w:t>
      </w:r>
      <w:r w:rsidR="001C68DA">
        <w:t xml:space="preserve">line extension cost upfront, but that total is offset by the </w:t>
      </w:r>
      <w:r w:rsidR="00ED34B2">
        <w:t>subsidies</w:t>
      </w:r>
      <w:r w:rsidR="0082586B">
        <w:t xml:space="preserve"> (</w:t>
      </w:r>
      <w:r w:rsidR="001C68DA">
        <w:t>allowances</w:t>
      </w:r>
      <w:r w:rsidR="0082586B">
        <w:t>, refunds, discounts)</w:t>
      </w:r>
      <w:r w:rsidR="00ED34B2">
        <w:t xml:space="preserve">. </w:t>
      </w:r>
      <w:r w:rsidR="001C68DA">
        <w:t xml:space="preserve">The utility must fund the </w:t>
      </w:r>
      <w:r w:rsidR="00ED34B2">
        <w:t xml:space="preserve">subsidies </w:t>
      </w:r>
      <w:r w:rsidR="001C68DA">
        <w:t>to get back up to the total</w:t>
      </w:r>
      <w:r w:rsidR="003F04BD">
        <w:t xml:space="preserve"> line extension cost. </w:t>
      </w:r>
    </w:p>
  </w:footnote>
  <w:footnote w:id="67">
    <w:p w14:paraId="0B313527" w14:textId="6688697C" w:rsidR="004F2D6A" w:rsidRDefault="004F2D6A">
      <w:pPr>
        <w:pStyle w:val="FootnoteText"/>
      </w:pPr>
      <w:r>
        <w:rPr>
          <w:rStyle w:val="FootnoteReference"/>
        </w:rPr>
        <w:footnoteRef/>
      </w:r>
      <w:r>
        <w:t xml:space="preserve"> </w:t>
      </w:r>
      <w:r w:rsidR="006F6E74">
        <w:t xml:space="preserve">Opening Comments of Joint Parties and TURN on </w:t>
      </w:r>
      <w:r w:rsidR="009278DF">
        <w:t>Phase</w:t>
      </w:r>
      <w:r w:rsidR="00513B3F">
        <w:t> </w:t>
      </w:r>
      <w:r w:rsidR="009278DF">
        <w:t>I</w:t>
      </w:r>
      <w:r w:rsidR="006F6E74">
        <w:t>II Staff Proposal at</w:t>
      </w:r>
      <w:r w:rsidR="00513B3F">
        <w:t> </w:t>
      </w:r>
      <w:r w:rsidR="006F6E74">
        <w:t xml:space="preserve">6. </w:t>
      </w:r>
    </w:p>
  </w:footnote>
  <w:footnote w:id="68">
    <w:p w14:paraId="471CB47E" w14:textId="2E5F13B3" w:rsidR="00250CBE" w:rsidRDefault="00250CBE" w:rsidP="00250CBE">
      <w:pPr>
        <w:pStyle w:val="FootnoteText"/>
      </w:pPr>
      <w:r>
        <w:rPr>
          <w:rStyle w:val="FootnoteReference"/>
        </w:rPr>
        <w:footnoteRef/>
      </w:r>
      <w:r>
        <w:t xml:space="preserve"> Opening Comments of Joint Parties and TURN on </w:t>
      </w:r>
      <w:r w:rsidR="009278DF">
        <w:t>Phase</w:t>
      </w:r>
      <w:r w:rsidR="00513B3F">
        <w:t> </w:t>
      </w:r>
      <w:r w:rsidR="009278DF">
        <w:t>I</w:t>
      </w:r>
      <w:r>
        <w:t>II Staff Proposal at</w:t>
      </w:r>
      <w:r w:rsidR="00513B3F">
        <w:t> </w:t>
      </w:r>
      <w:r>
        <w:t>2.</w:t>
      </w:r>
    </w:p>
  </w:footnote>
  <w:footnote w:id="69">
    <w:p w14:paraId="4CCC66E7" w14:textId="4138F271" w:rsidR="00A93353" w:rsidRDefault="00A93353" w:rsidP="00A93353">
      <w:pPr>
        <w:pStyle w:val="FootnoteText"/>
      </w:pPr>
      <w:r>
        <w:rPr>
          <w:rStyle w:val="FootnoteReference"/>
        </w:rPr>
        <w:footnoteRef/>
      </w:r>
      <w:r>
        <w:t xml:space="preserve"> </w:t>
      </w:r>
      <w:r w:rsidR="00545068">
        <w:t>Staff Proposal</w:t>
      </w:r>
      <w:r>
        <w:t xml:space="preserve"> from ruling of November</w:t>
      </w:r>
      <w:r w:rsidR="00513B3F">
        <w:t> </w:t>
      </w:r>
      <w:r>
        <w:t>16,</w:t>
      </w:r>
      <w:r w:rsidR="00513B3F">
        <w:t> </w:t>
      </w:r>
      <w:r>
        <w:t>2021</w:t>
      </w:r>
      <w:r w:rsidR="00CF5A76">
        <w:t xml:space="preserve"> at </w:t>
      </w:r>
      <w:r>
        <w:t>33</w:t>
      </w:r>
      <w:r w:rsidR="00932EEA">
        <w:t xml:space="preserve"> (</w:t>
      </w:r>
      <w:r w:rsidR="00695BF6">
        <w:rPr>
          <w:i/>
          <w:iCs/>
        </w:rPr>
        <w:t>s</w:t>
      </w:r>
      <w:r w:rsidR="00932EEA" w:rsidRPr="008A48B2">
        <w:rPr>
          <w:i/>
          <w:iCs/>
        </w:rPr>
        <w:t>ee</w:t>
      </w:r>
      <w:r w:rsidR="00932EEA">
        <w:t xml:space="preserve"> </w:t>
      </w:r>
      <w:r w:rsidR="00BC3C77">
        <w:t>Phase</w:t>
      </w:r>
      <w:r w:rsidR="00695BF6">
        <w:t> </w:t>
      </w:r>
      <w:r w:rsidR="00BC3C77">
        <w:t>III Scoping Memo, Appendix</w:t>
      </w:r>
      <w:r w:rsidR="00695BF6">
        <w:t> </w:t>
      </w:r>
      <w:r w:rsidR="00BC3C77">
        <w:t>A)</w:t>
      </w:r>
      <w:r w:rsidR="00695BF6">
        <w:t>.</w:t>
      </w:r>
      <w:r w:rsidR="006969FE">
        <w:t xml:space="preserve"> </w:t>
      </w:r>
      <w:r>
        <w:t>An increase of 0.036</w:t>
      </w:r>
      <w:r w:rsidR="0021555A">
        <w:t> percent</w:t>
      </w:r>
      <w:r>
        <w:t xml:space="preserve"> is an increase of $36 for each $100,000. </w:t>
      </w:r>
    </w:p>
  </w:footnote>
  <w:footnote w:id="70">
    <w:p w14:paraId="135AC43C" w14:textId="0AF6A5A3" w:rsidR="00A25302" w:rsidRDefault="00A25302" w:rsidP="00A25302">
      <w:pPr>
        <w:pStyle w:val="FootnoteText"/>
      </w:pPr>
      <w:r>
        <w:rPr>
          <w:rStyle w:val="FootnoteReference"/>
        </w:rPr>
        <w:footnoteRef/>
      </w:r>
      <w:r>
        <w:t xml:space="preserve"> </w:t>
      </w:r>
      <w:r w:rsidRPr="004C3F4A">
        <w:t>Over the next five years (2022 to 2026) if gas line subsidies continue, the gas IOUs (with partial data for SDG&amp;E) anticipate they will spend approximately $819 million (approximately $164</w:t>
      </w:r>
      <w:r w:rsidR="0066462D">
        <w:t> </w:t>
      </w:r>
      <w:r w:rsidRPr="004C3F4A">
        <w:t>million annually) on gas line subsidies</w:t>
      </w:r>
      <w:r w:rsidR="0066462D">
        <w:t xml:space="preserve"> (</w:t>
      </w:r>
      <w:r w:rsidRPr="003366F3">
        <w:t>April</w:t>
      </w:r>
      <w:r w:rsidR="007D1400">
        <w:t> </w:t>
      </w:r>
      <w:r w:rsidRPr="003366F3">
        <w:t>18,</w:t>
      </w:r>
      <w:r w:rsidR="007D1400">
        <w:t> </w:t>
      </w:r>
      <w:r w:rsidRPr="003366F3">
        <w:t>2022 ALJ</w:t>
      </w:r>
      <w:r w:rsidR="00EE42EC">
        <w:t> </w:t>
      </w:r>
      <w:r w:rsidRPr="003366F3">
        <w:t>Ruling, Attachment</w:t>
      </w:r>
      <w:r w:rsidR="00EE42EC">
        <w:t> </w:t>
      </w:r>
      <w:r w:rsidRPr="003366F3">
        <w:t>5</w:t>
      </w:r>
      <w:r w:rsidR="0066462D">
        <w:t>)</w:t>
      </w:r>
      <w:r>
        <w:t>.</w:t>
      </w:r>
    </w:p>
  </w:footnote>
  <w:footnote w:id="71">
    <w:p w14:paraId="08E1C188" w14:textId="1016AB6B" w:rsidR="009B72CB" w:rsidRDefault="009B72CB" w:rsidP="009B72CB">
      <w:pPr>
        <w:pStyle w:val="FootnoteText"/>
      </w:pPr>
      <w:r>
        <w:rPr>
          <w:rStyle w:val="FootnoteReference"/>
        </w:rPr>
        <w:footnoteRef/>
      </w:r>
      <w:r>
        <w:t xml:space="preserve"> Program details about BUILD are available at</w:t>
      </w:r>
      <w:r w:rsidR="007E5465">
        <w:t xml:space="preserve">: </w:t>
      </w:r>
      <w:r>
        <w:t xml:space="preserve"> </w:t>
      </w:r>
      <w:hyperlink r:id="rId16" w:history="1">
        <w:r w:rsidRPr="00BB3A44">
          <w:rPr>
            <w:rStyle w:val="Hyperlink"/>
          </w:rPr>
          <w:t>https://www.energy.ca.gov/programs</w:t>
        </w:r>
        <w:r w:rsidR="00DC37CE">
          <w:rPr>
            <w:rStyle w:val="Hyperlink"/>
          </w:rPr>
          <w:t>-</w:t>
        </w:r>
        <w:r w:rsidRPr="00BB3A44">
          <w:rPr>
            <w:rStyle w:val="Hyperlink"/>
          </w:rPr>
          <w:t>and</w:t>
        </w:r>
        <w:r w:rsidR="00DC37CE">
          <w:rPr>
            <w:rStyle w:val="Hyperlink"/>
          </w:rPr>
          <w:t>-</w:t>
        </w:r>
        <w:r w:rsidRPr="00BB3A44">
          <w:rPr>
            <w:rStyle w:val="Hyperlink"/>
          </w:rPr>
          <w:t>topics/programs/building</w:t>
        </w:r>
        <w:r w:rsidR="00DC37CE">
          <w:rPr>
            <w:rStyle w:val="Hyperlink"/>
          </w:rPr>
          <w:t>-</w:t>
        </w:r>
        <w:r w:rsidRPr="00BB3A44">
          <w:rPr>
            <w:rStyle w:val="Hyperlink"/>
          </w:rPr>
          <w:t>initiative</w:t>
        </w:r>
        <w:r w:rsidR="00DC37CE">
          <w:rPr>
            <w:rStyle w:val="Hyperlink"/>
          </w:rPr>
          <w:t>-</w:t>
        </w:r>
        <w:r w:rsidRPr="00BB3A44">
          <w:rPr>
            <w:rStyle w:val="Hyperlink"/>
          </w:rPr>
          <w:t>low</w:t>
        </w:r>
        <w:r w:rsidR="00DC37CE">
          <w:rPr>
            <w:rStyle w:val="Hyperlink"/>
          </w:rPr>
          <w:t>-</w:t>
        </w:r>
        <w:r w:rsidRPr="00BB3A44">
          <w:rPr>
            <w:rStyle w:val="Hyperlink"/>
          </w:rPr>
          <w:t>emissions</w:t>
        </w:r>
        <w:r w:rsidR="00DC37CE">
          <w:rPr>
            <w:rStyle w:val="Hyperlink"/>
          </w:rPr>
          <w:t>-</w:t>
        </w:r>
        <w:r w:rsidRPr="00BB3A44">
          <w:rPr>
            <w:rStyle w:val="Hyperlink"/>
          </w:rPr>
          <w:t>development</w:t>
        </w:r>
        <w:r w:rsidR="00DC37CE">
          <w:rPr>
            <w:rStyle w:val="Hyperlink"/>
          </w:rPr>
          <w:t>-</w:t>
        </w:r>
        <w:r w:rsidRPr="00BB3A44">
          <w:rPr>
            <w:rStyle w:val="Hyperlink"/>
          </w:rPr>
          <w:t>program</w:t>
        </w:r>
      </w:hyperlink>
      <w:r>
        <w:t>. Program details about the California Smart Energy Homes program are available at</w:t>
      </w:r>
      <w:r w:rsidR="007E5465">
        <w:t xml:space="preserve">: </w:t>
      </w:r>
      <w:r>
        <w:t xml:space="preserve"> </w:t>
      </w:r>
      <w:hyperlink r:id="rId17" w:history="1">
        <w:r w:rsidR="00264132">
          <w:rPr>
            <w:rStyle w:val="Hyperlink"/>
          </w:rPr>
          <w:t>https://www.caenergysmarthomes.com</w:t>
        </w:r>
      </w:hyperlink>
      <w:r>
        <w:t xml:space="preserve">. </w:t>
      </w:r>
    </w:p>
  </w:footnote>
  <w:footnote w:id="72">
    <w:p w14:paraId="57CA3002" w14:textId="2A9D8118" w:rsidR="009B72CB" w:rsidRDefault="009B72CB" w:rsidP="009B72CB">
      <w:pPr>
        <w:pStyle w:val="FootnoteText"/>
      </w:pPr>
      <w:r>
        <w:rPr>
          <w:rStyle w:val="FootnoteReference"/>
        </w:rPr>
        <w:footnoteRef/>
      </w:r>
      <w:r>
        <w:t xml:space="preserve"> Opening </w:t>
      </w:r>
      <w:r w:rsidR="003B15E9">
        <w:t>C</w:t>
      </w:r>
      <w:r>
        <w:t>omments of CEJA, EDF, NRDC, Sierra Club, and TURN</w:t>
      </w:r>
      <w:r w:rsidR="003B15E9">
        <w:t xml:space="preserve"> at </w:t>
      </w:r>
      <w:r>
        <w:t>7</w:t>
      </w:r>
    </w:p>
  </w:footnote>
  <w:footnote w:id="73">
    <w:p w14:paraId="4BD10F37" w14:textId="00CCD95B" w:rsidR="00312625" w:rsidRDefault="00312625" w:rsidP="00312625">
      <w:pPr>
        <w:pStyle w:val="FootnoteText"/>
      </w:pPr>
      <w:r>
        <w:rPr>
          <w:rStyle w:val="FootnoteReference"/>
        </w:rPr>
        <w:footnoteRef/>
      </w:r>
      <w:r>
        <w:t xml:space="preserve"> </w:t>
      </w:r>
      <w:r w:rsidRPr="00DA594D">
        <w:t>C</w:t>
      </w:r>
      <w:r>
        <w:t xml:space="preserve">omments of the CCUE on </w:t>
      </w:r>
      <w:r w:rsidR="009278DF">
        <w:t>Phase</w:t>
      </w:r>
      <w:r w:rsidR="00513B3F">
        <w:t> </w:t>
      </w:r>
      <w:r w:rsidR="009278DF">
        <w:t>I</w:t>
      </w:r>
      <w:r w:rsidRPr="00DA594D">
        <w:t xml:space="preserve">II </w:t>
      </w:r>
      <w:r>
        <w:t>Staff Proposal</w:t>
      </w:r>
      <w:r w:rsidR="00FF674A">
        <w:t xml:space="preserve"> at</w:t>
      </w:r>
      <w:r w:rsidR="00513B3F">
        <w:t> </w:t>
      </w:r>
      <w:r>
        <w:t>5.</w:t>
      </w:r>
    </w:p>
  </w:footnote>
  <w:footnote w:id="74">
    <w:p w14:paraId="2E417D7C" w14:textId="21C092BA" w:rsidR="00312625" w:rsidRDefault="00312625" w:rsidP="00312625">
      <w:pPr>
        <w:pStyle w:val="FootnoteText"/>
      </w:pPr>
      <w:r>
        <w:rPr>
          <w:rStyle w:val="FootnoteReference"/>
        </w:rPr>
        <w:footnoteRef/>
      </w:r>
      <w:r w:rsidRPr="004051C8">
        <w:t xml:space="preserve"> </w:t>
      </w:r>
      <w:r>
        <w:t xml:space="preserve">Comments </w:t>
      </w:r>
      <w:r w:rsidR="00C458BF">
        <w:t xml:space="preserve">of SCE </w:t>
      </w:r>
      <w:r>
        <w:t xml:space="preserve">on </w:t>
      </w:r>
      <w:r w:rsidR="009278DF">
        <w:t>Phase</w:t>
      </w:r>
      <w:r w:rsidR="00513B3F">
        <w:t> </w:t>
      </w:r>
      <w:r w:rsidR="009278DF">
        <w:t>I</w:t>
      </w:r>
      <w:r>
        <w:t>II Amended Scoping Memo and Ruling of Assigned Commissioner</w:t>
      </w:r>
      <w:r w:rsidR="00FF674A">
        <w:t xml:space="preserve"> at</w:t>
      </w:r>
      <w:r w:rsidR="00513B3F">
        <w:t> </w:t>
      </w:r>
      <w:r>
        <w:t>4.</w:t>
      </w:r>
    </w:p>
  </w:footnote>
  <w:footnote w:id="75">
    <w:p w14:paraId="61BA54D2" w14:textId="068959C7" w:rsidR="00F873E0" w:rsidRPr="002F2174" w:rsidRDefault="00F873E0" w:rsidP="00F873E0">
      <w:pPr>
        <w:pStyle w:val="FootnoteText"/>
        <w:rPr>
          <w:szCs w:val="22"/>
        </w:rPr>
      </w:pPr>
      <w:r w:rsidRPr="002F2174">
        <w:rPr>
          <w:rStyle w:val="FootnoteReference"/>
          <w:szCs w:val="22"/>
        </w:rPr>
        <w:footnoteRef/>
      </w:r>
      <w:r w:rsidRPr="002F2174">
        <w:rPr>
          <w:szCs w:val="22"/>
        </w:rPr>
        <w:t xml:space="preserve"> </w:t>
      </w:r>
      <w:r w:rsidRPr="007B11A0">
        <w:rPr>
          <w:rStyle w:val="markedcontent"/>
          <w:rFonts w:cs="Yu Gothic Light"/>
          <w:szCs w:val="22"/>
        </w:rPr>
        <w:t>OIR to</w:t>
      </w:r>
      <w:r w:rsidRPr="002F2174">
        <w:rPr>
          <w:szCs w:val="22"/>
        </w:rPr>
        <w:t xml:space="preserve"> </w:t>
      </w:r>
      <w:r w:rsidRPr="007B11A0">
        <w:rPr>
          <w:rStyle w:val="markedcontent"/>
          <w:rFonts w:cs="Yu Gothic Light"/>
          <w:szCs w:val="22"/>
        </w:rPr>
        <w:t>Establish Policies, Processes, and</w:t>
      </w:r>
      <w:r>
        <w:rPr>
          <w:szCs w:val="22"/>
        </w:rPr>
        <w:t xml:space="preserve"> </w:t>
      </w:r>
      <w:r w:rsidRPr="007B11A0">
        <w:rPr>
          <w:rStyle w:val="markedcontent"/>
          <w:rFonts w:cs="Yu Gothic Light"/>
          <w:szCs w:val="22"/>
        </w:rPr>
        <w:t>Rules to Ensure Safe and Reliable Gas</w:t>
      </w:r>
      <w:r>
        <w:rPr>
          <w:szCs w:val="22"/>
        </w:rPr>
        <w:t xml:space="preserve"> </w:t>
      </w:r>
      <w:r w:rsidRPr="007B11A0">
        <w:rPr>
          <w:rStyle w:val="markedcontent"/>
          <w:rFonts w:cs="Yu Gothic Light"/>
          <w:szCs w:val="22"/>
        </w:rPr>
        <w:t>Systems in California and perform</w:t>
      </w:r>
      <w:r>
        <w:rPr>
          <w:szCs w:val="22"/>
        </w:rPr>
        <w:t xml:space="preserve"> </w:t>
      </w:r>
      <w:r w:rsidRPr="007B11A0">
        <w:rPr>
          <w:rStyle w:val="markedcontent"/>
          <w:rFonts w:cs="Yu Gothic Light"/>
          <w:szCs w:val="22"/>
        </w:rPr>
        <w:t>Long</w:t>
      </w:r>
      <w:r w:rsidR="00513B3F">
        <w:rPr>
          <w:rStyle w:val="markedcontent"/>
          <w:rFonts w:cs="Yu Gothic Light"/>
          <w:szCs w:val="22"/>
        </w:rPr>
        <w:noBreakHyphen/>
      </w:r>
      <w:r w:rsidRPr="007B11A0">
        <w:rPr>
          <w:rStyle w:val="markedcontent"/>
          <w:rFonts w:cs="Yu Gothic Light"/>
          <w:szCs w:val="22"/>
        </w:rPr>
        <w:t xml:space="preserve">Term Gas System Planning, </w:t>
      </w:r>
      <w:r w:rsidR="000F2D16">
        <w:rPr>
          <w:szCs w:val="22"/>
        </w:rPr>
        <w:t>Section</w:t>
      </w:r>
      <w:r w:rsidR="00513B3F">
        <w:rPr>
          <w:szCs w:val="22"/>
        </w:rPr>
        <w:t> </w:t>
      </w:r>
      <w:r w:rsidRPr="002F2174">
        <w:rPr>
          <w:szCs w:val="22"/>
        </w:rPr>
        <w:t>2.3.2</w:t>
      </w:r>
      <w:r w:rsidR="009A7884">
        <w:rPr>
          <w:szCs w:val="22"/>
        </w:rPr>
        <w:t xml:space="preserve"> at </w:t>
      </w:r>
      <w:r w:rsidRPr="002F2174">
        <w:rPr>
          <w:szCs w:val="22"/>
        </w:rPr>
        <w:t>7</w:t>
      </w:r>
      <w:r>
        <w:rPr>
          <w:szCs w:val="22"/>
        </w:rPr>
        <w:t xml:space="preserve"> </w:t>
      </w:r>
      <w:r w:rsidR="009A7884">
        <w:rPr>
          <w:szCs w:val="22"/>
        </w:rPr>
        <w:t>(</w:t>
      </w:r>
      <w:hyperlink r:id="rId18" w:history="1">
        <w:r w:rsidR="009A7884" w:rsidRPr="00CE35E4">
          <w:rPr>
            <w:rStyle w:val="Hyperlink"/>
            <w:szCs w:val="22"/>
          </w:rPr>
          <w:t>https://docs.cpuc.ca.gov/PublishedDocs/Efile/G000/M415/K275/415275138.PDF</w:t>
        </w:r>
      </w:hyperlink>
      <w:r w:rsidR="009A7884">
        <w:rPr>
          <w:szCs w:val="22"/>
        </w:rPr>
        <w:t>)</w:t>
      </w:r>
      <w:r w:rsidR="00264132">
        <w:rPr>
          <w:szCs w:val="22"/>
        </w:rPr>
        <w:t>.</w:t>
      </w:r>
    </w:p>
  </w:footnote>
  <w:footnote w:id="76">
    <w:p w14:paraId="42EE3CB8" w14:textId="5E45E9C1" w:rsidR="00ED3700" w:rsidRDefault="00ED3700" w:rsidP="00ED3700">
      <w:pPr>
        <w:pStyle w:val="FootnoteText"/>
      </w:pPr>
      <w:r>
        <w:rPr>
          <w:rStyle w:val="FootnoteReference"/>
        </w:rPr>
        <w:footnoteRef/>
      </w:r>
      <w:r>
        <w:t xml:space="preserve"> </w:t>
      </w:r>
      <w:r w:rsidRPr="00DA594D">
        <w:t>C</w:t>
      </w:r>
      <w:r>
        <w:t xml:space="preserve">omments of CCUE on </w:t>
      </w:r>
      <w:r w:rsidR="009278DF">
        <w:t>Phase</w:t>
      </w:r>
      <w:r w:rsidR="00513B3F">
        <w:t> </w:t>
      </w:r>
      <w:r w:rsidR="009278DF">
        <w:t>I</w:t>
      </w:r>
      <w:r w:rsidRPr="00DA594D">
        <w:t>II S</w:t>
      </w:r>
      <w:r>
        <w:t>taff Proposal</w:t>
      </w:r>
      <w:r w:rsidR="00FF674A">
        <w:t xml:space="preserve"> at</w:t>
      </w:r>
      <w:r w:rsidR="00513B3F">
        <w:t> </w:t>
      </w:r>
      <w:r>
        <w:t>3</w:t>
      </w:r>
      <w:r w:rsidR="00513B3F">
        <w:noBreakHyphen/>
      </w:r>
      <w:r>
        <w:t>4</w:t>
      </w:r>
      <w:r w:rsidRPr="00DA594D">
        <w:t>.</w:t>
      </w:r>
    </w:p>
  </w:footnote>
  <w:footnote w:id="77">
    <w:p w14:paraId="24DE74CF" w14:textId="3B256F60" w:rsidR="00C2048E" w:rsidRDefault="00C2048E" w:rsidP="00C2048E">
      <w:pPr>
        <w:pStyle w:val="FootnoteText"/>
      </w:pPr>
      <w:r>
        <w:rPr>
          <w:rStyle w:val="FootnoteReference"/>
        </w:rPr>
        <w:footnoteRef/>
      </w:r>
      <w:r>
        <w:t xml:space="preserve"> </w:t>
      </w:r>
      <w:bookmarkStart w:id="107" w:name="_Hlk109385099"/>
      <w:r w:rsidRPr="00EA6922">
        <w:t>O</w:t>
      </w:r>
      <w:r>
        <w:t xml:space="preserve">pening Comments of the Joint </w:t>
      </w:r>
      <w:r w:rsidR="00213EC1">
        <w:t>IOUs</w:t>
      </w:r>
      <w:r>
        <w:t xml:space="preserve"> on </w:t>
      </w:r>
      <w:r w:rsidR="009278DF">
        <w:t>Phase</w:t>
      </w:r>
      <w:r w:rsidR="00513B3F">
        <w:t> </w:t>
      </w:r>
      <w:r w:rsidR="009278DF">
        <w:t>I</w:t>
      </w:r>
      <w:r>
        <w:t>II Staff Proposal</w:t>
      </w:r>
      <w:r w:rsidR="00FF674A">
        <w:t xml:space="preserve"> at</w:t>
      </w:r>
      <w:r w:rsidR="00513B3F">
        <w:t> </w:t>
      </w:r>
      <w:r>
        <w:t>9</w:t>
      </w:r>
      <w:r w:rsidR="00513B3F">
        <w:noBreakHyphen/>
      </w:r>
      <w:r>
        <w:t>10.</w:t>
      </w:r>
      <w:bookmarkEnd w:id="107"/>
    </w:p>
  </w:footnote>
  <w:footnote w:id="78">
    <w:p w14:paraId="3BE04221" w14:textId="60721200" w:rsidR="00173754" w:rsidRDefault="00173754" w:rsidP="00173754">
      <w:pPr>
        <w:pStyle w:val="FootnoteText"/>
      </w:pPr>
      <w:r>
        <w:rPr>
          <w:rStyle w:val="FootnoteReference"/>
        </w:rPr>
        <w:footnoteRef/>
      </w:r>
      <w:r>
        <w:t xml:space="preserve"> Comments </w:t>
      </w:r>
      <w:r w:rsidR="00D71DBA">
        <w:t xml:space="preserve">of SCE </w:t>
      </w:r>
      <w:r>
        <w:t xml:space="preserve">on </w:t>
      </w:r>
      <w:r w:rsidR="009278DF">
        <w:t>Phase</w:t>
      </w:r>
      <w:r w:rsidR="00513B3F">
        <w:t> </w:t>
      </w:r>
      <w:r w:rsidR="009278DF">
        <w:t>I</w:t>
      </w:r>
      <w:r>
        <w:t>II Amended Scoping Memo and Ruling of Assigned Commissioner</w:t>
      </w:r>
      <w:r w:rsidR="00FF674A">
        <w:t xml:space="preserve"> at</w:t>
      </w:r>
      <w:r w:rsidR="00513B3F">
        <w:t> </w:t>
      </w:r>
      <w:r>
        <w:t>2.</w:t>
      </w:r>
    </w:p>
  </w:footnote>
  <w:footnote w:id="79">
    <w:p w14:paraId="6CDB3E34" w14:textId="1CD7547C" w:rsidR="00EC73C9" w:rsidRDefault="00EC73C9" w:rsidP="00504D32">
      <w:pPr>
        <w:pStyle w:val="FootnoteText"/>
      </w:pPr>
      <w:r>
        <w:rPr>
          <w:rStyle w:val="FootnoteReference"/>
        </w:rPr>
        <w:footnoteRef/>
      </w:r>
      <w:r>
        <w:t xml:space="preserve"> Opening </w:t>
      </w:r>
      <w:r w:rsidR="001272C1">
        <w:t>C</w:t>
      </w:r>
      <w:r>
        <w:t xml:space="preserve">omments </w:t>
      </w:r>
      <w:r w:rsidR="004E4BAD">
        <w:t xml:space="preserve">of SCE </w:t>
      </w:r>
      <w:r w:rsidR="00EC5CFF">
        <w:t xml:space="preserve">on </w:t>
      </w:r>
      <w:r w:rsidR="009278DF">
        <w:t>Phase</w:t>
      </w:r>
      <w:r w:rsidR="00513B3F">
        <w:t> </w:t>
      </w:r>
      <w:r w:rsidR="009278DF">
        <w:t>I</w:t>
      </w:r>
      <w:r w:rsidR="00EC5CFF">
        <w:t>II Amended Scoping Memo and Ruling of Assigned Co</w:t>
      </w:r>
      <w:r w:rsidR="00120B1D">
        <w:t>m</w:t>
      </w:r>
      <w:r w:rsidR="00EC5CFF">
        <w:t>missioner</w:t>
      </w:r>
      <w:r w:rsidR="00FF674A">
        <w:t xml:space="preserve"> at</w:t>
      </w:r>
      <w:r w:rsidR="00513B3F">
        <w:t> </w:t>
      </w:r>
      <w:r>
        <w:t>14.</w:t>
      </w:r>
    </w:p>
  </w:footnote>
  <w:footnote w:id="80">
    <w:p w14:paraId="4A4C6E35" w14:textId="37ED0330" w:rsidR="007D55E2" w:rsidRDefault="007D55E2" w:rsidP="007D55E2">
      <w:pPr>
        <w:pStyle w:val="FootnoteText"/>
      </w:pPr>
      <w:r>
        <w:rPr>
          <w:rStyle w:val="FootnoteReference"/>
        </w:rPr>
        <w:footnoteRef/>
      </w:r>
      <w:r>
        <w:t xml:space="preserve"> Opening </w:t>
      </w:r>
      <w:r w:rsidR="001272C1">
        <w:t>C</w:t>
      </w:r>
      <w:r>
        <w:t xml:space="preserve">omments of </w:t>
      </w:r>
      <w:r w:rsidR="00EB6198">
        <w:t>Cal </w:t>
      </w:r>
      <w:r>
        <w:t xml:space="preserve">Advocates </w:t>
      </w:r>
      <w:r w:rsidR="00EB6198">
        <w:t>at </w:t>
      </w:r>
      <w:r>
        <w:t xml:space="preserve">3. </w:t>
      </w:r>
    </w:p>
  </w:footnote>
  <w:footnote w:id="81">
    <w:p w14:paraId="712CB8D9" w14:textId="434C8F37" w:rsidR="007D55E2" w:rsidRDefault="007D55E2" w:rsidP="007D55E2">
      <w:pPr>
        <w:pStyle w:val="FootnoteText"/>
      </w:pPr>
      <w:r>
        <w:rPr>
          <w:rStyle w:val="FootnoteReference"/>
        </w:rPr>
        <w:footnoteRef/>
      </w:r>
      <w:r>
        <w:t xml:space="preserve"> </w:t>
      </w:r>
      <w:r w:rsidR="00571F85">
        <w:t>CEC</w:t>
      </w:r>
      <w:r>
        <w:t xml:space="preserve">, </w:t>
      </w:r>
      <w:r w:rsidRPr="007B11A0">
        <w:rPr>
          <w:rStyle w:val="markedcontent"/>
          <w:rFonts w:cs="Yu Gothic Light"/>
          <w:szCs w:val="22"/>
        </w:rPr>
        <w:t>Final 2021 Integrated</w:t>
      </w:r>
      <w:r>
        <w:rPr>
          <w:szCs w:val="22"/>
        </w:rPr>
        <w:t xml:space="preserve"> </w:t>
      </w:r>
      <w:r w:rsidRPr="007B11A0">
        <w:rPr>
          <w:rStyle w:val="markedcontent"/>
          <w:rFonts w:cs="Yu Gothic Light"/>
          <w:szCs w:val="22"/>
        </w:rPr>
        <w:t>Energy Policy Report</w:t>
      </w:r>
      <w:r>
        <w:rPr>
          <w:rStyle w:val="markedcontent"/>
          <w:rFonts w:cs="Yu Gothic Light"/>
          <w:szCs w:val="22"/>
        </w:rPr>
        <w:t xml:space="preserve"> </w:t>
      </w:r>
      <w:r w:rsidR="00535038">
        <w:rPr>
          <w:rStyle w:val="markedcontent"/>
          <w:rFonts w:cs="Yu Gothic Light"/>
          <w:szCs w:val="22"/>
        </w:rPr>
        <w:t xml:space="preserve">at </w:t>
      </w:r>
      <w:r w:rsidRPr="007B11A0">
        <w:rPr>
          <w:rStyle w:val="markedcontent"/>
          <w:rFonts w:cs="Yu Gothic Light"/>
          <w:szCs w:val="22"/>
        </w:rPr>
        <w:t>182</w:t>
      </w:r>
      <w:r w:rsidR="00535038">
        <w:rPr>
          <w:rStyle w:val="markedcontent"/>
          <w:rFonts w:cs="Yu Gothic Light"/>
          <w:szCs w:val="22"/>
        </w:rPr>
        <w:t xml:space="preserve"> (</w:t>
      </w:r>
      <w:hyperlink r:id="rId19" w:history="1">
        <w:r w:rsidR="00535038" w:rsidRPr="00CE35E4">
          <w:rPr>
            <w:rStyle w:val="Hyperlink"/>
            <w:rFonts w:cs="Yu Gothic Light"/>
            <w:szCs w:val="22"/>
          </w:rPr>
          <w:t>https://efiling.energy.ca.gov/GetDocument.aspx?tn=241599</w:t>
        </w:r>
      </w:hyperlink>
      <w:r w:rsidR="00535038">
        <w:rPr>
          <w:rStyle w:val="markedcontent"/>
          <w:rFonts w:cs="Yu Gothic Light"/>
          <w:szCs w:val="22"/>
        </w:rPr>
        <w:t xml:space="preserve">). </w:t>
      </w:r>
    </w:p>
  </w:footnote>
  <w:footnote w:id="82">
    <w:p w14:paraId="5BBC559D" w14:textId="1F50FE96" w:rsidR="007D55E2" w:rsidRDefault="007D55E2" w:rsidP="007D55E2">
      <w:pPr>
        <w:pStyle w:val="FootnoteText"/>
      </w:pPr>
      <w:r>
        <w:rPr>
          <w:rStyle w:val="FootnoteReference"/>
        </w:rPr>
        <w:footnoteRef/>
      </w:r>
      <w:r>
        <w:t xml:space="preserve"> </w:t>
      </w:r>
      <w:r w:rsidR="00571F85">
        <w:t>CARB</w:t>
      </w:r>
      <w:r>
        <w:t xml:space="preserve">, Draft 2022 Scoping Plan, </w:t>
      </w:r>
      <w:r w:rsidR="00FF674A">
        <w:t>Appendix </w:t>
      </w:r>
      <w:r>
        <w:t>F</w:t>
      </w:r>
      <w:r w:rsidR="0006002B">
        <w:t xml:space="preserve"> (</w:t>
      </w:r>
      <w:hyperlink r:id="rId20" w:history="1">
        <w:r w:rsidR="0006002B" w:rsidRPr="00CE35E4">
          <w:rPr>
            <w:rStyle w:val="Hyperlink"/>
          </w:rPr>
          <w:t>https://ww2.arb.ca.gov/sites/default/files/2022</w:t>
        </w:r>
        <w:r w:rsidR="00DC37CE">
          <w:rPr>
            <w:rStyle w:val="Hyperlink"/>
          </w:rPr>
          <w:t>-</w:t>
        </w:r>
        <w:r w:rsidR="0006002B" w:rsidRPr="00CE35E4">
          <w:rPr>
            <w:rStyle w:val="Hyperlink"/>
          </w:rPr>
          <w:t>05/2022</w:t>
        </w:r>
        <w:r w:rsidR="00DC37CE">
          <w:rPr>
            <w:rStyle w:val="Hyperlink"/>
          </w:rPr>
          <w:t>-</w:t>
        </w:r>
        <w:r w:rsidR="0006002B" w:rsidRPr="00CE35E4">
          <w:rPr>
            <w:rStyle w:val="Hyperlink"/>
          </w:rPr>
          <w:t>draft</w:t>
        </w:r>
        <w:r w:rsidR="00DC37CE">
          <w:rPr>
            <w:rStyle w:val="Hyperlink"/>
          </w:rPr>
          <w:t>-</w:t>
        </w:r>
        <w:r w:rsidR="0006002B" w:rsidRPr="00CE35E4">
          <w:rPr>
            <w:rStyle w:val="Hyperlink"/>
          </w:rPr>
          <w:t>sp</w:t>
        </w:r>
        <w:r w:rsidR="00DC37CE">
          <w:rPr>
            <w:rStyle w:val="Hyperlink"/>
          </w:rPr>
          <w:t>-</w:t>
        </w:r>
        <w:r w:rsidR="0006002B" w:rsidRPr="00CE35E4">
          <w:rPr>
            <w:rStyle w:val="Hyperlink"/>
          </w:rPr>
          <w:t>appendix</w:t>
        </w:r>
        <w:r w:rsidR="00DC37CE">
          <w:rPr>
            <w:rStyle w:val="Hyperlink"/>
          </w:rPr>
          <w:t>-</w:t>
        </w:r>
        <w:r w:rsidR="0006002B" w:rsidRPr="00CE35E4">
          <w:rPr>
            <w:rStyle w:val="Hyperlink"/>
          </w:rPr>
          <w:t>f</w:t>
        </w:r>
        <w:r w:rsidR="00DC37CE">
          <w:rPr>
            <w:rStyle w:val="Hyperlink"/>
          </w:rPr>
          <w:t>-</w:t>
        </w:r>
        <w:r w:rsidR="0006002B" w:rsidRPr="00CE35E4">
          <w:rPr>
            <w:rStyle w:val="Hyperlink"/>
          </w:rPr>
          <w:t>building</w:t>
        </w:r>
        <w:r w:rsidR="00DC37CE">
          <w:rPr>
            <w:rStyle w:val="Hyperlink"/>
          </w:rPr>
          <w:t>-</w:t>
        </w:r>
        <w:r w:rsidR="0006002B" w:rsidRPr="00CE35E4">
          <w:rPr>
            <w:rStyle w:val="Hyperlink"/>
          </w:rPr>
          <w:t>decarbonization.pdf</w:t>
        </w:r>
      </w:hyperlink>
      <w:r w:rsidR="0006002B">
        <w:t xml:space="preserve">). </w:t>
      </w:r>
    </w:p>
  </w:footnote>
  <w:footnote w:id="83">
    <w:p w14:paraId="6DD0F544" w14:textId="0D1FB38C" w:rsidR="008C64D1" w:rsidRDefault="008C64D1" w:rsidP="008C64D1">
      <w:pPr>
        <w:pStyle w:val="FootnoteText"/>
      </w:pPr>
      <w:r>
        <w:rPr>
          <w:rStyle w:val="FootnoteReference"/>
        </w:rPr>
        <w:footnoteRef/>
      </w:r>
      <w:r w:rsidR="00ED4650">
        <w:t xml:space="preserve"> </w:t>
      </w:r>
      <w:r w:rsidR="00A61C60">
        <w:t>CARB</w:t>
      </w:r>
      <w:r>
        <w:t>,</w:t>
      </w:r>
      <w:r w:rsidR="00ED4650">
        <w:t xml:space="preserve"> </w:t>
      </w:r>
      <w:r>
        <w:t>Draft</w:t>
      </w:r>
      <w:r w:rsidR="00ED4650">
        <w:t xml:space="preserve"> </w:t>
      </w:r>
      <w:r>
        <w:t>2022</w:t>
      </w:r>
      <w:r w:rsidR="00ED4650">
        <w:t xml:space="preserve"> </w:t>
      </w:r>
      <w:r>
        <w:t>Scoping</w:t>
      </w:r>
      <w:r w:rsidR="00ED4650">
        <w:t xml:space="preserve"> </w:t>
      </w:r>
      <w:r>
        <w:t>Plan,</w:t>
      </w:r>
      <w:r w:rsidR="00ED4650">
        <w:t xml:space="preserve"> </w:t>
      </w:r>
      <w:r>
        <w:t>Appendix</w:t>
      </w:r>
      <w:r w:rsidR="003F784B">
        <w:t> </w:t>
      </w:r>
      <w:r>
        <w:t>F</w:t>
      </w:r>
      <w:r w:rsidR="00ED4650">
        <w:t xml:space="preserve"> </w:t>
      </w:r>
      <w:r w:rsidR="00A61C60">
        <w:t>(</w:t>
      </w:r>
      <w:hyperlink r:id="rId21" w:history="1">
        <w:r w:rsidR="00A61C60" w:rsidRPr="00E002F2">
          <w:rPr>
            <w:rStyle w:val="Hyperlink"/>
          </w:rPr>
          <w:t>https://ww2.arb.ca.gov/sites/default/files/2022-05/2022-draft-sp-appendix-f-building-decarbonization.pdf</w:t>
        </w:r>
      </w:hyperlink>
      <w:r w:rsidR="00A61C60">
        <w:t>).</w:t>
      </w:r>
    </w:p>
  </w:footnote>
  <w:footnote w:id="84">
    <w:p w14:paraId="045E1AE8" w14:textId="47890317" w:rsidR="008C64D1" w:rsidRDefault="008C64D1" w:rsidP="008C64D1">
      <w:pPr>
        <w:pStyle w:val="FootnoteText"/>
      </w:pPr>
      <w:r>
        <w:rPr>
          <w:rStyle w:val="FootnoteReference"/>
        </w:rPr>
        <w:footnoteRef/>
      </w:r>
      <w:r>
        <w:t xml:space="preserve"> </w:t>
      </w:r>
      <w:r w:rsidR="00C939B1" w:rsidRPr="008A48B2">
        <w:rPr>
          <w:i/>
          <w:iCs/>
        </w:rPr>
        <w:t>Id.</w:t>
      </w:r>
      <w:r>
        <w:t xml:space="preserve"> at</w:t>
      </w:r>
      <w:r w:rsidR="00A61C60">
        <w:t> </w:t>
      </w:r>
      <w:r>
        <w:t>22-23</w:t>
      </w:r>
      <w:r w:rsidR="00CA14DA">
        <w:t>.</w:t>
      </w:r>
    </w:p>
  </w:footnote>
  <w:footnote w:id="85">
    <w:p w14:paraId="3050FBBF" w14:textId="014385A8" w:rsidR="00FA7A60" w:rsidRDefault="00FA7A60" w:rsidP="00FA7A60">
      <w:pPr>
        <w:pStyle w:val="FootnoteText"/>
      </w:pPr>
      <w:r>
        <w:rPr>
          <w:rStyle w:val="FootnoteReference"/>
        </w:rPr>
        <w:footnoteRef/>
      </w:r>
      <w:r>
        <w:t xml:space="preserve"> </w:t>
      </w:r>
      <w:r w:rsidR="004C5F4B">
        <w:t xml:space="preserve">Opening Comments of </w:t>
      </w:r>
      <w:r w:rsidR="00EF70B2">
        <w:t>SWG</w:t>
      </w:r>
      <w:r>
        <w:t xml:space="preserve"> </w:t>
      </w:r>
      <w:r w:rsidR="004C5F4B">
        <w:t>at </w:t>
      </w:r>
      <w:r>
        <w:t>7.</w:t>
      </w:r>
    </w:p>
  </w:footnote>
  <w:footnote w:id="86">
    <w:p w14:paraId="59D01F6F" w14:textId="166B243F" w:rsidR="00FA7A60" w:rsidRDefault="00FA7A60" w:rsidP="00FA7A60">
      <w:pPr>
        <w:pStyle w:val="FootnoteText"/>
      </w:pPr>
      <w:r>
        <w:rPr>
          <w:rStyle w:val="FootnoteReference"/>
        </w:rPr>
        <w:footnoteRef/>
      </w:r>
      <w:r>
        <w:t xml:space="preserve"> R.20</w:t>
      </w:r>
      <w:r w:rsidR="00513B3F">
        <w:noBreakHyphen/>
      </w:r>
      <w:r>
        <w:t>01</w:t>
      </w:r>
      <w:r w:rsidR="00513B3F">
        <w:noBreakHyphen/>
      </w:r>
      <w:r>
        <w:t xml:space="preserve">007 </w:t>
      </w:r>
      <w:r w:rsidR="004C5F4B">
        <w:t>S</w:t>
      </w:r>
      <w:r>
        <w:t xml:space="preserve">coping </w:t>
      </w:r>
      <w:r w:rsidR="004C5F4B">
        <w:t>R</w:t>
      </w:r>
      <w:r>
        <w:t>uling</w:t>
      </w:r>
      <w:r w:rsidR="004C5F4B">
        <w:t xml:space="preserve"> dated </w:t>
      </w:r>
      <w:r>
        <w:t>January</w:t>
      </w:r>
      <w:r w:rsidR="00513B3F">
        <w:t> </w:t>
      </w:r>
      <w:r>
        <w:t>5,</w:t>
      </w:r>
      <w:r w:rsidR="00513B3F">
        <w:t> </w:t>
      </w:r>
      <w:r>
        <w:t>2022</w:t>
      </w:r>
      <w:r w:rsidR="004C5F4B">
        <w:t xml:space="preserve"> at 2</w:t>
      </w:r>
      <w:r w:rsidR="004C5F4B">
        <w:noBreakHyphen/>
        <w:t>11</w:t>
      </w:r>
      <w:r>
        <w:t xml:space="preserve">. </w:t>
      </w:r>
    </w:p>
  </w:footnote>
  <w:footnote w:id="87">
    <w:p w14:paraId="36B7B829" w14:textId="4EDA3ACC" w:rsidR="00E1256B" w:rsidRDefault="00E1256B" w:rsidP="00E1256B">
      <w:pPr>
        <w:pStyle w:val="FootnoteText"/>
      </w:pPr>
      <w:r>
        <w:rPr>
          <w:rStyle w:val="FootnoteReference"/>
        </w:rPr>
        <w:footnoteRef/>
      </w:r>
      <w:r>
        <w:t xml:space="preserve"> </w:t>
      </w:r>
      <w:r w:rsidRPr="00EA6922">
        <w:t>O</w:t>
      </w:r>
      <w:r>
        <w:t xml:space="preserve">pening Comments of the Joint </w:t>
      </w:r>
      <w:r w:rsidR="00BF590F">
        <w:t>IOUs</w:t>
      </w:r>
      <w:r w:rsidR="00BF590F">
        <w:rPr>
          <w:b/>
          <w:bCs/>
        </w:rPr>
        <w:t xml:space="preserve"> </w:t>
      </w:r>
      <w:r>
        <w:t xml:space="preserve">on </w:t>
      </w:r>
      <w:r w:rsidR="009278DF">
        <w:t>Phase</w:t>
      </w:r>
      <w:r w:rsidR="00513B3F">
        <w:t> </w:t>
      </w:r>
      <w:r w:rsidR="009278DF">
        <w:t>I</w:t>
      </w:r>
      <w:r>
        <w:t>II Staff Proposal</w:t>
      </w:r>
      <w:r w:rsidR="00FF674A">
        <w:t xml:space="preserve"> at</w:t>
      </w:r>
      <w:r w:rsidR="00513B3F">
        <w:t> </w:t>
      </w:r>
      <w:r>
        <w:t>7.</w:t>
      </w:r>
    </w:p>
  </w:footnote>
  <w:footnote w:id="88">
    <w:p w14:paraId="70BEA55D" w14:textId="3A069DC6" w:rsidR="00A50376" w:rsidRDefault="00A50376" w:rsidP="00A50376">
      <w:pPr>
        <w:pStyle w:val="FootnoteText"/>
      </w:pPr>
      <w:r>
        <w:rPr>
          <w:rStyle w:val="FootnoteReference"/>
        </w:rPr>
        <w:footnoteRef/>
      </w:r>
      <w:r>
        <w:t xml:space="preserve"> </w:t>
      </w:r>
      <w:r w:rsidRPr="00EA6922">
        <w:t>O</w:t>
      </w:r>
      <w:r>
        <w:t xml:space="preserve">pening Comments of the Joint </w:t>
      </w:r>
      <w:r w:rsidR="00BF590F">
        <w:t>IOUs</w:t>
      </w:r>
      <w:r>
        <w:t xml:space="preserve"> on </w:t>
      </w:r>
      <w:r w:rsidR="009278DF">
        <w:t>Phase</w:t>
      </w:r>
      <w:r w:rsidR="00513B3F">
        <w:t> </w:t>
      </w:r>
      <w:r w:rsidR="009278DF">
        <w:t>I</w:t>
      </w:r>
      <w:r>
        <w:t>II Staff Proposal</w:t>
      </w:r>
      <w:r w:rsidR="00FF674A">
        <w:t xml:space="preserve"> at</w:t>
      </w:r>
      <w:r w:rsidR="00513B3F">
        <w:t> </w:t>
      </w:r>
      <w:r>
        <w:t>10.</w:t>
      </w:r>
    </w:p>
  </w:footnote>
  <w:footnote w:id="89">
    <w:p w14:paraId="695572EF" w14:textId="5C49FAB0" w:rsidR="00E62C1E" w:rsidRDefault="00E62C1E" w:rsidP="00E62C1E">
      <w:pPr>
        <w:pStyle w:val="FootnoteText"/>
      </w:pPr>
      <w:r>
        <w:rPr>
          <w:rStyle w:val="FootnoteReference"/>
        </w:rPr>
        <w:footnoteRef/>
      </w:r>
      <w:r>
        <w:t xml:space="preserve"> </w:t>
      </w:r>
      <w:r w:rsidRPr="00EA6922">
        <w:t>O</w:t>
      </w:r>
      <w:r>
        <w:t xml:space="preserve">pening Comments of the Joint </w:t>
      </w:r>
      <w:r w:rsidR="00A824EF">
        <w:t>IOUs</w:t>
      </w:r>
      <w:r w:rsidR="00A824EF">
        <w:rPr>
          <w:b/>
          <w:bCs/>
        </w:rPr>
        <w:t xml:space="preserve"> </w:t>
      </w:r>
      <w:r w:rsidR="00445C8F">
        <w:t>on Phase</w:t>
      </w:r>
      <w:r w:rsidR="00513B3F">
        <w:t> </w:t>
      </w:r>
      <w:r w:rsidR="009278DF">
        <w:t>I</w:t>
      </w:r>
      <w:r>
        <w:t>II Staff Proposal</w:t>
      </w:r>
      <w:r w:rsidR="00FF674A">
        <w:t xml:space="preserve"> at</w:t>
      </w:r>
      <w:r w:rsidR="00513B3F">
        <w:t> </w:t>
      </w:r>
      <w:r>
        <w:t>13.</w:t>
      </w:r>
    </w:p>
  </w:footnote>
  <w:footnote w:id="90">
    <w:p w14:paraId="5377A612" w14:textId="6573585C" w:rsidR="00514D5D" w:rsidRDefault="00514D5D" w:rsidP="00514D5D">
      <w:pPr>
        <w:pStyle w:val="FootnoteText"/>
      </w:pPr>
      <w:r>
        <w:rPr>
          <w:rStyle w:val="FootnoteReference"/>
        </w:rPr>
        <w:footnoteRef/>
      </w:r>
      <w:r>
        <w:t xml:space="preserve"> Comments </w:t>
      </w:r>
      <w:r w:rsidR="00AB1D95">
        <w:t xml:space="preserve">of </w:t>
      </w:r>
      <w:r w:rsidR="00AB1D95" w:rsidRPr="00F22A5C">
        <w:t>C</w:t>
      </w:r>
      <w:r w:rsidR="00AB1D95">
        <w:t xml:space="preserve">lean Energy </w:t>
      </w:r>
      <w:r>
        <w:t>on Amended Scoping Memo and Ruling and Staff Proposal</w:t>
      </w:r>
      <w:r w:rsidR="00FF674A">
        <w:t xml:space="preserve"> at</w:t>
      </w:r>
      <w:r w:rsidR="00513B3F">
        <w:t> </w:t>
      </w:r>
      <w:r w:rsidR="00440F09">
        <w:t>2</w:t>
      </w:r>
      <w:r w:rsidR="00513B3F">
        <w:noBreakHyphen/>
      </w:r>
      <w:r w:rsidR="00440F09">
        <w:t>3</w:t>
      </w:r>
      <w:r>
        <w:t>.</w:t>
      </w:r>
    </w:p>
  </w:footnote>
  <w:footnote w:id="91">
    <w:p w14:paraId="3FF932F5" w14:textId="60869F1D" w:rsidR="003A468A" w:rsidRDefault="003A468A" w:rsidP="003A468A">
      <w:pPr>
        <w:pStyle w:val="FootnoteText"/>
      </w:pPr>
      <w:r>
        <w:rPr>
          <w:rStyle w:val="FootnoteReference"/>
        </w:rPr>
        <w:footnoteRef/>
      </w:r>
      <w:r>
        <w:t xml:space="preserve"> Comments </w:t>
      </w:r>
      <w:r w:rsidR="007702D1">
        <w:t xml:space="preserve">of </w:t>
      </w:r>
      <w:r w:rsidR="007702D1" w:rsidRPr="00F22A5C">
        <w:t>C</w:t>
      </w:r>
      <w:r w:rsidR="007702D1">
        <w:t xml:space="preserve">lean Energy </w:t>
      </w:r>
      <w:r>
        <w:t>on Amended Scoping Memo and Ruling and Staff Proposal</w:t>
      </w:r>
      <w:r w:rsidR="00FF674A">
        <w:t xml:space="preserve"> at</w:t>
      </w:r>
      <w:r w:rsidR="00513B3F">
        <w:t> </w:t>
      </w:r>
      <w:r>
        <w:t>11</w:t>
      </w:r>
      <w:r w:rsidR="00513B3F">
        <w:noBreakHyphen/>
      </w:r>
      <w:r>
        <w:t>13.</w:t>
      </w:r>
    </w:p>
  </w:footnote>
  <w:footnote w:id="92">
    <w:p w14:paraId="5B379598" w14:textId="4C776E90" w:rsidR="003A468A" w:rsidRDefault="003A468A" w:rsidP="003A468A">
      <w:pPr>
        <w:pStyle w:val="FootnoteText"/>
      </w:pPr>
      <w:r>
        <w:rPr>
          <w:rStyle w:val="FootnoteReference"/>
        </w:rPr>
        <w:footnoteRef/>
      </w:r>
      <w:r>
        <w:t xml:space="preserve"> </w:t>
      </w:r>
      <w:r w:rsidR="007702D1">
        <w:t xml:space="preserve">Comments of </w:t>
      </w:r>
      <w:r w:rsidR="007702D1" w:rsidRPr="00F22A5C">
        <w:t>C</w:t>
      </w:r>
      <w:r w:rsidR="007702D1">
        <w:t xml:space="preserve">lean Energy </w:t>
      </w:r>
      <w:r>
        <w:t>on Amended Scoping Memo and Ruling and Staff Proposal</w:t>
      </w:r>
      <w:r w:rsidR="00FF674A">
        <w:t xml:space="preserve"> at</w:t>
      </w:r>
      <w:r w:rsidR="00513B3F">
        <w:t> </w:t>
      </w:r>
      <w:r>
        <w:t>6.</w:t>
      </w:r>
    </w:p>
  </w:footnote>
  <w:footnote w:id="93">
    <w:p w14:paraId="456F5BE9" w14:textId="1CD96B59" w:rsidR="003A468A" w:rsidRDefault="003A468A" w:rsidP="003A468A">
      <w:pPr>
        <w:pStyle w:val="FootnoteText"/>
      </w:pPr>
      <w:r>
        <w:rPr>
          <w:rStyle w:val="FootnoteReference"/>
        </w:rPr>
        <w:footnoteRef/>
      </w:r>
      <w:r>
        <w:t xml:space="preserve"> </w:t>
      </w:r>
      <w:r w:rsidRPr="009833AB">
        <w:t xml:space="preserve">Response of Clean Energy to Assigned </w:t>
      </w:r>
      <w:r w:rsidR="0063596C">
        <w:t>ALJs</w:t>
      </w:r>
      <w:r w:rsidRPr="009833AB">
        <w:t>’ Ruling Seeking Clarification and Additional Information</w:t>
      </w:r>
      <w:r w:rsidR="00FF674A">
        <w:t xml:space="preserve"> at</w:t>
      </w:r>
      <w:r w:rsidR="00513B3F">
        <w:t> </w:t>
      </w:r>
      <w:r>
        <w:t>10</w:t>
      </w:r>
      <w:r w:rsidR="00513B3F">
        <w:noBreakHyphen/>
      </w:r>
      <w:r>
        <w:t>15</w:t>
      </w:r>
      <w:r w:rsidRPr="009833AB">
        <w:t>.</w:t>
      </w:r>
    </w:p>
  </w:footnote>
  <w:footnote w:id="94">
    <w:p w14:paraId="1FDC92AD" w14:textId="51F5AFFF" w:rsidR="00A30F68" w:rsidRDefault="00A30F68" w:rsidP="00A30F68">
      <w:pPr>
        <w:pStyle w:val="FootnoteText"/>
      </w:pPr>
      <w:r>
        <w:rPr>
          <w:rStyle w:val="FootnoteReference"/>
        </w:rPr>
        <w:footnoteRef/>
      </w:r>
      <w:r>
        <w:t xml:space="preserve"> Reply Comments </w:t>
      </w:r>
      <w:r w:rsidRPr="004611E4">
        <w:t xml:space="preserve">of Joint Parties </w:t>
      </w:r>
      <w:r>
        <w:t>and TURN</w:t>
      </w:r>
      <w:r w:rsidRPr="00974840">
        <w:t xml:space="preserve"> </w:t>
      </w:r>
      <w:r w:rsidR="00445C8F">
        <w:t>on Phase</w:t>
      </w:r>
      <w:r w:rsidR="00513B3F">
        <w:t> </w:t>
      </w:r>
      <w:r w:rsidR="009278DF">
        <w:t>I</w:t>
      </w:r>
      <w:r w:rsidRPr="004611E4">
        <w:t>II Staff Proposal</w:t>
      </w:r>
      <w:r w:rsidR="00FF674A">
        <w:t xml:space="preserve"> at</w:t>
      </w:r>
      <w:r w:rsidR="00513B3F">
        <w:t> </w:t>
      </w:r>
      <w:r>
        <w:t>10</w:t>
      </w:r>
      <w:r w:rsidR="00513B3F">
        <w:noBreakHyphen/>
      </w:r>
      <w:r>
        <w:t>14.</w:t>
      </w:r>
    </w:p>
  </w:footnote>
  <w:footnote w:id="95">
    <w:p w14:paraId="6BF3B1AA" w14:textId="2C4206D5" w:rsidR="00A30F68" w:rsidRDefault="00A30F68" w:rsidP="00A30F68">
      <w:pPr>
        <w:pStyle w:val="FootnoteText"/>
      </w:pPr>
      <w:r>
        <w:rPr>
          <w:rStyle w:val="FootnoteReference"/>
        </w:rPr>
        <w:footnoteRef/>
      </w:r>
      <w:r>
        <w:t xml:space="preserve"> </w:t>
      </w:r>
      <w:r w:rsidRPr="003977D1">
        <w:t xml:space="preserve">Response of </w:t>
      </w:r>
      <w:r w:rsidR="00AF257E">
        <w:t>CEJA</w:t>
      </w:r>
      <w:r w:rsidRPr="003977D1">
        <w:t xml:space="preserve">, </w:t>
      </w:r>
      <w:r w:rsidR="00AF257E">
        <w:t>EDF</w:t>
      </w:r>
      <w:r w:rsidRPr="003977D1">
        <w:t xml:space="preserve">, </w:t>
      </w:r>
      <w:r w:rsidR="00AF257E">
        <w:t>NRDC</w:t>
      </w:r>
      <w:r w:rsidRPr="003977D1">
        <w:t xml:space="preserve">, and Sierra Club to the Assigned </w:t>
      </w:r>
      <w:r w:rsidR="0063596C">
        <w:t>ALJ</w:t>
      </w:r>
      <w:r w:rsidRPr="003977D1">
        <w:t>s</w:t>
      </w:r>
      <w:r w:rsidR="00663D6A">
        <w:t>’</w:t>
      </w:r>
      <w:r w:rsidRPr="003977D1">
        <w:t xml:space="preserve"> Ruling Seeking Clarifications and Additional Information</w:t>
      </w:r>
      <w:r w:rsidR="00FF674A">
        <w:t xml:space="preserve"> at</w:t>
      </w:r>
      <w:r w:rsidR="00513B3F">
        <w:t> </w:t>
      </w:r>
      <w:r w:rsidRPr="003977D1">
        <w:t>6</w:t>
      </w:r>
      <w:r w:rsidR="00513B3F">
        <w:noBreakHyphen/>
      </w:r>
      <w:r w:rsidRPr="003977D1">
        <w:t>10.</w:t>
      </w:r>
    </w:p>
  </w:footnote>
  <w:footnote w:id="96">
    <w:p w14:paraId="7EF3B726" w14:textId="513A852C" w:rsidR="00A30F68" w:rsidRDefault="00A30F68" w:rsidP="00A30F68">
      <w:pPr>
        <w:pStyle w:val="FootnoteText"/>
      </w:pPr>
      <w:r>
        <w:rPr>
          <w:rStyle w:val="FootnoteReference"/>
        </w:rPr>
        <w:footnoteRef/>
      </w:r>
      <w:r>
        <w:t xml:space="preserve"> Reply Brief of TURN</w:t>
      </w:r>
      <w:r w:rsidR="00FF674A">
        <w:t xml:space="preserve"> at</w:t>
      </w:r>
      <w:r w:rsidR="00513B3F">
        <w:t> </w:t>
      </w:r>
      <w:r>
        <w:t>8.</w:t>
      </w:r>
    </w:p>
  </w:footnote>
  <w:footnote w:id="97">
    <w:p w14:paraId="2C35C6E3" w14:textId="0935ABD1" w:rsidR="00CE1D5A" w:rsidRDefault="00CE1D5A" w:rsidP="00CE1D5A">
      <w:pPr>
        <w:pStyle w:val="FootnoteText"/>
      </w:pPr>
      <w:r>
        <w:rPr>
          <w:rStyle w:val="FootnoteReference"/>
        </w:rPr>
        <w:footnoteRef/>
      </w:r>
      <w:r>
        <w:t xml:space="preserve"> </w:t>
      </w:r>
      <w:r w:rsidRPr="00DC23E5">
        <w:t>O</w:t>
      </w:r>
      <w:r>
        <w:t xml:space="preserve">pening </w:t>
      </w:r>
      <w:r w:rsidRPr="00534BEF">
        <w:t>Brief</w:t>
      </w:r>
      <w:r w:rsidR="00FF674A">
        <w:t xml:space="preserve"> </w:t>
      </w:r>
      <w:r w:rsidR="0027329F">
        <w:t xml:space="preserve">of </w:t>
      </w:r>
      <w:r w:rsidR="00567C99">
        <w:t xml:space="preserve">SBUA </w:t>
      </w:r>
      <w:r w:rsidR="00FF674A">
        <w:t>at</w:t>
      </w:r>
      <w:r w:rsidR="00513B3F">
        <w:t> </w:t>
      </w:r>
      <w:r>
        <w:t>8</w:t>
      </w:r>
      <w:r w:rsidR="00513B3F">
        <w:noBreakHyphen/>
      </w:r>
      <w:r>
        <w:t>9.</w:t>
      </w:r>
    </w:p>
  </w:footnote>
  <w:footnote w:id="98">
    <w:p w14:paraId="0DF58FFF" w14:textId="3D170F12" w:rsidR="00694ACC" w:rsidRDefault="00694ACC">
      <w:pPr>
        <w:pStyle w:val="FootnoteText"/>
      </w:pPr>
      <w:r>
        <w:rPr>
          <w:rStyle w:val="FootnoteReference"/>
        </w:rPr>
        <w:footnoteRef/>
      </w:r>
      <w:r>
        <w:t xml:space="preserve"> </w:t>
      </w:r>
      <w:r w:rsidR="00521E2C">
        <w:t xml:space="preserve">Reply </w:t>
      </w:r>
      <w:r w:rsidR="00521E2C" w:rsidRPr="00534BEF">
        <w:t>Brief</w:t>
      </w:r>
      <w:r w:rsidR="00521E2C">
        <w:t xml:space="preserve"> of </w:t>
      </w:r>
      <w:r w:rsidR="00567C99">
        <w:t>SBUA</w:t>
      </w:r>
      <w:r w:rsidRPr="00DC23E5">
        <w:t xml:space="preserve"> </w:t>
      </w:r>
      <w:r w:rsidR="00FF674A">
        <w:t>at</w:t>
      </w:r>
      <w:r w:rsidR="00513B3F">
        <w:t> </w:t>
      </w:r>
      <w:r>
        <w:t>2</w:t>
      </w:r>
      <w:r w:rsidR="00350E2B">
        <w:t xml:space="preserve"> and </w:t>
      </w:r>
      <w:hyperlink r:id="rId22" w:history="1">
        <w:r w:rsidR="00373233" w:rsidRPr="00CE35E4">
          <w:rPr>
            <w:rStyle w:val="Hyperlink"/>
          </w:rPr>
          <w:t>https://ww2.arb.ca.gov/ghg</w:t>
        </w:r>
        <w:r w:rsidR="00DC37CE">
          <w:rPr>
            <w:rStyle w:val="Hyperlink"/>
          </w:rPr>
          <w:t>-</w:t>
        </w:r>
        <w:r w:rsidR="00373233" w:rsidRPr="00CE35E4">
          <w:rPr>
            <w:rStyle w:val="Hyperlink"/>
          </w:rPr>
          <w:t>inventory</w:t>
        </w:r>
        <w:r w:rsidR="00DC37CE">
          <w:rPr>
            <w:rStyle w:val="Hyperlink"/>
          </w:rPr>
          <w:t>-</w:t>
        </w:r>
        <w:r w:rsidR="00373233" w:rsidRPr="00CE35E4">
          <w:rPr>
            <w:rStyle w:val="Hyperlink"/>
          </w:rPr>
          <w:t>data</w:t>
        </w:r>
      </w:hyperlink>
      <w:r w:rsidR="00521E2C">
        <w:t>.</w:t>
      </w:r>
      <w:r w:rsidR="00373233">
        <w:t xml:space="preserve"> </w:t>
      </w:r>
    </w:p>
  </w:footnote>
  <w:footnote w:id="99">
    <w:p w14:paraId="405880B1" w14:textId="3DD0CAD8" w:rsidR="00BD4C85" w:rsidRDefault="00BD4C85">
      <w:pPr>
        <w:pStyle w:val="FootnoteText"/>
      </w:pPr>
      <w:r>
        <w:rPr>
          <w:rStyle w:val="FootnoteReference"/>
        </w:rPr>
        <w:footnoteRef/>
      </w:r>
      <w:r>
        <w:t xml:space="preserve"> </w:t>
      </w:r>
      <w:r w:rsidR="00561892">
        <w:t>January</w:t>
      </w:r>
      <w:r w:rsidR="00513B3F">
        <w:t> </w:t>
      </w:r>
      <w:r w:rsidR="00561892">
        <w:t>28,</w:t>
      </w:r>
      <w:r w:rsidR="00513B3F">
        <w:t> </w:t>
      </w:r>
      <w:r w:rsidR="00561892">
        <w:t xml:space="preserve">2022 </w:t>
      </w:r>
      <w:r w:rsidR="00AB073D">
        <w:t>ALJ</w:t>
      </w:r>
      <w:r w:rsidR="00513B3F">
        <w:t> </w:t>
      </w:r>
      <w:r w:rsidR="00D02EE0">
        <w:t>R</w:t>
      </w:r>
      <w:r>
        <w:t>uling</w:t>
      </w:r>
      <w:r w:rsidR="00D02EE0">
        <w:t xml:space="preserve"> </w:t>
      </w:r>
      <w:r w:rsidR="00561892">
        <w:t>Seeking</w:t>
      </w:r>
      <w:r w:rsidR="00D02EE0">
        <w:t xml:space="preserve"> Clarification </w:t>
      </w:r>
      <w:r w:rsidR="00561892">
        <w:t xml:space="preserve">and Additional Information, </w:t>
      </w:r>
      <w:r w:rsidR="00F641DF">
        <w:t>Attachment</w:t>
      </w:r>
      <w:r w:rsidR="00513B3F">
        <w:t> </w:t>
      </w:r>
      <w:r w:rsidR="00D02EE0">
        <w:t>1</w:t>
      </w:r>
      <w:r w:rsidR="00FF674A">
        <w:t xml:space="preserve"> at</w:t>
      </w:r>
      <w:r w:rsidR="00513B3F">
        <w:t> </w:t>
      </w:r>
      <w:r w:rsidR="00D02EE0">
        <w:t>3.</w:t>
      </w:r>
    </w:p>
  </w:footnote>
  <w:footnote w:id="100">
    <w:p w14:paraId="22F93193" w14:textId="5072755B" w:rsidR="00F8457E" w:rsidRDefault="00F8457E" w:rsidP="00F8457E">
      <w:pPr>
        <w:pStyle w:val="FootnoteText"/>
      </w:pPr>
      <w:r>
        <w:rPr>
          <w:rStyle w:val="FootnoteReference"/>
        </w:rPr>
        <w:footnoteRef/>
      </w:r>
      <w:r>
        <w:t xml:space="preserve"> PG&amp;E</w:t>
      </w:r>
      <w:r w:rsidR="004438CD">
        <w:t>’s</w:t>
      </w:r>
      <w:r>
        <w:t xml:space="preserve"> Response to Assigned </w:t>
      </w:r>
      <w:r w:rsidR="0063596C">
        <w:t>ALJ</w:t>
      </w:r>
      <w:r>
        <w:t>’s Ruling Seeking Clarification and Additional Information</w:t>
      </w:r>
      <w:r w:rsidR="00FF674A">
        <w:t xml:space="preserve"> at</w:t>
      </w:r>
      <w:r w:rsidR="00513B3F">
        <w:t> </w:t>
      </w:r>
      <w:r>
        <w:t>6</w:t>
      </w:r>
      <w:r w:rsidR="00513B3F">
        <w:noBreakHyphen/>
      </w:r>
      <w:r>
        <w:t>7.</w:t>
      </w:r>
    </w:p>
  </w:footnote>
  <w:footnote w:id="101">
    <w:p w14:paraId="02EC67CA" w14:textId="16F87254" w:rsidR="00467250" w:rsidRDefault="00467250">
      <w:pPr>
        <w:pStyle w:val="FootnoteText"/>
      </w:pPr>
      <w:r>
        <w:rPr>
          <w:rStyle w:val="FootnoteReference"/>
        </w:rPr>
        <w:footnoteRef/>
      </w:r>
      <w:r>
        <w:t xml:space="preserve"> </w:t>
      </w:r>
      <w:r w:rsidR="006E19EB">
        <w:t xml:space="preserve">Reply Comments of </w:t>
      </w:r>
      <w:r w:rsidRPr="00F22A5C">
        <w:t>C</w:t>
      </w:r>
      <w:r>
        <w:t xml:space="preserve">lean Energy on Amended Scoping Memo and Ruling and </w:t>
      </w:r>
      <w:r w:rsidRPr="00337174">
        <w:t>Staff</w:t>
      </w:r>
      <w:r w:rsidR="00406A80" w:rsidRPr="00337174">
        <w:t> </w:t>
      </w:r>
      <w:r w:rsidRPr="00337174">
        <w:t>P</w:t>
      </w:r>
      <w:r>
        <w:t>roposal</w:t>
      </w:r>
      <w:r w:rsidR="00FF674A">
        <w:t xml:space="preserve"> at</w:t>
      </w:r>
      <w:r w:rsidR="00513B3F">
        <w:t> </w:t>
      </w:r>
      <w:r>
        <w:t>4.</w:t>
      </w:r>
    </w:p>
  </w:footnote>
  <w:footnote w:id="102">
    <w:p w14:paraId="5E9890B1" w14:textId="7F28DC38" w:rsidR="001761C5" w:rsidRDefault="001761C5">
      <w:pPr>
        <w:pStyle w:val="FootnoteText"/>
      </w:pPr>
      <w:r>
        <w:rPr>
          <w:rStyle w:val="FootnoteReference"/>
        </w:rPr>
        <w:footnoteRef/>
      </w:r>
      <w:r w:rsidR="001A391A">
        <w:t xml:space="preserve"> </w:t>
      </w:r>
      <w:r w:rsidR="00F443AB">
        <w:t xml:space="preserve">Opening </w:t>
      </w:r>
      <w:r w:rsidR="00FF674A">
        <w:t>B</w:t>
      </w:r>
      <w:r w:rsidR="00F443AB">
        <w:t>rief</w:t>
      </w:r>
      <w:r w:rsidR="0027329F">
        <w:t xml:space="preserve"> of TURN</w:t>
      </w:r>
      <w:r w:rsidR="00FF674A">
        <w:t xml:space="preserve"> at</w:t>
      </w:r>
      <w:r w:rsidR="00513B3F">
        <w:t> </w:t>
      </w:r>
      <w:r w:rsidR="001A391A">
        <w:t>8</w:t>
      </w:r>
      <w:r w:rsidR="00964175">
        <w:t>.</w:t>
      </w:r>
    </w:p>
  </w:footnote>
  <w:footnote w:id="103">
    <w:p w14:paraId="59C66406" w14:textId="5D955710" w:rsidR="00A17152" w:rsidRDefault="00A17152" w:rsidP="00A17152">
      <w:pPr>
        <w:pStyle w:val="FootnoteText"/>
      </w:pPr>
      <w:r>
        <w:rPr>
          <w:rStyle w:val="FootnoteReference"/>
        </w:rPr>
        <w:footnoteRef/>
      </w:r>
      <w:r>
        <w:t xml:space="preserve"> </w:t>
      </w:r>
      <w:r w:rsidR="0027329F">
        <w:t xml:space="preserve">Opening Brief of </w:t>
      </w:r>
      <w:r>
        <w:t xml:space="preserve">Clean Energy </w:t>
      </w:r>
      <w:r w:rsidR="00FF674A">
        <w:t>at</w:t>
      </w:r>
      <w:r w:rsidR="00513B3F">
        <w:t> </w:t>
      </w:r>
      <w:r>
        <w:t>24.</w:t>
      </w:r>
    </w:p>
  </w:footnote>
  <w:footnote w:id="104">
    <w:p w14:paraId="07BF6AA0" w14:textId="3A2C432F" w:rsidR="00225EC5" w:rsidRDefault="00225EC5">
      <w:pPr>
        <w:pStyle w:val="FootnoteText"/>
      </w:pPr>
      <w:r>
        <w:rPr>
          <w:rStyle w:val="FootnoteReference"/>
        </w:rPr>
        <w:footnoteRef/>
      </w:r>
      <w:r>
        <w:t xml:space="preserve"> </w:t>
      </w:r>
      <w:r w:rsidR="00FD7A2E" w:rsidRPr="0000671D">
        <w:rPr>
          <w:i/>
          <w:iCs/>
        </w:rPr>
        <w:t>Id</w:t>
      </w:r>
      <w:r w:rsidR="00FE1260" w:rsidRPr="0000671D">
        <w:rPr>
          <w:i/>
          <w:iCs/>
        </w:rPr>
        <w:t>.</w:t>
      </w:r>
      <w:r w:rsidR="00FF674A">
        <w:rPr>
          <w:i/>
        </w:rPr>
        <w:t xml:space="preserve"> at</w:t>
      </w:r>
      <w:r w:rsidR="00513B3F">
        <w:t> </w:t>
      </w:r>
      <w:r>
        <w:t>30.</w:t>
      </w:r>
    </w:p>
  </w:footnote>
  <w:footnote w:id="105">
    <w:p w14:paraId="4E8B2644" w14:textId="6F1C6324" w:rsidR="00A42951" w:rsidRDefault="00A42951">
      <w:pPr>
        <w:pStyle w:val="FootnoteText"/>
      </w:pPr>
      <w:r>
        <w:rPr>
          <w:rStyle w:val="FootnoteReference"/>
        </w:rPr>
        <w:footnoteRef/>
      </w:r>
      <w:r>
        <w:t xml:space="preserve"> </w:t>
      </w:r>
      <w:r w:rsidR="007F5021">
        <w:t>April</w:t>
      </w:r>
      <w:r w:rsidR="00513B3F">
        <w:t> </w:t>
      </w:r>
      <w:r w:rsidR="007F5021">
        <w:t>18,</w:t>
      </w:r>
      <w:r w:rsidR="00513B3F">
        <w:t> </w:t>
      </w:r>
      <w:r w:rsidR="007F5021">
        <w:t>2022 ALJ</w:t>
      </w:r>
      <w:r w:rsidR="00513B3F">
        <w:t> </w:t>
      </w:r>
      <w:r w:rsidR="007F5021">
        <w:t>Ruling</w:t>
      </w:r>
      <w:r w:rsidR="006E3D08">
        <w:t xml:space="preserve">, </w:t>
      </w:r>
      <w:r w:rsidR="00F641DF">
        <w:t>Attachment</w:t>
      </w:r>
      <w:r w:rsidR="00513B3F">
        <w:t> </w:t>
      </w:r>
      <w:r w:rsidR="006E3D08">
        <w:t>5.</w:t>
      </w:r>
    </w:p>
  </w:footnote>
  <w:footnote w:id="106">
    <w:p w14:paraId="5EB116A8" w14:textId="5E9F9BB3" w:rsidR="00904A5C" w:rsidRDefault="00904A5C">
      <w:pPr>
        <w:pStyle w:val="FootnoteText"/>
      </w:pPr>
      <w:r>
        <w:rPr>
          <w:rStyle w:val="FootnoteReference"/>
        </w:rPr>
        <w:footnoteRef/>
      </w:r>
      <w:r>
        <w:t xml:space="preserve"> </w:t>
      </w:r>
      <w:r w:rsidR="004C7E49">
        <w:t xml:space="preserve">Assuming </w:t>
      </w:r>
      <w:r w:rsidR="00AB05D0">
        <w:t xml:space="preserve">the full amount </w:t>
      </w:r>
      <w:r w:rsidR="004C7E49">
        <w:t>is refundable as defined under the gas rules.</w:t>
      </w:r>
    </w:p>
  </w:footnote>
  <w:footnote w:id="107">
    <w:p w14:paraId="2EA063E5" w14:textId="7DD5C85C" w:rsidR="00A77CCC" w:rsidRDefault="00A77CCC">
      <w:pPr>
        <w:pStyle w:val="FootnoteText"/>
      </w:pPr>
      <w:r>
        <w:rPr>
          <w:rStyle w:val="FootnoteReference"/>
        </w:rPr>
        <w:footnoteRef/>
      </w:r>
      <w:r>
        <w:t xml:space="preserve"> D.22</w:t>
      </w:r>
      <w:r w:rsidR="00513B3F">
        <w:noBreakHyphen/>
      </w:r>
      <w:r w:rsidR="00CF1B64">
        <w:t>02</w:t>
      </w:r>
      <w:r w:rsidR="00513B3F">
        <w:noBreakHyphen/>
      </w:r>
      <w:r w:rsidR="00CF1B64">
        <w:t>025, O</w:t>
      </w:r>
      <w:r w:rsidR="00BA64E6">
        <w:t xml:space="preserve">rdering </w:t>
      </w:r>
      <w:r w:rsidR="00CF1B64">
        <w:t>P</w:t>
      </w:r>
      <w:r w:rsidR="00BA64E6">
        <w:t>aragraph </w:t>
      </w:r>
      <w:r w:rsidR="00386845">
        <w:t>43</w:t>
      </w:r>
      <w:r w:rsidR="00D70670">
        <w:t>.</w:t>
      </w:r>
    </w:p>
  </w:footnote>
  <w:footnote w:id="108">
    <w:p w14:paraId="70A6723E" w14:textId="3FE543C2" w:rsidR="00B53380" w:rsidRDefault="00B53380">
      <w:pPr>
        <w:pStyle w:val="FootnoteText"/>
      </w:pPr>
      <w:r>
        <w:rPr>
          <w:rStyle w:val="FootnoteReference"/>
        </w:rPr>
        <w:footnoteRef/>
      </w:r>
      <w:r>
        <w:t xml:space="preserve"> Opening Brief</w:t>
      </w:r>
      <w:r w:rsidR="00FF674A">
        <w:t xml:space="preserve"> </w:t>
      </w:r>
      <w:r w:rsidR="0027329F">
        <w:t xml:space="preserve">of Clean Energy </w:t>
      </w:r>
      <w:r w:rsidR="00FF674A">
        <w:t>at</w:t>
      </w:r>
      <w:r w:rsidR="00513B3F">
        <w:t> </w:t>
      </w:r>
      <w:r w:rsidR="00691DDA">
        <w:t>28.</w:t>
      </w:r>
    </w:p>
  </w:footnote>
  <w:footnote w:id="109">
    <w:p w14:paraId="21C5A063" w14:textId="3D22D733" w:rsidR="0043362D" w:rsidRDefault="0043362D" w:rsidP="0043362D">
      <w:pPr>
        <w:pStyle w:val="FootnoteText"/>
      </w:pPr>
      <w:r>
        <w:rPr>
          <w:rStyle w:val="FootnoteReference"/>
        </w:rPr>
        <w:footnoteRef/>
      </w:r>
      <w:r>
        <w:t xml:space="preserve"> </w:t>
      </w:r>
      <w:r w:rsidR="008C65C2">
        <w:t>Further, e</w:t>
      </w:r>
      <w:r w:rsidR="008C65C2" w:rsidRPr="00B2569D">
        <w:t>ven though electrification is our preferred option</w:t>
      </w:r>
      <w:r w:rsidR="00720430">
        <w:t>,</w:t>
      </w:r>
      <w:r w:rsidR="008C65C2" w:rsidRPr="00122C63">
        <w:t xml:space="preserve"> </w:t>
      </w:r>
      <w:r w:rsidR="00720430">
        <w:t>w</w:t>
      </w:r>
      <w:r w:rsidR="00720430" w:rsidRPr="00122C63">
        <w:t xml:space="preserve">e </w:t>
      </w:r>
      <w:r w:rsidRPr="00122C63">
        <w:t>recognize that for now, RNG plays an important role in reducing GHG emissions. This decision is not in</w:t>
      </w:r>
      <w:r w:rsidR="007C379D">
        <w:t>tended</w:t>
      </w:r>
      <w:r w:rsidR="00B65747">
        <w:t xml:space="preserve"> to</w:t>
      </w:r>
      <w:r w:rsidRPr="00122C63">
        <w:t xml:space="preserve"> conflict with that policy, </w:t>
      </w:r>
      <w:r>
        <w:t xml:space="preserve">as </w:t>
      </w:r>
      <w:r w:rsidRPr="00122C63">
        <w:t>outlined in D.22-02-025</w:t>
      </w:r>
      <w:r>
        <w:t>.</w:t>
      </w:r>
    </w:p>
  </w:footnote>
  <w:footnote w:id="110">
    <w:p w14:paraId="15739FDB" w14:textId="31B4C64A" w:rsidR="00D91446" w:rsidRDefault="00D91446">
      <w:pPr>
        <w:pStyle w:val="FootnoteText"/>
      </w:pPr>
      <w:r>
        <w:rPr>
          <w:rStyle w:val="FootnoteReference"/>
        </w:rPr>
        <w:footnoteRef/>
      </w:r>
      <w:r>
        <w:t xml:space="preserve"> </w:t>
      </w:r>
      <w:r w:rsidRPr="007E0867">
        <w:t>D.22</w:t>
      </w:r>
      <w:r w:rsidR="00513B3F">
        <w:noBreakHyphen/>
      </w:r>
      <w:r w:rsidRPr="007E0867">
        <w:t>03</w:t>
      </w:r>
      <w:r w:rsidR="00513B3F">
        <w:noBreakHyphen/>
      </w:r>
      <w:r w:rsidRPr="007E0867">
        <w:t>006</w:t>
      </w:r>
      <w:r>
        <w:t xml:space="preserve">, </w:t>
      </w:r>
      <w:r w:rsidRPr="003E4B40">
        <w:t>D.19</w:t>
      </w:r>
      <w:r w:rsidR="00513B3F">
        <w:noBreakHyphen/>
      </w:r>
      <w:r w:rsidRPr="003E4B40">
        <w:t>09</w:t>
      </w:r>
      <w:r w:rsidR="00513B3F">
        <w:noBreakHyphen/>
      </w:r>
      <w:r w:rsidRPr="003E4B40">
        <w:t>05</w:t>
      </w:r>
      <w:r>
        <w:t>1</w:t>
      </w:r>
      <w:r w:rsidRPr="003E4B40">
        <w:t xml:space="preserve">, </w:t>
      </w:r>
      <w:r w:rsidRPr="006F1D6F">
        <w:t>D.22</w:t>
      </w:r>
      <w:r w:rsidR="00513B3F">
        <w:noBreakHyphen/>
      </w:r>
      <w:r w:rsidRPr="006F1D6F">
        <w:t>02</w:t>
      </w:r>
      <w:r w:rsidR="00513B3F">
        <w:noBreakHyphen/>
      </w:r>
      <w:r w:rsidRPr="006F1D6F">
        <w:t>025</w:t>
      </w:r>
      <w:r>
        <w:t xml:space="preserve">, and Rejection of </w:t>
      </w:r>
      <w:r w:rsidRPr="0033192B">
        <w:rPr>
          <w:bCs/>
        </w:rPr>
        <w:t>SoCalGas’s AL</w:t>
      </w:r>
      <w:r w:rsidR="00513B3F">
        <w:rPr>
          <w:bCs/>
        </w:rPr>
        <w:t> </w:t>
      </w:r>
      <w:r w:rsidRPr="0033192B">
        <w:rPr>
          <w:bCs/>
        </w:rPr>
        <w:t>5590</w:t>
      </w:r>
      <w:r>
        <w:rPr>
          <w:bCs/>
        </w:rPr>
        <w:t>.</w:t>
      </w:r>
    </w:p>
  </w:footnote>
  <w:footnote w:id="111">
    <w:p w14:paraId="7EADD899" w14:textId="6D657B67" w:rsidR="00854FF8" w:rsidRDefault="00854FF8">
      <w:pPr>
        <w:pStyle w:val="FootnoteText"/>
      </w:pPr>
      <w:r>
        <w:rPr>
          <w:rStyle w:val="FootnoteReference"/>
        </w:rPr>
        <w:footnoteRef/>
      </w:r>
      <w:r>
        <w:t xml:space="preserve"> </w:t>
      </w:r>
      <w:r w:rsidRPr="00606677">
        <w:t>CARB</w:t>
      </w:r>
      <w:r w:rsidRPr="00854FF8">
        <w:t xml:space="preserve"> Tech</w:t>
      </w:r>
      <w:r w:rsidR="005A0B6C">
        <w:t>nical</w:t>
      </w:r>
      <w:r w:rsidRPr="00854FF8">
        <w:t xml:space="preserve"> Analysis of End of Useful Life Scenarios</w:t>
      </w:r>
      <w:r w:rsidR="00FF674A">
        <w:t xml:space="preserve"> at</w:t>
      </w:r>
      <w:r w:rsidR="00513B3F">
        <w:t> </w:t>
      </w:r>
      <w:r w:rsidRPr="00854FF8">
        <w:t>2</w:t>
      </w:r>
      <w:r w:rsidR="00606677">
        <w:t xml:space="preserve"> </w:t>
      </w:r>
      <w:r w:rsidR="003A1F4E" w:rsidRPr="00FD489B">
        <w:t>(</w:t>
      </w:r>
      <w:hyperlink r:id="rId23" w:history="1">
        <w:r w:rsidR="003A1F4E" w:rsidRPr="003A1F4E">
          <w:rPr>
            <w:rStyle w:val="Hyperlink"/>
          </w:rPr>
          <w:t>https://ww2.arb.ca.gov/resources/documents/technical</w:t>
        </w:r>
        <w:r w:rsidR="00DC37CE">
          <w:rPr>
            <w:rStyle w:val="Hyperlink"/>
          </w:rPr>
          <w:t>-</w:t>
        </w:r>
        <w:r w:rsidR="003A1F4E" w:rsidRPr="003A1F4E">
          <w:rPr>
            <w:rStyle w:val="Hyperlink"/>
          </w:rPr>
          <w:t>analysis</w:t>
        </w:r>
        <w:r w:rsidR="00DC37CE">
          <w:rPr>
            <w:rStyle w:val="Hyperlink"/>
          </w:rPr>
          <w:t>-</w:t>
        </w:r>
        <w:r w:rsidR="003A1F4E" w:rsidRPr="003A1F4E">
          <w:rPr>
            <w:rStyle w:val="Hyperlink"/>
          </w:rPr>
          <w:t>end</w:t>
        </w:r>
        <w:r w:rsidR="00DC37CE">
          <w:rPr>
            <w:rStyle w:val="Hyperlink"/>
          </w:rPr>
          <w:t>-</w:t>
        </w:r>
        <w:r w:rsidR="003A1F4E" w:rsidRPr="003A1F4E">
          <w:rPr>
            <w:rStyle w:val="Hyperlink"/>
          </w:rPr>
          <w:t>useful</w:t>
        </w:r>
        <w:r w:rsidR="00DC37CE">
          <w:rPr>
            <w:rStyle w:val="Hyperlink"/>
          </w:rPr>
          <w:t>-</w:t>
        </w:r>
        <w:r w:rsidR="003A1F4E" w:rsidRPr="003A1F4E">
          <w:rPr>
            <w:rStyle w:val="Hyperlink"/>
          </w:rPr>
          <w:t>life</w:t>
        </w:r>
        <w:r w:rsidR="00DC37CE">
          <w:rPr>
            <w:rStyle w:val="Hyperlink"/>
          </w:rPr>
          <w:t>-</w:t>
        </w:r>
        <w:r w:rsidR="003A1F4E" w:rsidRPr="003A1F4E">
          <w:rPr>
            <w:rStyle w:val="Hyperlink"/>
          </w:rPr>
          <w:t>scenarios</w:t>
        </w:r>
        <w:r w:rsidR="00DC37CE">
          <w:rPr>
            <w:rStyle w:val="Hyperlink"/>
          </w:rPr>
          <w:t>-</w:t>
        </w:r>
        <w:r w:rsidR="003A1F4E" w:rsidRPr="003A1F4E">
          <w:rPr>
            <w:rStyle w:val="Hyperlink"/>
          </w:rPr>
          <w:t>statewide</w:t>
        </w:r>
      </w:hyperlink>
      <w:r w:rsidR="003A1F4E">
        <w:t>)</w:t>
      </w:r>
      <w:r w:rsidR="00C76850">
        <w:t xml:space="preserve">. </w:t>
      </w:r>
    </w:p>
  </w:footnote>
  <w:footnote w:id="112">
    <w:p w14:paraId="2B421C9E" w14:textId="15D5716D" w:rsidR="00C97089" w:rsidRDefault="00C97089">
      <w:pPr>
        <w:pStyle w:val="FootnoteText"/>
      </w:pPr>
      <w:r>
        <w:rPr>
          <w:rStyle w:val="FootnoteReference"/>
        </w:rPr>
        <w:footnoteRef/>
      </w:r>
      <w:r>
        <w:t xml:space="preserve"> </w:t>
      </w:r>
      <w:r w:rsidR="00E10107">
        <w:t>Each IOU must determine that each applicant</w:t>
      </w:r>
      <w:r w:rsidR="000F5C8E">
        <w:t>’s project meets the criteria</w:t>
      </w:r>
      <w:r w:rsidR="007D3F04">
        <w:t xml:space="preserve"> based on the information provided by the applicants</w:t>
      </w:r>
      <w:r w:rsidR="000F5C8E">
        <w:t>.</w:t>
      </w:r>
      <w:r w:rsidR="00705194">
        <w:t xml:space="preserve"> </w:t>
      </w:r>
      <w:r w:rsidR="000F5C8E">
        <w:t>In addition, each IOU</w:t>
      </w:r>
      <w:r w:rsidR="00B8168A">
        <w:t>’s application</w:t>
      </w:r>
      <w:r w:rsidR="000F5C8E">
        <w:t xml:space="preserve"> may include prepared proposed testimony from the applicant in support of the application.</w:t>
      </w:r>
      <w:r w:rsidR="00705194">
        <w:t xml:space="preserve"> </w:t>
      </w:r>
    </w:p>
  </w:footnote>
  <w:footnote w:id="113">
    <w:p w14:paraId="138612D1" w14:textId="24B4FC42" w:rsidR="00557DD3" w:rsidRDefault="00557DD3" w:rsidP="00557DD3">
      <w:pPr>
        <w:pStyle w:val="FootnoteText"/>
      </w:pPr>
      <w:r>
        <w:rPr>
          <w:rStyle w:val="FootnoteReference"/>
        </w:rPr>
        <w:footnoteRef/>
      </w:r>
      <w:r>
        <w:t xml:space="preserve"> Reply Brief of TURN</w:t>
      </w:r>
      <w:r w:rsidR="00FF674A">
        <w:t xml:space="preserve"> at</w:t>
      </w:r>
      <w:r w:rsidR="00513B3F">
        <w:t> </w:t>
      </w:r>
      <w:r>
        <w:t>8.</w:t>
      </w:r>
    </w:p>
  </w:footnote>
  <w:footnote w:id="114">
    <w:p w14:paraId="25125EFD" w14:textId="219E62E1" w:rsidR="0012671D" w:rsidRDefault="0012671D" w:rsidP="0012671D">
      <w:pPr>
        <w:pStyle w:val="FootnoteText"/>
      </w:pPr>
      <w:r>
        <w:rPr>
          <w:rStyle w:val="FootnoteReference"/>
        </w:rPr>
        <w:footnoteRef/>
      </w:r>
      <w:r w:rsidR="00ED4650">
        <w:t xml:space="preserve"> </w:t>
      </w:r>
      <w:r w:rsidRPr="00856F3C">
        <w:rPr>
          <w:i/>
          <w:iCs/>
        </w:rPr>
        <w:t>See</w:t>
      </w:r>
      <w:r w:rsidR="00ED4650">
        <w:t xml:space="preserve"> </w:t>
      </w:r>
      <w:hyperlink r:id="rId24" w:history="1">
        <w:r w:rsidR="00856F3C" w:rsidRPr="00CE35E4">
          <w:rPr>
            <w:rStyle w:val="Hyperlink"/>
          </w:rPr>
          <w:t>https://leginfo.legislature.ca.gov/faces/codes_displaySection.xhtml?sectionNum=783&amp;lawCode=PUC</w:t>
        </w:r>
      </w:hyperlink>
      <w:r w:rsidRPr="00C54EAF">
        <w:t xml:space="preserve">. </w:t>
      </w:r>
    </w:p>
  </w:footnote>
  <w:footnote w:id="115">
    <w:p w14:paraId="6D29A267" w14:textId="5576C7E1" w:rsidR="00DF6F6C" w:rsidRDefault="00DF6F6C">
      <w:pPr>
        <w:pStyle w:val="FootnoteText"/>
      </w:pPr>
      <w:r>
        <w:rPr>
          <w:rStyle w:val="FootnoteReference"/>
        </w:rPr>
        <w:footnoteRef/>
      </w:r>
      <w:r w:rsidR="00ED4650">
        <w:t xml:space="preserve"> </w:t>
      </w:r>
      <w:r w:rsidRPr="00856F3C">
        <w:rPr>
          <w:i/>
          <w:iCs/>
        </w:rPr>
        <w:t>See</w:t>
      </w:r>
      <w:r w:rsidR="00ED4650">
        <w:t xml:space="preserve"> </w:t>
      </w:r>
      <w:hyperlink r:id="rId25" w:history="1">
        <w:r w:rsidR="00856F3C" w:rsidRPr="00CE35E4">
          <w:rPr>
            <w:rStyle w:val="Hyperlink"/>
          </w:rPr>
          <w:t>https://leginfo.legislature.ca.gov/faces/codes_displaySection.xhtml?sectionNum=783&amp;lawCode=PUC</w:t>
        </w:r>
      </w:hyperlink>
      <w:r w:rsidRPr="00C54EAF">
        <w:t>.</w:t>
      </w:r>
    </w:p>
  </w:footnote>
  <w:footnote w:id="116">
    <w:p w14:paraId="0BCC5D78" w14:textId="12270498" w:rsidR="0012671D" w:rsidRDefault="0012671D" w:rsidP="0012671D">
      <w:pPr>
        <w:pStyle w:val="FootnoteText"/>
      </w:pPr>
      <w:r>
        <w:rPr>
          <w:rStyle w:val="FootnoteReference"/>
        </w:rPr>
        <w:footnoteRef/>
      </w:r>
      <w:r w:rsidR="00ED4650">
        <w:t xml:space="preserve"> </w:t>
      </w:r>
      <w:r w:rsidRPr="00C0624D">
        <w:rPr>
          <w:i/>
          <w:iCs/>
        </w:rPr>
        <w:t>See</w:t>
      </w:r>
      <w:r w:rsidR="00ED4650">
        <w:t xml:space="preserve"> </w:t>
      </w:r>
      <w:hyperlink r:id="rId26" w:history="1">
        <w:r w:rsidR="00C0624D" w:rsidRPr="00CE35E4">
          <w:rPr>
            <w:rStyle w:val="Hyperlink"/>
          </w:rPr>
          <w:t>https://leginfo.legislature.ca.gov/faces/codes_displaySection.xhtml?sectionNum=783&amp;lawCode=PUC</w:t>
        </w:r>
      </w:hyperlink>
      <w:r w:rsidRPr="00C54EAF">
        <w:t xml:space="preserve">. </w:t>
      </w:r>
    </w:p>
  </w:footnote>
  <w:footnote w:id="117">
    <w:p w14:paraId="3BF4CCB5" w14:textId="44DCBE6C" w:rsidR="0063271B" w:rsidRDefault="0063271B">
      <w:pPr>
        <w:pStyle w:val="FootnoteText"/>
      </w:pPr>
      <w:r>
        <w:rPr>
          <w:rStyle w:val="FootnoteReference"/>
        </w:rPr>
        <w:footnoteRef/>
      </w:r>
      <w:r>
        <w:t xml:space="preserve"> </w:t>
      </w:r>
      <w:r w:rsidR="009278DF">
        <w:t>Phase</w:t>
      </w:r>
      <w:r w:rsidR="00513B3F">
        <w:t> </w:t>
      </w:r>
      <w:r w:rsidR="009278DF">
        <w:t>I</w:t>
      </w:r>
      <w:r w:rsidRPr="00103FE5">
        <w:t xml:space="preserve">II Scoping Memo, </w:t>
      </w:r>
      <w:r w:rsidR="00FF674A">
        <w:t>Appendix</w:t>
      </w:r>
      <w:r w:rsidR="00513B3F">
        <w:t> </w:t>
      </w:r>
      <w:r w:rsidR="00FF674A">
        <w:t>A at</w:t>
      </w:r>
      <w:r w:rsidR="00513B3F">
        <w:t> </w:t>
      </w:r>
      <w:r>
        <w:t>33</w:t>
      </w:r>
      <w:r w:rsidR="00513B3F">
        <w:noBreakHyphen/>
      </w:r>
      <w:r>
        <w:t>36, 38</w:t>
      </w:r>
      <w:r w:rsidR="00513B3F">
        <w:noBreakHyphen/>
      </w:r>
      <w:r>
        <w:t xml:space="preserve">40, </w:t>
      </w:r>
      <w:r w:rsidR="0083138F">
        <w:t xml:space="preserve">and </w:t>
      </w:r>
      <w:r>
        <w:t>42</w:t>
      </w:r>
      <w:r w:rsidR="00513B3F">
        <w:noBreakHyphen/>
      </w:r>
      <w:r>
        <w:t>45.</w:t>
      </w:r>
    </w:p>
  </w:footnote>
  <w:footnote w:id="118">
    <w:p w14:paraId="72A0D12D" w14:textId="11A58544" w:rsidR="00735BB0" w:rsidRDefault="00735BB0" w:rsidP="00735BB0">
      <w:pPr>
        <w:pStyle w:val="FootnoteText"/>
      </w:pPr>
      <w:r>
        <w:rPr>
          <w:rStyle w:val="FootnoteReference"/>
        </w:rPr>
        <w:footnoteRef/>
      </w:r>
      <w:r>
        <w:t xml:space="preserve"> </w:t>
      </w:r>
      <w:r w:rsidR="009278DF">
        <w:t>Phase</w:t>
      </w:r>
      <w:r w:rsidR="00513B3F">
        <w:t> </w:t>
      </w:r>
      <w:r w:rsidR="009278DF">
        <w:t>I</w:t>
      </w:r>
      <w:r w:rsidRPr="00103FE5">
        <w:t xml:space="preserve">II Scoping Memo, </w:t>
      </w:r>
      <w:r w:rsidR="00FF674A">
        <w:t>Appendix</w:t>
      </w:r>
      <w:r w:rsidR="00513B3F">
        <w:t> </w:t>
      </w:r>
      <w:r w:rsidR="00FF674A">
        <w:t>A at</w:t>
      </w:r>
      <w:r w:rsidR="00513B3F">
        <w:t> </w:t>
      </w:r>
      <w:r>
        <w:t>35.</w:t>
      </w:r>
    </w:p>
  </w:footnote>
  <w:footnote w:id="119">
    <w:p w14:paraId="1E85B239" w14:textId="20324518" w:rsidR="00735BB0" w:rsidRDefault="00735BB0" w:rsidP="00735BB0">
      <w:pPr>
        <w:pStyle w:val="FootnoteText"/>
      </w:pPr>
      <w:r>
        <w:rPr>
          <w:rStyle w:val="FootnoteReference"/>
        </w:rPr>
        <w:footnoteRef/>
      </w:r>
      <w:r>
        <w:t xml:space="preserve"> </w:t>
      </w:r>
      <w:r w:rsidR="009278DF">
        <w:t>Phase</w:t>
      </w:r>
      <w:r w:rsidR="00513B3F">
        <w:t> </w:t>
      </w:r>
      <w:r w:rsidR="009278DF">
        <w:t>I</w:t>
      </w:r>
      <w:r w:rsidRPr="00103FE5">
        <w:t xml:space="preserve">II Scoping Memo, </w:t>
      </w:r>
      <w:r w:rsidR="00FF674A">
        <w:t>Appendix</w:t>
      </w:r>
      <w:r w:rsidR="00513B3F">
        <w:t> </w:t>
      </w:r>
      <w:r w:rsidR="00FF674A">
        <w:t>A at</w:t>
      </w:r>
      <w:r w:rsidR="00513B3F">
        <w:t> </w:t>
      </w:r>
      <w:r>
        <w:t>3</w:t>
      </w:r>
      <w:r w:rsidR="00162CF2">
        <w:t>9</w:t>
      </w:r>
      <w:r>
        <w:t>.</w:t>
      </w:r>
    </w:p>
  </w:footnote>
  <w:footnote w:id="120">
    <w:p w14:paraId="0A12E663" w14:textId="3CD90001" w:rsidR="00735BB0" w:rsidRDefault="00735BB0" w:rsidP="00735BB0">
      <w:pPr>
        <w:pStyle w:val="FootnoteText"/>
      </w:pPr>
      <w:r>
        <w:rPr>
          <w:rStyle w:val="FootnoteReference"/>
        </w:rPr>
        <w:footnoteRef/>
      </w:r>
      <w:r>
        <w:t xml:space="preserve"> </w:t>
      </w:r>
      <w:r w:rsidR="009278DF">
        <w:t>Phase</w:t>
      </w:r>
      <w:r w:rsidR="00513B3F">
        <w:t> </w:t>
      </w:r>
      <w:r w:rsidR="009278DF">
        <w:t>I</w:t>
      </w:r>
      <w:r w:rsidRPr="00103FE5">
        <w:t xml:space="preserve">II Scoping Memo, </w:t>
      </w:r>
      <w:r w:rsidR="00FF674A">
        <w:t>Appendix</w:t>
      </w:r>
      <w:r w:rsidR="00513B3F">
        <w:t> </w:t>
      </w:r>
      <w:r w:rsidR="00FF674A">
        <w:t>A at</w:t>
      </w:r>
      <w:r w:rsidR="00513B3F">
        <w:t> </w:t>
      </w:r>
      <w:r>
        <w:t>44.</w:t>
      </w:r>
    </w:p>
  </w:footnote>
  <w:footnote w:id="121">
    <w:p w14:paraId="346D5BB2" w14:textId="5446AB86" w:rsidR="00D1454A" w:rsidRDefault="00D1454A" w:rsidP="00D1454A">
      <w:pPr>
        <w:pStyle w:val="FootnoteText"/>
      </w:pPr>
      <w:r>
        <w:rPr>
          <w:rStyle w:val="FootnoteReference"/>
        </w:rPr>
        <w:footnoteRef/>
      </w:r>
      <w:r>
        <w:t xml:space="preserve"> We note that since the publication of the Staff Proposal, the gas IOUs provided updated projections</w:t>
      </w:r>
      <w:r w:rsidR="00EE6D72">
        <w:t>.</w:t>
      </w:r>
      <w:r>
        <w:t xml:space="preserve"> </w:t>
      </w:r>
      <w:r w:rsidR="003D0BD0" w:rsidRPr="00337174">
        <w:t>(</w:t>
      </w:r>
      <w:r w:rsidR="00EE6D72">
        <w:rPr>
          <w:i/>
          <w:iCs/>
        </w:rPr>
        <w:t>S</w:t>
      </w:r>
      <w:r w:rsidRPr="00F42AEA">
        <w:rPr>
          <w:i/>
          <w:iCs/>
        </w:rPr>
        <w:t>ee</w:t>
      </w:r>
      <w:r>
        <w:t xml:space="preserve"> </w:t>
      </w:r>
      <w:r w:rsidRPr="00765808">
        <w:t>April</w:t>
      </w:r>
      <w:r w:rsidR="00F109D4">
        <w:t> </w:t>
      </w:r>
      <w:r w:rsidRPr="00765808">
        <w:t>18,</w:t>
      </w:r>
      <w:r w:rsidR="00F109D4">
        <w:t> </w:t>
      </w:r>
      <w:r w:rsidRPr="00765808">
        <w:t>2022 ALJ</w:t>
      </w:r>
      <w:r w:rsidR="00F109D4">
        <w:t> </w:t>
      </w:r>
      <w:r w:rsidRPr="00765808">
        <w:t>Ruling, Attachment</w:t>
      </w:r>
      <w:r w:rsidR="00F109D4">
        <w:t> </w:t>
      </w:r>
      <w:r w:rsidRPr="00765808">
        <w:t>5</w:t>
      </w:r>
      <w:r w:rsidRPr="00765808">
        <w:rPr>
          <w:i/>
          <w:iCs/>
        </w:rPr>
        <w:t>.</w:t>
      </w:r>
      <w:r w:rsidR="003D0BD0" w:rsidRPr="00337174">
        <w:t>)</w:t>
      </w:r>
    </w:p>
  </w:footnote>
  <w:footnote w:id="122">
    <w:p w14:paraId="0958825A" w14:textId="5A454482" w:rsidR="002D0A02" w:rsidRDefault="002D0A02" w:rsidP="002D0A02">
      <w:pPr>
        <w:pStyle w:val="FootnoteText"/>
      </w:pPr>
      <w:r>
        <w:rPr>
          <w:rStyle w:val="FootnoteReference"/>
        </w:rPr>
        <w:footnoteRef/>
      </w:r>
      <w:r>
        <w:t xml:space="preserve"> Statute requires the CPUC to </w:t>
      </w:r>
      <w:r w:rsidRPr="00576347">
        <w:t>request the assistance of</w:t>
      </w:r>
      <w:r>
        <w:t xml:space="preserve"> the </w:t>
      </w:r>
      <w:r w:rsidRPr="00576347">
        <w:t>Bureau of Real Estate</w:t>
      </w:r>
      <w:r>
        <w:t>, which has since become DRE.</w:t>
      </w:r>
    </w:p>
  </w:footnote>
  <w:footnote w:id="123">
    <w:p w14:paraId="280D7600" w14:textId="020E2256" w:rsidR="000E7848" w:rsidRDefault="000E7848">
      <w:pPr>
        <w:pStyle w:val="FootnoteText"/>
      </w:pPr>
      <w:r>
        <w:rPr>
          <w:rStyle w:val="FootnoteReference"/>
        </w:rPr>
        <w:footnoteRef/>
      </w:r>
      <w:r>
        <w:t xml:space="preserve"> </w:t>
      </w:r>
      <w:r w:rsidR="009278DF">
        <w:t>Phase</w:t>
      </w:r>
      <w:r w:rsidR="00513B3F">
        <w:t> </w:t>
      </w:r>
      <w:r w:rsidR="009278DF">
        <w:t>I</w:t>
      </w:r>
      <w:r w:rsidRPr="00103FE5">
        <w:t xml:space="preserve">II Scoping Memo, </w:t>
      </w:r>
      <w:r w:rsidR="00FF674A">
        <w:t>Appendix</w:t>
      </w:r>
      <w:r w:rsidR="00513B3F">
        <w:t> </w:t>
      </w:r>
      <w:r w:rsidR="00FF674A">
        <w:t>A at</w:t>
      </w:r>
      <w:r w:rsidR="00513B3F">
        <w:t> </w:t>
      </w:r>
      <w:r>
        <w:t>2.</w:t>
      </w:r>
    </w:p>
  </w:footnote>
  <w:footnote w:id="124">
    <w:p w14:paraId="0B84C1E5" w14:textId="2760F1BF" w:rsidR="00D15021" w:rsidRDefault="00D15021" w:rsidP="00D15021">
      <w:pPr>
        <w:pStyle w:val="FootnoteText"/>
      </w:pPr>
      <w:r>
        <w:rPr>
          <w:rStyle w:val="FootnoteReference"/>
        </w:rPr>
        <w:footnoteRef/>
      </w:r>
      <w:r>
        <w:t xml:space="preserve"> </w:t>
      </w:r>
      <w:r w:rsidRPr="004611E4">
        <w:t xml:space="preserve">Opening Comments of Joint Parties </w:t>
      </w:r>
      <w:r>
        <w:t xml:space="preserve">and TURN </w:t>
      </w:r>
      <w:r w:rsidR="00445C8F">
        <w:t>on Phase</w:t>
      </w:r>
      <w:r w:rsidR="00513B3F">
        <w:t> </w:t>
      </w:r>
      <w:r w:rsidR="009278DF">
        <w:t>I</w:t>
      </w:r>
      <w:r w:rsidRPr="004611E4">
        <w:t>II Staff Proposal</w:t>
      </w:r>
      <w:r w:rsidR="00FF674A">
        <w:t xml:space="preserve"> at</w:t>
      </w:r>
      <w:r w:rsidR="00513B3F">
        <w:t> </w:t>
      </w:r>
      <w:r>
        <w:t>4</w:t>
      </w:r>
      <w:r w:rsidRPr="004611E4">
        <w:t>.</w:t>
      </w:r>
    </w:p>
  </w:footnote>
  <w:footnote w:id="125">
    <w:p w14:paraId="74D4C135" w14:textId="6C633989" w:rsidR="007065F3" w:rsidRDefault="007065F3" w:rsidP="007065F3">
      <w:pPr>
        <w:pStyle w:val="FootnoteText"/>
      </w:pPr>
      <w:r>
        <w:rPr>
          <w:rStyle w:val="FootnoteReference"/>
        </w:rPr>
        <w:footnoteRef/>
      </w:r>
      <w:r>
        <w:t xml:space="preserve"> Opening Brief</w:t>
      </w:r>
      <w:r w:rsidR="00FF674A">
        <w:t xml:space="preserve"> </w:t>
      </w:r>
      <w:r w:rsidR="0027329F">
        <w:t xml:space="preserve">of Joint Parties </w:t>
      </w:r>
      <w:r w:rsidR="00FF674A">
        <w:t>at</w:t>
      </w:r>
      <w:r w:rsidR="00513B3F">
        <w:t> </w:t>
      </w:r>
      <w:r>
        <w:t>19</w:t>
      </w:r>
      <w:r w:rsidR="00513B3F">
        <w:noBreakHyphen/>
      </w:r>
      <w:r>
        <w:t>21.</w:t>
      </w:r>
    </w:p>
  </w:footnote>
  <w:footnote w:id="126">
    <w:p w14:paraId="6C611E3A" w14:textId="4E565D05" w:rsidR="00BA7E9E" w:rsidRDefault="00BA7E9E">
      <w:pPr>
        <w:pStyle w:val="FootnoteText"/>
      </w:pPr>
      <w:r>
        <w:rPr>
          <w:rStyle w:val="FootnoteReference"/>
        </w:rPr>
        <w:footnoteRef/>
      </w:r>
      <w:r>
        <w:t xml:space="preserve"> </w:t>
      </w:r>
      <w:r w:rsidR="009278DF">
        <w:t>Phase</w:t>
      </w:r>
      <w:r w:rsidR="00513B3F">
        <w:t> </w:t>
      </w:r>
      <w:r w:rsidR="009278DF">
        <w:t>I</w:t>
      </w:r>
      <w:r w:rsidRPr="00BA7E9E">
        <w:t xml:space="preserve">II Scoping Memo, </w:t>
      </w:r>
      <w:r w:rsidR="00FF674A">
        <w:t>Appendix</w:t>
      </w:r>
      <w:r w:rsidR="00513B3F">
        <w:t> </w:t>
      </w:r>
      <w:r w:rsidR="00FF674A">
        <w:t>A at</w:t>
      </w:r>
      <w:r w:rsidR="00513B3F">
        <w:t> </w:t>
      </w:r>
      <w:r w:rsidRPr="00BA7E9E">
        <w:t>3</w:t>
      </w:r>
      <w:r>
        <w:t>4,</w:t>
      </w:r>
      <w:r w:rsidRPr="00BA7E9E">
        <w:t xml:space="preserve"> 3</w:t>
      </w:r>
      <w:r w:rsidR="00573CAE">
        <w:t>9</w:t>
      </w:r>
      <w:r w:rsidRPr="00BA7E9E">
        <w:t>, and 42</w:t>
      </w:r>
      <w:r w:rsidR="00513B3F">
        <w:noBreakHyphen/>
      </w:r>
      <w:r w:rsidRPr="00BA7E9E">
        <w:t>4</w:t>
      </w:r>
      <w:r w:rsidR="004C6F9D">
        <w:t>3</w:t>
      </w:r>
      <w:r w:rsidRPr="00BA7E9E">
        <w:t>.</w:t>
      </w:r>
    </w:p>
  </w:footnote>
  <w:footnote w:id="127">
    <w:p w14:paraId="4DBF5CBB" w14:textId="623B64D4" w:rsidR="00BA7E9E" w:rsidRDefault="00BA7E9E" w:rsidP="00BA7E9E">
      <w:pPr>
        <w:pStyle w:val="FootnoteText"/>
      </w:pPr>
      <w:r>
        <w:rPr>
          <w:rStyle w:val="FootnoteReference"/>
        </w:rPr>
        <w:footnoteRef/>
      </w:r>
      <w:r>
        <w:t xml:space="preserve"> </w:t>
      </w:r>
      <w:r w:rsidR="0027329F">
        <w:t xml:space="preserve">Opening Brief of </w:t>
      </w:r>
      <w:r>
        <w:t xml:space="preserve">Joint Parties </w:t>
      </w:r>
      <w:r w:rsidR="00FF674A">
        <w:t>at</w:t>
      </w:r>
      <w:r w:rsidR="00513B3F">
        <w:t> </w:t>
      </w:r>
      <w:r>
        <w:t>21.</w:t>
      </w:r>
    </w:p>
  </w:footnote>
  <w:footnote w:id="128">
    <w:p w14:paraId="7746BD25" w14:textId="2F9D099C" w:rsidR="00A41507" w:rsidRDefault="00A41507">
      <w:pPr>
        <w:pStyle w:val="FootnoteText"/>
      </w:pPr>
      <w:r>
        <w:rPr>
          <w:rStyle w:val="FootnoteReference"/>
        </w:rPr>
        <w:footnoteRef/>
      </w:r>
      <w:r>
        <w:t xml:space="preserve"> </w:t>
      </w:r>
      <w:r w:rsidR="009278DF">
        <w:t>Phase</w:t>
      </w:r>
      <w:r w:rsidR="00513B3F">
        <w:t> </w:t>
      </w:r>
      <w:r w:rsidR="009278DF">
        <w:t>I</w:t>
      </w:r>
      <w:r w:rsidRPr="00103FE5">
        <w:t xml:space="preserve">II Scoping Memo, </w:t>
      </w:r>
      <w:r w:rsidR="00FF674A">
        <w:t>Appendix</w:t>
      </w:r>
      <w:r w:rsidR="00513B3F">
        <w:t> </w:t>
      </w:r>
      <w:r w:rsidR="00FF674A">
        <w:t>A at</w:t>
      </w:r>
      <w:r w:rsidR="00513B3F">
        <w:t> </w:t>
      </w:r>
      <w:r w:rsidR="009B3E66">
        <w:t>34</w:t>
      </w:r>
      <w:r>
        <w:t>, 3</w:t>
      </w:r>
      <w:r w:rsidR="00E45028">
        <w:t>9</w:t>
      </w:r>
      <w:r>
        <w:t>, and 43.</w:t>
      </w:r>
    </w:p>
  </w:footnote>
  <w:footnote w:id="129">
    <w:p w14:paraId="37F466FC" w14:textId="36867EC3" w:rsidR="0060366A" w:rsidRDefault="0060366A">
      <w:pPr>
        <w:pStyle w:val="FootnoteText"/>
      </w:pPr>
      <w:r>
        <w:rPr>
          <w:rStyle w:val="FootnoteReference"/>
        </w:rPr>
        <w:footnoteRef/>
      </w:r>
      <w:r>
        <w:t xml:space="preserve"> </w:t>
      </w:r>
      <w:r w:rsidR="0027329F">
        <w:t xml:space="preserve">Opening Brief of </w:t>
      </w:r>
      <w:r>
        <w:t xml:space="preserve">Joint Parties </w:t>
      </w:r>
      <w:r w:rsidR="00FF674A">
        <w:t>at</w:t>
      </w:r>
      <w:r w:rsidR="00513B3F">
        <w:t> </w:t>
      </w:r>
      <w:r>
        <w:t>21.</w:t>
      </w:r>
    </w:p>
  </w:footnote>
  <w:footnote w:id="130">
    <w:p w14:paraId="3A3CFE8E" w14:textId="60B9D78E" w:rsidR="00340659" w:rsidRDefault="00340659">
      <w:pPr>
        <w:pStyle w:val="FootnoteText"/>
      </w:pPr>
      <w:r>
        <w:rPr>
          <w:rStyle w:val="FootnoteReference"/>
        </w:rPr>
        <w:footnoteRef/>
      </w:r>
      <w:r>
        <w:t xml:space="preserve"> </w:t>
      </w:r>
      <w:r w:rsidR="0027329F">
        <w:t xml:space="preserve">Opening Brief of Joint Parties </w:t>
      </w:r>
      <w:r w:rsidR="00FF674A">
        <w:t>at</w:t>
      </w:r>
      <w:r w:rsidR="00513B3F">
        <w:t> </w:t>
      </w:r>
      <w:r>
        <w:t>21</w:t>
      </w:r>
      <w:r w:rsidR="00513B3F">
        <w:noBreakHyphen/>
      </w:r>
      <w:r>
        <w:t>22.</w:t>
      </w:r>
    </w:p>
  </w:footnote>
  <w:footnote w:id="131">
    <w:p w14:paraId="170A1C2A" w14:textId="0ACB62E4" w:rsidR="001F13A1" w:rsidRDefault="001F13A1">
      <w:pPr>
        <w:pStyle w:val="FootnoteText"/>
      </w:pPr>
      <w:r>
        <w:rPr>
          <w:rStyle w:val="FootnoteReference"/>
        </w:rPr>
        <w:footnoteRef/>
      </w:r>
      <w:r>
        <w:t xml:space="preserve"> </w:t>
      </w:r>
      <w:r w:rsidR="009278DF">
        <w:t>Phase</w:t>
      </w:r>
      <w:r w:rsidR="00513B3F">
        <w:t> </w:t>
      </w:r>
      <w:r w:rsidR="009278DF">
        <w:t>I</w:t>
      </w:r>
      <w:r w:rsidRPr="00103FE5">
        <w:t xml:space="preserve">II Scoping Memo, </w:t>
      </w:r>
      <w:r w:rsidR="00FF674A">
        <w:t>Appendix</w:t>
      </w:r>
      <w:r w:rsidR="00513B3F">
        <w:t> </w:t>
      </w:r>
      <w:r w:rsidR="00FF674A">
        <w:t>A at</w:t>
      </w:r>
      <w:r w:rsidR="00513B3F">
        <w:t> </w:t>
      </w:r>
      <w:r w:rsidR="00C218C0">
        <w:t>35</w:t>
      </w:r>
      <w:r>
        <w:t xml:space="preserve">, 40, and </w:t>
      </w:r>
      <w:r w:rsidR="00C218C0">
        <w:t>44</w:t>
      </w:r>
      <w:r>
        <w:t>.</w:t>
      </w:r>
    </w:p>
  </w:footnote>
  <w:footnote w:id="132">
    <w:p w14:paraId="30D0099F" w14:textId="379D7682" w:rsidR="002A5EC6" w:rsidRDefault="002A5EC6" w:rsidP="002A5EC6">
      <w:pPr>
        <w:pStyle w:val="FootnoteText"/>
      </w:pPr>
      <w:r>
        <w:rPr>
          <w:rStyle w:val="FootnoteReference"/>
        </w:rPr>
        <w:footnoteRef/>
      </w:r>
      <w:r>
        <w:t xml:space="preserve"> </w:t>
      </w:r>
      <w:r w:rsidR="0027329F">
        <w:t xml:space="preserve">Opening Brief of Joint Parties </w:t>
      </w:r>
      <w:r w:rsidR="00FF674A">
        <w:t>at</w:t>
      </w:r>
      <w:r w:rsidR="00513B3F">
        <w:t> </w:t>
      </w:r>
      <w:r>
        <w:t>22.</w:t>
      </w:r>
    </w:p>
  </w:footnote>
  <w:footnote w:id="133">
    <w:p w14:paraId="7C4E3945" w14:textId="4865BBD5" w:rsidR="002F262F" w:rsidRDefault="002F262F" w:rsidP="002F262F">
      <w:pPr>
        <w:pStyle w:val="FootnoteText"/>
      </w:pPr>
      <w:r>
        <w:rPr>
          <w:rStyle w:val="FootnoteReference"/>
        </w:rPr>
        <w:footnoteRef/>
      </w:r>
      <w:r>
        <w:t xml:space="preserve"> </w:t>
      </w:r>
      <w:r w:rsidR="009278DF">
        <w:t>Phase</w:t>
      </w:r>
      <w:r w:rsidR="00513B3F">
        <w:t> </w:t>
      </w:r>
      <w:r w:rsidR="009278DF">
        <w:t>I</w:t>
      </w:r>
      <w:r>
        <w:t>II Scoping Memo</w:t>
      </w:r>
      <w:r w:rsidR="00FF674A">
        <w:t xml:space="preserve"> at</w:t>
      </w:r>
      <w:r w:rsidR="00513B3F">
        <w:t> </w:t>
      </w:r>
      <w:r>
        <w:t>1 and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C4F36" w14:textId="425F9FD4" w:rsidR="00937B96" w:rsidRDefault="00937B96" w:rsidP="00937B96">
    <w:pPr>
      <w:pStyle w:val="Header"/>
      <w:tabs>
        <w:tab w:val="clear" w:pos="4680"/>
      </w:tabs>
      <w:rPr>
        <w:b/>
      </w:rPr>
    </w:pPr>
    <w:r w:rsidRPr="00CB72A9">
      <w:t>R</w:t>
    </w:r>
    <w:r>
      <w:t>.</w:t>
    </w:r>
    <w:r w:rsidRPr="00CB72A9">
      <w:t>19</w:t>
    </w:r>
    <w:r w:rsidR="00154071">
      <w:noBreakHyphen/>
    </w:r>
    <w:r w:rsidRPr="00CB72A9">
      <w:t>01</w:t>
    </w:r>
    <w:r w:rsidR="00154071">
      <w:noBreakHyphen/>
    </w:r>
    <w:r w:rsidRPr="00CB72A9">
      <w:t>011</w:t>
    </w:r>
    <w:r>
      <w:t xml:space="preserve">  COM/CR6/nd3</w:t>
    </w:r>
    <w:r>
      <w:tab/>
      <w:t>PROPOSED DECISION</w:t>
    </w:r>
  </w:p>
  <w:p w14:paraId="5737A2CF" w14:textId="7EE1A445" w:rsidR="00937B96" w:rsidRPr="00A5528B" w:rsidRDefault="00937B96" w:rsidP="00937B96">
    <w:pPr>
      <w:pStyle w:val="BoxCheck1"/>
      <w:ind w:left="0" w:firstLine="0"/>
      <w:rPr>
        <w:rFonts w:ascii="Book Antiqua" w:hAnsi="Book Antiqua"/>
        <w:i/>
        <w:color w:val="FF0000"/>
        <w:sz w:val="26"/>
      </w:rPr>
    </w:pPr>
    <w:r w:rsidRPr="00A5528B">
      <w:rPr>
        <w:rFonts w:ascii="Book Antiqua" w:hAnsi="Book Antiqua"/>
        <w:i/>
        <w:color w:val="FF0000"/>
        <w:sz w:val="26"/>
      </w:rPr>
      <w:t xml:space="preserve">Internal Review Draft; Subject to </w:t>
    </w:r>
    <w:r w:rsidRPr="00A5528B">
      <w:rPr>
        <w:rFonts w:ascii="Book Antiqua" w:hAnsi="Book Antiqua"/>
        <w:b/>
        <w:i/>
        <w:color w:val="FF0000"/>
        <w:sz w:val="26"/>
      </w:rPr>
      <w:t>ALJ Division Review</w:t>
    </w:r>
  </w:p>
  <w:p w14:paraId="0C6DB106" w14:textId="77777777" w:rsidR="00937B96" w:rsidRPr="00A5528B" w:rsidRDefault="00937B96" w:rsidP="00937B96">
    <w:pPr>
      <w:pStyle w:val="Header"/>
      <w:tabs>
        <w:tab w:val="clear" w:pos="4680"/>
      </w:tabs>
      <w:rPr>
        <w:i/>
        <w:color w:val="FF0000"/>
      </w:rPr>
    </w:pPr>
    <w:r w:rsidRPr="00A5528B">
      <w:rPr>
        <w:b/>
        <w:i/>
        <w:color w:val="FF0000"/>
      </w:rPr>
      <w:t>CONFIDENTIAL</w:t>
    </w:r>
    <w:r w:rsidRPr="00A5528B">
      <w:rPr>
        <w:b/>
        <w:color w:val="FF0000"/>
      </w:rPr>
      <w:t xml:space="preserve">; </w:t>
    </w:r>
    <w:r w:rsidRPr="00A5528B">
      <w:rPr>
        <w:i/>
        <w:color w:val="FF0000"/>
      </w:rPr>
      <w:t>Deliberative Process Privilege</w:t>
    </w:r>
  </w:p>
  <w:p w14:paraId="29A444B5" w14:textId="673A2319" w:rsidR="00937B96" w:rsidRDefault="00937B96" w:rsidP="00937B96">
    <w:pPr>
      <w:pStyle w:val="Header"/>
    </w:pPr>
  </w:p>
  <w:p w14:paraId="3C616161" w14:textId="77777777" w:rsidR="00937B96" w:rsidRPr="00937B96" w:rsidRDefault="00937B96" w:rsidP="00937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0325" w14:textId="77777777" w:rsidR="008959A4" w:rsidRDefault="008959A4">
    <w:pPr>
      <w:pStyle w:val="Header"/>
    </w:pPr>
    <w:r>
      <w:rPr>
        <w:noProof/>
      </w:rPr>
      <mc:AlternateContent>
        <mc:Choice Requires="wps">
          <w:drawing>
            <wp:anchor distT="0" distB="0" distL="114300" distR="114300" simplePos="0" relativeHeight="251658249" behindDoc="1" locked="0" layoutInCell="0" allowOverlap="1" wp14:anchorId="29A3D35D" wp14:editId="0CF05D4C">
              <wp:simplePos x="0" y="0"/>
              <wp:positionH relativeFrom="margin">
                <wp:align>center</wp:align>
              </wp:positionH>
              <wp:positionV relativeFrom="margin">
                <wp:align>center</wp:align>
              </wp:positionV>
              <wp:extent cx="7698740" cy="678815"/>
              <wp:effectExtent l="0" t="2381250" r="0" b="244538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98740" cy="678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3D4660" w14:textId="77777777" w:rsidR="008959A4" w:rsidRDefault="008959A4" w:rsidP="000C1980">
                          <w:pPr>
                            <w:jc w:val="center"/>
                            <w:rPr>
                              <w:color w:val="C0C0C0"/>
                              <w:sz w:val="2"/>
                              <w:szCs w:val="2"/>
                            </w:rPr>
                          </w:pPr>
                          <w:r>
                            <w:rPr>
                              <w:color w:val="C0C0C0"/>
                              <w:sz w:val="2"/>
                              <w:szCs w:val="2"/>
                            </w:rPr>
                            <w:t xml:space="preserve">confidential/deliberative process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9A3D35D" id="_x0000_t202" coordsize="21600,21600" o:spt="202" path="m,l,21600r21600,l21600,xe">
              <v:stroke joinstyle="miter"/>
              <v:path gradientshapeok="t" o:connecttype="rect"/>
            </v:shapetype>
            <v:shape id="Text Box 20" o:spid="_x0000_s1026" type="#_x0000_t202" style="position:absolute;margin-left:0;margin-top:0;width:606.2pt;height:53.45pt;rotation:-45;z-index:-25165823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" o:allowincell="f" filled="f" stroked="f">
              <v:stroke joinstyle="round"/>
              <o:lock v:ext="edit" shapetype="t"/>
              <v:textbox style="mso-fit-shape-to-text:t">
                <w:txbxContent>
                  <w:p w14:paraId="1F3D4660" w14:textId="77777777" w:rsidR="008959A4" w:rsidRDefault="008959A4" w:rsidP="000C1980">
                    <w:pPr>
                      <w:jc w:val="center"/>
                      <w:rPr>
                        <w:color w:val="C0C0C0"/>
                        <w:sz w:val="2"/>
                        <w:szCs w:val="2"/>
                      </w:rPr>
                    </w:pPr>
                    <w:r>
                      <w:rPr>
                        <w:color w:val="C0C0C0"/>
                        <w:sz w:val="2"/>
                        <w:szCs w:val="2"/>
                      </w:rPr>
                      <w:t xml:space="preserve">confidential/deliberative process </w:t>
                    </w:r>
                  </w:p>
                </w:txbxContent>
              </v:textbox>
              <w10:wrap anchorx="margin" anchory="margin"/>
            </v:shape>
          </w:pict>
        </mc:Fallback>
      </mc:AlternateContent>
    </w:r>
    <w:r>
      <w:rPr>
        <w:noProof/>
      </w:rPr>
      <mc:AlternateContent>
        <mc:Choice Requires="wps">
          <w:drawing>
            <wp:anchor distT="0" distB="0" distL="114300" distR="114300" simplePos="0" relativeHeight="251658248" behindDoc="1" locked="0" layoutInCell="0" allowOverlap="1" wp14:anchorId="7C37DD29" wp14:editId="062C62B6">
              <wp:simplePos x="0" y="0"/>
              <wp:positionH relativeFrom="margin">
                <wp:align>center</wp:align>
              </wp:positionH>
              <wp:positionV relativeFrom="margin">
                <wp:align>center</wp:align>
              </wp:positionV>
              <wp:extent cx="7698740" cy="678815"/>
              <wp:effectExtent l="0" t="2381250" r="0" b="244538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98740" cy="678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C19D61" w14:textId="77777777" w:rsidR="008959A4" w:rsidRDefault="008959A4" w:rsidP="000C1980">
                          <w:pPr>
                            <w:jc w:val="center"/>
                            <w:rPr>
                              <w:color w:val="C0C0C0"/>
                              <w:sz w:val="2"/>
                              <w:szCs w:val="2"/>
                            </w:rPr>
                          </w:pPr>
                          <w:r>
                            <w:rPr>
                              <w:color w:val="C0C0C0"/>
                              <w:sz w:val="2"/>
                              <w:szCs w:val="2"/>
                            </w:rPr>
                            <w:t xml:space="preserve">confidential/deliberative process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C37DD29" id="Text Box 19" o:spid="_x0000_s1027" type="#_x0000_t202" style="position:absolute;margin-left:0;margin-top:0;width:606.2pt;height:53.45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" o:allowincell="f" filled="f" stroked="f">
              <v:stroke joinstyle="round"/>
              <o:lock v:ext="edit" shapetype="t"/>
              <v:textbox style="mso-fit-shape-to-text:t">
                <w:txbxContent>
                  <w:p w14:paraId="0CC19D61" w14:textId="77777777" w:rsidR="008959A4" w:rsidRDefault="008959A4" w:rsidP="000C1980">
                    <w:pPr>
                      <w:jc w:val="center"/>
                      <w:rPr>
                        <w:color w:val="C0C0C0"/>
                        <w:sz w:val="2"/>
                        <w:szCs w:val="2"/>
                      </w:rPr>
                    </w:pPr>
                    <w:r>
                      <w:rPr>
                        <w:color w:val="C0C0C0"/>
                        <w:sz w:val="2"/>
                        <w:szCs w:val="2"/>
                      </w:rPr>
                      <w:t xml:space="preserve">confidential/deliberative process </w:t>
                    </w:r>
                  </w:p>
                </w:txbxContent>
              </v:textbox>
              <w10:wrap anchorx="margin" anchory="margin"/>
            </v:shape>
          </w:pict>
        </mc:Fallback>
      </mc:AlternateContent>
    </w:r>
    <w:r>
      <w:rPr>
        <w:noProof/>
      </w:rPr>
      <mc:AlternateContent>
        <mc:Choice Requires="wps">
          <w:drawing>
            <wp:anchor distT="0" distB="0" distL="114300" distR="114300" simplePos="0" relativeHeight="251658247" behindDoc="1" locked="0" layoutInCell="0" allowOverlap="1" wp14:anchorId="6FD39A7C" wp14:editId="23DA73FF">
              <wp:simplePos x="0" y="0"/>
              <wp:positionH relativeFrom="margin">
                <wp:align>center</wp:align>
              </wp:positionH>
              <wp:positionV relativeFrom="margin">
                <wp:align>center</wp:align>
              </wp:positionV>
              <wp:extent cx="7698740" cy="678815"/>
              <wp:effectExtent l="0" t="2381250" r="0" b="244538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98740" cy="678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BF572B" w14:textId="77777777" w:rsidR="008959A4" w:rsidRDefault="008959A4" w:rsidP="000C1980">
                          <w:pPr>
                            <w:jc w:val="center"/>
                            <w:rPr>
                              <w:color w:val="C0C0C0"/>
                              <w:sz w:val="2"/>
                              <w:szCs w:val="2"/>
                            </w:rPr>
                          </w:pPr>
                          <w:r>
                            <w:rPr>
                              <w:color w:val="C0C0C0"/>
                              <w:sz w:val="2"/>
                              <w:szCs w:val="2"/>
                            </w:rPr>
                            <w:t xml:space="preserve">confidential/deliberative process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D39A7C" id="Text Box 18" o:spid="_x0000_s1028" type="#_x0000_t202" style="position:absolute;margin-left:0;margin-top:0;width:606.2pt;height:53.45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" o:allowincell="f" filled="f" stroked="f">
              <v:stroke joinstyle="round"/>
              <o:lock v:ext="edit" shapetype="t"/>
              <v:textbox style="mso-fit-shape-to-text:t">
                <w:txbxContent>
                  <w:p w14:paraId="7ABF572B" w14:textId="77777777" w:rsidR="008959A4" w:rsidRDefault="008959A4" w:rsidP="000C1980">
                    <w:pPr>
                      <w:jc w:val="center"/>
                      <w:rPr>
                        <w:color w:val="C0C0C0"/>
                        <w:sz w:val="2"/>
                        <w:szCs w:val="2"/>
                      </w:rPr>
                    </w:pPr>
                    <w:r>
                      <w:rPr>
                        <w:color w:val="C0C0C0"/>
                        <w:sz w:val="2"/>
                        <w:szCs w:val="2"/>
                      </w:rPr>
                      <w:t xml:space="preserve">confidential/deliberative process </w:t>
                    </w:r>
                  </w:p>
                </w:txbxContent>
              </v:textbox>
              <w10:wrap anchorx="margin" anchory="margin"/>
            </v:shape>
          </w:pict>
        </mc:Fallback>
      </mc:AlternateContent>
    </w:r>
    <w:r>
      <w:rPr>
        <w:noProof/>
      </w:rPr>
      <mc:AlternateContent>
        <mc:Choice Requires="wps">
          <w:drawing>
            <wp:anchor distT="0" distB="0" distL="114300" distR="114300" simplePos="0" relativeHeight="251658246" behindDoc="1" locked="0" layoutInCell="0" allowOverlap="1" wp14:anchorId="0EA0B550" wp14:editId="46586FF7">
              <wp:simplePos x="0" y="0"/>
              <wp:positionH relativeFrom="margin">
                <wp:align>center</wp:align>
              </wp:positionH>
              <wp:positionV relativeFrom="margin">
                <wp:align>center</wp:align>
              </wp:positionV>
              <wp:extent cx="7698740" cy="678815"/>
              <wp:effectExtent l="0" t="2381250" r="0" b="244538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98740" cy="678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801106" w14:textId="77777777" w:rsidR="008959A4" w:rsidRDefault="008959A4" w:rsidP="000C1980">
                          <w:pPr>
                            <w:jc w:val="center"/>
                            <w:rPr>
                              <w:color w:val="C0C0C0"/>
                              <w:sz w:val="2"/>
                              <w:szCs w:val="2"/>
                            </w:rPr>
                          </w:pPr>
                          <w:r>
                            <w:rPr>
                              <w:color w:val="C0C0C0"/>
                              <w:sz w:val="2"/>
                              <w:szCs w:val="2"/>
                            </w:rPr>
                            <w:t xml:space="preserve">confidential/deliberative process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A0B550" id="Text Box 17" o:spid="_x0000_s1029" type="#_x0000_t202" style="position:absolute;margin-left:0;margin-top:0;width:606.2pt;height:53.4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" o:allowincell="f" filled="f" stroked="f">
              <v:stroke joinstyle="round"/>
              <o:lock v:ext="edit" shapetype="t"/>
              <v:textbox style="mso-fit-shape-to-text:t">
                <w:txbxContent>
                  <w:p w14:paraId="19801106" w14:textId="77777777" w:rsidR="008959A4" w:rsidRDefault="008959A4" w:rsidP="000C1980">
                    <w:pPr>
                      <w:jc w:val="center"/>
                      <w:rPr>
                        <w:color w:val="C0C0C0"/>
                        <w:sz w:val="2"/>
                        <w:szCs w:val="2"/>
                      </w:rPr>
                    </w:pPr>
                    <w:r>
                      <w:rPr>
                        <w:color w:val="C0C0C0"/>
                        <w:sz w:val="2"/>
                        <w:szCs w:val="2"/>
                      </w:rPr>
                      <w:t xml:space="preserve">confidential/deliberative process </w:t>
                    </w:r>
                  </w:p>
                </w:txbxContent>
              </v:textbox>
              <w10:wrap anchorx="margin" anchory="margin"/>
            </v:shape>
          </w:pict>
        </mc:Fallback>
      </mc:AlternateContent>
    </w:r>
    <w:r>
      <w:rPr>
        <w:noProof/>
      </w:rPr>
      <mc:AlternateContent>
        <mc:Choice Requires="wps">
          <w:drawing>
            <wp:anchor distT="0" distB="0" distL="114300" distR="114300" simplePos="0" relativeHeight="251658245" behindDoc="1" locked="0" layoutInCell="0" allowOverlap="1" wp14:anchorId="49CC2F85" wp14:editId="3947E486">
              <wp:simplePos x="0" y="0"/>
              <wp:positionH relativeFrom="margin">
                <wp:align>center</wp:align>
              </wp:positionH>
              <wp:positionV relativeFrom="margin">
                <wp:align>center</wp:align>
              </wp:positionV>
              <wp:extent cx="7698740" cy="678815"/>
              <wp:effectExtent l="0" t="2381250" r="0" b="24453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98740" cy="678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19C528" w14:textId="77777777" w:rsidR="008959A4" w:rsidRDefault="008959A4" w:rsidP="000C1980">
                          <w:pPr>
                            <w:jc w:val="center"/>
                            <w:rPr>
                              <w:color w:val="C0C0C0"/>
                              <w:sz w:val="2"/>
                              <w:szCs w:val="2"/>
                            </w:rPr>
                          </w:pPr>
                          <w:r>
                            <w:rPr>
                              <w:color w:val="C0C0C0"/>
                              <w:sz w:val="2"/>
                              <w:szCs w:val="2"/>
                            </w:rPr>
                            <w:t xml:space="preserve">confidential/deliberative process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9CC2F85" id="Text Box 16" o:spid="_x0000_s1030" type="#_x0000_t202" style="position:absolute;margin-left:0;margin-top:0;width:606.2pt;height:53.4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" o:allowincell="f" filled="f" stroked="f">
              <v:stroke joinstyle="round"/>
              <o:lock v:ext="edit" shapetype="t"/>
              <v:textbox style="mso-fit-shape-to-text:t">
                <w:txbxContent>
                  <w:p w14:paraId="6119C528" w14:textId="77777777" w:rsidR="008959A4" w:rsidRDefault="008959A4" w:rsidP="000C1980">
                    <w:pPr>
                      <w:jc w:val="center"/>
                      <w:rPr>
                        <w:color w:val="C0C0C0"/>
                        <w:sz w:val="2"/>
                        <w:szCs w:val="2"/>
                      </w:rPr>
                    </w:pPr>
                    <w:r>
                      <w:rPr>
                        <w:color w:val="C0C0C0"/>
                        <w:sz w:val="2"/>
                        <w:szCs w:val="2"/>
                      </w:rPr>
                      <w:t xml:space="preserve">confidential/deliberative process </w:t>
                    </w:r>
                  </w:p>
                </w:txbxContent>
              </v:textbox>
              <w10:wrap anchorx="margin" anchory="margin"/>
            </v:shape>
          </w:pict>
        </mc:Fallback>
      </mc:AlternateContent>
    </w:r>
    <w:r>
      <w:rPr>
        <w:noProof/>
      </w:rPr>
      <mc:AlternateContent>
        <mc:Choice Requires="wps">
          <w:drawing>
            <wp:anchor distT="0" distB="0" distL="114300" distR="114300" simplePos="0" relativeHeight="251658244" behindDoc="1" locked="0" layoutInCell="0" allowOverlap="1" wp14:anchorId="1616AF0A" wp14:editId="7F45DB9C">
              <wp:simplePos x="0" y="0"/>
              <wp:positionH relativeFrom="margin">
                <wp:align>center</wp:align>
              </wp:positionH>
              <wp:positionV relativeFrom="margin">
                <wp:align>center</wp:align>
              </wp:positionV>
              <wp:extent cx="7698740" cy="678815"/>
              <wp:effectExtent l="0" t="2381250" r="0" b="244538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98740" cy="678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AD6F4A" w14:textId="77777777" w:rsidR="008959A4" w:rsidRDefault="008959A4" w:rsidP="000C1980">
                          <w:pPr>
                            <w:jc w:val="center"/>
                            <w:rPr>
                              <w:color w:val="C0C0C0"/>
                              <w:sz w:val="2"/>
                              <w:szCs w:val="2"/>
                            </w:rPr>
                          </w:pPr>
                          <w:r>
                            <w:rPr>
                              <w:color w:val="C0C0C0"/>
                              <w:sz w:val="2"/>
                              <w:szCs w:val="2"/>
                            </w:rPr>
                            <w:t xml:space="preserve">confidential/deliberative process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616AF0A" id="Text Box 15" o:spid="_x0000_s1031" type="#_x0000_t202" style="position:absolute;margin-left:0;margin-top:0;width:606.2pt;height:53.4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" o:allowincell="f" filled="f" stroked="f">
              <v:stroke joinstyle="round"/>
              <o:lock v:ext="edit" shapetype="t"/>
              <v:textbox style="mso-fit-shape-to-text:t">
                <w:txbxContent>
                  <w:p w14:paraId="34AD6F4A" w14:textId="77777777" w:rsidR="008959A4" w:rsidRDefault="008959A4" w:rsidP="000C1980">
                    <w:pPr>
                      <w:jc w:val="center"/>
                      <w:rPr>
                        <w:color w:val="C0C0C0"/>
                        <w:sz w:val="2"/>
                        <w:szCs w:val="2"/>
                      </w:rPr>
                    </w:pPr>
                    <w:r>
                      <w:rPr>
                        <w:color w:val="C0C0C0"/>
                        <w:sz w:val="2"/>
                        <w:szCs w:val="2"/>
                      </w:rPr>
                      <w:t xml:space="preserve">confidential/deliberative process </w:t>
                    </w:r>
                  </w:p>
                </w:txbxContent>
              </v:textbox>
              <w10:wrap anchorx="margin" anchory="margin"/>
            </v:shape>
          </w:pict>
        </mc:Fallback>
      </mc:AlternateContent>
    </w:r>
    <w:r>
      <w:rPr>
        <w:noProof/>
      </w:rPr>
      <mc:AlternateContent>
        <mc:Choice Requires="wps">
          <w:drawing>
            <wp:anchor distT="0" distB="0" distL="114300" distR="114300" simplePos="0" relativeHeight="251658243" behindDoc="1" locked="0" layoutInCell="0" allowOverlap="1" wp14:anchorId="3606ECBA" wp14:editId="42B47B8E">
              <wp:simplePos x="0" y="0"/>
              <wp:positionH relativeFrom="margin">
                <wp:align>center</wp:align>
              </wp:positionH>
              <wp:positionV relativeFrom="margin">
                <wp:align>center</wp:align>
              </wp:positionV>
              <wp:extent cx="7698740" cy="678815"/>
              <wp:effectExtent l="0" t="0" r="0" b="0"/>
              <wp:wrapNone/>
              <wp:docPr id="78" name="WordArt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rot="18900000">
                        <a:off x="0" y="0"/>
                        <a:ext cx="7698740" cy="678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9348F7" w14:textId="77777777" w:rsidR="008959A4" w:rsidRDefault="008959A4" w:rsidP="000C1980">
                          <w:pPr>
                            <w:jc w:val="center"/>
                            <w:rPr>
                              <w:color w:val="C0C0C0"/>
                              <w:sz w:val="16"/>
                              <w:szCs w:val="16"/>
                            </w:rPr>
                          </w:pPr>
                          <w:r>
                            <w:rPr>
                              <w:color w:val="C0C0C0"/>
                              <w:sz w:val="16"/>
                              <w:szCs w:val="16"/>
                            </w:rPr>
                            <w:t xml:space="preserve">confidential/deliberative process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606ECBA" id="WordArt 136" o:spid="_x0000_s1032" type="#_x0000_t202" style="position:absolute;margin-left:0;margin-top:0;width:606.2pt;height:53.4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" o:allowincell="f" filled="f" stroked="f">
              <v:stroke joinstyle="round"/>
              <o:lock v:ext="edit" aspectratio="t" verticies="t" shapetype="t"/>
              <v:textbox>
                <w:txbxContent>
                  <w:p w14:paraId="7C9348F7" w14:textId="77777777" w:rsidR="008959A4" w:rsidRDefault="008959A4" w:rsidP="000C1980">
                    <w:pPr>
                      <w:jc w:val="center"/>
                      <w:rPr>
                        <w:color w:val="C0C0C0"/>
                        <w:sz w:val="16"/>
                        <w:szCs w:val="16"/>
                      </w:rPr>
                    </w:pPr>
                    <w:r>
                      <w:rPr>
                        <w:color w:val="C0C0C0"/>
                        <w:sz w:val="16"/>
                        <w:szCs w:val="16"/>
                      </w:rPr>
                      <w:t xml:space="preserve">confidential/deliberative process </w:t>
                    </w:r>
                  </w:p>
                </w:txbxContent>
              </v:textbox>
              <w10:wrap anchorx="margin" anchory="margin"/>
            </v:shape>
          </w:pict>
        </mc:Fallback>
      </mc:AlternateContent>
    </w:r>
    <w:r>
      <w:rPr>
        <w:noProof/>
      </w:rPr>
      <mc:AlternateContent>
        <mc:Choice Requires="wps">
          <w:drawing>
            <wp:anchor distT="0" distB="0" distL="114300" distR="114300" simplePos="0" relativeHeight="251658242" behindDoc="1" locked="0" layoutInCell="0" allowOverlap="1" wp14:anchorId="20F4C437" wp14:editId="69182C59">
              <wp:simplePos x="0" y="0"/>
              <wp:positionH relativeFrom="margin">
                <wp:align>center</wp:align>
              </wp:positionH>
              <wp:positionV relativeFrom="margin">
                <wp:align>center</wp:align>
              </wp:positionV>
              <wp:extent cx="7698740" cy="678815"/>
              <wp:effectExtent l="0" t="0" r="0" b="0"/>
              <wp:wrapNone/>
              <wp:docPr id="77" name="WordArt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rot="18900000">
                        <a:off x="0" y="0"/>
                        <a:ext cx="7698740" cy="678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6318D4" w14:textId="77777777" w:rsidR="008959A4" w:rsidRDefault="008959A4" w:rsidP="000C1980">
                          <w:pPr>
                            <w:jc w:val="center"/>
                            <w:rPr>
                              <w:color w:val="C0C0C0"/>
                              <w:sz w:val="16"/>
                              <w:szCs w:val="16"/>
                            </w:rPr>
                          </w:pPr>
                          <w:r>
                            <w:rPr>
                              <w:color w:val="C0C0C0"/>
                              <w:sz w:val="16"/>
                              <w:szCs w:val="16"/>
                            </w:rPr>
                            <w:t xml:space="preserve">confidential/deliberative process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0F4C437" id="WordArt 135" o:spid="_x0000_s1033" type="#_x0000_t202" style="position:absolute;margin-left:0;margin-top:0;width:606.2pt;height:53.4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" o:allowincell="f" filled="f" stroked="f">
              <v:stroke joinstyle="round"/>
              <o:lock v:ext="edit" aspectratio="t" verticies="t" shapetype="t"/>
              <v:textbox>
                <w:txbxContent>
                  <w:p w14:paraId="396318D4" w14:textId="77777777" w:rsidR="008959A4" w:rsidRDefault="008959A4" w:rsidP="000C1980">
                    <w:pPr>
                      <w:jc w:val="center"/>
                      <w:rPr>
                        <w:color w:val="C0C0C0"/>
                        <w:sz w:val="16"/>
                        <w:szCs w:val="16"/>
                      </w:rPr>
                    </w:pPr>
                    <w:r>
                      <w:rPr>
                        <w:color w:val="C0C0C0"/>
                        <w:sz w:val="16"/>
                        <w:szCs w:val="16"/>
                      </w:rPr>
                      <w:t xml:space="preserve">confidential/deliberative process </w:t>
                    </w:r>
                  </w:p>
                </w:txbxContent>
              </v:textbox>
              <w10:wrap anchorx="margin" anchory="margin"/>
            </v:shape>
          </w:pict>
        </mc:Fallback>
      </mc:AlternateContent>
    </w:r>
    <w:r>
      <w:rPr>
        <w:noProof/>
      </w:rPr>
      <mc:AlternateContent>
        <mc:Choice Requires="wps">
          <w:drawing>
            <wp:anchor distT="0" distB="0" distL="114300" distR="114300" simplePos="0" relativeHeight="251658241" behindDoc="1" locked="0" layoutInCell="0" allowOverlap="1" wp14:anchorId="5F6A3F47" wp14:editId="0A0A64AF">
              <wp:simplePos x="0" y="0"/>
              <wp:positionH relativeFrom="margin">
                <wp:align>center</wp:align>
              </wp:positionH>
              <wp:positionV relativeFrom="margin">
                <wp:align>center</wp:align>
              </wp:positionV>
              <wp:extent cx="7698740" cy="678815"/>
              <wp:effectExtent l="0" t="0" r="0" b="0"/>
              <wp:wrapNone/>
              <wp:docPr id="179" name="WordArt 2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rot="18900000">
                        <a:off x="0" y="0"/>
                        <a:ext cx="7698740" cy="678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BC427A" w14:textId="77777777" w:rsidR="008959A4" w:rsidRDefault="008959A4" w:rsidP="000C1980">
                          <w:pPr>
                            <w:jc w:val="center"/>
                            <w:rPr>
                              <w:sz w:val="24"/>
                              <w:szCs w:val="24"/>
                            </w:rPr>
                          </w:pPr>
                          <w:r>
                            <w:rPr>
                              <w:color w:val="C0C0C0"/>
                              <w:sz w:val="16"/>
                              <w:szCs w:val="16"/>
                            </w:rPr>
                            <w:t xml:space="preserve">confidential/deliberative process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F6A3F47" id="WordArt 231" o:spid="_x0000_s1034" type="#_x0000_t202" style="position:absolute;margin-left:0;margin-top:0;width:606.2pt;height:53.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" o:allowincell="f" filled="f" stroked="f">
              <v:stroke joinstyle="round"/>
              <o:lock v:ext="edit" aspectratio="t" verticies="t" shapetype="t"/>
              <v:textbox>
                <w:txbxContent>
                  <w:p w14:paraId="29BC427A" w14:textId="77777777" w:rsidR="008959A4" w:rsidRDefault="008959A4" w:rsidP="000C1980">
                    <w:pPr>
                      <w:jc w:val="center"/>
                      <w:rPr>
                        <w:sz w:val="24"/>
                        <w:szCs w:val="24"/>
                      </w:rPr>
                    </w:pPr>
                    <w:r>
                      <w:rPr>
                        <w:color w:val="C0C0C0"/>
                        <w:sz w:val="16"/>
                        <w:szCs w:val="16"/>
                      </w:rPr>
                      <w:t xml:space="preserve">confidential/deliberative process </w:t>
                    </w:r>
                  </w:p>
                </w:txbxContent>
              </v:textbox>
              <w10:wrap anchorx="margin" anchory="margin"/>
            </v:shape>
          </w:pict>
        </mc:Fallback>
      </mc:AlternateContent>
    </w:r>
    <w:r>
      <w:rPr>
        <w:noProof/>
      </w:rPr>
      <mc:AlternateContent>
        <mc:Choice Requires="wps">
          <w:drawing>
            <wp:anchor distT="0" distB="0" distL="114300" distR="114300" simplePos="0" relativeHeight="251658240" behindDoc="1" locked="0" layoutInCell="0" allowOverlap="1" wp14:anchorId="4BC5318A" wp14:editId="670A5C2A">
              <wp:simplePos x="0" y="0"/>
              <wp:positionH relativeFrom="margin">
                <wp:align>center</wp:align>
              </wp:positionH>
              <wp:positionV relativeFrom="margin">
                <wp:align>center</wp:align>
              </wp:positionV>
              <wp:extent cx="7698740" cy="678815"/>
              <wp:effectExtent l="0" t="0" r="0" b="0"/>
              <wp:wrapNone/>
              <wp:docPr id="178" name="WordArt 2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rot="18900000">
                        <a:off x="0" y="0"/>
                        <a:ext cx="7698740" cy="678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4F0468" w14:textId="77777777" w:rsidR="008959A4" w:rsidRDefault="008959A4" w:rsidP="000C1980">
                          <w:pPr>
                            <w:jc w:val="center"/>
                            <w:rPr>
                              <w:sz w:val="24"/>
                              <w:szCs w:val="24"/>
                            </w:rPr>
                          </w:pPr>
                          <w:r>
                            <w:rPr>
                              <w:color w:val="C0C0C0"/>
                              <w:sz w:val="16"/>
                              <w:szCs w:val="16"/>
                            </w:rPr>
                            <w:t xml:space="preserve">confidential/deliberative process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BC5318A" id="WordArt 230" o:spid="_x0000_s1035" type="#_x0000_t202" style="position:absolute;margin-left:0;margin-top:0;width:606.2pt;height:53.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" o:allowincell="f" filled="f" stroked="f">
              <v:stroke joinstyle="round"/>
              <o:lock v:ext="edit" aspectratio="t" verticies="t" shapetype="t"/>
              <v:textbox>
                <w:txbxContent>
                  <w:p w14:paraId="364F0468" w14:textId="77777777" w:rsidR="008959A4" w:rsidRDefault="008959A4" w:rsidP="000C1980">
                    <w:pPr>
                      <w:jc w:val="center"/>
                      <w:rPr>
                        <w:sz w:val="24"/>
                        <w:szCs w:val="24"/>
                      </w:rPr>
                    </w:pPr>
                    <w:r>
                      <w:rPr>
                        <w:color w:val="C0C0C0"/>
                        <w:sz w:val="16"/>
                        <w:szCs w:val="16"/>
                      </w:rPr>
                      <w:t xml:space="preserve">confidential/deliberative process </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EB405" w14:textId="2FFBD5F3" w:rsidR="008959A4" w:rsidRPr="00D70DDA" w:rsidRDefault="008E1492" w:rsidP="00D70DDA">
    <w:pPr>
      <w:pStyle w:val="Header"/>
      <w:tabs>
        <w:tab w:val="clear" w:pos="4680"/>
      </w:tabs>
      <w:rPr>
        <w:b/>
      </w:rPr>
    </w:pPr>
    <w:r w:rsidRPr="00CB72A9">
      <w:t>R</w:t>
    </w:r>
    <w:r>
      <w:t>.</w:t>
    </w:r>
    <w:r w:rsidRPr="00CB72A9">
      <w:t>19</w:t>
    </w:r>
    <w:r w:rsidR="00513B3F">
      <w:noBreakHyphen/>
    </w:r>
    <w:r w:rsidRPr="00CB72A9">
      <w:t>01</w:t>
    </w:r>
    <w:r w:rsidR="00513B3F">
      <w:noBreakHyphen/>
    </w:r>
    <w:r w:rsidRPr="00CB72A9">
      <w:t>011</w:t>
    </w:r>
    <w:r>
      <w:t xml:space="preserve">  COM/CR6/nd3</w:t>
    </w:r>
    <w:r>
      <w:tab/>
      <w:t>PROPOSED DECISION</w:t>
    </w:r>
    <w:r w:rsidR="00377764">
      <w:t xml:space="preserve"> (Rev.1)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481D" w14:textId="544F6730" w:rsidR="00617D2A" w:rsidRPr="00D70DDA" w:rsidRDefault="00CB72A9" w:rsidP="000C1980">
    <w:pPr>
      <w:pStyle w:val="Header"/>
      <w:tabs>
        <w:tab w:val="clear" w:pos="4680"/>
      </w:tabs>
      <w:rPr>
        <w:b/>
      </w:rPr>
    </w:pPr>
    <w:r w:rsidRPr="00CB72A9">
      <w:t>R</w:t>
    </w:r>
    <w:r>
      <w:t>.</w:t>
    </w:r>
    <w:r w:rsidRPr="00CB72A9">
      <w:t>19</w:t>
    </w:r>
    <w:r w:rsidR="00513B3F">
      <w:noBreakHyphen/>
    </w:r>
    <w:r w:rsidRPr="00CB72A9">
      <w:t>01</w:t>
    </w:r>
    <w:r w:rsidR="00513B3F">
      <w:noBreakHyphen/>
    </w:r>
    <w:r w:rsidRPr="00CB72A9">
      <w:t>011</w:t>
    </w:r>
    <w:r w:rsidR="008959A4">
      <w:t xml:space="preserve"> </w:t>
    </w:r>
    <w:r w:rsidR="00A16542">
      <w:t xml:space="preserve"> COM/CR6/nd3</w:t>
    </w:r>
    <w:r w:rsidR="00A16542">
      <w:tab/>
      <w:t>PROPOSED DECISION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E2BA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C17EFE"/>
    <w:multiLevelType w:val="hybridMultilevel"/>
    <w:tmpl w:val="623C2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0925E2"/>
    <w:multiLevelType w:val="hybridMultilevel"/>
    <w:tmpl w:val="37B0D27C"/>
    <w:lvl w:ilvl="0" w:tplc="FFFFFFFF">
      <w:start w:val="1"/>
      <w:numFmt w:val="lowerLetter"/>
      <w:lvlText w:val="(%1)"/>
      <w:lvlJc w:val="left"/>
      <w:pPr>
        <w:ind w:left="1195" w:hanging="475"/>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42A483C"/>
    <w:multiLevelType w:val="hybridMultilevel"/>
    <w:tmpl w:val="37B0D27C"/>
    <w:lvl w:ilvl="0" w:tplc="D450BAEE">
      <w:start w:val="1"/>
      <w:numFmt w:val="lowerLetter"/>
      <w:lvlText w:val="(%1)"/>
      <w:lvlJc w:val="left"/>
      <w:pPr>
        <w:ind w:left="1195" w:hanging="4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6C1C14"/>
    <w:multiLevelType w:val="multilevel"/>
    <w:tmpl w:val="18F4A5AC"/>
    <w:styleLink w:val="FoFCoLOP"/>
    <w:lvl w:ilvl="0">
      <w:start w:val="1"/>
      <w:numFmt w:val="decimal"/>
      <w:pStyle w:val="Co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5" w15:restartNumberingAfterBreak="0">
    <w:nsid w:val="16B435CB"/>
    <w:multiLevelType w:val="multilevel"/>
    <w:tmpl w:val="1C8439EA"/>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CBA339C"/>
    <w:multiLevelType w:val="multilevel"/>
    <w:tmpl w:val="97725ADA"/>
    <w:lvl w:ilvl="0">
      <w:start w:val="1"/>
      <w:numFmt w:val="upperLetter"/>
      <w:lvlText w:val="%1."/>
      <w:lvlJc w:val="left"/>
      <w:pPr>
        <w:ind w:left="0" w:hanging="360"/>
      </w:pPr>
      <w:rPr>
        <w:rFonts w:hint="default"/>
      </w:rPr>
    </w:lvl>
    <w:lvl w:ilvl="1">
      <w:start w:val="1"/>
      <w:numFmt w:val="decimal"/>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7" w15:restartNumberingAfterBreak="0">
    <w:nsid w:val="23010D01"/>
    <w:multiLevelType w:val="hybridMultilevel"/>
    <w:tmpl w:val="2BDAB852"/>
    <w:lvl w:ilvl="0" w:tplc="93F80C28">
      <w:start w:val="1"/>
      <w:numFmt w:val="decimal"/>
      <w:pStyle w:val="conclusionoflaw"/>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AB17A9B"/>
    <w:multiLevelType w:val="hybridMultilevel"/>
    <w:tmpl w:val="0409001D"/>
    <w:styleLink w:val="MedianListStyle"/>
    <w:lvl w:ilvl="0" w:tplc="1178746E">
      <w:start w:val="1"/>
      <w:numFmt w:val="bullet"/>
      <w:lvlText w:val=""/>
      <w:lvlJc w:val="left"/>
      <w:pPr>
        <w:ind w:left="360" w:hanging="360"/>
      </w:pPr>
      <w:rPr>
        <w:rFonts w:ascii="Wingdings 2" w:hAnsi="Wingdings 2" w:hint="default"/>
        <w:color w:val="ED7D31" w:themeColor="accent2"/>
        <w:sz w:val="23"/>
      </w:rPr>
    </w:lvl>
    <w:lvl w:ilvl="1" w:tplc="0E52E2DA">
      <w:start w:val="1"/>
      <w:numFmt w:val="lowerLetter"/>
      <w:lvlText w:val="%2)"/>
      <w:lvlJc w:val="left"/>
      <w:pPr>
        <w:ind w:left="720" w:hanging="360"/>
      </w:pPr>
    </w:lvl>
    <w:lvl w:ilvl="2" w:tplc="6D8AE7B6">
      <w:start w:val="1"/>
      <w:numFmt w:val="lowerRoman"/>
      <w:lvlText w:val="%3)"/>
      <w:lvlJc w:val="left"/>
      <w:pPr>
        <w:ind w:left="1080" w:hanging="360"/>
      </w:pPr>
    </w:lvl>
    <w:lvl w:ilvl="3" w:tplc="C636B934">
      <w:start w:val="1"/>
      <w:numFmt w:val="decimal"/>
      <w:lvlText w:val="(%4)"/>
      <w:lvlJc w:val="left"/>
      <w:pPr>
        <w:ind w:left="1440" w:hanging="360"/>
      </w:pPr>
    </w:lvl>
    <w:lvl w:ilvl="4" w:tplc="7270A768">
      <w:start w:val="1"/>
      <w:numFmt w:val="lowerLetter"/>
      <w:lvlText w:val="(%5)"/>
      <w:lvlJc w:val="left"/>
      <w:pPr>
        <w:ind w:left="1800" w:hanging="360"/>
      </w:pPr>
    </w:lvl>
    <w:lvl w:ilvl="5" w:tplc="DADE33DA">
      <w:start w:val="1"/>
      <w:numFmt w:val="lowerRoman"/>
      <w:lvlText w:val="(%6)"/>
      <w:lvlJc w:val="left"/>
      <w:pPr>
        <w:ind w:left="2160" w:hanging="360"/>
      </w:pPr>
    </w:lvl>
    <w:lvl w:ilvl="6" w:tplc="C1543448">
      <w:start w:val="1"/>
      <w:numFmt w:val="decimal"/>
      <w:lvlText w:val="%7."/>
      <w:lvlJc w:val="left"/>
      <w:pPr>
        <w:ind w:left="2520" w:hanging="360"/>
      </w:pPr>
    </w:lvl>
    <w:lvl w:ilvl="7" w:tplc="3040725E">
      <w:start w:val="1"/>
      <w:numFmt w:val="lowerLetter"/>
      <w:lvlText w:val="%8."/>
      <w:lvlJc w:val="left"/>
      <w:pPr>
        <w:ind w:left="2880" w:hanging="360"/>
      </w:pPr>
    </w:lvl>
    <w:lvl w:ilvl="8" w:tplc="FC585652">
      <w:start w:val="1"/>
      <w:numFmt w:val="lowerRoman"/>
      <w:lvlText w:val="%9."/>
      <w:lvlJc w:val="left"/>
      <w:pPr>
        <w:ind w:left="3240" w:hanging="360"/>
      </w:pPr>
    </w:lvl>
  </w:abstractNum>
  <w:abstractNum w:abstractNumId="9" w15:restartNumberingAfterBreak="0">
    <w:nsid w:val="32604A56"/>
    <w:multiLevelType w:val="hybridMultilevel"/>
    <w:tmpl w:val="5FE082EE"/>
    <w:lvl w:ilvl="0" w:tplc="4628B9D4">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1F6D42"/>
    <w:multiLevelType w:val="multilevel"/>
    <w:tmpl w:val="2D4034F0"/>
    <w:styleLink w:val="Headings"/>
    <w:lvl w:ilvl="0">
      <w:start w:val="1"/>
      <w:numFmt w:val="decimal"/>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720"/>
        </w:tabs>
        <w:ind w:left="1368" w:hanging="648"/>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440"/>
        </w:tabs>
        <w:ind w:left="2304" w:hanging="864"/>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3780"/>
        </w:tabs>
        <w:ind w:left="4860" w:hanging="1080"/>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4176" w:hanging="1296"/>
      </w:pPr>
      <w:rPr>
        <w:rFonts w:ascii="Arial" w:hAnsi="Arial" w:hint="default"/>
        <w:b/>
        <w:i w:val="0"/>
        <w:sz w:val="26"/>
      </w:rPr>
    </w:lvl>
    <w:lvl w:ilvl="5">
      <w:start w:val="1"/>
      <w:numFmt w:val="decimal"/>
      <w:lvlText w:val="%1.%2.%3.%4.%5.%6."/>
      <w:lvlJc w:val="left"/>
      <w:pPr>
        <w:tabs>
          <w:tab w:val="num" w:pos="3600"/>
        </w:tabs>
        <w:ind w:left="5112" w:hanging="1512"/>
      </w:pPr>
      <w:rPr>
        <w:rFonts w:ascii="Arial" w:hAnsi="Arial" w:hint="default"/>
        <w:b/>
        <w:i w:val="0"/>
        <w:sz w:val="26"/>
      </w:rPr>
    </w:lvl>
    <w:lvl w:ilvl="6">
      <w:start w:val="1"/>
      <w:numFmt w:val="decimal"/>
      <w:lvlText w:val="%1.%2.%3.%4.%5.%6.%7."/>
      <w:lvlJc w:val="left"/>
      <w:pPr>
        <w:tabs>
          <w:tab w:val="num" w:pos="4320"/>
        </w:tabs>
        <w:ind w:left="5760" w:hanging="1440"/>
      </w:pPr>
      <w:rPr>
        <w:rFonts w:ascii="Arial" w:hAnsi="Arial" w:hint="default"/>
        <w:b/>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1" w15:restartNumberingAfterBreak="0">
    <w:nsid w:val="3640612A"/>
    <w:multiLevelType w:val="hybridMultilevel"/>
    <w:tmpl w:val="1F9E418C"/>
    <w:lvl w:ilvl="0" w:tplc="5DE0CA64">
      <w:start w:val="1"/>
      <w:numFmt w:val="decimal"/>
      <w:pStyle w:val="ALJOP"/>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925B26"/>
    <w:multiLevelType w:val="hybridMultilevel"/>
    <w:tmpl w:val="FD286B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0103A6"/>
    <w:multiLevelType w:val="hybridMultilevel"/>
    <w:tmpl w:val="37B0D27C"/>
    <w:lvl w:ilvl="0" w:tplc="FFFFFFFF">
      <w:start w:val="1"/>
      <w:numFmt w:val="lowerLetter"/>
      <w:lvlText w:val="(%1)"/>
      <w:lvlJc w:val="left"/>
      <w:pPr>
        <w:ind w:left="1195" w:hanging="475"/>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A1713CD"/>
    <w:multiLevelType w:val="hybridMultilevel"/>
    <w:tmpl w:val="2B34E19A"/>
    <w:lvl w:ilvl="0" w:tplc="8BA0F02E">
      <w:start w:val="1"/>
      <w:numFmt w:val="decimal"/>
      <w:pStyle w:val="ALJHeading4"/>
      <w:lvlText w:val="%1.1.1.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802407"/>
    <w:multiLevelType w:val="multilevel"/>
    <w:tmpl w:val="808ACBA2"/>
    <w:lvl w:ilvl="0">
      <w:start w:val="1"/>
      <w:numFmt w:val="decimal"/>
      <w:pStyle w:val="Heading1"/>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720"/>
        </w:tabs>
        <w:ind w:left="1368" w:hanging="648"/>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440"/>
        </w:tabs>
        <w:ind w:left="2304" w:hanging="864"/>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ind w:left="331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4176" w:hanging="1296"/>
      </w:pPr>
      <w:rPr>
        <w:rFonts w:ascii="Arial" w:hAnsi="Arial" w:hint="default"/>
        <w:b/>
        <w:i w:val="0"/>
        <w:sz w:val="26"/>
      </w:rPr>
    </w:lvl>
    <w:lvl w:ilvl="5">
      <w:start w:val="1"/>
      <w:numFmt w:val="decimal"/>
      <w:pStyle w:val="Heading6"/>
      <w:lvlText w:val="%1.%2.%3.%4.%5.%6."/>
      <w:lvlJc w:val="left"/>
      <w:pPr>
        <w:tabs>
          <w:tab w:val="num" w:pos="3600"/>
        </w:tabs>
        <w:ind w:left="5112" w:hanging="1512"/>
      </w:pPr>
      <w:rPr>
        <w:rFonts w:ascii="Arial" w:hAnsi="Arial" w:hint="default"/>
        <w:b/>
        <w:i w:val="0"/>
        <w:sz w:val="26"/>
      </w:rPr>
    </w:lvl>
    <w:lvl w:ilvl="6">
      <w:start w:val="1"/>
      <w:numFmt w:val="decimal"/>
      <w:lvlText w:val="%1.%2.%3.%4.%5.%6.%7."/>
      <w:lvlJc w:val="left"/>
      <w:pPr>
        <w:tabs>
          <w:tab w:val="num" w:pos="4320"/>
        </w:tabs>
        <w:ind w:left="5760" w:hanging="1440"/>
      </w:pPr>
      <w:rPr>
        <w:rFonts w:ascii="Arial" w:hAnsi="Arial" w:hint="default"/>
        <w:b/>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6" w15:restartNumberingAfterBreak="0">
    <w:nsid w:val="4DC37CBB"/>
    <w:multiLevelType w:val="hybridMultilevel"/>
    <w:tmpl w:val="37B0D27C"/>
    <w:lvl w:ilvl="0" w:tplc="FFFFFFFF">
      <w:start w:val="1"/>
      <w:numFmt w:val="lowerLetter"/>
      <w:lvlText w:val="(%1)"/>
      <w:lvlJc w:val="left"/>
      <w:pPr>
        <w:ind w:left="1195" w:hanging="475"/>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FFF2016"/>
    <w:multiLevelType w:val="hybridMultilevel"/>
    <w:tmpl w:val="37B0D27C"/>
    <w:lvl w:ilvl="0" w:tplc="FFFFFFFF">
      <w:start w:val="1"/>
      <w:numFmt w:val="lowerLetter"/>
      <w:lvlText w:val="(%1)"/>
      <w:lvlJc w:val="left"/>
      <w:pPr>
        <w:ind w:left="1195" w:hanging="475"/>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57924542"/>
    <w:multiLevelType w:val="hybridMultilevel"/>
    <w:tmpl w:val="BEFA3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D042D7"/>
    <w:multiLevelType w:val="multilevel"/>
    <w:tmpl w:val="42ECB9BC"/>
    <w:styleLink w:val="FoFCoLOP2"/>
    <w:lvl w:ilvl="0">
      <w:start w:val="1"/>
      <w:numFmt w:val="decimal"/>
      <w:pStyle w:val="FoF"/>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0" w15:restartNumberingAfterBreak="0">
    <w:nsid w:val="76BB26EA"/>
    <w:multiLevelType w:val="hybridMultilevel"/>
    <w:tmpl w:val="BD5CE3E0"/>
    <w:lvl w:ilvl="0" w:tplc="8AEE595E">
      <w:start w:val="1"/>
      <w:numFmt w:val="decimal"/>
      <w:lvlText w:val="%1."/>
      <w:lvlJc w:val="right"/>
      <w:pPr>
        <w:ind w:left="0" w:firstLine="540"/>
      </w:pPr>
      <w:rPr>
        <w:rFonts w:hint="default"/>
      </w:rPr>
    </w:lvl>
    <w:lvl w:ilvl="1" w:tplc="6F626DBE">
      <w:start w:val="1"/>
      <w:numFmt w:val="lowerLetter"/>
      <w:lvlText w:val="(%2)"/>
      <w:lvlJc w:val="right"/>
      <w:pPr>
        <w:ind w:left="1152" w:hanging="72"/>
      </w:pPr>
      <w:rPr>
        <w:rFonts w:hint="default"/>
      </w:rPr>
    </w:lvl>
    <w:lvl w:ilvl="2" w:tplc="7BF85556">
      <w:start w:val="1"/>
      <w:numFmt w:val="none"/>
      <w:lvlText w:val=""/>
      <w:lvlJc w:val="left"/>
      <w:pPr>
        <w:ind w:left="720" w:firstLine="0"/>
      </w:pPr>
      <w:rPr>
        <w:rFonts w:hint="default"/>
      </w:rPr>
    </w:lvl>
    <w:lvl w:ilvl="3" w:tplc="56CAE376">
      <w:start w:val="1"/>
      <w:numFmt w:val="none"/>
      <w:lvlText w:val=""/>
      <w:lvlJc w:val="left"/>
      <w:pPr>
        <w:ind w:left="720" w:firstLine="0"/>
      </w:pPr>
      <w:rPr>
        <w:rFonts w:hint="default"/>
      </w:rPr>
    </w:lvl>
    <w:lvl w:ilvl="4" w:tplc="D604CE56">
      <w:start w:val="1"/>
      <w:numFmt w:val="none"/>
      <w:lvlText w:val=""/>
      <w:lvlJc w:val="left"/>
      <w:pPr>
        <w:ind w:left="720" w:firstLine="0"/>
      </w:pPr>
      <w:rPr>
        <w:rFonts w:hint="default"/>
      </w:rPr>
    </w:lvl>
    <w:lvl w:ilvl="5" w:tplc="3E7EBAFC">
      <w:start w:val="1"/>
      <w:numFmt w:val="none"/>
      <w:lvlText w:val=""/>
      <w:lvlJc w:val="left"/>
      <w:pPr>
        <w:ind w:left="720" w:firstLine="0"/>
      </w:pPr>
      <w:rPr>
        <w:rFonts w:hint="default"/>
      </w:rPr>
    </w:lvl>
    <w:lvl w:ilvl="6" w:tplc="D0A4D682">
      <w:start w:val="1"/>
      <w:numFmt w:val="none"/>
      <w:lvlText w:val=""/>
      <w:lvlJc w:val="left"/>
      <w:pPr>
        <w:ind w:left="720" w:firstLine="0"/>
      </w:pPr>
      <w:rPr>
        <w:rFonts w:hint="default"/>
      </w:rPr>
    </w:lvl>
    <w:lvl w:ilvl="7" w:tplc="D24A21B8">
      <w:start w:val="1"/>
      <w:numFmt w:val="none"/>
      <w:lvlText w:val=""/>
      <w:lvlJc w:val="left"/>
      <w:pPr>
        <w:ind w:left="720" w:firstLine="0"/>
      </w:pPr>
      <w:rPr>
        <w:rFonts w:hint="default"/>
      </w:rPr>
    </w:lvl>
    <w:lvl w:ilvl="8" w:tplc="040CC27A">
      <w:start w:val="1"/>
      <w:numFmt w:val="none"/>
      <w:lvlText w:val=""/>
      <w:lvlJc w:val="left"/>
      <w:pPr>
        <w:ind w:left="720" w:firstLine="0"/>
      </w:pPr>
      <w:rPr>
        <w:rFonts w:hint="default"/>
      </w:rPr>
    </w:lvl>
  </w:abstractNum>
  <w:abstractNum w:abstractNumId="21" w15:restartNumberingAfterBreak="0">
    <w:nsid w:val="7D0A355B"/>
    <w:multiLevelType w:val="hybridMultilevel"/>
    <w:tmpl w:val="02166100"/>
    <w:lvl w:ilvl="0" w:tplc="CC48861C">
      <w:start w:val="1"/>
      <w:numFmt w:val="decimal"/>
      <w:pStyle w:val="FindingofFAct"/>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52650683">
    <w:abstractNumId w:val="4"/>
  </w:num>
  <w:num w:numId="2" w16cid:durableId="1244296959">
    <w:abstractNumId w:val="0"/>
  </w:num>
  <w:num w:numId="3" w16cid:durableId="1800998495">
    <w:abstractNumId w:val="21"/>
  </w:num>
  <w:num w:numId="4" w16cid:durableId="65348121">
    <w:abstractNumId w:val="7"/>
  </w:num>
  <w:num w:numId="5" w16cid:durableId="2059820337">
    <w:abstractNumId w:val="11"/>
  </w:num>
  <w:num w:numId="6" w16cid:durableId="1530072925">
    <w:abstractNumId w:val="14"/>
  </w:num>
  <w:num w:numId="7" w16cid:durableId="1602421092">
    <w:abstractNumId w:val="9"/>
  </w:num>
  <w:num w:numId="8" w16cid:durableId="1795709332">
    <w:abstractNumId w:val="6"/>
  </w:num>
  <w:num w:numId="9" w16cid:durableId="1455757724">
    <w:abstractNumId w:val="20"/>
  </w:num>
  <w:num w:numId="10" w16cid:durableId="3366719">
    <w:abstractNumId w:val="1"/>
  </w:num>
  <w:num w:numId="11" w16cid:durableId="772018152">
    <w:abstractNumId w:val="8"/>
  </w:num>
  <w:num w:numId="12" w16cid:durableId="941643006">
    <w:abstractNumId w:val="10"/>
  </w:num>
  <w:num w:numId="13" w16cid:durableId="686444951">
    <w:abstractNumId w:val="19"/>
  </w:num>
  <w:num w:numId="14" w16cid:durableId="1643190651">
    <w:abstractNumId w:val="5"/>
  </w:num>
  <w:num w:numId="15" w16cid:durableId="2116829387">
    <w:abstractNumId w:val="19"/>
    <w:lvlOverride w:ilvl="0">
      <w:lvl w:ilvl="0">
        <w:start w:val="1"/>
        <w:numFmt w:val="decimal"/>
        <w:pStyle w:val="FoF"/>
        <w:lvlText w:val="%1."/>
        <w:lvlJc w:val="right"/>
        <w:pPr>
          <w:ind w:left="0" w:firstLine="540"/>
        </w:pPr>
        <w:rPr>
          <w:rFonts w:hint="default"/>
        </w:rPr>
      </w:lvl>
    </w:lvlOverride>
    <w:lvlOverride w:ilvl="1">
      <w:lvl w:ilvl="1">
        <w:start w:val="1"/>
        <w:numFmt w:val="lowerLetter"/>
        <w:lvlText w:val="(%2)"/>
        <w:lvlJc w:val="right"/>
        <w:pPr>
          <w:ind w:left="475" w:firstLine="605"/>
        </w:pPr>
        <w:rPr>
          <w:rFonts w:hint="default"/>
        </w:rPr>
      </w:lvl>
    </w:lvlOverride>
    <w:lvlOverride w:ilvl="2">
      <w:lvl w:ilvl="2">
        <w:start w:val="1"/>
        <w:numFmt w:val="none"/>
        <w:lvlText w:val=""/>
        <w:lvlJc w:val="left"/>
        <w:pPr>
          <w:ind w:left="720" w:firstLine="0"/>
        </w:pPr>
        <w:rPr>
          <w:rFonts w:hint="default"/>
        </w:rPr>
      </w:lvl>
    </w:lvlOverride>
    <w:lvlOverride w:ilvl="3">
      <w:lvl w:ilvl="3">
        <w:start w:val="1"/>
        <w:numFmt w:val="none"/>
        <w:lvlText w:val=""/>
        <w:lvlJc w:val="left"/>
        <w:pPr>
          <w:ind w:left="720" w:firstLine="0"/>
        </w:pPr>
        <w:rPr>
          <w:rFonts w:hint="default"/>
        </w:rPr>
      </w:lvl>
    </w:lvlOverride>
    <w:lvlOverride w:ilvl="4">
      <w:lvl w:ilvl="4">
        <w:start w:val="1"/>
        <w:numFmt w:val="none"/>
        <w:lvlText w:val=""/>
        <w:lvlJc w:val="left"/>
        <w:pPr>
          <w:ind w:left="720" w:firstLine="0"/>
        </w:pPr>
        <w:rPr>
          <w:rFonts w:hint="default"/>
        </w:rPr>
      </w:lvl>
    </w:lvlOverride>
    <w:lvlOverride w:ilvl="5">
      <w:lvl w:ilvl="5">
        <w:start w:val="1"/>
        <w:numFmt w:val="none"/>
        <w:lvlText w:val=""/>
        <w:lvlJc w:val="left"/>
        <w:pPr>
          <w:ind w:left="720" w:firstLine="0"/>
        </w:pPr>
        <w:rPr>
          <w:rFonts w:hint="default"/>
        </w:rPr>
      </w:lvl>
    </w:lvlOverride>
    <w:lvlOverride w:ilvl="6">
      <w:lvl w:ilvl="6">
        <w:start w:val="1"/>
        <w:numFmt w:val="none"/>
        <w:lvlText w:val=""/>
        <w:lvlJc w:val="left"/>
        <w:pPr>
          <w:ind w:left="720" w:firstLine="0"/>
        </w:pPr>
        <w:rPr>
          <w:rFonts w:hint="default"/>
        </w:rPr>
      </w:lvl>
    </w:lvlOverride>
    <w:lvlOverride w:ilvl="7">
      <w:lvl w:ilvl="7">
        <w:start w:val="1"/>
        <w:numFmt w:val="none"/>
        <w:lvlText w:val=""/>
        <w:lvlJc w:val="left"/>
        <w:pPr>
          <w:ind w:left="720" w:firstLine="0"/>
        </w:pPr>
        <w:rPr>
          <w:rFonts w:hint="default"/>
        </w:rPr>
      </w:lvl>
    </w:lvlOverride>
    <w:lvlOverride w:ilvl="8">
      <w:lvl w:ilvl="8">
        <w:start w:val="1"/>
        <w:numFmt w:val="none"/>
        <w:lvlText w:val=""/>
        <w:lvlJc w:val="left"/>
        <w:pPr>
          <w:ind w:left="720" w:firstLine="0"/>
        </w:pPr>
        <w:rPr>
          <w:rFonts w:hint="default"/>
        </w:rPr>
      </w:lvl>
    </w:lvlOverride>
  </w:num>
  <w:num w:numId="16" w16cid:durableId="1758667240">
    <w:abstractNumId w:val="18"/>
  </w:num>
  <w:num w:numId="17" w16cid:durableId="1400327243">
    <w:abstractNumId w:val="15"/>
  </w:num>
  <w:num w:numId="18" w16cid:durableId="1031800875">
    <w:abstractNumId w:val="3"/>
  </w:num>
  <w:num w:numId="19" w16cid:durableId="2114936491">
    <w:abstractNumId w:val="16"/>
  </w:num>
  <w:num w:numId="20" w16cid:durableId="1719932571">
    <w:abstractNumId w:val="17"/>
  </w:num>
  <w:num w:numId="21" w16cid:durableId="1052385423">
    <w:abstractNumId w:val="13"/>
  </w:num>
  <w:num w:numId="22" w16cid:durableId="2031952905">
    <w:abstractNumId w:val="2"/>
  </w:num>
  <w:num w:numId="23" w16cid:durableId="826164059">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80"/>
    <w:rsid w:val="00000161"/>
    <w:rsid w:val="00000234"/>
    <w:rsid w:val="0000050C"/>
    <w:rsid w:val="00000590"/>
    <w:rsid w:val="00000602"/>
    <w:rsid w:val="00000868"/>
    <w:rsid w:val="000008E7"/>
    <w:rsid w:val="00000A0D"/>
    <w:rsid w:val="00000AF1"/>
    <w:rsid w:val="00000C49"/>
    <w:rsid w:val="00000E2D"/>
    <w:rsid w:val="00000F05"/>
    <w:rsid w:val="00000F6A"/>
    <w:rsid w:val="0000103F"/>
    <w:rsid w:val="000010D1"/>
    <w:rsid w:val="000012B1"/>
    <w:rsid w:val="00001431"/>
    <w:rsid w:val="000015F0"/>
    <w:rsid w:val="00001618"/>
    <w:rsid w:val="000016A2"/>
    <w:rsid w:val="0000185F"/>
    <w:rsid w:val="000019BB"/>
    <w:rsid w:val="00001B04"/>
    <w:rsid w:val="00001B6C"/>
    <w:rsid w:val="00001BAF"/>
    <w:rsid w:val="00001C89"/>
    <w:rsid w:val="00001D2D"/>
    <w:rsid w:val="00001D36"/>
    <w:rsid w:val="00001D4A"/>
    <w:rsid w:val="00001DE1"/>
    <w:rsid w:val="00001EDF"/>
    <w:rsid w:val="00001F46"/>
    <w:rsid w:val="0000207F"/>
    <w:rsid w:val="000020F8"/>
    <w:rsid w:val="0000218D"/>
    <w:rsid w:val="0000257D"/>
    <w:rsid w:val="000025F0"/>
    <w:rsid w:val="0000268F"/>
    <w:rsid w:val="000027AE"/>
    <w:rsid w:val="0000288A"/>
    <w:rsid w:val="00002986"/>
    <w:rsid w:val="00002A94"/>
    <w:rsid w:val="00002BCC"/>
    <w:rsid w:val="000030EE"/>
    <w:rsid w:val="0000319C"/>
    <w:rsid w:val="0000329D"/>
    <w:rsid w:val="00003429"/>
    <w:rsid w:val="0000348D"/>
    <w:rsid w:val="00003637"/>
    <w:rsid w:val="000037F0"/>
    <w:rsid w:val="00003876"/>
    <w:rsid w:val="00003CA7"/>
    <w:rsid w:val="00003E2C"/>
    <w:rsid w:val="00003E3B"/>
    <w:rsid w:val="0000400A"/>
    <w:rsid w:val="00004031"/>
    <w:rsid w:val="00004456"/>
    <w:rsid w:val="000044B1"/>
    <w:rsid w:val="00004560"/>
    <w:rsid w:val="0000462E"/>
    <w:rsid w:val="000046DD"/>
    <w:rsid w:val="0000471C"/>
    <w:rsid w:val="000049DB"/>
    <w:rsid w:val="00004B34"/>
    <w:rsid w:val="00004B9D"/>
    <w:rsid w:val="000050B6"/>
    <w:rsid w:val="000052C7"/>
    <w:rsid w:val="000053BD"/>
    <w:rsid w:val="000055C5"/>
    <w:rsid w:val="0000563F"/>
    <w:rsid w:val="000056EA"/>
    <w:rsid w:val="0000647B"/>
    <w:rsid w:val="0000671D"/>
    <w:rsid w:val="00006B3D"/>
    <w:rsid w:val="00006EE8"/>
    <w:rsid w:val="00006F17"/>
    <w:rsid w:val="00007028"/>
    <w:rsid w:val="000075EE"/>
    <w:rsid w:val="00007683"/>
    <w:rsid w:val="000077B6"/>
    <w:rsid w:val="00007CB4"/>
    <w:rsid w:val="00007CEC"/>
    <w:rsid w:val="00007D21"/>
    <w:rsid w:val="00007DD2"/>
    <w:rsid w:val="00007E0F"/>
    <w:rsid w:val="00007EA4"/>
    <w:rsid w:val="00007EAD"/>
    <w:rsid w:val="00007F16"/>
    <w:rsid w:val="00007F1A"/>
    <w:rsid w:val="00007F9F"/>
    <w:rsid w:val="00010039"/>
    <w:rsid w:val="000103F4"/>
    <w:rsid w:val="0001066A"/>
    <w:rsid w:val="00010674"/>
    <w:rsid w:val="00010B13"/>
    <w:rsid w:val="0001104A"/>
    <w:rsid w:val="0001107B"/>
    <w:rsid w:val="00011734"/>
    <w:rsid w:val="000117C3"/>
    <w:rsid w:val="000119C5"/>
    <w:rsid w:val="00011B28"/>
    <w:rsid w:val="00011CC8"/>
    <w:rsid w:val="00011FB7"/>
    <w:rsid w:val="00012162"/>
    <w:rsid w:val="00012237"/>
    <w:rsid w:val="00012369"/>
    <w:rsid w:val="00012C2B"/>
    <w:rsid w:val="00012F4D"/>
    <w:rsid w:val="000135D3"/>
    <w:rsid w:val="0001366C"/>
    <w:rsid w:val="00013A9D"/>
    <w:rsid w:val="00013B1C"/>
    <w:rsid w:val="00013B3D"/>
    <w:rsid w:val="000143F1"/>
    <w:rsid w:val="00014469"/>
    <w:rsid w:val="00014AA7"/>
    <w:rsid w:val="00014BA9"/>
    <w:rsid w:val="00014FB6"/>
    <w:rsid w:val="00015061"/>
    <w:rsid w:val="0001511E"/>
    <w:rsid w:val="0001534D"/>
    <w:rsid w:val="000153EA"/>
    <w:rsid w:val="00015497"/>
    <w:rsid w:val="00015555"/>
    <w:rsid w:val="000155AC"/>
    <w:rsid w:val="000155B7"/>
    <w:rsid w:val="000158B9"/>
    <w:rsid w:val="00015B71"/>
    <w:rsid w:val="00015B7B"/>
    <w:rsid w:val="00015BDD"/>
    <w:rsid w:val="00015CA3"/>
    <w:rsid w:val="00015FA2"/>
    <w:rsid w:val="000160C1"/>
    <w:rsid w:val="000163EF"/>
    <w:rsid w:val="000163FF"/>
    <w:rsid w:val="00016402"/>
    <w:rsid w:val="00016523"/>
    <w:rsid w:val="00016990"/>
    <w:rsid w:val="00016A06"/>
    <w:rsid w:val="00016C91"/>
    <w:rsid w:val="00016DEB"/>
    <w:rsid w:val="00016EE3"/>
    <w:rsid w:val="000170D5"/>
    <w:rsid w:val="0001737A"/>
    <w:rsid w:val="00017620"/>
    <w:rsid w:val="00017631"/>
    <w:rsid w:val="00017903"/>
    <w:rsid w:val="0001795E"/>
    <w:rsid w:val="00017B61"/>
    <w:rsid w:val="00017BAE"/>
    <w:rsid w:val="00017BE1"/>
    <w:rsid w:val="00017BE4"/>
    <w:rsid w:val="00020079"/>
    <w:rsid w:val="0002028C"/>
    <w:rsid w:val="00020377"/>
    <w:rsid w:val="0002039F"/>
    <w:rsid w:val="000204C5"/>
    <w:rsid w:val="0002055D"/>
    <w:rsid w:val="0002065E"/>
    <w:rsid w:val="000209D2"/>
    <w:rsid w:val="00020A17"/>
    <w:rsid w:val="00020CD9"/>
    <w:rsid w:val="0002108F"/>
    <w:rsid w:val="0002140A"/>
    <w:rsid w:val="00021456"/>
    <w:rsid w:val="000215D4"/>
    <w:rsid w:val="0002169E"/>
    <w:rsid w:val="00021A27"/>
    <w:rsid w:val="00021AFD"/>
    <w:rsid w:val="00021B02"/>
    <w:rsid w:val="00021B50"/>
    <w:rsid w:val="00021CD5"/>
    <w:rsid w:val="00021FCD"/>
    <w:rsid w:val="00022225"/>
    <w:rsid w:val="00022391"/>
    <w:rsid w:val="00022504"/>
    <w:rsid w:val="0002299C"/>
    <w:rsid w:val="00022A20"/>
    <w:rsid w:val="00022B67"/>
    <w:rsid w:val="00022C2C"/>
    <w:rsid w:val="00022E1A"/>
    <w:rsid w:val="00022EC5"/>
    <w:rsid w:val="00022ED6"/>
    <w:rsid w:val="00022FD6"/>
    <w:rsid w:val="000230B4"/>
    <w:rsid w:val="00023644"/>
    <w:rsid w:val="000237BC"/>
    <w:rsid w:val="000239F1"/>
    <w:rsid w:val="00023A4F"/>
    <w:rsid w:val="00023C6D"/>
    <w:rsid w:val="00023D57"/>
    <w:rsid w:val="00023D74"/>
    <w:rsid w:val="00023D94"/>
    <w:rsid w:val="00023E64"/>
    <w:rsid w:val="0002465A"/>
    <w:rsid w:val="0002487A"/>
    <w:rsid w:val="00024948"/>
    <w:rsid w:val="0002497B"/>
    <w:rsid w:val="00024B06"/>
    <w:rsid w:val="00024B8F"/>
    <w:rsid w:val="00024CCF"/>
    <w:rsid w:val="00024DBA"/>
    <w:rsid w:val="00024FBB"/>
    <w:rsid w:val="00025219"/>
    <w:rsid w:val="000253BC"/>
    <w:rsid w:val="0002590C"/>
    <w:rsid w:val="0002592F"/>
    <w:rsid w:val="000259F7"/>
    <w:rsid w:val="00025C92"/>
    <w:rsid w:val="00025EC7"/>
    <w:rsid w:val="00025F3C"/>
    <w:rsid w:val="00025FC8"/>
    <w:rsid w:val="0002610F"/>
    <w:rsid w:val="000262EC"/>
    <w:rsid w:val="00026361"/>
    <w:rsid w:val="00026395"/>
    <w:rsid w:val="0002640E"/>
    <w:rsid w:val="000267A3"/>
    <w:rsid w:val="0002686C"/>
    <w:rsid w:val="00026A42"/>
    <w:rsid w:val="00026AA7"/>
    <w:rsid w:val="00026ACA"/>
    <w:rsid w:val="00026DD8"/>
    <w:rsid w:val="00026EE4"/>
    <w:rsid w:val="00026FCF"/>
    <w:rsid w:val="00027112"/>
    <w:rsid w:val="0002737D"/>
    <w:rsid w:val="000273C2"/>
    <w:rsid w:val="000276A7"/>
    <w:rsid w:val="00027AD2"/>
    <w:rsid w:val="00027CAD"/>
    <w:rsid w:val="00027DFF"/>
    <w:rsid w:val="0003001E"/>
    <w:rsid w:val="0003033F"/>
    <w:rsid w:val="000305DE"/>
    <w:rsid w:val="0003062E"/>
    <w:rsid w:val="000307D3"/>
    <w:rsid w:val="000307F3"/>
    <w:rsid w:val="00030857"/>
    <w:rsid w:val="00030B0B"/>
    <w:rsid w:val="00030D5F"/>
    <w:rsid w:val="00030F15"/>
    <w:rsid w:val="00030F42"/>
    <w:rsid w:val="00030FAF"/>
    <w:rsid w:val="0003119A"/>
    <w:rsid w:val="000313C4"/>
    <w:rsid w:val="000316EB"/>
    <w:rsid w:val="000317FF"/>
    <w:rsid w:val="00031819"/>
    <w:rsid w:val="000318D4"/>
    <w:rsid w:val="00031990"/>
    <w:rsid w:val="00031A29"/>
    <w:rsid w:val="00031CFF"/>
    <w:rsid w:val="00031E1C"/>
    <w:rsid w:val="00031F65"/>
    <w:rsid w:val="00031F6E"/>
    <w:rsid w:val="00032191"/>
    <w:rsid w:val="000321D3"/>
    <w:rsid w:val="00032351"/>
    <w:rsid w:val="0003238B"/>
    <w:rsid w:val="00032536"/>
    <w:rsid w:val="0003262F"/>
    <w:rsid w:val="00032A96"/>
    <w:rsid w:val="00032C55"/>
    <w:rsid w:val="00032DAF"/>
    <w:rsid w:val="00032F9C"/>
    <w:rsid w:val="0003305E"/>
    <w:rsid w:val="000330F6"/>
    <w:rsid w:val="0003333A"/>
    <w:rsid w:val="0003377B"/>
    <w:rsid w:val="000338E5"/>
    <w:rsid w:val="00033974"/>
    <w:rsid w:val="00033F72"/>
    <w:rsid w:val="000341BA"/>
    <w:rsid w:val="000342C0"/>
    <w:rsid w:val="00034331"/>
    <w:rsid w:val="00034378"/>
    <w:rsid w:val="00034414"/>
    <w:rsid w:val="0003459B"/>
    <w:rsid w:val="000346CF"/>
    <w:rsid w:val="00034798"/>
    <w:rsid w:val="00034D83"/>
    <w:rsid w:val="00034EE4"/>
    <w:rsid w:val="00034F8B"/>
    <w:rsid w:val="00034FED"/>
    <w:rsid w:val="0003503C"/>
    <w:rsid w:val="00035140"/>
    <w:rsid w:val="000353CA"/>
    <w:rsid w:val="0003541C"/>
    <w:rsid w:val="00035550"/>
    <w:rsid w:val="0003558A"/>
    <w:rsid w:val="000355B8"/>
    <w:rsid w:val="0003584F"/>
    <w:rsid w:val="000359E1"/>
    <w:rsid w:val="00035B1E"/>
    <w:rsid w:val="00035BB6"/>
    <w:rsid w:val="00035D63"/>
    <w:rsid w:val="00035DA9"/>
    <w:rsid w:val="00035DEB"/>
    <w:rsid w:val="0003600C"/>
    <w:rsid w:val="00036153"/>
    <w:rsid w:val="000362D6"/>
    <w:rsid w:val="0003633D"/>
    <w:rsid w:val="00036381"/>
    <w:rsid w:val="000365BE"/>
    <w:rsid w:val="00036996"/>
    <w:rsid w:val="00036A9D"/>
    <w:rsid w:val="00036B7D"/>
    <w:rsid w:val="00036D21"/>
    <w:rsid w:val="00036D97"/>
    <w:rsid w:val="00036FE3"/>
    <w:rsid w:val="000375F0"/>
    <w:rsid w:val="00037909"/>
    <w:rsid w:val="00037944"/>
    <w:rsid w:val="00037D71"/>
    <w:rsid w:val="00037EFA"/>
    <w:rsid w:val="00037FCF"/>
    <w:rsid w:val="00040040"/>
    <w:rsid w:val="000401FD"/>
    <w:rsid w:val="000407D2"/>
    <w:rsid w:val="00040A71"/>
    <w:rsid w:val="00040DE1"/>
    <w:rsid w:val="0004103A"/>
    <w:rsid w:val="00041064"/>
    <w:rsid w:val="000410FF"/>
    <w:rsid w:val="000411C0"/>
    <w:rsid w:val="000412EE"/>
    <w:rsid w:val="00041900"/>
    <w:rsid w:val="0004193F"/>
    <w:rsid w:val="00041940"/>
    <w:rsid w:val="00041B0A"/>
    <w:rsid w:val="00041C0F"/>
    <w:rsid w:val="00041C68"/>
    <w:rsid w:val="00041E02"/>
    <w:rsid w:val="00041E59"/>
    <w:rsid w:val="000420AC"/>
    <w:rsid w:val="0004216B"/>
    <w:rsid w:val="00042324"/>
    <w:rsid w:val="00042326"/>
    <w:rsid w:val="00042497"/>
    <w:rsid w:val="000429FD"/>
    <w:rsid w:val="00042BF8"/>
    <w:rsid w:val="00042DFC"/>
    <w:rsid w:val="000431D5"/>
    <w:rsid w:val="000432B0"/>
    <w:rsid w:val="00043367"/>
    <w:rsid w:val="0004349A"/>
    <w:rsid w:val="000434B6"/>
    <w:rsid w:val="000439E0"/>
    <w:rsid w:val="00043C36"/>
    <w:rsid w:val="00043D19"/>
    <w:rsid w:val="00043EE8"/>
    <w:rsid w:val="00044180"/>
    <w:rsid w:val="000441C9"/>
    <w:rsid w:val="00044214"/>
    <w:rsid w:val="000442B7"/>
    <w:rsid w:val="000444A9"/>
    <w:rsid w:val="0004475F"/>
    <w:rsid w:val="0004483B"/>
    <w:rsid w:val="000449C8"/>
    <w:rsid w:val="00044C27"/>
    <w:rsid w:val="00044C34"/>
    <w:rsid w:val="00044CCC"/>
    <w:rsid w:val="00044CDC"/>
    <w:rsid w:val="00044F3F"/>
    <w:rsid w:val="0004518E"/>
    <w:rsid w:val="000451AB"/>
    <w:rsid w:val="00045210"/>
    <w:rsid w:val="00045228"/>
    <w:rsid w:val="0004529C"/>
    <w:rsid w:val="000453C6"/>
    <w:rsid w:val="00045468"/>
    <w:rsid w:val="0004554B"/>
    <w:rsid w:val="000455C7"/>
    <w:rsid w:val="000456F4"/>
    <w:rsid w:val="00045C67"/>
    <w:rsid w:val="00045FF4"/>
    <w:rsid w:val="000460BD"/>
    <w:rsid w:val="000460E6"/>
    <w:rsid w:val="000461D7"/>
    <w:rsid w:val="000462D9"/>
    <w:rsid w:val="000462E1"/>
    <w:rsid w:val="00046314"/>
    <w:rsid w:val="00046385"/>
    <w:rsid w:val="00046590"/>
    <w:rsid w:val="000465BF"/>
    <w:rsid w:val="00046733"/>
    <w:rsid w:val="00046853"/>
    <w:rsid w:val="000469A0"/>
    <w:rsid w:val="00046C76"/>
    <w:rsid w:val="00046CBD"/>
    <w:rsid w:val="00046CE2"/>
    <w:rsid w:val="00046EDE"/>
    <w:rsid w:val="00047178"/>
    <w:rsid w:val="0004728F"/>
    <w:rsid w:val="00047520"/>
    <w:rsid w:val="00047607"/>
    <w:rsid w:val="00047625"/>
    <w:rsid w:val="0004763B"/>
    <w:rsid w:val="000476CE"/>
    <w:rsid w:val="00047789"/>
    <w:rsid w:val="000479E4"/>
    <w:rsid w:val="00047B7C"/>
    <w:rsid w:val="0005002D"/>
    <w:rsid w:val="000500BE"/>
    <w:rsid w:val="00050123"/>
    <w:rsid w:val="00050349"/>
    <w:rsid w:val="000503CA"/>
    <w:rsid w:val="000504A8"/>
    <w:rsid w:val="000505A4"/>
    <w:rsid w:val="000505B1"/>
    <w:rsid w:val="000506D1"/>
    <w:rsid w:val="00050A39"/>
    <w:rsid w:val="00050A6B"/>
    <w:rsid w:val="00050BC3"/>
    <w:rsid w:val="00050E18"/>
    <w:rsid w:val="00050F5D"/>
    <w:rsid w:val="00050F69"/>
    <w:rsid w:val="00050FB8"/>
    <w:rsid w:val="000511D4"/>
    <w:rsid w:val="000511DC"/>
    <w:rsid w:val="00051208"/>
    <w:rsid w:val="00051440"/>
    <w:rsid w:val="00051535"/>
    <w:rsid w:val="000515FA"/>
    <w:rsid w:val="0005193F"/>
    <w:rsid w:val="00051CE7"/>
    <w:rsid w:val="00051EAE"/>
    <w:rsid w:val="00051F15"/>
    <w:rsid w:val="0005221D"/>
    <w:rsid w:val="00052773"/>
    <w:rsid w:val="00052930"/>
    <w:rsid w:val="00052C15"/>
    <w:rsid w:val="00052C4C"/>
    <w:rsid w:val="00052F37"/>
    <w:rsid w:val="00053208"/>
    <w:rsid w:val="00053477"/>
    <w:rsid w:val="00053480"/>
    <w:rsid w:val="000535E3"/>
    <w:rsid w:val="0005369B"/>
    <w:rsid w:val="000536B1"/>
    <w:rsid w:val="000536E6"/>
    <w:rsid w:val="000537B6"/>
    <w:rsid w:val="00053835"/>
    <w:rsid w:val="000539FD"/>
    <w:rsid w:val="00053CB5"/>
    <w:rsid w:val="00053E84"/>
    <w:rsid w:val="00054115"/>
    <w:rsid w:val="00054195"/>
    <w:rsid w:val="0005419D"/>
    <w:rsid w:val="000544AC"/>
    <w:rsid w:val="000545EF"/>
    <w:rsid w:val="000547C4"/>
    <w:rsid w:val="000548F6"/>
    <w:rsid w:val="00054AED"/>
    <w:rsid w:val="00054B32"/>
    <w:rsid w:val="00054E56"/>
    <w:rsid w:val="000551DD"/>
    <w:rsid w:val="0005524E"/>
    <w:rsid w:val="00055440"/>
    <w:rsid w:val="00055558"/>
    <w:rsid w:val="0005571F"/>
    <w:rsid w:val="00055853"/>
    <w:rsid w:val="000558B5"/>
    <w:rsid w:val="00055950"/>
    <w:rsid w:val="00055AF0"/>
    <w:rsid w:val="00055BA5"/>
    <w:rsid w:val="00055D7D"/>
    <w:rsid w:val="00055DF6"/>
    <w:rsid w:val="00055E8E"/>
    <w:rsid w:val="00055F10"/>
    <w:rsid w:val="00055F5B"/>
    <w:rsid w:val="00055FA4"/>
    <w:rsid w:val="00055FE6"/>
    <w:rsid w:val="000560CC"/>
    <w:rsid w:val="000560F8"/>
    <w:rsid w:val="00056100"/>
    <w:rsid w:val="000562C8"/>
    <w:rsid w:val="000563AE"/>
    <w:rsid w:val="000563D3"/>
    <w:rsid w:val="00056A8A"/>
    <w:rsid w:val="00056BF5"/>
    <w:rsid w:val="00056EB8"/>
    <w:rsid w:val="00057054"/>
    <w:rsid w:val="000570A1"/>
    <w:rsid w:val="00057255"/>
    <w:rsid w:val="000572E5"/>
    <w:rsid w:val="00057574"/>
    <w:rsid w:val="0005760F"/>
    <w:rsid w:val="00057761"/>
    <w:rsid w:val="00057966"/>
    <w:rsid w:val="00057992"/>
    <w:rsid w:val="00057A2F"/>
    <w:rsid w:val="00057ED1"/>
    <w:rsid w:val="0006002B"/>
    <w:rsid w:val="00060129"/>
    <w:rsid w:val="00060617"/>
    <w:rsid w:val="000606C2"/>
    <w:rsid w:val="00060794"/>
    <w:rsid w:val="00060AD2"/>
    <w:rsid w:val="00060DA1"/>
    <w:rsid w:val="00060E82"/>
    <w:rsid w:val="00060EA6"/>
    <w:rsid w:val="0006149E"/>
    <w:rsid w:val="0006154E"/>
    <w:rsid w:val="00061AE5"/>
    <w:rsid w:val="00061B26"/>
    <w:rsid w:val="00061B67"/>
    <w:rsid w:val="00061B74"/>
    <w:rsid w:val="00061D24"/>
    <w:rsid w:val="00061D96"/>
    <w:rsid w:val="00061E99"/>
    <w:rsid w:val="0006225C"/>
    <w:rsid w:val="000625F3"/>
    <w:rsid w:val="0006273A"/>
    <w:rsid w:val="00062778"/>
    <w:rsid w:val="00062912"/>
    <w:rsid w:val="00062C8C"/>
    <w:rsid w:val="00062CC5"/>
    <w:rsid w:val="00062EBA"/>
    <w:rsid w:val="00062F37"/>
    <w:rsid w:val="00062FCB"/>
    <w:rsid w:val="000631B3"/>
    <w:rsid w:val="0006349B"/>
    <w:rsid w:val="0006350F"/>
    <w:rsid w:val="00063657"/>
    <w:rsid w:val="00063C50"/>
    <w:rsid w:val="00063DBB"/>
    <w:rsid w:val="00063E79"/>
    <w:rsid w:val="000644D7"/>
    <w:rsid w:val="00064536"/>
    <w:rsid w:val="0006454C"/>
    <w:rsid w:val="000645F7"/>
    <w:rsid w:val="00064836"/>
    <w:rsid w:val="00064EAE"/>
    <w:rsid w:val="00064F18"/>
    <w:rsid w:val="000651B0"/>
    <w:rsid w:val="000653D2"/>
    <w:rsid w:val="0006545C"/>
    <w:rsid w:val="000655A6"/>
    <w:rsid w:val="0006560E"/>
    <w:rsid w:val="000656F0"/>
    <w:rsid w:val="000657B5"/>
    <w:rsid w:val="00065A5E"/>
    <w:rsid w:val="00065C6F"/>
    <w:rsid w:val="0006610B"/>
    <w:rsid w:val="000663D0"/>
    <w:rsid w:val="00066550"/>
    <w:rsid w:val="00066892"/>
    <w:rsid w:val="0006695D"/>
    <w:rsid w:val="00066BDF"/>
    <w:rsid w:val="00066C5C"/>
    <w:rsid w:val="00066C6F"/>
    <w:rsid w:val="00066FE7"/>
    <w:rsid w:val="00066FF2"/>
    <w:rsid w:val="00067164"/>
    <w:rsid w:val="0006737C"/>
    <w:rsid w:val="000673E7"/>
    <w:rsid w:val="0006752C"/>
    <w:rsid w:val="00067836"/>
    <w:rsid w:val="00067861"/>
    <w:rsid w:val="00067A58"/>
    <w:rsid w:val="00067A5A"/>
    <w:rsid w:val="00067AFC"/>
    <w:rsid w:val="00067CB8"/>
    <w:rsid w:val="00067D3C"/>
    <w:rsid w:val="00067E53"/>
    <w:rsid w:val="00067F02"/>
    <w:rsid w:val="0007077D"/>
    <w:rsid w:val="0007091E"/>
    <w:rsid w:val="000709CA"/>
    <w:rsid w:val="00070D14"/>
    <w:rsid w:val="00070D42"/>
    <w:rsid w:val="00070D5E"/>
    <w:rsid w:val="00070E0C"/>
    <w:rsid w:val="00070F95"/>
    <w:rsid w:val="0007115A"/>
    <w:rsid w:val="00071202"/>
    <w:rsid w:val="000712E9"/>
    <w:rsid w:val="00071427"/>
    <w:rsid w:val="000715D3"/>
    <w:rsid w:val="00071931"/>
    <w:rsid w:val="00071981"/>
    <w:rsid w:val="00071AE0"/>
    <w:rsid w:val="00071B46"/>
    <w:rsid w:val="00071D7F"/>
    <w:rsid w:val="00071E86"/>
    <w:rsid w:val="0007235B"/>
    <w:rsid w:val="00072765"/>
    <w:rsid w:val="0007281F"/>
    <w:rsid w:val="00072CF4"/>
    <w:rsid w:val="00072F56"/>
    <w:rsid w:val="00073000"/>
    <w:rsid w:val="000730D9"/>
    <w:rsid w:val="00073194"/>
    <w:rsid w:val="000732E4"/>
    <w:rsid w:val="0007349D"/>
    <w:rsid w:val="000739C0"/>
    <w:rsid w:val="000739DD"/>
    <w:rsid w:val="00073B48"/>
    <w:rsid w:val="00073D44"/>
    <w:rsid w:val="00073E2C"/>
    <w:rsid w:val="00073EFC"/>
    <w:rsid w:val="00073FBE"/>
    <w:rsid w:val="000741AE"/>
    <w:rsid w:val="0007432B"/>
    <w:rsid w:val="00074641"/>
    <w:rsid w:val="000746EB"/>
    <w:rsid w:val="000749B9"/>
    <w:rsid w:val="00074A93"/>
    <w:rsid w:val="00074B75"/>
    <w:rsid w:val="00074D06"/>
    <w:rsid w:val="00074D55"/>
    <w:rsid w:val="00074DAD"/>
    <w:rsid w:val="00074DBB"/>
    <w:rsid w:val="00074F9A"/>
    <w:rsid w:val="0007514B"/>
    <w:rsid w:val="000751E0"/>
    <w:rsid w:val="0007532B"/>
    <w:rsid w:val="0007593B"/>
    <w:rsid w:val="00075A5E"/>
    <w:rsid w:val="00075A7C"/>
    <w:rsid w:val="00075A80"/>
    <w:rsid w:val="00075B67"/>
    <w:rsid w:val="00075D9E"/>
    <w:rsid w:val="00075E36"/>
    <w:rsid w:val="00075EF2"/>
    <w:rsid w:val="00075F13"/>
    <w:rsid w:val="0007611D"/>
    <w:rsid w:val="0007650E"/>
    <w:rsid w:val="00076668"/>
    <w:rsid w:val="000767D2"/>
    <w:rsid w:val="0007683E"/>
    <w:rsid w:val="00076A65"/>
    <w:rsid w:val="00076BE3"/>
    <w:rsid w:val="00076CF8"/>
    <w:rsid w:val="000770F4"/>
    <w:rsid w:val="000774EB"/>
    <w:rsid w:val="0007766D"/>
    <w:rsid w:val="000778E8"/>
    <w:rsid w:val="00077960"/>
    <w:rsid w:val="00077A48"/>
    <w:rsid w:val="00077B10"/>
    <w:rsid w:val="00077B13"/>
    <w:rsid w:val="00077CB3"/>
    <w:rsid w:val="00077F4F"/>
    <w:rsid w:val="00080115"/>
    <w:rsid w:val="0008062D"/>
    <w:rsid w:val="0008073B"/>
    <w:rsid w:val="00080989"/>
    <w:rsid w:val="00080A74"/>
    <w:rsid w:val="00080A84"/>
    <w:rsid w:val="00080B22"/>
    <w:rsid w:val="00080B35"/>
    <w:rsid w:val="00080E46"/>
    <w:rsid w:val="00080F5E"/>
    <w:rsid w:val="00081401"/>
    <w:rsid w:val="0008142C"/>
    <w:rsid w:val="0008146B"/>
    <w:rsid w:val="0008150D"/>
    <w:rsid w:val="000815AB"/>
    <w:rsid w:val="0008167F"/>
    <w:rsid w:val="0008179A"/>
    <w:rsid w:val="000817A8"/>
    <w:rsid w:val="00081846"/>
    <w:rsid w:val="00081911"/>
    <w:rsid w:val="00081A36"/>
    <w:rsid w:val="00081B30"/>
    <w:rsid w:val="00082087"/>
    <w:rsid w:val="000820CD"/>
    <w:rsid w:val="0008224B"/>
    <w:rsid w:val="000822D3"/>
    <w:rsid w:val="0008234C"/>
    <w:rsid w:val="00082530"/>
    <w:rsid w:val="000828EF"/>
    <w:rsid w:val="00082D11"/>
    <w:rsid w:val="00082D8D"/>
    <w:rsid w:val="00082EAF"/>
    <w:rsid w:val="00082ECF"/>
    <w:rsid w:val="00083063"/>
    <w:rsid w:val="0008353B"/>
    <w:rsid w:val="00083573"/>
    <w:rsid w:val="00083B5B"/>
    <w:rsid w:val="00083DC5"/>
    <w:rsid w:val="00083E84"/>
    <w:rsid w:val="00083F9C"/>
    <w:rsid w:val="0008403A"/>
    <w:rsid w:val="00084436"/>
    <w:rsid w:val="000845EC"/>
    <w:rsid w:val="000848D3"/>
    <w:rsid w:val="00084915"/>
    <w:rsid w:val="00084C9B"/>
    <w:rsid w:val="00084D63"/>
    <w:rsid w:val="0008517E"/>
    <w:rsid w:val="0008581C"/>
    <w:rsid w:val="0008597A"/>
    <w:rsid w:val="00085B82"/>
    <w:rsid w:val="00085BB0"/>
    <w:rsid w:val="00085C5A"/>
    <w:rsid w:val="00085D5E"/>
    <w:rsid w:val="00086248"/>
    <w:rsid w:val="00086931"/>
    <w:rsid w:val="00086AE6"/>
    <w:rsid w:val="00086D50"/>
    <w:rsid w:val="00086EDC"/>
    <w:rsid w:val="00086F02"/>
    <w:rsid w:val="00086F72"/>
    <w:rsid w:val="000870DE"/>
    <w:rsid w:val="00087238"/>
    <w:rsid w:val="000872D2"/>
    <w:rsid w:val="000877D6"/>
    <w:rsid w:val="00087973"/>
    <w:rsid w:val="00087A57"/>
    <w:rsid w:val="00087CB3"/>
    <w:rsid w:val="00087D51"/>
    <w:rsid w:val="00087ED3"/>
    <w:rsid w:val="00090069"/>
    <w:rsid w:val="00090252"/>
    <w:rsid w:val="0009031E"/>
    <w:rsid w:val="000903E3"/>
    <w:rsid w:val="000904A2"/>
    <w:rsid w:val="00090605"/>
    <w:rsid w:val="000906D4"/>
    <w:rsid w:val="000908D5"/>
    <w:rsid w:val="00090993"/>
    <w:rsid w:val="000909DD"/>
    <w:rsid w:val="00090A6F"/>
    <w:rsid w:val="00090AAF"/>
    <w:rsid w:val="00090B1B"/>
    <w:rsid w:val="00090BB2"/>
    <w:rsid w:val="00090BCD"/>
    <w:rsid w:val="00090BF5"/>
    <w:rsid w:val="00090F53"/>
    <w:rsid w:val="00090FB3"/>
    <w:rsid w:val="000910A9"/>
    <w:rsid w:val="0009115C"/>
    <w:rsid w:val="00091423"/>
    <w:rsid w:val="0009150A"/>
    <w:rsid w:val="00091534"/>
    <w:rsid w:val="000915C4"/>
    <w:rsid w:val="000917DC"/>
    <w:rsid w:val="000919A4"/>
    <w:rsid w:val="00091C11"/>
    <w:rsid w:val="00091DA1"/>
    <w:rsid w:val="000921D6"/>
    <w:rsid w:val="00092212"/>
    <w:rsid w:val="000923FE"/>
    <w:rsid w:val="00092676"/>
    <w:rsid w:val="0009296C"/>
    <w:rsid w:val="00092D48"/>
    <w:rsid w:val="00092F76"/>
    <w:rsid w:val="00092F7F"/>
    <w:rsid w:val="0009307A"/>
    <w:rsid w:val="000934C4"/>
    <w:rsid w:val="00093542"/>
    <w:rsid w:val="000935C6"/>
    <w:rsid w:val="000939AE"/>
    <w:rsid w:val="00093A86"/>
    <w:rsid w:val="00093AA1"/>
    <w:rsid w:val="00093E85"/>
    <w:rsid w:val="00093FCB"/>
    <w:rsid w:val="000940B1"/>
    <w:rsid w:val="00094143"/>
    <w:rsid w:val="000941A3"/>
    <w:rsid w:val="000942BE"/>
    <w:rsid w:val="0009436E"/>
    <w:rsid w:val="0009452F"/>
    <w:rsid w:val="000947F1"/>
    <w:rsid w:val="000948FD"/>
    <w:rsid w:val="000949BA"/>
    <w:rsid w:val="00094E58"/>
    <w:rsid w:val="00094F3B"/>
    <w:rsid w:val="00094F3D"/>
    <w:rsid w:val="00094F47"/>
    <w:rsid w:val="00094F66"/>
    <w:rsid w:val="00094FBE"/>
    <w:rsid w:val="00095088"/>
    <w:rsid w:val="000950D4"/>
    <w:rsid w:val="0009543D"/>
    <w:rsid w:val="00095847"/>
    <w:rsid w:val="000958E4"/>
    <w:rsid w:val="00095A6D"/>
    <w:rsid w:val="00095AA0"/>
    <w:rsid w:val="00095ABB"/>
    <w:rsid w:val="00095C33"/>
    <w:rsid w:val="00095DE8"/>
    <w:rsid w:val="00095E9D"/>
    <w:rsid w:val="00096056"/>
    <w:rsid w:val="0009617A"/>
    <w:rsid w:val="00096499"/>
    <w:rsid w:val="00096633"/>
    <w:rsid w:val="00096701"/>
    <w:rsid w:val="00096794"/>
    <w:rsid w:val="000967C5"/>
    <w:rsid w:val="00096A98"/>
    <w:rsid w:val="00096B24"/>
    <w:rsid w:val="00096E8E"/>
    <w:rsid w:val="00097117"/>
    <w:rsid w:val="000973C8"/>
    <w:rsid w:val="0009760A"/>
    <w:rsid w:val="00097887"/>
    <w:rsid w:val="000978A0"/>
    <w:rsid w:val="000979F1"/>
    <w:rsid w:val="00097BDA"/>
    <w:rsid w:val="00097CC2"/>
    <w:rsid w:val="000A0275"/>
    <w:rsid w:val="000A02FF"/>
    <w:rsid w:val="000A0311"/>
    <w:rsid w:val="000A0598"/>
    <w:rsid w:val="000A05D1"/>
    <w:rsid w:val="000A05E6"/>
    <w:rsid w:val="000A0601"/>
    <w:rsid w:val="000A0CB2"/>
    <w:rsid w:val="000A0D40"/>
    <w:rsid w:val="000A12B4"/>
    <w:rsid w:val="000A134E"/>
    <w:rsid w:val="000A1498"/>
    <w:rsid w:val="000A161E"/>
    <w:rsid w:val="000A164B"/>
    <w:rsid w:val="000A1703"/>
    <w:rsid w:val="000A1705"/>
    <w:rsid w:val="000A17AE"/>
    <w:rsid w:val="000A17B9"/>
    <w:rsid w:val="000A1950"/>
    <w:rsid w:val="000A1A13"/>
    <w:rsid w:val="000A1A83"/>
    <w:rsid w:val="000A1AF4"/>
    <w:rsid w:val="000A1BD8"/>
    <w:rsid w:val="000A23F7"/>
    <w:rsid w:val="000A240F"/>
    <w:rsid w:val="000A2494"/>
    <w:rsid w:val="000A280A"/>
    <w:rsid w:val="000A2865"/>
    <w:rsid w:val="000A28A2"/>
    <w:rsid w:val="000A2AA9"/>
    <w:rsid w:val="000A2C28"/>
    <w:rsid w:val="000A2C4A"/>
    <w:rsid w:val="000A2FD6"/>
    <w:rsid w:val="000A307A"/>
    <w:rsid w:val="000A3220"/>
    <w:rsid w:val="000A3658"/>
    <w:rsid w:val="000A373E"/>
    <w:rsid w:val="000A3764"/>
    <w:rsid w:val="000A380B"/>
    <w:rsid w:val="000A38F7"/>
    <w:rsid w:val="000A39C1"/>
    <w:rsid w:val="000A3B7E"/>
    <w:rsid w:val="000A3E5C"/>
    <w:rsid w:val="000A401A"/>
    <w:rsid w:val="000A403B"/>
    <w:rsid w:val="000A41CA"/>
    <w:rsid w:val="000A41EB"/>
    <w:rsid w:val="000A458E"/>
    <w:rsid w:val="000A4625"/>
    <w:rsid w:val="000A498D"/>
    <w:rsid w:val="000A49CC"/>
    <w:rsid w:val="000A4A45"/>
    <w:rsid w:val="000A4DC5"/>
    <w:rsid w:val="000A4EF0"/>
    <w:rsid w:val="000A5359"/>
    <w:rsid w:val="000A54B8"/>
    <w:rsid w:val="000A54D6"/>
    <w:rsid w:val="000A558B"/>
    <w:rsid w:val="000A56F2"/>
    <w:rsid w:val="000A57AB"/>
    <w:rsid w:val="000A59FF"/>
    <w:rsid w:val="000A5BD4"/>
    <w:rsid w:val="000A5C30"/>
    <w:rsid w:val="000A5DED"/>
    <w:rsid w:val="000A5E16"/>
    <w:rsid w:val="000A5F28"/>
    <w:rsid w:val="000A5F8A"/>
    <w:rsid w:val="000A6182"/>
    <w:rsid w:val="000A62E5"/>
    <w:rsid w:val="000A642F"/>
    <w:rsid w:val="000A6770"/>
    <w:rsid w:val="000A6879"/>
    <w:rsid w:val="000A6917"/>
    <w:rsid w:val="000A6A2A"/>
    <w:rsid w:val="000A6B1C"/>
    <w:rsid w:val="000A6D13"/>
    <w:rsid w:val="000A6E05"/>
    <w:rsid w:val="000A6E99"/>
    <w:rsid w:val="000A6FDB"/>
    <w:rsid w:val="000A6FE0"/>
    <w:rsid w:val="000A6FFD"/>
    <w:rsid w:val="000A71D6"/>
    <w:rsid w:val="000A7214"/>
    <w:rsid w:val="000A7222"/>
    <w:rsid w:val="000A722D"/>
    <w:rsid w:val="000A729E"/>
    <w:rsid w:val="000A733C"/>
    <w:rsid w:val="000A74A5"/>
    <w:rsid w:val="000A7687"/>
    <w:rsid w:val="000A783F"/>
    <w:rsid w:val="000A7B0C"/>
    <w:rsid w:val="000A7D55"/>
    <w:rsid w:val="000B00B6"/>
    <w:rsid w:val="000B027F"/>
    <w:rsid w:val="000B02A6"/>
    <w:rsid w:val="000B0488"/>
    <w:rsid w:val="000B05F4"/>
    <w:rsid w:val="000B065F"/>
    <w:rsid w:val="000B118E"/>
    <w:rsid w:val="000B12FA"/>
    <w:rsid w:val="000B1715"/>
    <w:rsid w:val="000B1FFA"/>
    <w:rsid w:val="000B2617"/>
    <w:rsid w:val="000B2873"/>
    <w:rsid w:val="000B2A32"/>
    <w:rsid w:val="000B2BE9"/>
    <w:rsid w:val="000B2C98"/>
    <w:rsid w:val="000B2E4C"/>
    <w:rsid w:val="000B2FC9"/>
    <w:rsid w:val="000B37DE"/>
    <w:rsid w:val="000B3941"/>
    <w:rsid w:val="000B3997"/>
    <w:rsid w:val="000B3AB2"/>
    <w:rsid w:val="000B3AE4"/>
    <w:rsid w:val="000B3B0E"/>
    <w:rsid w:val="000B3F5F"/>
    <w:rsid w:val="000B416C"/>
    <w:rsid w:val="000B417F"/>
    <w:rsid w:val="000B419B"/>
    <w:rsid w:val="000B44F3"/>
    <w:rsid w:val="000B484D"/>
    <w:rsid w:val="000B4977"/>
    <w:rsid w:val="000B4B23"/>
    <w:rsid w:val="000B4B27"/>
    <w:rsid w:val="000B4B69"/>
    <w:rsid w:val="000B4FDE"/>
    <w:rsid w:val="000B5113"/>
    <w:rsid w:val="000B51C6"/>
    <w:rsid w:val="000B5624"/>
    <w:rsid w:val="000B5655"/>
    <w:rsid w:val="000B567A"/>
    <w:rsid w:val="000B5707"/>
    <w:rsid w:val="000B5B5C"/>
    <w:rsid w:val="000B5DD8"/>
    <w:rsid w:val="000B5EA6"/>
    <w:rsid w:val="000B5ED3"/>
    <w:rsid w:val="000B60BA"/>
    <w:rsid w:val="000B61AA"/>
    <w:rsid w:val="000B636C"/>
    <w:rsid w:val="000B6671"/>
    <w:rsid w:val="000B66AA"/>
    <w:rsid w:val="000B68A5"/>
    <w:rsid w:val="000B6927"/>
    <w:rsid w:val="000B6AFD"/>
    <w:rsid w:val="000B6B85"/>
    <w:rsid w:val="000B6BB6"/>
    <w:rsid w:val="000B6E96"/>
    <w:rsid w:val="000B72D2"/>
    <w:rsid w:val="000B753C"/>
    <w:rsid w:val="000B75C6"/>
    <w:rsid w:val="000B77DE"/>
    <w:rsid w:val="000B7A64"/>
    <w:rsid w:val="000B7B22"/>
    <w:rsid w:val="000B7C0B"/>
    <w:rsid w:val="000B7D55"/>
    <w:rsid w:val="000B7FD0"/>
    <w:rsid w:val="000C023C"/>
    <w:rsid w:val="000C033E"/>
    <w:rsid w:val="000C039C"/>
    <w:rsid w:val="000C039D"/>
    <w:rsid w:val="000C08BC"/>
    <w:rsid w:val="000C08BF"/>
    <w:rsid w:val="000C0AB6"/>
    <w:rsid w:val="000C0B9E"/>
    <w:rsid w:val="000C0C9B"/>
    <w:rsid w:val="000C0D0F"/>
    <w:rsid w:val="000C0F0A"/>
    <w:rsid w:val="000C108A"/>
    <w:rsid w:val="000C11B5"/>
    <w:rsid w:val="000C1259"/>
    <w:rsid w:val="000C1333"/>
    <w:rsid w:val="000C17AE"/>
    <w:rsid w:val="000C1980"/>
    <w:rsid w:val="000C1AA3"/>
    <w:rsid w:val="000C1F0D"/>
    <w:rsid w:val="000C28D4"/>
    <w:rsid w:val="000C2A0E"/>
    <w:rsid w:val="000C2A7A"/>
    <w:rsid w:val="000C2B41"/>
    <w:rsid w:val="000C2C31"/>
    <w:rsid w:val="000C2F37"/>
    <w:rsid w:val="000C30B8"/>
    <w:rsid w:val="000C3256"/>
    <w:rsid w:val="000C39CB"/>
    <w:rsid w:val="000C3A0A"/>
    <w:rsid w:val="000C3B75"/>
    <w:rsid w:val="000C3B9A"/>
    <w:rsid w:val="000C3BD8"/>
    <w:rsid w:val="000C3E83"/>
    <w:rsid w:val="000C3EAA"/>
    <w:rsid w:val="000C4291"/>
    <w:rsid w:val="000C453A"/>
    <w:rsid w:val="000C465B"/>
    <w:rsid w:val="000C46FC"/>
    <w:rsid w:val="000C4733"/>
    <w:rsid w:val="000C4853"/>
    <w:rsid w:val="000C489E"/>
    <w:rsid w:val="000C48DF"/>
    <w:rsid w:val="000C49CE"/>
    <w:rsid w:val="000C4F34"/>
    <w:rsid w:val="000C5601"/>
    <w:rsid w:val="000C580D"/>
    <w:rsid w:val="000C5836"/>
    <w:rsid w:val="000C5968"/>
    <w:rsid w:val="000C5A8A"/>
    <w:rsid w:val="000C5DBC"/>
    <w:rsid w:val="000C5F7D"/>
    <w:rsid w:val="000C6626"/>
    <w:rsid w:val="000C689B"/>
    <w:rsid w:val="000C6964"/>
    <w:rsid w:val="000C6A09"/>
    <w:rsid w:val="000C6BDB"/>
    <w:rsid w:val="000C6BFD"/>
    <w:rsid w:val="000C6D78"/>
    <w:rsid w:val="000C6FC0"/>
    <w:rsid w:val="000C7005"/>
    <w:rsid w:val="000C7127"/>
    <w:rsid w:val="000C71AA"/>
    <w:rsid w:val="000C72C0"/>
    <w:rsid w:val="000C72EF"/>
    <w:rsid w:val="000C7307"/>
    <w:rsid w:val="000C755A"/>
    <w:rsid w:val="000C765F"/>
    <w:rsid w:val="000C769E"/>
    <w:rsid w:val="000C7874"/>
    <w:rsid w:val="000C79CE"/>
    <w:rsid w:val="000C7FB6"/>
    <w:rsid w:val="000D0069"/>
    <w:rsid w:val="000D015F"/>
    <w:rsid w:val="000D01DB"/>
    <w:rsid w:val="000D0224"/>
    <w:rsid w:val="000D027F"/>
    <w:rsid w:val="000D04AD"/>
    <w:rsid w:val="000D0530"/>
    <w:rsid w:val="000D066B"/>
    <w:rsid w:val="000D06EE"/>
    <w:rsid w:val="000D079D"/>
    <w:rsid w:val="000D07A3"/>
    <w:rsid w:val="000D07BD"/>
    <w:rsid w:val="000D080A"/>
    <w:rsid w:val="000D0876"/>
    <w:rsid w:val="000D0943"/>
    <w:rsid w:val="000D0AFB"/>
    <w:rsid w:val="000D0B7D"/>
    <w:rsid w:val="000D0C9C"/>
    <w:rsid w:val="000D0DA9"/>
    <w:rsid w:val="000D139D"/>
    <w:rsid w:val="000D1603"/>
    <w:rsid w:val="000D16E2"/>
    <w:rsid w:val="000D170C"/>
    <w:rsid w:val="000D17F4"/>
    <w:rsid w:val="000D19E3"/>
    <w:rsid w:val="000D1E80"/>
    <w:rsid w:val="000D2060"/>
    <w:rsid w:val="000D2079"/>
    <w:rsid w:val="000D217F"/>
    <w:rsid w:val="000D245C"/>
    <w:rsid w:val="000D259D"/>
    <w:rsid w:val="000D25A8"/>
    <w:rsid w:val="000D2621"/>
    <w:rsid w:val="000D2643"/>
    <w:rsid w:val="000D2814"/>
    <w:rsid w:val="000D2929"/>
    <w:rsid w:val="000D2C13"/>
    <w:rsid w:val="000D2C98"/>
    <w:rsid w:val="000D2CA7"/>
    <w:rsid w:val="000D2FCD"/>
    <w:rsid w:val="000D305D"/>
    <w:rsid w:val="000D30FC"/>
    <w:rsid w:val="000D3226"/>
    <w:rsid w:val="000D3266"/>
    <w:rsid w:val="000D3403"/>
    <w:rsid w:val="000D3950"/>
    <w:rsid w:val="000D3A3C"/>
    <w:rsid w:val="000D3A4F"/>
    <w:rsid w:val="000D4026"/>
    <w:rsid w:val="000D411E"/>
    <w:rsid w:val="000D41FA"/>
    <w:rsid w:val="000D455E"/>
    <w:rsid w:val="000D45F1"/>
    <w:rsid w:val="000D46C4"/>
    <w:rsid w:val="000D4713"/>
    <w:rsid w:val="000D4733"/>
    <w:rsid w:val="000D4796"/>
    <w:rsid w:val="000D491A"/>
    <w:rsid w:val="000D4976"/>
    <w:rsid w:val="000D4AA3"/>
    <w:rsid w:val="000D4BDE"/>
    <w:rsid w:val="000D4D4A"/>
    <w:rsid w:val="000D530C"/>
    <w:rsid w:val="000D5427"/>
    <w:rsid w:val="000D5493"/>
    <w:rsid w:val="000D5540"/>
    <w:rsid w:val="000D55CC"/>
    <w:rsid w:val="000D5756"/>
    <w:rsid w:val="000D5765"/>
    <w:rsid w:val="000D5851"/>
    <w:rsid w:val="000D59F1"/>
    <w:rsid w:val="000D5BBE"/>
    <w:rsid w:val="000D5C75"/>
    <w:rsid w:val="000D5D99"/>
    <w:rsid w:val="000D5E17"/>
    <w:rsid w:val="000D67A9"/>
    <w:rsid w:val="000D693E"/>
    <w:rsid w:val="000D697E"/>
    <w:rsid w:val="000D69CF"/>
    <w:rsid w:val="000D6B39"/>
    <w:rsid w:val="000D6D65"/>
    <w:rsid w:val="000D6FB1"/>
    <w:rsid w:val="000D7017"/>
    <w:rsid w:val="000D7402"/>
    <w:rsid w:val="000D7433"/>
    <w:rsid w:val="000D753A"/>
    <w:rsid w:val="000D75E2"/>
    <w:rsid w:val="000D7710"/>
    <w:rsid w:val="000D7795"/>
    <w:rsid w:val="000D797A"/>
    <w:rsid w:val="000D7AE8"/>
    <w:rsid w:val="000D7BA2"/>
    <w:rsid w:val="000D7D48"/>
    <w:rsid w:val="000D7DE0"/>
    <w:rsid w:val="000E00C6"/>
    <w:rsid w:val="000E0242"/>
    <w:rsid w:val="000E02BF"/>
    <w:rsid w:val="000E0324"/>
    <w:rsid w:val="000E066E"/>
    <w:rsid w:val="000E0A8A"/>
    <w:rsid w:val="000E0AC2"/>
    <w:rsid w:val="000E0AFE"/>
    <w:rsid w:val="000E114F"/>
    <w:rsid w:val="000E1860"/>
    <w:rsid w:val="000E1ACB"/>
    <w:rsid w:val="000E1B50"/>
    <w:rsid w:val="000E1C24"/>
    <w:rsid w:val="000E1D91"/>
    <w:rsid w:val="000E1F28"/>
    <w:rsid w:val="000E1F81"/>
    <w:rsid w:val="000E1F97"/>
    <w:rsid w:val="000E1FEC"/>
    <w:rsid w:val="000E2065"/>
    <w:rsid w:val="000E2381"/>
    <w:rsid w:val="000E23FB"/>
    <w:rsid w:val="000E24E0"/>
    <w:rsid w:val="000E2575"/>
    <w:rsid w:val="000E25AA"/>
    <w:rsid w:val="000E2A32"/>
    <w:rsid w:val="000E2A47"/>
    <w:rsid w:val="000E2A9F"/>
    <w:rsid w:val="000E2AE1"/>
    <w:rsid w:val="000E2B4F"/>
    <w:rsid w:val="000E2B57"/>
    <w:rsid w:val="000E2C74"/>
    <w:rsid w:val="000E2D30"/>
    <w:rsid w:val="000E340C"/>
    <w:rsid w:val="000E399F"/>
    <w:rsid w:val="000E3BC0"/>
    <w:rsid w:val="000E3BC3"/>
    <w:rsid w:val="000E3CB5"/>
    <w:rsid w:val="000E3D5F"/>
    <w:rsid w:val="000E3E2A"/>
    <w:rsid w:val="000E3FB3"/>
    <w:rsid w:val="000E40C9"/>
    <w:rsid w:val="000E417F"/>
    <w:rsid w:val="000E4288"/>
    <w:rsid w:val="000E4295"/>
    <w:rsid w:val="000E45B0"/>
    <w:rsid w:val="000E4605"/>
    <w:rsid w:val="000E46CC"/>
    <w:rsid w:val="000E485A"/>
    <w:rsid w:val="000E4879"/>
    <w:rsid w:val="000E4BDA"/>
    <w:rsid w:val="000E4C53"/>
    <w:rsid w:val="000E4E2E"/>
    <w:rsid w:val="000E50E7"/>
    <w:rsid w:val="000E54B7"/>
    <w:rsid w:val="000E56A9"/>
    <w:rsid w:val="000E59ED"/>
    <w:rsid w:val="000E5ACC"/>
    <w:rsid w:val="000E5D0B"/>
    <w:rsid w:val="000E5E9E"/>
    <w:rsid w:val="000E63FE"/>
    <w:rsid w:val="000E6518"/>
    <w:rsid w:val="000E66AD"/>
    <w:rsid w:val="000E677E"/>
    <w:rsid w:val="000E6A78"/>
    <w:rsid w:val="000E6AA0"/>
    <w:rsid w:val="000E6C74"/>
    <w:rsid w:val="000E6CD3"/>
    <w:rsid w:val="000E6D74"/>
    <w:rsid w:val="000E6E50"/>
    <w:rsid w:val="000E6F45"/>
    <w:rsid w:val="000E704D"/>
    <w:rsid w:val="000E7468"/>
    <w:rsid w:val="000E7529"/>
    <w:rsid w:val="000E7553"/>
    <w:rsid w:val="000E7721"/>
    <w:rsid w:val="000E77A6"/>
    <w:rsid w:val="000E7848"/>
    <w:rsid w:val="000E78BD"/>
    <w:rsid w:val="000E7B44"/>
    <w:rsid w:val="000E7DB5"/>
    <w:rsid w:val="000E7EDF"/>
    <w:rsid w:val="000E7F3B"/>
    <w:rsid w:val="000F00E6"/>
    <w:rsid w:val="000F0203"/>
    <w:rsid w:val="000F0591"/>
    <w:rsid w:val="000F0940"/>
    <w:rsid w:val="000F0AEF"/>
    <w:rsid w:val="000F0C34"/>
    <w:rsid w:val="000F0CE3"/>
    <w:rsid w:val="000F0DA6"/>
    <w:rsid w:val="000F0DBA"/>
    <w:rsid w:val="000F0E41"/>
    <w:rsid w:val="000F0EB3"/>
    <w:rsid w:val="000F0F65"/>
    <w:rsid w:val="000F0F91"/>
    <w:rsid w:val="000F1026"/>
    <w:rsid w:val="000F1074"/>
    <w:rsid w:val="000F1302"/>
    <w:rsid w:val="000F1306"/>
    <w:rsid w:val="000F1335"/>
    <w:rsid w:val="000F133C"/>
    <w:rsid w:val="000F13A3"/>
    <w:rsid w:val="000F13EE"/>
    <w:rsid w:val="000F166D"/>
    <w:rsid w:val="000F16FD"/>
    <w:rsid w:val="000F1728"/>
    <w:rsid w:val="000F1791"/>
    <w:rsid w:val="000F1972"/>
    <w:rsid w:val="000F1A1F"/>
    <w:rsid w:val="000F1AAA"/>
    <w:rsid w:val="000F1DA4"/>
    <w:rsid w:val="000F2368"/>
    <w:rsid w:val="000F2406"/>
    <w:rsid w:val="000F24FC"/>
    <w:rsid w:val="000F2523"/>
    <w:rsid w:val="000F25ED"/>
    <w:rsid w:val="000F26E5"/>
    <w:rsid w:val="000F27FB"/>
    <w:rsid w:val="000F2AD9"/>
    <w:rsid w:val="000F2C9F"/>
    <w:rsid w:val="000F2D16"/>
    <w:rsid w:val="000F2D40"/>
    <w:rsid w:val="000F2DA1"/>
    <w:rsid w:val="000F2F2B"/>
    <w:rsid w:val="000F3361"/>
    <w:rsid w:val="000F3A20"/>
    <w:rsid w:val="000F3A2F"/>
    <w:rsid w:val="000F3B28"/>
    <w:rsid w:val="000F3B3E"/>
    <w:rsid w:val="000F3C60"/>
    <w:rsid w:val="000F3E73"/>
    <w:rsid w:val="000F3FD8"/>
    <w:rsid w:val="000F40AE"/>
    <w:rsid w:val="000F4226"/>
    <w:rsid w:val="000F4290"/>
    <w:rsid w:val="000F461C"/>
    <w:rsid w:val="000F46B8"/>
    <w:rsid w:val="000F4844"/>
    <w:rsid w:val="000F4910"/>
    <w:rsid w:val="000F49D2"/>
    <w:rsid w:val="000F4BF0"/>
    <w:rsid w:val="000F501D"/>
    <w:rsid w:val="000F524F"/>
    <w:rsid w:val="000F53EB"/>
    <w:rsid w:val="000F559C"/>
    <w:rsid w:val="000F5AD5"/>
    <w:rsid w:val="000F5AF6"/>
    <w:rsid w:val="000F5BD9"/>
    <w:rsid w:val="000F5BDD"/>
    <w:rsid w:val="000F5C70"/>
    <w:rsid w:val="000F5C8E"/>
    <w:rsid w:val="000F5EA8"/>
    <w:rsid w:val="000F61B1"/>
    <w:rsid w:val="000F627A"/>
    <w:rsid w:val="000F63B3"/>
    <w:rsid w:val="000F64B5"/>
    <w:rsid w:val="000F656C"/>
    <w:rsid w:val="000F679A"/>
    <w:rsid w:val="000F698C"/>
    <w:rsid w:val="000F69E0"/>
    <w:rsid w:val="000F6C88"/>
    <w:rsid w:val="000F6CEF"/>
    <w:rsid w:val="000F6E2A"/>
    <w:rsid w:val="000F7133"/>
    <w:rsid w:val="000F71EB"/>
    <w:rsid w:val="000F785B"/>
    <w:rsid w:val="000F78B6"/>
    <w:rsid w:val="000F7902"/>
    <w:rsid w:val="000F7925"/>
    <w:rsid w:val="000F7A9A"/>
    <w:rsid w:val="000F7C5E"/>
    <w:rsid w:val="000F7CB1"/>
    <w:rsid w:val="000F7F0A"/>
    <w:rsid w:val="000F7FE0"/>
    <w:rsid w:val="0010030A"/>
    <w:rsid w:val="00100496"/>
    <w:rsid w:val="0010068D"/>
    <w:rsid w:val="001006EB"/>
    <w:rsid w:val="001008D3"/>
    <w:rsid w:val="00100931"/>
    <w:rsid w:val="00100B59"/>
    <w:rsid w:val="00101AF8"/>
    <w:rsid w:val="0010200C"/>
    <w:rsid w:val="001020AF"/>
    <w:rsid w:val="001020B6"/>
    <w:rsid w:val="0010211F"/>
    <w:rsid w:val="0010217C"/>
    <w:rsid w:val="0010227D"/>
    <w:rsid w:val="001022E6"/>
    <w:rsid w:val="00102407"/>
    <w:rsid w:val="0010242E"/>
    <w:rsid w:val="0010251F"/>
    <w:rsid w:val="0010268A"/>
    <w:rsid w:val="00102CA9"/>
    <w:rsid w:val="0010302E"/>
    <w:rsid w:val="001031FB"/>
    <w:rsid w:val="00103436"/>
    <w:rsid w:val="0010355D"/>
    <w:rsid w:val="001036CC"/>
    <w:rsid w:val="00103778"/>
    <w:rsid w:val="0010378E"/>
    <w:rsid w:val="00103AF8"/>
    <w:rsid w:val="00103B41"/>
    <w:rsid w:val="00103D8A"/>
    <w:rsid w:val="00103E3E"/>
    <w:rsid w:val="00103ECD"/>
    <w:rsid w:val="00103ED9"/>
    <w:rsid w:val="00103FE5"/>
    <w:rsid w:val="00104088"/>
    <w:rsid w:val="001040A9"/>
    <w:rsid w:val="001041DB"/>
    <w:rsid w:val="00104469"/>
    <w:rsid w:val="00104A2A"/>
    <w:rsid w:val="00104BFA"/>
    <w:rsid w:val="00104C62"/>
    <w:rsid w:val="00105276"/>
    <w:rsid w:val="0010533E"/>
    <w:rsid w:val="0010540A"/>
    <w:rsid w:val="00105480"/>
    <w:rsid w:val="00105523"/>
    <w:rsid w:val="001057F3"/>
    <w:rsid w:val="00105823"/>
    <w:rsid w:val="00105828"/>
    <w:rsid w:val="001058A9"/>
    <w:rsid w:val="00105974"/>
    <w:rsid w:val="00105A2D"/>
    <w:rsid w:val="00105D7B"/>
    <w:rsid w:val="00105DBB"/>
    <w:rsid w:val="0010625D"/>
    <w:rsid w:val="0010639C"/>
    <w:rsid w:val="00106461"/>
    <w:rsid w:val="001065B2"/>
    <w:rsid w:val="00106BCA"/>
    <w:rsid w:val="00106CC3"/>
    <w:rsid w:val="00107457"/>
    <w:rsid w:val="001074CB"/>
    <w:rsid w:val="00107544"/>
    <w:rsid w:val="001076FC"/>
    <w:rsid w:val="0010782F"/>
    <w:rsid w:val="0010795D"/>
    <w:rsid w:val="00107E75"/>
    <w:rsid w:val="00107EC7"/>
    <w:rsid w:val="00107EE3"/>
    <w:rsid w:val="00107F20"/>
    <w:rsid w:val="001100F5"/>
    <w:rsid w:val="001101DF"/>
    <w:rsid w:val="001102C7"/>
    <w:rsid w:val="00110307"/>
    <w:rsid w:val="0011031E"/>
    <w:rsid w:val="00110369"/>
    <w:rsid w:val="00110706"/>
    <w:rsid w:val="00110741"/>
    <w:rsid w:val="00110765"/>
    <w:rsid w:val="00110872"/>
    <w:rsid w:val="00110AEB"/>
    <w:rsid w:val="00110C2D"/>
    <w:rsid w:val="001111C2"/>
    <w:rsid w:val="001111CB"/>
    <w:rsid w:val="001112D1"/>
    <w:rsid w:val="00111455"/>
    <w:rsid w:val="00111491"/>
    <w:rsid w:val="0011168B"/>
    <w:rsid w:val="00111824"/>
    <w:rsid w:val="001118AC"/>
    <w:rsid w:val="001118B6"/>
    <w:rsid w:val="00111AAA"/>
    <w:rsid w:val="00111C66"/>
    <w:rsid w:val="00111E7B"/>
    <w:rsid w:val="00111E7D"/>
    <w:rsid w:val="00111EFF"/>
    <w:rsid w:val="001120CB"/>
    <w:rsid w:val="0011217F"/>
    <w:rsid w:val="00112256"/>
    <w:rsid w:val="00112352"/>
    <w:rsid w:val="001124BB"/>
    <w:rsid w:val="0011262A"/>
    <w:rsid w:val="00112668"/>
    <w:rsid w:val="00112959"/>
    <w:rsid w:val="00112B93"/>
    <w:rsid w:val="00112CAD"/>
    <w:rsid w:val="00112E62"/>
    <w:rsid w:val="00112F16"/>
    <w:rsid w:val="00112FB7"/>
    <w:rsid w:val="001130E7"/>
    <w:rsid w:val="0011313D"/>
    <w:rsid w:val="001131A9"/>
    <w:rsid w:val="00113225"/>
    <w:rsid w:val="00113306"/>
    <w:rsid w:val="00113319"/>
    <w:rsid w:val="001133A5"/>
    <w:rsid w:val="001133AA"/>
    <w:rsid w:val="00113464"/>
    <w:rsid w:val="001134B0"/>
    <w:rsid w:val="001134C4"/>
    <w:rsid w:val="001134DE"/>
    <w:rsid w:val="001136BB"/>
    <w:rsid w:val="00113EB9"/>
    <w:rsid w:val="00113F07"/>
    <w:rsid w:val="001140C4"/>
    <w:rsid w:val="00114176"/>
    <w:rsid w:val="00114216"/>
    <w:rsid w:val="001142B1"/>
    <w:rsid w:val="00114959"/>
    <w:rsid w:val="001149A7"/>
    <w:rsid w:val="001149CB"/>
    <w:rsid w:val="00114E5F"/>
    <w:rsid w:val="0011513C"/>
    <w:rsid w:val="00115176"/>
    <w:rsid w:val="00115308"/>
    <w:rsid w:val="001153D5"/>
    <w:rsid w:val="001154F6"/>
    <w:rsid w:val="00115532"/>
    <w:rsid w:val="00115583"/>
    <w:rsid w:val="001155BB"/>
    <w:rsid w:val="001157F8"/>
    <w:rsid w:val="00115854"/>
    <w:rsid w:val="00115967"/>
    <w:rsid w:val="00115ACC"/>
    <w:rsid w:val="00115E14"/>
    <w:rsid w:val="00115F3C"/>
    <w:rsid w:val="00115F5A"/>
    <w:rsid w:val="00115FF6"/>
    <w:rsid w:val="00116065"/>
    <w:rsid w:val="001160B0"/>
    <w:rsid w:val="001160F7"/>
    <w:rsid w:val="00116257"/>
    <w:rsid w:val="001162EC"/>
    <w:rsid w:val="00116345"/>
    <w:rsid w:val="001163C3"/>
    <w:rsid w:val="001165CA"/>
    <w:rsid w:val="0011660A"/>
    <w:rsid w:val="0011681C"/>
    <w:rsid w:val="00116866"/>
    <w:rsid w:val="00116B01"/>
    <w:rsid w:val="00116B9E"/>
    <w:rsid w:val="00116BC5"/>
    <w:rsid w:val="00116C2D"/>
    <w:rsid w:val="00116CB1"/>
    <w:rsid w:val="00116D3C"/>
    <w:rsid w:val="00116ED7"/>
    <w:rsid w:val="00116EE9"/>
    <w:rsid w:val="00116EFE"/>
    <w:rsid w:val="001171B3"/>
    <w:rsid w:val="001171E6"/>
    <w:rsid w:val="00117384"/>
    <w:rsid w:val="001173FD"/>
    <w:rsid w:val="001174B3"/>
    <w:rsid w:val="001175D4"/>
    <w:rsid w:val="0011765D"/>
    <w:rsid w:val="00117669"/>
    <w:rsid w:val="0011768B"/>
    <w:rsid w:val="00117759"/>
    <w:rsid w:val="0011779C"/>
    <w:rsid w:val="001179BA"/>
    <w:rsid w:val="001179E4"/>
    <w:rsid w:val="00117A62"/>
    <w:rsid w:val="00117A97"/>
    <w:rsid w:val="00117AE2"/>
    <w:rsid w:val="00117AFF"/>
    <w:rsid w:val="00117B4F"/>
    <w:rsid w:val="00120036"/>
    <w:rsid w:val="0012054A"/>
    <w:rsid w:val="00120860"/>
    <w:rsid w:val="00120A5A"/>
    <w:rsid w:val="00120A9A"/>
    <w:rsid w:val="00120B1D"/>
    <w:rsid w:val="00120B53"/>
    <w:rsid w:val="00120EA3"/>
    <w:rsid w:val="00120FCB"/>
    <w:rsid w:val="00121089"/>
    <w:rsid w:val="001215B5"/>
    <w:rsid w:val="00121740"/>
    <w:rsid w:val="001217DB"/>
    <w:rsid w:val="001218BD"/>
    <w:rsid w:val="00121AE5"/>
    <w:rsid w:val="00121D33"/>
    <w:rsid w:val="00121E08"/>
    <w:rsid w:val="00121EA8"/>
    <w:rsid w:val="00121F14"/>
    <w:rsid w:val="0012204F"/>
    <w:rsid w:val="00122075"/>
    <w:rsid w:val="00122127"/>
    <w:rsid w:val="0012217E"/>
    <w:rsid w:val="001222E4"/>
    <w:rsid w:val="00122416"/>
    <w:rsid w:val="0012255D"/>
    <w:rsid w:val="00122686"/>
    <w:rsid w:val="00122849"/>
    <w:rsid w:val="00122AC2"/>
    <w:rsid w:val="00122C61"/>
    <w:rsid w:val="00122F71"/>
    <w:rsid w:val="001233F0"/>
    <w:rsid w:val="001237D4"/>
    <w:rsid w:val="001238A4"/>
    <w:rsid w:val="00123B90"/>
    <w:rsid w:val="00123CFB"/>
    <w:rsid w:val="00123D98"/>
    <w:rsid w:val="00123E17"/>
    <w:rsid w:val="001240EE"/>
    <w:rsid w:val="00124144"/>
    <w:rsid w:val="00124226"/>
    <w:rsid w:val="0012425D"/>
    <w:rsid w:val="0012434A"/>
    <w:rsid w:val="0012458B"/>
    <w:rsid w:val="0012461B"/>
    <w:rsid w:val="00124677"/>
    <w:rsid w:val="001246A5"/>
    <w:rsid w:val="00124745"/>
    <w:rsid w:val="00124B2E"/>
    <w:rsid w:val="00124C02"/>
    <w:rsid w:val="00124D1E"/>
    <w:rsid w:val="00124D2A"/>
    <w:rsid w:val="00124DCD"/>
    <w:rsid w:val="00124FD7"/>
    <w:rsid w:val="00125025"/>
    <w:rsid w:val="001252E9"/>
    <w:rsid w:val="001252EC"/>
    <w:rsid w:val="0012544B"/>
    <w:rsid w:val="001255BA"/>
    <w:rsid w:val="0012598F"/>
    <w:rsid w:val="001259AC"/>
    <w:rsid w:val="00125C2F"/>
    <w:rsid w:val="00125E2E"/>
    <w:rsid w:val="00125EA3"/>
    <w:rsid w:val="00126001"/>
    <w:rsid w:val="001261B8"/>
    <w:rsid w:val="0012622D"/>
    <w:rsid w:val="00126670"/>
    <w:rsid w:val="001266E1"/>
    <w:rsid w:val="0012671D"/>
    <w:rsid w:val="00126771"/>
    <w:rsid w:val="00126774"/>
    <w:rsid w:val="0012678B"/>
    <w:rsid w:val="00126A3E"/>
    <w:rsid w:val="00126AB2"/>
    <w:rsid w:val="00126E8D"/>
    <w:rsid w:val="00126F54"/>
    <w:rsid w:val="00127004"/>
    <w:rsid w:val="001270A1"/>
    <w:rsid w:val="00127113"/>
    <w:rsid w:val="001272C1"/>
    <w:rsid w:val="00127517"/>
    <w:rsid w:val="001275CD"/>
    <w:rsid w:val="00127747"/>
    <w:rsid w:val="00127854"/>
    <w:rsid w:val="001279FC"/>
    <w:rsid w:val="00127BBE"/>
    <w:rsid w:val="00127EAB"/>
    <w:rsid w:val="00130081"/>
    <w:rsid w:val="0013063E"/>
    <w:rsid w:val="001306A7"/>
    <w:rsid w:val="001306D3"/>
    <w:rsid w:val="00130982"/>
    <w:rsid w:val="00130F61"/>
    <w:rsid w:val="00131269"/>
    <w:rsid w:val="00131494"/>
    <w:rsid w:val="00131593"/>
    <w:rsid w:val="001316BF"/>
    <w:rsid w:val="001317AA"/>
    <w:rsid w:val="00131C84"/>
    <w:rsid w:val="00131C9A"/>
    <w:rsid w:val="00131D44"/>
    <w:rsid w:val="00131E89"/>
    <w:rsid w:val="00132087"/>
    <w:rsid w:val="0013238C"/>
    <w:rsid w:val="001324DF"/>
    <w:rsid w:val="001328E8"/>
    <w:rsid w:val="00132B2C"/>
    <w:rsid w:val="00132D67"/>
    <w:rsid w:val="00132F02"/>
    <w:rsid w:val="0013328D"/>
    <w:rsid w:val="00133461"/>
    <w:rsid w:val="001334CE"/>
    <w:rsid w:val="001336B8"/>
    <w:rsid w:val="00133994"/>
    <w:rsid w:val="00133AC3"/>
    <w:rsid w:val="00133BF8"/>
    <w:rsid w:val="00133EBD"/>
    <w:rsid w:val="00134107"/>
    <w:rsid w:val="00134144"/>
    <w:rsid w:val="00134921"/>
    <w:rsid w:val="001349DE"/>
    <w:rsid w:val="00135076"/>
    <w:rsid w:val="0013508F"/>
    <w:rsid w:val="001352DB"/>
    <w:rsid w:val="0013541D"/>
    <w:rsid w:val="0013547C"/>
    <w:rsid w:val="00135514"/>
    <w:rsid w:val="00135684"/>
    <w:rsid w:val="001358E5"/>
    <w:rsid w:val="00135987"/>
    <w:rsid w:val="00135BAB"/>
    <w:rsid w:val="00135BD7"/>
    <w:rsid w:val="00135CFA"/>
    <w:rsid w:val="00135F7A"/>
    <w:rsid w:val="00136052"/>
    <w:rsid w:val="00136117"/>
    <w:rsid w:val="001361AF"/>
    <w:rsid w:val="00136277"/>
    <w:rsid w:val="00136281"/>
    <w:rsid w:val="0013634B"/>
    <w:rsid w:val="00136510"/>
    <w:rsid w:val="001367B7"/>
    <w:rsid w:val="0013694D"/>
    <w:rsid w:val="00136A39"/>
    <w:rsid w:val="00136B56"/>
    <w:rsid w:val="00136BC0"/>
    <w:rsid w:val="00136D63"/>
    <w:rsid w:val="00136EF8"/>
    <w:rsid w:val="00136FD6"/>
    <w:rsid w:val="00136FDE"/>
    <w:rsid w:val="00137036"/>
    <w:rsid w:val="001373E4"/>
    <w:rsid w:val="0013753A"/>
    <w:rsid w:val="0013769F"/>
    <w:rsid w:val="001376AB"/>
    <w:rsid w:val="001378EC"/>
    <w:rsid w:val="00137AE2"/>
    <w:rsid w:val="00137CAC"/>
    <w:rsid w:val="00137D17"/>
    <w:rsid w:val="00137D1F"/>
    <w:rsid w:val="00137D37"/>
    <w:rsid w:val="00137D67"/>
    <w:rsid w:val="0014023C"/>
    <w:rsid w:val="001405B8"/>
    <w:rsid w:val="00140655"/>
    <w:rsid w:val="00140697"/>
    <w:rsid w:val="001407D5"/>
    <w:rsid w:val="00140831"/>
    <w:rsid w:val="001409A8"/>
    <w:rsid w:val="00140A74"/>
    <w:rsid w:val="00140BEF"/>
    <w:rsid w:val="001410BD"/>
    <w:rsid w:val="00141114"/>
    <w:rsid w:val="00141274"/>
    <w:rsid w:val="00141496"/>
    <w:rsid w:val="001415C5"/>
    <w:rsid w:val="001415CC"/>
    <w:rsid w:val="001416EA"/>
    <w:rsid w:val="0014187B"/>
    <w:rsid w:val="001418F9"/>
    <w:rsid w:val="00141913"/>
    <w:rsid w:val="00141A76"/>
    <w:rsid w:val="00141F31"/>
    <w:rsid w:val="00141F3F"/>
    <w:rsid w:val="001420C5"/>
    <w:rsid w:val="00142363"/>
    <w:rsid w:val="0014240E"/>
    <w:rsid w:val="00142428"/>
    <w:rsid w:val="00142551"/>
    <w:rsid w:val="001426ED"/>
    <w:rsid w:val="00142892"/>
    <w:rsid w:val="00142A88"/>
    <w:rsid w:val="00142C3B"/>
    <w:rsid w:val="00142EEF"/>
    <w:rsid w:val="00142F1D"/>
    <w:rsid w:val="001431C1"/>
    <w:rsid w:val="0014338D"/>
    <w:rsid w:val="001433AA"/>
    <w:rsid w:val="001434A3"/>
    <w:rsid w:val="00143A0F"/>
    <w:rsid w:val="00143AF8"/>
    <w:rsid w:val="00143CED"/>
    <w:rsid w:val="00143E4B"/>
    <w:rsid w:val="00144095"/>
    <w:rsid w:val="001440CC"/>
    <w:rsid w:val="00144135"/>
    <w:rsid w:val="00144204"/>
    <w:rsid w:val="0014429E"/>
    <w:rsid w:val="001442A0"/>
    <w:rsid w:val="0014445C"/>
    <w:rsid w:val="00144677"/>
    <w:rsid w:val="00144680"/>
    <w:rsid w:val="00144776"/>
    <w:rsid w:val="001448AF"/>
    <w:rsid w:val="00144900"/>
    <w:rsid w:val="00144943"/>
    <w:rsid w:val="001449B5"/>
    <w:rsid w:val="00144C52"/>
    <w:rsid w:val="00144D48"/>
    <w:rsid w:val="00144E16"/>
    <w:rsid w:val="00144F34"/>
    <w:rsid w:val="00144FA1"/>
    <w:rsid w:val="001450CC"/>
    <w:rsid w:val="001455DB"/>
    <w:rsid w:val="001457CD"/>
    <w:rsid w:val="00145A01"/>
    <w:rsid w:val="00145C18"/>
    <w:rsid w:val="001460A8"/>
    <w:rsid w:val="0014632A"/>
    <w:rsid w:val="00146473"/>
    <w:rsid w:val="00146621"/>
    <w:rsid w:val="0014677C"/>
    <w:rsid w:val="00146879"/>
    <w:rsid w:val="001469AD"/>
    <w:rsid w:val="00146E4A"/>
    <w:rsid w:val="00147072"/>
    <w:rsid w:val="00147080"/>
    <w:rsid w:val="001470A2"/>
    <w:rsid w:val="00147356"/>
    <w:rsid w:val="0014746C"/>
    <w:rsid w:val="0014767E"/>
    <w:rsid w:val="001478B8"/>
    <w:rsid w:val="00147ADC"/>
    <w:rsid w:val="00147B9D"/>
    <w:rsid w:val="00147CB2"/>
    <w:rsid w:val="00147F4C"/>
    <w:rsid w:val="001504F7"/>
    <w:rsid w:val="001506A3"/>
    <w:rsid w:val="001506D8"/>
    <w:rsid w:val="00150863"/>
    <w:rsid w:val="0015090D"/>
    <w:rsid w:val="00150922"/>
    <w:rsid w:val="00150A20"/>
    <w:rsid w:val="00150A72"/>
    <w:rsid w:val="00150AFE"/>
    <w:rsid w:val="00150C8E"/>
    <w:rsid w:val="00150FF6"/>
    <w:rsid w:val="0015107D"/>
    <w:rsid w:val="001510F2"/>
    <w:rsid w:val="00151178"/>
    <w:rsid w:val="001514A6"/>
    <w:rsid w:val="0015174D"/>
    <w:rsid w:val="00151B00"/>
    <w:rsid w:val="00151EAE"/>
    <w:rsid w:val="00152083"/>
    <w:rsid w:val="001521D4"/>
    <w:rsid w:val="00152494"/>
    <w:rsid w:val="00152591"/>
    <w:rsid w:val="00152600"/>
    <w:rsid w:val="00152748"/>
    <w:rsid w:val="00152968"/>
    <w:rsid w:val="0015299A"/>
    <w:rsid w:val="00152C76"/>
    <w:rsid w:val="00152D12"/>
    <w:rsid w:val="00152EDE"/>
    <w:rsid w:val="00152F5F"/>
    <w:rsid w:val="0015332E"/>
    <w:rsid w:val="001537B3"/>
    <w:rsid w:val="00153896"/>
    <w:rsid w:val="001538FF"/>
    <w:rsid w:val="00153AC4"/>
    <w:rsid w:val="00153B2D"/>
    <w:rsid w:val="00153CB8"/>
    <w:rsid w:val="00153F4A"/>
    <w:rsid w:val="00154071"/>
    <w:rsid w:val="00154187"/>
    <w:rsid w:val="0015462B"/>
    <w:rsid w:val="0015469D"/>
    <w:rsid w:val="00154934"/>
    <w:rsid w:val="00154A7E"/>
    <w:rsid w:val="00154BCD"/>
    <w:rsid w:val="00154F39"/>
    <w:rsid w:val="0015502B"/>
    <w:rsid w:val="00155054"/>
    <w:rsid w:val="001551A7"/>
    <w:rsid w:val="00155237"/>
    <w:rsid w:val="0015526C"/>
    <w:rsid w:val="0015569C"/>
    <w:rsid w:val="0015587E"/>
    <w:rsid w:val="00155A17"/>
    <w:rsid w:val="00155BDD"/>
    <w:rsid w:val="00155C32"/>
    <w:rsid w:val="00155C41"/>
    <w:rsid w:val="00155C77"/>
    <w:rsid w:val="00155D20"/>
    <w:rsid w:val="00155DB6"/>
    <w:rsid w:val="00155E35"/>
    <w:rsid w:val="00155E94"/>
    <w:rsid w:val="00155F51"/>
    <w:rsid w:val="001560D3"/>
    <w:rsid w:val="00156343"/>
    <w:rsid w:val="001564AB"/>
    <w:rsid w:val="001565E1"/>
    <w:rsid w:val="00156653"/>
    <w:rsid w:val="001566F5"/>
    <w:rsid w:val="00156938"/>
    <w:rsid w:val="001569E1"/>
    <w:rsid w:val="00156CBC"/>
    <w:rsid w:val="00156CFA"/>
    <w:rsid w:val="00156F86"/>
    <w:rsid w:val="001572BB"/>
    <w:rsid w:val="0015773E"/>
    <w:rsid w:val="001578E8"/>
    <w:rsid w:val="00157A3B"/>
    <w:rsid w:val="00157ABB"/>
    <w:rsid w:val="00157C86"/>
    <w:rsid w:val="00157E54"/>
    <w:rsid w:val="00157FB1"/>
    <w:rsid w:val="001603AD"/>
    <w:rsid w:val="0016078F"/>
    <w:rsid w:val="001608B5"/>
    <w:rsid w:val="00160969"/>
    <w:rsid w:val="00160A2A"/>
    <w:rsid w:val="00160A78"/>
    <w:rsid w:val="00160E2B"/>
    <w:rsid w:val="00160F38"/>
    <w:rsid w:val="00161220"/>
    <w:rsid w:val="00161261"/>
    <w:rsid w:val="00161265"/>
    <w:rsid w:val="0016136D"/>
    <w:rsid w:val="001618DC"/>
    <w:rsid w:val="00161B52"/>
    <w:rsid w:val="00161B6F"/>
    <w:rsid w:val="00161C9A"/>
    <w:rsid w:val="00161EBC"/>
    <w:rsid w:val="0016227B"/>
    <w:rsid w:val="001622F5"/>
    <w:rsid w:val="0016232C"/>
    <w:rsid w:val="001624A1"/>
    <w:rsid w:val="00162540"/>
    <w:rsid w:val="0016259D"/>
    <w:rsid w:val="001628F7"/>
    <w:rsid w:val="00162CE5"/>
    <w:rsid w:val="00162CF2"/>
    <w:rsid w:val="00162DDE"/>
    <w:rsid w:val="00162F1D"/>
    <w:rsid w:val="00163011"/>
    <w:rsid w:val="00163038"/>
    <w:rsid w:val="001632E3"/>
    <w:rsid w:val="001635AA"/>
    <w:rsid w:val="001637FC"/>
    <w:rsid w:val="00163A6B"/>
    <w:rsid w:val="00163A99"/>
    <w:rsid w:val="00163E66"/>
    <w:rsid w:val="00164053"/>
    <w:rsid w:val="0016412B"/>
    <w:rsid w:val="001641D8"/>
    <w:rsid w:val="0016440A"/>
    <w:rsid w:val="00164AC0"/>
    <w:rsid w:val="00164B3F"/>
    <w:rsid w:val="00164B76"/>
    <w:rsid w:val="00164C9D"/>
    <w:rsid w:val="00164E8F"/>
    <w:rsid w:val="00164EDE"/>
    <w:rsid w:val="0016521E"/>
    <w:rsid w:val="001652C7"/>
    <w:rsid w:val="00165313"/>
    <w:rsid w:val="00165547"/>
    <w:rsid w:val="0016557E"/>
    <w:rsid w:val="0016562C"/>
    <w:rsid w:val="00165708"/>
    <w:rsid w:val="00165739"/>
    <w:rsid w:val="001657AE"/>
    <w:rsid w:val="0016592C"/>
    <w:rsid w:val="00165C8B"/>
    <w:rsid w:val="00165CB6"/>
    <w:rsid w:val="00165E68"/>
    <w:rsid w:val="00165EDD"/>
    <w:rsid w:val="00165FAC"/>
    <w:rsid w:val="001663BF"/>
    <w:rsid w:val="0016655E"/>
    <w:rsid w:val="00166608"/>
    <w:rsid w:val="001667E9"/>
    <w:rsid w:val="00166980"/>
    <w:rsid w:val="001669E7"/>
    <w:rsid w:val="00166A43"/>
    <w:rsid w:val="00166A55"/>
    <w:rsid w:val="00166A71"/>
    <w:rsid w:val="00166CAD"/>
    <w:rsid w:val="00166D3D"/>
    <w:rsid w:val="00166DF8"/>
    <w:rsid w:val="00166FB7"/>
    <w:rsid w:val="001671A0"/>
    <w:rsid w:val="0016722C"/>
    <w:rsid w:val="0016724B"/>
    <w:rsid w:val="001673FA"/>
    <w:rsid w:val="00167477"/>
    <w:rsid w:val="0016751B"/>
    <w:rsid w:val="0016752C"/>
    <w:rsid w:val="001675C3"/>
    <w:rsid w:val="001676BB"/>
    <w:rsid w:val="001678B8"/>
    <w:rsid w:val="0016792F"/>
    <w:rsid w:val="00167950"/>
    <w:rsid w:val="00167983"/>
    <w:rsid w:val="00167D19"/>
    <w:rsid w:val="00167D94"/>
    <w:rsid w:val="00167DCD"/>
    <w:rsid w:val="00167E24"/>
    <w:rsid w:val="00167E72"/>
    <w:rsid w:val="00170294"/>
    <w:rsid w:val="00170502"/>
    <w:rsid w:val="0017060F"/>
    <w:rsid w:val="00170645"/>
    <w:rsid w:val="00170914"/>
    <w:rsid w:val="00170B88"/>
    <w:rsid w:val="00170EF9"/>
    <w:rsid w:val="00170FC0"/>
    <w:rsid w:val="00171118"/>
    <w:rsid w:val="00171218"/>
    <w:rsid w:val="001713B2"/>
    <w:rsid w:val="00171419"/>
    <w:rsid w:val="00171439"/>
    <w:rsid w:val="001714E4"/>
    <w:rsid w:val="001719F4"/>
    <w:rsid w:val="00171B33"/>
    <w:rsid w:val="00171BF5"/>
    <w:rsid w:val="00171D5A"/>
    <w:rsid w:val="00171DEB"/>
    <w:rsid w:val="00171EC4"/>
    <w:rsid w:val="00171F75"/>
    <w:rsid w:val="00171FC4"/>
    <w:rsid w:val="001722D6"/>
    <w:rsid w:val="00172395"/>
    <w:rsid w:val="001723A0"/>
    <w:rsid w:val="001723FC"/>
    <w:rsid w:val="001725EF"/>
    <w:rsid w:val="00172988"/>
    <w:rsid w:val="00172B33"/>
    <w:rsid w:val="00172B87"/>
    <w:rsid w:val="00172C93"/>
    <w:rsid w:val="00172EA7"/>
    <w:rsid w:val="00173119"/>
    <w:rsid w:val="0017317E"/>
    <w:rsid w:val="00173596"/>
    <w:rsid w:val="00173754"/>
    <w:rsid w:val="0017398D"/>
    <w:rsid w:val="00173A7F"/>
    <w:rsid w:val="00173B07"/>
    <w:rsid w:val="00174061"/>
    <w:rsid w:val="0017435B"/>
    <w:rsid w:val="0017438F"/>
    <w:rsid w:val="001744F7"/>
    <w:rsid w:val="00174614"/>
    <w:rsid w:val="00174908"/>
    <w:rsid w:val="00174DA1"/>
    <w:rsid w:val="00174F9D"/>
    <w:rsid w:val="00174FB2"/>
    <w:rsid w:val="001750BA"/>
    <w:rsid w:val="0017510D"/>
    <w:rsid w:val="00175117"/>
    <w:rsid w:val="001751E1"/>
    <w:rsid w:val="001752C3"/>
    <w:rsid w:val="001752D5"/>
    <w:rsid w:val="00175308"/>
    <w:rsid w:val="00175479"/>
    <w:rsid w:val="00175577"/>
    <w:rsid w:val="00175854"/>
    <w:rsid w:val="00175A16"/>
    <w:rsid w:val="00175D6C"/>
    <w:rsid w:val="00175E98"/>
    <w:rsid w:val="00175EB0"/>
    <w:rsid w:val="00175EC6"/>
    <w:rsid w:val="00175F19"/>
    <w:rsid w:val="00176043"/>
    <w:rsid w:val="001761C5"/>
    <w:rsid w:val="001761CB"/>
    <w:rsid w:val="001762BA"/>
    <w:rsid w:val="00176324"/>
    <w:rsid w:val="00176332"/>
    <w:rsid w:val="001764B9"/>
    <w:rsid w:val="001764DD"/>
    <w:rsid w:val="00176591"/>
    <w:rsid w:val="0017663F"/>
    <w:rsid w:val="0017667B"/>
    <w:rsid w:val="00176695"/>
    <w:rsid w:val="00176779"/>
    <w:rsid w:val="001767BE"/>
    <w:rsid w:val="00176880"/>
    <w:rsid w:val="001768BE"/>
    <w:rsid w:val="0017693A"/>
    <w:rsid w:val="00176F64"/>
    <w:rsid w:val="00176FB3"/>
    <w:rsid w:val="0017709A"/>
    <w:rsid w:val="001772DD"/>
    <w:rsid w:val="0017736D"/>
    <w:rsid w:val="00177431"/>
    <w:rsid w:val="0017764A"/>
    <w:rsid w:val="00177674"/>
    <w:rsid w:val="0017774B"/>
    <w:rsid w:val="001777F6"/>
    <w:rsid w:val="00177983"/>
    <w:rsid w:val="00177B16"/>
    <w:rsid w:val="00177B63"/>
    <w:rsid w:val="00177D42"/>
    <w:rsid w:val="0018007C"/>
    <w:rsid w:val="001801B4"/>
    <w:rsid w:val="00180225"/>
    <w:rsid w:val="00180230"/>
    <w:rsid w:val="00180310"/>
    <w:rsid w:val="001803DE"/>
    <w:rsid w:val="001805FD"/>
    <w:rsid w:val="00180AD7"/>
    <w:rsid w:val="00180CFA"/>
    <w:rsid w:val="00180ED6"/>
    <w:rsid w:val="00180F4C"/>
    <w:rsid w:val="001813B6"/>
    <w:rsid w:val="00181631"/>
    <w:rsid w:val="0018179E"/>
    <w:rsid w:val="001818B2"/>
    <w:rsid w:val="00181A09"/>
    <w:rsid w:val="00181AEF"/>
    <w:rsid w:val="00181B96"/>
    <w:rsid w:val="00181E1B"/>
    <w:rsid w:val="00181F1A"/>
    <w:rsid w:val="00182286"/>
    <w:rsid w:val="0018263A"/>
    <w:rsid w:val="0018287B"/>
    <w:rsid w:val="0018292A"/>
    <w:rsid w:val="00182990"/>
    <w:rsid w:val="00182BE7"/>
    <w:rsid w:val="00182C5E"/>
    <w:rsid w:val="00182CFD"/>
    <w:rsid w:val="0018316A"/>
    <w:rsid w:val="001832BA"/>
    <w:rsid w:val="00183361"/>
    <w:rsid w:val="0018358A"/>
    <w:rsid w:val="00183685"/>
    <w:rsid w:val="001838D8"/>
    <w:rsid w:val="00183BB4"/>
    <w:rsid w:val="00183BCD"/>
    <w:rsid w:val="00184198"/>
    <w:rsid w:val="001841B4"/>
    <w:rsid w:val="001843D5"/>
    <w:rsid w:val="00184419"/>
    <w:rsid w:val="001844F2"/>
    <w:rsid w:val="00184624"/>
    <w:rsid w:val="00184766"/>
    <w:rsid w:val="001847B3"/>
    <w:rsid w:val="001847FB"/>
    <w:rsid w:val="00184839"/>
    <w:rsid w:val="001848E9"/>
    <w:rsid w:val="00184A3E"/>
    <w:rsid w:val="00184B04"/>
    <w:rsid w:val="00184C13"/>
    <w:rsid w:val="00184C64"/>
    <w:rsid w:val="00184DF0"/>
    <w:rsid w:val="001852EB"/>
    <w:rsid w:val="0018551A"/>
    <w:rsid w:val="0018558E"/>
    <w:rsid w:val="00185593"/>
    <w:rsid w:val="0018571A"/>
    <w:rsid w:val="0018595A"/>
    <w:rsid w:val="00185E94"/>
    <w:rsid w:val="00185F0B"/>
    <w:rsid w:val="00185FDA"/>
    <w:rsid w:val="0018612B"/>
    <w:rsid w:val="001862BC"/>
    <w:rsid w:val="00186392"/>
    <w:rsid w:val="00186520"/>
    <w:rsid w:val="001866C2"/>
    <w:rsid w:val="00186746"/>
    <w:rsid w:val="0018677E"/>
    <w:rsid w:val="001868B1"/>
    <w:rsid w:val="00186942"/>
    <w:rsid w:val="001869E7"/>
    <w:rsid w:val="00186C3A"/>
    <w:rsid w:val="00186CAC"/>
    <w:rsid w:val="00186CC3"/>
    <w:rsid w:val="00186F7E"/>
    <w:rsid w:val="00187031"/>
    <w:rsid w:val="00187272"/>
    <w:rsid w:val="0018747D"/>
    <w:rsid w:val="00187666"/>
    <w:rsid w:val="00187689"/>
    <w:rsid w:val="00187738"/>
    <w:rsid w:val="0018785E"/>
    <w:rsid w:val="00187930"/>
    <w:rsid w:val="001901AF"/>
    <w:rsid w:val="00190417"/>
    <w:rsid w:val="0019051B"/>
    <w:rsid w:val="001906F1"/>
    <w:rsid w:val="001907B3"/>
    <w:rsid w:val="00190CF9"/>
    <w:rsid w:val="00190E8F"/>
    <w:rsid w:val="00190E90"/>
    <w:rsid w:val="00190EA2"/>
    <w:rsid w:val="00191035"/>
    <w:rsid w:val="00191037"/>
    <w:rsid w:val="001910C4"/>
    <w:rsid w:val="0019115B"/>
    <w:rsid w:val="0019123B"/>
    <w:rsid w:val="001915CB"/>
    <w:rsid w:val="001916DD"/>
    <w:rsid w:val="0019179A"/>
    <w:rsid w:val="00191B09"/>
    <w:rsid w:val="00191B64"/>
    <w:rsid w:val="00191BCA"/>
    <w:rsid w:val="001920AE"/>
    <w:rsid w:val="001920CB"/>
    <w:rsid w:val="0019217F"/>
    <w:rsid w:val="0019225E"/>
    <w:rsid w:val="00192292"/>
    <w:rsid w:val="001923B9"/>
    <w:rsid w:val="001926CC"/>
    <w:rsid w:val="00192757"/>
    <w:rsid w:val="001927FB"/>
    <w:rsid w:val="0019280B"/>
    <w:rsid w:val="00192A5A"/>
    <w:rsid w:val="00192D4D"/>
    <w:rsid w:val="00192DCE"/>
    <w:rsid w:val="00192E87"/>
    <w:rsid w:val="00192FBD"/>
    <w:rsid w:val="0019307D"/>
    <w:rsid w:val="001930AA"/>
    <w:rsid w:val="00193332"/>
    <w:rsid w:val="001933B6"/>
    <w:rsid w:val="00193842"/>
    <w:rsid w:val="00193861"/>
    <w:rsid w:val="0019387E"/>
    <w:rsid w:val="00193A19"/>
    <w:rsid w:val="00193BD4"/>
    <w:rsid w:val="00193E71"/>
    <w:rsid w:val="00193ED6"/>
    <w:rsid w:val="00193F61"/>
    <w:rsid w:val="001940C8"/>
    <w:rsid w:val="00194401"/>
    <w:rsid w:val="0019453F"/>
    <w:rsid w:val="00194555"/>
    <w:rsid w:val="00194678"/>
    <w:rsid w:val="0019482E"/>
    <w:rsid w:val="0019496C"/>
    <w:rsid w:val="0019497E"/>
    <w:rsid w:val="00194A31"/>
    <w:rsid w:val="00194B55"/>
    <w:rsid w:val="00194CEB"/>
    <w:rsid w:val="00194E40"/>
    <w:rsid w:val="00194F05"/>
    <w:rsid w:val="001950C1"/>
    <w:rsid w:val="00195126"/>
    <w:rsid w:val="0019572F"/>
    <w:rsid w:val="00195762"/>
    <w:rsid w:val="00195923"/>
    <w:rsid w:val="00195CA7"/>
    <w:rsid w:val="00195E51"/>
    <w:rsid w:val="0019604E"/>
    <w:rsid w:val="001960E4"/>
    <w:rsid w:val="001961D2"/>
    <w:rsid w:val="00196756"/>
    <w:rsid w:val="0019677B"/>
    <w:rsid w:val="001968DC"/>
    <w:rsid w:val="001969C9"/>
    <w:rsid w:val="00196C64"/>
    <w:rsid w:val="0019799F"/>
    <w:rsid w:val="00197AC0"/>
    <w:rsid w:val="00197E2D"/>
    <w:rsid w:val="00197E56"/>
    <w:rsid w:val="001A0018"/>
    <w:rsid w:val="001A0050"/>
    <w:rsid w:val="001A0122"/>
    <w:rsid w:val="001A0829"/>
    <w:rsid w:val="001A0C94"/>
    <w:rsid w:val="001A10C4"/>
    <w:rsid w:val="001A1220"/>
    <w:rsid w:val="001A12A7"/>
    <w:rsid w:val="001A1386"/>
    <w:rsid w:val="001A1447"/>
    <w:rsid w:val="001A16AF"/>
    <w:rsid w:val="001A16D0"/>
    <w:rsid w:val="001A1780"/>
    <w:rsid w:val="001A1D88"/>
    <w:rsid w:val="001A1D92"/>
    <w:rsid w:val="001A1E32"/>
    <w:rsid w:val="001A1ED8"/>
    <w:rsid w:val="001A209C"/>
    <w:rsid w:val="001A244B"/>
    <w:rsid w:val="001A2545"/>
    <w:rsid w:val="001A2557"/>
    <w:rsid w:val="001A2A1A"/>
    <w:rsid w:val="001A2A46"/>
    <w:rsid w:val="001A2AC0"/>
    <w:rsid w:val="001A2B34"/>
    <w:rsid w:val="001A3468"/>
    <w:rsid w:val="001A3729"/>
    <w:rsid w:val="001A377D"/>
    <w:rsid w:val="001A3907"/>
    <w:rsid w:val="001A391A"/>
    <w:rsid w:val="001A3922"/>
    <w:rsid w:val="001A3A43"/>
    <w:rsid w:val="001A3E48"/>
    <w:rsid w:val="001A4155"/>
    <w:rsid w:val="001A4243"/>
    <w:rsid w:val="001A43D0"/>
    <w:rsid w:val="001A4541"/>
    <w:rsid w:val="001A46AE"/>
    <w:rsid w:val="001A494D"/>
    <w:rsid w:val="001A4BF8"/>
    <w:rsid w:val="001A4F8B"/>
    <w:rsid w:val="001A4FE2"/>
    <w:rsid w:val="001A5059"/>
    <w:rsid w:val="001A5125"/>
    <w:rsid w:val="001A5206"/>
    <w:rsid w:val="001A5591"/>
    <w:rsid w:val="001A55F3"/>
    <w:rsid w:val="001A585B"/>
    <w:rsid w:val="001A58A2"/>
    <w:rsid w:val="001A5952"/>
    <w:rsid w:val="001A5D73"/>
    <w:rsid w:val="001A6200"/>
    <w:rsid w:val="001A62F8"/>
    <w:rsid w:val="001A632B"/>
    <w:rsid w:val="001A65E9"/>
    <w:rsid w:val="001A6815"/>
    <w:rsid w:val="001A68DF"/>
    <w:rsid w:val="001A6B43"/>
    <w:rsid w:val="001A6E00"/>
    <w:rsid w:val="001A72C1"/>
    <w:rsid w:val="001A740E"/>
    <w:rsid w:val="001A7426"/>
    <w:rsid w:val="001A74BA"/>
    <w:rsid w:val="001A75B0"/>
    <w:rsid w:val="001A763E"/>
    <w:rsid w:val="001A7694"/>
    <w:rsid w:val="001A7BE7"/>
    <w:rsid w:val="001A7D1F"/>
    <w:rsid w:val="001A7DA5"/>
    <w:rsid w:val="001A7DE4"/>
    <w:rsid w:val="001A7DF6"/>
    <w:rsid w:val="001B005E"/>
    <w:rsid w:val="001B0690"/>
    <w:rsid w:val="001B0714"/>
    <w:rsid w:val="001B0C84"/>
    <w:rsid w:val="001B0D4E"/>
    <w:rsid w:val="001B0FE3"/>
    <w:rsid w:val="001B1177"/>
    <w:rsid w:val="001B14F5"/>
    <w:rsid w:val="001B15C7"/>
    <w:rsid w:val="001B1910"/>
    <w:rsid w:val="001B192D"/>
    <w:rsid w:val="001B19D6"/>
    <w:rsid w:val="001B1AA0"/>
    <w:rsid w:val="001B1CB7"/>
    <w:rsid w:val="001B1FB0"/>
    <w:rsid w:val="001B24A1"/>
    <w:rsid w:val="001B251D"/>
    <w:rsid w:val="001B2666"/>
    <w:rsid w:val="001B276F"/>
    <w:rsid w:val="001B29FD"/>
    <w:rsid w:val="001B2B16"/>
    <w:rsid w:val="001B2BBE"/>
    <w:rsid w:val="001B2D4E"/>
    <w:rsid w:val="001B2D85"/>
    <w:rsid w:val="001B2E0E"/>
    <w:rsid w:val="001B2E24"/>
    <w:rsid w:val="001B2FA9"/>
    <w:rsid w:val="001B2FED"/>
    <w:rsid w:val="001B307D"/>
    <w:rsid w:val="001B3196"/>
    <w:rsid w:val="001B3593"/>
    <w:rsid w:val="001B3690"/>
    <w:rsid w:val="001B36A6"/>
    <w:rsid w:val="001B3984"/>
    <w:rsid w:val="001B3B41"/>
    <w:rsid w:val="001B3C6A"/>
    <w:rsid w:val="001B3CDE"/>
    <w:rsid w:val="001B3D00"/>
    <w:rsid w:val="001B3E9E"/>
    <w:rsid w:val="001B3EC2"/>
    <w:rsid w:val="001B409F"/>
    <w:rsid w:val="001B4180"/>
    <w:rsid w:val="001B4367"/>
    <w:rsid w:val="001B450C"/>
    <w:rsid w:val="001B4913"/>
    <w:rsid w:val="001B4942"/>
    <w:rsid w:val="001B4B6B"/>
    <w:rsid w:val="001B4B6C"/>
    <w:rsid w:val="001B4C76"/>
    <w:rsid w:val="001B4E88"/>
    <w:rsid w:val="001B521E"/>
    <w:rsid w:val="001B574F"/>
    <w:rsid w:val="001B5B05"/>
    <w:rsid w:val="001B5BA4"/>
    <w:rsid w:val="001B5CE1"/>
    <w:rsid w:val="001B5FA4"/>
    <w:rsid w:val="001B611E"/>
    <w:rsid w:val="001B68D0"/>
    <w:rsid w:val="001B6B96"/>
    <w:rsid w:val="001B6BBA"/>
    <w:rsid w:val="001B6BC5"/>
    <w:rsid w:val="001B75A2"/>
    <w:rsid w:val="001B7609"/>
    <w:rsid w:val="001B762E"/>
    <w:rsid w:val="001B7837"/>
    <w:rsid w:val="001B7A3B"/>
    <w:rsid w:val="001B7B91"/>
    <w:rsid w:val="001B7C01"/>
    <w:rsid w:val="001B7C16"/>
    <w:rsid w:val="001B7D35"/>
    <w:rsid w:val="001B7DAF"/>
    <w:rsid w:val="001C06B9"/>
    <w:rsid w:val="001C0764"/>
    <w:rsid w:val="001C0845"/>
    <w:rsid w:val="001C0A3D"/>
    <w:rsid w:val="001C0A5E"/>
    <w:rsid w:val="001C0C7C"/>
    <w:rsid w:val="001C0DD2"/>
    <w:rsid w:val="001C12A9"/>
    <w:rsid w:val="001C1339"/>
    <w:rsid w:val="001C133B"/>
    <w:rsid w:val="001C135E"/>
    <w:rsid w:val="001C151E"/>
    <w:rsid w:val="001C1527"/>
    <w:rsid w:val="001C165F"/>
    <w:rsid w:val="001C17C5"/>
    <w:rsid w:val="001C1811"/>
    <w:rsid w:val="001C1848"/>
    <w:rsid w:val="001C18B6"/>
    <w:rsid w:val="001C1D3C"/>
    <w:rsid w:val="001C1EFF"/>
    <w:rsid w:val="001C1F02"/>
    <w:rsid w:val="001C1FA6"/>
    <w:rsid w:val="001C2068"/>
    <w:rsid w:val="001C221D"/>
    <w:rsid w:val="001C247C"/>
    <w:rsid w:val="001C26A3"/>
    <w:rsid w:val="001C27C1"/>
    <w:rsid w:val="001C27EC"/>
    <w:rsid w:val="001C28BD"/>
    <w:rsid w:val="001C295D"/>
    <w:rsid w:val="001C29D4"/>
    <w:rsid w:val="001C2AD3"/>
    <w:rsid w:val="001C2BDA"/>
    <w:rsid w:val="001C2E1E"/>
    <w:rsid w:val="001C31DB"/>
    <w:rsid w:val="001C330A"/>
    <w:rsid w:val="001C334A"/>
    <w:rsid w:val="001C347A"/>
    <w:rsid w:val="001C363F"/>
    <w:rsid w:val="001C36FA"/>
    <w:rsid w:val="001C37D5"/>
    <w:rsid w:val="001C3BE5"/>
    <w:rsid w:val="001C3D14"/>
    <w:rsid w:val="001C3E22"/>
    <w:rsid w:val="001C3E52"/>
    <w:rsid w:val="001C4018"/>
    <w:rsid w:val="001C4131"/>
    <w:rsid w:val="001C4165"/>
    <w:rsid w:val="001C4178"/>
    <w:rsid w:val="001C418B"/>
    <w:rsid w:val="001C422C"/>
    <w:rsid w:val="001C4339"/>
    <w:rsid w:val="001C44B7"/>
    <w:rsid w:val="001C44E3"/>
    <w:rsid w:val="001C457B"/>
    <w:rsid w:val="001C46EA"/>
    <w:rsid w:val="001C4708"/>
    <w:rsid w:val="001C47EE"/>
    <w:rsid w:val="001C495F"/>
    <w:rsid w:val="001C49E7"/>
    <w:rsid w:val="001C4AA0"/>
    <w:rsid w:val="001C4D13"/>
    <w:rsid w:val="001C4DC2"/>
    <w:rsid w:val="001C50F1"/>
    <w:rsid w:val="001C51DB"/>
    <w:rsid w:val="001C531F"/>
    <w:rsid w:val="001C551D"/>
    <w:rsid w:val="001C5837"/>
    <w:rsid w:val="001C5B5F"/>
    <w:rsid w:val="001C5C6D"/>
    <w:rsid w:val="001C5EE7"/>
    <w:rsid w:val="001C6078"/>
    <w:rsid w:val="001C635E"/>
    <w:rsid w:val="001C667D"/>
    <w:rsid w:val="001C66E2"/>
    <w:rsid w:val="001C68DA"/>
    <w:rsid w:val="001C6B6C"/>
    <w:rsid w:val="001C6D65"/>
    <w:rsid w:val="001C6D87"/>
    <w:rsid w:val="001C6F45"/>
    <w:rsid w:val="001C6F7E"/>
    <w:rsid w:val="001C6FA3"/>
    <w:rsid w:val="001C70EE"/>
    <w:rsid w:val="001C71E2"/>
    <w:rsid w:val="001C7419"/>
    <w:rsid w:val="001C7771"/>
    <w:rsid w:val="001C7998"/>
    <w:rsid w:val="001C7A80"/>
    <w:rsid w:val="001C7AB9"/>
    <w:rsid w:val="001C7E0C"/>
    <w:rsid w:val="001C7FC0"/>
    <w:rsid w:val="001D003D"/>
    <w:rsid w:val="001D01E5"/>
    <w:rsid w:val="001D023B"/>
    <w:rsid w:val="001D027A"/>
    <w:rsid w:val="001D0823"/>
    <w:rsid w:val="001D086C"/>
    <w:rsid w:val="001D086F"/>
    <w:rsid w:val="001D08D8"/>
    <w:rsid w:val="001D0A61"/>
    <w:rsid w:val="001D0ACA"/>
    <w:rsid w:val="001D0BE5"/>
    <w:rsid w:val="001D0CFB"/>
    <w:rsid w:val="001D0E52"/>
    <w:rsid w:val="001D0EF8"/>
    <w:rsid w:val="001D0FC3"/>
    <w:rsid w:val="001D0FC6"/>
    <w:rsid w:val="001D1105"/>
    <w:rsid w:val="001D1212"/>
    <w:rsid w:val="001D12F5"/>
    <w:rsid w:val="001D1381"/>
    <w:rsid w:val="001D1779"/>
    <w:rsid w:val="001D17CC"/>
    <w:rsid w:val="001D1A6F"/>
    <w:rsid w:val="001D1CBC"/>
    <w:rsid w:val="001D1D9A"/>
    <w:rsid w:val="001D21EC"/>
    <w:rsid w:val="001D22E1"/>
    <w:rsid w:val="001D230F"/>
    <w:rsid w:val="001D23E9"/>
    <w:rsid w:val="001D2515"/>
    <w:rsid w:val="001D2578"/>
    <w:rsid w:val="001D2673"/>
    <w:rsid w:val="001D276D"/>
    <w:rsid w:val="001D27B7"/>
    <w:rsid w:val="001D27B8"/>
    <w:rsid w:val="001D285E"/>
    <w:rsid w:val="001D2861"/>
    <w:rsid w:val="001D2902"/>
    <w:rsid w:val="001D2A7A"/>
    <w:rsid w:val="001D2BD2"/>
    <w:rsid w:val="001D2C0E"/>
    <w:rsid w:val="001D2DC4"/>
    <w:rsid w:val="001D325E"/>
    <w:rsid w:val="001D3349"/>
    <w:rsid w:val="001D3470"/>
    <w:rsid w:val="001D37AD"/>
    <w:rsid w:val="001D37E0"/>
    <w:rsid w:val="001D3887"/>
    <w:rsid w:val="001D3B27"/>
    <w:rsid w:val="001D3BD9"/>
    <w:rsid w:val="001D3D9E"/>
    <w:rsid w:val="001D3DE4"/>
    <w:rsid w:val="001D415B"/>
    <w:rsid w:val="001D42FF"/>
    <w:rsid w:val="001D447E"/>
    <w:rsid w:val="001D44D5"/>
    <w:rsid w:val="001D4704"/>
    <w:rsid w:val="001D4787"/>
    <w:rsid w:val="001D4A92"/>
    <w:rsid w:val="001D4B65"/>
    <w:rsid w:val="001D4DAA"/>
    <w:rsid w:val="001D5071"/>
    <w:rsid w:val="001D51B7"/>
    <w:rsid w:val="001D5470"/>
    <w:rsid w:val="001D54BD"/>
    <w:rsid w:val="001D5588"/>
    <w:rsid w:val="001D57D5"/>
    <w:rsid w:val="001D5A38"/>
    <w:rsid w:val="001D5C6C"/>
    <w:rsid w:val="001D60D1"/>
    <w:rsid w:val="001D6111"/>
    <w:rsid w:val="001D61C7"/>
    <w:rsid w:val="001D61D9"/>
    <w:rsid w:val="001D66D8"/>
    <w:rsid w:val="001D672B"/>
    <w:rsid w:val="001D67BF"/>
    <w:rsid w:val="001D67CB"/>
    <w:rsid w:val="001D67E3"/>
    <w:rsid w:val="001D69DD"/>
    <w:rsid w:val="001D6B10"/>
    <w:rsid w:val="001D6B5A"/>
    <w:rsid w:val="001D6C2D"/>
    <w:rsid w:val="001D6CD2"/>
    <w:rsid w:val="001D6EA7"/>
    <w:rsid w:val="001D6ED1"/>
    <w:rsid w:val="001D7273"/>
    <w:rsid w:val="001D73B7"/>
    <w:rsid w:val="001D7492"/>
    <w:rsid w:val="001D78E7"/>
    <w:rsid w:val="001D79EB"/>
    <w:rsid w:val="001D7B15"/>
    <w:rsid w:val="001D7BC2"/>
    <w:rsid w:val="001D7F3E"/>
    <w:rsid w:val="001E01B7"/>
    <w:rsid w:val="001E03FE"/>
    <w:rsid w:val="001E0492"/>
    <w:rsid w:val="001E04B4"/>
    <w:rsid w:val="001E067F"/>
    <w:rsid w:val="001E07AF"/>
    <w:rsid w:val="001E09B0"/>
    <w:rsid w:val="001E09B2"/>
    <w:rsid w:val="001E0CA5"/>
    <w:rsid w:val="001E0F86"/>
    <w:rsid w:val="001E10A5"/>
    <w:rsid w:val="001E116E"/>
    <w:rsid w:val="001E1229"/>
    <w:rsid w:val="001E124A"/>
    <w:rsid w:val="001E12A5"/>
    <w:rsid w:val="001E176E"/>
    <w:rsid w:val="001E1851"/>
    <w:rsid w:val="001E187A"/>
    <w:rsid w:val="001E1CD3"/>
    <w:rsid w:val="001E1E36"/>
    <w:rsid w:val="001E2047"/>
    <w:rsid w:val="001E232B"/>
    <w:rsid w:val="001E235C"/>
    <w:rsid w:val="001E24E4"/>
    <w:rsid w:val="001E2562"/>
    <w:rsid w:val="001E269A"/>
    <w:rsid w:val="001E26C7"/>
    <w:rsid w:val="001E2A62"/>
    <w:rsid w:val="001E2AB1"/>
    <w:rsid w:val="001E2B5F"/>
    <w:rsid w:val="001E2BEB"/>
    <w:rsid w:val="001E2C25"/>
    <w:rsid w:val="001E2D51"/>
    <w:rsid w:val="001E2E4A"/>
    <w:rsid w:val="001E2FA9"/>
    <w:rsid w:val="001E2FE6"/>
    <w:rsid w:val="001E3271"/>
    <w:rsid w:val="001E3291"/>
    <w:rsid w:val="001E335B"/>
    <w:rsid w:val="001E3372"/>
    <w:rsid w:val="001E337B"/>
    <w:rsid w:val="001E3405"/>
    <w:rsid w:val="001E3586"/>
    <w:rsid w:val="001E358C"/>
    <w:rsid w:val="001E365D"/>
    <w:rsid w:val="001E3662"/>
    <w:rsid w:val="001E36F0"/>
    <w:rsid w:val="001E3953"/>
    <w:rsid w:val="001E3B14"/>
    <w:rsid w:val="001E3B45"/>
    <w:rsid w:val="001E3C0F"/>
    <w:rsid w:val="001E3C9B"/>
    <w:rsid w:val="001E3D66"/>
    <w:rsid w:val="001E3F23"/>
    <w:rsid w:val="001E41A8"/>
    <w:rsid w:val="001E4407"/>
    <w:rsid w:val="001E45EA"/>
    <w:rsid w:val="001E4702"/>
    <w:rsid w:val="001E4C2C"/>
    <w:rsid w:val="001E4E7E"/>
    <w:rsid w:val="001E4E90"/>
    <w:rsid w:val="001E4F71"/>
    <w:rsid w:val="001E52B6"/>
    <w:rsid w:val="001E532D"/>
    <w:rsid w:val="001E562D"/>
    <w:rsid w:val="001E5777"/>
    <w:rsid w:val="001E580E"/>
    <w:rsid w:val="001E585A"/>
    <w:rsid w:val="001E58C4"/>
    <w:rsid w:val="001E5900"/>
    <w:rsid w:val="001E5FE9"/>
    <w:rsid w:val="001E60F6"/>
    <w:rsid w:val="001E6393"/>
    <w:rsid w:val="001E647B"/>
    <w:rsid w:val="001E67BA"/>
    <w:rsid w:val="001E6AD6"/>
    <w:rsid w:val="001E6AEE"/>
    <w:rsid w:val="001E6DBE"/>
    <w:rsid w:val="001E6F98"/>
    <w:rsid w:val="001E7347"/>
    <w:rsid w:val="001E77E9"/>
    <w:rsid w:val="001E7838"/>
    <w:rsid w:val="001E7CAB"/>
    <w:rsid w:val="001E7DAD"/>
    <w:rsid w:val="001E7F79"/>
    <w:rsid w:val="001E7FDA"/>
    <w:rsid w:val="001F0159"/>
    <w:rsid w:val="001F0256"/>
    <w:rsid w:val="001F028C"/>
    <w:rsid w:val="001F03BB"/>
    <w:rsid w:val="001F04B7"/>
    <w:rsid w:val="001F08DF"/>
    <w:rsid w:val="001F0AB5"/>
    <w:rsid w:val="001F0B26"/>
    <w:rsid w:val="001F0B67"/>
    <w:rsid w:val="001F0FD3"/>
    <w:rsid w:val="001F1343"/>
    <w:rsid w:val="001F13A1"/>
    <w:rsid w:val="001F1457"/>
    <w:rsid w:val="001F1608"/>
    <w:rsid w:val="001F187E"/>
    <w:rsid w:val="001F21B8"/>
    <w:rsid w:val="001F2247"/>
    <w:rsid w:val="001F2317"/>
    <w:rsid w:val="001F24D3"/>
    <w:rsid w:val="001F2819"/>
    <w:rsid w:val="001F2851"/>
    <w:rsid w:val="001F2924"/>
    <w:rsid w:val="001F2961"/>
    <w:rsid w:val="001F3373"/>
    <w:rsid w:val="001F3569"/>
    <w:rsid w:val="001F359D"/>
    <w:rsid w:val="001F3839"/>
    <w:rsid w:val="001F3B5C"/>
    <w:rsid w:val="001F3BD4"/>
    <w:rsid w:val="001F3D28"/>
    <w:rsid w:val="001F3D70"/>
    <w:rsid w:val="001F4157"/>
    <w:rsid w:val="001F4297"/>
    <w:rsid w:val="001F440C"/>
    <w:rsid w:val="001F443F"/>
    <w:rsid w:val="001F4A7A"/>
    <w:rsid w:val="001F4ADE"/>
    <w:rsid w:val="001F4BCA"/>
    <w:rsid w:val="001F4E7D"/>
    <w:rsid w:val="001F4F92"/>
    <w:rsid w:val="001F4FA7"/>
    <w:rsid w:val="001F4FB5"/>
    <w:rsid w:val="001F5184"/>
    <w:rsid w:val="001F52EF"/>
    <w:rsid w:val="001F5345"/>
    <w:rsid w:val="001F5943"/>
    <w:rsid w:val="001F59CE"/>
    <w:rsid w:val="001F5D12"/>
    <w:rsid w:val="001F5D59"/>
    <w:rsid w:val="001F5EFB"/>
    <w:rsid w:val="001F602E"/>
    <w:rsid w:val="001F6401"/>
    <w:rsid w:val="001F6591"/>
    <w:rsid w:val="001F6644"/>
    <w:rsid w:val="001F6AD0"/>
    <w:rsid w:val="001F6B88"/>
    <w:rsid w:val="001F6EE3"/>
    <w:rsid w:val="001F6EE4"/>
    <w:rsid w:val="001F7012"/>
    <w:rsid w:val="001F7340"/>
    <w:rsid w:val="001F7474"/>
    <w:rsid w:val="001F74A0"/>
    <w:rsid w:val="001F7586"/>
    <w:rsid w:val="001F79D0"/>
    <w:rsid w:val="001F7AB9"/>
    <w:rsid w:val="001F7AF1"/>
    <w:rsid w:val="001F7BB7"/>
    <w:rsid w:val="001F7CA3"/>
    <w:rsid w:val="001F7E21"/>
    <w:rsid w:val="001F7E80"/>
    <w:rsid w:val="001F7F64"/>
    <w:rsid w:val="001F7F7A"/>
    <w:rsid w:val="002000E9"/>
    <w:rsid w:val="0020013F"/>
    <w:rsid w:val="0020043F"/>
    <w:rsid w:val="00200764"/>
    <w:rsid w:val="00200AAA"/>
    <w:rsid w:val="00200C76"/>
    <w:rsid w:val="00200C83"/>
    <w:rsid w:val="00200CC1"/>
    <w:rsid w:val="00200F20"/>
    <w:rsid w:val="00200FB2"/>
    <w:rsid w:val="00201104"/>
    <w:rsid w:val="0020163F"/>
    <w:rsid w:val="00201E13"/>
    <w:rsid w:val="00201EDB"/>
    <w:rsid w:val="00201F84"/>
    <w:rsid w:val="002020E6"/>
    <w:rsid w:val="002021B2"/>
    <w:rsid w:val="00202228"/>
    <w:rsid w:val="00202329"/>
    <w:rsid w:val="002024FC"/>
    <w:rsid w:val="0020260E"/>
    <w:rsid w:val="00202A19"/>
    <w:rsid w:val="00202CAB"/>
    <w:rsid w:val="00202EC6"/>
    <w:rsid w:val="00202F46"/>
    <w:rsid w:val="0020306F"/>
    <w:rsid w:val="002030CF"/>
    <w:rsid w:val="002031EB"/>
    <w:rsid w:val="002036BB"/>
    <w:rsid w:val="002037DB"/>
    <w:rsid w:val="00203864"/>
    <w:rsid w:val="00203B62"/>
    <w:rsid w:val="00203D2C"/>
    <w:rsid w:val="00203E7B"/>
    <w:rsid w:val="00203F37"/>
    <w:rsid w:val="002040CB"/>
    <w:rsid w:val="0020413E"/>
    <w:rsid w:val="002042B1"/>
    <w:rsid w:val="0020438B"/>
    <w:rsid w:val="002043EC"/>
    <w:rsid w:val="00204681"/>
    <w:rsid w:val="0020480B"/>
    <w:rsid w:val="00204922"/>
    <w:rsid w:val="00204A79"/>
    <w:rsid w:val="00204FF8"/>
    <w:rsid w:val="002050FA"/>
    <w:rsid w:val="002052EC"/>
    <w:rsid w:val="0020554E"/>
    <w:rsid w:val="0020557D"/>
    <w:rsid w:val="0020559D"/>
    <w:rsid w:val="00205612"/>
    <w:rsid w:val="00205A03"/>
    <w:rsid w:val="00205B29"/>
    <w:rsid w:val="00205BD7"/>
    <w:rsid w:val="00205C95"/>
    <w:rsid w:val="00205CF6"/>
    <w:rsid w:val="0020608E"/>
    <w:rsid w:val="002060A4"/>
    <w:rsid w:val="0020625A"/>
    <w:rsid w:val="002062E3"/>
    <w:rsid w:val="00206EC7"/>
    <w:rsid w:val="0020709B"/>
    <w:rsid w:val="002072D7"/>
    <w:rsid w:val="002073B3"/>
    <w:rsid w:val="00207552"/>
    <w:rsid w:val="00207652"/>
    <w:rsid w:val="00207977"/>
    <w:rsid w:val="00207AF9"/>
    <w:rsid w:val="00207D65"/>
    <w:rsid w:val="00207DF2"/>
    <w:rsid w:val="00207E57"/>
    <w:rsid w:val="00210002"/>
    <w:rsid w:val="002101D9"/>
    <w:rsid w:val="00210516"/>
    <w:rsid w:val="00210590"/>
    <w:rsid w:val="002105AA"/>
    <w:rsid w:val="0021062D"/>
    <w:rsid w:val="0021098C"/>
    <w:rsid w:val="00210A21"/>
    <w:rsid w:val="00210A6E"/>
    <w:rsid w:val="00210B48"/>
    <w:rsid w:val="00210B93"/>
    <w:rsid w:val="00210C1F"/>
    <w:rsid w:val="00210E9B"/>
    <w:rsid w:val="00210EF7"/>
    <w:rsid w:val="00210F8E"/>
    <w:rsid w:val="00211255"/>
    <w:rsid w:val="002112CD"/>
    <w:rsid w:val="00211314"/>
    <w:rsid w:val="0021139F"/>
    <w:rsid w:val="002115CD"/>
    <w:rsid w:val="002116B8"/>
    <w:rsid w:val="00211794"/>
    <w:rsid w:val="00211A4D"/>
    <w:rsid w:val="00211AB9"/>
    <w:rsid w:val="00211BAE"/>
    <w:rsid w:val="00211CDD"/>
    <w:rsid w:val="00212007"/>
    <w:rsid w:val="0021224B"/>
    <w:rsid w:val="002122FF"/>
    <w:rsid w:val="00212440"/>
    <w:rsid w:val="00212583"/>
    <w:rsid w:val="002126E8"/>
    <w:rsid w:val="002128D9"/>
    <w:rsid w:val="00212969"/>
    <w:rsid w:val="002129B0"/>
    <w:rsid w:val="002129D4"/>
    <w:rsid w:val="002129E7"/>
    <w:rsid w:val="002129E8"/>
    <w:rsid w:val="00212B5D"/>
    <w:rsid w:val="00212EE7"/>
    <w:rsid w:val="00212EEA"/>
    <w:rsid w:val="00212FF4"/>
    <w:rsid w:val="00213077"/>
    <w:rsid w:val="002130CB"/>
    <w:rsid w:val="00213304"/>
    <w:rsid w:val="00213377"/>
    <w:rsid w:val="0021346F"/>
    <w:rsid w:val="0021358A"/>
    <w:rsid w:val="00213704"/>
    <w:rsid w:val="0021373A"/>
    <w:rsid w:val="00213B58"/>
    <w:rsid w:val="00213C6A"/>
    <w:rsid w:val="00213C81"/>
    <w:rsid w:val="00213CF7"/>
    <w:rsid w:val="00213EC1"/>
    <w:rsid w:val="00213F06"/>
    <w:rsid w:val="00213F87"/>
    <w:rsid w:val="0021415E"/>
    <w:rsid w:val="002142FA"/>
    <w:rsid w:val="002143B9"/>
    <w:rsid w:val="00214505"/>
    <w:rsid w:val="0021463C"/>
    <w:rsid w:val="002146FC"/>
    <w:rsid w:val="00214727"/>
    <w:rsid w:val="0021497A"/>
    <w:rsid w:val="00214A16"/>
    <w:rsid w:val="00214D59"/>
    <w:rsid w:val="00214DE3"/>
    <w:rsid w:val="00214DE8"/>
    <w:rsid w:val="002150E2"/>
    <w:rsid w:val="0021526E"/>
    <w:rsid w:val="0021555A"/>
    <w:rsid w:val="00215662"/>
    <w:rsid w:val="0021569C"/>
    <w:rsid w:val="0021582C"/>
    <w:rsid w:val="0021589A"/>
    <w:rsid w:val="002158F5"/>
    <w:rsid w:val="00215991"/>
    <w:rsid w:val="0021614B"/>
    <w:rsid w:val="00216175"/>
    <w:rsid w:val="002161AA"/>
    <w:rsid w:val="00216217"/>
    <w:rsid w:val="002166A8"/>
    <w:rsid w:val="002167A8"/>
    <w:rsid w:val="00216A22"/>
    <w:rsid w:val="00216BAF"/>
    <w:rsid w:val="00216E6E"/>
    <w:rsid w:val="00216F95"/>
    <w:rsid w:val="00217039"/>
    <w:rsid w:val="00217369"/>
    <w:rsid w:val="0021749D"/>
    <w:rsid w:val="00217972"/>
    <w:rsid w:val="002179C5"/>
    <w:rsid w:val="00217A56"/>
    <w:rsid w:val="00217AE0"/>
    <w:rsid w:val="00217DB8"/>
    <w:rsid w:val="00217DE2"/>
    <w:rsid w:val="00217F7A"/>
    <w:rsid w:val="00217F8F"/>
    <w:rsid w:val="002203B0"/>
    <w:rsid w:val="0022043A"/>
    <w:rsid w:val="002205BD"/>
    <w:rsid w:val="002209FF"/>
    <w:rsid w:val="00220E1E"/>
    <w:rsid w:val="00220E44"/>
    <w:rsid w:val="00221458"/>
    <w:rsid w:val="0022176B"/>
    <w:rsid w:val="00221929"/>
    <w:rsid w:val="00221968"/>
    <w:rsid w:val="002219CD"/>
    <w:rsid w:val="00221A11"/>
    <w:rsid w:val="00221D4B"/>
    <w:rsid w:val="00221DA9"/>
    <w:rsid w:val="0022213F"/>
    <w:rsid w:val="00222178"/>
    <w:rsid w:val="002221A7"/>
    <w:rsid w:val="00222246"/>
    <w:rsid w:val="00222397"/>
    <w:rsid w:val="00222437"/>
    <w:rsid w:val="002226C7"/>
    <w:rsid w:val="002227FC"/>
    <w:rsid w:val="002228E6"/>
    <w:rsid w:val="00222A42"/>
    <w:rsid w:val="00222B21"/>
    <w:rsid w:val="00222B6B"/>
    <w:rsid w:val="00222E2D"/>
    <w:rsid w:val="00223040"/>
    <w:rsid w:val="002231E5"/>
    <w:rsid w:val="00223253"/>
    <w:rsid w:val="0022340D"/>
    <w:rsid w:val="00223439"/>
    <w:rsid w:val="0022360F"/>
    <w:rsid w:val="00223663"/>
    <w:rsid w:val="00223AFC"/>
    <w:rsid w:val="00223C61"/>
    <w:rsid w:val="00223E1F"/>
    <w:rsid w:val="00224162"/>
    <w:rsid w:val="0022425F"/>
    <w:rsid w:val="002242DD"/>
    <w:rsid w:val="0022449A"/>
    <w:rsid w:val="002244D1"/>
    <w:rsid w:val="0022471E"/>
    <w:rsid w:val="002248C6"/>
    <w:rsid w:val="002248D6"/>
    <w:rsid w:val="0022497B"/>
    <w:rsid w:val="00224AB4"/>
    <w:rsid w:val="00224AFE"/>
    <w:rsid w:val="00224D57"/>
    <w:rsid w:val="00224D72"/>
    <w:rsid w:val="00224DEF"/>
    <w:rsid w:val="00224F6E"/>
    <w:rsid w:val="00224FD0"/>
    <w:rsid w:val="00225250"/>
    <w:rsid w:val="002252A1"/>
    <w:rsid w:val="00225348"/>
    <w:rsid w:val="002253B2"/>
    <w:rsid w:val="002255C8"/>
    <w:rsid w:val="0022568D"/>
    <w:rsid w:val="0022582B"/>
    <w:rsid w:val="002258BB"/>
    <w:rsid w:val="002259F2"/>
    <w:rsid w:val="00225A07"/>
    <w:rsid w:val="00225BFE"/>
    <w:rsid w:val="00225C44"/>
    <w:rsid w:val="00225CD4"/>
    <w:rsid w:val="00225D5E"/>
    <w:rsid w:val="00225DA7"/>
    <w:rsid w:val="00225EC5"/>
    <w:rsid w:val="00226085"/>
    <w:rsid w:val="002260B5"/>
    <w:rsid w:val="002260B9"/>
    <w:rsid w:val="00226130"/>
    <w:rsid w:val="00226186"/>
    <w:rsid w:val="00226214"/>
    <w:rsid w:val="00226385"/>
    <w:rsid w:val="00226390"/>
    <w:rsid w:val="002263BC"/>
    <w:rsid w:val="00226489"/>
    <w:rsid w:val="0022655D"/>
    <w:rsid w:val="0022669E"/>
    <w:rsid w:val="00226AF9"/>
    <w:rsid w:val="00226C10"/>
    <w:rsid w:val="00226DB2"/>
    <w:rsid w:val="00226F0E"/>
    <w:rsid w:val="00226F76"/>
    <w:rsid w:val="002271ED"/>
    <w:rsid w:val="00227221"/>
    <w:rsid w:val="0022733D"/>
    <w:rsid w:val="00227496"/>
    <w:rsid w:val="002275A8"/>
    <w:rsid w:val="0022775E"/>
    <w:rsid w:val="002279C4"/>
    <w:rsid w:val="00227ACC"/>
    <w:rsid w:val="00227C0D"/>
    <w:rsid w:val="00227DC4"/>
    <w:rsid w:val="00227F44"/>
    <w:rsid w:val="00227FFC"/>
    <w:rsid w:val="0023004A"/>
    <w:rsid w:val="00230169"/>
    <w:rsid w:val="00230178"/>
    <w:rsid w:val="002302D6"/>
    <w:rsid w:val="002303DA"/>
    <w:rsid w:val="0023068D"/>
    <w:rsid w:val="0023095D"/>
    <w:rsid w:val="002309EE"/>
    <w:rsid w:val="00230B8F"/>
    <w:rsid w:val="00230E3E"/>
    <w:rsid w:val="00230EB1"/>
    <w:rsid w:val="00230EDA"/>
    <w:rsid w:val="0023131C"/>
    <w:rsid w:val="0023134C"/>
    <w:rsid w:val="002313E0"/>
    <w:rsid w:val="0023142D"/>
    <w:rsid w:val="00231549"/>
    <w:rsid w:val="00231813"/>
    <w:rsid w:val="00231825"/>
    <w:rsid w:val="00231A6B"/>
    <w:rsid w:val="00231A89"/>
    <w:rsid w:val="00231C14"/>
    <w:rsid w:val="00231D0B"/>
    <w:rsid w:val="00231DA7"/>
    <w:rsid w:val="002320A0"/>
    <w:rsid w:val="0023216C"/>
    <w:rsid w:val="00232182"/>
    <w:rsid w:val="0023221B"/>
    <w:rsid w:val="0023221E"/>
    <w:rsid w:val="002322D5"/>
    <w:rsid w:val="0023236D"/>
    <w:rsid w:val="00232663"/>
    <w:rsid w:val="00232705"/>
    <w:rsid w:val="00232A29"/>
    <w:rsid w:val="00232A49"/>
    <w:rsid w:val="00232A81"/>
    <w:rsid w:val="00232CEF"/>
    <w:rsid w:val="00232EDD"/>
    <w:rsid w:val="00233081"/>
    <w:rsid w:val="002330D8"/>
    <w:rsid w:val="00233125"/>
    <w:rsid w:val="002331F2"/>
    <w:rsid w:val="0023325D"/>
    <w:rsid w:val="00233436"/>
    <w:rsid w:val="002335BB"/>
    <w:rsid w:val="00233684"/>
    <w:rsid w:val="0023377B"/>
    <w:rsid w:val="002339D0"/>
    <w:rsid w:val="00233A2C"/>
    <w:rsid w:val="00233BC2"/>
    <w:rsid w:val="00233FC3"/>
    <w:rsid w:val="002341A8"/>
    <w:rsid w:val="002341D4"/>
    <w:rsid w:val="00234361"/>
    <w:rsid w:val="00234445"/>
    <w:rsid w:val="002345BE"/>
    <w:rsid w:val="0023466A"/>
    <w:rsid w:val="0023484F"/>
    <w:rsid w:val="002348D1"/>
    <w:rsid w:val="00234B48"/>
    <w:rsid w:val="00234C28"/>
    <w:rsid w:val="00234E59"/>
    <w:rsid w:val="00234F4F"/>
    <w:rsid w:val="002351C1"/>
    <w:rsid w:val="002355A7"/>
    <w:rsid w:val="002356AC"/>
    <w:rsid w:val="00235835"/>
    <w:rsid w:val="00235A94"/>
    <w:rsid w:val="00235B6C"/>
    <w:rsid w:val="00235FC3"/>
    <w:rsid w:val="002361B9"/>
    <w:rsid w:val="00236536"/>
    <w:rsid w:val="00236602"/>
    <w:rsid w:val="002368F8"/>
    <w:rsid w:val="00236931"/>
    <w:rsid w:val="00236971"/>
    <w:rsid w:val="00236A45"/>
    <w:rsid w:val="00236A83"/>
    <w:rsid w:val="00236B1B"/>
    <w:rsid w:val="00236B71"/>
    <w:rsid w:val="00236E03"/>
    <w:rsid w:val="00237125"/>
    <w:rsid w:val="00237479"/>
    <w:rsid w:val="00237700"/>
    <w:rsid w:val="00237832"/>
    <w:rsid w:val="00237D57"/>
    <w:rsid w:val="00237F4D"/>
    <w:rsid w:val="00240011"/>
    <w:rsid w:val="00240139"/>
    <w:rsid w:val="0024025D"/>
    <w:rsid w:val="0024043D"/>
    <w:rsid w:val="00240A3F"/>
    <w:rsid w:val="00240B3A"/>
    <w:rsid w:val="00240C11"/>
    <w:rsid w:val="00240D4D"/>
    <w:rsid w:val="00240E15"/>
    <w:rsid w:val="00241105"/>
    <w:rsid w:val="0024124E"/>
    <w:rsid w:val="002412B6"/>
    <w:rsid w:val="00241585"/>
    <w:rsid w:val="00241592"/>
    <w:rsid w:val="002416AE"/>
    <w:rsid w:val="002416E9"/>
    <w:rsid w:val="002418AA"/>
    <w:rsid w:val="002418DE"/>
    <w:rsid w:val="00241AB6"/>
    <w:rsid w:val="00241F32"/>
    <w:rsid w:val="00241FA5"/>
    <w:rsid w:val="0024219F"/>
    <w:rsid w:val="0024282F"/>
    <w:rsid w:val="00242865"/>
    <w:rsid w:val="00242A9D"/>
    <w:rsid w:val="00242AEC"/>
    <w:rsid w:val="00242BA2"/>
    <w:rsid w:val="00242BB2"/>
    <w:rsid w:val="00242BDA"/>
    <w:rsid w:val="00242F93"/>
    <w:rsid w:val="0024316E"/>
    <w:rsid w:val="002431FC"/>
    <w:rsid w:val="00243291"/>
    <w:rsid w:val="00243309"/>
    <w:rsid w:val="002433E5"/>
    <w:rsid w:val="00243409"/>
    <w:rsid w:val="0024344B"/>
    <w:rsid w:val="00243460"/>
    <w:rsid w:val="0024361D"/>
    <w:rsid w:val="00243676"/>
    <w:rsid w:val="00243A39"/>
    <w:rsid w:val="00243BF4"/>
    <w:rsid w:val="00243D5B"/>
    <w:rsid w:val="00243DC0"/>
    <w:rsid w:val="00244542"/>
    <w:rsid w:val="002447C2"/>
    <w:rsid w:val="00244954"/>
    <w:rsid w:val="00244B3D"/>
    <w:rsid w:val="00244BAB"/>
    <w:rsid w:val="00244D73"/>
    <w:rsid w:val="002450A3"/>
    <w:rsid w:val="0024515F"/>
    <w:rsid w:val="00245528"/>
    <w:rsid w:val="00245640"/>
    <w:rsid w:val="002459C9"/>
    <w:rsid w:val="00245B60"/>
    <w:rsid w:val="00245C64"/>
    <w:rsid w:val="0024608A"/>
    <w:rsid w:val="0024615D"/>
    <w:rsid w:val="002469EC"/>
    <w:rsid w:val="00246CC3"/>
    <w:rsid w:val="00246D17"/>
    <w:rsid w:val="00246E10"/>
    <w:rsid w:val="00246EB3"/>
    <w:rsid w:val="00247102"/>
    <w:rsid w:val="00247225"/>
    <w:rsid w:val="00247477"/>
    <w:rsid w:val="0024760F"/>
    <w:rsid w:val="00247635"/>
    <w:rsid w:val="002476D7"/>
    <w:rsid w:val="00247941"/>
    <w:rsid w:val="00247B21"/>
    <w:rsid w:val="00247BD0"/>
    <w:rsid w:val="00247BF3"/>
    <w:rsid w:val="00247CD3"/>
    <w:rsid w:val="00247D28"/>
    <w:rsid w:val="00247E40"/>
    <w:rsid w:val="00247F11"/>
    <w:rsid w:val="002500A3"/>
    <w:rsid w:val="002500EA"/>
    <w:rsid w:val="002501EC"/>
    <w:rsid w:val="002502A7"/>
    <w:rsid w:val="002503AB"/>
    <w:rsid w:val="002505E5"/>
    <w:rsid w:val="00250682"/>
    <w:rsid w:val="002506E1"/>
    <w:rsid w:val="002507A1"/>
    <w:rsid w:val="002509E8"/>
    <w:rsid w:val="00250A2B"/>
    <w:rsid w:val="00250B60"/>
    <w:rsid w:val="00250CBE"/>
    <w:rsid w:val="00250E72"/>
    <w:rsid w:val="00250F6B"/>
    <w:rsid w:val="00250F75"/>
    <w:rsid w:val="002512CC"/>
    <w:rsid w:val="00251443"/>
    <w:rsid w:val="002518AC"/>
    <w:rsid w:val="0025195A"/>
    <w:rsid w:val="00251B28"/>
    <w:rsid w:val="00251BC6"/>
    <w:rsid w:val="00251D0B"/>
    <w:rsid w:val="00251D4C"/>
    <w:rsid w:val="00251F6D"/>
    <w:rsid w:val="002521B7"/>
    <w:rsid w:val="002521EA"/>
    <w:rsid w:val="002523B3"/>
    <w:rsid w:val="002524BB"/>
    <w:rsid w:val="00252581"/>
    <w:rsid w:val="00252787"/>
    <w:rsid w:val="00252ABD"/>
    <w:rsid w:val="00253169"/>
    <w:rsid w:val="0025318D"/>
    <w:rsid w:val="00253318"/>
    <w:rsid w:val="00253556"/>
    <w:rsid w:val="00253668"/>
    <w:rsid w:val="0025396E"/>
    <w:rsid w:val="002539B3"/>
    <w:rsid w:val="00253D3B"/>
    <w:rsid w:val="00253DA4"/>
    <w:rsid w:val="00253E59"/>
    <w:rsid w:val="00253E99"/>
    <w:rsid w:val="00254000"/>
    <w:rsid w:val="0025448A"/>
    <w:rsid w:val="00254719"/>
    <w:rsid w:val="002547CB"/>
    <w:rsid w:val="00254869"/>
    <w:rsid w:val="002549E2"/>
    <w:rsid w:val="00254C88"/>
    <w:rsid w:val="0025529F"/>
    <w:rsid w:val="0025540F"/>
    <w:rsid w:val="00255740"/>
    <w:rsid w:val="002557F1"/>
    <w:rsid w:val="00255834"/>
    <w:rsid w:val="00255880"/>
    <w:rsid w:val="00255919"/>
    <w:rsid w:val="00255C4F"/>
    <w:rsid w:val="00255E32"/>
    <w:rsid w:val="00255E7B"/>
    <w:rsid w:val="00255EFC"/>
    <w:rsid w:val="002560B8"/>
    <w:rsid w:val="002563BE"/>
    <w:rsid w:val="0025651C"/>
    <w:rsid w:val="00256794"/>
    <w:rsid w:val="0025679F"/>
    <w:rsid w:val="002567CA"/>
    <w:rsid w:val="00256854"/>
    <w:rsid w:val="00256973"/>
    <w:rsid w:val="002569D2"/>
    <w:rsid w:val="00256AF2"/>
    <w:rsid w:val="00256B5B"/>
    <w:rsid w:val="00256ECB"/>
    <w:rsid w:val="0025707C"/>
    <w:rsid w:val="00257101"/>
    <w:rsid w:val="00257475"/>
    <w:rsid w:val="00257587"/>
    <w:rsid w:val="00257887"/>
    <w:rsid w:val="002578CB"/>
    <w:rsid w:val="0025793A"/>
    <w:rsid w:val="0025795F"/>
    <w:rsid w:val="00257E90"/>
    <w:rsid w:val="00260009"/>
    <w:rsid w:val="00260095"/>
    <w:rsid w:val="002602AB"/>
    <w:rsid w:val="002605AB"/>
    <w:rsid w:val="002606A0"/>
    <w:rsid w:val="0026075B"/>
    <w:rsid w:val="002607EE"/>
    <w:rsid w:val="0026080A"/>
    <w:rsid w:val="00260BF3"/>
    <w:rsid w:val="00260BF8"/>
    <w:rsid w:val="00260FD3"/>
    <w:rsid w:val="00261048"/>
    <w:rsid w:val="00261057"/>
    <w:rsid w:val="002610F7"/>
    <w:rsid w:val="00261104"/>
    <w:rsid w:val="0026111B"/>
    <w:rsid w:val="0026140A"/>
    <w:rsid w:val="002615E0"/>
    <w:rsid w:val="00261716"/>
    <w:rsid w:val="00261760"/>
    <w:rsid w:val="00261A37"/>
    <w:rsid w:val="00261ADB"/>
    <w:rsid w:val="00261B0B"/>
    <w:rsid w:val="00261BB8"/>
    <w:rsid w:val="00261C6D"/>
    <w:rsid w:val="00261CA4"/>
    <w:rsid w:val="00261F51"/>
    <w:rsid w:val="00262043"/>
    <w:rsid w:val="002622BF"/>
    <w:rsid w:val="00262531"/>
    <w:rsid w:val="002626B3"/>
    <w:rsid w:val="00262A15"/>
    <w:rsid w:val="00262A29"/>
    <w:rsid w:val="00262C42"/>
    <w:rsid w:val="00262C9D"/>
    <w:rsid w:val="00262D2A"/>
    <w:rsid w:val="00262D58"/>
    <w:rsid w:val="00262E56"/>
    <w:rsid w:val="00262FF5"/>
    <w:rsid w:val="002631E1"/>
    <w:rsid w:val="00263413"/>
    <w:rsid w:val="00263470"/>
    <w:rsid w:val="002635FE"/>
    <w:rsid w:val="00263744"/>
    <w:rsid w:val="002638A5"/>
    <w:rsid w:val="00263B38"/>
    <w:rsid w:val="00263BBB"/>
    <w:rsid w:val="00263D41"/>
    <w:rsid w:val="00264132"/>
    <w:rsid w:val="002641D8"/>
    <w:rsid w:val="00264310"/>
    <w:rsid w:val="0026439B"/>
    <w:rsid w:val="00264420"/>
    <w:rsid w:val="0026448F"/>
    <w:rsid w:val="002644CF"/>
    <w:rsid w:val="002645CF"/>
    <w:rsid w:val="00264730"/>
    <w:rsid w:val="002647B3"/>
    <w:rsid w:val="00264851"/>
    <w:rsid w:val="0026488D"/>
    <w:rsid w:val="00264BCC"/>
    <w:rsid w:val="00264FFF"/>
    <w:rsid w:val="00265182"/>
    <w:rsid w:val="00265290"/>
    <w:rsid w:val="0026543D"/>
    <w:rsid w:val="00265A8A"/>
    <w:rsid w:val="00265B88"/>
    <w:rsid w:val="00265E67"/>
    <w:rsid w:val="00265ECD"/>
    <w:rsid w:val="00266156"/>
    <w:rsid w:val="0026620B"/>
    <w:rsid w:val="00266228"/>
    <w:rsid w:val="00266264"/>
    <w:rsid w:val="002663CF"/>
    <w:rsid w:val="002663DB"/>
    <w:rsid w:val="00266893"/>
    <w:rsid w:val="002668D3"/>
    <w:rsid w:val="00266E06"/>
    <w:rsid w:val="00266F2B"/>
    <w:rsid w:val="00267083"/>
    <w:rsid w:val="002671B9"/>
    <w:rsid w:val="002673F4"/>
    <w:rsid w:val="0026783C"/>
    <w:rsid w:val="002678D5"/>
    <w:rsid w:val="00267A98"/>
    <w:rsid w:val="00267B66"/>
    <w:rsid w:val="00267BD8"/>
    <w:rsid w:val="00267CC4"/>
    <w:rsid w:val="00267D05"/>
    <w:rsid w:val="00267E76"/>
    <w:rsid w:val="00270003"/>
    <w:rsid w:val="002700CA"/>
    <w:rsid w:val="002702A5"/>
    <w:rsid w:val="002703C8"/>
    <w:rsid w:val="00270414"/>
    <w:rsid w:val="00270440"/>
    <w:rsid w:val="002704EB"/>
    <w:rsid w:val="002707D6"/>
    <w:rsid w:val="0027088E"/>
    <w:rsid w:val="00270BF9"/>
    <w:rsid w:val="00270C6A"/>
    <w:rsid w:val="00270E17"/>
    <w:rsid w:val="00270E4A"/>
    <w:rsid w:val="00271273"/>
    <w:rsid w:val="002713CD"/>
    <w:rsid w:val="002714DA"/>
    <w:rsid w:val="00271933"/>
    <w:rsid w:val="00271B2A"/>
    <w:rsid w:val="00271C5D"/>
    <w:rsid w:val="00271D76"/>
    <w:rsid w:val="00271E1D"/>
    <w:rsid w:val="00272044"/>
    <w:rsid w:val="0027213E"/>
    <w:rsid w:val="002723AA"/>
    <w:rsid w:val="002723B4"/>
    <w:rsid w:val="002725CA"/>
    <w:rsid w:val="00272701"/>
    <w:rsid w:val="002727FF"/>
    <w:rsid w:val="002728F0"/>
    <w:rsid w:val="00272925"/>
    <w:rsid w:val="00272C59"/>
    <w:rsid w:val="00272F2C"/>
    <w:rsid w:val="0027317A"/>
    <w:rsid w:val="00273206"/>
    <w:rsid w:val="00273215"/>
    <w:rsid w:val="0027329F"/>
    <w:rsid w:val="00273623"/>
    <w:rsid w:val="0027376D"/>
    <w:rsid w:val="002739F3"/>
    <w:rsid w:val="002739F7"/>
    <w:rsid w:val="00273B9E"/>
    <w:rsid w:val="00273CEB"/>
    <w:rsid w:val="00273D39"/>
    <w:rsid w:val="00273EED"/>
    <w:rsid w:val="0027400B"/>
    <w:rsid w:val="00274056"/>
    <w:rsid w:val="0027419D"/>
    <w:rsid w:val="002742AA"/>
    <w:rsid w:val="002742AC"/>
    <w:rsid w:val="00274331"/>
    <w:rsid w:val="0027435D"/>
    <w:rsid w:val="00274443"/>
    <w:rsid w:val="00274711"/>
    <w:rsid w:val="0027482F"/>
    <w:rsid w:val="002748A2"/>
    <w:rsid w:val="00274924"/>
    <w:rsid w:val="00274D13"/>
    <w:rsid w:val="00274E36"/>
    <w:rsid w:val="0027536C"/>
    <w:rsid w:val="00275609"/>
    <w:rsid w:val="0027585E"/>
    <w:rsid w:val="002759B2"/>
    <w:rsid w:val="002759FA"/>
    <w:rsid w:val="00275A87"/>
    <w:rsid w:val="00275BE9"/>
    <w:rsid w:val="00275C55"/>
    <w:rsid w:val="00275E3A"/>
    <w:rsid w:val="00276496"/>
    <w:rsid w:val="00276577"/>
    <w:rsid w:val="00276805"/>
    <w:rsid w:val="00276A6F"/>
    <w:rsid w:val="00276CCC"/>
    <w:rsid w:val="00276D02"/>
    <w:rsid w:val="00276D53"/>
    <w:rsid w:val="00276E2B"/>
    <w:rsid w:val="00277008"/>
    <w:rsid w:val="00277226"/>
    <w:rsid w:val="0027724D"/>
    <w:rsid w:val="0027740E"/>
    <w:rsid w:val="0027743D"/>
    <w:rsid w:val="00277487"/>
    <w:rsid w:val="0027748B"/>
    <w:rsid w:val="002775EE"/>
    <w:rsid w:val="002776C3"/>
    <w:rsid w:val="00277B32"/>
    <w:rsid w:val="00277B79"/>
    <w:rsid w:val="00277BEC"/>
    <w:rsid w:val="00277CDB"/>
    <w:rsid w:val="00277D01"/>
    <w:rsid w:val="002800D5"/>
    <w:rsid w:val="002802D5"/>
    <w:rsid w:val="00280489"/>
    <w:rsid w:val="0028048E"/>
    <w:rsid w:val="0028068D"/>
    <w:rsid w:val="002806E8"/>
    <w:rsid w:val="00280A1F"/>
    <w:rsid w:val="00280A33"/>
    <w:rsid w:val="00280E78"/>
    <w:rsid w:val="002810C5"/>
    <w:rsid w:val="002812C4"/>
    <w:rsid w:val="002812F7"/>
    <w:rsid w:val="0028132C"/>
    <w:rsid w:val="00281352"/>
    <w:rsid w:val="002813E7"/>
    <w:rsid w:val="00281824"/>
    <w:rsid w:val="00281ACB"/>
    <w:rsid w:val="00281B51"/>
    <w:rsid w:val="00281D52"/>
    <w:rsid w:val="00281E18"/>
    <w:rsid w:val="00282005"/>
    <w:rsid w:val="00282329"/>
    <w:rsid w:val="002824D3"/>
    <w:rsid w:val="0028274B"/>
    <w:rsid w:val="002827D0"/>
    <w:rsid w:val="0028285F"/>
    <w:rsid w:val="002829CF"/>
    <w:rsid w:val="00282AB3"/>
    <w:rsid w:val="00282B50"/>
    <w:rsid w:val="00282B5A"/>
    <w:rsid w:val="00282D1B"/>
    <w:rsid w:val="002830CB"/>
    <w:rsid w:val="0028313A"/>
    <w:rsid w:val="00283152"/>
    <w:rsid w:val="002833F0"/>
    <w:rsid w:val="00283442"/>
    <w:rsid w:val="002836C5"/>
    <w:rsid w:val="002837B1"/>
    <w:rsid w:val="0028381D"/>
    <w:rsid w:val="002838AB"/>
    <w:rsid w:val="00283A0A"/>
    <w:rsid w:val="00283C3A"/>
    <w:rsid w:val="00283CEC"/>
    <w:rsid w:val="00283E37"/>
    <w:rsid w:val="00283EF8"/>
    <w:rsid w:val="00284147"/>
    <w:rsid w:val="002843B7"/>
    <w:rsid w:val="002843FB"/>
    <w:rsid w:val="00284475"/>
    <w:rsid w:val="00284588"/>
    <w:rsid w:val="002845A2"/>
    <w:rsid w:val="00284601"/>
    <w:rsid w:val="00284613"/>
    <w:rsid w:val="0028485E"/>
    <w:rsid w:val="00285042"/>
    <w:rsid w:val="00285420"/>
    <w:rsid w:val="00285486"/>
    <w:rsid w:val="002854D4"/>
    <w:rsid w:val="00285619"/>
    <w:rsid w:val="00285A41"/>
    <w:rsid w:val="00286108"/>
    <w:rsid w:val="0028613A"/>
    <w:rsid w:val="00286264"/>
    <w:rsid w:val="00286719"/>
    <w:rsid w:val="0028686C"/>
    <w:rsid w:val="00286884"/>
    <w:rsid w:val="002868BB"/>
    <w:rsid w:val="00286970"/>
    <w:rsid w:val="002869C5"/>
    <w:rsid w:val="00286A19"/>
    <w:rsid w:val="00286B97"/>
    <w:rsid w:val="00286BE9"/>
    <w:rsid w:val="00286CFB"/>
    <w:rsid w:val="0028706F"/>
    <w:rsid w:val="002874CE"/>
    <w:rsid w:val="0028750F"/>
    <w:rsid w:val="0028761B"/>
    <w:rsid w:val="00287B5E"/>
    <w:rsid w:val="00287CAB"/>
    <w:rsid w:val="00287D5D"/>
    <w:rsid w:val="00287F72"/>
    <w:rsid w:val="0029007F"/>
    <w:rsid w:val="002902C0"/>
    <w:rsid w:val="00290319"/>
    <w:rsid w:val="002903E2"/>
    <w:rsid w:val="002904B5"/>
    <w:rsid w:val="002904CE"/>
    <w:rsid w:val="00290870"/>
    <w:rsid w:val="00290878"/>
    <w:rsid w:val="00290BF0"/>
    <w:rsid w:val="002910F1"/>
    <w:rsid w:val="002912CF"/>
    <w:rsid w:val="00291338"/>
    <w:rsid w:val="002915BE"/>
    <w:rsid w:val="00291742"/>
    <w:rsid w:val="00291845"/>
    <w:rsid w:val="00291B04"/>
    <w:rsid w:val="00291B96"/>
    <w:rsid w:val="00291C41"/>
    <w:rsid w:val="00291EA7"/>
    <w:rsid w:val="00291EFD"/>
    <w:rsid w:val="0029201E"/>
    <w:rsid w:val="00292152"/>
    <w:rsid w:val="00292155"/>
    <w:rsid w:val="002921AB"/>
    <w:rsid w:val="0029226C"/>
    <w:rsid w:val="002926AF"/>
    <w:rsid w:val="0029292A"/>
    <w:rsid w:val="00292D3A"/>
    <w:rsid w:val="00292D4E"/>
    <w:rsid w:val="00292D6C"/>
    <w:rsid w:val="00293074"/>
    <w:rsid w:val="00293189"/>
    <w:rsid w:val="002931A1"/>
    <w:rsid w:val="0029327D"/>
    <w:rsid w:val="0029336C"/>
    <w:rsid w:val="0029353B"/>
    <w:rsid w:val="00293571"/>
    <w:rsid w:val="0029369F"/>
    <w:rsid w:val="002937C8"/>
    <w:rsid w:val="002938FF"/>
    <w:rsid w:val="0029396F"/>
    <w:rsid w:val="0029397A"/>
    <w:rsid w:val="00293B08"/>
    <w:rsid w:val="00293B8F"/>
    <w:rsid w:val="00293BA8"/>
    <w:rsid w:val="00293DEE"/>
    <w:rsid w:val="00294149"/>
    <w:rsid w:val="00294164"/>
    <w:rsid w:val="0029417E"/>
    <w:rsid w:val="002941F9"/>
    <w:rsid w:val="0029448D"/>
    <w:rsid w:val="002947BC"/>
    <w:rsid w:val="00294897"/>
    <w:rsid w:val="002948BF"/>
    <w:rsid w:val="00294A68"/>
    <w:rsid w:val="00294BF7"/>
    <w:rsid w:val="00294BFA"/>
    <w:rsid w:val="00294C0B"/>
    <w:rsid w:val="00294E9D"/>
    <w:rsid w:val="00294F1A"/>
    <w:rsid w:val="0029502C"/>
    <w:rsid w:val="002950D1"/>
    <w:rsid w:val="0029517C"/>
    <w:rsid w:val="0029532B"/>
    <w:rsid w:val="002954BB"/>
    <w:rsid w:val="00295629"/>
    <w:rsid w:val="00295AB1"/>
    <w:rsid w:val="00295BBF"/>
    <w:rsid w:val="00295CA9"/>
    <w:rsid w:val="00295ED9"/>
    <w:rsid w:val="00295F13"/>
    <w:rsid w:val="00295FF6"/>
    <w:rsid w:val="00296035"/>
    <w:rsid w:val="00296130"/>
    <w:rsid w:val="0029654A"/>
    <w:rsid w:val="0029658A"/>
    <w:rsid w:val="00296713"/>
    <w:rsid w:val="0029677F"/>
    <w:rsid w:val="002968ED"/>
    <w:rsid w:val="00296941"/>
    <w:rsid w:val="00296A8F"/>
    <w:rsid w:val="00296AD3"/>
    <w:rsid w:val="00296AFE"/>
    <w:rsid w:val="00296C31"/>
    <w:rsid w:val="00296C96"/>
    <w:rsid w:val="00296CB2"/>
    <w:rsid w:val="00296E42"/>
    <w:rsid w:val="002970BE"/>
    <w:rsid w:val="00297161"/>
    <w:rsid w:val="002972A3"/>
    <w:rsid w:val="002972A8"/>
    <w:rsid w:val="002972E1"/>
    <w:rsid w:val="00297549"/>
    <w:rsid w:val="00297962"/>
    <w:rsid w:val="00297B2D"/>
    <w:rsid w:val="00297B32"/>
    <w:rsid w:val="00297C1D"/>
    <w:rsid w:val="00297D9A"/>
    <w:rsid w:val="00297DB1"/>
    <w:rsid w:val="002A02EA"/>
    <w:rsid w:val="002A035B"/>
    <w:rsid w:val="002A0572"/>
    <w:rsid w:val="002A05C0"/>
    <w:rsid w:val="002A06E1"/>
    <w:rsid w:val="002A077E"/>
    <w:rsid w:val="002A0A07"/>
    <w:rsid w:val="002A0A56"/>
    <w:rsid w:val="002A0B5D"/>
    <w:rsid w:val="002A0D3F"/>
    <w:rsid w:val="002A0D6B"/>
    <w:rsid w:val="002A0F90"/>
    <w:rsid w:val="002A12BF"/>
    <w:rsid w:val="002A13CC"/>
    <w:rsid w:val="002A17D0"/>
    <w:rsid w:val="002A1870"/>
    <w:rsid w:val="002A191C"/>
    <w:rsid w:val="002A1941"/>
    <w:rsid w:val="002A195A"/>
    <w:rsid w:val="002A196F"/>
    <w:rsid w:val="002A1A8A"/>
    <w:rsid w:val="002A1B59"/>
    <w:rsid w:val="002A1CAB"/>
    <w:rsid w:val="002A2063"/>
    <w:rsid w:val="002A21B5"/>
    <w:rsid w:val="002A21EA"/>
    <w:rsid w:val="002A24D0"/>
    <w:rsid w:val="002A24F1"/>
    <w:rsid w:val="002A2515"/>
    <w:rsid w:val="002A27D3"/>
    <w:rsid w:val="002A299D"/>
    <w:rsid w:val="002A29A2"/>
    <w:rsid w:val="002A2BD5"/>
    <w:rsid w:val="002A2D8E"/>
    <w:rsid w:val="002A2EEA"/>
    <w:rsid w:val="002A30F6"/>
    <w:rsid w:val="002A318C"/>
    <w:rsid w:val="002A31F1"/>
    <w:rsid w:val="002A3248"/>
    <w:rsid w:val="002A33B7"/>
    <w:rsid w:val="002A33FD"/>
    <w:rsid w:val="002A3553"/>
    <w:rsid w:val="002A35DB"/>
    <w:rsid w:val="002A36C1"/>
    <w:rsid w:val="002A3797"/>
    <w:rsid w:val="002A38D0"/>
    <w:rsid w:val="002A3B98"/>
    <w:rsid w:val="002A3C90"/>
    <w:rsid w:val="002A3E13"/>
    <w:rsid w:val="002A4109"/>
    <w:rsid w:val="002A413A"/>
    <w:rsid w:val="002A4363"/>
    <w:rsid w:val="002A45DE"/>
    <w:rsid w:val="002A4638"/>
    <w:rsid w:val="002A4656"/>
    <w:rsid w:val="002A4975"/>
    <w:rsid w:val="002A4E1E"/>
    <w:rsid w:val="002A4E9D"/>
    <w:rsid w:val="002A50AC"/>
    <w:rsid w:val="002A537D"/>
    <w:rsid w:val="002A54A4"/>
    <w:rsid w:val="002A57D5"/>
    <w:rsid w:val="002A5AD1"/>
    <w:rsid w:val="002A5B60"/>
    <w:rsid w:val="002A5C7D"/>
    <w:rsid w:val="002A5CB5"/>
    <w:rsid w:val="002A5DE3"/>
    <w:rsid w:val="002A5EA0"/>
    <w:rsid w:val="002A5EC6"/>
    <w:rsid w:val="002A5FF2"/>
    <w:rsid w:val="002A6420"/>
    <w:rsid w:val="002A6437"/>
    <w:rsid w:val="002A6645"/>
    <w:rsid w:val="002A68E6"/>
    <w:rsid w:val="002A6A30"/>
    <w:rsid w:val="002A6E41"/>
    <w:rsid w:val="002A6E6D"/>
    <w:rsid w:val="002A7141"/>
    <w:rsid w:val="002A74DA"/>
    <w:rsid w:val="002A7655"/>
    <w:rsid w:val="002A788C"/>
    <w:rsid w:val="002A7AB3"/>
    <w:rsid w:val="002A7BD2"/>
    <w:rsid w:val="002A7C4B"/>
    <w:rsid w:val="002A7DCA"/>
    <w:rsid w:val="002A7E97"/>
    <w:rsid w:val="002B008A"/>
    <w:rsid w:val="002B039D"/>
    <w:rsid w:val="002B047A"/>
    <w:rsid w:val="002B0513"/>
    <w:rsid w:val="002B05DA"/>
    <w:rsid w:val="002B066A"/>
    <w:rsid w:val="002B0AFD"/>
    <w:rsid w:val="002B0D3C"/>
    <w:rsid w:val="002B0DD8"/>
    <w:rsid w:val="002B1012"/>
    <w:rsid w:val="002B110D"/>
    <w:rsid w:val="002B1199"/>
    <w:rsid w:val="002B1246"/>
    <w:rsid w:val="002B1249"/>
    <w:rsid w:val="002B148B"/>
    <w:rsid w:val="002B150D"/>
    <w:rsid w:val="002B1586"/>
    <w:rsid w:val="002B1705"/>
    <w:rsid w:val="002B172B"/>
    <w:rsid w:val="002B17B6"/>
    <w:rsid w:val="002B1AC0"/>
    <w:rsid w:val="002B1B71"/>
    <w:rsid w:val="002B1C8E"/>
    <w:rsid w:val="002B1DF9"/>
    <w:rsid w:val="002B1E5D"/>
    <w:rsid w:val="002B1F0F"/>
    <w:rsid w:val="002B251F"/>
    <w:rsid w:val="002B27DE"/>
    <w:rsid w:val="002B290E"/>
    <w:rsid w:val="002B2B4A"/>
    <w:rsid w:val="002B2B7C"/>
    <w:rsid w:val="002B2E2A"/>
    <w:rsid w:val="002B2EA3"/>
    <w:rsid w:val="002B30A3"/>
    <w:rsid w:val="002B30B9"/>
    <w:rsid w:val="002B3744"/>
    <w:rsid w:val="002B3A04"/>
    <w:rsid w:val="002B3AC5"/>
    <w:rsid w:val="002B3CF6"/>
    <w:rsid w:val="002B3DC2"/>
    <w:rsid w:val="002B3DEB"/>
    <w:rsid w:val="002B3E91"/>
    <w:rsid w:val="002B3F48"/>
    <w:rsid w:val="002B41CE"/>
    <w:rsid w:val="002B42DB"/>
    <w:rsid w:val="002B439B"/>
    <w:rsid w:val="002B43BD"/>
    <w:rsid w:val="002B4627"/>
    <w:rsid w:val="002B481A"/>
    <w:rsid w:val="002B48DB"/>
    <w:rsid w:val="002B4CC8"/>
    <w:rsid w:val="002B4D49"/>
    <w:rsid w:val="002B4E3B"/>
    <w:rsid w:val="002B4F3A"/>
    <w:rsid w:val="002B4FCB"/>
    <w:rsid w:val="002B5053"/>
    <w:rsid w:val="002B5228"/>
    <w:rsid w:val="002B53BC"/>
    <w:rsid w:val="002B53CC"/>
    <w:rsid w:val="002B57FC"/>
    <w:rsid w:val="002B58CE"/>
    <w:rsid w:val="002B5983"/>
    <w:rsid w:val="002B5D07"/>
    <w:rsid w:val="002B5DC6"/>
    <w:rsid w:val="002B5EC3"/>
    <w:rsid w:val="002B617D"/>
    <w:rsid w:val="002B61B0"/>
    <w:rsid w:val="002B61F0"/>
    <w:rsid w:val="002B625C"/>
    <w:rsid w:val="002B62BC"/>
    <w:rsid w:val="002B640D"/>
    <w:rsid w:val="002B650D"/>
    <w:rsid w:val="002B65B1"/>
    <w:rsid w:val="002B667C"/>
    <w:rsid w:val="002B6786"/>
    <w:rsid w:val="002B68C5"/>
    <w:rsid w:val="002B68F1"/>
    <w:rsid w:val="002B6B4E"/>
    <w:rsid w:val="002B6BAA"/>
    <w:rsid w:val="002B6C1D"/>
    <w:rsid w:val="002B6C27"/>
    <w:rsid w:val="002B6F0C"/>
    <w:rsid w:val="002B6FB0"/>
    <w:rsid w:val="002B70E4"/>
    <w:rsid w:val="002B71A7"/>
    <w:rsid w:val="002B7280"/>
    <w:rsid w:val="002B7290"/>
    <w:rsid w:val="002B7341"/>
    <w:rsid w:val="002B750D"/>
    <w:rsid w:val="002B76AB"/>
    <w:rsid w:val="002B7707"/>
    <w:rsid w:val="002B7EE1"/>
    <w:rsid w:val="002C01ED"/>
    <w:rsid w:val="002C0454"/>
    <w:rsid w:val="002C0457"/>
    <w:rsid w:val="002C0481"/>
    <w:rsid w:val="002C05FC"/>
    <w:rsid w:val="002C08A2"/>
    <w:rsid w:val="002C0C73"/>
    <w:rsid w:val="002C0C7A"/>
    <w:rsid w:val="002C0F6F"/>
    <w:rsid w:val="002C0FCE"/>
    <w:rsid w:val="002C140A"/>
    <w:rsid w:val="002C155D"/>
    <w:rsid w:val="002C17AF"/>
    <w:rsid w:val="002C1D67"/>
    <w:rsid w:val="002C1E26"/>
    <w:rsid w:val="002C1ED2"/>
    <w:rsid w:val="002C2609"/>
    <w:rsid w:val="002C29C8"/>
    <w:rsid w:val="002C2B32"/>
    <w:rsid w:val="002C2BAF"/>
    <w:rsid w:val="002C2BD8"/>
    <w:rsid w:val="002C2BEC"/>
    <w:rsid w:val="002C2C77"/>
    <w:rsid w:val="002C2CC3"/>
    <w:rsid w:val="002C2D47"/>
    <w:rsid w:val="002C2FA5"/>
    <w:rsid w:val="002C3032"/>
    <w:rsid w:val="002C33DA"/>
    <w:rsid w:val="002C3401"/>
    <w:rsid w:val="002C3443"/>
    <w:rsid w:val="002C35D9"/>
    <w:rsid w:val="002C369F"/>
    <w:rsid w:val="002C3C51"/>
    <w:rsid w:val="002C3D3C"/>
    <w:rsid w:val="002C3ED8"/>
    <w:rsid w:val="002C4038"/>
    <w:rsid w:val="002C407F"/>
    <w:rsid w:val="002C413E"/>
    <w:rsid w:val="002C439E"/>
    <w:rsid w:val="002C43AF"/>
    <w:rsid w:val="002C47B3"/>
    <w:rsid w:val="002C484F"/>
    <w:rsid w:val="002C49DF"/>
    <w:rsid w:val="002C4A31"/>
    <w:rsid w:val="002C4A50"/>
    <w:rsid w:val="002C4A76"/>
    <w:rsid w:val="002C4E3F"/>
    <w:rsid w:val="002C4EC8"/>
    <w:rsid w:val="002C4F24"/>
    <w:rsid w:val="002C5771"/>
    <w:rsid w:val="002C5AFC"/>
    <w:rsid w:val="002C5B0A"/>
    <w:rsid w:val="002C5C97"/>
    <w:rsid w:val="002C6138"/>
    <w:rsid w:val="002C644D"/>
    <w:rsid w:val="002C6515"/>
    <w:rsid w:val="002C65D1"/>
    <w:rsid w:val="002C6726"/>
    <w:rsid w:val="002C6836"/>
    <w:rsid w:val="002C6863"/>
    <w:rsid w:val="002C68BD"/>
    <w:rsid w:val="002C6EB0"/>
    <w:rsid w:val="002C703C"/>
    <w:rsid w:val="002C7092"/>
    <w:rsid w:val="002C73D3"/>
    <w:rsid w:val="002C7563"/>
    <w:rsid w:val="002C757D"/>
    <w:rsid w:val="002C767F"/>
    <w:rsid w:val="002C776E"/>
    <w:rsid w:val="002C783B"/>
    <w:rsid w:val="002C7B90"/>
    <w:rsid w:val="002C7BF2"/>
    <w:rsid w:val="002C7D43"/>
    <w:rsid w:val="002C7ED2"/>
    <w:rsid w:val="002C7FE9"/>
    <w:rsid w:val="002D0004"/>
    <w:rsid w:val="002D01BB"/>
    <w:rsid w:val="002D0563"/>
    <w:rsid w:val="002D06AD"/>
    <w:rsid w:val="002D06E0"/>
    <w:rsid w:val="002D07A7"/>
    <w:rsid w:val="002D0825"/>
    <w:rsid w:val="002D098F"/>
    <w:rsid w:val="002D09E7"/>
    <w:rsid w:val="002D0A02"/>
    <w:rsid w:val="002D0A3D"/>
    <w:rsid w:val="002D0B37"/>
    <w:rsid w:val="002D0D08"/>
    <w:rsid w:val="002D0FC0"/>
    <w:rsid w:val="002D14EF"/>
    <w:rsid w:val="002D153D"/>
    <w:rsid w:val="002D1561"/>
    <w:rsid w:val="002D19E0"/>
    <w:rsid w:val="002D1AE4"/>
    <w:rsid w:val="002D1CA5"/>
    <w:rsid w:val="002D1FF5"/>
    <w:rsid w:val="002D2078"/>
    <w:rsid w:val="002D21C5"/>
    <w:rsid w:val="002D22B6"/>
    <w:rsid w:val="002D22CA"/>
    <w:rsid w:val="002D247C"/>
    <w:rsid w:val="002D275C"/>
    <w:rsid w:val="002D277C"/>
    <w:rsid w:val="002D27E3"/>
    <w:rsid w:val="002D28B2"/>
    <w:rsid w:val="002D2953"/>
    <w:rsid w:val="002D2ACF"/>
    <w:rsid w:val="002D2B91"/>
    <w:rsid w:val="002D2BF3"/>
    <w:rsid w:val="002D2DAA"/>
    <w:rsid w:val="002D308F"/>
    <w:rsid w:val="002D3121"/>
    <w:rsid w:val="002D313E"/>
    <w:rsid w:val="002D31DB"/>
    <w:rsid w:val="002D32B2"/>
    <w:rsid w:val="002D333E"/>
    <w:rsid w:val="002D3478"/>
    <w:rsid w:val="002D35A4"/>
    <w:rsid w:val="002D369F"/>
    <w:rsid w:val="002D37D0"/>
    <w:rsid w:val="002D3BA4"/>
    <w:rsid w:val="002D3D93"/>
    <w:rsid w:val="002D3EF3"/>
    <w:rsid w:val="002D4289"/>
    <w:rsid w:val="002D4450"/>
    <w:rsid w:val="002D449E"/>
    <w:rsid w:val="002D4575"/>
    <w:rsid w:val="002D463B"/>
    <w:rsid w:val="002D483F"/>
    <w:rsid w:val="002D4AEA"/>
    <w:rsid w:val="002D4B2D"/>
    <w:rsid w:val="002D4D93"/>
    <w:rsid w:val="002D4DB1"/>
    <w:rsid w:val="002D4DDB"/>
    <w:rsid w:val="002D4EFD"/>
    <w:rsid w:val="002D52E9"/>
    <w:rsid w:val="002D539B"/>
    <w:rsid w:val="002D53A0"/>
    <w:rsid w:val="002D57A6"/>
    <w:rsid w:val="002D57E4"/>
    <w:rsid w:val="002D58AA"/>
    <w:rsid w:val="002D5914"/>
    <w:rsid w:val="002D5B33"/>
    <w:rsid w:val="002D5BE6"/>
    <w:rsid w:val="002D5CA0"/>
    <w:rsid w:val="002D5D96"/>
    <w:rsid w:val="002D5DFA"/>
    <w:rsid w:val="002D63A7"/>
    <w:rsid w:val="002D64AB"/>
    <w:rsid w:val="002D657F"/>
    <w:rsid w:val="002D66C4"/>
    <w:rsid w:val="002D6974"/>
    <w:rsid w:val="002D6BF0"/>
    <w:rsid w:val="002D70B8"/>
    <w:rsid w:val="002D70D3"/>
    <w:rsid w:val="002D7356"/>
    <w:rsid w:val="002D74C5"/>
    <w:rsid w:val="002D769D"/>
    <w:rsid w:val="002D774D"/>
    <w:rsid w:val="002D785D"/>
    <w:rsid w:val="002D7CB6"/>
    <w:rsid w:val="002D7DF2"/>
    <w:rsid w:val="002E020C"/>
    <w:rsid w:val="002E0641"/>
    <w:rsid w:val="002E06DD"/>
    <w:rsid w:val="002E0726"/>
    <w:rsid w:val="002E0746"/>
    <w:rsid w:val="002E07DD"/>
    <w:rsid w:val="002E07FC"/>
    <w:rsid w:val="002E0ABF"/>
    <w:rsid w:val="002E0C31"/>
    <w:rsid w:val="002E0C9F"/>
    <w:rsid w:val="002E0CE6"/>
    <w:rsid w:val="002E0FC3"/>
    <w:rsid w:val="002E10B6"/>
    <w:rsid w:val="002E1289"/>
    <w:rsid w:val="002E1384"/>
    <w:rsid w:val="002E143F"/>
    <w:rsid w:val="002E14C7"/>
    <w:rsid w:val="002E15F6"/>
    <w:rsid w:val="002E1668"/>
    <w:rsid w:val="002E16B7"/>
    <w:rsid w:val="002E173C"/>
    <w:rsid w:val="002E1762"/>
    <w:rsid w:val="002E1BC6"/>
    <w:rsid w:val="002E1C6A"/>
    <w:rsid w:val="002E1D1C"/>
    <w:rsid w:val="002E1F67"/>
    <w:rsid w:val="002E1FC2"/>
    <w:rsid w:val="002E204E"/>
    <w:rsid w:val="002E207B"/>
    <w:rsid w:val="002E208E"/>
    <w:rsid w:val="002E22D2"/>
    <w:rsid w:val="002E233C"/>
    <w:rsid w:val="002E2472"/>
    <w:rsid w:val="002E254A"/>
    <w:rsid w:val="002E25E9"/>
    <w:rsid w:val="002E296A"/>
    <w:rsid w:val="002E29E5"/>
    <w:rsid w:val="002E2A86"/>
    <w:rsid w:val="002E2DEC"/>
    <w:rsid w:val="002E2FE6"/>
    <w:rsid w:val="002E313A"/>
    <w:rsid w:val="002E31A7"/>
    <w:rsid w:val="002E35F0"/>
    <w:rsid w:val="002E3612"/>
    <w:rsid w:val="002E39E7"/>
    <w:rsid w:val="002E3D50"/>
    <w:rsid w:val="002E3EF0"/>
    <w:rsid w:val="002E3F04"/>
    <w:rsid w:val="002E3F7E"/>
    <w:rsid w:val="002E4136"/>
    <w:rsid w:val="002E41C2"/>
    <w:rsid w:val="002E42CE"/>
    <w:rsid w:val="002E4384"/>
    <w:rsid w:val="002E44E6"/>
    <w:rsid w:val="002E4735"/>
    <w:rsid w:val="002E4886"/>
    <w:rsid w:val="002E48FD"/>
    <w:rsid w:val="002E49AD"/>
    <w:rsid w:val="002E4AEC"/>
    <w:rsid w:val="002E4E38"/>
    <w:rsid w:val="002E4F26"/>
    <w:rsid w:val="002E4FDF"/>
    <w:rsid w:val="002E5015"/>
    <w:rsid w:val="002E5037"/>
    <w:rsid w:val="002E523A"/>
    <w:rsid w:val="002E5301"/>
    <w:rsid w:val="002E5323"/>
    <w:rsid w:val="002E56E6"/>
    <w:rsid w:val="002E57AB"/>
    <w:rsid w:val="002E584B"/>
    <w:rsid w:val="002E5EB9"/>
    <w:rsid w:val="002E5FEF"/>
    <w:rsid w:val="002E60B7"/>
    <w:rsid w:val="002E6815"/>
    <w:rsid w:val="002E6C95"/>
    <w:rsid w:val="002E6DB3"/>
    <w:rsid w:val="002E74F9"/>
    <w:rsid w:val="002E7BAA"/>
    <w:rsid w:val="002E7D96"/>
    <w:rsid w:val="002F0060"/>
    <w:rsid w:val="002F0162"/>
    <w:rsid w:val="002F01E6"/>
    <w:rsid w:val="002F0286"/>
    <w:rsid w:val="002F030E"/>
    <w:rsid w:val="002F0325"/>
    <w:rsid w:val="002F0649"/>
    <w:rsid w:val="002F065C"/>
    <w:rsid w:val="002F06E4"/>
    <w:rsid w:val="002F07E4"/>
    <w:rsid w:val="002F0967"/>
    <w:rsid w:val="002F0B3D"/>
    <w:rsid w:val="002F11E5"/>
    <w:rsid w:val="002F15FA"/>
    <w:rsid w:val="002F18BB"/>
    <w:rsid w:val="002F19A7"/>
    <w:rsid w:val="002F1B39"/>
    <w:rsid w:val="002F1BE1"/>
    <w:rsid w:val="002F1DE7"/>
    <w:rsid w:val="002F1DF8"/>
    <w:rsid w:val="002F1E58"/>
    <w:rsid w:val="002F2133"/>
    <w:rsid w:val="002F219C"/>
    <w:rsid w:val="002F23AB"/>
    <w:rsid w:val="002F23D3"/>
    <w:rsid w:val="002F254D"/>
    <w:rsid w:val="002F25AA"/>
    <w:rsid w:val="002F262F"/>
    <w:rsid w:val="002F263C"/>
    <w:rsid w:val="002F2D2F"/>
    <w:rsid w:val="002F2FDB"/>
    <w:rsid w:val="002F3038"/>
    <w:rsid w:val="002F30BE"/>
    <w:rsid w:val="002F333D"/>
    <w:rsid w:val="002F3514"/>
    <w:rsid w:val="002F35F7"/>
    <w:rsid w:val="002F3689"/>
    <w:rsid w:val="002F3A58"/>
    <w:rsid w:val="002F3A60"/>
    <w:rsid w:val="002F3B03"/>
    <w:rsid w:val="002F3C17"/>
    <w:rsid w:val="002F3DC0"/>
    <w:rsid w:val="002F3DDF"/>
    <w:rsid w:val="002F3E51"/>
    <w:rsid w:val="002F3F82"/>
    <w:rsid w:val="002F3FA5"/>
    <w:rsid w:val="002F4442"/>
    <w:rsid w:val="002F445F"/>
    <w:rsid w:val="002F4495"/>
    <w:rsid w:val="002F457E"/>
    <w:rsid w:val="002F476E"/>
    <w:rsid w:val="002F47C6"/>
    <w:rsid w:val="002F4A51"/>
    <w:rsid w:val="002F4DCF"/>
    <w:rsid w:val="002F4DFF"/>
    <w:rsid w:val="002F4F29"/>
    <w:rsid w:val="002F51C9"/>
    <w:rsid w:val="002F52F9"/>
    <w:rsid w:val="002F5A5F"/>
    <w:rsid w:val="002F5AD0"/>
    <w:rsid w:val="002F5FAD"/>
    <w:rsid w:val="002F61FF"/>
    <w:rsid w:val="002F62A0"/>
    <w:rsid w:val="002F6364"/>
    <w:rsid w:val="002F642B"/>
    <w:rsid w:val="002F648F"/>
    <w:rsid w:val="002F66A7"/>
    <w:rsid w:val="002F6F82"/>
    <w:rsid w:val="002F70C1"/>
    <w:rsid w:val="002F746A"/>
    <w:rsid w:val="002F7678"/>
    <w:rsid w:val="002F777D"/>
    <w:rsid w:val="002F7A66"/>
    <w:rsid w:val="002F7A7B"/>
    <w:rsid w:val="002F7C0E"/>
    <w:rsid w:val="003000C9"/>
    <w:rsid w:val="00300254"/>
    <w:rsid w:val="00300337"/>
    <w:rsid w:val="00300408"/>
    <w:rsid w:val="0030047D"/>
    <w:rsid w:val="00300532"/>
    <w:rsid w:val="00300755"/>
    <w:rsid w:val="003008AE"/>
    <w:rsid w:val="003008C0"/>
    <w:rsid w:val="003008EF"/>
    <w:rsid w:val="003008F4"/>
    <w:rsid w:val="00300913"/>
    <w:rsid w:val="00300946"/>
    <w:rsid w:val="00300FC3"/>
    <w:rsid w:val="003018A4"/>
    <w:rsid w:val="00301A61"/>
    <w:rsid w:val="00301AA4"/>
    <w:rsid w:val="00301C50"/>
    <w:rsid w:val="00301CA4"/>
    <w:rsid w:val="00301E1E"/>
    <w:rsid w:val="00301F21"/>
    <w:rsid w:val="00301F75"/>
    <w:rsid w:val="00301F84"/>
    <w:rsid w:val="003020B7"/>
    <w:rsid w:val="00302198"/>
    <w:rsid w:val="003023B8"/>
    <w:rsid w:val="0030247B"/>
    <w:rsid w:val="003024CA"/>
    <w:rsid w:val="00302822"/>
    <w:rsid w:val="003028CA"/>
    <w:rsid w:val="00302BDB"/>
    <w:rsid w:val="00302EB7"/>
    <w:rsid w:val="003030E7"/>
    <w:rsid w:val="00303235"/>
    <w:rsid w:val="00303255"/>
    <w:rsid w:val="0030329B"/>
    <w:rsid w:val="00303432"/>
    <w:rsid w:val="003036C7"/>
    <w:rsid w:val="003036EB"/>
    <w:rsid w:val="00303716"/>
    <w:rsid w:val="00303761"/>
    <w:rsid w:val="003037FC"/>
    <w:rsid w:val="003038EE"/>
    <w:rsid w:val="00303945"/>
    <w:rsid w:val="00303A03"/>
    <w:rsid w:val="00303A8F"/>
    <w:rsid w:val="00303B15"/>
    <w:rsid w:val="00303BB4"/>
    <w:rsid w:val="00303D44"/>
    <w:rsid w:val="00303D51"/>
    <w:rsid w:val="00303EE6"/>
    <w:rsid w:val="00304186"/>
    <w:rsid w:val="0030442B"/>
    <w:rsid w:val="003044A4"/>
    <w:rsid w:val="003045DE"/>
    <w:rsid w:val="003048EF"/>
    <w:rsid w:val="00304918"/>
    <w:rsid w:val="00304AB9"/>
    <w:rsid w:val="00304ADA"/>
    <w:rsid w:val="00304BB8"/>
    <w:rsid w:val="00304D54"/>
    <w:rsid w:val="00304F75"/>
    <w:rsid w:val="003051CA"/>
    <w:rsid w:val="003052EA"/>
    <w:rsid w:val="0030561C"/>
    <w:rsid w:val="003059F4"/>
    <w:rsid w:val="00305FE4"/>
    <w:rsid w:val="00306474"/>
    <w:rsid w:val="003066A6"/>
    <w:rsid w:val="00306757"/>
    <w:rsid w:val="00306842"/>
    <w:rsid w:val="00306858"/>
    <w:rsid w:val="00306986"/>
    <w:rsid w:val="00306C84"/>
    <w:rsid w:val="00307111"/>
    <w:rsid w:val="003073A7"/>
    <w:rsid w:val="003073F5"/>
    <w:rsid w:val="003074BE"/>
    <w:rsid w:val="00307693"/>
    <w:rsid w:val="0030769B"/>
    <w:rsid w:val="00307847"/>
    <w:rsid w:val="00307943"/>
    <w:rsid w:val="00307973"/>
    <w:rsid w:val="00307997"/>
    <w:rsid w:val="00307C71"/>
    <w:rsid w:val="00307D55"/>
    <w:rsid w:val="00307E29"/>
    <w:rsid w:val="00307F19"/>
    <w:rsid w:val="00307F69"/>
    <w:rsid w:val="00310133"/>
    <w:rsid w:val="00310197"/>
    <w:rsid w:val="00310253"/>
    <w:rsid w:val="003102B1"/>
    <w:rsid w:val="0031040E"/>
    <w:rsid w:val="0031044E"/>
    <w:rsid w:val="003106EA"/>
    <w:rsid w:val="0031072E"/>
    <w:rsid w:val="00310967"/>
    <w:rsid w:val="003109A9"/>
    <w:rsid w:val="00310A6B"/>
    <w:rsid w:val="00310AB3"/>
    <w:rsid w:val="00310ACE"/>
    <w:rsid w:val="00310B14"/>
    <w:rsid w:val="00310DD1"/>
    <w:rsid w:val="00310DFB"/>
    <w:rsid w:val="00310E42"/>
    <w:rsid w:val="0031107C"/>
    <w:rsid w:val="00311125"/>
    <w:rsid w:val="0031117A"/>
    <w:rsid w:val="00311624"/>
    <w:rsid w:val="003118F5"/>
    <w:rsid w:val="00311995"/>
    <w:rsid w:val="003119DB"/>
    <w:rsid w:val="003119E5"/>
    <w:rsid w:val="00311A41"/>
    <w:rsid w:val="00311BC7"/>
    <w:rsid w:val="00311D03"/>
    <w:rsid w:val="00311F68"/>
    <w:rsid w:val="00312142"/>
    <w:rsid w:val="00312625"/>
    <w:rsid w:val="00312808"/>
    <w:rsid w:val="00312923"/>
    <w:rsid w:val="00312B78"/>
    <w:rsid w:val="00312D16"/>
    <w:rsid w:val="00312D64"/>
    <w:rsid w:val="0031316C"/>
    <w:rsid w:val="00313174"/>
    <w:rsid w:val="003132A5"/>
    <w:rsid w:val="00313478"/>
    <w:rsid w:val="00313711"/>
    <w:rsid w:val="003138DA"/>
    <w:rsid w:val="00313CAA"/>
    <w:rsid w:val="00314045"/>
    <w:rsid w:val="0031411C"/>
    <w:rsid w:val="003144B1"/>
    <w:rsid w:val="003145FC"/>
    <w:rsid w:val="003149F3"/>
    <w:rsid w:val="00314C1D"/>
    <w:rsid w:val="00314CAF"/>
    <w:rsid w:val="00315098"/>
    <w:rsid w:val="00315116"/>
    <w:rsid w:val="00315181"/>
    <w:rsid w:val="0031554D"/>
    <w:rsid w:val="0031571A"/>
    <w:rsid w:val="0031575E"/>
    <w:rsid w:val="00315D46"/>
    <w:rsid w:val="00315FFA"/>
    <w:rsid w:val="00316071"/>
    <w:rsid w:val="0031612F"/>
    <w:rsid w:val="003161B3"/>
    <w:rsid w:val="003162C0"/>
    <w:rsid w:val="003164FF"/>
    <w:rsid w:val="003165AE"/>
    <w:rsid w:val="0031695E"/>
    <w:rsid w:val="00316A08"/>
    <w:rsid w:val="00316B0F"/>
    <w:rsid w:val="00316D11"/>
    <w:rsid w:val="00316D3C"/>
    <w:rsid w:val="00316F72"/>
    <w:rsid w:val="003170FE"/>
    <w:rsid w:val="00317217"/>
    <w:rsid w:val="00317370"/>
    <w:rsid w:val="0031747D"/>
    <w:rsid w:val="003177C1"/>
    <w:rsid w:val="00317856"/>
    <w:rsid w:val="00317AC7"/>
    <w:rsid w:val="00317BAB"/>
    <w:rsid w:val="00317D66"/>
    <w:rsid w:val="00317E9D"/>
    <w:rsid w:val="00317FC9"/>
    <w:rsid w:val="003200F7"/>
    <w:rsid w:val="003202F4"/>
    <w:rsid w:val="00320380"/>
    <w:rsid w:val="003203FD"/>
    <w:rsid w:val="00320590"/>
    <w:rsid w:val="0032063A"/>
    <w:rsid w:val="00320697"/>
    <w:rsid w:val="003208E3"/>
    <w:rsid w:val="0032095E"/>
    <w:rsid w:val="003209B0"/>
    <w:rsid w:val="00320ADE"/>
    <w:rsid w:val="00320DC8"/>
    <w:rsid w:val="00321119"/>
    <w:rsid w:val="003211F0"/>
    <w:rsid w:val="00321556"/>
    <w:rsid w:val="00321591"/>
    <w:rsid w:val="00321705"/>
    <w:rsid w:val="00321779"/>
    <w:rsid w:val="0032178F"/>
    <w:rsid w:val="003217C0"/>
    <w:rsid w:val="00321A11"/>
    <w:rsid w:val="00321BDF"/>
    <w:rsid w:val="00321D08"/>
    <w:rsid w:val="00321E08"/>
    <w:rsid w:val="00321EA6"/>
    <w:rsid w:val="00321F7E"/>
    <w:rsid w:val="00322018"/>
    <w:rsid w:val="0032204D"/>
    <w:rsid w:val="0032222A"/>
    <w:rsid w:val="00322379"/>
    <w:rsid w:val="003224E5"/>
    <w:rsid w:val="00322B09"/>
    <w:rsid w:val="00322B15"/>
    <w:rsid w:val="00322F11"/>
    <w:rsid w:val="00322FE9"/>
    <w:rsid w:val="00323037"/>
    <w:rsid w:val="003235C3"/>
    <w:rsid w:val="003235C5"/>
    <w:rsid w:val="00323A1C"/>
    <w:rsid w:val="00323A46"/>
    <w:rsid w:val="00323AC9"/>
    <w:rsid w:val="00323B08"/>
    <w:rsid w:val="00323B9A"/>
    <w:rsid w:val="00323C45"/>
    <w:rsid w:val="00323CB2"/>
    <w:rsid w:val="00323F4C"/>
    <w:rsid w:val="003241B5"/>
    <w:rsid w:val="00324292"/>
    <w:rsid w:val="00324330"/>
    <w:rsid w:val="003245C4"/>
    <w:rsid w:val="003246DE"/>
    <w:rsid w:val="003247E5"/>
    <w:rsid w:val="00324807"/>
    <w:rsid w:val="00324C10"/>
    <w:rsid w:val="00324E62"/>
    <w:rsid w:val="00324EF0"/>
    <w:rsid w:val="003251E9"/>
    <w:rsid w:val="003253E8"/>
    <w:rsid w:val="00325476"/>
    <w:rsid w:val="003254C1"/>
    <w:rsid w:val="0032564D"/>
    <w:rsid w:val="00325794"/>
    <w:rsid w:val="003257E8"/>
    <w:rsid w:val="003257F8"/>
    <w:rsid w:val="00325A9E"/>
    <w:rsid w:val="00325B07"/>
    <w:rsid w:val="00325B89"/>
    <w:rsid w:val="00325C46"/>
    <w:rsid w:val="00325C8E"/>
    <w:rsid w:val="00325E06"/>
    <w:rsid w:val="00326015"/>
    <w:rsid w:val="0032606E"/>
    <w:rsid w:val="00326094"/>
    <w:rsid w:val="003261F8"/>
    <w:rsid w:val="003265E5"/>
    <w:rsid w:val="00326713"/>
    <w:rsid w:val="00326990"/>
    <w:rsid w:val="003269B6"/>
    <w:rsid w:val="003269F4"/>
    <w:rsid w:val="003269FF"/>
    <w:rsid w:val="00326A43"/>
    <w:rsid w:val="00326A8F"/>
    <w:rsid w:val="00326B90"/>
    <w:rsid w:val="003270AD"/>
    <w:rsid w:val="00327193"/>
    <w:rsid w:val="00327209"/>
    <w:rsid w:val="00327553"/>
    <w:rsid w:val="00327679"/>
    <w:rsid w:val="003277C2"/>
    <w:rsid w:val="00327ACD"/>
    <w:rsid w:val="00327B43"/>
    <w:rsid w:val="00327DBA"/>
    <w:rsid w:val="00327EA0"/>
    <w:rsid w:val="00327FC3"/>
    <w:rsid w:val="00330287"/>
    <w:rsid w:val="0033049D"/>
    <w:rsid w:val="003305B3"/>
    <w:rsid w:val="003306A2"/>
    <w:rsid w:val="00330748"/>
    <w:rsid w:val="0033084B"/>
    <w:rsid w:val="003309F5"/>
    <w:rsid w:val="00330A33"/>
    <w:rsid w:val="00330A42"/>
    <w:rsid w:val="00330B4C"/>
    <w:rsid w:val="00330D39"/>
    <w:rsid w:val="00330D5C"/>
    <w:rsid w:val="00330DDA"/>
    <w:rsid w:val="00330E99"/>
    <w:rsid w:val="00330F80"/>
    <w:rsid w:val="00330FC2"/>
    <w:rsid w:val="00331243"/>
    <w:rsid w:val="00331331"/>
    <w:rsid w:val="003313AD"/>
    <w:rsid w:val="003313EE"/>
    <w:rsid w:val="003315BB"/>
    <w:rsid w:val="003315E9"/>
    <w:rsid w:val="003316F2"/>
    <w:rsid w:val="0033184B"/>
    <w:rsid w:val="0033192B"/>
    <w:rsid w:val="00331969"/>
    <w:rsid w:val="003319FF"/>
    <w:rsid w:val="00331EB2"/>
    <w:rsid w:val="00331ECA"/>
    <w:rsid w:val="00331F44"/>
    <w:rsid w:val="0033202B"/>
    <w:rsid w:val="00332107"/>
    <w:rsid w:val="003322C2"/>
    <w:rsid w:val="00332349"/>
    <w:rsid w:val="003325EC"/>
    <w:rsid w:val="00332955"/>
    <w:rsid w:val="00332973"/>
    <w:rsid w:val="00332C43"/>
    <w:rsid w:val="00332CB8"/>
    <w:rsid w:val="00332CE9"/>
    <w:rsid w:val="00332DEF"/>
    <w:rsid w:val="003332C7"/>
    <w:rsid w:val="00333313"/>
    <w:rsid w:val="003334BC"/>
    <w:rsid w:val="003335EE"/>
    <w:rsid w:val="003337C0"/>
    <w:rsid w:val="00333885"/>
    <w:rsid w:val="00333B02"/>
    <w:rsid w:val="00333BF2"/>
    <w:rsid w:val="00333CF3"/>
    <w:rsid w:val="00333E43"/>
    <w:rsid w:val="00333EB5"/>
    <w:rsid w:val="00333F2F"/>
    <w:rsid w:val="00333F52"/>
    <w:rsid w:val="003340AB"/>
    <w:rsid w:val="003340F1"/>
    <w:rsid w:val="0033414C"/>
    <w:rsid w:val="003342C2"/>
    <w:rsid w:val="0033431A"/>
    <w:rsid w:val="003343D5"/>
    <w:rsid w:val="003343E0"/>
    <w:rsid w:val="00334770"/>
    <w:rsid w:val="0033478A"/>
    <w:rsid w:val="00334834"/>
    <w:rsid w:val="00334866"/>
    <w:rsid w:val="0033492F"/>
    <w:rsid w:val="00334BF3"/>
    <w:rsid w:val="00334E59"/>
    <w:rsid w:val="00334E74"/>
    <w:rsid w:val="0033517C"/>
    <w:rsid w:val="00335422"/>
    <w:rsid w:val="00335468"/>
    <w:rsid w:val="0033550A"/>
    <w:rsid w:val="003356E4"/>
    <w:rsid w:val="003358AB"/>
    <w:rsid w:val="003359E9"/>
    <w:rsid w:val="00335A0A"/>
    <w:rsid w:val="00335A8F"/>
    <w:rsid w:val="00335FAC"/>
    <w:rsid w:val="0033626B"/>
    <w:rsid w:val="00336435"/>
    <w:rsid w:val="0033648B"/>
    <w:rsid w:val="00336583"/>
    <w:rsid w:val="003366F3"/>
    <w:rsid w:val="003368E6"/>
    <w:rsid w:val="00336B49"/>
    <w:rsid w:val="00336D7F"/>
    <w:rsid w:val="00336E34"/>
    <w:rsid w:val="00336EAF"/>
    <w:rsid w:val="00337174"/>
    <w:rsid w:val="00337176"/>
    <w:rsid w:val="00337652"/>
    <w:rsid w:val="0033766C"/>
    <w:rsid w:val="00337757"/>
    <w:rsid w:val="00337986"/>
    <w:rsid w:val="003379A7"/>
    <w:rsid w:val="003379DF"/>
    <w:rsid w:val="00337ADB"/>
    <w:rsid w:val="00337BA8"/>
    <w:rsid w:val="00337CA0"/>
    <w:rsid w:val="00337F59"/>
    <w:rsid w:val="003400B4"/>
    <w:rsid w:val="003401F2"/>
    <w:rsid w:val="0034038F"/>
    <w:rsid w:val="003405A7"/>
    <w:rsid w:val="00340644"/>
    <w:rsid w:val="00340659"/>
    <w:rsid w:val="003407BD"/>
    <w:rsid w:val="00340D07"/>
    <w:rsid w:val="003413BB"/>
    <w:rsid w:val="00341533"/>
    <w:rsid w:val="00341579"/>
    <w:rsid w:val="00341704"/>
    <w:rsid w:val="003417EA"/>
    <w:rsid w:val="0034180E"/>
    <w:rsid w:val="003418B7"/>
    <w:rsid w:val="00341B4C"/>
    <w:rsid w:val="00341D19"/>
    <w:rsid w:val="00341EC2"/>
    <w:rsid w:val="00342114"/>
    <w:rsid w:val="003421E9"/>
    <w:rsid w:val="0034252F"/>
    <w:rsid w:val="00342658"/>
    <w:rsid w:val="003426C3"/>
    <w:rsid w:val="003428AA"/>
    <w:rsid w:val="00342CD2"/>
    <w:rsid w:val="00342DC2"/>
    <w:rsid w:val="00342E70"/>
    <w:rsid w:val="00342EAE"/>
    <w:rsid w:val="00342F3B"/>
    <w:rsid w:val="003431ED"/>
    <w:rsid w:val="0034339A"/>
    <w:rsid w:val="003435EB"/>
    <w:rsid w:val="00343621"/>
    <w:rsid w:val="003436B5"/>
    <w:rsid w:val="00343767"/>
    <w:rsid w:val="00343793"/>
    <w:rsid w:val="003439E5"/>
    <w:rsid w:val="00343C18"/>
    <w:rsid w:val="00343C20"/>
    <w:rsid w:val="00343D18"/>
    <w:rsid w:val="00343DF0"/>
    <w:rsid w:val="00343E5C"/>
    <w:rsid w:val="00343ECD"/>
    <w:rsid w:val="00343FE3"/>
    <w:rsid w:val="00344027"/>
    <w:rsid w:val="00344639"/>
    <w:rsid w:val="003447A9"/>
    <w:rsid w:val="00344831"/>
    <w:rsid w:val="00344882"/>
    <w:rsid w:val="00344A0C"/>
    <w:rsid w:val="00344ABC"/>
    <w:rsid w:val="00344DDF"/>
    <w:rsid w:val="00344DEF"/>
    <w:rsid w:val="00344F32"/>
    <w:rsid w:val="0034512D"/>
    <w:rsid w:val="00345192"/>
    <w:rsid w:val="0034580D"/>
    <w:rsid w:val="003458C0"/>
    <w:rsid w:val="00345E4A"/>
    <w:rsid w:val="003460CE"/>
    <w:rsid w:val="00346978"/>
    <w:rsid w:val="00347100"/>
    <w:rsid w:val="00347297"/>
    <w:rsid w:val="003473AC"/>
    <w:rsid w:val="0034740E"/>
    <w:rsid w:val="00347668"/>
    <w:rsid w:val="003478EE"/>
    <w:rsid w:val="00347ABE"/>
    <w:rsid w:val="00347DB8"/>
    <w:rsid w:val="00347F41"/>
    <w:rsid w:val="003504BD"/>
    <w:rsid w:val="003505C7"/>
    <w:rsid w:val="003506A6"/>
    <w:rsid w:val="0035071D"/>
    <w:rsid w:val="003508C3"/>
    <w:rsid w:val="003509DB"/>
    <w:rsid w:val="00350E2B"/>
    <w:rsid w:val="0035118E"/>
    <w:rsid w:val="0035150D"/>
    <w:rsid w:val="003516F1"/>
    <w:rsid w:val="003518DC"/>
    <w:rsid w:val="00351A1D"/>
    <w:rsid w:val="00351AC1"/>
    <w:rsid w:val="00351ADB"/>
    <w:rsid w:val="00351B90"/>
    <w:rsid w:val="00351EE3"/>
    <w:rsid w:val="00352129"/>
    <w:rsid w:val="003521C7"/>
    <w:rsid w:val="0035220A"/>
    <w:rsid w:val="003524D4"/>
    <w:rsid w:val="003524DE"/>
    <w:rsid w:val="003525CE"/>
    <w:rsid w:val="0035269D"/>
    <w:rsid w:val="00352913"/>
    <w:rsid w:val="00352AA3"/>
    <w:rsid w:val="00352B7F"/>
    <w:rsid w:val="00352BCA"/>
    <w:rsid w:val="00352CE9"/>
    <w:rsid w:val="00352D97"/>
    <w:rsid w:val="00352F3D"/>
    <w:rsid w:val="003531D1"/>
    <w:rsid w:val="003532D9"/>
    <w:rsid w:val="00353582"/>
    <w:rsid w:val="00353691"/>
    <w:rsid w:val="00353849"/>
    <w:rsid w:val="00353BD1"/>
    <w:rsid w:val="00353C8E"/>
    <w:rsid w:val="003541BB"/>
    <w:rsid w:val="00354414"/>
    <w:rsid w:val="003544B5"/>
    <w:rsid w:val="00354574"/>
    <w:rsid w:val="0035481B"/>
    <w:rsid w:val="00354A47"/>
    <w:rsid w:val="003550F7"/>
    <w:rsid w:val="00355119"/>
    <w:rsid w:val="0035568D"/>
    <w:rsid w:val="0035571F"/>
    <w:rsid w:val="00355774"/>
    <w:rsid w:val="00355784"/>
    <w:rsid w:val="0035583B"/>
    <w:rsid w:val="00355A8B"/>
    <w:rsid w:val="00355AE9"/>
    <w:rsid w:val="00355BA9"/>
    <w:rsid w:val="00355BC4"/>
    <w:rsid w:val="00355E5A"/>
    <w:rsid w:val="00355E95"/>
    <w:rsid w:val="00355FEC"/>
    <w:rsid w:val="003562BC"/>
    <w:rsid w:val="00356418"/>
    <w:rsid w:val="003564A5"/>
    <w:rsid w:val="00356680"/>
    <w:rsid w:val="003568AF"/>
    <w:rsid w:val="00356A10"/>
    <w:rsid w:val="00356AFA"/>
    <w:rsid w:val="00356B6E"/>
    <w:rsid w:val="00356B7D"/>
    <w:rsid w:val="00356CEE"/>
    <w:rsid w:val="00356DA9"/>
    <w:rsid w:val="00356E6D"/>
    <w:rsid w:val="00357166"/>
    <w:rsid w:val="00357531"/>
    <w:rsid w:val="003576C3"/>
    <w:rsid w:val="00357717"/>
    <w:rsid w:val="0035788B"/>
    <w:rsid w:val="003579E9"/>
    <w:rsid w:val="00357A2A"/>
    <w:rsid w:val="00357C6C"/>
    <w:rsid w:val="00357D03"/>
    <w:rsid w:val="00357D10"/>
    <w:rsid w:val="00357DA8"/>
    <w:rsid w:val="00357F04"/>
    <w:rsid w:val="00357F27"/>
    <w:rsid w:val="00360074"/>
    <w:rsid w:val="0036017B"/>
    <w:rsid w:val="003601FF"/>
    <w:rsid w:val="003603DB"/>
    <w:rsid w:val="00360489"/>
    <w:rsid w:val="003604A4"/>
    <w:rsid w:val="003604AA"/>
    <w:rsid w:val="00360679"/>
    <w:rsid w:val="00360832"/>
    <w:rsid w:val="0036085F"/>
    <w:rsid w:val="00360F19"/>
    <w:rsid w:val="00360F98"/>
    <w:rsid w:val="00361082"/>
    <w:rsid w:val="0036111D"/>
    <w:rsid w:val="003614D2"/>
    <w:rsid w:val="003615D4"/>
    <w:rsid w:val="003615F8"/>
    <w:rsid w:val="003617DE"/>
    <w:rsid w:val="003618B7"/>
    <w:rsid w:val="003618C4"/>
    <w:rsid w:val="0036195C"/>
    <w:rsid w:val="003619EE"/>
    <w:rsid w:val="00361CA2"/>
    <w:rsid w:val="00361DA4"/>
    <w:rsid w:val="00361E88"/>
    <w:rsid w:val="00361EE6"/>
    <w:rsid w:val="00361F1F"/>
    <w:rsid w:val="0036207E"/>
    <w:rsid w:val="003621B5"/>
    <w:rsid w:val="00362201"/>
    <w:rsid w:val="00362309"/>
    <w:rsid w:val="00362461"/>
    <w:rsid w:val="00362755"/>
    <w:rsid w:val="00362818"/>
    <w:rsid w:val="00362967"/>
    <w:rsid w:val="00362FC2"/>
    <w:rsid w:val="003633C8"/>
    <w:rsid w:val="003637D4"/>
    <w:rsid w:val="003637ED"/>
    <w:rsid w:val="0036392A"/>
    <w:rsid w:val="003639A9"/>
    <w:rsid w:val="00363C60"/>
    <w:rsid w:val="00363C7F"/>
    <w:rsid w:val="003642CF"/>
    <w:rsid w:val="003643D5"/>
    <w:rsid w:val="00364487"/>
    <w:rsid w:val="00364542"/>
    <w:rsid w:val="0036488B"/>
    <w:rsid w:val="00364924"/>
    <w:rsid w:val="00364930"/>
    <w:rsid w:val="003649B6"/>
    <w:rsid w:val="00364C20"/>
    <w:rsid w:val="00364D42"/>
    <w:rsid w:val="00364F23"/>
    <w:rsid w:val="00365097"/>
    <w:rsid w:val="003651E0"/>
    <w:rsid w:val="003652EE"/>
    <w:rsid w:val="003653A8"/>
    <w:rsid w:val="003658B9"/>
    <w:rsid w:val="00365A77"/>
    <w:rsid w:val="00365B4C"/>
    <w:rsid w:val="00365C23"/>
    <w:rsid w:val="00365C81"/>
    <w:rsid w:val="00365C9C"/>
    <w:rsid w:val="00365EC0"/>
    <w:rsid w:val="00365FDA"/>
    <w:rsid w:val="0036607F"/>
    <w:rsid w:val="0036656E"/>
    <w:rsid w:val="00366AB3"/>
    <w:rsid w:val="00366B69"/>
    <w:rsid w:val="00366C27"/>
    <w:rsid w:val="00366CA3"/>
    <w:rsid w:val="00366DE8"/>
    <w:rsid w:val="00366E76"/>
    <w:rsid w:val="003670E4"/>
    <w:rsid w:val="00367161"/>
    <w:rsid w:val="003671DD"/>
    <w:rsid w:val="00367378"/>
    <w:rsid w:val="0036753F"/>
    <w:rsid w:val="00367665"/>
    <w:rsid w:val="003676CA"/>
    <w:rsid w:val="003677B5"/>
    <w:rsid w:val="00367AA4"/>
    <w:rsid w:val="00367E34"/>
    <w:rsid w:val="00367E9C"/>
    <w:rsid w:val="003700B7"/>
    <w:rsid w:val="00370193"/>
    <w:rsid w:val="00370342"/>
    <w:rsid w:val="003704B8"/>
    <w:rsid w:val="003704DC"/>
    <w:rsid w:val="00370792"/>
    <w:rsid w:val="003707DB"/>
    <w:rsid w:val="003707FD"/>
    <w:rsid w:val="00370953"/>
    <w:rsid w:val="00370955"/>
    <w:rsid w:val="003709B1"/>
    <w:rsid w:val="00370A76"/>
    <w:rsid w:val="00370EF7"/>
    <w:rsid w:val="00371368"/>
    <w:rsid w:val="003713D0"/>
    <w:rsid w:val="003717D4"/>
    <w:rsid w:val="0037180C"/>
    <w:rsid w:val="00371843"/>
    <w:rsid w:val="003718B1"/>
    <w:rsid w:val="003718FA"/>
    <w:rsid w:val="0037193B"/>
    <w:rsid w:val="00371BCB"/>
    <w:rsid w:val="00371D71"/>
    <w:rsid w:val="00372017"/>
    <w:rsid w:val="0037210F"/>
    <w:rsid w:val="00372285"/>
    <w:rsid w:val="003723CE"/>
    <w:rsid w:val="003723F1"/>
    <w:rsid w:val="00372767"/>
    <w:rsid w:val="00372D32"/>
    <w:rsid w:val="00372D5C"/>
    <w:rsid w:val="00373233"/>
    <w:rsid w:val="00373256"/>
    <w:rsid w:val="00373421"/>
    <w:rsid w:val="003734CA"/>
    <w:rsid w:val="00373539"/>
    <w:rsid w:val="0037371A"/>
    <w:rsid w:val="003739E5"/>
    <w:rsid w:val="003739F2"/>
    <w:rsid w:val="00373AE5"/>
    <w:rsid w:val="00373B93"/>
    <w:rsid w:val="00373DB7"/>
    <w:rsid w:val="00374107"/>
    <w:rsid w:val="0037419C"/>
    <w:rsid w:val="003741D7"/>
    <w:rsid w:val="003742BF"/>
    <w:rsid w:val="0037463D"/>
    <w:rsid w:val="00374758"/>
    <w:rsid w:val="00374840"/>
    <w:rsid w:val="00374864"/>
    <w:rsid w:val="003749FE"/>
    <w:rsid w:val="00374A14"/>
    <w:rsid w:val="00374E54"/>
    <w:rsid w:val="00374F0D"/>
    <w:rsid w:val="00374F9E"/>
    <w:rsid w:val="00374FE2"/>
    <w:rsid w:val="00375029"/>
    <w:rsid w:val="0037511B"/>
    <w:rsid w:val="003751F1"/>
    <w:rsid w:val="00375340"/>
    <w:rsid w:val="00375BFD"/>
    <w:rsid w:val="00375C2C"/>
    <w:rsid w:val="00375CF1"/>
    <w:rsid w:val="0037603C"/>
    <w:rsid w:val="0037614E"/>
    <w:rsid w:val="003762D4"/>
    <w:rsid w:val="0037634F"/>
    <w:rsid w:val="0037637E"/>
    <w:rsid w:val="003763F5"/>
    <w:rsid w:val="00376617"/>
    <w:rsid w:val="0037668B"/>
    <w:rsid w:val="0037676E"/>
    <w:rsid w:val="003768E6"/>
    <w:rsid w:val="00376A92"/>
    <w:rsid w:val="00376F03"/>
    <w:rsid w:val="00377191"/>
    <w:rsid w:val="0037733C"/>
    <w:rsid w:val="003775AB"/>
    <w:rsid w:val="0037765F"/>
    <w:rsid w:val="003776AB"/>
    <w:rsid w:val="0037771E"/>
    <w:rsid w:val="00377756"/>
    <w:rsid w:val="00377764"/>
    <w:rsid w:val="00377785"/>
    <w:rsid w:val="003779ED"/>
    <w:rsid w:val="00377A39"/>
    <w:rsid w:val="00377C3D"/>
    <w:rsid w:val="00377E4D"/>
    <w:rsid w:val="00377F1B"/>
    <w:rsid w:val="00380304"/>
    <w:rsid w:val="0038039C"/>
    <w:rsid w:val="0038056D"/>
    <w:rsid w:val="003808AE"/>
    <w:rsid w:val="00380CAD"/>
    <w:rsid w:val="00380E96"/>
    <w:rsid w:val="003810B6"/>
    <w:rsid w:val="00381192"/>
    <w:rsid w:val="003811C5"/>
    <w:rsid w:val="00381377"/>
    <w:rsid w:val="003814DD"/>
    <w:rsid w:val="00381897"/>
    <w:rsid w:val="00381A63"/>
    <w:rsid w:val="00381B95"/>
    <w:rsid w:val="00381B97"/>
    <w:rsid w:val="00381BAE"/>
    <w:rsid w:val="00381DAF"/>
    <w:rsid w:val="00381DBD"/>
    <w:rsid w:val="00381EE3"/>
    <w:rsid w:val="00381F45"/>
    <w:rsid w:val="003820B2"/>
    <w:rsid w:val="003821BA"/>
    <w:rsid w:val="003821CC"/>
    <w:rsid w:val="0038246E"/>
    <w:rsid w:val="00382497"/>
    <w:rsid w:val="0038273E"/>
    <w:rsid w:val="003827ED"/>
    <w:rsid w:val="003828BA"/>
    <w:rsid w:val="0038298E"/>
    <w:rsid w:val="003829A0"/>
    <w:rsid w:val="00382A06"/>
    <w:rsid w:val="00382B29"/>
    <w:rsid w:val="0038357F"/>
    <w:rsid w:val="003835E3"/>
    <w:rsid w:val="0038365D"/>
    <w:rsid w:val="0038366C"/>
    <w:rsid w:val="0038374B"/>
    <w:rsid w:val="003837D7"/>
    <w:rsid w:val="00383948"/>
    <w:rsid w:val="00383C6D"/>
    <w:rsid w:val="00383CA0"/>
    <w:rsid w:val="00383D08"/>
    <w:rsid w:val="00383E2E"/>
    <w:rsid w:val="003843CD"/>
    <w:rsid w:val="00384846"/>
    <w:rsid w:val="003848BA"/>
    <w:rsid w:val="00384925"/>
    <w:rsid w:val="00384C9F"/>
    <w:rsid w:val="00384E79"/>
    <w:rsid w:val="00384EA5"/>
    <w:rsid w:val="003850A3"/>
    <w:rsid w:val="00385287"/>
    <w:rsid w:val="00385434"/>
    <w:rsid w:val="00385574"/>
    <w:rsid w:val="0038593F"/>
    <w:rsid w:val="00385A44"/>
    <w:rsid w:val="00385B57"/>
    <w:rsid w:val="00385D77"/>
    <w:rsid w:val="00385DCE"/>
    <w:rsid w:val="00385DE0"/>
    <w:rsid w:val="003860F8"/>
    <w:rsid w:val="00386110"/>
    <w:rsid w:val="00386135"/>
    <w:rsid w:val="0038635F"/>
    <w:rsid w:val="00386400"/>
    <w:rsid w:val="003866B7"/>
    <w:rsid w:val="00386845"/>
    <w:rsid w:val="003869C0"/>
    <w:rsid w:val="00386AE6"/>
    <w:rsid w:val="00386C1F"/>
    <w:rsid w:val="00386C33"/>
    <w:rsid w:val="00386DD1"/>
    <w:rsid w:val="00386DE8"/>
    <w:rsid w:val="00386E80"/>
    <w:rsid w:val="00387007"/>
    <w:rsid w:val="00387096"/>
    <w:rsid w:val="00387379"/>
    <w:rsid w:val="003876BC"/>
    <w:rsid w:val="00387CE8"/>
    <w:rsid w:val="00387FCA"/>
    <w:rsid w:val="00390187"/>
    <w:rsid w:val="0039042B"/>
    <w:rsid w:val="0039078D"/>
    <w:rsid w:val="00390793"/>
    <w:rsid w:val="003907DD"/>
    <w:rsid w:val="00390A0A"/>
    <w:rsid w:val="00390C80"/>
    <w:rsid w:val="00390DB9"/>
    <w:rsid w:val="00390FC3"/>
    <w:rsid w:val="003911AC"/>
    <w:rsid w:val="003912BF"/>
    <w:rsid w:val="003912C5"/>
    <w:rsid w:val="00391381"/>
    <w:rsid w:val="00391615"/>
    <w:rsid w:val="00391A22"/>
    <w:rsid w:val="00391A2A"/>
    <w:rsid w:val="00391AC0"/>
    <w:rsid w:val="00391ACE"/>
    <w:rsid w:val="00391BEA"/>
    <w:rsid w:val="003922C1"/>
    <w:rsid w:val="00392527"/>
    <w:rsid w:val="00392538"/>
    <w:rsid w:val="00392657"/>
    <w:rsid w:val="00392671"/>
    <w:rsid w:val="00392863"/>
    <w:rsid w:val="00392A5B"/>
    <w:rsid w:val="00392BA4"/>
    <w:rsid w:val="00392E01"/>
    <w:rsid w:val="00392E21"/>
    <w:rsid w:val="00392FBB"/>
    <w:rsid w:val="00393197"/>
    <w:rsid w:val="003932A1"/>
    <w:rsid w:val="003932B5"/>
    <w:rsid w:val="003933AE"/>
    <w:rsid w:val="00393557"/>
    <w:rsid w:val="003936F3"/>
    <w:rsid w:val="00393815"/>
    <w:rsid w:val="003939D1"/>
    <w:rsid w:val="00393A40"/>
    <w:rsid w:val="00393B08"/>
    <w:rsid w:val="00393B82"/>
    <w:rsid w:val="00393C71"/>
    <w:rsid w:val="00393D66"/>
    <w:rsid w:val="00393EE4"/>
    <w:rsid w:val="00393FF1"/>
    <w:rsid w:val="003940EF"/>
    <w:rsid w:val="00394146"/>
    <w:rsid w:val="0039436F"/>
    <w:rsid w:val="0039454B"/>
    <w:rsid w:val="0039458C"/>
    <w:rsid w:val="0039470D"/>
    <w:rsid w:val="003947AF"/>
    <w:rsid w:val="003947C4"/>
    <w:rsid w:val="003948E0"/>
    <w:rsid w:val="00394CD5"/>
    <w:rsid w:val="00394E5B"/>
    <w:rsid w:val="00394EFA"/>
    <w:rsid w:val="00394F66"/>
    <w:rsid w:val="00395124"/>
    <w:rsid w:val="0039521C"/>
    <w:rsid w:val="00395388"/>
    <w:rsid w:val="00395726"/>
    <w:rsid w:val="00395A33"/>
    <w:rsid w:val="00395A63"/>
    <w:rsid w:val="00395A6C"/>
    <w:rsid w:val="00395AD9"/>
    <w:rsid w:val="00395BE9"/>
    <w:rsid w:val="00395CED"/>
    <w:rsid w:val="00395D90"/>
    <w:rsid w:val="00395E64"/>
    <w:rsid w:val="00395F3A"/>
    <w:rsid w:val="00396012"/>
    <w:rsid w:val="00396334"/>
    <w:rsid w:val="00396660"/>
    <w:rsid w:val="0039666D"/>
    <w:rsid w:val="003966A8"/>
    <w:rsid w:val="00396B77"/>
    <w:rsid w:val="00396CE5"/>
    <w:rsid w:val="00396DB3"/>
    <w:rsid w:val="00396E47"/>
    <w:rsid w:val="00397023"/>
    <w:rsid w:val="00397084"/>
    <w:rsid w:val="0039715B"/>
    <w:rsid w:val="00397197"/>
    <w:rsid w:val="00397400"/>
    <w:rsid w:val="003974D8"/>
    <w:rsid w:val="003975ED"/>
    <w:rsid w:val="00397607"/>
    <w:rsid w:val="00397784"/>
    <w:rsid w:val="003977D1"/>
    <w:rsid w:val="003978FB"/>
    <w:rsid w:val="00397A2D"/>
    <w:rsid w:val="00397B75"/>
    <w:rsid w:val="00397E41"/>
    <w:rsid w:val="003A006B"/>
    <w:rsid w:val="003A0708"/>
    <w:rsid w:val="003A0763"/>
    <w:rsid w:val="003A0AC7"/>
    <w:rsid w:val="003A0AE0"/>
    <w:rsid w:val="003A0C9B"/>
    <w:rsid w:val="003A0D48"/>
    <w:rsid w:val="003A10D5"/>
    <w:rsid w:val="003A137A"/>
    <w:rsid w:val="003A139B"/>
    <w:rsid w:val="003A1433"/>
    <w:rsid w:val="003A178B"/>
    <w:rsid w:val="003A18EC"/>
    <w:rsid w:val="003A1A8F"/>
    <w:rsid w:val="003A1B37"/>
    <w:rsid w:val="003A1C46"/>
    <w:rsid w:val="003A1F3A"/>
    <w:rsid w:val="003A1F4E"/>
    <w:rsid w:val="003A2389"/>
    <w:rsid w:val="003A23FD"/>
    <w:rsid w:val="003A24C5"/>
    <w:rsid w:val="003A2628"/>
    <w:rsid w:val="003A297F"/>
    <w:rsid w:val="003A2A07"/>
    <w:rsid w:val="003A2C5C"/>
    <w:rsid w:val="003A2DB0"/>
    <w:rsid w:val="003A2F99"/>
    <w:rsid w:val="003A3138"/>
    <w:rsid w:val="003A317F"/>
    <w:rsid w:val="003A32E1"/>
    <w:rsid w:val="003A3629"/>
    <w:rsid w:val="003A3638"/>
    <w:rsid w:val="003A367A"/>
    <w:rsid w:val="003A36A5"/>
    <w:rsid w:val="003A374B"/>
    <w:rsid w:val="003A38F0"/>
    <w:rsid w:val="003A39B1"/>
    <w:rsid w:val="003A3BD9"/>
    <w:rsid w:val="003A3D04"/>
    <w:rsid w:val="003A3D2E"/>
    <w:rsid w:val="003A3E95"/>
    <w:rsid w:val="003A3EB7"/>
    <w:rsid w:val="003A3F82"/>
    <w:rsid w:val="003A4022"/>
    <w:rsid w:val="003A41EC"/>
    <w:rsid w:val="003A423C"/>
    <w:rsid w:val="003A4399"/>
    <w:rsid w:val="003A44C4"/>
    <w:rsid w:val="003A4600"/>
    <w:rsid w:val="003A460D"/>
    <w:rsid w:val="003A468A"/>
    <w:rsid w:val="003A46C9"/>
    <w:rsid w:val="003A49AB"/>
    <w:rsid w:val="003A49B6"/>
    <w:rsid w:val="003A4A2B"/>
    <w:rsid w:val="003A4BC5"/>
    <w:rsid w:val="003A4C51"/>
    <w:rsid w:val="003A4C6B"/>
    <w:rsid w:val="003A4C6E"/>
    <w:rsid w:val="003A4CE1"/>
    <w:rsid w:val="003A4E76"/>
    <w:rsid w:val="003A51C0"/>
    <w:rsid w:val="003A5235"/>
    <w:rsid w:val="003A5372"/>
    <w:rsid w:val="003A53DB"/>
    <w:rsid w:val="003A55D2"/>
    <w:rsid w:val="003A56DB"/>
    <w:rsid w:val="003A57A4"/>
    <w:rsid w:val="003A5962"/>
    <w:rsid w:val="003A5C00"/>
    <w:rsid w:val="003A5C19"/>
    <w:rsid w:val="003A6124"/>
    <w:rsid w:val="003A618D"/>
    <w:rsid w:val="003A627A"/>
    <w:rsid w:val="003A6319"/>
    <w:rsid w:val="003A6807"/>
    <w:rsid w:val="003A6B2B"/>
    <w:rsid w:val="003A6D6B"/>
    <w:rsid w:val="003A6ED2"/>
    <w:rsid w:val="003A6FB7"/>
    <w:rsid w:val="003A7193"/>
    <w:rsid w:val="003A7384"/>
    <w:rsid w:val="003A7701"/>
    <w:rsid w:val="003A7756"/>
    <w:rsid w:val="003A79B4"/>
    <w:rsid w:val="003A7F6B"/>
    <w:rsid w:val="003B01FE"/>
    <w:rsid w:val="003B02A6"/>
    <w:rsid w:val="003B0423"/>
    <w:rsid w:val="003B085F"/>
    <w:rsid w:val="003B09D5"/>
    <w:rsid w:val="003B0B59"/>
    <w:rsid w:val="003B0F5F"/>
    <w:rsid w:val="003B0F71"/>
    <w:rsid w:val="003B0FC2"/>
    <w:rsid w:val="003B106E"/>
    <w:rsid w:val="003B1132"/>
    <w:rsid w:val="003B1161"/>
    <w:rsid w:val="003B11FF"/>
    <w:rsid w:val="003B12D0"/>
    <w:rsid w:val="003B14CD"/>
    <w:rsid w:val="003B15E9"/>
    <w:rsid w:val="003B1A6B"/>
    <w:rsid w:val="003B1DBB"/>
    <w:rsid w:val="003B1DEE"/>
    <w:rsid w:val="003B1E67"/>
    <w:rsid w:val="003B1FFE"/>
    <w:rsid w:val="003B2059"/>
    <w:rsid w:val="003B2150"/>
    <w:rsid w:val="003B237D"/>
    <w:rsid w:val="003B25BF"/>
    <w:rsid w:val="003B298C"/>
    <w:rsid w:val="003B2B8B"/>
    <w:rsid w:val="003B2BDC"/>
    <w:rsid w:val="003B2C0E"/>
    <w:rsid w:val="003B2D55"/>
    <w:rsid w:val="003B2FB9"/>
    <w:rsid w:val="003B32BC"/>
    <w:rsid w:val="003B3485"/>
    <w:rsid w:val="003B3558"/>
    <w:rsid w:val="003B374F"/>
    <w:rsid w:val="003B3975"/>
    <w:rsid w:val="003B3C4E"/>
    <w:rsid w:val="003B3CF9"/>
    <w:rsid w:val="003B3E45"/>
    <w:rsid w:val="003B3F0E"/>
    <w:rsid w:val="003B40E2"/>
    <w:rsid w:val="003B4144"/>
    <w:rsid w:val="003B4190"/>
    <w:rsid w:val="003B423E"/>
    <w:rsid w:val="003B469A"/>
    <w:rsid w:val="003B46CC"/>
    <w:rsid w:val="003B46EB"/>
    <w:rsid w:val="003B4867"/>
    <w:rsid w:val="003B4AA6"/>
    <w:rsid w:val="003B4C54"/>
    <w:rsid w:val="003B5278"/>
    <w:rsid w:val="003B5487"/>
    <w:rsid w:val="003B54B8"/>
    <w:rsid w:val="003B5706"/>
    <w:rsid w:val="003B57DC"/>
    <w:rsid w:val="003B58C8"/>
    <w:rsid w:val="003B5957"/>
    <w:rsid w:val="003B5A39"/>
    <w:rsid w:val="003B5CFC"/>
    <w:rsid w:val="003B5D4F"/>
    <w:rsid w:val="003B5E26"/>
    <w:rsid w:val="003B5FEE"/>
    <w:rsid w:val="003B6074"/>
    <w:rsid w:val="003B6247"/>
    <w:rsid w:val="003B64A7"/>
    <w:rsid w:val="003B65D8"/>
    <w:rsid w:val="003B673B"/>
    <w:rsid w:val="003B6A5D"/>
    <w:rsid w:val="003B6BA8"/>
    <w:rsid w:val="003B6C4F"/>
    <w:rsid w:val="003B6DC2"/>
    <w:rsid w:val="003B6F14"/>
    <w:rsid w:val="003B6FBD"/>
    <w:rsid w:val="003B7010"/>
    <w:rsid w:val="003B7060"/>
    <w:rsid w:val="003B7175"/>
    <w:rsid w:val="003B73FA"/>
    <w:rsid w:val="003B750A"/>
    <w:rsid w:val="003B7583"/>
    <w:rsid w:val="003B7674"/>
    <w:rsid w:val="003B772A"/>
    <w:rsid w:val="003B777B"/>
    <w:rsid w:val="003B788D"/>
    <w:rsid w:val="003B7A0B"/>
    <w:rsid w:val="003B7B12"/>
    <w:rsid w:val="003B7B5D"/>
    <w:rsid w:val="003B7C9A"/>
    <w:rsid w:val="003B7E67"/>
    <w:rsid w:val="003B7EA6"/>
    <w:rsid w:val="003B7EF8"/>
    <w:rsid w:val="003B7F03"/>
    <w:rsid w:val="003B7F4D"/>
    <w:rsid w:val="003C00A0"/>
    <w:rsid w:val="003C0119"/>
    <w:rsid w:val="003C0389"/>
    <w:rsid w:val="003C046A"/>
    <w:rsid w:val="003C04F5"/>
    <w:rsid w:val="003C093E"/>
    <w:rsid w:val="003C0A64"/>
    <w:rsid w:val="003C0B7E"/>
    <w:rsid w:val="003C0CAE"/>
    <w:rsid w:val="003C0E83"/>
    <w:rsid w:val="003C12FD"/>
    <w:rsid w:val="003C1479"/>
    <w:rsid w:val="003C15AC"/>
    <w:rsid w:val="003C1720"/>
    <w:rsid w:val="003C174E"/>
    <w:rsid w:val="003C1854"/>
    <w:rsid w:val="003C1960"/>
    <w:rsid w:val="003C1B6E"/>
    <w:rsid w:val="003C1C80"/>
    <w:rsid w:val="003C1FDC"/>
    <w:rsid w:val="003C2271"/>
    <w:rsid w:val="003C23D9"/>
    <w:rsid w:val="003C284A"/>
    <w:rsid w:val="003C291C"/>
    <w:rsid w:val="003C2B93"/>
    <w:rsid w:val="003C2C12"/>
    <w:rsid w:val="003C2C9D"/>
    <w:rsid w:val="003C2CF5"/>
    <w:rsid w:val="003C3076"/>
    <w:rsid w:val="003C315C"/>
    <w:rsid w:val="003C3545"/>
    <w:rsid w:val="003C3A3D"/>
    <w:rsid w:val="003C3D20"/>
    <w:rsid w:val="003C3E95"/>
    <w:rsid w:val="003C413D"/>
    <w:rsid w:val="003C4188"/>
    <w:rsid w:val="003C41F9"/>
    <w:rsid w:val="003C4564"/>
    <w:rsid w:val="003C45EF"/>
    <w:rsid w:val="003C45F3"/>
    <w:rsid w:val="003C47ED"/>
    <w:rsid w:val="003C4881"/>
    <w:rsid w:val="003C49B3"/>
    <w:rsid w:val="003C4B8F"/>
    <w:rsid w:val="003C4CB3"/>
    <w:rsid w:val="003C4CFA"/>
    <w:rsid w:val="003C502F"/>
    <w:rsid w:val="003C51B6"/>
    <w:rsid w:val="003C51D8"/>
    <w:rsid w:val="003C539A"/>
    <w:rsid w:val="003C5458"/>
    <w:rsid w:val="003C598A"/>
    <w:rsid w:val="003C5BF7"/>
    <w:rsid w:val="003C603E"/>
    <w:rsid w:val="003C6085"/>
    <w:rsid w:val="003C610A"/>
    <w:rsid w:val="003C630F"/>
    <w:rsid w:val="003C64FD"/>
    <w:rsid w:val="003C650A"/>
    <w:rsid w:val="003C6613"/>
    <w:rsid w:val="003C6695"/>
    <w:rsid w:val="003C6757"/>
    <w:rsid w:val="003C6763"/>
    <w:rsid w:val="003C68A7"/>
    <w:rsid w:val="003C6964"/>
    <w:rsid w:val="003C6B70"/>
    <w:rsid w:val="003C6C45"/>
    <w:rsid w:val="003C6CBA"/>
    <w:rsid w:val="003C6D33"/>
    <w:rsid w:val="003C7067"/>
    <w:rsid w:val="003C713E"/>
    <w:rsid w:val="003C71F3"/>
    <w:rsid w:val="003C72CC"/>
    <w:rsid w:val="003C7634"/>
    <w:rsid w:val="003C77BC"/>
    <w:rsid w:val="003C77BE"/>
    <w:rsid w:val="003C7916"/>
    <w:rsid w:val="003C7A1A"/>
    <w:rsid w:val="003C7E0E"/>
    <w:rsid w:val="003C7F95"/>
    <w:rsid w:val="003D0076"/>
    <w:rsid w:val="003D023A"/>
    <w:rsid w:val="003D03B7"/>
    <w:rsid w:val="003D06A8"/>
    <w:rsid w:val="003D0737"/>
    <w:rsid w:val="003D0806"/>
    <w:rsid w:val="003D08CF"/>
    <w:rsid w:val="003D091E"/>
    <w:rsid w:val="003D0BD0"/>
    <w:rsid w:val="003D0E50"/>
    <w:rsid w:val="003D0E58"/>
    <w:rsid w:val="003D1162"/>
    <w:rsid w:val="003D1248"/>
    <w:rsid w:val="003D14D2"/>
    <w:rsid w:val="003D15AD"/>
    <w:rsid w:val="003D16BE"/>
    <w:rsid w:val="003D17D3"/>
    <w:rsid w:val="003D1B6B"/>
    <w:rsid w:val="003D1B71"/>
    <w:rsid w:val="003D1C5E"/>
    <w:rsid w:val="003D1DEA"/>
    <w:rsid w:val="003D1F27"/>
    <w:rsid w:val="003D1F2C"/>
    <w:rsid w:val="003D2019"/>
    <w:rsid w:val="003D2261"/>
    <w:rsid w:val="003D22DD"/>
    <w:rsid w:val="003D231C"/>
    <w:rsid w:val="003D2415"/>
    <w:rsid w:val="003D2534"/>
    <w:rsid w:val="003D2561"/>
    <w:rsid w:val="003D261D"/>
    <w:rsid w:val="003D26AE"/>
    <w:rsid w:val="003D26D7"/>
    <w:rsid w:val="003D286C"/>
    <w:rsid w:val="003D2925"/>
    <w:rsid w:val="003D2989"/>
    <w:rsid w:val="003D2B4B"/>
    <w:rsid w:val="003D2D78"/>
    <w:rsid w:val="003D2EF2"/>
    <w:rsid w:val="003D300B"/>
    <w:rsid w:val="003D3010"/>
    <w:rsid w:val="003D3079"/>
    <w:rsid w:val="003D3113"/>
    <w:rsid w:val="003D33A4"/>
    <w:rsid w:val="003D345F"/>
    <w:rsid w:val="003D37B7"/>
    <w:rsid w:val="003D3B96"/>
    <w:rsid w:val="003D3F34"/>
    <w:rsid w:val="003D3F51"/>
    <w:rsid w:val="003D4016"/>
    <w:rsid w:val="003D40A0"/>
    <w:rsid w:val="003D4122"/>
    <w:rsid w:val="003D438D"/>
    <w:rsid w:val="003D480E"/>
    <w:rsid w:val="003D4B09"/>
    <w:rsid w:val="003D4B1C"/>
    <w:rsid w:val="003D503F"/>
    <w:rsid w:val="003D5286"/>
    <w:rsid w:val="003D537E"/>
    <w:rsid w:val="003D5518"/>
    <w:rsid w:val="003D5596"/>
    <w:rsid w:val="003D55BF"/>
    <w:rsid w:val="003D5638"/>
    <w:rsid w:val="003D581D"/>
    <w:rsid w:val="003D592A"/>
    <w:rsid w:val="003D59BB"/>
    <w:rsid w:val="003D59BD"/>
    <w:rsid w:val="003D5A0C"/>
    <w:rsid w:val="003D5A69"/>
    <w:rsid w:val="003D5BE5"/>
    <w:rsid w:val="003D5D97"/>
    <w:rsid w:val="003D5DCC"/>
    <w:rsid w:val="003D5FE4"/>
    <w:rsid w:val="003D6108"/>
    <w:rsid w:val="003D6214"/>
    <w:rsid w:val="003D6395"/>
    <w:rsid w:val="003D63B8"/>
    <w:rsid w:val="003D64E8"/>
    <w:rsid w:val="003D6543"/>
    <w:rsid w:val="003D670D"/>
    <w:rsid w:val="003D6722"/>
    <w:rsid w:val="003D6963"/>
    <w:rsid w:val="003D6D06"/>
    <w:rsid w:val="003D6E08"/>
    <w:rsid w:val="003D6EAF"/>
    <w:rsid w:val="003D7076"/>
    <w:rsid w:val="003D747F"/>
    <w:rsid w:val="003D7555"/>
    <w:rsid w:val="003D75FA"/>
    <w:rsid w:val="003D783B"/>
    <w:rsid w:val="003D7914"/>
    <w:rsid w:val="003D792C"/>
    <w:rsid w:val="003D79E3"/>
    <w:rsid w:val="003D7A8B"/>
    <w:rsid w:val="003D7B6C"/>
    <w:rsid w:val="003D7CA2"/>
    <w:rsid w:val="003D7E30"/>
    <w:rsid w:val="003D7EAB"/>
    <w:rsid w:val="003D7F6B"/>
    <w:rsid w:val="003D7F85"/>
    <w:rsid w:val="003E0039"/>
    <w:rsid w:val="003E017B"/>
    <w:rsid w:val="003E01F2"/>
    <w:rsid w:val="003E030C"/>
    <w:rsid w:val="003E0328"/>
    <w:rsid w:val="003E0481"/>
    <w:rsid w:val="003E05E9"/>
    <w:rsid w:val="003E0646"/>
    <w:rsid w:val="003E06EF"/>
    <w:rsid w:val="003E070B"/>
    <w:rsid w:val="003E099B"/>
    <w:rsid w:val="003E0E4C"/>
    <w:rsid w:val="003E0F7D"/>
    <w:rsid w:val="003E0FF0"/>
    <w:rsid w:val="003E1122"/>
    <w:rsid w:val="003E1180"/>
    <w:rsid w:val="003E12ED"/>
    <w:rsid w:val="003E1356"/>
    <w:rsid w:val="003E1457"/>
    <w:rsid w:val="003E1651"/>
    <w:rsid w:val="003E18A5"/>
    <w:rsid w:val="003E1967"/>
    <w:rsid w:val="003E1A16"/>
    <w:rsid w:val="003E1DD9"/>
    <w:rsid w:val="003E1EE3"/>
    <w:rsid w:val="003E1F70"/>
    <w:rsid w:val="003E1FD9"/>
    <w:rsid w:val="003E240E"/>
    <w:rsid w:val="003E245E"/>
    <w:rsid w:val="003E24C6"/>
    <w:rsid w:val="003E266D"/>
    <w:rsid w:val="003E26CE"/>
    <w:rsid w:val="003E2822"/>
    <w:rsid w:val="003E2B4A"/>
    <w:rsid w:val="003E321D"/>
    <w:rsid w:val="003E3C03"/>
    <w:rsid w:val="003E3C6A"/>
    <w:rsid w:val="003E3E29"/>
    <w:rsid w:val="003E3F10"/>
    <w:rsid w:val="003E40D7"/>
    <w:rsid w:val="003E4270"/>
    <w:rsid w:val="003E4453"/>
    <w:rsid w:val="003E447D"/>
    <w:rsid w:val="003E45A0"/>
    <w:rsid w:val="003E4714"/>
    <w:rsid w:val="003E4731"/>
    <w:rsid w:val="003E4AB2"/>
    <w:rsid w:val="003E4B40"/>
    <w:rsid w:val="003E4D7D"/>
    <w:rsid w:val="003E4D83"/>
    <w:rsid w:val="003E4E68"/>
    <w:rsid w:val="003E4E7C"/>
    <w:rsid w:val="003E50AE"/>
    <w:rsid w:val="003E551A"/>
    <w:rsid w:val="003E5549"/>
    <w:rsid w:val="003E5851"/>
    <w:rsid w:val="003E585C"/>
    <w:rsid w:val="003E5933"/>
    <w:rsid w:val="003E5A58"/>
    <w:rsid w:val="003E5B60"/>
    <w:rsid w:val="003E5B9B"/>
    <w:rsid w:val="003E5C43"/>
    <w:rsid w:val="003E5D37"/>
    <w:rsid w:val="003E5F74"/>
    <w:rsid w:val="003E5FD4"/>
    <w:rsid w:val="003E61AD"/>
    <w:rsid w:val="003E63B3"/>
    <w:rsid w:val="003E68D7"/>
    <w:rsid w:val="003E696D"/>
    <w:rsid w:val="003E6A0A"/>
    <w:rsid w:val="003E6A60"/>
    <w:rsid w:val="003E6D84"/>
    <w:rsid w:val="003E6E13"/>
    <w:rsid w:val="003E6F0B"/>
    <w:rsid w:val="003E7109"/>
    <w:rsid w:val="003E727B"/>
    <w:rsid w:val="003E72B0"/>
    <w:rsid w:val="003E78C5"/>
    <w:rsid w:val="003E79BA"/>
    <w:rsid w:val="003E7A3E"/>
    <w:rsid w:val="003E7A52"/>
    <w:rsid w:val="003E7D83"/>
    <w:rsid w:val="003F0037"/>
    <w:rsid w:val="003F0381"/>
    <w:rsid w:val="003F04BD"/>
    <w:rsid w:val="003F04D8"/>
    <w:rsid w:val="003F04E7"/>
    <w:rsid w:val="003F0734"/>
    <w:rsid w:val="003F08B5"/>
    <w:rsid w:val="003F09E5"/>
    <w:rsid w:val="003F0E05"/>
    <w:rsid w:val="003F0F3B"/>
    <w:rsid w:val="003F0FEF"/>
    <w:rsid w:val="003F1502"/>
    <w:rsid w:val="003F15F6"/>
    <w:rsid w:val="003F18DD"/>
    <w:rsid w:val="003F1ABB"/>
    <w:rsid w:val="003F1E5C"/>
    <w:rsid w:val="003F1F42"/>
    <w:rsid w:val="003F2122"/>
    <w:rsid w:val="003F22AF"/>
    <w:rsid w:val="003F24A8"/>
    <w:rsid w:val="003F2555"/>
    <w:rsid w:val="003F257F"/>
    <w:rsid w:val="003F26B2"/>
    <w:rsid w:val="003F2A07"/>
    <w:rsid w:val="003F2AF9"/>
    <w:rsid w:val="003F2BEB"/>
    <w:rsid w:val="003F2C48"/>
    <w:rsid w:val="003F2C92"/>
    <w:rsid w:val="003F2D91"/>
    <w:rsid w:val="003F2DB6"/>
    <w:rsid w:val="003F2EAD"/>
    <w:rsid w:val="003F3216"/>
    <w:rsid w:val="003F34E9"/>
    <w:rsid w:val="003F3951"/>
    <w:rsid w:val="003F3B3B"/>
    <w:rsid w:val="003F3CEC"/>
    <w:rsid w:val="003F3CF5"/>
    <w:rsid w:val="003F3E5B"/>
    <w:rsid w:val="003F3F45"/>
    <w:rsid w:val="003F405D"/>
    <w:rsid w:val="003F42A2"/>
    <w:rsid w:val="003F4329"/>
    <w:rsid w:val="003F479E"/>
    <w:rsid w:val="003F4DC2"/>
    <w:rsid w:val="003F4E31"/>
    <w:rsid w:val="003F5018"/>
    <w:rsid w:val="003F50F6"/>
    <w:rsid w:val="003F5334"/>
    <w:rsid w:val="003F5859"/>
    <w:rsid w:val="003F5B37"/>
    <w:rsid w:val="003F5EBC"/>
    <w:rsid w:val="003F60C1"/>
    <w:rsid w:val="003F62C6"/>
    <w:rsid w:val="003F6616"/>
    <w:rsid w:val="003F674A"/>
    <w:rsid w:val="003F688E"/>
    <w:rsid w:val="003F6953"/>
    <w:rsid w:val="003F6D2F"/>
    <w:rsid w:val="003F6E2F"/>
    <w:rsid w:val="003F6F28"/>
    <w:rsid w:val="003F7009"/>
    <w:rsid w:val="003F709D"/>
    <w:rsid w:val="003F70D9"/>
    <w:rsid w:val="003F71E5"/>
    <w:rsid w:val="003F7396"/>
    <w:rsid w:val="003F73FB"/>
    <w:rsid w:val="003F75E1"/>
    <w:rsid w:val="003F77DB"/>
    <w:rsid w:val="003F784B"/>
    <w:rsid w:val="003F79D2"/>
    <w:rsid w:val="004003A0"/>
    <w:rsid w:val="004003B6"/>
    <w:rsid w:val="0040052A"/>
    <w:rsid w:val="004005BA"/>
    <w:rsid w:val="004006E9"/>
    <w:rsid w:val="004008B5"/>
    <w:rsid w:val="00400978"/>
    <w:rsid w:val="00400A61"/>
    <w:rsid w:val="00400CE7"/>
    <w:rsid w:val="00400D8E"/>
    <w:rsid w:val="00400E43"/>
    <w:rsid w:val="00400E80"/>
    <w:rsid w:val="004010FB"/>
    <w:rsid w:val="00401386"/>
    <w:rsid w:val="004014F5"/>
    <w:rsid w:val="0040162E"/>
    <w:rsid w:val="004016CA"/>
    <w:rsid w:val="004017E3"/>
    <w:rsid w:val="00401B4E"/>
    <w:rsid w:val="00401B8A"/>
    <w:rsid w:val="00401E02"/>
    <w:rsid w:val="00401E03"/>
    <w:rsid w:val="00401FA4"/>
    <w:rsid w:val="004021D6"/>
    <w:rsid w:val="0040237A"/>
    <w:rsid w:val="00402514"/>
    <w:rsid w:val="00402654"/>
    <w:rsid w:val="00402814"/>
    <w:rsid w:val="0040285B"/>
    <w:rsid w:val="00402BB5"/>
    <w:rsid w:val="00402C17"/>
    <w:rsid w:val="00402D91"/>
    <w:rsid w:val="00402FB4"/>
    <w:rsid w:val="00403147"/>
    <w:rsid w:val="00403191"/>
    <w:rsid w:val="004032C7"/>
    <w:rsid w:val="0040367D"/>
    <w:rsid w:val="0040369F"/>
    <w:rsid w:val="00403772"/>
    <w:rsid w:val="0040398A"/>
    <w:rsid w:val="00403A79"/>
    <w:rsid w:val="00403B36"/>
    <w:rsid w:val="00403B80"/>
    <w:rsid w:val="00403D80"/>
    <w:rsid w:val="00403EE0"/>
    <w:rsid w:val="00403F59"/>
    <w:rsid w:val="004041AB"/>
    <w:rsid w:val="00404219"/>
    <w:rsid w:val="00404284"/>
    <w:rsid w:val="00404833"/>
    <w:rsid w:val="00404880"/>
    <w:rsid w:val="004049B8"/>
    <w:rsid w:val="004049F3"/>
    <w:rsid w:val="00404DE6"/>
    <w:rsid w:val="00404E64"/>
    <w:rsid w:val="00405021"/>
    <w:rsid w:val="00405066"/>
    <w:rsid w:val="004053F1"/>
    <w:rsid w:val="00405545"/>
    <w:rsid w:val="004057A7"/>
    <w:rsid w:val="004057BD"/>
    <w:rsid w:val="004058DA"/>
    <w:rsid w:val="00405AC6"/>
    <w:rsid w:val="00405B66"/>
    <w:rsid w:val="00405C5F"/>
    <w:rsid w:val="00405D24"/>
    <w:rsid w:val="00405E21"/>
    <w:rsid w:val="00405E64"/>
    <w:rsid w:val="00406105"/>
    <w:rsid w:val="004061CF"/>
    <w:rsid w:val="00406385"/>
    <w:rsid w:val="00406420"/>
    <w:rsid w:val="00406507"/>
    <w:rsid w:val="00406888"/>
    <w:rsid w:val="00406A80"/>
    <w:rsid w:val="00406B59"/>
    <w:rsid w:val="00406B89"/>
    <w:rsid w:val="0040711B"/>
    <w:rsid w:val="00407587"/>
    <w:rsid w:val="004076BF"/>
    <w:rsid w:val="004076DA"/>
    <w:rsid w:val="00407B58"/>
    <w:rsid w:val="00410006"/>
    <w:rsid w:val="0041011C"/>
    <w:rsid w:val="00410199"/>
    <w:rsid w:val="004104DD"/>
    <w:rsid w:val="0041070C"/>
    <w:rsid w:val="004110A8"/>
    <w:rsid w:val="00411643"/>
    <w:rsid w:val="004116FC"/>
    <w:rsid w:val="00411939"/>
    <w:rsid w:val="004119B4"/>
    <w:rsid w:val="00411B88"/>
    <w:rsid w:val="00411C0A"/>
    <w:rsid w:val="00412051"/>
    <w:rsid w:val="00412132"/>
    <w:rsid w:val="004121AF"/>
    <w:rsid w:val="004123C9"/>
    <w:rsid w:val="00412534"/>
    <w:rsid w:val="00412721"/>
    <w:rsid w:val="004127EA"/>
    <w:rsid w:val="00412C3A"/>
    <w:rsid w:val="00412C83"/>
    <w:rsid w:val="00412D64"/>
    <w:rsid w:val="00412F25"/>
    <w:rsid w:val="00413054"/>
    <w:rsid w:val="004130FA"/>
    <w:rsid w:val="004133AD"/>
    <w:rsid w:val="0041346F"/>
    <w:rsid w:val="004136FC"/>
    <w:rsid w:val="0041388D"/>
    <w:rsid w:val="004138FB"/>
    <w:rsid w:val="00413AB6"/>
    <w:rsid w:val="00413C79"/>
    <w:rsid w:val="00413D1B"/>
    <w:rsid w:val="0041432C"/>
    <w:rsid w:val="0041433D"/>
    <w:rsid w:val="004143EA"/>
    <w:rsid w:val="00414435"/>
    <w:rsid w:val="0041488E"/>
    <w:rsid w:val="004148F8"/>
    <w:rsid w:val="00414C89"/>
    <w:rsid w:val="00415163"/>
    <w:rsid w:val="0041538D"/>
    <w:rsid w:val="004153B6"/>
    <w:rsid w:val="00415740"/>
    <w:rsid w:val="00415B36"/>
    <w:rsid w:val="00415F3D"/>
    <w:rsid w:val="004160BA"/>
    <w:rsid w:val="004160CA"/>
    <w:rsid w:val="0041648F"/>
    <w:rsid w:val="004165A8"/>
    <w:rsid w:val="004166DE"/>
    <w:rsid w:val="00416790"/>
    <w:rsid w:val="00416809"/>
    <w:rsid w:val="0041692D"/>
    <w:rsid w:val="00416971"/>
    <w:rsid w:val="0041698A"/>
    <w:rsid w:val="004169D7"/>
    <w:rsid w:val="00416C31"/>
    <w:rsid w:val="00416C61"/>
    <w:rsid w:val="00416C73"/>
    <w:rsid w:val="00416CFC"/>
    <w:rsid w:val="00416E7F"/>
    <w:rsid w:val="0041729F"/>
    <w:rsid w:val="00417438"/>
    <w:rsid w:val="00417686"/>
    <w:rsid w:val="0041783B"/>
    <w:rsid w:val="00417885"/>
    <w:rsid w:val="00417A86"/>
    <w:rsid w:val="00417B65"/>
    <w:rsid w:val="00417D8D"/>
    <w:rsid w:val="00417E0C"/>
    <w:rsid w:val="00417E32"/>
    <w:rsid w:val="00417F11"/>
    <w:rsid w:val="004201B1"/>
    <w:rsid w:val="004202A7"/>
    <w:rsid w:val="004203A2"/>
    <w:rsid w:val="0042048B"/>
    <w:rsid w:val="004205CF"/>
    <w:rsid w:val="00420A21"/>
    <w:rsid w:val="00420B55"/>
    <w:rsid w:val="00420C6D"/>
    <w:rsid w:val="00420DA1"/>
    <w:rsid w:val="00420E83"/>
    <w:rsid w:val="00420F85"/>
    <w:rsid w:val="00421024"/>
    <w:rsid w:val="004210C5"/>
    <w:rsid w:val="004211A2"/>
    <w:rsid w:val="00421447"/>
    <w:rsid w:val="00421472"/>
    <w:rsid w:val="004217F4"/>
    <w:rsid w:val="00421BF5"/>
    <w:rsid w:val="00421D54"/>
    <w:rsid w:val="0042204D"/>
    <w:rsid w:val="00422111"/>
    <w:rsid w:val="0042214A"/>
    <w:rsid w:val="00422174"/>
    <w:rsid w:val="00422254"/>
    <w:rsid w:val="0042261C"/>
    <w:rsid w:val="00422C57"/>
    <w:rsid w:val="00422F21"/>
    <w:rsid w:val="00422FF8"/>
    <w:rsid w:val="00423056"/>
    <w:rsid w:val="004230B5"/>
    <w:rsid w:val="00423283"/>
    <w:rsid w:val="00423431"/>
    <w:rsid w:val="004238AD"/>
    <w:rsid w:val="00423B00"/>
    <w:rsid w:val="00423C07"/>
    <w:rsid w:val="00423C74"/>
    <w:rsid w:val="00424115"/>
    <w:rsid w:val="004244D9"/>
    <w:rsid w:val="00424561"/>
    <w:rsid w:val="0042468B"/>
    <w:rsid w:val="00424837"/>
    <w:rsid w:val="00424903"/>
    <w:rsid w:val="00424A5F"/>
    <w:rsid w:val="00424AA5"/>
    <w:rsid w:val="00424DD7"/>
    <w:rsid w:val="00425525"/>
    <w:rsid w:val="004257DE"/>
    <w:rsid w:val="00425981"/>
    <w:rsid w:val="004259E0"/>
    <w:rsid w:val="00425B58"/>
    <w:rsid w:val="00425DDB"/>
    <w:rsid w:val="00425E35"/>
    <w:rsid w:val="00426014"/>
    <w:rsid w:val="00426630"/>
    <w:rsid w:val="0042698C"/>
    <w:rsid w:val="00426ABE"/>
    <w:rsid w:val="00426D08"/>
    <w:rsid w:val="00426E17"/>
    <w:rsid w:val="00426E8D"/>
    <w:rsid w:val="00426FB3"/>
    <w:rsid w:val="004271A5"/>
    <w:rsid w:val="0042728A"/>
    <w:rsid w:val="00427479"/>
    <w:rsid w:val="004274E3"/>
    <w:rsid w:val="004279F0"/>
    <w:rsid w:val="00427B2E"/>
    <w:rsid w:val="00427F14"/>
    <w:rsid w:val="004300AB"/>
    <w:rsid w:val="00430583"/>
    <w:rsid w:val="00430725"/>
    <w:rsid w:val="0043076A"/>
    <w:rsid w:val="0043079A"/>
    <w:rsid w:val="004307A8"/>
    <w:rsid w:val="004307DC"/>
    <w:rsid w:val="004308E6"/>
    <w:rsid w:val="00430906"/>
    <w:rsid w:val="004309E3"/>
    <w:rsid w:val="00430A35"/>
    <w:rsid w:val="00430AC1"/>
    <w:rsid w:val="0043102E"/>
    <w:rsid w:val="004310B7"/>
    <w:rsid w:val="00431365"/>
    <w:rsid w:val="004313D4"/>
    <w:rsid w:val="00431408"/>
    <w:rsid w:val="00431605"/>
    <w:rsid w:val="00431671"/>
    <w:rsid w:val="00431BFC"/>
    <w:rsid w:val="00431C38"/>
    <w:rsid w:val="00431CD1"/>
    <w:rsid w:val="00431D70"/>
    <w:rsid w:val="00431D79"/>
    <w:rsid w:val="00431F10"/>
    <w:rsid w:val="00432035"/>
    <w:rsid w:val="00432116"/>
    <w:rsid w:val="004324CF"/>
    <w:rsid w:val="0043251A"/>
    <w:rsid w:val="0043263B"/>
    <w:rsid w:val="00432A6C"/>
    <w:rsid w:val="00432DF4"/>
    <w:rsid w:val="00432FC0"/>
    <w:rsid w:val="00433244"/>
    <w:rsid w:val="0043328C"/>
    <w:rsid w:val="004332B6"/>
    <w:rsid w:val="0043334F"/>
    <w:rsid w:val="0043340F"/>
    <w:rsid w:val="0043346B"/>
    <w:rsid w:val="00433493"/>
    <w:rsid w:val="004334C1"/>
    <w:rsid w:val="0043362D"/>
    <w:rsid w:val="004337B8"/>
    <w:rsid w:val="00433981"/>
    <w:rsid w:val="00433A2A"/>
    <w:rsid w:val="00433AD2"/>
    <w:rsid w:val="00433D5C"/>
    <w:rsid w:val="00433DA1"/>
    <w:rsid w:val="00433E6C"/>
    <w:rsid w:val="00433F78"/>
    <w:rsid w:val="00433FD2"/>
    <w:rsid w:val="004340D4"/>
    <w:rsid w:val="00434555"/>
    <w:rsid w:val="00434648"/>
    <w:rsid w:val="004348CE"/>
    <w:rsid w:val="004348FC"/>
    <w:rsid w:val="00434951"/>
    <w:rsid w:val="004349B5"/>
    <w:rsid w:val="00434AC4"/>
    <w:rsid w:val="00434B03"/>
    <w:rsid w:val="00434E3D"/>
    <w:rsid w:val="00434FFD"/>
    <w:rsid w:val="00435062"/>
    <w:rsid w:val="004350DD"/>
    <w:rsid w:val="00435658"/>
    <w:rsid w:val="004359E8"/>
    <w:rsid w:val="00435B1D"/>
    <w:rsid w:val="00435F9E"/>
    <w:rsid w:val="0043604D"/>
    <w:rsid w:val="0043617F"/>
    <w:rsid w:val="00436385"/>
    <w:rsid w:val="0043658A"/>
    <w:rsid w:val="0043672D"/>
    <w:rsid w:val="00436A90"/>
    <w:rsid w:val="00436B1E"/>
    <w:rsid w:val="00436B36"/>
    <w:rsid w:val="00436C47"/>
    <w:rsid w:val="00436C89"/>
    <w:rsid w:val="00436CDA"/>
    <w:rsid w:val="00436F49"/>
    <w:rsid w:val="0043701C"/>
    <w:rsid w:val="004371F8"/>
    <w:rsid w:val="00437492"/>
    <w:rsid w:val="004374EE"/>
    <w:rsid w:val="004375FB"/>
    <w:rsid w:val="00437899"/>
    <w:rsid w:val="00437AF3"/>
    <w:rsid w:val="00437B56"/>
    <w:rsid w:val="00437BA2"/>
    <w:rsid w:val="00437BBD"/>
    <w:rsid w:val="00440016"/>
    <w:rsid w:val="00440128"/>
    <w:rsid w:val="004402BC"/>
    <w:rsid w:val="00440719"/>
    <w:rsid w:val="00440776"/>
    <w:rsid w:val="004407B0"/>
    <w:rsid w:val="0044098D"/>
    <w:rsid w:val="00440E9D"/>
    <w:rsid w:val="00440F09"/>
    <w:rsid w:val="00440F81"/>
    <w:rsid w:val="0044113A"/>
    <w:rsid w:val="00441220"/>
    <w:rsid w:val="004412C4"/>
    <w:rsid w:val="004412CF"/>
    <w:rsid w:val="00441324"/>
    <w:rsid w:val="0044132E"/>
    <w:rsid w:val="00441539"/>
    <w:rsid w:val="00441822"/>
    <w:rsid w:val="00441898"/>
    <w:rsid w:val="004418C0"/>
    <w:rsid w:val="004418FB"/>
    <w:rsid w:val="00441B4C"/>
    <w:rsid w:val="00441B74"/>
    <w:rsid w:val="00441B94"/>
    <w:rsid w:val="00441EE1"/>
    <w:rsid w:val="00441F59"/>
    <w:rsid w:val="00442065"/>
    <w:rsid w:val="00442365"/>
    <w:rsid w:val="004423E7"/>
    <w:rsid w:val="00442485"/>
    <w:rsid w:val="004425DE"/>
    <w:rsid w:val="004425FC"/>
    <w:rsid w:val="00442A58"/>
    <w:rsid w:val="00442A71"/>
    <w:rsid w:val="00442B31"/>
    <w:rsid w:val="00442DB2"/>
    <w:rsid w:val="00442E55"/>
    <w:rsid w:val="00442ECA"/>
    <w:rsid w:val="004430ED"/>
    <w:rsid w:val="00443111"/>
    <w:rsid w:val="00443431"/>
    <w:rsid w:val="004435AA"/>
    <w:rsid w:val="004436F1"/>
    <w:rsid w:val="004438CD"/>
    <w:rsid w:val="004439FA"/>
    <w:rsid w:val="00443A0E"/>
    <w:rsid w:val="00443C00"/>
    <w:rsid w:val="00443C67"/>
    <w:rsid w:val="00443D33"/>
    <w:rsid w:val="004440A0"/>
    <w:rsid w:val="004440F4"/>
    <w:rsid w:val="0044416A"/>
    <w:rsid w:val="00444355"/>
    <w:rsid w:val="00444764"/>
    <w:rsid w:val="004448FC"/>
    <w:rsid w:val="00444E33"/>
    <w:rsid w:val="0044501E"/>
    <w:rsid w:val="00445233"/>
    <w:rsid w:val="004452F7"/>
    <w:rsid w:val="00445923"/>
    <w:rsid w:val="00445BE8"/>
    <w:rsid w:val="00445C71"/>
    <w:rsid w:val="00445C8F"/>
    <w:rsid w:val="00445E3B"/>
    <w:rsid w:val="00445F30"/>
    <w:rsid w:val="00446045"/>
    <w:rsid w:val="00446118"/>
    <w:rsid w:val="00446143"/>
    <w:rsid w:val="004462ED"/>
    <w:rsid w:val="0044630D"/>
    <w:rsid w:val="00446320"/>
    <w:rsid w:val="004464D8"/>
    <w:rsid w:val="004465D6"/>
    <w:rsid w:val="0044670F"/>
    <w:rsid w:val="00446755"/>
    <w:rsid w:val="004467FF"/>
    <w:rsid w:val="00446D71"/>
    <w:rsid w:val="00446DC7"/>
    <w:rsid w:val="00446DD7"/>
    <w:rsid w:val="00446FF3"/>
    <w:rsid w:val="004471C7"/>
    <w:rsid w:val="004471CD"/>
    <w:rsid w:val="00447548"/>
    <w:rsid w:val="00447598"/>
    <w:rsid w:val="00447A28"/>
    <w:rsid w:val="00447F14"/>
    <w:rsid w:val="00447F7D"/>
    <w:rsid w:val="00450295"/>
    <w:rsid w:val="0045033F"/>
    <w:rsid w:val="0045080B"/>
    <w:rsid w:val="00450813"/>
    <w:rsid w:val="00450A24"/>
    <w:rsid w:val="00450A69"/>
    <w:rsid w:val="00450B05"/>
    <w:rsid w:val="00450E26"/>
    <w:rsid w:val="004510A5"/>
    <w:rsid w:val="00451361"/>
    <w:rsid w:val="004513A1"/>
    <w:rsid w:val="004513B2"/>
    <w:rsid w:val="004516A3"/>
    <w:rsid w:val="00451703"/>
    <w:rsid w:val="00451C51"/>
    <w:rsid w:val="00451F0F"/>
    <w:rsid w:val="00451F6F"/>
    <w:rsid w:val="00451F8D"/>
    <w:rsid w:val="00451FBF"/>
    <w:rsid w:val="00452353"/>
    <w:rsid w:val="00452424"/>
    <w:rsid w:val="00452426"/>
    <w:rsid w:val="00452759"/>
    <w:rsid w:val="00452B4B"/>
    <w:rsid w:val="00452DF7"/>
    <w:rsid w:val="00452EA2"/>
    <w:rsid w:val="00452EE8"/>
    <w:rsid w:val="00452F61"/>
    <w:rsid w:val="00452F77"/>
    <w:rsid w:val="00452FF1"/>
    <w:rsid w:val="004534C0"/>
    <w:rsid w:val="00453554"/>
    <w:rsid w:val="00453570"/>
    <w:rsid w:val="00453928"/>
    <w:rsid w:val="00453A2E"/>
    <w:rsid w:val="00453E28"/>
    <w:rsid w:val="00453E4B"/>
    <w:rsid w:val="00453FD2"/>
    <w:rsid w:val="00454217"/>
    <w:rsid w:val="004542AD"/>
    <w:rsid w:val="00454418"/>
    <w:rsid w:val="00454525"/>
    <w:rsid w:val="0045454C"/>
    <w:rsid w:val="004545E2"/>
    <w:rsid w:val="004546E7"/>
    <w:rsid w:val="00454ABE"/>
    <w:rsid w:val="00455011"/>
    <w:rsid w:val="0045502F"/>
    <w:rsid w:val="004551A6"/>
    <w:rsid w:val="004551ED"/>
    <w:rsid w:val="00455281"/>
    <w:rsid w:val="004552B1"/>
    <w:rsid w:val="00455413"/>
    <w:rsid w:val="0045566C"/>
    <w:rsid w:val="00455724"/>
    <w:rsid w:val="0045595E"/>
    <w:rsid w:val="00455978"/>
    <w:rsid w:val="00455C3E"/>
    <w:rsid w:val="00455C88"/>
    <w:rsid w:val="00455CD5"/>
    <w:rsid w:val="00455D99"/>
    <w:rsid w:val="00455DE2"/>
    <w:rsid w:val="00455E34"/>
    <w:rsid w:val="00455F90"/>
    <w:rsid w:val="00455FE1"/>
    <w:rsid w:val="00456178"/>
    <w:rsid w:val="00456325"/>
    <w:rsid w:val="00456350"/>
    <w:rsid w:val="0045641C"/>
    <w:rsid w:val="0045641E"/>
    <w:rsid w:val="0045657F"/>
    <w:rsid w:val="004565AF"/>
    <w:rsid w:val="00456770"/>
    <w:rsid w:val="00456789"/>
    <w:rsid w:val="00456AB7"/>
    <w:rsid w:val="00456C3A"/>
    <w:rsid w:val="00457282"/>
    <w:rsid w:val="00457319"/>
    <w:rsid w:val="004573E3"/>
    <w:rsid w:val="0045769B"/>
    <w:rsid w:val="00457811"/>
    <w:rsid w:val="004579D6"/>
    <w:rsid w:val="00457A57"/>
    <w:rsid w:val="00457A79"/>
    <w:rsid w:val="00457A88"/>
    <w:rsid w:val="00457CDE"/>
    <w:rsid w:val="00460021"/>
    <w:rsid w:val="0046080A"/>
    <w:rsid w:val="00460842"/>
    <w:rsid w:val="004608D7"/>
    <w:rsid w:val="00460936"/>
    <w:rsid w:val="0046098C"/>
    <w:rsid w:val="00460B7D"/>
    <w:rsid w:val="00460DBC"/>
    <w:rsid w:val="00460E0A"/>
    <w:rsid w:val="00461071"/>
    <w:rsid w:val="00461080"/>
    <w:rsid w:val="00461101"/>
    <w:rsid w:val="004611E4"/>
    <w:rsid w:val="0046143C"/>
    <w:rsid w:val="00461705"/>
    <w:rsid w:val="00461AA2"/>
    <w:rsid w:val="00461C0F"/>
    <w:rsid w:val="00461C9E"/>
    <w:rsid w:val="00461D1D"/>
    <w:rsid w:val="00461FB9"/>
    <w:rsid w:val="00462128"/>
    <w:rsid w:val="0046229F"/>
    <w:rsid w:val="004622E4"/>
    <w:rsid w:val="004625B1"/>
    <w:rsid w:val="0046276D"/>
    <w:rsid w:val="00462925"/>
    <w:rsid w:val="00462B8F"/>
    <w:rsid w:val="00462EE0"/>
    <w:rsid w:val="004631B9"/>
    <w:rsid w:val="00463276"/>
    <w:rsid w:val="00463712"/>
    <w:rsid w:val="00463785"/>
    <w:rsid w:val="0046380A"/>
    <w:rsid w:val="0046393F"/>
    <w:rsid w:val="004639A6"/>
    <w:rsid w:val="00463A29"/>
    <w:rsid w:val="00463CA1"/>
    <w:rsid w:val="00463CF0"/>
    <w:rsid w:val="00463D0D"/>
    <w:rsid w:val="00463E73"/>
    <w:rsid w:val="00464318"/>
    <w:rsid w:val="004643ED"/>
    <w:rsid w:val="0046456F"/>
    <w:rsid w:val="00464646"/>
    <w:rsid w:val="0046483C"/>
    <w:rsid w:val="00464959"/>
    <w:rsid w:val="00464D0B"/>
    <w:rsid w:val="00464D25"/>
    <w:rsid w:val="00464DE6"/>
    <w:rsid w:val="00465143"/>
    <w:rsid w:val="00465293"/>
    <w:rsid w:val="00465298"/>
    <w:rsid w:val="00465400"/>
    <w:rsid w:val="0046558E"/>
    <w:rsid w:val="00465AB5"/>
    <w:rsid w:val="00466202"/>
    <w:rsid w:val="004663D3"/>
    <w:rsid w:val="00466601"/>
    <w:rsid w:val="00466799"/>
    <w:rsid w:val="0046696C"/>
    <w:rsid w:val="00466A21"/>
    <w:rsid w:val="00466A2B"/>
    <w:rsid w:val="00466B2F"/>
    <w:rsid w:val="00466B83"/>
    <w:rsid w:val="00466D23"/>
    <w:rsid w:val="00467175"/>
    <w:rsid w:val="004671BF"/>
    <w:rsid w:val="00467250"/>
    <w:rsid w:val="004672C6"/>
    <w:rsid w:val="004673CF"/>
    <w:rsid w:val="004675BA"/>
    <w:rsid w:val="004678C5"/>
    <w:rsid w:val="00467948"/>
    <w:rsid w:val="0046799A"/>
    <w:rsid w:val="00467A41"/>
    <w:rsid w:val="00467B93"/>
    <w:rsid w:val="00467C35"/>
    <w:rsid w:val="00467C81"/>
    <w:rsid w:val="00467CF3"/>
    <w:rsid w:val="00467D0C"/>
    <w:rsid w:val="00467D32"/>
    <w:rsid w:val="00467E1C"/>
    <w:rsid w:val="00467E7A"/>
    <w:rsid w:val="004701CF"/>
    <w:rsid w:val="00470331"/>
    <w:rsid w:val="004703AB"/>
    <w:rsid w:val="004703EB"/>
    <w:rsid w:val="00470409"/>
    <w:rsid w:val="0047055A"/>
    <w:rsid w:val="00470563"/>
    <w:rsid w:val="004705CC"/>
    <w:rsid w:val="004705F3"/>
    <w:rsid w:val="004706D2"/>
    <w:rsid w:val="00470983"/>
    <w:rsid w:val="00470D92"/>
    <w:rsid w:val="00470E5D"/>
    <w:rsid w:val="0047105C"/>
    <w:rsid w:val="0047129B"/>
    <w:rsid w:val="004713E5"/>
    <w:rsid w:val="00471516"/>
    <w:rsid w:val="0047167C"/>
    <w:rsid w:val="00471689"/>
    <w:rsid w:val="00471DC4"/>
    <w:rsid w:val="004722CC"/>
    <w:rsid w:val="0047233A"/>
    <w:rsid w:val="00472404"/>
    <w:rsid w:val="00472884"/>
    <w:rsid w:val="00472B5B"/>
    <w:rsid w:val="00472D77"/>
    <w:rsid w:val="00473010"/>
    <w:rsid w:val="0047307E"/>
    <w:rsid w:val="004730A6"/>
    <w:rsid w:val="00473164"/>
    <w:rsid w:val="004731F6"/>
    <w:rsid w:val="004733E5"/>
    <w:rsid w:val="004734DF"/>
    <w:rsid w:val="00473503"/>
    <w:rsid w:val="00473624"/>
    <w:rsid w:val="0047370E"/>
    <w:rsid w:val="0047384B"/>
    <w:rsid w:val="00473C05"/>
    <w:rsid w:val="00473D88"/>
    <w:rsid w:val="00473E42"/>
    <w:rsid w:val="00473ED0"/>
    <w:rsid w:val="004741A3"/>
    <w:rsid w:val="0047450F"/>
    <w:rsid w:val="00474912"/>
    <w:rsid w:val="00474937"/>
    <w:rsid w:val="00474AD8"/>
    <w:rsid w:val="00474E65"/>
    <w:rsid w:val="00474EF4"/>
    <w:rsid w:val="0047523C"/>
    <w:rsid w:val="0047537E"/>
    <w:rsid w:val="0047552C"/>
    <w:rsid w:val="0047564F"/>
    <w:rsid w:val="004759C4"/>
    <w:rsid w:val="00475A20"/>
    <w:rsid w:val="00475C4E"/>
    <w:rsid w:val="00475C88"/>
    <w:rsid w:val="004760DA"/>
    <w:rsid w:val="0047635B"/>
    <w:rsid w:val="004764F0"/>
    <w:rsid w:val="004765BD"/>
    <w:rsid w:val="0047661E"/>
    <w:rsid w:val="00476983"/>
    <w:rsid w:val="00476E2A"/>
    <w:rsid w:val="00476E8D"/>
    <w:rsid w:val="00476FC9"/>
    <w:rsid w:val="00477079"/>
    <w:rsid w:val="00477365"/>
    <w:rsid w:val="0047745D"/>
    <w:rsid w:val="0047754E"/>
    <w:rsid w:val="0047757A"/>
    <w:rsid w:val="00477723"/>
    <w:rsid w:val="00477A20"/>
    <w:rsid w:val="00477C89"/>
    <w:rsid w:val="00477E31"/>
    <w:rsid w:val="0048010C"/>
    <w:rsid w:val="004801B0"/>
    <w:rsid w:val="00480224"/>
    <w:rsid w:val="00480225"/>
    <w:rsid w:val="0048026D"/>
    <w:rsid w:val="00480513"/>
    <w:rsid w:val="00480651"/>
    <w:rsid w:val="004806A7"/>
    <w:rsid w:val="00480AE7"/>
    <w:rsid w:val="00480C4A"/>
    <w:rsid w:val="00480C66"/>
    <w:rsid w:val="00480CB0"/>
    <w:rsid w:val="00480DE1"/>
    <w:rsid w:val="00480DF5"/>
    <w:rsid w:val="00480FF8"/>
    <w:rsid w:val="00481039"/>
    <w:rsid w:val="00481061"/>
    <w:rsid w:val="00481091"/>
    <w:rsid w:val="00481331"/>
    <w:rsid w:val="0048189C"/>
    <w:rsid w:val="00481913"/>
    <w:rsid w:val="00481CD1"/>
    <w:rsid w:val="00481DAC"/>
    <w:rsid w:val="00481E71"/>
    <w:rsid w:val="00482192"/>
    <w:rsid w:val="004822FB"/>
    <w:rsid w:val="0048278C"/>
    <w:rsid w:val="004827AA"/>
    <w:rsid w:val="004827F1"/>
    <w:rsid w:val="00482974"/>
    <w:rsid w:val="00482AC7"/>
    <w:rsid w:val="00482B1D"/>
    <w:rsid w:val="00482DEE"/>
    <w:rsid w:val="00482DF5"/>
    <w:rsid w:val="00482EBC"/>
    <w:rsid w:val="00482EE9"/>
    <w:rsid w:val="00482FA2"/>
    <w:rsid w:val="00483092"/>
    <w:rsid w:val="0048318E"/>
    <w:rsid w:val="00483431"/>
    <w:rsid w:val="00483534"/>
    <w:rsid w:val="0048363D"/>
    <w:rsid w:val="0048383F"/>
    <w:rsid w:val="00483AAE"/>
    <w:rsid w:val="00483DC1"/>
    <w:rsid w:val="00483E23"/>
    <w:rsid w:val="00483E43"/>
    <w:rsid w:val="00484003"/>
    <w:rsid w:val="004840C4"/>
    <w:rsid w:val="00484144"/>
    <w:rsid w:val="004841CA"/>
    <w:rsid w:val="0048421A"/>
    <w:rsid w:val="00484284"/>
    <w:rsid w:val="00484484"/>
    <w:rsid w:val="004844B2"/>
    <w:rsid w:val="00484619"/>
    <w:rsid w:val="00484782"/>
    <w:rsid w:val="004848B0"/>
    <w:rsid w:val="004849C0"/>
    <w:rsid w:val="00484D9D"/>
    <w:rsid w:val="00484E34"/>
    <w:rsid w:val="00484F96"/>
    <w:rsid w:val="004852C8"/>
    <w:rsid w:val="0048548C"/>
    <w:rsid w:val="00485B2C"/>
    <w:rsid w:val="00485C03"/>
    <w:rsid w:val="00486433"/>
    <w:rsid w:val="00486766"/>
    <w:rsid w:val="004868A6"/>
    <w:rsid w:val="004868AD"/>
    <w:rsid w:val="00486972"/>
    <w:rsid w:val="00486ADB"/>
    <w:rsid w:val="00486D98"/>
    <w:rsid w:val="00486F8C"/>
    <w:rsid w:val="00486FAE"/>
    <w:rsid w:val="0048730C"/>
    <w:rsid w:val="00487317"/>
    <w:rsid w:val="004874DD"/>
    <w:rsid w:val="004875FF"/>
    <w:rsid w:val="0048768F"/>
    <w:rsid w:val="00487809"/>
    <w:rsid w:val="00487C9C"/>
    <w:rsid w:val="00487E37"/>
    <w:rsid w:val="00487FDE"/>
    <w:rsid w:val="004901CD"/>
    <w:rsid w:val="0049031B"/>
    <w:rsid w:val="0049031C"/>
    <w:rsid w:val="00490485"/>
    <w:rsid w:val="004905CC"/>
    <w:rsid w:val="0049062D"/>
    <w:rsid w:val="0049074B"/>
    <w:rsid w:val="00490886"/>
    <w:rsid w:val="004908E8"/>
    <w:rsid w:val="0049092E"/>
    <w:rsid w:val="00490A26"/>
    <w:rsid w:val="00490B75"/>
    <w:rsid w:val="00490B79"/>
    <w:rsid w:val="00490CF0"/>
    <w:rsid w:val="00490D3C"/>
    <w:rsid w:val="00490E6A"/>
    <w:rsid w:val="00490EC6"/>
    <w:rsid w:val="00491074"/>
    <w:rsid w:val="004910A2"/>
    <w:rsid w:val="0049121B"/>
    <w:rsid w:val="004912B5"/>
    <w:rsid w:val="004913A6"/>
    <w:rsid w:val="004917B6"/>
    <w:rsid w:val="0049185B"/>
    <w:rsid w:val="00491BD7"/>
    <w:rsid w:val="00491E78"/>
    <w:rsid w:val="00491EE0"/>
    <w:rsid w:val="00492004"/>
    <w:rsid w:val="0049206D"/>
    <w:rsid w:val="004922C6"/>
    <w:rsid w:val="0049280F"/>
    <w:rsid w:val="00492B04"/>
    <w:rsid w:val="00492B35"/>
    <w:rsid w:val="00492C28"/>
    <w:rsid w:val="00492D1C"/>
    <w:rsid w:val="00492E35"/>
    <w:rsid w:val="00492FE8"/>
    <w:rsid w:val="004933F8"/>
    <w:rsid w:val="0049351F"/>
    <w:rsid w:val="00493AD0"/>
    <w:rsid w:val="00493EF4"/>
    <w:rsid w:val="00493FEF"/>
    <w:rsid w:val="00494044"/>
    <w:rsid w:val="004940BD"/>
    <w:rsid w:val="004941B8"/>
    <w:rsid w:val="004943AA"/>
    <w:rsid w:val="004945F5"/>
    <w:rsid w:val="004947AB"/>
    <w:rsid w:val="0049487B"/>
    <w:rsid w:val="00494A1E"/>
    <w:rsid w:val="00494DA8"/>
    <w:rsid w:val="00494DD4"/>
    <w:rsid w:val="00494EB5"/>
    <w:rsid w:val="00494F40"/>
    <w:rsid w:val="00494FA1"/>
    <w:rsid w:val="00495078"/>
    <w:rsid w:val="0049530F"/>
    <w:rsid w:val="00495327"/>
    <w:rsid w:val="004953AC"/>
    <w:rsid w:val="00495466"/>
    <w:rsid w:val="0049556D"/>
    <w:rsid w:val="0049574B"/>
    <w:rsid w:val="00495874"/>
    <w:rsid w:val="004958E0"/>
    <w:rsid w:val="004958F9"/>
    <w:rsid w:val="00495976"/>
    <w:rsid w:val="0049597F"/>
    <w:rsid w:val="004959CF"/>
    <w:rsid w:val="00495A14"/>
    <w:rsid w:val="00495B45"/>
    <w:rsid w:val="00495CD2"/>
    <w:rsid w:val="00495D13"/>
    <w:rsid w:val="0049607E"/>
    <w:rsid w:val="0049615A"/>
    <w:rsid w:val="00496448"/>
    <w:rsid w:val="0049670B"/>
    <w:rsid w:val="004968BC"/>
    <w:rsid w:val="00496AC5"/>
    <w:rsid w:val="00496D42"/>
    <w:rsid w:val="00496F45"/>
    <w:rsid w:val="0049720A"/>
    <w:rsid w:val="0049750B"/>
    <w:rsid w:val="00497530"/>
    <w:rsid w:val="00497563"/>
    <w:rsid w:val="004975A9"/>
    <w:rsid w:val="00497763"/>
    <w:rsid w:val="0049790E"/>
    <w:rsid w:val="004979D7"/>
    <w:rsid w:val="00497A12"/>
    <w:rsid w:val="00497ED4"/>
    <w:rsid w:val="00497F63"/>
    <w:rsid w:val="00497F7D"/>
    <w:rsid w:val="00497FF0"/>
    <w:rsid w:val="004A02BB"/>
    <w:rsid w:val="004A03DA"/>
    <w:rsid w:val="004A0450"/>
    <w:rsid w:val="004A06E5"/>
    <w:rsid w:val="004A0792"/>
    <w:rsid w:val="004A085C"/>
    <w:rsid w:val="004A0937"/>
    <w:rsid w:val="004A0AE8"/>
    <w:rsid w:val="004A0AFB"/>
    <w:rsid w:val="004A0B30"/>
    <w:rsid w:val="004A0BB8"/>
    <w:rsid w:val="004A0C8A"/>
    <w:rsid w:val="004A0DE6"/>
    <w:rsid w:val="004A10A1"/>
    <w:rsid w:val="004A1137"/>
    <w:rsid w:val="004A13C2"/>
    <w:rsid w:val="004A1418"/>
    <w:rsid w:val="004A1474"/>
    <w:rsid w:val="004A14E0"/>
    <w:rsid w:val="004A15BA"/>
    <w:rsid w:val="004A1824"/>
    <w:rsid w:val="004A1891"/>
    <w:rsid w:val="004A1904"/>
    <w:rsid w:val="004A19B6"/>
    <w:rsid w:val="004A1C7B"/>
    <w:rsid w:val="004A1C96"/>
    <w:rsid w:val="004A22EA"/>
    <w:rsid w:val="004A2A44"/>
    <w:rsid w:val="004A2DC2"/>
    <w:rsid w:val="004A2EBE"/>
    <w:rsid w:val="004A2F27"/>
    <w:rsid w:val="004A3351"/>
    <w:rsid w:val="004A3369"/>
    <w:rsid w:val="004A34E9"/>
    <w:rsid w:val="004A38C7"/>
    <w:rsid w:val="004A398F"/>
    <w:rsid w:val="004A3A46"/>
    <w:rsid w:val="004A3AAA"/>
    <w:rsid w:val="004A3B6B"/>
    <w:rsid w:val="004A3C0D"/>
    <w:rsid w:val="004A3C95"/>
    <w:rsid w:val="004A3E8D"/>
    <w:rsid w:val="004A3EC4"/>
    <w:rsid w:val="004A3EDA"/>
    <w:rsid w:val="004A404B"/>
    <w:rsid w:val="004A40AB"/>
    <w:rsid w:val="004A418B"/>
    <w:rsid w:val="004A471E"/>
    <w:rsid w:val="004A478E"/>
    <w:rsid w:val="004A47CE"/>
    <w:rsid w:val="004A4AAF"/>
    <w:rsid w:val="004A4B9C"/>
    <w:rsid w:val="004A4BA5"/>
    <w:rsid w:val="004A4C82"/>
    <w:rsid w:val="004A4E1E"/>
    <w:rsid w:val="004A4F6C"/>
    <w:rsid w:val="004A5179"/>
    <w:rsid w:val="004A5498"/>
    <w:rsid w:val="004A54CB"/>
    <w:rsid w:val="004A5605"/>
    <w:rsid w:val="004A57C4"/>
    <w:rsid w:val="004A5959"/>
    <w:rsid w:val="004A59C8"/>
    <w:rsid w:val="004A5A15"/>
    <w:rsid w:val="004A5A63"/>
    <w:rsid w:val="004A5B5A"/>
    <w:rsid w:val="004A5B71"/>
    <w:rsid w:val="004A5D71"/>
    <w:rsid w:val="004A5EE4"/>
    <w:rsid w:val="004A629C"/>
    <w:rsid w:val="004A652C"/>
    <w:rsid w:val="004A656C"/>
    <w:rsid w:val="004A66DC"/>
    <w:rsid w:val="004A6DCA"/>
    <w:rsid w:val="004A6E78"/>
    <w:rsid w:val="004A6EB7"/>
    <w:rsid w:val="004A6ED7"/>
    <w:rsid w:val="004A6F30"/>
    <w:rsid w:val="004A70C8"/>
    <w:rsid w:val="004A789A"/>
    <w:rsid w:val="004A7AEA"/>
    <w:rsid w:val="004A7D15"/>
    <w:rsid w:val="004B009A"/>
    <w:rsid w:val="004B013C"/>
    <w:rsid w:val="004B01A7"/>
    <w:rsid w:val="004B04F7"/>
    <w:rsid w:val="004B0A5B"/>
    <w:rsid w:val="004B0C92"/>
    <w:rsid w:val="004B0E05"/>
    <w:rsid w:val="004B0F36"/>
    <w:rsid w:val="004B0F5F"/>
    <w:rsid w:val="004B117D"/>
    <w:rsid w:val="004B13D6"/>
    <w:rsid w:val="004B1498"/>
    <w:rsid w:val="004B15A2"/>
    <w:rsid w:val="004B1638"/>
    <w:rsid w:val="004B19B6"/>
    <w:rsid w:val="004B1B1A"/>
    <w:rsid w:val="004B1CF0"/>
    <w:rsid w:val="004B237F"/>
    <w:rsid w:val="004B290E"/>
    <w:rsid w:val="004B2A96"/>
    <w:rsid w:val="004B2B66"/>
    <w:rsid w:val="004B2C60"/>
    <w:rsid w:val="004B2ED4"/>
    <w:rsid w:val="004B2F9F"/>
    <w:rsid w:val="004B31C7"/>
    <w:rsid w:val="004B323B"/>
    <w:rsid w:val="004B32B1"/>
    <w:rsid w:val="004B3317"/>
    <w:rsid w:val="004B34C7"/>
    <w:rsid w:val="004B34EA"/>
    <w:rsid w:val="004B3533"/>
    <w:rsid w:val="004B35D8"/>
    <w:rsid w:val="004B3961"/>
    <w:rsid w:val="004B39B7"/>
    <w:rsid w:val="004B39F9"/>
    <w:rsid w:val="004B3ABB"/>
    <w:rsid w:val="004B4142"/>
    <w:rsid w:val="004B4636"/>
    <w:rsid w:val="004B47EF"/>
    <w:rsid w:val="004B4878"/>
    <w:rsid w:val="004B4A1D"/>
    <w:rsid w:val="004B4D7F"/>
    <w:rsid w:val="004B4F2B"/>
    <w:rsid w:val="004B4FDA"/>
    <w:rsid w:val="004B4FFD"/>
    <w:rsid w:val="004B5494"/>
    <w:rsid w:val="004B54B0"/>
    <w:rsid w:val="004B55A5"/>
    <w:rsid w:val="004B5833"/>
    <w:rsid w:val="004B58FD"/>
    <w:rsid w:val="004B5B47"/>
    <w:rsid w:val="004B61E9"/>
    <w:rsid w:val="004B6522"/>
    <w:rsid w:val="004B65BB"/>
    <w:rsid w:val="004B6941"/>
    <w:rsid w:val="004B699A"/>
    <w:rsid w:val="004B6A19"/>
    <w:rsid w:val="004B6C99"/>
    <w:rsid w:val="004B6D78"/>
    <w:rsid w:val="004B6E06"/>
    <w:rsid w:val="004B6ED5"/>
    <w:rsid w:val="004B70FB"/>
    <w:rsid w:val="004B7A34"/>
    <w:rsid w:val="004B7A9A"/>
    <w:rsid w:val="004B7ABB"/>
    <w:rsid w:val="004B7AFB"/>
    <w:rsid w:val="004B7E3E"/>
    <w:rsid w:val="004B7F06"/>
    <w:rsid w:val="004C0002"/>
    <w:rsid w:val="004C0032"/>
    <w:rsid w:val="004C00CC"/>
    <w:rsid w:val="004C06FF"/>
    <w:rsid w:val="004C08A9"/>
    <w:rsid w:val="004C0A5A"/>
    <w:rsid w:val="004C0AA6"/>
    <w:rsid w:val="004C0B6B"/>
    <w:rsid w:val="004C0DC6"/>
    <w:rsid w:val="004C0F58"/>
    <w:rsid w:val="004C105B"/>
    <w:rsid w:val="004C1072"/>
    <w:rsid w:val="004C1461"/>
    <w:rsid w:val="004C14FB"/>
    <w:rsid w:val="004C1565"/>
    <w:rsid w:val="004C1696"/>
    <w:rsid w:val="004C18FB"/>
    <w:rsid w:val="004C194D"/>
    <w:rsid w:val="004C1B6D"/>
    <w:rsid w:val="004C1D40"/>
    <w:rsid w:val="004C200F"/>
    <w:rsid w:val="004C213E"/>
    <w:rsid w:val="004C246D"/>
    <w:rsid w:val="004C2606"/>
    <w:rsid w:val="004C2626"/>
    <w:rsid w:val="004C26E5"/>
    <w:rsid w:val="004C2762"/>
    <w:rsid w:val="004C29AD"/>
    <w:rsid w:val="004C29EF"/>
    <w:rsid w:val="004C2C89"/>
    <w:rsid w:val="004C2D3F"/>
    <w:rsid w:val="004C2D93"/>
    <w:rsid w:val="004C2F5E"/>
    <w:rsid w:val="004C3052"/>
    <w:rsid w:val="004C3138"/>
    <w:rsid w:val="004C3383"/>
    <w:rsid w:val="004C34A2"/>
    <w:rsid w:val="004C35A0"/>
    <w:rsid w:val="004C35BE"/>
    <w:rsid w:val="004C3746"/>
    <w:rsid w:val="004C37FC"/>
    <w:rsid w:val="004C382B"/>
    <w:rsid w:val="004C39A0"/>
    <w:rsid w:val="004C3A55"/>
    <w:rsid w:val="004C3C06"/>
    <w:rsid w:val="004C3DB9"/>
    <w:rsid w:val="004C3EA8"/>
    <w:rsid w:val="004C4104"/>
    <w:rsid w:val="004C441D"/>
    <w:rsid w:val="004C4441"/>
    <w:rsid w:val="004C445D"/>
    <w:rsid w:val="004C4863"/>
    <w:rsid w:val="004C4A07"/>
    <w:rsid w:val="004C4B35"/>
    <w:rsid w:val="004C4E4B"/>
    <w:rsid w:val="004C521C"/>
    <w:rsid w:val="004C52AE"/>
    <w:rsid w:val="004C54C4"/>
    <w:rsid w:val="004C5606"/>
    <w:rsid w:val="004C5709"/>
    <w:rsid w:val="004C57A1"/>
    <w:rsid w:val="004C57EE"/>
    <w:rsid w:val="004C5869"/>
    <w:rsid w:val="004C5ADA"/>
    <w:rsid w:val="004C5AE4"/>
    <w:rsid w:val="004C5C85"/>
    <w:rsid w:val="004C5F4B"/>
    <w:rsid w:val="004C600A"/>
    <w:rsid w:val="004C6215"/>
    <w:rsid w:val="004C6346"/>
    <w:rsid w:val="004C65AA"/>
    <w:rsid w:val="004C6630"/>
    <w:rsid w:val="004C66C5"/>
    <w:rsid w:val="004C69F9"/>
    <w:rsid w:val="004C6E28"/>
    <w:rsid w:val="004C6E53"/>
    <w:rsid w:val="004C6E8A"/>
    <w:rsid w:val="004C6F9D"/>
    <w:rsid w:val="004C701A"/>
    <w:rsid w:val="004C715C"/>
    <w:rsid w:val="004C7175"/>
    <w:rsid w:val="004C7643"/>
    <w:rsid w:val="004C7B9D"/>
    <w:rsid w:val="004C7D3A"/>
    <w:rsid w:val="004C7E49"/>
    <w:rsid w:val="004C7EB8"/>
    <w:rsid w:val="004D01B6"/>
    <w:rsid w:val="004D01E6"/>
    <w:rsid w:val="004D0317"/>
    <w:rsid w:val="004D0405"/>
    <w:rsid w:val="004D0BAC"/>
    <w:rsid w:val="004D0D57"/>
    <w:rsid w:val="004D1047"/>
    <w:rsid w:val="004D1071"/>
    <w:rsid w:val="004D107B"/>
    <w:rsid w:val="004D126A"/>
    <w:rsid w:val="004D13CB"/>
    <w:rsid w:val="004D1555"/>
    <w:rsid w:val="004D1778"/>
    <w:rsid w:val="004D190B"/>
    <w:rsid w:val="004D1ACE"/>
    <w:rsid w:val="004D1BEA"/>
    <w:rsid w:val="004D1C91"/>
    <w:rsid w:val="004D1D4A"/>
    <w:rsid w:val="004D1E01"/>
    <w:rsid w:val="004D223C"/>
    <w:rsid w:val="004D2280"/>
    <w:rsid w:val="004D235A"/>
    <w:rsid w:val="004D2411"/>
    <w:rsid w:val="004D2513"/>
    <w:rsid w:val="004D2589"/>
    <w:rsid w:val="004D25C2"/>
    <w:rsid w:val="004D2704"/>
    <w:rsid w:val="004D2932"/>
    <w:rsid w:val="004D29A3"/>
    <w:rsid w:val="004D2CD3"/>
    <w:rsid w:val="004D2D39"/>
    <w:rsid w:val="004D2DCA"/>
    <w:rsid w:val="004D3002"/>
    <w:rsid w:val="004D3264"/>
    <w:rsid w:val="004D34DA"/>
    <w:rsid w:val="004D354C"/>
    <w:rsid w:val="004D3629"/>
    <w:rsid w:val="004D377D"/>
    <w:rsid w:val="004D37A3"/>
    <w:rsid w:val="004D3839"/>
    <w:rsid w:val="004D39B9"/>
    <w:rsid w:val="004D39D8"/>
    <w:rsid w:val="004D39E8"/>
    <w:rsid w:val="004D3AEA"/>
    <w:rsid w:val="004D3BFB"/>
    <w:rsid w:val="004D3CC4"/>
    <w:rsid w:val="004D3CF0"/>
    <w:rsid w:val="004D3DAE"/>
    <w:rsid w:val="004D3EDC"/>
    <w:rsid w:val="004D3EDD"/>
    <w:rsid w:val="004D4610"/>
    <w:rsid w:val="004D4845"/>
    <w:rsid w:val="004D4915"/>
    <w:rsid w:val="004D4985"/>
    <w:rsid w:val="004D49E6"/>
    <w:rsid w:val="004D4A4E"/>
    <w:rsid w:val="004D4AAD"/>
    <w:rsid w:val="004D4C7F"/>
    <w:rsid w:val="004D4D35"/>
    <w:rsid w:val="004D4DCD"/>
    <w:rsid w:val="004D50E9"/>
    <w:rsid w:val="004D5132"/>
    <w:rsid w:val="004D5221"/>
    <w:rsid w:val="004D5288"/>
    <w:rsid w:val="004D534E"/>
    <w:rsid w:val="004D53F0"/>
    <w:rsid w:val="004D585D"/>
    <w:rsid w:val="004D5BAA"/>
    <w:rsid w:val="004D5D11"/>
    <w:rsid w:val="004D5D46"/>
    <w:rsid w:val="004D605D"/>
    <w:rsid w:val="004D6293"/>
    <w:rsid w:val="004D648E"/>
    <w:rsid w:val="004D662B"/>
    <w:rsid w:val="004D6633"/>
    <w:rsid w:val="004D66C3"/>
    <w:rsid w:val="004D6896"/>
    <w:rsid w:val="004D6BDB"/>
    <w:rsid w:val="004D6C78"/>
    <w:rsid w:val="004D6E20"/>
    <w:rsid w:val="004D6EAF"/>
    <w:rsid w:val="004D70DE"/>
    <w:rsid w:val="004D71D6"/>
    <w:rsid w:val="004D7371"/>
    <w:rsid w:val="004D73EF"/>
    <w:rsid w:val="004D7616"/>
    <w:rsid w:val="004D78B7"/>
    <w:rsid w:val="004D7AC8"/>
    <w:rsid w:val="004D7AFC"/>
    <w:rsid w:val="004D7AFF"/>
    <w:rsid w:val="004D7C2F"/>
    <w:rsid w:val="004D7D71"/>
    <w:rsid w:val="004D7E3C"/>
    <w:rsid w:val="004D7E73"/>
    <w:rsid w:val="004E018B"/>
    <w:rsid w:val="004E0288"/>
    <w:rsid w:val="004E0445"/>
    <w:rsid w:val="004E0500"/>
    <w:rsid w:val="004E06BB"/>
    <w:rsid w:val="004E06DF"/>
    <w:rsid w:val="004E0A04"/>
    <w:rsid w:val="004E0A7F"/>
    <w:rsid w:val="004E0C03"/>
    <w:rsid w:val="004E13FC"/>
    <w:rsid w:val="004E1720"/>
    <w:rsid w:val="004E17B4"/>
    <w:rsid w:val="004E1CB4"/>
    <w:rsid w:val="004E206B"/>
    <w:rsid w:val="004E22F8"/>
    <w:rsid w:val="004E2341"/>
    <w:rsid w:val="004E23F6"/>
    <w:rsid w:val="004E2426"/>
    <w:rsid w:val="004E24B5"/>
    <w:rsid w:val="004E24F7"/>
    <w:rsid w:val="004E25E8"/>
    <w:rsid w:val="004E277A"/>
    <w:rsid w:val="004E2784"/>
    <w:rsid w:val="004E2898"/>
    <w:rsid w:val="004E2A4F"/>
    <w:rsid w:val="004E2B21"/>
    <w:rsid w:val="004E2C09"/>
    <w:rsid w:val="004E2CB0"/>
    <w:rsid w:val="004E2CCA"/>
    <w:rsid w:val="004E2F72"/>
    <w:rsid w:val="004E3242"/>
    <w:rsid w:val="004E33A5"/>
    <w:rsid w:val="004E33C1"/>
    <w:rsid w:val="004E3439"/>
    <w:rsid w:val="004E3532"/>
    <w:rsid w:val="004E3576"/>
    <w:rsid w:val="004E3619"/>
    <w:rsid w:val="004E3648"/>
    <w:rsid w:val="004E3678"/>
    <w:rsid w:val="004E36A6"/>
    <w:rsid w:val="004E378D"/>
    <w:rsid w:val="004E37D2"/>
    <w:rsid w:val="004E392B"/>
    <w:rsid w:val="004E3930"/>
    <w:rsid w:val="004E3979"/>
    <w:rsid w:val="004E39E5"/>
    <w:rsid w:val="004E3BA7"/>
    <w:rsid w:val="004E3CAB"/>
    <w:rsid w:val="004E3DB0"/>
    <w:rsid w:val="004E3F73"/>
    <w:rsid w:val="004E4047"/>
    <w:rsid w:val="004E410F"/>
    <w:rsid w:val="004E4342"/>
    <w:rsid w:val="004E436A"/>
    <w:rsid w:val="004E44C4"/>
    <w:rsid w:val="004E453C"/>
    <w:rsid w:val="004E468E"/>
    <w:rsid w:val="004E46C7"/>
    <w:rsid w:val="004E47F2"/>
    <w:rsid w:val="004E493D"/>
    <w:rsid w:val="004E4ADC"/>
    <w:rsid w:val="004E4BAD"/>
    <w:rsid w:val="004E5149"/>
    <w:rsid w:val="004E528A"/>
    <w:rsid w:val="004E52C8"/>
    <w:rsid w:val="004E537F"/>
    <w:rsid w:val="004E53CB"/>
    <w:rsid w:val="004E5473"/>
    <w:rsid w:val="004E595D"/>
    <w:rsid w:val="004E5A8C"/>
    <w:rsid w:val="004E5D1F"/>
    <w:rsid w:val="004E5D58"/>
    <w:rsid w:val="004E5F3A"/>
    <w:rsid w:val="004E614E"/>
    <w:rsid w:val="004E628C"/>
    <w:rsid w:val="004E6305"/>
    <w:rsid w:val="004E648A"/>
    <w:rsid w:val="004E66F8"/>
    <w:rsid w:val="004E6A9B"/>
    <w:rsid w:val="004E6B49"/>
    <w:rsid w:val="004E6BA2"/>
    <w:rsid w:val="004E6BA7"/>
    <w:rsid w:val="004E6E76"/>
    <w:rsid w:val="004E6E9D"/>
    <w:rsid w:val="004E6EFA"/>
    <w:rsid w:val="004E7457"/>
    <w:rsid w:val="004E752D"/>
    <w:rsid w:val="004E75C5"/>
    <w:rsid w:val="004E7616"/>
    <w:rsid w:val="004E77AA"/>
    <w:rsid w:val="004E77C7"/>
    <w:rsid w:val="004E783A"/>
    <w:rsid w:val="004E7A4C"/>
    <w:rsid w:val="004E7A6F"/>
    <w:rsid w:val="004E7C70"/>
    <w:rsid w:val="004E7D8A"/>
    <w:rsid w:val="004F003C"/>
    <w:rsid w:val="004F01AE"/>
    <w:rsid w:val="004F0209"/>
    <w:rsid w:val="004F02D4"/>
    <w:rsid w:val="004F02FF"/>
    <w:rsid w:val="004F0398"/>
    <w:rsid w:val="004F0469"/>
    <w:rsid w:val="004F08F4"/>
    <w:rsid w:val="004F0A3E"/>
    <w:rsid w:val="004F0FCF"/>
    <w:rsid w:val="004F177A"/>
    <w:rsid w:val="004F184B"/>
    <w:rsid w:val="004F186A"/>
    <w:rsid w:val="004F18BE"/>
    <w:rsid w:val="004F1937"/>
    <w:rsid w:val="004F19A2"/>
    <w:rsid w:val="004F19A7"/>
    <w:rsid w:val="004F1D8C"/>
    <w:rsid w:val="004F20AA"/>
    <w:rsid w:val="004F217F"/>
    <w:rsid w:val="004F22D6"/>
    <w:rsid w:val="004F2313"/>
    <w:rsid w:val="004F2331"/>
    <w:rsid w:val="004F26FA"/>
    <w:rsid w:val="004F2755"/>
    <w:rsid w:val="004F285F"/>
    <w:rsid w:val="004F2972"/>
    <w:rsid w:val="004F2CED"/>
    <w:rsid w:val="004F2D60"/>
    <w:rsid w:val="004F2D6A"/>
    <w:rsid w:val="004F2F49"/>
    <w:rsid w:val="004F2F71"/>
    <w:rsid w:val="004F3135"/>
    <w:rsid w:val="004F3324"/>
    <w:rsid w:val="004F36A9"/>
    <w:rsid w:val="004F3930"/>
    <w:rsid w:val="004F3A14"/>
    <w:rsid w:val="004F3A73"/>
    <w:rsid w:val="004F3AA7"/>
    <w:rsid w:val="004F3F1D"/>
    <w:rsid w:val="004F3FC2"/>
    <w:rsid w:val="004F41AB"/>
    <w:rsid w:val="004F42AB"/>
    <w:rsid w:val="004F43CC"/>
    <w:rsid w:val="004F4435"/>
    <w:rsid w:val="004F4669"/>
    <w:rsid w:val="004F4919"/>
    <w:rsid w:val="004F4AD6"/>
    <w:rsid w:val="004F4B2B"/>
    <w:rsid w:val="004F4BCE"/>
    <w:rsid w:val="004F4D05"/>
    <w:rsid w:val="004F4D4E"/>
    <w:rsid w:val="004F4EDC"/>
    <w:rsid w:val="004F4EF2"/>
    <w:rsid w:val="004F4FA9"/>
    <w:rsid w:val="004F52AE"/>
    <w:rsid w:val="004F54CC"/>
    <w:rsid w:val="004F567A"/>
    <w:rsid w:val="004F5732"/>
    <w:rsid w:val="004F577C"/>
    <w:rsid w:val="004F59E0"/>
    <w:rsid w:val="004F5A41"/>
    <w:rsid w:val="004F5B17"/>
    <w:rsid w:val="004F5B6D"/>
    <w:rsid w:val="004F5EA1"/>
    <w:rsid w:val="004F6194"/>
    <w:rsid w:val="004F61D6"/>
    <w:rsid w:val="004F6233"/>
    <w:rsid w:val="004F633B"/>
    <w:rsid w:val="004F63B4"/>
    <w:rsid w:val="004F6574"/>
    <w:rsid w:val="004F65E4"/>
    <w:rsid w:val="004F68C1"/>
    <w:rsid w:val="004F6AC2"/>
    <w:rsid w:val="004F6B25"/>
    <w:rsid w:val="004F6B68"/>
    <w:rsid w:val="004F6CF5"/>
    <w:rsid w:val="004F70AB"/>
    <w:rsid w:val="004F75A5"/>
    <w:rsid w:val="004F765B"/>
    <w:rsid w:val="004F799E"/>
    <w:rsid w:val="004F7AD2"/>
    <w:rsid w:val="004F7C80"/>
    <w:rsid w:val="004F7FBF"/>
    <w:rsid w:val="004F7FFB"/>
    <w:rsid w:val="004FCE51"/>
    <w:rsid w:val="00500206"/>
    <w:rsid w:val="005002C8"/>
    <w:rsid w:val="00500457"/>
    <w:rsid w:val="00500599"/>
    <w:rsid w:val="005005BF"/>
    <w:rsid w:val="0050069A"/>
    <w:rsid w:val="005006C2"/>
    <w:rsid w:val="00500714"/>
    <w:rsid w:val="0050086B"/>
    <w:rsid w:val="00500873"/>
    <w:rsid w:val="00500A03"/>
    <w:rsid w:val="00500B92"/>
    <w:rsid w:val="00500BA9"/>
    <w:rsid w:val="00500C7C"/>
    <w:rsid w:val="00500DA4"/>
    <w:rsid w:val="00500F64"/>
    <w:rsid w:val="00500FCB"/>
    <w:rsid w:val="0050136C"/>
    <w:rsid w:val="005015AF"/>
    <w:rsid w:val="005015B6"/>
    <w:rsid w:val="0050161E"/>
    <w:rsid w:val="00501726"/>
    <w:rsid w:val="005018A8"/>
    <w:rsid w:val="00501962"/>
    <w:rsid w:val="00501B28"/>
    <w:rsid w:val="005025C3"/>
    <w:rsid w:val="005029BB"/>
    <w:rsid w:val="00502A0A"/>
    <w:rsid w:val="00502C90"/>
    <w:rsid w:val="00502CCF"/>
    <w:rsid w:val="00502E6B"/>
    <w:rsid w:val="00502EAB"/>
    <w:rsid w:val="00503419"/>
    <w:rsid w:val="00503D5C"/>
    <w:rsid w:val="00503E38"/>
    <w:rsid w:val="00503EC0"/>
    <w:rsid w:val="00503F5C"/>
    <w:rsid w:val="0050478C"/>
    <w:rsid w:val="0050491E"/>
    <w:rsid w:val="00504AD2"/>
    <w:rsid w:val="00504D32"/>
    <w:rsid w:val="00504E7C"/>
    <w:rsid w:val="00504FC7"/>
    <w:rsid w:val="00505028"/>
    <w:rsid w:val="00505045"/>
    <w:rsid w:val="0050513E"/>
    <w:rsid w:val="005053D1"/>
    <w:rsid w:val="00505418"/>
    <w:rsid w:val="0050542E"/>
    <w:rsid w:val="005055D7"/>
    <w:rsid w:val="005055E0"/>
    <w:rsid w:val="0050567E"/>
    <w:rsid w:val="00505761"/>
    <w:rsid w:val="00505796"/>
    <w:rsid w:val="00505A39"/>
    <w:rsid w:val="00505A85"/>
    <w:rsid w:val="00505AAF"/>
    <w:rsid w:val="00505DC7"/>
    <w:rsid w:val="00505F5C"/>
    <w:rsid w:val="005063F0"/>
    <w:rsid w:val="005066CA"/>
    <w:rsid w:val="00506735"/>
    <w:rsid w:val="00506766"/>
    <w:rsid w:val="00506785"/>
    <w:rsid w:val="005067AE"/>
    <w:rsid w:val="005067FB"/>
    <w:rsid w:val="0050689F"/>
    <w:rsid w:val="00506B03"/>
    <w:rsid w:val="00506BC1"/>
    <w:rsid w:val="00506BFA"/>
    <w:rsid w:val="00506D93"/>
    <w:rsid w:val="00506F28"/>
    <w:rsid w:val="005071B7"/>
    <w:rsid w:val="00507494"/>
    <w:rsid w:val="00507605"/>
    <w:rsid w:val="00507610"/>
    <w:rsid w:val="005078B4"/>
    <w:rsid w:val="005078BD"/>
    <w:rsid w:val="00507C70"/>
    <w:rsid w:val="00507DB1"/>
    <w:rsid w:val="00507F2D"/>
    <w:rsid w:val="00507FE9"/>
    <w:rsid w:val="005101FF"/>
    <w:rsid w:val="0051041C"/>
    <w:rsid w:val="00510719"/>
    <w:rsid w:val="005107BE"/>
    <w:rsid w:val="005108CA"/>
    <w:rsid w:val="0051097B"/>
    <w:rsid w:val="00510BC6"/>
    <w:rsid w:val="00510C05"/>
    <w:rsid w:val="00510C28"/>
    <w:rsid w:val="00510C2A"/>
    <w:rsid w:val="00510C44"/>
    <w:rsid w:val="00511152"/>
    <w:rsid w:val="00511275"/>
    <w:rsid w:val="005112F7"/>
    <w:rsid w:val="005116AC"/>
    <w:rsid w:val="0051182E"/>
    <w:rsid w:val="00511AC8"/>
    <w:rsid w:val="00511CCA"/>
    <w:rsid w:val="00511DA6"/>
    <w:rsid w:val="00511E50"/>
    <w:rsid w:val="005121B5"/>
    <w:rsid w:val="0051247B"/>
    <w:rsid w:val="005124A6"/>
    <w:rsid w:val="005126B8"/>
    <w:rsid w:val="005127E5"/>
    <w:rsid w:val="00512810"/>
    <w:rsid w:val="00512899"/>
    <w:rsid w:val="005128B8"/>
    <w:rsid w:val="005128F2"/>
    <w:rsid w:val="00512919"/>
    <w:rsid w:val="005129F3"/>
    <w:rsid w:val="00512B7A"/>
    <w:rsid w:val="00512EEE"/>
    <w:rsid w:val="00513491"/>
    <w:rsid w:val="00513694"/>
    <w:rsid w:val="00513698"/>
    <w:rsid w:val="005136B3"/>
    <w:rsid w:val="00513843"/>
    <w:rsid w:val="005138DF"/>
    <w:rsid w:val="0051396A"/>
    <w:rsid w:val="005139D1"/>
    <w:rsid w:val="005139E9"/>
    <w:rsid w:val="00513A92"/>
    <w:rsid w:val="00513B3F"/>
    <w:rsid w:val="00513B94"/>
    <w:rsid w:val="00513BBA"/>
    <w:rsid w:val="00513C41"/>
    <w:rsid w:val="00513F5C"/>
    <w:rsid w:val="00514006"/>
    <w:rsid w:val="005140FD"/>
    <w:rsid w:val="00514139"/>
    <w:rsid w:val="0051418F"/>
    <w:rsid w:val="00514389"/>
    <w:rsid w:val="0051449D"/>
    <w:rsid w:val="0051449E"/>
    <w:rsid w:val="005146F6"/>
    <w:rsid w:val="0051479B"/>
    <w:rsid w:val="005147B1"/>
    <w:rsid w:val="00514A4E"/>
    <w:rsid w:val="00514A97"/>
    <w:rsid w:val="00514D5D"/>
    <w:rsid w:val="00514EBC"/>
    <w:rsid w:val="00514FA0"/>
    <w:rsid w:val="005150C2"/>
    <w:rsid w:val="00515328"/>
    <w:rsid w:val="00515801"/>
    <w:rsid w:val="00515B94"/>
    <w:rsid w:val="00515BF9"/>
    <w:rsid w:val="005160C8"/>
    <w:rsid w:val="00516185"/>
    <w:rsid w:val="005161CE"/>
    <w:rsid w:val="005163C8"/>
    <w:rsid w:val="0051642C"/>
    <w:rsid w:val="0051646B"/>
    <w:rsid w:val="005166D5"/>
    <w:rsid w:val="005166DA"/>
    <w:rsid w:val="005166FB"/>
    <w:rsid w:val="005167F4"/>
    <w:rsid w:val="00516C37"/>
    <w:rsid w:val="005170BF"/>
    <w:rsid w:val="005170FE"/>
    <w:rsid w:val="005172EB"/>
    <w:rsid w:val="00517328"/>
    <w:rsid w:val="0051749A"/>
    <w:rsid w:val="0051758C"/>
    <w:rsid w:val="00517668"/>
    <w:rsid w:val="005177D6"/>
    <w:rsid w:val="00517E5F"/>
    <w:rsid w:val="00520139"/>
    <w:rsid w:val="0052020C"/>
    <w:rsid w:val="005202C6"/>
    <w:rsid w:val="0052039A"/>
    <w:rsid w:val="005203FB"/>
    <w:rsid w:val="00520936"/>
    <w:rsid w:val="00520D1A"/>
    <w:rsid w:val="00520EB4"/>
    <w:rsid w:val="00520ECA"/>
    <w:rsid w:val="00520F28"/>
    <w:rsid w:val="0052109A"/>
    <w:rsid w:val="00521199"/>
    <w:rsid w:val="005213A3"/>
    <w:rsid w:val="005214E8"/>
    <w:rsid w:val="00521876"/>
    <w:rsid w:val="00521900"/>
    <w:rsid w:val="00521A78"/>
    <w:rsid w:val="00521E2C"/>
    <w:rsid w:val="00521F0A"/>
    <w:rsid w:val="00521F76"/>
    <w:rsid w:val="00521FB5"/>
    <w:rsid w:val="005221A3"/>
    <w:rsid w:val="005222CB"/>
    <w:rsid w:val="005222DF"/>
    <w:rsid w:val="00522307"/>
    <w:rsid w:val="0052233D"/>
    <w:rsid w:val="00522429"/>
    <w:rsid w:val="0052258D"/>
    <w:rsid w:val="00522669"/>
    <w:rsid w:val="0052272C"/>
    <w:rsid w:val="005227E3"/>
    <w:rsid w:val="00522C0D"/>
    <w:rsid w:val="00522C5A"/>
    <w:rsid w:val="00522D84"/>
    <w:rsid w:val="00522DD9"/>
    <w:rsid w:val="00522EFC"/>
    <w:rsid w:val="0052329F"/>
    <w:rsid w:val="005233D6"/>
    <w:rsid w:val="00523630"/>
    <w:rsid w:val="0052394F"/>
    <w:rsid w:val="00523A22"/>
    <w:rsid w:val="00523CC0"/>
    <w:rsid w:val="00523FF2"/>
    <w:rsid w:val="005240A2"/>
    <w:rsid w:val="005240BF"/>
    <w:rsid w:val="005245FC"/>
    <w:rsid w:val="0052461C"/>
    <w:rsid w:val="00524837"/>
    <w:rsid w:val="00524AB5"/>
    <w:rsid w:val="00524AF2"/>
    <w:rsid w:val="00524B8E"/>
    <w:rsid w:val="00524EE1"/>
    <w:rsid w:val="005251AB"/>
    <w:rsid w:val="00525310"/>
    <w:rsid w:val="005253CB"/>
    <w:rsid w:val="005253DE"/>
    <w:rsid w:val="0052573F"/>
    <w:rsid w:val="005259CF"/>
    <w:rsid w:val="00525AFA"/>
    <w:rsid w:val="0052607D"/>
    <w:rsid w:val="00526410"/>
    <w:rsid w:val="00526751"/>
    <w:rsid w:val="00526898"/>
    <w:rsid w:val="00526A3A"/>
    <w:rsid w:val="00526A60"/>
    <w:rsid w:val="00526B52"/>
    <w:rsid w:val="00526DCF"/>
    <w:rsid w:val="005272C3"/>
    <w:rsid w:val="00527499"/>
    <w:rsid w:val="00527727"/>
    <w:rsid w:val="0052773C"/>
    <w:rsid w:val="00527B57"/>
    <w:rsid w:val="00527C30"/>
    <w:rsid w:val="00527C39"/>
    <w:rsid w:val="00527DAB"/>
    <w:rsid w:val="005300B3"/>
    <w:rsid w:val="00530435"/>
    <w:rsid w:val="005304BF"/>
    <w:rsid w:val="005305D1"/>
    <w:rsid w:val="0053069A"/>
    <w:rsid w:val="00530793"/>
    <w:rsid w:val="00530A1B"/>
    <w:rsid w:val="00530A67"/>
    <w:rsid w:val="00530F41"/>
    <w:rsid w:val="00530F62"/>
    <w:rsid w:val="00530FBA"/>
    <w:rsid w:val="00531101"/>
    <w:rsid w:val="00531435"/>
    <w:rsid w:val="005315DE"/>
    <w:rsid w:val="0053180E"/>
    <w:rsid w:val="00531864"/>
    <w:rsid w:val="00531963"/>
    <w:rsid w:val="00531A19"/>
    <w:rsid w:val="00531BD4"/>
    <w:rsid w:val="00531D3E"/>
    <w:rsid w:val="00531DC5"/>
    <w:rsid w:val="005322FA"/>
    <w:rsid w:val="00532418"/>
    <w:rsid w:val="0053245A"/>
    <w:rsid w:val="0053249E"/>
    <w:rsid w:val="005324AE"/>
    <w:rsid w:val="0053250C"/>
    <w:rsid w:val="005326CA"/>
    <w:rsid w:val="0053295E"/>
    <w:rsid w:val="00532AFD"/>
    <w:rsid w:val="00532C2C"/>
    <w:rsid w:val="00532DD9"/>
    <w:rsid w:val="0053300B"/>
    <w:rsid w:val="005330A3"/>
    <w:rsid w:val="0053313B"/>
    <w:rsid w:val="005333AF"/>
    <w:rsid w:val="005334A8"/>
    <w:rsid w:val="005334E5"/>
    <w:rsid w:val="005336A6"/>
    <w:rsid w:val="00533B67"/>
    <w:rsid w:val="00533E38"/>
    <w:rsid w:val="005340BB"/>
    <w:rsid w:val="0053415F"/>
    <w:rsid w:val="0053457C"/>
    <w:rsid w:val="0053459F"/>
    <w:rsid w:val="005345B8"/>
    <w:rsid w:val="005349C8"/>
    <w:rsid w:val="00534AD6"/>
    <w:rsid w:val="00534BEF"/>
    <w:rsid w:val="00534D23"/>
    <w:rsid w:val="00534DDD"/>
    <w:rsid w:val="00535038"/>
    <w:rsid w:val="00535170"/>
    <w:rsid w:val="0053521B"/>
    <w:rsid w:val="0053532D"/>
    <w:rsid w:val="005353B0"/>
    <w:rsid w:val="005355E8"/>
    <w:rsid w:val="00535B12"/>
    <w:rsid w:val="00535D05"/>
    <w:rsid w:val="00535DDB"/>
    <w:rsid w:val="00535E48"/>
    <w:rsid w:val="00535F30"/>
    <w:rsid w:val="00535FA4"/>
    <w:rsid w:val="005361AB"/>
    <w:rsid w:val="005362DD"/>
    <w:rsid w:val="00536364"/>
    <w:rsid w:val="005364CA"/>
    <w:rsid w:val="00536784"/>
    <w:rsid w:val="00536915"/>
    <w:rsid w:val="00536A80"/>
    <w:rsid w:val="00536B28"/>
    <w:rsid w:val="00536B9E"/>
    <w:rsid w:val="00536BEF"/>
    <w:rsid w:val="00536E21"/>
    <w:rsid w:val="00536E89"/>
    <w:rsid w:val="00536F02"/>
    <w:rsid w:val="00537092"/>
    <w:rsid w:val="005371C0"/>
    <w:rsid w:val="0053734B"/>
    <w:rsid w:val="005376A2"/>
    <w:rsid w:val="00537838"/>
    <w:rsid w:val="00537CAB"/>
    <w:rsid w:val="00537FF5"/>
    <w:rsid w:val="005400FA"/>
    <w:rsid w:val="00540166"/>
    <w:rsid w:val="005402D1"/>
    <w:rsid w:val="0054048B"/>
    <w:rsid w:val="00540641"/>
    <w:rsid w:val="00540666"/>
    <w:rsid w:val="005407E3"/>
    <w:rsid w:val="0054085F"/>
    <w:rsid w:val="0054089D"/>
    <w:rsid w:val="0054098A"/>
    <w:rsid w:val="00540992"/>
    <w:rsid w:val="005409A0"/>
    <w:rsid w:val="005409F1"/>
    <w:rsid w:val="00540CA6"/>
    <w:rsid w:val="00540D15"/>
    <w:rsid w:val="00540DF8"/>
    <w:rsid w:val="00540EA7"/>
    <w:rsid w:val="005412F2"/>
    <w:rsid w:val="00541687"/>
    <w:rsid w:val="0054169A"/>
    <w:rsid w:val="005416F3"/>
    <w:rsid w:val="005418F0"/>
    <w:rsid w:val="00541930"/>
    <w:rsid w:val="00541A32"/>
    <w:rsid w:val="00541ABB"/>
    <w:rsid w:val="00541DAB"/>
    <w:rsid w:val="00541E98"/>
    <w:rsid w:val="0054233B"/>
    <w:rsid w:val="0054247B"/>
    <w:rsid w:val="0054248F"/>
    <w:rsid w:val="005425E4"/>
    <w:rsid w:val="00542601"/>
    <w:rsid w:val="00542637"/>
    <w:rsid w:val="005427F4"/>
    <w:rsid w:val="005428EE"/>
    <w:rsid w:val="00542A71"/>
    <w:rsid w:val="00542B44"/>
    <w:rsid w:val="00542BC0"/>
    <w:rsid w:val="00542D0C"/>
    <w:rsid w:val="00542EBD"/>
    <w:rsid w:val="00542F0E"/>
    <w:rsid w:val="00542F63"/>
    <w:rsid w:val="00542FC7"/>
    <w:rsid w:val="0054300F"/>
    <w:rsid w:val="00543011"/>
    <w:rsid w:val="0054340C"/>
    <w:rsid w:val="00543486"/>
    <w:rsid w:val="005434C4"/>
    <w:rsid w:val="00543563"/>
    <w:rsid w:val="005435FC"/>
    <w:rsid w:val="00543CB3"/>
    <w:rsid w:val="00543DCF"/>
    <w:rsid w:val="00543E69"/>
    <w:rsid w:val="0054415D"/>
    <w:rsid w:val="005441C8"/>
    <w:rsid w:val="0054425E"/>
    <w:rsid w:val="005443AE"/>
    <w:rsid w:val="005443FB"/>
    <w:rsid w:val="00544554"/>
    <w:rsid w:val="00544717"/>
    <w:rsid w:val="00544753"/>
    <w:rsid w:val="00544794"/>
    <w:rsid w:val="00544D3B"/>
    <w:rsid w:val="00544D57"/>
    <w:rsid w:val="00544EC6"/>
    <w:rsid w:val="00545068"/>
    <w:rsid w:val="0054514B"/>
    <w:rsid w:val="005451DA"/>
    <w:rsid w:val="005451E0"/>
    <w:rsid w:val="005455C5"/>
    <w:rsid w:val="005456AF"/>
    <w:rsid w:val="005459C5"/>
    <w:rsid w:val="00545B2B"/>
    <w:rsid w:val="00545B59"/>
    <w:rsid w:val="00545E55"/>
    <w:rsid w:val="00545E67"/>
    <w:rsid w:val="00546277"/>
    <w:rsid w:val="00546318"/>
    <w:rsid w:val="00546394"/>
    <w:rsid w:val="005463B6"/>
    <w:rsid w:val="00546433"/>
    <w:rsid w:val="00546608"/>
    <w:rsid w:val="005466EF"/>
    <w:rsid w:val="00546A6D"/>
    <w:rsid w:val="00546FB9"/>
    <w:rsid w:val="005477B9"/>
    <w:rsid w:val="00547886"/>
    <w:rsid w:val="005478C5"/>
    <w:rsid w:val="005479C6"/>
    <w:rsid w:val="00547AD5"/>
    <w:rsid w:val="00547D10"/>
    <w:rsid w:val="005500CA"/>
    <w:rsid w:val="005500FA"/>
    <w:rsid w:val="005501F5"/>
    <w:rsid w:val="00550312"/>
    <w:rsid w:val="0055031B"/>
    <w:rsid w:val="0055032F"/>
    <w:rsid w:val="005505E9"/>
    <w:rsid w:val="00550769"/>
    <w:rsid w:val="00550773"/>
    <w:rsid w:val="00550A4C"/>
    <w:rsid w:val="00550B01"/>
    <w:rsid w:val="00550DF9"/>
    <w:rsid w:val="00550E21"/>
    <w:rsid w:val="0055109E"/>
    <w:rsid w:val="0055124B"/>
    <w:rsid w:val="0055145A"/>
    <w:rsid w:val="00551503"/>
    <w:rsid w:val="00551677"/>
    <w:rsid w:val="00551A59"/>
    <w:rsid w:val="00551A8A"/>
    <w:rsid w:val="00551B5E"/>
    <w:rsid w:val="00551C13"/>
    <w:rsid w:val="00551CFB"/>
    <w:rsid w:val="00551D69"/>
    <w:rsid w:val="00551DAB"/>
    <w:rsid w:val="00551EAA"/>
    <w:rsid w:val="00551FBE"/>
    <w:rsid w:val="005521A2"/>
    <w:rsid w:val="00552494"/>
    <w:rsid w:val="0055257C"/>
    <w:rsid w:val="00552698"/>
    <w:rsid w:val="00552A78"/>
    <w:rsid w:val="00552B1D"/>
    <w:rsid w:val="00552B9E"/>
    <w:rsid w:val="00552BEA"/>
    <w:rsid w:val="00552BF9"/>
    <w:rsid w:val="00553083"/>
    <w:rsid w:val="005530BA"/>
    <w:rsid w:val="005534D8"/>
    <w:rsid w:val="0055351E"/>
    <w:rsid w:val="00553738"/>
    <w:rsid w:val="0055385A"/>
    <w:rsid w:val="00553863"/>
    <w:rsid w:val="00553878"/>
    <w:rsid w:val="0055388C"/>
    <w:rsid w:val="005538AA"/>
    <w:rsid w:val="005539D0"/>
    <w:rsid w:val="00553A02"/>
    <w:rsid w:val="00553F8A"/>
    <w:rsid w:val="00554295"/>
    <w:rsid w:val="00554422"/>
    <w:rsid w:val="005544E9"/>
    <w:rsid w:val="0055463C"/>
    <w:rsid w:val="00554706"/>
    <w:rsid w:val="005547CC"/>
    <w:rsid w:val="005548DB"/>
    <w:rsid w:val="00554942"/>
    <w:rsid w:val="00554948"/>
    <w:rsid w:val="00554AAC"/>
    <w:rsid w:val="00554BE2"/>
    <w:rsid w:val="00554E46"/>
    <w:rsid w:val="00555247"/>
    <w:rsid w:val="0055527A"/>
    <w:rsid w:val="005552EB"/>
    <w:rsid w:val="00555384"/>
    <w:rsid w:val="0055594B"/>
    <w:rsid w:val="00555CF6"/>
    <w:rsid w:val="00555D70"/>
    <w:rsid w:val="00556235"/>
    <w:rsid w:val="005564C4"/>
    <w:rsid w:val="005564F7"/>
    <w:rsid w:val="00556649"/>
    <w:rsid w:val="00556756"/>
    <w:rsid w:val="00556778"/>
    <w:rsid w:val="00556A4D"/>
    <w:rsid w:val="00556DE8"/>
    <w:rsid w:val="0055716E"/>
    <w:rsid w:val="0055717A"/>
    <w:rsid w:val="00557255"/>
    <w:rsid w:val="00557426"/>
    <w:rsid w:val="00557488"/>
    <w:rsid w:val="00557695"/>
    <w:rsid w:val="00557D0B"/>
    <w:rsid w:val="00557DD3"/>
    <w:rsid w:val="00557E8E"/>
    <w:rsid w:val="00557F80"/>
    <w:rsid w:val="0055A796"/>
    <w:rsid w:val="00560070"/>
    <w:rsid w:val="00560201"/>
    <w:rsid w:val="0056021F"/>
    <w:rsid w:val="00560351"/>
    <w:rsid w:val="00560506"/>
    <w:rsid w:val="00560600"/>
    <w:rsid w:val="005608AA"/>
    <w:rsid w:val="00560980"/>
    <w:rsid w:val="00560B4D"/>
    <w:rsid w:val="00560E32"/>
    <w:rsid w:val="00560F36"/>
    <w:rsid w:val="00560FB0"/>
    <w:rsid w:val="0056104A"/>
    <w:rsid w:val="0056105A"/>
    <w:rsid w:val="00561219"/>
    <w:rsid w:val="00561388"/>
    <w:rsid w:val="00561463"/>
    <w:rsid w:val="005615F9"/>
    <w:rsid w:val="00561892"/>
    <w:rsid w:val="00561A18"/>
    <w:rsid w:val="00561A91"/>
    <w:rsid w:val="00561D78"/>
    <w:rsid w:val="00561DFA"/>
    <w:rsid w:val="00561F0D"/>
    <w:rsid w:val="00562582"/>
    <w:rsid w:val="005625AB"/>
    <w:rsid w:val="005627C3"/>
    <w:rsid w:val="00562B3C"/>
    <w:rsid w:val="00563173"/>
    <w:rsid w:val="005633E9"/>
    <w:rsid w:val="005637D0"/>
    <w:rsid w:val="00563965"/>
    <w:rsid w:val="0056398F"/>
    <w:rsid w:val="00563CB6"/>
    <w:rsid w:val="00563E1E"/>
    <w:rsid w:val="00563FAE"/>
    <w:rsid w:val="00564145"/>
    <w:rsid w:val="00564385"/>
    <w:rsid w:val="00564486"/>
    <w:rsid w:val="00564E05"/>
    <w:rsid w:val="00564F40"/>
    <w:rsid w:val="005650DC"/>
    <w:rsid w:val="005650F3"/>
    <w:rsid w:val="00565246"/>
    <w:rsid w:val="005652AF"/>
    <w:rsid w:val="005653C6"/>
    <w:rsid w:val="00565CC8"/>
    <w:rsid w:val="0056626A"/>
    <w:rsid w:val="00566541"/>
    <w:rsid w:val="00566608"/>
    <w:rsid w:val="0056668F"/>
    <w:rsid w:val="0056681F"/>
    <w:rsid w:val="00566879"/>
    <w:rsid w:val="00566900"/>
    <w:rsid w:val="00566911"/>
    <w:rsid w:val="00566971"/>
    <w:rsid w:val="00566B02"/>
    <w:rsid w:val="00566BE9"/>
    <w:rsid w:val="00566CE9"/>
    <w:rsid w:val="005670E0"/>
    <w:rsid w:val="00567287"/>
    <w:rsid w:val="00567383"/>
    <w:rsid w:val="00567633"/>
    <w:rsid w:val="005676D0"/>
    <w:rsid w:val="005677FC"/>
    <w:rsid w:val="005679A1"/>
    <w:rsid w:val="00567A2A"/>
    <w:rsid w:val="00567C99"/>
    <w:rsid w:val="00567D7E"/>
    <w:rsid w:val="00567D8C"/>
    <w:rsid w:val="00567FF2"/>
    <w:rsid w:val="00570101"/>
    <w:rsid w:val="005704DB"/>
    <w:rsid w:val="00570511"/>
    <w:rsid w:val="0057063D"/>
    <w:rsid w:val="005706D0"/>
    <w:rsid w:val="00570C17"/>
    <w:rsid w:val="00570CFC"/>
    <w:rsid w:val="00570ED3"/>
    <w:rsid w:val="00570EFE"/>
    <w:rsid w:val="005714FC"/>
    <w:rsid w:val="0057167B"/>
    <w:rsid w:val="0057171F"/>
    <w:rsid w:val="005718E3"/>
    <w:rsid w:val="005719EE"/>
    <w:rsid w:val="00571C76"/>
    <w:rsid w:val="00571D00"/>
    <w:rsid w:val="00571F85"/>
    <w:rsid w:val="005720D3"/>
    <w:rsid w:val="00572139"/>
    <w:rsid w:val="005721CD"/>
    <w:rsid w:val="00572876"/>
    <w:rsid w:val="00572A0A"/>
    <w:rsid w:val="00572B0D"/>
    <w:rsid w:val="00572BEC"/>
    <w:rsid w:val="00572C8D"/>
    <w:rsid w:val="00572CE3"/>
    <w:rsid w:val="00572D98"/>
    <w:rsid w:val="00572E5D"/>
    <w:rsid w:val="00572F40"/>
    <w:rsid w:val="00572F6F"/>
    <w:rsid w:val="00572FA4"/>
    <w:rsid w:val="00572FC4"/>
    <w:rsid w:val="00573247"/>
    <w:rsid w:val="005733A6"/>
    <w:rsid w:val="00573617"/>
    <w:rsid w:val="005736E9"/>
    <w:rsid w:val="005736EE"/>
    <w:rsid w:val="00573747"/>
    <w:rsid w:val="0057389B"/>
    <w:rsid w:val="00573B6E"/>
    <w:rsid w:val="00573BDA"/>
    <w:rsid w:val="00573CAE"/>
    <w:rsid w:val="00573F0E"/>
    <w:rsid w:val="00574058"/>
    <w:rsid w:val="00574087"/>
    <w:rsid w:val="005742B3"/>
    <w:rsid w:val="00574542"/>
    <w:rsid w:val="00574768"/>
    <w:rsid w:val="005747C8"/>
    <w:rsid w:val="005748F0"/>
    <w:rsid w:val="0057492A"/>
    <w:rsid w:val="00574973"/>
    <w:rsid w:val="005749C6"/>
    <w:rsid w:val="00575085"/>
    <w:rsid w:val="0057514E"/>
    <w:rsid w:val="00575933"/>
    <w:rsid w:val="005759BF"/>
    <w:rsid w:val="00575A3E"/>
    <w:rsid w:val="00575BA4"/>
    <w:rsid w:val="00575C72"/>
    <w:rsid w:val="00575FA2"/>
    <w:rsid w:val="00575FBD"/>
    <w:rsid w:val="00575FF3"/>
    <w:rsid w:val="0057605F"/>
    <w:rsid w:val="005762B2"/>
    <w:rsid w:val="00576397"/>
    <w:rsid w:val="005764B5"/>
    <w:rsid w:val="00576614"/>
    <w:rsid w:val="005766E9"/>
    <w:rsid w:val="00576785"/>
    <w:rsid w:val="00576938"/>
    <w:rsid w:val="00576981"/>
    <w:rsid w:val="005769CE"/>
    <w:rsid w:val="00576ACF"/>
    <w:rsid w:val="00576AF7"/>
    <w:rsid w:val="00576B2B"/>
    <w:rsid w:val="00576B35"/>
    <w:rsid w:val="00576C83"/>
    <w:rsid w:val="00576E7C"/>
    <w:rsid w:val="00576F03"/>
    <w:rsid w:val="00576F69"/>
    <w:rsid w:val="00577269"/>
    <w:rsid w:val="00577381"/>
    <w:rsid w:val="005773AD"/>
    <w:rsid w:val="0057743C"/>
    <w:rsid w:val="005775FA"/>
    <w:rsid w:val="00577DCF"/>
    <w:rsid w:val="0058043B"/>
    <w:rsid w:val="005805E2"/>
    <w:rsid w:val="005809D7"/>
    <w:rsid w:val="00580BDF"/>
    <w:rsid w:val="00580F34"/>
    <w:rsid w:val="00580F95"/>
    <w:rsid w:val="005810B3"/>
    <w:rsid w:val="0058113F"/>
    <w:rsid w:val="00581292"/>
    <w:rsid w:val="005813B5"/>
    <w:rsid w:val="00581420"/>
    <w:rsid w:val="00581831"/>
    <w:rsid w:val="00581AB1"/>
    <w:rsid w:val="00581F69"/>
    <w:rsid w:val="0058206C"/>
    <w:rsid w:val="005820FF"/>
    <w:rsid w:val="005822C7"/>
    <w:rsid w:val="005822EC"/>
    <w:rsid w:val="00582493"/>
    <w:rsid w:val="005827C4"/>
    <w:rsid w:val="00582991"/>
    <w:rsid w:val="00582AA4"/>
    <w:rsid w:val="00582D06"/>
    <w:rsid w:val="00582D47"/>
    <w:rsid w:val="00582FFB"/>
    <w:rsid w:val="00583180"/>
    <w:rsid w:val="005831DD"/>
    <w:rsid w:val="005834C6"/>
    <w:rsid w:val="00583B35"/>
    <w:rsid w:val="00583E33"/>
    <w:rsid w:val="00583E4E"/>
    <w:rsid w:val="00583E9C"/>
    <w:rsid w:val="00583FC8"/>
    <w:rsid w:val="0058436F"/>
    <w:rsid w:val="005844DF"/>
    <w:rsid w:val="0058452F"/>
    <w:rsid w:val="00584580"/>
    <w:rsid w:val="005847A8"/>
    <w:rsid w:val="005847ED"/>
    <w:rsid w:val="00584A03"/>
    <w:rsid w:val="00584ABD"/>
    <w:rsid w:val="00584B13"/>
    <w:rsid w:val="00584BEF"/>
    <w:rsid w:val="00584CB0"/>
    <w:rsid w:val="00584D21"/>
    <w:rsid w:val="0058508E"/>
    <w:rsid w:val="00585290"/>
    <w:rsid w:val="0058532A"/>
    <w:rsid w:val="00585390"/>
    <w:rsid w:val="0058574E"/>
    <w:rsid w:val="00585931"/>
    <w:rsid w:val="00585989"/>
    <w:rsid w:val="00585B33"/>
    <w:rsid w:val="00585C29"/>
    <w:rsid w:val="00585D69"/>
    <w:rsid w:val="00585DC1"/>
    <w:rsid w:val="00585E95"/>
    <w:rsid w:val="0058603A"/>
    <w:rsid w:val="0058608A"/>
    <w:rsid w:val="00586169"/>
    <w:rsid w:val="0058617D"/>
    <w:rsid w:val="0058618D"/>
    <w:rsid w:val="005863BD"/>
    <w:rsid w:val="00586410"/>
    <w:rsid w:val="00586474"/>
    <w:rsid w:val="00586669"/>
    <w:rsid w:val="005867AC"/>
    <w:rsid w:val="00586932"/>
    <w:rsid w:val="005869C5"/>
    <w:rsid w:val="00586A9E"/>
    <w:rsid w:val="00586B78"/>
    <w:rsid w:val="00586C75"/>
    <w:rsid w:val="00586D4C"/>
    <w:rsid w:val="00586DB6"/>
    <w:rsid w:val="00586F7C"/>
    <w:rsid w:val="005870E7"/>
    <w:rsid w:val="00587210"/>
    <w:rsid w:val="00587407"/>
    <w:rsid w:val="00587471"/>
    <w:rsid w:val="0058752B"/>
    <w:rsid w:val="005877F5"/>
    <w:rsid w:val="0058782A"/>
    <w:rsid w:val="005879BA"/>
    <w:rsid w:val="00587A49"/>
    <w:rsid w:val="00587B81"/>
    <w:rsid w:val="00587D1F"/>
    <w:rsid w:val="00587EDE"/>
    <w:rsid w:val="005900BA"/>
    <w:rsid w:val="005900C4"/>
    <w:rsid w:val="00590276"/>
    <w:rsid w:val="00590432"/>
    <w:rsid w:val="005904CB"/>
    <w:rsid w:val="00590641"/>
    <w:rsid w:val="0059097D"/>
    <w:rsid w:val="00590A32"/>
    <w:rsid w:val="00590B68"/>
    <w:rsid w:val="00590BA8"/>
    <w:rsid w:val="00590DBE"/>
    <w:rsid w:val="00590E15"/>
    <w:rsid w:val="00590FE0"/>
    <w:rsid w:val="005912FA"/>
    <w:rsid w:val="00591307"/>
    <w:rsid w:val="00591686"/>
    <w:rsid w:val="005917A3"/>
    <w:rsid w:val="00591889"/>
    <w:rsid w:val="00591A59"/>
    <w:rsid w:val="00591B98"/>
    <w:rsid w:val="00591CAB"/>
    <w:rsid w:val="00591DD0"/>
    <w:rsid w:val="00591E71"/>
    <w:rsid w:val="00592097"/>
    <w:rsid w:val="005920BF"/>
    <w:rsid w:val="005921C9"/>
    <w:rsid w:val="00592368"/>
    <w:rsid w:val="0059246D"/>
    <w:rsid w:val="00592565"/>
    <w:rsid w:val="005925D0"/>
    <w:rsid w:val="00592623"/>
    <w:rsid w:val="005928AF"/>
    <w:rsid w:val="00592910"/>
    <w:rsid w:val="00592998"/>
    <w:rsid w:val="00592B80"/>
    <w:rsid w:val="00592C51"/>
    <w:rsid w:val="00593307"/>
    <w:rsid w:val="00593375"/>
    <w:rsid w:val="00593592"/>
    <w:rsid w:val="00593647"/>
    <w:rsid w:val="005939A5"/>
    <w:rsid w:val="00593A8D"/>
    <w:rsid w:val="00593AC4"/>
    <w:rsid w:val="00593C13"/>
    <w:rsid w:val="00593C88"/>
    <w:rsid w:val="00593D93"/>
    <w:rsid w:val="005945B2"/>
    <w:rsid w:val="00594AE0"/>
    <w:rsid w:val="00594C83"/>
    <w:rsid w:val="0059502D"/>
    <w:rsid w:val="00595283"/>
    <w:rsid w:val="005952CC"/>
    <w:rsid w:val="00595461"/>
    <w:rsid w:val="00595756"/>
    <w:rsid w:val="005957A3"/>
    <w:rsid w:val="005957D9"/>
    <w:rsid w:val="00595821"/>
    <w:rsid w:val="005958BB"/>
    <w:rsid w:val="00595C3D"/>
    <w:rsid w:val="00595CAA"/>
    <w:rsid w:val="00595EF9"/>
    <w:rsid w:val="005960BA"/>
    <w:rsid w:val="005960EB"/>
    <w:rsid w:val="00596287"/>
    <w:rsid w:val="005964CB"/>
    <w:rsid w:val="00596651"/>
    <w:rsid w:val="005967CD"/>
    <w:rsid w:val="00596A4C"/>
    <w:rsid w:val="00596C21"/>
    <w:rsid w:val="00596E1D"/>
    <w:rsid w:val="00597175"/>
    <w:rsid w:val="005971D6"/>
    <w:rsid w:val="005974FE"/>
    <w:rsid w:val="005977E5"/>
    <w:rsid w:val="00597C39"/>
    <w:rsid w:val="00597CD5"/>
    <w:rsid w:val="00597E26"/>
    <w:rsid w:val="00597F20"/>
    <w:rsid w:val="00597F32"/>
    <w:rsid w:val="00597FE2"/>
    <w:rsid w:val="005A006A"/>
    <w:rsid w:val="005A05B5"/>
    <w:rsid w:val="005A0666"/>
    <w:rsid w:val="005A06C2"/>
    <w:rsid w:val="005A0812"/>
    <w:rsid w:val="005A0854"/>
    <w:rsid w:val="005A093D"/>
    <w:rsid w:val="005A0948"/>
    <w:rsid w:val="005A0A87"/>
    <w:rsid w:val="005A0B31"/>
    <w:rsid w:val="005A0B6C"/>
    <w:rsid w:val="005A0BA2"/>
    <w:rsid w:val="005A0DFD"/>
    <w:rsid w:val="005A0FA3"/>
    <w:rsid w:val="005A11C9"/>
    <w:rsid w:val="005A148C"/>
    <w:rsid w:val="005A15C9"/>
    <w:rsid w:val="005A1BFE"/>
    <w:rsid w:val="005A1C6F"/>
    <w:rsid w:val="005A1F66"/>
    <w:rsid w:val="005A1FDC"/>
    <w:rsid w:val="005A1FFA"/>
    <w:rsid w:val="005A209B"/>
    <w:rsid w:val="005A2258"/>
    <w:rsid w:val="005A2272"/>
    <w:rsid w:val="005A22A2"/>
    <w:rsid w:val="005A2564"/>
    <w:rsid w:val="005A2A44"/>
    <w:rsid w:val="005A2BF4"/>
    <w:rsid w:val="005A2CF6"/>
    <w:rsid w:val="005A2D7F"/>
    <w:rsid w:val="005A327F"/>
    <w:rsid w:val="005A36B6"/>
    <w:rsid w:val="005A37AF"/>
    <w:rsid w:val="005A3AFA"/>
    <w:rsid w:val="005A3C64"/>
    <w:rsid w:val="005A3C80"/>
    <w:rsid w:val="005A3E16"/>
    <w:rsid w:val="005A4124"/>
    <w:rsid w:val="005A42C5"/>
    <w:rsid w:val="005A4352"/>
    <w:rsid w:val="005A43E5"/>
    <w:rsid w:val="005A443D"/>
    <w:rsid w:val="005A44DD"/>
    <w:rsid w:val="005A4810"/>
    <w:rsid w:val="005A48F1"/>
    <w:rsid w:val="005A49DD"/>
    <w:rsid w:val="005A4B55"/>
    <w:rsid w:val="005A4B5E"/>
    <w:rsid w:val="005A4FAD"/>
    <w:rsid w:val="005A50B4"/>
    <w:rsid w:val="005A515E"/>
    <w:rsid w:val="005A531B"/>
    <w:rsid w:val="005A5517"/>
    <w:rsid w:val="005A582D"/>
    <w:rsid w:val="005A5837"/>
    <w:rsid w:val="005A5861"/>
    <w:rsid w:val="005A5A5E"/>
    <w:rsid w:val="005A5A97"/>
    <w:rsid w:val="005A5D26"/>
    <w:rsid w:val="005A5D49"/>
    <w:rsid w:val="005A5F36"/>
    <w:rsid w:val="005A5FBB"/>
    <w:rsid w:val="005A6085"/>
    <w:rsid w:val="005A6144"/>
    <w:rsid w:val="005A6173"/>
    <w:rsid w:val="005A61E7"/>
    <w:rsid w:val="005A62CA"/>
    <w:rsid w:val="005A635F"/>
    <w:rsid w:val="005A64E9"/>
    <w:rsid w:val="005A6ABB"/>
    <w:rsid w:val="005A6B31"/>
    <w:rsid w:val="005A6D66"/>
    <w:rsid w:val="005A6FC6"/>
    <w:rsid w:val="005A70F1"/>
    <w:rsid w:val="005A74A4"/>
    <w:rsid w:val="005A74C2"/>
    <w:rsid w:val="005A7507"/>
    <w:rsid w:val="005A75CE"/>
    <w:rsid w:val="005A7651"/>
    <w:rsid w:val="005A78B1"/>
    <w:rsid w:val="005A7961"/>
    <w:rsid w:val="005A79A8"/>
    <w:rsid w:val="005A7AA5"/>
    <w:rsid w:val="005A7AF8"/>
    <w:rsid w:val="005A7B21"/>
    <w:rsid w:val="005B012D"/>
    <w:rsid w:val="005B03B4"/>
    <w:rsid w:val="005B0467"/>
    <w:rsid w:val="005B0544"/>
    <w:rsid w:val="005B05E4"/>
    <w:rsid w:val="005B08E9"/>
    <w:rsid w:val="005B08EC"/>
    <w:rsid w:val="005B096A"/>
    <w:rsid w:val="005B09A3"/>
    <w:rsid w:val="005B0A5A"/>
    <w:rsid w:val="005B0EA4"/>
    <w:rsid w:val="005B1289"/>
    <w:rsid w:val="005B1325"/>
    <w:rsid w:val="005B1414"/>
    <w:rsid w:val="005B14CC"/>
    <w:rsid w:val="005B179D"/>
    <w:rsid w:val="005B1DEB"/>
    <w:rsid w:val="005B1ED9"/>
    <w:rsid w:val="005B23D9"/>
    <w:rsid w:val="005B25E8"/>
    <w:rsid w:val="005B2979"/>
    <w:rsid w:val="005B2B90"/>
    <w:rsid w:val="005B2C24"/>
    <w:rsid w:val="005B2FFD"/>
    <w:rsid w:val="005B314B"/>
    <w:rsid w:val="005B34D4"/>
    <w:rsid w:val="005B3509"/>
    <w:rsid w:val="005B3712"/>
    <w:rsid w:val="005B372C"/>
    <w:rsid w:val="005B3B9A"/>
    <w:rsid w:val="005B3BA4"/>
    <w:rsid w:val="005B3BAA"/>
    <w:rsid w:val="005B3BEB"/>
    <w:rsid w:val="005B3C4D"/>
    <w:rsid w:val="005B3CB7"/>
    <w:rsid w:val="005B3D37"/>
    <w:rsid w:val="005B3FF4"/>
    <w:rsid w:val="005B400D"/>
    <w:rsid w:val="005B41EC"/>
    <w:rsid w:val="005B4253"/>
    <w:rsid w:val="005B4342"/>
    <w:rsid w:val="005B4377"/>
    <w:rsid w:val="005B43DF"/>
    <w:rsid w:val="005B44B2"/>
    <w:rsid w:val="005B462B"/>
    <w:rsid w:val="005B4719"/>
    <w:rsid w:val="005B4855"/>
    <w:rsid w:val="005B48C8"/>
    <w:rsid w:val="005B49BC"/>
    <w:rsid w:val="005B4A18"/>
    <w:rsid w:val="005B4BAF"/>
    <w:rsid w:val="005B4EEA"/>
    <w:rsid w:val="005B4FE9"/>
    <w:rsid w:val="005B5143"/>
    <w:rsid w:val="005B52CD"/>
    <w:rsid w:val="005B5396"/>
    <w:rsid w:val="005B540F"/>
    <w:rsid w:val="005B5444"/>
    <w:rsid w:val="005B5623"/>
    <w:rsid w:val="005B563E"/>
    <w:rsid w:val="005B58E3"/>
    <w:rsid w:val="005B5908"/>
    <w:rsid w:val="005B5B86"/>
    <w:rsid w:val="005B5DA9"/>
    <w:rsid w:val="005B5EC4"/>
    <w:rsid w:val="005B5FE7"/>
    <w:rsid w:val="005B6011"/>
    <w:rsid w:val="005B6061"/>
    <w:rsid w:val="005B6182"/>
    <w:rsid w:val="005B628F"/>
    <w:rsid w:val="005B62C3"/>
    <w:rsid w:val="005B647B"/>
    <w:rsid w:val="005B6615"/>
    <w:rsid w:val="005B6737"/>
    <w:rsid w:val="005B67CC"/>
    <w:rsid w:val="005B6949"/>
    <w:rsid w:val="005B6A2B"/>
    <w:rsid w:val="005B6A41"/>
    <w:rsid w:val="005B6D05"/>
    <w:rsid w:val="005B700D"/>
    <w:rsid w:val="005B70D0"/>
    <w:rsid w:val="005B72EA"/>
    <w:rsid w:val="005B759E"/>
    <w:rsid w:val="005B7621"/>
    <w:rsid w:val="005B7850"/>
    <w:rsid w:val="005B79C5"/>
    <w:rsid w:val="005B79D4"/>
    <w:rsid w:val="005B7AC0"/>
    <w:rsid w:val="005B7B11"/>
    <w:rsid w:val="005B7BED"/>
    <w:rsid w:val="005C00C0"/>
    <w:rsid w:val="005C0195"/>
    <w:rsid w:val="005C019F"/>
    <w:rsid w:val="005C0271"/>
    <w:rsid w:val="005C0748"/>
    <w:rsid w:val="005C096A"/>
    <w:rsid w:val="005C0C2B"/>
    <w:rsid w:val="005C0DF7"/>
    <w:rsid w:val="005C0F13"/>
    <w:rsid w:val="005C0F7E"/>
    <w:rsid w:val="005C1122"/>
    <w:rsid w:val="005C140B"/>
    <w:rsid w:val="005C1571"/>
    <w:rsid w:val="005C160D"/>
    <w:rsid w:val="005C1660"/>
    <w:rsid w:val="005C1722"/>
    <w:rsid w:val="005C175C"/>
    <w:rsid w:val="005C18B6"/>
    <w:rsid w:val="005C1A31"/>
    <w:rsid w:val="005C1BE7"/>
    <w:rsid w:val="005C1C7F"/>
    <w:rsid w:val="005C1E85"/>
    <w:rsid w:val="005C2078"/>
    <w:rsid w:val="005C212B"/>
    <w:rsid w:val="005C2153"/>
    <w:rsid w:val="005C22CE"/>
    <w:rsid w:val="005C24DB"/>
    <w:rsid w:val="005C26AE"/>
    <w:rsid w:val="005C26ED"/>
    <w:rsid w:val="005C27E9"/>
    <w:rsid w:val="005C2889"/>
    <w:rsid w:val="005C293D"/>
    <w:rsid w:val="005C2E4F"/>
    <w:rsid w:val="005C35AD"/>
    <w:rsid w:val="005C35C4"/>
    <w:rsid w:val="005C35E0"/>
    <w:rsid w:val="005C3AD3"/>
    <w:rsid w:val="005C41F9"/>
    <w:rsid w:val="005C4299"/>
    <w:rsid w:val="005C42FB"/>
    <w:rsid w:val="005C432C"/>
    <w:rsid w:val="005C4559"/>
    <w:rsid w:val="005C46E7"/>
    <w:rsid w:val="005C4B00"/>
    <w:rsid w:val="005C4B19"/>
    <w:rsid w:val="005C4B93"/>
    <w:rsid w:val="005C4BC1"/>
    <w:rsid w:val="005C4C8C"/>
    <w:rsid w:val="005C4CF8"/>
    <w:rsid w:val="005C4D67"/>
    <w:rsid w:val="005C4E02"/>
    <w:rsid w:val="005C4FE7"/>
    <w:rsid w:val="005C510F"/>
    <w:rsid w:val="005C5173"/>
    <w:rsid w:val="005C53E6"/>
    <w:rsid w:val="005C545F"/>
    <w:rsid w:val="005C5680"/>
    <w:rsid w:val="005C56E0"/>
    <w:rsid w:val="005C5703"/>
    <w:rsid w:val="005C5924"/>
    <w:rsid w:val="005C5A08"/>
    <w:rsid w:val="005C5BF9"/>
    <w:rsid w:val="005C5C85"/>
    <w:rsid w:val="005C5D13"/>
    <w:rsid w:val="005C5DCC"/>
    <w:rsid w:val="005C6177"/>
    <w:rsid w:val="005C6245"/>
    <w:rsid w:val="005C63C8"/>
    <w:rsid w:val="005C68C7"/>
    <w:rsid w:val="005C68FB"/>
    <w:rsid w:val="005C6934"/>
    <w:rsid w:val="005C6970"/>
    <w:rsid w:val="005C6AF1"/>
    <w:rsid w:val="005C6BC5"/>
    <w:rsid w:val="005C6C8E"/>
    <w:rsid w:val="005C6D69"/>
    <w:rsid w:val="005C6D82"/>
    <w:rsid w:val="005C6D94"/>
    <w:rsid w:val="005C6DF9"/>
    <w:rsid w:val="005C6EB5"/>
    <w:rsid w:val="005C6F01"/>
    <w:rsid w:val="005C7182"/>
    <w:rsid w:val="005C7239"/>
    <w:rsid w:val="005C7269"/>
    <w:rsid w:val="005C72E1"/>
    <w:rsid w:val="005C734E"/>
    <w:rsid w:val="005C75B4"/>
    <w:rsid w:val="005C7B25"/>
    <w:rsid w:val="005C7D2E"/>
    <w:rsid w:val="005C7DBC"/>
    <w:rsid w:val="005C7DD1"/>
    <w:rsid w:val="005C7F20"/>
    <w:rsid w:val="005D010E"/>
    <w:rsid w:val="005D06B9"/>
    <w:rsid w:val="005D0794"/>
    <w:rsid w:val="005D0808"/>
    <w:rsid w:val="005D09FB"/>
    <w:rsid w:val="005D0A4F"/>
    <w:rsid w:val="005D0C23"/>
    <w:rsid w:val="005D0E52"/>
    <w:rsid w:val="005D0E6B"/>
    <w:rsid w:val="005D0ED8"/>
    <w:rsid w:val="005D10CA"/>
    <w:rsid w:val="005D1188"/>
    <w:rsid w:val="005D12B5"/>
    <w:rsid w:val="005D1442"/>
    <w:rsid w:val="005D152E"/>
    <w:rsid w:val="005D17C4"/>
    <w:rsid w:val="005D1B8A"/>
    <w:rsid w:val="005D1C94"/>
    <w:rsid w:val="005D1D79"/>
    <w:rsid w:val="005D1F27"/>
    <w:rsid w:val="005D21B3"/>
    <w:rsid w:val="005D231F"/>
    <w:rsid w:val="005D237D"/>
    <w:rsid w:val="005D2411"/>
    <w:rsid w:val="005D241B"/>
    <w:rsid w:val="005D268F"/>
    <w:rsid w:val="005D26F1"/>
    <w:rsid w:val="005D297F"/>
    <w:rsid w:val="005D2A1E"/>
    <w:rsid w:val="005D2F84"/>
    <w:rsid w:val="005D2F92"/>
    <w:rsid w:val="005D311E"/>
    <w:rsid w:val="005D315D"/>
    <w:rsid w:val="005D31F0"/>
    <w:rsid w:val="005D3394"/>
    <w:rsid w:val="005D344D"/>
    <w:rsid w:val="005D3593"/>
    <w:rsid w:val="005D35B1"/>
    <w:rsid w:val="005D36DE"/>
    <w:rsid w:val="005D3700"/>
    <w:rsid w:val="005D3724"/>
    <w:rsid w:val="005D38A0"/>
    <w:rsid w:val="005D392A"/>
    <w:rsid w:val="005D3A1D"/>
    <w:rsid w:val="005D3ACF"/>
    <w:rsid w:val="005D3CC9"/>
    <w:rsid w:val="005D3DC6"/>
    <w:rsid w:val="005D3DEC"/>
    <w:rsid w:val="005D3EC3"/>
    <w:rsid w:val="005D438C"/>
    <w:rsid w:val="005D4518"/>
    <w:rsid w:val="005D4A09"/>
    <w:rsid w:val="005D4F47"/>
    <w:rsid w:val="005D4FA0"/>
    <w:rsid w:val="005D501B"/>
    <w:rsid w:val="005D5178"/>
    <w:rsid w:val="005D518D"/>
    <w:rsid w:val="005D5201"/>
    <w:rsid w:val="005D52CE"/>
    <w:rsid w:val="005D52E9"/>
    <w:rsid w:val="005D5788"/>
    <w:rsid w:val="005D5846"/>
    <w:rsid w:val="005D625C"/>
    <w:rsid w:val="005D632B"/>
    <w:rsid w:val="005D6395"/>
    <w:rsid w:val="005D65A1"/>
    <w:rsid w:val="005D666A"/>
    <w:rsid w:val="005D6673"/>
    <w:rsid w:val="005D66A1"/>
    <w:rsid w:val="005D6882"/>
    <w:rsid w:val="005D6A52"/>
    <w:rsid w:val="005D6BA5"/>
    <w:rsid w:val="005D6C8D"/>
    <w:rsid w:val="005D7063"/>
    <w:rsid w:val="005D707D"/>
    <w:rsid w:val="005D7446"/>
    <w:rsid w:val="005D773E"/>
    <w:rsid w:val="005D77B1"/>
    <w:rsid w:val="005D79B6"/>
    <w:rsid w:val="005D79F2"/>
    <w:rsid w:val="005D7D5A"/>
    <w:rsid w:val="005D7E1D"/>
    <w:rsid w:val="005D7EB2"/>
    <w:rsid w:val="005E0048"/>
    <w:rsid w:val="005E0202"/>
    <w:rsid w:val="005E02B9"/>
    <w:rsid w:val="005E033E"/>
    <w:rsid w:val="005E039B"/>
    <w:rsid w:val="005E0405"/>
    <w:rsid w:val="005E0562"/>
    <w:rsid w:val="005E0658"/>
    <w:rsid w:val="005E08C9"/>
    <w:rsid w:val="005E0BB8"/>
    <w:rsid w:val="005E0E6F"/>
    <w:rsid w:val="005E0EAE"/>
    <w:rsid w:val="005E0ED9"/>
    <w:rsid w:val="005E0FC1"/>
    <w:rsid w:val="005E17E9"/>
    <w:rsid w:val="005E1853"/>
    <w:rsid w:val="005E18CB"/>
    <w:rsid w:val="005E19A7"/>
    <w:rsid w:val="005E19ED"/>
    <w:rsid w:val="005E1AEE"/>
    <w:rsid w:val="005E20DC"/>
    <w:rsid w:val="005E218D"/>
    <w:rsid w:val="005E221A"/>
    <w:rsid w:val="005E225A"/>
    <w:rsid w:val="005E228E"/>
    <w:rsid w:val="005E22CB"/>
    <w:rsid w:val="005E23CC"/>
    <w:rsid w:val="005E255A"/>
    <w:rsid w:val="005E256A"/>
    <w:rsid w:val="005E261B"/>
    <w:rsid w:val="005E2952"/>
    <w:rsid w:val="005E2BAB"/>
    <w:rsid w:val="005E2BF6"/>
    <w:rsid w:val="005E2F06"/>
    <w:rsid w:val="005E30CB"/>
    <w:rsid w:val="005E30E5"/>
    <w:rsid w:val="005E35E9"/>
    <w:rsid w:val="005E36B2"/>
    <w:rsid w:val="005E3759"/>
    <w:rsid w:val="005E37FC"/>
    <w:rsid w:val="005E3804"/>
    <w:rsid w:val="005E38BE"/>
    <w:rsid w:val="005E3A7D"/>
    <w:rsid w:val="005E3B20"/>
    <w:rsid w:val="005E3B9A"/>
    <w:rsid w:val="005E3BBA"/>
    <w:rsid w:val="005E3D9D"/>
    <w:rsid w:val="005E3FB3"/>
    <w:rsid w:val="005E4061"/>
    <w:rsid w:val="005E45D6"/>
    <w:rsid w:val="005E4765"/>
    <w:rsid w:val="005E481C"/>
    <w:rsid w:val="005E4939"/>
    <w:rsid w:val="005E4A52"/>
    <w:rsid w:val="005E4A6D"/>
    <w:rsid w:val="005E4BCD"/>
    <w:rsid w:val="005E4C16"/>
    <w:rsid w:val="005E4DB6"/>
    <w:rsid w:val="005E4E50"/>
    <w:rsid w:val="005E50CD"/>
    <w:rsid w:val="005E5149"/>
    <w:rsid w:val="005E5864"/>
    <w:rsid w:val="005E5953"/>
    <w:rsid w:val="005E5A8C"/>
    <w:rsid w:val="005E5BD9"/>
    <w:rsid w:val="005E5DB1"/>
    <w:rsid w:val="005E5DFD"/>
    <w:rsid w:val="005E60B4"/>
    <w:rsid w:val="005E6797"/>
    <w:rsid w:val="005E6856"/>
    <w:rsid w:val="005E6929"/>
    <w:rsid w:val="005E6972"/>
    <w:rsid w:val="005E69C8"/>
    <w:rsid w:val="005E6B78"/>
    <w:rsid w:val="005E6E2F"/>
    <w:rsid w:val="005E6F55"/>
    <w:rsid w:val="005E72D3"/>
    <w:rsid w:val="005E7689"/>
    <w:rsid w:val="005E78D1"/>
    <w:rsid w:val="005E7B17"/>
    <w:rsid w:val="005E7C96"/>
    <w:rsid w:val="005E7CC5"/>
    <w:rsid w:val="005E7CDA"/>
    <w:rsid w:val="005E7F8E"/>
    <w:rsid w:val="005F016F"/>
    <w:rsid w:val="005F01F4"/>
    <w:rsid w:val="005F0262"/>
    <w:rsid w:val="005F02BA"/>
    <w:rsid w:val="005F0322"/>
    <w:rsid w:val="005F0432"/>
    <w:rsid w:val="005F0465"/>
    <w:rsid w:val="005F0558"/>
    <w:rsid w:val="005F081C"/>
    <w:rsid w:val="005F0882"/>
    <w:rsid w:val="005F0893"/>
    <w:rsid w:val="005F0ADF"/>
    <w:rsid w:val="005F0AF0"/>
    <w:rsid w:val="005F0B3B"/>
    <w:rsid w:val="005F0EF1"/>
    <w:rsid w:val="005F0F96"/>
    <w:rsid w:val="005F0FCB"/>
    <w:rsid w:val="005F100A"/>
    <w:rsid w:val="005F1192"/>
    <w:rsid w:val="005F12F7"/>
    <w:rsid w:val="005F1338"/>
    <w:rsid w:val="005F1420"/>
    <w:rsid w:val="005F16BE"/>
    <w:rsid w:val="005F1706"/>
    <w:rsid w:val="005F1743"/>
    <w:rsid w:val="005F1763"/>
    <w:rsid w:val="005F19C8"/>
    <w:rsid w:val="005F1DC8"/>
    <w:rsid w:val="005F1FCF"/>
    <w:rsid w:val="005F2028"/>
    <w:rsid w:val="005F20DD"/>
    <w:rsid w:val="005F21B0"/>
    <w:rsid w:val="005F23F4"/>
    <w:rsid w:val="005F25DD"/>
    <w:rsid w:val="005F2958"/>
    <w:rsid w:val="005F29A6"/>
    <w:rsid w:val="005F2B03"/>
    <w:rsid w:val="005F2C3C"/>
    <w:rsid w:val="005F2DC8"/>
    <w:rsid w:val="005F2E22"/>
    <w:rsid w:val="005F315C"/>
    <w:rsid w:val="005F3322"/>
    <w:rsid w:val="005F33FA"/>
    <w:rsid w:val="005F3440"/>
    <w:rsid w:val="005F3670"/>
    <w:rsid w:val="005F36A9"/>
    <w:rsid w:val="005F3721"/>
    <w:rsid w:val="005F3916"/>
    <w:rsid w:val="005F3D8D"/>
    <w:rsid w:val="005F3DE1"/>
    <w:rsid w:val="005F3DE8"/>
    <w:rsid w:val="005F3FB1"/>
    <w:rsid w:val="005F3FEE"/>
    <w:rsid w:val="005F4422"/>
    <w:rsid w:val="005F4513"/>
    <w:rsid w:val="005F4791"/>
    <w:rsid w:val="005F4807"/>
    <w:rsid w:val="005F481F"/>
    <w:rsid w:val="005F483A"/>
    <w:rsid w:val="005F494A"/>
    <w:rsid w:val="005F4AC7"/>
    <w:rsid w:val="005F4AF2"/>
    <w:rsid w:val="005F4BFC"/>
    <w:rsid w:val="005F4CA0"/>
    <w:rsid w:val="005F4D27"/>
    <w:rsid w:val="005F4FD4"/>
    <w:rsid w:val="005F4FF9"/>
    <w:rsid w:val="005F5003"/>
    <w:rsid w:val="005F5097"/>
    <w:rsid w:val="005F53F7"/>
    <w:rsid w:val="005F553D"/>
    <w:rsid w:val="005F55E4"/>
    <w:rsid w:val="005F5697"/>
    <w:rsid w:val="005F5819"/>
    <w:rsid w:val="005F5A8C"/>
    <w:rsid w:val="005F5AC9"/>
    <w:rsid w:val="005F5B7F"/>
    <w:rsid w:val="005F5C6A"/>
    <w:rsid w:val="005F5CA4"/>
    <w:rsid w:val="005F5CAC"/>
    <w:rsid w:val="005F5CE7"/>
    <w:rsid w:val="005F5D53"/>
    <w:rsid w:val="005F6244"/>
    <w:rsid w:val="005F682C"/>
    <w:rsid w:val="005F68B7"/>
    <w:rsid w:val="005F6A0B"/>
    <w:rsid w:val="005F6AAE"/>
    <w:rsid w:val="005F6B43"/>
    <w:rsid w:val="005F6BC0"/>
    <w:rsid w:val="005F6C9D"/>
    <w:rsid w:val="005F6ED2"/>
    <w:rsid w:val="005F6FE9"/>
    <w:rsid w:val="005F7402"/>
    <w:rsid w:val="005F7419"/>
    <w:rsid w:val="005F7811"/>
    <w:rsid w:val="005F7832"/>
    <w:rsid w:val="005F7C97"/>
    <w:rsid w:val="005F7DDF"/>
    <w:rsid w:val="005F7E11"/>
    <w:rsid w:val="005F7EA2"/>
    <w:rsid w:val="005F7EDB"/>
    <w:rsid w:val="005F7F17"/>
    <w:rsid w:val="006001C1"/>
    <w:rsid w:val="006003D9"/>
    <w:rsid w:val="006003EE"/>
    <w:rsid w:val="0060062E"/>
    <w:rsid w:val="006007BC"/>
    <w:rsid w:val="00600E30"/>
    <w:rsid w:val="00600F5C"/>
    <w:rsid w:val="00601419"/>
    <w:rsid w:val="00601704"/>
    <w:rsid w:val="00601812"/>
    <w:rsid w:val="006018E3"/>
    <w:rsid w:val="00601B49"/>
    <w:rsid w:val="00601BD6"/>
    <w:rsid w:val="00601C93"/>
    <w:rsid w:val="00601D26"/>
    <w:rsid w:val="00601DBD"/>
    <w:rsid w:val="0060225B"/>
    <w:rsid w:val="00602478"/>
    <w:rsid w:val="00602620"/>
    <w:rsid w:val="00602B1B"/>
    <w:rsid w:val="00602C65"/>
    <w:rsid w:val="00602F61"/>
    <w:rsid w:val="00603485"/>
    <w:rsid w:val="0060366A"/>
    <w:rsid w:val="00603835"/>
    <w:rsid w:val="00603AE6"/>
    <w:rsid w:val="00603AEE"/>
    <w:rsid w:val="00603D7F"/>
    <w:rsid w:val="00603EEE"/>
    <w:rsid w:val="00603EFF"/>
    <w:rsid w:val="00603F55"/>
    <w:rsid w:val="006040FF"/>
    <w:rsid w:val="00604189"/>
    <w:rsid w:val="00604319"/>
    <w:rsid w:val="0060438C"/>
    <w:rsid w:val="006044C7"/>
    <w:rsid w:val="00604724"/>
    <w:rsid w:val="00604885"/>
    <w:rsid w:val="006049B2"/>
    <w:rsid w:val="00604DB3"/>
    <w:rsid w:val="00604E48"/>
    <w:rsid w:val="00604E54"/>
    <w:rsid w:val="00605153"/>
    <w:rsid w:val="006051FB"/>
    <w:rsid w:val="006052B4"/>
    <w:rsid w:val="00605688"/>
    <w:rsid w:val="00605727"/>
    <w:rsid w:val="0060575D"/>
    <w:rsid w:val="00605855"/>
    <w:rsid w:val="006058EE"/>
    <w:rsid w:val="00605D0F"/>
    <w:rsid w:val="00605E27"/>
    <w:rsid w:val="00605E35"/>
    <w:rsid w:val="00605E3A"/>
    <w:rsid w:val="00606046"/>
    <w:rsid w:val="006063D9"/>
    <w:rsid w:val="006064C8"/>
    <w:rsid w:val="0060657D"/>
    <w:rsid w:val="0060662E"/>
    <w:rsid w:val="00606677"/>
    <w:rsid w:val="006066F4"/>
    <w:rsid w:val="00606BB6"/>
    <w:rsid w:val="00606DAE"/>
    <w:rsid w:val="00606F71"/>
    <w:rsid w:val="00607485"/>
    <w:rsid w:val="006075C6"/>
    <w:rsid w:val="00607995"/>
    <w:rsid w:val="00607A0E"/>
    <w:rsid w:val="00607A22"/>
    <w:rsid w:val="00607B29"/>
    <w:rsid w:val="00607B81"/>
    <w:rsid w:val="00607BA8"/>
    <w:rsid w:val="00607BA9"/>
    <w:rsid w:val="00607BCB"/>
    <w:rsid w:val="00607D0D"/>
    <w:rsid w:val="00607FE5"/>
    <w:rsid w:val="006100BD"/>
    <w:rsid w:val="00610150"/>
    <w:rsid w:val="006103E1"/>
    <w:rsid w:val="0061071E"/>
    <w:rsid w:val="0061087C"/>
    <w:rsid w:val="00610BEF"/>
    <w:rsid w:val="00610C5C"/>
    <w:rsid w:val="00610D90"/>
    <w:rsid w:val="00610FC6"/>
    <w:rsid w:val="006111FF"/>
    <w:rsid w:val="0061184E"/>
    <w:rsid w:val="00611A93"/>
    <w:rsid w:val="00611AD7"/>
    <w:rsid w:val="00611CBE"/>
    <w:rsid w:val="00611E09"/>
    <w:rsid w:val="00611EBE"/>
    <w:rsid w:val="00611F68"/>
    <w:rsid w:val="0061231A"/>
    <w:rsid w:val="0061232A"/>
    <w:rsid w:val="006125A8"/>
    <w:rsid w:val="006125ED"/>
    <w:rsid w:val="00612678"/>
    <w:rsid w:val="00612706"/>
    <w:rsid w:val="0061271F"/>
    <w:rsid w:val="0061272F"/>
    <w:rsid w:val="00612777"/>
    <w:rsid w:val="00612977"/>
    <w:rsid w:val="00612A26"/>
    <w:rsid w:val="00612BB3"/>
    <w:rsid w:val="00612BE6"/>
    <w:rsid w:val="00612C43"/>
    <w:rsid w:val="00612DB2"/>
    <w:rsid w:val="00612E0D"/>
    <w:rsid w:val="00613109"/>
    <w:rsid w:val="00613373"/>
    <w:rsid w:val="0061341E"/>
    <w:rsid w:val="00613732"/>
    <w:rsid w:val="00613869"/>
    <w:rsid w:val="0061399A"/>
    <w:rsid w:val="006139C9"/>
    <w:rsid w:val="006139D2"/>
    <w:rsid w:val="00613AA5"/>
    <w:rsid w:val="00613C75"/>
    <w:rsid w:val="00613D6C"/>
    <w:rsid w:val="00613F34"/>
    <w:rsid w:val="00613FBF"/>
    <w:rsid w:val="00613FEF"/>
    <w:rsid w:val="006140BC"/>
    <w:rsid w:val="006141C7"/>
    <w:rsid w:val="006141CF"/>
    <w:rsid w:val="0061428B"/>
    <w:rsid w:val="00614355"/>
    <w:rsid w:val="0061446E"/>
    <w:rsid w:val="00614523"/>
    <w:rsid w:val="00614740"/>
    <w:rsid w:val="006148C4"/>
    <w:rsid w:val="006148DB"/>
    <w:rsid w:val="0061490E"/>
    <w:rsid w:val="0061491F"/>
    <w:rsid w:val="00614A61"/>
    <w:rsid w:val="00614B02"/>
    <w:rsid w:val="00614C12"/>
    <w:rsid w:val="00614C68"/>
    <w:rsid w:val="00614D9B"/>
    <w:rsid w:val="00614ECE"/>
    <w:rsid w:val="0061500C"/>
    <w:rsid w:val="006154CC"/>
    <w:rsid w:val="00615658"/>
    <w:rsid w:val="0061570A"/>
    <w:rsid w:val="0061576A"/>
    <w:rsid w:val="0061599D"/>
    <w:rsid w:val="00615A17"/>
    <w:rsid w:val="00615BCF"/>
    <w:rsid w:val="00615D3F"/>
    <w:rsid w:val="00615D86"/>
    <w:rsid w:val="00615E58"/>
    <w:rsid w:val="00615FFC"/>
    <w:rsid w:val="006160EA"/>
    <w:rsid w:val="00616124"/>
    <w:rsid w:val="0061620E"/>
    <w:rsid w:val="00616538"/>
    <w:rsid w:val="00616622"/>
    <w:rsid w:val="0061692A"/>
    <w:rsid w:val="00616936"/>
    <w:rsid w:val="00616A27"/>
    <w:rsid w:val="00616A69"/>
    <w:rsid w:val="00616FD5"/>
    <w:rsid w:val="006170E7"/>
    <w:rsid w:val="006173C5"/>
    <w:rsid w:val="006173E6"/>
    <w:rsid w:val="00617746"/>
    <w:rsid w:val="00617946"/>
    <w:rsid w:val="00617948"/>
    <w:rsid w:val="00617AF7"/>
    <w:rsid w:val="00617B8C"/>
    <w:rsid w:val="00617D2A"/>
    <w:rsid w:val="00617DFC"/>
    <w:rsid w:val="00617EBB"/>
    <w:rsid w:val="0062046E"/>
    <w:rsid w:val="006205C2"/>
    <w:rsid w:val="00620A89"/>
    <w:rsid w:val="00620BB5"/>
    <w:rsid w:val="00620E78"/>
    <w:rsid w:val="00620EB9"/>
    <w:rsid w:val="00621236"/>
    <w:rsid w:val="00621AE7"/>
    <w:rsid w:val="00621D81"/>
    <w:rsid w:val="00621DF5"/>
    <w:rsid w:val="00621E19"/>
    <w:rsid w:val="006221B4"/>
    <w:rsid w:val="006222C1"/>
    <w:rsid w:val="00622333"/>
    <w:rsid w:val="006223EF"/>
    <w:rsid w:val="00622534"/>
    <w:rsid w:val="00622770"/>
    <w:rsid w:val="00622A69"/>
    <w:rsid w:val="00622AF0"/>
    <w:rsid w:val="00622C56"/>
    <w:rsid w:val="00622E67"/>
    <w:rsid w:val="006232B9"/>
    <w:rsid w:val="006233E6"/>
    <w:rsid w:val="006235BC"/>
    <w:rsid w:val="0062369F"/>
    <w:rsid w:val="0062388E"/>
    <w:rsid w:val="00623A1E"/>
    <w:rsid w:val="00623D1A"/>
    <w:rsid w:val="00623DDD"/>
    <w:rsid w:val="00623E01"/>
    <w:rsid w:val="00623E90"/>
    <w:rsid w:val="0062404C"/>
    <w:rsid w:val="0062406C"/>
    <w:rsid w:val="006240E1"/>
    <w:rsid w:val="006242A6"/>
    <w:rsid w:val="006243DC"/>
    <w:rsid w:val="006244B7"/>
    <w:rsid w:val="006244C0"/>
    <w:rsid w:val="006245EC"/>
    <w:rsid w:val="006246D6"/>
    <w:rsid w:val="006247E4"/>
    <w:rsid w:val="0062484F"/>
    <w:rsid w:val="00624BBC"/>
    <w:rsid w:val="00624D11"/>
    <w:rsid w:val="00624E4C"/>
    <w:rsid w:val="00624EB5"/>
    <w:rsid w:val="00625810"/>
    <w:rsid w:val="006258C3"/>
    <w:rsid w:val="00625A40"/>
    <w:rsid w:val="00625B75"/>
    <w:rsid w:val="00625C41"/>
    <w:rsid w:val="00625E9F"/>
    <w:rsid w:val="00625FA5"/>
    <w:rsid w:val="00625FC1"/>
    <w:rsid w:val="0062632D"/>
    <w:rsid w:val="00626865"/>
    <w:rsid w:val="00626894"/>
    <w:rsid w:val="0062692C"/>
    <w:rsid w:val="00626BDD"/>
    <w:rsid w:val="00626D07"/>
    <w:rsid w:val="00626E04"/>
    <w:rsid w:val="00627061"/>
    <w:rsid w:val="00627094"/>
    <w:rsid w:val="006270F8"/>
    <w:rsid w:val="006271C8"/>
    <w:rsid w:val="00627329"/>
    <w:rsid w:val="00627430"/>
    <w:rsid w:val="0062762D"/>
    <w:rsid w:val="006276AF"/>
    <w:rsid w:val="006279C7"/>
    <w:rsid w:val="006279F7"/>
    <w:rsid w:val="00627E2E"/>
    <w:rsid w:val="00627EE7"/>
    <w:rsid w:val="00630284"/>
    <w:rsid w:val="006303F0"/>
    <w:rsid w:val="006304CF"/>
    <w:rsid w:val="0063062F"/>
    <w:rsid w:val="006309C6"/>
    <w:rsid w:val="00630B25"/>
    <w:rsid w:val="00630DB4"/>
    <w:rsid w:val="00630DB9"/>
    <w:rsid w:val="00631503"/>
    <w:rsid w:val="006315B3"/>
    <w:rsid w:val="006315BA"/>
    <w:rsid w:val="00631623"/>
    <w:rsid w:val="006316A9"/>
    <w:rsid w:val="006318AA"/>
    <w:rsid w:val="006318B3"/>
    <w:rsid w:val="00631989"/>
    <w:rsid w:val="00631B2B"/>
    <w:rsid w:val="00631E2C"/>
    <w:rsid w:val="00631E8E"/>
    <w:rsid w:val="00631EBD"/>
    <w:rsid w:val="00632207"/>
    <w:rsid w:val="00632624"/>
    <w:rsid w:val="006326FD"/>
    <w:rsid w:val="0063271B"/>
    <w:rsid w:val="00632800"/>
    <w:rsid w:val="00632A6D"/>
    <w:rsid w:val="00632A70"/>
    <w:rsid w:val="00632B71"/>
    <w:rsid w:val="00632B8A"/>
    <w:rsid w:val="00632C45"/>
    <w:rsid w:val="00632DBC"/>
    <w:rsid w:val="00632FEC"/>
    <w:rsid w:val="00633198"/>
    <w:rsid w:val="006331EA"/>
    <w:rsid w:val="006331FF"/>
    <w:rsid w:val="0063328B"/>
    <w:rsid w:val="00633372"/>
    <w:rsid w:val="00633488"/>
    <w:rsid w:val="006335E9"/>
    <w:rsid w:val="0063363A"/>
    <w:rsid w:val="0063367C"/>
    <w:rsid w:val="0063369F"/>
    <w:rsid w:val="006336B6"/>
    <w:rsid w:val="006338FF"/>
    <w:rsid w:val="006339C9"/>
    <w:rsid w:val="00633A0F"/>
    <w:rsid w:val="00633C1E"/>
    <w:rsid w:val="00633E5B"/>
    <w:rsid w:val="00633EEC"/>
    <w:rsid w:val="00633F94"/>
    <w:rsid w:val="00633F97"/>
    <w:rsid w:val="00634092"/>
    <w:rsid w:val="006341B7"/>
    <w:rsid w:val="00634293"/>
    <w:rsid w:val="006343EB"/>
    <w:rsid w:val="00634662"/>
    <w:rsid w:val="006347F4"/>
    <w:rsid w:val="006348E4"/>
    <w:rsid w:val="0063491C"/>
    <w:rsid w:val="00634E91"/>
    <w:rsid w:val="00634EA4"/>
    <w:rsid w:val="00634F0E"/>
    <w:rsid w:val="00635082"/>
    <w:rsid w:val="00635112"/>
    <w:rsid w:val="00635623"/>
    <w:rsid w:val="006358A8"/>
    <w:rsid w:val="006358E7"/>
    <w:rsid w:val="0063596C"/>
    <w:rsid w:val="00635A04"/>
    <w:rsid w:val="00635E5C"/>
    <w:rsid w:val="00635F7C"/>
    <w:rsid w:val="00635FEA"/>
    <w:rsid w:val="006363A2"/>
    <w:rsid w:val="0063649E"/>
    <w:rsid w:val="00636536"/>
    <w:rsid w:val="00636620"/>
    <w:rsid w:val="006367E9"/>
    <w:rsid w:val="006368AD"/>
    <w:rsid w:val="00636A2B"/>
    <w:rsid w:val="00636EAC"/>
    <w:rsid w:val="006373EB"/>
    <w:rsid w:val="006377F9"/>
    <w:rsid w:val="00637F72"/>
    <w:rsid w:val="006400DB"/>
    <w:rsid w:val="0064030B"/>
    <w:rsid w:val="00640335"/>
    <w:rsid w:val="006404CA"/>
    <w:rsid w:val="00640553"/>
    <w:rsid w:val="0064059F"/>
    <w:rsid w:val="00640653"/>
    <w:rsid w:val="006408BF"/>
    <w:rsid w:val="00640956"/>
    <w:rsid w:val="00640A19"/>
    <w:rsid w:val="00641006"/>
    <w:rsid w:val="006410E0"/>
    <w:rsid w:val="0064114F"/>
    <w:rsid w:val="00641665"/>
    <w:rsid w:val="006416F2"/>
    <w:rsid w:val="006417D3"/>
    <w:rsid w:val="0064180F"/>
    <w:rsid w:val="00641C48"/>
    <w:rsid w:val="00641C5D"/>
    <w:rsid w:val="00641ECA"/>
    <w:rsid w:val="00641F52"/>
    <w:rsid w:val="00642062"/>
    <w:rsid w:val="006420D2"/>
    <w:rsid w:val="00642102"/>
    <w:rsid w:val="00642162"/>
    <w:rsid w:val="00642225"/>
    <w:rsid w:val="0064243D"/>
    <w:rsid w:val="00642491"/>
    <w:rsid w:val="006424F7"/>
    <w:rsid w:val="00642598"/>
    <w:rsid w:val="0064271A"/>
    <w:rsid w:val="00642762"/>
    <w:rsid w:val="006428BB"/>
    <w:rsid w:val="00642921"/>
    <w:rsid w:val="00642B10"/>
    <w:rsid w:val="00642C00"/>
    <w:rsid w:val="00642CFC"/>
    <w:rsid w:val="00643027"/>
    <w:rsid w:val="006430A4"/>
    <w:rsid w:val="00643165"/>
    <w:rsid w:val="006432E3"/>
    <w:rsid w:val="00643350"/>
    <w:rsid w:val="00643783"/>
    <w:rsid w:val="0064395A"/>
    <w:rsid w:val="00643A5A"/>
    <w:rsid w:val="00643A8F"/>
    <w:rsid w:val="00643C23"/>
    <w:rsid w:val="00643D2D"/>
    <w:rsid w:val="00643E42"/>
    <w:rsid w:val="00643F9A"/>
    <w:rsid w:val="0064402B"/>
    <w:rsid w:val="0064408B"/>
    <w:rsid w:val="0064426F"/>
    <w:rsid w:val="006442CB"/>
    <w:rsid w:val="006444B5"/>
    <w:rsid w:val="00644759"/>
    <w:rsid w:val="0064476A"/>
    <w:rsid w:val="006447FB"/>
    <w:rsid w:val="00644A49"/>
    <w:rsid w:val="00644BED"/>
    <w:rsid w:val="00644C12"/>
    <w:rsid w:val="00644C16"/>
    <w:rsid w:val="006450A4"/>
    <w:rsid w:val="00645118"/>
    <w:rsid w:val="00645186"/>
    <w:rsid w:val="0064522B"/>
    <w:rsid w:val="0064529B"/>
    <w:rsid w:val="0064539A"/>
    <w:rsid w:val="00645667"/>
    <w:rsid w:val="006456FA"/>
    <w:rsid w:val="006456FD"/>
    <w:rsid w:val="0064579C"/>
    <w:rsid w:val="0064588E"/>
    <w:rsid w:val="00645B9C"/>
    <w:rsid w:val="006462FD"/>
    <w:rsid w:val="006462FF"/>
    <w:rsid w:val="00646315"/>
    <w:rsid w:val="006468EC"/>
    <w:rsid w:val="00646C58"/>
    <w:rsid w:val="00646E4F"/>
    <w:rsid w:val="00646FAB"/>
    <w:rsid w:val="00646FE1"/>
    <w:rsid w:val="00646FE7"/>
    <w:rsid w:val="00646FFB"/>
    <w:rsid w:val="00647194"/>
    <w:rsid w:val="006472CC"/>
    <w:rsid w:val="006473E2"/>
    <w:rsid w:val="006474E1"/>
    <w:rsid w:val="006474FB"/>
    <w:rsid w:val="006476D7"/>
    <w:rsid w:val="0064775A"/>
    <w:rsid w:val="0064775F"/>
    <w:rsid w:val="00647787"/>
    <w:rsid w:val="00647878"/>
    <w:rsid w:val="00647957"/>
    <w:rsid w:val="00647BF2"/>
    <w:rsid w:val="00647DAC"/>
    <w:rsid w:val="00647FBB"/>
    <w:rsid w:val="00650205"/>
    <w:rsid w:val="00650266"/>
    <w:rsid w:val="0065065B"/>
    <w:rsid w:val="00650776"/>
    <w:rsid w:val="006507B9"/>
    <w:rsid w:val="006508D3"/>
    <w:rsid w:val="00650EA4"/>
    <w:rsid w:val="006510D1"/>
    <w:rsid w:val="00651184"/>
    <w:rsid w:val="006512AE"/>
    <w:rsid w:val="00651684"/>
    <w:rsid w:val="006516FC"/>
    <w:rsid w:val="0065173E"/>
    <w:rsid w:val="0065199A"/>
    <w:rsid w:val="00651B32"/>
    <w:rsid w:val="00651FF1"/>
    <w:rsid w:val="006520C9"/>
    <w:rsid w:val="00652143"/>
    <w:rsid w:val="00652197"/>
    <w:rsid w:val="0065232E"/>
    <w:rsid w:val="00652697"/>
    <w:rsid w:val="006527E0"/>
    <w:rsid w:val="00652A32"/>
    <w:rsid w:val="00652BF5"/>
    <w:rsid w:val="00652C7E"/>
    <w:rsid w:val="00652CF9"/>
    <w:rsid w:val="00653028"/>
    <w:rsid w:val="00653124"/>
    <w:rsid w:val="00653128"/>
    <w:rsid w:val="00653214"/>
    <w:rsid w:val="006533D7"/>
    <w:rsid w:val="00653541"/>
    <w:rsid w:val="006536E0"/>
    <w:rsid w:val="00653749"/>
    <w:rsid w:val="00653A5C"/>
    <w:rsid w:val="00653B8A"/>
    <w:rsid w:val="00653CA9"/>
    <w:rsid w:val="00653E02"/>
    <w:rsid w:val="0065416C"/>
    <w:rsid w:val="006544FE"/>
    <w:rsid w:val="0065459E"/>
    <w:rsid w:val="006546A4"/>
    <w:rsid w:val="00654A7F"/>
    <w:rsid w:val="00654F1C"/>
    <w:rsid w:val="00654FCC"/>
    <w:rsid w:val="00655620"/>
    <w:rsid w:val="006557CD"/>
    <w:rsid w:val="00655890"/>
    <w:rsid w:val="00655A12"/>
    <w:rsid w:val="00655A8F"/>
    <w:rsid w:val="00655A9B"/>
    <w:rsid w:val="00655B57"/>
    <w:rsid w:val="00655B5D"/>
    <w:rsid w:val="00655C15"/>
    <w:rsid w:val="00655C8B"/>
    <w:rsid w:val="00655DE2"/>
    <w:rsid w:val="00655F69"/>
    <w:rsid w:val="00656167"/>
    <w:rsid w:val="00656351"/>
    <w:rsid w:val="006564F5"/>
    <w:rsid w:val="00656632"/>
    <w:rsid w:val="00656663"/>
    <w:rsid w:val="00656718"/>
    <w:rsid w:val="0065672F"/>
    <w:rsid w:val="0065676A"/>
    <w:rsid w:val="006569B1"/>
    <w:rsid w:val="00656A35"/>
    <w:rsid w:val="00656B9B"/>
    <w:rsid w:val="00656C8A"/>
    <w:rsid w:val="00656D4B"/>
    <w:rsid w:val="00656E43"/>
    <w:rsid w:val="00656E71"/>
    <w:rsid w:val="00656F7B"/>
    <w:rsid w:val="0065702B"/>
    <w:rsid w:val="006571B0"/>
    <w:rsid w:val="00657403"/>
    <w:rsid w:val="0065754E"/>
    <w:rsid w:val="0065755B"/>
    <w:rsid w:val="0065796D"/>
    <w:rsid w:val="00657D78"/>
    <w:rsid w:val="006600F1"/>
    <w:rsid w:val="00660115"/>
    <w:rsid w:val="00660394"/>
    <w:rsid w:val="00660475"/>
    <w:rsid w:val="00660485"/>
    <w:rsid w:val="0066062A"/>
    <w:rsid w:val="0066068E"/>
    <w:rsid w:val="00660C5A"/>
    <w:rsid w:val="0066108A"/>
    <w:rsid w:val="006611B2"/>
    <w:rsid w:val="006611D3"/>
    <w:rsid w:val="0066153D"/>
    <w:rsid w:val="00661D62"/>
    <w:rsid w:val="00661DF6"/>
    <w:rsid w:val="006620F3"/>
    <w:rsid w:val="006620FB"/>
    <w:rsid w:val="00662522"/>
    <w:rsid w:val="00662606"/>
    <w:rsid w:val="006627E3"/>
    <w:rsid w:val="00662A6E"/>
    <w:rsid w:val="00662A89"/>
    <w:rsid w:val="00662B4F"/>
    <w:rsid w:val="00662BC3"/>
    <w:rsid w:val="00662CC4"/>
    <w:rsid w:val="00662CDE"/>
    <w:rsid w:val="00662CEE"/>
    <w:rsid w:val="00662EBB"/>
    <w:rsid w:val="00663157"/>
    <w:rsid w:val="00663167"/>
    <w:rsid w:val="0066329D"/>
    <w:rsid w:val="006632DE"/>
    <w:rsid w:val="006634C7"/>
    <w:rsid w:val="006639F7"/>
    <w:rsid w:val="00663AEF"/>
    <w:rsid w:val="00663CB5"/>
    <w:rsid w:val="00663D42"/>
    <w:rsid w:val="00663D6A"/>
    <w:rsid w:val="00663E1F"/>
    <w:rsid w:val="00664104"/>
    <w:rsid w:val="00664138"/>
    <w:rsid w:val="0066421F"/>
    <w:rsid w:val="006645FD"/>
    <w:rsid w:val="0066462D"/>
    <w:rsid w:val="0066462F"/>
    <w:rsid w:val="006647A1"/>
    <w:rsid w:val="0066499E"/>
    <w:rsid w:val="00664A28"/>
    <w:rsid w:val="00664B11"/>
    <w:rsid w:val="00664C83"/>
    <w:rsid w:val="00664FCD"/>
    <w:rsid w:val="00665439"/>
    <w:rsid w:val="006654F6"/>
    <w:rsid w:val="00665552"/>
    <w:rsid w:val="0066564E"/>
    <w:rsid w:val="00665652"/>
    <w:rsid w:val="00665BD7"/>
    <w:rsid w:val="00665E61"/>
    <w:rsid w:val="00665F83"/>
    <w:rsid w:val="00665F94"/>
    <w:rsid w:val="00666252"/>
    <w:rsid w:val="0066652A"/>
    <w:rsid w:val="00666664"/>
    <w:rsid w:val="006666A9"/>
    <w:rsid w:val="00666740"/>
    <w:rsid w:val="006669AE"/>
    <w:rsid w:val="00666C3F"/>
    <w:rsid w:val="00666C5D"/>
    <w:rsid w:val="00666D3D"/>
    <w:rsid w:val="00666E42"/>
    <w:rsid w:val="00666FA7"/>
    <w:rsid w:val="0066726F"/>
    <w:rsid w:val="006672B3"/>
    <w:rsid w:val="006676F9"/>
    <w:rsid w:val="006678A8"/>
    <w:rsid w:val="00667943"/>
    <w:rsid w:val="00667DA4"/>
    <w:rsid w:val="00670007"/>
    <w:rsid w:val="00670069"/>
    <w:rsid w:val="00670265"/>
    <w:rsid w:val="0067062B"/>
    <w:rsid w:val="006707B6"/>
    <w:rsid w:val="006708A2"/>
    <w:rsid w:val="006708B3"/>
    <w:rsid w:val="00670A56"/>
    <w:rsid w:val="00670D78"/>
    <w:rsid w:val="00670F4A"/>
    <w:rsid w:val="006715B6"/>
    <w:rsid w:val="006718E3"/>
    <w:rsid w:val="00671979"/>
    <w:rsid w:val="00671AF3"/>
    <w:rsid w:val="00671B7A"/>
    <w:rsid w:val="00671D2E"/>
    <w:rsid w:val="00671F29"/>
    <w:rsid w:val="00672395"/>
    <w:rsid w:val="00672399"/>
    <w:rsid w:val="006723A5"/>
    <w:rsid w:val="0067258B"/>
    <w:rsid w:val="0067286E"/>
    <w:rsid w:val="00672EFA"/>
    <w:rsid w:val="0067310F"/>
    <w:rsid w:val="006735C8"/>
    <w:rsid w:val="0067392B"/>
    <w:rsid w:val="00673931"/>
    <w:rsid w:val="006739AE"/>
    <w:rsid w:val="00673AD0"/>
    <w:rsid w:val="00673BC7"/>
    <w:rsid w:val="00673D4B"/>
    <w:rsid w:val="00674271"/>
    <w:rsid w:val="006746A6"/>
    <w:rsid w:val="0067486B"/>
    <w:rsid w:val="00674B62"/>
    <w:rsid w:val="00674CFB"/>
    <w:rsid w:val="00674D13"/>
    <w:rsid w:val="00674D71"/>
    <w:rsid w:val="00674E25"/>
    <w:rsid w:val="00675164"/>
    <w:rsid w:val="006751AC"/>
    <w:rsid w:val="00675476"/>
    <w:rsid w:val="00675583"/>
    <w:rsid w:val="00675612"/>
    <w:rsid w:val="00675716"/>
    <w:rsid w:val="0067589C"/>
    <w:rsid w:val="006759A7"/>
    <w:rsid w:val="0067616A"/>
    <w:rsid w:val="00676389"/>
    <w:rsid w:val="00676598"/>
    <w:rsid w:val="0067663C"/>
    <w:rsid w:val="006766FB"/>
    <w:rsid w:val="00676881"/>
    <w:rsid w:val="00676B66"/>
    <w:rsid w:val="00676CFB"/>
    <w:rsid w:val="00676EFF"/>
    <w:rsid w:val="006773BC"/>
    <w:rsid w:val="006776D2"/>
    <w:rsid w:val="00677851"/>
    <w:rsid w:val="00677B5C"/>
    <w:rsid w:val="00677BB1"/>
    <w:rsid w:val="00677C9B"/>
    <w:rsid w:val="00677E5F"/>
    <w:rsid w:val="0068012E"/>
    <w:rsid w:val="00680204"/>
    <w:rsid w:val="006802D7"/>
    <w:rsid w:val="006803FF"/>
    <w:rsid w:val="006805D6"/>
    <w:rsid w:val="00680A0E"/>
    <w:rsid w:val="00680C63"/>
    <w:rsid w:val="00680FA1"/>
    <w:rsid w:val="006818E0"/>
    <w:rsid w:val="00681C86"/>
    <w:rsid w:val="00682154"/>
    <w:rsid w:val="00682539"/>
    <w:rsid w:val="0068258C"/>
    <w:rsid w:val="00682634"/>
    <w:rsid w:val="006827ED"/>
    <w:rsid w:val="00682805"/>
    <w:rsid w:val="006828EF"/>
    <w:rsid w:val="00682E60"/>
    <w:rsid w:val="0068349A"/>
    <w:rsid w:val="006834D6"/>
    <w:rsid w:val="006834FA"/>
    <w:rsid w:val="00683741"/>
    <w:rsid w:val="00683843"/>
    <w:rsid w:val="0068386A"/>
    <w:rsid w:val="00683A8E"/>
    <w:rsid w:val="00683C06"/>
    <w:rsid w:val="00683F51"/>
    <w:rsid w:val="00683FA1"/>
    <w:rsid w:val="00683FA3"/>
    <w:rsid w:val="0068400C"/>
    <w:rsid w:val="0068413E"/>
    <w:rsid w:val="00684293"/>
    <w:rsid w:val="006842F3"/>
    <w:rsid w:val="006843B1"/>
    <w:rsid w:val="006844A1"/>
    <w:rsid w:val="00684605"/>
    <w:rsid w:val="00684671"/>
    <w:rsid w:val="00684E3F"/>
    <w:rsid w:val="006850ED"/>
    <w:rsid w:val="00685129"/>
    <w:rsid w:val="00685206"/>
    <w:rsid w:val="00685369"/>
    <w:rsid w:val="006853DC"/>
    <w:rsid w:val="00685405"/>
    <w:rsid w:val="0068543D"/>
    <w:rsid w:val="00685593"/>
    <w:rsid w:val="00685751"/>
    <w:rsid w:val="0068576D"/>
    <w:rsid w:val="006859D2"/>
    <w:rsid w:val="00685A82"/>
    <w:rsid w:val="00685CAC"/>
    <w:rsid w:val="00685D69"/>
    <w:rsid w:val="00685E69"/>
    <w:rsid w:val="00686037"/>
    <w:rsid w:val="00686202"/>
    <w:rsid w:val="00686236"/>
    <w:rsid w:val="006864FD"/>
    <w:rsid w:val="006865E4"/>
    <w:rsid w:val="00686647"/>
    <w:rsid w:val="00686790"/>
    <w:rsid w:val="00686811"/>
    <w:rsid w:val="00686873"/>
    <w:rsid w:val="00686B72"/>
    <w:rsid w:val="00686B97"/>
    <w:rsid w:val="00686BDC"/>
    <w:rsid w:val="00686DA5"/>
    <w:rsid w:val="00686ED4"/>
    <w:rsid w:val="00686F3F"/>
    <w:rsid w:val="00686FB6"/>
    <w:rsid w:val="00687106"/>
    <w:rsid w:val="00687201"/>
    <w:rsid w:val="00687611"/>
    <w:rsid w:val="00687623"/>
    <w:rsid w:val="006876D1"/>
    <w:rsid w:val="00687781"/>
    <w:rsid w:val="00687837"/>
    <w:rsid w:val="00687987"/>
    <w:rsid w:val="00687CB9"/>
    <w:rsid w:val="00687DED"/>
    <w:rsid w:val="00687E61"/>
    <w:rsid w:val="00690284"/>
    <w:rsid w:val="006902D2"/>
    <w:rsid w:val="006903F7"/>
    <w:rsid w:val="0069077F"/>
    <w:rsid w:val="00690884"/>
    <w:rsid w:val="006908E7"/>
    <w:rsid w:val="006908E8"/>
    <w:rsid w:val="00690B26"/>
    <w:rsid w:val="00691041"/>
    <w:rsid w:val="006910AB"/>
    <w:rsid w:val="00691328"/>
    <w:rsid w:val="00691373"/>
    <w:rsid w:val="00691700"/>
    <w:rsid w:val="0069170D"/>
    <w:rsid w:val="0069172A"/>
    <w:rsid w:val="00691790"/>
    <w:rsid w:val="006917A0"/>
    <w:rsid w:val="0069196C"/>
    <w:rsid w:val="00691B20"/>
    <w:rsid w:val="00691C5B"/>
    <w:rsid w:val="00691DDA"/>
    <w:rsid w:val="00691EAF"/>
    <w:rsid w:val="00691EFD"/>
    <w:rsid w:val="006920F8"/>
    <w:rsid w:val="006921FE"/>
    <w:rsid w:val="006922CF"/>
    <w:rsid w:val="00692393"/>
    <w:rsid w:val="00692421"/>
    <w:rsid w:val="006924D0"/>
    <w:rsid w:val="006926CD"/>
    <w:rsid w:val="006927C9"/>
    <w:rsid w:val="00692830"/>
    <w:rsid w:val="00692886"/>
    <w:rsid w:val="00692971"/>
    <w:rsid w:val="006929B0"/>
    <w:rsid w:val="006929C3"/>
    <w:rsid w:val="00692BAF"/>
    <w:rsid w:val="00692BE8"/>
    <w:rsid w:val="00692D7B"/>
    <w:rsid w:val="006930BC"/>
    <w:rsid w:val="006930F7"/>
    <w:rsid w:val="00693129"/>
    <w:rsid w:val="006933E4"/>
    <w:rsid w:val="00693435"/>
    <w:rsid w:val="00693449"/>
    <w:rsid w:val="0069351E"/>
    <w:rsid w:val="00693C13"/>
    <w:rsid w:val="00693C8B"/>
    <w:rsid w:val="00693EDC"/>
    <w:rsid w:val="00693F95"/>
    <w:rsid w:val="006942FD"/>
    <w:rsid w:val="006944E3"/>
    <w:rsid w:val="00694534"/>
    <w:rsid w:val="006947BE"/>
    <w:rsid w:val="00694965"/>
    <w:rsid w:val="006949A2"/>
    <w:rsid w:val="006949D7"/>
    <w:rsid w:val="00694A40"/>
    <w:rsid w:val="00694ACC"/>
    <w:rsid w:val="00694AFE"/>
    <w:rsid w:val="00694B3D"/>
    <w:rsid w:val="00694C4A"/>
    <w:rsid w:val="00694D2E"/>
    <w:rsid w:val="00694D33"/>
    <w:rsid w:val="00694D70"/>
    <w:rsid w:val="00694F2A"/>
    <w:rsid w:val="0069501F"/>
    <w:rsid w:val="0069510C"/>
    <w:rsid w:val="006952B7"/>
    <w:rsid w:val="0069546A"/>
    <w:rsid w:val="006958F3"/>
    <w:rsid w:val="0069592B"/>
    <w:rsid w:val="00695B74"/>
    <w:rsid w:val="00695BF6"/>
    <w:rsid w:val="00695E51"/>
    <w:rsid w:val="00695EB6"/>
    <w:rsid w:val="00696255"/>
    <w:rsid w:val="00696301"/>
    <w:rsid w:val="006963C5"/>
    <w:rsid w:val="006963DE"/>
    <w:rsid w:val="00696447"/>
    <w:rsid w:val="0069645D"/>
    <w:rsid w:val="006967A4"/>
    <w:rsid w:val="006967D1"/>
    <w:rsid w:val="00696849"/>
    <w:rsid w:val="006968AB"/>
    <w:rsid w:val="006969FE"/>
    <w:rsid w:val="00696ADF"/>
    <w:rsid w:val="00696AE3"/>
    <w:rsid w:val="00696CD8"/>
    <w:rsid w:val="00696D88"/>
    <w:rsid w:val="00696E03"/>
    <w:rsid w:val="00696F85"/>
    <w:rsid w:val="00696FF9"/>
    <w:rsid w:val="00697095"/>
    <w:rsid w:val="00697193"/>
    <w:rsid w:val="006971C7"/>
    <w:rsid w:val="006971E2"/>
    <w:rsid w:val="006971FF"/>
    <w:rsid w:val="006972D6"/>
    <w:rsid w:val="00697391"/>
    <w:rsid w:val="00697B9E"/>
    <w:rsid w:val="00697E64"/>
    <w:rsid w:val="00697E92"/>
    <w:rsid w:val="00697FB7"/>
    <w:rsid w:val="006A009E"/>
    <w:rsid w:val="006A00A7"/>
    <w:rsid w:val="006A0181"/>
    <w:rsid w:val="006A028E"/>
    <w:rsid w:val="006A02BA"/>
    <w:rsid w:val="006A05D0"/>
    <w:rsid w:val="006A0629"/>
    <w:rsid w:val="006A0887"/>
    <w:rsid w:val="006A08D6"/>
    <w:rsid w:val="006A0E33"/>
    <w:rsid w:val="006A0E4F"/>
    <w:rsid w:val="006A0F74"/>
    <w:rsid w:val="006A0FF3"/>
    <w:rsid w:val="006A1090"/>
    <w:rsid w:val="006A1172"/>
    <w:rsid w:val="006A12B4"/>
    <w:rsid w:val="006A12ED"/>
    <w:rsid w:val="006A148B"/>
    <w:rsid w:val="006A156A"/>
    <w:rsid w:val="006A1664"/>
    <w:rsid w:val="006A16B6"/>
    <w:rsid w:val="006A1C6D"/>
    <w:rsid w:val="006A1CC2"/>
    <w:rsid w:val="006A1CD6"/>
    <w:rsid w:val="006A1DAE"/>
    <w:rsid w:val="006A1DC6"/>
    <w:rsid w:val="006A1E04"/>
    <w:rsid w:val="006A1E19"/>
    <w:rsid w:val="006A1E5F"/>
    <w:rsid w:val="006A1F07"/>
    <w:rsid w:val="006A22AF"/>
    <w:rsid w:val="006A231B"/>
    <w:rsid w:val="006A2545"/>
    <w:rsid w:val="006A25BD"/>
    <w:rsid w:val="006A2645"/>
    <w:rsid w:val="006A26F9"/>
    <w:rsid w:val="006A281D"/>
    <w:rsid w:val="006A2959"/>
    <w:rsid w:val="006A2A1A"/>
    <w:rsid w:val="006A2A75"/>
    <w:rsid w:val="006A2D01"/>
    <w:rsid w:val="006A2F7F"/>
    <w:rsid w:val="006A2FB4"/>
    <w:rsid w:val="006A31B8"/>
    <w:rsid w:val="006A345D"/>
    <w:rsid w:val="006A3562"/>
    <w:rsid w:val="006A366B"/>
    <w:rsid w:val="006A36AA"/>
    <w:rsid w:val="006A3719"/>
    <w:rsid w:val="006A372B"/>
    <w:rsid w:val="006A380D"/>
    <w:rsid w:val="006A3942"/>
    <w:rsid w:val="006A3996"/>
    <w:rsid w:val="006A39C9"/>
    <w:rsid w:val="006A3AE1"/>
    <w:rsid w:val="006A3B2B"/>
    <w:rsid w:val="006A3B62"/>
    <w:rsid w:val="006A3BEE"/>
    <w:rsid w:val="006A3CD2"/>
    <w:rsid w:val="006A3E74"/>
    <w:rsid w:val="006A3FFF"/>
    <w:rsid w:val="006A409B"/>
    <w:rsid w:val="006A41B9"/>
    <w:rsid w:val="006A439C"/>
    <w:rsid w:val="006A4554"/>
    <w:rsid w:val="006A458F"/>
    <w:rsid w:val="006A45C8"/>
    <w:rsid w:val="006A4818"/>
    <w:rsid w:val="006A49D2"/>
    <w:rsid w:val="006A49E0"/>
    <w:rsid w:val="006A4BF1"/>
    <w:rsid w:val="006A4C35"/>
    <w:rsid w:val="006A4D13"/>
    <w:rsid w:val="006A500B"/>
    <w:rsid w:val="006A53AF"/>
    <w:rsid w:val="006A5417"/>
    <w:rsid w:val="006A59EA"/>
    <w:rsid w:val="006A5D04"/>
    <w:rsid w:val="006A5EB9"/>
    <w:rsid w:val="006A63D3"/>
    <w:rsid w:val="006A6513"/>
    <w:rsid w:val="006A656F"/>
    <w:rsid w:val="006A661C"/>
    <w:rsid w:val="006A6960"/>
    <w:rsid w:val="006A6A77"/>
    <w:rsid w:val="006A6C37"/>
    <w:rsid w:val="006A6CC4"/>
    <w:rsid w:val="006A6E94"/>
    <w:rsid w:val="006A6F11"/>
    <w:rsid w:val="006A6F20"/>
    <w:rsid w:val="006A6FC1"/>
    <w:rsid w:val="006A6FCA"/>
    <w:rsid w:val="006A7022"/>
    <w:rsid w:val="006A7329"/>
    <w:rsid w:val="006A7660"/>
    <w:rsid w:val="006A78A5"/>
    <w:rsid w:val="006A79AF"/>
    <w:rsid w:val="006A7A4E"/>
    <w:rsid w:val="006A7A8E"/>
    <w:rsid w:val="006A7C65"/>
    <w:rsid w:val="006A7EA7"/>
    <w:rsid w:val="006A7F69"/>
    <w:rsid w:val="006B02DC"/>
    <w:rsid w:val="006B0474"/>
    <w:rsid w:val="006B0481"/>
    <w:rsid w:val="006B06BC"/>
    <w:rsid w:val="006B09B7"/>
    <w:rsid w:val="006B0C63"/>
    <w:rsid w:val="006B0F72"/>
    <w:rsid w:val="006B0F9F"/>
    <w:rsid w:val="006B1193"/>
    <w:rsid w:val="006B1443"/>
    <w:rsid w:val="006B1448"/>
    <w:rsid w:val="006B192A"/>
    <w:rsid w:val="006B1981"/>
    <w:rsid w:val="006B1EB9"/>
    <w:rsid w:val="006B2099"/>
    <w:rsid w:val="006B2326"/>
    <w:rsid w:val="006B236C"/>
    <w:rsid w:val="006B2480"/>
    <w:rsid w:val="006B2541"/>
    <w:rsid w:val="006B273A"/>
    <w:rsid w:val="006B2939"/>
    <w:rsid w:val="006B2A0D"/>
    <w:rsid w:val="006B2A11"/>
    <w:rsid w:val="006B305B"/>
    <w:rsid w:val="006B30AC"/>
    <w:rsid w:val="006B324A"/>
    <w:rsid w:val="006B3250"/>
    <w:rsid w:val="006B3312"/>
    <w:rsid w:val="006B3693"/>
    <w:rsid w:val="006B36BB"/>
    <w:rsid w:val="006B38DE"/>
    <w:rsid w:val="006B3949"/>
    <w:rsid w:val="006B39A2"/>
    <w:rsid w:val="006B3A11"/>
    <w:rsid w:val="006B3A1D"/>
    <w:rsid w:val="006B3B28"/>
    <w:rsid w:val="006B3D39"/>
    <w:rsid w:val="006B3D50"/>
    <w:rsid w:val="006B3E70"/>
    <w:rsid w:val="006B3F33"/>
    <w:rsid w:val="006B3FF8"/>
    <w:rsid w:val="006B486B"/>
    <w:rsid w:val="006B48DE"/>
    <w:rsid w:val="006B4A40"/>
    <w:rsid w:val="006B4C0E"/>
    <w:rsid w:val="006B4F3E"/>
    <w:rsid w:val="006B53C1"/>
    <w:rsid w:val="006B55B7"/>
    <w:rsid w:val="006B5BE9"/>
    <w:rsid w:val="006B5D27"/>
    <w:rsid w:val="006B5EE6"/>
    <w:rsid w:val="006B5FC1"/>
    <w:rsid w:val="006B6026"/>
    <w:rsid w:val="006B6083"/>
    <w:rsid w:val="006B623F"/>
    <w:rsid w:val="006B63EB"/>
    <w:rsid w:val="006B6459"/>
    <w:rsid w:val="006B64DB"/>
    <w:rsid w:val="006B68BC"/>
    <w:rsid w:val="006B6B1A"/>
    <w:rsid w:val="006B6E81"/>
    <w:rsid w:val="006B6ED6"/>
    <w:rsid w:val="006B70C3"/>
    <w:rsid w:val="006B7751"/>
    <w:rsid w:val="006B7828"/>
    <w:rsid w:val="006B7952"/>
    <w:rsid w:val="006B7C19"/>
    <w:rsid w:val="006C0112"/>
    <w:rsid w:val="006C0121"/>
    <w:rsid w:val="006C01BD"/>
    <w:rsid w:val="006C0276"/>
    <w:rsid w:val="006C0309"/>
    <w:rsid w:val="006C0450"/>
    <w:rsid w:val="006C0604"/>
    <w:rsid w:val="006C063A"/>
    <w:rsid w:val="006C0878"/>
    <w:rsid w:val="006C0C8B"/>
    <w:rsid w:val="006C0D6F"/>
    <w:rsid w:val="006C0E66"/>
    <w:rsid w:val="006C12D8"/>
    <w:rsid w:val="006C144C"/>
    <w:rsid w:val="006C173D"/>
    <w:rsid w:val="006C1952"/>
    <w:rsid w:val="006C1B2C"/>
    <w:rsid w:val="006C1B85"/>
    <w:rsid w:val="006C1C44"/>
    <w:rsid w:val="006C1CAB"/>
    <w:rsid w:val="006C2257"/>
    <w:rsid w:val="006C23F5"/>
    <w:rsid w:val="006C2443"/>
    <w:rsid w:val="006C2449"/>
    <w:rsid w:val="006C263C"/>
    <w:rsid w:val="006C26AF"/>
    <w:rsid w:val="006C290D"/>
    <w:rsid w:val="006C29AB"/>
    <w:rsid w:val="006C2A34"/>
    <w:rsid w:val="006C2A43"/>
    <w:rsid w:val="006C2B1A"/>
    <w:rsid w:val="006C2D0A"/>
    <w:rsid w:val="006C2DC5"/>
    <w:rsid w:val="006C2DEA"/>
    <w:rsid w:val="006C2F41"/>
    <w:rsid w:val="006C3573"/>
    <w:rsid w:val="006C3614"/>
    <w:rsid w:val="006C370E"/>
    <w:rsid w:val="006C3711"/>
    <w:rsid w:val="006C376B"/>
    <w:rsid w:val="006C38C9"/>
    <w:rsid w:val="006C3C50"/>
    <w:rsid w:val="006C3DF9"/>
    <w:rsid w:val="006C3FA8"/>
    <w:rsid w:val="006C41A1"/>
    <w:rsid w:val="006C41CA"/>
    <w:rsid w:val="006C4294"/>
    <w:rsid w:val="006C42FE"/>
    <w:rsid w:val="006C43EF"/>
    <w:rsid w:val="006C4435"/>
    <w:rsid w:val="006C45D7"/>
    <w:rsid w:val="006C4778"/>
    <w:rsid w:val="006C4CC6"/>
    <w:rsid w:val="006C4DE0"/>
    <w:rsid w:val="006C4F7A"/>
    <w:rsid w:val="006C53AD"/>
    <w:rsid w:val="006C54A7"/>
    <w:rsid w:val="006C55B0"/>
    <w:rsid w:val="006C55E9"/>
    <w:rsid w:val="006C569D"/>
    <w:rsid w:val="006C5868"/>
    <w:rsid w:val="006C58FA"/>
    <w:rsid w:val="006C5912"/>
    <w:rsid w:val="006C5956"/>
    <w:rsid w:val="006C5D62"/>
    <w:rsid w:val="006C616B"/>
    <w:rsid w:val="006C639D"/>
    <w:rsid w:val="006C6502"/>
    <w:rsid w:val="006C654C"/>
    <w:rsid w:val="006C657D"/>
    <w:rsid w:val="006C6684"/>
    <w:rsid w:val="006C67BA"/>
    <w:rsid w:val="006C6A73"/>
    <w:rsid w:val="006C6B03"/>
    <w:rsid w:val="006C6E80"/>
    <w:rsid w:val="006C6F7A"/>
    <w:rsid w:val="006C7087"/>
    <w:rsid w:val="006C7131"/>
    <w:rsid w:val="006C7488"/>
    <w:rsid w:val="006C7528"/>
    <w:rsid w:val="006C7538"/>
    <w:rsid w:val="006C757A"/>
    <w:rsid w:val="006C7998"/>
    <w:rsid w:val="006C7A71"/>
    <w:rsid w:val="006C7A89"/>
    <w:rsid w:val="006D000A"/>
    <w:rsid w:val="006D03BD"/>
    <w:rsid w:val="006D041F"/>
    <w:rsid w:val="006D05C7"/>
    <w:rsid w:val="006D06F2"/>
    <w:rsid w:val="006D0924"/>
    <w:rsid w:val="006D0CCE"/>
    <w:rsid w:val="006D10C6"/>
    <w:rsid w:val="006D1175"/>
    <w:rsid w:val="006D1349"/>
    <w:rsid w:val="006D13D3"/>
    <w:rsid w:val="006D13FF"/>
    <w:rsid w:val="006D1528"/>
    <w:rsid w:val="006D1834"/>
    <w:rsid w:val="006D19EC"/>
    <w:rsid w:val="006D1CDA"/>
    <w:rsid w:val="006D1D7B"/>
    <w:rsid w:val="006D1E9E"/>
    <w:rsid w:val="006D1FA9"/>
    <w:rsid w:val="006D204C"/>
    <w:rsid w:val="006D2079"/>
    <w:rsid w:val="006D20ED"/>
    <w:rsid w:val="006D2239"/>
    <w:rsid w:val="006D241D"/>
    <w:rsid w:val="006D2959"/>
    <w:rsid w:val="006D2AF1"/>
    <w:rsid w:val="006D2B78"/>
    <w:rsid w:val="006D2CE3"/>
    <w:rsid w:val="006D2EF6"/>
    <w:rsid w:val="006D30D4"/>
    <w:rsid w:val="006D3139"/>
    <w:rsid w:val="006D3146"/>
    <w:rsid w:val="006D3253"/>
    <w:rsid w:val="006D36D8"/>
    <w:rsid w:val="006D3727"/>
    <w:rsid w:val="006D37E8"/>
    <w:rsid w:val="006D398B"/>
    <w:rsid w:val="006D39DC"/>
    <w:rsid w:val="006D3A6D"/>
    <w:rsid w:val="006D3A91"/>
    <w:rsid w:val="006D3D46"/>
    <w:rsid w:val="006D4015"/>
    <w:rsid w:val="006D40E8"/>
    <w:rsid w:val="006D419B"/>
    <w:rsid w:val="006D4302"/>
    <w:rsid w:val="006D43EE"/>
    <w:rsid w:val="006D443A"/>
    <w:rsid w:val="006D44A3"/>
    <w:rsid w:val="006D468C"/>
    <w:rsid w:val="006D469F"/>
    <w:rsid w:val="006D4777"/>
    <w:rsid w:val="006D4779"/>
    <w:rsid w:val="006D4860"/>
    <w:rsid w:val="006D4AC3"/>
    <w:rsid w:val="006D4AE2"/>
    <w:rsid w:val="006D4B16"/>
    <w:rsid w:val="006D4E16"/>
    <w:rsid w:val="006D4F61"/>
    <w:rsid w:val="006D53ED"/>
    <w:rsid w:val="006D561C"/>
    <w:rsid w:val="006D56E2"/>
    <w:rsid w:val="006D5748"/>
    <w:rsid w:val="006D5885"/>
    <w:rsid w:val="006D5912"/>
    <w:rsid w:val="006D5963"/>
    <w:rsid w:val="006D59CE"/>
    <w:rsid w:val="006D5D93"/>
    <w:rsid w:val="006D61BD"/>
    <w:rsid w:val="006D62F9"/>
    <w:rsid w:val="006D6385"/>
    <w:rsid w:val="006D639E"/>
    <w:rsid w:val="006D69F4"/>
    <w:rsid w:val="006D6DA2"/>
    <w:rsid w:val="006D6DC3"/>
    <w:rsid w:val="006D6DFC"/>
    <w:rsid w:val="006D6F08"/>
    <w:rsid w:val="006D71E6"/>
    <w:rsid w:val="006D7352"/>
    <w:rsid w:val="006D79DA"/>
    <w:rsid w:val="006D7A86"/>
    <w:rsid w:val="006D7D0F"/>
    <w:rsid w:val="006D7D94"/>
    <w:rsid w:val="006D7E81"/>
    <w:rsid w:val="006E005C"/>
    <w:rsid w:val="006E019D"/>
    <w:rsid w:val="006E0440"/>
    <w:rsid w:val="006E048E"/>
    <w:rsid w:val="006E04CE"/>
    <w:rsid w:val="006E05F6"/>
    <w:rsid w:val="006E08B9"/>
    <w:rsid w:val="006E0939"/>
    <w:rsid w:val="006E0A2A"/>
    <w:rsid w:val="006E0ACF"/>
    <w:rsid w:val="006E109B"/>
    <w:rsid w:val="006E10C9"/>
    <w:rsid w:val="006E118F"/>
    <w:rsid w:val="006E11B2"/>
    <w:rsid w:val="006E12A8"/>
    <w:rsid w:val="006E13A4"/>
    <w:rsid w:val="006E145C"/>
    <w:rsid w:val="006E1961"/>
    <w:rsid w:val="006E19EB"/>
    <w:rsid w:val="006E1B23"/>
    <w:rsid w:val="006E2AAD"/>
    <w:rsid w:val="006E2C67"/>
    <w:rsid w:val="006E2DF1"/>
    <w:rsid w:val="006E31B1"/>
    <w:rsid w:val="006E33FB"/>
    <w:rsid w:val="006E34E4"/>
    <w:rsid w:val="006E3639"/>
    <w:rsid w:val="006E36FC"/>
    <w:rsid w:val="006E3AD5"/>
    <w:rsid w:val="006E3C93"/>
    <w:rsid w:val="006E3D08"/>
    <w:rsid w:val="006E3E87"/>
    <w:rsid w:val="006E421A"/>
    <w:rsid w:val="006E445A"/>
    <w:rsid w:val="006E44D4"/>
    <w:rsid w:val="006E454B"/>
    <w:rsid w:val="006E45CE"/>
    <w:rsid w:val="006E4630"/>
    <w:rsid w:val="006E468C"/>
    <w:rsid w:val="006E4868"/>
    <w:rsid w:val="006E49D4"/>
    <w:rsid w:val="006E4A6E"/>
    <w:rsid w:val="006E4ADF"/>
    <w:rsid w:val="006E4D86"/>
    <w:rsid w:val="006E4E07"/>
    <w:rsid w:val="006E4E16"/>
    <w:rsid w:val="006E510C"/>
    <w:rsid w:val="006E54B7"/>
    <w:rsid w:val="006E5720"/>
    <w:rsid w:val="006E588E"/>
    <w:rsid w:val="006E58AE"/>
    <w:rsid w:val="006E58ED"/>
    <w:rsid w:val="006E5B92"/>
    <w:rsid w:val="006E5BED"/>
    <w:rsid w:val="006E5C17"/>
    <w:rsid w:val="006E5C7F"/>
    <w:rsid w:val="006E5DB5"/>
    <w:rsid w:val="006E5E28"/>
    <w:rsid w:val="006E5EB3"/>
    <w:rsid w:val="006E6574"/>
    <w:rsid w:val="006E65FF"/>
    <w:rsid w:val="006E6629"/>
    <w:rsid w:val="006E66E4"/>
    <w:rsid w:val="006E683E"/>
    <w:rsid w:val="006E6922"/>
    <w:rsid w:val="006E6A1D"/>
    <w:rsid w:val="006E6C47"/>
    <w:rsid w:val="006E6C92"/>
    <w:rsid w:val="006E6DB1"/>
    <w:rsid w:val="006E6DD6"/>
    <w:rsid w:val="006E708A"/>
    <w:rsid w:val="006E72CC"/>
    <w:rsid w:val="006E7402"/>
    <w:rsid w:val="006E7481"/>
    <w:rsid w:val="006E7550"/>
    <w:rsid w:val="006E7558"/>
    <w:rsid w:val="006E7803"/>
    <w:rsid w:val="006E7921"/>
    <w:rsid w:val="006E7993"/>
    <w:rsid w:val="006E7A4D"/>
    <w:rsid w:val="006E7FF8"/>
    <w:rsid w:val="006F03E0"/>
    <w:rsid w:val="006F0551"/>
    <w:rsid w:val="006F0570"/>
    <w:rsid w:val="006F0671"/>
    <w:rsid w:val="006F0736"/>
    <w:rsid w:val="006F0782"/>
    <w:rsid w:val="006F0816"/>
    <w:rsid w:val="006F08A0"/>
    <w:rsid w:val="006F0AAC"/>
    <w:rsid w:val="006F0CBB"/>
    <w:rsid w:val="006F0EEF"/>
    <w:rsid w:val="006F1263"/>
    <w:rsid w:val="006F1270"/>
    <w:rsid w:val="006F12DC"/>
    <w:rsid w:val="006F14F0"/>
    <w:rsid w:val="006F177A"/>
    <w:rsid w:val="006F1A8B"/>
    <w:rsid w:val="006F1CE8"/>
    <w:rsid w:val="006F1D6F"/>
    <w:rsid w:val="006F1E6A"/>
    <w:rsid w:val="006F2448"/>
    <w:rsid w:val="006F27E1"/>
    <w:rsid w:val="006F2822"/>
    <w:rsid w:val="006F2876"/>
    <w:rsid w:val="006F292E"/>
    <w:rsid w:val="006F2D01"/>
    <w:rsid w:val="006F2D7B"/>
    <w:rsid w:val="006F2E27"/>
    <w:rsid w:val="006F3154"/>
    <w:rsid w:val="006F31D6"/>
    <w:rsid w:val="006F3294"/>
    <w:rsid w:val="006F32E0"/>
    <w:rsid w:val="006F3434"/>
    <w:rsid w:val="006F359E"/>
    <w:rsid w:val="006F3805"/>
    <w:rsid w:val="006F3879"/>
    <w:rsid w:val="006F3BB9"/>
    <w:rsid w:val="006F3F03"/>
    <w:rsid w:val="006F3FCB"/>
    <w:rsid w:val="006F4082"/>
    <w:rsid w:val="006F4221"/>
    <w:rsid w:val="006F439C"/>
    <w:rsid w:val="006F444B"/>
    <w:rsid w:val="006F465C"/>
    <w:rsid w:val="006F491D"/>
    <w:rsid w:val="006F4A19"/>
    <w:rsid w:val="006F4A24"/>
    <w:rsid w:val="006F4B3C"/>
    <w:rsid w:val="006F4B4A"/>
    <w:rsid w:val="006F4EC7"/>
    <w:rsid w:val="006F4ED0"/>
    <w:rsid w:val="006F4F08"/>
    <w:rsid w:val="006F4FC3"/>
    <w:rsid w:val="006F4FFD"/>
    <w:rsid w:val="006F5252"/>
    <w:rsid w:val="006F58CE"/>
    <w:rsid w:val="006F5C00"/>
    <w:rsid w:val="006F5C89"/>
    <w:rsid w:val="006F5DBD"/>
    <w:rsid w:val="006F615B"/>
    <w:rsid w:val="006F6304"/>
    <w:rsid w:val="006F63CF"/>
    <w:rsid w:val="006F64FD"/>
    <w:rsid w:val="006F6A1B"/>
    <w:rsid w:val="006F6A7C"/>
    <w:rsid w:val="006F6AAD"/>
    <w:rsid w:val="006F6CB8"/>
    <w:rsid w:val="006F6CD2"/>
    <w:rsid w:val="006F6E53"/>
    <w:rsid w:val="006F6E74"/>
    <w:rsid w:val="006F6FA9"/>
    <w:rsid w:val="006F7018"/>
    <w:rsid w:val="006F7025"/>
    <w:rsid w:val="006F7307"/>
    <w:rsid w:val="006F759D"/>
    <w:rsid w:val="006F75E2"/>
    <w:rsid w:val="006F7646"/>
    <w:rsid w:val="006F7674"/>
    <w:rsid w:val="006F7733"/>
    <w:rsid w:val="006F7812"/>
    <w:rsid w:val="006F79C2"/>
    <w:rsid w:val="006F7D28"/>
    <w:rsid w:val="00700152"/>
    <w:rsid w:val="007002B6"/>
    <w:rsid w:val="00700378"/>
    <w:rsid w:val="00700395"/>
    <w:rsid w:val="0070051B"/>
    <w:rsid w:val="007008C3"/>
    <w:rsid w:val="0070094A"/>
    <w:rsid w:val="007009C9"/>
    <w:rsid w:val="00700BE0"/>
    <w:rsid w:val="00700CF4"/>
    <w:rsid w:val="0070101D"/>
    <w:rsid w:val="007012C5"/>
    <w:rsid w:val="00701577"/>
    <w:rsid w:val="0070158A"/>
    <w:rsid w:val="007015B5"/>
    <w:rsid w:val="00701704"/>
    <w:rsid w:val="00701A4F"/>
    <w:rsid w:val="00701B6A"/>
    <w:rsid w:val="00701D68"/>
    <w:rsid w:val="00701D82"/>
    <w:rsid w:val="00701E4F"/>
    <w:rsid w:val="00701E64"/>
    <w:rsid w:val="00701F7F"/>
    <w:rsid w:val="0070206B"/>
    <w:rsid w:val="007020EB"/>
    <w:rsid w:val="00702420"/>
    <w:rsid w:val="007024E5"/>
    <w:rsid w:val="007026CA"/>
    <w:rsid w:val="007026D8"/>
    <w:rsid w:val="007027C8"/>
    <w:rsid w:val="00702812"/>
    <w:rsid w:val="00702864"/>
    <w:rsid w:val="007028A1"/>
    <w:rsid w:val="007029AC"/>
    <w:rsid w:val="00702BBC"/>
    <w:rsid w:val="00702CFD"/>
    <w:rsid w:val="00702F7E"/>
    <w:rsid w:val="00703048"/>
    <w:rsid w:val="00703071"/>
    <w:rsid w:val="007031EC"/>
    <w:rsid w:val="00703700"/>
    <w:rsid w:val="00703726"/>
    <w:rsid w:val="0070395A"/>
    <w:rsid w:val="00703C07"/>
    <w:rsid w:val="00703DD3"/>
    <w:rsid w:val="00704047"/>
    <w:rsid w:val="00704081"/>
    <w:rsid w:val="007048E0"/>
    <w:rsid w:val="007048ED"/>
    <w:rsid w:val="00704A27"/>
    <w:rsid w:val="00704B4E"/>
    <w:rsid w:val="00704E43"/>
    <w:rsid w:val="00704E69"/>
    <w:rsid w:val="00704E92"/>
    <w:rsid w:val="00705049"/>
    <w:rsid w:val="00705051"/>
    <w:rsid w:val="0070507F"/>
    <w:rsid w:val="00705194"/>
    <w:rsid w:val="007053B8"/>
    <w:rsid w:val="00705435"/>
    <w:rsid w:val="0070552C"/>
    <w:rsid w:val="007055B9"/>
    <w:rsid w:val="0070571F"/>
    <w:rsid w:val="00705817"/>
    <w:rsid w:val="007058D1"/>
    <w:rsid w:val="0070593D"/>
    <w:rsid w:val="00705B4E"/>
    <w:rsid w:val="00705EB1"/>
    <w:rsid w:val="0070600D"/>
    <w:rsid w:val="007060CB"/>
    <w:rsid w:val="0070615C"/>
    <w:rsid w:val="00706174"/>
    <w:rsid w:val="0070639C"/>
    <w:rsid w:val="00706444"/>
    <w:rsid w:val="0070658A"/>
    <w:rsid w:val="007065F3"/>
    <w:rsid w:val="0070689E"/>
    <w:rsid w:val="00706C52"/>
    <w:rsid w:val="00706D81"/>
    <w:rsid w:val="00706E36"/>
    <w:rsid w:val="00706F61"/>
    <w:rsid w:val="00706FFE"/>
    <w:rsid w:val="007074C4"/>
    <w:rsid w:val="00707520"/>
    <w:rsid w:val="00707707"/>
    <w:rsid w:val="0070772D"/>
    <w:rsid w:val="007077B7"/>
    <w:rsid w:val="007077FF"/>
    <w:rsid w:val="00707902"/>
    <w:rsid w:val="007079B7"/>
    <w:rsid w:val="00707A4B"/>
    <w:rsid w:val="00707E28"/>
    <w:rsid w:val="00707EA7"/>
    <w:rsid w:val="00710014"/>
    <w:rsid w:val="007100AD"/>
    <w:rsid w:val="007100D9"/>
    <w:rsid w:val="0071023A"/>
    <w:rsid w:val="007102DA"/>
    <w:rsid w:val="00710381"/>
    <w:rsid w:val="007103CD"/>
    <w:rsid w:val="0071042F"/>
    <w:rsid w:val="0071043B"/>
    <w:rsid w:val="007104F6"/>
    <w:rsid w:val="0071051F"/>
    <w:rsid w:val="0071085B"/>
    <w:rsid w:val="00710A6F"/>
    <w:rsid w:val="00710BBD"/>
    <w:rsid w:val="00710F03"/>
    <w:rsid w:val="00710F17"/>
    <w:rsid w:val="007111AB"/>
    <w:rsid w:val="007113D1"/>
    <w:rsid w:val="00711545"/>
    <w:rsid w:val="0071191B"/>
    <w:rsid w:val="00711A66"/>
    <w:rsid w:val="00711A9F"/>
    <w:rsid w:val="00711DA0"/>
    <w:rsid w:val="00711FAC"/>
    <w:rsid w:val="0071225A"/>
    <w:rsid w:val="0071232A"/>
    <w:rsid w:val="0071246E"/>
    <w:rsid w:val="0071263E"/>
    <w:rsid w:val="00712881"/>
    <w:rsid w:val="00712A3E"/>
    <w:rsid w:val="00712A4D"/>
    <w:rsid w:val="00712A63"/>
    <w:rsid w:val="00712B76"/>
    <w:rsid w:val="00712DC3"/>
    <w:rsid w:val="00712E20"/>
    <w:rsid w:val="0071312F"/>
    <w:rsid w:val="007131A3"/>
    <w:rsid w:val="007132C1"/>
    <w:rsid w:val="00713619"/>
    <w:rsid w:val="00713626"/>
    <w:rsid w:val="00713816"/>
    <w:rsid w:val="007138A6"/>
    <w:rsid w:val="007138EE"/>
    <w:rsid w:val="00713A55"/>
    <w:rsid w:val="00713B4E"/>
    <w:rsid w:val="00713C05"/>
    <w:rsid w:val="00713C0A"/>
    <w:rsid w:val="00713C1F"/>
    <w:rsid w:val="00713C4B"/>
    <w:rsid w:val="00713E57"/>
    <w:rsid w:val="007140F7"/>
    <w:rsid w:val="0071418D"/>
    <w:rsid w:val="00714220"/>
    <w:rsid w:val="0071445C"/>
    <w:rsid w:val="00714843"/>
    <w:rsid w:val="007149FF"/>
    <w:rsid w:val="00714AE5"/>
    <w:rsid w:val="00714C05"/>
    <w:rsid w:val="00714CA9"/>
    <w:rsid w:val="00714CF2"/>
    <w:rsid w:val="00714D7F"/>
    <w:rsid w:val="00714E20"/>
    <w:rsid w:val="007153C2"/>
    <w:rsid w:val="007154D1"/>
    <w:rsid w:val="007155BB"/>
    <w:rsid w:val="007155E1"/>
    <w:rsid w:val="007155F5"/>
    <w:rsid w:val="00715610"/>
    <w:rsid w:val="00715615"/>
    <w:rsid w:val="0071561A"/>
    <w:rsid w:val="007156B9"/>
    <w:rsid w:val="0071581F"/>
    <w:rsid w:val="0071587C"/>
    <w:rsid w:val="00715AE2"/>
    <w:rsid w:val="00715D50"/>
    <w:rsid w:val="00715F66"/>
    <w:rsid w:val="007161F9"/>
    <w:rsid w:val="00716341"/>
    <w:rsid w:val="0071686E"/>
    <w:rsid w:val="007168D3"/>
    <w:rsid w:val="00716A34"/>
    <w:rsid w:val="00716A67"/>
    <w:rsid w:val="00716ABB"/>
    <w:rsid w:val="00716BC8"/>
    <w:rsid w:val="00716C0D"/>
    <w:rsid w:val="0071728B"/>
    <w:rsid w:val="00717304"/>
    <w:rsid w:val="007176FB"/>
    <w:rsid w:val="007177A4"/>
    <w:rsid w:val="007177F4"/>
    <w:rsid w:val="00717A07"/>
    <w:rsid w:val="00717A16"/>
    <w:rsid w:val="00717AF1"/>
    <w:rsid w:val="00717BBA"/>
    <w:rsid w:val="00717BC2"/>
    <w:rsid w:val="00717E49"/>
    <w:rsid w:val="00717E57"/>
    <w:rsid w:val="00717F60"/>
    <w:rsid w:val="0072029A"/>
    <w:rsid w:val="007203F3"/>
    <w:rsid w:val="00720430"/>
    <w:rsid w:val="007205CA"/>
    <w:rsid w:val="00720817"/>
    <w:rsid w:val="00720CA8"/>
    <w:rsid w:val="00720D2D"/>
    <w:rsid w:val="0072107D"/>
    <w:rsid w:val="007213FB"/>
    <w:rsid w:val="00721643"/>
    <w:rsid w:val="00721704"/>
    <w:rsid w:val="00721730"/>
    <w:rsid w:val="00721754"/>
    <w:rsid w:val="00721844"/>
    <w:rsid w:val="0072185F"/>
    <w:rsid w:val="007218A4"/>
    <w:rsid w:val="00721B7D"/>
    <w:rsid w:val="007221A0"/>
    <w:rsid w:val="00722252"/>
    <w:rsid w:val="0072230F"/>
    <w:rsid w:val="00722364"/>
    <w:rsid w:val="0072243B"/>
    <w:rsid w:val="007225FF"/>
    <w:rsid w:val="0072271A"/>
    <w:rsid w:val="00722850"/>
    <w:rsid w:val="00722A8B"/>
    <w:rsid w:val="00722B7B"/>
    <w:rsid w:val="00722C10"/>
    <w:rsid w:val="007234A6"/>
    <w:rsid w:val="00723526"/>
    <w:rsid w:val="007235D3"/>
    <w:rsid w:val="00723669"/>
    <w:rsid w:val="0072376B"/>
    <w:rsid w:val="00723826"/>
    <w:rsid w:val="007238EF"/>
    <w:rsid w:val="00723933"/>
    <w:rsid w:val="00723A01"/>
    <w:rsid w:val="00723A38"/>
    <w:rsid w:val="00723C1F"/>
    <w:rsid w:val="00723C47"/>
    <w:rsid w:val="00723C92"/>
    <w:rsid w:val="00723CE6"/>
    <w:rsid w:val="0072400D"/>
    <w:rsid w:val="007244AC"/>
    <w:rsid w:val="007245C7"/>
    <w:rsid w:val="00724629"/>
    <w:rsid w:val="00724630"/>
    <w:rsid w:val="007246AD"/>
    <w:rsid w:val="007246E8"/>
    <w:rsid w:val="007246FF"/>
    <w:rsid w:val="007247C1"/>
    <w:rsid w:val="0072488C"/>
    <w:rsid w:val="00724BA0"/>
    <w:rsid w:val="00724D18"/>
    <w:rsid w:val="00724E65"/>
    <w:rsid w:val="00724F78"/>
    <w:rsid w:val="00725195"/>
    <w:rsid w:val="007257C8"/>
    <w:rsid w:val="00725AC8"/>
    <w:rsid w:val="00725B77"/>
    <w:rsid w:val="00725B9D"/>
    <w:rsid w:val="00725EB8"/>
    <w:rsid w:val="00725F38"/>
    <w:rsid w:val="0072638B"/>
    <w:rsid w:val="00726451"/>
    <w:rsid w:val="007264E0"/>
    <w:rsid w:val="00726696"/>
    <w:rsid w:val="007267C0"/>
    <w:rsid w:val="0072692C"/>
    <w:rsid w:val="00726C1F"/>
    <w:rsid w:val="00726C99"/>
    <w:rsid w:val="00726E16"/>
    <w:rsid w:val="00726EC0"/>
    <w:rsid w:val="0072700B"/>
    <w:rsid w:val="00727099"/>
    <w:rsid w:val="00727148"/>
    <w:rsid w:val="00727474"/>
    <w:rsid w:val="007277AA"/>
    <w:rsid w:val="00727DA6"/>
    <w:rsid w:val="007301CD"/>
    <w:rsid w:val="0073088E"/>
    <w:rsid w:val="00730895"/>
    <w:rsid w:val="00730961"/>
    <w:rsid w:val="00730B30"/>
    <w:rsid w:val="00730B37"/>
    <w:rsid w:val="00730BA9"/>
    <w:rsid w:val="00730C8D"/>
    <w:rsid w:val="00731705"/>
    <w:rsid w:val="007318E6"/>
    <w:rsid w:val="00731921"/>
    <w:rsid w:val="007319AB"/>
    <w:rsid w:val="00731B37"/>
    <w:rsid w:val="00731EE2"/>
    <w:rsid w:val="00731F4A"/>
    <w:rsid w:val="00732231"/>
    <w:rsid w:val="0073224F"/>
    <w:rsid w:val="007322DB"/>
    <w:rsid w:val="0073238D"/>
    <w:rsid w:val="007323AE"/>
    <w:rsid w:val="0073262F"/>
    <w:rsid w:val="00732768"/>
    <w:rsid w:val="00732857"/>
    <w:rsid w:val="007329E1"/>
    <w:rsid w:val="00732CD9"/>
    <w:rsid w:val="00732D7A"/>
    <w:rsid w:val="00733010"/>
    <w:rsid w:val="00733012"/>
    <w:rsid w:val="00733159"/>
    <w:rsid w:val="0073353F"/>
    <w:rsid w:val="007336C7"/>
    <w:rsid w:val="00733871"/>
    <w:rsid w:val="007338E3"/>
    <w:rsid w:val="00733BAC"/>
    <w:rsid w:val="007340CD"/>
    <w:rsid w:val="007343AF"/>
    <w:rsid w:val="00734557"/>
    <w:rsid w:val="00734611"/>
    <w:rsid w:val="00734640"/>
    <w:rsid w:val="007350F3"/>
    <w:rsid w:val="00735304"/>
    <w:rsid w:val="0073540A"/>
    <w:rsid w:val="00735563"/>
    <w:rsid w:val="007357A1"/>
    <w:rsid w:val="007357A2"/>
    <w:rsid w:val="007358CD"/>
    <w:rsid w:val="007359F5"/>
    <w:rsid w:val="00735A3D"/>
    <w:rsid w:val="00735AE2"/>
    <w:rsid w:val="00735BB0"/>
    <w:rsid w:val="00735D7E"/>
    <w:rsid w:val="00735DA2"/>
    <w:rsid w:val="00735F46"/>
    <w:rsid w:val="007361EE"/>
    <w:rsid w:val="00736370"/>
    <w:rsid w:val="00736459"/>
    <w:rsid w:val="00736604"/>
    <w:rsid w:val="0073660D"/>
    <w:rsid w:val="007366A0"/>
    <w:rsid w:val="0073693F"/>
    <w:rsid w:val="0073697B"/>
    <w:rsid w:val="00736B9F"/>
    <w:rsid w:val="00736DDD"/>
    <w:rsid w:val="007373DB"/>
    <w:rsid w:val="007374F5"/>
    <w:rsid w:val="007375C0"/>
    <w:rsid w:val="00737625"/>
    <w:rsid w:val="00737809"/>
    <w:rsid w:val="0073789F"/>
    <w:rsid w:val="00740042"/>
    <w:rsid w:val="00740142"/>
    <w:rsid w:val="00740274"/>
    <w:rsid w:val="0074027F"/>
    <w:rsid w:val="0074092C"/>
    <w:rsid w:val="00740932"/>
    <w:rsid w:val="00741038"/>
    <w:rsid w:val="00741049"/>
    <w:rsid w:val="007410CE"/>
    <w:rsid w:val="007411FE"/>
    <w:rsid w:val="0074128B"/>
    <w:rsid w:val="007412A5"/>
    <w:rsid w:val="007412B1"/>
    <w:rsid w:val="00741394"/>
    <w:rsid w:val="007415EB"/>
    <w:rsid w:val="00741C44"/>
    <w:rsid w:val="00741FAD"/>
    <w:rsid w:val="0074211B"/>
    <w:rsid w:val="007421E8"/>
    <w:rsid w:val="00742237"/>
    <w:rsid w:val="007427F8"/>
    <w:rsid w:val="00742801"/>
    <w:rsid w:val="00742871"/>
    <w:rsid w:val="00742901"/>
    <w:rsid w:val="00742B9D"/>
    <w:rsid w:val="00742C7F"/>
    <w:rsid w:val="00742E0B"/>
    <w:rsid w:val="00742E2E"/>
    <w:rsid w:val="00742E45"/>
    <w:rsid w:val="00742F7A"/>
    <w:rsid w:val="00743019"/>
    <w:rsid w:val="00743106"/>
    <w:rsid w:val="007435EB"/>
    <w:rsid w:val="007437D5"/>
    <w:rsid w:val="007437FE"/>
    <w:rsid w:val="0074387C"/>
    <w:rsid w:val="00743A94"/>
    <w:rsid w:val="00743B12"/>
    <w:rsid w:val="00743C4F"/>
    <w:rsid w:val="00743CD4"/>
    <w:rsid w:val="00743D0D"/>
    <w:rsid w:val="00743EB0"/>
    <w:rsid w:val="00743EDF"/>
    <w:rsid w:val="00744409"/>
    <w:rsid w:val="007447AF"/>
    <w:rsid w:val="007448F1"/>
    <w:rsid w:val="00744BC2"/>
    <w:rsid w:val="00744BF6"/>
    <w:rsid w:val="00744E37"/>
    <w:rsid w:val="00744F50"/>
    <w:rsid w:val="0074514E"/>
    <w:rsid w:val="0074529E"/>
    <w:rsid w:val="007452A5"/>
    <w:rsid w:val="00745448"/>
    <w:rsid w:val="00745592"/>
    <w:rsid w:val="007456F2"/>
    <w:rsid w:val="00745837"/>
    <w:rsid w:val="007458C6"/>
    <w:rsid w:val="00745C6B"/>
    <w:rsid w:val="00745E75"/>
    <w:rsid w:val="00745EFD"/>
    <w:rsid w:val="00745F4A"/>
    <w:rsid w:val="00745F6C"/>
    <w:rsid w:val="007460AD"/>
    <w:rsid w:val="007463B4"/>
    <w:rsid w:val="0074659E"/>
    <w:rsid w:val="007466AC"/>
    <w:rsid w:val="007467AD"/>
    <w:rsid w:val="00746948"/>
    <w:rsid w:val="00746AF1"/>
    <w:rsid w:val="00746C80"/>
    <w:rsid w:val="0074700A"/>
    <w:rsid w:val="0074720D"/>
    <w:rsid w:val="0074724D"/>
    <w:rsid w:val="00747383"/>
    <w:rsid w:val="007473BA"/>
    <w:rsid w:val="00747499"/>
    <w:rsid w:val="00747707"/>
    <w:rsid w:val="007477A4"/>
    <w:rsid w:val="00747F99"/>
    <w:rsid w:val="00747FAE"/>
    <w:rsid w:val="00750013"/>
    <w:rsid w:val="00750281"/>
    <w:rsid w:val="00750329"/>
    <w:rsid w:val="007504E8"/>
    <w:rsid w:val="007505DF"/>
    <w:rsid w:val="00750782"/>
    <w:rsid w:val="00750816"/>
    <w:rsid w:val="00750842"/>
    <w:rsid w:val="007509F0"/>
    <w:rsid w:val="00750A01"/>
    <w:rsid w:val="00750C01"/>
    <w:rsid w:val="00750C26"/>
    <w:rsid w:val="00750CDC"/>
    <w:rsid w:val="00750E5A"/>
    <w:rsid w:val="00750EB8"/>
    <w:rsid w:val="007510FB"/>
    <w:rsid w:val="00751382"/>
    <w:rsid w:val="007513C4"/>
    <w:rsid w:val="00751426"/>
    <w:rsid w:val="00751441"/>
    <w:rsid w:val="007517B4"/>
    <w:rsid w:val="007518FE"/>
    <w:rsid w:val="007519E5"/>
    <w:rsid w:val="00751A9B"/>
    <w:rsid w:val="00751B38"/>
    <w:rsid w:val="00751D93"/>
    <w:rsid w:val="00751E3F"/>
    <w:rsid w:val="00751E54"/>
    <w:rsid w:val="00751F5A"/>
    <w:rsid w:val="007520BE"/>
    <w:rsid w:val="007520DE"/>
    <w:rsid w:val="00752230"/>
    <w:rsid w:val="00752514"/>
    <w:rsid w:val="007526C6"/>
    <w:rsid w:val="007526E0"/>
    <w:rsid w:val="0075304F"/>
    <w:rsid w:val="0075366B"/>
    <w:rsid w:val="00753930"/>
    <w:rsid w:val="007539EF"/>
    <w:rsid w:val="00753A3D"/>
    <w:rsid w:val="00753A5E"/>
    <w:rsid w:val="00753A74"/>
    <w:rsid w:val="00753AF5"/>
    <w:rsid w:val="00753AFB"/>
    <w:rsid w:val="00753D50"/>
    <w:rsid w:val="00753E0B"/>
    <w:rsid w:val="00753EB7"/>
    <w:rsid w:val="00753EFB"/>
    <w:rsid w:val="00753F02"/>
    <w:rsid w:val="007542A9"/>
    <w:rsid w:val="0075455B"/>
    <w:rsid w:val="00754EA7"/>
    <w:rsid w:val="0075513D"/>
    <w:rsid w:val="0075519D"/>
    <w:rsid w:val="007551DB"/>
    <w:rsid w:val="007552E2"/>
    <w:rsid w:val="007553ED"/>
    <w:rsid w:val="00755474"/>
    <w:rsid w:val="007554A1"/>
    <w:rsid w:val="007554F0"/>
    <w:rsid w:val="007556BE"/>
    <w:rsid w:val="007558BA"/>
    <w:rsid w:val="007558D5"/>
    <w:rsid w:val="00755A61"/>
    <w:rsid w:val="00755B39"/>
    <w:rsid w:val="00755BE9"/>
    <w:rsid w:val="00755F37"/>
    <w:rsid w:val="00756236"/>
    <w:rsid w:val="00756792"/>
    <w:rsid w:val="007567C2"/>
    <w:rsid w:val="0075686D"/>
    <w:rsid w:val="00756962"/>
    <w:rsid w:val="00756B01"/>
    <w:rsid w:val="00756CFC"/>
    <w:rsid w:val="00756DBA"/>
    <w:rsid w:val="00756E21"/>
    <w:rsid w:val="00756E26"/>
    <w:rsid w:val="00756E97"/>
    <w:rsid w:val="0075705A"/>
    <w:rsid w:val="0075710E"/>
    <w:rsid w:val="007573D3"/>
    <w:rsid w:val="0075744D"/>
    <w:rsid w:val="00757579"/>
    <w:rsid w:val="00757723"/>
    <w:rsid w:val="0075773C"/>
    <w:rsid w:val="0075790C"/>
    <w:rsid w:val="0075799A"/>
    <w:rsid w:val="00757A3D"/>
    <w:rsid w:val="00757ACF"/>
    <w:rsid w:val="00757D28"/>
    <w:rsid w:val="00757F98"/>
    <w:rsid w:val="00760032"/>
    <w:rsid w:val="007600E3"/>
    <w:rsid w:val="007600FC"/>
    <w:rsid w:val="007601BB"/>
    <w:rsid w:val="007604A5"/>
    <w:rsid w:val="0076066B"/>
    <w:rsid w:val="0076086F"/>
    <w:rsid w:val="00760A53"/>
    <w:rsid w:val="00760A5F"/>
    <w:rsid w:val="00760BBA"/>
    <w:rsid w:val="00760CC6"/>
    <w:rsid w:val="00760EF1"/>
    <w:rsid w:val="007611FF"/>
    <w:rsid w:val="007614D0"/>
    <w:rsid w:val="00761831"/>
    <w:rsid w:val="00761974"/>
    <w:rsid w:val="00761A96"/>
    <w:rsid w:val="00761DD5"/>
    <w:rsid w:val="00761EB0"/>
    <w:rsid w:val="00761EFB"/>
    <w:rsid w:val="00761F20"/>
    <w:rsid w:val="00762346"/>
    <w:rsid w:val="007623C0"/>
    <w:rsid w:val="00762456"/>
    <w:rsid w:val="00762569"/>
    <w:rsid w:val="0076258D"/>
    <w:rsid w:val="007627D0"/>
    <w:rsid w:val="007627DA"/>
    <w:rsid w:val="007628B2"/>
    <w:rsid w:val="007629DF"/>
    <w:rsid w:val="00762A88"/>
    <w:rsid w:val="00762AB8"/>
    <w:rsid w:val="00762BBE"/>
    <w:rsid w:val="00762E09"/>
    <w:rsid w:val="00762E34"/>
    <w:rsid w:val="00763047"/>
    <w:rsid w:val="00763130"/>
    <w:rsid w:val="00763189"/>
    <w:rsid w:val="0076318A"/>
    <w:rsid w:val="007631D4"/>
    <w:rsid w:val="007632B8"/>
    <w:rsid w:val="00763492"/>
    <w:rsid w:val="00763701"/>
    <w:rsid w:val="00763744"/>
    <w:rsid w:val="00763974"/>
    <w:rsid w:val="00763A82"/>
    <w:rsid w:val="00763D15"/>
    <w:rsid w:val="00763ED6"/>
    <w:rsid w:val="00763FCC"/>
    <w:rsid w:val="007641DA"/>
    <w:rsid w:val="00764241"/>
    <w:rsid w:val="0076425C"/>
    <w:rsid w:val="007642E5"/>
    <w:rsid w:val="00764622"/>
    <w:rsid w:val="007648DC"/>
    <w:rsid w:val="007648EE"/>
    <w:rsid w:val="00764948"/>
    <w:rsid w:val="00764CB2"/>
    <w:rsid w:val="00764EA9"/>
    <w:rsid w:val="00764EEC"/>
    <w:rsid w:val="007652B3"/>
    <w:rsid w:val="0076547B"/>
    <w:rsid w:val="00765557"/>
    <w:rsid w:val="0076561B"/>
    <w:rsid w:val="007657C1"/>
    <w:rsid w:val="00765861"/>
    <w:rsid w:val="007658DC"/>
    <w:rsid w:val="00765A37"/>
    <w:rsid w:val="00765A52"/>
    <w:rsid w:val="00765E5D"/>
    <w:rsid w:val="00765F2A"/>
    <w:rsid w:val="00766231"/>
    <w:rsid w:val="007662F4"/>
    <w:rsid w:val="007663E8"/>
    <w:rsid w:val="00766516"/>
    <w:rsid w:val="0076666C"/>
    <w:rsid w:val="007666E5"/>
    <w:rsid w:val="0076671A"/>
    <w:rsid w:val="007669AA"/>
    <w:rsid w:val="007669EC"/>
    <w:rsid w:val="00766B4B"/>
    <w:rsid w:val="00766C4B"/>
    <w:rsid w:val="00766D3F"/>
    <w:rsid w:val="00767175"/>
    <w:rsid w:val="007672D5"/>
    <w:rsid w:val="007673E1"/>
    <w:rsid w:val="00767547"/>
    <w:rsid w:val="00767587"/>
    <w:rsid w:val="00767D35"/>
    <w:rsid w:val="00767EBC"/>
    <w:rsid w:val="00767EE0"/>
    <w:rsid w:val="00767F0B"/>
    <w:rsid w:val="00770002"/>
    <w:rsid w:val="007702D0"/>
    <w:rsid w:val="007702D1"/>
    <w:rsid w:val="0077036E"/>
    <w:rsid w:val="0077038C"/>
    <w:rsid w:val="007704A4"/>
    <w:rsid w:val="0077052B"/>
    <w:rsid w:val="0077054D"/>
    <w:rsid w:val="0077066A"/>
    <w:rsid w:val="00770D9A"/>
    <w:rsid w:val="00770E83"/>
    <w:rsid w:val="00770F39"/>
    <w:rsid w:val="0077106B"/>
    <w:rsid w:val="00771086"/>
    <w:rsid w:val="007711A5"/>
    <w:rsid w:val="007711CC"/>
    <w:rsid w:val="00771390"/>
    <w:rsid w:val="0077141C"/>
    <w:rsid w:val="00771976"/>
    <w:rsid w:val="00771BF7"/>
    <w:rsid w:val="00771CB7"/>
    <w:rsid w:val="00771DAD"/>
    <w:rsid w:val="00771F03"/>
    <w:rsid w:val="00771F53"/>
    <w:rsid w:val="00772404"/>
    <w:rsid w:val="00772678"/>
    <w:rsid w:val="0077270E"/>
    <w:rsid w:val="00772A52"/>
    <w:rsid w:val="00772DDC"/>
    <w:rsid w:val="0077301B"/>
    <w:rsid w:val="00773525"/>
    <w:rsid w:val="007735C9"/>
    <w:rsid w:val="00773912"/>
    <w:rsid w:val="00773A03"/>
    <w:rsid w:val="00773B05"/>
    <w:rsid w:val="00773BA8"/>
    <w:rsid w:val="00773DC0"/>
    <w:rsid w:val="00774285"/>
    <w:rsid w:val="00774387"/>
    <w:rsid w:val="0077452A"/>
    <w:rsid w:val="0077479E"/>
    <w:rsid w:val="00774AC2"/>
    <w:rsid w:val="00774BFB"/>
    <w:rsid w:val="00774E82"/>
    <w:rsid w:val="00774F58"/>
    <w:rsid w:val="00775008"/>
    <w:rsid w:val="007750A3"/>
    <w:rsid w:val="0077519C"/>
    <w:rsid w:val="00775266"/>
    <w:rsid w:val="0077529B"/>
    <w:rsid w:val="007752D2"/>
    <w:rsid w:val="007754D6"/>
    <w:rsid w:val="0077573C"/>
    <w:rsid w:val="00775904"/>
    <w:rsid w:val="00775B92"/>
    <w:rsid w:val="00775C03"/>
    <w:rsid w:val="00775C6A"/>
    <w:rsid w:val="00775E89"/>
    <w:rsid w:val="00775F6E"/>
    <w:rsid w:val="00775F74"/>
    <w:rsid w:val="00775FD7"/>
    <w:rsid w:val="00775FF6"/>
    <w:rsid w:val="00776189"/>
    <w:rsid w:val="0077620E"/>
    <w:rsid w:val="0077671F"/>
    <w:rsid w:val="00776814"/>
    <w:rsid w:val="00776867"/>
    <w:rsid w:val="00776ABF"/>
    <w:rsid w:val="00776C0A"/>
    <w:rsid w:val="00776C95"/>
    <w:rsid w:val="00776D54"/>
    <w:rsid w:val="00776FF6"/>
    <w:rsid w:val="00777100"/>
    <w:rsid w:val="007774B1"/>
    <w:rsid w:val="00777541"/>
    <w:rsid w:val="007777CA"/>
    <w:rsid w:val="007778D3"/>
    <w:rsid w:val="00777A06"/>
    <w:rsid w:val="00777B03"/>
    <w:rsid w:val="00777DDB"/>
    <w:rsid w:val="00777EB8"/>
    <w:rsid w:val="00777F8A"/>
    <w:rsid w:val="00777FD8"/>
    <w:rsid w:val="007804DA"/>
    <w:rsid w:val="00780500"/>
    <w:rsid w:val="0078060E"/>
    <w:rsid w:val="0078066D"/>
    <w:rsid w:val="00780715"/>
    <w:rsid w:val="00780981"/>
    <w:rsid w:val="00780CDE"/>
    <w:rsid w:val="0078105C"/>
    <w:rsid w:val="007810D3"/>
    <w:rsid w:val="00781314"/>
    <w:rsid w:val="00781712"/>
    <w:rsid w:val="00781727"/>
    <w:rsid w:val="00781785"/>
    <w:rsid w:val="007818D3"/>
    <w:rsid w:val="00781A53"/>
    <w:rsid w:val="00781A6B"/>
    <w:rsid w:val="00781C6D"/>
    <w:rsid w:val="00781CCB"/>
    <w:rsid w:val="00781D36"/>
    <w:rsid w:val="00781D4B"/>
    <w:rsid w:val="00781DB8"/>
    <w:rsid w:val="007822B8"/>
    <w:rsid w:val="007822D7"/>
    <w:rsid w:val="0078253B"/>
    <w:rsid w:val="00782808"/>
    <w:rsid w:val="0078295C"/>
    <w:rsid w:val="00782987"/>
    <w:rsid w:val="0078302C"/>
    <w:rsid w:val="0078308B"/>
    <w:rsid w:val="00783791"/>
    <w:rsid w:val="007838D3"/>
    <w:rsid w:val="007838DE"/>
    <w:rsid w:val="0078392C"/>
    <w:rsid w:val="0078394E"/>
    <w:rsid w:val="00783984"/>
    <w:rsid w:val="00783BFB"/>
    <w:rsid w:val="00783C8C"/>
    <w:rsid w:val="00783D19"/>
    <w:rsid w:val="00783F7A"/>
    <w:rsid w:val="00784163"/>
    <w:rsid w:val="00784214"/>
    <w:rsid w:val="007846B9"/>
    <w:rsid w:val="007846FC"/>
    <w:rsid w:val="007849C1"/>
    <w:rsid w:val="00784A5D"/>
    <w:rsid w:val="00784BD5"/>
    <w:rsid w:val="00785068"/>
    <w:rsid w:val="00785257"/>
    <w:rsid w:val="007852CA"/>
    <w:rsid w:val="007859DA"/>
    <w:rsid w:val="00786051"/>
    <w:rsid w:val="007862FC"/>
    <w:rsid w:val="007863BF"/>
    <w:rsid w:val="007866AF"/>
    <w:rsid w:val="007867E5"/>
    <w:rsid w:val="00786A6D"/>
    <w:rsid w:val="00786B0C"/>
    <w:rsid w:val="00786CE5"/>
    <w:rsid w:val="00786E3C"/>
    <w:rsid w:val="00787133"/>
    <w:rsid w:val="007871D5"/>
    <w:rsid w:val="0078727E"/>
    <w:rsid w:val="007874BE"/>
    <w:rsid w:val="0078774C"/>
    <w:rsid w:val="00787856"/>
    <w:rsid w:val="007878A3"/>
    <w:rsid w:val="0078798D"/>
    <w:rsid w:val="00787A71"/>
    <w:rsid w:val="00787B00"/>
    <w:rsid w:val="00787E73"/>
    <w:rsid w:val="007900D2"/>
    <w:rsid w:val="00790167"/>
    <w:rsid w:val="007907AD"/>
    <w:rsid w:val="00790B2A"/>
    <w:rsid w:val="00790B30"/>
    <w:rsid w:val="00790C3A"/>
    <w:rsid w:val="00790D13"/>
    <w:rsid w:val="0079104D"/>
    <w:rsid w:val="00791773"/>
    <w:rsid w:val="0079187D"/>
    <w:rsid w:val="007918BC"/>
    <w:rsid w:val="007918C9"/>
    <w:rsid w:val="00791C1B"/>
    <w:rsid w:val="00791E00"/>
    <w:rsid w:val="0079202B"/>
    <w:rsid w:val="00792293"/>
    <w:rsid w:val="0079234E"/>
    <w:rsid w:val="007929E3"/>
    <w:rsid w:val="00792D18"/>
    <w:rsid w:val="00792E58"/>
    <w:rsid w:val="00792FEA"/>
    <w:rsid w:val="00793095"/>
    <w:rsid w:val="007931DD"/>
    <w:rsid w:val="007933F4"/>
    <w:rsid w:val="007936C4"/>
    <w:rsid w:val="007936D0"/>
    <w:rsid w:val="00793873"/>
    <w:rsid w:val="00793BAC"/>
    <w:rsid w:val="00793C81"/>
    <w:rsid w:val="00793D70"/>
    <w:rsid w:val="00793DF0"/>
    <w:rsid w:val="00794011"/>
    <w:rsid w:val="007940EF"/>
    <w:rsid w:val="00794153"/>
    <w:rsid w:val="00794496"/>
    <w:rsid w:val="0079450A"/>
    <w:rsid w:val="0079466A"/>
    <w:rsid w:val="00794732"/>
    <w:rsid w:val="00794ADD"/>
    <w:rsid w:val="00794E13"/>
    <w:rsid w:val="00794E3B"/>
    <w:rsid w:val="00794FFD"/>
    <w:rsid w:val="007952ED"/>
    <w:rsid w:val="007954B0"/>
    <w:rsid w:val="007954E2"/>
    <w:rsid w:val="007954F5"/>
    <w:rsid w:val="00795777"/>
    <w:rsid w:val="00795AA3"/>
    <w:rsid w:val="00795AD0"/>
    <w:rsid w:val="00795B90"/>
    <w:rsid w:val="00795CC3"/>
    <w:rsid w:val="00795DC3"/>
    <w:rsid w:val="00795E49"/>
    <w:rsid w:val="00795E89"/>
    <w:rsid w:val="00795F5D"/>
    <w:rsid w:val="0079601E"/>
    <w:rsid w:val="00796237"/>
    <w:rsid w:val="007962A7"/>
    <w:rsid w:val="0079631D"/>
    <w:rsid w:val="0079646D"/>
    <w:rsid w:val="007965E5"/>
    <w:rsid w:val="00796679"/>
    <w:rsid w:val="00796A4B"/>
    <w:rsid w:val="00796A6D"/>
    <w:rsid w:val="00796BF7"/>
    <w:rsid w:val="00796DBF"/>
    <w:rsid w:val="00796E33"/>
    <w:rsid w:val="00796E57"/>
    <w:rsid w:val="00796F9F"/>
    <w:rsid w:val="00796FF6"/>
    <w:rsid w:val="00797145"/>
    <w:rsid w:val="007971BC"/>
    <w:rsid w:val="0079750B"/>
    <w:rsid w:val="007977B6"/>
    <w:rsid w:val="0079797D"/>
    <w:rsid w:val="00797B34"/>
    <w:rsid w:val="00797BAE"/>
    <w:rsid w:val="00797C66"/>
    <w:rsid w:val="007A0111"/>
    <w:rsid w:val="007A013C"/>
    <w:rsid w:val="007A039F"/>
    <w:rsid w:val="007A051F"/>
    <w:rsid w:val="007A05F1"/>
    <w:rsid w:val="007A0716"/>
    <w:rsid w:val="007A0923"/>
    <w:rsid w:val="007A0A1F"/>
    <w:rsid w:val="007A0EEB"/>
    <w:rsid w:val="007A0F5E"/>
    <w:rsid w:val="007A0F79"/>
    <w:rsid w:val="007A11B0"/>
    <w:rsid w:val="007A168D"/>
    <w:rsid w:val="007A1815"/>
    <w:rsid w:val="007A186C"/>
    <w:rsid w:val="007A1A17"/>
    <w:rsid w:val="007A1C9F"/>
    <w:rsid w:val="007A1FE6"/>
    <w:rsid w:val="007A20EC"/>
    <w:rsid w:val="007A2151"/>
    <w:rsid w:val="007A215D"/>
    <w:rsid w:val="007A219D"/>
    <w:rsid w:val="007A21C2"/>
    <w:rsid w:val="007A22E2"/>
    <w:rsid w:val="007A22E7"/>
    <w:rsid w:val="007A27E7"/>
    <w:rsid w:val="007A2A23"/>
    <w:rsid w:val="007A2CCC"/>
    <w:rsid w:val="007A2CDF"/>
    <w:rsid w:val="007A2CE8"/>
    <w:rsid w:val="007A2D63"/>
    <w:rsid w:val="007A2F24"/>
    <w:rsid w:val="007A31DE"/>
    <w:rsid w:val="007A366F"/>
    <w:rsid w:val="007A3833"/>
    <w:rsid w:val="007A3977"/>
    <w:rsid w:val="007A3C57"/>
    <w:rsid w:val="007A3ECB"/>
    <w:rsid w:val="007A4004"/>
    <w:rsid w:val="007A406D"/>
    <w:rsid w:val="007A433A"/>
    <w:rsid w:val="007A455D"/>
    <w:rsid w:val="007A4657"/>
    <w:rsid w:val="007A46A8"/>
    <w:rsid w:val="007A475A"/>
    <w:rsid w:val="007A478C"/>
    <w:rsid w:val="007A48AB"/>
    <w:rsid w:val="007A4AF4"/>
    <w:rsid w:val="007A4DDC"/>
    <w:rsid w:val="007A4E9B"/>
    <w:rsid w:val="007A5138"/>
    <w:rsid w:val="007A52F8"/>
    <w:rsid w:val="007A5321"/>
    <w:rsid w:val="007A5523"/>
    <w:rsid w:val="007A552F"/>
    <w:rsid w:val="007A555F"/>
    <w:rsid w:val="007A58DB"/>
    <w:rsid w:val="007A5D8E"/>
    <w:rsid w:val="007A5E21"/>
    <w:rsid w:val="007A5EBA"/>
    <w:rsid w:val="007A5F50"/>
    <w:rsid w:val="007A62B0"/>
    <w:rsid w:val="007A6544"/>
    <w:rsid w:val="007A676F"/>
    <w:rsid w:val="007A67C3"/>
    <w:rsid w:val="007A6819"/>
    <w:rsid w:val="007A6835"/>
    <w:rsid w:val="007A6C0A"/>
    <w:rsid w:val="007A6CA6"/>
    <w:rsid w:val="007A6D3C"/>
    <w:rsid w:val="007A6D6A"/>
    <w:rsid w:val="007A6F2C"/>
    <w:rsid w:val="007A7038"/>
    <w:rsid w:val="007A7137"/>
    <w:rsid w:val="007A71D1"/>
    <w:rsid w:val="007A73CD"/>
    <w:rsid w:val="007A7419"/>
    <w:rsid w:val="007A7A8D"/>
    <w:rsid w:val="007A7B32"/>
    <w:rsid w:val="007A7B6B"/>
    <w:rsid w:val="007A7CE8"/>
    <w:rsid w:val="007A7D5C"/>
    <w:rsid w:val="007A7F9B"/>
    <w:rsid w:val="007A7FA2"/>
    <w:rsid w:val="007B05C3"/>
    <w:rsid w:val="007B0686"/>
    <w:rsid w:val="007B06A5"/>
    <w:rsid w:val="007B07DE"/>
    <w:rsid w:val="007B0C1D"/>
    <w:rsid w:val="007B0DB8"/>
    <w:rsid w:val="007B1005"/>
    <w:rsid w:val="007B1021"/>
    <w:rsid w:val="007B10BA"/>
    <w:rsid w:val="007B10FF"/>
    <w:rsid w:val="007B11E2"/>
    <w:rsid w:val="007B138F"/>
    <w:rsid w:val="007B1690"/>
    <w:rsid w:val="007B1A7F"/>
    <w:rsid w:val="007B1A97"/>
    <w:rsid w:val="007B1CC9"/>
    <w:rsid w:val="007B1DE2"/>
    <w:rsid w:val="007B1F9A"/>
    <w:rsid w:val="007B2097"/>
    <w:rsid w:val="007B224F"/>
    <w:rsid w:val="007B238A"/>
    <w:rsid w:val="007B23E8"/>
    <w:rsid w:val="007B2492"/>
    <w:rsid w:val="007B24D0"/>
    <w:rsid w:val="007B2690"/>
    <w:rsid w:val="007B26A8"/>
    <w:rsid w:val="007B26D3"/>
    <w:rsid w:val="007B28CA"/>
    <w:rsid w:val="007B2A99"/>
    <w:rsid w:val="007B2D03"/>
    <w:rsid w:val="007B2DD3"/>
    <w:rsid w:val="007B2DE3"/>
    <w:rsid w:val="007B30C7"/>
    <w:rsid w:val="007B31F3"/>
    <w:rsid w:val="007B33A4"/>
    <w:rsid w:val="007B351F"/>
    <w:rsid w:val="007B3548"/>
    <w:rsid w:val="007B361F"/>
    <w:rsid w:val="007B367B"/>
    <w:rsid w:val="007B3832"/>
    <w:rsid w:val="007B3884"/>
    <w:rsid w:val="007B38CA"/>
    <w:rsid w:val="007B3C37"/>
    <w:rsid w:val="007B3C9B"/>
    <w:rsid w:val="007B41ED"/>
    <w:rsid w:val="007B4202"/>
    <w:rsid w:val="007B438A"/>
    <w:rsid w:val="007B45BB"/>
    <w:rsid w:val="007B4796"/>
    <w:rsid w:val="007B4A33"/>
    <w:rsid w:val="007B4A9B"/>
    <w:rsid w:val="007B4CB7"/>
    <w:rsid w:val="007B4D68"/>
    <w:rsid w:val="007B4E52"/>
    <w:rsid w:val="007B5444"/>
    <w:rsid w:val="007B5560"/>
    <w:rsid w:val="007B5932"/>
    <w:rsid w:val="007B59E8"/>
    <w:rsid w:val="007B5BBD"/>
    <w:rsid w:val="007B5BFD"/>
    <w:rsid w:val="007B5C5B"/>
    <w:rsid w:val="007B6379"/>
    <w:rsid w:val="007B6416"/>
    <w:rsid w:val="007B6590"/>
    <w:rsid w:val="007B65AD"/>
    <w:rsid w:val="007B66A7"/>
    <w:rsid w:val="007B6792"/>
    <w:rsid w:val="007B685D"/>
    <w:rsid w:val="007B6937"/>
    <w:rsid w:val="007B6944"/>
    <w:rsid w:val="007B6C88"/>
    <w:rsid w:val="007B6DB1"/>
    <w:rsid w:val="007B6FBB"/>
    <w:rsid w:val="007B7046"/>
    <w:rsid w:val="007B706A"/>
    <w:rsid w:val="007B7161"/>
    <w:rsid w:val="007B7419"/>
    <w:rsid w:val="007B76B4"/>
    <w:rsid w:val="007B779A"/>
    <w:rsid w:val="007B7B00"/>
    <w:rsid w:val="007B7D08"/>
    <w:rsid w:val="007C0360"/>
    <w:rsid w:val="007C0373"/>
    <w:rsid w:val="007C03BB"/>
    <w:rsid w:val="007C051E"/>
    <w:rsid w:val="007C0703"/>
    <w:rsid w:val="007C0822"/>
    <w:rsid w:val="007C083E"/>
    <w:rsid w:val="007C0932"/>
    <w:rsid w:val="007C0CB1"/>
    <w:rsid w:val="007C0CCF"/>
    <w:rsid w:val="007C0E22"/>
    <w:rsid w:val="007C105B"/>
    <w:rsid w:val="007C10FE"/>
    <w:rsid w:val="007C137C"/>
    <w:rsid w:val="007C14FE"/>
    <w:rsid w:val="007C17A4"/>
    <w:rsid w:val="007C1801"/>
    <w:rsid w:val="007C19F0"/>
    <w:rsid w:val="007C1A76"/>
    <w:rsid w:val="007C1B66"/>
    <w:rsid w:val="007C1CD5"/>
    <w:rsid w:val="007C1DC8"/>
    <w:rsid w:val="007C1DFD"/>
    <w:rsid w:val="007C1E2B"/>
    <w:rsid w:val="007C1E41"/>
    <w:rsid w:val="007C2134"/>
    <w:rsid w:val="007C215A"/>
    <w:rsid w:val="007C2321"/>
    <w:rsid w:val="007C2323"/>
    <w:rsid w:val="007C2494"/>
    <w:rsid w:val="007C25CD"/>
    <w:rsid w:val="007C25E7"/>
    <w:rsid w:val="007C264E"/>
    <w:rsid w:val="007C26E1"/>
    <w:rsid w:val="007C296B"/>
    <w:rsid w:val="007C29AD"/>
    <w:rsid w:val="007C29C6"/>
    <w:rsid w:val="007C2B9D"/>
    <w:rsid w:val="007C2DDC"/>
    <w:rsid w:val="007C2EF4"/>
    <w:rsid w:val="007C3011"/>
    <w:rsid w:val="007C32F0"/>
    <w:rsid w:val="007C3406"/>
    <w:rsid w:val="007C355B"/>
    <w:rsid w:val="007C356E"/>
    <w:rsid w:val="007C3595"/>
    <w:rsid w:val="007C35A2"/>
    <w:rsid w:val="007C379D"/>
    <w:rsid w:val="007C3813"/>
    <w:rsid w:val="007C39A2"/>
    <w:rsid w:val="007C3A34"/>
    <w:rsid w:val="007C3A82"/>
    <w:rsid w:val="007C3CEA"/>
    <w:rsid w:val="007C41EC"/>
    <w:rsid w:val="007C41F7"/>
    <w:rsid w:val="007C4277"/>
    <w:rsid w:val="007C4782"/>
    <w:rsid w:val="007C478B"/>
    <w:rsid w:val="007C485C"/>
    <w:rsid w:val="007C4D2D"/>
    <w:rsid w:val="007C506B"/>
    <w:rsid w:val="007C513C"/>
    <w:rsid w:val="007C51EF"/>
    <w:rsid w:val="007C54A2"/>
    <w:rsid w:val="007C5598"/>
    <w:rsid w:val="007C5656"/>
    <w:rsid w:val="007C56BD"/>
    <w:rsid w:val="007C57BE"/>
    <w:rsid w:val="007C5948"/>
    <w:rsid w:val="007C5A0C"/>
    <w:rsid w:val="007C5BCF"/>
    <w:rsid w:val="007C5D37"/>
    <w:rsid w:val="007C5EBA"/>
    <w:rsid w:val="007C6006"/>
    <w:rsid w:val="007C6257"/>
    <w:rsid w:val="007C6298"/>
    <w:rsid w:val="007C629A"/>
    <w:rsid w:val="007C631D"/>
    <w:rsid w:val="007C63CF"/>
    <w:rsid w:val="007C648C"/>
    <w:rsid w:val="007C6631"/>
    <w:rsid w:val="007C66D1"/>
    <w:rsid w:val="007C6712"/>
    <w:rsid w:val="007C6764"/>
    <w:rsid w:val="007C67EF"/>
    <w:rsid w:val="007C687F"/>
    <w:rsid w:val="007C690E"/>
    <w:rsid w:val="007C6BEE"/>
    <w:rsid w:val="007C6C58"/>
    <w:rsid w:val="007C6F42"/>
    <w:rsid w:val="007C7081"/>
    <w:rsid w:val="007C7358"/>
    <w:rsid w:val="007C7587"/>
    <w:rsid w:val="007C77A2"/>
    <w:rsid w:val="007C77E0"/>
    <w:rsid w:val="007C79D7"/>
    <w:rsid w:val="007C7BF6"/>
    <w:rsid w:val="007C7D43"/>
    <w:rsid w:val="007D00E7"/>
    <w:rsid w:val="007D0239"/>
    <w:rsid w:val="007D0240"/>
    <w:rsid w:val="007D033D"/>
    <w:rsid w:val="007D038F"/>
    <w:rsid w:val="007D0510"/>
    <w:rsid w:val="007D05CB"/>
    <w:rsid w:val="007D0670"/>
    <w:rsid w:val="007D0BFA"/>
    <w:rsid w:val="007D0D33"/>
    <w:rsid w:val="007D0D7C"/>
    <w:rsid w:val="007D0DD2"/>
    <w:rsid w:val="007D1079"/>
    <w:rsid w:val="007D1380"/>
    <w:rsid w:val="007D1400"/>
    <w:rsid w:val="007D1521"/>
    <w:rsid w:val="007D15F5"/>
    <w:rsid w:val="007D189E"/>
    <w:rsid w:val="007D1F24"/>
    <w:rsid w:val="007D2053"/>
    <w:rsid w:val="007D2DD0"/>
    <w:rsid w:val="007D2E62"/>
    <w:rsid w:val="007D2E65"/>
    <w:rsid w:val="007D2F38"/>
    <w:rsid w:val="007D2F49"/>
    <w:rsid w:val="007D3049"/>
    <w:rsid w:val="007D3110"/>
    <w:rsid w:val="007D3127"/>
    <w:rsid w:val="007D315B"/>
    <w:rsid w:val="007D32CB"/>
    <w:rsid w:val="007D3477"/>
    <w:rsid w:val="007D36D5"/>
    <w:rsid w:val="007D36DE"/>
    <w:rsid w:val="007D3886"/>
    <w:rsid w:val="007D38D5"/>
    <w:rsid w:val="007D393A"/>
    <w:rsid w:val="007D3948"/>
    <w:rsid w:val="007D39B9"/>
    <w:rsid w:val="007D3BFF"/>
    <w:rsid w:val="007D3D2A"/>
    <w:rsid w:val="007D3D55"/>
    <w:rsid w:val="007D3D82"/>
    <w:rsid w:val="007D3F04"/>
    <w:rsid w:val="007D41BE"/>
    <w:rsid w:val="007D44E4"/>
    <w:rsid w:val="007D44E9"/>
    <w:rsid w:val="007D4581"/>
    <w:rsid w:val="007D4B08"/>
    <w:rsid w:val="007D4B36"/>
    <w:rsid w:val="007D4B3C"/>
    <w:rsid w:val="007D4B9D"/>
    <w:rsid w:val="007D4BC1"/>
    <w:rsid w:val="007D4BF1"/>
    <w:rsid w:val="007D4D2A"/>
    <w:rsid w:val="007D4DD8"/>
    <w:rsid w:val="007D4DF4"/>
    <w:rsid w:val="007D4E67"/>
    <w:rsid w:val="007D509F"/>
    <w:rsid w:val="007D50F1"/>
    <w:rsid w:val="007D527F"/>
    <w:rsid w:val="007D54D5"/>
    <w:rsid w:val="007D55CB"/>
    <w:rsid w:val="007D55D4"/>
    <w:rsid w:val="007D55E2"/>
    <w:rsid w:val="007D563D"/>
    <w:rsid w:val="007D5653"/>
    <w:rsid w:val="007D56F5"/>
    <w:rsid w:val="007D576D"/>
    <w:rsid w:val="007D58DC"/>
    <w:rsid w:val="007D5AED"/>
    <w:rsid w:val="007D5DCF"/>
    <w:rsid w:val="007D5DDB"/>
    <w:rsid w:val="007D5F44"/>
    <w:rsid w:val="007D622F"/>
    <w:rsid w:val="007D637E"/>
    <w:rsid w:val="007D65BD"/>
    <w:rsid w:val="007D6CB4"/>
    <w:rsid w:val="007D6CFA"/>
    <w:rsid w:val="007D6E2A"/>
    <w:rsid w:val="007D70D0"/>
    <w:rsid w:val="007D70EC"/>
    <w:rsid w:val="007D7111"/>
    <w:rsid w:val="007D72BB"/>
    <w:rsid w:val="007D736E"/>
    <w:rsid w:val="007D74D3"/>
    <w:rsid w:val="007D7617"/>
    <w:rsid w:val="007D7642"/>
    <w:rsid w:val="007D764F"/>
    <w:rsid w:val="007D7678"/>
    <w:rsid w:val="007D7747"/>
    <w:rsid w:val="007D77FC"/>
    <w:rsid w:val="007D7824"/>
    <w:rsid w:val="007D786A"/>
    <w:rsid w:val="007D79B6"/>
    <w:rsid w:val="007D7AC7"/>
    <w:rsid w:val="007D7D68"/>
    <w:rsid w:val="007D7E8F"/>
    <w:rsid w:val="007D7F78"/>
    <w:rsid w:val="007D7FBC"/>
    <w:rsid w:val="007E0136"/>
    <w:rsid w:val="007E017D"/>
    <w:rsid w:val="007E02FA"/>
    <w:rsid w:val="007E02FF"/>
    <w:rsid w:val="007E030D"/>
    <w:rsid w:val="007E07C4"/>
    <w:rsid w:val="007E07F6"/>
    <w:rsid w:val="007E0867"/>
    <w:rsid w:val="007E0B81"/>
    <w:rsid w:val="007E0FEE"/>
    <w:rsid w:val="007E10F3"/>
    <w:rsid w:val="007E1191"/>
    <w:rsid w:val="007E166C"/>
    <w:rsid w:val="007E16A9"/>
    <w:rsid w:val="007E19A6"/>
    <w:rsid w:val="007E1A24"/>
    <w:rsid w:val="007E1A63"/>
    <w:rsid w:val="007E1B40"/>
    <w:rsid w:val="007E1D84"/>
    <w:rsid w:val="007E1EB2"/>
    <w:rsid w:val="007E1FF8"/>
    <w:rsid w:val="007E2197"/>
    <w:rsid w:val="007E2269"/>
    <w:rsid w:val="007E226D"/>
    <w:rsid w:val="007E236D"/>
    <w:rsid w:val="007E23BE"/>
    <w:rsid w:val="007E25B9"/>
    <w:rsid w:val="007E25BD"/>
    <w:rsid w:val="007E28C7"/>
    <w:rsid w:val="007E2A3C"/>
    <w:rsid w:val="007E3031"/>
    <w:rsid w:val="007E3059"/>
    <w:rsid w:val="007E30A5"/>
    <w:rsid w:val="007E3108"/>
    <w:rsid w:val="007E310C"/>
    <w:rsid w:val="007E33FC"/>
    <w:rsid w:val="007E357A"/>
    <w:rsid w:val="007E35BD"/>
    <w:rsid w:val="007E3757"/>
    <w:rsid w:val="007E3A3E"/>
    <w:rsid w:val="007E3C08"/>
    <w:rsid w:val="007E4502"/>
    <w:rsid w:val="007E4578"/>
    <w:rsid w:val="007E4648"/>
    <w:rsid w:val="007E49D5"/>
    <w:rsid w:val="007E4AE6"/>
    <w:rsid w:val="007E4DB4"/>
    <w:rsid w:val="007E4F26"/>
    <w:rsid w:val="007E4FFE"/>
    <w:rsid w:val="007E53B8"/>
    <w:rsid w:val="007E53B9"/>
    <w:rsid w:val="007E5424"/>
    <w:rsid w:val="007E5465"/>
    <w:rsid w:val="007E57B1"/>
    <w:rsid w:val="007E5C2C"/>
    <w:rsid w:val="007E5DAA"/>
    <w:rsid w:val="007E6174"/>
    <w:rsid w:val="007E61A2"/>
    <w:rsid w:val="007E61EA"/>
    <w:rsid w:val="007E6741"/>
    <w:rsid w:val="007E678D"/>
    <w:rsid w:val="007E6790"/>
    <w:rsid w:val="007E687D"/>
    <w:rsid w:val="007E6990"/>
    <w:rsid w:val="007E69E2"/>
    <w:rsid w:val="007E6B7D"/>
    <w:rsid w:val="007E6CCA"/>
    <w:rsid w:val="007E6F4F"/>
    <w:rsid w:val="007E7010"/>
    <w:rsid w:val="007E73E5"/>
    <w:rsid w:val="007E771B"/>
    <w:rsid w:val="007E77B3"/>
    <w:rsid w:val="007E77C5"/>
    <w:rsid w:val="007E77E2"/>
    <w:rsid w:val="007E7B4B"/>
    <w:rsid w:val="007E7D0A"/>
    <w:rsid w:val="007E7E15"/>
    <w:rsid w:val="007E7E3D"/>
    <w:rsid w:val="007E7E5F"/>
    <w:rsid w:val="007E7EBA"/>
    <w:rsid w:val="007E7EED"/>
    <w:rsid w:val="007F012C"/>
    <w:rsid w:val="007F019C"/>
    <w:rsid w:val="007F0209"/>
    <w:rsid w:val="007F0870"/>
    <w:rsid w:val="007F0A2D"/>
    <w:rsid w:val="007F0C51"/>
    <w:rsid w:val="007F0C8E"/>
    <w:rsid w:val="007F0E97"/>
    <w:rsid w:val="007F0ED8"/>
    <w:rsid w:val="007F0FF7"/>
    <w:rsid w:val="007F1040"/>
    <w:rsid w:val="007F1098"/>
    <w:rsid w:val="007F1184"/>
    <w:rsid w:val="007F11B3"/>
    <w:rsid w:val="007F12E4"/>
    <w:rsid w:val="007F1794"/>
    <w:rsid w:val="007F18B9"/>
    <w:rsid w:val="007F1B5E"/>
    <w:rsid w:val="007F1BA2"/>
    <w:rsid w:val="007F1D0D"/>
    <w:rsid w:val="007F1E13"/>
    <w:rsid w:val="007F2017"/>
    <w:rsid w:val="007F21F4"/>
    <w:rsid w:val="007F2404"/>
    <w:rsid w:val="007F24A3"/>
    <w:rsid w:val="007F255F"/>
    <w:rsid w:val="007F27D2"/>
    <w:rsid w:val="007F2841"/>
    <w:rsid w:val="007F2B1A"/>
    <w:rsid w:val="007F2C52"/>
    <w:rsid w:val="007F2D8E"/>
    <w:rsid w:val="007F2EB7"/>
    <w:rsid w:val="007F2F56"/>
    <w:rsid w:val="007F304C"/>
    <w:rsid w:val="007F361C"/>
    <w:rsid w:val="007F39DC"/>
    <w:rsid w:val="007F3C60"/>
    <w:rsid w:val="007F3EB5"/>
    <w:rsid w:val="007F40FD"/>
    <w:rsid w:val="007F42BB"/>
    <w:rsid w:val="007F44DF"/>
    <w:rsid w:val="007F4743"/>
    <w:rsid w:val="007F4936"/>
    <w:rsid w:val="007F499C"/>
    <w:rsid w:val="007F4A69"/>
    <w:rsid w:val="007F4C85"/>
    <w:rsid w:val="007F4CEA"/>
    <w:rsid w:val="007F4CF4"/>
    <w:rsid w:val="007F4D01"/>
    <w:rsid w:val="007F4E5A"/>
    <w:rsid w:val="007F4EAA"/>
    <w:rsid w:val="007F4F5C"/>
    <w:rsid w:val="007F4FD3"/>
    <w:rsid w:val="007F5021"/>
    <w:rsid w:val="007F5031"/>
    <w:rsid w:val="007F531D"/>
    <w:rsid w:val="007F541D"/>
    <w:rsid w:val="007F56F1"/>
    <w:rsid w:val="007F583E"/>
    <w:rsid w:val="007F58D1"/>
    <w:rsid w:val="007F5936"/>
    <w:rsid w:val="007F5C54"/>
    <w:rsid w:val="007F5DCC"/>
    <w:rsid w:val="007F5EE7"/>
    <w:rsid w:val="007F5F58"/>
    <w:rsid w:val="007F6065"/>
    <w:rsid w:val="007F6461"/>
    <w:rsid w:val="007F6642"/>
    <w:rsid w:val="007F66DA"/>
    <w:rsid w:val="007F6AB0"/>
    <w:rsid w:val="007F6D18"/>
    <w:rsid w:val="007F6FC6"/>
    <w:rsid w:val="007F70C0"/>
    <w:rsid w:val="007F710C"/>
    <w:rsid w:val="007F7239"/>
    <w:rsid w:val="007F7331"/>
    <w:rsid w:val="007F751F"/>
    <w:rsid w:val="007F763A"/>
    <w:rsid w:val="007F772D"/>
    <w:rsid w:val="007F79FC"/>
    <w:rsid w:val="007F7AD1"/>
    <w:rsid w:val="007F7AD5"/>
    <w:rsid w:val="007F7CBE"/>
    <w:rsid w:val="007F7ECC"/>
    <w:rsid w:val="007F7EE1"/>
    <w:rsid w:val="0080002B"/>
    <w:rsid w:val="008000FD"/>
    <w:rsid w:val="0080018A"/>
    <w:rsid w:val="008003D5"/>
    <w:rsid w:val="008004FA"/>
    <w:rsid w:val="00800650"/>
    <w:rsid w:val="008006E7"/>
    <w:rsid w:val="00800A7D"/>
    <w:rsid w:val="00800C18"/>
    <w:rsid w:val="00800C89"/>
    <w:rsid w:val="00800C9F"/>
    <w:rsid w:val="00800D2C"/>
    <w:rsid w:val="00800E6B"/>
    <w:rsid w:val="00800F68"/>
    <w:rsid w:val="008010DA"/>
    <w:rsid w:val="008012B3"/>
    <w:rsid w:val="008012FC"/>
    <w:rsid w:val="008012FF"/>
    <w:rsid w:val="008013B4"/>
    <w:rsid w:val="0080144C"/>
    <w:rsid w:val="00801504"/>
    <w:rsid w:val="00801758"/>
    <w:rsid w:val="00801B1D"/>
    <w:rsid w:val="00801BE2"/>
    <w:rsid w:val="00801D05"/>
    <w:rsid w:val="00801E45"/>
    <w:rsid w:val="00801EAA"/>
    <w:rsid w:val="0080209C"/>
    <w:rsid w:val="008021CB"/>
    <w:rsid w:val="00802219"/>
    <w:rsid w:val="00802231"/>
    <w:rsid w:val="00802285"/>
    <w:rsid w:val="0080238B"/>
    <w:rsid w:val="00802516"/>
    <w:rsid w:val="0080259B"/>
    <w:rsid w:val="00802768"/>
    <w:rsid w:val="008028AB"/>
    <w:rsid w:val="00802A89"/>
    <w:rsid w:val="00802B9A"/>
    <w:rsid w:val="00802C89"/>
    <w:rsid w:val="00802DDF"/>
    <w:rsid w:val="00802F7E"/>
    <w:rsid w:val="0080300B"/>
    <w:rsid w:val="008031D7"/>
    <w:rsid w:val="008031EC"/>
    <w:rsid w:val="0080340D"/>
    <w:rsid w:val="008034F9"/>
    <w:rsid w:val="0080396E"/>
    <w:rsid w:val="0080399C"/>
    <w:rsid w:val="00803AA7"/>
    <w:rsid w:val="00803AFA"/>
    <w:rsid w:val="00803B8B"/>
    <w:rsid w:val="00803EA9"/>
    <w:rsid w:val="00803FB2"/>
    <w:rsid w:val="00804040"/>
    <w:rsid w:val="00804094"/>
    <w:rsid w:val="0080430A"/>
    <w:rsid w:val="0080450B"/>
    <w:rsid w:val="00804546"/>
    <w:rsid w:val="008045FB"/>
    <w:rsid w:val="008048BF"/>
    <w:rsid w:val="00804915"/>
    <w:rsid w:val="00804A90"/>
    <w:rsid w:val="00804DB3"/>
    <w:rsid w:val="00804DB5"/>
    <w:rsid w:val="00805B35"/>
    <w:rsid w:val="00805D8F"/>
    <w:rsid w:val="00805ED7"/>
    <w:rsid w:val="00806006"/>
    <w:rsid w:val="00806041"/>
    <w:rsid w:val="00806108"/>
    <w:rsid w:val="00806212"/>
    <w:rsid w:val="0080621F"/>
    <w:rsid w:val="008063F1"/>
    <w:rsid w:val="00806720"/>
    <w:rsid w:val="00806B11"/>
    <w:rsid w:val="00806B65"/>
    <w:rsid w:val="00806CCF"/>
    <w:rsid w:val="00806E4A"/>
    <w:rsid w:val="00806F80"/>
    <w:rsid w:val="00807106"/>
    <w:rsid w:val="008071FB"/>
    <w:rsid w:val="00807273"/>
    <w:rsid w:val="00807348"/>
    <w:rsid w:val="0080762D"/>
    <w:rsid w:val="00807821"/>
    <w:rsid w:val="00807A92"/>
    <w:rsid w:val="00807D16"/>
    <w:rsid w:val="00807DC3"/>
    <w:rsid w:val="00807FD8"/>
    <w:rsid w:val="0081014D"/>
    <w:rsid w:val="008101C9"/>
    <w:rsid w:val="008103A6"/>
    <w:rsid w:val="00810954"/>
    <w:rsid w:val="00810A2C"/>
    <w:rsid w:val="00810B35"/>
    <w:rsid w:val="00810C19"/>
    <w:rsid w:val="00810CF1"/>
    <w:rsid w:val="00811177"/>
    <w:rsid w:val="008113E1"/>
    <w:rsid w:val="008117A0"/>
    <w:rsid w:val="008117E8"/>
    <w:rsid w:val="00811967"/>
    <w:rsid w:val="00812020"/>
    <w:rsid w:val="008120F1"/>
    <w:rsid w:val="0081214F"/>
    <w:rsid w:val="008121E8"/>
    <w:rsid w:val="0081248B"/>
    <w:rsid w:val="008124A2"/>
    <w:rsid w:val="008127D7"/>
    <w:rsid w:val="00812A76"/>
    <w:rsid w:val="00812B31"/>
    <w:rsid w:val="00812D40"/>
    <w:rsid w:val="00812E6E"/>
    <w:rsid w:val="00812F10"/>
    <w:rsid w:val="00813068"/>
    <w:rsid w:val="008130DB"/>
    <w:rsid w:val="00813134"/>
    <w:rsid w:val="008132AF"/>
    <w:rsid w:val="00813762"/>
    <w:rsid w:val="00813771"/>
    <w:rsid w:val="00813884"/>
    <w:rsid w:val="008139C3"/>
    <w:rsid w:val="008139DD"/>
    <w:rsid w:val="00813E60"/>
    <w:rsid w:val="00813FD9"/>
    <w:rsid w:val="00814061"/>
    <w:rsid w:val="00814073"/>
    <w:rsid w:val="0081413F"/>
    <w:rsid w:val="008141FE"/>
    <w:rsid w:val="008142C4"/>
    <w:rsid w:val="008145B7"/>
    <w:rsid w:val="008146BE"/>
    <w:rsid w:val="0081471C"/>
    <w:rsid w:val="008147A4"/>
    <w:rsid w:val="0081485B"/>
    <w:rsid w:val="0081491D"/>
    <w:rsid w:val="00814932"/>
    <w:rsid w:val="0081497A"/>
    <w:rsid w:val="00814C3C"/>
    <w:rsid w:val="00814C8C"/>
    <w:rsid w:val="00814D3F"/>
    <w:rsid w:val="00814E80"/>
    <w:rsid w:val="00814F94"/>
    <w:rsid w:val="00815072"/>
    <w:rsid w:val="008150E8"/>
    <w:rsid w:val="00815109"/>
    <w:rsid w:val="00815249"/>
    <w:rsid w:val="0081527A"/>
    <w:rsid w:val="00815568"/>
    <w:rsid w:val="008156EB"/>
    <w:rsid w:val="008157F3"/>
    <w:rsid w:val="0081585E"/>
    <w:rsid w:val="00815873"/>
    <w:rsid w:val="00815B57"/>
    <w:rsid w:val="00815B62"/>
    <w:rsid w:val="00815B7B"/>
    <w:rsid w:val="00815C97"/>
    <w:rsid w:val="00815D17"/>
    <w:rsid w:val="00815D46"/>
    <w:rsid w:val="00815E91"/>
    <w:rsid w:val="00816575"/>
    <w:rsid w:val="008167E6"/>
    <w:rsid w:val="0081683D"/>
    <w:rsid w:val="0081691C"/>
    <w:rsid w:val="00816A78"/>
    <w:rsid w:val="00816D79"/>
    <w:rsid w:val="00816E89"/>
    <w:rsid w:val="00816EC3"/>
    <w:rsid w:val="00816FB7"/>
    <w:rsid w:val="00816FD2"/>
    <w:rsid w:val="008171E4"/>
    <w:rsid w:val="008173C9"/>
    <w:rsid w:val="00817818"/>
    <w:rsid w:val="0081784A"/>
    <w:rsid w:val="00817988"/>
    <w:rsid w:val="00817B99"/>
    <w:rsid w:val="00817C08"/>
    <w:rsid w:val="00817D21"/>
    <w:rsid w:val="00817D79"/>
    <w:rsid w:val="0082007E"/>
    <w:rsid w:val="0082011D"/>
    <w:rsid w:val="008202BB"/>
    <w:rsid w:val="00820538"/>
    <w:rsid w:val="00820587"/>
    <w:rsid w:val="008206E2"/>
    <w:rsid w:val="00820A04"/>
    <w:rsid w:val="00820A05"/>
    <w:rsid w:val="00820AA2"/>
    <w:rsid w:val="00820B92"/>
    <w:rsid w:val="00820C2F"/>
    <w:rsid w:val="00820D8B"/>
    <w:rsid w:val="00820DA2"/>
    <w:rsid w:val="008210F1"/>
    <w:rsid w:val="00821302"/>
    <w:rsid w:val="0082131E"/>
    <w:rsid w:val="00821475"/>
    <w:rsid w:val="0082165E"/>
    <w:rsid w:val="00821A7A"/>
    <w:rsid w:val="00821ACC"/>
    <w:rsid w:val="00821B2F"/>
    <w:rsid w:val="00821BDB"/>
    <w:rsid w:val="00821BF4"/>
    <w:rsid w:val="00821E28"/>
    <w:rsid w:val="00821E74"/>
    <w:rsid w:val="00821F5A"/>
    <w:rsid w:val="00822101"/>
    <w:rsid w:val="008223DC"/>
    <w:rsid w:val="00822461"/>
    <w:rsid w:val="00822480"/>
    <w:rsid w:val="0082262C"/>
    <w:rsid w:val="008227C6"/>
    <w:rsid w:val="008228F0"/>
    <w:rsid w:val="00822DA7"/>
    <w:rsid w:val="00822DDF"/>
    <w:rsid w:val="00822ED7"/>
    <w:rsid w:val="00822FFA"/>
    <w:rsid w:val="00823042"/>
    <w:rsid w:val="00823069"/>
    <w:rsid w:val="008231B3"/>
    <w:rsid w:val="0082326C"/>
    <w:rsid w:val="008232B4"/>
    <w:rsid w:val="008233BB"/>
    <w:rsid w:val="008236CC"/>
    <w:rsid w:val="0082372A"/>
    <w:rsid w:val="00823877"/>
    <w:rsid w:val="0082397D"/>
    <w:rsid w:val="00823AC1"/>
    <w:rsid w:val="00823EB3"/>
    <w:rsid w:val="00824023"/>
    <w:rsid w:val="0082404D"/>
    <w:rsid w:val="00824261"/>
    <w:rsid w:val="0082435A"/>
    <w:rsid w:val="00824360"/>
    <w:rsid w:val="008244E9"/>
    <w:rsid w:val="00824540"/>
    <w:rsid w:val="00824612"/>
    <w:rsid w:val="0082484D"/>
    <w:rsid w:val="008249B9"/>
    <w:rsid w:val="00824D2D"/>
    <w:rsid w:val="00825200"/>
    <w:rsid w:val="00825293"/>
    <w:rsid w:val="00825357"/>
    <w:rsid w:val="00825380"/>
    <w:rsid w:val="008257B6"/>
    <w:rsid w:val="0082586B"/>
    <w:rsid w:val="00825CA0"/>
    <w:rsid w:val="00825D7E"/>
    <w:rsid w:val="00825ECE"/>
    <w:rsid w:val="0082603A"/>
    <w:rsid w:val="0082624F"/>
    <w:rsid w:val="00826474"/>
    <w:rsid w:val="008264C0"/>
    <w:rsid w:val="008265C9"/>
    <w:rsid w:val="00826710"/>
    <w:rsid w:val="00826790"/>
    <w:rsid w:val="00826830"/>
    <w:rsid w:val="00826835"/>
    <w:rsid w:val="00826CB5"/>
    <w:rsid w:val="00826E11"/>
    <w:rsid w:val="00826E38"/>
    <w:rsid w:val="00827283"/>
    <w:rsid w:val="008272D3"/>
    <w:rsid w:val="008273B4"/>
    <w:rsid w:val="008273F8"/>
    <w:rsid w:val="0082742C"/>
    <w:rsid w:val="008274D5"/>
    <w:rsid w:val="008276DB"/>
    <w:rsid w:val="008276EA"/>
    <w:rsid w:val="00827781"/>
    <w:rsid w:val="008277B2"/>
    <w:rsid w:val="008278D8"/>
    <w:rsid w:val="0082793F"/>
    <w:rsid w:val="008279F2"/>
    <w:rsid w:val="00827A94"/>
    <w:rsid w:val="00827ACC"/>
    <w:rsid w:val="00827AE2"/>
    <w:rsid w:val="00827CCB"/>
    <w:rsid w:val="00827D49"/>
    <w:rsid w:val="00827EB0"/>
    <w:rsid w:val="00827ED1"/>
    <w:rsid w:val="008302A5"/>
    <w:rsid w:val="008302A9"/>
    <w:rsid w:val="00830897"/>
    <w:rsid w:val="0083095B"/>
    <w:rsid w:val="008309AC"/>
    <w:rsid w:val="00830BF4"/>
    <w:rsid w:val="00830C7C"/>
    <w:rsid w:val="00830F84"/>
    <w:rsid w:val="0083124A"/>
    <w:rsid w:val="0083138F"/>
    <w:rsid w:val="008318C5"/>
    <w:rsid w:val="00831998"/>
    <w:rsid w:val="00831ACE"/>
    <w:rsid w:val="00831D74"/>
    <w:rsid w:val="00831F67"/>
    <w:rsid w:val="00831FB1"/>
    <w:rsid w:val="00832103"/>
    <w:rsid w:val="008326C9"/>
    <w:rsid w:val="008326F8"/>
    <w:rsid w:val="0083272D"/>
    <w:rsid w:val="00832798"/>
    <w:rsid w:val="008327D4"/>
    <w:rsid w:val="008327E6"/>
    <w:rsid w:val="00832870"/>
    <w:rsid w:val="00832A27"/>
    <w:rsid w:val="00832A91"/>
    <w:rsid w:val="00832B59"/>
    <w:rsid w:val="00832E4A"/>
    <w:rsid w:val="0083329E"/>
    <w:rsid w:val="0083344B"/>
    <w:rsid w:val="00833499"/>
    <w:rsid w:val="0083355A"/>
    <w:rsid w:val="008336FF"/>
    <w:rsid w:val="008338A4"/>
    <w:rsid w:val="008339BB"/>
    <w:rsid w:val="008339C1"/>
    <w:rsid w:val="00833B12"/>
    <w:rsid w:val="008344F3"/>
    <w:rsid w:val="00834878"/>
    <w:rsid w:val="008349C7"/>
    <w:rsid w:val="00834F3E"/>
    <w:rsid w:val="00835052"/>
    <w:rsid w:val="00835153"/>
    <w:rsid w:val="0083517D"/>
    <w:rsid w:val="008351B4"/>
    <w:rsid w:val="00835270"/>
    <w:rsid w:val="0083528F"/>
    <w:rsid w:val="00835326"/>
    <w:rsid w:val="008357BC"/>
    <w:rsid w:val="008358D6"/>
    <w:rsid w:val="008359BD"/>
    <w:rsid w:val="008359EA"/>
    <w:rsid w:val="00835BBF"/>
    <w:rsid w:val="00835CA5"/>
    <w:rsid w:val="00835CFB"/>
    <w:rsid w:val="00835D12"/>
    <w:rsid w:val="00835F3D"/>
    <w:rsid w:val="00835FF5"/>
    <w:rsid w:val="008360AD"/>
    <w:rsid w:val="008361CB"/>
    <w:rsid w:val="008364A6"/>
    <w:rsid w:val="0083653D"/>
    <w:rsid w:val="008365F4"/>
    <w:rsid w:val="008366D7"/>
    <w:rsid w:val="00836BD0"/>
    <w:rsid w:val="00837019"/>
    <w:rsid w:val="0083711F"/>
    <w:rsid w:val="0083724C"/>
    <w:rsid w:val="0083731E"/>
    <w:rsid w:val="0083749B"/>
    <w:rsid w:val="008374A1"/>
    <w:rsid w:val="00837707"/>
    <w:rsid w:val="00837809"/>
    <w:rsid w:val="00837AB4"/>
    <w:rsid w:val="00837D9F"/>
    <w:rsid w:val="00837FCE"/>
    <w:rsid w:val="008400E3"/>
    <w:rsid w:val="00840111"/>
    <w:rsid w:val="00840143"/>
    <w:rsid w:val="00840321"/>
    <w:rsid w:val="008403B3"/>
    <w:rsid w:val="00840695"/>
    <w:rsid w:val="00840765"/>
    <w:rsid w:val="008408F9"/>
    <w:rsid w:val="00840B0C"/>
    <w:rsid w:val="00840D8D"/>
    <w:rsid w:val="00840EBF"/>
    <w:rsid w:val="00840F34"/>
    <w:rsid w:val="00841349"/>
    <w:rsid w:val="008415E2"/>
    <w:rsid w:val="008417B7"/>
    <w:rsid w:val="008417BF"/>
    <w:rsid w:val="00841806"/>
    <w:rsid w:val="0084182C"/>
    <w:rsid w:val="00841834"/>
    <w:rsid w:val="00841AEE"/>
    <w:rsid w:val="00841BF4"/>
    <w:rsid w:val="00841D4C"/>
    <w:rsid w:val="00841D61"/>
    <w:rsid w:val="00841DD1"/>
    <w:rsid w:val="00841F83"/>
    <w:rsid w:val="0084200F"/>
    <w:rsid w:val="00842049"/>
    <w:rsid w:val="00842172"/>
    <w:rsid w:val="0084219B"/>
    <w:rsid w:val="008421FC"/>
    <w:rsid w:val="0084239E"/>
    <w:rsid w:val="008423A7"/>
    <w:rsid w:val="008425E1"/>
    <w:rsid w:val="0084281F"/>
    <w:rsid w:val="0084298C"/>
    <w:rsid w:val="00842AC6"/>
    <w:rsid w:val="00843028"/>
    <w:rsid w:val="00843041"/>
    <w:rsid w:val="008431AB"/>
    <w:rsid w:val="008433E1"/>
    <w:rsid w:val="00843522"/>
    <w:rsid w:val="0084373B"/>
    <w:rsid w:val="0084375B"/>
    <w:rsid w:val="00843D6D"/>
    <w:rsid w:val="00843DB8"/>
    <w:rsid w:val="00843ECF"/>
    <w:rsid w:val="00843FF0"/>
    <w:rsid w:val="008441EF"/>
    <w:rsid w:val="0084435F"/>
    <w:rsid w:val="00844467"/>
    <w:rsid w:val="008444E7"/>
    <w:rsid w:val="00844500"/>
    <w:rsid w:val="00844740"/>
    <w:rsid w:val="00844845"/>
    <w:rsid w:val="008448FA"/>
    <w:rsid w:val="00844990"/>
    <w:rsid w:val="00844C1F"/>
    <w:rsid w:val="00844CD2"/>
    <w:rsid w:val="00844E29"/>
    <w:rsid w:val="00844F65"/>
    <w:rsid w:val="00844FEF"/>
    <w:rsid w:val="0084502A"/>
    <w:rsid w:val="0084542E"/>
    <w:rsid w:val="00845485"/>
    <w:rsid w:val="00845B10"/>
    <w:rsid w:val="00845CC2"/>
    <w:rsid w:val="00845D1B"/>
    <w:rsid w:val="0084603C"/>
    <w:rsid w:val="008460ED"/>
    <w:rsid w:val="00846188"/>
    <w:rsid w:val="0084620B"/>
    <w:rsid w:val="00846268"/>
    <w:rsid w:val="00846463"/>
    <w:rsid w:val="008466C8"/>
    <w:rsid w:val="00846701"/>
    <w:rsid w:val="00846757"/>
    <w:rsid w:val="00846852"/>
    <w:rsid w:val="00846B5A"/>
    <w:rsid w:val="00846D87"/>
    <w:rsid w:val="00846F90"/>
    <w:rsid w:val="008470C9"/>
    <w:rsid w:val="008476B4"/>
    <w:rsid w:val="00847783"/>
    <w:rsid w:val="00847865"/>
    <w:rsid w:val="00847B2C"/>
    <w:rsid w:val="00847C12"/>
    <w:rsid w:val="00847D05"/>
    <w:rsid w:val="00847E6E"/>
    <w:rsid w:val="00847EE5"/>
    <w:rsid w:val="00850233"/>
    <w:rsid w:val="008502B2"/>
    <w:rsid w:val="0085056A"/>
    <w:rsid w:val="008505EC"/>
    <w:rsid w:val="008507F0"/>
    <w:rsid w:val="008508DB"/>
    <w:rsid w:val="00850AE0"/>
    <w:rsid w:val="00850B72"/>
    <w:rsid w:val="00850F85"/>
    <w:rsid w:val="008510E1"/>
    <w:rsid w:val="0085143F"/>
    <w:rsid w:val="00851D75"/>
    <w:rsid w:val="00851D77"/>
    <w:rsid w:val="00852066"/>
    <w:rsid w:val="008521B9"/>
    <w:rsid w:val="00852391"/>
    <w:rsid w:val="00852503"/>
    <w:rsid w:val="00852A2E"/>
    <w:rsid w:val="00852A5F"/>
    <w:rsid w:val="00852B14"/>
    <w:rsid w:val="00852C5B"/>
    <w:rsid w:val="00852F12"/>
    <w:rsid w:val="00852F82"/>
    <w:rsid w:val="008535BE"/>
    <w:rsid w:val="008535C4"/>
    <w:rsid w:val="00853656"/>
    <w:rsid w:val="008537EA"/>
    <w:rsid w:val="008538EE"/>
    <w:rsid w:val="008539BB"/>
    <w:rsid w:val="008539FC"/>
    <w:rsid w:val="00853AF5"/>
    <w:rsid w:val="00853BAD"/>
    <w:rsid w:val="00853FB8"/>
    <w:rsid w:val="00853FF0"/>
    <w:rsid w:val="008540B4"/>
    <w:rsid w:val="00854388"/>
    <w:rsid w:val="008544AA"/>
    <w:rsid w:val="0085463F"/>
    <w:rsid w:val="0085464C"/>
    <w:rsid w:val="00854889"/>
    <w:rsid w:val="008548D6"/>
    <w:rsid w:val="00854972"/>
    <w:rsid w:val="0085497F"/>
    <w:rsid w:val="00854A06"/>
    <w:rsid w:val="00854AE5"/>
    <w:rsid w:val="00854BF4"/>
    <w:rsid w:val="00854C89"/>
    <w:rsid w:val="00854EC1"/>
    <w:rsid w:val="00854F3E"/>
    <w:rsid w:val="00854FF8"/>
    <w:rsid w:val="008550FF"/>
    <w:rsid w:val="00855321"/>
    <w:rsid w:val="00855549"/>
    <w:rsid w:val="00855A95"/>
    <w:rsid w:val="00855BFB"/>
    <w:rsid w:val="00855C47"/>
    <w:rsid w:val="00855E93"/>
    <w:rsid w:val="00856099"/>
    <w:rsid w:val="00856162"/>
    <w:rsid w:val="008565DF"/>
    <w:rsid w:val="00856655"/>
    <w:rsid w:val="008566F7"/>
    <w:rsid w:val="0085685B"/>
    <w:rsid w:val="0085688D"/>
    <w:rsid w:val="008568C1"/>
    <w:rsid w:val="00856A30"/>
    <w:rsid w:val="00856D1C"/>
    <w:rsid w:val="00856D3B"/>
    <w:rsid w:val="00856F12"/>
    <w:rsid w:val="00856F3C"/>
    <w:rsid w:val="008571FF"/>
    <w:rsid w:val="008573CA"/>
    <w:rsid w:val="00857518"/>
    <w:rsid w:val="00857683"/>
    <w:rsid w:val="00857698"/>
    <w:rsid w:val="008577FD"/>
    <w:rsid w:val="00857849"/>
    <w:rsid w:val="0085785C"/>
    <w:rsid w:val="00857E81"/>
    <w:rsid w:val="00860290"/>
    <w:rsid w:val="008602C5"/>
    <w:rsid w:val="0086070E"/>
    <w:rsid w:val="00860840"/>
    <w:rsid w:val="00860AA3"/>
    <w:rsid w:val="00860C48"/>
    <w:rsid w:val="00860C5F"/>
    <w:rsid w:val="00860C8A"/>
    <w:rsid w:val="00860D0E"/>
    <w:rsid w:val="00860E3E"/>
    <w:rsid w:val="008612EB"/>
    <w:rsid w:val="008615A3"/>
    <w:rsid w:val="008616D7"/>
    <w:rsid w:val="00861716"/>
    <w:rsid w:val="00861830"/>
    <w:rsid w:val="00861973"/>
    <w:rsid w:val="00861BE5"/>
    <w:rsid w:val="00861CDD"/>
    <w:rsid w:val="00861F1F"/>
    <w:rsid w:val="00861F88"/>
    <w:rsid w:val="008622FB"/>
    <w:rsid w:val="008623B2"/>
    <w:rsid w:val="008626DC"/>
    <w:rsid w:val="00862788"/>
    <w:rsid w:val="008627BD"/>
    <w:rsid w:val="00862AEC"/>
    <w:rsid w:val="00862BF1"/>
    <w:rsid w:val="00862D8B"/>
    <w:rsid w:val="00862EED"/>
    <w:rsid w:val="008631A7"/>
    <w:rsid w:val="0086324C"/>
    <w:rsid w:val="008632F1"/>
    <w:rsid w:val="00863476"/>
    <w:rsid w:val="008634CB"/>
    <w:rsid w:val="00863668"/>
    <w:rsid w:val="00863850"/>
    <w:rsid w:val="00863902"/>
    <w:rsid w:val="008639DE"/>
    <w:rsid w:val="00863AD6"/>
    <w:rsid w:val="00863C26"/>
    <w:rsid w:val="00863C6A"/>
    <w:rsid w:val="00863D5B"/>
    <w:rsid w:val="00863DE8"/>
    <w:rsid w:val="0086419A"/>
    <w:rsid w:val="00864452"/>
    <w:rsid w:val="00864486"/>
    <w:rsid w:val="008644A8"/>
    <w:rsid w:val="008647C2"/>
    <w:rsid w:val="00864899"/>
    <w:rsid w:val="008649E0"/>
    <w:rsid w:val="0086510D"/>
    <w:rsid w:val="00865127"/>
    <w:rsid w:val="00865328"/>
    <w:rsid w:val="00865715"/>
    <w:rsid w:val="0086585D"/>
    <w:rsid w:val="00865871"/>
    <w:rsid w:val="00865939"/>
    <w:rsid w:val="00865994"/>
    <w:rsid w:val="00865ED3"/>
    <w:rsid w:val="00866019"/>
    <w:rsid w:val="00866206"/>
    <w:rsid w:val="008663DC"/>
    <w:rsid w:val="008663FC"/>
    <w:rsid w:val="008664A3"/>
    <w:rsid w:val="00866842"/>
    <w:rsid w:val="0086696A"/>
    <w:rsid w:val="0086699D"/>
    <w:rsid w:val="00866A8A"/>
    <w:rsid w:val="00867178"/>
    <w:rsid w:val="00867441"/>
    <w:rsid w:val="008675BD"/>
    <w:rsid w:val="008678E8"/>
    <w:rsid w:val="00867BF0"/>
    <w:rsid w:val="00867DE3"/>
    <w:rsid w:val="0087023B"/>
    <w:rsid w:val="008703F4"/>
    <w:rsid w:val="0087055D"/>
    <w:rsid w:val="008709F1"/>
    <w:rsid w:val="00870C1E"/>
    <w:rsid w:val="00870D08"/>
    <w:rsid w:val="00870E7C"/>
    <w:rsid w:val="008711BC"/>
    <w:rsid w:val="008712D0"/>
    <w:rsid w:val="008714E1"/>
    <w:rsid w:val="008715A1"/>
    <w:rsid w:val="00871747"/>
    <w:rsid w:val="00871821"/>
    <w:rsid w:val="008718F0"/>
    <w:rsid w:val="00871A77"/>
    <w:rsid w:val="00871A82"/>
    <w:rsid w:val="00871B62"/>
    <w:rsid w:val="00871B9D"/>
    <w:rsid w:val="00871CF2"/>
    <w:rsid w:val="008724EF"/>
    <w:rsid w:val="00872611"/>
    <w:rsid w:val="008728DB"/>
    <w:rsid w:val="00872ABC"/>
    <w:rsid w:val="00872C7E"/>
    <w:rsid w:val="00872D33"/>
    <w:rsid w:val="00872D59"/>
    <w:rsid w:val="00872DA3"/>
    <w:rsid w:val="00872F80"/>
    <w:rsid w:val="0087325D"/>
    <w:rsid w:val="00873283"/>
    <w:rsid w:val="008732F0"/>
    <w:rsid w:val="00873389"/>
    <w:rsid w:val="008735DD"/>
    <w:rsid w:val="00873BA9"/>
    <w:rsid w:val="0087411F"/>
    <w:rsid w:val="00874121"/>
    <w:rsid w:val="0087439F"/>
    <w:rsid w:val="008743CB"/>
    <w:rsid w:val="0087454D"/>
    <w:rsid w:val="008745B2"/>
    <w:rsid w:val="00874780"/>
    <w:rsid w:val="0087481E"/>
    <w:rsid w:val="00874A0F"/>
    <w:rsid w:val="00874C6D"/>
    <w:rsid w:val="0087503E"/>
    <w:rsid w:val="00875284"/>
    <w:rsid w:val="008752A5"/>
    <w:rsid w:val="008752C7"/>
    <w:rsid w:val="0087547E"/>
    <w:rsid w:val="0087575F"/>
    <w:rsid w:val="00875789"/>
    <w:rsid w:val="00875856"/>
    <w:rsid w:val="008758A1"/>
    <w:rsid w:val="0087599B"/>
    <w:rsid w:val="00875AB8"/>
    <w:rsid w:val="00875E22"/>
    <w:rsid w:val="0087615B"/>
    <w:rsid w:val="0087620B"/>
    <w:rsid w:val="008763F2"/>
    <w:rsid w:val="008767F3"/>
    <w:rsid w:val="0087692A"/>
    <w:rsid w:val="00876A25"/>
    <w:rsid w:val="00876A83"/>
    <w:rsid w:val="00876AF7"/>
    <w:rsid w:val="00876C47"/>
    <w:rsid w:val="00876D5B"/>
    <w:rsid w:val="00876F28"/>
    <w:rsid w:val="008771D0"/>
    <w:rsid w:val="00877210"/>
    <w:rsid w:val="008772A2"/>
    <w:rsid w:val="0087738D"/>
    <w:rsid w:val="008774F2"/>
    <w:rsid w:val="00877691"/>
    <w:rsid w:val="008779DF"/>
    <w:rsid w:val="00877BB8"/>
    <w:rsid w:val="00877C34"/>
    <w:rsid w:val="008801BA"/>
    <w:rsid w:val="008802C4"/>
    <w:rsid w:val="00880729"/>
    <w:rsid w:val="00880862"/>
    <w:rsid w:val="00880941"/>
    <w:rsid w:val="00880A65"/>
    <w:rsid w:val="00880A7E"/>
    <w:rsid w:val="00880C2E"/>
    <w:rsid w:val="00880C9D"/>
    <w:rsid w:val="00880DDC"/>
    <w:rsid w:val="00880F82"/>
    <w:rsid w:val="00880FBF"/>
    <w:rsid w:val="00881024"/>
    <w:rsid w:val="0088118A"/>
    <w:rsid w:val="0088123E"/>
    <w:rsid w:val="0088158A"/>
    <w:rsid w:val="008815A5"/>
    <w:rsid w:val="008815EB"/>
    <w:rsid w:val="00881717"/>
    <w:rsid w:val="00881905"/>
    <w:rsid w:val="00881A11"/>
    <w:rsid w:val="00881A62"/>
    <w:rsid w:val="00881B24"/>
    <w:rsid w:val="00881E27"/>
    <w:rsid w:val="00881E40"/>
    <w:rsid w:val="00881E59"/>
    <w:rsid w:val="00881EDB"/>
    <w:rsid w:val="00881F5C"/>
    <w:rsid w:val="00881F91"/>
    <w:rsid w:val="00882021"/>
    <w:rsid w:val="0088236E"/>
    <w:rsid w:val="00882992"/>
    <w:rsid w:val="00882A23"/>
    <w:rsid w:val="00882AA1"/>
    <w:rsid w:val="00882B43"/>
    <w:rsid w:val="00882DE2"/>
    <w:rsid w:val="00882F18"/>
    <w:rsid w:val="00883072"/>
    <w:rsid w:val="0088317B"/>
    <w:rsid w:val="00883270"/>
    <w:rsid w:val="008833C8"/>
    <w:rsid w:val="00883440"/>
    <w:rsid w:val="00883449"/>
    <w:rsid w:val="0088350B"/>
    <w:rsid w:val="0088367F"/>
    <w:rsid w:val="008837BE"/>
    <w:rsid w:val="00883B95"/>
    <w:rsid w:val="00883C23"/>
    <w:rsid w:val="00883DA7"/>
    <w:rsid w:val="00883ED5"/>
    <w:rsid w:val="008842CF"/>
    <w:rsid w:val="00884313"/>
    <w:rsid w:val="00884601"/>
    <w:rsid w:val="00884617"/>
    <w:rsid w:val="0088466F"/>
    <w:rsid w:val="00884A82"/>
    <w:rsid w:val="00884B44"/>
    <w:rsid w:val="00884BF6"/>
    <w:rsid w:val="00884DB8"/>
    <w:rsid w:val="00884EA6"/>
    <w:rsid w:val="00884ED4"/>
    <w:rsid w:val="00885285"/>
    <w:rsid w:val="00885360"/>
    <w:rsid w:val="00885430"/>
    <w:rsid w:val="00885450"/>
    <w:rsid w:val="00885498"/>
    <w:rsid w:val="00885672"/>
    <w:rsid w:val="00885892"/>
    <w:rsid w:val="0088594E"/>
    <w:rsid w:val="00885998"/>
    <w:rsid w:val="00885A4C"/>
    <w:rsid w:val="00885ABC"/>
    <w:rsid w:val="00886041"/>
    <w:rsid w:val="00886070"/>
    <w:rsid w:val="00886078"/>
    <w:rsid w:val="0088613E"/>
    <w:rsid w:val="008862AC"/>
    <w:rsid w:val="008866C4"/>
    <w:rsid w:val="0088690F"/>
    <w:rsid w:val="008869A0"/>
    <w:rsid w:val="00886BF6"/>
    <w:rsid w:val="00886CFB"/>
    <w:rsid w:val="00886F7A"/>
    <w:rsid w:val="0088719B"/>
    <w:rsid w:val="0088737A"/>
    <w:rsid w:val="00887541"/>
    <w:rsid w:val="00887961"/>
    <w:rsid w:val="00887D00"/>
    <w:rsid w:val="00887DAA"/>
    <w:rsid w:val="00887EAB"/>
    <w:rsid w:val="00887EE5"/>
    <w:rsid w:val="00887F02"/>
    <w:rsid w:val="00887F6A"/>
    <w:rsid w:val="00887FCB"/>
    <w:rsid w:val="0089006A"/>
    <w:rsid w:val="008901DE"/>
    <w:rsid w:val="008906C5"/>
    <w:rsid w:val="00890BC1"/>
    <w:rsid w:val="00890CED"/>
    <w:rsid w:val="00891782"/>
    <w:rsid w:val="00891DDB"/>
    <w:rsid w:val="00891F2C"/>
    <w:rsid w:val="0089212C"/>
    <w:rsid w:val="0089213E"/>
    <w:rsid w:val="0089217E"/>
    <w:rsid w:val="00892288"/>
    <w:rsid w:val="008923B4"/>
    <w:rsid w:val="008923DA"/>
    <w:rsid w:val="0089259E"/>
    <w:rsid w:val="008925D6"/>
    <w:rsid w:val="008925E6"/>
    <w:rsid w:val="00892B10"/>
    <w:rsid w:val="00892CB9"/>
    <w:rsid w:val="0089300C"/>
    <w:rsid w:val="0089305A"/>
    <w:rsid w:val="008932E5"/>
    <w:rsid w:val="008932F7"/>
    <w:rsid w:val="00893447"/>
    <w:rsid w:val="0089356A"/>
    <w:rsid w:val="00893628"/>
    <w:rsid w:val="00893649"/>
    <w:rsid w:val="00893690"/>
    <w:rsid w:val="00893813"/>
    <w:rsid w:val="0089397A"/>
    <w:rsid w:val="00893980"/>
    <w:rsid w:val="00893A24"/>
    <w:rsid w:val="00893C4C"/>
    <w:rsid w:val="00893D9C"/>
    <w:rsid w:val="0089434B"/>
    <w:rsid w:val="00894635"/>
    <w:rsid w:val="008947BA"/>
    <w:rsid w:val="00894813"/>
    <w:rsid w:val="00894822"/>
    <w:rsid w:val="00894AD5"/>
    <w:rsid w:val="00894C94"/>
    <w:rsid w:val="00894D67"/>
    <w:rsid w:val="00894EDC"/>
    <w:rsid w:val="00895300"/>
    <w:rsid w:val="00895320"/>
    <w:rsid w:val="00895929"/>
    <w:rsid w:val="00895988"/>
    <w:rsid w:val="00895992"/>
    <w:rsid w:val="008959A4"/>
    <w:rsid w:val="00895B91"/>
    <w:rsid w:val="00895BEF"/>
    <w:rsid w:val="00895CCD"/>
    <w:rsid w:val="00895E48"/>
    <w:rsid w:val="00896466"/>
    <w:rsid w:val="008965E5"/>
    <w:rsid w:val="00896786"/>
    <w:rsid w:val="00896899"/>
    <w:rsid w:val="00896AD2"/>
    <w:rsid w:val="00896C66"/>
    <w:rsid w:val="00896C94"/>
    <w:rsid w:val="00896D55"/>
    <w:rsid w:val="00896DBE"/>
    <w:rsid w:val="00896E28"/>
    <w:rsid w:val="00897059"/>
    <w:rsid w:val="00897223"/>
    <w:rsid w:val="00897810"/>
    <w:rsid w:val="00897A79"/>
    <w:rsid w:val="00897C66"/>
    <w:rsid w:val="00897CCB"/>
    <w:rsid w:val="00897CD4"/>
    <w:rsid w:val="00897D56"/>
    <w:rsid w:val="00897DAF"/>
    <w:rsid w:val="00897DFB"/>
    <w:rsid w:val="00897F69"/>
    <w:rsid w:val="008A01FD"/>
    <w:rsid w:val="008A037A"/>
    <w:rsid w:val="008A03F1"/>
    <w:rsid w:val="008A05CA"/>
    <w:rsid w:val="008A0714"/>
    <w:rsid w:val="008A07D7"/>
    <w:rsid w:val="008A0B1A"/>
    <w:rsid w:val="008A0B8A"/>
    <w:rsid w:val="008A0DFB"/>
    <w:rsid w:val="008A10CE"/>
    <w:rsid w:val="008A1148"/>
    <w:rsid w:val="008A12D3"/>
    <w:rsid w:val="008A12DF"/>
    <w:rsid w:val="008A1596"/>
    <w:rsid w:val="008A1798"/>
    <w:rsid w:val="008A179F"/>
    <w:rsid w:val="008A1AC0"/>
    <w:rsid w:val="008A1ED6"/>
    <w:rsid w:val="008A20A1"/>
    <w:rsid w:val="008A215E"/>
    <w:rsid w:val="008A2197"/>
    <w:rsid w:val="008A2349"/>
    <w:rsid w:val="008A2406"/>
    <w:rsid w:val="008A261A"/>
    <w:rsid w:val="008A26AF"/>
    <w:rsid w:val="008A2C9A"/>
    <w:rsid w:val="008A2D01"/>
    <w:rsid w:val="008A2EC9"/>
    <w:rsid w:val="008A2EF5"/>
    <w:rsid w:val="008A3293"/>
    <w:rsid w:val="008A34DC"/>
    <w:rsid w:val="008A3A95"/>
    <w:rsid w:val="008A3BC8"/>
    <w:rsid w:val="008A3BF1"/>
    <w:rsid w:val="008A3C2A"/>
    <w:rsid w:val="008A3D74"/>
    <w:rsid w:val="008A3E0D"/>
    <w:rsid w:val="008A3F72"/>
    <w:rsid w:val="008A40E9"/>
    <w:rsid w:val="008A44C2"/>
    <w:rsid w:val="008A4519"/>
    <w:rsid w:val="008A4836"/>
    <w:rsid w:val="008A48B2"/>
    <w:rsid w:val="008A48FC"/>
    <w:rsid w:val="008A49B9"/>
    <w:rsid w:val="008A4DC0"/>
    <w:rsid w:val="008A4ED1"/>
    <w:rsid w:val="008A52C2"/>
    <w:rsid w:val="008A5337"/>
    <w:rsid w:val="008A5366"/>
    <w:rsid w:val="008A546A"/>
    <w:rsid w:val="008A5595"/>
    <w:rsid w:val="008A569B"/>
    <w:rsid w:val="008A5710"/>
    <w:rsid w:val="008A5800"/>
    <w:rsid w:val="008A5B5C"/>
    <w:rsid w:val="008A5B6A"/>
    <w:rsid w:val="008A5B6F"/>
    <w:rsid w:val="008A5BD2"/>
    <w:rsid w:val="008A5D31"/>
    <w:rsid w:val="008A603F"/>
    <w:rsid w:val="008A6225"/>
    <w:rsid w:val="008A6598"/>
    <w:rsid w:val="008A65E7"/>
    <w:rsid w:val="008A6675"/>
    <w:rsid w:val="008A68ED"/>
    <w:rsid w:val="008A6922"/>
    <w:rsid w:val="008A69D0"/>
    <w:rsid w:val="008A6A8C"/>
    <w:rsid w:val="008A7147"/>
    <w:rsid w:val="008A71A5"/>
    <w:rsid w:val="008A7247"/>
    <w:rsid w:val="008A7249"/>
    <w:rsid w:val="008A7804"/>
    <w:rsid w:val="008A7970"/>
    <w:rsid w:val="008A7A74"/>
    <w:rsid w:val="008A7E32"/>
    <w:rsid w:val="008A7E50"/>
    <w:rsid w:val="008B0123"/>
    <w:rsid w:val="008B0595"/>
    <w:rsid w:val="008B071D"/>
    <w:rsid w:val="008B0864"/>
    <w:rsid w:val="008B0976"/>
    <w:rsid w:val="008B0AA6"/>
    <w:rsid w:val="008B0C13"/>
    <w:rsid w:val="008B1090"/>
    <w:rsid w:val="008B124D"/>
    <w:rsid w:val="008B1514"/>
    <w:rsid w:val="008B15B7"/>
    <w:rsid w:val="008B15C1"/>
    <w:rsid w:val="008B16A4"/>
    <w:rsid w:val="008B175C"/>
    <w:rsid w:val="008B18C2"/>
    <w:rsid w:val="008B197B"/>
    <w:rsid w:val="008B1AF3"/>
    <w:rsid w:val="008B1BBE"/>
    <w:rsid w:val="008B1C45"/>
    <w:rsid w:val="008B1CD6"/>
    <w:rsid w:val="008B1F66"/>
    <w:rsid w:val="008B210E"/>
    <w:rsid w:val="008B21DD"/>
    <w:rsid w:val="008B2386"/>
    <w:rsid w:val="008B2426"/>
    <w:rsid w:val="008B2714"/>
    <w:rsid w:val="008B2A1A"/>
    <w:rsid w:val="008B2A71"/>
    <w:rsid w:val="008B2AD2"/>
    <w:rsid w:val="008B2BB0"/>
    <w:rsid w:val="008B2BC5"/>
    <w:rsid w:val="008B2D30"/>
    <w:rsid w:val="008B2E07"/>
    <w:rsid w:val="008B2E32"/>
    <w:rsid w:val="008B2ECE"/>
    <w:rsid w:val="008B36CD"/>
    <w:rsid w:val="008B3EEE"/>
    <w:rsid w:val="008B3F6E"/>
    <w:rsid w:val="008B41C5"/>
    <w:rsid w:val="008B43AE"/>
    <w:rsid w:val="008B4416"/>
    <w:rsid w:val="008B48D8"/>
    <w:rsid w:val="008B490D"/>
    <w:rsid w:val="008B4939"/>
    <w:rsid w:val="008B4B44"/>
    <w:rsid w:val="008B4B9A"/>
    <w:rsid w:val="008B4CF9"/>
    <w:rsid w:val="008B4D3F"/>
    <w:rsid w:val="008B50CC"/>
    <w:rsid w:val="008B5209"/>
    <w:rsid w:val="008B523D"/>
    <w:rsid w:val="008B533F"/>
    <w:rsid w:val="008B5A4A"/>
    <w:rsid w:val="008B5B92"/>
    <w:rsid w:val="008B5C8E"/>
    <w:rsid w:val="008B6077"/>
    <w:rsid w:val="008B60BB"/>
    <w:rsid w:val="008B6190"/>
    <w:rsid w:val="008B61F2"/>
    <w:rsid w:val="008B65D9"/>
    <w:rsid w:val="008B65EB"/>
    <w:rsid w:val="008B6695"/>
    <w:rsid w:val="008B6A6F"/>
    <w:rsid w:val="008B6A9D"/>
    <w:rsid w:val="008B6B7E"/>
    <w:rsid w:val="008B6C44"/>
    <w:rsid w:val="008B6C52"/>
    <w:rsid w:val="008B6C57"/>
    <w:rsid w:val="008B6D1F"/>
    <w:rsid w:val="008B6D73"/>
    <w:rsid w:val="008B7195"/>
    <w:rsid w:val="008B723A"/>
    <w:rsid w:val="008B76B0"/>
    <w:rsid w:val="008B7722"/>
    <w:rsid w:val="008B77AC"/>
    <w:rsid w:val="008B77F2"/>
    <w:rsid w:val="008B79B1"/>
    <w:rsid w:val="008B79D8"/>
    <w:rsid w:val="008B7AB0"/>
    <w:rsid w:val="008B7ACE"/>
    <w:rsid w:val="008B7B78"/>
    <w:rsid w:val="008B7E3B"/>
    <w:rsid w:val="008B7F32"/>
    <w:rsid w:val="008C0177"/>
    <w:rsid w:val="008C01F3"/>
    <w:rsid w:val="008C0399"/>
    <w:rsid w:val="008C03F8"/>
    <w:rsid w:val="008C0403"/>
    <w:rsid w:val="008C0533"/>
    <w:rsid w:val="008C073A"/>
    <w:rsid w:val="008C0C18"/>
    <w:rsid w:val="008C0C40"/>
    <w:rsid w:val="008C13D1"/>
    <w:rsid w:val="008C1A0D"/>
    <w:rsid w:val="008C1ADD"/>
    <w:rsid w:val="008C1B11"/>
    <w:rsid w:val="008C1B93"/>
    <w:rsid w:val="008C1BF0"/>
    <w:rsid w:val="008C1CAF"/>
    <w:rsid w:val="008C1DF0"/>
    <w:rsid w:val="008C1E20"/>
    <w:rsid w:val="008C1F8B"/>
    <w:rsid w:val="008C2066"/>
    <w:rsid w:val="008C2127"/>
    <w:rsid w:val="008C22AF"/>
    <w:rsid w:val="008C2662"/>
    <w:rsid w:val="008C26BB"/>
    <w:rsid w:val="008C2749"/>
    <w:rsid w:val="008C2793"/>
    <w:rsid w:val="008C27D2"/>
    <w:rsid w:val="008C2B1D"/>
    <w:rsid w:val="008C2DAE"/>
    <w:rsid w:val="008C2F6B"/>
    <w:rsid w:val="008C34D5"/>
    <w:rsid w:val="008C36A8"/>
    <w:rsid w:val="008C3776"/>
    <w:rsid w:val="008C377E"/>
    <w:rsid w:val="008C3882"/>
    <w:rsid w:val="008C3B5C"/>
    <w:rsid w:val="008C3D62"/>
    <w:rsid w:val="008C3DA6"/>
    <w:rsid w:val="008C3E4C"/>
    <w:rsid w:val="008C411C"/>
    <w:rsid w:val="008C4189"/>
    <w:rsid w:val="008C41ED"/>
    <w:rsid w:val="008C4570"/>
    <w:rsid w:val="008C45FA"/>
    <w:rsid w:val="008C48B3"/>
    <w:rsid w:val="008C4CA9"/>
    <w:rsid w:val="008C4DCD"/>
    <w:rsid w:val="008C4F6B"/>
    <w:rsid w:val="008C4FA2"/>
    <w:rsid w:val="008C4FC7"/>
    <w:rsid w:val="008C53F4"/>
    <w:rsid w:val="008C5534"/>
    <w:rsid w:val="008C5535"/>
    <w:rsid w:val="008C56CE"/>
    <w:rsid w:val="008C56E3"/>
    <w:rsid w:val="008C5757"/>
    <w:rsid w:val="008C59F0"/>
    <w:rsid w:val="008C5EAF"/>
    <w:rsid w:val="008C5FD0"/>
    <w:rsid w:val="008C62B4"/>
    <w:rsid w:val="008C62FC"/>
    <w:rsid w:val="008C6411"/>
    <w:rsid w:val="008C6428"/>
    <w:rsid w:val="008C64D1"/>
    <w:rsid w:val="008C65C2"/>
    <w:rsid w:val="008C66CE"/>
    <w:rsid w:val="008C674B"/>
    <w:rsid w:val="008C6934"/>
    <w:rsid w:val="008C69D1"/>
    <w:rsid w:val="008C6B23"/>
    <w:rsid w:val="008C6B8E"/>
    <w:rsid w:val="008C6C4F"/>
    <w:rsid w:val="008C6D00"/>
    <w:rsid w:val="008C6E36"/>
    <w:rsid w:val="008C6FFC"/>
    <w:rsid w:val="008C7107"/>
    <w:rsid w:val="008C724C"/>
    <w:rsid w:val="008C727A"/>
    <w:rsid w:val="008C72D2"/>
    <w:rsid w:val="008C73A2"/>
    <w:rsid w:val="008C73F5"/>
    <w:rsid w:val="008C7413"/>
    <w:rsid w:val="008C76B6"/>
    <w:rsid w:val="008C770A"/>
    <w:rsid w:val="008C783D"/>
    <w:rsid w:val="008C7856"/>
    <w:rsid w:val="008C786C"/>
    <w:rsid w:val="008C799E"/>
    <w:rsid w:val="008C7C6E"/>
    <w:rsid w:val="008C7C7A"/>
    <w:rsid w:val="008C7F7C"/>
    <w:rsid w:val="008C7FF1"/>
    <w:rsid w:val="008D0237"/>
    <w:rsid w:val="008D0324"/>
    <w:rsid w:val="008D0604"/>
    <w:rsid w:val="008D06AD"/>
    <w:rsid w:val="008D0AC0"/>
    <w:rsid w:val="008D0AEC"/>
    <w:rsid w:val="008D0B99"/>
    <w:rsid w:val="008D0BB4"/>
    <w:rsid w:val="008D0EFF"/>
    <w:rsid w:val="008D0FCC"/>
    <w:rsid w:val="008D1023"/>
    <w:rsid w:val="008D1156"/>
    <w:rsid w:val="008D1595"/>
    <w:rsid w:val="008D16B7"/>
    <w:rsid w:val="008D1816"/>
    <w:rsid w:val="008D18C3"/>
    <w:rsid w:val="008D190D"/>
    <w:rsid w:val="008D1A6A"/>
    <w:rsid w:val="008D2401"/>
    <w:rsid w:val="008D2485"/>
    <w:rsid w:val="008D250D"/>
    <w:rsid w:val="008D2911"/>
    <w:rsid w:val="008D291A"/>
    <w:rsid w:val="008D2947"/>
    <w:rsid w:val="008D29E1"/>
    <w:rsid w:val="008D2B09"/>
    <w:rsid w:val="008D2B40"/>
    <w:rsid w:val="008D2CBC"/>
    <w:rsid w:val="008D2E0B"/>
    <w:rsid w:val="008D30A0"/>
    <w:rsid w:val="008D3145"/>
    <w:rsid w:val="008D3210"/>
    <w:rsid w:val="008D32D8"/>
    <w:rsid w:val="008D341E"/>
    <w:rsid w:val="008D359E"/>
    <w:rsid w:val="008D36D1"/>
    <w:rsid w:val="008D3779"/>
    <w:rsid w:val="008D37B7"/>
    <w:rsid w:val="008D38F7"/>
    <w:rsid w:val="008D394B"/>
    <w:rsid w:val="008D3B5C"/>
    <w:rsid w:val="008D3D2A"/>
    <w:rsid w:val="008D3EFD"/>
    <w:rsid w:val="008D3FA8"/>
    <w:rsid w:val="008D4264"/>
    <w:rsid w:val="008D457B"/>
    <w:rsid w:val="008D45BE"/>
    <w:rsid w:val="008D47B8"/>
    <w:rsid w:val="008D4862"/>
    <w:rsid w:val="008D4A8B"/>
    <w:rsid w:val="008D4CE9"/>
    <w:rsid w:val="008D4E41"/>
    <w:rsid w:val="008D4E6A"/>
    <w:rsid w:val="008D4F59"/>
    <w:rsid w:val="008D5124"/>
    <w:rsid w:val="008D5207"/>
    <w:rsid w:val="008D5321"/>
    <w:rsid w:val="008D5400"/>
    <w:rsid w:val="008D54C4"/>
    <w:rsid w:val="008D54DC"/>
    <w:rsid w:val="008D55AD"/>
    <w:rsid w:val="008D563A"/>
    <w:rsid w:val="008D5798"/>
    <w:rsid w:val="008D583E"/>
    <w:rsid w:val="008D5966"/>
    <w:rsid w:val="008D5BD5"/>
    <w:rsid w:val="008D5ECE"/>
    <w:rsid w:val="008D6090"/>
    <w:rsid w:val="008D6142"/>
    <w:rsid w:val="008D61C8"/>
    <w:rsid w:val="008D63F5"/>
    <w:rsid w:val="008D6496"/>
    <w:rsid w:val="008D65A3"/>
    <w:rsid w:val="008D6A5F"/>
    <w:rsid w:val="008D6D39"/>
    <w:rsid w:val="008D6E4C"/>
    <w:rsid w:val="008D702F"/>
    <w:rsid w:val="008D7358"/>
    <w:rsid w:val="008D73D6"/>
    <w:rsid w:val="008D7438"/>
    <w:rsid w:val="008D7469"/>
    <w:rsid w:val="008D77C5"/>
    <w:rsid w:val="008D781E"/>
    <w:rsid w:val="008D7B51"/>
    <w:rsid w:val="008D7D34"/>
    <w:rsid w:val="008D7D95"/>
    <w:rsid w:val="008D7DC5"/>
    <w:rsid w:val="008E0174"/>
    <w:rsid w:val="008E0184"/>
    <w:rsid w:val="008E0663"/>
    <w:rsid w:val="008E0692"/>
    <w:rsid w:val="008E07B4"/>
    <w:rsid w:val="008E07E5"/>
    <w:rsid w:val="008E0915"/>
    <w:rsid w:val="008E0BB6"/>
    <w:rsid w:val="008E0BE1"/>
    <w:rsid w:val="008E0F90"/>
    <w:rsid w:val="008E1067"/>
    <w:rsid w:val="008E11BF"/>
    <w:rsid w:val="008E1492"/>
    <w:rsid w:val="008E158A"/>
    <w:rsid w:val="008E17B2"/>
    <w:rsid w:val="008E1AD0"/>
    <w:rsid w:val="008E1E67"/>
    <w:rsid w:val="008E1FF7"/>
    <w:rsid w:val="008E2007"/>
    <w:rsid w:val="008E2207"/>
    <w:rsid w:val="008E2550"/>
    <w:rsid w:val="008E2721"/>
    <w:rsid w:val="008E2B01"/>
    <w:rsid w:val="008E2B17"/>
    <w:rsid w:val="008E2B37"/>
    <w:rsid w:val="008E2C0A"/>
    <w:rsid w:val="008E2CEA"/>
    <w:rsid w:val="008E2E27"/>
    <w:rsid w:val="008E31FA"/>
    <w:rsid w:val="008E3208"/>
    <w:rsid w:val="008E33CB"/>
    <w:rsid w:val="008E35FE"/>
    <w:rsid w:val="008E3634"/>
    <w:rsid w:val="008E3726"/>
    <w:rsid w:val="008E3738"/>
    <w:rsid w:val="008E3810"/>
    <w:rsid w:val="008E393C"/>
    <w:rsid w:val="008E3996"/>
    <w:rsid w:val="008E39BA"/>
    <w:rsid w:val="008E3A36"/>
    <w:rsid w:val="008E3CA2"/>
    <w:rsid w:val="008E4027"/>
    <w:rsid w:val="008E4052"/>
    <w:rsid w:val="008E43F7"/>
    <w:rsid w:val="008E4434"/>
    <w:rsid w:val="008E46E2"/>
    <w:rsid w:val="008E46F6"/>
    <w:rsid w:val="008E48B7"/>
    <w:rsid w:val="008E495F"/>
    <w:rsid w:val="008E4B07"/>
    <w:rsid w:val="008E4C28"/>
    <w:rsid w:val="008E4D2C"/>
    <w:rsid w:val="008E4EA3"/>
    <w:rsid w:val="008E51BF"/>
    <w:rsid w:val="008E524C"/>
    <w:rsid w:val="008E54C1"/>
    <w:rsid w:val="008E5DE9"/>
    <w:rsid w:val="008E60CB"/>
    <w:rsid w:val="008E62C5"/>
    <w:rsid w:val="008E6392"/>
    <w:rsid w:val="008E6562"/>
    <w:rsid w:val="008E66AD"/>
    <w:rsid w:val="008E66B7"/>
    <w:rsid w:val="008E6736"/>
    <w:rsid w:val="008E67AA"/>
    <w:rsid w:val="008E67BB"/>
    <w:rsid w:val="008E6848"/>
    <w:rsid w:val="008E6981"/>
    <w:rsid w:val="008E69B0"/>
    <w:rsid w:val="008E6AE6"/>
    <w:rsid w:val="008E6B3A"/>
    <w:rsid w:val="008E6BA7"/>
    <w:rsid w:val="008E6C02"/>
    <w:rsid w:val="008E6D45"/>
    <w:rsid w:val="008E6D79"/>
    <w:rsid w:val="008E6D83"/>
    <w:rsid w:val="008E6DF0"/>
    <w:rsid w:val="008E6EB2"/>
    <w:rsid w:val="008E6F16"/>
    <w:rsid w:val="008E70B9"/>
    <w:rsid w:val="008E731E"/>
    <w:rsid w:val="008E74B4"/>
    <w:rsid w:val="008E763B"/>
    <w:rsid w:val="008E7812"/>
    <w:rsid w:val="008E7958"/>
    <w:rsid w:val="008E79DF"/>
    <w:rsid w:val="008E79EB"/>
    <w:rsid w:val="008E7ACC"/>
    <w:rsid w:val="008E7C3B"/>
    <w:rsid w:val="008E7C81"/>
    <w:rsid w:val="008E7E2F"/>
    <w:rsid w:val="008E7EB6"/>
    <w:rsid w:val="008E7F82"/>
    <w:rsid w:val="008E7F85"/>
    <w:rsid w:val="008F0116"/>
    <w:rsid w:val="008F027C"/>
    <w:rsid w:val="008F0541"/>
    <w:rsid w:val="008F0574"/>
    <w:rsid w:val="008F05A6"/>
    <w:rsid w:val="008F0741"/>
    <w:rsid w:val="008F084B"/>
    <w:rsid w:val="008F0D08"/>
    <w:rsid w:val="008F0E22"/>
    <w:rsid w:val="008F0F40"/>
    <w:rsid w:val="008F109F"/>
    <w:rsid w:val="008F1145"/>
    <w:rsid w:val="008F11A0"/>
    <w:rsid w:val="008F1219"/>
    <w:rsid w:val="008F1247"/>
    <w:rsid w:val="008F12FF"/>
    <w:rsid w:val="008F13D9"/>
    <w:rsid w:val="008F143D"/>
    <w:rsid w:val="008F1605"/>
    <w:rsid w:val="008F176E"/>
    <w:rsid w:val="008F17D4"/>
    <w:rsid w:val="008F18FD"/>
    <w:rsid w:val="008F1D5D"/>
    <w:rsid w:val="008F1D96"/>
    <w:rsid w:val="008F1F69"/>
    <w:rsid w:val="008F2144"/>
    <w:rsid w:val="008F23E9"/>
    <w:rsid w:val="008F2428"/>
    <w:rsid w:val="008F26E1"/>
    <w:rsid w:val="008F26FF"/>
    <w:rsid w:val="008F29C0"/>
    <w:rsid w:val="008F2A65"/>
    <w:rsid w:val="008F2A6E"/>
    <w:rsid w:val="008F2B24"/>
    <w:rsid w:val="008F2C8F"/>
    <w:rsid w:val="008F2D9E"/>
    <w:rsid w:val="008F2F61"/>
    <w:rsid w:val="008F2FF3"/>
    <w:rsid w:val="008F3024"/>
    <w:rsid w:val="008F30C2"/>
    <w:rsid w:val="008F31D2"/>
    <w:rsid w:val="008F3278"/>
    <w:rsid w:val="008F3321"/>
    <w:rsid w:val="008F3336"/>
    <w:rsid w:val="008F35A0"/>
    <w:rsid w:val="008F3870"/>
    <w:rsid w:val="008F38AC"/>
    <w:rsid w:val="008F38EC"/>
    <w:rsid w:val="008F3A02"/>
    <w:rsid w:val="008F3E99"/>
    <w:rsid w:val="008F3FAA"/>
    <w:rsid w:val="008F4050"/>
    <w:rsid w:val="008F4063"/>
    <w:rsid w:val="008F4194"/>
    <w:rsid w:val="008F46C9"/>
    <w:rsid w:val="008F489D"/>
    <w:rsid w:val="008F4D96"/>
    <w:rsid w:val="008F5053"/>
    <w:rsid w:val="008F5216"/>
    <w:rsid w:val="008F528A"/>
    <w:rsid w:val="008F561C"/>
    <w:rsid w:val="008F59AC"/>
    <w:rsid w:val="008F5A87"/>
    <w:rsid w:val="008F5BC9"/>
    <w:rsid w:val="008F6042"/>
    <w:rsid w:val="008F637F"/>
    <w:rsid w:val="008F6535"/>
    <w:rsid w:val="008F665E"/>
    <w:rsid w:val="008F6AD0"/>
    <w:rsid w:val="008F6B6D"/>
    <w:rsid w:val="008F6B73"/>
    <w:rsid w:val="008F6D4E"/>
    <w:rsid w:val="008F6E3D"/>
    <w:rsid w:val="008F6E4E"/>
    <w:rsid w:val="008F70BD"/>
    <w:rsid w:val="008F713F"/>
    <w:rsid w:val="008F71A9"/>
    <w:rsid w:val="008F73D3"/>
    <w:rsid w:val="008F74B7"/>
    <w:rsid w:val="008F74F3"/>
    <w:rsid w:val="008F7846"/>
    <w:rsid w:val="008F7857"/>
    <w:rsid w:val="008F7A71"/>
    <w:rsid w:val="008F7B6B"/>
    <w:rsid w:val="008F7D30"/>
    <w:rsid w:val="008F7E3E"/>
    <w:rsid w:val="008F7E60"/>
    <w:rsid w:val="008F7E6C"/>
    <w:rsid w:val="008F7EAC"/>
    <w:rsid w:val="0090009B"/>
    <w:rsid w:val="0090022A"/>
    <w:rsid w:val="0090025E"/>
    <w:rsid w:val="0090045D"/>
    <w:rsid w:val="009006D3"/>
    <w:rsid w:val="00900749"/>
    <w:rsid w:val="009008C0"/>
    <w:rsid w:val="00900A54"/>
    <w:rsid w:val="00900CF9"/>
    <w:rsid w:val="009014C7"/>
    <w:rsid w:val="00901BAB"/>
    <w:rsid w:val="00901D7F"/>
    <w:rsid w:val="00901E7F"/>
    <w:rsid w:val="009020BA"/>
    <w:rsid w:val="009021E2"/>
    <w:rsid w:val="0090234B"/>
    <w:rsid w:val="00902982"/>
    <w:rsid w:val="00902E23"/>
    <w:rsid w:val="00903119"/>
    <w:rsid w:val="009032BF"/>
    <w:rsid w:val="0090339D"/>
    <w:rsid w:val="009033FC"/>
    <w:rsid w:val="009034B4"/>
    <w:rsid w:val="00903652"/>
    <w:rsid w:val="009036B2"/>
    <w:rsid w:val="009036E0"/>
    <w:rsid w:val="0090372A"/>
    <w:rsid w:val="00903CF0"/>
    <w:rsid w:val="00903D9B"/>
    <w:rsid w:val="0090400B"/>
    <w:rsid w:val="009040D9"/>
    <w:rsid w:val="00904107"/>
    <w:rsid w:val="00904288"/>
    <w:rsid w:val="00904356"/>
    <w:rsid w:val="009046CA"/>
    <w:rsid w:val="009046CD"/>
    <w:rsid w:val="00904A0B"/>
    <w:rsid w:val="00904A31"/>
    <w:rsid w:val="00904A5C"/>
    <w:rsid w:val="00905131"/>
    <w:rsid w:val="009051C2"/>
    <w:rsid w:val="00905338"/>
    <w:rsid w:val="00905A13"/>
    <w:rsid w:val="00905C33"/>
    <w:rsid w:val="00905CFF"/>
    <w:rsid w:val="00905D23"/>
    <w:rsid w:val="00905DA7"/>
    <w:rsid w:val="00905F91"/>
    <w:rsid w:val="009067C4"/>
    <w:rsid w:val="00906805"/>
    <w:rsid w:val="00906CE8"/>
    <w:rsid w:val="00906D03"/>
    <w:rsid w:val="00906E5B"/>
    <w:rsid w:val="00906F8C"/>
    <w:rsid w:val="00906FC5"/>
    <w:rsid w:val="009070AA"/>
    <w:rsid w:val="0090727B"/>
    <w:rsid w:val="0090747A"/>
    <w:rsid w:val="009076A2"/>
    <w:rsid w:val="00907805"/>
    <w:rsid w:val="0090782A"/>
    <w:rsid w:val="00907B20"/>
    <w:rsid w:val="00907B25"/>
    <w:rsid w:val="00907D91"/>
    <w:rsid w:val="00907E04"/>
    <w:rsid w:val="00910047"/>
    <w:rsid w:val="009100B4"/>
    <w:rsid w:val="009105BA"/>
    <w:rsid w:val="009105F4"/>
    <w:rsid w:val="00910683"/>
    <w:rsid w:val="00910812"/>
    <w:rsid w:val="0091087B"/>
    <w:rsid w:val="00910C60"/>
    <w:rsid w:val="00910D0A"/>
    <w:rsid w:val="00910EA9"/>
    <w:rsid w:val="00910F65"/>
    <w:rsid w:val="00910FD3"/>
    <w:rsid w:val="00910FF0"/>
    <w:rsid w:val="009110CF"/>
    <w:rsid w:val="00911169"/>
    <w:rsid w:val="009112CB"/>
    <w:rsid w:val="0091150D"/>
    <w:rsid w:val="009116A8"/>
    <w:rsid w:val="009117FE"/>
    <w:rsid w:val="0091185C"/>
    <w:rsid w:val="009118C0"/>
    <w:rsid w:val="00911927"/>
    <w:rsid w:val="00911A2E"/>
    <w:rsid w:val="00911A7D"/>
    <w:rsid w:val="00911D62"/>
    <w:rsid w:val="00911E8C"/>
    <w:rsid w:val="00911F90"/>
    <w:rsid w:val="009121A8"/>
    <w:rsid w:val="009123DC"/>
    <w:rsid w:val="009124E6"/>
    <w:rsid w:val="0091254F"/>
    <w:rsid w:val="0091263A"/>
    <w:rsid w:val="009127E7"/>
    <w:rsid w:val="00912829"/>
    <w:rsid w:val="00912944"/>
    <w:rsid w:val="00912BB5"/>
    <w:rsid w:val="00912C2B"/>
    <w:rsid w:val="00912D05"/>
    <w:rsid w:val="00912DE1"/>
    <w:rsid w:val="00912E65"/>
    <w:rsid w:val="00912EC3"/>
    <w:rsid w:val="00912F4B"/>
    <w:rsid w:val="009130D3"/>
    <w:rsid w:val="009131A9"/>
    <w:rsid w:val="009132D8"/>
    <w:rsid w:val="00913348"/>
    <w:rsid w:val="00913896"/>
    <w:rsid w:val="00913989"/>
    <w:rsid w:val="00913CA8"/>
    <w:rsid w:val="00913D81"/>
    <w:rsid w:val="00913E92"/>
    <w:rsid w:val="00913F13"/>
    <w:rsid w:val="00913FF1"/>
    <w:rsid w:val="0091454A"/>
    <w:rsid w:val="0091458E"/>
    <w:rsid w:val="00914BAA"/>
    <w:rsid w:val="00914C8C"/>
    <w:rsid w:val="00914D85"/>
    <w:rsid w:val="00914E4A"/>
    <w:rsid w:val="00914F2D"/>
    <w:rsid w:val="00914FA0"/>
    <w:rsid w:val="00915000"/>
    <w:rsid w:val="0091508A"/>
    <w:rsid w:val="0091509E"/>
    <w:rsid w:val="009150EC"/>
    <w:rsid w:val="00915118"/>
    <w:rsid w:val="009151FB"/>
    <w:rsid w:val="00915526"/>
    <w:rsid w:val="00915566"/>
    <w:rsid w:val="00915658"/>
    <w:rsid w:val="00916098"/>
    <w:rsid w:val="009161AA"/>
    <w:rsid w:val="009161DD"/>
    <w:rsid w:val="00916310"/>
    <w:rsid w:val="00916442"/>
    <w:rsid w:val="0091645A"/>
    <w:rsid w:val="0091649D"/>
    <w:rsid w:val="00916806"/>
    <w:rsid w:val="00916A21"/>
    <w:rsid w:val="00916D82"/>
    <w:rsid w:val="00916D86"/>
    <w:rsid w:val="00916EB2"/>
    <w:rsid w:val="009171C4"/>
    <w:rsid w:val="00917298"/>
    <w:rsid w:val="009172E9"/>
    <w:rsid w:val="009175B6"/>
    <w:rsid w:val="009176BC"/>
    <w:rsid w:val="00917A08"/>
    <w:rsid w:val="00917A3A"/>
    <w:rsid w:val="00917B2A"/>
    <w:rsid w:val="00917C5E"/>
    <w:rsid w:val="00917D19"/>
    <w:rsid w:val="00917D77"/>
    <w:rsid w:val="00917E94"/>
    <w:rsid w:val="009200DC"/>
    <w:rsid w:val="009203B7"/>
    <w:rsid w:val="009203E6"/>
    <w:rsid w:val="009205AA"/>
    <w:rsid w:val="009205B7"/>
    <w:rsid w:val="009205C0"/>
    <w:rsid w:val="009205C9"/>
    <w:rsid w:val="009205E2"/>
    <w:rsid w:val="00920672"/>
    <w:rsid w:val="009206EC"/>
    <w:rsid w:val="00920713"/>
    <w:rsid w:val="00920956"/>
    <w:rsid w:val="009209C2"/>
    <w:rsid w:val="009209D6"/>
    <w:rsid w:val="00920ADC"/>
    <w:rsid w:val="00920FBD"/>
    <w:rsid w:val="009211C2"/>
    <w:rsid w:val="00921384"/>
    <w:rsid w:val="00921388"/>
    <w:rsid w:val="009213E9"/>
    <w:rsid w:val="00921401"/>
    <w:rsid w:val="00921458"/>
    <w:rsid w:val="00921644"/>
    <w:rsid w:val="00921704"/>
    <w:rsid w:val="00921754"/>
    <w:rsid w:val="009218D3"/>
    <w:rsid w:val="00921938"/>
    <w:rsid w:val="00921D7D"/>
    <w:rsid w:val="00922117"/>
    <w:rsid w:val="0092228E"/>
    <w:rsid w:val="00922523"/>
    <w:rsid w:val="0092253F"/>
    <w:rsid w:val="009225A6"/>
    <w:rsid w:val="0092262D"/>
    <w:rsid w:val="009226F1"/>
    <w:rsid w:val="00922760"/>
    <w:rsid w:val="00922761"/>
    <w:rsid w:val="00922ACD"/>
    <w:rsid w:val="00922C09"/>
    <w:rsid w:val="00922CDC"/>
    <w:rsid w:val="00922D54"/>
    <w:rsid w:val="00922DE6"/>
    <w:rsid w:val="0092308F"/>
    <w:rsid w:val="0092309F"/>
    <w:rsid w:val="0092330E"/>
    <w:rsid w:val="0092338F"/>
    <w:rsid w:val="009233CD"/>
    <w:rsid w:val="00923444"/>
    <w:rsid w:val="00923862"/>
    <w:rsid w:val="00923E1F"/>
    <w:rsid w:val="00923F53"/>
    <w:rsid w:val="0092441C"/>
    <w:rsid w:val="0092451A"/>
    <w:rsid w:val="00924620"/>
    <w:rsid w:val="009246E7"/>
    <w:rsid w:val="00924838"/>
    <w:rsid w:val="0092485B"/>
    <w:rsid w:val="00924B7B"/>
    <w:rsid w:val="00924B7F"/>
    <w:rsid w:val="00924FA2"/>
    <w:rsid w:val="009250ED"/>
    <w:rsid w:val="00925543"/>
    <w:rsid w:val="00925810"/>
    <w:rsid w:val="00925888"/>
    <w:rsid w:val="00925A11"/>
    <w:rsid w:val="00925B29"/>
    <w:rsid w:val="00925BE5"/>
    <w:rsid w:val="00925E83"/>
    <w:rsid w:val="00925F0A"/>
    <w:rsid w:val="00926006"/>
    <w:rsid w:val="00926176"/>
    <w:rsid w:val="009261B7"/>
    <w:rsid w:val="009261E8"/>
    <w:rsid w:val="00926217"/>
    <w:rsid w:val="009264E5"/>
    <w:rsid w:val="00926816"/>
    <w:rsid w:val="00926C23"/>
    <w:rsid w:val="00926CBC"/>
    <w:rsid w:val="00927049"/>
    <w:rsid w:val="00927239"/>
    <w:rsid w:val="00927391"/>
    <w:rsid w:val="009273B1"/>
    <w:rsid w:val="00927418"/>
    <w:rsid w:val="00927426"/>
    <w:rsid w:val="00927634"/>
    <w:rsid w:val="00927826"/>
    <w:rsid w:val="00927867"/>
    <w:rsid w:val="009278DF"/>
    <w:rsid w:val="00927C1C"/>
    <w:rsid w:val="00927C88"/>
    <w:rsid w:val="00927C8D"/>
    <w:rsid w:val="00927DD1"/>
    <w:rsid w:val="00927FCE"/>
    <w:rsid w:val="00930796"/>
    <w:rsid w:val="00930ADF"/>
    <w:rsid w:val="00930F50"/>
    <w:rsid w:val="00931061"/>
    <w:rsid w:val="009311EE"/>
    <w:rsid w:val="00931294"/>
    <w:rsid w:val="0093139C"/>
    <w:rsid w:val="009313A0"/>
    <w:rsid w:val="00931408"/>
    <w:rsid w:val="00931677"/>
    <w:rsid w:val="009319B8"/>
    <w:rsid w:val="00931AAE"/>
    <w:rsid w:val="00931B7B"/>
    <w:rsid w:val="00931DDE"/>
    <w:rsid w:val="00931EB8"/>
    <w:rsid w:val="00931EDB"/>
    <w:rsid w:val="00931F30"/>
    <w:rsid w:val="00932064"/>
    <w:rsid w:val="0093211F"/>
    <w:rsid w:val="00932134"/>
    <w:rsid w:val="00932241"/>
    <w:rsid w:val="00932261"/>
    <w:rsid w:val="009323A1"/>
    <w:rsid w:val="0093263E"/>
    <w:rsid w:val="00932800"/>
    <w:rsid w:val="00932865"/>
    <w:rsid w:val="0093289A"/>
    <w:rsid w:val="00932946"/>
    <w:rsid w:val="009329C9"/>
    <w:rsid w:val="00932B65"/>
    <w:rsid w:val="00932CA4"/>
    <w:rsid w:val="00932D1E"/>
    <w:rsid w:val="00932D3D"/>
    <w:rsid w:val="00932ECF"/>
    <w:rsid w:val="00932EEA"/>
    <w:rsid w:val="009335D0"/>
    <w:rsid w:val="009337B3"/>
    <w:rsid w:val="00933800"/>
    <w:rsid w:val="009338C2"/>
    <w:rsid w:val="0093399F"/>
    <w:rsid w:val="00933B3C"/>
    <w:rsid w:val="00933C49"/>
    <w:rsid w:val="00933D34"/>
    <w:rsid w:val="00933E63"/>
    <w:rsid w:val="0093415D"/>
    <w:rsid w:val="00934453"/>
    <w:rsid w:val="009345E6"/>
    <w:rsid w:val="0093460A"/>
    <w:rsid w:val="009346DB"/>
    <w:rsid w:val="009346F8"/>
    <w:rsid w:val="009346FF"/>
    <w:rsid w:val="00934734"/>
    <w:rsid w:val="0093475D"/>
    <w:rsid w:val="00934BD0"/>
    <w:rsid w:val="00934CAB"/>
    <w:rsid w:val="00934F44"/>
    <w:rsid w:val="009351F2"/>
    <w:rsid w:val="009352CC"/>
    <w:rsid w:val="00935510"/>
    <w:rsid w:val="009355CB"/>
    <w:rsid w:val="00935804"/>
    <w:rsid w:val="00935831"/>
    <w:rsid w:val="009358D8"/>
    <w:rsid w:val="00935A17"/>
    <w:rsid w:val="00935B00"/>
    <w:rsid w:val="00935B84"/>
    <w:rsid w:val="00935B9F"/>
    <w:rsid w:val="00935C76"/>
    <w:rsid w:val="00935D77"/>
    <w:rsid w:val="00935D86"/>
    <w:rsid w:val="00936161"/>
    <w:rsid w:val="009363F4"/>
    <w:rsid w:val="0093655E"/>
    <w:rsid w:val="0093676C"/>
    <w:rsid w:val="00936B7E"/>
    <w:rsid w:val="00936C3D"/>
    <w:rsid w:val="009370A4"/>
    <w:rsid w:val="0093731B"/>
    <w:rsid w:val="00937511"/>
    <w:rsid w:val="00937685"/>
    <w:rsid w:val="00937783"/>
    <w:rsid w:val="00937842"/>
    <w:rsid w:val="00937A5E"/>
    <w:rsid w:val="00937A65"/>
    <w:rsid w:val="00937B96"/>
    <w:rsid w:val="00937BAE"/>
    <w:rsid w:val="00937CD3"/>
    <w:rsid w:val="00937FC0"/>
    <w:rsid w:val="009400C0"/>
    <w:rsid w:val="00940584"/>
    <w:rsid w:val="009405D7"/>
    <w:rsid w:val="00940864"/>
    <w:rsid w:val="0094098B"/>
    <w:rsid w:val="00941055"/>
    <w:rsid w:val="0094112C"/>
    <w:rsid w:val="00941330"/>
    <w:rsid w:val="009414AC"/>
    <w:rsid w:val="0094157A"/>
    <w:rsid w:val="00941646"/>
    <w:rsid w:val="00941839"/>
    <w:rsid w:val="00941876"/>
    <w:rsid w:val="00941945"/>
    <w:rsid w:val="009419B6"/>
    <w:rsid w:val="00941A5B"/>
    <w:rsid w:val="00941D06"/>
    <w:rsid w:val="00941FF8"/>
    <w:rsid w:val="00942204"/>
    <w:rsid w:val="009422DD"/>
    <w:rsid w:val="00942390"/>
    <w:rsid w:val="009423F3"/>
    <w:rsid w:val="009425D0"/>
    <w:rsid w:val="0094269A"/>
    <w:rsid w:val="009426B3"/>
    <w:rsid w:val="0094292C"/>
    <w:rsid w:val="009429B1"/>
    <w:rsid w:val="00942C55"/>
    <w:rsid w:val="00942D4F"/>
    <w:rsid w:val="00942D5B"/>
    <w:rsid w:val="00942E61"/>
    <w:rsid w:val="00942FC6"/>
    <w:rsid w:val="009430A0"/>
    <w:rsid w:val="0094315B"/>
    <w:rsid w:val="00943236"/>
    <w:rsid w:val="009432EF"/>
    <w:rsid w:val="0094340F"/>
    <w:rsid w:val="009434D5"/>
    <w:rsid w:val="009435BF"/>
    <w:rsid w:val="009436BE"/>
    <w:rsid w:val="00943AFB"/>
    <w:rsid w:val="00943CAA"/>
    <w:rsid w:val="00943E1D"/>
    <w:rsid w:val="00943F5C"/>
    <w:rsid w:val="00943FEA"/>
    <w:rsid w:val="0094408C"/>
    <w:rsid w:val="0094408E"/>
    <w:rsid w:val="0094426D"/>
    <w:rsid w:val="00944588"/>
    <w:rsid w:val="0094472F"/>
    <w:rsid w:val="009447D8"/>
    <w:rsid w:val="00944848"/>
    <w:rsid w:val="009448CD"/>
    <w:rsid w:val="0094505D"/>
    <w:rsid w:val="009454B6"/>
    <w:rsid w:val="00945623"/>
    <w:rsid w:val="009456BC"/>
    <w:rsid w:val="009456DC"/>
    <w:rsid w:val="00945821"/>
    <w:rsid w:val="00945868"/>
    <w:rsid w:val="00945921"/>
    <w:rsid w:val="009459A0"/>
    <w:rsid w:val="00945BC0"/>
    <w:rsid w:val="00945D4F"/>
    <w:rsid w:val="00945DA3"/>
    <w:rsid w:val="00946027"/>
    <w:rsid w:val="00946187"/>
    <w:rsid w:val="00946354"/>
    <w:rsid w:val="0094642D"/>
    <w:rsid w:val="0094648C"/>
    <w:rsid w:val="00946AB0"/>
    <w:rsid w:val="00946DD9"/>
    <w:rsid w:val="00946E51"/>
    <w:rsid w:val="00947196"/>
    <w:rsid w:val="009472F2"/>
    <w:rsid w:val="00947347"/>
    <w:rsid w:val="009475AF"/>
    <w:rsid w:val="00947647"/>
    <w:rsid w:val="00947697"/>
    <w:rsid w:val="009478D9"/>
    <w:rsid w:val="00947AD9"/>
    <w:rsid w:val="00947ED8"/>
    <w:rsid w:val="00947FFC"/>
    <w:rsid w:val="00950045"/>
    <w:rsid w:val="0095012D"/>
    <w:rsid w:val="00950180"/>
    <w:rsid w:val="009504A5"/>
    <w:rsid w:val="009509E1"/>
    <w:rsid w:val="00950A98"/>
    <w:rsid w:val="00950B06"/>
    <w:rsid w:val="00950DD8"/>
    <w:rsid w:val="0095120B"/>
    <w:rsid w:val="00951282"/>
    <w:rsid w:val="009512FA"/>
    <w:rsid w:val="0095145F"/>
    <w:rsid w:val="00951578"/>
    <w:rsid w:val="00951B99"/>
    <w:rsid w:val="00951C9E"/>
    <w:rsid w:val="009521A5"/>
    <w:rsid w:val="00952242"/>
    <w:rsid w:val="009522EA"/>
    <w:rsid w:val="009525C1"/>
    <w:rsid w:val="009525E1"/>
    <w:rsid w:val="0095264B"/>
    <w:rsid w:val="00952748"/>
    <w:rsid w:val="00952813"/>
    <w:rsid w:val="0095282F"/>
    <w:rsid w:val="00952F7D"/>
    <w:rsid w:val="00952FF5"/>
    <w:rsid w:val="009532D3"/>
    <w:rsid w:val="009536CB"/>
    <w:rsid w:val="00953713"/>
    <w:rsid w:val="009538B1"/>
    <w:rsid w:val="00953C24"/>
    <w:rsid w:val="00953CEC"/>
    <w:rsid w:val="00953DC4"/>
    <w:rsid w:val="009541E9"/>
    <w:rsid w:val="009542C6"/>
    <w:rsid w:val="0095461D"/>
    <w:rsid w:val="00954802"/>
    <w:rsid w:val="0095496F"/>
    <w:rsid w:val="00954AAA"/>
    <w:rsid w:val="00954E0A"/>
    <w:rsid w:val="00954F51"/>
    <w:rsid w:val="00954F8E"/>
    <w:rsid w:val="009550F6"/>
    <w:rsid w:val="009552D1"/>
    <w:rsid w:val="0095539A"/>
    <w:rsid w:val="00955583"/>
    <w:rsid w:val="00955597"/>
    <w:rsid w:val="00955634"/>
    <w:rsid w:val="009556BA"/>
    <w:rsid w:val="00955721"/>
    <w:rsid w:val="00955CD9"/>
    <w:rsid w:val="00955EA3"/>
    <w:rsid w:val="00955EA5"/>
    <w:rsid w:val="009567B1"/>
    <w:rsid w:val="00956850"/>
    <w:rsid w:val="00956922"/>
    <w:rsid w:val="00956C19"/>
    <w:rsid w:val="0095708F"/>
    <w:rsid w:val="0095717C"/>
    <w:rsid w:val="0095746B"/>
    <w:rsid w:val="00957498"/>
    <w:rsid w:val="00957777"/>
    <w:rsid w:val="009578A9"/>
    <w:rsid w:val="00957A1F"/>
    <w:rsid w:val="00957D11"/>
    <w:rsid w:val="00957E47"/>
    <w:rsid w:val="009602E8"/>
    <w:rsid w:val="009607A2"/>
    <w:rsid w:val="0096094D"/>
    <w:rsid w:val="00960C42"/>
    <w:rsid w:val="00960DD5"/>
    <w:rsid w:val="00960DE0"/>
    <w:rsid w:val="00960F7F"/>
    <w:rsid w:val="009610AB"/>
    <w:rsid w:val="00961199"/>
    <w:rsid w:val="009611D7"/>
    <w:rsid w:val="009612BB"/>
    <w:rsid w:val="009613FD"/>
    <w:rsid w:val="009615EF"/>
    <w:rsid w:val="0096179D"/>
    <w:rsid w:val="00961A8F"/>
    <w:rsid w:val="009621B2"/>
    <w:rsid w:val="00962329"/>
    <w:rsid w:val="00962375"/>
    <w:rsid w:val="009623CC"/>
    <w:rsid w:val="00962616"/>
    <w:rsid w:val="00962830"/>
    <w:rsid w:val="0096296C"/>
    <w:rsid w:val="009629AB"/>
    <w:rsid w:val="00962AF7"/>
    <w:rsid w:val="00962B2C"/>
    <w:rsid w:val="00962C78"/>
    <w:rsid w:val="00962D68"/>
    <w:rsid w:val="00962DC3"/>
    <w:rsid w:val="00962DDE"/>
    <w:rsid w:val="00962F2C"/>
    <w:rsid w:val="00963354"/>
    <w:rsid w:val="0096342F"/>
    <w:rsid w:val="00963478"/>
    <w:rsid w:val="009635E4"/>
    <w:rsid w:val="00963725"/>
    <w:rsid w:val="0096389F"/>
    <w:rsid w:val="009639C7"/>
    <w:rsid w:val="00963B31"/>
    <w:rsid w:val="00963C5C"/>
    <w:rsid w:val="00963CC5"/>
    <w:rsid w:val="00963F3F"/>
    <w:rsid w:val="00963F83"/>
    <w:rsid w:val="00963FD8"/>
    <w:rsid w:val="00964001"/>
    <w:rsid w:val="009640C7"/>
    <w:rsid w:val="009640E5"/>
    <w:rsid w:val="00964175"/>
    <w:rsid w:val="0096429A"/>
    <w:rsid w:val="009643C3"/>
    <w:rsid w:val="009643F8"/>
    <w:rsid w:val="009645D6"/>
    <w:rsid w:val="00964680"/>
    <w:rsid w:val="009646ED"/>
    <w:rsid w:val="009647BA"/>
    <w:rsid w:val="00964AD1"/>
    <w:rsid w:val="00964AF5"/>
    <w:rsid w:val="00964DAE"/>
    <w:rsid w:val="00964F1E"/>
    <w:rsid w:val="009652D8"/>
    <w:rsid w:val="00965471"/>
    <w:rsid w:val="009654A6"/>
    <w:rsid w:val="009655C2"/>
    <w:rsid w:val="00965791"/>
    <w:rsid w:val="0096595B"/>
    <w:rsid w:val="009659AF"/>
    <w:rsid w:val="009659EC"/>
    <w:rsid w:val="00965BA2"/>
    <w:rsid w:val="00965C63"/>
    <w:rsid w:val="00965D88"/>
    <w:rsid w:val="00965ECC"/>
    <w:rsid w:val="00966086"/>
    <w:rsid w:val="009660A7"/>
    <w:rsid w:val="00966265"/>
    <w:rsid w:val="0096677A"/>
    <w:rsid w:val="0096683F"/>
    <w:rsid w:val="00966AC3"/>
    <w:rsid w:val="00966C03"/>
    <w:rsid w:val="00966CEA"/>
    <w:rsid w:val="00966D43"/>
    <w:rsid w:val="00966EAE"/>
    <w:rsid w:val="009672EE"/>
    <w:rsid w:val="009673F9"/>
    <w:rsid w:val="009674F1"/>
    <w:rsid w:val="00967853"/>
    <w:rsid w:val="00967925"/>
    <w:rsid w:val="00967BB2"/>
    <w:rsid w:val="00967C18"/>
    <w:rsid w:val="00967C37"/>
    <w:rsid w:val="00967DCD"/>
    <w:rsid w:val="00967DEA"/>
    <w:rsid w:val="00970079"/>
    <w:rsid w:val="00970086"/>
    <w:rsid w:val="009700F4"/>
    <w:rsid w:val="009701BA"/>
    <w:rsid w:val="0097021B"/>
    <w:rsid w:val="00970452"/>
    <w:rsid w:val="009705F0"/>
    <w:rsid w:val="00970608"/>
    <w:rsid w:val="00970750"/>
    <w:rsid w:val="0097075B"/>
    <w:rsid w:val="009707E8"/>
    <w:rsid w:val="009708B9"/>
    <w:rsid w:val="0097091B"/>
    <w:rsid w:val="00970ADE"/>
    <w:rsid w:val="00970C58"/>
    <w:rsid w:val="00970D95"/>
    <w:rsid w:val="00970E5A"/>
    <w:rsid w:val="00970F96"/>
    <w:rsid w:val="0097135A"/>
    <w:rsid w:val="009713EC"/>
    <w:rsid w:val="009714CF"/>
    <w:rsid w:val="00971681"/>
    <w:rsid w:val="0097172D"/>
    <w:rsid w:val="0097194F"/>
    <w:rsid w:val="0097198E"/>
    <w:rsid w:val="00971EA4"/>
    <w:rsid w:val="00971F30"/>
    <w:rsid w:val="00972044"/>
    <w:rsid w:val="0097211D"/>
    <w:rsid w:val="009721F8"/>
    <w:rsid w:val="00972544"/>
    <w:rsid w:val="009725A5"/>
    <w:rsid w:val="009726D5"/>
    <w:rsid w:val="009728F3"/>
    <w:rsid w:val="00972A7C"/>
    <w:rsid w:val="00972B39"/>
    <w:rsid w:val="00972C1A"/>
    <w:rsid w:val="00972C4C"/>
    <w:rsid w:val="00972D19"/>
    <w:rsid w:val="00972DA3"/>
    <w:rsid w:val="00972E90"/>
    <w:rsid w:val="0097305B"/>
    <w:rsid w:val="009730F8"/>
    <w:rsid w:val="00973138"/>
    <w:rsid w:val="009731B8"/>
    <w:rsid w:val="00973239"/>
    <w:rsid w:val="009733E5"/>
    <w:rsid w:val="009734F4"/>
    <w:rsid w:val="00973BCE"/>
    <w:rsid w:val="00973BD3"/>
    <w:rsid w:val="009740B2"/>
    <w:rsid w:val="0097412F"/>
    <w:rsid w:val="00974425"/>
    <w:rsid w:val="0097443A"/>
    <w:rsid w:val="00974536"/>
    <w:rsid w:val="00974840"/>
    <w:rsid w:val="0097485C"/>
    <w:rsid w:val="00974B86"/>
    <w:rsid w:val="00974EF6"/>
    <w:rsid w:val="00975009"/>
    <w:rsid w:val="00975058"/>
    <w:rsid w:val="009750F8"/>
    <w:rsid w:val="0097548B"/>
    <w:rsid w:val="00975676"/>
    <w:rsid w:val="00975811"/>
    <w:rsid w:val="00975857"/>
    <w:rsid w:val="00975888"/>
    <w:rsid w:val="009758A4"/>
    <w:rsid w:val="009759C2"/>
    <w:rsid w:val="009759EE"/>
    <w:rsid w:val="00975A71"/>
    <w:rsid w:val="00975AF0"/>
    <w:rsid w:val="00976070"/>
    <w:rsid w:val="0097613A"/>
    <w:rsid w:val="00976598"/>
    <w:rsid w:val="0097665E"/>
    <w:rsid w:val="00976752"/>
    <w:rsid w:val="00976DF7"/>
    <w:rsid w:val="00976F92"/>
    <w:rsid w:val="0097703D"/>
    <w:rsid w:val="00977357"/>
    <w:rsid w:val="0097739A"/>
    <w:rsid w:val="0097748E"/>
    <w:rsid w:val="009774BE"/>
    <w:rsid w:val="009776DB"/>
    <w:rsid w:val="0097779C"/>
    <w:rsid w:val="009777B8"/>
    <w:rsid w:val="009778A9"/>
    <w:rsid w:val="00977914"/>
    <w:rsid w:val="00977993"/>
    <w:rsid w:val="00977AD2"/>
    <w:rsid w:val="00977AFA"/>
    <w:rsid w:val="00977E2E"/>
    <w:rsid w:val="0098019A"/>
    <w:rsid w:val="00980306"/>
    <w:rsid w:val="0098030E"/>
    <w:rsid w:val="00980437"/>
    <w:rsid w:val="00980618"/>
    <w:rsid w:val="00980626"/>
    <w:rsid w:val="00980683"/>
    <w:rsid w:val="00980843"/>
    <w:rsid w:val="00980D6E"/>
    <w:rsid w:val="00980EEC"/>
    <w:rsid w:val="009810DA"/>
    <w:rsid w:val="009811C0"/>
    <w:rsid w:val="009811CD"/>
    <w:rsid w:val="00981381"/>
    <w:rsid w:val="0098138E"/>
    <w:rsid w:val="0098141A"/>
    <w:rsid w:val="009817DE"/>
    <w:rsid w:val="009818AE"/>
    <w:rsid w:val="00981943"/>
    <w:rsid w:val="00981980"/>
    <w:rsid w:val="0098204A"/>
    <w:rsid w:val="00982090"/>
    <w:rsid w:val="009820E8"/>
    <w:rsid w:val="009820EE"/>
    <w:rsid w:val="0098215A"/>
    <w:rsid w:val="009823B0"/>
    <w:rsid w:val="009823DA"/>
    <w:rsid w:val="009824A5"/>
    <w:rsid w:val="009828CD"/>
    <w:rsid w:val="00982A2F"/>
    <w:rsid w:val="00982B19"/>
    <w:rsid w:val="00982BF3"/>
    <w:rsid w:val="00982D7D"/>
    <w:rsid w:val="00982D9B"/>
    <w:rsid w:val="00982F11"/>
    <w:rsid w:val="009830B2"/>
    <w:rsid w:val="00983101"/>
    <w:rsid w:val="0098326C"/>
    <w:rsid w:val="009833AB"/>
    <w:rsid w:val="0098351E"/>
    <w:rsid w:val="0098355F"/>
    <w:rsid w:val="00983598"/>
    <w:rsid w:val="00983905"/>
    <w:rsid w:val="0098394A"/>
    <w:rsid w:val="00983B14"/>
    <w:rsid w:val="00983CBD"/>
    <w:rsid w:val="00983DDC"/>
    <w:rsid w:val="00983E4E"/>
    <w:rsid w:val="00983F45"/>
    <w:rsid w:val="00983FE1"/>
    <w:rsid w:val="0098403E"/>
    <w:rsid w:val="009840A9"/>
    <w:rsid w:val="009840D1"/>
    <w:rsid w:val="0098418A"/>
    <w:rsid w:val="009841EE"/>
    <w:rsid w:val="009846AB"/>
    <w:rsid w:val="0098472B"/>
    <w:rsid w:val="0098482D"/>
    <w:rsid w:val="0098483A"/>
    <w:rsid w:val="00984C2D"/>
    <w:rsid w:val="00984CB1"/>
    <w:rsid w:val="00984F3C"/>
    <w:rsid w:val="009853C4"/>
    <w:rsid w:val="009854EC"/>
    <w:rsid w:val="009854F3"/>
    <w:rsid w:val="0098550B"/>
    <w:rsid w:val="009857EF"/>
    <w:rsid w:val="00985881"/>
    <w:rsid w:val="00985AA4"/>
    <w:rsid w:val="00985AC0"/>
    <w:rsid w:val="00985C33"/>
    <w:rsid w:val="00985DF0"/>
    <w:rsid w:val="00985F48"/>
    <w:rsid w:val="00985F85"/>
    <w:rsid w:val="00986059"/>
    <w:rsid w:val="0098619D"/>
    <w:rsid w:val="0098655A"/>
    <w:rsid w:val="00986884"/>
    <w:rsid w:val="00986AA7"/>
    <w:rsid w:val="00986DD2"/>
    <w:rsid w:val="0098708A"/>
    <w:rsid w:val="0098709B"/>
    <w:rsid w:val="009870B3"/>
    <w:rsid w:val="009870C6"/>
    <w:rsid w:val="0098714C"/>
    <w:rsid w:val="009871DD"/>
    <w:rsid w:val="0098760A"/>
    <w:rsid w:val="009878B5"/>
    <w:rsid w:val="00987A65"/>
    <w:rsid w:val="00987B35"/>
    <w:rsid w:val="00987D41"/>
    <w:rsid w:val="00987D7B"/>
    <w:rsid w:val="00987D82"/>
    <w:rsid w:val="00990015"/>
    <w:rsid w:val="0099018E"/>
    <w:rsid w:val="0099033B"/>
    <w:rsid w:val="009904BE"/>
    <w:rsid w:val="009905B8"/>
    <w:rsid w:val="009905E1"/>
    <w:rsid w:val="009906E5"/>
    <w:rsid w:val="009909A5"/>
    <w:rsid w:val="00990AD0"/>
    <w:rsid w:val="00990C21"/>
    <w:rsid w:val="00990CFB"/>
    <w:rsid w:val="00990D00"/>
    <w:rsid w:val="00991051"/>
    <w:rsid w:val="009910D4"/>
    <w:rsid w:val="009911EA"/>
    <w:rsid w:val="0099148D"/>
    <w:rsid w:val="00991832"/>
    <w:rsid w:val="00991835"/>
    <w:rsid w:val="00991898"/>
    <w:rsid w:val="009919B8"/>
    <w:rsid w:val="00991BB8"/>
    <w:rsid w:val="00991D26"/>
    <w:rsid w:val="00991E32"/>
    <w:rsid w:val="00991FD8"/>
    <w:rsid w:val="00992167"/>
    <w:rsid w:val="00992396"/>
    <w:rsid w:val="0099287A"/>
    <w:rsid w:val="00992914"/>
    <w:rsid w:val="00992BA2"/>
    <w:rsid w:val="00992FD6"/>
    <w:rsid w:val="00993286"/>
    <w:rsid w:val="009932F7"/>
    <w:rsid w:val="00993474"/>
    <w:rsid w:val="00993579"/>
    <w:rsid w:val="00993639"/>
    <w:rsid w:val="00993661"/>
    <w:rsid w:val="009936B2"/>
    <w:rsid w:val="00993AE2"/>
    <w:rsid w:val="00993C5A"/>
    <w:rsid w:val="00993D09"/>
    <w:rsid w:val="00993E69"/>
    <w:rsid w:val="00993E89"/>
    <w:rsid w:val="00993EEA"/>
    <w:rsid w:val="00993F54"/>
    <w:rsid w:val="0099449C"/>
    <w:rsid w:val="0099460D"/>
    <w:rsid w:val="00994641"/>
    <w:rsid w:val="009948AF"/>
    <w:rsid w:val="00994915"/>
    <w:rsid w:val="009949C8"/>
    <w:rsid w:val="00994B3D"/>
    <w:rsid w:val="00994FB5"/>
    <w:rsid w:val="00995194"/>
    <w:rsid w:val="009957A8"/>
    <w:rsid w:val="0099589F"/>
    <w:rsid w:val="00995A91"/>
    <w:rsid w:val="00995D3E"/>
    <w:rsid w:val="00995DE8"/>
    <w:rsid w:val="00995E1A"/>
    <w:rsid w:val="00995FA3"/>
    <w:rsid w:val="009960A4"/>
    <w:rsid w:val="0099627F"/>
    <w:rsid w:val="009962BF"/>
    <w:rsid w:val="00996303"/>
    <w:rsid w:val="009963D3"/>
    <w:rsid w:val="009965AF"/>
    <w:rsid w:val="00996698"/>
    <w:rsid w:val="009966EF"/>
    <w:rsid w:val="00996BD4"/>
    <w:rsid w:val="00996C2C"/>
    <w:rsid w:val="00996C87"/>
    <w:rsid w:val="00996DDD"/>
    <w:rsid w:val="00996F28"/>
    <w:rsid w:val="00996FC0"/>
    <w:rsid w:val="00997022"/>
    <w:rsid w:val="00997046"/>
    <w:rsid w:val="009970AF"/>
    <w:rsid w:val="00997354"/>
    <w:rsid w:val="00997620"/>
    <w:rsid w:val="0099779B"/>
    <w:rsid w:val="009978BC"/>
    <w:rsid w:val="00997A0F"/>
    <w:rsid w:val="00997A7D"/>
    <w:rsid w:val="00997B9B"/>
    <w:rsid w:val="00997C78"/>
    <w:rsid w:val="00997CBD"/>
    <w:rsid w:val="00997D0E"/>
    <w:rsid w:val="00997D57"/>
    <w:rsid w:val="00997E7F"/>
    <w:rsid w:val="009A005D"/>
    <w:rsid w:val="009A0246"/>
    <w:rsid w:val="009A0404"/>
    <w:rsid w:val="009A0453"/>
    <w:rsid w:val="009A0572"/>
    <w:rsid w:val="009A05B0"/>
    <w:rsid w:val="009A0795"/>
    <w:rsid w:val="009A0A7A"/>
    <w:rsid w:val="009A0BA1"/>
    <w:rsid w:val="009A0CD4"/>
    <w:rsid w:val="009A0E29"/>
    <w:rsid w:val="009A0EEE"/>
    <w:rsid w:val="009A1180"/>
    <w:rsid w:val="009A12A4"/>
    <w:rsid w:val="009A134A"/>
    <w:rsid w:val="009A156E"/>
    <w:rsid w:val="009A1784"/>
    <w:rsid w:val="009A1AC0"/>
    <w:rsid w:val="009A1AE0"/>
    <w:rsid w:val="009A1CBE"/>
    <w:rsid w:val="009A1F3B"/>
    <w:rsid w:val="009A2354"/>
    <w:rsid w:val="009A235B"/>
    <w:rsid w:val="009A2382"/>
    <w:rsid w:val="009A24CC"/>
    <w:rsid w:val="009A2515"/>
    <w:rsid w:val="009A2607"/>
    <w:rsid w:val="009A27D1"/>
    <w:rsid w:val="009A287C"/>
    <w:rsid w:val="009A28E7"/>
    <w:rsid w:val="009A2A47"/>
    <w:rsid w:val="009A2AC6"/>
    <w:rsid w:val="009A2BA4"/>
    <w:rsid w:val="009A2C26"/>
    <w:rsid w:val="009A2D10"/>
    <w:rsid w:val="009A2EA4"/>
    <w:rsid w:val="009A2F92"/>
    <w:rsid w:val="009A2FBB"/>
    <w:rsid w:val="009A310A"/>
    <w:rsid w:val="009A3453"/>
    <w:rsid w:val="009A367F"/>
    <w:rsid w:val="009A3725"/>
    <w:rsid w:val="009A3A21"/>
    <w:rsid w:val="009A3B8D"/>
    <w:rsid w:val="009A3C35"/>
    <w:rsid w:val="009A3F1A"/>
    <w:rsid w:val="009A4106"/>
    <w:rsid w:val="009A4208"/>
    <w:rsid w:val="009A444E"/>
    <w:rsid w:val="009A451B"/>
    <w:rsid w:val="009A473C"/>
    <w:rsid w:val="009A47F2"/>
    <w:rsid w:val="009A4B26"/>
    <w:rsid w:val="009A4E5F"/>
    <w:rsid w:val="009A51E0"/>
    <w:rsid w:val="009A5201"/>
    <w:rsid w:val="009A524A"/>
    <w:rsid w:val="009A52F9"/>
    <w:rsid w:val="009A53B0"/>
    <w:rsid w:val="009A5407"/>
    <w:rsid w:val="009A5677"/>
    <w:rsid w:val="009A589A"/>
    <w:rsid w:val="009A58CA"/>
    <w:rsid w:val="009A58FF"/>
    <w:rsid w:val="009A597A"/>
    <w:rsid w:val="009A5B6D"/>
    <w:rsid w:val="009A5DD0"/>
    <w:rsid w:val="009A5EBA"/>
    <w:rsid w:val="009A5EDE"/>
    <w:rsid w:val="009A628E"/>
    <w:rsid w:val="009A6297"/>
    <w:rsid w:val="009A62EA"/>
    <w:rsid w:val="009A642D"/>
    <w:rsid w:val="009A6576"/>
    <w:rsid w:val="009A667A"/>
    <w:rsid w:val="009A678A"/>
    <w:rsid w:val="009A6A30"/>
    <w:rsid w:val="009A6A60"/>
    <w:rsid w:val="009A6B35"/>
    <w:rsid w:val="009A6BD4"/>
    <w:rsid w:val="009A6D09"/>
    <w:rsid w:val="009A6D99"/>
    <w:rsid w:val="009A6D9F"/>
    <w:rsid w:val="009A74C4"/>
    <w:rsid w:val="009A75A1"/>
    <w:rsid w:val="009A76B0"/>
    <w:rsid w:val="009A76D1"/>
    <w:rsid w:val="009A77D7"/>
    <w:rsid w:val="009A7884"/>
    <w:rsid w:val="009A7AC2"/>
    <w:rsid w:val="009A7BB5"/>
    <w:rsid w:val="009A7D39"/>
    <w:rsid w:val="009A7E0E"/>
    <w:rsid w:val="009A7EE6"/>
    <w:rsid w:val="009B01B3"/>
    <w:rsid w:val="009B02E3"/>
    <w:rsid w:val="009B0386"/>
    <w:rsid w:val="009B0410"/>
    <w:rsid w:val="009B0544"/>
    <w:rsid w:val="009B067F"/>
    <w:rsid w:val="009B08B1"/>
    <w:rsid w:val="009B09B1"/>
    <w:rsid w:val="009B0AA6"/>
    <w:rsid w:val="009B0C2A"/>
    <w:rsid w:val="009B0C95"/>
    <w:rsid w:val="009B0F04"/>
    <w:rsid w:val="009B10B9"/>
    <w:rsid w:val="009B1120"/>
    <w:rsid w:val="009B1159"/>
    <w:rsid w:val="009B118D"/>
    <w:rsid w:val="009B1221"/>
    <w:rsid w:val="009B125D"/>
    <w:rsid w:val="009B1406"/>
    <w:rsid w:val="009B193C"/>
    <w:rsid w:val="009B1B2F"/>
    <w:rsid w:val="009B1BB2"/>
    <w:rsid w:val="009B1D10"/>
    <w:rsid w:val="009B1D61"/>
    <w:rsid w:val="009B1E1A"/>
    <w:rsid w:val="009B2078"/>
    <w:rsid w:val="009B229F"/>
    <w:rsid w:val="009B22C9"/>
    <w:rsid w:val="009B2349"/>
    <w:rsid w:val="009B23D5"/>
    <w:rsid w:val="009B2427"/>
    <w:rsid w:val="009B246F"/>
    <w:rsid w:val="009B24A4"/>
    <w:rsid w:val="009B285E"/>
    <w:rsid w:val="009B2939"/>
    <w:rsid w:val="009B2967"/>
    <w:rsid w:val="009B2A64"/>
    <w:rsid w:val="009B2C49"/>
    <w:rsid w:val="009B2E62"/>
    <w:rsid w:val="009B2E95"/>
    <w:rsid w:val="009B30AD"/>
    <w:rsid w:val="009B31B0"/>
    <w:rsid w:val="009B355B"/>
    <w:rsid w:val="009B359A"/>
    <w:rsid w:val="009B363F"/>
    <w:rsid w:val="009B38DF"/>
    <w:rsid w:val="009B3926"/>
    <w:rsid w:val="009B39B2"/>
    <w:rsid w:val="009B3E66"/>
    <w:rsid w:val="009B3FC6"/>
    <w:rsid w:val="009B4098"/>
    <w:rsid w:val="009B40AB"/>
    <w:rsid w:val="009B44BE"/>
    <w:rsid w:val="009B450D"/>
    <w:rsid w:val="009B458F"/>
    <w:rsid w:val="009B478A"/>
    <w:rsid w:val="009B4B42"/>
    <w:rsid w:val="009B50D9"/>
    <w:rsid w:val="009B5257"/>
    <w:rsid w:val="009B5258"/>
    <w:rsid w:val="009B5268"/>
    <w:rsid w:val="009B551D"/>
    <w:rsid w:val="009B55BB"/>
    <w:rsid w:val="009B5673"/>
    <w:rsid w:val="009B57C9"/>
    <w:rsid w:val="009B5D65"/>
    <w:rsid w:val="009B5DC6"/>
    <w:rsid w:val="009B5F60"/>
    <w:rsid w:val="009B61E7"/>
    <w:rsid w:val="009B6DF8"/>
    <w:rsid w:val="009B6F90"/>
    <w:rsid w:val="009B700F"/>
    <w:rsid w:val="009B7049"/>
    <w:rsid w:val="009B7141"/>
    <w:rsid w:val="009B725C"/>
    <w:rsid w:val="009B72CB"/>
    <w:rsid w:val="009B7539"/>
    <w:rsid w:val="009B767F"/>
    <w:rsid w:val="009B779E"/>
    <w:rsid w:val="009B798C"/>
    <w:rsid w:val="009B7C20"/>
    <w:rsid w:val="009B7D10"/>
    <w:rsid w:val="009B7E6A"/>
    <w:rsid w:val="009B7F2B"/>
    <w:rsid w:val="009B7F4F"/>
    <w:rsid w:val="009C00E0"/>
    <w:rsid w:val="009C02CE"/>
    <w:rsid w:val="009C034D"/>
    <w:rsid w:val="009C0EF7"/>
    <w:rsid w:val="009C0F7B"/>
    <w:rsid w:val="009C1317"/>
    <w:rsid w:val="009C1337"/>
    <w:rsid w:val="009C15F0"/>
    <w:rsid w:val="009C1832"/>
    <w:rsid w:val="009C1856"/>
    <w:rsid w:val="009C1E59"/>
    <w:rsid w:val="009C1F9E"/>
    <w:rsid w:val="009C2341"/>
    <w:rsid w:val="009C25E7"/>
    <w:rsid w:val="009C261A"/>
    <w:rsid w:val="009C2909"/>
    <w:rsid w:val="009C2A8C"/>
    <w:rsid w:val="009C2DA1"/>
    <w:rsid w:val="009C31D0"/>
    <w:rsid w:val="009C357E"/>
    <w:rsid w:val="009C3630"/>
    <w:rsid w:val="009C3695"/>
    <w:rsid w:val="009C37E6"/>
    <w:rsid w:val="009C394D"/>
    <w:rsid w:val="009C39DB"/>
    <w:rsid w:val="009C3A9F"/>
    <w:rsid w:val="009C3B33"/>
    <w:rsid w:val="009C3B8D"/>
    <w:rsid w:val="009C41ED"/>
    <w:rsid w:val="009C41F0"/>
    <w:rsid w:val="009C42FE"/>
    <w:rsid w:val="009C4482"/>
    <w:rsid w:val="009C4570"/>
    <w:rsid w:val="009C4597"/>
    <w:rsid w:val="009C4633"/>
    <w:rsid w:val="009C465F"/>
    <w:rsid w:val="009C46C7"/>
    <w:rsid w:val="009C4724"/>
    <w:rsid w:val="009C495F"/>
    <w:rsid w:val="009C4987"/>
    <w:rsid w:val="009C4B33"/>
    <w:rsid w:val="009C4B60"/>
    <w:rsid w:val="009C4E82"/>
    <w:rsid w:val="009C519A"/>
    <w:rsid w:val="009C5204"/>
    <w:rsid w:val="009C52CA"/>
    <w:rsid w:val="009C5451"/>
    <w:rsid w:val="009C5472"/>
    <w:rsid w:val="009C57D8"/>
    <w:rsid w:val="009C5822"/>
    <w:rsid w:val="009C5945"/>
    <w:rsid w:val="009C5998"/>
    <w:rsid w:val="009C5B29"/>
    <w:rsid w:val="009C5BE1"/>
    <w:rsid w:val="009C5F5F"/>
    <w:rsid w:val="009C5F77"/>
    <w:rsid w:val="009C61ED"/>
    <w:rsid w:val="009C6314"/>
    <w:rsid w:val="009C631D"/>
    <w:rsid w:val="009C6443"/>
    <w:rsid w:val="009C6599"/>
    <w:rsid w:val="009C673E"/>
    <w:rsid w:val="009C67DF"/>
    <w:rsid w:val="009C68DB"/>
    <w:rsid w:val="009C6923"/>
    <w:rsid w:val="009C6970"/>
    <w:rsid w:val="009C6A39"/>
    <w:rsid w:val="009C6C05"/>
    <w:rsid w:val="009C6CE0"/>
    <w:rsid w:val="009C6D65"/>
    <w:rsid w:val="009C6FBF"/>
    <w:rsid w:val="009C70F7"/>
    <w:rsid w:val="009C7305"/>
    <w:rsid w:val="009C738D"/>
    <w:rsid w:val="009C73DC"/>
    <w:rsid w:val="009C744B"/>
    <w:rsid w:val="009C7588"/>
    <w:rsid w:val="009C75D8"/>
    <w:rsid w:val="009C76BF"/>
    <w:rsid w:val="009C770F"/>
    <w:rsid w:val="009C7BD2"/>
    <w:rsid w:val="009C7F80"/>
    <w:rsid w:val="009D0258"/>
    <w:rsid w:val="009D0336"/>
    <w:rsid w:val="009D0464"/>
    <w:rsid w:val="009D050F"/>
    <w:rsid w:val="009D064D"/>
    <w:rsid w:val="009D06F5"/>
    <w:rsid w:val="009D075A"/>
    <w:rsid w:val="009D07BC"/>
    <w:rsid w:val="009D0A69"/>
    <w:rsid w:val="009D0A74"/>
    <w:rsid w:val="009D0A8C"/>
    <w:rsid w:val="009D0B2D"/>
    <w:rsid w:val="009D0D2B"/>
    <w:rsid w:val="009D0FBD"/>
    <w:rsid w:val="009D1152"/>
    <w:rsid w:val="009D1231"/>
    <w:rsid w:val="009D16AA"/>
    <w:rsid w:val="009D18AD"/>
    <w:rsid w:val="009D1C36"/>
    <w:rsid w:val="009D1CFA"/>
    <w:rsid w:val="009D2096"/>
    <w:rsid w:val="009D2254"/>
    <w:rsid w:val="009D26B3"/>
    <w:rsid w:val="009D2709"/>
    <w:rsid w:val="009D284D"/>
    <w:rsid w:val="009D3124"/>
    <w:rsid w:val="009D342B"/>
    <w:rsid w:val="009D3963"/>
    <w:rsid w:val="009D3A9D"/>
    <w:rsid w:val="009D3AAB"/>
    <w:rsid w:val="009D3EEA"/>
    <w:rsid w:val="009D43FF"/>
    <w:rsid w:val="009D453B"/>
    <w:rsid w:val="009D4952"/>
    <w:rsid w:val="009D4B98"/>
    <w:rsid w:val="009D4C85"/>
    <w:rsid w:val="009D4D5E"/>
    <w:rsid w:val="009D4E01"/>
    <w:rsid w:val="009D4E23"/>
    <w:rsid w:val="009D4FA5"/>
    <w:rsid w:val="009D4FA7"/>
    <w:rsid w:val="009D5106"/>
    <w:rsid w:val="009D541D"/>
    <w:rsid w:val="009D5498"/>
    <w:rsid w:val="009D5647"/>
    <w:rsid w:val="009D5986"/>
    <w:rsid w:val="009D5B87"/>
    <w:rsid w:val="009D5C0C"/>
    <w:rsid w:val="009D5E37"/>
    <w:rsid w:val="009D5E51"/>
    <w:rsid w:val="009D5F0D"/>
    <w:rsid w:val="009D6102"/>
    <w:rsid w:val="009D6130"/>
    <w:rsid w:val="009D621D"/>
    <w:rsid w:val="009D62AB"/>
    <w:rsid w:val="009D637F"/>
    <w:rsid w:val="009D665D"/>
    <w:rsid w:val="009D6AB1"/>
    <w:rsid w:val="009D6BAA"/>
    <w:rsid w:val="009D7448"/>
    <w:rsid w:val="009D744D"/>
    <w:rsid w:val="009D74CF"/>
    <w:rsid w:val="009D7684"/>
    <w:rsid w:val="009D7686"/>
    <w:rsid w:val="009D7C64"/>
    <w:rsid w:val="009D7DF8"/>
    <w:rsid w:val="009D7EAF"/>
    <w:rsid w:val="009D7F3C"/>
    <w:rsid w:val="009D7FD8"/>
    <w:rsid w:val="009E009C"/>
    <w:rsid w:val="009E0505"/>
    <w:rsid w:val="009E05AB"/>
    <w:rsid w:val="009E06DB"/>
    <w:rsid w:val="009E0751"/>
    <w:rsid w:val="009E0A07"/>
    <w:rsid w:val="009E0AB7"/>
    <w:rsid w:val="009E1908"/>
    <w:rsid w:val="009E1A1C"/>
    <w:rsid w:val="009E1B0C"/>
    <w:rsid w:val="009E1B54"/>
    <w:rsid w:val="009E1DB1"/>
    <w:rsid w:val="009E1EC0"/>
    <w:rsid w:val="009E1EC3"/>
    <w:rsid w:val="009E2034"/>
    <w:rsid w:val="009E2130"/>
    <w:rsid w:val="009E224F"/>
    <w:rsid w:val="009E22C3"/>
    <w:rsid w:val="009E2306"/>
    <w:rsid w:val="009E24B2"/>
    <w:rsid w:val="009E24C5"/>
    <w:rsid w:val="009E24D3"/>
    <w:rsid w:val="009E2548"/>
    <w:rsid w:val="009E272D"/>
    <w:rsid w:val="009E27E4"/>
    <w:rsid w:val="009E29D6"/>
    <w:rsid w:val="009E2A7C"/>
    <w:rsid w:val="009E2CF3"/>
    <w:rsid w:val="009E2E53"/>
    <w:rsid w:val="009E3383"/>
    <w:rsid w:val="009E3569"/>
    <w:rsid w:val="009E3863"/>
    <w:rsid w:val="009E3954"/>
    <w:rsid w:val="009E3BB1"/>
    <w:rsid w:val="009E3CBA"/>
    <w:rsid w:val="009E3D86"/>
    <w:rsid w:val="009E3ED1"/>
    <w:rsid w:val="009E3FF6"/>
    <w:rsid w:val="009E4051"/>
    <w:rsid w:val="009E4628"/>
    <w:rsid w:val="009E466B"/>
    <w:rsid w:val="009E4A4D"/>
    <w:rsid w:val="009E4B3B"/>
    <w:rsid w:val="009E4D71"/>
    <w:rsid w:val="009E4F0D"/>
    <w:rsid w:val="009E5127"/>
    <w:rsid w:val="009E5167"/>
    <w:rsid w:val="009E52BF"/>
    <w:rsid w:val="009E5350"/>
    <w:rsid w:val="009E5490"/>
    <w:rsid w:val="009E549A"/>
    <w:rsid w:val="009E55E8"/>
    <w:rsid w:val="009E574C"/>
    <w:rsid w:val="009E57FF"/>
    <w:rsid w:val="009E5C04"/>
    <w:rsid w:val="009E6419"/>
    <w:rsid w:val="009E64A0"/>
    <w:rsid w:val="009E6524"/>
    <w:rsid w:val="009E675E"/>
    <w:rsid w:val="009E686C"/>
    <w:rsid w:val="009E692A"/>
    <w:rsid w:val="009E6AB4"/>
    <w:rsid w:val="009E6AC8"/>
    <w:rsid w:val="009E6AFF"/>
    <w:rsid w:val="009E6C8A"/>
    <w:rsid w:val="009E6CA8"/>
    <w:rsid w:val="009E6F54"/>
    <w:rsid w:val="009E6F88"/>
    <w:rsid w:val="009E7059"/>
    <w:rsid w:val="009E718C"/>
    <w:rsid w:val="009E72F4"/>
    <w:rsid w:val="009E72FE"/>
    <w:rsid w:val="009E740A"/>
    <w:rsid w:val="009E75BF"/>
    <w:rsid w:val="009E78F4"/>
    <w:rsid w:val="009E7946"/>
    <w:rsid w:val="009E7947"/>
    <w:rsid w:val="009E7C7F"/>
    <w:rsid w:val="009E7CCC"/>
    <w:rsid w:val="009E7D8D"/>
    <w:rsid w:val="009E7FD2"/>
    <w:rsid w:val="009F03AB"/>
    <w:rsid w:val="009F04B3"/>
    <w:rsid w:val="009F058F"/>
    <w:rsid w:val="009F07A5"/>
    <w:rsid w:val="009F09E0"/>
    <w:rsid w:val="009F0A2F"/>
    <w:rsid w:val="009F0A39"/>
    <w:rsid w:val="009F0A60"/>
    <w:rsid w:val="009F0C04"/>
    <w:rsid w:val="009F0CAE"/>
    <w:rsid w:val="009F0CCA"/>
    <w:rsid w:val="009F0FC5"/>
    <w:rsid w:val="009F1038"/>
    <w:rsid w:val="009F1339"/>
    <w:rsid w:val="009F13D0"/>
    <w:rsid w:val="009F16CE"/>
    <w:rsid w:val="009F180C"/>
    <w:rsid w:val="009F194A"/>
    <w:rsid w:val="009F1B3C"/>
    <w:rsid w:val="009F1DA8"/>
    <w:rsid w:val="009F1DD7"/>
    <w:rsid w:val="009F1F6C"/>
    <w:rsid w:val="009F1F81"/>
    <w:rsid w:val="009F20A9"/>
    <w:rsid w:val="009F2129"/>
    <w:rsid w:val="009F217D"/>
    <w:rsid w:val="009F21F3"/>
    <w:rsid w:val="009F23A2"/>
    <w:rsid w:val="009F2503"/>
    <w:rsid w:val="009F261D"/>
    <w:rsid w:val="009F26CB"/>
    <w:rsid w:val="009F2873"/>
    <w:rsid w:val="009F28B1"/>
    <w:rsid w:val="009F28E6"/>
    <w:rsid w:val="009F2A0C"/>
    <w:rsid w:val="009F3214"/>
    <w:rsid w:val="009F3322"/>
    <w:rsid w:val="009F3351"/>
    <w:rsid w:val="009F351B"/>
    <w:rsid w:val="009F35EF"/>
    <w:rsid w:val="009F3725"/>
    <w:rsid w:val="009F382A"/>
    <w:rsid w:val="009F39C2"/>
    <w:rsid w:val="009F3A53"/>
    <w:rsid w:val="009F3C1D"/>
    <w:rsid w:val="009F3D7C"/>
    <w:rsid w:val="009F3DF4"/>
    <w:rsid w:val="009F3EEE"/>
    <w:rsid w:val="009F3F22"/>
    <w:rsid w:val="009F4133"/>
    <w:rsid w:val="009F4195"/>
    <w:rsid w:val="009F41F5"/>
    <w:rsid w:val="009F4276"/>
    <w:rsid w:val="009F42F4"/>
    <w:rsid w:val="009F4432"/>
    <w:rsid w:val="009F46D6"/>
    <w:rsid w:val="009F47DA"/>
    <w:rsid w:val="009F4C59"/>
    <w:rsid w:val="009F4EEE"/>
    <w:rsid w:val="009F5135"/>
    <w:rsid w:val="009F52AA"/>
    <w:rsid w:val="009F5382"/>
    <w:rsid w:val="009F5514"/>
    <w:rsid w:val="009F5995"/>
    <w:rsid w:val="009F5A3B"/>
    <w:rsid w:val="009F5A8E"/>
    <w:rsid w:val="009F5B52"/>
    <w:rsid w:val="009F5CC6"/>
    <w:rsid w:val="009F5CE4"/>
    <w:rsid w:val="009F5ECB"/>
    <w:rsid w:val="009F615F"/>
    <w:rsid w:val="009F63C2"/>
    <w:rsid w:val="009F642B"/>
    <w:rsid w:val="009F65EC"/>
    <w:rsid w:val="009F668A"/>
    <w:rsid w:val="009F6705"/>
    <w:rsid w:val="009F679E"/>
    <w:rsid w:val="009F67C8"/>
    <w:rsid w:val="009F6975"/>
    <w:rsid w:val="009F69B0"/>
    <w:rsid w:val="009F6B6A"/>
    <w:rsid w:val="009F6DD8"/>
    <w:rsid w:val="009F6E4B"/>
    <w:rsid w:val="009F6E5B"/>
    <w:rsid w:val="009F6EDD"/>
    <w:rsid w:val="009F7217"/>
    <w:rsid w:val="009F787E"/>
    <w:rsid w:val="009F7CBD"/>
    <w:rsid w:val="009F7E4A"/>
    <w:rsid w:val="00A00062"/>
    <w:rsid w:val="00A0010C"/>
    <w:rsid w:val="00A005FC"/>
    <w:rsid w:val="00A006FF"/>
    <w:rsid w:val="00A0079B"/>
    <w:rsid w:val="00A00A6E"/>
    <w:rsid w:val="00A00B8B"/>
    <w:rsid w:val="00A00EE0"/>
    <w:rsid w:val="00A0106E"/>
    <w:rsid w:val="00A01441"/>
    <w:rsid w:val="00A0145C"/>
    <w:rsid w:val="00A016F1"/>
    <w:rsid w:val="00A01813"/>
    <w:rsid w:val="00A0187B"/>
    <w:rsid w:val="00A01897"/>
    <w:rsid w:val="00A01A02"/>
    <w:rsid w:val="00A01F05"/>
    <w:rsid w:val="00A02244"/>
    <w:rsid w:val="00A027FC"/>
    <w:rsid w:val="00A02869"/>
    <w:rsid w:val="00A028AC"/>
    <w:rsid w:val="00A02A90"/>
    <w:rsid w:val="00A02CE9"/>
    <w:rsid w:val="00A02CFA"/>
    <w:rsid w:val="00A02E61"/>
    <w:rsid w:val="00A02FCF"/>
    <w:rsid w:val="00A03009"/>
    <w:rsid w:val="00A03226"/>
    <w:rsid w:val="00A03538"/>
    <w:rsid w:val="00A03545"/>
    <w:rsid w:val="00A0392D"/>
    <w:rsid w:val="00A039CB"/>
    <w:rsid w:val="00A039E9"/>
    <w:rsid w:val="00A03AE0"/>
    <w:rsid w:val="00A03D5F"/>
    <w:rsid w:val="00A03EF0"/>
    <w:rsid w:val="00A03F74"/>
    <w:rsid w:val="00A040A5"/>
    <w:rsid w:val="00A0428A"/>
    <w:rsid w:val="00A042E2"/>
    <w:rsid w:val="00A044B8"/>
    <w:rsid w:val="00A045BF"/>
    <w:rsid w:val="00A0465D"/>
    <w:rsid w:val="00A049BF"/>
    <w:rsid w:val="00A04C99"/>
    <w:rsid w:val="00A04D7D"/>
    <w:rsid w:val="00A04FF8"/>
    <w:rsid w:val="00A051B1"/>
    <w:rsid w:val="00A05283"/>
    <w:rsid w:val="00A055BA"/>
    <w:rsid w:val="00A055DC"/>
    <w:rsid w:val="00A057D1"/>
    <w:rsid w:val="00A05A7C"/>
    <w:rsid w:val="00A05AA6"/>
    <w:rsid w:val="00A05B5D"/>
    <w:rsid w:val="00A05C00"/>
    <w:rsid w:val="00A05C0B"/>
    <w:rsid w:val="00A05C1B"/>
    <w:rsid w:val="00A05C2E"/>
    <w:rsid w:val="00A0614E"/>
    <w:rsid w:val="00A06183"/>
    <w:rsid w:val="00A061C0"/>
    <w:rsid w:val="00A0678F"/>
    <w:rsid w:val="00A06945"/>
    <w:rsid w:val="00A06B7C"/>
    <w:rsid w:val="00A06BB5"/>
    <w:rsid w:val="00A06C18"/>
    <w:rsid w:val="00A06CB4"/>
    <w:rsid w:val="00A06E1D"/>
    <w:rsid w:val="00A07256"/>
    <w:rsid w:val="00A07258"/>
    <w:rsid w:val="00A0728D"/>
    <w:rsid w:val="00A075EB"/>
    <w:rsid w:val="00A07A0D"/>
    <w:rsid w:val="00A07A5F"/>
    <w:rsid w:val="00A07A97"/>
    <w:rsid w:val="00A07AE1"/>
    <w:rsid w:val="00A07AEF"/>
    <w:rsid w:val="00A07C49"/>
    <w:rsid w:val="00A07F20"/>
    <w:rsid w:val="00A10215"/>
    <w:rsid w:val="00A103C8"/>
    <w:rsid w:val="00A105E8"/>
    <w:rsid w:val="00A10689"/>
    <w:rsid w:val="00A107B2"/>
    <w:rsid w:val="00A10BB1"/>
    <w:rsid w:val="00A10E20"/>
    <w:rsid w:val="00A10F0E"/>
    <w:rsid w:val="00A10FCE"/>
    <w:rsid w:val="00A117B0"/>
    <w:rsid w:val="00A118DE"/>
    <w:rsid w:val="00A11A53"/>
    <w:rsid w:val="00A11A67"/>
    <w:rsid w:val="00A11B12"/>
    <w:rsid w:val="00A11BA5"/>
    <w:rsid w:val="00A11D27"/>
    <w:rsid w:val="00A11E0F"/>
    <w:rsid w:val="00A120D7"/>
    <w:rsid w:val="00A12346"/>
    <w:rsid w:val="00A123D0"/>
    <w:rsid w:val="00A1247F"/>
    <w:rsid w:val="00A1257F"/>
    <w:rsid w:val="00A12791"/>
    <w:rsid w:val="00A12883"/>
    <w:rsid w:val="00A12A53"/>
    <w:rsid w:val="00A12AB4"/>
    <w:rsid w:val="00A12B1E"/>
    <w:rsid w:val="00A12D30"/>
    <w:rsid w:val="00A12E32"/>
    <w:rsid w:val="00A12EE5"/>
    <w:rsid w:val="00A130DF"/>
    <w:rsid w:val="00A1319C"/>
    <w:rsid w:val="00A1322F"/>
    <w:rsid w:val="00A133AD"/>
    <w:rsid w:val="00A133E1"/>
    <w:rsid w:val="00A13442"/>
    <w:rsid w:val="00A135DC"/>
    <w:rsid w:val="00A1366F"/>
    <w:rsid w:val="00A13A98"/>
    <w:rsid w:val="00A13B1E"/>
    <w:rsid w:val="00A13DA9"/>
    <w:rsid w:val="00A13EE0"/>
    <w:rsid w:val="00A13F8A"/>
    <w:rsid w:val="00A14495"/>
    <w:rsid w:val="00A1476E"/>
    <w:rsid w:val="00A14857"/>
    <w:rsid w:val="00A1492F"/>
    <w:rsid w:val="00A14A64"/>
    <w:rsid w:val="00A14D02"/>
    <w:rsid w:val="00A14DB3"/>
    <w:rsid w:val="00A14EBD"/>
    <w:rsid w:val="00A14FBD"/>
    <w:rsid w:val="00A1519B"/>
    <w:rsid w:val="00A151C0"/>
    <w:rsid w:val="00A153C7"/>
    <w:rsid w:val="00A154E1"/>
    <w:rsid w:val="00A15561"/>
    <w:rsid w:val="00A156A4"/>
    <w:rsid w:val="00A15765"/>
    <w:rsid w:val="00A1581B"/>
    <w:rsid w:val="00A15D86"/>
    <w:rsid w:val="00A1612A"/>
    <w:rsid w:val="00A162BD"/>
    <w:rsid w:val="00A1630E"/>
    <w:rsid w:val="00A1648F"/>
    <w:rsid w:val="00A164EA"/>
    <w:rsid w:val="00A16542"/>
    <w:rsid w:val="00A16550"/>
    <w:rsid w:val="00A16AED"/>
    <w:rsid w:val="00A16BEE"/>
    <w:rsid w:val="00A16F38"/>
    <w:rsid w:val="00A170BD"/>
    <w:rsid w:val="00A17152"/>
    <w:rsid w:val="00A17458"/>
    <w:rsid w:val="00A1782F"/>
    <w:rsid w:val="00A17856"/>
    <w:rsid w:val="00A1789B"/>
    <w:rsid w:val="00A178A8"/>
    <w:rsid w:val="00A17B5D"/>
    <w:rsid w:val="00A17CE0"/>
    <w:rsid w:val="00A17E63"/>
    <w:rsid w:val="00A17EC7"/>
    <w:rsid w:val="00A17FF7"/>
    <w:rsid w:val="00A20005"/>
    <w:rsid w:val="00A20314"/>
    <w:rsid w:val="00A206F0"/>
    <w:rsid w:val="00A20A54"/>
    <w:rsid w:val="00A20C60"/>
    <w:rsid w:val="00A20F2A"/>
    <w:rsid w:val="00A2104D"/>
    <w:rsid w:val="00A212A2"/>
    <w:rsid w:val="00A21408"/>
    <w:rsid w:val="00A21444"/>
    <w:rsid w:val="00A21453"/>
    <w:rsid w:val="00A2159E"/>
    <w:rsid w:val="00A21776"/>
    <w:rsid w:val="00A217A3"/>
    <w:rsid w:val="00A217BF"/>
    <w:rsid w:val="00A217E2"/>
    <w:rsid w:val="00A21837"/>
    <w:rsid w:val="00A218CD"/>
    <w:rsid w:val="00A21FCB"/>
    <w:rsid w:val="00A22136"/>
    <w:rsid w:val="00A2214B"/>
    <w:rsid w:val="00A221D2"/>
    <w:rsid w:val="00A222B0"/>
    <w:rsid w:val="00A226F8"/>
    <w:rsid w:val="00A229E1"/>
    <w:rsid w:val="00A22B3E"/>
    <w:rsid w:val="00A22C16"/>
    <w:rsid w:val="00A22D16"/>
    <w:rsid w:val="00A22EE1"/>
    <w:rsid w:val="00A2301B"/>
    <w:rsid w:val="00A2334C"/>
    <w:rsid w:val="00A233F4"/>
    <w:rsid w:val="00A2343C"/>
    <w:rsid w:val="00A23644"/>
    <w:rsid w:val="00A23854"/>
    <w:rsid w:val="00A23904"/>
    <w:rsid w:val="00A23FEA"/>
    <w:rsid w:val="00A24049"/>
    <w:rsid w:val="00A24167"/>
    <w:rsid w:val="00A242B8"/>
    <w:rsid w:val="00A244AD"/>
    <w:rsid w:val="00A244CD"/>
    <w:rsid w:val="00A244D5"/>
    <w:rsid w:val="00A245EC"/>
    <w:rsid w:val="00A24608"/>
    <w:rsid w:val="00A246C3"/>
    <w:rsid w:val="00A24B43"/>
    <w:rsid w:val="00A24CAE"/>
    <w:rsid w:val="00A24DE8"/>
    <w:rsid w:val="00A24EE9"/>
    <w:rsid w:val="00A2513C"/>
    <w:rsid w:val="00A251FF"/>
    <w:rsid w:val="00A2528A"/>
    <w:rsid w:val="00A25302"/>
    <w:rsid w:val="00A2563D"/>
    <w:rsid w:val="00A25688"/>
    <w:rsid w:val="00A2582D"/>
    <w:rsid w:val="00A258F2"/>
    <w:rsid w:val="00A25BC7"/>
    <w:rsid w:val="00A25CD9"/>
    <w:rsid w:val="00A25CE2"/>
    <w:rsid w:val="00A25EA2"/>
    <w:rsid w:val="00A25FE0"/>
    <w:rsid w:val="00A26140"/>
    <w:rsid w:val="00A2628F"/>
    <w:rsid w:val="00A2674D"/>
    <w:rsid w:val="00A26883"/>
    <w:rsid w:val="00A26DDE"/>
    <w:rsid w:val="00A271F9"/>
    <w:rsid w:val="00A27322"/>
    <w:rsid w:val="00A2747E"/>
    <w:rsid w:val="00A276FA"/>
    <w:rsid w:val="00A27825"/>
    <w:rsid w:val="00A2787B"/>
    <w:rsid w:val="00A27CDF"/>
    <w:rsid w:val="00A27D60"/>
    <w:rsid w:val="00A304E2"/>
    <w:rsid w:val="00A305C5"/>
    <w:rsid w:val="00A30682"/>
    <w:rsid w:val="00A3089D"/>
    <w:rsid w:val="00A30AE0"/>
    <w:rsid w:val="00A30B39"/>
    <w:rsid w:val="00A30B8F"/>
    <w:rsid w:val="00A30F68"/>
    <w:rsid w:val="00A30FB8"/>
    <w:rsid w:val="00A30FEB"/>
    <w:rsid w:val="00A31114"/>
    <w:rsid w:val="00A3121F"/>
    <w:rsid w:val="00A314A2"/>
    <w:rsid w:val="00A31941"/>
    <w:rsid w:val="00A31B0F"/>
    <w:rsid w:val="00A31CC4"/>
    <w:rsid w:val="00A31D73"/>
    <w:rsid w:val="00A32265"/>
    <w:rsid w:val="00A32710"/>
    <w:rsid w:val="00A32A07"/>
    <w:rsid w:val="00A33105"/>
    <w:rsid w:val="00A331DA"/>
    <w:rsid w:val="00A33404"/>
    <w:rsid w:val="00A33553"/>
    <w:rsid w:val="00A335FA"/>
    <w:rsid w:val="00A3364C"/>
    <w:rsid w:val="00A33851"/>
    <w:rsid w:val="00A33A75"/>
    <w:rsid w:val="00A33B74"/>
    <w:rsid w:val="00A33D37"/>
    <w:rsid w:val="00A3422F"/>
    <w:rsid w:val="00A3429E"/>
    <w:rsid w:val="00A34454"/>
    <w:rsid w:val="00A34529"/>
    <w:rsid w:val="00A34648"/>
    <w:rsid w:val="00A34655"/>
    <w:rsid w:val="00A34AA6"/>
    <w:rsid w:val="00A34D1A"/>
    <w:rsid w:val="00A35040"/>
    <w:rsid w:val="00A35129"/>
    <w:rsid w:val="00A354AA"/>
    <w:rsid w:val="00A354AF"/>
    <w:rsid w:val="00A357AA"/>
    <w:rsid w:val="00A3591D"/>
    <w:rsid w:val="00A359FA"/>
    <w:rsid w:val="00A35A64"/>
    <w:rsid w:val="00A35ADC"/>
    <w:rsid w:val="00A35C3C"/>
    <w:rsid w:val="00A35D3C"/>
    <w:rsid w:val="00A35D92"/>
    <w:rsid w:val="00A35DE8"/>
    <w:rsid w:val="00A35DF6"/>
    <w:rsid w:val="00A35F54"/>
    <w:rsid w:val="00A36030"/>
    <w:rsid w:val="00A361A5"/>
    <w:rsid w:val="00A36458"/>
    <w:rsid w:val="00A3659A"/>
    <w:rsid w:val="00A365F7"/>
    <w:rsid w:val="00A366D1"/>
    <w:rsid w:val="00A36809"/>
    <w:rsid w:val="00A36830"/>
    <w:rsid w:val="00A36A0E"/>
    <w:rsid w:val="00A36C2D"/>
    <w:rsid w:val="00A36DC8"/>
    <w:rsid w:val="00A36F04"/>
    <w:rsid w:val="00A36FD6"/>
    <w:rsid w:val="00A3713D"/>
    <w:rsid w:val="00A376A8"/>
    <w:rsid w:val="00A376B9"/>
    <w:rsid w:val="00A37746"/>
    <w:rsid w:val="00A377D3"/>
    <w:rsid w:val="00A37AE3"/>
    <w:rsid w:val="00A37AED"/>
    <w:rsid w:val="00A37D1B"/>
    <w:rsid w:val="00A37FEE"/>
    <w:rsid w:val="00A37FF9"/>
    <w:rsid w:val="00A4002E"/>
    <w:rsid w:val="00A40382"/>
    <w:rsid w:val="00A4075E"/>
    <w:rsid w:val="00A4078C"/>
    <w:rsid w:val="00A409E6"/>
    <w:rsid w:val="00A40A54"/>
    <w:rsid w:val="00A40ADE"/>
    <w:rsid w:val="00A40E3B"/>
    <w:rsid w:val="00A41149"/>
    <w:rsid w:val="00A41178"/>
    <w:rsid w:val="00A41507"/>
    <w:rsid w:val="00A4169A"/>
    <w:rsid w:val="00A4173F"/>
    <w:rsid w:val="00A417C9"/>
    <w:rsid w:val="00A4194D"/>
    <w:rsid w:val="00A41A3A"/>
    <w:rsid w:val="00A41C0A"/>
    <w:rsid w:val="00A41C39"/>
    <w:rsid w:val="00A41C7A"/>
    <w:rsid w:val="00A41CA1"/>
    <w:rsid w:val="00A42070"/>
    <w:rsid w:val="00A4218D"/>
    <w:rsid w:val="00A42306"/>
    <w:rsid w:val="00A424B3"/>
    <w:rsid w:val="00A424C6"/>
    <w:rsid w:val="00A42604"/>
    <w:rsid w:val="00A42951"/>
    <w:rsid w:val="00A429FE"/>
    <w:rsid w:val="00A42B02"/>
    <w:rsid w:val="00A42C97"/>
    <w:rsid w:val="00A42D52"/>
    <w:rsid w:val="00A42D55"/>
    <w:rsid w:val="00A42E37"/>
    <w:rsid w:val="00A42E62"/>
    <w:rsid w:val="00A4304F"/>
    <w:rsid w:val="00A43307"/>
    <w:rsid w:val="00A43424"/>
    <w:rsid w:val="00A43470"/>
    <w:rsid w:val="00A434DC"/>
    <w:rsid w:val="00A43885"/>
    <w:rsid w:val="00A438E5"/>
    <w:rsid w:val="00A4396C"/>
    <w:rsid w:val="00A43A22"/>
    <w:rsid w:val="00A43CE1"/>
    <w:rsid w:val="00A43EA2"/>
    <w:rsid w:val="00A43EF9"/>
    <w:rsid w:val="00A44172"/>
    <w:rsid w:val="00A4422B"/>
    <w:rsid w:val="00A448E8"/>
    <w:rsid w:val="00A44A2E"/>
    <w:rsid w:val="00A44A36"/>
    <w:rsid w:val="00A44BF7"/>
    <w:rsid w:val="00A44C78"/>
    <w:rsid w:val="00A44EE1"/>
    <w:rsid w:val="00A44F1B"/>
    <w:rsid w:val="00A45137"/>
    <w:rsid w:val="00A45547"/>
    <w:rsid w:val="00A455EF"/>
    <w:rsid w:val="00A45956"/>
    <w:rsid w:val="00A45ABA"/>
    <w:rsid w:val="00A45B1A"/>
    <w:rsid w:val="00A45B79"/>
    <w:rsid w:val="00A45B80"/>
    <w:rsid w:val="00A45FF9"/>
    <w:rsid w:val="00A460F1"/>
    <w:rsid w:val="00A462AB"/>
    <w:rsid w:val="00A46699"/>
    <w:rsid w:val="00A46715"/>
    <w:rsid w:val="00A46B4D"/>
    <w:rsid w:val="00A46C66"/>
    <w:rsid w:val="00A46E0E"/>
    <w:rsid w:val="00A46F11"/>
    <w:rsid w:val="00A46F18"/>
    <w:rsid w:val="00A4721D"/>
    <w:rsid w:val="00A4744D"/>
    <w:rsid w:val="00A476E4"/>
    <w:rsid w:val="00A47704"/>
    <w:rsid w:val="00A47BC2"/>
    <w:rsid w:val="00A47C64"/>
    <w:rsid w:val="00A50195"/>
    <w:rsid w:val="00A501D7"/>
    <w:rsid w:val="00A50376"/>
    <w:rsid w:val="00A507EE"/>
    <w:rsid w:val="00A50B7C"/>
    <w:rsid w:val="00A50F62"/>
    <w:rsid w:val="00A50F88"/>
    <w:rsid w:val="00A50FC1"/>
    <w:rsid w:val="00A51049"/>
    <w:rsid w:val="00A51326"/>
    <w:rsid w:val="00A513E3"/>
    <w:rsid w:val="00A514DF"/>
    <w:rsid w:val="00A5154B"/>
    <w:rsid w:val="00A515F7"/>
    <w:rsid w:val="00A516F9"/>
    <w:rsid w:val="00A51B1A"/>
    <w:rsid w:val="00A51B40"/>
    <w:rsid w:val="00A51B58"/>
    <w:rsid w:val="00A51CB7"/>
    <w:rsid w:val="00A51CF8"/>
    <w:rsid w:val="00A51F61"/>
    <w:rsid w:val="00A51FC8"/>
    <w:rsid w:val="00A520F6"/>
    <w:rsid w:val="00A5215A"/>
    <w:rsid w:val="00A522E6"/>
    <w:rsid w:val="00A5234F"/>
    <w:rsid w:val="00A5252C"/>
    <w:rsid w:val="00A5287D"/>
    <w:rsid w:val="00A52921"/>
    <w:rsid w:val="00A52A2F"/>
    <w:rsid w:val="00A52A7D"/>
    <w:rsid w:val="00A52B0D"/>
    <w:rsid w:val="00A53193"/>
    <w:rsid w:val="00A53197"/>
    <w:rsid w:val="00A531DB"/>
    <w:rsid w:val="00A532A1"/>
    <w:rsid w:val="00A53522"/>
    <w:rsid w:val="00A53602"/>
    <w:rsid w:val="00A536C2"/>
    <w:rsid w:val="00A53723"/>
    <w:rsid w:val="00A53820"/>
    <w:rsid w:val="00A53D49"/>
    <w:rsid w:val="00A53FEB"/>
    <w:rsid w:val="00A540FF"/>
    <w:rsid w:val="00A542D6"/>
    <w:rsid w:val="00A5449C"/>
    <w:rsid w:val="00A5453E"/>
    <w:rsid w:val="00A54591"/>
    <w:rsid w:val="00A547B6"/>
    <w:rsid w:val="00A5482E"/>
    <w:rsid w:val="00A54B34"/>
    <w:rsid w:val="00A54BCA"/>
    <w:rsid w:val="00A54EE8"/>
    <w:rsid w:val="00A54FFC"/>
    <w:rsid w:val="00A5528B"/>
    <w:rsid w:val="00A552DC"/>
    <w:rsid w:val="00A5539B"/>
    <w:rsid w:val="00A554BC"/>
    <w:rsid w:val="00A55544"/>
    <w:rsid w:val="00A55581"/>
    <w:rsid w:val="00A557C4"/>
    <w:rsid w:val="00A559E6"/>
    <w:rsid w:val="00A55A2D"/>
    <w:rsid w:val="00A55ACD"/>
    <w:rsid w:val="00A55C38"/>
    <w:rsid w:val="00A55D0B"/>
    <w:rsid w:val="00A55DFD"/>
    <w:rsid w:val="00A5600D"/>
    <w:rsid w:val="00A5674E"/>
    <w:rsid w:val="00A569D4"/>
    <w:rsid w:val="00A56A6D"/>
    <w:rsid w:val="00A56BFB"/>
    <w:rsid w:val="00A56E29"/>
    <w:rsid w:val="00A56E9B"/>
    <w:rsid w:val="00A56ED9"/>
    <w:rsid w:val="00A56F54"/>
    <w:rsid w:val="00A57296"/>
    <w:rsid w:val="00A572BF"/>
    <w:rsid w:val="00A5746D"/>
    <w:rsid w:val="00A574D0"/>
    <w:rsid w:val="00A576BE"/>
    <w:rsid w:val="00A579B3"/>
    <w:rsid w:val="00A57A80"/>
    <w:rsid w:val="00A57A8F"/>
    <w:rsid w:val="00A57D5F"/>
    <w:rsid w:val="00A60021"/>
    <w:rsid w:val="00A6025C"/>
    <w:rsid w:val="00A604E2"/>
    <w:rsid w:val="00A60500"/>
    <w:rsid w:val="00A6054A"/>
    <w:rsid w:val="00A609E1"/>
    <w:rsid w:val="00A60B10"/>
    <w:rsid w:val="00A60BE8"/>
    <w:rsid w:val="00A61080"/>
    <w:rsid w:val="00A61362"/>
    <w:rsid w:val="00A6150C"/>
    <w:rsid w:val="00A6164A"/>
    <w:rsid w:val="00A616CE"/>
    <w:rsid w:val="00A618BE"/>
    <w:rsid w:val="00A6197E"/>
    <w:rsid w:val="00A6199E"/>
    <w:rsid w:val="00A61A98"/>
    <w:rsid w:val="00A61B21"/>
    <w:rsid w:val="00A61C60"/>
    <w:rsid w:val="00A61CEF"/>
    <w:rsid w:val="00A61CFA"/>
    <w:rsid w:val="00A61E76"/>
    <w:rsid w:val="00A62038"/>
    <w:rsid w:val="00A6216F"/>
    <w:rsid w:val="00A62190"/>
    <w:rsid w:val="00A62265"/>
    <w:rsid w:val="00A622BF"/>
    <w:rsid w:val="00A623B3"/>
    <w:rsid w:val="00A62598"/>
    <w:rsid w:val="00A62746"/>
    <w:rsid w:val="00A6274D"/>
    <w:rsid w:val="00A62897"/>
    <w:rsid w:val="00A62E69"/>
    <w:rsid w:val="00A63023"/>
    <w:rsid w:val="00A6308E"/>
    <w:rsid w:val="00A63482"/>
    <w:rsid w:val="00A63649"/>
    <w:rsid w:val="00A6390E"/>
    <w:rsid w:val="00A63A5C"/>
    <w:rsid w:val="00A63D62"/>
    <w:rsid w:val="00A63FBC"/>
    <w:rsid w:val="00A6411A"/>
    <w:rsid w:val="00A64163"/>
    <w:rsid w:val="00A64192"/>
    <w:rsid w:val="00A641D3"/>
    <w:rsid w:val="00A643C3"/>
    <w:rsid w:val="00A645E3"/>
    <w:rsid w:val="00A64629"/>
    <w:rsid w:val="00A6483B"/>
    <w:rsid w:val="00A6498A"/>
    <w:rsid w:val="00A649DC"/>
    <w:rsid w:val="00A64A7A"/>
    <w:rsid w:val="00A64C73"/>
    <w:rsid w:val="00A64DA1"/>
    <w:rsid w:val="00A6568D"/>
    <w:rsid w:val="00A6568F"/>
    <w:rsid w:val="00A6572F"/>
    <w:rsid w:val="00A65969"/>
    <w:rsid w:val="00A65A1D"/>
    <w:rsid w:val="00A65D38"/>
    <w:rsid w:val="00A65D3B"/>
    <w:rsid w:val="00A65D3C"/>
    <w:rsid w:val="00A65D7E"/>
    <w:rsid w:val="00A65D80"/>
    <w:rsid w:val="00A66020"/>
    <w:rsid w:val="00A661F0"/>
    <w:rsid w:val="00A66445"/>
    <w:rsid w:val="00A6677C"/>
    <w:rsid w:val="00A6683F"/>
    <w:rsid w:val="00A66911"/>
    <w:rsid w:val="00A66A22"/>
    <w:rsid w:val="00A66A33"/>
    <w:rsid w:val="00A66C83"/>
    <w:rsid w:val="00A6728F"/>
    <w:rsid w:val="00A672F1"/>
    <w:rsid w:val="00A67389"/>
    <w:rsid w:val="00A67571"/>
    <w:rsid w:val="00A675A0"/>
    <w:rsid w:val="00A6773B"/>
    <w:rsid w:val="00A67CDB"/>
    <w:rsid w:val="00A67D5C"/>
    <w:rsid w:val="00A67DD6"/>
    <w:rsid w:val="00A67F02"/>
    <w:rsid w:val="00A67F13"/>
    <w:rsid w:val="00A70012"/>
    <w:rsid w:val="00A703CF"/>
    <w:rsid w:val="00A7076C"/>
    <w:rsid w:val="00A71139"/>
    <w:rsid w:val="00A7135C"/>
    <w:rsid w:val="00A7137F"/>
    <w:rsid w:val="00A71567"/>
    <w:rsid w:val="00A71574"/>
    <w:rsid w:val="00A7183A"/>
    <w:rsid w:val="00A71C66"/>
    <w:rsid w:val="00A71CBD"/>
    <w:rsid w:val="00A720A9"/>
    <w:rsid w:val="00A72219"/>
    <w:rsid w:val="00A72232"/>
    <w:rsid w:val="00A72358"/>
    <w:rsid w:val="00A723D8"/>
    <w:rsid w:val="00A72442"/>
    <w:rsid w:val="00A72509"/>
    <w:rsid w:val="00A725E6"/>
    <w:rsid w:val="00A725F0"/>
    <w:rsid w:val="00A7261A"/>
    <w:rsid w:val="00A7265C"/>
    <w:rsid w:val="00A72AC8"/>
    <w:rsid w:val="00A72E2F"/>
    <w:rsid w:val="00A72F36"/>
    <w:rsid w:val="00A72FDC"/>
    <w:rsid w:val="00A730CA"/>
    <w:rsid w:val="00A732FE"/>
    <w:rsid w:val="00A734B9"/>
    <w:rsid w:val="00A737ED"/>
    <w:rsid w:val="00A73811"/>
    <w:rsid w:val="00A739D6"/>
    <w:rsid w:val="00A73A93"/>
    <w:rsid w:val="00A73C08"/>
    <w:rsid w:val="00A73D4D"/>
    <w:rsid w:val="00A73F15"/>
    <w:rsid w:val="00A73F6A"/>
    <w:rsid w:val="00A73FDF"/>
    <w:rsid w:val="00A740BF"/>
    <w:rsid w:val="00A7416B"/>
    <w:rsid w:val="00A741B9"/>
    <w:rsid w:val="00A74429"/>
    <w:rsid w:val="00A74648"/>
    <w:rsid w:val="00A74A5B"/>
    <w:rsid w:val="00A74D16"/>
    <w:rsid w:val="00A74E2A"/>
    <w:rsid w:val="00A74E37"/>
    <w:rsid w:val="00A75113"/>
    <w:rsid w:val="00A75380"/>
    <w:rsid w:val="00A7538E"/>
    <w:rsid w:val="00A755E5"/>
    <w:rsid w:val="00A7571B"/>
    <w:rsid w:val="00A75731"/>
    <w:rsid w:val="00A75746"/>
    <w:rsid w:val="00A759D6"/>
    <w:rsid w:val="00A75AF5"/>
    <w:rsid w:val="00A764D5"/>
    <w:rsid w:val="00A76AAD"/>
    <w:rsid w:val="00A76FA0"/>
    <w:rsid w:val="00A76FD9"/>
    <w:rsid w:val="00A77339"/>
    <w:rsid w:val="00A77361"/>
    <w:rsid w:val="00A77479"/>
    <w:rsid w:val="00A7765A"/>
    <w:rsid w:val="00A7793F"/>
    <w:rsid w:val="00A779A8"/>
    <w:rsid w:val="00A77AE0"/>
    <w:rsid w:val="00A77B64"/>
    <w:rsid w:val="00A77BAD"/>
    <w:rsid w:val="00A77BC7"/>
    <w:rsid w:val="00A77CCC"/>
    <w:rsid w:val="00A77DBD"/>
    <w:rsid w:val="00A77E48"/>
    <w:rsid w:val="00A77E85"/>
    <w:rsid w:val="00A77ED1"/>
    <w:rsid w:val="00A77FD0"/>
    <w:rsid w:val="00A77FEB"/>
    <w:rsid w:val="00A8027C"/>
    <w:rsid w:val="00A80571"/>
    <w:rsid w:val="00A805D5"/>
    <w:rsid w:val="00A80CB9"/>
    <w:rsid w:val="00A80CFC"/>
    <w:rsid w:val="00A80F45"/>
    <w:rsid w:val="00A8118A"/>
    <w:rsid w:val="00A81394"/>
    <w:rsid w:val="00A814B1"/>
    <w:rsid w:val="00A81557"/>
    <w:rsid w:val="00A81621"/>
    <w:rsid w:val="00A81728"/>
    <w:rsid w:val="00A81A20"/>
    <w:rsid w:val="00A81B0B"/>
    <w:rsid w:val="00A81BB8"/>
    <w:rsid w:val="00A81D45"/>
    <w:rsid w:val="00A81DD5"/>
    <w:rsid w:val="00A81FCE"/>
    <w:rsid w:val="00A82176"/>
    <w:rsid w:val="00A822C6"/>
    <w:rsid w:val="00A82337"/>
    <w:rsid w:val="00A823B6"/>
    <w:rsid w:val="00A824EF"/>
    <w:rsid w:val="00A8257D"/>
    <w:rsid w:val="00A827EA"/>
    <w:rsid w:val="00A82882"/>
    <w:rsid w:val="00A8297A"/>
    <w:rsid w:val="00A82A36"/>
    <w:rsid w:val="00A82A53"/>
    <w:rsid w:val="00A82B91"/>
    <w:rsid w:val="00A82CA2"/>
    <w:rsid w:val="00A82CE4"/>
    <w:rsid w:val="00A82D94"/>
    <w:rsid w:val="00A83149"/>
    <w:rsid w:val="00A83170"/>
    <w:rsid w:val="00A83792"/>
    <w:rsid w:val="00A837D0"/>
    <w:rsid w:val="00A83868"/>
    <w:rsid w:val="00A838A8"/>
    <w:rsid w:val="00A83D13"/>
    <w:rsid w:val="00A83F4D"/>
    <w:rsid w:val="00A841E7"/>
    <w:rsid w:val="00A842CE"/>
    <w:rsid w:val="00A84976"/>
    <w:rsid w:val="00A849AA"/>
    <w:rsid w:val="00A85329"/>
    <w:rsid w:val="00A85482"/>
    <w:rsid w:val="00A856B9"/>
    <w:rsid w:val="00A85800"/>
    <w:rsid w:val="00A85817"/>
    <w:rsid w:val="00A8595F"/>
    <w:rsid w:val="00A85A13"/>
    <w:rsid w:val="00A85A3E"/>
    <w:rsid w:val="00A85B0D"/>
    <w:rsid w:val="00A85CA4"/>
    <w:rsid w:val="00A85CA5"/>
    <w:rsid w:val="00A860EB"/>
    <w:rsid w:val="00A86392"/>
    <w:rsid w:val="00A86469"/>
    <w:rsid w:val="00A86593"/>
    <w:rsid w:val="00A86768"/>
    <w:rsid w:val="00A8678D"/>
    <w:rsid w:val="00A869C5"/>
    <w:rsid w:val="00A86A0B"/>
    <w:rsid w:val="00A86AD4"/>
    <w:rsid w:val="00A86C74"/>
    <w:rsid w:val="00A86CBD"/>
    <w:rsid w:val="00A86CF4"/>
    <w:rsid w:val="00A86E78"/>
    <w:rsid w:val="00A87046"/>
    <w:rsid w:val="00A87086"/>
    <w:rsid w:val="00A87273"/>
    <w:rsid w:val="00A873CE"/>
    <w:rsid w:val="00A87580"/>
    <w:rsid w:val="00A87905"/>
    <w:rsid w:val="00A87931"/>
    <w:rsid w:val="00A879A9"/>
    <w:rsid w:val="00A9012E"/>
    <w:rsid w:val="00A90194"/>
    <w:rsid w:val="00A90682"/>
    <w:rsid w:val="00A906A1"/>
    <w:rsid w:val="00A90754"/>
    <w:rsid w:val="00A9080E"/>
    <w:rsid w:val="00A90A5A"/>
    <w:rsid w:val="00A90AF2"/>
    <w:rsid w:val="00A911F6"/>
    <w:rsid w:val="00A913A4"/>
    <w:rsid w:val="00A9140D"/>
    <w:rsid w:val="00A91454"/>
    <w:rsid w:val="00A91489"/>
    <w:rsid w:val="00A916F1"/>
    <w:rsid w:val="00A91C8C"/>
    <w:rsid w:val="00A91D0F"/>
    <w:rsid w:val="00A921AA"/>
    <w:rsid w:val="00A921D8"/>
    <w:rsid w:val="00A92424"/>
    <w:rsid w:val="00A92453"/>
    <w:rsid w:val="00A92508"/>
    <w:rsid w:val="00A92533"/>
    <w:rsid w:val="00A927FD"/>
    <w:rsid w:val="00A92801"/>
    <w:rsid w:val="00A92A18"/>
    <w:rsid w:val="00A92B0A"/>
    <w:rsid w:val="00A92BC5"/>
    <w:rsid w:val="00A92D3E"/>
    <w:rsid w:val="00A92F30"/>
    <w:rsid w:val="00A9300A"/>
    <w:rsid w:val="00A93092"/>
    <w:rsid w:val="00A93353"/>
    <w:rsid w:val="00A935D7"/>
    <w:rsid w:val="00A935F0"/>
    <w:rsid w:val="00A93616"/>
    <w:rsid w:val="00A93746"/>
    <w:rsid w:val="00A93A4A"/>
    <w:rsid w:val="00A940FC"/>
    <w:rsid w:val="00A94552"/>
    <w:rsid w:val="00A94581"/>
    <w:rsid w:val="00A94679"/>
    <w:rsid w:val="00A9474F"/>
    <w:rsid w:val="00A94839"/>
    <w:rsid w:val="00A94B15"/>
    <w:rsid w:val="00A94E83"/>
    <w:rsid w:val="00A95072"/>
    <w:rsid w:val="00A95155"/>
    <w:rsid w:val="00A951CE"/>
    <w:rsid w:val="00A951FC"/>
    <w:rsid w:val="00A9523D"/>
    <w:rsid w:val="00A9534C"/>
    <w:rsid w:val="00A95634"/>
    <w:rsid w:val="00A957BA"/>
    <w:rsid w:val="00A957CE"/>
    <w:rsid w:val="00A957F7"/>
    <w:rsid w:val="00A9583F"/>
    <w:rsid w:val="00A95859"/>
    <w:rsid w:val="00A95A88"/>
    <w:rsid w:val="00A95D05"/>
    <w:rsid w:val="00A95D1E"/>
    <w:rsid w:val="00A95DA1"/>
    <w:rsid w:val="00A95E12"/>
    <w:rsid w:val="00A95EDE"/>
    <w:rsid w:val="00A95F90"/>
    <w:rsid w:val="00A960BA"/>
    <w:rsid w:val="00A960C0"/>
    <w:rsid w:val="00A96210"/>
    <w:rsid w:val="00A96407"/>
    <w:rsid w:val="00A969E8"/>
    <w:rsid w:val="00A96A73"/>
    <w:rsid w:val="00A96AB0"/>
    <w:rsid w:val="00A96C44"/>
    <w:rsid w:val="00A970C5"/>
    <w:rsid w:val="00A971A6"/>
    <w:rsid w:val="00A971F5"/>
    <w:rsid w:val="00A9759D"/>
    <w:rsid w:val="00A977B6"/>
    <w:rsid w:val="00A97804"/>
    <w:rsid w:val="00A97936"/>
    <w:rsid w:val="00A97D22"/>
    <w:rsid w:val="00AA0115"/>
    <w:rsid w:val="00AA01E3"/>
    <w:rsid w:val="00AA03A2"/>
    <w:rsid w:val="00AA03E4"/>
    <w:rsid w:val="00AA04A2"/>
    <w:rsid w:val="00AA0859"/>
    <w:rsid w:val="00AA0AFE"/>
    <w:rsid w:val="00AA0E71"/>
    <w:rsid w:val="00AA0F10"/>
    <w:rsid w:val="00AA129A"/>
    <w:rsid w:val="00AA1EAC"/>
    <w:rsid w:val="00AA1ED1"/>
    <w:rsid w:val="00AA24E9"/>
    <w:rsid w:val="00AA25FC"/>
    <w:rsid w:val="00AA28A4"/>
    <w:rsid w:val="00AA2AEE"/>
    <w:rsid w:val="00AA2EF2"/>
    <w:rsid w:val="00AA2F60"/>
    <w:rsid w:val="00AA34AE"/>
    <w:rsid w:val="00AA36A4"/>
    <w:rsid w:val="00AA37F4"/>
    <w:rsid w:val="00AA3901"/>
    <w:rsid w:val="00AA395C"/>
    <w:rsid w:val="00AA39ED"/>
    <w:rsid w:val="00AA3AFD"/>
    <w:rsid w:val="00AA3B0B"/>
    <w:rsid w:val="00AA3B42"/>
    <w:rsid w:val="00AA3C80"/>
    <w:rsid w:val="00AA3DA8"/>
    <w:rsid w:val="00AA3DDA"/>
    <w:rsid w:val="00AA3DF7"/>
    <w:rsid w:val="00AA3EA7"/>
    <w:rsid w:val="00AA3FDB"/>
    <w:rsid w:val="00AA41F5"/>
    <w:rsid w:val="00AA42A0"/>
    <w:rsid w:val="00AA4761"/>
    <w:rsid w:val="00AA48F0"/>
    <w:rsid w:val="00AA4954"/>
    <w:rsid w:val="00AA49E0"/>
    <w:rsid w:val="00AA4A19"/>
    <w:rsid w:val="00AA4CF7"/>
    <w:rsid w:val="00AA4D73"/>
    <w:rsid w:val="00AA4DCD"/>
    <w:rsid w:val="00AA4E94"/>
    <w:rsid w:val="00AA4FC7"/>
    <w:rsid w:val="00AA5226"/>
    <w:rsid w:val="00AA5393"/>
    <w:rsid w:val="00AA5771"/>
    <w:rsid w:val="00AA5A42"/>
    <w:rsid w:val="00AA5B87"/>
    <w:rsid w:val="00AA5C8F"/>
    <w:rsid w:val="00AA641B"/>
    <w:rsid w:val="00AA6476"/>
    <w:rsid w:val="00AA6482"/>
    <w:rsid w:val="00AA65CB"/>
    <w:rsid w:val="00AA65ED"/>
    <w:rsid w:val="00AA66BC"/>
    <w:rsid w:val="00AA6751"/>
    <w:rsid w:val="00AA679E"/>
    <w:rsid w:val="00AA67D5"/>
    <w:rsid w:val="00AA67F1"/>
    <w:rsid w:val="00AA6BB1"/>
    <w:rsid w:val="00AA6BF3"/>
    <w:rsid w:val="00AA6CA4"/>
    <w:rsid w:val="00AA6CF0"/>
    <w:rsid w:val="00AA6D78"/>
    <w:rsid w:val="00AA6F67"/>
    <w:rsid w:val="00AA7194"/>
    <w:rsid w:val="00AA719C"/>
    <w:rsid w:val="00AA72B5"/>
    <w:rsid w:val="00AA73D0"/>
    <w:rsid w:val="00AA78A8"/>
    <w:rsid w:val="00AA7F25"/>
    <w:rsid w:val="00AB003C"/>
    <w:rsid w:val="00AB00C6"/>
    <w:rsid w:val="00AB0189"/>
    <w:rsid w:val="00AB0269"/>
    <w:rsid w:val="00AB0401"/>
    <w:rsid w:val="00AB050C"/>
    <w:rsid w:val="00AB05D0"/>
    <w:rsid w:val="00AB05F7"/>
    <w:rsid w:val="00AB073D"/>
    <w:rsid w:val="00AB0A96"/>
    <w:rsid w:val="00AB0C8F"/>
    <w:rsid w:val="00AB0D74"/>
    <w:rsid w:val="00AB0E6F"/>
    <w:rsid w:val="00AB10E6"/>
    <w:rsid w:val="00AB1415"/>
    <w:rsid w:val="00AB193B"/>
    <w:rsid w:val="00AB1B7D"/>
    <w:rsid w:val="00AB1D95"/>
    <w:rsid w:val="00AB2178"/>
    <w:rsid w:val="00AB21F1"/>
    <w:rsid w:val="00AB2340"/>
    <w:rsid w:val="00AB2415"/>
    <w:rsid w:val="00AB24C1"/>
    <w:rsid w:val="00AB26C1"/>
    <w:rsid w:val="00AB2D14"/>
    <w:rsid w:val="00AB2F9D"/>
    <w:rsid w:val="00AB368C"/>
    <w:rsid w:val="00AB43DD"/>
    <w:rsid w:val="00AB43F2"/>
    <w:rsid w:val="00AB44F7"/>
    <w:rsid w:val="00AB4649"/>
    <w:rsid w:val="00AB4653"/>
    <w:rsid w:val="00AB4658"/>
    <w:rsid w:val="00AB4807"/>
    <w:rsid w:val="00AB4921"/>
    <w:rsid w:val="00AB49CA"/>
    <w:rsid w:val="00AB4A6A"/>
    <w:rsid w:val="00AB4C8D"/>
    <w:rsid w:val="00AB4D8A"/>
    <w:rsid w:val="00AB4E12"/>
    <w:rsid w:val="00AB4FF9"/>
    <w:rsid w:val="00AB5007"/>
    <w:rsid w:val="00AB511A"/>
    <w:rsid w:val="00AB5218"/>
    <w:rsid w:val="00AB521F"/>
    <w:rsid w:val="00AB5262"/>
    <w:rsid w:val="00AB5271"/>
    <w:rsid w:val="00AB52E5"/>
    <w:rsid w:val="00AB5312"/>
    <w:rsid w:val="00AB5361"/>
    <w:rsid w:val="00AB584B"/>
    <w:rsid w:val="00AB59F1"/>
    <w:rsid w:val="00AB59FD"/>
    <w:rsid w:val="00AB5A1C"/>
    <w:rsid w:val="00AB5BC9"/>
    <w:rsid w:val="00AB5CF2"/>
    <w:rsid w:val="00AB5D0A"/>
    <w:rsid w:val="00AB5DD5"/>
    <w:rsid w:val="00AB6060"/>
    <w:rsid w:val="00AB6206"/>
    <w:rsid w:val="00AB64DB"/>
    <w:rsid w:val="00AB6781"/>
    <w:rsid w:val="00AB6825"/>
    <w:rsid w:val="00AB6A44"/>
    <w:rsid w:val="00AB6A48"/>
    <w:rsid w:val="00AB6AEA"/>
    <w:rsid w:val="00AB6C8E"/>
    <w:rsid w:val="00AB708F"/>
    <w:rsid w:val="00AB70BA"/>
    <w:rsid w:val="00AB72BC"/>
    <w:rsid w:val="00AB7713"/>
    <w:rsid w:val="00AC0200"/>
    <w:rsid w:val="00AC0244"/>
    <w:rsid w:val="00AC04D4"/>
    <w:rsid w:val="00AC065C"/>
    <w:rsid w:val="00AC08BB"/>
    <w:rsid w:val="00AC093B"/>
    <w:rsid w:val="00AC09F2"/>
    <w:rsid w:val="00AC0D52"/>
    <w:rsid w:val="00AC0D7A"/>
    <w:rsid w:val="00AC0E55"/>
    <w:rsid w:val="00AC0E68"/>
    <w:rsid w:val="00AC0F6A"/>
    <w:rsid w:val="00AC0FC0"/>
    <w:rsid w:val="00AC112B"/>
    <w:rsid w:val="00AC115D"/>
    <w:rsid w:val="00AC1300"/>
    <w:rsid w:val="00AC13D9"/>
    <w:rsid w:val="00AC1577"/>
    <w:rsid w:val="00AC17A0"/>
    <w:rsid w:val="00AC17B6"/>
    <w:rsid w:val="00AC1917"/>
    <w:rsid w:val="00AC1943"/>
    <w:rsid w:val="00AC1A08"/>
    <w:rsid w:val="00AC1D2D"/>
    <w:rsid w:val="00AC1D87"/>
    <w:rsid w:val="00AC1DCB"/>
    <w:rsid w:val="00AC1F65"/>
    <w:rsid w:val="00AC208D"/>
    <w:rsid w:val="00AC23BA"/>
    <w:rsid w:val="00AC2417"/>
    <w:rsid w:val="00AC2745"/>
    <w:rsid w:val="00AC28C4"/>
    <w:rsid w:val="00AC28DF"/>
    <w:rsid w:val="00AC2A0B"/>
    <w:rsid w:val="00AC2CF3"/>
    <w:rsid w:val="00AC2FD6"/>
    <w:rsid w:val="00AC30D7"/>
    <w:rsid w:val="00AC3226"/>
    <w:rsid w:val="00AC3370"/>
    <w:rsid w:val="00AC34A5"/>
    <w:rsid w:val="00AC35E3"/>
    <w:rsid w:val="00AC37B7"/>
    <w:rsid w:val="00AC38CE"/>
    <w:rsid w:val="00AC3D5B"/>
    <w:rsid w:val="00AC3D7D"/>
    <w:rsid w:val="00AC3F5E"/>
    <w:rsid w:val="00AC3F67"/>
    <w:rsid w:val="00AC4123"/>
    <w:rsid w:val="00AC4585"/>
    <w:rsid w:val="00AC4603"/>
    <w:rsid w:val="00AC468A"/>
    <w:rsid w:val="00AC46E2"/>
    <w:rsid w:val="00AC4868"/>
    <w:rsid w:val="00AC4927"/>
    <w:rsid w:val="00AC4AEF"/>
    <w:rsid w:val="00AC4D24"/>
    <w:rsid w:val="00AC4D2A"/>
    <w:rsid w:val="00AC4DA2"/>
    <w:rsid w:val="00AC4DB4"/>
    <w:rsid w:val="00AC4DFC"/>
    <w:rsid w:val="00AC4EC5"/>
    <w:rsid w:val="00AC4FBF"/>
    <w:rsid w:val="00AC520A"/>
    <w:rsid w:val="00AC5272"/>
    <w:rsid w:val="00AC527A"/>
    <w:rsid w:val="00AC532E"/>
    <w:rsid w:val="00AC534E"/>
    <w:rsid w:val="00AC5588"/>
    <w:rsid w:val="00AC5679"/>
    <w:rsid w:val="00AC5859"/>
    <w:rsid w:val="00AC585B"/>
    <w:rsid w:val="00AC5932"/>
    <w:rsid w:val="00AC5B37"/>
    <w:rsid w:val="00AC5BDA"/>
    <w:rsid w:val="00AC5EB7"/>
    <w:rsid w:val="00AC62FD"/>
    <w:rsid w:val="00AC64DB"/>
    <w:rsid w:val="00AC6703"/>
    <w:rsid w:val="00AC6832"/>
    <w:rsid w:val="00AC6853"/>
    <w:rsid w:val="00AC6D75"/>
    <w:rsid w:val="00AC6E46"/>
    <w:rsid w:val="00AC6F2F"/>
    <w:rsid w:val="00AC6F98"/>
    <w:rsid w:val="00AC6FB1"/>
    <w:rsid w:val="00AC71FD"/>
    <w:rsid w:val="00AC74FA"/>
    <w:rsid w:val="00AC75AB"/>
    <w:rsid w:val="00AC7762"/>
    <w:rsid w:val="00AC7878"/>
    <w:rsid w:val="00AC79A7"/>
    <w:rsid w:val="00AC7BBE"/>
    <w:rsid w:val="00AC7E8A"/>
    <w:rsid w:val="00AC7F98"/>
    <w:rsid w:val="00AD01DB"/>
    <w:rsid w:val="00AD0208"/>
    <w:rsid w:val="00AD0735"/>
    <w:rsid w:val="00AD0A8D"/>
    <w:rsid w:val="00AD0BB8"/>
    <w:rsid w:val="00AD0D3E"/>
    <w:rsid w:val="00AD105C"/>
    <w:rsid w:val="00AD11D5"/>
    <w:rsid w:val="00AD1249"/>
    <w:rsid w:val="00AD127F"/>
    <w:rsid w:val="00AD13A8"/>
    <w:rsid w:val="00AD199E"/>
    <w:rsid w:val="00AD1DE7"/>
    <w:rsid w:val="00AD1E54"/>
    <w:rsid w:val="00AD1FA8"/>
    <w:rsid w:val="00AD20BB"/>
    <w:rsid w:val="00AD20F8"/>
    <w:rsid w:val="00AD211F"/>
    <w:rsid w:val="00AD22FC"/>
    <w:rsid w:val="00AD242E"/>
    <w:rsid w:val="00AD2583"/>
    <w:rsid w:val="00AD2586"/>
    <w:rsid w:val="00AD2873"/>
    <w:rsid w:val="00AD29D8"/>
    <w:rsid w:val="00AD2A29"/>
    <w:rsid w:val="00AD2DE6"/>
    <w:rsid w:val="00AD3314"/>
    <w:rsid w:val="00AD38C2"/>
    <w:rsid w:val="00AD393A"/>
    <w:rsid w:val="00AD3E8F"/>
    <w:rsid w:val="00AD4191"/>
    <w:rsid w:val="00AD4197"/>
    <w:rsid w:val="00AD42D6"/>
    <w:rsid w:val="00AD44C5"/>
    <w:rsid w:val="00AD4577"/>
    <w:rsid w:val="00AD469A"/>
    <w:rsid w:val="00AD472A"/>
    <w:rsid w:val="00AD488B"/>
    <w:rsid w:val="00AD4EAA"/>
    <w:rsid w:val="00AD4F6B"/>
    <w:rsid w:val="00AD51B4"/>
    <w:rsid w:val="00AD53E0"/>
    <w:rsid w:val="00AD553E"/>
    <w:rsid w:val="00AD55F3"/>
    <w:rsid w:val="00AD57F6"/>
    <w:rsid w:val="00AD58E2"/>
    <w:rsid w:val="00AD59F6"/>
    <w:rsid w:val="00AD5A6E"/>
    <w:rsid w:val="00AD5D71"/>
    <w:rsid w:val="00AD60B0"/>
    <w:rsid w:val="00AD60C6"/>
    <w:rsid w:val="00AD61A7"/>
    <w:rsid w:val="00AD61F8"/>
    <w:rsid w:val="00AD6229"/>
    <w:rsid w:val="00AD64BE"/>
    <w:rsid w:val="00AD67B7"/>
    <w:rsid w:val="00AD68D1"/>
    <w:rsid w:val="00AD6A14"/>
    <w:rsid w:val="00AD6B06"/>
    <w:rsid w:val="00AD6BED"/>
    <w:rsid w:val="00AD710E"/>
    <w:rsid w:val="00AD7282"/>
    <w:rsid w:val="00AD7379"/>
    <w:rsid w:val="00AD74F6"/>
    <w:rsid w:val="00AD7726"/>
    <w:rsid w:val="00AD7825"/>
    <w:rsid w:val="00AD78E0"/>
    <w:rsid w:val="00AD79A5"/>
    <w:rsid w:val="00AD7CAA"/>
    <w:rsid w:val="00AD7D38"/>
    <w:rsid w:val="00AD7FF0"/>
    <w:rsid w:val="00AE00D0"/>
    <w:rsid w:val="00AE0456"/>
    <w:rsid w:val="00AE05D1"/>
    <w:rsid w:val="00AE0651"/>
    <w:rsid w:val="00AE06A6"/>
    <w:rsid w:val="00AE0801"/>
    <w:rsid w:val="00AE0945"/>
    <w:rsid w:val="00AE0C3D"/>
    <w:rsid w:val="00AE0C5F"/>
    <w:rsid w:val="00AE0CB4"/>
    <w:rsid w:val="00AE0D92"/>
    <w:rsid w:val="00AE0E02"/>
    <w:rsid w:val="00AE0F52"/>
    <w:rsid w:val="00AE111F"/>
    <w:rsid w:val="00AE117B"/>
    <w:rsid w:val="00AE1496"/>
    <w:rsid w:val="00AE1659"/>
    <w:rsid w:val="00AE16A9"/>
    <w:rsid w:val="00AE1852"/>
    <w:rsid w:val="00AE18F0"/>
    <w:rsid w:val="00AE1E4F"/>
    <w:rsid w:val="00AE2214"/>
    <w:rsid w:val="00AE240F"/>
    <w:rsid w:val="00AE2592"/>
    <w:rsid w:val="00AE291D"/>
    <w:rsid w:val="00AE2A78"/>
    <w:rsid w:val="00AE2C71"/>
    <w:rsid w:val="00AE2C8A"/>
    <w:rsid w:val="00AE2F21"/>
    <w:rsid w:val="00AE312A"/>
    <w:rsid w:val="00AE3417"/>
    <w:rsid w:val="00AE358A"/>
    <w:rsid w:val="00AE3654"/>
    <w:rsid w:val="00AE36E4"/>
    <w:rsid w:val="00AE3919"/>
    <w:rsid w:val="00AE3A11"/>
    <w:rsid w:val="00AE3D52"/>
    <w:rsid w:val="00AE3E94"/>
    <w:rsid w:val="00AE4141"/>
    <w:rsid w:val="00AE43C0"/>
    <w:rsid w:val="00AE4490"/>
    <w:rsid w:val="00AE452A"/>
    <w:rsid w:val="00AE468A"/>
    <w:rsid w:val="00AE49CB"/>
    <w:rsid w:val="00AE4A88"/>
    <w:rsid w:val="00AE4AFE"/>
    <w:rsid w:val="00AE4BDF"/>
    <w:rsid w:val="00AE4C6D"/>
    <w:rsid w:val="00AE4E6D"/>
    <w:rsid w:val="00AE4FC7"/>
    <w:rsid w:val="00AE5287"/>
    <w:rsid w:val="00AE5328"/>
    <w:rsid w:val="00AE57A1"/>
    <w:rsid w:val="00AE5912"/>
    <w:rsid w:val="00AE59C5"/>
    <w:rsid w:val="00AE5FDF"/>
    <w:rsid w:val="00AE5FE6"/>
    <w:rsid w:val="00AE63E6"/>
    <w:rsid w:val="00AE643E"/>
    <w:rsid w:val="00AE686E"/>
    <w:rsid w:val="00AE6C48"/>
    <w:rsid w:val="00AE6D29"/>
    <w:rsid w:val="00AE6DBD"/>
    <w:rsid w:val="00AE6F99"/>
    <w:rsid w:val="00AE709D"/>
    <w:rsid w:val="00AE7126"/>
    <w:rsid w:val="00AE718E"/>
    <w:rsid w:val="00AE7359"/>
    <w:rsid w:val="00AE7906"/>
    <w:rsid w:val="00AE7A4F"/>
    <w:rsid w:val="00AE7A9F"/>
    <w:rsid w:val="00AE7B64"/>
    <w:rsid w:val="00AE7F75"/>
    <w:rsid w:val="00AE7FD5"/>
    <w:rsid w:val="00AF00B6"/>
    <w:rsid w:val="00AF047F"/>
    <w:rsid w:val="00AF04FD"/>
    <w:rsid w:val="00AF0588"/>
    <w:rsid w:val="00AF075B"/>
    <w:rsid w:val="00AF08EC"/>
    <w:rsid w:val="00AF0A39"/>
    <w:rsid w:val="00AF0DE7"/>
    <w:rsid w:val="00AF0EE9"/>
    <w:rsid w:val="00AF0F8B"/>
    <w:rsid w:val="00AF1000"/>
    <w:rsid w:val="00AF101C"/>
    <w:rsid w:val="00AF137D"/>
    <w:rsid w:val="00AF1672"/>
    <w:rsid w:val="00AF1A38"/>
    <w:rsid w:val="00AF1D45"/>
    <w:rsid w:val="00AF1DC0"/>
    <w:rsid w:val="00AF1EE7"/>
    <w:rsid w:val="00AF221C"/>
    <w:rsid w:val="00AF2290"/>
    <w:rsid w:val="00AF22E6"/>
    <w:rsid w:val="00AF241A"/>
    <w:rsid w:val="00AF257E"/>
    <w:rsid w:val="00AF27C1"/>
    <w:rsid w:val="00AF27D7"/>
    <w:rsid w:val="00AF2801"/>
    <w:rsid w:val="00AF28AA"/>
    <w:rsid w:val="00AF2935"/>
    <w:rsid w:val="00AF2A0E"/>
    <w:rsid w:val="00AF2CB3"/>
    <w:rsid w:val="00AF2D8D"/>
    <w:rsid w:val="00AF30A3"/>
    <w:rsid w:val="00AF3982"/>
    <w:rsid w:val="00AF3B1A"/>
    <w:rsid w:val="00AF3C91"/>
    <w:rsid w:val="00AF44F0"/>
    <w:rsid w:val="00AF460D"/>
    <w:rsid w:val="00AF4648"/>
    <w:rsid w:val="00AF46B4"/>
    <w:rsid w:val="00AF474F"/>
    <w:rsid w:val="00AF481E"/>
    <w:rsid w:val="00AF4825"/>
    <w:rsid w:val="00AF4864"/>
    <w:rsid w:val="00AF4B08"/>
    <w:rsid w:val="00AF4C15"/>
    <w:rsid w:val="00AF4C8C"/>
    <w:rsid w:val="00AF4D62"/>
    <w:rsid w:val="00AF4E00"/>
    <w:rsid w:val="00AF4E3B"/>
    <w:rsid w:val="00AF4ECD"/>
    <w:rsid w:val="00AF4EF2"/>
    <w:rsid w:val="00AF4FAE"/>
    <w:rsid w:val="00AF5035"/>
    <w:rsid w:val="00AF5167"/>
    <w:rsid w:val="00AF5245"/>
    <w:rsid w:val="00AF52F1"/>
    <w:rsid w:val="00AF53B5"/>
    <w:rsid w:val="00AF55E8"/>
    <w:rsid w:val="00AF5831"/>
    <w:rsid w:val="00AF5860"/>
    <w:rsid w:val="00AF59DB"/>
    <w:rsid w:val="00AF5B5E"/>
    <w:rsid w:val="00AF5D3A"/>
    <w:rsid w:val="00AF5D52"/>
    <w:rsid w:val="00AF5DC2"/>
    <w:rsid w:val="00AF5FDA"/>
    <w:rsid w:val="00AF6178"/>
    <w:rsid w:val="00AF6183"/>
    <w:rsid w:val="00AF624F"/>
    <w:rsid w:val="00AF6369"/>
    <w:rsid w:val="00AF63C1"/>
    <w:rsid w:val="00AF6499"/>
    <w:rsid w:val="00AF64FE"/>
    <w:rsid w:val="00AF65C0"/>
    <w:rsid w:val="00AF6601"/>
    <w:rsid w:val="00AF6683"/>
    <w:rsid w:val="00AF6745"/>
    <w:rsid w:val="00AF6847"/>
    <w:rsid w:val="00AF685E"/>
    <w:rsid w:val="00AF6968"/>
    <w:rsid w:val="00AF696A"/>
    <w:rsid w:val="00AF6983"/>
    <w:rsid w:val="00AF6A39"/>
    <w:rsid w:val="00AF6BFF"/>
    <w:rsid w:val="00AF6C08"/>
    <w:rsid w:val="00AF6FC1"/>
    <w:rsid w:val="00AF6FE6"/>
    <w:rsid w:val="00AF701C"/>
    <w:rsid w:val="00AF7084"/>
    <w:rsid w:val="00AF7127"/>
    <w:rsid w:val="00AF7189"/>
    <w:rsid w:val="00AF71C3"/>
    <w:rsid w:val="00AF722D"/>
    <w:rsid w:val="00AF7342"/>
    <w:rsid w:val="00AF7489"/>
    <w:rsid w:val="00AF75C1"/>
    <w:rsid w:val="00AF75D6"/>
    <w:rsid w:val="00AF76AE"/>
    <w:rsid w:val="00AF781A"/>
    <w:rsid w:val="00AF7929"/>
    <w:rsid w:val="00AF7A0C"/>
    <w:rsid w:val="00AF7AB2"/>
    <w:rsid w:val="00AF7B92"/>
    <w:rsid w:val="00AF7CA5"/>
    <w:rsid w:val="00AF7E21"/>
    <w:rsid w:val="00AF7E29"/>
    <w:rsid w:val="00AF7F65"/>
    <w:rsid w:val="00B0005F"/>
    <w:rsid w:val="00B0017F"/>
    <w:rsid w:val="00B002F1"/>
    <w:rsid w:val="00B00419"/>
    <w:rsid w:val="00B005A2"/>
    <w:rsid w:val="00B00631"/>
    <w:rsid w:val="00B00ACE"/>
    <w:rsid w:val="00B00B6E"/>
    <w:rsid w:val="00B00F97"/>
    <w:rsid w:val="00B01080"/>
    <w:rsid w:val="00B011EE"/>
    <w:rsid w:val="00B012E3"/>
    <w:rsid w:val="00B01636"/>
    <w:rsid w:val="00B0170B"/>
    <w:rsid w:val="00B01AF9"/>
    <w:rsid w:val="00B01B69"/>
    <w:rsid w:val="00B01C90"/>
    <w:rsid w:val="00B01CDE"/>
    <w:rsid w:val="00B01E31"/>
    <w:rsid w:val="00B01F51"/>
    <w:rsid w:val="00B01F63"/>
    <w:rsid w:val="00B01F7E"/>
    <w:rsid w:val="00B02020"/>
    <w:rsid w:val="00B0205F"/>
    <w:rsid w:val="00B02200"/>
    <w:rsid w:val="00B022E9"/>
    <w:rsid w:val="00B02353"/>
    <w:rsid w:val="00B023C6"/>
    <w:rsid w:val="00B0264A"/>
    <w:rsid w:val="00B02720"/>
    <w:rsid w:val="00B02736"/>
    <w:rsid w:val="00B028AC"/>
    <w:rsid w:val="00B02AF8"/>
    <w:rsid w:val="00B02E3B"/>
    <w:rsid w:val="00B02E7D"/>
    <w:rsid w:val="00B02EE2"/>
    <w:rsid w:val="00B02FD4"/>
    <w:rsid w:val="00B03067"/>
    <w:rsid w:val="00B0312B"/>
    <w:rsid w:val="00B03556"/>
    <w:rsid w:val="00B037AE"/>
    <w:rsid w:val="00B037C7"/>
    <w:rsid w:val="00B03C7E"/>
    <w:rsid w:val="00B03F19"/>
    <w:rsid w:val="00B0413C"/>
    <w:rsid w:val="00B042EA"/>
    <w:rsid w:val="00B0432D"/>
    <w:rsid w:val="00B044E3"/>
    <w:rsid w:val="00B0451C"/>
    <w:rsid w:val="00B045D1"/>
    <w:rsid w:val="00B045D9"/>
    <w:rsid w:val="00B0461C"/>
    <w:rsid w:val="00B04708"/>
    <w:rsid w:val="00B0482C"/>
    <w:rsid w:val="00B04914"/>
    <w:rsid w:val="00B04BA5"/>
    <w:rsid w:val="00B04C58"/>
    <w:rsid w:val="00B04E99"/>
    <w:rsid w:val="00B05026"/>
    <w:rsid w:val="00B05095"/>
    <w:rsid w:val="00B05115"/>
    <w:rsid w:val="00B05425"/>
    <w:rsid w:val="00B0546A"/>
    <w:rsid w:val="00B054BD"/>
    <w:rsid w:val="00B0558C"/>
    <w:rsid w:val="00B05646"/>
    <w:rsid w:val="00B056D4"/>
    <w:rsid w:val="00B057E5"/>
    <w:rsid w:val="00B05A38"/>
    <w:rsid w:val="00B05AD0"/>
    <w:rsid w:val="00B05C2E"/>
    <w:rsid w:val="00B05D97"/>
    <w:rsid w:val="00B0602A"/>
    <w:rsid w:val="00B0604B"/>
    <w:rsid w:val="00B06385"/>
    <w:rsid w:val="00B06427"/>
    <w:rsid w:val="00B064FD"/>
    <w:rsid w:val="00B067C5"/>
    <w:rsid w:val="00B067D5"/>
    <w:rsid w:val="00B067EF"/>
    <w:rsid w:val="00B068F4"/>
    <w:rsid w:val="00B06963"/>
    <w:rsid w:val="00B06ADB"/>
    <w:rsid w:val="00B06CC5"/>
    <w:rsid w:val="00B06EE7"/>
    <w:rsid w:val="00B06EFC"/>
    <w:rsid w:val="00B072A0"/>
    <w:rsid w:val="00B07396"/>
    <w:rsid w:val="00B07759"/>
    <w:rsid w:val="00B07816"/>
    <w:rsid w:val="00B07B62"/>
    <w:rsid w:val="00B07F9C"/>
    <w:rsid w:val="00B100AA"/>
    <w:rsid w:val="00B10138"/>
    <w:rsid w:val="00B10708"/>
    <w:rsid w:val="00B10947"/>
    <w:rsid w:val="00B10CC0"/>
    <w:rsid w:val="00B10CD3"/>
    <w:rsid w:val="00B10F95"/>
    <w:rsid w:val="00B11212"/>
    <w:rsid w:val="00B11341"/>
    <w:rsid w:val="00B1153C"/>
    <w:rsid w:val="00B11874"/>
    <w:rsid w:val="00B118E9"/>
    <w:rsid w:val="00B119A5"/>
    <w:rsid w:val="00B11AAF"/>
    <w:rsid w:val="00B11BB1"/>
    <w:rsid w:val="00B11DDB"/>
    <w:rsid w:val="00B11E8D"/>
    <w:rsid w:val="00B121B2"/>
    <w:rsid w:val="00B1232B"/>
    <w:rsid w:val="00B124CA"/>
    <w:rsid w:val="00B1260C"/>
    <w:rsid w:val="00B1299A"/>
    <w:rsid w:val="00B129F3"/>
    <w:rsid w:val="00B12A8F"/>
    <w:rsid w:val="00B12C14"/>
    <w:rsid w:val="00B12C97"/>
    <w:rsid w:val="00B12D90"/>
    <w:rsid w:val="00B12E4D"/>
    <w:rsid w:val="00B13178"/>
    <w:rsid w:val="00B13298"/>
    <w:rsid w:val="00B1360E"/>
    <w:rsid w:val="00B1366A"/>
    <w:rsid w:val="00B13682"/>
    <w:rsid w:val="00B1378F"/>
    <w:rsid w:val="00B1380A"/>
    <w:rsid w:val="00B13BB0"/>
    <w:rsid w:val="00B13D26"/>
    <w:rsid w:val="00B13D41"/>
    <w:rsid w:val="00B13E64"/>
    <w:rsid w:val="00B140D3"/>
    <w:rsid w:val="00B140F5"/>
    <w:rsid w:val="00B141AB"/>
    <w:rsid w:val="00B14426"/>
    <w:rsid w:val="00B14457"/>
    <w:rsid w:val="00B144D9"/>
    <w:rsid w:val="00B146F6"/>
    <w:rsid w:val="00B1495B"/>
    <w:rsid w:val="00B14AE6"/>
    <w:rsid w:val="00B14CE5"/>
    <w:rsid w:val="00B14D74"/>
    <w:rsid w:val="00B14F5E"/>
    <w:rsid w:val="00B1501C"/>
    <w:rsid w:val="00B15276"/>
    <w:rsid w:val="00B1548B"/>
    <w:rsid w:val="00B155B1"/>
    <w:rsid w:val="00B155F7"/>
    <w:rsid w:val="00B15B85"/>
    <w:rsid w:val="00B15E9F"/>
    <w:rsid w:val="00B160DC"/>
    <w:rsid w:val="00B1628B"/>
    <w:rsid w:val="00B162E1"/>
    <w:rsid w:val="00B163C4"/>
    <w:rsid w:val="00B16414"/>
    <w:rsid w:val="00B16814"/>
    <w:rsid w:val="00B16A91"/>
    <w:rsid w:val="00B16C3A"/>
    <w:rsid w:val="00B16C9D"/>
    <w:rsid w:val="00B16F7F"/>
    <w:rsid w:val="00B171D3"/>
    <w:rsid w:val="00B1720B"/>
    <w:rsid w:val="00B1723B"/>
    <w:rsid w:val="00B172B4"/>
    <w:rsid w:val="00B1765F"/>
    <w:rsid w:val="00B17684"/>
    <w:rsid w:val="00B17714"/>
    <w:rsid w:val="00B17927"/>
    <w:rsid w:val="00B17A3B"/>
    <w:rsid w:val="00B17BAF"/>
    <w:rsid w:val="00B17C6B"/>
    <w:rsid w:val="00B2001C"/>
    <w:rsid w:val="00B200C4"/>
    <w:rsid w:val="00B2010A"/>
    <w:rsid w:val="00B20263"/>
    <w:rsid w:val="00B202D6"/>
    <w:rsid w:val="00B20307"/>
    <w:rsid w:val="00B20312"/>
    <w:rsid w:val="00B206A0"/>
    <w:rsid w:val="00B2072B"/>
    <w:rsid w:val="00B208CC"/>
    <w:rsid w:val="00B20A10"/>
    <w:rsid w:val="00B20C79"/>
    <w:rsid w:val="00B20D0B"/>
    <w:rsid w:val="00B20FF4"/>
    <w:rsid w:val="00B210CB"/>
    <w:rsid w:val="00B2148A"/>
    <w:rsid w:val="00B215B1"/>
    <w:rsid w:val="00B216D5"/>
    <w:rsid w:val="00B21916"/>
    <w:rsid w:val="00B219B8"/>
    <w:rsid w:val="00B21AAE"/>
    <w:rsid w:val="00B21BFD"/>
    <w:rsid w:val="00B21C81"/>
    <w:rsid w:val="00B21E03"/>
    <w:rsid w:val="00B21ED5"/>
    <w:rsid w:val="00B21FA9"/>
    <w:rsid w:val="00B21FFE"/>
    <w:rsid w:val="00B225C5"/>
    <w:rsid w:val="00B225DC"/>
    <w:rsid w:val="00B2267D"/>
    <w:rsid w:val="00B226E3"/>
    <w:rsid w:val="00B2278D"/>
    <w:rsid w:val="00B22964"/>
    <w:rsid w:val="00B22B36"/>
    <w:rsid w:val="00B22E93"/>
    <w:rsid w:val="00B22EF9"/>
    <w:rsid w:val="00B22FF2"/>
    <w:rsid w:val="00B23048"/>
    <w:rsid w:val="00B233B2"/>
    <w:rsid w:val="00B235EE"/>
    <w:rsid w:val="00B237C1"/>
    <w:rsid w:val="00B237EC"/>
    <w:rsid w:val="00B238EC"/>
    <w:rsid w:val="00B23AAA"/>
    <w:rsid w:val="00B23F13"/>
    <w:rsid w:val="00B24123"/>
    <w:rsid w:val="00B24622"/>
    <w:rsid w:val="00B24711"/>
    <w:rsid w:val="00B24722"/>
    <w:rsid w:val="00B2474F"/>
    <w:rsid w:val="00B24753"/>
    <w:rsid w:val="00B24A0E"/>
    <w:rsid w:val="00B24A55"/>
    <w:rsid w:val="00B24BC5"/>
    <w:rsid w:val="00B24C99"/>
    <w:rsid w:val="00B24DF3"/>
    <w:rsid w:val="00B24E1E"/>
    <w:rsid w:val="00B24FCD"/>
    <w:rsid w:val="00B25410"/>
    <w:rsid w:val="00B25532"/>
    <w:rsid w:val="00B2569D"/>
    <w:rsid w:val="00B2584B"/>
    <w:rsid w:val="00B25A98"/>
    <w:rsid w:val="00B25AB7"/>
    <w:rsid w:val="00B25AF3"/>
    <w:rsid w:val="00B25F1D"/>
    <w:rsid w:val="00B25FBA"/>
    <w:rsid w:val="00B26128"/>
    <w:rsid w:val="00B261A8"/>
    <w:rsid w:val="00B262E0"/>
    <w:rsid w:val="00B26353"/>
    <w:rsid w:val="00B2639C"/>
    <w:rsid w:val="00B268C1"/>
    <w:rsid w:val="00B2691F"/>
    <w:rsid w:val="00B26C20"/>
    <w:rsid w:val="00B26E18"/>
    <w:rsid w:val="00B26E92"/>
    <w:rsid w:val="00B2709D"/>
    <w:rsid w:val="00B273CF"/>
    <w:rsid w:val="00B27518"/>
    <w:rsid w:val="00B2756E"/>
    <w:rsid w:val="00B275D5"/>
    <w:rsid w:val="00B276D9"/>
    <w:rsid w:val="00B2771C"/>
    <w:rsid w:val="00B27795"/>
    <w:rsid w:val="00B27C19"/>
    <w:rsid w:val="00B27C5C"/>
    <w:rsid w:val="00B27DF0"/>
    <w:rsid w:val="00B27F2C"/>
    <w:rsid w:val="00B300BE"/>
    <w:rsid w:val="00B30121"/>
    <w:rsid w:val="00B304D0"/>
    <w:rsid w:val="00B30544"/>
    <w:rsid w:val="00B30666"/>
    <w:rsid w:val="00B3068C"/>
    <w:rsid w:val="00B3087D"/>
    <w:rsid w:val="00B30985"/>
    <w:rsid w:val="00B30AE0"/>
    <w:rsid w:val="00B30E42"/>
    <w:rsid w:val="00B30EDA"/>
    <w:rsid w:val="00B31033"/>
    <w:rsid w:val="00B310B5"/>
    <w:rsid w:val="00B31258"/>
    <w:rsid w:val="00B31288"/>
    <w:rsid w:val="00B31404"/>
    <w:rsid w:val="00B3149D"/>
    <w:rsid w:val="00B314E3"/>
    <w:rsid w:val="00B31645"/>
    <w:rsid w:val="00B3173F"/>
    <w:rsid w:val="00B319E2"/>
    <w:rsid w:val="00B31A4A"/>
    <w:rsid w:val="00B31B3D"/>
    <w:rsid w:val="00B31BB3"/>
    <w:rsid w:val="00B31BD4"/>
    <w:rsid w:val="00B31E62"/>
    <w:rsid w:val="00B3245B"/>
    <w:rsid w:val="00B32488"/>
    <w:rsid w:val="00B327BB"/>
    <w:rsid w:val="00B327FF"/>
    <w:rsid w:val="00B32AD9"/>
    <w:rsid w:val="00B32B0F"/>
    <w:rsid w:val="00B32D72"/>
    <w:rsid w:val="00B32F60"/>
    <w:rsid w:val="00B33218"/>
    <w:rsid w:val="00B33662"/>
    <w:rsid w:val="00B336A2"/>
    <w:rsid w:val="00B336C2"/>
    <w:rsid w:val="00B33AF3"/>
    <w:rsid w:val="00B33B57"/>
    <w:rsid w:val="00B33F88"/>
    <w:rsid w:val="00B33FA0"/>
    <w:rsid w:val="00B34070"/>
    <w:rsid w:val="00B340B8"/>
    <w:rsid w:val="00B340FD"/>
    <w:rsid w:val="00B3429C"/>
    <w:rsid w:val="00B34356"/>
    <w:rsid w:val="00B345E2"/>
    <w:rsid w:val="00B34641"/>
    <w:rsid w:val="00B34644"/>
    <w:rsid w:val="00B34794"/>
    <w:rsid w:val="00B347DF"/>
    <w:rsid w:val="00B34868"/>
    <w:rsid w:val="00B34AE1"/>
    <w:rsid w:val="00B34BDA"/>
    <w:rsid w:val="00B34FF6"/>
    <w:rsid w:val="00B351C0"/>
    <w:rsid w:val="00B3521C"/>
    <w:rsid w:val="00B3543A"/>
    <w:rsid w:val="00B354A8"/>
    <w:rsid w:val="00B354FD"/>
    <w:rsid w:val="00B35860"/>
    <w:rsid w:val="00B35ACE"/>
    <w:rsid w:val="00B35DCE"/>
    <w:rsid w:val="00B35E19"/>
    <w:rsid w:val="00B35E66"/>
    <w:rsid w:val="00B35EAD"/>
    <w:rsid w:val="00B35EFD"/>
    <w:rsid w:val="00B35FA6"/>
    <w:rsid w:val="00B3603E"/>
    <w:rsid w:val="00B361BB"/>
    <w:rsid w:val="00B36249"/>
    <w:rsid w:val="00B36269"/>
    <w:rsid w:val="00B36513"/>
    <w:rsid w:val="00B3668D"/>
    <w:rsid w:val="00B367DF"/>
    <w:rsid w:val="00B36A53"/>
    <w:rsid w:val="00B37135"/>
    <w:rsid w:val="00B37ADB"/>
    <w:rsid w:val="00B37B5D"/>
    <w:rsid w:val="00B37B78"/>
    <w:rsid w:val="00B37C29"/>
    <w:rsid w:val="00B37C81"/>
    <w:rsid w:val="00B37E0E"/>
    <w:rsid w:val="00B40250"/>
    <w:rsid w:val="00B4030E"/>
    <w:rsid w:val="00B404BE"/>
    <w:rsid w:val="00B405B8"/>
    <w:rsid w:val="00B405E5"/>
    <w:rsid w:val="00B4065E"/>
    <w:rsid w:val="00B40B27"/>
    <w:rsid w:val="00B40C99"/>
    <w:rsid w:val="00B40D39"/>
    <w:rsid w:val="00B40EEA"/>
    <w:rsid w:val="00B40F72"/>
    <w:rsid w:val="00B414A9"/>
    <w:rsid w:val="00B414BB"/>
    <w:rsid w:val="00B417A7"/>
    <w:rsid w:val="00B41828"/>
    <w:rsid w:val="00B41B16"/>
    <w:rsid w:val="00B41D23"/>
    <w:rsid w:val="00B41EA1"/>
    <w:rsid w:val="00B41EC4"/>
    <w:rsid w:val="00B41ECC"/>
    <w:rsid w:val="00B420AA"/>
    <w:rsid w:val="00B42174"/>
    <w:rsid w:val="00B42244"/>
    <w:rsid w:val="00B4246C"/>
    <w:rsid w:val="00B424C4"/>
    <w:rsid w:val="00B425B3"/>
    <w:rsid w:val="00B42929"/>
    <w:rsid w:val="00B42946"/>
    <w:rsid w:val="00B42AEA"/>
    <w:rsid w:val="00B42D2D"/>
    <w:rsid w:val="00B42E0F"/>
    <w:rsid w:val="00B42F62"/>
    <w:rsid w:val="00B43244"/>
    <w:rsid w:val="00B43262"/>
    <w:rsid w:val="00B43296"/>
    <w:rsid w:val="00B4363D"/>
    <w:rsid w:val="00B436A0"/>
    <w:rsid w:val="00B43702"/>
    <w:rsid w:val="00B4370D"/>
    <w:rsid w:val="00B43718"/>
    <w:rsid w:val="00B43745"/>
    <w:rsid w:val="00B438CB"/>
    <w:rsid w:val="00B439BA"/>
    <w:rsid w:val="00B43B83"/>
    <w:rsid w:val="00B43BF2"/>
    <w:rsid w:val="00B43CE6"/>
    <w:rsid w:val="00B43D8B"/>
    <w:rsid w:val="00B43F42"/>
    <w:rsid w:val="00B440A6"/>
    <w:rsid w:val="00B44132"/>
    <w:rsid w:val="00B4452E"/>
    <w:rsid w:val="00B445AD"/>
    <w:rsid w:val="00B445DA"/>
    <w:rsid w:val="00B448D6"/>
    <w:rsid w:val="00B4493E"/>
    <w:rsid w:val="00B45005"/>
    <w:rsid w:val="00B45041"/>
    <w:rsid w:val="00B45052"/>
    <w:rsid w:val="00B450D2"/>
    <w:rsid w:val="00B451AE"/>
    <w:rsid w:val="00B454CD"/>
    <w:rsid w:val="00B4561D"/>
    <w:rsid w:val="00B456F1"/>
    <w:rsid w:val="00B45787"/>
    <w:rsid w:val="00B457BD"/>
    <w:rsid w:val="00B45878"/>
    <w:rsid w:val="00B459F6"/>
    <w:rsid w:val="00B45B9E"/>
    <w:rsid w:val="00B45E8A"/>
    <w:rsid w:val="00B45F5C"/>
    <w:rsid w:val="00B45F83"/>
    <w:rsid w:val="00B46019"/>
    <w:rsid w:val="00B4620F"/>
    <w:rsid w:val="00B46699"/>
    <w:rsid w:val="00B469EF"/>
    <w:rsid w:val="00B46B3B"/>
    <w:rsid w:val="00B46F80"/>
    <w:rsid w:val="00B47253"/>
    <w:rsid w:val="00B474DB"/>
    <w:rsid w:val="00B47532"/>
    <w:rsid w:val="00B47560"/>
    <w:rsid w:val="00B47570"/>
    <w:rsid w:val="00B47A06"/>
    <w:rsid w:val="00B47BF3"/>
    <w:rsid w:val="00B47CD1"/>
    <w:rsid w:val="00B47E85"/>
    <w:rsid w:val="00B5077A"/>
    <w:rsid w:val="00B507AC"/>
    <w:rsid w:val="00B507EF"/>
    <w:rsid w:val="00B50AA2"/>
    <w:rsid w:val="00B50AD9"/>
    <w:rsid w:val="00B5107A"/>
    <w:rsid w:val="00B510BD"/>
    <w:rsid w:val="00B5112A"/>
    <w:rsid w:val="00B51326"/>
    <w:rsid w:val="00B5160C"/>
    <w:rsid w:val="00B51832"/>
    <w:rsid w:val="00B51877"/>
    <w:rsid w:val="00B51912"/>
    <w:rsid w:val="00B51A9C"/>
    <w:rsid w:val="00B51AD5"/>
    <w:rsid w:val="00B51B55"/>
    <w:rsid w:val="00B51C11"/>
    <w:rsid w:val="00B51D74"/>
    <w:rsid w:val="00B51D86"/>
    <w:rsid w:val="00B51DC0"/>
    <w:rsid w:val="00B51F0A"/>
    <w:rsid w:val="00B520D2"/>
    <w:rsid w:val="00B5251E"/>
    <w:rsid w:val="00B52662"/>
    <w:rsid w:val="00B5279E"/>
    <w:rsid w:val="00B527C3"/>
    <w:rsid w:val="00B527E0"/>
    <w:rsid w:val="00B52A0F"/>
    <w:rsid w:val="00B52A83"/>
    <w:rsid w:val="00B52C0B"/>
    <w:rsid w:val="00B52C0C"/>
    <w:rsid w:val="00B52E65"/>
    <w:rsid w:val="00B53046"/>
    <w:rsid w:val="00B53108"/>
    <w:rsid w:val="00B53259"/>
    <w:rsid w:val="00B53380"/>
    <w:rsid w:val="00B5340E"/>
    <w:rsid w:val="00B53457"/>
    <w:rsid w:val="00B5346F"/>
    <w:rsid w:val="00B53617"/>
    <w:rsid w:val="00B538A5"/>
    <w:rsid w:val="00B538EC"/>
    <w:rsid w:val="00B53C56"/>
    <w:rsid w:val="00B53F0A"/>
    <w:rsid w:val="00B541B5"/>
    <w:rsid w:val="00B5431D"/>
    <w:rsid w:val="00B54615"/>
    <w:rsid w:val="00B548C1"/>
    <w:rsid w:val="00B54CBD"/>
    <w:rsid w:val="00B54D0C"/>
    <w:rsid w:val="00B54DD3"/>
    <w:rsid w:val="00B54E27"/>
    <w:rsid w:val="00B54FAE"/>
    <w:rsid w:val="00B54FEA"/>
    <w:rsid w:val="00B552C5"/>
    <w:rsid w:val="00B55338"/>
    <w:rsid w:val="00B554A1"/>
    <w:rsid w:val="00B55622"/>
    <w:rsid w:val="00B55683"/>
    <w:rsid w:val="00B5577E"/>
    <w:rsid w:val="00B557D7"/>
    <w:rsid w:val="00B55985"/>
    <w:rsid w:val="00B55B17"/>
    <w:rsid w:val="00B55BF4"/>
    <w:rsid w:val="00B55C8A"/>
    <w:rsid w:val="00B55E6D"/>
    <w:rsid w:val="00B55E98"/>
    <w:rsid w:val="00B55EA4"/>
    <w:rsid w:val="00B564E3"/>
    <w:rsid w:val="00B56A22"/>
    <w:rsid w:val="00B56AB2"/>
    <w:rsid w:val="00B56B93"/>
    <w:rsid w:val="00B56C27"/>
    <w:rsid w:val="00B57016"/>
    <w:rsid w:val="00B572BA"/>
    <w:rsid w:val="00B577CC"/>
    <w:rsid w:val="00B57832"/>
    <w:rsid w:val="00B57878"/>
    <w:rsid w:val="00B579C5"/>
    <w:rsid w:val="00B57D96"/>
    <w:rsid w:val="00B57DC6"/>
    <w:rsid w:val="00B6037D"/>
    <w:rsid w:val="00B603B7"/>
    <w:rsid w:val="00B60421"/>
    <w:rsid w:val="00B604B3"/>
    <w:rsid w:val="00B604C4"/>
    <w:rsid w:val="00B6056C"/>
    <w:rsid w:val="00B606D7"/>
    <w:rsid w:val="00B60701"/>
    <w:rsid w:val="00B608EB"/>
    <w:rsid w:val="00B60950"/>
    <w:rsid w:val="00B60D5A"/>
    <w:rsid w:val="00B60FC8"/>
    <w:rsid w:val="00B61098"/>
    <w:rsid w:val="00B612B4"/>
    <w:rsid w:val="00B61300"/>
    <w:rsid w:val="00B614C0"/>
    <w:rsid w:val="00B61AB3"/>
    <w:rsid w:val="00B61B42"/>
    <w:rsid w:val="00B61B6A"/>
    <w:rsid w:val="00B61C5B"/>
    <w:rsid w:val="00B620E1"/>
    <w:rsid w:val="00B6234A"/>
    <w:rsid w:val="00B62499"/>
    <w:rsid w:val="00B624A7"/>
    <w:rsid w:val="00B624FF"/>
    <w:rsid w:val="00B629A5"/>
    <w:rsid w:val="00B62AA5"/>
    <w:rsid w:val="00B62D34"/>
    <w:rsid w:val="00B62EEE"/>
    <w:rsid w:val="00B62FE2"/>
    <w:rsid w:val="00B6310E"/>
    <w:rsid w:val="00B63907"/>
    <w:rsid w:val="00B63948"/>
    <w:rsid w:val="00B639CE"/>
    <w:rsid w:val="00B63E02"/>
    <w:rsid w:val="00B63E6F"/>
    <w:rsid w:val="00B64029"/>
    <w:rsid w:val="00B641E6"/>
    <w:rsid w:val="00B6421C"/>
    <w:rsid w:val="00B64478"/>
    <w:rsid w:val="00B6484E"/>
    <w:rsid w:val="00B64960"/>
    <w:rsid w:val="00B64B94"/>
    <w:rsid w:val="00B64BC9"/>
    <w:rsid w:val="00B64CBF"/>
    <w:rsid w:val="00B64D31"/>
    <w:rsid w:val="00B64E71"/>
    <w:rsid w:val="00B64F5A"/>
    <w:rsid w:val="00B64FC2"/>
    <w:rsid w:val="00B654F5"/>
    <w:rsid w:val="00B6550D"/>
    <w:rsid w:val="00B65599"/>
    <w:rsid w:val="00B65609"/>
    <w:rsid w:val="00B656FE"/>
    <w:rsid w:val="00B65715"/>
    <w:rsid w:val="00B65747"/>
    <w:rsid w:val="00B6579B"/>
    <w:rsid w:val="00B65879"/>
    <w:rsid w:val="00B658EC"/>
    <w:rsid w:val="00B658F8"/>
    <w:rsid w:val="00B65A39"/>
    <w:rsid w:val="00B65AD3"/>
    <w:rsid w:val="00B65C6C"/>
    <w:rsid w:val="00B65D32"/>
    <w:rsid w:val="00B65E0C"/>
    <w:rsid w:val="00B65EA9"/>
    <w:rsid w:val="00B65EB1"/>
    <w:rsid w:val="00B65EF7"/>
    <w:rsid w:val="00B66096"/>
    <w:rsid w:val="00B660D7"/>
    <w:rsid w:val="00B66122"/>
    <w:rsid w:val="00B6613A"/>
    <w:rsid w:val="00B665C4"/>
    <w:rsid w:val="00B66761"/>
    <w:rsid w:val="00B6694E"/>
    <w:rsid w:val="00B66E0B"/>
    <w:rsid w:val="00B66E9B"/>
    <w:rsid w:val="00B66F78"/>
    <w:rsid w:val="00B66FA1"/>
    <w:rsid w:val="00B6707C"/>
    <w:rsid w:val="00B677C4"/>
    <w:rsid w:val="00B677D9"/>
    <w:rsid w:val="00B67A13"/>
    <w:rsid w:val="00B67A18"/>
    <w:rsid w:val="00B67A77"/>
    <w:rsid w:val="00B67B09"/>
    <w:rsid w:val="00B67ECD"/>
    <w:rsid w:val="00B67F0B"/>
    <w:rsid w:val="00B67FA5"/>
    <w:rsid w:val="00B7017F"/>
    <w:rsid w:val="00B7020A"/>
    <w:rsid w:val="00B7020F"/>
    <w:rsid w:val="00B70227"/>
    <w:rsid w:val="00B704F3"/>
    <w:rsid w:val="00B707B1"/>
    <w:rsid w:val="00B70982"/>
    <w:rsid w:val="00B70A4C"/>
    <w:rsid w:val="00B70ADB"/>
    <w:rsid w:val="00B70DAB"/>
    <w:rsid w:val="00B70DE7"/>
    <w:rsid w:val="00B70FA5"/>
    <w:rsid w:val="00B71001"/>
    <w:rsid w:val="00B7101E"/>
    <w:rsid w:val="00B7103B"/>
    <w:rsid w:val="00B710EA"/>
    <w:rsid w:val="00B7127C"/>
    <w:rsid w:val="00B7148F"/>
    <w:rsid w:val="00B71531"/>
    <w:rsid w:val="00B7162F"/>
    <w:rsid w:val="00B7164B"/>
    <w:rsid w:val="00B719B8"/>
    <w:rsid w:val="00B72542"/>
    <w:rsid w:val="00B72715"/>
    <w:rsid w:val="00B72827"/>
    <w:rsid w:val="00B72BA6"/>
    <w:rsid w:val="00B72C5D"/>
    <w:rsid w:val="00B72EEB"/>
    <w:rsid w:val="00B72F11"/>
    <w:rsid w:val="00B72F74"/>
    <w:rsid w:val="00B731A2"/>
    <w:rsid w:val="00B73248"/>
    <w:rsid w:val="00B73266"/>
    <w:rsid w:val="00B732EE"/>
    <w:rsid w:val="00B73383"/>
    <w:rsid w:val="00B7347F"/>
    <w:rsid w:val="00B734DB"/>
    <w:rsid w:val="00B7357A"/>
    <w:rsid w:val="00B735C9"/>
    <w:rsid w:val="00B737BB"/>
    <w:rsid w:val="00B737F4"/>
    <w:rsid w:val="00B7384B"/>
    <w:rsid w:val="00B7398B"/>
    <w:rsid w:val="00B73EC2"/>
    <w:rsid w:val="00B73ED8"/>
    <w:rsid w:val="00B74132"/>
    <w:rsid w:val="00B744E6"/>
    <w:rsid w:val="00B7452E"/>
    <w:rsid w:val="00B74534"/>
    <w:rsid w:val="00B74558"/>
    <w:rsid w:val="00B745C0"/>
    <w:rsid w:val="00B745EC"/>
    <w:rsid w:val="00B74720"/>
    <w:rsid w:val="00B74753"/>
    <w:rsid w:val="00B74D29"/>
    <w:rsid w:val="00B74FA3"/>
    <w:rsid w:val="00B75091"/>
    <w:rsid w:val="00B75110"/>
    <w:rsid w:val="00B752ED"/>
    <w:rsid w:val="00B75407"/>
    <w:rsid w:val="00B756E4"/>
    <w:rsid w:val="00B75847"/>
    <w:rsid w:val="00B75961"/>
    <w:rsid w:val="00B75A49"/>
    <w:rsid w:val="00B75AC1"/>
    <w:rsid w:val="00B75C96"/>
    <w:rsid w:val="00B75F0D"/>
    <w:rsid w:val="00B75FF7"/>
    <w:rsid w:val="00B76259"/>
    <w:rsid w:val="00B76271"/>
    <w:rsid w:val="00B764D4"/>
    <w:rsid w:val="00B76A66"/>
    <w:rsid w:val="00B76CD9"/>
    <w:rsid w:val="00B76D31"/>
    <w:rsid w:val="00B76FFD"/>
    <w:rsid w:val="00B77213"/>
    <w:rsid w:val="00B77258"/>
    <w:rsid w:val="00B77446"/>
    <w:rsid w:val="00B77496"/>
    <w:rsid w:val="00B77670"/>
    <w:rsid w:val="00B776DB"/>
    <w:rsid w:val="00B77904"/>
    <w:rsid w:val="00B77965"/>
    <w:rsid w:val="00B77D94"/>
    <w:rsid w:val="00B77DC0"/>
    <w:rsid w:val="00B80085"/>
    <w:rsid w:val="00B80113"/>
    <w:rsid w:val="00B8074E"/>
    <w:rsid w:val="00B808B9"/>
    <w:rsid w:val="00B808D0"/>
    <w:rsid w:val="00B80A88"/>
    <w:rsid w:val="00B80B54"/>
    <w:rsid w:val="00B81543"/>
    <w:rsid w:val="00B8168A"/>
    <w:rsid w:val="00B81885"/>
    <w:rsid w:val="00B8194F"/>
    <w:rsid w:val="00B81A0F"/>
    <w:rsid w:val="00B81A40"/>
    <w:rsid w:val="00B81EA5"/>
    <w:rsid w:val="00B82118"/>
    <w:rsid w:val="00B821BC"/>
    <w:rsid w:val="00B82201"/>
    <w:rsid w:val="00B824D6"/>
    <w:rsid w:val="00B82578"/>
    <w:rsid w:val="00B827DE"/>
    <w:rsid w:val="00B82877"/>
    <w:rsid w:val="00B82962"/>
    <w:rsid w:val="00B82D77"/>
    <w:rsid w:val="00B82E6F"/>
    <w:rsid w:val="00B82F0B"/>
    <w:rsid w:val="00B82FE9"/>
    <w:rsid w:val="00B83264"/>
    <w:rsid w:val="00B83288"/>
    <w:rsid w:val="00B8332F"/>
    <w:rsid w:val="00B833A3"/>
    <w:rsid w:val="00B835B4"/>
    <w:rsid w:val="00B836BF"/>
    <w:rsid w:val="00B83787"/>
    <w:rsid w:val="00B83A13"/>
    <w:rsid w:val="00B83AB4"/>
    <w:rsid w:val="00B83DEE"/>
    <w:rsid w:val="00B83E95"/>
    <w:rsid w:val="00B83F82"/>
    <w:rsid w:val="00B842AA"/>
    <w:rsid w:val="00B845B0"/>
    <w:rsid w:val="00B845BA"/>
    <w:rsid w:val="00B8470A"/>
    <w:rsid w:val="00B84731"/>
    <w:rsid w:val="00B84761"/>
    <w:rsid w:val="00B8481C"/>
    <w:rsid w:val="00B84822"/>
    <w:rsid w:val="00B84840"/>
    <w:rsid w:val="00B84CE5"/>
    <w:rsid w:val="00B84CEC"/>
    <w:rsid w:val="00B84D88"/>
    <w:rsid w:val="00B85090"/>
    <w:rsid w:val="00B85823"/>
    <w:rsid w:val="00B859DA"/>
    <w:rsid w:val="00B85F2F"/>
    <w:rsid w:val="00B85F62"/>
    <w:rsid w:val="00B86249"/>
    <w:rsid w:val="00B865D0"/>
    <w:rsid w:val="00B86825"/>
    <w:rsid w:val="00B8684B"/>
    <w:rsid w:val="00B86A21"/>
    <w:rsid w:val="00B86A83"/>
    <w:rsid w:val="00B86ABE"/>
    <w:rsid w:val="00B86AE4"/>
    <w:rsid w:val="00B86C07"/>
    <w:rsid w:val="00B86C20"/>
    <w:rsid w:val="00B86DA0"/>
    <w:rsid w:val="00B86DBB"/>
    <w:rsid w:val="00B86E63"/>
    <w:rsid w:val="00B86E97"/>
    <w:rsid w:val="00B86F35"/>
    <w:rsid w:val="00B871BD"/>
    <w:rsid w:val="00B871D7"/>
    <w:rsid w:val="00B873AF"/>
    <w:rsid w:val="00B87648"/>
    <w:rsid w:val="00B87721"/>
    <w:rsid w:val="00B87A61"/>
    <w:rsid w:val="00B87ABA"/>
    <w:rsid w:val="00B87AD4"/>
    <w:rsid w:val="00B87B27"/>
    <w:rsid w:val="00B87B42"/>
    <w:rsid w:val="00B87C0B"/>
    <w:rsid w:val="00B87C18"/>
    <w:rsid w:val="00B87D94"/>
    <w:rsid w:val="00B87DE9"/>
    <w:rsid w:val="00B90181"/>
    <w:rsid w:val="00B904F6"/>
    <w:rsid w:val="00B90571"/>
    <w:rsid w:val="00B905C3"/>
    <w:rsid w:val="00B9063C"/>
    <w:rsid w:val="00B9072B"/>
    <w:rsid w:val="00B90847"/>
    <w:rsid w:val="00B908BA"/>
    <w:rsid w:val="00B90AAE"/>
    <w:rsid w:val="00B90B08"/>
    <w:rsid w:val="00B90C5E"/>
    <w:rsid w:val="00B90C6D"/>
    <w:rsid w:val="00B90ECE"/>
    <w:rsid w:val="00B90F4D"/>
    <w:rsid w:val="00B90F94"/>
    <w:rsid w:val="00B91074"/>
    <w:rsid w:val="00B91081"/>
    <w:rsid w:val="00B91135"/>
    <w:rsid w:val="00B9142D"/>
    <w:rsid w:val="00B9144F"/>
    <w:rsid w:val="00B9164B"/>
    <w:rsid w:val="00B9166B"/>
    <w:rsid w:val="00B916E0"/>
    <w:rsid w:val="00B918AA"/>
    <w:rsid w:val="00B91958"/>
    <w:rsid w:val="00B91B46"/>
    <w:rsid w:val="00B91B69"/>
    <w:rsid w:val="00B91CF5"/>
    <w:rsid w:val="00B91EE7"/>
    <w:rsid w:val="00B92192"/>
    <w:rsid w:val="00B921C8"/>
    <w:rsid w:val="00B92260"/>
    <w:rsid w:val="00B92697"/>
    <w:rsid w:val="00B928F3"/>
    <w:rsid w:val="00B92A3C"/>
    <w:rsid w:val="00B92AA6"/>
    <w:rsid w:val="00B92CC6"/>
    <w:rsid w:val="00B92D78"/>
    <w:rsid w:val="00B92E50"/>
    <w:rsid w:val="00B9303D"/>
    <w:rsid w:val="00B931DF"/>
    <w:rsid w:val="00B9334E"/>
    <w:rsid w:val="00B93663"/>
    <w:rsid w:val="00B93691"/>
    <w:rsid w:val="00B93B71"/>
    <w:rsid w:val="00B93F14"/>
    <w:rsid w:val="00B93F4E"/>
    <w:rsid w:val="00B93FF4"/>
    <w:rsid w:val="00B94150"/>
    <w:rsid w:val="00B94393"/>
    <w:rsid w:val="00B94486"/>
    <w:rsid w:val="00B94561"/>
    <w:rsid w:val="00B94686"/>
    <w:rsid w:val="00B94999"/>
    <w:rsid w:val="00B94B51"/>
    <w:rsid w:val="00B9512A"/>
    <w:rsid w:val="00B952CB"/>
    <w:rsid w:val="00B95488"/>
    <w:rsid w:val="00B954A8"/>
    <w:rsid w:val="00B954BD"/>
    <w:rsid w:val="00B955A6"/>
    <w:rsid w:val="00B95603"/>
    <w:rsid w:val="00B956EE"/>
    <w:rsid w:val="00B958F8"/>
    <w:rsid w:val="00B95939"/>
    <w:rsid w:val="00B95AC5"/>
    <w:rsid w:val="00B95B18"/>
    <w:rsid w:val="00B95D77"/>
    <w:rsid w:val="00B95E31"/>
    <w:rsid w:val="00B9613C"/>
    <w:rsid w:val="00B96384"/>
    <w:rsid w:val="00B964D0"/>
    <w:rsid w:val="00B9654B"/>
    <w:rsid w:val="00B965A5"/>
    <w:rsid w:val="00B96619"/>
    <w:rsid w:val="00B96802"/>
    <w:rsid w:val="00B968D9"/>
    <w:rsid w:val="00B96B2F"/>
    <w:rsid w:val="00B96D1A"/>
    <w:rsid w:val="00B96FE9"/>
    <w:rsid w:val="00B97041"/>
    <w:rsid w:val="00B97047"/>
    <w:rsid w:val="00B97190"/>
    <w:rsid w:val="00B97623"/>
    <w:rsid w:val="00B97669"/>
    <w:rsid w:val="00B9779B"/>
    <w:rsid w:val="00B977F0"/>
    <w:rsid w:val="00B978FB"/>
    <w:rsid w:val="00B979A8"/>
    <w:rsid w:val="00B97A9E"/>
    <w:rsid w:val="00B97AAC"/>
    <w:rsid w:val="00B97AD3"/>
    <w:rsid w:val="00B97C62"/>
    <w:rsid w:val="00B97D9D"/>
    <w:rsid w:val="00B97F15"/>
    <w:rsid w:val="00BA01F7"/>
    <w:rsid w:val="00BA04BB"/>
    <w:rsid w:val="00BA07CC"/>
    <w:rsid w:val="00BA0AB0"/>
    <w:rsid w:val="00BA0AFC"/>
    <w:rsid w:val="00BA0CA8"/>
    <w:rsid w:val="00BA0D96"/>
    <w:rsid w:val="00BA0DD4"/>
    <w:rsid w:val="00BA0E11"/>
    <w:rsid w:val="00BA0ECE"/>
    <w:rsid w:val="00BA0F69"/>
    <w:rsid w:val="00BA1026"/>
    <w:rsid w:val="00BA137C"/>
    <w:rsid w:val="00BA17D9"/>
    <w:rsid w:val="00BA17F6"/>
    <w:rsid w:val="00BA19E2"/>
    <w:rsid w:val="00BA1BA7"/>
    <w:rsid w:val="00BA1C56"/>
    <w:rsid w:val="00BA2241"/>
    <w:rsid w:val="00BA257F"/>
    <w:rsid w:val="00BA2669"/>
    <w:rsid w:val="00BA2A4D"/>
    <w:rsid w:val="00BA2CC9"/>
    <w:rsid w:val="00BA2EE5"/>
    <w:rsid w:val="00BA3273"/>
    <w:rsid w:val="00BA32C0"/>
    <w:rsid w:val="00BA340D"/>
    <w:rsid w:val="00BA34CD"/>
    <w:rsid w:val="00BA3589"/>
    <w:rsid w:val="00BA38D7"/>
    <w:rsid w:val="00BA3A1A"/>
    <w:rsid w:val="00BA3CA4"/>
    <w:rsid w:val="00BA3D4F"/>
    <w:rsid w:val="00BA3D86"/>
    <w:rsid w:val="00BA3E6E"/>
    <w:rsid w:val="00BA4299"/>
    <w:rsid w:val="00BA44EA"/>
    <w:rsid w:val="00BA4598"/>
    <w:rsid w:val="00BA45E8"/>
    <w:rsid w:val="00BA470A"/>
    <w:rsid w:val="00BA4B7D"/>
    <w:rsid w:val="00BA4D1B"/>
    <w:rsid w:val="00BA4D31"/>
    <w:rsid w:val="00BA4E16"/>
    <w:rsid w:val="00BA4E23"/>
    <w:rsid w:val="00BA4EFB"/>
    <w:rsid w:val="00BA5343"/>
    <w:rsid w:val="00BA55BB"/>
    <w:rsid w:val="00BA5664"/>
    <w:rsid w:val="00BA56B9"/>
    <w:rsid w:val="00BA5887"/>
    <w:rsid w:val="00BA5B10"/>
    <w:rsid w:val="00BA5BB3"/>
    <w:rsid w:val="00BA5C1E"/>
    <w:rsid w:val="00BA5CA0"/>
    <w:rsid w:val="00BA5DD1"/>
    <w:rsid w:val="00BA5DD8"/>
    <w:rsid w:val="00BA5F91"/>
    <w:rsid w:val="00BA60BE"/>
    <w:rsid w:val="00BA6284"/>
    <w:rsid w:val="00BA64E6"/>
    <w:rsid w:val="00BA65C1"/>
    <w:rsid w:val="00BA6711"/>
    <w:rsid w:val="00BA6780"/>
    <w:rsid w:val="00BA6A8B"/>
    <w:rsid w:val="00BA6E0E"/>
    <w:rsid w:val="00BA6E11"/>
    <w:rsid w:val="00BA6F73"/>
    <w:rsid w:val="00BA6FA2"/>
    <w:rsid w:val="00BA707B"/>
    <w:rsid w:val="00BA708D"/>
    <w:rsid w:val="00BA7370"/>
    <w:rsid w:val="00BA7530"/>
    <w:rsid w:val="00BA75C7"/>
    <w:rsid w:val="00BA78A2"/>
    <w:rsid w:val="00BA7932"/>
    <w:rsid w:val="00BA7BA0"/>
    <w:rsid w:val="00BA7BFC"/>
    <w:rsid w:val="00BA7CC0"/>
    <w:rsid w:val="00BA7D5A"/>
    <w:rsid w:val="00BA7E9E"/>
    <w:rsid w:val="00BA7F36"/>
    <w:rsid w:val="00BB0113"/>
    <w:rsid w:val="00BB0199"/>
    <w:rsid w:val="00BB01DE"/>
    <w:rsid w:val="00BB0243"/>
    <w:rsid w:val="00BB055A"/>
    <w:rsid w:val="00BB05B8"/>
    <w:rsid w:val="00BB0634"/>
    <w:rsid w:val="00BB06B8"/>
    <w:rsid w:val="00BB070F"/>
    <w:rsid w:val="00BB07BD"/>
    <w:rsid w:val="00BB0895"/>
    <w:rsid w:val="00BB08FA"/>
    <w:rsid w:val="00BB0C38"/>
    <w:rsid w:val="00BB0F51"/>
    <w:rsid w:val="00BB0FEE"/>
    <w:rsid w:val="00BB1015"/>
    <w:rsid w:val="00BB119E"/>
    <w:rsid w:val="00BB11F9"/>
    <w:rsid w:val="00BB1274"/>
    <w:rsid w:val="00BB1894"/>
    <w:rsid w:val="00BB19FB"/>
    <w:rsid w:val="00BB1D82"/>
    <w:rsid w:val="00BB1E07"/>
    <w:rsid w:val="00BB1F59"/>
    <w:rsid w:val="00BB24D8"/>
    <w:rsid w:val="00BB25CE"/>
    <w:rsid w:val="00BB2840"/>
    <w:rsid w:val="00BB2BB4"/>
    <w:rsid w:val="00BB3031"/>
    <w:rsid w:val="00BB33DC"/>
    <w:rsid w:val="00BB343E"/>
    <w:rsid w:val="00BB3476"/>
    <w:rsid w:val="00BB382A"/>
    <w:rsid w:val="00BB3A1E"/>
    <w:rsid w:val="00BB3B4A"/>
    <w:rsid w:val="00BB3CC0"/>
    <w:rsid w:val="00BB4106"/>
    <w:rsid w:val="00BB432D"/>
    <w:rsid w:val="00BB43D8"/>
    <w:rsid w:val="00BB44EA"/>
    <w:rsid w:val="00BB4837"/>
    <w:rsid w:val="00BB4BBF"/>
    <w:rsid w:val="00BB4D88"/>
    <w:rsid w:val="00BB4DC8"/>
    <w:rsid w:val="00BB4EC0"/>
    <w:rsid w:val="00BB4F61"/>
    <w:rsid w:val="00BB5163"/>
    <w:rsid w:val="00BB548D"/>
    <w:rsid w:val="00BB5540"/>
    <w:rsid w:val="00BB57A6"/>
    <w:rsid w:val="00BB5807"/>
    <w:rsid w:val="00BB5A02"/>
    <w:rsid w:val="00BB6289"/>
    <w:rsid w:val="00BB6325"/>
    <w:rsid w:val="00BB6436"/>
    <w:rsid w:val="00BB6552"/>
    <w:rsid w:val="00BB656E"/>
    <w:rsid w:val="00BB65A1"/>
    <w:rsid w:val="00BB666A"/>
    <w:rsid w:val="00BB6B9C"/>
    <w:rsid w:val="00BB6D4A"/>
    <w:rsid w:val="00BB6DA9"/>
    <w:rsid w:val="00BB6E5A"/>
    <w:rsid w:val="00BB70EE"/>
    <w:rsid w:val="00BB7497"/>
    <w:rsid w:val="00BB75E9"/>
    <w:rsid w:val="00BB78D1"/>
    <w:rsid w:val="00BB795A"/>
    <w:rsid w:val="00BB7A18"/>
    <w:rsid w:val="00BB7B90"/>
    <w:rsid w:val="00BB7C5D"/>
    <w:rsid w:val="00BC0097"/>
    <w:rsid w:val="00BC0231"/>
    <w:rsid w:val="00BC0885"/>
    <w:rsid w:val="00BC093D"/>
    <w:rsid w:val="00BC0997"/>
    <w:rsid w:val="00BC09C6"/>
    <w:rsid w:val="00BC0D69"/>
    <w:rsid w:val="00BC1042"/>
    <w:rsid w:val="00BC10C8"/>
    <w:rsid w:val="00BC135A"/>
    <w:rsid w:val="00BC14A3"/>
    <w:rsid w:val="00BC15B1"/>
    <w:rsid w:val="00BC1698"/>
    <w:rsid w:val="00BC1831"/>
    <w:rsid w:val="00BC186E"/>
    <w:rsid w:val="00BC1ACB"/>
    <w:rsid w:val="00BC1AEB"/>
    <w:rsid w:val="00BC1CF6"/>
    <w:rsid w:val="00BC1E67"/>
    <w:rsid w:val="00BC1EF3"/>
    <w:rsid w:val="00BC22FD"/>
    <w:rsid w:val="00BC272E"/>
    <w:rsid w:val="00BC2788"/>
    <w:rsid w:val="00BC2830"/>
    <w:rsid w:val="00BC293A"/>
    <w:rsid w:val="00BC2C2B"/>
    <w:rsid w:val="00BC2CC6"/>
    <w:rsid w:val="00BC2D6B"/>
    <w:rsid w:val="00BC2F89"/>
    <w:rsid w:val="00BC327A"/>
    <w:rsid w:val="00BC3457"/>
    <w:rsid w:val="00BC3536"/>
    <w:rsid w:val="00BC3566"/>
    <w:rsid w:val="00BC3734"/>
    <w:rsid w:val="00BC3871"/>
    <w:rsid w:val="00BC3ADF"/>
    <w:rsid w:val="00BC3C77"/>
    <w:rsid w:val="00BC3D62"/>
    <w:rsid w:val="00BC406F"/>
    <w:rsid w:val="00BC4088"/>
    <w:rsid w:val="00BC40D1"/>
    <w:rsid w:val="00BC40D3"/>
    <w:rsid w:val="00BC42DD"/>
    <w:rsid w:val="00BC4371"/>
    <w:rsid w:val="00BC44E8"/>
    <w:rsid w:val="00BC44EA"/>
    <w:rsid w:val="00BC44EB"/>
    <w:rsid w:val="00BC4524"/>
    <w:rsid w:val="00BC46FA"/>
    <w:rsid w:val="00BC4852"/>
    <w:rsid w:val="00BC48D7"/>
    <w:rsid w:val="00BC48EE"/>
    <w:rsid w:val="00BC4930"/>
    <w:rsid w:val="00BC4A61"/>
    <w:rsid w:val="00BC4B08"/>
    <w:rsid w:val="00BC4BFB"/>
    <w:rsid w:val="00BC4FA3"/>
    <w:rsid w:val="00BC510F"/>
    <w:rsid w:val="00BC52FF"/>
    <w:rsid w:val="00BC5353"/>
    <w:rsid w:val="00BC5415"/>
    <w:rsid w:val="00BC55BB"/>
    <w:rsid w:val="00BC5757"/>
    <w:rsid w:val="00BC59EA"/>
    <w:rsid w:val="00BC5A24"/>
    <w:rsid w:val="00BC5A3D"/>
    <w:rsid w:val="00BC5C4E"/>
    <w:rsid w:val="00BC5CEA"/>
    <w:rsid w:val="00BC5CF6"/>
    <w:rsid w:val="00BC5CF9"/>
    <w:rsid w:val="00BC5D4E"/>
    <w:rsid w:val="00BC5DEF"/>
    <w:rsid w:val="00BC5E39"/>
    <w:rsid w:val="00BC5E91"/>
    <w:rsid w:val="00BC5ED3"/>
    <w:rsid w:val="00BC60C3"/>
    <w:rsid w:val="00BC614C"/>
    <w:rsid w:val="00BC61FB"/>
    <w:rsid w:val="00BC6207"/>
    <w:rsid w:val="00BC6368"/>
    <w:rsid w:val="00BC6521"/>
    <w:rsid w:val="00BC6713"/>
    <w:rsid w:val="00BC68B8"/>
    <w:rsid w:val="00BC6B40"/>
    <w:rsid w:val="00BC6C30"/>
    <w:rsid w:val="00BC6D12"/>
    <w:rsid w:val="00BC6D18"/>
    <w:rsid w:val="00BC6D46"/>
    <w:rsid w:val="00BC6FA6"/>
    <w:rsid w:val="00BC7057"/>
    <w:rsid w:val="00BC71EE"/>
    <w:rsid w:val="00BC7411"/>
    <w:rsid w:val="00BC74BC"/>
    <w:rsid w:val="00BC75F8"/>
    <w:rsid w:val="00BC77A1"/>
    <w:rsid w:val="00BC7803"/>
    <w:rsid w:val="00BC79AF"/>
    <w:rsid w:val="00BC79C7"/>
    <w:rsid w:val="00BC7C37"/>
    <w:rsid w:val="00BC7C69"/>
    <w:rsid w:val="00BC7E1F"/>
    <w:rsid w:val="00BD01C4"/>
    <w:rsid w:val="00BD0293"/>
    <w:rsid w:val="00BD0736"/>
    <w:rsid w:val="00BD090D"/>
    <w:rsid w:val="00BD098B"/>
    <w:rsid w:val="00BD0CC4"/>
    <w:rsid w:val="00BD0D0F"/>
    <w:rsid w:val="00BD0E12"/>
    <w:rsid w:val="00BD0F85"/>
    <w:rsid w:val="00BD1227"/>
    <w:rsid w:val="00BD12F6"/>
    <w:rsid w:val="00BD1325"/>
    <w:rsid w:val="00BD1827"/>
    <w:rsid w:val="00BD1AB5"/>
    <w:rsid w:val="00BD1CB4"/>
    <w:rsid w:val="00BD1EBD"/>
    <w:rsid w:val="00BD1ECD"/>
    <w:rsid w:val="00BD2064"/>
    <w:rsid w:val="00BD20B9"/>
    <w:rsid w:val="00BD2167"/>
    <w:rsid w:val="00BD258A"/>
    <w:rsid w:val="00BD25D9"/>
    <w:rsid w:val="00BD2831"/>
    <w:rsid w:val="00BD283D"/>
    <w:rsid w:val="00BD28F5"/>
    <w:rsid w:val="00BD2959"/>
    <w:rsid w:val="00BD2EDC"/>
    <w:rsid w:val="00BD3364"/>
    <w:rsid w:val="00BD3479"/>
    <w:rsid w:val="00BD3533"/>
    <w:rsid w:val="00BD3C19"/>
    <w:rsid w:val="00BD3D33"/>
    <w:rsid w:val="00BD3FC3"/>
    <w:rsid w:val="00BD3FE3"/>
    <w:rsid w:val="00BD4067"/>
    <w:rsid w:val="00BD40E9"/>
    <w:rsid w:val="00BD4259"/>
    <w:rsid w:val="00BD42F8"/>
    <w:rsid w:val="00BD436C"/>
    <w:rsid w:val="00BD4403"/>
    <w:rsid w:val="00BD468A"/>
    <w:rsid w:val="00BD46BF"/>
    <w:rsid w:val="00BD4961"/>
    <w:rsid w:val="00BD497E"/>
    <w:rsid w:val="00BD49C2"/>
    <w:rsid w:val="00BD4C29"/>
    <w:rsid w:val="00BD4C85"/>
    <w:rsid w:val="00BD4EAC"/>
    <w:rsid w:val="00BD4F12"/>
    <w:rsid w:val="00BD50CD"/>
    <w:rsid w:val="00BD5171"/>
    <w:rsid w:val="00BD5181"/>
    <w:rsid w:val="00BD52A9"/>
    <w:rsid w:val="00BD53E7"/>
    <w:rsid w:val="00BD5416"/>
    <w:rsid w:val="00BD56E0"/>
    <w:rsid w:val="00BD5949"/>
    <w:rsid w:val="00BD5B6F"/>
    <w:rsid w:val="00BD5E7A"/>
    <w:rsid w:val="00BD5E82"/>
    <w:rsid w:val="00BD6097"/>
    <w:rsid w:val="00BD6261"/>
    <w:rsid w:val="00BD627D"/>
    <w:rsid w:val="00BD63F2"/>
    <w:rsid w:val="00BD65CC"/>
    <w:rsid w:val="00BD6D25"/>
    <w:rsid w:val="00BD6D26"/>
    <w:rsid w:val="00BD6D54"/>
    <w:rsid w:val="00BD7071"/>
    <w:rsid w:val="00BD72B9"/>
    <w:rsid w:val="00BD76BE"/>
    <w:rsid w:val="00BD7CC4"/>
    <w:rsid w:val="00BD7CC5"/>
    <w:rsid w:val="00BD7D46"/>
    <w:rsid w:val="00BD7F27"/>
    <w:rsid w:val="00BD7F66"/>
    <w:rsid w:val="00BD7FF8"/>
    <w:rsid w:val="00BE0065"/>
    <w:rsid w:val="00BE0462"/>
    <w:rsid w:val="00BE0683"/>
    <w:rsid w:val="00BE09A0"/>
    <w:rsid w:val="00BE0A33"/>
    <w:rsid w:val="00BE0B02"/>
    <w:rsid w:val="00BE0B43"/>
    <w:rsid w:val="00BE0BA1"/>
    <w:rsid w:val="00BE0F7B"/>
    <w:rsid w:val="00BE11C9"/>
    <w:rsid w:val="00BE1B66"/>
    <w:rsid w:val="00BE1C10"/>
    <w:rsid w:val="00BE1C64"/>
    <w:rsid w:val="00BE1D21"/>
    <w:rsid w:val="00BE1D2E"/>
    <w:rsid w:val="00BE1DFE"/>
    <w:rsid w:val="00BE1E00"/>
    <w:rsid w:val="00BE1F1D"/>
    <w:rsid w:val="00BE228A"/>
    <w:rsid w:val="00BE23BE"/>
    <w:rsid w:val="00BE255F"/>
    <w:rsid w:val="00BE26BA"/>
    <w:rsid w:val="00BE28FD"/>
    <w:rsid w:val="00BE2917"/>
    <w:rsid w:val="00BE2B6F"/>
    <w:rsid w:val="00BE2BE9"/>
    <w:rsid w:val="00BE2CE9"/>
    <w:rsid w:val="00BE3091"/>
    <w:rsid w:val="00BE3465"/>
    <w:rsid w:val="00BE3587"/>
    <w:rsid w:val="00BE35AB"/>
    <w:rsid w:val="00BE367E"/>
    <w:rsid w:val="00BE36DC"/>
    <w:rsid w:val="00BE38AF"/>
    <w:rsid w:val="00BE3D6D"/>
    <w:rsid w:val="00BE3EAB"/>
    <w:rsid w:val="00BE41A7"/>
    <w:rsid w:val="00BE41AD"/>
    <w:rsid w:val="00BE4282"/>
    <w:rsid w:val="00BE42A9"/>
    <w:rsid w:val="00BE44EF"/>
    <w:rsid w:val="00BE47AC"/>
    <w:rsid w:val="00BE4A75"/>
    <w:rsid w:val="00BE4EDC"/>
    <w:rsid w:val="00BE4F57"/>
    <w:rsid w:val="00BE4F5D"/>
    <w:rsid w:val="00BE4F9B"/>
    <w:rsid w:val="00BE5096"/>
    <w:rsid w:val="00BE50C6"/>
    <w:rsid w:val="00BE5238"/>
    <w:rsid w:val="00BE5277"/>
    <w:rsid w:val="00BE566A"/>
    <w:rsid w:val="00BE594E"/>
    <w:rsid w:val="00BE5AF7"/>
    <w:rsid w:val="00BE5C2A"/>
    <w:rsid w:val="00BE5EB1"/>
    <w:rsid w:val="00BE6399"/>
    <w:rsid w:val="00BE6562"/>
    <w:rsid w:val="00BE677C"/>
    <w:rsid w:val="00BE678B"/>
    <w:rsid w:val="00BE67E8"/>
    <w:rsid w:val="00BE6873"/>
    <w:rsid w:val="00BE6A13"/>
    <w:rsid w:val="00BE6C6A"/>
    <w:rsid w:val="00BE6CAD"/>
    <w:rsid w:val="00BE6DB9"/>
    <w:rsid w:val="00BE6E5B"/>
    <w:rsid w:val="00BE6EDE"/>
    <w:rsid w:val="00BE6FDC"/>
    <w:rsid w:val="00BE7157"/>
    <w:rsid w:val="00BE7164"/>
    <w:rsid w:val="00BE7712"/>
    <w:rsid w:val="00BE7895"/>
    <w:rsid w:val="00BE79E3"/>
    <w:rsid w:val="00BE7A99"/>
    <w:rsid w:val="00BE7C9A"/>
    <w:rsid w:val="00BF01EB"/>
    <w:rsid w:val="00BF04DF"/>
    <w:rsid w:val="00BF0581"/>
    <w:rsid w:val="00BF058E"/>
    <w:rsid w:val="00BF064C"/>
    <w:rsid w:val="00BF06FF"/>
    <w:rsid w:val="00BF0AFE"/>
    <w:rsid w:val="00BF0C73"/>
    <w:rsid w:val="00BF0D1D"/>
    <w:rsid w:val="00BF0FF4"/>
    <w:rsid w:val="00BF100A"/>
    <w:rsid w:val="00BF10EC"/>
    <w:rsid w:val="00BF10FC"/>
    <w:rsid w:val="00BF11F2"/>
    <w:rsid w:val="00BF1429"/>
    <w:rsid w:val="00BF14E5"/>
    <w:rsid w:val="00BF183C"/>
    <w:rsid w:val="00BF1888"/>
    <w:rsid w:val="00BF189C"/>
    <w:rsid w:val="00BF1B7B"/>
    <w:rsid w:val="00BF1C4C"/>
    <w:rsid w:val="00BF1D1B"/>
    <w:rsid w:val="00BF1DD7"/>
    <w:rsid w:val="00BF1E79"/>
    <w:rsid w:val="00BF1FD7"/>
    <w:rsid w:val="00BF24E0"/>
    <w:rsid w:val="00BF2531"/>
    <w:rsid w:val="00BF2604"/>
    <w:rsid w:val="00BF2939"/>
    <w:rsid w:val="00BF2A27"/>
    <w:rsid w:val="00BF2AA4"/>
    <w:rsid w:val="00BF2CCF"/>
    <w:rsid w:val="00BF2D1D"/>
    <w:rsid w:val="00BF2E6E"/>
    <w:rsid w:val="00BF302E"/>
    <w:rsid w:val="00BF3272"/>
    <w:rsid w:val="00BF33B3"/>
    <w:rsid w:val="00BF3455"/>
    <w:rsid w:val="00BF34AE"/>
    <w:rsid w:val="00BF365C"/>
    <w:rsid w:val="00BF366E"/>
    <w:rsid w:val="00BF3803"/>
    <w:rsid w:val="00BF38C4"/>
    <w:rsid w:val="00BF39C9"/>
    <w:rsid w:val="00BF3A7B"/>
    <w:rsid w:val="00BF3DED"/>
    <w:rsid w:val="00BF3F15"/>
    <w:rsid w:val="00BF3F32"/>
    <w:rsid w:val="00BF3F79"/>
    <w:rsid w:val="00BF3F82"/>
    <w:rsid w:val="00BF41B9"/>
    <w:rsid w:val="00BF4284"/>
    <w:rsid w:val="00BF42C7"/>
    <w:rsid w:val="00BF45D1"/>
    <w:rsid w:val="00BF461F"/>
    <w:rsid w:val="00BF462C"/>
    <w:rsid w:val="00BF4B21"/>
    <w:rsid w:val="00BF4C1A"/>
    <w:rsid w:val="00BF4CF6"/>
    <w:rsid w:val="00BF4DCF"/>
    <w:rsid w:val="00BF4E00"/>
    <w:rsid w:val="00BF4E47"/>
    <w:rsid w:val="00BF4E57"/>
    <w:rsid w:val="00BF4F87"/>
    <w:rsid w:val="00BF503E"/>
    <w:rsid w:val="00BF510C"/>
    <w:rsid w:val="00BF5158"/>
    <w:rsid w:val="00BF51AB"/>
    <w:rsid w:val="00BF521A"/>
    <w:rsid w:val="00BF52D1"/>
    <w:rsid w:val="00BF52ED"/>
    <w:rsid w:val="00BF5347"/>
    <w:rsid w:val="00BF53D4"/>
    <w:rsid w:val="00BF53ED"/>
    <w:rsid w:val="00BF53F5"/>
    <w:rsid w:val="00BF5489"/>
    <w:rsid w:val="00BF54AB"/>
    <w:rsid w:val="00BF55BD"/>
    <w:rsid w:val="00BF570C"/>
    <w:rsid w:val="00BF5745"/>
    <w:rsid w:val="00BF590F"/>
    <w:rsid w:val="00BF591F"/>
    <w:rsid w:val="00BF59DB"/>
    <w:rsid w:val="00BF5D71"/>
    <w:rsid w:val="00BF5F72"/>
    <w:rsid w:val="00BF6138"/>
    <w:rsid w:val="00BF645A"/>
    <w:rsid w:val="00BF662E"/>
    <w:rsid w:val="00BF6DE5"/>
    <w:rsid w:val="00BF6E3D"/>
    <w:rsid w:val="00BF7258"/>
    <w:rsid w:val="00BF7312"/>
    <w:rsid w:val="00BF73DE"/>
    <w:rsid w:val="00BF74A3"/>
    <w:rsid w:val="00BF79DA"/>
    <w:rsid w:val="00BF7BC9"/>
    <w:rsid w:val="00BF7DC7"/>
    <w:rsid w:val="00BF7FC7"/>
    <w:rsid w:val="00C00043"/>
    <w:rsid w:val="00C00223"/>
    <w:rsid w:val="00C00603"/>
    <w:rsid w:val="00C0078E"/>
    <w:rsid w:val="00C00A33"/>
    <w:rsid w:val="00C00AD0"/>
    <w:rsid w:val="00C00CCF"/>
    <w:rsid w:val="00C0105A"/>
    <w:rsid w:val="00C015A1"/>
    <w:rsid w:val="00C017B3"/>
    <w:rsid w:val="00C017C5"/>
    <w:rsid w:val="00C018F9"/>
    <w:rsid w:val="00C019A8"/>
    <w:rsid w:val="00C01A60"/>
    <w:rsid w:val="00C01C31"/>
    <w:rsid w:val="00C01D12"/>
    <w:rsid w:val="00C01DFC"/>
    <w:rsid w:val="00C01F1B"/>
    <w:rsid w:val="00C01FE5"/>
    <w:rsid w:val="00C021D9"/>
    <w:rsid w:val="00C02329"/>
    <w:rsid w:val="00C02772"/>
    <w:rsid w:val="00C0280E"/>
    <w:rsid w:val="00C02878"/>
    <w:rsid w:val="00C0293C"/>
    <w:rsid w:val="00C02BA7"/>
    <w:rsid w:val="00C02BC1"/>
    <w:rsid w:val="00C03519"/>
    <w:rsid w:val="00C03A47"/>
    <w:rsid w:val="00C03BD4"/>
    <w:rsid w:val="00C03C42"/>
    <w:rsid w:val="00C041C2"/>
    <w:rsid w:val="00C0422F"/>
    <w:rsid w:val="00C042A1"/>
    <w:rsid w:val="00C043AF"/>
    <w:rsid w:val="00C04581"/>
    <w:rsid w:val="00C045AF"/>
    <w:rsid w:val="00C04978"/>
    <w:rsid w:val="00C049B2"/>
    <w:rsid w:val="00C04ABB"/>
    <w:rsid w:val="00C04AE3"/>
    <w:rsid w:val="00C04C56"/>
    <w:rsid w:val="00C04E3E"/>
    <w:rsid w:val="00C04E89"/>
    <w:rsid w:val="00C050CD"/>
    <w:rsid w:val="00C05199"/>
    <w:rsid w:val="00C054EE"/>
    <w:rsid w:val="00C056C0"/>
    <w:rsid w:val="00C057AD"/>
    <w:rsid w:val="00C05856"/>
    <w:rsid w:val="00C0624D"/>
    <w:rsid w:val="00C06653"/>
    <w:rsid w:val="00C06738"/>
    <w:rsid w:val="00C0674F"/>
    <w:rsid w:val="00C067C4"/>
    <w:rsid w:val="00C06897"/>
    <w:rsid w:val="00C06951"/>
    <w:rsid w:val="00C06B23"/>
    <w:rsid w:val="00C06C5F"/>
    <w:rsid w:val="00C06D55"/>
    <w:rsid w:val="00C06E75"/>
    <w:rsid w:val="00C06F40"/>
    <w:rsid w:val="00C06FFB"/>
    <w:rsid w:val="00C0708A"/>
    <w:rsid w:val="00C07299"/>
    <w:rsid w:val="00C075B9"/>
    <w:rsid w:val="00C076B8"/>
    <w:rsid w:val="00C0781F"/>
    <w:rsid w:val="00C0786A"/>
    <w:rsid w:val="00C07BFA"/>
    <w:rsid w:val="00C07F04"/>
    <w:rsid w:val="00C07F18"/>
    <w:rsid w:val="00C07F62"/>
    <w:rsid w:val="00C100E5"/>
    <w:rsid w:val="00C102E4"/>
    <w:rsid w:val="00C1052C"/>
    <w:rsid w:val="00C106C6"/>
    <w:rsid w:val="00C1071C"/>
    <w:rsid w:val="00C107B8"/>
    <w:rsid w:val="00C107CE"/>
    <w:rsid w:val="00C109E3"/>
    <w:rsid w:val="00C10AA9"/>
    <w:rsid w:val="00C10B5F"/>
    <w:rsid w:val="00C10C30"/>
    <w:rsid w:val="00C10DA1"/>
    <w:rsid w:val="00C10E41"/>
    <w:rsid w:val="00C10EA2"/>
    <w:rsid w:val="00C115A4"/>
    <w:rsid w:val="00C1161D"/>
    <w:rsid w:val="00C1166F"/>
    <w:rsid w:val="00C11672"/>
    <w:rsid w:val="00C116F8"/>
    <w:rsid w:val="00C11BF6"/>
    <w:rsid w:val="00C11C25"/>
    <w:rsid w:val="00C1222F"/>
    <w:rsid w:val="00C12297"/>
    <w:rsid w:val="00C1229A"/>
    <w:rsid w:val="00C12349"/>
    <w:rsid w:val="00C12388"/>
    <w:rsid w:val="00C1262C"/>
    <w:rsid w:val="00C1276C"/>
    <w:rsid w:val="00C1296F"/>
    <w:rsid w:val="00C12A47"/>
    <w:rsid w:val="00C12AEA"/>
    <w:rsid w:val="00C12B1E"/>
    <w:rsid w:val="00C12B83"/>
    <w:rsid w:val="00C12D99"/>
    <w:rsid w:val="00C12E6C"/>
    <w:rsid w:val="00C132D8"/>
    <w:rsid w:val="00C13305"/>
    <w:rsid w:val="00C13751"/>
    <w:rsid w:val="00C13E05"/>
    <w:rsid w:val="00C1402D"/>
    <w:rsid w:val="00C14547"/>
    <w:rsid w:val="00C145FE"/>
    <w:rsid w:val="00C148BF"/>
    <w:rsid w:val="00C148E4"/>
    <w:rsid w:val="00C149A9"/>
    <w:rsid w:val="00C14A59"/>
    <w:rsid w:val="00C14B12"/>
    <w:rsid w:val="00C14B48"/>
    <w:rsid w:val="00C14BD7"/>
    <w:rsid w:val="00C14C16"/>
    <w:rsid w:val="00C14CAC"/>
    <w:rsid w:val="00C14DE0"/>
    <w:rsid w:val="00C14F6A"/>
    <w:rsid w:val="00C14FCF"/>
    <w:rsid w:val="00C150B6"/>
    <w:rsid w:val="00C1526A"/>
    <w:rsid w:val="00C15301"/>
    <w:rsid w:val="00C153A4"/>
    <w:rsid w:val="00C153B1"/>
    <w:rsid w:val="00C15405"/>
    <w:rsid w:val="00C1550D"/>
    <w:rsid w:val="00C1568B"/>
    <w:rsid w:val="00C15849"/>
    <w:rsid w:val="00C1599C"/>
    <w:rsid w:val="00C159A1"/>
    <w:rsid w:val="00C15B70"/>
    <w:rsid w:val="00C15E0B"/>
    <w:rsid w:val="00C1605A"/>
    <w:rsid w:val="00C160A2"/>
    <w:rsid w:val="00C16604"/>
    <w:rsid w:val="00C16810"/>
    <w:rsid w:val="00C1689F"/>
    <w:rsid w:val="00C168EF"/>
    <w:rsid w:val="00C16C74"/>
    <w:rsid w:val="00C16EB8"/>
    <w:rsid w:val="00C16F3C"/>
    <w:rsid w:val="00C171FD"/>
    <w:rsid w:val="00C17239"/>
    <w:rsid w:val="00C17330"/>
    <w:rsid w:val="00C17331"/>
    <w:rsid w:val="00C173FD"/>
    <w:rsid w:val="00C1742E"/>
    <w:rsid w:val="00C17537"/>
    <w:rsid w:val="00C178C4"/>
    <w:rsid w:val="00C17BFE"/>
    <w:rsid w:val="00C17C62"/>
    <w:rsid w:val="00C17ED8"/>
    <w:rsid w:val="00C2019A"/>
    <w:rsid w:val="00C201E1"/>
    <w:rsid w:val="00C2047B"/>
    <w:rsid w:val="00C2047D"/>
    <w:rsid w:val="00C2048E"/>
    <w:rsid w:val="00C20507"/>
    <w:rsid w:val="00C207C7"/>
    <w:rsid w:val="00C20B46"/>
    <w:rsid w:val="00C21264"/>
    <w:rsid w:val="00C215C8"/>
    <w:rsid w:val="00C21608"/>
    <w:rsid w:val="00C216DA"/>
    <w:rsid w:val="00C2179D"/>
    <w:rsid w:val="00C2182A"/>
    <w:rsid w:val="00C218C0"/>
    <w:rsid w:val="00C218C3"/>
    <w:rsid w:val="00C218EE"/>
    <w:rsid w:val="00C2190C"/>
    <w:rsid w:val="00C21925"/>
    <w:rsid w:val="00C21A71"/>
    <w:rsid w:val="00C21C2F"/>
    <w:rsid w:val="00C22044"/>
    <w:rsid w:val="00C221A7"/>
    <w:rsid w:val="00C221FD"/>
    <w:rsid w:val="00C22221"/>
    <w:rsid w:val="00C22344"/>
    <w:rsid w:val="00C22430"/>
    <w:rsid w:val="00C2243C"/>
    <w:rsid w:val="00C2277B"/>
    <w:rsid w:val="00C229B0"/>
    <w:rsid w:val="00C22A8C"/>
    <w:rsid w:val="00C22BC7"/>
    <w:rsid w:val="00C22DEC"/>
    <w:rsid w:val="00C22F44"/>
    <w:rsid w:val="00C22FDB"/>
    <w:rsid w:val="00C233C8"/>
    <w:rsid w:val="00C23414"/>
    <w:rsid w:val="00C23658"/>
    <w:rsid w:val="00C2365D"/>
    <w:rsid w:val="00C236DA"/>
    <w:rsid w:val="00C23718"/>
    <w:rsid w:val="00C237AE"/>
    <w:rsid w:val="00C2393C"/>
    <w:rsid w:val="00C23B23"/>
    <w:rsid w:val="00C23F32"/>
    <w:rsid w:val="00C23FA0"/>
    <w:rsid w:val="00C2409A"/>
    <w:rsid w:val="00C240AE"/>
    <w:rsid w:val="00C240C0"/>
    <w:rsid w:val="00C242A3"/>
    <w:rsid w:val="00C242FB"/>
    <w:rsid w:val="00C245FD"/>
    <w:rsid w:val="00C246A9"/>
    <w:rsid w:val="00C247E4"/>
    <w:rsid w:val="00C24A05"/>
    <w:rsid w:val="00C24A76"/>
    <w:rsid w:val="00C24BE2"/>
    <w:rsid w:val="00C24C39"/>
    <w:rsid w:val="00C24E9F"/>
    <w:rsid w:val="00C251B1"/>
    <w:rsid w:val="00C25313"/>
    <w:rsid w:val="00C25418"/>
    <w:rsid w:val="00C2561F"/>
    <w:rsid w:val="00C25C55"/>
    <w:rsid w:val="00C25D8D"/>
    <w:rsid w:val="00C25ECA"/>
    <w:rsid w:val="00C25F4E"/>
    <w:rsid w:val="00C25FA1"/>
    <w:rsid w:val="00C26120"/>
    <w:rsid w:val="00C263CD"/>
    <w:rsid w:val="00C2680F"/>
    <w:rsid w:val="00C2698D"/>
    <w:rsid w:val="00C269D4"/>
    <w:rsid w:val="00C26B36"/>
    <w:rsid w:val="00C26C33"/>
    <w:rsid w:val="00C26E5C"/>
    <w:rsid w:val="00C27056"/>
    <w:rsid w:val="00C270AC"/>
    <w:rsid w:val="00C27220"/>
    <w:rsid w:val="00C27453"/>
    <w:rsid w:val="00C274BC"/>
    <w:rsid w:val="00C27757"/>
    <w:rsid w:val="00C277FC"/>
    <w:rsid w:val="00C27826"/>
    <w:rsid w:val="00C2786F"/>
    <w:rsid w:val="00C278CC"/>
    <w:rsid w:val="00C278D9"/>
    <w:rsid w:val="00C27A60"/>
    <w:rsid w:val="00C27AC0"/>
    <w:rsid w:val="00C27B4E"/>
    <w:rsid w:val="00C27B7C"/>
    <w:rsid w:val="00C27C83"/>
    <w:rsid w:val="00C27CF7"/>
    <w:rsid w:val="00C27E4B"/>
    <w:rsid w:val="00C3043F"/>
    <w:rsid w:val="00C3044C"/>
    <w:rsid w:val="00C3045C"/>
    <w:rsid w:val="00C30A4D"/>
    <w:rsid w:val="00C30AFF"/>
    <w:rsid w:val="00C30E60"/>
    <w:rsid w:val="00C31097"/>
    <w:rsid w:val="00C310A7"/>
    <w:rsid w:val="00C31138"/>
    <w:rsid w:val="00C31438"/>
    <w:rsid w:val="00C31548"/>
    <w:rsid w:val="00C31599"/>
    <w:rsid w:val="00C31715"/>
    <w:rsid w:val="00C3174F"/>
    <w:rsid w:val="00C317D2"/>
    <w:rsid w:val="00C3181A"/>
    <w:rsid w:val="00C318B0"/>
    <w:rsid w:val="00C31BB8"/>
    <w:rsid w:val="00C31BDD"/>
    <w:rsid w:val="00C31ED3"/>
    <w:rsid w:val="00C31F5C"/>
    <w:rsid w:val="00C31FDA"/>
    <w:rsid w:val="00C3209A"/>
    <w:rsid w:val="00C323DA"/>
    <w:rsid w:val="00C323E8"/>
    <w:rsid w:val="00C32405"/>
    <w:rsid w:val="00C325B1"/>
    <w:rsid w:val="00C3285A"/>
    <w:rsid w:val="00C3286F"/>
    <w:rsid w:val="00C32928"/>
    <w:rsid w:val="00C32AD2"/>
    <w:rsid w:val="00C32D62"/>
    <w:rsid w:val="00C331A3"/>
    <w:rsid w:val="00C3328B"/>
    <w:rsid w:val="00C333BD"/>
    <w:rsid w:val="00C3362C"/>
    <w:rsid w:val="00C33660"/>
    <w:rsid w:val="00C33689"/>
    <w:rsid w:val="00C337CC"/>
    <w:rsid w:val="00C33935"/>
    <w:rsid w:val="00C33B02"/>
    <w:rsid w:val="00C33C01"/>
    <w:rsid w:val="00C33C4C"/>
    <w:rsid w:val="00C33C9D"/>
    <w:rsid w:val="00C33EB2"/>
    <w:rsid w:val="00C33FCD"/>
    <w:rsid w:val="00C33FEF"/>
    <w:rsid w:val="00C340DB"/>
    <w:rsid w:val="00C3462A"/>
    <w:rsid w:val="00C348CE"/>
    <w:rsid w:val="00C3494E"/>
    <w:rsid w:val="00C34B63"/>
    <w:rsid w:val="00C34CB3"/>
    <w:rsid w:val="00C34EF3"/>
    <w:rsid w:val="00C34F46"/>
    <w:rsid w:val="00C34F4D"/>
    <w:rsid w:val="00C34FCC"/>
    <w:rsid w:val="00C34FD2"/>
    <w:rsid w:val="00C3503A"/>
    <w:rsid w:val="00C350EF"/>
    <w:rsid w:val="00C353BB"/>
    <w:rsid w:val="00C3573F"/>
    <w:rsid w:val="00C3576B"/>
    <w:rsid w:val="00C357CB"/>
    <w:rsid w:val="00C3597F"/>
    <w:rsid w:val="00C359F3"/>
    <w:rsid w:val="00C35B2B"/>
    <w:rsid w:val="00C35B69"/>
    <w:rsid w:val="00C35BDE"/>
    <w:rsid w:val="00C35C05"/>
    <w:rsid w:val="00C3614A"/>
    <w:rsid w:val="00C3633A"/>
    <w:rsid w:val="00C36463"/>
    <w:rsid w:val="00C36468"/>
    <w:rsid w:val="00C36515"/>
    <w:rsid w:val="00C36571"/>
    <w:rsid w:val="00C368C6"/>
    <w:rsid w:val="00C369C6"/>
    <w:rsid w:val="00C36A1E"/>
    <w:rsid w:val="00C36C14"/>
    <w:rsid w:val="00C36C38"/>
    <w:rsid w:val="00C371A3"/>
    <w:rsid w:val="00C37290"/>
    <w:rsid w:val="00C373D0"/>
    <w:rsid w:val="00C37893"/>
    <w:rsid w:val="00C37957"/>
    <w:rsid w:val="00C37B44"/>
    <w:rsid w:val="00C37CC5"/>
    <w:rsid w:val="00C40008"/>
    <w:rsid w:val="00C403E9"/>
    <w:rsid w:val="00C40732"/>
    <w:rsid w:val="00C4077F"/>
    <w:rsid w:val="00C408E7"/>
    <w:rsid w:val="00C40934"/>
    <w:rsid w:val="00C40A1A"/>
    <w:rsid w:val="00C40E4A"/>
    <w:rsid w:val="00C40EA6"/>
    <w:rsid w:val="00C41407"/>
    <w:rsid w:val="00C41421"/>
    <w:rsid w:val="00C415B8"/>
    <w:rsid w:val="00C416F6"/>
    <w:rsid w:val="00C41701"/>
    <w:rsid w:val="00C41747"/>
    <w:rsid w:val="00C4180F"/>
    <w:rsid w:val="00C41A29"/>
    <w:rsid w:val="00C41AD3"/>
    <w:rsid w:val="00C41C1C"/>
    <w:rsid w:val="00C41C52"/>
    <w:rsid w:val="00C41DB2"/>
    <w:rsid w:val="00C41DF1"/>
    <w:rsid w:val="00C42404"/>
    <w:rsid w:val="00C426EB"/>
    <w:rsid w:val="00C42742"/>
    <w:rsid w:val="00C42948"/>
    <w:rsid w:val="00C42A28"/>
    <w:rsid w:val="00C42D4C"/>
    <w:rsid w:val="00C42EB5"/>
    <w:rsid w:val="00C43353"/>
    <w:rsid w:val="00C433C2"/>
    <w:rsid w:val="00C434E4"/>
    <w:rsid w:val="00C4374A"/>
    <w:rsid w:val="00C43762"/>
    <w:rsid w:val="00C43831"/>
    <w:rsid w:val="00C43B6D"/>
    <w:rsid w:val="00C43BD4"/>
    <w:rsid w:val="00C43F33"/>
    <w:rsid w:val="00C440A3"/>
    <w:rsid w:val="00C444E2"/>
    <w:rsid w:val="00C444EC"/>
    <w:rsid w:val="00C444EF"/>
    <w:rsid w:val="00C445D1"/>
    <w:rsid w:val="00C448FF"/>
    <w:rsid w:val="00C449F4"/>
    <w:rsid w:val="00C44B18"/>
    <w:rsid w:val="00C44E16"/>
    <w:rsid w:val="00C44EE3"/>
    <w:rsid w:val="00C44F50"/>
    <w:rsid w:val="00C45048"/>
    <w:rsid w:val="00C45496"/>
    <w:rsid w:val="00C45704"/>
    <w:rsid w:val="00C4578F"/>
    <w:rsid w:val="00C45862"/>
    <w:rsid w:val="00C458BF"/>
    <w:rsid w:val="00C45AEC"/>
    <w:rsid w:val="00C45C45"/>
    <w:rsid w:val="00C45D26"/>
    <w:rsid w:val="00C45E99"/>
    <w:rsid w:val="00C4616A"/>
    <w:rsid w:val="00C4619B"/>
    <w:rsid w:val="00C462BC"/>
    <w:rsid w:val="00C46345"/>
    <w:rsid w:val="00C464D8"/>
    <w:rsid w:val="00C4651F"/>
    <w:rsid w:val="00C46820"/>
    <w:rsid w:val="00C46AFF"/>
    <w:rsid w:val="00C46C94"/>
    <w:rsid w:val="00C46CF6"/>
    <w:rsid w:val="00C46E30"/>
    <w:rsid w:val="00C46E4E"/>
    <w:rsid w:val="00C46ECF"/>
    <w:rsid w:val="00C472B9"/>
    <w:rsid w:val="00C47843"/>
    <w:rsid w:val="00C478B4"/>
    <w:rsid w:val="00C47E95"/>
    <w:rsid w:val="00C50172"/>
    <w:rsid w:val="00C50313"/>
    <w:rsid w:val="00C5032B"/>
    <w:rsid w:val="00C50613"/>
    <w:rsid w:val="00C5075E"/>
    <w:rsid w:val="00C508A9"/>
    <w:rsid w:val="00C509CE"/>
    <w:rsid w:val="00C50AE6"/>
    <w:rsid w:val="00C50B62"/>
    <w:rsid w:val="00C50EAE"/>
    <w:rsid w:val="00C50F30"/>
    <w:rsid w:val="00C5138A"/>
    <w:rsid w:val="00C51679"/>
    <w:rsid w:val="00C516BA"/>
    <w:rsid w:val="00C51758"/>
    <w:rsid w:val="00C51928"/>
    <w:rsid w:val="00C51B5B"/>
    <w:rsid w:val="00C51CBA"/>
    <w:rsid w:val="00C51DB6"/>
    <w:rsid w:val="00C522FA"/>
    <w:rsid w:val="00C5257D"/>
    <w:rsid w:val="00C52616"/>
    <w:rsid w:val="00C527EC"/>
    <w:rsid w:val="00C52A65"/>
    <w:rsid w:val="00C52ABA"/>
    <w:rsid w:val="00C52B70"/>
    <w:rsid w:val="00C52BF0"/>
    <w:rsid w:val="00C52C7F"/>
    <w:rsid w:val="00C52F47"/>
    <w:rsid w:val="00C53807"/>
    <w:rsid w:val="00C539B3"/>
    <w:rsid w:val="00C53DF3"/>
    <w:rsid w:val="00C5404A"/>
    <w:rsid w:val="00C540C5"/>
    <w:rsid w:val="00C540F0"/>
    <w:rsid w:val="00C54191"/>
    <w:rsid w:val="00C54250"/>
    <w:rsid w:val="00C54356"/>
    <w:rsid w:val="00C54419"/>
    <w:rsid w:val="00C5455E"/>
    <w:rsid w:val="00C5466D"/>
    <w:rsid w:val="00C54A15"/>
    <w:rsid w:val="00C54B61"/>
    <w:rsid w:val="00C54EAF"/>
    <w:rsid w:val="00C5519E"/>
    <w:rsid w:val="00C55222"/>
    <w:rsid w:val="00C55232"/>
    <w:rsid w:val="00C55331"/>
    <w:rsid w:val="00C556D7"/>
    <w:rsid w:val="00C55B96"/>
    <w:rsid w:val="00C55FD2"/>
    <w:rsid w:val="00C564D0"/>
    <w:rsid w:val="00C56566"/>
    <w:rsid w:val="00C56929"/>
    <w:rsid w:val="00C56A2B"/>
    <w:rsid w:val="00C56A37"/>
    <w:rsid w:val="00C56C4E"/>
    <w:rsid w:val="00C56C6D"/>
    <w:rsid w:val="00C570C0"/>
    <w:rsid w:val="00C573A6"/>
    <w:rsid w:val="00C57581"/>
    <w:rsid w:val="00C5793D"/>
    <w:rsid w:val="00C57A42"/>
    <w:rsid w:val="00C57B18"/>
    <w:rsid w:val="00C57D07"/>
    <w:rsid w:val="00C57ED4"/>
    <w:rsid w:val="00C57F91"/>
    <w:rsid w:val="00C60045"/>
    <w:rsid w:val="00C6012C"/>
    <w:rsid w:val="00C6027A"/>
    <w:rsid w:val="00C60295"/>
    <w:rsid w:val="00C60560"/>
    <w:rsid w:val="00C60578"/>
    <w:rsid w:val="00C605CA"/>
    <w:rsid w:val="00C60775"/>
    <w:rsid w:val="00C608C0"/>
    <w:rsid w:val="00C60A56"/>
    <w:rsid w:val="00C60A66"/>
    <w:rsid w:val="00C60B6A"/>
    <w:rsid w:val="00C60CFD"/>
    <w:rsid w:val="00C60E20"/>
    <w:rsid w:val="00C60F79"/>
    <w:rsid w:val="00C61162"/>
    <w:rsid w:val="00C61232"/>
    <w:rsid w:val="00C61484"/>
    <w:rsid w:val="00C614D7"/>
    <w:rsid w:val="00C6169B"/>
    <w:rsid w:val="00C616FA"/>
    <w:rsid w:val="00C617A7"/>
    <w:rsid w:val="00C619C5"/>
    <w:rsid w:val="00C61A6C"/>
    <w:rsid w:val="00C61AC1"/>
    <w:rsid w:val="00C61C4B"/>
    <w:rsid w:val="00C61C95"/>
    <w:rsid w:val="00C61D13"/>
    <w:rsid w:val="00C61DFA"/>
    <w:rsid w:val="00C61E0F"/>
    <w:rsid w:val="00C61F50"/>
    <w:rsid w:val="00C620E1"/>
    <w:rsid w:val="00C62104"/>
    <w:rsid w:val="00C62399"/>
    <w:rsid w:val="00C6246C"/>
    <w:rsid w:val="00C62485"/>
    <w:rsid w:val="00C62612"/>
    <w:rsid w:val="00C62759"/>
    <w:rsid w:val="00C62791"/>
    <w:rsid w:val="00C627A7"/>
    <w:rsid w:val="00C6289C"/>
    <w:rsid w:val="00C62914"/>
    <w:rsid w:val="00C629EA"/>
    <w:rsid w:val="00C62BE0"/>
    <w:rsid w:val="00C62D2F"/>
    <w:rsid w:val="00C62E57"/>
    <w:rsid w:val="00C63562"/>
    <w:rsid w:val="00C63696"/>
    <w:rsid w:val="00C63D56"/>
    <w:rsid w:val="00C63EB8"/>
    <w:rsid w:val="00C64090"/>
    <w:rsid w:val="00C64093"/>
    <w:rsid w:val="00C64099"/>
    <w:rsid w:val="00C6428C"/>
    <w:rsid w:val="00C64382"/>
    <w:rsid w:val="00C644E4"/>
    <w:rsid w:val="00C644FE"/>
    <w:rsid w:val="00C645CB"/>
    <w:rsid w:val="00C64821"/>
    <w:rsid w:val="00C64B52"/>
    <w:rsid w:val="00C64BE1"/>
    <w:rsid w:val="00C64C93"/>
    <w:rsid w:val="00C64D70"/>
    <w:rsid w:val="00C64DD4"/>
    <w:rsid w:val="00C64F38"/>
    <w:rsid w:val="00C64F82"/>
    <w:rsid w:val="00C650DD"/>
    <w:rsid w:val="00C65219"/>
    <w:rsid w:val="00C65236"/>
    <w:rsid w:val="00C65632"/>
    <w:rsid w:val="00C6595F"/>
    <w:rsid w:val="00C65AD3"/>
    <w:rsid w:val="00C65AEF"/>
    <w:rsid w:val="00C65B50"/>
    <w:rsid w:val="00C65F41"/>
    <w:rsid w:val="00C6626C"/>
    <w:rsid w:val="00C662E5"/>
    <w:rsid w:val="00C66735"/>
    <w:rsid w:val="00C668AF"/>
    <w:rsid w:val="00C669E1"/>
    <w:rsid w:val="00C66B2D"/>
    <w:rsid w:val="00C66B94"/>
    <w:rsid w:val="00C66C40"/>
    <w:rsid w:val="00C66CEC"/>
    <w:rsid w:val="00C66CEE"/>
    <w:rsid w:val="00C66F4B"/>
    <w:rsid w:val="00C6709B"/>
    <w:rsid w:val="00C672AB"/>
    <w:rsid w:val="00C6759D"/>
    <w:rsid w:val="00C677A7"/>
    <w:rsid w:val="00C6789F"/>
    <w:rsid w:val="00C679DC"/>
    <w:rsid w:val="00C67DDB"/>
    <w:rsid w:val="00C67F0C"/>
    <w:rsid w:val="00C70033"/>
    <w:rsid w:val="00C70049"/>
    <w:rsid w:val="00C703F6"/>
    <w:rsid w:val="00C7042D"/>
    <w:rsid w:val="00C7043B"/>
    <w:rsid w:val="00C706A5"/>
    <w:rsid w:val="00C7075C"/>
    <w:rsid w:val="00C709E2"/>
    <w:rsid w:val="00C70B14"/>
    <w:rsid w:val="00C70CC3"/>
    <w:rsid w:val="00C70CE8"/>
    <w:rsid w:val="00C70E38"/>
    <w:rsid w:val="00C70EF7"/>
    <w:rsid w:val="00C70FFE"/>
    <w:rsid w:val="00C713EB"/>
    <w:rsid w:val="00C718C3"/>
    <w:rsid w:val="00C71CD3"/>
    <w:rsid w:val="00C71E83"/>
    <w:rsid w:val="00C72150"/>
    <w:rsid w:val="00C7241C"/>
    <w:rsid w:val="00C72473"/>
    <w:rsid w:val="00C724F2"/>
    <w:rsid w:val="00C7272F"/>
    <w:rsid w:val="00C7283A"/>
    <w:rsid w:val="00C72899"/>
    <w:rsid w:val="00C72C41"/>
    <w:rsid w:val="00C72CBE"/>
    <w:rsid w:val="00C73133"/>
    <w:rsid w:val="00C73200"/>
    <w:rsid w:val="00C73408"/>
    <w:rsid w:val="00C7342A"/>
    <w:rsid w:val="00C73433"/>
    <w:rsid w:val="00C73560"/>
    <w:rsid w:val="00C73718"/>
    <w:rsid w:val="00C7388E"/>
    <w:rsid w:val="00C738F6"/>
    <w:rsid w:val="00C7392D"/>
    <w:rsid w:val="00C73A1D"/>
    <w:rsid w:val="00C73A4C"/>
    <w:rsid w:val="00C73AD4"/>
    <w:rsid w:val="00C73E56"/>
    <w:rsid w:val="00C73F21"/>
    <w:rsid w:val="00C740DF"/>
    <w:rsid w:val="00C741BC"/>
    <w:rsid w:val="00C741C6"/>
    <w:rsid w:val="00C742B9"/>
    <w:rsid w:val="00C743BA"/>
    <w:rsid w:val="00C743EB"/>
    <w:rsid w:val="00C74470"/>
    <w:rsid w:val="00C744DE"/>
    <w:rsid w:val="00C7456F"/>
    <w:rsid w:val="00C745B2"/>
    <w:rsid w:val="00C74660"/>
    <w:rsid w:val="00C74675"/>
    <w:rsid w:val="00C74812"/>
    <w:rsid w:val="00C748A7"/>
    <w:rsid w:val="00C74BA7"/>
    <w:rsid w:val="00C74FBB"/>
    <w:rsid w:val="00C7501B"/>
    <w:rsid w:val="00C750AF"/>
    <w:rsid w:val="00C75544"/>
    <w:rsid w:val="00C7562C"/>
    <w:rsid w:val="00C7576F"/>
    <w:rsid w:val="00C75952"/>
    <w:rsid w:val="00C75985"/>
    <w:rsid w:val="00C75A46"/>
    <w:rsid w:val="00C75C32"/>
    <w:rsid w:val="00C75D33"/>
    <w:rsid w:val="00C75E7B"/>
    <w:rsid w:val="00C75ECB"/>
    <w:rsid w:val="00C75F8B"/>
    <w:rsid w:val="00C76037"/>
    <w:rsid w:val="00C76250"/>
    <w:rsid w:val="00C76783"/>
    <w:rsid w:val="00C7680B"/>
    <w:rsid w:val="00C76850"/>
    <w:rsid w:val="00C76891"/>
    <w:rsid w:val="00C76DA2"/>
    <w:rsid w:val="00C76F93"/>
    <w:rsid w:val="00C7702D"/>
    <w:rsid w:val="00C7708C"/>
    <w:rsid w:val="00C77129"/>
    <w:rsid w:val="00C7712D"/>
    <w:rsid w:val="00C7714F"/>
    <w:rsid w:val="00C7718D"/>
    <w:rsid w:val="00C7720E"/>
    <w:rsid w:val="00C77248"/>
    <w:rsid w:val="00C77384"/>
    <w:rsid w:val="00C774DF"/>
    <w:rsid w:val="00C775A8"/>
    <w:rsid w:val="00C776BB"/>
    <w:rsid w:val="00C776EB"/>
    <w:rsid w:val="00C777C2"/>
    <w:rsid w:val="00C77A27"/>
    <w:rsid w:val="00C77DA0"/>
    <w:rsid w:val="00C77DBC"/>
    <w:rsid w:val="00C77F7F"/>
    <w:rsid w:val="00C80111"/>
    <w:rsid w:val="00C802C3"/>
    <w:rsid w:val="00C8037E"/>
    <w:rsid w:val="00C803A4"/>
    <w:rsid w:val="00C80492"/>
    <w:rsid w:val="00C80697"/>
    <w:rsid w:val="00C80A2E"/>
    <w:rsid w:val="00C80A97"/>
    <w:rsid w:val="00C80CF0"/>
    <w:rsid w:val="00C80DD1"/>
    <w:rsid w:val="00C80EFE"/>
    <w:rsid w:val="00C80F1F"/>
    <w:rsid w:val="00C80F21"/>
    <w:rsid w:val="00C811DD"/>
    <w:rsid w:val="00C8145C"/>
    <w:rsid w:val="00C814A9"/>
    <w:rsid w:val="00C81787"/>
    <w:rsid w:val="00C818C6"/>
    <w:rsid w:val="00C81FE2"/>
    <w:rsid w:val="00C82008"/>
    <w:rsid w:val="00C82345"/>
    <w:rsid w:val="00C82392"/>
    <w:rsid w:val="00C82488"/>
    <w:rsid w:val="00C824ED"/>
    <w:rsid w:val="00C82528"/>
    <w:rsid w:val="00C825E9"/>
    <w:rsid w:val="00C829AA"/>
    <w:rsid w:val="00C82AF6"/>
    <w:rsid w:val="00C82B57"/>
    <w:rsid w:val="00C82C0F"/>
    <w:rsid w:val="00C82C76"/>
    <w:rsid w:val="00C82D11"/>
    <w:rsid w:val="00C82DA3"/>
    <w:rsid w:val="00C82DBE"/>
    <w:rsid w:val="00C82E23"/>
    <w:rsid w:val="00C82E8F"/>
    <w:rsid w:val="00C8308C"/>
    <w:rsid w:val="00C83362"/>
    <w:rsid w:val="00C834CA"/>
    <w:rsid w:val="00C834D4"/>
    <w:rsid w:val="00C8355A"/>
    <w:rsid w:val="00C8369B"/>
    <w:rsid w:val="00C8385E"/>
    <w:rsid w:val="00C83C5A"/>
    <w:rsid w:val="00C83D88"/>
    <w:rsid w:val="00C83E7E"/>
    <w:rsid w:val="00C83F25"/>
    <w:rsid w:val="00C83FFA"/>
    <w:rsid w:val="00C840F7"/>
    <w:rsid w:val="00C841D1"/>
    <w:rsid w:val="00C842A7"/>
    <w:rsid w:val="00C8450B"/>
    <w:rsid w:val="00C84606"/>
    <w:rsid w:val="00C84B57"/>
    <w:rsid w:val="00C84B99"/>
    <w:rsid w:val="00C84BA4"/>
    <w:rsid w:val="00C84BC8"/>
    <w:rsid w:val="00C84ECF"/>
    <w:rsid w:val="00C84F36"/>
    <w:rsid w:val="00C85113"/>
    <w:rsid w:val="00C85183"/>
    <w:rsid w:val="00C851CB"/>
    <w:rsid w:val="00C85339"/>
    <w:rsid w:val="00C85396"/>
    <w:rsid w:val="00C85446"/>
    <w:rsid w:val="00C855C8"/>
    <w:rsid w:val="00C85649"/>
    <w:rsid w:val="00C856C1"/>
    <w:rsid w:val="00C8596D"/>
    <w:rsid w:val="00C85AE0"/>
    <w:rsid w:val="00C85C90"/>
    <w:rsid w:val="00C860ED"/>
    <w:rsid w:val="00C86243"/>
    <w:rsid w:val="00C86252"/>
    <w:rsid w:val="00C86384"/>
    <w:rsid w:val="00C8644D"/>
    <w:rsid w:val="00C8651B"/>
    <w:rsid w:val="00C868F0"/>
    <w:rsid w:val="00C86A3F"/>
    <w:rsid w:val="00C86AC5"/>
    <w:rsid w:val="00C86AC9"/>
    <w:rsid w:val="00C86ADD"/>
    <w:rsid w:val="00C86B0E"/>
    <w:rsid w:val="00C86B61"/>
    <w:rsid w:val="00C86D71"/>
    <w:rsid w:val="00C87016"/>
    <w:rsid w:val="00C87130"/>
    <w:rsid w:val="00C87270"/>
    <w:rsid w:val="00C8727B"/>
    <w:rsid w:val="00C8729B"/>
    <w:rsid w:val="00C874BA"/>
    <w:rsid w:val="00C874C7"/>
    <w:rsid w:val="00C874E8"/>
    <w:rsid w:val="00C876ED"/>
    <w:rsid w:val="00C87846"/>
    <w:rsid w:val="00C87B57"/>
    <w:rsid w:val="00C87BF8"/>
    <w:rsid w:val="00C87D1B"/>
    <w:rsid w:val="00C9019C"/>
    <w:rsid w:val="00C901D4"/>
    <w:rsid w:val="00C90242"/>
    <w:rsid w:val="00C9045E"/>
    <w:rsid w:val="00C90524"/>
    <w:rsid w:val="00C90B6F"/>
    <w:rsid w:val="00C9108F"/>
    <w:rsid w:val="00C910F5"/>
    <w:rsid w:val="00C91242"/>
    <w:rsid w:val="00C913A1"/>
    <w:rsid w:val="00C91A92"/>
    <w:rsid w:val="00C91BE5"/>
    <w:rsid w:val="00C91D11"/>
    <w:rsid w:val="00C91DBF"/>
    <w:rsid w:val="00C91F83"/>
    <w:rsid w:val="00C9219D"/>
    <w:rsid w:val="00C9241D"/>
    <w:rsid w:val="00C92477"/>
    <w:rsid w:val="00C924D1"/>
    <w:rsid w:val="00C928A1"/>
    <w:rsid w:val="00C928D3"/>
    <w:rsid w:val="00C92CA5"/>
    <w:rsid w:val="00C92E60"/>
    <w:rsid w:val="00C92FA7"/>
    <w:rsid w:val="00C93045"/>
    <w:rsid w:val="00C93257"/>
    <w:rsid w:val="00C932C1"/>
    <w:rsid w:val="00C933A1"/>
    <w:rsid w:val="00C936AF"/>
    <w:rsid w:val="00C9377A"/>
    <w:rsid w:val="00C938D2"/>
    <w:rsid w:val="00C939B1"/>
    <w:rsid w:val="00C93B16"/>
    <w:rsid w:val="00C93BE2"/>
    <w:rsid w:val="00C93CC0"/>
    <w:rsid w:val="00C93CD9"/>
    <w:rsid w:val="00C93FDF"/>
    <w:rsid w:val="00C940A0"/>
    <w:rsid w:val="00C941EA"/>
    <w:rsid w:val="00C94288"/>
    <w:rsid w:val="00C944E6"/>
    <w:rsid w:val="00C9479B"/>
    <w:rsid w:val="00C947DE"/>
    <w:rsid w:val="00C9484E"/>
    <w:rsid w:val="00C9486C"/>
    <w:rsid w:val="00C948F4"/>
    <w:rsid w:val="00C94915"/>
    <w:rsid w:val="00C94A9C"/>
    <w:rsid w:val="00C94F61"/>
    <w:rsid w:val="00C9507D"/>
    <w:rsid w:val="00C9520D"/>
    <w:rsid w:val="00C95232"/>
    <w:rsid w:val="00C95478"/>
    <w:rsid w:val="00C955A9"/>
    <w:rsid w:val="00C95677"/>
    <w:rsid w:val="00C95703"/>
    <w:rsid w:val="00C95ACB"/>
    <w:rsid w:val="00C95AD1"/>
    <w:rsid w:val="00C95C27"/>
    <w:rsid w:val="00C95C2E"/>
    <w:rsid w:val="00C95CCF"/>
    <w:rsid w:val="00C95D0F"/>
    <w:rsid w:val="00C95E59"/>
    <w:rsid w:val="00C95EE9"/>
    <w:rsid w:val="00C96066"/>
    <w:rsid w:val="00C961E0"/>
    <w:rsid w:val="00C96298"/>
    <w:rsid w:val="00C962F1"/>
    <w:rsid w:val="00C96455"/>
    <w:rsid w:val="00C964AB"/>
    <w:rsid w:val="00C96501"/>
    <w:rsid w:val="00C966BF"/>
    <w:rsid w:val="00C96BDE"/>
    <w:rsid w:val="00C96D2E"/>
    <w:rsid w:val="00C96D57"/>
    <w:rsid w:val="00C96F1C"/>
    <w:rsid w:val="00C97089"/>
    <w:rsid w:val="00C97434"/>
    <w:rsid w:val="00C9753A"/>
    <w:rsid w:val="00C975A3"/>
    <w:rsid w:val="00C975B9"/>
    <w:rsid w:val="00C978D9"/>
    <w:rsid w:val="00C97E7A"/>
    <w:rsid w:val="00C97F27"/>
    <w:rsid w:val="00CA0025"/>
    <w:rsid w:val="00CA02E2"/>
    <w:rsid w:val="00CA051A"/>
    <w:rsid w:val="00CA08F4"/>
    <w:rsid w:val="00CA0AB8"/>
    <w:rsid w:val="00CA0CFF"/>
    <w:rsid w:val="00CA0DE4"/>
    <w:rsid w:val="00CA0FC1"/>
    <w:rsid w:val="00CA1259"/>
    <w:rsid w:val="00CA1477"/>
    <w:rsid w:val="00CA14DA"/>
    <w:rsid w:val="00CA1522"/>
    <w:rsid w:val="00CA15CF"/>
    <w:rsid w:val="00CA170F"/>
    <w:rsid w:val="00CA171D"/>
    <w:rsid w:val="00CA186A"/>
    <w:rsid w:val="00CA1979"/>
    <w:rsid w:val="00CA1A08"/>
    <w:rsid w:val="00CA1E53"/>
    <w:rsid w:val="00CA1E54"/>
    <w:rsid w:val="00CA1F30"/>
    <w:rsid w:val="00CA211D"/>
    <w:rsid w:val="00CA217F"/>
    <w:rsid w:val="00CA21BB"/>
    <w:rsid w:val="00CA2270"/>
    <w:rsid w:val="00CA2371"/>
    <w:rsid w:val="00CA2579"/>
    <w:rsid w:val="00CA2BCF"/>
    <w:rsid w:val="00CA2CAC"/>
    <w:rsid w:val="00CA3245"/>
    <w:rsid w:val="00CA32AB"/>
    <w:rsid w:val="00CA3425"/>
    <w:rsid w:val="00CA372C"/>
    <w:rsid w:val="00CA3A58"/>
    <w:rsid w:val="00CA3A72"/>
    <w:rsid w:val="00CA3B5D"/>
    <w:rsid w:val="00CA3D5E"/>
    <w:rsid w:val="00CA3DA4"/>
    <w:rsid w:val="00CA3E93"/>
    <w:rsid w:val="00CA3F8D"/>
    <w:rsid w:val="00CA408B"/>
    <w:rsid w:val="00CA40CB"/>
    <w:rsid w:val="00CA4186"/>
    <w:rsid w:val="00CA4260"/>
    <w:rsid w:val="00CA4445"/>
    <w:rsid w:val="00CA47CA"/>
    <w:rsid w:val="00CA48C7"/>
    <w:rsid w:val="00CA4A28"/>
    <w:rsid w:val="00CA4A78"/>
    <w:rsid w:val="00CA4CE9"/>
    <w:rsid w:val="00CA4E5F"/>
    <w:rsid w:val="00CA4FAC"/>
    <w:rsid w:val="00CA50A1"/>
    <w:rsid w:val="00CA512B"/>
    <w:rsid w:val="00CA5252"/>
    <w:rsid w:val="00CA52D1"/>
    <w:rsid w:val="00CA531C"/>
    <w:rsid w:val="00CA54B0"/>
    <w:rsid w:val="00CA56AE"/>
    <w:rsid w:val="00CA585F"/>
    <w:rsid w:val="00CA5864"/>
    <w:rsid w:val="00CA5996"/>
    <w:rsid w:val="00CA5AEC"/>
    <w:rsid w:val="00CA5B6D"/>
    <w:rsid w:val="00CA5C65"/>
    <w:rsid w:val="00CA5E62"/>
    <w:rsid w:val="00CA5F0B"/>
    <w:rsid w:val="00CA632F"/>
    <w:rsid w:val="00CA634E"/>
    <w:rsid w:val="00CA6662"/>
    <w:rsid w:val="00CA6C13"/>
    <w:rsid w:val="00CA6D4D"/>
    <w:rsid w:val="00CA6E64"/>
    <w:rsid w:val="00CA6EB3"/>
    <w:rsid w:val="00CA721E"/>
    <w:rsid w:val="00CA7285"/>
    <w:rsid w:val="00CA741C"/>
    <w:rsid w:val="00CA7688"/>
    <w:rsid w:val="00CA769E"/>
    <w:rsid w:val="00CA7708"/>
    <w:rsid w:val="00CA776D"/>
    <w:rsid w:val="00CA778C"/>
    <w:rsid w:val="00CA7C85"/>
    <w:rsid w:val="00CA7D35"/>
    <w:rsid w:val="00CA7E0D"/>
    <w:rsid w:val="00CB04C3"/>
    <w:rsid w:val="00CB055A"/>
    <w:rsid w:val="00CB06CE"/>
    <w:rsid w:val="00CB079A"/>
    <w:rsid w:val="00CB0C83"/>
    <w:rsid w:val="00CB0D73"/>
    <w:rsid w:val="00CB0F6A"/>
    <w:rsid w:val="00CB0FC9"/>
    <w:rsid w:val="00CB1184"/>
    <w:rsid w:val="00CB12F4"/>
    <w:rsid w:val="00CB130A"/>
    <w:rsid w:val="00CB14B0"/>
    <w:rsid w:val="00CB16C3"/>
    <w:rsid w:val="00CB1772"/>
    <w:rsid w:val="00CB18C8"/>
    <w:rsid w:val="00CB1E88"/>
    <w:rsid w:val="00CB1F0A"/>
    <w:rsid w:val="00CB1F67"/>
    <w:rsid w:val="00CB2123"/>
    <w:rsid w:val="00CB21B8"/>
    <w:rsid w:val="00CB21D6"/>
    <w:rsid w:val="00CB21E4"/>
    <w:rsid w:val="00CB2217"/>
    <w:rsid w:val="00CB2836"/>
    <w:rsid w:val="00CB2A46"/>
    <w:rsid w:val="00CB2CE0"/>
    <w:rsid w:val="00CB317B"/>
    <w:rsid w:val="00CB31BD"/>
    <w:rsid w:val="00CB3280"/>
    <w:rsid w:val="00CB32BE"/>
    <w:rsid w:val="00CB343F"/>
    <w:rsid w:val="00CB3665"/>
    <w:rsid w:val="00CB3BFF"/>
    <w:rsid w:val="00CB3C9C"/>
    <w:rsid w:val="00CB3D31"/>
    <w:rsid w:val="00CB3E66"/>
    <w:rsid w:val="00CB3FA5"/>
    <w:rsid w:val="00CB4064"/>
    <w:rsid w:val="00CB4065"/>
    <w:rsid w:val="00CB427A"/>
    <w:rsid w:val="00CB43C6"/>
    <w:rsid w:val="00CB441D"/>
    <w:rsid w:val="00CB44E2"/>
    <w:rsid w:val="00CB452A"/>
    <w:rsid w:val="00CB4631"/>
    <w:rsid w:val="00CB4A05"/>
    <w:rsid w:val="00CB4AC5"/>
    <w:rsid w:val="00CB4B04"/>
    <w:rsid w:val="00CB4EB4"/>
    <w:rsid w:val="00CB4F96"/>
    <w:rsid w:val="00CB4FB7"/>
    <w:rsid w:val="00CB5026"/>
    <w:rsid w:val="00CB5156"/>
    <w:rsid w:val="00CB5157"/>
    <w:rsid w:val="00CB5375"/>
    <w:rsid w:val="00CB53B0"/>
    <w:rsid w:val="00CB5611"/>
    <w:rsid w:val="00CB5620"/>
    <w:rsid w:val="00CB56B2"/>
    <w:rsid w:val="00CB584F"/>
    <w:rsid w:val="00CB59EF"/>
    <w:rsid w:val="00CB5B27"/>
    <w:rsid w:val="00CB5CDD"/>
    <w:rsid w:val="00CB5DA3"/>
    <w:rsid w:val="00CB6519"/>
    <w:rsid w:val="00CB65C9"/>
    <w:rsid w:val="00CB65FB"/>
    <w:rsid w:val="00CB6613"/>
    <w:rsid w:val="00CB6A27"/>
    <w:rsid w:val="00CB6AFC"/>
    <w:rsid w:val="00CB6C8F"/>
    <w:rsid w:val="00CB6CF6"/>
    <w:rsid w:val="00CB6FFD"/>
    <w:rsid w:val="00CB716E"/>
    <w:rsid w:val="00CB722B"/>
    <w:rsid w:val="00CB72A9"/>
    <w:rsid w:val="00CB72CD"/>
    <w:rsid w:val="00CB74A9"/>
    <w:rsid w:val="00CB7628"/>
    <w:rsid w:val="00CB78BE"/>
    <w:rsid w:val="00CB78D7"/>
    <w:rsid w:val="00CB7B37"/>
    <w:rsid w:val="00CB7C19"/>
    <w:rsid w:val="00CB7E24"/>
    <w:rsid w:val="00CB7F28"/>
    <w:rsid w:val="00CC0140"/>
    <w:rsid w:val="00CC0193"/>
    <w:rsid w:val="00CC0319"/>
    <w:rsid w:val="00CC0408"/>
    <w:rsid w:val="00CC040A"/>
    <w:rsid w:val="00CC07A4"/>
    <w:rsid w:val="00CC0841"/>
    <w:rsid w:val="00CC0ACD"/>
    <w:rsid w:val="00CC0DF2"/>
    <w:rsid w:val="00CC0E2E"/>
    <w:rsid w:val="00CC0EBC"/>
    <w:rsid w:val="00CC0EED"/>
    <w:rsid w:val="00CC1136"/>
    <w:rsid w:val="00CC13CA"/>
    <w:rsid w:val="00CC163F"/>
    <w:rsid w:val="00CC1790"/>
    <w:rsid w:val="00CC195A"/>
    <w:rsid w:val="00CC1AEC"/>
    <w:rsid w:val="00CC1E38"/>
    <w:rsid w:val="00CC1FBA"/>
    <w:rsid w:val="00CC203C"/>
    <w:rsid w:val="00CC2189"/>
    <w:rsid w:val="00CC230B"/>
    <w:rsid w:val="00CC2362"/>
    <w:rsid w:val="00CC244D"/>
    <w:rsid w:val="00CC2653"/>
    <w:rsid w:val="00CC26D9"/>
    <w:rsid w:val="00CC27E5"/>
    <w:rsid w:val="00CC288E"/>
    <w:rsid w:val="00CC298D"/>
    <w:rsid w:val="00CC2FB6"/>
    <w:rsid w:val="00CC306A"/>
    <w:rsid w:val="00CC308C"/>
    <w:rsid w:val="00CC35A1"/>
    <w:rsid w:val="00CC393E"/>
    <w:rsid w:val="00CC3C9C"/>
    <w:rsid w:val="00CC3D85"/>
    <w:rsid w:val="00CC3DC6"/>
    <w:rsid w:val="00CC3ECE"/>
    <w:rsid w:val="00CC3FB8"/>
    <w:rsid w:val="00CC4024"/>
    <w:rsid w:val="00CC40C7"/>
    <w:rsid w:val="00CC4295"/>
    <w:rsid w:val="00CC4373"/>
    <w:rsid w:val="00CC44A7"/>
    <w:rsid w:val="00CC466E"/>
    <w:rsid w:val="00CC46BD"/>
    <w:rsid w:val="00CC46C9"/>
    <w:rsid w:val="00CC4799"/>
    <w:rsid w:val="00CC4861"/>
    <w:rsid w:val="00CC4A16"/>
    <w:rsid w:val="00CC4BD5"/>
    <w:rsid w:val="00CC4C80"/>
    <w:rsid w:val="00CC5079"/>
    <w:rsid w:val="00CC5136"/>
    <w:rsid w:val="00CC5156"/>
    <w:rsid w:val="00CC54D1"/>
    <w:rsid w:val="00CC555B"/>
    <w:rsid w:val="00CC5575"/>
    <w:rsid w:val="00CC5818"/>
    <w:rsid w:val="00CC5831"/>
    <w:rsid w:val="00CC5A64"/>
    <w:rsid w:val="00CC5A83"/>
    <w:rsid w:val="00CC5C61"/>
    <w:rsid w:val="00CC5D12"/>
    <w:rsid w:val="00CC5E1E"/>
    <w:rsid w:val="00CC5F21"/>
    <w:rsid w:val="00CC5F7A"/>
    <w:rsid w:val="00CC6368"/>
    <w:rsid w:val="00CC63BA"/>
    <w:rsid w:val="00CC65F4"/>
    <w:rsid w:val="00CC673F"/>
    <w:rsid w:val="00CC6797"/>
    <w:rsid w:val="00CC69C7"/>
    <w:rsid w:val="00CC69DB"/>
    <w:rsid w:val="00CC6A01"/>
    <w:rsid w:val="00CC6A99"/>
    <w:rsid w:val="00CC6B4F"/>
    <w:rsid w:val="00CC6BBE"/>
    <w:rsid w:val="00CC6E0B"/>
    <w:rsid w:val="00CC6FC4"/>
    <w:rsid w:val="00CC707C"/>
    <w:rsid w:val="00CC70B8"/>
    <w:rsid w:val="00CC7292"/>
    <w:rsid w:val="00CC73E3"/>
    <w:rsid w:val="00CC74CB"/>
    <w:rsid w:val="00CC7602"/>
    <w:rsid w:val="00CC7618"/>
    <w:rsid w:val="00CC78B3"/>
    <w:rsid w:val="00CC7AC7"/>
    <w:rsid w:val="00CC7B4A"/>
    <w:rsid w:val="00CC7F32"/>
    <w:rsid w:val="00CC7F79"/>
    <w:rsid w:val="00CD01BA"/>
    <w:rsid w:val="00CD026A"/>
    <w:rsid w:val="00CD0528"/>
    <w:rsid w:val="00CD06A9"/>
    <w:rsid w:val="00CD07B9"/>
    <w:rsid w:val="00CD097F"/>
    <w:rsid w:val="00CD0A42"/>
    <w:rsid w:val="00CD0E3E"/>
    <w:rsid w:val="00CD0E93"/>
    <w:rsid w:val="00CD1176"/>
    <w:rsid w:val="00CD12C1"/>
    <w:rsid w:val="00CD136F"/>
    <w:rsid w:val="00CD137A"/>
    <w:rsid w:val="00CD1591"/>
    <w:rsid w:val="00CD161B"/>
    <w:rsid w:val="00CD1BFF"/>
    <w:rsid w:val="00CD1C19"/>
    <w:rsid w:val="00CD1DFA"/>
    <w:rsid w:val="00CD1DFE"/>
    <w:rsid w:val="00CD1E5A"/>
    <w:rsid w:val="00CD1EB9"/>
    <w:rsid w:val="00CD1F06"/>
    <w:rsid w:val="00CD1FBA"/>
    <w:rsid w:val="00CD2068"/>
    <w:rsid w:val="00CD212D"/>
    <w:rsid w:val="00CD2305"/>
    <w:rsid w:val="00CD2684"/>
    <w:rsid w:val="00CD26E1"/>
    <w:rsid w:val="00CD2720"/>
    <w:rsid w:val="00CD2A3A"/>
    <w:rsid w:val="00CD2A99"/>
    <w:rsid w:val="00CD2AA2"/>
    <w:rsid w:val="00CD2AF9"/>
    <w:rsid w:val="00CD2CFA"/>
    <w:rsid w:val="00CD3149"/>
    <w:rsid w:val="00CD3201"/>
    <w:rsid w:val="00CD3288"/>
    <w:rsid w:val="00CD38AF"/>
    <w:rsid w:val="00CD3906"/>
    <w:rsid w:val="00CD39F0"/>
    <w:rsid w:val="00CD3B26"/>
    <w:rsid w:val="00CD3BBA"/>
    <w:rsid w:val="00CD3DBA"/>
    <w:rsid w:val="00CD3FAE"/>
    <w:rsid w:val="00CD4055"/>
    <w:rsid w:val="00CD417E"/>
    <w:rsid w:val="00CD4317"/>
    <w:rsid w:val="00CD4578"/>
    <w:rsid w:val="00CD4749"/>
    <w:rsid w:val="00CD47B1"/>
    <w:rsid w:val="00CD4B6C"/>
    <w:rsid w:val="00CD4D5C"/>
    <w:rsid w:val="00CD4DFB"/>
    <w:rsid w:val="00CD4E3A"/>
    <w:rsid w:val="00CD4E45"/>
    <w:rsid w:val="00CD50FF"/>
    <w:rsid w:val="00CD5611"/>
    <w:rsid w:val="00CD5835"/>
    <w:rsid w:val="00CD58CC"/>
    <w:rsid w:val="00CD5916"/>
    <w:rsid w:val="00CD597D"/>
    <w:rsid w:val="00CD5B3B"/>
    <w:rsid w:val="00CD5B5D"/>
    <w:rsid w:val="00CD5FB4"/>
    <w:rsid w:val="00CD61DC"/>
    <w:rsid w:val="00CD62E0"/>
    <w:rsid w:val="00CD6469"/>
    <w:rsid w:val="00CD6702"/>
    <w:rsid w:val="00CD6753"/>
    <w:rsid w:val="00CD68CE"/>
    <w:rsid w:val="00CD6A5A"/>
    <w:rsid w:val="00CD6B0E"/>
    <w:rsid w:val="00CD6D34"/>
    <w:rsid w:val="00CD6E43"/>
    <w:rsid w:val="00CD6E4C"/>
    <w:rsid w:val="00CD6FA2"/>
    <w:rsid w:val="00CD6FC7"/>
    <w:rsid w:val="00CD703B"/>
    <w:rsid w:val="00CD7172"/>
    <w:rsid w:val="00CD721C"/>
    <w:rsid w:val="00CD72E2"/>
    <w:rsid w:val="00CD749F"/>
    <w:rsid w:val="00CD7620"/>
    <w:rsid w:val="00CD7647"/>
    <w:rsid w:val="00CD77BD"/>
    <w:rsid w:val="00CD77F3"/>
    <w:rsid w:val="00CD7899"/>
    <w:rsid w:val="00CD792A"/>
    <w:rsid w:val="00CD7AE8"/>
    <w:rsid w:val="00CD7BF4"/>
    <w:rsid w:val="00CD7DCC"/>
    <w:rsid w:val="00CD7E0B"/>
    <w:rsid w:val="00CD7E67"/>
    <w:rsid w:val="00CE0078"/>
    <w:rsid w:val="00CE017E"/>
    <w:rsid w:val="00CE02CC"/>
    <w:rsid w:val="00CE03BE"/>
    <w:rsid w:val="00CE03F4"/>
    <w:rsid w:val="00CE0841"/>
    <w:rsid w:val="00CE08E0"/>
    <w:rsid w:val="00CE0923"/>
    <w:rsid w:val="00CE0995"/>
    <w:rsid w:val="00CE0B24"/>
    <w:rsid w:val="00CE0B30"/>
    <w:rsid w:val="00CE0C8F"/>
    <w:rsid w:val="00CE0E1F"/>
    <w:rsid w:val="00CE1272"/>
    <w:rsid w:val="00CE1297"/>
    <w:rsid w:val="00CE1375"/>
    <w:rsid w:val="00CE1481"/>
    <w:rsid w:val="00CE14FB"/>
    <w:rsid w:val="00CE1BF0"/>
    <w:rsid w:val="00CE1C85"/>
    <w:rsid w:val="00CE1D5A"/>
    <w:rsid w:val="00CE1E07"/>
    <w:rsid w:val="00CE1E65"/>
    <w:rsid w:val="00CE1EA1"/>
    <w:rsid w:val="00CE1FAF"/>
    <w:rsid w:val="00CE20E8"/>
    <w:rsid w:val="00CE2320"/>
    <w:rsid w:val="00CE2391"/>
    <w:rsid w:val="00CE23FE"/>
    <w:rsid w:val="00CE265D"/>
    <w:rsid w:val="00CE26C0"/>
    <w:rsid w:val="00CE2735"/>
    <w:rsid w:val="00CE297F"/>
    <w:rsid w:val="00CE2AF6"/>
    <w:rsid w:val="00CE2AFA"/>
    <w:rsid w:val="00CE2FE7"/>
    <w:rsid w:val="00CE30B1"/>
    <w:rsid w:val="00CE310E"/>
    <w:rsid w:val="00CE3162"/>
    <w:rsid w:val="00CE3289"/>
    <w:rsid w:val="00CE328D"/>
    <w:rsid w:val="00CE34C3"/>
    <w:rsid w:val="00CE3570"/>
    <w:rsid w:val="00CE362E"/>
    <w:rsid w:val="00CE37E5"/>
    <w:rsid w:val="00CE3A7A"/>
    <w:rsid w:val="00CE3D64"/>
    <w:rsid w:val="00CE3EC9"/>
    <w:rsid w:val="00CE3FA7"/>
    <w:rsid w:val="00CE404F"/>
    <w:rsid w:val="00CE42A2"/>
    <w:rsid w:val="00CE440E"/>
    <w:rsid w:val="00CE4471"/>
    <w:rsid w:val="00CE4480"/>
    <w:rsid w:val="00CE44D0"/>
    <w:rsid w:val="00CE457D"/>
    <w:rsid w:val="00CE45FB"/>
    <w:rsid w:val="00CE4961"/>
    <w:rsid w:val="00CE4A54"/>
    <w:rsid w:val="00CE4EBE"/>
    <w:rsid w:val="00CE4EE6"/>
    <w:rsid w:val="00CE4FB2"/>
    <w:rsid w:val="00CE518E"/>
    <w:rsid w:val="00CE52B9"/>
    <w:rsid w:val="00CE5429"/>
    <w:rsid w:val="00CE54DF"/>
    <w:rsid w:val="00CE5527"/>
    <w:rsid w:val="00CE5777"/>
    <w:rsid w:val="00CE5807"/>
    <w:rsid w:val="00CE5840"/>
    <w:rsid w:val="00CE5F6E"/>
    <w:rsid w:val="00CE6064"/>
    <w:rsid w:val="00CE64A4"/>
    <w:rsid w:val="00CE660F"/>
    <w:rsid w:val="00CE6898"/>
    <w:rsid w:val="00CE6916"/>
    <w:rsid w:val="00CE6934"/>
    <w:rsid w:val="00CE6A1D"/>
    <w:rsid w:val="00CE6A27"/>
    <w:rsid w:val="00CE6AEF"/>
    <w:rsid w:val="00CE6D5F"/>
    <w:rsid w:val="00CE7511"/>
    <w:rsid w:val="00CE76A4"/>
    <w:rsid w:val="00CE778F"/>
    <w:rsid w:val="00CE7889"/>
    <w:rsid w:val="00CE79BD"/>
    <w:rsid w:val="00CE7AF8"/>
    <w:rsid w:val="00CE7D18"/>
    <w:rsid w:val="00CE7F1A"/>
    <w:rsid w:val="00CE7FDC"/>
    <w:rsid w:val="00CF0030"/>
    <w:rsid w:val="00CF0260"/>
    <w:rsid w:val="00CF0315"/>
    <w:rsid w:val="00CF032A"/>
    <w:rsid w:val="00CF0391"/>
    <w:rsid w:val="00CF03A9"/>
    <w:rsid w:val="00CF0617"/>
    <w:rsid w:val="00CF0620"/>
    <w:rsid w:val="00CF0658"/>
    <w:rsid w:val="00CF065E"/>
    <w:rsid w:val="00CF0752"/>
    <w:rsid w:val="00CF082D"/>
    <w:rsid w:val="00CF09A9"/>
    <w:rsid w:val="00CF0A47"/>
    <w:rsid w:val="00CF0CFE"/>
    <w:rsid w:val="00CF0E65"/>
    <w:rsid w:val="00CF0ED1"/>
    <w:rsid w:val="00CF1007"/>
    <w:rsid w:val="00CF1183"/>
    <w:rsid w:val="00CF1191"/>
    <w:rsid w:val="00CF1287"/>
    <w:rsid w:val="00CF1300"/>
    <w:rsid w:val="00CF13BE"/>
    <w:rsid w:val="00CF13DF"/>
    <w:rsid w:val="00CF143A"/>
    <w:rsid w:val="00CF1474"/>
    <w:rsid w:val="00CF147A"/>
    <w:rsid w:val="00CF160F"/>
    <w:rsid w:val="00CF1652"/>
    <w:rsid w:val="00CF1671"/>
    <w:rsid w:val="00CF177A"/>
    <w:rsid w:val="00CF17B4"/>
    <w:rsid w:val="00CF1B64"/>
    <w:rsid w:val="00CF1BAB"/>
    <w:rsid w:val="00CF1C73"/>
    <w:rsid w:val="00CF1DC9"/>
    <w:rsid w:val="00CF1FFA"/>
    <w:rsid w:val="00CF2041"/>
    <w:rsid w:val="00CF24F0"/>
    <w:rsid w:val="00CF251A"/>
    <w:rsid w:val="00CF2584"/>
    <w:rsid w:val="00CF2729"/>
    <w:rsid w:val="00CF2D13"/>
    <w:rsid w:val="00CF2D50"/>
    <w:rsid w:val="00CF31EB"/>
    <w:rsid w:val="00CF32FA"/>
    <w:rsid w:val="00CF3347"/>
    <w:rsid w:val="00CF33C6"/>
    <w:rsid w:val="00CF34A7"/>
    <w:rsid w:val="00CF368A"/>
    <w:rsid w:val="00CF390D"/>
    <w:rsid w:val="00CF39F7"/>
    <w:rsid w:val="00CF3A1C"/>
    <w:rsid w:val="00CF3D66"/>
    <w:rsid w:val="00CF3DD2"/>
    <w:rsid w:val="00CF3F4B"/>
    <w:rsid w:val="00CF406F"/>
    <w:rsid w:val="00CF40A1"/>
    <w:rsid w:val="00CF428F"/>
    <w:rsid w:val="00CF4660"/>
    <w:rsid w:val="00CF4840"/>
    <w:rsid w:val="00CF4913"/>
    <w:rsid w:val="00CF49AF"/>
    <w:rsid w:val="00CF4A97"/>
    <w:rsid w:val="00CF4DB8"/>
    <w:rsid w:val="00CF4E5B"/>
    <w:rsid w:val="00CF4F8D"/>
    <w:rsid w:val="00CF522B"/>
    <w:rsid w:val="00CF5370"/>
    <w:rsid w:val="00CF53C7"/>
    <w:rsid w:val="00CF5406"/>
    <w:rsid w:val="00CF54DE"/>
    <w:rsid w:val="00CF5658"/>
    <w:rsid w:val="00CF58BB"/>
    <w:rsid w:val="00CF59A1"/>
    <w:rsid w:val="00CF59F0"/>
    <w:rsid w:val="00CF5A76"/>
    <w:rsid w:val="00CF5CFB"/>
    <w:rsid w:val="00CF5E77"/>
    <w:rsid w:val="00CF6070"/>
    <w:rsid w:val="00CF6252"/>
    <w:rsid w:val="00CF67B3"/>
    <w:rsid w:val="00CF6869"/>
    <w:rsid w:val="00CF6971"/>
    <w:rsid w:val="00CF6EEB"/>
    <w:rsid w:val="00CF70D0"/>
    <w:rsid w:val="00CF7222"/>
    <w:rsid w:val="00CF724D"/>
    <w:rsid w:val="00CF7253"/>
    <w:rsid w:val="00CF7464"/>
    <w:rsid w:val="00CF74F2"/>
    <w:rsid w:val="00CF792E"/>
    <w:rsid w:val="00CF7F2B"/>
    <w:rsid w:val="00D003A7"/>
    <w:rsid w:val="00D003BA"/>
    <w:rsid w:val="00D00AA3"/>
    <w:rsid w:val="00D00BB5"/>
    <w:rsid w:val="00D00BC3"/>
    <w:rsid w:val="00D00EF4"/>
    <w:rsid w:val="00D010B4"/>
    <w:rsid w:val="00D010D9"/>
    <w:rsid w:val="00D01114"/>
    <w:rsid w:val="00D013E5"/>
    <w:rsid w:val="00D013EA"/>
    <w:rsid w:val="00D014F1"/>
    <w:rsid w:val="00D0157B"/>
    <w:rsid w:val="00D016E7"/>
    <w:rsid w:val="00D0170A"/>
    <w:rsid w:val="00D01837"/>
    <w:rsid w:val="00D01A8B"/>
    <w:rsid w:val="00D01C7F"/>
    <w:rsid w:val="00D0206F"/>
    <w:rsid w:val="00D0219F"/>
    <w:rsid w:val="00D0227B"/>
    <w:rsid w:val="00D024D4"/>
    <w:rsid w:val="00D0288F"/>
    <w:rsid w:val="00D02982"/>
    <w:rsid w:val="00D029E4"/>
    <w:rsid w:val="00D02A66"/>
    <w:rsid w:val="00D02C70"/>
    <w:rsid w:val="00D02EA7"/>
    <w:rsid w:val="00D02EE0"/>
    <w:rsid w:val="00D031EE"/>
    <w:rsid w:val="00D033DD"/>
    <w:rsid w:val="00D0351B"/>
    <w:rsid w:val="00D03855"/>
    <w:rsid w:val="00D03B04"/>
    <w:rsid w:val="00D03E26"/>
    <w:rsid w:val="00D040C2"/>
    <w:rsid w:val="00D0444D"/>
    <w:rsid w:val="00D044A2"/>
    <w:rsid w:val="00D04791"/>
    <w:rsid w:val="00D04902"/>
    <w:rsid w:val="00D04AA2"/>
    <w:rsid w:val="00D05141"/>
    <w:rsid w:val="00D05294"/>
    <w:rsid w:val="00D05320"/>
    <w:rsid w:val="00D05384"/>
    <w:rsid w:val="00D053BA"/>
    <w:rsid w:val="00D0543F"/>
    <w:rsid w:val="00D054FD"/>
    <w:rsid w:val="00D0579B"/>
    <w:rsid w:val="00D058D3"/>
    <w:rsid w:val="00D05C4A"/>
    <w:rsid w:val="00D05CE2"/>
    <w:rsid w:val="00D05D50"/>
    <w:rsid w:val="00D0608E"/>
    <w:rsid w:val="00D0612E"/>
    <w:rsid w:val="00D06287"/>
    <w:rsid w:val="00D063BF"/>
    <w:rsid w:val="00D064FC"/>
    <w:rsid w:val="00D065E6"/>
    <w:rsid w:val="00D0683C"/>
    <w:rsid w:val="00D06A90"/>
    <w:rsid w:val="00D07305"/>
    <w:rsid w:val="00D0745C"/>
    <w:rsid w:val="00D07628"/>
    <w:rsid w:val="00D0770C"/>
    <w:rsid w:val="00D07846"/>
    <w:rsid w:val="00D0785D"/>
    <w:rsid w:val="00D078F7"/>
    <w:rsid w:val="00D07D80"/>
    <w:rsid w:val="00D07DF7"/>
    <w:rsid w:val="00D07F73"/>
    <w:rsid w:val="00D07FF1"/>
    <w:rsid w:val="00D10196"/>
    <w:rsid w:val="00D10258"/>
    <w:rsid w:val="00D105D9"/>
    <w:rsid w:val="00D10604"/>
    <w:rsid w:val="00D10894"/>
    <w:rsid w:val="00D10947"/>
    <w:rsid w:val="00D10B91"/>
    <w:rsid w:val="00D10DF5"/>
    <w:rsid w:val="00D10F42"/>
    <w:rsid w:val="00D1116B"/>
    <w:rsid w:val="00D1149E"/>
    <w:rsid w:val="00D1150F"/>
    <w:rsid w:val="00D11591"/>
    <w:rsid w:val="00D11CCA"/>
    <w:rsid w:val="00D11DA3"/>
    <w:rsid w:val="00D122ED"/>
    <w:rsid w:val="00D12320"/>
    <w:rsid w:val="00D126AC"/>
    <w:rsid w:val="00D126C4"/>
    <w:rsid w:val="00D127B6"/>
    <w:rsid w:val="00D12991"/>
    <w:rsid w:val="00D12998"/>
    <w:rsid w:val="00D12C48"/>
    <w:rsid w:val="00D12CF5"/>
    <w:rsid w:val="00D13038"/>
    <w:rsid w:val="00D131D0"/>
    <w:rsid w:val="00D135C2"/>
    <w:rsid w:val="00D1364C"/>
    <w:rsid w:val="00D137F9"/>
    <w:rsid w:val="00D1388B"/>
    <w:rsid w:val="00D139BC"/>
    <w:rsid w:val="00D139DB"/>
    <w:rsid w:val="00D13B95"/>
    <w:rsid w:val="00D13DFB"/>
    <w:rsid w:val="00D13E54"/>
    <w:rsid w:val="00D1410F"/>
    <w:rsid w:val="00D14118"/>
    <w:rsid w:val="00D142A3"/>
    <w:rsid w:val="00D14489"/>
    <w:rsid w:val="00D1454A"/>
    <w:rsid w:val="00D1457E"/>
    <w:rsid w:val="00D14752"/>
    <w:rsid w:val="00D1476B"/>
    <w:rsid w:val="00D148B6"/>
    <w:rsid w:val="00D148CE"/>
    <w:rsid w:val="00D14AB1"/>
    <w:rsid w:val="00D14D56"/>
    <w:rsid w:val="00D14EC0"/>
    <w:rsid w:val="00D14F85"/>
    <w:rsid w:val="00D14FE3"/>
    <w:rsid w:val="00D15021"/>
    <w:rsid w:val="00D150A9"/>
    <w:rsid w:val="00D152C6"/>
    <w:rsid w:val="00D153F3"/>
    <w:rsid w:val="00D1559D"/>
    <w:rsid w:val="00D15759"/>
    <w:rsid w:val="00D1578C"/>
    <w:rsid w:val="00D157AA"/>
    <w:rsid w:val="00D159ED"/>
    <w:rsid w:val="00D15AE3"/>
    <w:rsid w:val="00D15BD3"/>
    <w:rsid w:val="00D15C1A"/>
    <w:rsid w:val="00D16011"/>
    <w:rsid w:val="00D16020"/>
    <w:rsid w:val="00D1646B"/>
    <w:rsid w:val="00D16985"/>
    <w:rsid w:val="00D169FC"/>
    <w:rsid w:val="00D16C9E"/>
    <w:rsid w:val="00D16DE5"/>
    <w:rsid w:val="00D16F6B"/>
    <w:rsid w:val="00D16FE8"/>
    <w:rsid w:val="00D17065"/>
    <w:rsid w:val="00D170CD"/>
    <w:rsid w:val="00D170DE"/>
    <w:rsid w:val="00D17198"/>
    <w:rsid w:val="00D1739F"/>
    <w:rsid w:val="00D17408"/>
    <w:rsid w:val="00D175FA"/>
    <w:rsid w:val="00D17883"/>
    <w:rsid w:val="00D178A4"/>
    <w:rsid w:val="00D17A89"/>
    <w:rsid w:val="00D17B74"/>
    <w:rsid w:val="00D17BE1"/>
    <w:rsid w:val="00D17C37"/>
    <w:rsid w:val="00D17C5F"/>
    <w:rsid w:val="00D17E64"/>
    <w:rsid w:val="00D17F92"/>
    <w:rsid w:val="00D20020"/>
    <w:rsid w:val="00D20288"/>
    <w:rsid w:val="00D203D5"/>
    <w:rsid w:val="00D2041C"/>
    <w:rsid w:val="00D20510"/>
    <w:rsid w:val="00D20881"/>
    <w:rsid w:val="00D20B71"/>
    <w:rsid w:val="00D20BD8"/>
    <w:rsid w:val="00D210FC"/>
    <w:rsid w:val="00D2115B"/>
    <w:rsid w:val="00D21318"/>
    <w:rsid w:val="00D21472"/>
    <w:rsid w:val="00D2159A"/>
    <w:rsid w:val="00D216A2"/>
    <w:rsid w:val="00D21821"/>
    <w:rsid w:val="00D21901"/>
    <w:rsid w:val="00D2196E"/>
    <w:rsid w:val="00D219F7"/>
    <w:rsid w:val="00D21BDD"/>
    <w:rsid w:val="00D21D8A"/>
    <w:rsid w:val="00D22138"/>
    <w:rsid w:val="00D221CD"/>
    <w:rsid w:val="00D22283"/>
    <w:rsid w:val="00D222A5"/>
    <w:rsid w:val="00D22304"/>
    <w:rsid w:val="00D223B4"/>
    <w:rsid w:val="00D2269B"/>
    <w:rsid w:val="00D227CE"/>
    <w:rsid w:val="00D22FA2"/>
    <w:rsid w:val="00D23229"/>
    <w:rsid w:val="00D2327E"/>
    <w:rsid w:val="00D23493"/>
    <w:rsid w:val="00D23577"/>
    <w:rsid w:val="00D236A5"/>
    <w:rsid w:val="00D23A55"/>
    <w:rsid w:val="00D23A80"/>
    <w:rsid w:val="00D23B13"/>
    <w:rsid w:val="00D23F0C"/>
    <w:rsid w:val="00D2433B"/>
    <w:rsid w:val="00D24626"/>
    <w:rsid w:val="00D247B8"/>
    <w:rsid w:val="00D24A68"/>
    <w:rsid w:val="00D24BF5"/>
    <w:rsid w:val="00D24C9C"/>
    <w:rsid w:val="00D24CE4"/>
    <w:rsid w:val="00D25273"/>
    <w:rsid w:val="00D252DF"/>
    <w:rsid w:val="00D2536C"/>
    <w:rsid w:val="00D25416"/>
    <w:rsid w:val="00D255BE"/>
    <w:rsid w:val="00D25824"/>
    <w:rsid w:val="00D258AA"/>
    <w:rsid w:val="00D25A07"/>
    <w:rsid w:val="00D25A3D"/>
    <w:rsid w:val="00D25ADE"/>
    <w:rsid w:val="00D25CCA"/>
    <w:rsid w:val="00D25F4C"/>
    <w:rsid w:val="00D25F5B"/>
    <w:rsid w:val="00D25F8C"/>
    <w:rsid w:val="00D262CE"/>
    <w:rsid w:val="00D263E7"/>
    <w:rsid w:val="00D2640B"/>
    <w:rsid w:val="00D26552"/>
    <w:rsid w:val="00D267A1"/>
    <w:rsid w:val="00D26DCC"/>
    <w:rsid w:val="00D26E2F"/>
    <w:rsid w:val="00D27353"/>
    <w:rsid w:val="00D27369"/>
    <w:rsid w:val="00D274F6"/>
    <w:rsid w:val="00D275D2"/>
    <w:rsid w:val="00D27771"/>
    <w:rsid w:val="00D27777"/>
    <w:rsid w:val="00D278BE"/>
    <w:rsid w:val="00D27D8A"/>
    <w:rsid w:val="00D27F4B"/>
    <w:rsid w:val="00D30144"/>
    <w:rsid w:val="00D30358"/>
    <w:rsid w:val="00D30417"/>
    <w:rsid w:val="00D305C2"/>
    <w:rsid w:val="00D30603"/>
    <w:rsid w:val="00D30765"/>
    <w:rsid w:val="00D307AE"/>
    <w:rsid w:val="00D3086B"/>
    <w:rsid w:val="00D30AE3"/>
    <w:rsid w:val="00D30B0E"/>
    <w:rsid w:val="00D30BB4"/>
    <w:rsid w:val="00D30BBA"/>
    <w:rsid w:val="00D30C3E"/>
    <w:rsid w:val="00D30CF7"/>
    <w:rsid w:val="00D30DB1"/>
    <w:rsid w:val="00D30EA8"/>
    <w:rsid w:val="00D30EDA"/>
    <w:rsid w:val="00D30F20"/>
    <w:rsid w:val="00D31271"/>
    <w:rsid w:val="00D31329"/>
    <w:rsid w:val="00D313F3"/>
    <w:rsid w:val="00D31C53"/>
    <w:rsid w:val="00D31C87"/>
    <w:rsid w:val="00D31CA8"/>
    <w:rsid w:val="00D31DD3"/>
    <w:rsid w:val="00D31EFA"/>
    <w:rsid w:val="00D31F69"/>
    <w:rsid w:val="00D31F7C"/>
    <w:rsid w:val="00D32046"/>
    <w:rsid w:val="00D320BB"/>
    <w:rsid w:val="00D32137"/>
    <w:rsid w:val="00D32567"/>
    <w:rsid w:val="00D3257D"/>
    <w:rsid w:val="00D32652"/>
    <w:rsid w:val="00D32994"/>
    <w:rsid w:val="00D329D7"/>
    <w:rsid w:val="00D32B4A"/>
    <w:rsid w:val="00D32DB0"/>
    <w:rsid w:val="00D32DCA"/>
    <w:rsid w:val="00D32FCC"/>
    <w:rsid w:val="00D330D2"/>
    <w:rsid w:val="00D330E5"/>
    <w:rsid w:val="00D33C7A"/>
    <w:rsid w:val="00D33CA7"/>
    <w:rsid w:val="00D33EE3"/>
    <w:rsid w:val="00D33F2C"/>
    <w:rsid w:val="00D33F93"/>
    <w:rsid w:val="00D33FC7"/>
    <w:rsid w:val="00D3400A"/>
    <w:rsid w:val="00D34109"/>
    <w:rsid w:val="00D342BE"/>
    <w:rsid w:val="00D3434E"/>
    <w:rsid w:val="00D343B0"/>
    <w:rsid w:val="00D34496"/>
    <w:rsid w:val="00D3460F"/>
    <w:rsid w:val="00D34678"/>
    <w:rsid w:val="00D34A5A"/>
    <w:rsid w:val="00D34C52"/>
    <w:rsid w:val="00D34E51"/>
    <w:rsid w:val="00D34F90"/>
    <w:rsid w:val="00D34FD1"/>
    <w:rsid w:val="00D351B9"/>
    <w:rsid w:val="00D35299"/>
    <w:rsid w:val="00D35321"/>
    <w:rsid w:val="00D35365"/>
    <w:rsid w:val="00D35823"/>
    <w:rsid w:val="00D35954"/>
    <w:rsid w:val="00D35B0E"/>
    <w:rsid w:val="00D35B6D"/>
    <w:rsid w:val="00D35BC8"/>
    <w:rsid w:val="00D35DD2"/>
    <w:rsid w:val="00D35E5C"/>
    <w:rsid w:val="00D368B0"/>
    <w:rsid w:val="00D368D9"/>
    <w:rsid w:val="00D36991"/>
    <w:rsid w:val="00D36EAE"/>
    <w:rsid w:val="00D3745D"/>
    <w:rsid w:val="00D376E6"/>
    <w:rsid w:val="00D379BF"/>
    <w:rsid w:val="00D379F7"/>
    <w:rsid w:val="00D37BC8"/>
    <w:rsid w:val="00D400DA"/>
    <w:rsid w:val="00D401F8"/>
    <w:rsid w:val="00D403F0"/>
    <w:rsid w:val="00D40478"/>
    <w:rsid w:val="00D40488"/>
    <w:rsid w:val="00D40566"/>
    <w:rsid w:val="00D40D1D"/>
    <w:rsid w:val="00D412B2"/>
    <w:rsid w:val="00D4138D"/>
    <w:rsid w:val="00D41457"/>
    <w:rsid w:val="00D41C22"/>
    <w:rsid w:val="00D41C6F"/>
    <w:rsid w:val="00D41D5B"/>
    <w:rsid w:val="00D41EC3"/>
    <w:rsid w:val="00D42704"/>
    <w:rsid w:val="00D42995"/>
    <w:rsid w:val="00D42AAA"/>
    <w:rsid w:val="00D42AAE"/>
    <w:rsid w:val="00D42EA0"/>
    <w:rsid w:val="00D4323C"/>
    <w:rsid w:val="00D4326F"/>
    <w:rsid w:val="00D43297"/>
    <w:rsid w:val="00D4359A"/>
    <w:rsid w:val="00D436FF"/>
    <w:rsid w:val="00D437C2"/>
    <w:rsid w:val="00D438DD"/>
    <w:rsid w:val="00D43CED"/>
    <w:rsid w:val="00D43DD1"/>
    <w:rsid w:val="00D43FE3"/>
    <w:rsid w:val="00D440E6"/>
    <w:rsid w:val="00D441DC"/>
    <w:rsid w:val="00D4435D"/>
    <w:rsid w:val="00D445F3"/>
    <w:rsid w:val="00D446F2"/>
    <w:rsid w:val="00D44788"/>
    <w:rsid w:val="00D44A27"/>
    <w:rsid w:val="00D44A3A"/>
    <w:rsid w:val="00D44CF5"/>
    <w:rsid w:val="00D44DB6"/>
    <w:rsid w:val="00D44E31"/>
    <w:rsid w:val="00D44F39"/>
    <w:rsid w:val="00D44FBD"/>
    <w:rsid w:val="00D4506B"/>
    <w:rsid w:val="00D450CA"/>
    <w:rsid w:val="00D45495"/>
    <w:rsid w:val="00D4557C"/>
    <w:rsid w:val="00D458DE"/>
    <w:rsid w:val="00D45B0C"/>
    <w:rsid w:val="00D45D09"/>
    <w:rsid w:val="00D46192"/>
    <w:rsid w:val="00D461E4"/>
    <w:rsid w:val="00D46475"/>
    <w:rsid w:val="00D4647F"/>
    <w:rsid w:val="00D465F4"/>
    <w:rsid w:val="00D4660B"/>
    <w:rsid w:val="00D466A4"/>
    <w:rsid w:val="00D46864"/>
    <w:rsid w:val="00D46C66"/>
    <w:rsid w:val="00D46D0D"/>
    <w:rsid w:val="00D46DF0"/>
    <w:rsid w:val="00D46E6A"/>
    <w:rsid w:val="00D47630"/>
    <w:rsid w:val="00D4778D"/>
    <w:rsid w:val="00D47A4D"/>
    <w:rsid w:val="00D47B67"/>
    <w:rsid w:val="00D47BDF"/>
    <w:rsid w:val="00D47C15"/>
    <w:rsid w:val="00D47E21"/>
    <w:rsid w:val="00D47E69"/>
    <w:rsid w:val="00D47EB3"/>
    <w:rsid w:val="00D47FBC"/>
    <w:rsid w:val="00D50119"/>
    <w:rsid w:val="00D505A2"/>
    <w:rsid w:val="00D50980"/>
    <w:rsid w:val="00D50B91"/>
    <w:rsid w:val="00D50DB7"/>
    <w:rsid w:val="00D50E05"/>
    <w:rsid w:val="00D50F62"/>
    <w:rsid w:val="00D513B0"/>
    <w:rsid w:val="00D51490"/>
    <w:rsid w:val="00D51694"/>
    <w:rsid w:val="00D516DE"/>
    <w:rsid w:val="00D517A9"/>
    <w:rsid w:val="00D518D7"/>
    <w:rsid w:val="00D5195C"/>
    <w:rsid w:val="00D51C0C"/>
    <w:rsid w:val="00D51D57"/>
    <w:rsid w:val="00D51DE8"/>
    <w:rsid w:val="00D520C5"/>
    <w:rsid w:val="00D5227F"/>
    <w:rsid w:val="00D52325"/>
    <w:rsid w:val="00D52360"/>
    <w:rsid w:val="00D523FB"/>
    <w:rsid w:val="00D5249E"/>
    <w:rsid w:val="00D524ED"/>
    <w:rsid w:val="00D52560"/>
    <w:rsid w:val="00D52C5F"/>
    <w:rsid w:val="00D52E35"/>
    <w:rsid w:val="00D52F3C"/>
    <w:rsid w:val="00D52FAD"/>
    <w:rsid w:val="00D52FC4"/>
    <w:rsid w:val="00D53180"/>
    <w:rsid w:val="00D536A7"/>
    <w:rsid w:val="00D537D9"/>
    <w:rsid w:val="00D539C0"/>
    <w:rsid w:val="00D53BA1"/>
    <w:rsid w:val="00D53C0F"/>
    <w:rsid w:val="00D53D11"/>
    <w:rsid w:val="00D53D6B"/>
    <w:rsid w:val="00D53D91"/>
    <w:rsid w:val="00D5402D"/>
    <w:rsid w:val="00D54111"/>
    <w:rsid w:val="00D54485"/>
    <w:rsid w:val="00D5478D"/>
    <w:rsid w:val="00D548DA"/>
    <w:rsid w:val="00D54987"/>
    <w:rsid w:val="00D54A3D"/>
    <w:rsid w:val="00D54FBE"/>
    <w:rsid w:val="00D55241"/>
    <w:rsid w:val="00D55295"/>
    <w:rsid w:val="00D552AE"/>
    <w:rsid w:val="00D552ED"/>
    <w:rsid w:val="00D55437"/>
    <w:rsid w:val="00D5543F"/>
    <w:rsid w:val="00D55656"/>
    <w:rsid w:val="00D55861"/>
    <w:rsid w:val="00D5593B"/>
    <w:rsid w:val="00D559F7"/>
    <w:rsid w:val="00D55C29"/>
    <w:rsid w:val="00D55DA0"/>
    <w:rsid w:val="00D5605D"/>
    <w:rsid w:val="00D56519"/>
    <w:rsid w:val="00D565F6"/>
    <w:rsid w:val="00D568E1"/>
    <w:rsid w:val="00D56E83"/>
    <w:rsid w:val="00D5749C"/>
    <w:rsid w:val="00D57536"/>
    <w:rsid w:val="00D579D9"/>
    <w:rsid w:val="00D57A14"/>
    <w:rsid w:val="00D57C9E"/>
    <w:rsid w:val="00D57CB8"/>
    <w:rsid w:val="00D57DDF"/>
    <w:rsid w:val="00D57E16"/>
    <w:rsid w:val="00D57E80"/>
    <w:rsid w:val="00D601F6"/>
    <w:rsid w:val="00D602A3"/>
    <w:rsid w:val="00D6038E"/>
    <w:rsid w:val="00D60573"/>
    <w:rsid w:val="00D6059F"/>
    <w:rsid w:val="00D6067E"/>
    <w:rsid w:val="00D607E4"/>
    <w:rsid w:val="00D60848"/>
    <w:rsid w:val="00D60B8A"/>
    <w:rsid w:val="00D60BA4"/>
    <w:rsid w:val="00D60DA8"/>
    <w:rsid w:val="00D60F08"/>
    <w:rsid w:val="00D61042"/>
    <w:rsid w:val="00D6112F"/>
    <w:rsid w:val="00D611F6"/>
    <w:rsid w:val="00D61614"/>
    <w:rsid w:val="00D61939"/>
    <w:rsid w:val="00D619AB"/>
    <w:rsid w:val="00D61A33"/>
    <w:rsid w:val="00D61AEC"/>
    <w:rsid w:val="00D61BFD"/>
    <w:rsid w:val="00D61ED2"/>
    <w:rsid w:val="00D62216"/>
    <w:rsid w:val="00D623FB"/>
    <w:rsid w:val="00D6249C"/>
    <w:rsid w:val="00D624A8"/>
    <w:rsid w:val="00D62555"/>
    <w:rsid w:val="00D62822"/>
    <w:rsid w:val="00D62A1B"/>
    <w:rsid w:val="00D62B36"/>
    <w:rsid w:val="00D62DBC"/>
    <w:rsid w:val="00D62E36"/>
    <w:rsid w:val="00D62E46"/>
    <w:rsid w:val="00D62EA8"/>
    <w:rsid w:val="00D62F74"/>
    <w:rsid w:val="00D631EA"/>
    <w:rsid w:val="00D63257"/>
    <w:rsid w:val="00D6337D"/>
    <w:rsid w:val="00D63437"/>
    <w:rsid w:val="00D6347C"/>
    <w:rsid w:val="00D6377C"/>
    <w:rsid w:val="00D637F9"/>
    <w:rsid w:val="00D638B1"/>
    <w:rsid w:val="00D63A61"/>
    <w:rsid w:val="00D63B75"/>
    <w:rsid w:val="00D63C9A"/>
    <w:rsid w:val="00D63CA7"/>
    <w:rsid w:val="00D63F05"/>
    <w:rsid w:val="00D642AE"/>
    <w:rsid w:val="00D64946"/>
    <w:rsid w:val="00D64C28"/>
    <w:rsid w:val="00D64EB2"/>
    <w:rsid w:val="00D65197"/>
    <w:rsid w:val="00D656C5"/>
    <w:rsid w:val="00D65906"/>
    <w:rsid w:val="00D65A6A"/>
    <w:rsid w:val="00D65C38"/>
    <w:rsid w:val="00D65D76"/>
    <w:rsid w:val="00D65F1C"/>
    <w:rsid w:val="00D65FC7"/>
    <w:rsid w:val="00D66090"/>
    <w:rsid w:val="00D66598"/>
    <w:rsid w:val="00D667DD"/>
    <w:rsid w:val="00D668B5"/>
    <w:rsid w:val="00D66A62"/>
    <w:rsid w:val="00D66AE7"/>
    <w:rsid w:val="00D66B01"/>
    <w:rsid w:val="00D66D26"/>
    <w:rsid w:val="00D66D2D"/>
    <w:rsid w:val="00D66D61"/>
    <w:rsid w:val="00D66D7C"/>
    <w:rsid w:val="00D66D7D"/>
    <w:rsid w:val="00D66DA5"/>
    <w:rsid w:val="00D6732E"/>
    <w:rsid w:val="00D67347"/>
    <w:rsid w:val="00D67630"/>
    <w:rsid w:val="00D676CB"/>
    <w:rsid w:val="00D6791B"/>
    <w:rsid w:val="00D67B0C"/>
    <w:rsid w:val="00D67DF1"/>
    <w:rsid w:val="00D67F64"/>
    <w:rsid w:val="00D67FD7"/>
    <w:rsid w:val="00D70160"/>
    <w:rsid w:val="00D701F7"/>
    <w:rsid w:val="00D70380"/>
    <w:rsid w:val="00D70670"/>
    <w:rsid w:val="00D7067E"/>
    <w:rsid w:val="00D707B3"/>
    <w:rsid w:val="00D70DB2"/>
    <w:rsid w:val="00D70DDA"/>
    <w:rsid w:val="00D70E3E"/>
    <w:rsid w:val="00D70EA2"/>
    <w:rsid w:val="00D71083"/>
    <w:rsid w:val="00D71199"/>
    <w:rsid w:val="00D711C3"/>
    <w:rsid w:val="00D71207"/>
    <w:rsid w:val="00D71238"/>
    <w:rsid w:val="00D7132B"/>
    <w:rsid w:val="00D71348"/>
    <w:rsid w:val="00D717B1"/>
    <w:rsid w:val="00D71ACA"/>
    <w:rsid w:val="00D71DBA"/>
    <w:rsid w:val="00D72017"/>
    <w:rsid w:val="00D720BC"/>
    <w:rsid w:val="00D724A8"/>
    <w:rsid w:val="00D7252D"/>
    <w:rsid w:val="00D725FD"/>
    <w:rsid w:val="00D72610"/>
    <w:rsid w:val="00D7294E"/>
    <w:rsid w:val="00D72C88"/>
    <w:rsid w:val="00D72C8E"/>
    <w:rsid w:val="00D72EAA"/>
    <w:rsid w:val="00D7333B"/>
    <w:rsid w:val="00D73582"/>
    <w:rsid w:val="00D7360E"/>
    <w:rsid w:val="00D7393D"/>
    <w:rsid w:val="00D73983"/>
    <w:rsid w:val="00D73B14"/>
    <w:rsid w:val="00D73D5E"/>
    <w:rsid w:val="00D73EF6"/>
    <w:rsid w:val="00D73FB7"/>
    <w:rsid w:val="00D74047"/>
    <w:rsid w:val="00D74078"/>
    <w:rsid w:val="00D740BF"/>
    <w:rsid w:val="00D7450B"/>
    <w:rsid w:val="00D74891"/>
    <w:rsid w:val="00D74D3E"/>
    <w:rsid w:val="00D75520"/>
    <w:rsid w:val="00D7577F"/>
    <w:rsid w:val="00D759F2"/>
    <w:rsid w:val="00D75AC7"/>
    <w:rsid w:val="00D75E18"/>
    <w:rsid w:val="00D75F5C"/>
    <w:rsid w:val="00D7608C"/>
    <w:rsid w:val="00D7627A"/>
    <w:rsid w:val="00D763C7"/>
    <w:rsid w:val="00D76806"/>
    <w:rsid w:val="00D76B79"/>
    <w:rsid w:val="00D76D76"/>
    <w:rsid w:val="00D76D83"/>
    <w:rsid w:val="00D7702A"/>
    <w:rsid w:val="00D77057"/>
    <w:rsid w:val="00D771D3"/>
    <w:rsid w:val="00D772C5"/>
    <w:rsid w:val="00D77492"/>
    <w:rsid w:val="00D776F7"/>
    <w:rsid w:val="00D776F9"/>
    <w:rsid w:val="00D778E6"/>
    <w:rsid w:val="00D7795D"/>
    <w:rsid w:val="00D77BA0"/>
    <w:rsid w:val="00D77C3C"/>
    <w:rsid w:val="00D77CF1"/>
    <w:rsid w:val="00D77D05"/>
    <w:rsid w:val="00D77D37"/>
    <w:rsid w:val="00D77D54"/>
    <w:rsid w:val="00D77E24"/>
    <w:rsid w:val="00D77F99"/>
    <w:rsid w:val="00D77FA5"/>
    <w:rsid w:val="00D77FD2"/>
    <w:rsid w:val="00D80018"/>
    <w:rsid w:val="00D8037B"/>
    <w:rsid w:val="00D80659"/>
    <w:rsid w:val="00D806E9"/>
    <w:rsid w:val="00D8072F"/>
    <w:rsid w:val="00D807C5"/>
    <w:rsid w:val="00D8097E"/>
    <w:rsid w:val="00D8098C"/>
    <w:rsid w:val="00D809A1"/>
    <w:rsid w:val="00D80A56"/>
    <w:rsid w:val="00D80E2C"/>
    <w:rsid w:val="00D80EFE"/>
    <w:rsid w:val="00D81025"/>
    <w:rsid w:val="00D810C6"/>
    <w:rsid w:val="00D81175"/>
    <w:rsid w:val="00D8117E"/>
    <w:rsid w:val="00D81938"/>
    <w:rsid w:val="00D819C9"/>
    <w:rsid w:val="00D81A75"/>
    <w:rsid w:val="00D81ED4"/>
    <w:rsid w:val="00D82045"/>
    <w:rsid w:val="00D82055"/>
    <w:rsid w:val="00D82279"/>
    <w:rsid w:val="00D82589"/>
    <w:rsid w:val="00D82974"/>
    <w:rsid w:val="00D82A43"/>
    <w:rsid w:val="00D82B4A"/>
    <w:rsid w:val="00D82C36"/>
    <w:rsid w:val="00D82CE4"/>
    <w:rsid w:val="00D82D53"/>
    <w:rsid w:val="00D82F46"/>
    <w:rsid w:val="00D8326A"/>
    <w:rsid w:val="00D83476"/>
    <w:rsid w:val="00D835CE"/>
    <w:rsid w:val="00D836EF"/>
    <w:rsid w:val="00D83756"/>
    <w:rsid w:val="00D838BD"/>
    <w:rsid w:val="00D83A17"/>
    <w:rsid w:val="00D83C30"/>
    <w:rsid w:val="00D83C78"/>
    <w:rsid w:val="00D83FA1"/>
    <w:rsid w:val="00D8404D"/>
    <w:rsid w:val="00D840E8"/>
    <w:rsid w:val="00D84203"/>
    <w:rsid w:val="00D845E4"/>
    <w:rsid w:val="00D8480D"/>
    <w:rsid w:val="00D84821"/>
    <w:rsid w:val="00D849BC"/>
    <w:rsid w:val="00D84C4C"/>
    <w:rsid w:val="00D84C7D"/>
    <w:rsid w:val="00D84DB6"/>
    <w:rsid w:val="00D84E76"/>
    <w:rsid w:val="00D84FE5"/>
    <w:rsid w:val="00D850B0"/>
    <w:rsid w:val="00D85168"/>
    <w:rsid w:val="00D853C7"/>
    <w:rsid w:val="00D85426"/>
    <w:rsid w:val="00D85537"/>
    <w:rsid w:val="00D857BB"/>
    <w:rsid w:val="00D858EE"/>
    <w:rsid w:val="00D860B2"/>
    <w:rsid w:val="00D863FE"/>
    <w:rsid w:val="00D866FF"/>
    <w:rsid w:val="00D8686D"/>
    <w:rsid w:val="00D86A9F"/>
    <w:rsid w:val="00D86B6C"/>
    <w:rsid w:val="00D870DA"/>
    <w:rsid w:val="00D87114"/>
    <w:rsid w:val="00D87291"/>
    <w:rsid w:val="00D872FB"/>
    <w:rsid w:val="00D87431"/>
    <w:rsid w:val="00D87437"/>
    <w:rsid w:val="00D87725"/>
    <w:rsid w:val="00D87CB9"/>
    <w:rsid w:val="00D87CE3"/>
    <w:rsid w:val="00D87D03"/>
    <w:rsid w:val="00D87E06"/>
    <w:rsid w:val="00D87F9D"/>
    <w:rsid w:val="00D90434"/>
    <w:rsid w:val="00D9069B"/>
    <w:rsid w:val="00D9078C"/>
    <w:rsid w:val="00D90876"/>
    <w:rsid w:val="00D908FF"/>
    <w:rsid w:val="00D90AF3"/>
    <w:rsid w:val="00D90B08"/>
    <w:rsid w:val="00D90B0C"/>
    <w:rsid w:val="00D90B32"/>
    <w:rsid w:val="00D90B39"/>
    <w:rsid w:val="00D90B59"/>
    <w:rsid w:val="00D90B81"/>
    <w:rsid w:val="00D90C7B"/>
    <w:rsid w:val="00D90DA0"/>
    <w:rsid w:val="00D90FBD"/>
    <w:rsid w:val="00D91084"/>
    <w:rsid w:val="00D911F4"/>
    <w:rsid w:val="00D9126F"/>
    <w:rsid w:val="00D91446"/>
    <w:rsid w:val="00D915CF"/>
    <w:rsid w:val="00D91622"/>
    <w:rsid w:val="00D91764"/>
    <w:rsid w:val="00D91765"/>
    <w:rsid w:val="00D919EA"/>
    <w:rsid w:val="00D91A97"/>
    <w:rsid w:val="00D91DDC"/>
    <w:rsid w:val="00D92069"/>
    <w:rsid w:val="00D921F5"/>
    <w:rsid w:val="00D9232D"/>
    <w:rsid w:val="00D9242A"/>
    <w:rsid w:val="00D92532"/>
    <w:rsid w:val="00D925FB"/>
    <w:rsid w:val="00D927FB"/>
    <w:rsid w:val="00D92B49"/>
    <w:rsid w:val="00D92F2E"/>
    <w:rsid w:val="00D930EB"/>
    <w:rsid w:val="00D93342"/>
    <w:rsid w:val="00D9341F"/>
    <w:rsid w:val="00D9344E"/>
    <w:rsid w:val="00D93482"/>
    <w:rsid w:val="00D93556"/>
    <w:rsid w:val="00D93BB9"/>
    <w:rsid w:val="00D93C11"/>
    <w:rsid w:val="00D93E34"/>
    <w:rsid w:val="00D93F09"/>
    <w:rsid w:val="00D940F0"/>
    <w:rsid w:val="00D94307"/>
    <w:rsid w:val="00D943A6"/>
    <w:rsid w:val="00D94474"/>
    <w:rsid w:val="00D944DF"/>
    <w:rsid w:val="00D9456E"/>
    <w:rsid w:val="00D9463F"/>
    <w:rsid w:val="00D9469B"/>
    <w:rsid w:val="00D948BC"/>
    <w:rsid w:val="00D94A72"/>
    <w:rsid w:val="00D94E4F"/>
    <w:rsid w:val="00D94E6B"/>
    <w:rsid w:val="00D95890"/>
    <w:rsid w:val="00D95947"/>
    <w:rsid w:val="00D95BC8"/>
    <w:rsid w:val="00D95D98"/>
    <w:rsid w:val="00D95DBD"/>
    <w:rsid w:val="00D95E0E"/>
    <w:rsid w:val="00D95EAE"/>
    <w:rsid w:val="00D95FAA"/>
    <w:rsid w:val="00D95FD6"/>
    <w:rsid w:val="00D96057"/>
    <w:rsid w:val="00D967B9"/>
    <w:rsid w:val="00D9698D"/>
    <w:rsid w:val="00D969AD"/>
    <w:rsid w:val="00D969F0"/>
    <w:rsid w:val="00D969FF"/>
    <w:rsid w:val="00D96E0B"/>
    <w:rsid w:val="00D970C3"/>
    <w:rsid w:val="00D97243"/>
    <w:rsid w:val="00D972F3"/>
    <w:rsid w:val="00D97449"/>
    <w:rsid w:val="00D97485"/>
    <w:rsid w:val="00D97681"/>
    <w:rsid w:val="00D97954"/>
    <w:rsid w:val="00D979D5"/>
    <w:rsid w:val="00D97B8F"/>
    <w:rsid w:val="00D97CAF"/>
    <w:rsid w:val="00D97D28"/>
    <w:rsid w:val="00D97DA0"/>
    <w:rsid w:val="00D97F55"/>
    <w:rsid w:val="00DA0058"/>
    <w:rsid w:val="00DA05DE"/>
    <w:rsid w:val="00DA072A"/>
    <w:rsid w:val="00DA09ED"/>
    <w:rsid w:val="00DA0ABE"/>
    <w:rsid w:val="00DA0FAF"/>
    <w:rsid w:val="00DA11BB"/>
    <w:rsid w:val="00DA11BF"/>
    <w:rsid w:val="00DA11D6"/>
    <w:rsid w:val="00DA1427"/>
    <w:rsid w:val="00DA1988"/>
    <w:rsid w:val="00DA1A96"/>
    <w:rsid w:val="00DA1BEF"/>
    <w:rsid w:val="00DA1D1A"/>
    <w:rsid w:val="00DA1E75"/>
    <w:rsid w:val="00DA2045"/>
    <w:rsid w:val="00DA2348"/>
    <w:rsid w:val="00DA23CC"/>
    <w:rsid w:val="00DA24A6"/>
    <w:rsid w:val="00DA252A"/>
    <w:rsid w:val="00DA268C"/>
    <w:rsid w:val="00DA268D"/>
    <w:rsid w:val="00DA276E"/>
    <w:rsid w:val="00DA2795"/>
    <w:rsid w:val="00DA27CA"/>
    <w:rsid w:val="00DA2897"/>
    <w:rsid w:val="00DA2B37"/>
    <w:rsid w:val="00DA2BE0"/>
    <w:rsid w:val="00DA2E72"/>
    <w:rsid w:val="00DA304B"/>
    <w:rsid w:val="00DA31E2"/>
    <w:rsid w:val="00DA3204"/>
    <w:rsid w:val="00DA3389"/>
    <w:rsid w:val="00DA3860"/>
    <w:rsid w:val="00DA391B"/>
    <w:rsid w:val="00DA3A57"/>
    <w:rsid w:val="00DA3A60"/>
    <w:rsid w:val="00DA3B7F"/>
    <w:rsid w:val="00DA3C38"/>
    <w:rsid w:val="00DA3D56"/>
    <w:rsid w:val="00DA4120"/>
    <w:rsid w:val="00DA418D"/>
    <w:rsid w:val="00DA45A4"/>
    <w:rsid w:val="00DA4BD6"/>
    <w:rsid w:val="00DA4CF1"/>
    <w:rsid w:val="00DA4D56"/>
    <w:rsid w:val="00DA4E75"/>
    <w:rsid w:val="00DA5254"/>
    <w:rsid w:val="00DA545E"/>
    <w:rsid w:val="00DA55E1"/>
    <w:rsid w:val="00DA56BE"/>
    <w:rsid w:val="00DA5795"/>
    <w:rsid w:val="00DA594D"/>
    <w:rsid w:val="00DA5A21"/>
    <w:rsid w:val="00DA5A51"/>
    <w:rsid w:val="00DA5A5A"/>
    <w:rsid w:val="00DA5DF5"/>
    <w:rsid w:val="00DA5E77"/>
    <w:rsid w:val="00DA6221"/>
    <w:rsid w:val="00DA6B08"/>
    <w:rsid w:val="00DA6D4B"/>
    <w:rsid w:val="00DA6E3A"/>
    <w:rsid w:val="00DA6FC9"/>
    <w:rsid w:val="00DA70E3"/>
    <w:rsid w:val="00DA76B5"/>
    <w:rsid w:val="00DA786D"/>
    <w:rsid w:val="00DA787D"/>
    <w:rsid w:val="00DA794B"/>
    <w:rsid w:val="00DA7A38"/>
    <w:rsid w:val="00DA7B33"/>
    <w:rsid w:val="00DA7B5D"/>
    <w:rsid w:val="00DA7CDD"/>
    <w:rsid w:val="00DB0157"/>
    <w:rsid w:val="00DB0171"/>
    <w:rsid w:val="00DB034C"/>
    <w:rsid w:val="00DB04B9"/>
    <w:rsid w:val="00DB07EC"/>
    <w:rsid w:val="00DB085E"/>
    <w:rsid w:val="00DB0E1A"/>
    <w:rsid w:val="00DB0EE7"/>
    <w:rsid w:val="00DB0F52"/>
    <w:rsid w:val="00DB12E0"/>
    <w:rsid w:val="00DB1388"/>
    <w:rsid w:val="00DB13EF"/>
    <w:rsid w:val="00DB15EE"/>
    <w:rsid w:val="00DB1761"/>
    <w:rsid w:val="00DB17AA"/>
    <w:rsid w:val="00DB187C"/>
    <w:rsid w:val="00DB18D0"/>
    <w:rsid w:val="00DB18F3"/>
    <w:rsid w:val="00DB1913"/>
    <w:rsid w:val="00DB19BF"/>
    <w:rsid w:val="00DB1A0F"/>
    <w:rsid w:val="00DB1B44"/>
    <w:rsid w:val="00DB1BD4"/>
    <w:rsid w:val="00DB1C1B"/>
    <w:rsid w:val="00DB1CC9"/>
    <w:rsid w:val="00DB1CDD"/>
    <w:rsid w:val="00DB1E31"/>
    <w:rsid w:val="00DB1E58"/>
    <w:rsid w:val="00DB1EFA"/>
    <w:rsid w:val="00DB1F86"/>
    <w:rsid w:val="00DB1FC0"/>
    <w:rsid w:val="00DB219A"/>
    <w:rsid w:val="00DB2230"/>
    <w:rsid w:val="00DB2277"/>
    <w:rsid w:val="00DB27EA"/>
    <w:rsid w:val="00DB28FB"/>
    <w:rsid w:val="00DB2C1C"/>
    <w:rsid w:val="00DB2C72"/>
    <w:rsid w:val="00DB2CA9"/>
    <w:rsid w:val="00DB3293"/>
    <w:rsid w:val="00DB330C"/>
    <w:rsid w:val="00DB3566"/>
    <w:rsid w:val="00DB364C"/>
    <w:rsid w:val="00DB36A3"/>
    <w:rsid w:val="00DB36C6"/>
    <w:rsid w:val="00DB37F5"/>
    <w:rsid w:val="00DB3954"/>
    <w:rsid w:val="00DB39AF"/>
    <w:rsid w:val="00DB39F6"/>
    <w:rsid w:val="00DB3BCB"/>
    <w:rsid w:val="00DB3C0A"/>
    <w:rsid w:val="00DB3CE0"/>
    <w:rsid w:val="00DB3FF6"/>
    <w:rsid w:val="00DB4032"/>
    <w:rsid w:val="00DB4338"/>
    <w:rsid w:val="00DB4357"/>
    <w:rsid w:val="00DB441D"/>
    <w:rsid w:val="00DB4592"/>
    <w:rsid w:val="00DB4749"/>
    <w:rsid w:val="00DB4B4C"/>
    <w:rsid w:val="00DB4BEA"/>
    <w:rsid w:val="00DB4D67"/>
    <w:rsid w:val="00DB542F"/>
    <w:rsid w:val="00DB54B5"/>
    <w:rsid w:val="00DB54FA"/>
    <w:rsid w:val="00DB5509"/>
    <w:rsid w:val="00DB567C"/>
    <w:rsid w:val="00DB56C5"/>
    <w:rsid w:val="00DB5927"/>
    <w:rsid w:val="00DB5A74"/>
    <w:rsid w:val="00DB5C29"/>
    <w:rsid w:val="00DB5C7E"/>
    <w:rsid w:val="00DB5E49"/>
    <w:rsid w:val="00DB600B"/>
    <w:rsid w:val="00DB6014"/>
    <w:rsid w:val="00DB60AA"/>
    <w:rsid w:val="00DB672F"/>
    <w:rsid w:val="00DB695F"/>
    <w:rsid w:val="00DB69E8"/>
    <w:rsid w:val="00DB6C9B"/>
    <w:rsid w:val="00DB6EE5"/>
    <w:rsid w:val="00DB6F8B"/>
    <w:rsid w:val="00DB72ED"/>
    <w:rsid w:val="00DB750D"/>
    <w:rsid w:val="00DB791C"/>
    <w:rsid w:val="00DB79FD"/>
    <w:rsid w:val="00DB7B3B"/>
    <w:rsid w:val="00DB7BBE"/>
    <w:rsid w:val="00DB7C0C"/>
    <w:rsid w:val="00DB7C99"/>
    <w:rsid w:val="00DB7CFD"/>
    <w:rsid w:val="00DB7DA7"/>
    <w:rsid w:val="00DB7E66"/>
    <w:rsid w:val="00DB7EAE"/>
    <w:rsid w:val="00DB7FAF"/>
    <w:rsid w:val="00DC0073"/>
    <w:rsid w:val="00DC00A1"/>
    <w:rsid w:val="00DC00E5"/>
    <w:rsid w:val="00DC0262"/>
    <w:rsid w:val="00DC0561"/>
    <w:rsid w:val="00DC0566"/>
    <w:rsid w:val="00DC07B5"/>
    <w:rsid w:val="00DC0B01"/>
    <w:rsid w:val="00DC0CB7"/>
    <w:rsid w:val="00DC0D47"/>
    <w:rsid w:val="00DC0E34"/>
    <w:rsid w:val="00DC0F55"/>
    <w:rsid w:val="00DC10A3"/>
    <w:rsid w:val="00DC121D"/>
    <w:rsid w:val="00DC1309"/>
    <w:rsid w:val="00DC146C"/>
    <w:rsid w:val="00DC14E7"/>
    <w:rsid w:val="00DC14F5"/>
    <w:rsid w:val="00DC19AA"/>
    <w:rsid w:val="00DC1A1F"/>
    <w:rsid w:val="00DC1C47"/>
    <w:rsid w:val="00DC1CCF"/>
    <w:rsid w:val="00DC1D18"/>
    <w:rsid w:val="00DC1D79"/>
    <w:rsid w:val="00DC1ED7"/>
    <w:rsid w:val="00DC1F2F"/>
    <w:rsid w:val="00DC203C"/>
    <w:rsid w:val="00DC21C0"/>
    <w:rsid w:val="00DC2243"/>
    <w:rsid w:val="00DC2310"/>
    <w:rsid w:val="00DC23E5"/>
    <w:rsid w:val="00DC2473"/>
    <w:rsid w:val="00DC262D"/>
    <w:rsid w:val="00DC2919"/>
    <w:rsid w:val="00DC2CFD"/>
    <w:rsid w:val="00DC2E67"/>
    <w:rsid w:val="00DC30E4"/>
    <w:rsid w:val="00DC3127"/>
    <w:rsid w:val="00DC32E9"/>
    <w:rsid w:val="00DC34E3"/>
    <w:rsid w:val="00DC3504"/>
    <w:rsid w:val="00DC37CE"/>
    <w:rsid w:val="00DC3908"/>
    <w:rsid w:val="00DC3B2D"/>
    <w:rsid w:val="00DC3C29"/>
    <w:rsid w:val="00DC4079"/>
    <w:rsid w:val="00DC40A5"/>
    <w:rsid w:val="00DC42D5"/>
    <w:rsid w:val="00DC42E5"/>
    <w:rsid w:val="00DC4494"/>
    <w:rsid w:val="00DC45E8"/>
    <w:rsid w:val="00DC4685"/>
    <w:rsid w:val="00DC46E1"/>
    <w:rsid w:val="00DC4B6F"/>
    <w:rsid w:val="00DC4BA7"/>
    <w:rsid w:val="00DC4C13"/>
    <w:rsid w:val="00DC4C64"/>
    <w:rsid w:val="00DC4D40"/>
    <w:rsid w:val="00DC4FB5"/>
    <w:rsid w:val="00DC51DB"/>
    <w:rsid w:val="00DC5296"/>
    <w:rsid w:val="00DC52AA"/>
    <w:rsid w:val="00DC52F3"/>
    <w:rsid w:val="00DC55D2"/>
    <w:rsid w:val="00DC565F"/>
    <w:rsid w:val="00DC56AE"/>
    <w:rsid w:val="00DC56C9"/>
    <w:rsid w:val="00DC578C"/>
    <w:rsid w:val="00DC5907"/>
    <w:rsid w:val="00DC5910"/>
    <w:rsid w:val="00DC5A8F"/>
    <w:rsid w:val="00DC5DCF"/>
    <w:rsid w:val="00DC5F6A"/>
    <w:rsid w:val="00DC5FC4"/>
    <w:rsid w:val="00DC606D"/>
    <w:rsid w:val="00DC6286"/>
    <w:rsid w:val="00DC6626"/>
    <w:rsid w:val="00DC672C"/>
    <w:rsid w:val="00DC67AD"/>
    <w:rsid w:val="00DC6849"/>
    <w:rsid w:val="00DC68D0"/>
    <w:rsid w:val="00DC6944"/>
    <w:rsid w:val="00DC6ECC"/>
    <w:rsid w:val="00DC71FF"/>
    <w:rsid w:val="00DC72A1"/>
    <w:rsid w:val="00DC7339"/>
    <w:rsid w:val="00DC739C"/>
    <w:rsid w:val="00DC749B"/>
    <w:rsid w:val="00DC75ED"/>
    <w:rsid w:val="00DC7882"/>
    <w:rsid w:val="00DC7AF1"/>
    <w:rsid w:val="00DC7C5A"/>
    <w:rsid w:val="00DC7CA7"/>
    <w:rsid w:val="00DD01ED"/>
    <w:rsid w:val="00DD03BF"/>
    <w:rsid w:val="00DD0464"/>
    <w:rsid w:val="00DD04BC"/>
    <w:rsid w:val="00DD0542"/>
    <w:rsid w:val="00DD07BE"/>
    <w:rsid w:val="00DD07E8"/>
    <w:rsid w:val="00DD0815"/>
    <w:rsid w:val="00DD09C4"/>
    <w:rsid w:val="00DD0C95"/>
    <w:rsid w:val="00DD0D69"/>
    <w:rsid w:val="00DD0DE1"/>
    <w:rsid w:val="00DD0ED5"/>
    <w:rsid w:val="00DD109D"/>
    <w:rsid w:val="00DD1398"/>
    <w:rsid w:val="00DD13EF"/>
    <w:rsid w:val="00DD1666"/>
    <w:rsid w:val="00DD16BE"/>
    <w:rsid w:val="00DD19A0"/>
    <w:rsid w:val="00DD1AB4"/>
    <w:rsid w:val="00DD1F7A"/>
    <w:rsid w:val="00DD22BE"/>
    <w:rsid w:val="00DD2453"/>
    <w:rsid w:val="00DD2487"/>
    <w:rsid w:val="00DD2716"/>
    <w:rsid w:val="00DD273B"/>
    <w:rsid w:val="00DD275D"/>
    <w:rsid w:val="00DD289A"/>
    <w:rsid w:val="00DD2A8C"/>
    <w:rsid w:val="00DD2B5A"/>
    <w:rsid w:val="00DD2F79"/>
    <w:rsid w:val="00DD30AD"/>
    <w:rsid w:val="00DD339F"/>
    <w:rsid w:val="00DD33A9"/>
    <w:rsid w:val="00DD3588"/>
    <w:rsid w:val="00DD36F4"/>
    <w:rsid w:val="00DD38AF"/>
    <w:rsid w:val="00DD3B7A"/>
    <w:rsid w:val="00DD3B8E"/>
    <w:rsid w:val="00DD3F72"/>
    <w:rsid w:val="00DD4527"/>
    <w:rsid w:val="00DD50A3"/>
    <w:rsid w:val="00DD518F"/>
    <w:rsid w:val="00DD5425"/>
    <w:rsid w:val="00DD59A4"/>
    <w:rsid w:val="00DD5A61"/>
    <w:rsid w:val="00DD5A90"/>
    <w:rsid w:val="00DD5B7B"/>
    <w:rsid w:val="00DD5C16"/>
    <w:rsid w:val="00DD5C56"/>
    <w:rsid w:val="00DD5CFC"/>
    <w:rsid w:val="00DD5D2D"/>
    <w:rsid w:val="00DD5E00"/>
    <w:rsid w:val="00DD5E9D"/>
    <w:rsid w:val="00DD6039"/>
    <w:rsid w:val="00DD60F2"/>
    <w:rsid w:val="00DD610F"/>
    <w:rsid w:val="00DD61C5"/>
    <w:rsid w:val="00DD6266"/>
    <w:rsid w:val="00DD630F"/>
    <w:rsid w:val="00DD631D"/>
    <w:rsid w:val="00DD66B4"/>
    <w:rsid w:val="00DD6A57"/>
    <w:rsid w:val="00DD6B3F"/>
    <w:rsid w:val="00DD70B4"/>
    <w:rsid w:val="00DD727B"/>
    <w:rsid w:val="00DD7345"/>
    <w:rsid w:val="00DD75A6"/>
    <w:rsid w:val="00DD75A7"/>
    <w:rsid w:val="00DD782F"/>
    <w:rsid w:val="00DD783C"/>
    <w:rsid w:val="00DD7A0C"/>
    <w:rsid w:val="00DD7B1C"/>
    <w:rsid w:val="00DD7E18"/>
    <w:rsid w:val="00DD7E5B"/>
    <w:rsid w:val="00DD7E64"/>
    <w:rsid w:val="00DD7ED6"/>
    <w:rsid w:val="00DE006C"/>
    <w:rsid w:val="00DE0089"/>
    <w:rsid w:val="00DE0768"/>
    <w:rsid w:val="00DE07BF"/>
    <w:rsid w:val="00DE0823"/>
    <w:rsid w:val="00DE0913"/>
    <w:rsid w:val="00DE0A0A"/>
    <w:rsid w:val="00DE0ADC"/>
    <w:rsid w:val="00DE0B98"/>
    <w:rsid w:val="00DE0C2B"/>
    <w:rsid w:val="00DE1252"/>
    <w:rsid w:val="00DE1290"/>
    <w:rsid w:val="00DE1306"/>
    <w:rsid w:val="00DE1641"/>
    <w:rsid w:val="00DE1646"/>
    <w:rsid w:val="00DE16BF"/>
    <w:rsid w:val="00DE16D4"/>
    <w:rsid w:val="00DE16FC"/>
    <w:rsid w:val="00DE1865"/>
    <w:rsid w:val="00DE1866"/>
    <w:rsid w:val="00DE188F"/>
    <w:rsid w:val="00DE1968"/>
    <w:rsid w:val="00DE1A50"/>
    <w:rsid w:val="00DE1CE4"/>
    <w:rsid w:val="00DE1D02"/>
    <w:rsid w:val="00DE1E09"/>
    <w:rsid w:val="00DE1F87"/>
    <w:rsid w:val="00DE2166"/>
    <w:rsid w:val="00DE2449"/>
    <w:rsid w:val="00DE27D3"/>
    <w:rsid w:val="00DE2862"/>
    <w:rsid w:val="00DE2894"/>
    <w:rsid w:val="00DE2918"/>
    <w:rsid w:val="00DE2A98"/>
    <w:rsid w:val="00DE2B57"/>
    <w:rsid w:val="00DE2BCF"/>
    <w:rsid w:val="00DE2CE7"/>
    <w:rsid w:val="00DE2DEC"/>
    <w:rsid w:val="00DE2E37"/>
    <w:rsid w:val="00DE2FA6"/>
    <w:rsid w:val="00DE318E"/>
    <w:rsid w:val="00DE328C"/>
    <w:rsid w:val="00DE34D2"/>
    <w:rsid w:val="00DE3570"/>
    <w:rsid w:val="00DE35E2"/>
    <w:rsid w:val="00DE36CC"/>
    <w:rsid w:val="00DE375C"/>
    <w:rsid w:val="00DE3D43"/>
    <w:rsid w:val="00DE3D59"/>
    <w:rsid w:val="00DE3DAA"/>
    <w:rsid w:val="00DE3E3B"/>
    <w:rsid w:val="00DE3F1E"/>
    <w:rsid w:val="00DE3F9A"/>
    <w:rsid w:val="00DE4038"/>
    <w:rsid w:val="00DE424A"/>
    <w:rsid w:val="00DE42C1"/>
    <w:rsid w:val="00DE43CB"/>
    <w:rsid w:val="00DE4474"/>
    <w:rsid w:val="00DE45B2"/>
    <w:rsid w:val="00DE46BE"/>
    <w:rsid w:val="00DE4C03"/>
    <w:rsid w:val="00DE4F14"/>
    <w:rsid w:val="00DE4F7E"/>
    <w:rsid w:val="00DE50BC"/>
    <w:rsid w:val="00DE5210"/>
    <w:rsid w:val="00DE5689"/>
    <w:rsid w:val="00DE5A18"/>
    <w:rsid w:val="00DE5BA6"/>
    <w:rsid w:val="00DE5DB7"/>
    <w:rsid w:val="00DE5E94"/>
    <w:rsid w:val="00DE609B"/>
    <w:rsid w:val="00DE61F5"/>
    <w:rsid w:val="00DE6354"/>
    <w:rsid w:val="00DE6435"/>
    <w:rsid w:val="00DE663F"/>
    <w:rsid w:val="00DE66C9"/>
    <w:rsid w:val="00DE67C3"/>
    <w:rsid w:val="00DE6883"/>
    <w:rsid w:val="00DE6A8E"/>
    <w:rsid w:val="00DE6C33"/>
    <w:rsid w:val="00DE6E4C"/>
    <w:rsid w:val="00DE6EE2"/>
    <w:rsid w:val="00DE6FAD"/>
    <w:rsid w:val="00DE71DD"/>
    <w:rsid w:val="00DE72E5"/>
    <w:rsid w:val="00DE756C"/>
    <w:rsid w:val="00DE75B9"/>
    <w:rsid w:val="00DE7669"/>
    <w:rsid w:val="00DE76BE"/>
    <w:rsid w:val="00DE7B9A"/>
    <w:rsid w:val="00DE7C5E"/>
    <w:rsid w:val="00DE7D30"/>
    <w:rsid w:val="00DE7E1C"/>
    <w:rsid w:val="00DE7EC2"/>
    <w:rsid w:val="00DE7F2C"/>
    <w:rsid w:val="00DF0065"/>
    <w:rsid w:val="00DF019C"/>
    <w:rsid w:val="00DF01AE"/>
    <w:rsid w:val="00DF0422"/>
    <w:rsid w:val="00DF04D0"/>
    <w:rsid w:val="00DF056E"/>
    <w:rsid w:val="00DF0622"/>
    <w:rsid w:val="00DF0933"/>
    <w:rsid w:val="00DF0970"/>
    <w:rsid w:val="00DF0990"/>
    <w:rsid w:val="00DF0AF3"/>
    <w:rsid w:val="00DF0B91"/>
    <w:rsid w:val="00DF0C06"/>
    <w:rsid w:val="00DF0C55"/>
    <w:rsid w:val="00DF0C6C"/>
    <w:rsid w:val="00DF0D02"/>
    <w:rsid w:val="00DF0D9E"/>
    <w:rsid w:val="00DF0EB9"/>
    <w:rsid w:val="00DF0F82"/>
    <w:rsid w:val="00DF10A8"/>
    <w:rsid w:val="00DF10B9"/>
    <w:rsid w:val="00DF128A"/>
    <w:rsid w:val="00DF13A9"/>
    <w:rsid w:val="00DF13EE"/>
    <w:rsid w:val="00DF153E"/>
    <w:rsid w:val="00DF15E1"/>
    <w:rsid w:val="00DF160B"/>
    <w:rsid w:val="00DF16C4"/>
    <w:rsid w:val="00DF170C"/>
    <w:rsid w:val="00DF17A4"/>
    <w:rsid w:val="00DF19A7"/>
    <w:rsid w:val="00DF19AD"/>
    <w:rsid w:val="00DF1B5B"/>
    <w:rsid w:val="00DF1DC1"/>
    <w:rsid w:val="00DF1DC2"/>
    <w:rsid w:val="00DF1E45"/>
    <w:rsid w:val="00DF1E62"/>
    <w:rsid w:val="00DF212C"/>
    <w:rsid w:val="00DF2136"/>
    <w:rsid w:val="00DF2357"/>
    <w:rsid w:val="00DF272E"/>
    <w:rsid w:val="00DF277C"/>
    <w:rsid w:val="00DF2BB3"/>
    <w:rsid w:val="00DF2C59"/>
    <w:rsid w:val="00DF2DC3"/>
    <w:rsid w:val="00DF2EB7"/>
    <w:rsid w:val="00DF2EBB"/>
    <w:rsid w:val="00DF2FE3"/>
    <w:rsid w:val="00DF32CB"/>
    <w:rsid w:val="00DF359A"/>
    <w:rsid w:val="00DF369C"/>
    <w:rsid w:val="00DF3713"/>
    <w:rsid w:val="00DF38B1"/>
    <w:rsid w:val="00DF39CF"/>
    <w:rsid w:val="00DF3B72"/>
    <w:rsid w:val="00DF3C64"/>
    <w:rsid w:val="00DF3D68"/>
    <w:rsid w:val="00DF3F33"/>
    <w:rsid w:val="00DF414D"/>
    <w:rsid w:val="00DF4265"/>
    <w:rsid w:val="00DF438D"/>
    <w:rsid w:val="00DF4505"/>
    <w:rsid w:val="00DF4555"/>
    <w:rsid w:val="00DF468F"/>
    <w:rsid w:val="00DF46A7"/>
    <w:rsid w:val="00DF46DE"/>
    <w:rsid w:val="00DF4861"/>
    <w:rsid w:val="00DF4939"/>
    <w:rsid w:val="00DF4A02"/>
    <w:rsid w:val="00DF4AD7"/>
    <w:rsid w:val="00DF4BBA"/>
    <w:rsid w:val="00DF4E18"/>
    <w:rsid w:val="00DF4F62"/>
    <w:rsid w:val="00DF516A"/>
    <w:rsid w:val="00DF549C"/>
    <w:rsid w:val="00DF550E"/>
    <w:rsid w:val="00DF5587"/>
    <w:rsid w:val="00DF55B6"/>
    <w:rsid w:val="00DF55BD"/>
    <w:rsid w:val="00DF57E0"/>
    <w:rsid w:val="00DF58E7"/>
    <w:rsid w:val="00DF598E"/>
    <w:rsid w:val="00DF5A33"/>
    <w:rsid w:val="00DF5DF3"/>
    <w:rsid w:val="00DF6154"/>
    <w:rsid w:val="00DF6253"/>
    <w:rsid w:val="00DF640F"/>
    <w:rsid w:val="00DF64D0"/>
    <w:rsid w:val="00DF6636"/>
    <w:rsid w:val="00DF6B7A"/>
    <w:rsid w:val="00DF6BE4"/>
    <w:rsid w:val="00DF6C88"/>
    <w:rsid w:val="00DF6D85"/>
    <w:rsid w:val="00DF6E62"/>
    <w:rsid w:val="00DF6ECB"/>
    <w:rsid w:val="00DF6F6C"/>
    <w:rsid w:val="00DF7068"/>
    <w:rsid w:val="00DF713B"/>
    <w:rsid w:val="00DF72E4"/>
    <w:rsid w:val="00DF7609"/>
    <w:rsid w:val="00DF780A"/>
    <w:rsid w:val="00DF7812"/>
    <w:rsid w:val="00DF7A1F"/>
    <w:rsid w:val="00DF7B35"/>
    <w:rsid w:val="00E0000E"/>
    <w:rsid w:val="00E0068A"/>
    <w:rsid w:val="00E00734"/>
    <w:rsid w:val="00E00884"/>
    <w:rsid w:val="00E00910"/>
    <w:rsid w:val="00E00A72"/>
    <w:rsid w:val="00E00ADA"/>
    <w:rsid w:val="00E00C63"/>
    <w:rsid w:val="00E00FB9"/>
    <w:rsid w:val="00E01008"/>
    <w:rsid w:val="00E01054"/>
    <w:rsid w:val="00E01298"/>
    <w:rsid w:val="00E013B5"/>
    <w:rsid w:val="00E01452"/>
    <w:rsid w:val="00E0148E"/>
    <w:rsid w:val="00E014A4"/>
    <w:rsid w:val="00E019E9"/>
    <w:rsid w:val="00E01AF5"/>
    <w:rsid w:val="00E01B51"/>
    <w:rsid w:val="00E01C2C"/>
    <w:rsid w:val="00E01CF8"/>
    <w:rsid w:val="00E0219D"/>
    <w:rsid w:val="00E0265C"/>
    <w:rsid w:val="00E02927"/>
    <w:rsid w:val="00E02A7E"/>
    <w:rsid w:val="00E02AF7"/>
    <w:rsid w:val="00E02B29"/>
    <w:rsid w:val="00E02B3B"/>
    <w:rsid w:val="00E02BA0"/>
    <w:rsid w:val="00E02D20"/>
    <w:rsid w:val="00E02DE3"/>
    <w:rsid w:val="00E02F6D"/>
    <w:rsid w:val="00E02FAE"/>
    <w:rsid w:val="00E03038"/>
    <w:rsid w:val="00E03244"/>
    <w:rsid w:val="00E0326C"/>
    <w:rsid w:val="00E033B5"/>
    <w:rsid w:val="00E0348D"/>
    <w:rsid w:val="00E036CB"/>
    <w:rsid w:val="00E03818"/>
    <w:rsid w:val="00E03916"/>
    <w:rsid w:val="00E03984"/>
    <w:rsid w:val="00E039DD"/>
    <w:rsid w:val="00E03A58"/>
    <w:rsid w:val="00E03B70"/>
    <w:rsid w:val="00E03B9F"/>
    <w:rsid w:val="00E03BE1"/>
    <w:rsid w:val="00E04062"/>
    <w:rsid w:val="00E043EE"/>
    <w:rsid w:val="00E044EF"/>
    <w:rsid w:val="00E04764"/>
    <w:rsid w:val="00E047F4"/>
    <w:rsid w:val="00E049F1"/>
    <w:rsid w:val="00E049F5"/>
    <w:rsid w:val="00E04AAD"/>
    <w:rsid w:val="00E04ABE"/>
    <w:rsid w:val="00E04C42"/>
    <w:rsid w:val="00E04DE7"/>
    <w:rsid w:val="00E04DF6"/>
    <w:rsid w:val="00E04F83"/>
    <w:rsid w:val="00E05009"/>
    <w:rsid w:val="00E052A5"/>
    <w:rsid w:val="00E05534"/>
    <w:rsid w:val="00E05579"/>
    <w:rsid w:val="00E0571F"/>
    <w:rsid w:val="00E05727"/>
    <w:rsid w:val="00E0580E"/>
    <w:rsid w:val="00E058C5"/>
    <w:rsid w:val="00E05954"/>
    <w:rsid w:val="00E05B4C"/>
    <w:rsid w:val="00E05C6B"/>
    <w:rsid w:val="00E05E22"/>
    <w:rsid w:val="00E06207"/>
    <w:rsid w:val="00E06566"/>
    <w:rsid w:val="00E06659"/>
    <w:rsid w:val="00E0680F"/>
    <w:rsid w:val="00E0684C"/>
    <w:rsid w:val="00E06937"/>
    <w:rsid w:val="00E06956"/>
    <w:rsid w:val="00E06C96"/>
    <w:rsid w:val="00E07091"/>
    <w:rsid w:val="00E070D3"/>
    <w:rsid w:val="00E07122"/>
    <w:rsid w:val="00E07168"/>
    <w:rsid w:val="00E075DF"/>
    <w:rsid w:val="00E07688"/>
    <w:rsid w:val="00E07935"/>
    <w:rsid w:val="00E07A9B"/>
    <w:rsid w:val="00E07C1F"/>
    <w:rsid w:val="00E07E48"/>
    <w:rsid w:val="00E1001A"/>
    <w:rsid w:val="00E10107"/>
    <w:rsid w:val="00E10208"/>
    <w:rsid w:val="00E102F7"/>
    <w:rsid w:val="00E103B9"/>
    <w:rsid w:val="00E104A0"/>
    <w:rsid w:val="00E1064C"/>
    <w:rsid w:val="00E106A8"/>
    <w:rsid w:val="00E107AB"/>
    <w:rsid w:val="00E108D4"/>
    <w:rsid w:val="00E10E5B"/>
    <w:rsid w:val="00E10EAD"/>
    <w:rsid w:val="00E11133"/>
    <w:rsid w:val="00E11686"/>
    <w:rsid w:val="00E117CC"/>
    <w:rsid w:val="00E117F6"/>
    <w:rsid w:val="00E11876"/>
    <w:rsid w:val="00E118D0"/>
    <w:rsid w:val="00E1194E"/>
    <w:rsid w:val="00E119DB"/>
    <w:rsid w:val="00E11B83"/>
    <w:rsid w:val="00E11D89"/>
    <w:rsid w:val="00E1201E"/>
    <w:rsid w:val="00E120B5"/>
    <w:rsid w:val="00E1256B"/>
    <w:rsid w:val="00E126C3"/>
    <w:rsid w:val="00E126F6"/>
    <w:rsid w:val="00E127A1"/>
    <w:rsid w:val="00E12C74"/>
    <w:rsid w:val="00E12CFA"/>
    <w:rsid w:val="00E12CFF"/>
    <w:rsid w:val="00E12D50"/>
    <w:rsid w:val="00E12FAB"/>
    <w:rsid w:val="00E13138"/>
    <w:rsid w:val="00E13210"/>
    <w:rsid w:val="00E133AE"/>
    <w:rsid w:val="00E13B66"/>
    <w:rsid w:val="00E13BB4"/>
    <w:rsid w:val="00E13D9B"/>
    <w:rsid w:val="00E13F39"/>
    <w:rsid w:val="00E13FBC"/>
    <w:rsid w:val="00E14095"/>
    <w:rsid w:val="00E1413D"/>
    <w:rsid w:val="00E1421C"/>
    <w:rsid w:val="00E142AF"/>
    <w:rsid w:val="00E1435D"/>
    <w:rsid w:val="00E14453"/>
    <w:rsid w:val="00E14488"/>
    <w:rsid w:val="00E14512"/>
    <w:rsid w:val="00E14567"/>
    <w:rsid w:val="00E14574"/>
    <w:rsid w:val="00E145F6"/>
    <w:rsid w:val="00E1460A"/>
    <w:rsid w:val="00E14615"/>
    <w:rsid w:val="00E146B3"/>
    <w:rsid w:val="00E14844"/>
    <w:rsid w:val="00E14916"/>
    <w:rsid w:val="00E14D0E"/>
    <w:rsid w:val="00E14E7C"/>
    <w:rsid w:val="00E14E9C"/>
    <w:rsid w:val="00E14EA1"/>
    <w:rsid w:val="00E14EF8"/>
    <w:rsid w:val="00E151A3"/>
    <w:rsid w:val="00E154BB"/>
    <w:rsid w:val="00E155A1"/>
    <w:rsid w:val="00E156CC"/>
    <w:rsid w:val="00E158C2"/>
    <w:rsid w:val="00E15C3B"/>
    <w:rsid w:val="00E15C57"/>
    <w:rsid w:val="00E1620B"/>
    <w:rsid w:val="00E162A6"/>
    <w:rsid w:val="00E1664D"/>
    <w:rsid w:val="00E1670B"/>
    <w:rsid w:val="00E16A01"/>
    <w:rsid w:val="00E16A10"/>
    <w:rsid w:val="00E16A2D"/>
    <w:rsid w:val="00E16BA8"/>
    <w:rsid w:val="00E16D86"/>
    <w:rsid w:val="00E16E00"/>
    <w:rsid w:val="00E170B1"/>
    <w:rsid w:val="00E170F0"/>
    <w:rsid w:val="00E171E8"/>
    <w:rsid w:val="00E172FC"/>
    <w:rsid w:val="00E17375"/>
    <w:rsid w:val="00E17379"/>
    <w:rsid w:val="00E17411"/>
    <w:rsid w:val="00E17456"/>
    <w:rsid w:val="00E17464"/>
    <w:rsid w:val="00E174AF"/>
    <w:rsid w:val="00E17507"/>
    <w:rsid w:val="00E17563"/>
    <w:rsid w:val="00E178EF"/>
    <w:rsid w:val="00E179F0"/>
    <w:rsid w:val="00E17B47"/>
    <w:rsid w:val="00E17BC9"/>
    <w:rsid w:val="00E17D6D"/>
    <w:rsid w:val="00E17E81"/>
    <w:rsid w:val="00E17FC8"/>
    <w:rsid w:val="00E20193"/>
    <w:rsid w:val="00E20378"/>
    <w:rsid w:val="00E20484"/>
    <w:rsid w:val="00E20893"/>
    <w:rsid w:val="00E20919"/>
    <w:rsid w:val="00E20986"/>
    <w:rsid w:val="00E20C4E"/>
    <w:rsid w:val="00E20DFD"/>
    <w:rsid w:val="00E21140"/>
    <w:rsid w:val="00E2122F"/>
    <w:rsid w:val="00E2137A"/>
    <w:rsid w:val="00E213F0"/>
    <w:rsid w:val="00E21421"/>
    <w:rsid w:val="00E21435"/>
    <w:rsid w:val="00E2152B"/>
    <w:rsid w:val="00E21646"/>
    <w:rsid w:val="00E2165D"/>
    <w:rsid w:val="00E21979"/>
    <w:rsid w:val="00E219A5"/>
    <w:rsid w:val="00E21B03"/>
    <w:rsid w:val="00E21BAD"/>
    <w:rsid w:val="00E21DB7"/>
    <w:rsid w:val="00E22134"/>
    <w:rsid w:val="00E223D6"/>
    <w:rsid w:val="00E22564"/>
    <w:rsid w:val="00E2268A"/>
    <w:rsid w:val="00E226E8"/>
    <w:rsid w:val="00E227D1"/>
    <w:rsid w:val="00E22D3A"/>
    <w:rsid w:val="00E22ED5"/>
    <w:rsid w:val="00E22F7B"/>
    <w:rsid w:val="00E22FB8"/>
    <w:rsid w:val="00E23041"/>
    <w:rsid w:val="00E23143"/>
    <w:rsid w:val="00E231C3"/>
    <w:rsid w:val="00E23307"/>
    <w:rsid w:val="00E23329"/>
    <w:rsid w:val="00E2332D"/>
    <w:rsid w:val="00E23455"/>
    <w:rsid w:val="00E2385C"/>
    <w:rsid w:val="00E238B3"/>
    <w:rsid w:val="00E239FD"/>
    <w:rsid w:val="00E23A5D"/>
    <w:rsid w:val="00E23B2F"/>
    <w:rsid w:val="00E23CBB"/>
    <w:rsid w:val="00E23F75"/>
    <w:rsid w:val="00E2409C"/>
    <w:rsid w:val="00E241D2"/>
    <w:rsid w:val="00E24639"/>
    <w:rsid w:val="00E24DBB"/>
    <w:rsid w:val="00E24E7B"/>
    <w:rsid w:val="00E24FF4"/>
    <w:rsid w:val="00E252C2"/>
    <w:rsid w:val="00E25353"/>
    <w:rsid w:val="00E253C9"/>
    <w:rsid w:val="00E2565E"/>
    <w:rsid w:val="00E256B3"/>
    <w:rsid w:val="00E257D1"/>
    <w:rsid w:val="00E258E8"/>
    <w:rsid w:val="00E2591F"/>
    <w:rsid w:val="00E25B64"/>
    <w:rsid w:val="00E2613C"/>
    <w:rsid w:val="00E261CF"/>
    <w:rsid w:val="00E2621F"/>
    <w:rsid w:val="00E2625D"/>
    <w:rsid w:val="00E26290"/>
    <w:rsid w:val="00E2637A"/>
    <w:rsid w:val="00E263B6"/>
    <w:rsid w:val="00E263E4"/>
    <w:rsid w:val="00E2650E"/>
    <w:rsid w:val="00E268A9"/>
    <w:rsid w:val="00E269A3"/>
    <w:rsid w:val="00E26B1C"/>
    <w:rsid w:val="00E26D1E"/>
    <w:rsid w:val="00E26D7A"/>
    <w:rsid w:val="00E272D5"/>
    <w:rsid w:val="00E27434"/>
    <w:rsid w:val="00E2745A"/>
    <w:rsid w:val="00E2760C"/>
    <w:rsid w:val="00E27623"/>
    <w:rsid w:val="00E2769E"/>
    <w:rsid w:val="00E2775A"/>
    <w:rsid w:val="00E27A95"/>
    <w:rsid w:val="00E27C19"/>
    <w:rsid w:val="00E27C42"/>
    <w:rsid w:val="00E3005E"/>
    <w:rsid w:val="00E30267"/>
    <w:rsid w:val="00E30488"/>
    <w:rsid w:val="00E304AA"/>
    <w:rsid w:val="00E307D7"/>
    <w:rsid w:val="00E309CD"/>
    <w:rsid w:val="00E30AFB"/>
    <w:rsid w:val="00E30BB2"/>
    <w:rsid w:val="00E30C28"/>
    <w:rsid w:val="00E30CA7"/>
    <w:rsid w:val="00E30DE9"/>
    <w:rsid w:val="00E30E13"/>
    <w:rsid w:val="00E30EF2"/>
    <w:rsid w:val="00E30F2E"/>
    <w:rsid w:val="00E31349"/>
    <w:rsid w:val="00E3180D"/>
    <w:rsid w:val="00E31ED3"/>
    <w:rsid w:val="00E3211D"/>
    <w:rsid w:val="00E32187"/>
    <w:rsid w:val="00E32310"/>
    <w:rsid w:val="00E3235E"/>
    <w:rsid w:val="00E324E5"/>
    <w:rsid w:val="00E324E6"/>
    <w:rsid w:val="00E32516"/>
    <w:rsid w:val="00E327D3"/>
    <w:rsid w:val="00E328F7"/>
    <w:rsid w:val="00E32B7C"/>
    <w:rsid w:val="00E32BBC"/>
    <w:rsid w:val="00E32C62"/>
    <w:rsid w:val="00E32DC0"/>
    <w:rsid w:val="00E32DFA"/>
    <w:rsid w:val="00E32EB2"/>
    <w:rsid w:val="00E32F87"/>
    <w:rsid w:val="00E3310A"/>
    <w:rsid w:val="00E33455"/>
    <w:rsid w:val="00E335C9"/>
    <w:rsid w:val="00E33837"/>
    <w:rsid w:val="00E339F4"/>
    <w:rsid w:val="00E33D16"/>
    <w:rsid w:val="00E33DD8"/>
    <w:rsid w:val="00E33E23"/>
    <w:rsid w:val="00E340E1"/>
    <w:rsid w:val="00E340E4"/>
    <w:rsid w:val="00E3413A"/>
    <w:rsid w:val="00E3430C"/>
    <w:rsid w:val="00E346BC"/>
    <w:rsid w:val="00E347A5"/>
    <w:rsid w:val="00E3482A"/>
    <w:rsid w:val="00E34870"/>
    <w:rsid w:val="00E34895"/>
    <w:rsid w:val="00E348C1"/>
    <w:rsid w:val="00E348F2"/>
    <w:rsid w:val="00E348FA"/>
    <w:rsid w:val="00E34A6F"/>
    <w:rsid w:val="00E34D49"/>
    <w:rsid w:val="00E34E41"/>
    <w:rsid w:val="00E34E69"/>
    <w:rsid w:val="00E34F34"/>
    <w:rsid w:val="00E350DC"/>
    <w:rsid w:val="00E3516A"/>
    <w:rsid w:val="00E351FA"/>
    <w:rsid w:val="00E3538C"/>
    <w:rsid w:val="00E35502"/>
    <w:rsid w:val="00E3575C"/>
    <w:rsid w:val="00E35A50"/>
    <w:rsid w:val="00E35AA0"/>
    <w:rsid w:val="00E35EE5"/>
    <w:rsid w:val="00E35F99"/>
    <w:rsid w:val="00E36039"/>
    <w:rsid w:val="00E36043"/>
    <w:rsid w:val="00E366A1"/>
    <w:rsid w:val="00E367D9"/>
    <w:rsid w:val="00E36942"/>
    <w:rsid w:val="00E36BAF"/>
    <w:rsid w:val="00E36C06"/>
    <w:rsid w:val="00E36D48"/>
    <w:rsid w:val="00E37047"/>
    <w:rsid w:val="00E37048"/>
    <w:rsid w:val="00E372B8"/>
    <w:rsid w:val="00E373C7"/>
    <w:rsid w:val="00E376C4"/>
    <w:rsid w:val="00E376CD"/>
    <w:rsid w:val="00E3775A"/>
    <w:rsid w:val="00E37770"/>
    <w:rsid w:val="00E377A0"/>
    <w:rsid w:val="00E3797F"/>
    <w:rsid w:val="00E37B59"/>
    <w:rsid w:val="00E37D29"/>
    <w:rsid w:val="00E37D3E"/>
    <w:rsid w:val="00E37EAC"/>
    <w:rsid w:val="00E37EFB"/>
    <w:rsid w:val="00E37F5F"/>
    <w:rsid w:val="00E4004D"/>
    <w:rsid w:val="00E400B0"/>
    <w:rsid w:val="00E400B9"/>
    <w:rsid w:val="00E400C4"/>
    <w:rsid w:val="00E402C1"/>
    <w:rsid w:val="00E4034F"/>
    <w:rsid w:val="00E4044C"/>
    <w:rsid w:val="00E40655"/>
    <w:rsid w:val="00E40ABA"/>
    <w:rsid w:val="00E40E32"/>
    <w:rsid w:val="00E40FC6"/>
    <w:rsid w:val="00E41039"/>
    <w:rsid w:val="00E41122"/>
    <w:rsid w:val="00E41462"/>
    <w:rsid w:val="00E41640"/>
    <w:rsid w:val="00E418D6"/>
    <w:rsid w:val="00E41A31"/>
    <w:rsid w:val="00E41B71"/>
    <w:rsid w:val="00E41B8A"/>
    <w:rsid w:val="00E41C30"/>
    <w:rsid w:val="00E41D0E"/>
    <w:rsid w:val="00E41E7D"/>
    <w:rsid w:val="00E41EA3"/>
    <w:rsid w:val="00E41ECE"/>
    <w:rsid w:val="00E4219D"/>
    <w:rsid w:val="00E42365"/>
    <w:rsid w:val="00E424D4"/>
    <w:rsid w:val="00E42554"/>
    <w:rsid w:val="00E42837"/>
    <w:rsid w:val="00E428DC"/>
    <w:rsid w:val="00E428E1"/>
    <w:rsid w:val="00E42934"/>
    <w:rsid w:val="00E42972"/>
    <w:rsid w:val="00E42AC0"/>
    <w:rsid w:val="00E42B7C"/>
    <w:rsid w:val="00E432CA"/>
    <w:rsid w:val="00E432EC"/>
    <w:rsid w:val="00E4346E"/>
    <w:rsid w:val="00E43540"/>
    <w:rsid w:val="00E43AD8"/>
    <w:rsid w:val="00E43CE0"/>
    <w:rsid w:val="00E43ED4"/>
    <w:rsid w:val="00E44505"/>
    <w:rsid w:val="00E4498D"/>
    <w:rsid w:val="00E44A14"/>
    <w:rsid w:val="00E44B81"/>
    <w:rsid w:val="00E44D8C"/>
    <w:rsid w:val="00E44E74"/>
    <w:rsid w:val="00E45028"/>
    <w:rsid w:val="00E4508C"/>
    <w:rsid w:val="00E4530B"/>
    <w:rsid w:val="00E455B8"/>
    <w:rsid w:val="00E45723"/>
    <w:rsid w:val="00E457D0"/>
    <w:rsid w:val="00E45C2F"/>
    <w:rsid w:val="00E45D05"/>
    <w:rsid w:val="00E45E91"/>
    <w:rsid w:val="00E45F5C"/>
    <w:rsid w:val="00E46064"/>
    <w:rsid w:val="00E4610B"/>
    <w:rsid w:val="00E4633E"/>
    <w:rsid w:val="00E46706"/>
    <w:rsid w:val="00E46C5D"/>
    <w:rsid w:val="00E46C79"/>
    <w:rsid w:val="00E46CF7"/>
    <w:rsid w:val="00E46FD9"/>
    <w:rsid w:val="00E47195"/>
    <w:rsid w:val="00E4759B"/>
    <w:rsid w:val="00E479B9"/>
    <w:rsid w:val="00E47BE4"/>
    <w:rsid w:val="00E47CFC"/>
    <w:rsid w:val="00E47F3C"/>
    <w:rsid w:val="00E47F50"/>
    <w:rsid w:val="00E5008B"/>
    <w:rsid w:val="00E50143"/>
    <w:rsid w:val="00E501C9"/>
    <w:rsid w:val="00E502E7"/>
    <w:rsid w:val="00E50328"/>
    <w:rsid w:val="00E5033A"/>
    <w:rsid w:val="00E503BE"/>
    <w:rsid w:val="00E506C7"/>
    <w:rsid w:val="00E50709"/>
    <w:rsid w:val="00E50728"/>
    <w:rsid w:val="00E507C4"/>
    <w:rsid w:val="00E50818"/>
    <w:rsid w:val="00E50D48"/>
    <w:rsid w:val="00E50F64"/>
    <w:rsid w:val="00E50FCE"/>
    <w:rsid w:val="00E511DF"/>
    <w:rsid w:val="00E5121B"/>
    <w:rsid w:val="00E51498"/>
    <w:rsid w:val="00E515B3"/>
    <w:rsid w:val="00E51706"/>
    <w:rsid w:val="00E51A42"/>
    <w:rsid w:val="00E51AE6"/>
    <w:rsid w:val="00E51AFE"/>
    <w:rsid w:val="00E51B2D"/>
    <w:rsid w:val="00E51BDB"/>
    <w:rsid w:val="00E51C4D"/>
    <w:rsid w:val="00E51E5B"/>
    <w:rsid w:val="00E52074"/>
    <w:rsid w:val="00E52144"/>
    <w:rsid w:val="00E52295"/>
    <w:rsid w:val="00E522BB"/>
    <w:rsid w:val="00E522DB"/>
    <w:rsid w:val="00E52345"/>
    <w:rsid w:val="00E52374"/>
    <w:rsid w:val="00E523F6"/>
    <w:rsid w:val="00E52451"/>
    <w:rsid w:val="00E52453"/>
    <w:rsid w:val="00E52490"/>
    <w:rsid w:val="00E52589"/>
    <w:rsid w:val="00E5259B"/>
    <w:rsid w:val="00E526C9"/>
    <w:rsid w:val="00E52744"/>
    <w:rsid w:val="00E528EF"/>
    <w:rsid w:val="00E52941"/>
    <w:rsid w:val="00E529EE"/>
    <w:rsid w:val="00E52A85"/>
    <w:rsid w:val="00E52A88"/>
    <w:rsid w:val="00E52A90"/>
    <w:rsid w:val="00E52BDA"/>
    <w:rsid w:val="00E52C2C"/>
    <w:rsid w:val="00E52F06"/>
    <w:rsid w:val="00E52FB1"/>
    <w:rsid w:val="00E5310F"/>
    <w:rsid w:val="00E53661"/>
    <w:rsid w:val="00E538AE"/>
    <w:rsid w:val="00E53A6A"/>
    <w:rsid w:val="00E53DFB"/>
    <w:rsid w:val="00E53EC7"/>
    <w:rsid w:val="00E54098"/>
    <w:rsid w:val="00E5416E"/>
    <w:rsid w:val="00E541D3"/>
    <w:rsid w:val="00E541EE"/>
    <w:rsid w:val="00E5433D"/>
    <w:rsid w:val="00E5446B"/>
    <w:rsid w:val="00E548EE"/>
    <w:rsid w:val="00E54910"/>
    <w:rsid w:val="00E54D56"/>
    <w:rsid w:val="00E55077"/>
    <w:rsid w:val="00E55430"/>
    <w:rsid w:val="00E5560E"/>
    <w:rsid w:val="00E55637"/>
    <w:rsid w:val="00E5575F"/>
    <w:rsid w:val="00E557E9"/>
    <w:rsid w:val="00E557EF"/>
    <w:rsid w:val="00E557FA"/>
    <w:rsid w:val="00E5589F"/>
    <w:rsid w:val="00E55A48"/>
    <w:rsid w:val="00E55BBB"/>
    <w:rsid w:val="00E55E90"/>
    <w:rsid w:val="00E56030"/>
    <w:rsid w:val="00E5603F"/>
    <w:rsid w:val="00E5636A"/>
    <w:rsid w:val="00E56432"/>
    <w:rsid w:val="00E56486"/>
    <w:rsid w:val="00E5652A"/>
    <w:rsid w:val="00E5658D"/>
    <w:rsid w:val="00E567D0"/>
    <w:rsid w:val="00E5693D"/>
    <w:rsid w:val="00E569ED"/>
    <w:rsid w:val="00E56AAF"/>
    <w:rsid w:val="00E56ED7"/>
    <w:rsid w:val="00E56F2A"/>
    <w:rsid w:val="00E56F5C"/>
    <w:rsid w:val="00E56F5E"/>
    <w:rsid w:val="00E57012"/>
    <w:rsid w:val="00E57051"/>
    <w:rsid w:val="00E5720B"/>
    <w:rsid w:val="00E572E1"/>
    <w:rsid w:val="00E572F6"/>
    <w:rsid w:val="00E57365"/>
    <w:rsid w:val="00E576E0"/>
    <w:rsid w:val="00E57847"/>
    <w:rsid w:val="00E57A8F"/>
    <w:rsid w:val="00E57F1A"/>
    <w:rsid w:val="00E60443"/>
    <w:rsid w:val="00E60623"/>
    <w:rsid w:val="00E6074A"/>
    <w:rsid w:val="00E607E8"/>
    <w:rsid w:val="00E60B5A"/>
    <w:rsid w:val="00E60BC6"/>
    <w:rsid w:val="00E60BD6"/>
    <w:rsid w:val="00E60F1A"/>
    <w:rsid w:val="00E60F95"/>
    <w:rsid w:val="00E6101D"/>
    <w:rsid w:val="00E6108D"/>
    <w:rsid w:val="00E6137D"/>
    <w:rsid w:val="00E61430"/>
    <w:rsid w:val="00E6168F"/>
    <w:rsid w:val="00E61740"/>
    <w:rsid w:val="00E61792"/>
    <w:rsid w:val="00E61909"/>
    <w:rsid w:val="00E6199B"/>
    <w:rsid w:val="00E61EA2"/>
    <w:rsid w:val="00E6245A"/>
    <w:rsid w:val="00E6247B"/>
    <w:rsid w:val="00E6247F"/>
    <w:rsid w:val="00E624B9"/>
    <w:rsid w:val="00E62520"/>
    <w:rsid w:val="00E62755"/>
    <w:rsid w:val="00E62838"/>
    <w:rsid w:val="00E62AC2"/>
    <w:rsid w:val="00E62C1E"/>
    <w:rsid w:val="00E62C5F"/>
    <w:rsid w:val="00E62C62"/>
    <w:rsid w:val="00E62D28"/>
    <w:rsid w:val="00E62F35"/>
    <w:rsid w:val="00E633AA"/>
    <w:rsid w:val="00E6351C"/>
    <w:rsid w:val="00E63ABF"/>
    <w:rsid w:val="00E63BB2"/>
    <w:rsid w:val="00E64399"/>
    <w:rsid w:val="00E645B5"/>
    <w:rsid w:val="00E64A21"/>
    <w:rsid w:val="00E64B0E"/>
    <w:rsid w:val="00E64B79"/>
    <w:rsid w:val="00E64BCC"/>
    <w:rsid w:val="00E64C39"/>
    <w:rsid w:val="00E64D17"/>
    <w:rsid w:val="00E65058"/>
    <w:rsid w:val="00E6512A"/>
    <w:rsid w:val="00E653F2"/>
    <w:rsid w:val="00E654F5"/>
    <w:rsid w:val="00E65556"/>
    <w:rsid w:val="00E657FF"/>
    <w:rsid w:val="00E65A85"/>
    <w:rsid w:val="00E65AE1"/>
    <w:rsid w:val="00E65B16"/>
    <w:rsid w:val="00E65BB9"/>
    <w:rsid w:val="00E65E8F"/>
    <w:rsid w:val="00E661BA"/>
    <w:rsid w:val="00E6627B"/>
    <w:rsid w:val="00E66375"/>
    <w:rsid w:val="00E663AD"/>
    <w:rsid w:val="00E66537"/>
    <w:rsid w:val="00E66580"/>
    <w:rsid w:val="00E66648"/>
    <w:rsid w:val="00E667CE"/>
    <w:rsid w:val="00E66AAA"/>
    <w:rsid w:val="00E66C0B"/>
    <w:rsid w:val="00E66C8B"/>
    <w:rsid w:val="00E66E29"/>
    <w:rsid w:val="00E66F7E"/>
    <w:rsid w:val="00E6722E"/>
    <w:rsid w:val="00E6731F"/>
    <w:rsid w:val="00E6781E"/>
    <w:rsid w:val="00E67853"/>
    <w:rsid w:val="00E67ADB"/>
    <w:rsid w:val="00E67B81"/>
    <w:rsid w:val="00E67B9D"/>
    <w:rsid w:val="00E67D36"/>
    <w:rsid w:val="00E67ECE"/>
    <w:rsid w:val="00E7016D"/>
    <w:rsid w:val="00E70188"/>
    <w:rsid w:val="00E704FA"/>
    <w:rsid w:val="00E70565"/>
    <w:rsid w:val="00E708FA"/>
    <w:rsid w:val="00E709EB"/>
    <w:rsid w:val="00E70A1A"/>
    <w:rsid w:val="00E70B13"/>
    <w:rsid w:val="00E70B66"/>
    <w:rsid w:val="00E70C6B"/>
    <w:rsid w:val="00E70D06"/>
    <w:rsid w:val="00E70DC5"/>
    <w:rsid w:val="00E70EF0"/>
    <w:rsid w:val="00E712C3"/>
    <w:rsid w:val="00E712F9"/>
    <w:rsid w:val="00E71440"/>
    <w:rsid w:val="00E71491"/>
    <w:rsid w:val="00E714B7"/>
    <w:rsid w:val="00E7150B"/>
    <w:rsid w:val="00E71902"/>
    <w:rsid w:val="00E71921"/>
    <w:rsid w:val="00E719F1"/>
    <w:rsid w:val="00E71EA3"/>
    <w:rsid w:val="00E722A8"/>
    <w:rsid w:val="00E7233D"/>
    <w:rsid w:val="00E724AA"/>
    <w:rsid w:val="00E72B36"/>
    <w:rsid w:val="00E72E27"/>
    <w:rsid w:val="00E72F49"/>
    <w:rsid w:val="00E7301F"/>
    <w:rsid w:val="00E730B5"/>
    <w:rsid w:val="00E73115"/>
    <w:rsid w:val="00E73150"/>
    <w:rsid w:val="00E73246"/>
    <w:rsid w:val="00E73455"/>
    <w:rsid w:val="00E736EA"/>
    <w:rsid w:val="00E7373E"/>
    <w:rsid w:val="00E73783"/>
    <w:rsid w:val="00E73886"/>
    <w:rsid w:val="00E738F4"/>
    <w:rsid w:val="00E73928"/>
    <w:rsid w:val="00E739DA"/>
    <w:rsid w:val="00E73CE5"/>
    <w:rsid w:val="00E73EAE"/>
    <w:rsid w:val="00E73F86"/>
    <w:rsid w:val="00E73FF1"/>
    <w:rsid w:val="00E74368"/>
    <w:rsid w:val="00E744B9"/>
    <w:rsid w:val="00E74508"/>
    <w:rsid w:val="00E74611"/>
    <w:rsid w:val="00E74915"/>
    <w:rsid w:val="00E74917"/>
    <w:rsid w:val="00E74959"/>
    <w:rsid w:val="00E74980"/>
    <w:rsid w:val="00E74B36"/>
    <w:rsid w:val="00E74BB0"/>
    <w:rsid w:val="00E74CBE"/>
    <w:rsid w:val="00E74CEB"/>
    <w:rsid w:val="00E74D32"/>
    <w:rsid w:val="00E74D33"/>
    <w:rsid w:val="00E74D87"/>
    <w:rsid w:val="00E7508B"/>
    <w:rsid w:val="00E75172"/>
    <w:rsid w:val="00E75198"/>
    <w:rsid w:val="00E75292"/>
    <w:rsid w:val="00E75591"/>
    <w:rsid w:val="00E75735"/>
    <w:rsid w:val="00E75844"/>
    <w:rsid w:val="00E75915"/>
    <w:rsid w:val="00E75D26"/>
    <w:rsid w:val="00E75D37"/>
    <w:rsid w:val="00E75DD1"/>
    <w:rsid w:val="00E75E5B"/>
    <w:rsid w:val="00E760B7"/>
    <w:rsid w:val="00E761A3"/>
    <w:rsid w:val="00E761B2"/>
    <w:rsid w:val="00E7622E"/>
    <w:rsid w:val="00E76301"/>
    <w:rsid w:val="00E76310"/>
    <w:rsid w:val="00E7631C"/>
    <w:rsid w:val="00E7636C"/>
    <w:rsid w:val="00E764B1"/>
    <w:rsid w:val="00E766BE"/>
    <w:rsid w:val="00E76C19"/>
    <w:rsid w:val="00E76E9C"/>
    <w:rsid w:val="00E76EEC"/>
    <w:rsid w:val="00E76FA1"/>
    <w:rsid w:val="00E76FE6"/>
    <w:rsid w:val="00E77014"/>
    <w:rsid w:val="00E77B95"/>
    <w:rsid w:val="00E77BBF"/>
    <w:rsid w:val="00E77CDA"/>
    <w:rsid w:val="00E77D63"/>
    <w:rsid w:val="00E8011F"/>
    <w:rsid w:val="00E80179"/>
    <w:rsid w:val="00E80383"/>
    <w:rsid w:val="00E806B8"/>
    <w:rsid w:val="00E80780"/>
    <w:rsid w:val="00E8097E"/>
    <w:rsid w:val="00E80A08"/>
    <w:rsid w:val="00E80BFA"/>
    <w:rsid w:val="00E80D0C"/>
    <w:rsid w:val="00E80E1A"/>
    <w:rsid w:val="00E80ECF"/>
    <w:rsid w:val="00E81115"/>
    <w:rsid w:val="00E811DF"/>
    <w:rsid w:val="00E81242"/>
    <w:rsid w:val="00E8139B"/>
    <w:rsid w:val="00E814EB"/>
    <w:rsid w:val="00E81550"/>
    <w:rsid w:val="00E81641"/>
    <w:rsid w:val="00E817F0"/>
    <w:rsid w:val="00E81905"/>
    <w:rsid w:val="00E81963"/>
    <w:rsid w:val="00E819E4"/>
    <w:rsid w:val="00E81C79"/>
    <w:rsid w:val="00E81DA5"/>
    <w:rsid w:val="00E81E8D"/>
    <w:rsid w:val="00E820F0"/>
    <w:rsid w:val="00E821D6"/>
    <w:rsid w:val="00E827BD"/>
    <w:rsid w:val="00E82A8C"/>
    <w:rsid w:val="00E82BB8"/>
    <w:rsid w:val="00E82D97"/>
    <w:rsid w:val="00E82E21"/>
    <w:rsid w:val="00E83043"/>
    <w:rsid w:val="00E831FE"/>
    <w:rsid w:val="00E83343"/>
    <w:rsid w:val="00E8352D"/>
    <w:rsid w:val="00E83F20"/>
    <w:rsid w:val="00E83FB5"/>
    <w:rsid w:val="00E83FF1"/>
    <w:rsid w:val="00E84039"/>
    <w:rsid w:val="00E84093"/>
    <w:rsid w:val="00E842D8"/>
    <w:rsid w:val="00E84382"/>
    <w:rsid w:val="00E8440B"/>
    <w:rsid w:val="00E8459F"/>
    <w:rsid w:val="00E8496A"/>
    <w:rsid w:val="00E84975"/>
    <w:rsid w:val="00E84BC8"/>
    <w:rsid w:val="00E84D60"/>
    <w:rsid w:val="00E84EBC"/>
    <w:rsid w:val="00E84EC0"/>
    <w:rsid w:val="00E84EE7"/>
    <w:rsid w:val="00E84F74"/>
    <w:rsid w:val="00E85421"/>
    <w:rsid w:val="00E8547F"/>
    <w:rsid w:val="00E8554D"/>
    <w:rsid w:val="00E855F6"/>
    <w:rsid w:val="00E8588F"/>
    <w:rsid w:val="00E859EE"/>
    <w:rsid w:val="00E85A47"/>
    <w:rsid w:val="00E85BE0"/>
    <w:rsid w:val="00E85CE5"/>
    <w:rsid w:val="00E86511"/>
    <w:rsid w:val="00E8697B"/>
    <w:rsid w:val="00E86AA0"/>
    <w:rsid w:val="00E86AF9"/>
    <w:rsid w:val="00E86C06"/>
    <w:rsid w:val="00E86D78"/>
    <w:rsid w:val="00E86F2E"/>
    <w:rsid w:val="00E86F64"/>
    <w:rsid w:val="00E87133"/>
    <w:rsid w:val="00E873B3"/>
    <w:rsid w:val="00E87713"/>
    <w:rsid w:val="00E87737"/>
    <w:rsid w:val="00E877E9"/>
    <w:rsid w:val="00E877FF"/>
    <w:rsid w:val="00E879A4"/>
    <w:rsid w:val="00E87A8B"/>
    <w:rsid w:val="00E87C8E"/>
    <w:rsid w:val="00E87F4D"/>
    <w:rsid w:val="00E9028E"/>
    <w:rsid w:val="00E90397"/>
    <w:rsid w:val="00E90484"/>
    <w:rsid w:val="00E90691"/>
    <w:rsid w:val="00E90727"/>
    <w:rsid w:val="00E9095E"/>
    <w:rsid w:val="00E90DC1"/>
    <w:rsid w:val="00E90E33"/>
    <w:rsid w:val="00E90F57"/>
    <w:rsid w:val="00E90FE0"/>
    <w:rsid w:val="00E9142B"/>
    <w:rsid w:val="00E915D0"/>
    <w:rsid w:val="00E915EF"/>
    <w:rsid w:val="00E9161D"/>
    <w:rsid w:val="00E9163D"/>
    <w:rsid w:val="00E917E3"/>
    <w:rsid w:val="00E91906"/>
    <w:rsid w:val="00E91B04"/>
    <w:rsid w:val="00E91C3F"/>
    <w:rsid w:val="00E91D4F"/>
    <w:rsid w:val="00E91E6E"/>
    <w:rsid w:val="00E91FC0"/>
    <w:rsid w:val="00E9207E"/>
    <w:rsid w:val="00E921D5"/>
    <w:rsid w:val="00E92223"/>
    <w:rsid w:val="00E925FF"/>
    <w:rsid w:val="00E926AA"/>
    <w:rsid w:val="00E9281F"/>
    <w:rsid w:val="00E92A5C"/>
    <w:rsid w:val="00E92D24"/>
    <w:rsid w:val="00E92DD9"/>
    <w:rsid w:val="00E92F36"/>
    <w:rsid w:val="00E92F4B"/>
    <w:rsid w:val="00E93028"/>
    <w:rsid w:val="00E930CE"/>
    <w:rsid w:val="00E9313B"/>
    <w:rsid w:val="00E93285"/>
    <w:rsid w:val="00E933BC"/>
    <w:rsid w:val="00E93534"/>
    <w:rsid w:val="00E935F4"/>
    <w:rsid w:val="00E93C08"/>
    <w:rsid w:val="00E93CED"/>
    <w:rsid w:val="00E94179"/>
    <w:rsid w:val="00E94283"/>
    <w:rsid w:val="00E944DC"/>
    <w:rsid w:val="00E94507"/>
    <w:rsid w:val="00E94687"/>
    <w:rsid w:val="00E94787"/>
    <w:rsid w:val="00E94830"/>
    <w:rsid w:val="00E94A38"/>
    <w:rsid w:val="00E94A89"/>
    <w:rsid w:val="00E94B18"/>
    <w:rsid w:val="00E94CA8"/>
    <w:rsid w:val="00E94CFE"/>
    <w:rsid w:val="00E9502B"/>
    <w:rsid w:val="00E9507A"/>
    <w:rsid w:val="00E95329"/>
    <w:rsid w:val="00E95472"/>
    <w:rsid w:val="00E95557"/>
    <w:rsid w:val="00E955D6"/>
    <w:rsid w:val="00E95704"/>
    <w:rsid w:val="00E9587A"/>
    <w:rsid w:val="00E959F9"/>
    <w:rsid w:val="00E95BCA"/>
    <w:rsid w:val="00E95CDB"/>
    <w:rsid w:val="00E960A6"/>
    <w:rsid w:val="00E960D0"/>
    <w:rsid w:val="00E96420"/>
    <w:rsid w:val="00E9653C"/>
    <w:rsid w:val="00E96924"/>
    <w:rsid w:val="00E96C34"/>
    <w:rsid w:val="00E96C75"/>
    <w:rsid w:val="00E96EE9"/>
    <w:rsid w:val="00E96F63"/>
    <w:rsid w:val="00E96FAA"/>
    <w:rsid w:val="00E970AA"/>
    <w:rsid w:val="00E9724D"/>
    <w:rsid w:val="00E97259"/>
    <w:rsid w:val="00E973AA"/>
    <w:rsid w:val="00E97486"/>
    <w:rsid w:val="00E974CF"/>
    <w:rsid w:val="00E975A6"/>
    <w:rsid w:val="00E97773"/>
    <w:rsid w:val="00E97A20"/>
    <w:rsid w:val="00E97B43"/>
    <w:rsid w:val="00E97BDA"/>
    <w:rsid w:val="00E97BDC"/>
    <w:rsid w:val="00E97C53"/>
    <w:rsid w:val="00E97E6D"/>
    <w:rsid w:val="00EA005B"/>
    <w:rsid w:val="00EA0182"/>
    <w:rsid w:val="00EA039A"/>
    <w:rsid w:val="00EA04DE"/>
    <w:rsid w:val="00EA0636"/>
    <w:rsid w:val="00EA096D"/>
    <w:rsid w:val="00EA097D"/>
    <w:rsid w:val="00EA0B5E"/>
    <w:rsid w:val="00EA103E"/>
    <w:rsid w:val="00EA109C"/>
    <w:rsid w:val="00EA1403"/>
    <w:rsid w:val="00EA145B"/>
    <w:rsid w:val="00EA158A"/>
    <w:rsid w:val="00EA15B0"/>
    <w:rsid w:val="00EA1677"/>
    <w:rsid w:val="00EA1695"/>
    <w:rsid w:val="00EA16A2"/>
    <w:rsid w:val="00EA1737"/>
    <w:rsid w:val="00EA1866"/>
    <w:rsid w:val="00EA1887"/>
    <w:rsid w:val="00EA1986"/>
    <w:rsid w:val="00EA1F93"/>
    <w:rsid w:val="00EA206B"/>
    <w:rsid w:val="00EA213C"/>
    <w:rsid w:val="00EA247C"/>
    <w:rsid w:val="00EA251F"/>
    <w:rsid w:val="00EA274C"/>
    <w:rsid w:val="00EA2A68"/>
    <w:rsid w:val="00EA2BBA"/>
    <w:rsid w:val="00EA2C33"/>
    <w:rsid w:val="00EA2E3C"/>
    <w:rsid w:val="00EA2ED9"/>
    <w:rsid w:val="00EA3366"/>
    <w:rsid w:val="00EA33AA"/>
    <w:rsid w:val="00EA34EF"/>
    <w:rsid w:val="00EA36C6"/>
    <w:rsid w:val="00EA374E"/>
    <w:rsid w:val="00EA37CA"/>
    <w:rsid w:val="00EA380F"/>
    <w:rsid w:val="00EA3C7F"/>
    <w:rsid w:val="00EA3D20"/>
    <w:rsid w:val="00EA3EF1"/>
    <w:rsid w:val="00EA4012"/>
    <w:rsid w:val="00EA40EF"/>
    <w:rsid w:val="00EA4364"/>
    <w:rsid w:val="00EA437F"/>
    <w:rsid w:val="00EA442A"/>
    <w:rsid w:val="00EA4441"/>
    <w:rsid w:val="00EA446A"/>
    <w:rsid w:val="00EA4559"/>
    <w:rsid w:val="00EA456F"/>
    <w:rsid w:val="00EA45B4"/>
    <w:rsid w:val="00EA45C5"/>
    <w:rsid w:val="00EA46CE"/>
    <w:rsid w:val="00EA49E7"/>
    <w:rsid w:val="00EA4CBF"/>
    <w:rsid w:val="00EA4E82"/>
    <w:rsid w:val="00EA4F1A"/>
    <w:rsid w:val="00EA4F6A"/>
    <w:rsid w:val="00EA518C"/>
    <w:rsid w:val="00EA5232"/>
    <w:rsid w:val="00EA534B"/>
    <w:rsid w:val="00EA539E"/>
    <w:rsid w:val="00EA5497"/>
    <w:rsid w:val="00EA5531"/>
    <w:rsid w:val="00EA559D"/>
    <w:rsid w:val="00EA599D"/>
    <w:rsid w:val="00EA5C2E"/>
    <w:rsid w:val="00EA5C69"/>
    <w:rsid w:val="00EA5C95"/>
    <w:rsid w:val="00EA5D27"/>
    <w:rsid w:val="00EA6194"/>
    <w:rsid w:val="00EA65E0"/>
    <w:rsid w:val="00EA6671"/>
    <w:rsid w:val="00EA66C8"/>
    <w:rsid w:val="00EA676E"/>
    <w:rsid w:val="00EA6875"/>
    <w:rsid w:val="00EA6880"/>
    <w:rsid w:val="00EA6922"/>
    <w:rsid w:val="00EA6939"/>
    <w:rsid w:val="00EA6965"/>
    <w:rsid w:val="00EA6A8B"/>
    <w:rsid w:val="00EA6B83"/>
    <w:rsid w:val="00EA6B92"/>
    <w:rsid w:val="00EA6E00"/>
    <w:rsid w:val="00EA7201"/>
    <w:rsid w:val="00EA720E"/>
    <w:rsid w:val="00EA762E"/>
    <w:rsid w:val="00EA7819"/>
    <w:rsid w:val="00EA78E9"/>
    <w:rsid w:val="00EA7993"/>
    <w:rsid w:val="00EA79EF"/>
    <w:rsid w:val="00EA7AAD"/>
    <w:rsid w:val="00EB029B"/>
    <w:rsid w:val="00EB0414"/>
    <w:rsid w:val="00EB05DB"/>
    <w:rsid w:val="00EB071F"/>
    <w:rsid w:val="00EB0954"/>
    <w:rsid w:val="00EB099F"/>
    <w:rsid w:val="00EB0A1B"/>
    <w:rsid w:val="00EB0A2C"/>
    <w:rsid w:val="00EB0B3A"/>
    <w:rsid w:val="00EB0CA9"/>
    <w:rsid w:val="00EB0D7E"/>
    <w:rsid w:val="00EB0FC4"/>
    <w:rsid w:val="00EB105B"/>
    <w:rsid w:val="00EB128F"/>
    <w:rsid w:val="00EB129B"/>
    <w:rsid w:val="00EB17C9"/>
    <w:rsid w:val="00EB17D1"/>
    <w:rsid w:val="00EB1807"/>
    <w:rsid w:val="00EB192F"/>
    <w:rsid w:val="00EB1A4A"/>
    <w:rsid w:val="00EB1F5C"/>
    <w:rsid w:val="00EB22AA"/>
    <w:rsid w:val="00EB248E"/>
    <w:rsid w:val="00EB25C1"/>
    <w:rsid w:val="00EB26D1"/>
    <w:rsid w:val="00EB278C"/>
    <w:rsid w:val="00EB2AD0"/>
    <w:rsid w:val="00EB2AF6"/>
    <w:rsid w:val="00EB2BE4"/>
    <w:rsid w:val="00EB2D17"/>
    <w:rsid w:val="00EB2D30"/>
    <w:rsid w:val="00EB33F4"/>
    <w:rsid w:val="00EB35F7"/>
    <w:rsid w:val="00EB37E7"/>
    <w:rsid w:val="00EB381B"/>
    <w:rsid w:val="00EB3BED"/>
    <w:rsid w:val="00EB3BF4"/>
    <w:rsid w:val="00EB3C44"/>
    <w:rsid w:val="00EB3C53"/>
    <w:rsid w:val="00EB3D39"/>
    <w:rsid w:val="00EB401F"/>
    <w:rsid w:val="00EB4026"/>
    <w:rsid w:val="00EB4448"/>
    <w:rsid w:val="00EB4710"/>
    <w:rsid w:val="00EB4D26"/>
    <w:rsid w:val="00EB4DE2"/>
    <w:rsid w:val="00EB5154"/>
    <w:rsid w:val="00EB5181"/>
    <w:rsid w:val="00EB520A"/>
    <w:rsid w:val="00EB530E"/>
    <w:rsid w:val="00EB56DE"/>
    <w:rsid w:val="00EB56F9"/>
    <w:rsid w:val="00EB5877"/>
    <w:rsid w:val="00EB5BA0"/>
    <w:rsid w:val="00EB5CA9"/>
    <w:rsid w:val="00EB5F37"/>
    <w:rsid w:val="00EB60B8"/>
    <w:rsid w:val="00EB6198"/>
    <w:rsid w:val="00EB6239"/>
    <w:rsid w:val="00EB6264"/>
    <w:rsid w:val="00EB62DD"/>
    <w:rsid w:val="00EB63B8"/>
    <w:rsid w:val="00EB66A7"/>
    <w:rsid w:val="00EB67C9"/>
    <w:rsid w:val="00EB6879"/>
    <w:rsid w:val="00EB6A0D"/>
    <w:rsid w:val="00EB6B21"/>
    <w:rsid w:val="00EB6CA7"/>
    <w:rsid w:val="00EB6CEE"/>
    <w:rsid w:val="00EB6E64"/>
    <w:rsid w:val="00EB6E8C"/>
    <w:rsid w:val="00EB6EBA"/>
    <w:rsid w:val="00EB6F79"/>
    <w:rsid w:val="00EB701C"/>
    <w:rsid w:val="00EB70CB"/>
    <w:rsid w:val="00EB7490"/>
    <w:rsid w:val="00EB758F"/>
    <w:rsid w:val="00EB767C"/>
    <w:rsid w:val="00EB78AB"/>
    <w:rsid w:val="00EB7A15"/>
    <w:rsid w:val="00EB7A6D"/>
    <w:rsid w:val="00EB7D54"/>
    <w:rsid w:val="00EB7D55"/>
    <w:rsid w:val="00EB7DB5"/>
    <w:rsid w:val="00EB7E61"/>
    <w:rsid w:val="00EC00DE"/>
    <w:rsid w:val="00EC00ED"/>
    <w:rsid w:val="00EC0186"/>
    <w:rsid w:val="00EC0583"/>
    <w:rsid w:val="00EC0A9C"/>
    <w:rsid w:val="00EC0C79"/>
    <w:rsid w:val="00EC0DCE"/>
    <w:rsid w:val="00EC1236"/>
    <w:rsid w:val="00EC1237"/>
    <w:rsid w:val="00EC12E7"/>
    <w:rsid w:val="00EC13C3"/>
    <w:rsid w:val="00EC13FD"/>
    <w:rsid w:val="00EC1640"/>
    <w:rsid w:val="00EC165A"/>
    <w:rsid w:val="00EC1AFA"/>
    <w:rsid w:val="00EC1D04"/>
    <w:rsid w:val="00EC1DA3"/>
    <w:rsid w:val="00EC1ECF"/>
    <w:rsid w:val="00EC201B"/>
    <w:rsid w:val="00EC20CA"/>
    <w:rsid w:val="00EC22B1"/>
    <w:rsid w:val="00EC2315"/>
    <w:rsid w:val="00EC2399"/>
    <w:rsid w:val="00EC2489"/>
    <w:rsid w:val="00EC24BD"/>
    <w:rsid w:val="00EC25BA"/>
    <w:rsid w:val="00EC2604"/>
    <w:rsid w:val="00EC269D"/>
    <w:rsid w:val="00EC26A0"/>
    <w:rsid w:val="00EC2B55"/>
    <w:rsid w:val="00EC2CF1"/>
    <w:rsid w:val="00EC2D32"/>
    <w:rsid w:val="00EC2D6F"/>
    <w:rsid w:val="00EC2F71"/>
    <w:rsid w:val="00EC3085"/>
    <w:rsid w:val="00EC3120"/>
    <w:rsid w:val="00EC3227"/>
    <w:rsid w:val="00EC32DD"/>
    <w:rsid w:val="00EC34E3"/>
    <w:rsid w:val="00EC354E"/>
    <w:rsid w:val="00EC3C79"/>
    <w:rsid w:val="00EC3DAE"/>
    <w:rsid w:val="00EC3F09"/>
    <w:rsid w:val="00EC3F31"/>
    <w:rsid w:val="00EC41BC"/>
    <w:rsid w:val="00EC4860"/>
    <w:rsid w:val="00EC4ACE"/>
    <w:rsid w:val="00EC4B27"/>
    <w:rsid w:val="00EC4D5A"/>
    <w:rsid w:val="00EC4DB0"/>
    <w:rsid w:val="00EC50A5"/>
    <w:rsid w:val="00EC54C4"/>
    <w:rsid w:val="00EC56AC"/>
    <w:rsid w:val="00EC5780"/>
    <w:rsid w:val="00EC5815"/>
    <w:rsid w:val="00EC5842"/>
    <w:rsid w:val="00EC5A71"/>
    <w:rsid w:val="00EC5CFC"/>
    <w:rsid w:val="00EC5CFF"/>
    <w:rsid w:val="00EC5F6A"/>
    <w:rsid w:val="00EC6033"/>
    <w:rsid w:val="00EC62E1"/>
    <w:rsid w:val="00EC6384"/>
    <w:rsid w:val="00EC63F8"/>
    <w:rsid w:val="00EC6444"/>
    <w:rsid w:val="00EC6515"/>
    <w:rsid w:val="00EC6910"/>
    <w:rsid w:val="00EC6915"/>
    <w:rsid w:val="00EC6928"/>
    <w:rsid w:val="00EC6A7E"/>
    <w:rsid w:val="00EC6B83"/>
    <w:rsid w:val="00EC6DB1"/>
    <w:rsid w:val="00EC7005"/>
    <w:rsid w:val="00EC7186"/>
    <w:rsid w:val="00EC73C9"/>
    <w:rsid w:val="00EC758A"/>
    <w:rsid w:val="00EC793C"/>
    <w:rsid w:val="00ED0071"/>
    <w:rsid w:val="00ED0142"/>
    <w:rsid w:val="00ED06DB"/>
    <w:rsid w:val="00ED09F2"/>
    <w:rsid w:val="00ED09F8"/>
    <w:rsid w:val="00ED0D23"/>
    <w:rsid w:val="00ED0FA0"/>
    <w:rsid w:val="00ED10F3"/>
    <w:rsid w:val="00ED10FA"/>
    <w:rsid w:val="00ED1335"/>
    <w:rsid w:val="00ED13D7"/>
    <w:rsid w:val="00ED14BB"/>
    <w:rsid w:val="00ED15C8"/>
    <w:rsid w:val="00ED16D9"/>
    <w:rsid w:val="00ED1825"/>
    <w:rsid w:val="00ED184D"/>
    <w:rsid w:val="00ED18CB"/>
    <w:rsid w:val="00ED18FC"/>
    <w:rsid w:val="00ED19C2"/>
    <w:rsid w:val="00ED1D28"/>
    <w:rsid w:val="00ED1E3A"/>
    <w:rsid w:val="00ED2034"/>
    <w:rsid w:val="00ED213C"/>
    <w:rsid w:val="00ED2196"/>
    <w:rsid w:val="00ED2409"/>
    <w:rsid w:val="00ED2647"/>
    <w:rsid w:val="00ED28B1"/>
    <w:rsid w:val="00ED2BAD"/>
    <w:rsid w:val="00ED2C88"/>
    <w:rsid w:val="00ED2D5B"/>
    <w:rsid w:val="00ED2DB8"/>
    <w:rsid w:val="00ED30B3"/>
    <w:rsid w:val="00ED31BD"/>
    <w:rsid w:val="00ED3490"/>
    <w:rsid w:val="00ED34B2"/>
    <w:rsid w:val="00ED350B"/>
    <w:rsid w:val="00ED3700"/>
    <w:rsid w:val="00ED3842"/>
    <w:rsid w:val="00ED38EA"/>
    <w:rsid w:val="00ED397A"/>
    <w:rsid w:val="00ED3E8A"/>
    <w:rsid w:val="00ED3F84"/>
    <w:rsid w:val="00ED3FC4"/>
    <w:rsid w:val="00ED4101"/>
    <w:rsid w:val="00ED43DF"/>
    <w:rsid w:val="00ED43E4"/>
    <w:rsid w:val="00ED44BF"/>
    <w:rsid w:val="00ED4650"/>
    <w:rsid w:val="00ED4809"/>
    <w:rsid w:val="00ED48D9"/>
    <w:rsid w:val="00ED4AA8"/>
    <w:rsid w:val="00ED4AF2"/>
    <w:rsid w:val="00ED4C7B"/>
    <w:rsid w:val="00ED4CF4"/>
    <w:rsid w:val="00ED4FDB"/>
    <w:rsid w:val="00ED50D1"/>
    <w:rsid w:val="00ED54D1"/>
    <w:rsid w:val="00ED5725"/>
    <w:rsid w:val="00ED5EBE"/>
    <w:rsid w:val="00ED5F0E"/>
    <w:rsid w:val="00ED6049"/>
    <w:rsid w:val="00ED6117"/>
    <w:rsid w:val="00ED6178"/>
    <w:rsid w:val="00ED6335"/>
    <w:rsid w:val="00ED64AD"/>
    <w:rsid w:val="00ED6518"/>
    <w:rsid w:val="00ED680B"/>
    <w:rsid w:val="00ED6840"/>
    <w:rsid w:val="00ED6876"/>
    <w:rsid w:val="00ED6BC9"/>
    <w:rsid w:val="00ED6D61"/>
    <w:rsid w:val="00ED6D82"/>
    <w:rsid w:val="00ED6F93"/>
    <w:rsid w:val="00ED7031"/>
    <w:rsid w:val="00ED70A2"/>
    <w:rsid w:val="00ED7167"/>
    <w:rsid w:val="00ED72CF"/>
    <w:rsid w:val="00ED73F3"/>
    <w:rsid w:val="00ED78EA"/>
    <w:rsid w:val="00ED79ED"/>
    <w:rsid w:val="00ED7CE2"/>
    <w:rsid w:val="00ED7E92"/>
    <w:rsid w:val="00ED7F27"/>
    <w:rsid w:val="00EE00FB"/>
    <w:rsid w:val="00EE037A"/>
    <w:rsid w:val="00EE04E5"/>
    <w:rsid w:val="00EE0E01"/>
    <w:rsid w:val="00EE0EA2"/>
    <w:rsid w:val="00EE0F14"/>
    <w:rsid w:val="00EE12A1"/>
    <w:rsid w:val="00EE1409"/>
    <w:rsid w:val="00EE14B2"/>
    <w:rsid w:val="00EE1558"/>
    <w:rsid w:val="00EE16BF"/>
    <w:rsid w:val="00EE17C4"/>
    <w:rsid w:val="00EE1B94"/>
    <w:rsid w:val="00EE1DCE"/>
    <w:rsid w:val="00EE2159"/>
    <w:rsid w:val="00EE2461"/>
    <w:rsid w:val="00EE2695"/>
    <w:rsid w:val="00EE2B57"/>
    <w:rsid w:val="00EE2B7F"/>
    <w:rsid w:val="00EE2CB7"/>
    <w:rsid w:val="00EE3060"/>
    <w:rsid w:val="00EE3195"/>
    <w:rsid w:val="00EE36D8"/>
    <w:rsid w:val="00EE3749"/>
    <w:rsid w:val="00EE39B5"/>
    <w:rsid w:val="00EE3B4B"/>
    <w:rsid w:val="00EE3D1E"/>
    <w:rsid w:val="00EE3D35"/>
    <w:rsid w:val="00EE418D"/>
    <w:rsid w:val="00EE4209"/>
    <w:rsid w:val="00EE42EC"/>
    <w:rsid w:val="00EE4315"/>
    <w:rsid w:val="00EE4380"/>
    <w:rsid w:val="00EE43B0"/>
    <w:rsid w:val="00EE499E"/>
    <w:rsid w:val="00EE4E23"/>
    <w:rsid w:val="00EE51DB"/>
    <w:rsid w:val="00EE52AE"/>
    <w:rsid w:val="00EE5494"/>
    <w:rsid w:val="00EE5CAA"/>
    <w:rsid w:val="00EE5CBE"/>
    <w:rsid w:val="00EE5D16"/>
    <w:rsid w:val="00EE5EB4"/>
    <w:rsid w:val="00EE5F18"/>
    <w:rsid w:val="00EE6606"/>
    <w:rsid w:val="00EE67C4"/>
    <w:rsid w:val="00EE680F"/>
    <w:rsid w:val="00EE6D72"/>
    <w:rsid w:val="00EE6ECF"/>
    <w:rsid w:val="00EE6F15"/>
    <w:rsid w:val="00EE6F50"/>
    <w:rsid w:val="00EE7080"/>
    <w:rsid w:val="00EE7089"/>
    <w:rsid w:val="00EE718B"/>
    <w:rsid w:val="00EE748A"/>
    <w:rsid w:val="00EE74AC"/>
    <w:rsid w:val="00EE7631"/>
    <w:rsid w:val="00EE76EA"/>
    <w:rsid w:val="00EE77CC"/>
    <w:rsid w:val="00EE787E"/>
    <w:rsid w:val="00EE78A4"/>
    <w:rsid w:val="00EE7A06"/>
    <w:rsid w:val="00EE7C11"/>
    <w:rsid w:val="00EE7F32"/>
    <w:rsid w:val="00EE7FFA"/>
    <w:rsid w:val="00EF0025"/>
    <w:rsid w:val="00EF01BA"/>
    <w:rsid w:val="00EF06FB"/>
    <w:rsid w:val="00EF0742"/>
    <w:rsid w:val="00EF0743"/>
    <w:rsid w:val="00EF07E5"/>
    <w:rsid w:val="00EF0EEE"/>
    <w:rsid w:val="00EF108A"/>
    <w:rsid w:val="00EF110B"/>
    <w:rsid w:val="00EF1198"/>
    <w:rsid w:val="00EF1294"/>
    <w:rsid w:val="00EF138F"/>
    <w:rsid w:val="00EF13CB"/>
    <w:rsid w:val="00EF1493"/>
    <w:rsid w:val="00EF168A"/>
    <w:rsid w:val="00EF16D5"/>
    <w:rsid w:val="00EF16F2"/>
    <w:rsid w:val="00EF1707"/>
    <w:rsid w:val="00EF1877"/>
    <w:rsid w:val="00EF18D8"/>
    <w:rsid w:val="00EF1A30"/>
    <w:rsid w:val="00EF1A35"/>
    <w:rsid w:val="00EF1B43"/>
    <w:rsid w:val="00EF1C38"/>
    <w:rsid w:val="00EF1CF9"/>
    <w:rsid w:val="00EF1DB8"/>
    <w:rsid w:val="00EF1E75"/>
    <w:rsid w:val="00EF1E81"/>
    <w:rsid w:val="00EF1E92"/>
    <w:rsid w:val="00EF2015"/>
    <w:rsid w:val="00EF20ED"/>
    <w:rsid w:val="00EF21A9"/>
    <w:rsid w:val="00EF248B"/>
    <w:rsid w:val="00EF2504"/>
    <w:rsid w:val="00EF2A3A"/>
    <w:rsid w:val="00EF2A9E"/>
    <w:rsid w:val="00EF2FEA"/>
    <w:rsid w:val="00EF342B"/>
    <w:rsid w:val="00EF367C"/>
    <w:rsid w:val="00EF368A"/>
    <w:rsid w:val="00EF36B1"/>
    <w:rsid w:val="00EF3886"/>
    <w:rsid w:val="00EF3B51"/>
    <w:rsid w:val="00EF3CEB"/>
    <w:rsid w:val="00EF3D29"/>
    <w:rsid w:val="00EF3D31"/>
    <w:rsid w:val="00EF3E5C"/>
    <w:rsid w:val="00EF3F2D"/>
    <w:rsid w:val="00EF44FB"/>
    <w:rsid w:val="00EF4649"/>
    <w:rsid w:val="00EF485C"/>
    <w:rsid w:val="00EF49FD"/>
    <w:rsid w:val="00EF4DAB"/>
    <w:rsid w:val="00EF4DB1"/>
    <w:rsid w:val="00EF4E87"/>
    <w:rsid w:val="00EF4F7C"/>
    <w:rsid w:val="00EF4FED"/>
    <w:rsid w:val="00EF5292"/>
    <w:rsid w:val="00EF5377"/>
    <w:rsid w:val="00EF53D6"/>
    <w:rsid w:val="00EF543A"/>
    <w:rsid w:val="00EF567E"/>
    <w:rsid w:val="00EF56B8"/>
    <w:rsid w:val="00EF5A71"/>
    <w:rsid w:val="00EF5CF5"/>
    <w:rsid w:val="00EF5F8D"/>
    <w:rsid w:val="00EF5FC1"/>
    <w:rsid w:val="00EF6056"/>
    <w:rsid w:val="00EF6077"/>
    <w:rsid w:val="00EF6273"/>
    <w:rsid w:val="00EF629A"/>
    <w:rsid w:val="00EF6327"/>
    <w:rsid w:val="00EF651A"/>
    <w:rsid w:val="00EF65BF"/>
    <w:rsid w:val="00EF6779"/>
    <w:rsid w:val="00EF691C"/>
    <w:rsid w:val="00EF6A5C"/>
    <w:rsid w:val="00EF6EE7"/>
    <w:rsid w:val="00EF7027"/>
    <w:rsid w:val="00EF7041"/>
    <w:rsid w:val="00EF70B2"/>
    <w:rsid w:val="00EF7154"/>
    <w:rsid w:val="00EF76A1"/>
    <w:rsid w:val="00EF76A8"/>
    <w:rsid w:val="00EF76BB"/>
    <w:rsid w:val="00EF7914"/>
    <w:rsid w:val="00EF791D"/>
    <w:rsid w:val="00EF7B47"/>
    <w:rsid w:val="00EF7BC7"/>
    <w:rsid w:val="00EF7F23"/>
    <w:rsid w:val="00F00078"/>
    <w:rsid w:val="00F0058D"/>
    <w:rsid w:val="00F005AC"/>
    <w:rsid w:val="00F006C6"/>
    <w:rsid w:val="00F0092F"/>
    <w:rsid w:val="00F009A8"/>
    <w:rsid w:val="00F00B0E"/>
    <w:rsid w:val="00F00B29"/>
    <w:rsid w:val="00F00B8E"/>
    <w:rsid w:val="00F00C32"/>
    <w:rsid w:val="00F00CAA"/>
    <w:rsid w:val="00F00E1E"/>
    <w:rsid w:val="00F00E55"/>
    <w:rsid w:val="00F01019"/>
    <w:rsid w:val="00F010A0"/>
    <w:rsid w:val="00F01573"/>
    <w:rsid w:val="00F019F6"/>
    <w:rsid w:val="00F01CFE"/>
    <w:rsid w:val="00F01D9C"/>
    <w:rsid w:val="00F02118"/>
    <w:rsid w:val="00F021B4"/>
    <w:rsid w:val="00F021DE"/>
    <w:rsid w:val="00F0227F"/>
    <w:rsid w:val="00F022D8"/>
    <w:rsid w:val="00F02564"/>
    <w:rsid w:val="00F02584"/>
    <w:rsid w:val="00F025E9"/>
    <w:rsid w:val="00F0270F"/>
    <w:rsid w:val="00F02962"/>
    <w:rsid w:val="00F029EB"/>
    <w:rsid w:val="00F02ABE"/>
    <w:rsid w:val="00F02AC2"/>
    <w:rsid w:val="00F02B96"/>
    <w:rsid w:val="00F02D1B"/>
    <w:rsid w:val="00F02DCC"/>
    <w:rsid w:val="00F02E3B"/>
    <w:rsid w:val="00F02ECA"/>
    <w:rsid w:val="00F02F11"/>
    <w:rsid w:val="00F030CC"/>
    <w:rsid w:val="00F0378F"/>
    <w:rsid w:val="00F03B5F"/>
    <w:rsid w:val="00F03EF9"/>
    <w:rsid w:val="00F03F1E"/>
    <w:rsid w:val="00F03F43"/>
    <w:rsid w:val="00F04256"/>
    <w:rsid w:val="00F042E3"/>
    <w:rsid w:val="00F0442E"/>
    <w:rsid w:val="00F0460A"/>
    <w:rsid w:val="00F0478D"/>
    <w:rsid w:val="00F049AD"/>
    <w:rsid w:val="00F04ADD"/>
    <w:rsid w:val="00F04BFA"/>
    <w:rsid w:val="00F04CB6"/>
    <w:rsid w:val="00F04D76"/>
    <w:rsid w:val="00F04F3F"/>
    <w:rsid w:val="00F04FC2"/>
    <w:rsid w:val="00F051D4"/>
    <w:rsid w:val="00F05375"/>
    <w:rsid w:val="00F053C5"/>
    <w:rsid w:val="00F054C9"/>
    <w:rsid w:val="00F0551B"/>
    <w:rsid w:val="00F055B4"/>
    <w:rsid w:val="00F055FA"/>
    <w:rsid w:val="00F05612"/>
    <w:rsid w:val="00F05628"/>
    <w:rsid w:val="00F056B3"/>
    <w:rsid w:val="00F057E3"/>
    <w:rsid w:val="00F05993"/>
    <w:rsid w:val="00F059AD"/>
    <w:rsid w:val="00F05D22"/>
    <w:rsid w:val="00F05E4B"/>
    <w:rsid w:val="00F05F01"/>
    <w:rsid w:val="00F06211"/>
    <w:rsid w:val="00F0635D"/>
    <w:rsid w:val="00F0643E"/>
    <w:rsid w:val="00F065E2"/>
    <w:rsid w:val="00F067D0"/>
    <w:rsid w:val="00F06857"/>
    <w:rsid w:val="00F0686E"/>
    <w:rsid w:val="00F06AE7"/>
    <w:rsid w:val="00F06B4F"/>
    <w:rsid w:val="00F06C9E"/>
    <w:rsid w:val="00F06E17"/>
    <w:rsid w:val="00F06E28"/>
    <w:rsid w:val="00F0717C"/>
    <w:rsid w:val="00F0757A"/>
    <w:rsid w:val="00F07952"/>
    <w:rsid w:val="00F079C4"/>
    <w:rsid w:val="00F07A09"/>
    <w:rsid w:val="00F07AB3"/>
    <w:rsid w:val="00F07C95"/>
    <w:rsid w:val="00F07CEF"/>
    <w:rsid w:val="00F07FD0"/>
    <w:rsid w:val="00F10016"/>
    <w:rsid w:val="00F10383"/>
    <w:rsid w:val="00F103DE"/>
    <w:rsid w:val="00F1062B"/>
    <w:rsid w:val="00F1065B"/>
    <w:rsid w:val="00F10868"/>
    <w:rsid w:val="00F1094B"/>
    <w:rsid w:val="00F109D4"/>
    <w:rsid w:val="00F10ABB"/>
    <w:rsid w:val="00F10FCD"/>
    <w:rsid w:val="00F11331"/>
    <w:rsid w:val="00F114E7"/>
    <w:rsid w:val="00F1159C"/>
    <w:rsid w:val="00F115A2"/>
    <w:rsid w:val="00F116E2"/>
    <w:rsid w:val="00F117E8"/>
    <w:rsid w:val="00F119AC"/>
    <w:rsid w:val="00F11C92"/>
    <w:rsid w:val="00F11E23"/>
    <w:rsid w:val="00F11EA6"/>
    <w:rsid w:val="00F1214C"/>
    <w:rsid w:val="00F121E4"/>
    <w:rsid w:val="00F12282"/>
    <w:rsid w:val="00F1228F"/>
    <w:rsid w:val="00F12300"/>
    <w:rsid w:val="00F12428"/>
    <w:rsid w:val="00F126CD"/>
    <w:rsid w:val="00F12BD3"/>
    <w:rsid w:val="00F12C99"/>
    <w:rsid w:val="00F12DBD"/>
    <w:rsid w:val="00F12F2C"/>
    <w:rsid w:val="00F12FD2"/>
    <w:rsid w:val="00F130D3"/>
    <w:rsid w:val="00F1319A"/>
    <w:rsid w:val="00F13251"/>
    <w:rsid w:val="00F13627"/>
    <w:rsid w:val="00F138A1"/>
    <w:rsid w:val="00F13926"/>
    <w:rsid w:val="00F13A9C"/>
    <w:rsid w:val="00F13B4A"/>
    <w:rsid w:val="00F13B77"/>
    <w:rsid w:val="00F13D71"/>
    <w:rsid w:val="00F13F59"/>
    <w:rsid w:val="00F13FCC"/>
    <w:rsid w:val="00F14021"/>
    <w:rsid w:val="00F14182"/>
    <w:rsid w:val="00F142A3"/>
    <w:rsid w:val="00F142E4"/>
    <w:rsid w:val="00F142F4"/>
    <w:rsid w:val="00F1436B"/>
    <w:rsid w:val="00F1439D"/>
    <w:rsid w:val="00F143B6"/>
    <w:rsid w:val="00F14530"/>
    <w:rsid w:val="00F1494E"/>
    <w:rsid w:val="00F149E5"/>
    <w:rsid w:val="00F14AEF"/>
    <w:rsid w:val="00F14B7D"/>
    <w:rsid w:val="00F14C4E"/>
    <w:rsid w:val="00F151F7"/>
    <w:rsid w:val="00F1540C"/>
    <w:rsid w:val="00F154AA"/>
    <w:rsid w:val="00F1564A"/>
    <w:rsid w:val="00F159B1"/>
    <w:rsid w:val="00F15ADC"/>
    <w:rsid w:val="00F15C9B"/>
    <w:rsid w:val="00F15C9F"/>
    <w:rsid w:val="00F15CCB"/>
    <w:rsid w:val="00F15F77"/>
    <w:rsid w:val="00F16126"/>
    <w:rsid w:val="00F1623E"/>
    <w:rsid w:val="00F16555"/>
    <w:rsid w:val="00F1655E"/>
    <w:rsid w:val="00F165B8"/>
    <w:rsid w:val="00F165D9"/>
    <w:rsid w:val="00F1693C"/>
    <w:rsid w:val="00F16ADD"/>
    <w:rsid w:val="00F16DA7"/>
    <w:rsid w:val="00F16E3C"/>
    <w:rsid w:val="00F1750E"/>
    <w:rsid w:val="00F176AE"/>
    <w:rsid w:val="00F1791A"/>
    <w:rsid w:val="00F17A16"/>
    <w:rsid w:val="00F17A96"/>
    <w:rsid w:val="00F17ADC"/>
    <w:rsid w:val="00F20031"/>
    <w:rsid w:val="00F20345"/>
    <w:rsid w:val="00F203BD"/>
    <w:rsid w:val="00F205FF"/>
    <w:rsid w:val="00F20779"/>
    <w:rsid w:val="00F207BD"/>
    <w:rsid w:val="00F20B39"/>
    <w:rsid w:val="00F20B86"/>
    <w:rsid w:val="00F20CFB"/>
    <w:rsid w:val="00F211C5"/>
    <w:rsid w:val="00F21382"/>
    <w:rsid w:val="00F21437"/>
    <w:rsid w:val="00F2187D"/>
    <w:rsid w:val="00F21885"/>
    <w:rsid w:val="00F21B23"/>
    <w:rsid w:val="00F21C0D"/>
    <w:rsid w:val="00F21E4E"/>
    <w:rsid w:val="00F21F15"/>
    <w:rsid w:val="00F21F82"/>
    <w:rsid w:val="00F21FF4"/>
    <w:rsid w:val="00F2202D"/>
    <w:rsid w:val="00F22142"/>
    <w:rsid w:val="00F2221A"/>
    <w:rsid w:val="00F22276"/>
    <w:rsid w:val="00F222FE"/>
    <w:rsid w:val="00F2250B"/>
    <w:rsid w:val="00F2256D"/>
    <w:rsid w:val="00F22770"/>
    <w:rsid w:val="00F22A5C"/>
    <w:rsid w:val="00F22AAB"/>
    <w:rsid w:val="00F22B28"/>
    <w:rsid w:val="00F22C04"/>
    <w:rsid w:val="00F22CC2"/>
    <w:rsid w:val="00F23041"/>
    <w:rsid w:val="00F231AA"/>
    <w:rsid w:val="00F23638"/>
    <w:rsid w:val="00F239AF"/>
    <w:rsid w:val="00F23A2D"/>
    <w:rsid w:val="00F23B06"/>
    <w:rsid w:val="00F23B17"/>
    <w:rsid w:val="00F23B5E"/>
    <w:rsid w:val="00F24081"/>
    <w:rsid w:val="00F242C6"/>
    <w:rsid w:val="00F2438D"/>
    <w:rsid w:val="00F244F7"/>
    <w:rsid w:val="00F2454B"/>
    <w:rsid w:val="00F2458E"/>
    <w:rsid w:val="00F246CD"/>
    <w:rsid w:val="00F24863"/>
    <w:rsid w:val="00F249DC"/>
    <w:rsid w:val="00F2506A"/>
    <w:rsid w:val="00F25121"/>
    <w:rsid w:val="00F251CF"/>
    <w:rsid w:val="00F2523C"/>
    <w:rsid w:val="00F253A4"/>
    <w:rsid w:val="00F25409"/>
    <w:rsid w:val="00F25513"/>
    <w:rsid w:val="00F25565"/>
    <w:rsid w:val="00F25639"/>
    <w:rsid w:val="00F2564C"/>
    <w:rsid w:val="00F2579C"/>
    <w:rsid w:val="00F257F7"/>
    <w:rsid w:val="00F25914"/>
    <w:rsid w:val="00F259BD"/>
    <w:rsid w:val="00F25B3D"/>
    <w:rsid w:val="00F25E3F"/>
    <w:rsid w:val="00F25EBA"/>
    <w:rsid w:val="00F25FBE"/>
    <w:rsid w:val="00F26402"/>
    <w:rsid w:val="00F2649B"/>
    <w:rsid w:val="00F265EA"/>
    <w:rsid w:val="00F267EF"/>
    <w:rsid w:val="00F268DF"/>
    <w:rsid w:val="00F26954"/>
    <w:rsid w:val="00F26A97"/>
    <w:rsid w:val="00F26C12"/>
    <w:rsid w:val="00F26CC3"/>
    <w:rsid w:val="00F26DEE"/>
    <w:rsid w:val="00F26ED3"/>
    <w:rsid w:val="00F26F60"/>
    <w:rsid w:val="00F27041"/>
    <w:rsid w:val="00F27107"/>
    <w:rsid w:val="00F27192"/>
    <w:rsid w:val="00F2732D"/>
    <w:rsid w:val="00F273AC"/>
    <w:rsid w:val="00F2747B"/>
    <w:rsid w:val="00F276E7"/>
    <w:rsid w:val="00F27880"/>
    <w:rsid w:val="00F278B0"/>
    <w:rsid w:val="00F300DE"/>
    <w:rsid w:val="00F3051B"/>
    <w:rsid w:val="00F30570"/>
    <w:rsid w:val="00F3060B"/>
    <w:rsid w:val="00F30672"/>
    <w:rsid w:val="00F30694"/>
    <w:rsid w:val="00F30770"/>
    <w:rsid w:val="00F30835"/>
    <w:rsid w:val="00F30A64"/>
    <w:rsid w:val="00F30BF2"/>
    <w:rsid w:val="00F30C32"/>
    <w:rsid w:val="00F31316"/>
    <w:rsid w:val="00F31500"/>
    <w:rsid w:val="00F31697"/>
    <w:rsid w:val="00F3174D"/>
    <w:rsid w:val="00F31C45"/>
    <w:rsid w:val="00F31D30"/>
    <w:rsid w:val="00F32257"/>
    <w:rsid w:val="00F32385"/>
    <w:rsid w:val="00F3239A"/>
    <w:rsid w:val="00F3268F"/>
    <w:rsid w:val="00F32874"/>
    <w:rsid w:val="00F329F4"/>
    <w:rsid w:val="00F32E71"/>
    <w:rsid w:val="00F3300D"/>
    <w:rsid w:val="00F3303B"/>
    <w:rsid w:val="00F33857"/>
    <w:rsid w:val="00F33913"/>
    <w:rsid w:val="00F33DE7"/>
    <w:rsid w:val="00F33E69"/>
    <w:rsid w:val="00F33FD3"/>
    <w:rsid w:val="00F34080"/>
    <w:rsid w:val="00F34134"/>
    <w:rsid w:val="00F342F8"/>
    <w:rsid w:val="00F34366"/>
    <w:rsid w:val="00F343D8"/>
    <w:rsid w:val="00F343DB"/>
    <w:rsid w:val="00F34566"/>
    <w:rsid w:val="00F34584"/>
    <w:rsid w:val="00F346D1"/>
    <w:rsid w:val="00F34D5E"/>
    <w:rsid w:val="00F34DCF"/>
    <w:rsid w:val="00F350D6"/>
    <w:rsid w:val="00F352E4"/>
    <w:rsid w:val="00F353AE"/>
    <w:rsid w:val="00F353B3"/>
    <w:rsid w:val="00F35771"/>
    <w:rsid w:val="00F35803"/>
    <w:rsid w:val="00F3583B"/>
    <w:rsid w:val="00F35BC9"/>
    <w:rsid w:val="00F35C07"/>
    <w:rsid w:val="00F35C36"/>
    <w:rsid w:val="00F3673E"/>
    <w:rsid w:val="00F36828"/>
    <w:rsid w:val="00F36849"/>
    <w:rsid w:val="00F36DA9"/>
    <w:rsid w:val="00F36FEA"/>
    <w:rsid w:val="00F371A1"/>
    <w:rsid w:val="00F372A0"/>
    <w:rsid w:val="00F372E9"/>
    <w:rsid w:val="00F37305"/>
    <w:rsid w:val="00F37487"/>
    <w:rsid w:val="00F374BE"/>
    <w:rsid w:val="00F374EC"/>
    <w:rsid w:val="00F375C9"/>
    <w:rsid w:val="00F375D7"/>
    <w:rsid w:val="00F37604"/>
    <w:rsid w:val="00F376C0"/>
    <w:rsid w:val="00F377F0"/>
    <w:rsid w:val="00F378A8"/>
    <w:rsid w:val="00F37A83"/>
    <w:rsid w:val="00F37DEE"/>
    <w:rsid w:val="00F37FE5"/>
    <w:rsid w:val="00F4002A"/>
    <w:rsid w:val="00F40125"/>
    <w:rsid w:val="00F40179"/>
    <w:rsid w:val="00F401BD"/>
    <w:rsid w:val="00F403D0"/>
    <w:rsid w:val="00F4044F"/>
    <w:rsid w:val="00F40626"/>
    <w:rsid w:val="00F4064D"/>
    <w:rsid w:val="00F40AB6"/>
    <w:rsid w:val="00F40AC2"/>
    <w:rsid w:val="00F40D36"/>
    <w:rsid w:val="00F4100F"/>
    <w:rsid w:val="00F4121C"/>
    <w:rsid w:val="00F4147D"/>
    <w:rsid w:val="00F414B3"/>
    <w:rsid w:val="00F41A2A"/>
    <w:rsid w:val="00F41A4E"/>
    <w:rsid w:val="00F41D88"/>
    <w:rsid w:val="00F41EB2"/>
    <w:rsid w:val="00F41ECC"/>
    <w:rsid w:val="00F41F30"/>
    <w:rsid w:val="00F420D0"/>
    <w:rsid w:val="00F42271"/>
    <w:rsid w:val="00F4248A"/>
    <w:rsid w:val="00F4252E"/>
    <w:rsid w:val="00F42573"/>
    <w:rsid w:val="00F425C1"/>
    <w:rsid w:val="00F4279E"/>
    <w:rsid w:val="00F429A7"/>
    <w:rsid w:val="00F42AEA"/>
    <w:rsid w:val="00F42D56"/>
    <w:rsid w:val="00F42E54"/>
    <w:rsid w:val="00F42E89"/>
    <w:rsid w:val="00F42EF2"/>
    <w:rsid w:val="00F42F60"/>
    <w:rsid w:val="00F4324B"/>
    <w:rsid w:val="00F434C4"/>
    <w:rsid w:val="00F4364F"/>
    <w:rsid w:val="00F43757"/>
    <w:rsid w:val="00F43809"/>
    <w:rsid w:val="00F4384E"/>
    <w:rsid w:val="00F438DE"/>
    <w:rsid w:val="00F43B1B"/>
    <w:rsid w:val="00F43BF6"/>
    <w:rsid w:val="00F43D25"/>
    <w:rsid w:val="00F43DC0"/>
    <w:rsid w:val="00F43E68"/>
    <w:rsid w:val="00F43FE5"/>
    <w:rsid w:val="00F44120"/>
    <w:rsid w:val="00F44223"/>
    <w:rsid w:val="00F443AB"/>
    <w:rsid w:val="00F443CD"/>
    <w:rsid w:val="00F4451C"/>
    <w:rsid w:val="00F445AA"/>
    <w:rsid w:val="00F44640"/>
    <w:rsid w:val="00F446DF"/>
    <w:rsid w:val="00F446E0"/>
    <w:rsid w:val="00F446F4"/>
    <w:rsid w:val="00F447B2"/>
    <w:rsid w:val="00F4488A"/>
    <w:rsid w:val="00F44B4A"/>
    <w:rsid w:val="00F44C60"/>
    <w:rsid w:val="00F44F21"/>
    <w:rsid w:val="00F44F3C"/>
    <w:rsid w:val="00F44F68"/>
    <w:rsid w:val="00F45242"/>
    <w:rsid w:val="00F45337"/>
    <w:rsid w:val="00F4548A"/>
    <w:rsid w:val="00F456E1"/>
    <w:rsid w:val="00F45743"/>
    <w:rsid w:val="00F45810"/>
    <w:rsid w:val="00F4590A"/>
    <w:rsid w:val="00F45A05"/>
    <w:rsid w:val="00F45B50"/>
    <w:rsid w:val="00F45D1D"/>
    <w:rsid w:val="00F45FD8"/>
    <w:rsid w:val="00F46389"/>
    <w:rsid w:val="00F4653B"/>
    <w:rsid w:val="00F467A8"/>
    <w:rsid w:val="00F46A8E"/>
    <w:rsid w:val="00F46B31"/>
    <w:rsid w:val="00F47386"/>
    <w:rsid w:val="00F47519"/>
    <w:rsid w:val="00F47A69"/>
    <w:rsid w:val="00F47B51"/>
    <w:rsid w:val="00F47C02"/>
    <w:rsid w:val="00F47C66"/>
    <w:rsid w:val="00F47DC2"/>
    <w:rsid w:val="00F50233"/>
    <w:rsid w:val="00F50314"/>
    <w:rsid w:val="00F504B8"/>
    <w:rsid w:val="00F50812"/>
    <w:rsid w:val="00F50890"/>
    <w:rsid w:val="00F50C2F"/>
    <w:rsid w:val="00F50E7D"/>
    <w:rsid w:val="00F50F5B"/>
    <w:rsid w:val="00F5129F"/>
    <w:rsid w:val="00F51451"/>
    <w:rsid w:val="00F514A8"/>
    <w:rsid w:val="00F514D7"/>
    <w:rsid w:val="00F5162B"/>
    <w:rsid w:val="00F51920"/>
    <w:rsid w:val="00F5199F"/>
    <w:rsid w:val="00F51F88"/>
    <w:rsid w:val="00F52184"/>
    <w:rsid w:val="00F521E8"/>
    <w:rsid w:val="00F526D8"/>
    <w:rsid w:val="00F528F5"/>
    <w:rsid w:val="00F52918"/>
    <w:rsid w:val="00F52DEC"/>
    <w:rsid w:val="00F52E1C"/>
    <w:rsid w:val="00F52F7C"/>
    <w:rsid w:val="00F52FA9"/>
    <w:rsid w:val="00F5303E"/>
    <w:rsid w:val="00F53307"/>
    <w:rsid w:val="00F53336"/>
    <w:rsid w:val="00F5354C"/>
    <w:rsid w:val="00F53550"/>
    <w:rsid w:val="00F53599"/>
    <w:rsid w:val="00F5366F"/>
    <w:rsid w:val="00F53A2D"/>
    <w:rsid w:val="00F53CD3"/>
    <w:rsid w:val="00F53ED6"/>
    <w:rsid w:val="00F541CD"/>
    <w:rsid w:val="00F54394"/>
    <w:rsid w:val="00F5451C"/>
    <w:rsid w:val="00F547F1"/>
    <w:rsid w:val="00F548E7"/>
    <w:rsid w:val="00F54A54"/>
    <w:rsid w:val="00F54CF9"/>
    <w:rsid w:val="00F54D42"/>
    <w:rsid w:val="00F54EEE"/>
    <w:rsid w:val="00F55324"/>
    <w:rsid w:val="00F553D0"/>
    <w:rsid w:val="00F55A4B"/>
    <w:rsid w:val="00F55BF4"/>
    <w:rsid w:val="00F55D75"/>
    <w:rsid w:val="00F55ED8"/>
    <w:rsid w:val="00F55FB5"/>
    <w:rsid w:val="00F561D7"/>
    <w:rsid w:val="00F56263"/>
    <w:rsid w:val="00F565C9"/>
    <w:rsid w:val="00F566C0"/>
    <w:rsid w:val="00F56A2F"/>
    <w:rsid w:val="00F56B16"/>
    <w:rsid w:val="00F56B36"/>
    <w:rsid w:val="00F56E15"/>
    <w:rsid w:val="00F56E1F"/>
    <w:rsid w:val="00F5702A"/>
    <w:rsid w:val="00F571CC"/>
    <w:rsid w:val="00F57239"/>
    <w:rsid w:val="00F5725E"/>
    <w:rsid w:val="00F573C1"/>
    <w:rsid w:val="00F573D2"/>
    <w:rsid w:val="00F5747C"/>
    <w:rsid w:val="00F57646"/>
    <w:rsid w:val="00F57AD8"/>
    <w:rsid w:val="00F57BF7"/>
    <w:rsid w:val="00F57C00"/>
    <w:rsid w:val="00F57CAD"/>
    <w:rsid w:val="00F57D9F"/>
    <w:rsid w:val="00F57DBB"/>
    <w:rsid w:val="00F57F5E"/>
    <w:rsid w:val="00F57FF3"/>
    <w:rsid w:val="00F6022B"/>
    <w:rsid w:val="00F602CF"/>
    <w:rsid w:val="00F60307"/>
    <w:rsid w:val="00F6057D"/>
    <w:rsid w:val="00F606B2"/>
    <w:rsid w:val="00F60800"/>
    <w:rsid w:val="00F6083A"/>
    <w:rsid w:val="00F60A6A"/>
    <w:rsid w:val="00F60ADE"/>
    <w:rsid w:val="00F60DDE"/>
    <w:rsid w:val="00F60E5B"/>
    <w:rsid w:val="00F60ECE"/>
    <w:rsid w:val="00F60F13"/>
    <w:rsid w:val="00F60F52"/>
    <w:rsid w:val="00F61189"/>
    <w:rsid w:val="00F61224"/>
    <w:rsid w:val="00F619D4"/>
    <w:rsid w:val="00F61A92"/>
    <w:rsid w:val="00F61B35"/>
    <w:rsid w:val="00F61B88"/>
    <w:rsid w:val="00F61E51"/>
    <w:rsid w:val="00F61E69"/>
    <w:rsid w:val="00F61E8D"/>
    <w:rsid w:val="00F61EA2"/>
    <w:rsid w:val="00F61FD3"/>
    <w:rsid w:val="00F6203D"/>
    <w:rsid w:val="00F62138"/>
    <w:rsid w:val="00F621AD"/>
    <w:rsid w:val="00F62338"/>
    <w:rsid w:val="00F62427"/>
    <w:rsid w:val="00F62600"/>
    <w:rsid w:val="00F62614"/>
    <w:rsid w:val="00F62830"/>
    <w:rsid w:val="00F629F4"/>
    <w:rsid w:val="00F62B39"/>
    <w:rsid w:val="00F62B79"/>
    <w:rsid w:val="00F62B7A"/>
    <w:rsid w:val="00F62C2E"/>
    <w:rsid w:val="00F62E9B"/>
    <w:rsid w:val="00F633FF"/>
    <w:rsid w:val="00F63404"/>
    <w:rsid w:val="00F638A8"/>
    <w:rsid w:val="00F6394F"/>
    <w:rsid w:val="00F6397D"/>
    <w:rsid w:val="00F63E93"/>
    <w:rsid w:val="00F6416E"/>
    <w:rsid w:val="00F641DF"/>
    <w:rsid w:val="00F64436"/>
    <w:rsid w:val="00F644A9"/>
    <w:rsid w:val="00F64535"/>
    <w:rsid w:val="00F6486F"/>
    <w:rsid w:val="00F6497B"/>
    <w:rsid w:val="00F64AA4"/>
    <w:rsid w:val="00F64DF3"/>
    <w:rsid w:val="00F64FAE"/>
    <w:rsid w:val="00F655E6"/>
    <w:rsid w:val="00F658AE"/>
    <w:rsid w:val="00F65978"/>
    <w:rsid w:val="00F65A29"/>
    <w:rsid w:val="00F65A60"/>
    <w:rsid w:val="00F65B9C"/>
    <w:rsid w:val="00F65D62"/>
    <w:rsid w:val="00F65EAA"/>
    <w:rsid w:val="00F65F88"/>
    <w:rsid w:val="00F6608D"/>
    <w:rsid w:val="00F662D2"/>
    <w:rsid w:val="00F66301"/>
    <w:rsid w:val="00F66722"/>
    <w:rsid w:val="00F66795"/>
    <w:rsid w:val="00F66A1F"/>
    <w:rsid w:val="00F66DC0"/>
    <w:rsid w:val="00F67026"/>
    <w:rsid w:val="00F67092"/>
    <w:rsid w:val="00F6713C"/>
    <w:rsid w:val="00F671D9"/>
    <w:rsid w:val="00F675AE"/>
    <w:rsid w:val="00F67752"/>
    <w:rsid w:val="00F67794"/>
    <w:rsid w:val="00F67B71"/>
    <w:rsid w:val="00F67BA6"/>
    <w:rsid w:val="00F67BBC"/>
    <w:rsid w:val="00F67BE9"/>
    <w:rsid w:val="00F67C0F"/>
    <w:rsid w:val="00F67CC6"/>
    <w:rsid w:val="00F67D80"/>
    <w:rsid w:val="00F67EC0"/>
    <w:rsid w:val="00F7016C"/>
    <w:rsid w:val="00F70182"/>
    <w:rsid w:val="00F701BF"/>
    <w:rsid w:val="00F70232"/>
    <w:rsid w:val="00F7031B"/>
    <w:rsid w:val="00F70429"/>
    <w:rsid w:val="00F704D6"/>
    <w:rsid w:val="00F705AA"/>
    <w:rsid w:val="00F70690"/>
    <w:rsid w:val="00F70764"/>
    <w:rsid w:val="00F709CE"/>
    <w:rsid w:val="00F70B33"/>
    <w:rsid w:val="00F70C87"/>
    <w:rsid w:val="00F70D27"/>
    <w:rsid w:val="00F70DF0"/>
    <w:rsid w:val="00F7143B"/>
    <w:rsid w:val="00F71499"/>
    <w:rsid w:val="00F71576"/>
    <w:rsid w:val="00F715A9"/>
    <w:rsid w:val="00F71845"/>
    <w:rsid w:val="00F7184B"/>
    <w:rsid w:val="00F718C0"/>
    <w:rsid w:val="00F7192B"/>
    <w:rsid w:val="00F71A05"/>
    <w:rsid w:val="00F71B63"/>
    <w:rsid w:val="00F71FE5"/>
    <w:rsid w:val="00F72062"/>
    <w:rsid w:val="00F72140"/>
    <w:rsid w:val="00F72192"/>
    <w:rsid w:val="00F721C1"/>
    <w:rsid w:val="00F72309"/>
    <w:rsid w:val="00F72425"/>
    <w:rsid w:val="00F7293E"/>
    <w:rsid w:val="00F72A08"/>
    <w:rsid w:val="00F72A96"/>
    <w:rsid w:val="00F72ADB"/>
    <w:rsid w:val="00F72B38"/>
    <w:rsid w:val="00F72E7C"/>
    <w:rsid w:val="00F72FB1"/>
    <w:rsid w:val="00F72FDA"/>
    <w:rsid w:val="00F7312A"/>
    <w:rsid w:val="00F7318C"/>
    <w:rsid w:val="00F733A9"/>
    <w:rsid w:val="00F73675"/>
    <w:rsid w:val="00F737D9"/>
    <w:rsid w:val="00F7396D"/>
    <w:rsid w:val="00F73D8D"/>
    <w:rsid w:val="00F73DD9"/>
    <w:rsid w:val="00F73E35"/>
    <w:rsid w:val="00F73E3D"/>
    <w:rsid w:val="00F7402D"/>
    <w:rsid w:val="00F74187"/>
    <w:rsid w:val="00F74316"/>
    <w:rsid w:val="00F745CC"/>
    <w:rsid w:val="00F7468B"/>
    <w:rsid w:val="00F747E5"/>
    <w:rsid w:val="00F748AD"/>
    <w:rsid w:val="00F74A96"/>
    <w:rsid w:val="00F74ADF"/>
    <w:rsid w:val="00F74D2C"/>
    <w:rsid w:val="00F74E27"/>
    <w:rsid w:val="00F74ED8"/>
    <w:rsid w:val="00F75078"/>
    <w:rsid w:val="00F75491"/>
    <w:rsid w:val="00F755ED"/>
    <w:rsid w:val="00F75668"/>
    <w:rsid w:val="00F75765"/>
    <w:rsid w:val="00F75780"/>
    <w:rsid w:val="00F757BA"/>
    <w:rsid w:val="00F75802"/>
    <w:rsid w:val="00F758B4"/>
    <w:rsid w:val="00F759BC"/>
    <w:rsid w:val="00F75B4E"/>
    <w:rsid w:val="00F75D94"/>
    <w:rsid w:val="00F75F06"/>
    <w:rsid w:val="00F760F2"/>
    <w:rsid w:val="00F76103"/>
    <w:rsid w:val="00F7616B"/>
    <w:rsid w:val="00F76628"/>
    <w:rsid w:val="00F76650"/>
    <w:rsid w:val="00F76790"/>
    <w:rsid w:val="00F767EC"/>
    <w:rsid w:val="00F768C3"/>
    <w:rsid w:val="00F76B4D"/>
    <w:rsid w:val="00F76BB1"/>
    <w:rsid w:val="00F76D12"/>
    <w:rsid w:val="00F7718F"/>
    <w:rsid w:val="00F77239"/>
    <w:rsid w:val="00F77502"/>
    <w:rsid w:val="00F77B83"/>
    <w:rsid w:val="00F77BF4"/>
    <w:rsid w:val="00F77CD8"/>
    <w:rsid w:val="00F77E3E"/>
    <w:rsid w:val="00F77F9F"/>
    <w:rsid w:val="00F805B9"/>
    <w:rsid w:val="00F80B7C"/>
    <w:rsid w:val="00F80C6E"/>
    <w:rsid w:val="00F80E7C"/>
    <w:rsid w:val="00F80E9C"/>
    <w:rsid w:val="00F80F09"/>
    <w:rsid w:val="00F81237"/>
    <w:rsid w:val="00F814C9"/>
    <w:rsid w:val="00F8156C"/>
    <w:rsid w:val="00F81C70"/>
    <w:rsid w:val="00F81CC5"/>
    <w:rsid w:val="00F81ECB"/>
    <w:rsid w:val="00F81ECD"/>
    <w:rsid w:val="00F81FA4"/>
    <w:rsid w:val="00F82050"/>
    <w:rsid w:val="00F820D7"/>
    <w:rsid w:val="00F82122"/>
    <w:rsid w:val="00F82239"/>
    <w:rsid w:val="00F8234C"/>
    <w:rsid w:val="00F8242C"/>
    <w:rsid w:val="00F82457"/>
    <w:rsid w:val="00F824BF"/>
    <w:rsid w:val="00F82855"/>
    <w:rsid w:val="00F828B8"/>
    <w:rsid w:val="00F82BD9"/>
    <w:rsid w:val="00F82BE9"/>
    <w:rsid w:val="00F82D92"/>
    <w:rsid w:val="00F82F58"/>
    <w:rsid w:val="00F8313C"/>
    <w:rsid w:val="00F83299"/>
    <w:rsid w:val="00F832E3"/>
    <w:rsid w:val="00F834C2"/>
    <w:rsid w:val="00F834C6"/>
    <w:rsid w:val="00F834D2"/>
    <w:rsid w:val="00F8350E"/>
    <w:rsid w:val="00F83519"/>
    <w:rsid w:val="00F83550"/>
    <w:rsid w:val="00F836E2"/>
    <w:rsid w:val="00F8377F"/>
    <w:rsid w:val="00F83854"/>
    <w:rsid w:val="00F838F3"/>
    <w:rsid w:val="00F83933"/>
    <w:rsid w:val="00F83A56"/>
    <w:rsid w:val="00F83A71"/>
    <w:rsid w:val="00F83AF4"/>
    <w:rsid w:val="00F83AFF"/>
    <w:rsid w:val="00F83B73"/>
    <w:rsid w:val="00F83C91"/>
    <w:rsid w:val="00F83F39"/>
    <w:rsid w:val="00F8402A"/>
    <w:rsid w:val="00F842CE"/>
    <w:rsid w:val="00F84405"/>
    <w:rsid w:val="00F8457E"/>
    <w:rsid w:val="00F8473F"/>
    <w:rsid w:val="00F848DF"/>
    <w:rsid w:val="00F848FD"/>
    <w:rsid w:val="00F84E1D"/>
    <w:rsid w:val="00F84EC4"/>
    <w:rsid w:val="00F85219"/>
    <w:rsid w:val="00F85391"/>
    <w:rsid w:val="00F853C5"/>
    <w:rsid w:val="00F854C4"/>
    <w:rsid w:val="00F855C8"/>
    <w:rsid w:val="00F8567E"/>
    <w:rsid w:val="00F85800"/>
    <w:rsid w:val="00F85891"/>
    <w:rsid w:val="00F85A92"/>
    <w:rsid w:val="00F85AB7"/>
    <w:rsid w:val="00F85B3B"/>
    <w:rsid w:val="00F85C84"/>
    <w:rsid w:val="00F85EEC"/>
    <w:rsid w:val="00F86446"/>
    <w:rsid w:val="00F86520"/>
    <w:rsid w:val="00F865BD"/>
    <w:rsid w:val="00F8662E"/>
    <w:rsid w:val="00F86807"/>
    <w:rsid w:val="00F8693F"/>
    <w:rsid w:val="00F86B60"/>
    <w:rsid w:val="00F86C30"/>
    <w:rsid w:val="00F86E7D"/>
    <w:rsid w:val="00F86E94"/>
    <w:rsid w:val="00F86FA6"/>
    <w:rsid w:val="00F872E7"/>
    <w:rsid w:val="00F873D0"/>
    <w:rsid w:val="00F873E0"/>
    <w:rsid w:val="00F874D0"/>
    <w:rsid w:val="00F87648"/>
    <w:rsid w:val="00F87660"/>
    <w:rsid w:val="00F8788B"/>
    <w:rsid w:val="00F87AC2"/>
    <w:rsid w:val="00F87B36"/>
    <w:rsid w:val="00F87B41"/>
    <w:rsid w:val="00F87E97"/>
    <w:rsid w:val="00F87F79"/>
    <w:rsid w:val="00F9004F"/>
    <w:rsid w:val="00F901A5"/>
    <w:rsid w:val="00F90353"/>
    <w:rsid w:val="00F9064E"/>
    <w:rsid w:val="00F9115E"/>
    <w:rsid w:val="00F91415"/>
    <w:rsid w:val="00F91686"/>
    <w:rsid w:val="00F9187B"/>
    <w:rsid w:val="00F918CB"/>
    <w:rsid w:val="00F91936"/>
    <w:rsid w:val="00F91965"/>
    <w:rsid w:val="00F91FE9"/>
    <w:rsid w:val="00F9200E"/>
    <w:rsid w:val="00F920FF"/>
    <w:rsid w:val="00F9219B"/>
    <w:rsid w:val="00F921C9"/>
    <w:rsid w:val="00F92385"/>
    <w:rsid w:val="00F927B7"/>
    <w:rsid w:val="00F9282E"/>
    <w:rsid w:val="00F9283D"/>
    <w:rsid w:val="00F9289E"/>
    <w:rsid w:val="00F928C7"/>
    <w:rsid w:val="00F9296B"/>
    <w:rsid w:val="00F929CF"/>
    <w:rsid w:val="00F92A0A"/>
    <w:rsid w:val="00F92A9C"/>
    <w:rsid w:val="00F92D1C"/>
    <w:rsid w:val="00F92EE5"/>
    <w:rsid w:val="00F93008"/>
    <w:rsid w:val="00F9340A"/>
    <w:rsid w:val="00F9342B"/>
    <w:rsid w:val="00F9346E"/>
    <w:rsid w:val="00F93658"/>
    <w:rsid w:val="00F93CF4"/>
    <w:rsid w:val="00F9400A"/>
    <w:rsid w:val="00F941EE"/>
    <w:rsid w:val="00F942D7"/>
    <w:rsid w:val="00F943C3"/>
    <w:rsid w:val="00F94433"/>
    <w:rsid w:val="00F94480"/>
    <w:rsid w:val="00F948AA"/>
    <w:rsid w:val="00F94940"/>
    <w:rsid w:val="00F94AA3"/>
    <w:rsid w:val="00F94B11"/>
    <w:rsid w:val="00F94E31"/>
    <w:rsid w:val="00F94F1D"/>
    <w:rsid w:val="00F95001"/>
    <w:rsid w:val="00F953A0"/>
    <w:rsid w:val="00F95425"/>
    <w:rsid w:val="00F954AA"/>
    <w:rsid w:val="00F95AC1"/>
    <w:rsid w:val="00F95CED"/>
    <w:rsid w:val="00F9607A"/>
    <w:rsid w:val="00F96180"/>
    <w:rsid w:val="00F963BF"/>
    <w:rsid w:val="00F9649F"/>
    <w:rsid w:val="00F96661"/>
    <w:rsid w:val="00F967C3"/>
    <w:rsid w:val="00F968E0"/>
    <w:rsid w:val="00F96955"/>
    <w:rsid w:val="00F96FE7"/>
    <w:rsid w:val="00F9705B"/>
    <w:rsid w:val="00F97304"/>
    <w:rsid w:val="00F97479"/>
    <w:rsid w:val="00F97616"/>
    <w:rsid w:val="00F97688"/>
    <w:rsid w:val="00F9769C"/>
    <w:rsid w:val="00F9773A"/>
    <w:rsid w:val="00F97957"/>
    <w:rsid w:val="00F97A14"/>
    <w:rsid w:val="00F97DAA"/>
    <w:rsid w:val="00F97E23"/>
    <w:rsid w:val="00F97EE6"/>
    <w:rsid w:val="00F97F44"/>
    <w:rsid w:val="00FA045D"/>
    <w:rsid w:val="00FA06E1"/>
    <w:rsid w:val="00FA073C"/>
    <w:rsid w:val="00FA0768"/>
    <w:rsid w:val="00FA085C"/>
    <w:rsid w:val="00FA0A38"/>
    <w:rsid w:val="00FA0D54"/>
    <w:rsid w:val="00FA0DA1"/>
    <w:rsid w:val="00FA1011"/>
    <w:rsid w:val="00FA1023"/>
    <w:rsid w:val="00FA115A"/>
    <w:rsid w:val="00FA1286"/>
    <w:rsid w:val="00FA1320"/>
    <w:rsid w:val="00FA14D5"/>
    <w:rsid w:val="00FA17EC"/>
    <w:rsid w:val="00FA185C"/>
    <w:rsid w:val="00FA19E7"/>
    <w:rsid w:val="00FA1A34"/>
    <w:rsid w:val="00FA1A57"/>
    <w:rsid w:val="00FA1B4F"/>
    <w:rsid w:val="00FA1BC6"/>
    <w:rsid w:val="00FA1D01"/>
    <w:rsid w:val="00FA1FDD"/>
    <w:rsid w:val="00FA2215"/>
    <w:rsid w:val="00FA248C"/>
    <w:rsid w:val="00FA2631"/>
    <w:rsid w:val="00FA268E"/>
    <w:rsid w:val="00FA26E6"/>
    <w:rsid w:val="00FA2770"/>
    <w:rsid w:val="00FA29E0"/>
    <w:rsid w:val="00FA2B4E"/>
    <w:rsid w:val="00FA2BC6"/>
    <w:rsid w:val="00FA2D6E"/>
    <w:rsid w:val="00FA2E77"/>
    <w:rsid w:val="00FA2F0C"/>
    <w:rsid w:val="00FA2F51"/>
    <w:rsid w:val="00FA3087"/>
    <w:rsid w:val="00FA31AB"/>
    <w:rsid w:val="00FA3419"/>
    <w:rsid w:val="00FA360C"/>
    <w:rsid w:val="00FA372F"/>
    <w:rsid w:val="00FA3792"/>
    <w:rsid w:val="00FA382E"/>
    <w:rsid w:val="00FA386D"/>
    <w:rsid w:val="00FA3C45"/>
    <w:rsid w:val="00FA3CAF"/>
    <w:rsid w:val="00FA3F7D"/>
    <w:rsid w:val="00FA3F94"/>
    <w:rsid w:val="00FA3FA4"/>
    <w:rsid w:val="00FA42A5"/>
    <w:rsid w:val="00FA4472"/>
    <w:rsid w:val="00FA457B"/>
    <w:rsid w:val="00FA46EC"/>
    <w:rsid w:val="00FA4742"/>
    <w:rsid w:val="00FA485A"/>
    <w:rsid w:val="00FA4954"/>
    <w:rsid w:val="00FA4A11"/>
    <w:rsid w:val="00FA4B2C"/>
    <w:rsid w:val="00FA4D83"/>
    <w:rsid w:val="00FA4EF2"/>
    <w:rsid w:val="00FA4F5E"/>
    <w:rsid w:val="00FA5265"/>
    <w:rsid w:val="00FA52B3"/>
    <w:rsid w:val="00FA5451"/>
    <w:rsid w:val="00FA547F"/>
    <w:rsid w:val="00FA56EB"/>
    <w:rsid w:val="00FA5747"/>
    <w:rsid w:val="00FA5AA5"/>
    <w:rsid w:val="00FA5B0E"/>
    <w:rsid w:val="00FA5C5C"/>
    <w:rsid w:val="00FA5DAA"/>
    <w:rsid w:val="00FA5E07"/>
    <w:rsid w:val="00FA5EB6"/>
    <w:rsid w:val="00FA6440"/>
    <w:rsid w:val="00FA660B"/>
    <w:rsid w:val="00FA6718"/>
    <w:rsid w:val="00FA6759"/>
    <w:rsid w:val="00FA67F3"/>
    <w:rsid w:val="00FA6825"/>
    <w:rsid w:val="00FA68D0"/>
    <w:rsid w:val="00FA6BE1"/>
    <w:rsid w:val="00FA6CA6"/>
    <w:rsid w:val="00FA6D7D"/>
    <w:rsid w:val="00FA70C8"/>
    <w:rsid w:val="00FA70D9"/>
    <w:rsid w:val="00FA7395"/>
    <w:rsid w:val="00FA753D"/>
    <w:rsid w:val="00FA77C4"/>
    <w:rsid w:val="00FA7817"/>
    <w:rsid w:val="00FA7851"/>
    <w:rsid w:val="00FA78BC"/>
    <w:rsid w:val="00FA7A60"/>
    <w:rsid w:val="00FA7CA3"/>
    <w:rsid w:val="00FA7E4C"/>
    <w:rsid w:val="00FA7E7C"/>
    <w:rsid w:val="00FA7F59"/>
    <w:rsid w:val="00FB0167"/>
    <w:rsid w:val="00FB02A2"/>
    <w:rsid w:val="00FB03CE"/>
    <w:rsid w:val="00FB041F"/>
    <w:rsid w:val="00FB051E"/>
    <w:rsid w:val="00FB05AE"/>
    <w:rsid w:val="00FB06BD"/>
    <w:rsid w:val="00FB06C4"/>
    <w:rsid w:val="00FB0A55"/>
    <w:rsid w:val="00FB0CDC"/>
    <w:rsid w:val="00FB0D09"/>
    <w:rsid w:val="00FB0D92"/>
    <w:rsid w:val="00FB0E49"/>
    <w:rsid w:val="00FB0F0D"/>
    <w:rsid w:val="00FB1105"/>
    <w:rsid w:val="00FB137F"/>
    <w:rsid w:val="00FB146E"/>
    <w:rsid w:val="00FB1562"/>
    <w:rsid w:val="00FB1666"/>
    <w:rsid w:val="00FB17CC"/>
    <w:rsid w:val="00FB1851"/>
    <w:rsid w:val="00FB18E6"/>
    <w:rsid w:val="00FB2376"/>
    <w:rsid w:val="00FB240E"/>
    <w:rsid w:val="00FB24A8"/>
    <w:rsid w:val="00FB25E1"/>
    <w:rsid w:val="00FB2AD3"/>
    <w:rsid w:val="00FB2D48"/>
    <w:rsid w:val="00FB3101"/>
    <w:rsid w:val="00FB317A"/>
    <w:rsid w:val="00FB347A"/>
    <w:rsid w:val="00FB34C1"/>
    <w:rsid w:val="00FB357F"/>
    <w:rsid w:val="00FB3A26"/>
    <w:rsid w:val="00FB3A32"/>
    <w:rsid w:val="00FB3C86"/>
    <w:rsid w:val="00FB3CE9"/>
    <w:rsid w:val="00FB3EFB"/>
    <w:rsid w:val="00FB3F3C"/>
    <w:rsid w:val="00FB3F70"/>
    <w:rsid w:val="00FB3FAB"/>
    <w:rsid w:val="00FB4047"/>
    <w:rsid w:val="00FB42D4"/>
    <w:rsid w:val="00FB459B"/>
    <w:rsid w:val="00FB4701"/>
    <w:rsid w:val="00FB474D"/>
    <w:rsid w:val="00FB477E"/>
    <w:rsid w:val="00FB48F8"/>
    <w:rsid w:val="00FB4AE6"/>
    <w:rsid w:val="00FB4E88"/>
    <w:rsid w:val="00FB50E1"/>
    <w:rsid w:val="00FB536E"/>
    <w:rsid w:val="00FB5608"/>
    <w:rsid w:val="00FB595B"/>
    <w:rsid w:val="00FB5A65"/>
    <w:rsid w:val="00FB5B06"/>
    <w:rsid w:val="00FB5DDB"/>
    <w:rsid w:val="00FB5F92"/>
    <w:rsid w:val="00FB6003"/>
    <w:rsid w:val="00FB6020"/>
    <w:rsid w:val="00FB6131"/>
    <w:rsid w:val="00FB61E9"/>
    <w:rsid w:val="00FB63B6"/>
    <w:rsid w:val="00FB64E3"/>
    <w:rsid w:val="00FB6896"/>
    <w:rsid w:val="00FB6DBE"/>
    <w:rsid w:val="00FB718F"/>
    <w:rsid w:val="00FB7340"/>
    <w:rsid w:val="00FB7354"/>
    <w:rsid w:val="00FB7583"/>
    <w:rsid w:val="00FB7657"/>
    <w:rsid w:val="00FB7C44"/>
    <w:rsid w:val="00FB7CD3"/>
    <w:rsid w:val="00FB7D47"/>
    <w:rsid w:val="00FC00C3"/>
    <w:rsid w:val="00FC01D6"/>
    <w:rsid w:val="00FC02B8"/>
    <w:rsid w:val="00FC031E"/>
    <w:rsid w:val="00FC039F"/>
    <w:rsid w:val="00FC03C3"/>
    <w:rsid w:val="00FC081B"/>
    <w:rsid w:val="00FC08C2"/>
    <w:rsid w:val="00FC0A03"/>
    <w:rsid w:val="00FC0BCB"/>
    <w:rsid w:val="00FC0BDF"/>
    <w:rsid w:val="00FC0E22"/>
    <w:rsid w:val="00FC0F11"/>
    <w:rsid w:val="00FC1017"/>
    <w:rsid w:val="00FC1034"/>
    <w:rsid w:val="00FC113D"/>
    <w:rsid w:val="00FC12A9"/>
    <w:rsid w:val="00FC133D"/>
    <w:rsid w:val="00FC15A2"/>
    <w:rsid w:val="00FC15C1"/>
    <w:rsid w:val="00FC17EB"/>
    <w:rsid w:val="00FC1907"/>
    <w:rsid w:val="00FC1997"/>
    <w:rsid w:val="00FC1A4D"/>
    <w:rsid w:val="00FC1D59"/>
    <w:rsid w:val="00FC1DD5"/>
    <w:rsid w:val="00FC2410"/>
    <w:rsid w:val="00FC24FB"/>
    <w:rsid w:val="00FC25AA"/>
    <w:rsid w:val="00FC2682"/>
    <w:rsid w:val="00FC27C2"/>
    <w:rsid w:val="00FC281B"/>
    <w:rsid w:val="00FC28E7"/>
    <w:rsid w:val="00FC290E"/>
    <w:rsid w:val="00FC2976"/>
    <w:rsid w:val="00FC29C0"/>
    <w:rsid w:val="00FC2AA5"/>
    <w:rsid w:val="00FC2B46"/>
    <w:rsid w:val="00FC2D66"/>
    <w:rsid w:val="00FC2E75"/>
    <w:rsid w:val="00FC305A"/>
    <w:rsid w:val="00FC311C"/>
    <w:rsid w:val="00FC318F"/>
    <w:rsid w:val="00FC32DB"/>
    <w:rsid w:val="00FC3393"/>
    <w:rsid w:val="00FC3626"/>
    <w:rsid w:val="00FC3A94"/>
    <w:rsid w:val="00FC3B69"/>
    <w:rsid w:val="00FC3BD9"/>
    <w:rsid w:val="00FC3CDE"/>
    <w:rsid w:val="00FC3DC1"/>
    <w:rsid w:val="00FC3EB2"/>
    <w:rsid w:val="00FC3FF8"/>
    <w:rsid w:val="00FC4550"/>
    <w:rsid w:val="00FC4567"/>
    <w:rsid w:val="00FC465B"/>
    <w:rsid w:val="00FC47F9"/>
    <w:rsid w:val="00FC4A67"/>
    <w:rsid w:val="00FC4A72"/>
    <w:rsid w:val="00FC4B56"/>
    <w:rsid w:val="00FC4BC9"/>
    <w:rsid w:val="00FC4BF7"/>
    <w:rsid w:val="00FC4E6A"/>
    <w:rsid w:val="00FC4F30"/>
    <w:rsid w:val="00FC4FFC"/>
    <w:rsid w:val="00FC50D5"/>
    <w:rsid w:val="00FC527C"/>
    <w:rsid w:val="00FC52F4"/>
    <w:rsid w:val="00FC5665"/>
    <w:rsid w:val="00FC5755"/>
    <w:rsid w:val="00FC5B84"/>
    <w:rsid w:val="00FC5C99"/>
    <w:rsid w:val="00FC5E0B"/>
    <w:rsid w:val="00FC5FD5"/>
    <w:rsid w:val="00FC6198"/>
    <w:rsid w:val="00FC63B6"/>
    <w:rsid w:val="00FC649B"/>
    <w:rsid w:val="00FC64EF"/>
    <w:rsid w:val="00FC678F"/>
    <w:rsid w:val="00FC67F7"/>
    <w:rsid w:val="00FC6822"/>
    <w:rsid w:val="00FC699B"/>
    <w:rsid w:val="00FC6A5E"/>
    <w:rsid w:val="00FC6FDF"/>
    <w:rsid w:val="00FC70AC"/>
    <w:rsid w:val="00FC710D"/>
    <w:rsid w:val="00FC727D"/>
    <w:rsid w:val="00FC7483"/>
    <w:rsid w:val="00FC74A5"/>
    <w:rsid w:val="00FD01EF"/>
    <w:rsid w:val="00FD04FC"/>
    <w:rsid w:val="00FD0516"/>
    <w:rsid w:val="00FD05A6"/>
    <w:rsid w:val="00FD071F"/>
    <w:rsid w:val="00FD0A19"/>
    <w:rsid w:val="00FD0A68"/>
    <w:rsid w:val="00FD0BE4"/>
    <w:rsid w:val="00FD0C62"/>
    <w:rsid w:val="00FD0E20"/>
    <w:rsid w:val="00FD0F5E"/>
    <w:rsid w:val="00FD12D5"/>
    <w:rsid w:val="00FD12D8"/>
    <w:rsid w:val="00FD130E"/>
    <w:rsid w:val="00FD1801"/>
    <w:rsid w:val="00FD180D"/>
    <w:rsid w:val="00FD1A6A"/>
    <w:rsid w:val="00FD1C4E"/>
    <w:rsid w:val="00FD2006"/>
    <w:rsid w:val="00FD202C"/>
    <w:rsid w:val="00FD20BE"/>
    <w:rsid w:val="00FD20F7"/>
    <w:rsid w:val="00FD2147"/>
    <w:rsid w:val="00FD216D"/>
    <w:rsid w:val="00FD2180"/>
    <w:rsid w:val="00FD252B"/>
    <w:rsid w:val="00FD25E8"/>
    <w:rsid w:val="00FD2717"/>
    <w:rsid w:val="00FD2865"/>
    <w:rsid w:val="00FD2B7C"/>
    <w:rsid w:val="00FD2E34"/>
    <w:rsid w:val="00FD2EA8"/>
    <w:rsid w:val="00FD2FE4"/>
    <w:rsid w:val="00FD31E3"/>
    <w:rsid w:val="00FD32B2"/>
    <w:rsid w:val="00FD3470"/>
    <w:rsid w:val="00FD398D"/>
    <w:rsid w:val="00FD39AB"/>
    <w:rsid w:val="00FD3A5E"/>
    <w:rsid w:val="00FD3CD9"/>
    <w:rsid w:val="00FD3CE8"/>
    <w:rsid w:val="00FD3E51"/>
    <w:rsid w:val="00FD406F"/>
    <w:rsid w:val="00FD4087"/>
    <w:rsid w:val="00FD4121"/>
    <w:rsid w:val="00FD430E"/>
    <w:rsid w:val="00FD489B"/>
    <w:rsid w:val="00FD491B"/>
    <w:rsid w:val="00FD4AF2"/>
    <w:rsid w:val="00FD4D1D"/>
    <w:rsid w:val="00FD4E31"/>
    <w:rsid w:val="00FD4E95"/>
    <w:rsid w:val="00FD4EC2"/>
    <w:rsid w:val="00FD52BA"/>
    <w:rsid w:val="00FD5442"/>
    <w:rsid w:val="00FD5577"/>
    <w:rsid w:val="00FD5BC9"/>
    <w:rsid w:val="00FD5BE4"/>
    <w:rsid w:val="00FD5FC3"/>
    <w:rsid w:val="00FD6135"/>
    <w:rsid w:val="00FD614C"/>
    <w:rsid w:val="00FD6516"/>
    <w:rsid w:val="00FD6707"/>
    <w:rsid w:val="00FD6768"/>
    <w:rsid w:val="00FD68FE"/>
    <w:rsid w:val="00FD690A"/>
    <w:rsid w:val="00FD6A06"/>
    <w:rsid w:val="00FD6AFA"/>
    <w:rsid w:val="00FD6BEC"/>
    <w:rsid w:val="00FD6DE0"/>
    <w:rsid w:val="00FD6E5A"/>
    <w:rsid w:val="00FD7031"/>
    <w:rsid w:val="00FD72F0"/>
    <w:rsid w:val="00FD7351"/>
    <w:rsid w:val="00FD737F"/>
    <w:rsid w:val="00FD740B"/>
    <w:rsid w:val="00FD7533"/>
    <w:rsid w:val="00FD758A"/>
    <w:rsid w:val="00FD7A2E"/>
    <w:rsid w:val="00FD7E25"/>
    <w:rsid w:val="00FE05F6"/>
    <w:rsid w:val="00FE0A96"/>
    <w:rsid w:val="00FE0ABC"/>
    <w:rsid w:val="00FE0C15"/>
    <w:rsid w:val="00FE0D3E"/>
    <w:rsid w:val="00FE0DF6"/>
    <w:rsid w:val="00FE0F37"/>
    <w:rsid w:val="00FE1224"/>
    <w:rsid w:val="00FE1260"/>
    <w:rsid w:val="00FE1360"/>
    <w:rsid w:val="00FE15D0"/>
    <w:rsid w:val="00FE1943"/>
    <w:rsid w:val="00FE1ACB"/>
    <w:rsid w:val="00FE1AD6"/>
    <w:rsid w:val="00FE1B8C"/>
    <w:rsid w:val="00FE1C53"/>
    <w:rsid w:val="00FE1FA9"/>
    <w:rsid w:val="00FE206D"/>
    <w:rsid w:val="00FE229C"/>
    <w:rsid w:val="00FE2315"/>
    <w:rsid w:val="00FE2371"/>
    <w:rsid w:val="00FE24D7"/>
    <w:rsid w:val="00FE2502"/>
    <w:rsid w:val="00FE26DE"/>
    <w:rsid w:val="00FE2B8B"/>
    <w:rsid w:val="00FE2BED"/>
    <w:rsid w:val="00FE2F1B"/>
    <w:rsid w:val="00FE315D"/>
    <w:rsid w:val="00FE3330"/>
    <w:rsid w:val="00FE3363"/>
    <w:rsid w:val="00FE34FF"/>
    <w:rsid w:val="00FE3529"/>
    <w:rsid w:val="00FE3577"/>
    <w:rsid w:val="00FE35EF"/>
    <w:rsid w:val="00FE367A"/>
    <w:rsid w:val="00FE3810"/>
    <w:rsid w:val="00FE3895"/>
    <w:rsid w:val="00FE3DEA"/>
    <w:rsid w:val="00FE3E7C"/>
    <w:rsid w:val="00FE3F17"/>
    <w:rsid w:val="00FE4018"/>
    <w:rsid w:val="00FE419C"/>
    <w:rsid w:val="00FE44CA"/>
    <w:rsid w:val="00FE44E5"/>
    <w:rsid w:val="00FE49FE"/>
    <w:rsid w:val="00FE4D30"/>
    <w:rsid w:val="00FE4D3D"/>
    <w:rsid w:val="00FE4D8B"/>
    <w:rsid w:val="00FE4E03"/>
    <w:rsid w:val="00FE4E8A"/>
    <w:rsid w:val="00FE4E9F"/>
    <w:rsid w:val="00FE4F29"/>
    <w:rsid w:val="00FE4F4F"/>
    <w:rsid w:val="00FE4FFE"/>
    <w:rsid w:val="00FE50FF"/>
    <w:rsid w:val="00FE510D"/>
    <w:rsid w:val="00FE51E5"/>
    <w:rsid w:val="00FE5300"/>
    <w:rsid w:val="00FE5429"/>
    <w:rsid w:val="00FE5580"/>
    <w:rsid w:val="00FE559E"/>
    <w:rsid w:val="00FE5616"/>
    <w:rsid w:val="00FE588F"/>
    <w:rsid w:val="00FE5C64"/>
    <w:rsid w:val="00FE5C7F"/>
    <w:rsid w:val="00FE6250"/>
    <w:rsid w:val="00FE629A"/>
    <w:rsid w:val="00FE62B1"/>
    <w:rsid w:val="00FE64F3"/>
    <w:rsid w:val="00FE67DB"/>
    <w:rsid w:val="00FE6B5C"/>
    <w:rsid w:val="00FE6BA4"/>
    <w:rsid w:val="00FE6FD3"/>
    <w:rsid w:val="00FE71CF"/>
    <w:rsid w:val="00FE727A"/>
    <w:rsid w:val="00FE759A"/>
    <w:rsid w:val="00FE75B0"/>
    <w:rsid w:val="00FE75B9"/>
    <w:rsid w:val="00FE780F"/>
    <w:rsid w:val="00FE7891"/>
    <w:rsid w:val="00FE7B04"/>
    <w:rsid w:val="00FF0022"/>
    <w:rsid w:val="00FF029C"/>
    <w:rsid w:val="00FF0440"/>
    <w:rsid w:val="00FF0574"/>
    <w:rsid w:val="00FF0582"/>
    <w:rsid w:val="00FF06D1"/>
    <w:rsid w:val="00FF06E1"/>
    <w:rsid w:val="00FF06EC"/>
    <w:rsid w:val="00FF07A6"/>
    <w:rsid w:val="00FF0889"/>
    <w:rsid w:val="00FF110C"/>
    <w:rsid w:val="00FF1365"/>
    <w:rsid w:val="00FF13AA"/>
    <w:rsid w:val="00FF1606"/>
    <w:rsid w:val="00FF181E"/>
    <w:rsid w:val="00FF1E52"/>
    <w:rsid w:val="00FF1ED0"/>
    <w:rsid w:val="00FF1FB1"/>
    <w:rsid w:val="00FF1FEC"/>
    <w:rsid w:val="00FF20C8"/>
    <w:rsid w:val="00FF2124"/>
    <w:rsid w:val="00FF21FC"/>
    <w:rsid w:val="00FF2467"/>
    <w:rsid w:val="00FF2503"/>
    <w:rsid w:val="00FF2521"/>
    <w:rsid w:val="00FF2732"/>
    <w:rsid w:val="00FF278D"/>
    <w:rsid w:val="00FF29AE"/>
    <w:rsid w:val="00FF2A39"/>
    <w:rsid w:val="00FF2BC5"/>
    <w:rsid w:val="00FF2CA3"/>
    <w:rsid w:val="00FF2CAC"/>
    <w:rsid w:val="00FF2E48"/>
    <w:rsid w:val="00FF2FDA"/>
    <w:rsid w:val="00FF3099"/>
    <w:rsid w:val="00FF3498"/>
    <w:rsid w:val="00FF356E"/>
    <w:rsid w:val="00FF35FA"/>
    <w:rsid w:val="00FF3868"/>
    <w:rsid w:val="00FF3946"/>
    <w:rsid w:val="00FF3B38"/>
    <w:rsid w:val="00FF3C29"/>
    <w:rsid w:val="00FF3C50"/>
    <w:rsid w:val="00FF3E7C"/>
    <w:rsid w:val="00FF3FC9"/>
    <w:rsid w:val="00FF40A2"/>
    <w:rsid w:val="00FF41E6"/>
    <w:rsid w:val="00FF454B"/>
    <w:rsid w:val="00FF4679"/>
    <w:rsid w:val="00FF46D2"/>
    <w:rsid w:val="00FF4B81"/>
    <w:rsid w:val="00FF4CEC"/>
    <w:rsid w:val="00FF4D2D"/>
    <w:rsid w:val="00FF52A0"/>
    <w:rsid w:val="00FF5423"/>
    <w:rsid w:val="00FF5560"/>
    <w:rsid w:val="00FF5816"/>
    <w:rsid w:val="00FF5A6A"/>
    <w:rsid w:val="00FF5C05"/>
    <w:rsid w:val="00FF5E01"/>
    <w:rsid w:val="00FF60AE"/>
    <w:rsid w:val="00FF6135"/>
    <w:rsid w:val="00FF6164"/>
    <w:rsid w:val="00FF6210"/>
    <w:rsid w:val="00FF625E"/>
    <w:rsid w:val="00FF62BC"/>
    <w:rsid w:val="00FF63E3"/>
    <w:rsid w:val="00FF6616"/>
    <w:rsid w:val="00FF66A9"/>
    <w:rsid w:val="00FF674A"/>
    <w:rsid w:val="00FF6758"/>
    <w:rsid w:val="00FF67D7"/>
    <w:rsid w:val="00FF6868"/>
    <w:rsid w:val="00FF6A22"/>
    <w:rsid w:val="00FF6C3C"/>
    <w:rsid w:val="00FF6DEB"/>
    <w:rsid w:val="00FF7102"/>
    <w:rsid w:val="00FF760F"/>
    <w:rsid w:val="00FF786E"/>
    <w:rsid w:val="00FF7ACA"/>
    <w:rsid w:val="00FF7BB0"/>
    <w:rsid w:val="00FF7CE3"/>
    <w:rsid w:val="00FF7CE7"/>
    <w:rsid w:val="00FF7E45"/>
    <w:rsid w:val="00FF7E77"/>
    <w:rsid w:val="00FF7ED0"/>
    <w:rsid w:val="0136E78D"/>
    <w:rsid w:val="0206C4DB"/>
    <w:rsid w:val="02BF3D7B"/>
    <w:rsid w:val="032245E3"/>
    <w:rsid w:val="03CC9C1E"/>
    <w:rsid w:val="03F7EB2D"/>
    <w:rsid w:val="04E676A7"/>
    <w:rsid w:val="0549BFF7"/>
    <w:rsid w:val="0625EE24"/>
    <w:rsid w:val="0671D57F"/>
    <w:rsid w:val="06DA35FE"/>
    <w:rsid w:val="0704645F"/>
    <w:rsid w:val="07721884"/>
    <w:rsid w:val="07A07D42"/>
    <w:rsid w:val="07F9F362"/>
    <w:rsid w:val="081FBE87"/>
    <w:rsid w:val="0885C07A"/>
    <w:rsid w:val="08C7ED61"/>
    <w:rsid w:val="0A2F1338"/>
    <w:rsid w:val="0A5FFEB3"/>
    <w:rsid w:val="0AF97CB6"/>
    <w:rsid w:val="0B12F12E"/>
    <w:rsid w:val="0B2A46F1"/>
    <w:rsid w:val="0B4CE663"/>
    <w:rsid w:val="0BE95E94"/>
    <w:rsid w:val="0C3E3CEB"/>
    <w:rsid w:val="0D2E4544"/>
    <w:rsid w:val="0D6CAC88"/>
    <w:rsid w:val="0DEE1663"/>
    <w:rsid w:val="0E0B25C4"/>
    <w:rsid w:val="0F189C63"/>
    <w:rsid w:val="0FAC3631"/>
    <w:rsid w:val="0FB14090"/>
    <w:rsid w:val="10020A17"/>
    <w:rsid w:val="11F7BDBA"/>
    <w:rsid w:val="12E14587"/>
    <w:rsid w:val="13182C6E"/>
    <w:rsid w:val="1390168D"/>
    <w:rsid w:val="13B0A001"/>
    <w:rsid w:val="14AECC44"/>
    <w:rsid w:val="15049AB9"/>
    <w:rsid w:val="155A9553"/>
    <w:rsid w:val="15ACD660"/>
    <w:rsid w:val="15EA98B4"/>
    <w:rsid w:val="16484C5A"/>
    <w:rsid w:val="16A91E0A"/>
    <w:rsid w:val="17A96546"/>
    <w:rsid w:val="1846579B"/>
    <w:rsid w:val="188E7672"/>
    <w:rsid w:val="1996F833"/>
    <w:rsid w:val="1A8F2C81"/>
    <w:rsid w:val="1B75B5D3"/>
    <w:rsid w:val="1E89C032"/>
    <w:rsid w:val="1F4F54FA"/>
    <w:rsid w:val="214CD446"/>
    <w:rsid w:val="21D9067A"/>
    <w:rsid w:val="22504256"/>
    <w:rsid w:val="22F87063"/>
    <w:rsid w:val="2303155E"/>
    <w:rsid w:val="23591B26"/>
    <w:rsid w:val="23646552"/>
    <w:rsid w:val="239547A5"/>
    <w:rsid w:val="24032792"/>
    <w:rsid w:val="24F531BA"/>
    <w:rsid w:val="25062AAF"/>
    <w:rsid w:val="2518F969"/>
    <w:rsid w:val="258CC221"/>
    <w:rsid w:val="2595F3AC"/>
    <w:rsid w:val="2867D66B"/>
    <w:rsid w:val="28930069"/>
    <w:rsid w:val="28E0CCED"/>
    <w:rsid w:val="2C0F967C"/>
    <w:rsid w:val="2CB88E92"/>
    <w:rsid w:val="2CD237D8"/>
    <w:rsid w:val="2D851B2C"/>
    <w:rsid w:val="2EB0205F"/>
    <w:rsid w:val="2EF36A31"/>
    <w:rsid w:val="2F7B7D00"/>
    <w:rsid w:val="2FAC5183"/>
    <w:rsid w:val="2FB4B8E3"/>
    <w:rsid w:val="30BB095F"/>
    <w:rsid w:val="30BB50DD"/>
    <w:rsid w:val="325B352A"/>
    <w:rsid w:val="3261A736"/>
    <w:rsid w:val="327B7905"/>
    <w:rsid w:val="3656BA04"/>
    <w:rsid w:val="3679CF29"/>
    <w:rsid w:val="37CEBB45"/>
    <w:rsid w:val="37D50FF0"/>
    <w:rsid w:val="38966C5D"/>
    <w:rsid w:val="38FD908C"/>
    <w:rsid w:val="39770C83"/>
    <w:rsid w:val="3995D9B0"/>
    <w:rsid w:val="3A9E1A82"/>
    <w:rsid w:val="3B990BF1"/>
    <w:rsid w:val="3CBDDC2C"/>
    <w:rsid w:val="3D2C44C8"/>
    <w:rsid w:val="3D75074B"/>
    <w:rsid w:val="3D75F021"/>
    <w:rsid w:val="3E4D57B2"/>
    <w:rsid w:val="3E961878"/>
    <w:rsid w:val="3F09772C"/>
    <w:rsid w:val="3F17D72E"/>
    <w:rsid w:val="3F8EC7D0"/>
    <w:rsid w:val="3FC0A177"/>
    <w:rsid w:val="41A87E8E"/>
    <w:rsid w:val="41E9C0E4"/>
    <w:rsid w:val="41FBA1E6"/>
    <w:rsid w:val="42BE044F"/>
    <w:rsid w:val="42E7EA31"/>
    <w:rsid w:val="433FA03E"/>
    <w:rsid w:val="43A5AF49"/>
    <w:rsid w:val="44A5E60E"/>
    <w:rsid w:val="44D7DF18"/>
    <w:rsid w:val="45E99628"/>
    <w:rsid w:val="49647BC5"/>
    <w:rsid w:val="4AE81E8E"/>
    <w:rsid w:val="4B6CA03E"/>
    <w:rsid w:val="4B8AA9AC"/>
    <w:rsid w:val="4BD0452C"/>
    <w:rsid w:val="4CB0341A"/>
    <w:rsid w:val="4CE10446"/>
    <w:rsid w:val="4D8B310C"/>
    <w:rsid w:val="4E0954AF"/>
    <w:rsid w:val="4E1A0338"/>
    <w:rsid w:val="4E73EB23"/>
    <w:rsid w:val="4E77FA4B"/>
    <w:rsid w:val="4EDC08A2"/>
    <w:rsid w:val="4F4244B9"/>
    <w:rsid w:val="4F539416"/>
    <w:rsid w:val="5104F907"/>
    <w:rsid w:val="51053937"/>
    <w:rsid w:val="51A456A5"/>
    <w:rsid w:val="52CD0857"/>
    <w:rsid w:val="52CF3FBB"/>
    <w:rsid w:val="5358CB5F"/>
    <w:rsid w:val="53CF7FA9"/>
    <w:rsid w:val="54023385"/>
    <w:rsid w:val="5508F34C"/>
    <w:rsid w:val="567FBBA9"/>
    <w:rsid w:val="568A1FCE"/>
    <w:rsid w:val="5694EFEB"/>
    <w:rsid w:val="57035093"/>
    <w:rsid w:val="5711C12B"/>
    <w:rsid w:val="59F9CE95"/>
    <w:rsid w:val="5AB39637"/>
    <w:rsid w:val="5AEE2EEA"/>
    <w:rsid w:val="5B3D5907"/>
    <w:rsid w:val="5B4F0418"/>
    <w:rsid w:val="5BC70320"/>
    <w:rsid w:val="5CB8B15F"/>
    <w:rsid w:val="5D7D52FA"/>
    <w:rsid w:val="5DBE4F90"/>
    <w:rsid w:val="5E727014"/>
    <w:rsid w:val="5EE2B498"/>
    <w:rsid w:val="5EFA3E60"/>
    <w:rsid w:val="5F41B8EE"/>
    <w:rsid w:val="5FB363DF"/>
    <w:rsid w:val="60833715"/>
    <w:rsid w:val="60B682F8"/>
    <w:rsid w:val="61A8BE49"/>
    <w:rsid w:val="623C081C"/>
    <w:rsid w:val="62B2AC0D"/>
    <w:rsid w:val="62D6F03A"/>
    <w:rsid w:val="6337357C"/>
    <w:rsid w:val="63DECA33"/>
    <w:rsid w:val="640A1C44"/>
    <w:rsid w:val="644770F7"/>
    <w:rsid w:val="64F70D12"/>
    <w:rsid w:val="65563954"/>
    <w:rsid w:val="656C5D96"/>
    <w:rsid w:val="658D5016"/>
    <w:rsid w:val="65BB3C2C"/>
    <w:rsid w:val="6612E058"/>
    <w:rsid w:val="670EE311"/>
    <w:rsid w:val="671AE35F"/>
    <w:rsid w:val="675D6E2C"/>
    <w:rsid w:val="67BFADAA"/>
    <w:rsid w:val="680C5D3F"/>
    <w:rsid w:val="680E7328"/>
    <w:rsid w:val="680FBC5C"/>
    <w:rsid w:val="682020CB"/>
    <w:rsid w:val="684A40B9"/>
    <w:rsid w:val="69C8C6B1"/>
    <w:rsid w:val="69F56E1E"/>
    <w:rsid w:val="6ACECBDF"/>
    <w:rsid w:val="6CC44934"/>
    <w:rsid w:val="6CF083A4"/>
    <w:rsid w:val="6CF797D6"/>
    <w:rsid w:val="6DBF4C12"/>
    <w:rsid w:val="6E36260F"/>
    <w:rsid w:val="6E823201"/>
    <w:rsid w:val="6F1F2C31"/>
    <w:rsid w:val="6F72E512"/>
    <w:rsid w:val="6F74D3C7"/>
    <w:rsid w:val="7159CE79"/>
    <w:rsid w:val="71936955"/>
    <w:rsid w:val="726888BF"/>
    <w:rsid w:val="7351887F"/>
    <w:rsid w:val="73A0D174"/>
    <w:rsid w:val="73CDF8D8"/>
    <w:rsid w:val="75004A83"/>
    <w:rsid w:val="77496199"/>
    <w:rsid w:val="77601806"/>
    <w:rsid w:val="7788B4D2"/>
    <w:rsid w:val="77B90341"/>
    <w:rsid w:val="79C7ADA9"/>
    <w:rsid w:val="79CC98B1"/>
    <w:rsid w:val="7A3209AB"/>
    <w:rsid w:val="7B4A80DB"/>
    <w:rsid w:val="7D5154EB"/>
    <w:rsid w:val="7D8BC45C"/>
    <w:rsid w:val="7DD4D6FB"/>
    <w:rsid w:val="7E14A1A9"/>
    <w:rsid w:val="7F4C5422"/>
    <w:rsid w:val="7F587E88"/>
    <w:rsid w:val="7FBF9BCD"/>
    <w:rsid w:val="7FDAA0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A33F2"/>
  <w15:docId w15:val="{B8B072AE-4636-4A68-BA60-8C82BC1F5FE0}"/>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4" w:qFormat="1"/>
    <w:lsdException w:name="heading 2" w:semiHidden="1" w:uiPriority="4" w:unhideWhenUsed="1" w:qFormat="1"/>
    <w:lsdException w:name="heading 3" w:semiHidden="1" w:uiPriority="4" w:unhideWhenUsed="1" w:qFormat="1"/>
    <w:lsdException w:name="heading 4" w:semiHidden="1" w:uiPriority="0" w:unhideWhenUsed="1" w:qFormat="1"/>
    <w:lsdException w:name="heading 5" w:semiHidden="1" w:uiPriority="0" w:unhideWhenUsed="1" w:qFormat="1"/>
    <w:lsdException w:name="heading 6" w:uiPriority="0"/>
    <w:lsdException w:name="heading 7" w:semiHidden="1" w:uiPriority="0" w:qFormat="1"/>
    <w:lsdException w:name="heading 8" w:semiHidden="1" w:uiPriority="9"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16FD"/>
    <w:pPr>
      <w:spacing w:after="0" w:line="240" w:lineRule="auto"/>
    </w:pPr>
    <w:rPr>
      <w:rFonts w:ascii="Book Antiqua" w:hAnsi="Book Antiqua" w:cs="Times New Roman"/>
      <w:sz w:val="26"/>
      <w:szCs w:val="20"/>
    </w:rPr>
  </w:style>
  <w:style w:type="paragraph" w:styleId="Heading1">
    <w:name w:val="heading 1"/>
    <w:basedOn w:val="Dummy"/>
    <w:next w:val="Standard"/>
    <w:link w:val="Heading1Char"/>
    <w:uiPriority w:val="4"/>
    <w:qFormat/>
    <w:rsid w:val="007A2CDF"/>
    <w:pPr>
      <w:numPr>
        <w:numId w:val="17"/>
      </w:numPr>
      <w:ind w:right="2160"/>
    </w:pPr>
    <w:rPr>
      <w:rFonts w:eastAsiaTheme="majorEastAsia" w:cstheme="majorBidi"/>
      <w:szCs w:val="32"/>
    </w:rPr>
  </w:style>
  <w:style w:type="paragraph" w:styleId="Heading2">
    <w:name w:val="heading 2"/>
    <w:basedOn w:val="Dummy"/>
    <w:next w:val="Standard"/>
    <w:link w:val="Heading2Char"/>
    <w:uiPriority w:val="4"/>
    <w:qFormat/>
    <w:rsid w:val="007A2CDF"/>
    <w:pPr>
      <w:numPr>
        <w:ilvl w:val="1"/>
        <w:numId w:val="17"/>
      </w:numPr>
      <w:ind w:right="2160"/>
      <w:outlineLvl w:val="1"/>
    </w:pPr>
  </w:style>
  <w:style w:type="paragraph" w:styleId="Heading3">
    <w:name w:val="heading 3"/>
    <w:basedOn w:val="Dummy"/>
    <w:next w:val="Standard"/>
    <w:link w:val="Heading3Char"/>
    <w:uiPriority w:val="4"/>
    <w:qFormat/>
    <w:rsid w:val="00571F85"/>
    <w:pPr>
      <w:numPr>
        <w:ilvl w:val="2"/>
        <w:numId w:val="17"/>
      </w:numPr>
      <w:ind w:right="3600"/>
      <w:outlineLvl w:val="2"/>
    </w:pPr>
    <w:rPr>
      <w:rFonts w:eastAsiaTheme="majorEastAsia" w:cstheme="majorBidi"/>
      <w:szCs w:val="24"/>
    </w:rPr>
  </w:style>
  <w:style w:type="paragraph" w:styleId="Heading4">
    <w:name w:val="heading 4"/>
    <w:basedOn w:val="Heading2"/>
    <w:next w:val="Standard"/>
    <w:link w:val="Heading4Char"/>
    <w:qFormat/>
    <w:rsid w:val="0066462D"/>
    <w:pPr>
      <w:numPr>
        <w:ilvl w:val="3"/>
      </w:numPr>
      <w:outlineLvl w:val="3"/>
    </w:pPr>
  </w:style>
  <w:style w:type="paragraph" w:styleId="Heading5">
    <w:name w:val="heading 5"/>
    <w:basedOn w:val="Dummy"/>
    <w:next w:val="Standard"/>
    <w:link w:val="Heading5Char"/>
    <w:qFormat/>
    <w:rsid w:val="00144095"/>
    <w:pPr>
      <w:numPr>
        <w:ilvl w:val="4"/>
        <w:numId w:val="17"/>
      </w:numPr>
      <w:outlineLvl w:val="4"/>
    </w:pPr>
    <w:rPr>
      <w:rFonts w:eastAsiaTheme="majorEastAsia" w:cstheme="majorBidi"/>
    </w:rPr>
  </w:style>
  <w:style w:type="paragraph" w:styleId="Heading6">
    <w:name w:val="heading 6"/>
    <w:basedOn w:val="Dummy"/>
    <w:next w:val="Standard"/>
    <w:link w:val="Heading6Char"/>
    <w:rsid w:val="000A56F2"/>
    <w:pPr>
      <w:numPr>
        <w:ilvl w:val="5"/>
        <w:numId w:val="17"/>
      </w:numPr>
      <w:spacing w:before="40"/>
      <w:outlineLvl w:val="5"/>
    </w:pPr>
    <w:rPr>
      <w:rFonts w:eastAsiaTheme="majorEastAsia" w:cstheme="majorBidi"/>
    </w:rPr>
  </w:style>
  <w:style w:type="paragraph" w:styleId="Heading7">
    <w:name w:val="heading 7"/>
    <w:basedOn w:val="Normal"/>
    <w:next w:val="Normal"/>
    <w:link w:val="Heading7Char"/>
    <w:rsid w:val="000C1980"/>
    <w:pPr>
      <w:tabs>
        <w:tab w:val="left" w:pos="2520"/>
      </w:tabs>
      <w:spacing w:before="120" w:after="120"/>
      <w:ind w:left="2520" w:hanging="1800"/>
      <w:outlineLvl w:val="6"/>
    </w:pPr>
    <w:rPr>
      <w:rFonts w:ascii="Helvetica" w:eastAsia="Times New Roman" w:hAnsi="Helvetica"/>
      <w:b/>
    </w:rPr>
  </w:style>
  <w:style w:type="paragraph" w:styleId="Heading9">
    <w:name w:val="heading 9"/>
    <w:basedOn w:val="Normal"/>
    <w:next w:val="Normal"/>
    <w:link w:val="Heading9Char"/>
    <w:autoRedefine/>
    <w:rsid w:val="000C1980"/>
    <w:pPr>
      <w:tabs>
        <w:tab w:val="left" w:pos="2880"/>
      </w:tabs>
      <w:spacing w:before="120" w:after="120"/>
      <w:ind w:left="2880" w:hanging="2160"/>
      <w:outlineLvl w:val="8"/>
    </w:pPr>
    <w:rPr>
      <w:rFonts w:ascii="Helvetica" w:eastAsia="Times New Roman" w:hAnsi="Helvetic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7A2CDF"/>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qFormat/>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7A2CDF"/>
    <w:rPr>
      <w:rFonts w:ascii="Arial" w:hAnsi="Arial" w:cs="Arial"/>
      <w:b/>
      <w:sz w:val="26"/>
      <w:szCs w:val="26"/>
    </w:rPr>
  </w:style>
  <w:style w:type="character" w:customStyle="1" w:styleId="Heading3Char">
    <w:name w:val="Heading 3 Char"/>
    <w:basedOn w:val="DefaultParagraphFont"/>
    <w:link w:val="Heading3"/>
    <w:uiPriority w:val="4"/>
    <w:rsid w:val="00571F85"/>
    <w:rPr>
      <w:rFonts w:ascii="Arial" w:eastAsiaTheme="majorEastAsia" w:hAnsi="Arial" w:cstheme="majorBidi"/>
      <w:b/>
      <w:sz w:val="26"/>
      <w:szCs w:val="24"/>
    </w:rPr>
  </w:style>
  <w:style w:type="character" w:customStyle="1" w:styleId="Heading4Char">
    <w:name w:val="Heading 4 Char"/>
    <w:basedOn w:val="DefaultParagraphFont"/>
    <w:link w:val="Heading4"/>
    <w:rsid w:val="0066462D"/>
    <w:rPr>
      <w:rFonts w:ascii="Arial" w:hAnsi="Arial" w:cs="Arial"/>
      <w:b/>
      <w:sz w:val="26"/>
      <w:szCs w:val="26"/>
    </w:rPr>
  </w:style>
  <w:style w:type="character" w:customStyle="1" w:styleId="Heading5Char">
    <w:name w:val="Heading 5 Char"/>
    <w:basedOn w:val="DefaultParagraphFont"/>
    <w:link w:val="Heading5"/>
    <w:rsid w:val="0014409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23D57"/>
    <w:pPr>
      <w:keepNext/>
      <w:spacing w:before="240" w:line="360" w:lineRule="auto"/>
      <w:outlineLvl w:val="0"/>
    </w:pPr>
    <w:rPr>
      <w:spacing w:val="120"/>
    </w:rPr>
  </w:style>
  <w:style w:type="paragraph" w:styleId="TOC2">
    <w:name w:val="toc 2"/>
    <w:basedOn w:val="Normal"/>
    <w:next w:val="Normal"/>
    <w:uiPriority w:val="39"/>
    <w:unhideWhenUsed/>
    <w:rsid w:val="00CF58BB"/>
    <w:pPr>
      <w:ind w:left="1123" w:right="720" w:hanging="648"/>
    </w:pPr>
    <w:rPr>
      <w:rFonts w:eastAsiaTheme="minorEastAsia"/>
    </w:rPr>
  </w:style>
  <w:style w:type="paragraph" w:styleId="TOC1">
    <w:name w:val="toc 1"/>
    <w:basedOn w:val="Normal"/>
    <w:next w:val="Normal"/>
    <w:uiPriority w:val="39"/>
    <w:unhideWhenUsed/>
    <w:rsid w:val="00CF58BB"/>
    <w:pPr>
      <w:ind w:left="475" w:right="720" w:hanging="475"/>
    </w:pPr>
    <w:rPr>
      <w:rFonts w:eastAsiaTheme="minorEastAsia"/>
    </w:rPr>
  </w:style>
  <w:style w:type="paragraph" w:styleId="TOC3">
    <w:name w:val="toc 3"/>
    <w:basedOn w:val="Normal"/>
    <w:next w:val="Normal"/>
    <w:uiPriority w:val="39"/>
    <w:unhideWhenUsed/>
    <w:rsid w:val="00CF58BB"/>
    <w:pPr>
      <w:ind w:left="1987" w:right="864" w:hanging="864"/>
    </w:pPr>
    <w:rPr>
      <w:rFonts w:eastAsiaTheme="minorEastAsia"/>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1"/>
      </w:numPr>
    </w:pPr>
  </w:style>
  <w:style w:type="paragraph" w:styleId="TOC9">
    <w:name w:val="toc 9"/>
    <w:basedOn w:val="Normal"/>
    <w:next w:val="Normal"/>
    <w:autoRedefine/>
    <w:uiPriority w:val="39"/>
    <w:unhideWhenUsed/>
    <w:rsid w:val="00D82A43"/>
    <w:pPr>
      <w:spacing w:after="100"/>
      <w:ind w:left="2080"/>
    </w:pPr>
  </w:style>
  <w:style w:type="paragraph" w:styleId="Header">
    <w:name w:val="header"/>
    <w:basedOn w:val="Normal"/>
    <w:link w:val="HeaderChar"/>
    <w:uiPriority w:val="99"/>
    <w:rsid w:val="0098138E"/>
    <w:pPr>
      <w:tabs>
        <w:tab w:val="center" w:pos="4680"/>
        <w:tab w:val="right" w:pos="9360"/>
      </w:tabs>
    </w:pPr>
  </w:style>
  <w:style w:type="character" w:customStyle="1" w:styleId="HeaderChar">
    <w:name w:val="Header Char"/>
    <w:basedOn w:val="DefaultParagraphFont"/>
    <w:link w:val="Header"/>
    <w:uiPriority w:val="99"/>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3B6C4F"/>
    <w:pPr>
      <w:spacing w:after="120" w:line="240" w:lineRule="auto"/>
      <w:ind w:left="720" w:right="1440" w:firstLine="0"/>
    </w:pPr>
  </w:style>
  <w:style w:type="paragraph" w:styleId="FootnoteText">
    <w:name w:val="footnote text"/>
    <w:aliases w:val="Footnote Text Char1,Footnote Text Char Char,Footnote Text Char1 Char,Footnote Text Char Char Char,Footnote Text Char1 Char Char Char,Footnote Text Char Char1 Char Char Char,Footnote Text Char Char Char Char Char Char Char Char,fn,Char2 Cha"/>
    <w:basedOn w:val="Normal"/>
    <w:link w:val="FootnoteTextChar"/>
    <w:uiPriority w:val="40"/>
    <w:qFormat/>
    <w:rsid w:val="00B01F7E"/>
    <w:pPr>
      <w:spacing w:after="120"/>
    </w:pPr>
    <w:rPr>
      <w:sz w:val="22"/>
    </w:rPr>
  </w:style>
  <w:style w:type="character" w:customStyle="1" w:styleId="FootnoteTextChar">
    <w:name w:val="Footnote Text Char"/>
    <w:aliases w:val="Footnote Text Char1 Char1,Footnote Text Char Char Char1,Footnote Text Char1 Char Char,Footnote Text Char Char Char Char,Footnote Text Char1 Char Char Char Char,Footnote Text Char Char1 Char Char Char Char,fn Char,Char2 Cha Char"/>
    <w:basedOn w:val="DefaultParagraphFont"/>
    <w:link w:val="FootnoteText"/>
    <w:uiPriority w:val="40"/>
    <w:rsid w:val="007657C1"/>
    <w:rPr>
      <w:rFonts w:ascii="Book Antiqua" w:hAnsi="Book Antiqua"/>
      <w:szCs w:val="20"/>
    </w:rPr>
  </w:style>
  <w:style w:type="character" w:styleId="FootnoteReference">
    <w:name w:val="footnote reference"/>
    <w:aliases w:val="o,o + Times New Roman,fr,Style 3,o1,o2,o3,o4,o5,o6,o11,o21,o7,Style 12,(NECG) Footnote Reference,Appel note de bas de p,Style 124,Style 17,char,o7 + Palati...,Char Char Char Char,Footnote Reference1,Style 58,Footnote_Reference"/>
    <w:basedOn w:val="DefaultParagraphFont"/>
    <w:unhideWhenUsed/>
    <w:qFormat/>
    <w:rsid w:val="00DF58E7"/>
    <w:rPr>
      <w:vertAlign w:val="superscript"/>
    </w:rPr>
  </w:style>
  <w:style w:type="paragraph" w:customStyle="1" w:styleId="FoF">
    <w:name w:val="FoF"/>
    <w:basedOn w:val="Standard"/>
    <w:uiPriority w:val="6"/>
    <w:qFormat/>
    <w:rsid w:val="00AB0C8F"/>
    <w:pPr>
      <w:numPr>
        <w:numId w:val="15"/>
      </w:numPr>
    </w:pPr>
  </w:style>
  <w:style w:type="paragraph" w:customStyle="1" w:styleId="CoL">
    <w:name w:val="CoL"/>
    <w:basedOn w:val="Standard"/>
    <w:uiPriority w:val="7"/>
    <w:qFormat/>
    <w:rsid w:val="001E2A62"/>
    <w:pPr>
      <w:numPr>
        <w:numId w:val="1"/>
      </w:numPr>
    </w:pPr>
  </w:style>
  <w:style w:type="paragraph" w:styleId="NoSpacing">
    <w:name w:val="No Spacing"/>
    <w:basedOn w:val="Standard"/>
    <w:uiPriority w:val="1"/>
    <w:rsid w:val="001E2A62"/>
    <w:pPr>
      <w:spacing w:line="240" w:lineRule="auto"/>
      <w:ind w:firstLine="0"/>
    </w:pPr>
  </w:style>
  <w:style w:type="paragraph" w:customStyle="1" w:styleId="OP">
    <w:name w:val="OP"/>
    <w:basedOn w:val="CoL"/>
    <w:uiPriority w:val="8"/>
    <w:qFormat/>
    <w:rsid w:val="001E2A62"/>
  </w:style>
  <w:style w:type="paragraph" w:styleId="BalloonText">
    <w:name w:val="Balloon Text"/>
    <w:basedOn w:val="Normal"/>
    <w:link w:val="BalloonTextChar"/>
    <w:uiPriority w:val="99"/>
    <w:semiHidden/>
    <w:unhideWhenUsed/>
    <w:rsid w:val="004C7D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A56F2"/>
    <w:pPr>
      <w:numPr>
        <w:numId w:val="12"/>
      </w:numPr>
    </w:pPr>
  </w:style>
  <w:style w:type="paragraph" w:customStyle="1" w:styleId="Standard">
    <w:name w:val="Standard"/>
    <w:basedOn w:val="Normal"/>
    <w:qFormat/>
    <w:rsid w:val="000C1980"/>
    <w:pPr>
      <w:spacing w:line="360" w:lineRule="auto"/>
      <w:ind w:firstLine="720"/>
    </w:pPr>
  </w:style>
  <w:style w:type="paragraph" w:customStyle="1" w:styleId="ListAlpha">
    <w:name w:val="List Alpha"/>
    <w:basedOn w:val="Standard"/>
    <w:uiPriority w:val="4"/>
    <w:qFormat/>
    <w:rsid w:val="000A56F2"/>
    <w:pPr>
      <w:numPr>
        <w:ilvl w:val="7"/>
        <w:numId w:val="17"/>
      </w:numPr>
      <w:spacing w:after="120" w:line="240" w:lineRule="auto"/>
    </w:pPr>
  </w:style>
  <w:style w:type="paragraph" w:styleId="ListBullet">
    <w:name w:val="List Bullet"/>
    <w:basedOn w:val="Standard"/>
    <w:uiPriority w:val="4"/>
    <w:qFormat/>
    <w:rsid w:val="001F2819"/>
    <w:pPr>
      <w:numPr>
        <w:numId w:val="2"/>
      </w:numPr>
      <w:spacing w:after="120" w:line="240" w:lineRule="auto"/>
    </w:pPr>
  </w:style>
  <w:style w:type="character" w:customStyle="1" w:styleId="Heading6Char">
    <w:name w:val="Heading 6 Char"/>
    <w:basedOn w:val="DefaultParagraphFont"/>
    <w:link w:val="Heading6"/>
    <w:rsid w:val="000A56F2"/>
    <w:rPr>
      <w:rFonts w:ascii="Arial" w:eastAsiaTheme="majorEastAsia" w:hAnsi="Arial" w:cstheme="majorBidi"/>
      <w:b/>
      <w:sz w:val="26"/>
      <w:szCs w:val="26"/>
    </w:rPr>
  </w:style>
  <w:style w:type="paragraph" w:styleId="TOC4">
    <w:name w:val="toc 4"/>
    <w:basedOn w:val="Normal"/>
    <w:next w:val="Normal"/>
    <w:autoRedefine/>
    <w:uiPriority w:val="39"/>
    <w:unhideWhenUsed/>
    <w:rsid w:val="008C73A2"/>
    <w:pPr>
      <w:tabs>
        <w:tab w:val="left" w:pos="3060"/>
        <w:tab w:val="right" w:leader="dot" w:pos="9350"/>
      </w:tabs>
      <w:ind w:left="3060" w:hanging="1080"/>
    </w:pPr>
  </w:style>
  <w:style w:type="paragraph" w:styleId="TOC5">
    <w:name w:val="toc 5"/>
    <w:basedOn w:val="Normal"/>
    <w:next w:val="Normal"/>
    <w:autoRedefine/>
    <w:uiPriority w:val="39"/>
    <w:unhideWhenUsed/>
    <w:rsid w:val="00CE2320"/>
    <w:pPr>
      <w:tabs>
        <w:tab w:val="left" w:pos="2592"/>
        <w:tab w:val="right" w:leader="dot" w:pos="9350"/>
      </w:tabs>
      <w:ind w:left="4320" w:hanging="1260"/>
    </w:pPr>
  </w:style>
  <w:style w:type="paragraph" w:styleId="TOC6">
    <w:name w:val="toc 6"/>
    <w:basedOn w:val="Normal"/>
    <w:next w:val="Normal"/>
    <w:autoRedefine/>
    <w:uiPriority w:val="39"/>
    <w:unhideWhenUsed/>
    <w:rsid w:val="008C7413"/>
    <w:pPr>
      <w:ind w:left="2592" w:hanging="1512"/>
    </w:pPr>
  </w:style>
  <w:style w:type="character" w:customStyle="1" w:styleId="Heading7Char">
    <w:name w:val="Heading 7 Char"/>
    <w:basedOn w:val="DefaultParagraphFont"/>
    <w:link w:val="Heading7"/>
    <w:rsid w:val="000C1980"/>
    <w:rPr>
      <w:rFonts w:ascii="Helvetica" w:eastAsia="Times New Roman" w:hAnsi="Helvetica" w:cs="Times New Roman"/>
      <w:b/>
      <w:sz w:val="26"/>
      <w:szCs w:val="20"/>
    </w:rPr>
  </w:style>
  <w:style w:type="character" w:customStyle="1" w:styleId="Heading9Char">
    <w:name w:val="Heading 9 Char"/>
    <w:basedOn w:val="DefaultParagraphFont"/>
    <w:link w:val="Heading9"/>
    <w:rsid w:val="000C1980"/>
    <w:rPr>
      <w:rFonts w:ascii="Helvetica" w:eastAsia="Times New Roman" w:hAnsi="Helvetica" w:cs="Times New Roman"/>
      <w:b/>
      <w:sz w:val="26"/>
      <w:szCs w:val="24"/>
    </w:rPr>
  </w:style>
  <w:style w:type="paragraph" w:customStyle="1" w:styleId="ALJBodyText">
    <w:name w:val="ALJ Body Text"/>
    <w:basedOn w:val="Normal"/>
    <w:link w:val="ALJBodyTextChar"/>
    <w:qFormat/>
    <w:rsid w:val="000C1980"/>
    <w:pPr>
      <w:spacing w:line="360" w:lineRule="auto"/>
      <w:ind w:firstLine="720"/>
    </w:pPr>
  </w:style>
  <w:style w:type="paragraph" w:customStyle="1" w:styleId="ALJHeading1">
    <w:name w:val="ALJ Heading 1"/>
    <w:basedOn w:val="ALJBodyText"/>
    <w:next w:val="ALJBodyText"/>
    <w:link w:val="ALJHeading1Char"/>
    <w:rsid w:val="000C1980"/>
    <w:pPr>
      <w:keepNext/>
      <w:spacing w:after="120" w:line="240" w:lineRule="auto"/>
      <w:ind w:right="720"/>
    </w:pPr>
    <w:rPr>
      <w:rFonts w:ascii="Arial" w:hAnsi="Arial" w:cs="Arial"/>
      <w:b/>
    </w:rPr>
  </w:style>
  <w:style w:type="character" w:customStyle="1" w:styleId="ALJBodyTextChar">
    <w:name w:val="ALJ Body Text Char"/>
    <w:basedOn w:val="DefaultParagraphFont"/>
    <w:link w:val="ALJBodyText"/>
    <w:rsid w:val="000C1980"/>
    <w:rPr>
      <w:rFonts w:ascii="Book Antiqua" w:hAnsi="Book Antiqua" w:cs="Times New Roman"/>
      <w:sz w:val="26"/>
      <w:szCs w:val="20"/>
    </w:rPr>
  </w:style>
  <w:style w:type="paragraph" w:customStyle="1" w:styleId="ALJHeading2">
    <w:name w:val="ALJ Heading 2"/>
    <w:basedOn w:val="ALJHeading1"/>
    <w:next w:val="ALJBodyText"/>
    <w:link w:val="ALJHeading2Char"/>
    <w:rsid w:val="000C1980"/>
    <w:pPr>
      <w:tabs>
        <w:tab w:val="left" w:pos="1080"/>
      </w:tabs>
      <w:ind w:left="792" w:hanging="432"/>
    </w:pPr>
  </w:style>
  <w:style w:type="character" w:customStyle="1" w:styleId="ALJHeading1Char">
    <w:name w:val="ALJ Heading 1 Char"/>
    <w:basedOn w:val="ALJBodyTextChar"/>
    <w:link w:val="ALJHeading1"/>
    <w:rsid w:val="000C1980"/>
    <w:rPr>
      <w:rFonts w:ascii="Arial" w:hAnsi="Arial" w:cs="Arial"/>
      <w:b/>
      <w:sz w:val="26"/>
      <w:szCs w:val="20"/>
    </w:rPr>
  </w:style>
  <w:style w:type="paragraph" w:customStyle="1" w:styleId="ALJHeading3">
    <w:name w:val="ALJ Heading 3"/>
    <w:basedOn w:val="ALJBodyText"/>
    <w:next w:val="ALJBodyText"/>
    <w:link w:val="ALJHeading3Char"/>
    <w:rsid w:val="000C1980"/>
    <w:pPr>
      <w:keepNext/>
      <w:spacing w:after="120" w:line="240" w:lineRule="auto"/>
      <w:ind w:left="1512" w:right="1872" w:hanging="432"/>
    </w:pPr>
    <w:rPr>
      <w:rFonts w:ascii="Arial" w:hAnsi="Arial" w:cs="Arial"/>
      <w:b/>
    </w:rPr>
  </w:style>
  <w:style w:type="character" w:customStyle="1" w:styleId="ALJHeading2Char">
    <w:name w:val="ALJ Heading 2 Char"/>
    <w:basedOn w:val="ALJBodyTextChar"/>
    <w:link w:val="ALJHeading2"/>
    <w:rsid w:val="000C1980"/>
    <w:rPr>
      <w:rFonts w:ascii="Arial" w:hAnsi="Arial" w:cs="Arial"/>
      <w:b/>
      <w:sz w:val="26"/>
      <w:szCs w:val="20"/>
    </w:rPr>
  </w:style>
  <w:style w:type="character" w:customStyle="1" w:styleId="ALJHeading3Char">
    <w:name w:val="ALJ Heading 3 Char"/>
    <w:basedOn w:val="ALJBodyTextChar"/>
    <w:link w:val="ALJHeading3"/>
    <w:rsid w:val="000C1980"/>
    <w:rPr>
      <w:rFonts w:ascii="Arial" w:hAnsi="Arial" w:cs="Arial"/>
      <w:b/>
      <w:sz w:val="26"/>
      <w:szCs w:val="20"/>
    </w:rPr>
  </w:style>
  <w:style w:type="paragraph" w:customStyle="1" w:styleId="ALJHeadingNo">
    <w:name w:val="ALJ Heading No #"/>
    <w:basedOn w:val="ALJBodyText"/>
    <w:next w:val="ALJBodyText"/>
    <w:link w:val="ALJHeadingNoChar"/>
    <w:rsid w:val="000C1980"/>
    <w:pPr>
      <w:keepNext/>
      <w:spacing w:before="120" w:after="120" w:line="240" w:lineRule="auto"/>
      <w:ind w:firstLine="0"/>
    </w:pPr>
    <w:rPr>
      <w:rFonts w:ascii="Arial" w:hAnsi="Arial" w:cs="Arial"/>
      <w:b/>
    </w:rPr>
  </w:style>
  <w:style w:type="character" w:customStyle="1" w:styleId="ALJHeadingNoChar">
    <w:name w:val="ALJ Heading No # Char"/>
    <w:basedOn w:val="ALJBodyTextChar"/>
    <w:link w:val="ALJHeadingNo"/>
    <w:rsid w:val="000C1980"/>
    <w:rPr>
      <w:rFonts w:ascii="Arial" w:hAnsi="Arial" w:cs="Arial"/>
      <w:b/>
      <w:sz w:val="26"/>
      <w:szCs w:val="20"/>
    </w:rPr>
  </w:style>
  <w:style w:type="paragraph" w:customStyle="1" w:styleId="contentservernumber">
    <w:name w:val="content server number"/>
    <w:basedOn w:val="Footer"/>
    <w:link w:val="contentservernumberChar"/>
    <w:rsid w:val="000C1980"/>
    <w:rPr>
      <w:rFonts w:ascii="Arial" w:hAnsi="Arial" w:cs="Arial"/>
      <w:sz w:val="16"/>
      <w:szCs w:val="16"/>
    </w:rPr>
  </w:style>
  <w:style w:type="character" w:customStyle="1" w:styleId="contentservernumberChar">
    <w:name w:val="content server number Char"/>
    <w:basedOn w:val="FooterChar"/>
    <w:link w:val="contentservernumber"/>
    <w:rsid w:val="000C1980"/>
    <w:rPr>
      <w:rFonts w:ascii="Arial" w:hAnsi="Arial" w:cs="Arial"/>
      <w:sz w:val="16"/>
      <w:szCs w:val="16"/>
    </w:rPr>
  </w:style>
  <w:style w:type="paragraph" w:customStyle="1" w:styleId="ALJFootnote">
    <w:name w:val="ALJ Footnote"/>
    <w:basedOn w:val="FootnoteText"/>
    <w:link w:val="ALJFootnoteChar"/>
    <w:rsid w:val="000C1980"/>
    <w:rPr>
      <w:sz w:val="24"/>
      <w:szCs w:val="24"/>
    </w:rPr>
  </w:style>
  <w:style w:type="paragraph" w:customStyle="1" w:styleId="ALJTitle">
    <w:name w:val="ALJ Title"/>
    <w:basedOn w:val="ALJBodyText"/>
    <w:next w:val="ALJBodyText"/>
    <w:link w:val="ALJTitleChar"/>
    <w:rsid w:val="000C1980"/>
    <w:pPr>
      <w:spacing w:after="240" w:line="240" w:lineRule="auto"/>
      <w:ind w:firstLine="0"/>
      <w:jc w:val="center"/>
    </w:pPr>
    <w:rPr>
      <w:rFonts w:ascii="Arial" w:hAnsi="Arial" w:cs="Arial"/>
      <w:b/>
    </w:rPr>
  </w:style>
  <w:style w:type="character" w:customStyle="1" w:styleId="ALJFootnoteChar">
    <w:name w:val="ALJ Footnote Char"/>
    <w:basedOn w:val="FootnoteTextChar"/>
    <w:link w:val="ALJFootnote"/>
    <w:rsid w:val="000C1980"/>
    <w:rPr>
      <w:rFonts w:ascii="Book Antiqua" w:hAnsi="Book Antiqua" w:cs="Times New Roman"/>
      <w:sz w:val="24"/>
      <w:szCs w:val="24"/>
    </w:rPr>
  </w:style>
  <w:style w:type="paragraph" w:customStyle="1" w:styleId="FindingofFAct">
    <w:name w:val="Finding of FAct"/>
    <w:basedOn w:val="ALJBodyText"/>
    <w:link w:val="FindingofFActChar"/>
    <w:rsid w:val="000C1980"/>
    <w:pPr>
      <w:numPr>
        <w:numId w:val="3"/>
      </w:numPr>
    </w:pPr>
  </w:style>
  <w:style w:type="character" w:customStyle="1" w:styleId="ALJTitleChar">
    <w:name w:val="ALJ Title Char"/>
    <w:basedOn w:val="ALJBodyTextChar"/>
    <w:link w:val="ALJTitle"/>
    <w:rsid w:val="000C1980"/>
    <w:rPr>
      <w:rFonts w:ascii="Arial" w:hAnsi="Arial" w:cs="Arial"/>
      <w:b/>
      <w:sz w:val="26"/>
      <w:szCs w:val="20"/>
    </w:rPr>
  </w:style>
  <w:style w:type="paragraph" w:customStyle="1" w:styleId="conclusionoflaw">
    <w:name w:val="conclusion of law"/>
    <w:basedOn w:val="ALJBodyText"/>
    <w:link w:val="conclusionoflawChar"/>
    <w:rsid w:val="000C1980"/>
    <w:pPr>
      <w:numPr>
        <w:numId w:val="4"/>
      </w:numPr>
    </w:pPr>
  </w:style>
  <w:style w:type="character" w:customStyle="1" w:styleId="FindingofFActChar">
    <w:name w:val="Finding of FAct Char"/>
    <w:basedOn w:val="ALJBodyTextChar"/>
    <w:link w:val="FindingofFAct"/>
    <w:rsid w:val="000C1980"/>
    <w:rPr>
      <w:rFonts w:ascii="Book Antiqua" w:hAnsi="Book Antiqua" w:cs="Times New Roman"/>
      <w:sz w:val="26"/>
      <w:szCs w:val="20"/>
    </w:rPr>
  </w:style>
  <w:style w:type="paragraph" w:customStyle="1" w:styleId="ALJHeading4">
    <w:name w:val="ALJ Heading 4"/>
    <w:basedOn w:val="ALJHeading3"/>
    <w:next w:val="ALJBodyText"/>
    <w:link w:val="ALJHeading4Char"/>
    <w:rsid w:val="000C1980"/>
    <w:pPr>
      <w:numPr>
        <w:numId w:val="6"/>
      </w:numPr>
    </w:pPr>
  </w:style>
  <w:style w:type="character" w:customStyle="1" w:styleId="conclusionoflawChar">
    <w:name w:val="conclusion of law Char"/>
    <w:basedOn w:val="ALJBodyTextChar"/>
    <w:link w:val="conclusionoflaw"/>
    <w:rsid w:val="000C1980"/>
    <w:rPr>
      <w:rFonts w:ascii="Book Antiqua" w:hAnsi="Book Antiqua" w:cs="Times New Roman"/>
      <w:sz w:val="26"/>
      <w:szCs w:val="20"/>
    </w:rPr>
  </w:style>
  <w:style w:type="paragraph" w:styleId="ListParagraph">
    <w:name w:val="List Paragraph"/>
    <w:basedOn w:val="Normal"/>
    <w:uiPriority w:val="34"/>
    <w:qFormat/>
    <w:rsid w:val="000C1980"/>
    <w:pPr>
      <w:numPr>
        <w:numId w:val="7"/>
      </w:numPr>
      <w:spacing w:after="240"/>
    </w:pPr>
  </w:style>
  <w:style w:type="character" w:customStyle="1" w:styleId="ALJHeading4Char">
    <w:name w:val="ALJ Heading 4 Char"/>
    <w:basedOn w:val="ALJBodyTextChar"/>
    <w:link w:val="ALJHeading4"/>
    <w:rsid w:val="000C1980"/>
    <w:rPr>
      <w:rFonts w:ascii="Arial" w:hAnsi="Arial" w:cs="Arial"/>
      <w:b/>
      <w:sz w:val="26"/>
      <w:szCs w:val="20"/>
    </w:rPr>
  </w:style>
  <w:style w:type="paragraph" w:customStyle="1" w:styleId="tabletext">
    <w:name w:val="table text"/>
    <w:basedOn w:val="ALJBodyText"/>
    <w:link w:val="tabletextChar"/>
    <w:rsid w:val="000C1980"/>
    <w:pPr>
      <w:spacing w:after="120" w:line="240" w:lineRule="auto"/>
      <w:ind w:firstLine="0"/>
    </w:pPr>
  </w:style>
  <w:style w:type="paragraph" w:customStyle="1" w:styleId="TableColumnHeading">
    <w:name w:val="Table Column Heading"/>
    <w:basedOn w:val="ALJBodyText"/>
    <w:link w:val="TableColumnHeadingChar"/>
    <w:rsid w:val="000C1980"/>
    <w:pPr>
      <w:ind w:firstLine="0"/>
      <w:jc w:val="center"/>
    </w:pPr>
    <w:rPr>
      <w:rFonts w:ascii="Arial" w:hAnsi="Arial" w:cs="Arial"/>
      <w:b/>
    </w:rPr>
  </w:style>
  <w:style w:type="character" w:customStyle="1" w:styleId="tabletextChar">
    <w:name w:val="table text Char"/>
    <w:basedOn w:val="ALJBodyTextChar"/>
    <w:link w:val="tabletext"/>
    <w:rsid w:val="000C1980"/>
    <w:rPr>
      <w:rFonts w:ascii="Book Antiqua" w:hAnsi="Book Antiqua" w:cs="Times New Roman"/>
      <w:sz w:val="26"/>
      <w:szCs w:val="20"/>
    </w:rPr>
  </w:style>
  <w:style w:type="paragraph" w:customStyle="1" w:styleId="ALJOP">
    <w:name w:val="ALJ OP"/>
    <w:basedOn w:val="ALJBodyText"/>
    <w:link w:val="ALJOPChar"/>
    <w:rsid w:val="000C1980"/>
    <w:pPr>
      <w:numPr>
        <w:numId w:val="5"/>
      </w:numPr>
    </w:pPr>
  </w:style>
  <w:style w:type="character" w:customStyle="1" w:styleId="TableColumnHeadingChar">
    <w:name w:val="Table Column Heading Char"/>
    <w:basedOn w:val="ALJBodyTextChar"/>
    <w:link w:val="TableColumnHeading"/>
    <w:rsid w:val="000C1980"/>
    <w:rPr>
      <w:rFonts w:ascii="Arial" w:hAnsi="Arial" w:cs="Arial"/>
      <w:b/>
      <w:sz w:val="26"/>
      <w:szCs w:val="20"/>
    </w:rPr>
  </w:style>
  <w:style w:type="paragraph" w:customStyle="1" w:styleId="ALJBlockQuote">
    <w:name w:val="ALJ Block Quote"/>
    <w:basedOn w:val="ALJBodyText"/>
    <w:next w:val="ALJBodyText"/>
    <w:link w:val="ALJBlockQuoteChar"/>
    <w:rsid w:val="000C1980"/>
    <w:pPr>
      <w:spacing w:before="120" w:after="120" w:line="240" w:lineRule="auto"/>
      <w:ind w:left="1440" w:right="1440" w:firstLine="0"/>
    </w:pPr>
  </w:style>
  <w:style w:type="character" w:customStyle="1" w:styleId="ALJOPChar">
    <w:name w:val="ALJ OP Char"/>
    <w:basedOn w:val="ALJBodyTextChar"/>
    <w:link w:val="ALJOP"/>
    <w:rsid w:val="000C1980"/>
    <w:rPr>
      <w:rFonts w:ascii="Book Antiqua" w:hAnsi="Book Antiqua" w:cs="Times New Roman"/>
      <w:sz w:val="26"/>
      <w:szCs w:val="20"/>
    </w:rPr>
  </w:style>
  <w:style w:type="paragraph" w:customStyle="1" w:styleId="standard0">
    <w:name w:val="standard"/>
    <w:basedOn w:val="Normal"/>
    <w:link w:val="standardChar"/>
    <w:rsid w:val="00E76301"/>
    <w:pPr>
      <w:spacing w:line="360" w:lineRule="auto"/>
      <w:ind w:firstLine="720"/>
    </w:pPr>
    <w:rPr>
      <w:rFonts w:eastAsia="Times New Roman"/>
    </w:rPr>
  </w:style>
  <w:style w:type="character" w:customStyle="1" w:styleId="ALJBlockQuoteChar">
    <w:name w:val="ALJ Block Quote Char"/>
    <w:basedOn w:val="ALJBodyTextChar"/>
    <w:link w:val="ALJBlockQuote"/>
    <w:rsid w:val="000C1980"/>
    <w:rPr>
      <w:rFonts w:ascii="Book Antiqua" w:hAnsi="Book Antiqua" w:cs="Times New Roman"/>
      <w:sz w:val="26"/>
      <w:szCs w:val="20"/>
    </w:rPr>
  </w:style>
  <w:style w:type="character" w:customStyle="1" w:styleId="standardChar">
    <w:name w:val="standard Char"/>
    <w:link w:val="standard0"/>
    <w:rsid w:val="00E76301"/>
    <w:rPr>
      <w:rFonts w:ascii="Book Antiqua" w:eastAsia="Times New Roman" w:hAnsi="Book Antiqua" w:cs="Times New Roman"/>
      <w:sz w:val="26"/>
      <w:szCs w:val="20"/>
    </w:rPr>
  </w:style>
  <w:style w:type="character" w:styleId="CommentReference">
    <w:name w:val="annotation reference"/>
    <w:basedOn w:val="DefaultParagraphFont"/>
    <w:uiPriority w:val="99"/>
    <w:semiHidden/>
    <w:unhideWhenUsed/>
    <w:rsid w:val="000C1980"/>
    <w:rPr>
      <w:sz w:val="16"/>
      <w:szCs w:val="16"/>
    </w:rPr>
  </w:style>
  <w:style w:type="paragraph" w:styleId="CommentText">
    <w:name w:val="annotation text"/>
    <w:basedOn w:val="Normal"/>
    <w:link w:val="CommentTextChar"/>
    <w:uiPriority w:val="99"/>
    <w:unhideWhenUsed/>
    <w:rsid w:val="000C1980"/>
    <w:rPr>
      <w:sz w:val="20"/>
    </w:rPr>
  </w:style>
  <w:style w:type="character" w:customStyle="1" w:styleId="CommentTextChar">
    <w:name w:val="Comment Text Char"/>
    <w:basedOn w:val="DefaultParagraphFont"/>
    <w:link w:val="CommentText"/>
    <w:uiPriority w:val="99"/>
    <w:rsid w:val="000C1980"/>
    <w:rPr>
      <w:rFonts w:ascii="Book Antiqua"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0C1980"/>
    <w:rPr>
      <w:b/>
      <w:bCs/>
    </w:rPr>
  </w:style>
  <w:style w:type="character" w:customStyle="1" w:styleId="CommentSubjectChar">
    <w:name w:val="Comment Subject Char"/>
    <w:basedOn w:val="CommentTextChar"/>
    <w:link w:val="CommentSubject"/>
    <w:uiPriority w:val="99"/>
    <w:semiHidden/>
    <w:rsid w:val="000C1980"/>
    <w:rPr>
      <w:rFonts w:ascii="Book Antiqua" w:hAnsi="Book Antiqua" w:cs="Times New Roman"/>
      <w:b/>
      <w:bCs/>
      <w:sz w:val="20"/>
      <w:szCs w:val="20"/>
    </w:rPr>
  </w:style>
  <w:style w:type="paragraph" w:styleId="Quote">
    <w:name w:val="Quote"/>
    <w:basedOn w:val="Normal"/>
    <w:next w:val="Normal"/>
    <w:link w:val="QuoteChar"/>
    <w:uiPriority w:val="29"/>
    <w:qFormat/>
    <w:rsid w:val="000C1980"/>
    <w:pPr>
      <w:spacing w:after="240"/>
      <w:ind w:left="720" w:right="1080"/>
    </w:pPr>
    <w:rPr>
      <w:rFonts w:ascii="Palatino" w:eastAsia="Times New Roman" w:hAnsi="Palatino"/>
      <w:iCs/>
      <w:color w:val="000000" w:themeColor="text1"/>
    </w:rPr>
  </w:style>
  <w:style w:type="character" w:customStyle="1" w:styleId="QuoteChar">
    <w:name w:val="Quote Char"/>
    <w:basedOn w:val="DefaultParagraphFont"/>
    <w:link w:val="Quote"/>
    <w:uiPriority w:val="29"/>
    <w:rsid w:val="000C1980"/>
    <w:rPr>
      <w:rFonts w:ascii="Palatino" w:eastAsia="Times New Roman" w:hAnsi="Palatino" w:cs="Times New Roman"/>
      <w:iCs/>
      <w:color w:val="000000" w:themeColor="text1"/>
      <w:sz w:val="26"/>
      <w:szCs w:val="20"/>
    </w:rPr>
  </w:style>
  <w:style w:type="paragraph" w:styleId="NormalWeb">
    <w:name w:val="Normal (Web)"/>
    <w:basedOn w:val="Normal"/>
    <w:uiPriority w:val="99"/>
    <w:unhideWhenUsed/>
    <w:rsid w:val="000C1980"/>
    <w:pPr>
      <w:spacing w:before="100" w:beforeAutospacing="1" w:after="100" w:afterAutospacing="1"/>
    </w:pPr>
    <w:rPr>
      <w:rFonts w:ascii="Times New Roman" w:eastAsia="Times New Roman" w:hAnsi="Times New Roman"/>
      <w:sz w:val="24"/>
      <w:szCs w:val="24"/>
    </w:rPr>
  </w:style>
  <w:style w:type="character" w:customStyle="1" w:styleId="ALJFNChar">
    <w:name w:val="ALJ FN Char"/>
    <w:basedOn w:val="FootnoteTextChar"/>
    <w:link w:val="ALJFN"/>
    <w:rsid w:val="000C1980"/>
    <w:rPr>
      <w:rFonts w:ascii="Book Antiqua" w:hAnsi="Book Antiqua"/>
      <w:szCs w:val="20"/>
    </w:rPr>
  </w:style>
  <w:style w:type="paragraph" w:customStyle="1" w:styleId="ALJFN">
    <w:name w:val="ALJ FN"/>
    <w:basedOn w:val="FootnoteText"/>
    <w:link w:val="ALJFNChar"/>
    <w:rsid w:val="000C1980"/>
  </w:style>
  <w:style w:type="paragraph" w:customStyle="1" w:styleId="mainex0">
    <w:name w:val="mainex"/>
    <w:basedOn w:val="Normal"/>
    <w:rsid w:val="000C1980"/>
    <w:pPr>
      <w:jc w:val="center"/>
    </w:pPr>
    <w:rPr>
      <w:rFonts w:ascii="Helvetica" w:eastAsia="Times New Roman" w:hAnsi="Helvetica"/>
      <w:b/>
      <w:spacing w:val="120"/>
    </w:rPr>
  </w:style>
  <w:style w:type="paragraph" w:customStyle="1" w:styleId="num1">
    <w:name w:val="num1"/>
    <w:basedOn w:val="Normal"/>
    <w:link w:val="num1Char"/>
    <w:rsid w:val="000C1980"/>
    <w:pPr>
      <w:tabs>
        <w:tab w:val="left" w:pos="-720"/>
      </w:tabs>
      <w:suppressAutoHyphens/>
      <w:spacing w:line="360" w:lineRule="auto"/>
      <w:ind w:firstLine="360"/>
    </w:pPr>
    <w:rPr>
      <w:rFonts w:eastAsia="Times New Roman"/>
    </w:rPr>
  </w:style>
  <w:style w:type="character" w:customStyle="1" w:styleId="num1Char">
    <w:name w:val="num1 Char"/>
    <w:link w:val="num1"/>
    <w:rsid w:val="000C1980"/>
    <w:rPr>
      <w:rFonts w:ascii="Book Antiqua" w:eastAsia="Times New Roman" w:hAnsi="Book Antiqua" w:cs="Times New Roman"/>
      <w:sz w:val="26"/>
      <w:szCs w:val="20"/>
    </w:rPr>
  </w:style>
  <w:style w:type="paragraph" w:styleId="Revision">
    <w:name w:val="Revision"/>
    <w:hidden/>
    <w:uiPriority w:val="99"/>
    <w:semiHidden/>
    <w:rsid w:val="000C1980"/>
    <w:pPr>
      <w:spacing w:after="0" w:line="240" w:lineRule="auto"/>
    </w:pPr>
    <w:rPr>
      <w:rFonts w:ascii="Book Antiqua" w:hAnsi="Book Antiqua" w:cs="Times New Roman"/>
      <w:sz w:val="26"/>
      <w:szCs w:val="20"/>
    </w:rPr>
  </w:style>
  <w:style w:type="character" w:customStyle="1" w:styleId="normaltextrun1">
    <w:name w:val="normaltextrun1"/>
    <w:basedOn w:val="DefaultParagraphFont"/>
    <w:rsid w:val="000C1980"/>
  </w:style>
  <w:style w:type="character" w:customStyle="1" w:styleId="Mention1">
    <w:name w:val="Mention1"/>
    <w:basedOn w:val="DefaultParagraphFont"/>
    <w:uiPriority w:val="99"/>
    <w:unhideWhenUsed/>
    <w:rsid w:val="000C1980"/>
    <w:rPr>
      <w:color w:val="2B579A"/>
      <w:shd w:val="clear" w:color="auto" w:fill="E6E6E6"/>
    </w:rPr>
  </w:style>
  <w:style w:type="paragraph" w:customStyle="1" w:styleId="paragraph">
    <w:name w:val="paragraph"/>
    <w:basedOn w:val="Normal"/>
    <w:rsid w:val="000C1980"/>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0C1980"/>
  </w:style>
  <w:style w:type="character" w:customStyle="1" w:styleId="eop">
    <w:name w:val="eop"/>
    <w:basedOn w:val="DefaultParagraphFont"/>
    <w:rsid w:val="000C1980"/>
  </w:style>
  <w:style w:type="paragraph" w:customStyle="1" w:styleId="Default">
    <w:name w:val="Default"/>
    <w:rsid w:val="000C1980"/>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UnresolvedMention1">
    <w:name w:val="Unresolved Mention1"/>
    <w:basedOn w:val="DefaultParagraphFont"/>
    <w:uiPriority w:val="99"/>
    <w:unhideWhenUsed/>
    <w:rsid w:val="000C1980"/>
    <w:rPr>
      <w:color w:val="605E5C"/>
      <w:shd w:val="clear" w:color="auto" w:fill="E1DFDD"/>
    </w:rPr>
  </w:style>
  <w:style w:type="character" w:styleId="FollowedHyperlink">
    <w:name w:val="FollowedHyperlink"/>
    <w:basedOn w:val="DefaultParagraphFont"/>
    <w:uiPriority w:val="99"/>
    <w:semiHidden/>
    <w:unhideWhenUsed/>
    <w:rsid w:val="000C1980"/>
    <w:rPr>
      <w:color w:val="954F72" w:themeColor="followedHyperlink"/>
      <w:u w:val="single"/>
    </w:rPr>
  </w:style>
  <w:style w:type="character" w:customStyle="1" w:styleId="Mention2">
    <w:name w:val="Mention2"/>
    <w:basedOn w:val="DefaultParagraphFont"/>
    <w:uiPriority w:val="99"/>
    <w:unhideWhenUsed/>
    <w:rsid w:val="000C1980"/>
    <w:rPr>
      <w:color w:val="2B579A"/>
      <w:shd w:val="clear" w:color="auto" w:fill="E1DFDD"/>
    </w:rPr>
  </w:style>
  <w:style w:type="character" w:styleId="UnresolvedMention">
    <w:name w:val="Unresolved Mention"/>
    <w:basedOn w:val="DefaultParagraphFont"/>
    <w:uiPriority w:val="99"/>
    <w:unhideWhenUsed/>
    <w:rsid w:val="000C1980"/>
    <w:rPr>
      <w:color w:val="605E5C"/>
      <w:shd w:val="clear" w:color="auto" w:fill="E1DFDD"/>
    </w:rPr>
  </w:style>
  <w:style w:type="table" w:styleId="GridTable6Colorful-Accent1">
    <w:name w:val="Grid Table 6 Colorful Accent 1"/>
    <w:basedOn w:val="TableNormal"/>
    <w:uiPriority w:val="51"/>
    <w:rsid w:val="000C198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1">
    <w:name w:val="Grid Table 2 Accent 1"/>
    <w:basedOn w:val="TableNormal"/>
    <w:uiPriority w:val="47"/>
    <w:rsid w:val="000C1980"/>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1">
    <w:name w:val="List Table 2 Accent 1"/>
    <w:basedOn w:val="TableNormal"/>
    <w:uiPriority w:val="47"/>
    <w:rsid w:val="000C1980"/>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5">
    <w:name w:val="Grid Table 6 Colorful Accent 5"/>
    <w:basedOn w:val="TableNormal"/>
    <w:uiPriority w:val="51"/>
    <w:rsid w:val="000C1980"/>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11">
    <w:name w:val="List Table 2 - Accent 11"/>
    <w:basedOn w:val="TableNormal"/>
    <w:next w:val="ListTable2-Accent1"/>
    <w:uiPriority w:val="47"/>
    <w:rsid w:val="000C1980"/>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11">
    <w:name w:val="Grid Table 6 Colorful - Accent 11"/>
    <w:basedOn w:val="TableNormal"/>
    <w:next w:val="GridTable6Colorful-Accent1"/>
    <w:uiPriority w:val="51"/>
    <w:rsid w:val="000C198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12">
    <w:name w:val="Grid Table 6 Colorful - Accent 12"/>
    <w:basedOn w:val="TableNormal"/>
    <w:next w:val="GridTable6Colorful-Accent1"/>
    <w:uiPriority w:val="51"/>
    <w:rsid w:val="000C198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rsid w:val="000C1980"/>
    <w:pPr>
      <w:spacing w:after="200"/>
    </w:pPr>
    <w:rPr>
      <w:rFonts w:asciiTheme="minorHAnsi" w:hAnsiTheme="minorHAnsi" w:cstheme="minorBidi"/>
      <w:i/>
      <w:iCs/>
      <w:color w:val="44546A" w:themeColor="text2"/>
      <w:sz w:val="18"/>
      <w:szCs w:val="18"/>
    </w:rPr>
  </w:style>
  <w:style w:type="table" w:customStyle="1" w:styleId="GridTable6Colorful-Accent51">
    <w:name w:val="Grid Table 6 Colorful - Accent 51"/>
    <w:basedOn w:val="TableNormal"/>
    <w:next w:val="GridTable6Colorful-Accent5"/>
    <w:uiPriority w:val="51"/>
    <w:rsid w:val="000C1980"/>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52">
    <w:name w:val="Grid Table 6 Colorful - Accent 52"/>
    <w:basedOn w:val="TableNormal"/>
    <w:next w:val="GridTable6Colorful-Accent5"/>
    <w:uiPriority w:val="51"/>
    <w:rsid w:val="000C1980"/>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53">
    <w:name w:val="Grid Table 6 Colorful - Accent 53"/>
    <w:basedOn w:val="TableNormal"/>
    <w:next w:val="GridTable6Colorful-Accent5"/>
    <w:uiPriority w:val="51"/>
    <w:rsid w:val="000C1980"/>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acopre1">
    <w:name w:val="acopre1"/>
    <w:basedOn w:val="DefaultParagraphFont"/>
    <w:rsid w:val="000C1980"/>
  </w:style>
  <w:style w:type="character" w:styleId="Mention">
    <w:name w:val="Mention"/>
    <w:basedOn w:val="DefaultParagraphFont"/>
    <w:uiPriority w:val="99"/>
    <w:unhideWhenUsed/>
    <w:rsid w:val="000C1980"/>
    <w:rPr>
      <w:color w:val="2B579A"/>
      <w:shd w:val="clear" w:color="auto" w:fill="E1DFDD"/>
    </w:rPr>
  </w:style>
  <w:style w:type="table" w:styleId="TableTheme">
    <w:name w:val="Table Theme"/>
    <w:basedOn w:val="TableNormal"/>
    <w:uiPriority w:val="99"/>
    <w:rsid w:val="000C198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1980"/>
    <w:rPr>
      <w:color w:val="808080"/>
    </w:rPr>
  </w:style>
  <w:style w:type="paragraph" w:customStyle="1" w:styleId="commentcontentpara">
    <w:name w:val="commentcontentpara"/>
    <w:basedOn w:val="Normal"/>
    <w:rsid w:val="000C1980"/>
    <w:pPr>
      <w:spacing w:before="100" w:beforeAutospacing="1" w:after="100" w:afterAutospacing="1"/>
    </w:pPr>
    <w:rPr>
      <w:rFonts w:ascii="Times New Roman" w:eastAsia="Times New Roman" w:hAnsi="Times New Roman"/>
      <w:sz w:val="24"/>
      <w:szCs w:val="24"/>
    </w:rPr>
  </w:style>
  <w:style w:type="character" w:customStyle="1" w:styleId="acopre">
    <w:name w:val="acopre"/>
    <w:basedOn w:val="DefaultParagraphFont"/>
    <w:rsid w:val="000C1980"/>
  </w:style>
  <w:style w:type="paragraph" w:styleId="TOC7">
    <w:name w:val="toc 7"/>
    <w:basedOn w:val="Normal"/>
    <w:next w:val="Normal"/>
    <w:autoRedefine/>
    <w:uiPriority w:val="39"/>
    <w:unhideWhenUsed/>
    <w:rsid w:val="00257E90"/>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57E90"/>
    <w:pPr>
      <w:spacing w:after="100" w:line="259" w:lineRule="auto"/>
      <w:ind w:left="1540"/>
    </w:pPr>
    <w:rPr>
      <w:rFonts w:asciiTheme="minorHAnsi" w:eastAsiaTheme="minorEastAsia" w:hAnsiTheme="minorHAnsi" w:cstheme="minorBidi"/>
      <w:sz w:val="22"/>
      <w:szCs w:val="22"/>
    </w:rPr>
  </w:style>
  <w:style w:type="table" w:customStyle="1" w:styleId="TableTheme1">
    <w:name w:val="Table Theme1"/>
    <w:basedOn w:val="TableNormal"/>
    <w:next w:val="TableTheme"/>
    <w:uiPriority w:val="99"/>
    <w:rsid w:val="00262FF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FCoLOP2">
    <w:name w:val="FoF/CoL/OP2"/>
    <w:uiPriority w:val="99"/>
    <w:rsid w:val="00292155"/>
    <w:pPr>
      <w:numPr>
        <w:numId w:val="13"/>
      </w:numPr>
    </w:pPr>
  </w:style>
  <w:style w:type="table" w:customStyle="1" w:styleId="TableGrid7">
    <w:name w:val="Table Grid7"/>
    <w:basedOn w:val="TableNormal"/>
    <w:next w:val="TableGrid"/>
    <w:uiPriority w:val="59"/>
    <w:rsid w:val="00F25FB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MedianListStyle">
    <w:name w:val="Median List Style"/>
    <w:uiPriority w:val="99"/>
    <w:rsid w:val="00CD5916"/>
    <w:pPr>
      <w:numPr>
        <w:numId w:val="11"/>
      </w:numPr>
    </w:pPr>
  </w:style>
  <w:style w:type="character" w:customStyle="1" w:styleId="markedcontent">
    <w:name w:val="markedcontent"/>
    <w:basedOn w:val="DefaultParagraphFont"/>
    <w:rsid w:val="00CF0658"/>
  </w:style>
  <w:style w:type="paragraph" w:customStyle="1" w:styleId="xmsonormal">
    <w:name w:val="x_msonormal"/>
    <w:basedOn w:val="Normal"/>
    <w:rsid w:val="00FF7BB0"/>
    <w:pPr>
      <w:spacing w:before="100" w:beforeAutospacing="1" w:after="100" w:afterAutospacing="1"/>
    </w:pPr>
    <w:rPr>
      <w:rFonts w:ascii="Times New Roman" w:eastAsia="Times New Roman" w:hAnsi="Times New Roman"/>
      <w:sz w:val="24"/>
      <w:szCs w:val="24"/>
    </w:rPr>
  </w:style>
  <w:style w:type="character" w:customStyle="1" w:styleId="highlight">
    <w:name w:val="highlight"/>
    <w:basedOn w:val="DefaultParagraphFont"/>
    <w:rsid w:val="007D55E2"/>
  </w:style>
  <w:style w:type="paragraph" w:customStyle="1" w:styleId="xmsolistparagraph">
    <w:name w:val="x_msolistparagraph"/>
    <w:basedOn w:val="Normal"/>
    <w:rsid w:val="00D51C0C"/>
    <w:pPr>
      <w:spacing w:after="160" w:line="252" w:lineRule="auto"/>
      <w:ind w:left="720"/>
    </w:pPr>
    <w:rPr>
      <w:rFonts w:ascii="Calibri" w:hAnsi="Calibri" w:cs="Calibri"/>
      <w:sz w:val="22"/>
      <w:szCs w:val="22"/>
    </w:rPr>
  </w:style>
  <w:style w:type="character" w:customStyle="1" w:styleId="cf01">
    <w:name w:val="cf01"/>
    <w:basedOn w:val="DefaultParagraphFont"/>
    <w:rsid w:val="00732D7A"/>
    <w:rPr>
      <w:rFonts w:ascii="Segoe UI" w:hAnsi="Segoe UI" w:cs="Segoe UI" w:hint="default"/>
      <w:sz w:val="18"/>
      <w:szCs w:val="18"/>
    </w:rPr>
  </w:style>
  <w:style w:type="paragraph" w:customStyle="1" w:styleId="BoxCheck1">
    <w:name w:val="Box&amp;Check1"/>
    <w:basedOn w:val="Normal"/>
    <w:qFormat/>
    <w:rsid w:val="00A5528B"/>
    <w:pPr>
      <w:spacing w:line="240" w:lineRule="exact"/>
      <w:ind w:left="288" w:hanging="288"/>
    </w:pPr>
    <w:rPr>
      <w:rFonts w:ascii="Times New Roman" w:hAnsi="Times New Roman" w:cstheme="minorBidi"/>
      <w:sz w:val="24"/>
      <w:szCs w:val="22"/>
    </w:rPr>
  </w:style>
  <w:style w:type="paragraph" w:customStyle="1" w:styleId="BlockQuoteH025">
    <w:name w:val="BlockQuoteH025"/>
    <w:basedOn w:val="Normal"/>
    <w:qFormat/>
    <w:rsid w:val="003828BA"/>
    <w:pPr>
      <w:spacing w:after="120"/>
      <w:ind w:left="1080" w:right="1440" w:hanging="360"/>
    </w:pPr>
    <w:rPr>
      <w:rFonts w:cstheme="minorBidi"/>
      <w:szCs w:val="22"/>
    </w:rPr>
  </w:style>
  <w:style w:type="paragraph" w:customStyle="1" w:styleId="TableTitle1">
    <w:name w:val="TableTitle1"/>
    <w:basedOn w:val="Normal"/>
    <w:qFormat/>
    <w:rsid w:val="00750A01"/>
    <w:pPr>
      <w:keepNext/>
      <w:spacing w:before="480" w:after="120"/>
      <w:ind w:left="1224" w:hanging="1224"/>
    </w:pPr>
    <w:rPr>
      <w:rFonts w:cstheme="minorBidi"/>
      <w:bCs/>
      <w:szCs w:val="22"/>
    </w:rPr>
  </w:style>
  <w:style w:type="paragraph" w:customStyle="1" w:styleId="TableTitle1b">
    <w:name w:val="TableTitle1b"/>
    <w:basedOn w:val="Standard"/>
    <w:rsid w:val="00DF1B5B"/>
    <w:pPr>
      <w:keepNext/>
      <w:spacing w:after="120" w:line="240" w:lineRule="auto"/>
      <w:ind w:left="1224" w:firstLine="0"/>
    </w:pPr>
    <w:rPr>
      <w:szCs w:val="24"/>
    </w:rPr>
  </w:style>
  <w:style w:type="paragraph" w:customStyle="1" w:styleId="BlockQuoteH033">
    <w:name w:val="BlockQuoteH033"/>
    <w:basedOn w:val="Normal"/>
    <w:qFormat/>
    <w:rsid w:val="00BC6D12"/>
    <w:pPr>
      <w:spacing w:after="120"/>
      <w:ind w:left="1195" w:right="1440" w:hanging="475"/>
    </w:pPr>
    <w:rPr>
      <w:rFonts w:cstheme="minorBidi"/>
      <w:szCs w:val="22"/>
    </w:rPr>
  </w:style>
  <w:style w:type="paragraph" w:styleId="BodyText">
    <w:name w:val="Body Text"/>
    <w:basedOn w:val="Normal"/>
    <w:link w:val="BodyTextChar"/>
    <w:unhideWhenUsed/>
    <w:rsid w:val="00B745EC"/>
    <w:pPr>
      <w:tabs>
        <w:tab w:val="left" w:pos="2160"/>
        <w:tab w:val="left" w:pos="3600"/>
      </w:tabs>
    </w:pPr>
    <w:rPr>
      <w:rFonts w:ascii="Times New Roman" w:eastAsia="Times New Roman" w:hAnsi="Times New Roman"/>
      <w:sz w:val="24"/>
    </w:rPr>
  </w:style>
  <w:style w:type="character" w:customStyle="1" w:styleId="BodyTextChar">
    <w:name w:val="Body Text Char"/>
    <w:basedOn w:val="DefaultParagraphFont"/>
    <w:link w:val="BodyText"/>
    <w:rsid w:val="00B745E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2215">
      <w:bodyDiv w:val="1"/>
      <w:marLeft w:val="0"/>
      <w:marRight w:val="0"/>
      <w:marTop w:val="0"/>
      <w:marBottom w:val="0"/>
      <w:divBdr>
        <w:top w:val="none" w:sz="0" w:space="0" w:color="auto"/>
        <w:left w:val="none" w:sz="0" w:space="0" w:color="auto"/>
        <w:bottom w:val="none" w:sz="0" w:space="0" w:color="auto"/>
        <w:right w:val="none" w:sz="0" w:space="0" w:color="auto"/>
      </w:divBdr>
    </w:div>
    <w:div w:id="86509415">
      <w:bodyDiv w:val="1"/>
      <w:marLeft w:val="0"/>
      <w:marRight w:val="0"/>
      <w:marTop w:val="0"/>
      <w:marBottom w:val="0"/>
      <w:divBdr>
        <w:top w:val="none" w:sz="0" w:space="0" w:color="auto"/>
        <w:left w:val="none" w:sz="0" w:space="0" w:color="auto"/>
        <w:bottom w:val="none" w:sz="0" w:space="0" w:color="auto"/>
        <w:right w:val="none" w:sz="0" w:space="0" w:color="auto"/>
      </w:divBdr>
    </w:div>
    <w:div w:id="86736801">
      <w:bodyDiv w:val="1"/>
      <w:marLeft w:val="0"/>
      <w:marRight w:val="0"/>
      <w:marTop w:val="0"/>
      <w:marBottom w:val="0"/>
      <w:divBdr>
        <w:top w:val="none" w:sz="0" w:space="0" w:color="auto"/>
        <w:left w:val="none" w:sz="0" w:space="0" w:color="auto"/>
        <w:bottom w:val="none" w:sz="0" w:space="0" w:color="auto"/>
        <w:right w:val="none" w:sz="0" w:space="0" w:color="auto"/>
      </w:divBdr>
    </w:div>
    <w:div w:id="88280345">
      <w:bodyDiv w:val="1"/>
      <w:marLeft w:val="0"/>
      <w:marRight w:val="0"/>
      <w:marTop w:val="0"/>
      <w:marBottom w:val="0"/>
      <w:divBdr>
        <w:top w:val="none" w:sz="0" w:space="0" w:color="auto"/>
        <w:left w:val="none" w:sz="0" w:space="0" w:color="auto"/>
        <w:bottom w:val="none" w:sz="0" w:space="0" w:color="auto"/>
        <w:right w:val="none" w:sz="0" w:space="0" w:color="auto"/>
      </w:divBdr>
    </w:div>
    <w:div w:id="165481517">
      <w:bodyDiv w:val="1"/>
      <w:marLeft w:val="0"/>
      <w:marRight w:val="0"/>
      <w:marTop w:val="0"/>
      <w:marBottom w:val="0"/>
      <w:divBdr>
        <w:top w:val="none" w:sz="0" w:space="0" w:color="auto"/>
        <w:left w:val="none" w:sz="0" w:space="0" w:color="auto"/>
        <w:bottom w:val="none" w:sz="0" w:space="0" w:color="auto"/>
        <w:right w:val="none" w:sz="0" w:space="0" w:color="auto"/>
      </w:divBdr>
    </w:div>
    <w:div w:id="332297627">
      <w:bodyDiv w:val="1"/>
      <w:marLeft w:val="0"/>
      <w:marRight w:val="0"/>
      <w:marTop w:val="0"/>
      <w:marBottom w:val="0"/>
      <w:divBdr>
        <w:top w:val="none" w:sz="0" w:space="0" w:color="auto"/>
        <w:left w:val="none" w:sz="0" w:space="0" w:color="auto"/>
        <w:bottom w:val="none" w:sz="0" w:space="0" w:color="auto"/>
        <w:right w:val="none" w:sz="0" w:space="0" w:color="auto"/>
      </w:divBdr>
      <w:divsChild>
        <w:div w:id="593245623">
          <w:marLeft w:val="0"/>
          <w:marRight w:val="0"/>
          <w:marTop w:val="0"/>
          <w:marBottom w:val="240"/>
          <w:divBdr>
            <w:top w:val="none" w:sz="0" w:space="0" w:color="auto"/>
            <w:left w:val="none" w:sz="0" w:space="0" w:color="auto"/>
            <w:bottom w:val="none" w:sz="0" w:space="0" w:color="auto"/>
            <w:right w:val="none" w:sz="0" w:space="0" w:color="auto"/>
          </w:divBdr>
        </w:div>
        <w:div w:id="1319191910">
          <w:marLeft w:val="0"/>
          <w:marRight w:val="0"/>
          <w:marTop w:val="0"/>
          <w:marBottom w:val="240"/>
          <w:divBdr>
            <w:top w:val="none" w:sz="0" w:space="0" w:color="auto"/>
            <w:left w:val="none" w:sz="0" w:space="0" w:color="auto"/>
            <w:bottom w:val="none" w:sz="0" w:space="0" w:color="auto"/>
            <w:right w:val="none" w:sz="0" w:space="0" w:color="auto"/>
          </w:divBdr>
        </w:div>
        <w:div w:id="1500609384">
          <w:marLeft w:val="0"/>
          <w:marRight w:val="0"/>
          <w:marTop w:val="0"/>
          <w:marBottom w:val="240"/>
          <w:divBdr>
            <w:top w:val="none" w:sz="0" w:space="0" w:color="auto"/>
            <w:left w:val="none" w:sz="0" w:space="0" w:color="auto"/>
            <w:bottom w:val="none" w:sz="0" w:space="0" w:color="auto"/>
            <w:right w:val="none" w:sz="0" w:space="0" w:color="auto"/>
          </w:divBdr>
        </w:div>
        <w:div w:id="1884828945">
          <w:marLeft w:val="0"/>
          <w:marRight w:val="0"/>
          <w:marTop w:val="0"/>
          <w:marBottom w:val="240"/>
          <w:divBdr>
            <w:top w:val="none" w:sz="0" w:space="0" w:color="auto"/>
            <w:left w:val="none" w:sz="0" w:space="0" w:color="auto"/>
            <w:bottom w:val="none" w:sz="0" w:space="0" w:color="auto"/>
            <w:right w:val="none" w:sz="0" w:space="0" w:color="auto"/>
          </w:divBdr>
        </w:div>
        <w:div w:id="1917738848">
          <w:marLeft w:val="0"/>
          <w:marRight w:val="0"/>
          <w:marTop w:val="0"/>
          <w:marBottom w:val="240"/>
          <w:divBdr>
            <w:top w:val="none" w:sz="0" w:space="0" w:color="auto"/>
            <w:left w:val="none" w:sz="0" w:space="0" w:color="auto"/>
            <w:bottom w:val="none" w:sz="0" w:space="0" w:color="auto"/>
            <w:right w:val="none" w:sz="0" w:space="0" w:color="auto"/>
          </w:divBdr>
        </w:div>
      </w:divsChild>
    </w:div>
    <w:div w:id="434908901">
      <w:bodyDiv w:val="1"/>
      <w:marLeft w:val="0"/>
      <w:marRight w:val="0"/>
      <w:marTop w:val="0"/>
      <w:marBottom w:val="0"/>
      <w:divBdr>
        <w:top w:val="none" w:sz="0" w:space="0" w:color="auto"/>
        <w:left w:val="none" w:sz="0" w:space="0" w:color="auto"/>
        <w:bottom w:val="none" w:sz="0" w:space="0" w:color="auto"/>
        <w:right w:val="none" w:sz="0" w:space="0" w:color="auto"/>
      </w:divBdr>
    </w:div>
    <w:div w:id="533539257">
      <w:bodyDiv w:val="1"/>
      <w:marLeft w:val="0"/>
      <w:marRight w:val="0"/>
      <w:marTop w:val="0"/>
      <w:marBottom w:val="0"/>
      <w:divBdr>
        <w:top w:val="none" w:sz="0" w:space="0" w:color="auto"/>
        <w:left w:val="none" w:sz="0" w:space="0" w:color="auto"/>
        <w:bottom w:val="none" w:sz="0" w:space="0" w:color="auto"/>
        <w:right w:val="none" w:sz="0" w:space="0" w:color="auto"/>
      </w:divBdr>
      <w:divsChild>
        <w:div w:id="828130341">
          <w:marLeft w:val="0"/>
          <w:marRight w:val="0"/>
          <w:marTop w:val="0"/>
          <w:marBottom w:val="240"/>
          <w:divBdr>
            <w:top w:val="none" w:sz="0" w:space="0" w:color="auto"/>
            <w:left w:val="none" w:sz="0" w:space="0" w:color="auto"/>
            <w:bottom w:val="none" w:sz="0" w:space="0" w:color="auto"/>
            <w:right w:val="none" w:sz="0" w:space="0" w:color="auto"/>
          </w:divBdr>
        </w:div>
        <w:div w:id="1454981298">
          <w:marLeft w:val="0"/>
          <w:marRight w:val="0"/>
          <w:marTop w:val="0"/>
          <w:marBottom w:val="240"/>
          <w:divBdr>
            <w:top w:val="none" w:sz="0" w:space="0" w:color="auto"/>
            <w:left w:val="none" w:sz="0" w:space="0" w:color="auto"/>
            <w:bottom w:val="none" w:sz="0" w:space="0" w:color="auto"/>
            <w:right w:val="none" w:sz="0" w:space="0" w:color="auto"/>
          </w:divBdr>
        </w:div>
        <w:div w:id="1542982240">
          <w:marLeft w:val="0"/>
          <w:marRight w:val="0"/>
          <w:marTop w:val="0"/>
          <w:marBottom w:val="240"/>
          <w:divBdr>
            <w:top w:val="none" w:sz="0" w:space="0" w:color="auto"/>
            <w:left w:val="none" w:sz="0" w:space="0" w:color="auto"/>
            <w:bottom w:val="none" w:sz="0" w:space="0" w:color="auto"/>
            <w:right w:val="none" w:sz="0" w:space="0" w:color="auto"/>
          </w:divBdr>
        </w:div>
        <w:div w:id="2091999537">
          <w:marLeft w:val="0"/>
          <w:marRight w:val="0"/>
          <w:marTop w:val="0"/>
          <w:marBottom w:val="240"/>
          <w:divBdr>
            <w:top w:val="none" w:sz="0" w:space="0" w:color="auto"/>
            <w:left w:val="none" w:sz="0" w:space="0" w:color="auto"/>
            <w:bottom w:val="none" w:sz="0" w:space="0" w:color="auto"/>
            <w:right w:val="none" w:sz="0" w:space="0" w:color="auto"/>
          </w:divBdr>
        </w:div>
        <w:div w:id="2092654227">
          <w:marLeft w:val="0"/>
          <w:marRight w:val="0"/>
          <w:marTop w:val="0"/>
          <w:marBottom w:val="240"/>
          <w:divBdr>
            <w:top w:val="none" w:sz="0" w:space="0" w:color="auto"/>
            <w:left w:val="none" w:sz="0" w:space="0" w:color="auto"/>
            <w:bottom w:val="none" w:sz="0" w:space="0" w:color="auto"/>
            <w:right w:val="none" w:sz="0" w:space="0" w:color="auto"/>
          </w:divBdr>
        </w:div>
      </w:divsChild>
    </w:div>
    <w:div w:id="670378726">
      <w:bodyDiv w:val="1"/>
      <w:marLeft w:val="0"/>
      <w:marRight w:val="0"/>
      <w:marTop w:val="0"/>
      <w:marBottom w:val="0"/>
      <w:divBdr>
        <w:top w:val="none" w:sz="0" w:space="0" w:color="auto"/>
        <w:left w:val="none" w:sz="0" w:space="0" w:color="auto"/>
        <w:bottom w:val="none" w:sz="0" w:space="0" w:color="auto"/>
        <w:right w:val="none" w:sz="0" w:space="0" w:color="auto"/>
      </w:divBdr>
    </w:div>
    <w:div w:id="723984799">
      <w:bodyDiv w:val="1"/>
      <w:marLeft w:val="0"/>
      <w:marRight w:val="0"/>
      <w:marTop w:val="0"/>
      <w:marBottom w:val="0"/>
      <w:divBdr>
        <w:top w:val="none" w:sz="0" w:space="0" w:color="auto"/>
        <w:left w:val="none" w:sz="0" w:space="0" w:color="auto"/>
        <w:bottom w:val="none" w:sz="0" w:space="0" w:color="auto"/>
        <w:right w:val="none" w:sz="0" w:space="0" w:color="auto"/>
      </w:divBdr>
    </w:div>
    <w:div w:id="766002566">
      <w:bodyDiv w:val="1"/>
      <w:marLeft w:val="0"/>
      <w:marRight w:val="0"/>
      <w:marTop w:val="0"/>
      <w:marBottom w:val="0"/>
      <w:divBdr>
        <w:top w:val="none" w:sz="0" w:space="0" w:color="auto"/>
        <w:left w:val="none" w:sz="0" w:space="0" w:color="auto"/>
        <w:bottom w:val="none" w:sz="0" w:space="0" w:color="auto"/>
        <w:right w:val="none" w:sz="0" w:space="0" w:color="auto"/>
      </w:divBdr>
    </w:div>
    <w:div w:id="785195959">
      <w:bodyDiv w:val="1"/>
      <w:marLeft w:val="0"/>
      <w:marRight w:val="0"/>
      <w:marTop w:val="0"/>
      <w:marBottom w:val="0"/>
      <w:divBdr>
        <w:top w:val="none" w:sz="0" w:space="0" w:color="auto"/>
        <w:left w:val="none" w:sz="0" w:space="0" w:color="auto"/>
        <w:bottom w:val="none" w:sz="0" w:space="0" w:color="auto"/>
        <w:right w:val="none" w:sz="0" w:space="0" w:color="auto"/>
      </w:divBdr>
    </w:div>
    <w:div w:id="976567550">
      <w:bodyDiv w:val="1"/>
      <w:marLeft w:val="0"/>
      <w:marRight w:val="0"/>
      <w:marTop w:val="0"/>
      <w:marBottom w:val="0"/>
      <w:divBdr>
        <w:top w:val="none" w:sz="0" w:space="0" w:color="auto"/>
        <w:left w:val="none" w:sz="0" w:space="0" w:color="auto"/>
        <w:bottom w:val="none" w:sz="0" w:space="0" w:color="auto"/>
        <w:right w:val="none" w:sz="0" w:space="0" w:color="auto"/>
      </w:divBdr>
    </w:div>
    <w:div w:id="1090540500">
      <w:bodyDiv w:val="1"/>
      <w:marLeft w:val="0"/>
      <w:marRight w:val="0"/>
      <w:marTop w:val="0"/>
      <w:marBottom w:val="0"/>
      <w:divBdr>
        <w:top w:val="none" w:sz="0" w:space="0" w:color="auto"/>
        <w:left w:val="none" w:sz="0" w:space="0" w:color="auto"/>
        <w:bottom w:val="none" w:sz="0" w:space="0" w:color="auto"/>
        <w:right w:val="none" w:sz="0" w:space="0" w:color="auto"/>
      </w:divBdr>
    </w:div>
    <w:div w:id="1134637285">
      <w:bodyDiv w:val="1"/>
      <w:marLeft w:val="0"/>
      <w:marRight w:val="0"/>
      <w:marTop w:val="0"/>
      <w:marBottom w:val="0"/>
      <w:divBdr>
        <w:top w:val="none" w:sz="0" w:space="0" w:color="auto"/>
        <w:left w:val="none" w:sz="0" w:space="0" w:color="auto"/>
        <w:bottom w:val="none" w:sz="0" w:space="0" w:color="auto"/>
        <w:right w:val="none" w:sz="0" w:space="0" w:color="auto"/>
      </w:divBdr>
    </w:div>
    <w:div w:id="1154029956">
      <w:bodyDiv w:val="1"/>
      <w:marLeft w:val="0"/>
      <w:marRight w:val="0"/>
      <w:marTop w:val="0"/>
      <w:marBottom w:val="0"/>
      <w:divBdr>
        <w:top w:val="none" w:sz="0" w:space="0" w:color="auto"/>
        <w:left w:val="none" w:sz="0" w:space="0" w:color="auto"/>
        <w:bottom w:val="none" w:sz="0" w:space="0" w:color="auto"/>
        <w:right w:val="none" w:sz="0" w:space="0" w:color="auto"/>
      </w:divBdr>
    </w:div>
    <w:div w:id="1278099511">
      <w:bodyDiv w:val="1"/>
      <w:marLeft w:val="0"/>
      <w:marRight w:val="0"/>
      <w:marTop w:val="0"/>
      <w:marBottom w:val="0"/>
      <w:divBdr>
        <w:top w:val="none" w:sz="0" w:space="0" w:color="auto"/>
        <w:left w:val="none" w:sz="0" w:space="0" w:color="auto"/>
        <w:bottom w:val="none" w:sz="0" w:space="0" w:color="auto"/>
        <w:right w:val="none" w:sz="0" w:space="0" w:color="auto"/>
      </w:divBdr>
      <w:divsChild>
        <w:div w:id="84811813">
          <w:marLeft w:val="0"/>
          <w:marRight w:val="0"/>
          <w:marTop w:val="0"/>
          <w:marBottom w:val="240"/>
          <w:divBdr>
            <w:top w:val="none" w:sz="0" w:space="0" w:color="auto"/>
            <w:left w:val="none" w:sz="0" w:space="0" w:color="auto"/>
            <w:bottom w:val="none" w:sz="0" w:space="0" w:color="auto"/>
            <w:right w:val="none" w:sz="0" w:space="0" w:color="auto"/>
          </w:divBdr>
        </w:div>
        <w:div w:id="771818903">
          <w:marLeft w:val="0"/>
          <w:marRight w:val="0"/>
          <w:marTop w:val="0"/>
          <w:marBottom w:val="240"/>
          <w:divBdr>
            <w:top w:val="none" w:sz="0" w:space="0" w:color="auto"/>
            <w:left w:val="none" w:sz="0" w:space="0" w:color="auto"/>
            <w:bottom w:val="none" w:sz="0" w:space="0" w:color="auto"/>
            <w:right w:val="none" w:sz="0" w:space="0" w:color="auto"/>
          </w:divBdr>
        </w:div>
        <w:div w:id="838882635">
          <w:marLeft w:val="0"/>
          <w:marRight w:val="0"/>
          <w:marTop w:val="0"/>
          <w:marBottom w:val="240"/>
          <w:divBdr>
            <w:top w:val="none" w:sz="0" w:space="0" w:color="auto"/>
            <w:left w:val="none" w:sz="0" w:space="0" w:color="auto"/>
            <w:bottom w:val="none" w:sz="0" w:space="0" w:color="auto"/>
            <w:right w:val="none" w:sz="0" w:space="0" w:color="auto"/>
          </w:divBdr>
        </w:div>
        <w:div w:id="944924358">
          <w:marLeft w:val="0"/>
          <w:marRight w:val="0"/>
          <w:marTop w:val="0"/>
          <w:marBottom w:val="240"/>
          <w:divBdr>
            <w:top w:val="none" w:sz="0" w:space="0" w:color="auto"/>
            <w:left w:val="none" w:sz="0" w:space="0" w:color="auto"/>
            <w:bottom w:val="none" w:sz="0" w:space="0" w:color="auto"/>
            <w:right w:val="none" w:sz="0" w:space="0" w:color="auto"/>
          </w:divBdr>
        </w:div>
        <w:div w:id="1731417368">
          <w:marLeft w:val="0"/>
          <w:marRight w:val="0"/>
          <w:marTop w:val="0"/>
          <w:marBottom w:val="240"/>
          <w:divBdr>
            <w:top w:val="none" w:sz="0" w:space="0" w:color="auto"/>
            <w:left w:val="none" w:sz="0" w:space="0" w:color="auto"/>
            <w:bottom w:val="none" w:sz="0" w:space="0" w:color="auto"/>
            <w:right w:val="none" w:sz="0" w:space="0" w:color="auto"/>
          </w:divBdr>
        </w:div>
      </w:divsChild>
    </w:div>
    <w:div w:id="1295331858">
      <w:bodyDiv w:val="1"/>
      <w:marLeft w:val="0"/>
      <w:marRight w:val="0"/>
      <w:marTop w:val="0"/>
      <w:marBottom w:val="0"/>
      <w:divBdr>
        <w:top w:val="none" w:sz="0" w:space="0" w:color="auto"/>
        <w:left w:val="none" w:sz="0" w:space="0" w:color="auto"/>
        <w:bottom w:val="none" w:sz="0" w:space="0" w:color="auto"/>
        <w:right w:val="none" w:sz="0" w:space="0" w:color="auto"/>
      </w:divBdr>
    </w:div>
    <w:div w:id="1428846143">
      <w:bodyDiv w:val="1"/>
      <w:marLeft w:val="0"/>
      <w:marRight w:val="0"/>
      <w:marTop w:val="0"/>
      <w:marBottom w:val="0"/>
      <w:divBdr>
        <w:top w:val="none" w:sz="0" w:space="0" w:color="auto"/>
        <w:left w:val="none" w:sz="0" w:space="0" w:color="auto"/>
        <w:bottom w:val="none" w:sz="0" w:space="0" w:color="auto"/>
        <w:right w:val="none" w:sz="0" w:space="0" w:color="auto"/>
      </w:divBdr>
      <w:divsChild>
        <w:div w:id="90778590">
          <w:marLeft w:val="0"/>
          <w:marRight w:val="0"/>
          <w:marTop w:val="0"/>
          <w:marBottom w:val="0"/>
          <w:divBdr>
            <w:top w:val="none" w:sz="0" w:space="0" w:color="auto"/>
            <w:left w:val="none" w:sz="0" w:space="0" w:color="auto"/>
            <w:bottom w:val="none" w:sz="0" w:space="0" w:color="auto"/>
            <w:right w:val="none" w:sz="0" w:space="0" w:color="auto"/>
          </w:divBdr>
        </w:div>
        <w:div w:id="466431529">
          <w:marLeft w:val="0"/>
          <w:marRight w:val="0"/>
          <w:marTop w:val="0"/>
          <w:marBottom w:val="0"/>
          <w:divBdr>
            <w:top w:val="none" w:sz="0" w:space="0" w:color="auto"/>
            <w:left w:val="none" w:sz="0" w:space="0" w:color="auto"/>
            <w:bottom w:val="none" w:sz="0" w:space="0" w:color="auto"/>
            <w:right w:val="none" w:sz="0" w:space="0" w:color="auto"/>
          </w:divBdr>
        </w:div>
        <w:div w:id="1545671851">
          <w:marLeft w:val="0"/>
          <w:marRight w:val="0"/>
          <w:marTop w:val="0"/>
          <w:marBottom w:val="0"/>
          <w:divBdr>
            <w:top w:val="none" w:sz="0" w:space="0" w:color="auto"/>
            <w:left w:val="none" w:sz="0" w:space="0" w:color="auto"/>
            <w:bottom w:val="none" w:sz="0" w:space="0" w:color="auto"/>
            <w:right w:val="none" w:sz="0" w:space="0" w:color="auto"/>
          </w:divBdr>
        </w:div>
        <w:div w:id="1820725014">
          <w:marLeft w:val="0"/>
          <w:marRight w:val="0"/>
          <w:marTop w:val="0"/>
          <w:marBottom w:val="0"/>
          <w:divBdr>
            <w:top w:val="none" w:sz="0" w:space="0" w:color="auto"/>
            <w:left w:val="none" w:sz="0" w:space="0" w:color="auto"/>
            <w:bottom w:val="none" w:sz="0" w:space="0" w:color="auto"/>
            <w:right w:val="none" w:sz="0" w:space="0" w:color="auto"/>
          </w:divBdr>
        </w:div>
        <w:div w:id="1870796895">
          <w:marLeft w:val="0"/>
          <w:marRight w:val="0"/>
          <w:marTop w:val="0"/>
          <w:marBottom w:val="0"/>
          <w:divBdr>
            <w:top w:val="none" w:sz="0" w:space="0" w:color="auto"/>
            <w:left w:val="none" w:sz="0" w:space="0" w:color="auto"/>
            <w:bottom w:val="none" w:sz="0" w:space="0" w:color="auto"/>
            <w:right w:val="none" w:sz="0" w:space="0" w:color="auto"/>
          </w:divBdr>
        </w:div>
        <w:div w:id="2003004054">
          <w:marLeft w:val="0"/>
          <w:marRight w:val="0"/>
          <w:marTop w:val="0"/>
          <w:marBottom w:val="0"/>
          <w:divBdr>
            <w:top w:val="none" w:sz="0" w:space="0" w:color="auto"/>
            <w:left w:val="none" w:sz="0" w:space="0" w:color="auto"/>
            <w:bottom w:val="none" w:sz="0" w:space="0" w:color="auto"/>
            <w:right w:val="none" w:sz="0" w:space="0" w:color="auto"/>
          </w:divBdr>
        </w:div>
        <w:div w:id="2027831446">
          <w:marLeft w:val="0"/>
          <w:marRight w:val="0"/>
          <w:marTop w:val="0"/>
          <w:marBottom w:val="0"/>
          <w:divBdr>
            <w:top w:val="none" w:sz="0" w:space="0" w:color="auto"/>
            <w:left w:val="none" w:sz="0" w:space="0" w:color="auto"/>
            <w:bottom w:val="none" w:sz="0" w:space="0" w:color="auto"/>
            <w:right w:val="none" w:sz="0" w:space="0" w:color="auto"/>
          </w:divBdr>
        </w:div>
      </w:divsChild>
    </w:div>
    <w:div w:id="1575895971">
      <w:bodyDiv w:val="1"/>
      <w:marLeft w:val="0"/>
      <w:marRight w:val="0"/>
      <w:marTop w:val="0"/>
      <w:marBottom w:val="0"/>
      <w:divBdr>
        <w:top w:val="none" w:sz="0" w:space="0" w:color="auto"/>
        <w:left w:val="none" w:sz="0" w:space="0" w:color="auto"/>
        <w:bottom w:val="none" w:sz="0" w:space="0" w:color="auto"/>
        <w:right w:val="none" w:sz="0" w:space="0" w:color="auto"/>
      </w:divBdr>
    </w:div>
    <w:div w:id="1717004417">
      <w:bodyDiv w:val="1"/>
      <w:marLeft w:val="0"/>
      <w:marRight w:val="0"/>
      <w:marTop w:val="0"/>
      <w:marBottom w:val="0"/>
      <w:divBdr>
        <w:top w:val="none" w:sz="0" w:space="0" w:color="auto"/>
        <w:left w:val="none" w:sz="0" w:space="0" w:color="auto"/>
        <w:bottom w:val="none" w:sz="0" w:space="0" w:color="auto"/>
        <w:right w:val="none" w:sz="0" w:space="0" w:color="auto"/>
      </w:divBdr>
    </w:div>
    <w:div w:id="1816682271">
      <w:bodyDiv w:val="1"/>
      <w:marLeft w:val="0"/>
      <w:marRight w:val="0"/>
      <w:marTop w:val="0"/>
      <w:marBottom w:val="0"/>
      <w:divBdr>
        <w:top w:val="none" w:sz="0" w:space="0" w:color="auto"/>
        <w:left w:val="none" w:sz="0" w:space="0" w:color="auto"/>
        <w:bottom w:val="none" w:sz="0" w:space="0" w:color="auto"/>
        <w:right w:val="none" w:sz="0" w:space="0" w:color="auto"/>
      </w:divBdr>
    </w:div>
    <w:div w:id="2043628398">
      <w:bodyDiv w:val="1"/>
      <w:marLeft w:val="0"/>
      <w:marRight w:val="0"/>
      <w:marTop w:val="0"/>
      <w:marBottom w:val="0"/>
      <w:divBdr>
        <w:top w:val="none" w:sz="0" w:space="0" w:color="auto"/>
        <w:left w:val="none" w:sz="0" w:space="0" w:color="auto"/>
        <w:bottom w:val="none" w:sz="0" w:space="0" w:color="auto"/>
        <w:right w:val="none" w:sz="0" w:space="0" w:color="auto"/>
      </w:divBdr>
    </w:div>
    <w:div w:id="2119717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footer" Target="footer3.xml" Id="rId18" /><Relationship Type="http://schemas.openxmlformats.org/officeDocument/2006/relationships/hyperlink" Target="https://www.swgas.com/1409184638489/rule15.pdf" TargetMode="External" Id="rId26" /><Relationship Type="http://schemas.openxmlformats.org/officeDocument/2006/relationships/customXml" Target="../customXml/item3.xml" Id="rId3" /><Relationship Type="http://schemas.openxmlformats.org/officeDocument/2006/relationships/footer" Target="footer6.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eader" Target="header4.xml" Id="rId17" /><Relationship Type="http://schemas.openxmlformats.org/officeDocument/2006/relationships/hyperlink" Target="https://tariff.sdge.com/tm2/pdf/GAS_GAS-RULES_GRULE16.pdf"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5.xml" Id="rId20" /><Relationship Type="http://schemas.openxmlformats.org/officeDocument/2006/relationships/hyperlink" Target="https://tariff.socalgas.com/regulatory/tariffs/tm2/pdf/21.pdf"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tariff.sdge.com/tm2/pdf/GAS_GAS-RULES_GRULE15.pdf" TargetMode="Externa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hyperlink" Target="https://www.pge.com/tariffs/assets/pdf/tariffbook/GAS_RULES_16.pdf" TargetMode="External" Id="rId23" /><Relationship Type="http://schemas.openxmlformats.org/officeDocument/2006/relationships/hyperlink" Target="https://tariff.socalgas.com/regulatory/tariffs/tm2/pdf/20.pdf" TargetMode="External" Id="rId28" /><Relationship Type="http://schemas.openxmlformats.org/officeDocument/2006/relationships/footnotes" Target="footnotes.xml" Id="rId10" /><Relationship Type="http://schemas.openxmlformats.org/officeDocument/2006/relationships/footer" Target="footer4.xml" Id="rId19" /><Relationship Type="http://schemas.openxmlformats.org/officeDocument/2006/relationships/footer" Target="footer8.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hyperlink" Target="https://www.pge.com/tariffs/assets/pdf/tariffbook/GAS_RULES_15.pdf" TargetMode="External" Id="rId22" /><Relationship Type="http://schemas.openxmlformats.org/officeDocument/2006/relationships/hyperlink" Target="https://www.swgas.com/1409184638517/RULE_16---GRC_Eff-April-1-2021.pdf" TargetMode="External" Id="rId27" /><Relationship Type="http://schemas.openxmlformats.org/officeDocument/2006/relationships/footer" Target="footer7.xml" Id="rId30" /><Relationship Type="http://schemas.openxmlformats.org/officeDocument/2006/relationships/settings" Target="settings.xml" Id="rId8" /><Relationship Type="http://schemas.openxmlformats.org/officeDocument/2006/relationships/hyperlink" Target="http://docs.cpuc.ca.gov/PublishedDocs/Published/G000/M496/K875/496875967.pdf" TargetMode="External" Id="Re213a8fa31404bd2" /></Relationships>
</file>

<file path=word/_rels/footnotes.xml.rels><?xml version="1.0" encoding="UTF-8" standalone="yes"?>
<Relationships xmlns="http://schemas.openxmlformats.org/package/2006/relationships"><Relationship Id="rId8" Type="http://schemas.openxmlformats.org/officeDocument/2006/relationships/hyperlink" Target="https://tariff.socalgas.com/regulatory/tariffs/tm2/pdf/21.pdf" TargetMode="External"/><Relationship Id="rId13" Type="http://schemas.openxmlformats.org/officeDocument/2006/relationships/hyperlink" Target="https://www.swgas.com/1409184638489/rule15.pdf" TargetMode="External"/><Relationship Id="rId18" Type="http://schemas.openxmlformats.org/officeDocument/2006/relationships/hyperlink" Target="https://docs.cpuc.ca.gov/PublishedDocs/Efile/G000/M415/K275/415275138.PDF" TargetMode="External"/><Relationship Id="rId26" Type="http://schemas.openxmlformats.org/officeDocument/2006/relationships/hyperlink" Target="https://leginfo.legislature.ca.gov/faces/codes_displaySection.xhtml?sectionNum=783&amp;lawCode=PUC" TargetMode="External"/><Relationship Id="rId3" Type="http://schemas.openxmlformats.org/officeDocument/2006/relationships/hyperlink" Target="https://tariff.sdge.com/tm2/pdf/GAS_GAS-RULES_GRULE15.pdf" TargetMode="External"/><Relationship Id="rId21" Type="http://schemas.openxmlformats.org/officeDocument/2006/relationships/hyperlink" Target="https://ww2.arb.ca.gov/sites/default/files/2022-05/2022-draft-sp-appendix-f-building-decarbonization.pdf" TargetMode="External"/><Relationship Id="rId7" Type="http://schemas.openxmlformats.org/officeDocument/2006/relationships/hyperlink" Target="https://tariff.socalgas.com/regulatory/tariffs/tm2/pdf/20.pdf" TargetMode="External"/><Relationship Id="rId12" Type="http://schemas.openxmlformats.org/officeDocument/2006/relationships/hyperlink" Target="https://tariff.sdge.com/tm2/pdf/2866-G.pdf" TargetMode="External"/><Relationship Id="rId17" Type="http://schemas.openxmlformats.org/officeDocument/2006/relationships/hyperlink" Target="https://www.caenergysmarthomes.com" TargetMode="External"/><Relationship Id="rId25" Type="http://schemas.openxmlformats.org/officeDocument/2006/relationships/hyperlink" Target="https://leginfo.legislature.ca.gov/faces/codes_displaySection.xhtml?sectionNum=783&amp;lawCode=PUC" TargetMode="External"/><Relationship Id="rId2" Type="http://schemas.openxmlformats.org/officeDocument/2006/relationships/hyperlink" Target="https://www.pge.com/tariffs/assets/pdf/tariffbook/GAS_RULES_16.pdf" TargetMode="External"/><Relationship Id="rId16" Type="http://schemas.openxmlformats.org/officeDocument/2006/relationships/hyperlink" Target="https://www.energy.ca.gov/programs-and-topics/programs/building-initiative-low-emissions-development-program" TargetMode="External"/><Relationship Id="rId20" Type="http://schemas.openxmlformats.org/officeDocument/2006/relationships/hyperlink" Target="https://ww2.arb.ca.gov/sites/default/files/2022-05/2022-draft-sp-appendix-f-building-decarbonization.pdf" TargetMode="External"/><Relationship Id="rId1" Type="http://schemas.openxmlformats.org/officeDocument/2006/relationships/hyperlink" Target="https://www.pge.com/tariffs/assets/pdf/tariffbook/GAS_RULES_15.pdf" TargetMode="External"/><Relationship Id="rId6" Type="http://schemas.openxmlformats.org/officeDocument/2006/relationships/hyperlink" Target="https://www.swgas.com/1409184638517/RULE_16---GRC_Eff-April-1-2021.pdf" TargetMode="External"/><Relationship Id="rId11" Type="http://schemas.openxmlformats.org/officeDocument/2006/relationships/hyperlink" Target="https://tariff.socalgas.com/regulatory/tariffs/tm2/pdf/20.pdf" TargetMode="External"/><Relationship Id="rId24" Type="http://schemas.openxmlformats.org/officeDocument/2006/relationships/hyperlink" Target="https://leginfo.legislature.ca.gov/faces/codes_displaySection.xhtml?sectionNum=783&amp;lawCode=PUC" TargetMode="External"/><Relationship Id="rId5" Type="http://schemas.openxmlformats.org/officeDocument/2006/relationships/hyperlink" Target="https://www.swgas.com/1409184638489/rule15.pdf" TargetMode="External"/><Relationship Id="rId15" Type="http://schemas.openxmlformats.org/officeDocument/2006/relationships/hyperlink" Target="https://ww2.arb.ca.gov/sites/default/files/2022-01/Draft_2022_State_SIP_Strategy.pdf" TargetMode="External"/><Relationship Id="rId23" Type="http://schemas.openxmlformats.org/officeDocument/2006/relationships/hyperlink" Target="https://ww2.arb.ca.gov/resources/documents/technical-analysis-end-useful-life-scenarios-statewide" TargetMode="External"/><Relationship Id="rId10" Type="http://schemas.openxmlformats.org/officeDocument/2006/relationships/hyperlink" Target="https://www.pge.com/tariffs/assets/pdf/adviceletter/GAS_4488-G.pdf" TargetMode="External"/><Relationship Id="rId19" Type="http://schemas.openxmlformats.org/officeDocument/2006/relationships/hyperlink" Target="https://efiling.energy.ca.gov/GetDocument.aspx?tn=241599" TargetMode="External"/><Relationship Id="rId4" Type="http://schemas.openxmlformats.org/officeDocument/2006/relationships/hyperlink" Target="https://tariff.sdge.com/tm2/pdf/GAS_GAS-RULES_GRULE16.pdf" TargetMode="External"/><Relationship Id="rId9" Type="http://schemas.openxmlformats.org/officeDocument/2006/relationships/hyperlink" Target="https://leginfo.legislature.ca.gov/faces/codes_displaySection.xhtml?sectionNum=783&amp;lawCode=PUC" TargetMode="External"/><Relationship Id="rId14" Type="http://schemas.openxmlformats.org/officeDocument/2006/relationships/hyperlink" Target="https://www.energy.ca.gov/programs-and-topics/programs/building-energy-efficiency-standards/2022-building-energy-efficiency" TargetMode="External"/><Relationship Id="rId22" Type="http://schemas.openxmlformats.org/officeDocument/2006/relationships/hyperlink" Target="https://ww2.arb.ca.gov/ghg-inventory-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C1B46132C3DB4EB8A2895A869445CE" ma:contentTypeVersion="13" ma:contentTypeDescription="Create a new document." ma:contentTypeScope="" ma:versionID="204a7d8da883a6ccabf932b760ff943e">
  <xsd:schema xmlns:xsd="http://www.w3.org/2001/XMLSchema" xmlns:xs="http://www.w3.org/2001/XMLSchema" xmlns:p="http://schemas.microsoft.com/office/2006/metadata/properties" xmlns:ns2="7f5b6951-54ef-4081-aa35-6a1d703b40f5" xmlns:ns3="b3d48114-37c6-46ba-9f8b-b8b5733efe3f" targetNamespace="http://schemas.microsoft.com/office/2006/metadata/properties" ma:root="true" ma:fieldsID="45f0acf86e330ebaebc7acb61799acf6" ns2:_="" ns3:_="">
    <xsd:import namespace="7f5b6951-54ef-4081-aa35-6a1d703b40f5"/>
    <xsd:import namespace="b3d48114-37c6-46ba-9f8b-b8b5733efe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b6951-54ef-4081-aa35-6a1d703b4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d48114-37c6-46ba-9f8b-b8b5733efe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393DC6CF16686B4BA2933CFE51EE0CE7" ma:contentTypeVersion="16" ma:contentTypeDescription="Create a new document." ma:contentTypeScope="" ma:versionID="ddaff8b455f2b2eb192f17e2b9c2fc9a">
  <xsd:schema xmlns:xsd="http://www.w3.org/2001/XMLSchema" xmlns:xs="http://www.w3.org/2001/XMLSchema" xmlns:p="http://schemas.microsoft.com/office/2006/metadata/properties" xmlns:ns2="8e5901ec-b161-45b4-a2b9-e2fec7e53931" xmlns:ns3="9906f322-3aa4-452a-acdd-a6e6b535267d" targetNamespace="http://schemas.microsoft.com/office/2006/metadata/properties" ma:root="true" ma:fieldsID="8fdcf9ab4b86c1976a280f112f357892" ns2:_="" ns3:_="">
    <xsd:import namespace="8e5901ec-b161-45b4-a2b9-e2fec7e53931"/>
    <xsd:import namespace="9906f322-3aa4-452a-acdd-a6e6b53526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901ec-b161-45b4-a2b9-e2fec7e53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06f322-3aa4-452a-acdd-a6e6b53526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d3fc96-ae02-4939-ae84-adebc40aa377}" ma:internalName="TaxCatchAll" ma:showField="CatchAllData" ma:web="9906f322-3aa4-452a-acdd-a6e6b5352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e5901ec-b161-45b4-a2b9-e2fec7e53931">
      <Terms xmlns="http://schemas.microsoft.com/office/infopath/2007/PartnerControls"/>
    </lcf76f155ced4ddcb4097134ff3c332f>
    <TaxCatchAll xmlns="9906f322-3aa4-452a-acdd-a6e6b535267d" xsi:nil="true"/>
  </documentManagement>
</p:properties>
</file>

<file path=customXml/itemProps1.xml><?xml version="1.0" encoding="utf-8"?>
<ds:datastoreItem xmlns:ds="http://schemas.openxmlformats.org/officeDocument/2006/customXml" ds:itemID="{4ED974B0-8DED-4EF5-9079-3647A012F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b6951-54ef-4081-aa35-6a1d703b40f5"/>
    <ds:schemaRef ds:uri="b3d48114-37c6-46ba-9f8b-b8b5733ef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DEB2BF-CB3E-4F91-8783-160631B29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901ec-b161-45b4-a2b9-e2fec7e53931"/>
    <ds:schemaRef ds:uri="9906f322-3aa4-452a-acdd-a6e6b5352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69F3B-AB33-41EC-A4E5-3A5CF9C1D2C8}">
  <ds:schemaRefs>
    <ds:schemaRef ds:uri="http://schemas.microsoft.com/sharepoint/v3/contenttype/forms"/>
  </ds:schemaRefs>
</ds:datastoreItem>
</file>

<file path=customXml/itemProps4.xml><?xml version="1.0" encoding="utf-8"?>
<ds:datastoreItem xmlns:ds="http://schemas.openxmlformats.org/officeDocument/2006/customXml" ds:itemID="{F8417B6C-9D74-45EB-B69E-1D214E689A9E}">
  <ds:schemaRefs>
    <ds:schemaRef ds:uri="http://schemas.openxmlformats.org/officeDocument/2006/bibliography"/>
  </ds:schemaRefs>
</ds:datastoreItem>
</file>

<file path=customXml/itemProps5.xml><?xml version="1.0" encoding="utf-8"?>
<ds:datastoreItem xmlns:ds="http://schemas.openxmlformats.org/officeDocument/2006/customXml" ds:itemID="{E8F83CED-45A3-4E41-B8F8-CC1C7276EB69}">
  <ds:schemaRefs>
    <ds:schemaRef ds:uri="http://schemas.microsoft.com/office/2006/metadata/properties"/>
    <ds:schemaRef ds:uri="http://schemas.microsoft.com/office/infopath/2007/PartnerControls"/>
    <ds:schemaRef ds:uri="8e5901ec-b161-45b4-a2b9-e2fec7e53931"/>
    <ds:schemaRef ds:uri="9906f322-3aa4-452a-acdd-a6e6b535267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90</ap:Pages>
  <ap:Words>20692</ap:Words>
  <ap:Characters>117950</ap:Characters>
  <ap:Application>Microsoft Office Word</ap:Application>
  <ap:DocSecurity>0</ap:DocSecurity>
  <ap:Lines>982</ap:Lines>
  <ap:Paragraphs>276</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138366</ap:CharactersWithSpaces>
  <ap:SharedDoc>false</ap:SharedDoc>
  <ap:HLinks>
    <vt:vector baseType="variant" size="414">
      <vt:variant>
        <vt:i4>1310771</vt:i4>
      </vt:variant>
      <vt:variant>
        <vt:i4>290</vt:i4>
      </vt:variant>
      <vt:variant>
        <vt:i4>0</vt:i4>
      </vt:variant>
      <vt:variant>
        <vt:i4>5</vt:i4>
      </vt:variant>
      <vt:variant>
        <vt:lpwstr/>
      </vt:variant>
      <vt:variant>
        <vt:lpwstr>_Toc107869322</vt:lpwstr>
      </vt:variant>
      <vt:variant>
        <vt:i4>1310771</vt:i4>
      </vt:variant>
      <vt:variant>
        <vt:i4>284</vt:i4>
      </vt:variant>
      <vt:variant>
        <vt:i4>0</vt:i4>
      </vt:variant>
      <vt:variant>
        <vt:i4>5</vt:i4>
      </vt:variant>
      <vt:variant>
        <vt:lpwstr/>
      </vt:variant>
      <vt:variant>
        <vt:lpwstr>_Toc107869321</vt:lpwstr>
      </vt:variant>
      <vt:variant>
        <vt:i4>1310771</vt:i4>
      </vt:variant>
      <vt:variant>
        <vt:i4>278</vt:i4>
      </vt:variant>
      <vt:variant>
        <vt:i4>0</vt:i4>
      </vt:variant>
      <vt:variant>
        <vt:i4>5</vt:i4>
      </vt:variant>
      <vt:variant>
        <vt:lpwstr/>
      </vt:variant>
      <vt:variant>
        <vt:lpwstr>_Toc107869320</vt:lpwstr>
      </vt:variant>
      <vt:variant>
        <vt:i4>1507379</vt:i4>
      </vt:variant>
      <vt:variant>
        <vt:i4>272</vt:i4>
      </vt:variant>
      <vt:variant>
        <vt:i4>0</vt:i4>
      </vt:variant>
      <vt:variant>
        <vt:i4>5</vt:i4>
      </vt:variant>
      <vt:variant>
        <vt:lpwstr/>
      </vt:variant>
      <vt:variant>
        <vt:lpwstr>_Toc107869319</vt:lpwstr>
      </vt:variant>
      <vt:variant>
        <vt:i4>1507379</vt:i4>
      </vt:variant>
      <vt:variant>
        <vt:i4>266</vt:i4>
      </vt:variant>
      <vt:variant>
        <vt:i4>0</vt:i4>
      </vt:variant>
      <vt:variant>
        <vt:i4>5</vt:i4>
      </vt:variant>
      <vt:variant>
        <vt:lpwstr/>
      </vt:variant>
      <vt:variant>
        <vt:lpwstr>_Toc107869318</vt:lpwstr>
      </vt:variant>
      <vt:variant>
        <vt:i4>1507379</vt:i4>
      </vt:variant>
      <vt:variant>
        <vt:i4>260</vt:i4>
      </vt:variant>
      <vt:variant>
        <vt:i4>0</vt:i4>
      </vt:variant>
      <vt:variant>
        <vt:i4>5</vt:i4>
      </vt:variant>
      <vt:variant>
        <vt:lpwstr/>
      </vt:variant>
      <vt:variant>
        <vt:lpwstr>_Toc107869317</vt:lpwstr>
      </vt:variant>
      <vt:variant>
        <vt:i4>1507379</vt:i4>
      </vt:variant>
      <vt:variant>
        <vt:i4>254</vt:i4>
      </vt:variant>
      <vt:variant>
        <vt:i4>0</vt:i4>
      </vt:variant>
      <vt:variant>
        <vt:i4>5</vt:i4>
      </vt:variant>
      <vt:variant>
        <vt:lpwstr/>
      </vt:variant>
      <vt:variant>
        <vt:lpwstr>_Toc107869316</vt:lpwstr>
      </vt:variant>
      <vt:variant>
        <vt:i4>1507379</vt:i4>
      </vt:variant>
      <vt:variant>
        <vt:i4>248</vt:i4>
      </vt:variant>
      <vt:variant>
        <vt:i4>0</vt:i4>
      </vt:variant>
      <vt:variant>
        <vt:i4>5</vt:i4>
      </vt:variant>
      <vt:variant>
        <vt:lpwstr/>
      </vt:variant>
      <vt:variant>
        <vt:lpwstr>_Toc107869315</vt:lpwstr>
      </vt:variant>
      <vt:variant>
        <vt:i4>1507379</vt:i4>
      </vt:variant>
      <vt:variant>
        <vt:i4>242</vt:i4>
      </vt:variant>
      <vt:variant>
        <vt:i4>0</vt:i4>
      </vt:variant>
      <vt:variant>
        <vt:i4>5</vt:i4>
      </vt:variant>
      <vt:variant>
        <vt:lpwstr/>
      </vt:variant>
      <vt:variant>
        <vt:lpwstr>_Toc107869314</vt:lpwstr>
      </vt:variant>
      <vt:variant>
        <vt:i4>1507379</vt:i4>
      </vt:variant>
      <vt:variant>
        <vt:i4>236</vt:i4>
      </vt:variant>
      <vt:variant>
        <vt:i4>0</vt:i4>
      </vt:variant>
      <vt:variant>
        <vt:i4>5</vt:i4>
      </vt:variant>
      <vt:variant>
        <vt:lpwstr/>
      </vt:variant>
      <vt:variant>
        <vt:lpwstr>_Toc107869313</vt:lpwstr>
      </vt:variant>
      <vt:variant>
        <vt:i4>1507379</vt:i4>
      </vt:variant>
      <vt:variant>
        <vt:i4>230</vt:i4>
      </vt:variant>
      <vt:variant>
        <vt:i4>0</vt:i4>
      </vt:variant>
      <vt:variant>
        <vt:i4>5</vt:i4>
      </vt:variant>
      <vt:variant>
        <vt:lpwstr/>
      </vt:variant>
      <vt:variant>
        <vt:lpwstr>_Toc107869312</vt:lpwstr>
      </vt:variant>
      <vt:variant>
        <vt:i4>1507379</vt:i4>
      </vt:variant>
      <vt:variant>
        <vt:i4>224</vt:i4>
      </vt:variant>
      <vt:variant>
        <vt:i4>0</vt:i4>
      </vt:variant>
      <vt:variant>
        <vt:i4>5</vt:i4>
      </vt:variant>
      <vt:variant>
        <vt:lpwstr/>
      </vt:variant>
      <vt:variant>
        <vt:lpwstr>_Toc107869311</vt:lpwstr>
      </vt:variant>
      <vt:variant>
        <vt:i4>1507379</vt:i4>
      </vt:variant>
      <vt:variant>
        <vt:i4>218</vt:i4>
      </vt:variant>
      <vt:variant>
        <vt:i4>0</vt:i4>
      </vt:variant>
      <vt:variant>
        <vt:i4>5</vt:i4>
      </vt:variant>
      <vt:variant>
        <vt:lpwstr/>
      </vt:variant>
      <vt:variant>
        <vt:lpwstr>_Toc107869310</vt:lpwstr>
      </vt:variant>
      <vt:variant>
        <vt:i4>1441843</vt:i4>
      </vt:variant>
      <vt:variant>
        <vt:i4>212</vt:i4>
      </vt:variant>
      <vt:variant>
        <vt:i4>0</vt:i4>
      </vt:variant>
      <vt:variant>
        <vt:i4>5</vt:i4>
      </vt:variant>
      <vt:variant>
        <vt:lpwstr/>
      </vt:variant>
      <vt:variant>
        <vt:lpwstr>_Toc107869309</vt:lpwstr>
      </vt:variant>
      <vt:variant>
        <vt:i4>1441843</vt:i4>
      </vt:variant>
      <vt:variant>
        <vt:i4>206</vt:i4>
      </vt:variant>
      <vt:variant>
        <vt:i4>0</vt:i4>
      </vt:variant>
      <vt:variant>
        <vt:i4>5</vt:i4>
      </vt:variant>
      <vt:variant>
        <vt:lpwstr/>
      </vt:variant>
      <vt:variant>
        <vt:lpwstr>_Toc107869308</vt:lpwstr>
      </vt:variant>
      <vt:variant>
        <vt:i4>1441843</vt:i4>
      </vt:variant>
      <vt:variant>
        <vt:i4>200</vt:i4>
      </vt:variant>
      <vt:variant>
        <vt:i4>0</vt:i4>
      </vt:variant>
      <vt:variant>
        <vt:i4>5</vt:i4>
      </vt:variant>
      <vt:variant>
        <vt:lpwstr/>
      </vt:variant>
      <vt:variant>
        <vt:lpwstr>_Toc107869307</vt:lpwstr>
      </vt:variant>
      <vt:variant>
        <vt:i4>1441843</vt:i4>
      </vt:variant>
      <vt:variant>
        <vt:i4>194</vt:i4>
      </vt:variant>
      <vt:variant>
        <vt:i4>0</vt:i4>
      </vt:variant>
      <vt:variant>
        <vt:i4>5</vt:i4>
      </vt:variant>
      <vt:variant>
        <vt:lpwstr/>
      </vt:variant>
      <vt:variant>
        <vt:lpwstr>_Toc107869306</vt:lpwstr>
      </vt:variant>
      <vt:variant>
        <vt:i4>1441843</vt:i4>
      </vt:variant>
      <vt:variant>
        <vt:i4>188</vt:i4>
      </vt:variant>
      <vt:variant>
        <vt:i4>0</vt:i4>
      </vt:variant>
      <vt:variant>
        <vt:i4>5</vt:i4>
      </vt:variant>
      <vt:variant>
        <vt:lpwstr/>
      </vt:variant>
      <vt:variant>
        <vt:lpwstr>_Toc107869305</vt:lpwstr>
      </vt:variant>
      <vt:variant>
        <vt:i4>1441843</vt:i4>
      </vt:variant>
      <vt:variant>
        <vt:i4>182</vt:i4>
      </vt:variant>
      <vt:variant>
        <vt:i4>0</vt:i4>
      </vt:variant>
      <vt:variant>
        <vt:i4>5</vt:i4>
      </vt:variant>
      <vt:variant>
        <vt:lpwstr/>
      </vt:variant>
      <vt:variant>
        <vt:lpwstr>_Toc107869304</vt:lpwstr>
      </vt:variant>
      <vt:variant>
        <vt:i4>1441843</vt:i4>
      </vt:variant>
      <vt:variant>
        <vt:i4>176</vt:i4>
      </vt:variant>
      <vt:variant>
        <vt:i4>0</vt:i4>
      </vt:variant>
      <vt:variant>
        <vt:i4>5</vt:i4>
      </vt:variant>
      <vt:variant>
        <vt:lpwstr/>
      </vt:variant>
      <vt:variant>
        <vt:lpwstr>_Toc107869303</vt:lpwstr>
      </vt:variant>
      <vt:variant>
        <vt:i4>1441843</vt:i4>
      </vt:variant>
      <vt:variant>
        <vt:i4>170</vt:i4>
      </vt:variant>
      <vt:variant>
        <vt:i4>0</vt:i4>
      </vt:variant>
      <vt:variant>
        <vt:i4>5</vt:i4>
      </vt:variant>
      <vt:variant>
        <vt:lpwstr/>
      </vt:variant>
      <vt:variant>
        <vt:lpwstr>_Toc107869302</vt:lpwstr>
      </vt:variant>
      <vt:variant>
        <vt:i4>1441843</vt:i4>
      </vt:variant>
      <vt:variant>
        <vt:i4>164</vt:i4>
      </vt:variant>
      <vt:variant>
        <vt:i4>0</vt:i4>
      </vt:variant>
      <vt:variant>
        <vt:i4>5</vt:i4>
      </vt:variant>
      <vt:variant>
        <vt:lpwstr/>
      </vt:variant>
      <vt:variant>
        <vt:lpwstr>_Toc107869301</vt:lpwstr>
      </vt:variant>
      <vt:variant>
        <vt:i4>1441843</vt:i4>
      </vt:variant>
      <vt:variant>
        <vt:i4>158</vt:i4>
      </vt:variant>
      <vt:variant>
        <vt:i4>0</vt:i4>
      </vt:variant>
      <vt:variant>
        <vt:i4>5</vt:i4>
      </vt:variant>
      <vt:variant>
        <vt:lpwstr/>
      </vt:variant>
      <vt:variant>
        <vt:lpwstr>_Toc107869300</vt:lpwstr>
      </vt:variant>
      <vt:variant>
        <vt:i4>2031666</vt:i4>
      </vt:variant>
      <vt:variant>
        <vt:i4>152</vt:i4>
      </vt:variant>
      <vt:variant>
        <vt:i4>0</vt:i4>
      </vt:variant>
      <vt:variant>
        <vt:i4>5</vt:i4>
      </vt:variant>
      <vt:variant>
        <vt:lpwstr/>
      </vt:variant>
      <vt:variant>
        <vt:lpwstr>_Toc107869299</vt:lpwstr>
      </vt:variant>
      <vt:variant>
        <vt:i4>2031666</vt:i4>
      </vt:variant>
      <vt:variant>
        <vt:i4>146</vt:i4>
      </vt:variant>
      <vt:variant>
        <vt:i4>0</vt:i4>
      </vt:variant>
      <vt:variant>
        <vt:i4>5</vt:i4>
      </vt:variant>
      <vt:variant>
        <vt:lpwstr/>
      </vt:variant>
      <vt:variant>
        <vt:lpwstr>_Toc107869298</vt:lpwstr>
      </vt:variant>
      <vt:variant>
        <vt:i4>2031666</vt:i4>
      </vt:variant>
      <vt:variant>
        <vt:i4>140</vt:i4>
      </vt:variant>
      <vt:variant>
        <vt:i4>0</vt:i4>
      </vt:variant>
      <vt:variant>
        <vt:i4>5</vt:i4>
      </vt:variant>
      <vt:variant>
        <vt:lpwstr/>
      </vt:variant>
      <vt:variant>
        <vt:lpwstr>_Toc107869297</vt:lpwstr>
      </vt:variant>
      <vt:variant>
        <vt:i4>2031666</vt:i4>
      </vt:variant>
      <vt:variant>
        <vt:i4>134</vt:i4>
      </vt:variant>
      <vt:variant>
        <vt:i4>0</vt:i4>
      </vt:variant>
      <vt:variant>
        <vt:i4>5</vt:i4>
      </vt:variant>
      <vt:variant>
        <vt:lpwstr/>
      </vt:variant>
      <vt:variant>
        <vt:lpwstr>_Toc107869296</vt:lpwstr>
      </vt:variant>
      <vt:variant>
        <vt:i4>2031666</vt:i4>
      </vt:variant>
      <vt:variant>
        <vt:i4>128</vt:i4>
      </vt:variant>
      <vt:variant>
        <vt:i4>0</vt:i4>
      </vt:variant>
      <vt:variant>
        <vt:i4>5</vt:i4>
      </vt:variant>
      <vt:variant>
        <vt:lpwstr/>
      </vt:variant>
      <vt:variant>
        <vt:lpwstr>_Toc107869295</vt:lpwstr>
      </vt:variant>
      <vt:variant>
        <vt:i4>2031666</vt:i4>
      </vt:variant>
      <vt:variant>
        <vt:i4>122</vt:i4>
      </vt:variant>
      <vt:variant>
        <vt:i4>0</vt:i4>
      </vt:variant>
      <vt:variant>
        <vt:i4>5</vt:i4>
      </vt:variant>
      <vt:variant>
        <vt:lpwstr/>
      </vt:variant>
      <vt:variant>
        <vt:lpwstr>_Toc107869294</vt:lpwstr>
      </vt:variant>
      <vt:variant>
        <vt:i4>2031666</vt:i4>
      </vt:variant>
      <vt:variant>
        <vt:i4>116</vt:i4>
      </vt:variant>
      <vt:variant>
        <vt:i4>0</vt:i4>
      </vt:variant>
      <vt:variant>
        <vt:i4>5</vt:i4>
      </vt:variant>
      <vt:variant>
        <vt:lpwstr/>
      </vt:variant>
      <vt:variant>
        <vt:lpwstr>_Toc107869293</vt:lpwstr>
      </vt:variant>
      <vt:variant>
        <vt:i4>2031666</vt:i4>
      </vt:variant>
      <vt:variant>
        <vt:i4>110</vt:i4>
      </vt:variant>
      <vt:variant>
        <vt:i4>0</vt:i4>
      </vt:variant>
      <vt:variant>
        <vt:i4>5</vt:i4>
      </vt:variant>
      <vt:variant>
        <vt:lpwstr/>
      </vt:variant>
      <vt:variant>
        <vt:lpwstr>_Toc107869292</vt:lpwstr>
      </vt:variant>
      <vt:variant>
        <vt:i4>2031666</vt:i4>
      </vt:variant>
      <vt:variant>
        <vt:i4>104</vt:i4>
      </vt:variant>
      <vt:variant>
        <vt:i4>0</vt:i4>
      </vt:variant>
      <vt:variant>
        <vt:i4>5</vt:i4>
      </vt:variant>
      <vt:variant>
        <vt:lpwstr/>
      </vt:variant>
      <vt:variant>
        <vt:lpwstr>_Toc107869291</vt:lpwstr>
      </vt:variant>
      <vt:variant>
        <vt:i4>2031666</vt:i4>
      </vt:variant>
      <vt:variant>
        <vt:i4>98</vt:i4>
      </vt:variant>
      <vt:variant>
        <vt:i4>0</vt:i4>
      </vt:variant>
      <vt:variant>
        <vt:i4>5</vt:i4>
      </vt:variant>
      <vt:variant>
        <vt:lpwstr/>
      </vt:variant>
      <vt:variant>
        <vt:lpwstr>_Toc107869290</vt:lpwstr>
      </vt:variant>
      <vt:variant>
        <vt:i4>1966130</vt:i4>
      </vt:variant>
      <vt:variant>
        <vt:i4>92</vt:i4>
      </vt:variant>
      <vt:variant>
        <vt:i4>0</vt:i4>
      </vt:variant>
      <vt:variant>
        <vt:i4>5</vt:i4>
      </vt:variant>
      <vt:variant>
        <vt:lpwstr/>
      </vt:variant>
      <vt:variant>
        <vt:lpwstr>_Toc107869289</vt:lpwstr>
      </vt:variant>
      <vt:variant>
        <vt:i4>1966130</vt:i4>
      </vt:variant>
      <vt:variant>
        <vt:i4>86</vt:i4>
      </vt:variant>
      <vt:variant>
        <vt:i4>0</vt:i4>
      </vt:variant>
      <vt:variant>
        <vt:i4>5</vt:i4>
      </vt:variant>
      <vt:variant>
        <vt:lpwstr/>
      </vt:variant>
      <vt:variant>
        <vt:lpwstr>_Toc107869288</vt:lpwstr>
      </vt:variant>
      <vt:variant>
        <vt:i4>1966130</vt:i4>
      </vt:variant>
      <vt:variant>
        <vt:i4>80</vt:i4>
      </vt:variant>
      <vt:variant>
        <vt:i4>0</vt:i4>
      </vt:variant>
      <vt:variant>
        <vt:i4>5</vt:i4>
      </vt:variant>
      <vt:variant>
        <vt:lpwstr/>
      </vt:variant>
      <vt:variant>
        <vt:lpwstr>_Toc107869287</vt:lpwstr>
      </vt:variant>
      <vt:variant>
        <vt:i4>1966130</vt:i4>
      </vt:variant>
      <vt:variant>
        <vt:i4>74</vt:i4>
      </vt:variant>
      <vt:variant>
        <vt:i4>0</vt:i4>
      </vt:variant>
      <vt:variant>
        <vt:i4>5</vt:i4>
      </vt:variant>
      <vt:variant>
        <vt:lpwstr/>
      </vt:variant>
      <vt:variant>
        <vt:lpwstr>_Toc107869286</vt:lpwstr>
      </vt:variant>
      <vt:variant>
        <vt:i4>1966130</vt:i4>
      </vt:variant>
      <vt:variant>
        <vt:i4>68</vt:i4>
      </vt:variant>
      <vt:variant>
        <vt:i4>0</vt:i4>
      </vt:variant>
      <vt:variant>
        <vt:i4>5</vt:i4>
      </vt:variant>
      <vt:variant>
        <vt:lpwstr/>
      </vt:variant>
      <vt:variant>
        <vt:lpwstr>_Toc107869285</vt:lpwstr>
      </vt:variant>
      <vt:variant>
        <vt:i4>1966130</vt:i4>
      </vt:variant>
      <vt:variant>
        <vt:i4>62</vt:i4>
      </vt:variant>
      <vt:variant>
        <vt:i4>0</vt:i4>
      </vt:variant>
      <vt:variant>
        <vt:i4>5</vt:i4>
      </vt:variant>
      <vt:variant>
        <vt:lpwstr/>
      </vt:variant>
      <vt:variant>
        <vt:lpwstr>_Toc107869284</vt:lpwstr>
      </vt:variant>
      <vt:variant>
        <vt:i4>1966130</vt:i4>
      </vt:variant>
      <vt:variant>
        <vt:i4>56</vt:i4>
      </vt:variant>
      <vt:variant>
        <vt:i4>0</vt:i4>
      </vt:variant>
      <vt:variant>
        <vt:i4>5</vt:i4>
      </vt:variant>
      <vt:variant>
        <vt:lpwstr/>
      </vt:variant>
      <vt:variant>
        <vt:lpwstr>_Toc107869283</vt:lpwstr>
      </vt:variant>
      <vt:variant>
        <vt:i4>1966130</vt:i4>
      </vt:variant>
      <vt:variant>
        <vt:i4>50</vt:i4>
      </vt:variant>
      <vt:variant>
        <vt:i4>0</vt:i4>
      </vt:variant>
      <vt:variant>
        <vt:i4>5</vt:i4>
      </vt:variant>
      <vt:variant>
        <vt:lpwstr/>
      </vt:variant>
      <vt:variant>
        <vt:lpwstr>_Toc107869282</vt:lpwstr>
      </vt:variant>
      <vt:variant>
        <vt:i4>1966130</vt:i4>
      </vt:variant>
      <vt:variant>
        <vt:i4>44</vt:i4>
      </vt:variant>
      <vt:variant>
        <vt:i4>0</vt:i4>
      </vt:variant>
      <vt:variant>
        <vt:i4>5</vt:i4>
      </vt:variant>
      <vt:variant>
        <vt:lpwstr/>
      </vt:variant>
      <vt:variant>
        <vt:lpwstr>_Toc107869281</vt:lpwstr>
      </vt:variant>
      <vt:variant>
        <vt:i4>1966130</vt:i4>
      </vt:variant>
      <vt:variant>
        <vt:i4>38</vt:i4>
      </vt:variant>
      <vt:variant>
        <vt:i4>0</vt:i4>
      </vt:variant>
      <vt:variant>
        <vt:i4>5</vt:i4>
      </vt:variant>
      <vt:variant>
        <vt:lpwstr/>
      </vt:variant>
      <vt:variant>
        <vt:lpwstr>_Toc107869280</vt:lpwstr>
      </vt:variant>
      <vt:variant>
        <vt:i4>1114162</vt:i4>
      </vt:variant>
      <vt:variant>
        <vt:i4>32</vt:i4>
      </vt:variant>
      <vt:variant>
        <vt:i4>0</vt:i4>
      </vt:variant>
      <vt:variant>
        <vt:i4>5</vt:i4>
      </vt:variant>
      <vt:variant>
        <vt:lpwstr/>
      </vt:variant>
      <vt:variant>
        <vt:lpwstr>_Toc107869279</vt:lpwstr>
      </vt:variant>
      <vt:variant>
        <vt:i4>1114162</vt:i4>
      </vt:variant>
      <vt:variant>
        <vt:i4>26</vt:i4>
      </vt:variant>
      <vt:variant>
        <vt:i4>0</vt:i4>
      </vt:variant>
      <vt:variant>
        <vt:i4>5</vt:i4>
      </vt:variant>
      <vt:variant>
        <vt:lpwstr/>
      </vt:variant>
      <vt:variant>
        <vt:lpwstr>_Toc107869278</vt:lpwstr>
      </vt:variant>
      <vt:variant>
        <vt:i4>1114162</vt:i4>
      </vt:variant>
      <vt:variant>
        <vt:i4>20</vt:i4>
      </vt:variant>
      <vt:variant>
        <vt:i4>0</vt:i4>
      </vt:variant>
      <vt:variant>
        <vt:i4>5</vt:i4>
      </vt:variant>
      <vt:variant>
        <vt:lpwstr/>
      </vt:variant>
      <vt:variant>
        <vt:lpwstr>_Toc107869277</vt:lpwstr>
      </vt:variant>
      <vt:variant>
        <vt:i4>1114162</vt:i4>
      </vt:variant>
      <vt:variant>
        <vt:i4>14</vt:i4>
      </vt:variant>
      <vt:variant>
        <vt:i4>0</vt:i4>
      </vt:variant>
      <vt:variant>
        <vt:i4>5</vt:i4>
      </vt:variant>
      <vt:variant>
        <vt:lpwstr/>
      </vt:variant>
      <vt:variant>
        <vt:lpwstr>_Toc107869276</vt:lpwstr>
      </vt:variant>
      <vt:variant>
        <vt:i4>1114162</vt:i4>
      </vt:variant>
      <vt:variant>
        <vt:i4>8</vt:i4>
      </vt:variant>
      <vt:variant>
        <vt:i4>0</vt:i4>
      </vt:variant>
      <vt:variant>
        <vt:i4>5</vt:i4>
      </vt:variant>
      <vt:variant>
        <vt:lpwstr/>
      </vt:variant>
      <vt:variant>
        <vt:lpwstr>_Toc107869275</vt:lpwstr>
      </vt:variant>
      <vt:variant>
        <vt:i4>1114162</vt:i4>
      </vt:variant>
      <vt:variant>
        <vt:i4>2</vt:i4>
      </vt:variant>
      <vt:variant>
        <vt:i4>0</vt:i4>
      </vt:variant>
      <vt:variant>
        <vt:i4>5</vt:i4>
      </vt:variant>
      <vt:variant>
        <vt:lpwstr/>
      </vt:variant>
      <vt:variant>
        <vt:lpwstr>_Toc107869274</vt:lpwstr>
      </vt:variant>
      <vt:variant>
        <vt:i4>983041</vt:i4>
      </vt:variant>
      <vt:variant>
        <vt:i4>21</vt:i4>
      </vt:variant>
      <vt:variant>
        <vt:i4>0</vt:i4>
      </vt:variant>
      <vt:variant>
        <vt:i4>5</vt:i4>
      </vt:variant>
      <vt:variant>
        <vt:lpwstr>https://ww2.arb.ca.gov/resources/documents/technical-analysis-end-useful-life-scenarios-statewide</vt:lpwstr>
      </vt:variant>
      <vt:variant>
        <vt:lpwstr/>
      </vt:variant>
      <vt:variant>
        <vt:i4>1245199</vt:i4>
      </vt:variant>
      <vt:variant>
        <vt:i4>18</vt:i4>
      </vt:variant>
      <vt:variant>
        <vt:i4>0</vt:i4>
      </vt:variant>
      <vt:variant>
        <vt:i4>5</vt:i4>
      </vt:variant>
      <vt:variant>
        <vt:lpwstr>https://ww2.arb.ca.gov/ghg-inventory-data</vt:lpwstr>
      </vt:variant>
      <vt:variant>
        <vt:lpwstr/>
      </vt:variant>
      <vt:variant>
        <vt:i4>2818153</vt:i4>
      </vt:variant>
      <vt:variant>
        <vt:i4>15</vt:i4>
      </vt:variant>
      <vt:variant>
        <vt:i4>0</vt:i4>
      </vt:variant>
      <vt:variant>
        <vt:i4>5</vt:i4>
      </vt:variant>
      <vt:variant>
        <vt:lpwstr>https://www.caenergysmarthomes.com/</vt:lpwstr>
      </vt:variant>
      <vt:variant>
        <vt:lpwstr/>
      </vt:variant>
      <vt:variant>
        <vt:i4>5308511</vt:i4>
      </vt:variant>
      <vt:variant>
        <vt:i4>12</vt:i4>
      </vt:variant>
      <vt:variant>
        <vt:i4>0</vt:i4>
      </vt:variant>
      <vt:variant>
        <vt:i4>5</vt:i4>
      </vt:variant>
      <vt:variant>
        <vt:lpwstr>https://www.energy.ca.gov/programs-and-topics/programs/building-initiative-low-emissions-development-program</vt:lpwstr>
      </vt:variant>
      <vt:variant>
        <vt:lpwstr/>
      </vt:variant>
      <vt:variant>
        <vt:i4>5242946</vt:i4>
      </vt:variant>
      <vt:variant>
        <vt:i4>9</vt:i4>
      </vt:variant>
      <vt:variant>
        <vt:i4>0</vt:i4>
      </vt:variant>
      <vt:variant>
        <vt:i4>5</vt:i4>
      </vt:variant>
      <vt:variant>
        <vt:lpwstr>https://tariff.socalgas.com/regulatory/tariffs/tm2/pdf/20.pdf</vt:lpwstr>
      </vt:variant>
      <vt:variant>
        <vt:lpwstr/>
      </vt:variant>
      <vt:variant>
        <vt:i4>3080310</vt:i4>
      </vt:variant>
      <vt:variant>
        <vt:i4>6</vt:i4>
      </vt:variant>
      <vt:variant>
        <vt:i4>0</vt:i4>
      </vt:variant>
      <vt:variant>
        <vt:i4>5</vt:i4>
      </vt:variant>
      <vt:variant>
        <vt:lpwstr>https://www.swgas.com/1409184638489/rule15.pdf</vt:lpwstr>
      </vt:variant>
      <vt:variant>
        <vt:lpwstr/>
      </vt:variant>
      <vt:variant>
        <vt:i4>5505038</vt:i4>
      </vt:variant>
      <vt:variant>
        <vt:i4>3</vt:i4>
      </vt:variant>
      <vt:variant>
        <vt:i4>0</vt:i4>
      </vt:variant>
      <vt:variant>
        <vt:i4>5</vt:i4>
      </vt:variant>
      <vt:variant>
        <vt:lpwstr>https://tariff.sdge.com/tm2/pdf/GAS_GAS-RULES_GRULE15.pdf</vt:lpwstr>
      </vt:variant>
      <vt:variant>
        <vt:lpwstr/>
      </vt:variant>
      <vt:variant>
        <vt:i4>6488098</vt:i4>
      </vt:variant>
      <vt:variant>
        <vt:i4>0</vt:i4>
      </vt:variant>
      <vt:variant>
        <vt:i4>0</vt:i4>
      </vt:variant>
      <vt:variant>
        <vt:i4>5</vt:i4>
      </vt:variant>
      <vt:variant>
        <vt:lpwstr>https://www.pge.com/tariffs/assets/pdf/tariffbook/GAS_RULES_15.pdf</vt:lpwstr>
      </vt:variant>
      <vt:variant>
        <vt:lpwstr/>
      </vt:variant>
      <vt:variant>
        <vt:i4>393264</vt:i4>
      </vt:variant>
      <vt:variant>
        <vt:i4>33</vt:i4>
      </vt:variant>
      <vt:variant>
        <vt:i4>0</vt:i4>
      </vt:variant>
      <vt:variant>
        <vt:i4>5</vt:i4>
      </vt:variant>
      <vt:variant>
        <vt:lpwstr>mailto:ava.tran@cpuc.ca.gov</vt:lpwstr>
      </vt:variant>
      <vt:variant>
        <vt:lpwstr/>
      </vt:variant>
      <vt:variant>
        <vt:i4>5111909</vt:i4>
      </vt:variant>
      <vt:variant>
        <vt:i4>30</vt:i4>
      </vt:variant>
      <vt:variant>
        <vt:i4>0</vt:i4>
      </vt:variant>
      <vt:variant>
        <vt:i4>5</vt:i4>
      </vt:variant>
      <vt:variant>
        <vt:lpwstr>mailto:Darcie.Houck@cpuc.ca.gov</vt:lpwstr>
      </vt:variant>
      <vt:variant>
        <vt:lpwstr/>
      </vt:variant>
      <vt:variant>
        <vt:i4>2686986</vt:i4>
      </vt:variant>
      <vt:variant>
        <vt:i4>27</vt:i4>
      </vt:variant>
      <vt:variant>
        <vt:i4>0</vt:i4>
      </vt:variant>
      <vt:variant>
        <vt:i4>5</vt:i4>
      </vt:variant>
      <vt:variant>
        <vt:lpwstr>mailto:Cliff.Rechtschaffen@cpuc.ca.gov</vt:lpwstr>
      </vt:variant>
      <vt:variant>
        <vt:lpwstr/>
      </vt:variant>
      <vt:variant>
        <vt:i4>7077974</vt:i4>
      </vt:variant>
      <vt:variant>
        <vt:i4>24</vt:i4>
      </vt:variant>
      <vt:variant>
        <vt:i4>0</vt:i4>
      </vt:variant>
      <vt:variant>
        <vt:i4>5</vt:i4>
      </vt:variant>
      <vt:variant>
        <vt:lpwstr>mailto:Sandy.Goldberg@cpuc.ca.gov</vt:lpwstr>
      </vt:variant>
      <vt:variant>
        <vt:lpwstr/>
      </vt:variant>
      <vt:variant>
        <vt:i4>393264</vt:i4>
      </vt:variant>
      <vt:variant>
        <vt:i4>21</vt:i4>
      </vt:variant>
      <vt:variant>
        <vt:i4>0</vt:i4>
      </vt:variant>
      <vt:variant>
        <vt:i4>5</vt:i4>
      </vt:variant>
      <vt:variant>
        <vt:lpwstr>mailto:ava.tran@cpuc.ca.gov</vt:lpwstr>
      </vt:variant>
      <vt:variant>
        <vt:lpwstr/>
      </vt:variant>
      <vt:variant>
        <vt:i4>5374073</vt:i4>
      </vt:variant>
      <vt:variant>
        <vt:i4>18</vt:i4>
      </vt:variant>
      <vt:variant>
        <vt:i4>0</vt:i4>
      </vt:variant>
      <vt:variant>
        <vt:i4>5</vt:i4>
      </vt:variant>
      <vt:variant>
        <vt:lpwstr>mailto:rory.cox@cpuc.ca.gov</vt:lpwstr>
      </vt:variant>
      <vt:variant>
        <vt:lpwstr/>
      </vt:variant>
      <vt:variant>
        <vt:i4>3080211</vt:i4>
      </vt:variant>
      <vt:variant>
        <vt:i4>15</vt:i4>
      </vt:variant>
      <vt:variant>
        <vt:i4>0</vt:i4>
      </vt:variant>
      <vt:variant>
        <vt:i4>5</vt:i4>
      </vt:variant>
      <vt:variant>
        <vt:lpwstr>https://capuc.sharepoint.com/:x:/r/sites/BuildingDecarbandRenewableGas/_layouts/15/Doc.aspx?sourcedoc=%7B9C04F250-BA12-43ED-9958-09E17802E625%7D&amp;file=SoCalGas%20Response%20-%20R1901011_Utilities%20Data_template.xlsx&amp;action=default&amp;mobileredirect=true</vt:lpwstr>
      </vt:variant>
      <vt:variant>
        <vt:lpwstr/>
      </vt:variant>
      <vt:variant>
        <vt:i4>5374073</vt:i4>
      </vt:variant>
      <vt:variant>
        <vt:i4>12</vt:i4>
      </vt:variant>
      <vt:variant>
        <vt:i4>0</vt:i4>
      </vt:variant>
      <vt:variant>
        <vt:i4>5</vt:i4>
      </vt:variant>
      <vt:variant>
        <vt:lpwstr>mailto:rory.cox@cpuc.ca.gov</vt:lpwstr>
      </vt:variant>
      <vt:variant>
        <vt:lpwstr/>
      </vt:variant>
      <vt:variant>
        <vt:i4>1245199</vt:i4>
      </vt:variant>
      <vt:variant>
        <vt:i4>9</vt:i4>
      </vt:variant>
      <vt:variant>
        <vt:i4>0</vt:i4>
      </vt:variant>
      <vt:variant>
        <vt:i4>5</vt:i4>
      </vt:variant>
      <vt:variant>
        <vt:lpwstr>https://ww2.arb.ca.gov/ghg-inventory-data</vt:lpwstr>
      </vt:variant>
      <vt:variant>
        <vt:lpwstr/>
      </vt:variant>
      <vt:variant>
        <vt:i4>5111909</vt:i4>
      </vt:variant>
      <vt:variant>
        <vt:i4>6</vt:i4>
      </vt:variant>
      <vt:variant>
        <vt:i4>0</vt:i4>
      </vt:variant>
      <vt:variant>
        <vt:i4>5</vt:i4>
      </vt:variant>
      <vt:variant>
        <vt:lpwstr>mailto:Darcie.Houck@cpuc.ca.gov</vt:lpwstr>
      </vt:variant>
      <vt:variant>
        <vt:lpwstr/>
      </vt:variant>
      <vt:variant>
        <vt:i4>2686986</vt:i4>
      </vt:variant>
      <vt:variant>
        <vt:i4>3</vt:i4>
      </vt:variant>
      <vt:variant>
        <vt:i4>0</vt:i4>
      </vt:variant>
      <vt:variant>
        <vt:i4>5</vt:i4>
      </vt:variant>
      <vt:variant>
        <vt:lpwstr>mailto:Cliff.Rechtschaffen@cpuc.ca.gov</vt:lpwstr>
      </vt:variant>
      <vt:variant>
        <vt:lpwstr/>
      </vt:variant>
      <vt:variant>
        <vt:i4>786491</vt:i4>
      </vt:variant>
      <vt:variant>
        <vt:i4>0</vt:i4>
      </vt:variant>
      <vt:variant>
        <vt:i4>0</vt:i4>
      </vt:variant>
      <vt:variant>
        <vt:i4>5</vt:i4>
      </vt:variant>
      <vt:variant>
        <vt:lpwstr>https://capuc-my.sharepoint.com/:x:/g/personal/scarlett_liang-uejio_cpuc_ca_gov/Ebrkhtbh-05Gm6xgEF2O3dwBrxDOet2ZttmsjO_dzAHk6A?e=DmnsgQ</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2022-06-07T19:34:00Z</cp:lastPrinted>
  <dcterms:created xsi:type="dcterms:W3CDTF">2022-09-12T11:19:38Z</dcterms:created>
  <dcterms:modified xsi:type="dcterms:W3CDTF">2022-09-12T11:19:38Z</dcterms:modified>
</cp:coreProperties>
</file>